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1343FE8C" w:rsidR="00040C3A" w:rsidRPr="0012360B" w:rsidRDefault="00D306D1" w:rsidP="00627C9F">
      <w:pPr>
        <w:jc w:val="both"/>
        <w:rPr>
          <w:rFonts w:asciiTheme="majorHAnsi" w:hAnsiTheme="majorHAnsi" w:cs="Univers"/>
          <w:b/>
          <w:bCs/>
          <w:sz w:val="22"/>
          <w:szCs w:val="22"/>
          <w:lang w:val="es-ES"/>
        </w:rPr>
      </w:pPr>
      <w:r w:rsidRPr="001236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8A2C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236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D63D32" w:rsidRPr="0012360B">
        <w:rPr>
          <w:rFonts w:asciiTheme="majorHAnsi" w:hAnsiTheme="majorHAnsi" w:cs="Univers"/>
          <w:b/>
          <w:bCs/>
          <w:sz w:val="22"/>
          <w:szCs w:val="22"/>
          <w:lang w:val="es-ES"/>
        </w:rPr>
        <w:t xml:space="preserve"> </w:t>
      </w:r>
    </w:p>
    <w:p w14:paraId="47386BAF" w14:textId="77777777" w:rsidR="00040C3A" w:rsidRPr="001236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1236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12360B" w:rsidRDefault="005128E4" w:rsidP="00040C3A">
      <w:pPr>
        <w:tabs>
          <w:tab w:val="center" w:pos="5400"/>
        </w:tabs>
        <w:suppressAutoHyphens/>
        <w:rPr>
          <w:rFonts w:asciiTheme="majorHAnsi" w:hAnsiTheme="majorHAnsi"/>
          <w:sz w:val="22"/>
          <w:szCs w:val="22"/>
          <w:lang w:val="es-ES"/>
        </w:rPr>
      </w:pPr>
    </w:p>
    <w:p w14:paraId="12A36B24" w14:textId="77777777" w:rsidR="005128E4" w:rsidRPr="0012360B" w:rsidRDefault="005128E4" w:rsidP="00040C3A">
      <w:pPr>
        <w:tabs>
          <w:tab w:val="center" w:pos="5400"/>
        </w:tabs>
        <w:suppressAutoHyphens/>
        <w:rPr>
          <w:rFonts w:asciiTheme="majorHAnsi" w:hAnsiTheme="majorHAnsi"/>
          <w:sz w:val="22"/>
          <w:szCs w:val="22"/>
          <w:lang w:val="es-ES"/>
        </w:rPr>
      </w:pPr>
    </w:p>
    <w:p w14:paraId="2252093D" w14:textId="77777777" w:rsidR="005128E4" w:rsidRPr="0012360B" w:rsidRDefault="005128E4" w:rsidP="00040C3A">
      <w:pPr>
        <w:tabs>
          <w:tab w:val="center" w:pos="5400"/>
        </w:tabs>
        <w:suppressAutoHyphens/>
        <w:rPr>
          <w:rFonts w:asciiTheme="majorHAnsi" w:hAnsiTheme="majorHAnsi"/>
          <w:sz w:val="22"/>
          <w:szCs w:val="22"/>
          <w:lang w:val="es-ES"/>
        </w:rPr>
      </w:pPr>
    </w:p>
    <w:p w14:paraId="403935BD" w14:textId="77777777" w:rsidR="00040C3A" w:rsidRPr="0012360B"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12360B"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12360B"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12360B"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12360B"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12360B" w:rsidRDefault="003D3BC2" w:rsidP="00040C3A">
      <w:pPr>
        <w:tabs>
          <w:tab w:val="center" w:pos="5400"/>
        </w:tabs>
        <w:suppressAutoHyphens/>
        <w:jc w:val="center"/>
        <w:rPr>
          <w:rFonts w:asciiTheme="majorHAnsi" w:hAnsiTheme="majorHAnsi"/>
          <w:sz w:val="22"/>
          <w:szCs w:val="22"/>
          <w:lang w:val="es-ES"/>
        </w:rPr>
      </w:pPr>
      <w:r w:rsidRPr="001236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7B75D2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76007">
                              <w:rPr>
                                <w:rFonts w:asciiTheme="majorHAnsi" w:hAnsiTheme="majorHAnsi" w:cs="Arial"/>
                                <w:b/>
                                <w:bCs/>
                                <w:color w:val="0D0D0D" w:themeColor="text1" w:themeTint="F2"/>
                                <w:sz w:val="36"/>
                                <w:szCs w:val="22"/>
                                <w:lang w:val="es-ES_tradnl"/>
                              </w:rPr>
                              <w:t xml:space="preserve"> 119</w:t>
                            </w:r>
                            <w:r w:rsidR="007B05C4">
                              <w:rPr>
                                <w:rFonts w:asciiTheme="majorHAnsi" w:hAnsiTheme="majorHAnsi" w:cs="Arial"/>
                                <w:b/>
                                <w:bCs/>
                                <w:color w:val="0D0D0D" w:themeColor="text1" w:themeTint="F2"/>
                                <w:sz w:val="36"/>
                                <w:szCs w:val="22"/>
                                <w:lang w:val="es-ES_tradnl"/>
                              </w:rPr>
                              <w:t>/</w:t>
                            </w:r>
                            <w:r w:rsidR="008D5163">
                              <w:rPr>
                                <w:rFonts w:asciiTheme="majorHAnsi" w:hAnsiTheme="majorHAnsi" w:cs="Arial"/>
                                <w:b/>
                                <w:bCs/>
                                <w:color w:val="0D0D0D" w:themeColor="text1" w:themeTint="F2"/>
                                <w:sz w:val="36"/>
                                <w:szCs w:val="22"/>
                                <w:lang w:val="es-ES_tradnl"/>
                              </w:rPr>
                              <w:t>20</w:t>
                            </w:r>
                          </w:p>
                          <w:p w14:paraId="09C54AB3" w14:textId="7976E1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6A65">
                              <w:rPr>
                                <w:rFonts w:asciiTheme="majorHAnsi" w:hAnsiTheme="majorHAnsi" w:cs="Arial"/>
                                <w:b/>
                                <w:color w:val="0D0D0D" w:themeColor="text1" w:themeTint="F2"/>
                                <w:sz w:val="36"/>
                                <w:szCs w:val="22"/>
                                <w:lang w:val="es-ES_tradnl"/>
                              </w:rPr>
                              <w:t>596-09</w:t>
                            </w:r>
                          </w:p>
                          <w:p w14:paraId="70CF6833" w14:textId="726FFB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0B7E9D0" w14:textId="69A222EB" w:rsidR="00CB6A65" w:rsidRDefault="00B926E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MARTINEZ RICO </w:t>
                            </w:r>
                            <w:r w:rsidR="00CB6A65">
                              <w:rPr>
                                <w:rFonts w:asciiTheme="majorHAnsi" w:hAnsiTheme="majorHAnsi" w:cs="Arial"/>
                                <w:color w:val="0D0D0D" w:themeColor="text1" w:themeTint="F2"/>
                                <w:szCs w:val="22"/>
                                <w:lang w:val="es-ES_tradnl"/>
                              </w:rPr>
                              <w:t xml:space="preserve">Y </w:t>
                            </w:r>
                            <w:r>
                              <w:rPr>
                                <w:rFonts w:asciiTheme="majorHAnsi" w:hAnsiTheme="majorHAnsi" w:cs="Arial"/>
                                <w:color w:val="0D0D0D" w:themeColor="text1" w:themeTint="F2"/>
                                <w:szCs w:val="22"/>
                                <w:lang w:val="es-ES_tradnl"/>
                              </w:rPr>
                              <w:t>FAMILIA</w:t>
                            </w:r>
                          </w:p>
                          <w:p w14:paraId="35068D0D" w14:textId="2E76BD2B" w:rsidR="005B52B0" w:rsidRPr="0010736F" w:rsidRDefault="00CB6A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7B75D2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76007">
                        <w:rPr>
                          <w:rFonts w:asciiTheme="majorHAnsi" w:hAnsiTheme="majorHAnsi" w:cs="Arial"/>
                          <w:b/>
                          <w:bCs/>
                          <w:color w:val="0D0D0D" w:themeColor="text1" w:themeTint="F2"/>
                          <w:sz w:val="36"/>
                          <w:szCs w:val="22"/>
                          <w:lang w:val="es-ES_tradnl"/>
                        </w:rPr>
                        <w:t xml:space="preserve"> 119</w:t>
                      </w:r>
                      <w:r w:rsidR="007B05C4">
                        <w:rPr>
                          <w:rFonts w:asciiTheme="majorHAnsi" w:hAnsiTheme="majorHAnsi" w:cs="Arial"/>
                          <w:b/>
                          <w:bCs/>
                          <w:color w:val="0D0D0D" w:themeColor="text1" w:themeTint="F2"/>
                          <w:sz w:val="36"/>
                          <w:szCs w:val="22"/>
                          <w:lang w:val="es-ES_tradnl"/>
                        </w:rPr>
                        <w:t>/</w:t>
                      </w:r>
                      <w:r w:rsidR="008D5163">
                        <w:rPr>
                          <w:rFonts w:asciiTheme="majorHAnsi" w:hAnsiTheme="majorHAnsi" w:cs="Arial"/>
                          <w:b/>
                          <w:bCs/>
                          <w:color w:val="0D0D0D" w:themeColor="text1" w:themeTint="F2"/>
                          <w:sz w:val="36"/>
                          <w:szCs w:val="22"/>
                          <w:lang w:val="es-ES_tradnl"/>
                        </w:rPr>
                        <w:t>20</w:t>
                      </w:r>
                    </w:p>
                    <w:p w14:paraId="09C54AB3" w14:textId="7976E1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6A65">
                        <w:rPr>
                          <w:rFonts w:asciiTheme="majorHAnsi" w:hAnsiTheme="majorHAnsi" w:cs="Arial"/>
                          <w:b/>
                          <w:color w:val="0D0D0D" w:themeColor="text1" w:themeTint="F2"/>
                          <w:sz w:val="36"/>
                          <w:szCs w:val="22"/>
                          <w:lang w:val="es-ES_tradnl"/>
                        </w:rPr>
                        <w:t>596-09</w:t>
                      </w:r>
                    </w:p>
                    <w:p w14:paraId="70CF6833" w14:textId="726FFB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0B7E9D0" w14:textId="69A222EB" w:rsidR="00CB6A65" w:rsidRDefault="00B926E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MARTINEZ RICO </w:t>
                      </w:r>
                      <w:r w:rsidR="00CB6A65">
                        <w:rPr>
                          <w:rFonts w:asciiTheme="majorHAnsi" w:hAnsiTheme="majorHAnsi" w:cs="Arial"/>
                          <w:color w:val="0D0D0D" w:themeColor="text1" w:themeTint="F2"/>
                          <w:szCs w:val="22"/>
                          <w:lang w:val="es-ES_tradnl"/>
                        </w:rPr>
                        <w:t xml:space="preserve">Y </w:t>
                      </w:r>
                      <w:r>
                        <w:rPr>
                          <w:rFonts w:asciiTheme="majorHAnsi" w:hAnsiTheme="majorHAnsi" w:cs="Arial"/>
                          <w:color w:val="0D0D0D" w:themeColor="text1" w:themeTint="F2"/>
                          <w:szCs w:val="22"/>
                          <w:lang w:val="es-ES_tradnl"/>
                        </w:rPr>
                        <w:t>FAMILIA</w:t>
                      </w:r>
                    </w:p>
                    <w:p w14:paraId="35068D0D" w14:textId="2E76BD2B" w:rsidR="005B52B0" w:rsidRPr="0010736F" w:rsidRDefault="00CB6A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1236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6EE89A0" w:rsidR="00627C9F" w:rsidRPr="000951C2" w:rsidRDefault="005760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49E1E1F" w:rsidR="00627C9F" w:rsidRPr="000951C2" w:rsidRDefault="00627C9F" w:rsidP="007A5817">
                            <w:pPr>
                              <w:spacing w:line="276" w:lineRule="auto"/>
                              <w:jc w:val="right"/>
                              <w:rPr>
                                <w:rFonts w:asciiTheme="minorHAnsi" w:hAnsiTheme="minorHAnsi"/>
                                <w:color w:val="FFFFFF" w:themeColor="background1"/>
                                <w:sz w:val="22"/>
                                <w:lang w:val="pt-BR"/>
                              </w:rPr>
                            </w:pPr>
                            <w:r w:rsidRPr="000951C2">
                              <w:rPr>
                                <w:rFonts w:asciiTheme="minorHAnsi" w:hAnsiTheme="minorHAnsi"/>
                                <w:color w:val="FFFFFF" w:themeColor="background1"/>
                                <w:sz w:val="22"/>
                                <w:lang w:val="pt-BR"/>
                              </w:rPr>
                              <w:t xml:space="preserve">Doc. </w:t>
                            </w:r>
                            <w:r w:rsidR="00576007">
                              <w:rPr>
                                <w:rFonts w:asciiTheme="minorHAnsi" w:hAnsiTheme="minorHAnsi"/>
                                <w:color w:val="FFFFFF" w:themeColor="background1"/>
                                <w:sz w:val="22"/>
                                <w:lang w:val="pt-BR"/>
                              </w:rPr>
                              <w:t>129</w:t>
                            </w:r>
                          </w:p>
                          <w:p w14:paraId="69373ED2" w14:textId="29A4BEF7" w:rsidR="00627C9F" w:rsidRPr="001B4C00" w:rsidRDefault="0057600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627C9F" w:rsidRPr="001B4C00">
                              <w:rPr>
                                <w:rFonts w:asciiTheme="minorHAnsi" w:hAnsiTheme="minorHAnsi"/>
                                <w:color w:val="FFFFFF" w:themeColor="background1"/>
                                <w:sz w:val="22"/>
                                <w:lang w:val="es-ES"/>
                              </w:rPr>
                              <w:t xml:space="preserve"> 20</w:t>
                            </w:r>
                            <w:r w:rsidR="008D5163">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6EE89A0" w:rsidR="00627C9F" w:rsidRPr="000951C2" w:rsidRDefault="005760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49E1E1F" w:rsidR="00627C9F" w:rsidRPr="000951C2" w:rsidRDefault="00627C9F" w:rsidP="007A5817">
                      <w:pPr>
                        <w:spacing w:line="276" w:lineRule="auto"/>
                        <w:jc w:val="right"/>
                        <w:rPr>
                          <w:rFonts w:asciiTheme="minorHAnsi" w:hAnsiTheme="minorHAnsi"/>
                          <w:color w:val="FFFFFF" w:themeColor="background1"/>
                          <w:sz w:val="22"/>
                          <w:lang w:val="pt-BR"/>
                        </w:rPr>
                      </w:pPr>
                      <w:r w:rsidRPr="000951C2">
                        <w:rPr>
                          <w:rFonts w:asciiTheme="minorHAnsi" w:hAnsiTheme="minorHAnsi"/>
                          <w:color w:val="FFFFFF" w:themeColor="background1"/>
                          <w:sz w:val="22"/>
                          <w:lang w:val="pt-BR"/>
                        </w:rPr>
                        <w:t xml:space="preserve">Doc. </w:t>
                      </w:r>
                      <w:r w:rsidR="00576007">
                        <w:rPr>
                          <w:rFonts w:asciiTheme="minorHAnsi" w:hAnsiTheme="minorHAnsi"/>
                          <w:color w:val="FFFFFF" w:themeColor="background1"/>
                          <w:sz w:val="22"/>
                          <w:lang w:val="pt-BR"/>
                        </w:rPr>
                        <w:t>129</w:t>
                      </w:r>
                    </w:p>
                    <w:p w14:paraId="69373ED2" w14:textId="29A4BEF7" w:rsidR="00627C9F" w:rsidRPr="001B4C00" w:rsidRDefault="0057600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abril</w:t>
                      </w:r>
                      <w:r w:rsidR="00627C9F" w:rsidRPr="001B4C00">
                        <w:rPr>
                          <w:rFonts w:asciiTheme="minorHAnsi" w:hAnsiTheme="minorHAnsi"/>
                          <w:color w:val="FFFFFF" w:themeColor="background1"/>
                          <w:sz w:val="22"/>
                          <w:lang w:val="es-ES"/>
                        </w:rPr>
                        <w:t xml:space="preserve"> 20</w:t>
                      </w:r>
                      <w:r w:rsidR="008D5163">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12360B"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12360B"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12360B"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12360B"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12360B"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12360B"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12360B" w:rsidRDefault="0090270B" w:rsidP="00040C3A">
      <w:pPr>
        <w:tabs>
          <w:tab w:val="center" w:pos="5400"/>
        </w:tabs>
        <w:suppressAutoHyphens/>
        <w:jc w:val="center"/>
        <w:rPr>
          <w:rFonts w:asciiTheme="majorHAnsi" w:hAnsiTheme="majorHAnsi"/>
          <w:sz w:val="18"/>
          <w:szCs w:val="22"/>
          <w:lang w:val="es-ES"/>
        </w:rPr>
      </w:pPr>
      <w:r w:rsidRPr="001236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2A9CF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76007">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576007">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5163">
                              <w:rPr>
                                <w:rFonts w:asciiTheme="majorHAnsi" w:hAnsiTheme="majorHAnsi"/>
                                <w:color w:val="0D0D0D" w:themeColor="text1" w:themeTint="F2"/>
                                <w:sz w:val="18"/>
                                <w:szCs w:val="22"/>
                                <w:lang w:val="es-ES"/>
                              </w:rPr>
                              <w:t>20</w:t>
                            </w:r>
                            <w:r w:rsidR="006953E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F2A9CF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76007">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576007">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D5163">
                        <w:rPr>
                          <w:rFonts w:asciiTheme="majorHAnsi" w:hAnsiTheme="majorHAnsi"/>
                          <w:color w:val="0D0D0D" w:themeColor="text1" w:themeTint="F2"/>
                          <w:sz w:val="18"/>
                          <w:szCs w:val="22"/>
                          <w:lang w:val="es-ES"/>
                        </w:rPr>
                        <w:t>20</w:t>
                      </w:r>
                      <w:r w:rsidR="006953E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12360B" w:rsidRDefault="0090270B" w:rsidP="00040C3A">
      <w:pPr>
        <w:tabs>
          <w:tab w:val="center" w:pos="5400"/>
        </w:tabs>
        <w:suppressAutoHyphens/>
        <w:jc w:val="center"/>
        <w:rPr>
          <w:rFonts w:asciiTheme="majorHAnsi" w:hAnsiTheme="majorHAnsi"/>
          <w:sz w:val="18"/>
          <w:szCs w:val="22"/>
          <w:lang w:val="es-ES"/>
        </w:rPr>
      </w:pPr>
      <w:r w:rsidRPr="001236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6D489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76007" w:rsidRPr="00576007">
                              <w:rPr>
                                <w:rFonts w:asciiTheme="majorHAnsi" w:hAnsiTheme="majorHAnsi"/>
                                <w:color w:val="595959" w:themeColor="text1" w:themeTint="A6"/>
                                <w:sz w:val="18"/>
                                <w:szCs w:val="18"/>
                                <w:lang w:val="pt-BR"/>
                              </w:rPr>
                              <w:t>119</w:t>
                            </w:r>
                            <w:r w:rsidR="007B05C4" w:rsidRPr="00576007">
                              <w:rPr>
                                <w:rFonts w:asciiTheme="majorHAnsi" w:hAnsiTheme="majorHAnsi"/>
                                <w:color w:val="595959" w:themeColor="text1" w:themeTint="A6"/>
                                <w:sz w:val="18"/>
                                <w:szCs w:val="18"/>
                                <w:lang w:val="pt-BR"/>
                              </w:rPr>
                              <w:t>/</w:t>
                            </w:r>
                            <w:r w:rsidR="00576007" w:rsidRPr="00576007">
                              <w:rPr>
                                <w:rFonts w:asciiTheme="majorHAnsi" w:hAnsiTheme="majorHAnsi"/>
                                <w:color w:val="595959" w:themeColor="text1" w:themeTint="A6"/>
                                <w:sz w:val="18"/>
                                <w:szCs w:val="18"/>
                                <w:lang w:val="pt-BR"/>
                              </w:rPr>
                              <w:t>20</w:t>
                            </w:r>
                            <w:r w:rsidRPr="00576007">
                              <w:rPr>
                                <w:rFonts w:asciiTheme="majorHAnsi" w:hAnsiTheme="majorHAnsi"/>
                                <w:color w:val="595959" w:themeColor="text1" w:themeTint="A6"/>
                                <w:sz w:val="18"/>
                                <w:szCs w:val="18"/>
                                <w:lang w:val="pt-BR"/>
                              </w:rPr>
                              <w:t xml:space="preserve">. </w:t>
                            </w:r>
                            <w:r w:rsidR="006953E1">
                              <w:rPr>
                                <w:rFonts w:asciiTheme="majorHAnsi" w:hAnsiTheme="majorHAnsi"/>
                                <w:color w:val="595959" w:themeColor="text1" w:themeTint="A6"/>
                                <w:sz w:val="18"/>
                                <w:szCs w:val="18"/>
                                <w:lang w:val="pt-BR"/>
                              </w:rPr>
                              <w:t xml:space="preserve">Petición 596-09. </w:t>
                            </w:r>
                            <w:r w:rsidRPr="00890650">
                              <w:rPr>
                                <w:rFonts w:asciiTheme="majorHAnsi" w:hAnsiTheme="majorHAnsi"/>
                                <w:color w:val="595959" w:themeColor="text1" w:themeTint="A6"/>
                                <w:sz w:val="18"/>
                                <w:szCs w:val="18"/>
                                <w:lang w:val="es-ES_tradnl"/>
                              </w:rPr>
                              <w:t xml:space="preserve">Admisibilidad. </w:t>
                            </w:r>
                            <w:r w:rsidR="00A86D0B">
                              <w:rPr>
                                <w:rFonts w:asciiTheme="majorHAnsi" w:hAnsiTheme="majorHAnsi"/>
                                <w:color w:val="595959" w:themeColor="text1" w:themeTint="A6"/>
                                <w:sz w:val="18"/>
                                <w:szCs w:val="18"/>
                                <w:lang w:val="es-ES_tradnl"/>
                              </w:rPr>
                              <w:t>Ricardo Martinez Rico y familia</w:t>
                            </w:r>
                            <w:r w:rsidRPr="00890650">
                              <w:rPr>
                                <w:rFonts w:asciiTheme="majorHAnsi" w:hAnsiTheme="majorHAnsi"/>
                                <w:color w:val="595959" w:themeColor="text1" w:themeTint="A6"/>
                                <w:sz w:val="18"/>
                                <w:szCs w:val="18"/>
                                <w:lang w:val="es-ES_tradnl"/>
                              </w:rPr>
                              <w:t xml:space="preserve">. </w:t>
                            </w:r>
                            <w:r w:rsidR="00A86D0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76007">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6D489E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76007" w:rsidRPr="00576007">
                        <w:rPr>
                          <w:rFonts w:asciiTheme="majorHAnsi" w:hAnsiTheme="majorHAnsi"/>
                          <w:color w:val="595959" w:themeColor="text1" w:themeTint="A6"/>
                          <w:sz w:val="18"/>
                          <w:szCs w:val="18"/>
                          <w:lang w:val="pt-BR"/>
                        </w:rPr>
                        <w:t>119</w:t>
                      </w:r>
                      <w:r w:rsidR="007B05C4" w:rsidRPr="00576007">
                        <w:rPr>
                          <w:rFonts w:asciiTheme="majorHAnsi" w:hAnsiTheme="majorHAnsi"/>
                          <w:color w:val="595959" w:themeColor="text1" w:themeTint="A6"/>
                          <w:sz w:val="18"/>
                          <w:szCs w:val="18"/>
                          <w:lang w:val="pt-BR"/>
                        </w:rPr>
                        <w:t>/</w:t>
                      </w:r>
                      <w:r w:rsidR="00576007" w:rsidRPr="00576007">
                        <w:rPr>
                          <w:rFonts w:asciiTheme="majorHAnsi" w:hAnsiTheme="majorHAnsi"/>
                          <w:color w:val="595959" w:themeColor="text1" w:themeTint="A6"/>
                          <w:sz w:val="18"/>
                          <w:szCs w:val="18"/>
                          <w:lang w:val="pt-BR"/>
                        </w:rPr>
                        <w:t>20</w:t>
                      </w:r>
                      <w:r w:rsidRPr="00576007">
                        <w:rPr>
                          <w:rFonts w:asciiTheme="majorHAnsi" w:hAnsiTheme="majorHAnsi"/>
                          <w:color w:val="595959" w:themeColor="text1" w:themeTint="A6"/>
                          <w:sz w:val="18"/>
                          <w:szCs w:val="18"/>
                          <w:lang w:val="pt-BR"/>
                        </w:rPr>
                        <w:t xml:space="preserve">. </w:t>
                      </w:r>
                      <w:r w:rsidR="006953E1">
                        <w:rPr>
                          <w:rFonts w:asciiTheme="majorHAnsi" w:hAnsiTheme="majorHAnsi"/>
                          <w:color w:val="595959" w:themeColor="text1" w:themeTint="A6"/>
                          <w:sz w:val="18"/>
                          <w:szCs w:val="18"/>
                          <w:lang w:val="pt-BR"/>
                        </w:rPr>
                        <w:t xml:space="preserve">Petición 596-09. </w:t>
                      </w:r>
                      <w:r w:rsidRPr="00890650">
                        <w:rPr>
                          <w:rFonts w:asciiTheme="majorHAnsi" w:hAnsiTheme="majorHAnsi"/>
                          <w:color w:val="595959" w:themeColor="text1" w:themeTint="A6"/>
                          <w:sz w:val="18"/>
                          <w:szCs w:val="18"/>
                          <w:lang w:val="es-ES_tradnl"/>
                        </w:rPr>
                        <w:t xml:space="preserve">Admisibilidad. </w:t>
                      </w:r>
                      <w:r w:rsidR="00A86D0B">
                        <w:rPr>
                          <w:rFonts w:asciiTheme="majorHAnsi" w:hAnsiTheme="majorHAnsi"/>
                          <w:color w:val="595959" w:themeColor="text1" w:themeTint="A6"/>
                          <w:sz w:val="18"/>
                          <w:szCs w:val="18"/>
                          <w:lang w:val="es-ES_tradnl"/>
                        </w:rPr>
                        <w:t>Ricardo Martinez Rico y familia</w:t>
                      </w:r>
                      <w:r w:rsidRPr="00890650">
                        <w:rPr>
                          <w:rFonts w:asciiTheme="majorHAnsi" w:hAnsiTheme="majorHAnsi"/>
                          <w:color w:val="595959" w:themeColor="text1" w:themeTint="A6"/>
                          <w:sz w:val="18"/>
                          <w:szCs w:val="18"/>
                          <w:lang w:val="es-ES_tradnl"/>
                        </w:rPr>
                        <w:t xml:space="preserve">. </w:t>
                      </w:r>
                      <w:r w:rsidR="00A86D0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76007">
                        <w:rPr>
                          <w:rFonts w:asciiTheme="majorHAnsi" w:hAnsiTheme="majorHAnsi"/>
                          <w:color w:val="595959" w:themeColor="text1" w:themeTint="A6"/>
                          <w:sz w:val="18"/>
                          <w:szCs w:val="18"/>
                          <w:lang w:val="es-ES"/>
                        </w:rPr>
                        <w:t>25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12360B" w:rsidRDefault="00A50FCF" w:rsidP="00040C3A">
      <w:pPr>
        <w:tabs>
          <w:tab w:val="center" w:pos="5400"/>
        </w:tabs>
        <w:suppressAutoHyphens/>
        <w:jc w:val="center"/>
        <w:rPr>
          <w:rFonts w:asciiTheme="majorHAnsi" w:hAnsiTheme="majorHAnsi"/>
          <w:sz w:val="18"/>
          <w:szCs w:val="22"/>
          <w:lang w:val="es-ES"/>
        </w:rPr>
      </w:pPr>
    </w:p>
    <w:p w14:paraId="1DA07629" w14:textId="5C7D1CB1" w:rsidR="0090270B" w:rsidRPr="0012360B" w:rsidRDefault="00D306D1" w:rsidP="005516A1">
      <w:pPr>
        <w:tabs>
          <w:tab w:val="center" w:pos="5400"/>
        </w:tabs>
        <w:suppressAutoHyphens/>
        <w:jc w:val="center"/>
        <w:rPr>
          <w:rFonts w:asciiTheme="majorHAnsi" w:hAnsiTheme="majorHAnsi"/>
          <w:b/>
          <w:sz w:val="20"/>
          <w:lang w:val="es-ES"/>
        </w:rPr>
      </w:pPr>
      <w:r w:rsidRPr="0012360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AF46AF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6C29C06" w:rsidR="0070697F" w:rsidRPr="0012360B" w:rsidRDefault="00576007" w:rsidP="005516A1">
      <w:pPr>
        <w:tabs>
          <w:tab w:val="center" w:pos="5400"/>
        </w:tabs>
        <w:suppressAutoHyphens/>
        <w:jc w:val="center"/>
        <w:rPr>
          <w:rFonts w:asciiTheme="majorHAnsi" w:hAnsiTheme="majorHAnsi"/>
          <w:b/>
          <w:sz w:val="20"/>
          <w:lang w:val="es-ES"/>
        </w:rPr>
        <w:sectPr w:rsidR="0070697F" w:rsidRPr="0012360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2360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BAEC8F4">
                <wp:simplePos x="0" y="0"/>
                <wp:positionH relativeFrom="column">
                  <wp:posOffset>1317171</wp:posOffset>
                </wp:positionH>
                <wp:positionV relativeFrom="paragraph">
                  <wp:posOffset>511992</wp:posOffset>
                </wp:positionV>
                <wp:extent cx="4016829" cy="620940"/>
                <wp:effectExtent l="0" t="0" r="3175" b="8255"/>
                <wp:wrapNone/>
                <wp:docPr id="9" name="Text Box 9"/>
                <wp:cNvGraphicFramePr/>
                <a:graphic xmlns:a="http://schemas.openxmlformats.org/drawingml/2006/main">
                  <a:graphicData uri="http://schemas.microsoft.com/office/word/2010/wordprocessingShape">
                    <wps:wsp>
                      <wps:cNvSpPr txBox="1"/>
                      <wps:spPr>
                        <a:xfrm>
                          <a:off x="0" y="0"/>
                          <a:ext cx="4016829" cy="620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3.7pt;margin-top:40.3pt;width:316.3pt;height:4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12360B">
        <w:rPr>
          <w:rFonts w:asciiTheme="majorHAnsi" w:hAnsiTheme="majorHAnsi"/>
          <w:b/>
          <w:sz w:val="20"/>
          <w:lang w:val="es-ES"/>
        </w:rPr>
        <w:tab/>
      </w:r>
    </w:p>
    <w:p w14:paraId="376DDC8B" w14:textId="77777777" w:rsidR="003239B8" w:rsidRPr="0012360B" w:rsidRDefault="003239B8" w:rsidP="007C402A">
      <w:pPr>
        <w:spacing w:after="120"/>
        <w:ind w:firstLine="720"/>
        <w:jc w:val="both"/>
        <w:rPr>
          <w:rFonts w:asciiTheme="majorHAnsi" w:hAnsiTheme="majorHAnsi"/>
          <w:b/>
          <w:bCs/>
          <w:sz w:val="20"/>
          <w:szCs w:val="20"/>
          <w:lang w:val="es-ES"/>
        </w:rPr>
      </w:pPr>
      <w:r w:rsidRPr="0012360B">
        <w:rPr>
          <w:rFonts w:asciiTheme="majorHAnsi" w:hAnsiTheme="majorHAnsi"/>
          <w:b/>
          <w:bCs/>
          <w:sz w:val="20"/>
          <w:szCs w:val="20"/>
          <w:lang w:val="es-ES"/>
        </w:rPr>
        <w:lastRenderedPageBreak/>
        <w:t>I.</w:t>
      </w:r>
      <w:r w:rsidRPr="0012360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2360B"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12360B" w:rsidRDefault="00D77503" w:rsidP="003A7F56">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Parte peticionaria</w:t>
            </w:r>
          </w:p>
        </w:tc>
        <w:tc>
          <w:tcPr>
            <w:tcW w:w="6570" w:type="dxa"/>
            <w:vAlign w:val="center"/>
          </w:tcPr>
          <w:p w14:paraId="3C5315D8" w14:textId="2C094AD8" w:rsidR="003239B8" w:rsidRPr="0012360B" w:rsidRDefault="00836BB1" w:rsidP="00CB6A65">
            <w:pPr>
              <w:jc w:val="both"/>
              <w:rPr>
                <w:rFonts w:asciiTheme="majorHAnsi" w:hAnsiTheme="majorHAnsi"/>
                <w:bCs/>
                <w:sz w:val="19"/>
                <w:szCs w:val="19"/>
                <w:lang w:val="es-ES"/>
              </w:rPr>
            </w:pPr>
            <w:r w:rsidRPr="0012360B">
              <w:rPr>
                <w:rFonts w:asciiTheme="majorHAnsi" w:hAnsiTheme="majorHAnsi"/>
                <w:bCs/>
                <w:sz w:val="19"/>
                <w:szCs w:val="19"/>
                <w:lang w:val="es-ES"/>
              </w:rPr>
              <w:t>Miguel Piñeros Rey</w:t>
            </w:r>
          </w:p>
        </w:tc>
      </w:tr>
      <w:tr w:rsidR="003239B8" w:rsidRPr="00D948D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12360B" w:rsidRDefault="002355A9" w:rsidP="003A7F56">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Presunta víctima</w:t>
            </w:r>
          </w:p>
        </w:tc>
        <w:tc>
          <w:tcPr>
            <w:tcW w:w="6570" w:type="dxa"/>
            <w:vAlign w:val="center"/>
          </w:tcPr>
          <w:p w14:paraId="4AEBF59E" w14:textId="7122A3B0" w:rsidR="003239B8" w:rsidRPr="0012360B" w:rsidRDefault="00B926EA" w:rsidP="00A86D0B">
            <w:pPr>
              <w:jc w:val="both"/>
              <w:rPr>
                <w:rFonts w:asciiTheme="majorHAnsi" w:hAnsiTheme="majorHAnsi"/>
                <w:bCs/>
                <w:sz w:val="19"/>
                <w:szCs w:val="19"/>
                <w:lang w:val="es-ES"/>
              </w:rPr>
            </w:pPr>
            <w:r w:rsidRPr="0012360B">
              <w:rPr>
                <w:rFonts w:asciiTheme="majorHAnsi" w:hAnsiTheme="majorHAnsi"/>
                <w:bCs/>
                <w:sz w:val="19"/>
                <w:szCs w:val="19"/>
                <w:lang w:val="es-ES"/>
              </w:rPr>
              <w:t xml:space="preserve">Ricardo Martínez Rico </w:t>
            </w:r>
            <w:r w:rsidR="00836BB1" w:rsidRPr="0012360B">
              <w:rPr>
                <w:rFonts w:asciiTheme="majorHAnsi" w:hAnsiTheme="majorHAnsi"/>
                <w:bCs/>
                <w:sz w:val="19"/>
                <w:szCs w:val="19"/>
                <w:lang w:val="es-ES"/>
              </w:rPr>
              <w:t>y familia</w:t>
            </w:r>
            <w:r w:rsidR="00836BB1" w:rsidRPr="0012360B">
              <w:rPr>
                <w:rStyle w:val="FootnoteReference"/>
                <w:rFonts w:asciiTheme="majorHAnsi" w:hAnsiTheme="majorHAnsi"/>
                <w:bCs/>
                <w:sz w:val="19"/>
                <w:szCs w:val="19"/>
                <w:lang w:val="es-ES"/>
              </w:rPr>
              <w:footnoteReference w:id="2"/>
            </w:r>
          </w:p>
        </w:tc>
      </w:tr>
      <w:tr w:rsidR="003239B8" w:rsidRPr="0012360B"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12360B" w:rsidRDefault="00D77503" w:rsidP="003A7F56">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Estado denunciado</w:t>
            </w:r>
          </w:p>
        </w:tc>
        <w:tc>
          <w:tcPr>
            <w:tcW w:w="6570" w:type="dxa"/>
            <w:vAlign w:val="center"/>
          </w:tcPr>
          <w:p w14:paraId="274C8A50" w14:textId="4955283E" w:rsidR="003239B8" w:rsidRPr="0012360B" w:rsidRDefault="00AA3DAB" w:rsidP="00B41422">
            <w:pPr>
              <w:jc w:val="both"/>
              <w:rPr>
                <w:rFonts w:asciiTheme="majorHAnsi" w:hAnsiTheme="majorHAnsi"/>
                <w:bCs/>
                <w:sz w:val="19"/>
                <w:szCs w:val="19"/>
                <w:lang w:val="es-ES"/>
              </w:rPr>
            </w:pPr>
            <w:r w:rsidRPr="0012360B">
              <w:rPr>
                <w:rFonts w:asciiTheme="majorHAnsi" w:hAnsiTheme="majorHAnsi"/>
                <w:bCs/>
                <w:sz w:val="19"/>
                <w:szCs w:val="19"/>
                <w:lang w:val="es-ES"/>
              </w:rPr>
              <w:t>Colombia</w:t>
            </w:r>
          </w:p>
        </w:tc>
      </w:tr>
      <w:tr w:rsidR="00223A29" w:rsidRPr="00D948D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12360B" w:rsidRDefault="001B3A00" w:rsidP="00E4118C">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 xml:space="preserve">Derechos </w:t>
            </w:r>
            <w:r w:rsidR="00E4118C" w:rsidRPr="0012360B">
              <w:rPr>
                <w:rFonts w:asciiTheme="majorHAnsi" w:hAnsiTheme="majorHAnsi"/>
                <w:bCs/>
                <w:color w:val="FFFFFF" w:themeColor="background1"/>
                <w:sz w:val="19"/>
                <w:szCs w:val="19"/>
                <w:lang w:val="es-ES"/>
              </w:rPr>
              <w:t>invocados</w:t>
            </w:r>
          </w:p>
        </w:tc>
        <w:tc>
          <w:tcPr>
            <w:tcW w:w="6570" w:type="dxa"/>
            <w:vAlign w:val="center"/>
          </w:tcPr>
          <w:p w14:paraId="6DEE1EEB" w14:textId="7AB18D8B" w:rsidR="00223A29" w:rsidRPr="0012360B" w:rsidRDefault="00BF514A" w:rsidP="00A10BC4">
            <w:pPr>
              <w:jc w:val="both"/>
              <w:rPr>
                <w:rFonts w:asciiTheme="majorHAnsi" w:hAnsiTheme="majorHAnsi"/>
                <w:bCs/>
                <w:sz w:val="19"/>
                <w:szCs w:val="19"/>
                <w:lang w:val="es-ES"/>
              </w:rPr>
            </w:pPr>
            <w:r w:rsidRPr="0012360B">
              <w:rPr>
                <w:rFonts w:asciiTheme="majorHAnsi" w:hAnsiTheme="majorHAnsi"/>
                <w:bCs/>
                <w:sz w:val="19"/>
                <w:szCs w:val="19"/>
                <w:lang w:val="es-ES"/>
              </w:rPr>
              <w:t>Artículos</w:t>
            </w:r>
            <w:r w:rsidR="00AA3DAB" w:rsidRPr="0012360B">
              <w:rPr>
                <w:rFonts w:asciiTheme="majorHAnsi" w:hAnsiTheme="majorHAnsi"/>
                <w:bCs/>
                <w:sz w:val="19"/>
                <w:szCs w:val="19"/>
                <w:lang w:val="es-ES"/>
              </w:rPr>
              <w:t xml:space="preserve"> 4 (vida), 5 (integridad personal),</w:t>
            </w:r>
            <w:r w:rsidRPr="0012360B">
              <w:rPr>
                <w:rFonts w:asciiTheme="majorHAnsi" w:hAnsiTheme="majorHAnsi"/>
                <w:bCs/>
                <w:sz w:val="19"/>
                <w:szCs w:val="19"/>
                <w:lang w:val="es-ES"/>
              </w:rPr>
              <w:t xml:space="preserve"> </w:t>
            </w:r>
            <w:r w:rsidR="00F757BE" w:rsidRPr="0012360B">
              <w:rPr>
                <w:rFonts w:asciiTheme="majorHAnsi" w:hAnsiTheme="majorHAnsi"/>
                <w:bCs/>
                <w:sz w:val="19"/>
                <w:szCs w:val="19"/>
                <w:lang w:val="es-ES"/>
              </w:rPr>
              <w:t>8 (garantías judiciales)</w:t>
            </w:r>
            <w:r w:rsidR="00AA3DAB" w:rsidRPr="0012360B">
              <w:rPr>
                <w:rFonts w:asciiTheme="majorHAnsi" w:hAnsiTheme="majorHAnsi"/>
                <w:bCs/>
                <w:sz w:val="19"/>
                <w:szCs w:val="19"/>
                <w:lang w:val="es-ES"/>
              </w:rPr>
              <w:t>, 10 (indemnización),</w:t>
            </w:r>
            <w:r w:rsidR="00F757BE" w:rsidRPr="0012360B">
              <w:rPr>
                <w:rFonts w:asciiTheme="majorHAnsi" w:hAnsiTheme="majorHAnsi"/>
                <w:bCs/>
                <w:sz w:val="19"/>
                <w:szCs w:val="19"/>
                <w:lang w:val="es-ES"/>
              </w:rPr>
              <w:t xml:space="preserve"> </w:t>
            </w:r>
            <w:r w:rsidR="00AA3DAB" w:rsidRPr="0012360B">
              <w:rPr>
                <w:rFonts w:asciiTheme="majorHAnsi" w:hAnsiTheme="majorHAnsi"/>
                <w:bCs/>
                <w:sz w:val="19"/>
                <w:szCs w:val="19"/>
                <w:lang w:val="es-ES"/>
              </w:rPr>
              <w:t xml:space="preserve">17 </w:t>
            </w:r>
            <w:r w:rsidR="003E368C" w:rsidRPr="0012360B">
              <w:rPr>
                <w:rFonts w:asciiTheme="majorHAnsi" w:hAnsiTheme="majorHAnsi"/>
                <w:bCs/>
                <w:sz w:val="19"/>
                <w:szCs w:val="19"/>
                <w:lang w:val="es-ES"/>
              </w:rPr>
              <w:t>(protección a la familia), 22 (</w:t>
            </w:r>
            <w:r w:rsidR="00AA3DAB" w:rsidRPr="0012360B">
              <w:rPr>
                <w:rFonts w:asciiTheme="majorHAnsi" w:hAnsiTheme="majorHAnsi"/>
                <w:bCs/>
                <w:sz w:val="19"/>
                <w:szCs w:val="19"/>
                <w:lang w:val="es-ES"/>
              </w:rPr>
              <w:t>de circulación y residencia),  24 (igualdad ante la ley)</w:t>
            </w:r>
            <w:r w:rsidR="00A10BC4" w:rsidRPr="0012360B">
              <w:rPr>
                <w:rFonts w:asciiTheme="majorHAnsi" w:hAnsiTheme="majorHAnsi"/>
                <w:bCs/>
                <w:sz w:val="19"/>
                <w:szCs w:val="19"/>
                <w:lang w:val="es-ES"/>
              </w:rPr>
              <w:t>,</w:t>
            </w:r>
            <w:r w:rsidR="00AA3DAB" w:rsidRPr="0012360B">
              <w:rPr>
                <w:rFonts w:asciiTheme="majorHAnsi" w:hAnsiTheme="majorHAnsi"/>
                <w:bCs/>
                <w:sz w:val="19"/>
                <w:szCs w:val="19"/>
                <w:lang w:val="es-ES"/>
              </w:rPr>
              <w:t xml:space="preserve"> </w:t>
            </w:r>
            <w:r w:rsidR="004561BB" w:rsidRPr="0012360B">
              <w:rPr>
                <w:rFonts w:asciiTheme="majorHAnsi" w:hAnsiTheme="majorHAnsi"/>
                <w:bCs/>
                <w:sz w:val="19"/>
                <w:szCs w:val="19"/>
                <w:lang w:val="es-ES"/>
              </w:rPr>
              <w:t>25</w:t>
            </w:r>
            <w:r w:rsidR="00F757BE" w:rsidRPr="0012360B">
              <w:rPr>
                <w:rFonts w:asciiTheme="majorHAnsi" w:hAnsiTheme="majorHAnsi"/>
                <w:bCs/>
                <w:sz w:val="19"/>
                <w:szCs w:val="19"/>
                <w:lang w:val="es-ES"/>
              </w:rPr>
              <w:t xml:space="preserve"> (protección judicial)</w:t>
            </w:r>
            <w:r w:rsidR="004561BB" w:rsidRPr="0012360B">
              <w:rPr>
                <w:rFonts w:asciiTheme="majorHAnsi" w:hAnsiTheme="majorHAnsi"/>
                <w:bCs/>
                <w:sz w:val="19"/>
                <w:szCs w:val="19"/>
                <w:lang w:val="es-ES"/>
              </w:rPr>
              <w:t xml:space="preserve"> en relación </w:t>
            </w:r>
            <w:r w:rsidR="00F757BE" w:rsidRPr="0012360B">
              <w:rPr>
                <w:rFonts w:asciiTheme="majorHAnsi" w:hAnsiTheme="majorHAnsi"/>
                <w:bCs/>
                <w:sz w:val="19"/>
                <w:szCs w:val="19"/>
                <w:lang w:val="es-ES"/>
              </w:rPr>
              <w:t>con sus</w:t>
            </w:r>
            <w:r w:rsidR="004561BB" w:rsidRPr="0012360B">
              <w:rPr>
                <w:rFonts w:asciiTheme="majorHAnsi" w:hAnsiTheme="majorHAnsi"/>
                <w:bCs/>
                <w:sz w:val="19"/>
                <w:szCs w:val="19"/>
                <w:lang w:val="es-ES"/>
              </w:rPr>
              <w:t xml:space="preserve"> artículos 1.1 </w:t>
            </w:r>
            <w:r w:rsidR="00F757BE" w:rsidRPr="0012360B">
              <w:rPr>
                <w:rFonts w:asciiTheme="majorHAnsi" w:hAnsiTheme="majorHAnsi"/>
                <w:bCs/>
                <w:sz w:val="19"/>
                <w:szCs w:val="19"/>
                <w:lang w:val="es-ES"/>
              </w:rPr>
              <w:t xml:space="preserve">(obligación de respetar los derechos) </w:t>
            </w:r>
            <w:r w:rsidRPr="0012360B">
              <w:rPr>
                <w:rFonts w:asciiTheme="majorHAnsi" w:hAnsiTheme="majorHAnsi"/>
                <w:bCs/>
                <w:sz w:val="19"/>
                <w:szCs w:val="19"/>
                <w:lang w:val="es-ES"/>
              </w:rPr>
              <w:t>de la Convención Americana sobre Derechos Humanos</w:t>
            </w:r>
            <w:r w:rsidRPr="0012360B">
              <w:rPr>
                <w:rStyle w:val="FootnoteReference"/>
                <w:rFonts w:asciiTheme="majorHAnsi" w:hAnsiTheme="majorHAnsi"/>
                <w:bCs/>
                <w:sz w:val="19"/>
                <w:szCs w:val="19"/>
                <w:lang w:val="es-ES"/>
              </w:rPr>
              <w:footnoteReference w:id="3"/>
            </w:r>
            <w:r w:rsidR="00A10BC4" w:rsidRPr="0012360B">
              <w:rPr>
                <w:rFonts w:asciiTheme="majorHAnsi" w:hAnsiTheme="majorHAnsi"/>
                <w:bCs/>
                <w:sz w:val="19"/>
                <w:szCs w:val="19"/>
                <w:lang w:val="es-ES"/>
              </w:rPr>
              <w:t>; artículos I (vida, libertad, seguridad e integridad), II (igualdad ante la ley), VIII (de residencia y tránsito), XI (a la preservación de la salud y el bienestar) y  XVIII (de justicia) de la Declaración Americana de los Derechos y Deberes del Hombre</w:t>
            </w:r>
            <w:r w:rsidR="00A10BC4" w:rsidRPr="0012360B">
              <w:rPr>
                <w:rStyle w:val="FootnoteReference"/>
                <w:rFonts w:asciiTheme="majorHAnsi" w:hAnsiTheme="majorHAnsi"/>
                <w:bCs/>
                <w:sz w:val="19"/>
                <w:szCs w:val="19"/>
                <w:lang w:val="es-ES"/>
              </w:rPr>
              <w:footnoteReference w:id="4"/>
            </w:r>
          </w:p>
        </w:tc>
      </w:tr>
    </w:tbl>
    <w:p w14:paraId="20263696" w14:textId="77777777" w:rsidR="003239B8" w:rsidRPr="0012360B" w:rsidRDefault="003239B8" w:rsidP="007C402A">
      <w:pPr>
        <w:spacing w:before="120" w:after="120"/>
        <w:ind w:firstLine="720"/>
        <w:jc w:val="both"/>
        <w:rPr>
          <w:rFonts w:asciiTheme="majorHAnsi" w:hAnsiTheme="majorHAnsi"/>
          <w:b/>
          <w:bCs/>
          <w:sz w:val="20"/>
          <w:szCs w:val="20"/>
          <w:lang w:val="es-ES"/>
        </w:rPr>
      </w:pPr>
      <w:r w:rsidRPr="0012360B">
        <w:rPr>
          <w:rFonts w:asciiTheme="majorHAnsi" w:hAnsiTheme="majorHAnsi"/>
          <w:b/>
          <w:bCs/>
          <w:sz w:val="20"/>
          <w:szCs w:val="20"/>
          <w:lang w:val="es-ES"/>
        </w:rPr>
        <w:t>II.</w:t>
      </w:r>
      <w:r w:rsidRPr="0012360B">
        <w:rPr>
          <w:rFonts w:asciiTheme="majorHAnsi" w:hAnsiTheme="majorHAnsi"/>
          <w:b/>
          <w:bCs/>
          <w:sz w:val="20"/>
          <w:szCs w:val="20"/>
          <w:lang w:val="es-ES"/>
        </w:rPr>
        <w:tab/>
        <w:t>TRÁMITE ANTE LA CIDH</w:t>
      </w:r>
      <w:r w:rsidR="008E3BFE" w:rsidRPr="0012360B">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2360B"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12360B" w:rsidRDefault="000C1C69" w:rsidP="004A6A54">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Recepción</w:t>
            </w:r>
            <w:r w:rsidR="00D77503" w:rsidRPr="0012360B">
              <w:rPr>
                <w:rFonts w:asciiTheme="majorHAnsi" w:hAnsiTheme="majorHAnsi"/>
                <w:bCs/>
                <w:color w:val="FFFFFF" w:themeColor="background1"/>
                <w:sz w:val="19"/>
                <w:szCs w:val="19"/>
                <w:lang w:val="es-ES"/>
              </w:rPr>
              <w:t xml:space="preserve"> de la petición</w:t>
            </w:r>
          </w:p>
        </w:tc>
        <w:tc>
          <w:tcPr>
            <w:tcW w:w="6570" w:type="dxa"/>
            <w:vAlign w:val="center"/>
          </w:tcPr>
          <w:p w14:paraId="6E579153" w14:textId="7E8251BF" w:rsidR="004C2312" w:rsidRPr="0012360B" w:rsidRDefault="0022167C" w:rsidP="003A7F56">
            <w:pPr>
              <w:jc w:val="both"/>
              <w:rPr>
                <w:rFonts w:asciiTheme="majorHAnsi" w:hAnsiTheme="majorHAnsi"/>
                <w:bCs/>
                <w:sz w:val="19"/>
                <w:szCs w:val="19"/>
                <w:lang w:val="es-ES"/>
              </w:rPr>
            </w:pPr>
            <w:r w:rsidRPr="0012360B">
              <w:rPr>
                <w:rFonts w:asciiTheme="majorHAnsi" w:hAnsiTheme="majorHAnsi"/>
                <w:bCs/>
                <w:sz w:val="19"/>
                <w:szCs w:val="19"/>
                <w:lang w:val="es-ES"/>
              </w:rPr>
              <w:t>15 de mayo de 2009</w:t>
            </w:r>
          </w:p>
        </w:tc>
      </w:tr>
      <w:tr w:rsidR="006E772A" w:rsidRPr="0012360B"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12360B" w:rsidRDefault="006E772A" w:rsidP="004A6A54">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 xml:space="preserve">Información adicional </w:t>
            </w:r>
            <w:r w:rsidR="002355A9" w:rsidRPr="0012360B">
              <w:rPr>
                <w:rFonts w:asciiTheme="majorHAnsi" w:hAnsiTheme="majorHAnsi"/>
                <w:bCs/>
                <w:color w:val="FFFFFF" w:themeColor="background1"/>
                <w:sz w:val="19"/>
                <w:szCs w:val="19"/>
                <w:lang w:val="es-ES"/>
              </w:rPr>
              <w:t>recibida en la etapa de estudio</w:t>
            </w:r>
          </w:p>
        </w:tc>
        <w:tc>
          <w:tcPr>
            <w:tcW w:w="6570" w:type="dxa"/>
            <w:vAlign w:val="center"/>
          </w:tcPr>
          <w:p w14:paraId="796669C8" w14:textId="77591971" w:rsidR="006E772A" w:rsidRPr="0012360B" w:rsidRDefault="00C740BF" w:rsidP="003A7F56">
            <w:pPr>
              <w:jc w:val="both"/>
              <w:rPr>
                <w:rFonts w:asciiTheme="majorHAnsi" w:hAnsiTheme="majorHAnsi"/>
                <w:bCs/>
                <w:sz w:val="19"/>
                <w:szCs w:val="19"/>
                <w:lang w:val="es-ES"/>
              </w:rPr>
            </w:pPr>
            <w:r w:rsidRPr="0012360B">
              <w:rPr>
                <w:rFonts w:asciiTheme="majorHAnsi" w:hAnsiTheme="majorHAnsi"/>
                <w:bCs/>
                <w:sz w:val="19"/>
                <w:szCs w:val="19"/>
                <w:lang w:val="es-ES"/>
              </w:rPr>
              <w:t>21 de marzo de 2012</w:t>
            </w:r>
          </w:p>
        </w:tc>
      </w:tr>
      <w:tr w:rsidR="004C2312" w:rsidRPr="0012360B"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12360B" w:rsidRDefault="004A6A54" w:rsidP="000C1C69">
            <w:pPr>
              <w:jc w:val="center"/>
              <w:rPr>
                <w:rFonts w:asciiTheme="majorHAnsi" w:hAnsiTheme="majorHAnsi"/>
                <w:bCs/>
                <w:color w:val="FFFFFF" w:themeColor="background1"/>
                <w:sz w:val="19"/>
                <w:szCs w:val="19"/>
                <w:lang w:val="es-ES"/>
              </w:rPr>
            </w:pPr>
            <w:r w:rsidRPr="0012360B">
              <w:rPr>
                <w:rFonts w:asciiTheme="majorHAnsi" w:hAnsiTheme="majorHAnsi"/>
                <w:color w:val="FFFFFF" w:themeColor="background1"/>
                <w:sz w:val="19"/>
                <w:szCs w:val="19"/>
                <w:lang w:val="es-ES"/>
              </w:rPr>
              <w:t>N</w:t>
            </w:r>
            <w:r w:rsidR="004C2312" w:rsidRPr="0012360B">
              <w:rPr>
                <w:rFonts w:asciiTheme="majorHAnsi" w:hAnsiTheme="majorHAnsi"/>
                <w:color w:val="FFFFFF" w:themeColor="background1"/>
                <w:sz w:val="19"/>
                <w:szCs w:val="19"/>
                <w:lang w:val="es-ES"/>
              </w:rPr>
              <w:t>otificación de la petición</w:t>
            </w:r>
          </w:p>
        </w:tc>
        <w:tc>
          <w:tcPr>
            <w:tcW w:w="6570" w:type="dxa"/>
            <w:vAlign w:val="center"/>
          </w:tcPr>
          <w:p w14:paraId="1519DA6A" w14:textId="68DD0767" w:rsidR="004C2312" w:rsidRPr="0012360B" w:rsidRDefault="0012360B" w:rsidP="003A7F56">
            <w:pPr>
              <w:jc w:val="both"/>
              <w:rPr>
                <w:rFonts w:asciiTheme="majorHAnsi" w:hAnsiTheme="majorHAnsi"/>
                <w:bCs/>
                <w:sz w:val="19"/>
                <w:szCs w:val="19"/>
                <w:lang w:val="es-ES"/>
              </w:rPr>
            </w:pPr>
            <w:r w:rsidRPr="0012360B">
              <w:rPr>
                <w:rFonts w:asciiTheme="majorHAnsi" w:hAnsiTheme="majorHAnsi"/>
                <w:bCs/>
                <w:sz w:val="19"/>
                <w:szCs w:val="19"/>
                <w:lang w:val="es-ES"/>
              </w:rPr>
              <w:t>1 de mayo de 2014</w:t>
            </w:r>
          </w:p>
        </w:tc>
      </w:tr>
      <w:tr w:rsidR="00F06354" w:rsidRPr="0012360B"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12360B" w:rsidRDefault="00D77503" w:rsidP="00F06354">
            <w:pPr>
              <w:jc w:val="center"/>
              <w:rPr>
                <w:rFonts w:asciiTheme="majorHAnsi" w:hAnsiTheme="majorHAnsi"/>
                <w:bCs/>
                <w:color w:val="FFFFFF" w:themeColor="background1"/>
                <w:sz w:val="19"/>
                <w:szCs w:val="19"/>
                <w:lang w:val="es-ES"/>
              </w:rPr>
            </w:pPr>
            <w:r w:rsidRPr="0012360B">
              <w:rPr>
                <w:rFonts w:asciiTheme="majorHAnsi" w:hAnsiTheme="majorHAnsi"/>
                <w:color w:val="FFFFFF" w:themeColor="background1"/>
                <w:sz w:val="19"/>
                <w:szCs w:val="19"/>
                <w:lang w:val="es-ES"/>
              </w:rPr>
              <w:t>Primera respuesta del Estado</w:t>
            </w:r>
          </w:p>
        </w:tc>
        <w:tc>
          <w:tcPr>
            <w:tcW w:w="6570" w:type="dxa"/>
            <w:vAlign w:val="center"/>
          </w:tcPr>
          <w:p w14:paraId="1972B99E" w14:textId="0271EAD1" w:rsidR="00F06354" w:rsidRPr="0012360B" w:rsidRDefault="0012360B" w:rsidP="00F06354">
            <w:pPr>
              <w:jc w:val="both"/>
              <w:rPr>
                <w:rFonts w:asciiTheme="majorHAnsi" w:hAnsiTheme="majorHAnsi"/>
                <w:bCs/>
                <w:sz w:val="19"/>
                <w:szCs w:val="19"/>
                <w:lang w:val="es-ES"/>
              </w:rPr>
            </w:pPr>
            <w:r w:rsidRPr="0012360B">
              <w:rPr>
                <w:rFonts w:asciiTheme="majorHAnsi" w:hAnsiTheme="majorHAnsi"/>
                <w:bCs/>
                <w:sz w:val="19"/>
                <w:szCs w:val="19"/>
                <w:lang w:val="es-ES"/>
              </w:rPr>
              <w:t>16 de abril de 2015</w:t>
            </w:r>
          </w:p>
        </w:tc>
      </w:tr>
      <w:tr w:rsidR="00F06354" w:rsidRPr="00D948D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12360B" w:rsidRDefault="00F06354" w:rsidP="00F06354">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Observaciones adicionales de</w:t>
            </w:r>
            <w:r w:rsidR="00D77503" w:rsidRPr="0012360B">
              <w:rPr>
                <w:rFonts w:asciiTheme="majorHAnsi" w:hAnsiTheme="majorHAnsi"/>
                <w:bCs/>
                <w:color w:val="FFFFFF" w:themeColor="background1"/>
                <w:sz w:val="19"/>
                <w:szCs w:val="19"/>
                <w:lang w:val="es-ES"/>
              </w:rPr>
              <w:t xml:space="preserve"> la parte peticionaria</w:t>
            </w:r>
          </w:p>
        </w:tc>
        <w:tc>
          <w:tcPr>
            <w:tcW w:w="6570" w:type="dxa"/>
            <w:vAlign w:val="center"/>
          </w:tcPr>
          <w:p w14:paraId="41D8B862" w14:textId="2CFB0F27" w:rsidR="00F06354" w:rsidRPr="0012360B" w:rsidRDefault="0012360B" w:rsidP="00D77503">
            <w:pPr>
              <w:jc w:val="both"/>
              <w:rPr>
                <w:rFonts w:asciiTheme="majorHAnsi" w:hAnsiTheme="majorHAnsi"/>
                <w:bCs/>
                <w:sz w:val="19"/>
                <w:szCs w:val="19"/>
                <w:lang w:val="es-ES"/>
              </w:rPr>
            </w:pPr>
            <w:r>
              <w:rPr>
                <w:rFonts w:asciiTheme="majorHAnsi" w:hAnsiTheme="majorHAnsi"/>
                <w:bCs/>
                <w:sz w:val="19"/>
                <w:szCs w:val="19"/>
                <w:lang w:val="es-ES"/>
              </w:rPr>
              <w:t>5 de junio de 2015;</w:t>
            </w:r>
            <w:r w:rsidRPr="0012360B">
              <w:rPr>
                <w:rFonts w:asciiTheme="majorHAnsi" w:hAnsiTheme="majorHAnsi"/>
                <w:bCs/>
                <w:sz w:val="19"/>
                <w:szCs w:val="19"/>
                <w:lang w:val="es-ES"/>
              </w:rPr>
              <w:t xml:space="preserve"> 18 de julio de 2017</w:t>
            </w:r>
          </w:p>
        </w:tc>
      </w:tr>
      <w:tr w:rsidR="00F06354" w:rsidRPr="0012360B"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12360B" w:rsidRDefault="00F06354" w:rsidP="00F06354">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Obser</w:t>
            </w:r>
            <w:r w:rsidR="00D77503" w:rsidRPr="0012360B">
              <w:rPr>
                <w:rFonts w:asciiTheme="majorHAnsi" w:hAnsiTheme="majorHAnsi"/>
                <w:bCs/>
                <w:color w:val="FFFFFF" w:themeColor="background1"/>
                <w:sz w:val="19"/>
                <w:szCs w:val="19"/>
                <w:lang w:val="es-ES"/>
              </w:rPr>
              <w:t>vaciones adicionales del Estado</w:t>
            </w:r>
          </w:p>
        </w:tc>
        <w:tc>
          <w:tcPr>
            <w:tcW w:w="6570" w:type="dxa"/>
            <w:vAlign w:val="center"/>
          </w:tcPr>
          <w:p w14:paraId="3CE49AFE" w14:textId="15178CF5" w:rsidR="00F06354" w:rsidRPr="0012360B" w:rsidRDefault="0012360B" w:rsidP="00F06354">
            <w:pPr>
              <w:jc w:val="both"/>
              <w:rPr>
                <w:rFonts w:asciiTheme="majorHAnsi" w:hAnsiTheme="majorHAnsi"/>
                <w:bCs/>
                <w:sz w:val="19"/>
                <w:szCs w:val="19"/>
                <w:lang w:val="es-ES"/>
              </w:rPr>
            </w:pPr>
            <w:r w:rsidRPr="0012360B">
              <w:rPr>
                <w:rFonts w:asciiTheme="majorHAnsi" w:hAnsiTheme="majorHAnsi"/>
                <w:bCs/>
                <w:sz w:val="19"/>
                <w:szCs w:val="19"/>
                <w:lang w:val="es-ES"/>
              </w:rPr>
              <w:t>10 de septiembre de 2015</w:t>
            </w:r>
          </w:p>
        </w:tc>
      </w:tr>
    </w:tbl>
    <w:p w14:paraId="21DAA666" w14:textId="5065046E" w:rsidR="003239B8" w:rsidRPr="0012360B" w:rsidRDefault="003239B8" w:rsidP="007C402A">
      <w:pPr>
        <w:spacing w:before="120" w:after="120"/>
        <w:ind w:firstLine="720"/>
        <w:jc w:val="both"/>
        <w:rPr>
          <w:rFonts w:asciiTheme="majorHAnsi" w:hAnsiTheme="majorHAnsi"/>
          <w:b/>
          <w:bCs/>
          <w:sz w:val="20"/>
          <w:szCs w:val="20"/>
          <w:lang w:val="es-ES"/>
        </w:rPr>
      </w:pPr>
      <w:r w:rsidRPr="0012360B">
        <w:rPr>
          <w:rFonts w:asciiTheme="majorHAnsi" w:hAnsiTheme="majorHAnsi"/>
          <w:b/>
          <w:bCs/>
          <w:sz w:val="20"/>
          <w:szCs w:val="20"/>
          <w:lang w:val="es-ES"/>
        </w:rPr>
        <w:t xml:space="preserve">III. </w:t>
      </w:r>
      <w:r w:rsidRPr="0012360B">
        <w:rPr>
          <w:rFonts w:asciiTheme="majorHAnsi" w:hAnsiTheme="majorHAnsi"/>
          <w:b/>
          <w:bCs/>
          <w:sz w:val="20"/>
          <w:szCs w:val="20"/>
          <w:lang w:val="es-ES"/>
        </w:rPr>
        <w:tab/>
        <w:t>COMPETENCIA</w:t>
      </w:r>
      <w:r w:rsidR="00EE00E9" w:rsidRPr="0012360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12360B"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12360B" w:rsidRDefault="00D77503" w:rsidP="003A7F56">
            <w:pPr>
              <w:jc w:val="center"/>
              <w:rPr>
                <w:rFonts w:asciiTheme="majorHAnsi" w:hAnsiTheme="majorHAnsi"/>
                <w:bCs/>
                <w:i/>
                <w:color w:val="FFFFFF" w:themeColor="background1"/>
                <w:sz w:val="19"/>
                <w:szCs w:val="19"/>
                <w:lang w:val="es-ES"/>
              </w:rPr>
            </w:pPr>
            <w:proofErr w:type="spellStart"/>
            <w:r w:rsidRPr="0012360B">
              <w:rPr>
                <w:rFonts w:asciiTheme="majorHAnsi" w:hAnsiTheme="majorHAnsi"/>
                <w:bCs/>
                <w:i/>
                <w:color w:val="FFFFFF" w:themeColor="background1"/>
                <w:sz w:val="19"/>
                <w:szCs w:val="19"/>
                <w:lang w:val="es-ES"/>
              </w:rPr>
              <w:t>Ratione</w:t>
            </w:r>
            <w:proofErr w:type="spellEnd"/>
            <w:r w:rsidRPr="0012360B">
              <w:rPr>
                <w:rFonts w:asciiTheme="majorHAnsi" w:hAnsiTheme="majorHAnsi"/>
                <w:bCs/>
                <w:i/>
                <w:color w:val="FFFFFF" w:themeColor="background1"/>
                <w:sz w:val="19"/>
                <w:szCs w:val="19"/>
                <w:lang w:val="es-ES"/>
              </w:rPr>
              <w:t xml:space="preserve"> </w:t>
            </w:r>
            <w:proofErr w:type="spellStart"/>
            <w:r w:rsidRPr="0012360B">
              <w:rPr>
                <w:rFonts w:asciiTheme="majorHAnsi" w:hAnsiTheme="majorHAnsi"/>
                <w:bCs/>
                <w:i/>
                <w:color w:val="FFFFFF" w:themeColor="background1"/>
                <w:sz w:val="19"/>
                <w:szCs w:val="19"/>
                <w:lang w:val="es-ES"/>
              </w:rPr>
              <w:t>personae</w:t>
            </w:r>
            <w:proofErr w:type="spellEnd"/>
          </w:p>
        </w:tc>
        <w:tc>
          <w:tcPr>
            <w:tcW w:w="6570" w:type="dxa"/>
            <w:vAlign w:val="center"/>
          </w:tcPr>
          <w:p w14:paraId="7707F3E9" w14:textId="08BA4C73" w:rsidR="003239B8" w:rsidRPr="0012360B" w:rsidRDefault="00A8356C" w:rsidP="003A7F56">
            <w:pPr>
              <w:rPr>
                <w:rFonts w:asciiTheme="majorHAnsi" w:hAnsiTheme="majorHAnsi"/>
                <w:bCs/>
                <w:sz w:val="19"/>
                <w:szCs w:val="19"/>
                <w:lang w:val="es-ES"/>
              </w:rPr>
            </w:pPr>
            <w:r w:rsidRPr="0012360B">
              <w:rPr>
                <w:rFonts w:asciiTheme="majorHAnsi" w:hAnsiTheme="majorHAnsi"/>
                <w:bCs/>
                <w:sz w:val="19"/>
                <w:szCs w:val="19"/>
                <w:lang w:val="es-ES"/>
              </w:rPr>
              <w:t>Sí</w:t>
            </w:r>
          </w:p>
        </w:tc>
      </w:tr>
      <w:tr w:rsidR="003239B8" w:rsidRPr="0012360B"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12360B" w:rsidRDefault="003239B8" w:rsidP="00D77503">
            <w:pPr>
              <w:jc w:val="center"/>
              <w:rPr>
                <w:rFonts w:asciiTheme="majorHAnsi" w:hAnsiTheme="majorHAnsi"/>
                <w:bCs/>
                <w:color w:val="FFFFFF" w:themeColor="background1"/>
                <w:sz w:val="19"/>
                <w:szCs w:val="19"/>
                <w:lang w:val="es-ES"/>
              </w:rPr>
            </w:pPr>
            <w:proofErr w:type="spellStart"/>
            <w:r w:rsidRPr="0012360B">
              <w:rPr>
                <w:rFonts w:asciiTheme="majorHAnsi" w:hAnsiTheme="majorHAnsi"/>
                <w:bCs/>
                <w:i/>
                <w:color w:val="FFFFFF" w:themeColor="background1"/>
                <w:sz w:val="19"/>
                <w:szCs w:val="19"/>
                <w:lang w:val="es-ES"/>
              </w:rPr>
              <w:t>Ratione</w:t>
            </w:r>
            <w:proofErr w:type="spellEnd"/>
            <w:r w:rsidRPr="0012360B">
              <w:rPr>
                <w:rFonts w:asciiTheme="majorHAnsi" w:hAnsiTheme="majorHAnsi"/>
                <w:bCs/>
                <w:i/>
                <w:color w:val="FFFFFF" w:themeColor="background1"/>
                <w:sz w:val="19"/>
                <w:szCs w:val="19"/>
                <w:lang w:val="es-ES"/>
              </w:rPr>
              <w:t xml:space="preserve"> </w:t>
            </w:r>
            <w:proofErr w:type="spellStart"/>
            <w:r w:rsidRPr="0012360B">
              <w:rPr>
                <w:rFonts w:asciiTheme="majorHAnsi" w:hAnsiTheme="majorHAnsi"/>
                <w:bCs/>
                <w:i/>
                <w:color w:val="FFFFFF" w:themeColor="background1"/>
                <w:sz w:val="19"/>
                <w:szCs w:val="19"/>
                <w:lang w:val="es-ES"/>
              </w:rPr>
              <w:t>loci</w:t>
            </w:r>
            <w:proofErr w:type="spellEnd"/>
          </w:p>
        </w:tc>
        <w:tc>
          <w:tcPr>
            <w:tcW w:w="6570" w:type="dxa"/>
            <w:vAlign w:val="center"/>
          </w:tcPr>
          <w:p w14:paraId="12C931CB" w14:textId="7CC6E5D2" w:rsidR="003239B8" w:rsidRPr="0012360B" w:rsidRDefault="00A8356C" w:rsidP="003A7F56">
            <w:pPr>
              <w:rPr>
                <w:rFonts w:asciiTheme="majorHAnsi" w:hAnsiTheme="majorHAnsi"/>
                <w:bCs/>
                <w:sz w:val="19"/>
                <w:szCs w:val="19"/>
                <w:lang w:val="es-ES"/>
              </w:rPr>
            </w:pPr>
            <w:r w:rsidRPr="0012360B">
              <w:rPr>
                <w:rFonts w:asciiTheme="majorHAnsi" w:hAnsiTheme="majorHAnsi"/>
                <w:bCs/>
                <w:sz w:val="19"/>
                <w:szCs w:val="19"/>
                <w:lang w:val="es-ES"/>
              </w:rPr>
              <w:t>Sí</w:t>
            </w:r>
          </w:p>
        </w:tc>
      </w:tr>
      <w:tr w:rsidR="003239B8" w:rsidRPr="0012360B"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12360B" w:rsidRDefault="003239B8" w:rsidP="003A7F56">
            <w:pPr>
              <w:jc w:val="center"/>
              <w:rPr>
                <w:rFonts w:asciiTheme="majorHAnsi" w:hAnsiTheme="majorHAnsi"/>
                <w:bCs/>
                <w:color w:val="FFFFFF" w:themeColor="background1"/>
                <w:sz w:val="19"/>
                <w:szCs w:val="19"/>
                <w:lang w:val="es-ES"/>
              </w:rPr>
            </w:pPr>
            <w:proofErr w:type="spellStart"/>
            <w:r w:rsidRPr="0012360B">
              <w:rPr>
                <w:rFonts w:asciiTheme="majorHAnsi" w:hAnsiTheme="majorHAnsi"/>
                <w:bCs/>
                <w:i/>
                <w:color w:val="FFFFFF" w:themeColor="background1"/>
                <w:sz w:val="19"/>
                <w:szCs w:val="19"/>
                <w:lang w:val="es-ES"/>
              </w:rPr>
              <w:t>Ratione</w:t>
            </w:r>
            <w:proofErr w:type="spellEnd"/>
            <w:r w:rsidRPr="0012360B">
              <w:rPr>
                <w:rFonts w:asciiTheme="majorHAnsi" w:hAnsiTheme="majorHAnsi"/>
                <w:bCs/>
                <w:i/>
                <w:color w:val="FFFFFF" w:themeColor="background1"/>
                <w:sz w:val="19"/>
                <w:szCs w:val="19"/>
                <w:lang w:val="es-ES"/>
              </w:rPr>
              <w:t xml:space="preserve"> </w:t>
            </w:r>
            <w:proofErr w:type="spellStart"/>
            <w:r w:rsidRPr="0012360B">
              <w:rPr>
                <w:rFonts w:asciiTheme="majorHAnsi" w:hAnsiTheme="majorHAnsi"/>
                <w:bCs/>
                <w:i/>
                <w:color w:val="FFFFFF" w:themeColor="background1"/>
                <w:sz w:val="19"/>
                <w:szCs w:val="19"/>
                <w:lang w:val="es-ES"/>
              </w:rPr>
              <w:t>temporis</w:t>
            </w:r>
            <w:proofErr w:type="spellEnd"/>
          </w:p>
        </w:tc>
        <w:tc>
          <w:tcPr>
            <w:tcW w:w="6570" w:type="dxa"/>
            <w:vAlign w:val="center"/>
          </w:tcPr>
          <w:p w14:paraId="6F8B059B" w14:textId="756B97CE" w:rsidR="003239B8" w:rsidRPr="0012360B" w:rsidRDefault="00A8356C" w:rsidP="003A7F56">
            <w:pPr>
              <w:rPr>
                <w:rFonts w:asciiTheme="majorHAnsi" w:hAnsiTheme="majorHAnsi"/>
                <w:bCs/>
                <w:sz w:val="19"/>
                <w:szCs w:val="19"/>
                <w:lang w:val="es-ES"/>
              </w:rPr>
            </w:pPr>
            <w:r w:rsidRPr="0012360B">
              <w:rPr>
                <w:rFonts w:asciiTheme="majorHAnsi" w:hAnsiTheme="majorHAnsi"/>
                <w:bCs/>
                <w:sz w:val="19"/>
                <w:szCs w:val="19"/>
                <w:lang w:val="es-ES"/>
              </w:rPr>
              <w:t>Sí</w:t>
            </w:r>
          </w:p>
        </w:tc>
      </w:tr>
      <w:tr w:rsidR="003239B8" w:rsidRPr="00D948D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12360B" w:rsidRDefault="003239B8" w:rsidP="003A7F56">
            <w:pPr>
              <w:jc w:val="center"/>
              <w:rPr>
                <w:rFonts w:asciiTheme="majorHAnsi" w:hAnsiTheme="majorHAnsi"/>
                <w:bCs/>
                <w:color w:val="FFFFFF" w:themeColor="background1"/>
                <w:sz w:val="19"/>
                <w:szCs w:val="19"/>
                <w:lang w:val="es-ES"/>
              </w:rPr>
            </w:pPr>
            <w:proofErr w:type="spellStart"/>
            <w:r w:rsidRPr="0012360B">
              <w:rPr>
                <w:rFonts w:asciiTheme="majorHAnsi" w:hAnsiTheme="majorHAnsi"/>
                <w:bCs/>
                <w:i/>
                <w:color w:val="FFFFFF" w:themeColor="background1"/>
                <w:sz w:val="19"/>
                <w:szCs w:val="19"/>
                <w:lang w:val="es-ES"/>
              </w:rPr>
              <w:t>Ratione</w:t>
            </w:r>
            <w:proofErr w:type="spellEnd"/>
            <w:r w:rsidRPr="0012360B">
              <w:rPr>
                <w:rFonts w:asciiTheme="majorHAnsi" w:hAnsiTheme="majorHAnsi"/>
                <w:bCs/>
                <w:i/>
                <w:color w:val="FFFFFF" w:themeColor="background1"/>
                <w:sz w:val="19"/>
                <w:szCs w:val="19"/>
                <w:lang w:val="es-ES"/>
              </w:rPr>
              <w:t xml:space="preserve"> </w:t>
            </w:r>
            <w:proofErr w:type="spellStart"/>
            <w:r w:rsidRPr="0012360B">
              <w:rPr>
                <w:rFonts w:asciiTheme="majorHAnsi" w:hAnsiTheme="majorHAnsi"/>
                <w:bCs/>
                <w:i/>
                <w:color w:val="FFFFFF" w:themeColor="background1"/>
                <w:sz w:val="19"/>
                <w:szCs w:val="19"/>
                <w:lang w:val="es-ES"/>
              </w:rPr>
              <w:t>materia</w:t>
            </w:r>
            <w:r w:rsidR="00EE00E9" w:rsidRPr="0012360B">
              <w:rPr>
                <w:rFonts w:asciiTheme="majorHAnsi" w:hAnsiTheme="majorHAnsi"/>
                <w:bCs/>
                <w:i/>
                <w:color w:val="FFFFFF" w:themeColor="background1"/>
                <w:sz w:val="19"/>
                <w:szCs w:val="19"/>
                <w:lang w:val="es-ES"/>
              </w:rPr>
              <w:t>e</w:t>
            </w:r>
            <w:proofErr w:type="spellEnd"/>
          </w:p>
        </w:tc>
        <w:tc>
          <w:tcPr>
            <w:tcW w:w="6570" w:type="dxa"/>
            <w:vAlign w:val="center"/>
          </w:tcPr>
          <w:p w14:paraId="0C122F44" w14:textId="6BD5ACFF" w:rsidR="003239B8" w:rsidRPr="0012360B" w:rsidRDefault="00A8356C" w:rsidP="003A7F56">
            <w:pPr>
              <w:jc w:val="both"/>
              <w:rPr>
                <w:rFonts w:asciiTheme="majorHAnsi" w:hAnsiTheme="majorHAnsi"/>
                <w:bCs/>
                <w:sz w:val="19"/>
                <w:szCs w:val="19"/>
                <w:lang w:val="es-ES"/>
              </w:rPr>
            </w:pPr>
            <w:r w:rsidRPr="0012360B">
              <w:rPr>
                <w:rFonts w:asciiTheme="majorHAnsi" w:hAnsiTheme="majorHAnsi"/>
                <w:bCs/>
                <w:sz w:val="20"/>
                <w:szCs w:val="20"/>
                <w:lang w:val="es-AR"/>
              </w:rPr>
              <w:t>Sí, Convención Americana (depósito de instrumento realizado con fecha 31 de julio de 1973)</w:t>
            </w:r>
          </w:p>
        </w:tc>
      </w:tr>
    </w:tbl>
    <w:p w14:paraId="4E92C444" w14:textId="7231F61F" w:rsidR="003239B8" w:rsidRPr="0012360B" w:rsidRDefault="003239B8" w:rsidP="007C402A">
      <w:pPr>
        <w:spacing w:before="120" w:after="120"/>
        <w:ind w:firstLine="720"/>
        <w:jc w:val="both"/>
        <w:rPr>
          <w:rFonts w:asciiTheme="majorHAnsi" w:hAnsiTheme="majorHAnsi"/>
          <w:b/>
          <w:bCs/>
          <w:sz w:val="20"/>
          <w:szCs w:val="20"/>
          <w:lang w:val="es-ES"/>
        </w:rPr>
      </w:pPr>
      <w:r w:rsidRPr="0012360B">
        <w:rPr>
          <w:rFonts w:asciiTheme="majorHAnsi" w:hAnsiTheme="majorHAnsi"/>
          <w:b/>
          <w:bCs/>
          <w:sz w:val="20"/>
          <w:szCs w:val="20"/>
          <w:lang w:val="es-ES"/>
        </w:rPr>
        <w:t xml:space="preserve">IV. </w:t>
      </w:r>
      <w:r w:rsidRPr="0012360B">
        <w:rPr>
          <w:rFonts w:asciiTheme="majorHAnsi" w:hAnsiTheme="majorHAnsi"/>
          <w:b/>
          <w:bCs/>
          <w:sz w:val="20"/>
          <w:szCs w:val="20"/>
          <w:lang w:val="es-ES"/>
        </w:rPr>
        <w:tab/>
      </w:r>
      <w:r w:rsidR="00EE00E9" w:rsidRPr="0012360B">
        <w:rPr>
          <w:rFonts w:asciiTheme="majorHAnsi" w:hAnsiTheme="majorHAnsi"/>
          <w:b/>
          <w:bCs/>
          <w:sz w:val="20"/>
          <w:szCs w:val="20"/>
          <w:lang w:val="es-ES"/>
        </w:rPr>
        <w:t>DUPLICACIÓN</w:t>
      </w:r>
      <w:r w:rsidR="00EE00E9" w:rsidRPr="0012360B">
        <w:rPr>
          <w:rFonts w:asciiTheme="majorHAnsi" w:hAnsiTheme="majorHAnsi"/>
          <w:b/>
          <w:bCs/>
          <w:color w:val="FFFFFF" w:themeColor="background1"/>
          <w:sz w:val="20"/>
          <w:szCs w:val="20"/>
          <w:lang w:val="es-ES"/>
        </w:rPr>
        <w:t xml:space="preserve"> </w:t>
      </w:r>
      <w:r w:rsidR="00EE00E9" w:rsidRPr="0012360B">
        <w:rPr>
          <w:rFonts w:asciiTheme="majorHAnsi" w:hAnsiTheme="majorHAnsi"/>
          <w:b/>
          <w:bCs/>
          <w:sz w:val="20"/>
          <w:szCs w:val="20"/>
          <w:lang w:val="es-ES"/>
        </w:rPr>
        <w:t>DE PROCEDIMIENTOS Y COSA JUZGADA</w:t>
      </w:r>
      <w:r w:rsidR="00EE00E9" w:rsidRPr="0012360B">
        <w:rPr>
          <w:rFonts w:asciiTheme="majorHAnsi" w:hAnsiTheme="majorHAnsi"/>
          <w:b/>
          <w:bCs/>
          <w:i/>
          <w:sz w:val="20"/>
          <w:szCs w:val="20"/>
          <w:lang w:val="es-ES"/>
        </w:rPr>
        <w:t xml:space="preserve"> </w:t>
      </w:r>
      <w:r w:rsidR="00B41422" w:rsidRPr="0012360B">
        <w:rPr>
          <w:rFonts w:asciiTheme="majorHAnsi" w:hAnsiTheme="majorHAnsi"/>
          <w:b/>
          <w:bCs/>
          <w:sz w:val="20"/>
          <w:szCs w:val="20"/>
          <w:lang w:val="es-ES"/>
        </w:rPr>
        <w:t>INTERNACIONAL, CARACTERIZACIÓN</w:t>
      </w:r>
      <w:r w:rsidRPr="0012360B">
        <w:rPr>
          <w:rFonts w:asciiTheme="majorHAnsi" w:hAnsiTheme="majorHAnsi"/>
          <w:b/>
          <w:bCs/>
          <w:sz w:val="20"/>
          <w:szCs w:val="20"/>
          <w:lang w:val="es-ES"/>
        </w:rPr>
        <w:t xml:space="preserve">, </w:t>
      </w:r>
      <w:r w:rsidRPr="0012360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12360B"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12360B" w:rsidRDefault="00EE00E9" w:rsidP="00954B82">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 xml:space="preserve">Duplicación </w:t>
            </w:r>
            <w:r w:rsidR="00D77503" w:rsidRPr="0012360B">
              <w:rPr>
                <w:rFonts w:asciiTheme="majorHAnsi" w:hAnsiTheme="majorHAnsi"/>
                <w:bCs/>
                <w:color w:val="FFFFFF" w:themeColor="background1"/>
                <w:sz w:val="19"/>
                <w:szCs w:val="19"/>
                <w:lang w:val="es-ES"/>
              </w:rPr>
              <w:t>y cosa juzgada internacional</w:t>
            </w:r>
          </w:p>
        </w:tc>
        <w:tc>
          <w:tcPr>
            <w:tcW w:w="6570" w:type="dxa"/>
            <w:vAlign w:val="center"/>
          </w:tcPr>
          <w:p w14:paraId="240941E6" w14:textId="7F5A9DDB" w:rsidR="00EE00E9" w:rsidRPr="0012360B" w:rsidRDefault="00A8356C" w:rsidP="003A7F56">
            <w:pPr>
              <w:jc w:val="both"/>
              <w:rPr>
                <w:rFonts w:asciiTheme="majorHAnsi" w:hAnsiTheme="majorHAnsi"/>
                <w:bCs/>
                <w:sz w:val="19"/>
                <w:szCs w:val="19"/>
                <w:lang w:val="es-ES"/>
              </w:rPr>
            </w:pPr>
            <w:r w:rsidRPr="0012360B">
              <w:rPr>
                <w:rFonts w:asciiTheme="majorHAnsi" w:hAnsiTheme="majorHAnsi"/>
                <w:bCs/>
                <w:sz w:val="19"/>
                <w:szCs w:val="19"/>
                <w:lang w:val="es-ES"/>
              </w:rPr>
              <w:t>No</w:t>
            </w:r>
          </w:p>
        </w:tc>
      </w:tr>
      <w:tr w:rsidR="003239B8" w:rsidRPr="00D948D9"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12360B" w:rsidRDefault="003239B8" w:rsidP="00954B82">
            <w:pPr>
              <w:jc w:val="center"/>
              <w:rPr>
                <w:rFonts w:asciiTheme="majorHAnsi" w:hAnsiTheme="majorHAnsi"/>
                <w:bCs/>
                <w:i/>
                <w:color w:val="FFFFFF" w:themeColor="background1"/>
                <w:sz w:val="19"/>
                <w:szCs w:val="19"/>
                <w:lang w:val="es-ES"/>
              </w:rPr>
            </w:pPr>
            <w:r w:rsidRPr="0012360B">
              <w:rPr>
                <w:rFonts w:asciiTheme="majorHAnsi" w:hAnsiTheme="majorHAnsi"/>
                <w:bCs/>
                <w:color w:val="FFFFFF" w:themeColor="background1"/>
                <w:sz w:val="19"/>
                <w:szCs w:val="19"/>
                <w:lang w:val="es-ES"/>
              </w:rPr>
              <w:t>Derechos admi</w:t>
            </w:r>
            <w:r w:rsidR="00954B82" w:rsidRPr="0012360B">
              <w:rPr>
                <w:rFonts w:asciiTheme="majorHAnsi" w:hAnsiTheme="majorHAnsi"/>
                <w:bCs/>
                <w:color w:val="FFFFFF" w:themeColor="background1"/>
                <w:sz w:val="19"/>
                <w:szCs w:val="19"/>
                <w:lang w:val="es-ES"/>
              </w:rPr>
              <w:t>tidos</w:t>
            </w:r>
          </w:p>
        </w:tc>
        <w:tc>
          <w:tcPr>
            <w:tcW w:w="6570" w:type="dxa"/>
            <w:vAlign w:val="center"/>
          </w:tcPr>
          <w:p w14:paraId="6310C8F7" w14:textId="7B4E2DC9" w:rsidR="003239B8" w:rsidRPr="0012360B" w:rsidRDefault="008B2648" w:rsidP="00406E3B">
            <w:pPr>
              <w:jc w:val="both"/>
              <w:rPr>
                <w:rFonts w:asciiTheme="majorHAnsi" w:hAnsiTheme="majorHAnsi"/>
                <w:bCs/>
                <w:sz w:val="19"/>
                <w:szCs w:val="19"/>
                <w:lang w:val="es-ES"/>
              </w:rPr>
            </w:pPr>
            <w:r w:rsidRPr="0012360B">
              <w:rPr>
                <w:rFonts w:asciiTheme="majorHAnsi" w:hAnsiTheme="majorHAnsi" w:cs="Arial"/>
                <w:sz w:val="20"/>
                <w:szCs w:val="20"/>
                <w:lang w:val="es-ES"/>
              </w:rPr>
              <w:t xml:space="preserve">Artículos </w:t>
            </w:r>
            <w:r w:rsidRPr="007F771E">
              <w:rPr>
                <w:rFonts w:asciiTheme="majorHAnsi" w:hAnsiTheme="majorHAnsi" w:cs="Arial"/>
                <w:sz w:val="20"/>
                <w:szCs w:val="20"/>
                <w:lang w:val="es-ES"/>
              </w:rPr>
              <w:t>4 (vida), 5 (integridad personal), 8 (garantías judiciales), 17 (protección a la familia) , 2</w:t>
            </w:r>
            <w:r w:rsidR="00406E3B">
              <w:rPr>
                <w:rFonts w:asciiTheme="majorHAnsi" w:hAnsiTheme="majorHAnsi" w:cs="Arial"/>
                <w:sz w:val="20"/>
                <w:szCs w:val="20"/>
                <w:lang w:val="es-ES"/>
              </w:rPr>
              <w:t xml:space="preserve">2 (de circulación y residencia), </w:t>
            </w:r>
            <w:r w:rsidRPr="007F771E">
              <w:rPr>
                <w:rFonts w:asciiTheme="majorHAnsi" w:hAnsiTheme="majorHAnsi" w:cs="Arial"/>
                <w:sz w:val="20"/>
                <w:szCs w:val="20"/>
                <w:lang w:val="es-ES"/>
              </w:rPr>
              <w:t xml:space="preserve">25 (protección judicial) </w:t>
            </w:r>
            <w:r w:rsidR="00406E3B">
              <w:rPr>
                <w:rFonts w:asciiTheme="majorHAnsi" w:hAnsiTheme="majorHAnsi" w:cs="Arial"/>
                <w:sz w:val="20"/>
                <w:szCs w:val="20"/>
                <w:lang w:val="es-ES"/>
              </w:rPr>
              <w:t xml:space="preserve">y 26 (derechos económicos, sociales y culturales) </w:t>
            </w:r>
            <w:r w:rsidRPr="007F771E">
              <w:rPr>
                <w:rFonts w:asciiTheme="majorHAnsi" w:hAnsiTheme="majorHAnsi" w:cs="Arial"/>
                <w:sz w:val="20"/>
                <w:szCs w:val="20"/>
                <w:lang w:val="es-ES"/>
              </w:rPr>
              <w:t>de la Convención Americana en relación con su</w:t>
            </w:r>
            <w:r w:rsidR="008A0BB6">
              <w:rPr>
                <w:rFonts w:asciiTheme="majorHAnsi" w:hAnsiTheme="majorHAnsi" w:cs="Arial"/>
                <w:sz w:val="20"/>
                <w:szCs w:val="20"/>
                <w:lang w:val="es-ES"/>
              </w:rPr>
              <w:t>s</w:t>
            </w:r>
            <w:r w:rsidRPr="007F771E">
              <w:rPr>
                <w:rFonts w:asciiTheme="majorHAnsi" w:hAnsiTheme="majorHAnsi" w:cs="Arial"/>
                <w:sz w:val="20"/>
                <w:szCs w:val="20"/>
                <w:lang w:val="es-ES"/>
              </w:rPr>
              <w:t xml:space="preserve"> artículo</w:t>
            </w:r>
            <w:r w:rsidR="008A0BB6">
              <w:rPr>
                <w:rFonts w:asciiTheme="majorHAnsi" w:hAnsiTheme="majorHAnsi" w:cs="Arial"/>
                <w:sz w:val="20"/>
                <w:szCs w:val="20"/>
                <w:lang w:val="es-ES"/>
              </w:rPr>
              <w:t>s</w:t>
            </w:r>
            <w:r w:rsidRPr="007F771E">
              <w:rPr>
                <w:rFonts w:asciiTheme="majorHAnsi" w:hAnsiTheme="majorHAnsi" w:cs="Arial"/>
                <w:sz w:val="20"/>
                <w:szCs w:val="20"/>
                <w:lang w:val="es-ES"/>
              </w:rPr>
              <w:t xml:space="preserve"> 1.1</w:t>
            </w:r>
            <w:r w:rsidR="008A0BB6">
              <w:rPr>
                <w:rFonts w:asciiTheme="majorHAnsi" w:hAnsiTheme="majorHAnsi" w:cs="Arial"/>
                <w:sz w:val="20"/>
                <w:szCs w:val="20"/>
                <w:lang w:val="es-ES"/>
              </w:rPr>
              <w:t xml:space="preserve"> y 2 </w:t>
            </w:r>
          </w:p>
        </w:tc>
      </w:tr>
      <w:tr w:rsidR="003239B8" w:rsidRPr="00D948D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12360B" w:rsidRDefault="003239B8" w:rsidP="006775AB">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Agotamiento de</w:t>
            </w:r>
            <w:r w:rsidR="0069402E" w:rsidRPr="0012360B">
              <w:rPr>
                <w:rFonts w:asciiTheme="majorHAnsi" w:hAnsiTheme="majorHAnsi"/>
                <w:bCs/>
                <w:color w:val="FFFFFF" w:themeColor="background1"/>
                <w:sz w:val="19"/>
                <w:szCs w:val="19"/>
                <w:lang w:val="es-ES"/>
              </w:rPr>
              <w:t xml:space="preserve"> </w:t>
            </w:r>
            <w:r w:rsidRPr="0012360B">
              <w:rPr>
                <w:rFonts w:asciiTheme="majorHAnsi" w:hAnsiTheme="majorHAnsi"/>
                <w:bCs/>
                <w:color w:val="FFFFFF" w:themeColor="background1"/>
                <w:sz w:val="19"/>
                <w:szCs w:val="19"/>
                <w:lang w:val="es-ES"/>
              </w:rPr>
              <w:t xml:space="preserve">recursos </w:t>
            </w:r>
            <w:r w:rsidR="00D77503" w:rsidRPr="0012360B">
              <w:rPr>
                <w:rFonts w:asciiTheme="majorHAnsi" w:hAnsiTheme="majorHAnsi"/>
                <w:bCs/>
                <w:color w:val="FFFFFF" w:themeColor="background1"/>
                <w:sz w:val="19"/>
                <w:szCs w:val="19"/>
                <w:lang w:val="es-ES"/>
              </w:rPr>
              <w:t>o procedencia de una excepción</w:t>
            </w:r>
          </w:p>
        </w:tc>
        <w:tc>
          <w:tcPr>
            <w:tcW w:w="6570" w:type="dxa"/>
            <w:vAlign w:val="center"/>
          </w:tcPr>
          <w:p w14:paraId="69C53E8A" w14:textId="3B07FE24" w:rsidR="003239B8" w:rsidRPr="0012360B" w:rsidRDefault="00A8356C" w:rsidP="00A8356C">
            <w:pPr>
              <w:rPr>
                <w:rFonts w:asciiTheme="majorHAnsi" w:hAnsiTheme="majorHAnsi"/>
                <w:bCs/>
                <w:sz w:val="20"/>
                <w:szCs w:val="19"/>
                <w:lang w:val="es-ES"/>
              </w:rPr>
            </w:pPr>
            <w:r w:rsidRPr="0012360B">
              <w:rPr>
                <w:rFonts w:asciiTheme="majorHAnsi" w:hAnsiTheme="majorHAnsi" w:cs="Arial"/>
                <w:bCs/>
                <w:sz w:val="20"/>
                <w:szCs w:val="19"/>
                <w:lang w:val="es-ES"/>
              </w:rPr>
              <w:t>Sí, aplican excepciones artículos 46.2.c de la CADH</w:t>
            </w:r>
          </w:p>
        </w:tc>
      </w:tr>
      <w:tr w:rsidR="003239B8" w:rsidRPr="00D948D9"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12360B" w:rsidRDefault="00D77503" w:rsidP="003A7F56">
            <w:pPr>
              <w:jc w:val="center"/>
              <w:rPr>
                <w:rFonts w:asciiTheme="majorHAnsi" w:hAnsiTheme="majorHAnsi"/>
                <w:bCs/>
                <w:color w:val="FFFFFF" w:themeColor="background1"/>
                <w:sz w:val="19"/>
                <w:szCs w:val="19"/>
                <w:lang w:val="es-ES"/>
              </w:rPr>
            </w:pPr>
            <w:r w:rsidRPr="0012360B">
              <w:rPr>
                <w:rFonts w:asciiTheme="majorHAnsi" w:hAnsiTheme="majorHAnsi"/>
                <w:bCs/>
                <w:color w:val="FFFFFF" w:themeColor="background1"/>
                <w:sz w:val="19"/>
                <w:szCs w:val="19"/>
                <w:lang w:val="es-ES"/>
              </w:rPr>
              <w:t>Presentación dentro de plazo</w:t>
            </w:r>
          </w:p>
        </w:tc>
        <w:tc>
          <w:tcPr>
            <w:tcW w:w="6570" w:type="dxa"/>
            <w:vAlign w:val="center"/>
          </w:tcPr>
          <w:p w14:paraId="4A2A4569" w14:textId="35B6557B" w:rsidR="003239B8" w:rsidRPr="0012360B" w:rsidRDefault="00A8356C" w:rsidP="003A7F56">
            <w:pPr>
              <w:rPr>
                <w:rFonts w:asciiTheme="majorHAnsi" w:hAnsiTheme="majorHAnsi"/>
                <w:bCs/>
                <w:sz w:val="20"/>
                <w:szCs w:val="19"/>
                <w:lang w:val="es-ES"/>
              </w:rPr>
            </w:pPr>
            <w:r w:rsidRPr="0012360B">
              <w:rPr>
                <w:rFonts w:asciiTheme="majorHAnsi" w:hAnsiTheme="majorHAnsi" w:cs="Arial"/>
                <w:bCs/>
                <w:sz w:val="20"/>
                <w:szCs w:val="19"/>
                <w:lang w:val="es-ES"/>
              </w:rPr>
              <w:t>Sí, en los términos de la sección VI</w:t>
            </w:r>
          </w:p>
        </w:tc>
      </w:tr>
    </w:tbl>
    <w:p w14:paraId="18E6423B" w14:textId="5FDE25B0" w:rsidR="003239B8" w:rsidRPr="0012360B" w:rsidRDefault="00223A29" w:rsidP="00647756">
      <w:pPr>
        <w:spacing w:before="120" w:after="120"/>
        <w:ind w:firstLine="720"/>
        <w:jc w:val="both"/>
        <w:rPr>
          <w:rFonts w:asciiTheme="majorHAnsi" w:hAnsiTheme="majorHAnsi"/>
          <w:b/>
          <w:sz w:val="20"/>
          <w:szCs w:val="20"/>
          <w:lang w:val="es-ES"/>
        </w:rPr>
      </w:pPr>
      <w:r w:rsidRPr="0012360B">
        <w:rPr>
          <w:rFonts w:asciiTheme="majorHAnsi" w:hAnsiTheme="majorHAnsi"/>
          <w:b/>
          <w:sz w:val="20"/>
          <w:szCs w:val="20"/>
          <w:lang w:val="es-ES"/>
        </w:rPr>
        <w:t xml:space="preserve">V. </w:t>
      </w:r>
      <w:r w:rsidRPr="0012360B">
        <w:rPr>
          <w:rFonts w:asciiTheme="majorHAnsi" w:hAnsiTheme="majorHAnsi"/>
          <w:b/>
          <w:sz w:val="20"/>
          <w:szCs w:val="20"/>
          <w:lang w:val="es-ES"/>
        </w:rPr>
        <w:tab/>
      </w:r>
      <w:r w:rsidR="0034224A" w:rsidRPr="0012360B">
        <w:rPr>
          <w:rFonts w:asciiTheme="majorHAnsi" w:hAnsiTheme="majorHAnsi"/>
          <w:b/>
          <w:sz w:val="20"/>
          <w:szCs w:val="20"/>
          <w:lang w:val="es-ES"/>
        </w:rPr>
        <w:t>RESUMEN DE LOS HECHOS ALEGADOS</w:t>
      </w:r>
    </w:p>
    <w:p w14:paraId="5D1D97E9" w14:textId="1314DBE0" w:rsidR="00C30D13" w:rsidRPr="00C30D13" w:rsidRDefault="00B76A6F" w:rsidP="00C30D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cs="Arial"/>
          <w:sz w:val="20"/>
          <w:szCs w:val="20"/>
          <w:lang w:val="es-ES"/>
        </w:rPr>
        <w:t xml:space="preserve">El peticionario refiere que el señor </w:t>
      </w:r>
      <w:r w:rsidR="00BC2C99" w:rsidRPr="0012360B">
        <w:rPr>
          <w:rFonts w:asciiTheme="majorHAnsi" w:hAnsiTheme="majorHAnsi" w:cs="Arial"/>
          <w:sz w:val="20"/>
          <w:szCs w:val="20"/>
          <w:lang w:val="es-ES"/>
        </w:rPr>
        <w:t>Ricardo Martínez Rico (en adelante “la presunta víctima”)</w:t>
      </w:r>
      <w:r w:rsidR="00BC2C99">
        <w:rPr>
          <w:rFonts w:asciiTheme="majorHAnsi" w:hAnsiTheme="majorHAnsi" w:cs="Arial"/>
          <w:sz w:val="20"/>
          <w:szCs w:val="20"/>
          <w:lang w:val="es-ES"/>
        </w:rPr>
        <w:t xml:space="preserve">, </w:t>
      </w:r>
      <w:r>
        <w:rPr>
          <w:rFonts w:asciiTheme="majorHAnsi" w:hAnsiTheme="majorHAnsi" w:cs="Arial"/>
          <w:sz w:val="20"/>
          <w:szCs w:val="20"/>
          <w:lang w:val="es-ES"/>
        </w:rPr>
        <w:t xml:space="preserve">perdió la vida </w:t>
      </w:r>
      <w:r w:rsidR="00BC2C99">
        <w:rPr>
          <w:rFonts w:asciiTheme="majorHAnsi" w:hAnsiTheme="majorHAnsi" w:cs="Arial"/>
          <w:sz w:val="20"/>
          <w:szCs w:val="20"/>
          <w:lang w:val="es-ES"/>
        </w:rPr>
        <w:t xml:space="preserve">en manos </w:t>
      </w:r>
      <w:r w:rsidR="00953DAC" w:rsidRPr="0012360B">
        <w:rPr>
          <w:rFonts w:asciiTheme="majorHAnsi" w:hAnsiTheme="majorHAnsi" w:cs="Arial"/>
          <w:sz w:val="20"/>
          <w:szCs w:val="20"/>
          <w:lang w:val="es-ES"/>
        </w:rPr>
        <w:t>de las Fuerzas Armadas Revolucionarias de Colombia</w:t>
      </w:r>
      <w:r w:rsidR="00BC2C99">
        <w:rPr>
          <w:rFonts w:asciiTheme="majorHAnsi" w:hAnsiTheme="majorHAnsi" w:cs="Arial"/>
          <w:sz w:val="20"/>
          <w:szCs w:val="20"/>
          <w:lang w:val="es-ES"/>
        </w:rPr>
        <w:t xml:space="preserve"> (en adelante “FARC”) </w:t>
      </w:r>
      <w:r w:rsidR="004630D6" w:rsidRPr="0012360B">
        <w:rPr>
          <w:rFonts w:asciiTheme="majorHAnsi" w:hAnsiTheme="majorHAnsi" w:cs="Arial"/>
          <w:sz w:val="20"/>
          <w:szCs w:val="20"/>
          <w:lang w:val="es-ES"/>
        </w:rPr>
        <w:t xml:space="preserve">mientras </w:t>
      </w:r>
      <w:r w:rsidR="00392A8E" w:rsidRPr="0012360B">
        <w:rPr>
          <w:rFonts w:asciiTheme="majorHAnsi" w:hAnsiTheme="majorHAnsi" w:cs="Arial"/>
          <w:sz w:val="20"/>
          <w:szCs w:val="20"/>
          <w:lang w:val="es-ES"/>
        </w:rPr>
        <w:t>des</w:t>
      </w:r>
      <w:r w:rsidR="00BC2C99">
        <w:rPr>
          <w:rFonts w:asciiTheme="majorHAnsi" w:hAnsiTheme="majorHAnsi" w:cs="Arial"/>
          <w:sz w:val="20"/>
          <w:szCs w:val="20"/>
          <w:lang w:val="es-ES"/>
        </w:rPr>
        <w:t xml:space="preserve">arrollaba sus actividades en </w:t>
      </w:r>
      <w:r w:rsidR="004630D6" w:rsidRPr="0012360B">
        <w:rPr>
          <w:rFonts w:asciiTheme="majorHAnsi" w:hAnsiTheme="majorHAnsi" w:cs="Arial"/>
          <w:sz w:val="20"/>
          <w:szCs w:val="20"/>
          <w:lang w:val="es-ES"/>
        </w:rPr>
        <w:t xml:space="preserve">la Policía Nacional adscrito al cuerpo de seguridad del aeropuerto Vanguardia </w:t>
      </w:r>
      <w:r w:rsidR="004630D6" w:rsidRPr="0012360B">
        <w:rPr>
          <w:rFonts w:asciiTheme="majorHAnsi" w:hAnsiTheme="majorHAnsi" w:cs="Arial"/>
          <w:sz w:val="20"/>
          <w:szCs w:val="20"/>
          <w:lang w:val="es-ES"/>
        </w:rPr>
        <w:lastRenderedPageBreak/>
        <w:t>de la ciudad de Villavicen</w:t>
      </w:r>
      <w:r w:rsidR="00BC2C99">
        <w:rPr>
          <w:rFonts w:asciiTheme="majorHAnsi" w:hAnsiTheme="majorHAnsi" w:cs="Arial"/>
          <w:sz w:val="20"/>
          <w:szCs w:val="20"/>
          <w:lang w:val="es-ES"/>
        </w:rPr>
        <w:t>cio en el departamento del Meta</w:t>
      </w:r>
      <w:r w:rsidR="00905AF2" w:rsidRPr="0012360B">
        <w:rPr>
          <w:rFonts w:asciiTheme="majorHAnsi" w:hAnsiTheme="majorHAnsi"/>
          <w:sz w:val="20"/>
          <w:szCs w:val="20"/>
          <w:lang w:val="es-ES"/>
        </w:rPr>
        <w:t xml:space="preserve">. </w:t>
      </w:r>
      <w:r w:rsidR="003853BF" w:rsidRPr="0012360B">
        <w:rPr>
          <w:rFonts w:asciiTheme="majorHAnsi" w:hAnsiTheme="majorHAnsi" w:cs="Arial"/>
          <w:sz w:val="20"/>
          <w:szCs w:val="20"/>
          <w:lang w:val="es-ES"/>
        </w:rPr>
        <w:t xml:space="preserve"> </w:t>
      </w:r>
      <w:r w:rsidR="00C30D13">
        <w:rPr>
          <w:rFonts w:asciiTheme="majorHAnsi" w:hAnsiTheme="majorHAnsi" w:cs="Arial"/>
          <w:sz w:val="20"/>
          <w:szCs w:val="20"/>
          <w:lang w:val="es-ES"/>
        </w:rPr>
        <w:t xml:space="preserve">La parte peticionaria alega </w:t>
      </w:r>
      <w:r w:rsidR="00C30D13" w:rsidRPr="00C30D13">
        <w:rPr>
          <w:rFonts w:asciiTheme="majorHAnsi" w:hAnsiTheme="majorHAnsi" w:cs="Arial"/>
          <w:sz w:val="20"/>
          <w:szCs w:val="20"/>
          <w:lang w:val="es-ES"/>
        </w:rPr>
        <w:t>falta de investigación</w:t>
      </w:r>
      <w:r w:rsidR="00C30D13">
        <w:rPr>
          <w:rFonts w:asciiTheme="majorHAnsi" w:hAnsiTheme="majorHAnsi" w:cs="Arial"/>
          <w:sz w:val="20"/>
          <w:szCs w:val="20"/>
          <w:lang w:val="es-ES"/>
        </w:rPr>
        <w:t xml:space="preserve"> diligente</w:t>
      </w:r>
      <w:r w:rsidR="00C30D13" w:rsidRPr="00C30D13">
        <w:rPr>
          <w:rFonts w:asciiTheme="majorHAnsi" w:hAnsiTheme="majorHAnsi" w:cs="Arial"/>
          <w:sz w:val="20"/>
          <w:szCs w:val="20"/>
          <w:lang w:val="es-ES"/>
        </w:rPr>
        <w:t xml:space="preserve"> y</w:t>
      </w:r>
      <w:r w:rsidR="00C30D13">
        <w:rPr>
          <w:rFonts w:asciiTheme="majorHAnsi" w:hAnsiTheme="majorHAnsi" w:cs="Arial"/>
          <w:sz w:val="20"/>
          <w:szCs w:val="20"/>
          <w:lang w:val="es-ES"/>
        </w:rPr>
        <w:t xml:space="preserve"> sanción de los responsables y</w:t>
      </w:r>
      <w:r w:rsidR="00C30D13" w:rsidRPr="00C30D13">
        <w:rPr>
          <w:rFonts w:asciiTheme="majorHAnsi" w:hAnsiTheme="majorHAnsi" w:cs="Arial"/>
          <w:sz w:val="20"/>
          <w:szCs w:val="20"/>
          <w:lang w:val="es-ES"/>
        </w:rPr>
        <w:t xml:space="preserve"> retardo injustificado de justicia en los procesos internos</w:t>
      </w:r>
      <w:r w:rsidR="00C30D13">
        <w:rPr>
          <w:rFonts w:asciiTheme="majorHAnsi" w:hAnsiTheme="majorHAnsi" w:cs="Arial"/>
          <w:sz w:val="20"/>
          <w:szCs w:val="20"/>
          <w:lang w:val="es-ES"/>
        </w:rPr>
        <w:t xml:space="preserve">. </w:t>
      </w:r>
    </w:p>
    <w:p w14:paraId="25AB0EA1" w14:textId="1EADA894" w:rsidR="00B650CF" w:rsidRPr="0012360B" w:rsidRDefault="00C30D13" w:rsidP="00C30D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cs="Arial"/>
          <w:sz w:val="20"/>
          <w:szCs w:val="20"/>
          <w:lang w:val="es-ES"/>
        </w:rPr>
        <w:t>Según se indica</w:t>
      </w:r>
      <w:r w:rsidR="00CA4DDC">
        <w:rPr>
          <w:rFonts w:asciiTheme="majorHAnsi" w:hAnsiTheme="majorHAnsi" w:cs="Arial"/>
          <w:sz w:val="20"/>
          <w:szCs w:val="20"/>
          <w:lang w:val="es-ES"/>
        </w:rPr>
        <w:t>,</w:t>
      </w:r>
      <w:r>
        <w:rPr>
          <w:rFonts w:asciiTheme="majorHAnsi" w:hAnsiTheme="majorHAnsi" w:cs="Arial"/>
          <w:sz w:val="20"/>
          <w:szCs w:val="20"/>
          <w:lang w:val="es-ES"/>
        </w:rPr>
        <w:t xml:space="preserve"> en</w:t>
      </w:r>
      <w:r w:rsidR="00BC2C99">
        <w:rPr>
          <w:rFonts w:asciiTheme="majorHAnsi" w:hAnsiTheme="majorHAnsi" w:cs="Arial"/>
          <w:sz w:val="20"/>
          <w:szCs w:val="20"/>
          <w:lang w:val="es-ES"/>
        </w:rPr>
        <w:t xml:space="preserve"> la mañana de</w:t>
      </w:r>
      <w:r w:rsidR="00BC2C99" w:rsidRPr="0012360B">
        <w:rPr>
          <w:rFonts w:asciiTheme="majorHAnsi" w:hAnsiTheme="majorHAnsi" w:cs="Arial"/>
          <w:sz w:val="20"/>
          <w:szCs w:val="20"/>
          <w:lang w:val="es-ES"/>
        </w:rPr>
        <w:t>l 6 de marzo de 1998</w:t>
      </w:r>
      <w:r w:rsidR="004630D6" w:rsidRPr="0012360B">
        <w:rPr>
          <w:rFonts w:asciiTheme="majorHAnsi" w:hAnsiTheme="majorHAnsi" w:cs="Arial"/>
          <w:sz w:val="20"/>
          <w:szCs w:val="20"/>
          <w:lang w:val="es-ES"/>
        </w:rPr>
        <w:t xml:space="preserve">, </w:t>
      </w:r>
      <w:r w:rsidR="00B76A6F">
        <w:rPr>
          <w:rFonts w:asciiTheme="majorHAnsi" w:hAnsiTheme="majorHAnsi" w:cs="Arial"/>
          <w:sz w:val="20"/>
          <w:szCs w:val="20"/>
          <w:lang w:val="es-ES"/>
        </w:rPr>
        <w:t xml:space="preserve">la presunta víctima se encontraba en compañía de </w:t>
      </w:r>
      <w:r w:rsidR="00B76A6F" w:rsidRPr="0012360B">
        <w:rPr>
          <w:rFonts w:asciiTheme="majorHAnsi" w:hAnsiTheme="majorHAnsi"/>
          <w:sz w:val="20"/>
          <w:szCs w:val="20"/>
          <w:lang w:val="es-ES"/>
        </w:rPr>
        <w:t>los agentes Arquímedes Tapia Yara y Juan Escobar Bautista</w:t>
      </w:r>
      <w:r w:rsidR="00B76A6F">
        <w:rPr>
          <w:rFonts w:asciiTheme="majorHAnsi" w:hAnsiTheme="majorHAnsi"/>
          <w:sz w:val="20"/>
          <w:szCs w:val="20"/>
          <w:lang w:val="es-ES"/>
        </w:rPr>
        <w:t xml:space="preserve">, cuando fueron emboscados </w:t>
      </w:r>
      <w:r w:rsidR="005B20CD" w:rsidRPr="0012360B">
        <w:rPr>
          <w:rFonts w:asciiTheme="majorHAnsi" w:hAnsiTheme="majorHAnsi"/>
          <w:sz w:val="20"/>
          <w:szCs w:val="20"/>
          <w:lang w:val="es-ES"/>
        </w:rPr>
        <w:t xml:space="preserve">por </w:t>
      </w:r>
      <w:r w:rsidR="000951C2">
        <w:rPr>
          <w:rFonts w:asciiTheme="majorHAnsi" w:hAnsiTheme="majorHAnsi"/>
          <w:sz w:val="20"/>
          <w:szCs w:val="20"/>
          <w:lang w:val="es-ES"/>
        </w:rPr>
        <w:t>miembros</w:t>
      </w:r>
      <w:r w:rsidR="005B20CD" w:rsidRPr="0012360B">
        <w:rPr>
          <w:rFonts w:asciiTheme="majorHAnsi" w:hAnsiTheme="majorHAnsi"/>
          <w:sz w:val="20"/>
          <w:szCs w:val="20"/>
          <w:lang w:val="es-ES"/>
        </w:rPr>
        <w:t xml:space="preserve"> de las FARC</w:t>
      </w:r>
      <w:r w:rsidR="001827C5">
        <w:rPr>
          <w:rFonts w:asciiTheme="majorHAnsi" w:hAnsiTheme="majorHAnsi"/>
          <w:sz w:val="20"/>
          <w:szCs w:val="20"/>
          <w:lang w:val="es-ES"/>
        </w:rPr>
        <w:t>,</w:t>
      </w:r>
      <w:r w:rsidR="005B20CD">
        <w:rPr>
          <w:rFonts w:asciiTheme="majorHAnsi" w:hAnsiTheme="majorHAnsi"/>
          <w:sz w:val="20"/>
          <w:szCs w:val="20"/>
          <w:lang w:val="es-ES"/>
        </w:rPr>
        <w:t xml:space="preserve"> quienes</w:t>
      </w:r>
      <w:r w:rsidR="003853BF" w:rsidRPr="0012360B">
        <w:rPr>
          <w:rFonts w:asciiTheme="majorHAnsi" w:hAnsiTheme="majorHAnsi"/>
          <w:sz w:val="20"/>
          <w:szCs w:val="20"/>
          <w:lang w:val="es-ES"/>
        </w:rPr>
        <w:t xml:space="preserve"> </w:t>
      </w:r>
      <w:r w:rsidR="00B76A6F">
        <w:rPr>
          <w:rFonts w:asciiTheme="majorHAnsi" w:hAnsiTheme="majorHAnsi"/>
          <w:sz w:val="20"/>
          <w:szCs w:val="20"/>
          <w:lang w:val="es-ES"/>
        </w:rPr>
        <w:t xml:space="preserve">habían instalado </w:t>
      </w:r>
      <w:r w:rsidR="005B20CD" w:rsidRPr="0012360B">
        <w:rPr>
          <w:rFonts w:asciiTheme="majorHAnsi" w:hAnsiTheme="majorHAnsi"/>
          <w:sz w:val="20"/>
          <w:szCs w:val="20"/>
          <w:lang w:val="es-ES"/>
        </w:rPr>
        <w:t xml:space="preserve">un retén ilegal </w:t>
      </w:r>
      <w:r w:rsidR="00236444" w:rsidRPr="0012360B">
        <w:rPr>
          <w:rFonts w:asciiTheme="majorHAnsi" w:hAnsiTheme="majorHAnsi"/>
          <w:sz w:val="20"/>
          <w:szCs w:val="20"/>
          <w:lang w:val="es-ES"/>
        </w:rPr>
        <w:t>cerca de Villavicencio</w:t>
      </w:r>
      <w:r w:rsidR="00402840" w:rsidRPr="0012360B">
        <w:rPr>
          <w:rFonts w:asciiTheme="majorHAnsi" w:hAnsiTheme="majorHAnsi"/>
          <w:sz w:val="20"/>
          <w:szCs w:val="20"/>
          <w:lang w:val="es-ES"/>
        </w:rPr>
        <w:t xml:space="preserve">, en el sitio denominado </w:t>
      </w:r>
      <w:proofErr w:type="spellStart"/>
      <w:r w:rsidR="00402840" w:rsidRPr="0012360B">
        <w:rPr>
          <w:rFonts w:asciiTheme="majorHAnsi" w:hAnsiTheme="majorHAnsi"/>
          <w:sz w:val="20"/>
          <w:szCs w:val="20"/>
          <w:lang w:val="es-ES"/>
        </w:rPr>
        <w:t>Chorillano</w:t>
      </w:r>
      <w:proofErr w:type="spellEnd"/>
      <w:r w:rsidR="00157535">
        <w:rPr>
          <w:rFonts w:asciiTheme="majorHAnsi" w:hAnsiTheme="majorHAnsi"/>
          <w:sz w:val="20"/>
          <w:szCs w:val="20"/>
          <w:lang w:val="es-ES"/>
        </w:rPr>
        <w:t xml:space="preserve">. Afirma que el ataque con armas de fuego le </w:t>
      </w:r>
      <w:r w:rsidR="00236444" w:rsidRPr="0012360B">
        <w:rPr>
          <w:rFonts w:asciiTheme="majorHAnsi" w:hAnsiTheme="majorHAnsi"/>
          <w:sz w:val="20"/>
          <w:szCs w:val="20"/>
          <w:lang w:val="es-ES"/>
        </w:rPr>
        <w:t>ocasion</w:t>
      </w:r>
      <w:r w:rsidR="00157535">
        <w:rPr>
          <w:rFonts w:asciiTheme="majorHAnsi" w:hAnsiTheme="majorHAnsi"/>
          <w:sz w:val="20"/>
          <w:szCs w:val="20"/>
          <w:lang w:val="es-ES"/>
        </w:rPr>
        <w:t>ó</w:t>
      </w:r>
      <w:r w:rsidR="003853BF" w:rsidRPr="0012360B">
        <w:rPr>
          <w:rFonts w:asciiTheme="majorHAnsi" w:hAnsiTheme="majorHAnsi"/>
          <w:sz w:val="20"/>
          <w:szCs w:val="20"/>
          <w:lang w:val="es-ES"/>
        </w:rPr>
        <w:t xml:space="preserve"> la muerte </w:t>
      </w:r>
      <w:r w:rsidR="00157535">
        <w:rPr>
          <w:rFonts w:asciiTheme="majorHAnsi" w:hAnsiTheme="majorHAnsi"/>
          <w:sz w:val="20"/>
          <w:szCs w:val="20"/>
          <w:lang w:val="es-ES"/>
        </w:rPr>
        <w:t>a la presunta víctima</w:t>
      </w:r>
      <w:r w:rsidR="00FA0A9F">
        <w:rPr>
          <w:rFonts w:asciiTheme="majorHAnsi" w:hAnsiTheme="majorHAnsi"/>
          <w:sz w:val="20"/>
          <w:szCs w:val="20"/>
          <w:lang w:val="es-ES"/>
        </w:rPr>
        <w:t xml:space="preserve"> y que s</w:t>
      </w:r>
      <w:r w:rsidR="0042611C" w:rsidRPr="0012360B">
        <w:rPr>
          <w:rFonts w:asciiTheme="majorHAnsi" w:hAnsiTheme="majorHAnsi"/>
          <w:sz w:val="20"/>
          <w:szCs w:val="20"/>
          <w:lang w:val="es-ES"/>
        </w:rPr>
        <w:t>u deceso fue calificado como ocurrido en servicio activo, ya que para e</w:t>
      </w:r>
      <w:r w:rsidR="00FA0A9F">
        <w:rPr>
          <w:rFonts w:asciiTheme="majorHAnsi" w:hAnsiTheme="majorHAnsi"/>
          <w:sz w:val="20"/>
          <w:szCs w:val="20"/>
          <w:lang w:val="es-ES"/>
        </w:rPr>
        <w:t xml:space="preserve">se </w:t>
      </w:r>
      <w:r w:rsidR="0042611C" w:rsidRPr="0012360B">
        <w:rPr>
          <w:rFonts w:asciiTheme="majorHAnsi" w:hAnsiTheme="majorHAnsi"/>
          <w:sz w:val="20"/>
          <w:szCs w:val="20"/>
          <w:lang w:val="es-ES"/>
        </w:rPr>
        <w:t xml:space="preserve">momento </w:t>
      </w:r>
      <w:r w:rsidR="00FA0A9F">
        <w:rPr>
          <w:rFonts w:asciiTheme="majorHAnsi" w:hAnsiTheme="majorHAnsi"/>
          <w:sz w:val="20"/>
          <w:szCs w:val="20"/>
          <w:lang w:val="es-ES"/>
        </w:rPr>
        <w:t>estaba</w:t>
      </w:r>
      <w:r w:rsidR="0042611C" w:rsidRPr="0012360B">
        <w:rPr>
          <w:rFonts w:asciiTheme="majorHAnsi" w:hAnsiTheme="majorHAnsi"/>
          <w:sz w:val="20"/>
          <w:szCs w:val="20"/>
          <w:lang w:val="es-ES"/>
        </w:rPr>
        <w:t xml:space="preserve"> e</w:t>
      </w:r>
      <w:r w:rsidR="00FA0A9F">
        <w:rPr>
          <w:rFonts w:asciiTheme="majorHAnsi" w:hAnsiTheme="majorHAnsi"/>
          <w:sz w:val="20"/>
          <w:szCs w:val="20"/>
          <w:lang w:val="es-ES"/>
        </w:rPr>
        <w:t>n condición de agente policial</w:t>
      </w:r>
      <w:r w:rsidR="0042611C" w:rsidRPr="0012360B">
        <w:rPr>
          <w:rFonts w:asciiTheme="majorHAnsi" w:hAnsiTheme="majorHAnsi"/>
          <w:sz w:val="20"/>
          <w:szCs w:val="20"/>
          <w:lang w:val="es-ES"/>
        </w:rPr>
        <w:t>.</w:t>
      </w:r>
    </w:p>
    <w:p w14:paraId="27F920E3" w14:textId="2ED9E026" w:rsidR="007219FC" w:rsidRPr="0012360B" w:rsidRDefault="00C30D6B"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Aduce </w:t>
      </w:r>
      <w:r w:rsidR="007219FC" w:rsidRPr="0012360B">
        <w:rPr>
          <w:rFonts w:asciiTheme="majorHAnsi" w:hAnsiTheme="majorHAnsi"/>
          <w:sz w:val="20"/>
          <w:szCs w:val="20"/>
          <w:lang w:val="es-ES"/>
        </w:rPr>
        <w:t xml:space="preserve">que la presunta víctima </w:t>
      </w:r>
      <w:r w:rsidR="00182A25">
        <w:rPr>
          <w:rFonts w:asciiTheme="majorHAnsi" w:hAnsiTheme="majorHAnsi"/>
          <w:sz w:val="20"/>
          <w:szCs w:val="20"/>
          <w:lang w:val="es-ES"/>
        </w:rPr>
        <w:t xml:space="preserve">dejó en la orfandad a </w:t>
      </w:r>
      <w:r w:rsidR="00CE0F60">
        <w:rPr>
          <w:rFonts w:asciiTheme="majorHAnsi" w:hAnsiTheme="majorHAnsi"/>
          <w:sz w:val="20"/>
          <w:szCs w:val="20"/>
          <w:lang w:val="es-ES"/>
        </w:rPr>
        <w:t>sus tres</w:t>
      </w:r>
      <w:r w:rsidR="00182A25" w:rsidRPr="0012360B">
        <w:rPr>
          <w:rFonts w:asciiTheme="majorHAnsi" w:hAnsiTheme="majorHAnsi"/>
          <w:sz w:val="20"/>
          <w:szCs w:val="20"/>
          <w:lang w:val="es-ES"/>
        </w:rPr>
        <w:t xml:space="preserve"> hijos</w:t>
      </w:r>
      <w:r w:rsidR="00182A25" w:rsidRPr="0012360B">
        <w:rPr>
          <w:rStyle w:val="FootnoteReference"/>
          <w:rFonts w:asciiTheme="majorHAnsi" w:hAnsiTheme="majorHAnsi"/>
          <w:sz w:val="20"/>
          <w:szCs w:val="20"/>
          <w:lang w:val="es-ES"/>
        </w:rPr>
        <w:footnoteReference w:id="6"/>
      </w:r>
      <w:r w:rsidR="00182A25" w:rsidRPr="0012360B">
        <w:rPr>
          <w:rFonts w:asciiTheme="majorHAnsi" w:hAnsiTheme="majorHAnsi"/>
          <w:sz w:val="20"/>
          <w:szCs w:val="20"/>
          <w:lang w:val="es-ES"/>
        </w:rPr>
        <w:t xml:space="preserve">, </w:t>
      </w:r>
      <w:r w:rsidR="00182A25">
        <w:rPr>
          <w:rFonts w:asciiTheme="majorHAnsi" w:hAnsiTheme="majorHAnsi"/>
          <w:sz w:val="20"/>
          <w:szCs w:val="20"/>
          <w:lang w:val="es-ES"/>
        </w:rPr>
        <w:t>y que s</w:t>
      </w:r>
      <w:r w:rsidR="00182A25" w:rsidRPr="0012360B">
        <w:rPr>
          <w:rFonts w:asciiTheme="majorHAnsi" w:hAnsiTheme="majorHAnsi"/>
          <w:sz w:val="20"/>
          <w:szCs w:val="20"/>
          <w:lang w:val="es-ES"/>
        </w:rPr>
        <w:t>u cónyuge</w:t>
      </w:r>
      <w:r w:rsidR="000951C2">
        <w:rPr>
          <w:rFonts w:asciiTheme="majorHAnsi" w:hAnsiTheme="majorHAnsi"/>
          <w:sz w:val="20"/>
          <w:szCs w:val="20"/>
          <w:lang w:val="es-ES"/>
        </w:rPr>
        <w:t>,</w:t>
      </w:r>
      <w:r w:rsidR="00182A25">
        <w:rPr>
          <w:rFonts w:asciiTheme="majorHAnsi" w:hAnsiTheme="majorHAnsi"/>
          <w:sz w:val="20"/>
          <w:szCs w:val="20"/>
          <w:lang w:val="es-ES"/>
        </w:rPr>
        <w:t xml:space="preserve"> la señora </w:t>
      </w:r>
      <w:r w:rsidR="00182A25" w:rsidRPr="0012360B">
        <w:rPr>
          <w:rFonts w:asciiTheme="majorHAnsi" w:hAnsiTheme="majorHAnsi"/>
          <w:sz w:val="20"/>
          <w:szCs w:val="20"/>
          <w:lang w:val="es-ES"/>
        </w:rPr>
        <w:t>María Rocío Triana Gómez</w:t>
      </w:r>
      <w:r w:rsidR="000951C2">
        <w:rPr>
          <w:rFonts w:asciiTheme="majorHAnsi" w:hAnsiTheme="majorHAnsi"/>
          <w:sz w:val="20"/>
          <w:szCs w:val="20"/>
          <w:lang w:val="es-ES"/>
        </w:rPr>
        <w:t>,</w:t>
      </w:r>
      <w:r w:rsidR="00182A25" w:rsidRPr="0012360B">
        <w:rPr>
          <w:rFonts w:asciiTheme="majorHAnsi" w:hAnsiTheme="majorHAnsi"/>
          <w:sz w:val="20"/>
          <w:szCs w:val="20"/>
          <w:lang w:val="es-ES"/>
        </w:rPr>
        <w:t xml:space="preserve"> se encontraba embarazada</w:t>
      </w:r>
      <w:r w:rsidR="00182A25">
        <w:rPr>
          <w:rFonts w:asciiTheme="majorHAnsi" w:hAnsiTheme="majorHAnsi"/>
          <w:sz w:val="20"/>
          <w:szCs w:val="20"/>
          <w:lang w:val="es-ES"/>
        </w:rPr>
        <w:t xml:space="preserve"> cuando ocurrió </w:t>
      </w:r>
      <w:r w:rsidR="000951C2">
        <w:rPr>
          <w:rFonts w:asciiTheme="majorHAnsi" w:hAnsiTheme="majorHAnsi"/>
          <w:sz w:val="20"/>
          <w:szCs w:val="20"/>
          <w:lang w:val="es-ES"/>
        </w:rPr>
        <w:t>el</w:t>
      </w:r>
      <w:r w:rsidR="00182A25">
        <w:rPr>
          <w:rFonts w:asciiTheme="majorHAnsi" w:hAnsiTheme="majorHAnsi"/>
          <w:sz w:val="20"/>
          <w:szCs w:val="20"/>
          <w:lang w:val="es-ES"/>
        </w:rPr>
        <w:t xml:space="preserve"> deceso</w:t>
      </w:r>
      <w:r w:rsidR="000951C2">
        <w:rPr>
          <w:rFonts w:asciiTheme="majorHAnsi" w:hAnsiTheme="majorHAnsi"/>
          <w:sz w:val="20"/>
          <w:szCs w:val="20"/>
          <w:lang w:val="es-ES"/>
        </w:rPr>
        <w:t xml:space="preserve"> de la presunta víctima</w:t>
      </w:r>
      <w:r w:rsidR="00182A25" w:rsidRPr="0012360B">
        <w:rPr>
          <w:rFonts w:asciiTheme="majorHAnsi" w:hAnsiTheme="majorHAnsi"/>
          <w:sz w:val="20"/>
          <w:szCs w:val="20"/>
          <w:lang w:val="es-ES"/>
        </w:rPr>
        <w:t>.</w:t>
      </w:r>
      <w:r w:rsidR="00182A25">
        <w:rPr>
          <w:rFonts w:asciiTheme="majorHAnsi" w:hAnsiTheme="majorHAnsi"/>
          <w:sz w:val="20"/>
          <w:szCs w:val="20"/>
          <w:lang w:val="es-ES"/>
        </w:rPr>
        <w:t xml:space="preserve"> </w:t>
      </w:r>
      <w:r>
        <w:rPr>
          <w:rFonts w:asciiTheme="majorHAnsi" w:hAnsiTheme="majorHAnsi"/>
          <w:sz w:val="20"/>
          <w:szCs w:val="20"/>
          <w:lang w:val="es-ES"/>
        </w:rPr>
        <w:t>Sostiene</w:t>
      </w:r>
      <w:r w:rsidR="00204067" w:rsidRPr="0012360B">
        <w:rPr>
          <w:rFonts w:asciiTheme="majorHAnsi" w:hAnsiTheme="majorHAnsi"/>
          <w:sz w:val="20"/>
          <w:szCs w:val="20"/>
          <w:lang w:val="es-ES"/>
        </w:rPr>
        <w:t xml:space="preserve"> que la muerte de la presunta víctima generó un perjuicio moral</w:t>
      </w:r>
      <w:r w:rsidR="00182A25">
        <w:rPr>
          <w:rFonts w:asciiTheme="majorHAnsi" w:hAnsiTheme="majorHAnsi"/>
          <w:sz w:val="20"/>
          <w:szCs w:val="20"/>
          <w:lang w:val="es-ES"/>
        </w:rPr>
        <w:t xml:space="preserve"> y </w:t>
      </w:r>
      <w:r w:rsidR="00204067" w:rsidRPr="0012360B">
        <w:rPr>
          <w:rFonts w:asciiTheme="majorHAnsi" w:hAnsiTheme="majorHAnsi"/>
          <w:sz w:val="20"/>
          <w:szCs w:val="20"/>
          <w:lang w:val="es-ES" w:eastAsia="ja-JP"/>
        </w:rPr>
        <w:t>alter</w:t>
      </w:r>
      <w:r w:rsidR="00182A25">
        <w:rPr>
          <w:rFonts w:asciiTheme="majorHAnsi" w:hAnsiTheme="majorHAnsi"/>
          <w:sz w:val="20"/>
          <w:szCs w:val="20"/>
          <w:lang w:val="es-ES" w:eastAsia="ja-JP"/>
        </w:rPr>
        <w:t>ó</w:t>
      </w:r>
      <w:r w:rsidR="00204067" w:rsidRPr="0012360B">
        <w:rPr>
          <w:rFonts w:asciiTheme="majorHAnsi" w:hAnsiTheme="majorHAnsi"/>
          <w:sz w:val="20"/>
          <w:szCs w:val="20"/>
          <w:lang w:val="es-ES" w:eastAsia="ja-JP"/>
        </w:rPr>
        <w:t xml:space="preserve"> la tranquilidad del núcleo familiar como </w:t>
      </w:r>
      <w:r w:rsidR="000951C2">
        <w:rPr>
          <w:rFonts w:asciiTheme="majorHAnsi" w:hAnsiTheme="majorHAnsi"/>
          <w:sz w:val="20"/>
          <w:szCs w:val="20"/>
          <w:lang w:val="es-ES" w:eastAsia="ja-JP"/>
        </w:rPr>
        <w:t>su</w:t>
      </w:r>
      <w:r w:rsidR="00204067" w:rsidRPr="0012360B">
        <w:rPr>
          <w:rFonts w:asciiTheme="majorHAnsi" w:hAnsiTheme="majorHAnsi"/>
          <w:sz w:val="20"/>
          <w:szCs w:val="20"/>
          <w:lang w:val="es-ES" w:eastAsia="ja-JP"/>
        </w:rPr>
        <w:t xml:space="preserve"> entorno social, cultural y emocional</w:t>
      </w:r>
      <w:r w:rsidR="00182A25">
        <w:rPr>
          <w:rFonts w:asciiTheme="majorHAnsi" w:hAnsiTheme="majorHAnsi"/>
          <w:sz w:val="20"/>
          <w:szCs w:val="20"/>
          <w:lang w:val="es-ES" w:eastAsia="ja-JP"/>
        </w:rPr>
        <w:t xml:space="preserve">. </w:t>
      </w:r>
      <w:r w:rsidR="00B41422">
        <w:rPr>
          <w:rFonts w:asciiTheme="majorHAnsi" w:hAnsiTheme="majorHAnsi"/>
          <w:sz w:val="20"/>
          <w:szCs w:val="20"/>
          <w:lang w:val="es-ES" w:eastAsia="ja-JP"/>
        </w:rPr>
        <w:t>Además,</w:t>
      </w:r>
      <w:r w:rsidR="00182A25">
        <w:rPr>
          <w:rFonts w:asciiTheme="majorHAnsi" w:hAnsiTheme="majorHAnsi"/>
          <w:sz w:val="20"/>
          <w:szCs w:val="20"/>
          <w:lang w:val="es-ES" w:eastAsia="ja-JP"/>
        </w:rPr>
        <w:t xml:space="preserve"> alega que su</w:t>
      </w:r>
      <w:r w:rsidR="00204067" w:rsidRPr="0012360B">
        <w:rPr>
          <w:rFonts w:asciiTheme="majorHAnsi" w:hAnsiTheme="majorHAnsi"/>
          <w:sz w:val="20"/>
          <w:szCs w:val="20"/>
          <w:lang w:val="es-ES" w:eastAsia="ja-JP"/>
        </w:rPr>
        <w:t xml:space="preserve"> familia se vi</w:t>
      </w:r>
      <w:r w:rsidR="00182A25">
        <w:rPr>
          <w:rFonts w:asciiTheme="majorHAnsi" w:hAnsiTheme="majorHAnsi"/>
          <w:sz w:val="20"/>
          <w:szCs w:val="20"/>
          <w:lang w:val="es-ES" w:eastAsia="ja-JP"/>
        </w:rPr>
        <w:t>o</w:t>
      </w:r>
      <w:r w:rsidR="00204067" w:rsidRPr="0012360B">
        <w:rPr>
          <w:rFonts w:asciiTheme="majorHAnsi" w:hAnsiTheme="majorHAnsi"/>
          <w:sz w:val="20"/>
          <w:szCs w:val="20"/>
          <w:lang w:val="es-ES" w:eastAsia="ja-JP"/>
        </w:rPr>
        <w:t xml:space="preserve"> limitad</w:t>
      </w:r>
      <w:r w:rsidR="00182A25">
        <w:rPr>
          <w:rFonts w:asciiTheme="majorHAnsi" w:hAnsiTheme="majorHAnsi"/>
          <w:sz w:val="20"/>
          <w:szCs w:val="20"/>
          <w:lang w:val="es-ES" w:eastAsia="ja-JP"/>
        </w:rPr>
        <w:t>a</w:t>
      </w:r>
      <w:r w:rsidR="00204067" w:rsidRPr="0012360B">
        <w:rPr>
          <w:rFonts w:asciiTheme="majorHAnsi" w:hAnsiTheme="majorHAnsi"/>
          <w:sz w:val="20"/>
          <w:szCs w:val="20"/>
          <w:lang w:val="es-ES" w:eastAsia="ja-JP"/>
        </w:rPr>
        <w:t xml:space="preserve"> </w:t>
      </w:r>
      <w:r w:rsidR="00182A25" w:rsidRPr="0012360B">
        <w:rPr>
          <w:rFonts w:asciiTheme="majorHAnsi" w:hAnsiTheme="majorHAnsi"/>
          <w:sz w:val="20"/>
          <w:szCs w:val="20"/>
          <w:lang w:val="es-ES" w:eastAsia="ja-JP"/>
        </w:rPr>
        <w:t>económica</w:t>
      </w:r>
      <w:r w:rsidR="00182A25">
        <w:rPr>
          <w:rFonts w:asciiTheme="majorHAnsi" w:hAnsiTheme="majorHAnsi"/>
          <w:sz w:val="20"/>
          <w:szCs w:val="20"/>
          <w:lang w:val="es-ES" w:eastAsia="ja-JP"/>
        </w:rPr>
        <w:t>mente, ya</w:t>
      </w:r>
      <w:r w:rsidR="008243F2" w:rsidRPr="0012360B">
        <w:rPr>
          <w:rFonts w:asciiTheme="majorHAnsi" w:hAnsiTheme="majorHAnsi"/>
          <w:sz w:val="20"/>
          <w:szCs w:val="20"/>
          <w:lang w:val="es-ES" w:eastAsia="ja-JP"/>
        </w:rPr>
        <w:t xml:space="preserve"> que</w:t>
      </w:r>
      <w:r w:rsidR="00204067" w:rsidRPr="0012360B">
        <w:rPr>
          <w:rFonts w:asciiTheme="majorHAnsi" w:hAnsiTheme="majorHAnsi"/>
          <w:sz w:val="20"/>
          <w:szCs w:val="20"/>
          <w:lang w:val="es-ES" w:eastAsia="ja-JP"/>
        </w:rPr>
        <w:t xml:space="preserve"> la pensión otorga</w:t>
      </w:r>
      <w:r w:rsidR="00402840" w:rsidRPr="0012360B">
        <w:rPr>
          <w:rFonts w:asciiTheme="majorHAnsi" w:hAnsiTheme="majorHAnsi"/>
          <w:sz w:val="20"/>
          <w:szCs w:val="20"/>
          <w:lang w:val="es-ES" w:eastAsia="ja-JP"/>
        </w:rPr>
        <w:t>da por la Policía Nacional no se configur</w:t>
      </w:r>
      <w:r w:rsidR="00182A25">
        <w:rPr>
          <w:rFonts w:asciiTheme="majorHAnsi" w:hAnsiTheme="majorHAnsi"/>
          <w:sz w:val="20"/>
          <w:szCs w:val="20"/>
          <w:lang w:val="es-ES" w:eastAsia="ja-JP"/>
        </w:rPr>
        <w:t>ó</w:t>
      </w:r>
      <w:r w:rsidR="00402840" w:rsidRPr="0012360B">
        <w:rPr>
          <w:rFonts w:asciiTheme="majorHAnsi" w:hAnsiTheme="majorHAnsi"/>
          <w:sz w:val="20"/>
          <w:szCs w:val="20"/>
          <w:lang w:val="es-ES" w:eastAsia="ja-JP"/>
        </w:rPr>
        <w:t xml:space="preserve"> como</w:t>
      </w:r>
      <w:r w:rsidR="00204067" w:rsidRPr="0012360B">
        <w:rPr>
          <w:rFonts w:asciiTheme="majorHAnsi" w:hAnsiTheme="majorHAnsi"/>
          <w:sz w:val="20"/>
          <w:szCs w:val="20"/>
          <w:lang w:val="es-ES" w:eastAsia="ja-JP"/>
        </w:rPr>
        <w:t xml:space="preserve"> una reparación integral </w:t>
      </w:r>
      <w:r w:rsidR="00402840" w:rsidRPr="0012360B">
        <w:rPr>
          <w:rFonts w:asciiTheme="majorHAnsi" w:hAnsiTheme="majorHAnsi"/>
          <w:sz w:val="20"/>
          <w:szCs w:val="20"/>
          <w:lang w:val="es-ES" w:eastAsia="ja-JP"/>
        </w:rPr>
        <w:t xml:space="preserve">pues </w:t>
      </w:r>
      <w:r w:rsidR="00204067" w:rsidRPr="0012360B">
        <w:rPr>
          <w:rFonts w:asciiTheme="majorHAnsi" w:hAnsiTheme="majorHAnsi"/>
          <w:sz w:val="20"/>
          <w:szCs w:val="20"/>
          <w:lang w:val="es-ES" w:eastAsia="ja-JP"/>
        </w:rPr>
        <w:t>se limita a brindar una pensión inferior al 50%</w:t>
      </w:r>
      <w:r w:rsidR="005B20CD">
        <w:rPr>
          <w:rFonts w:asciiTheme="majorHAnsi" w:hAnsiTheme="majorHAnsi"/>
          <w:sz w:val="20"/>
          <w:szCs w:val="20"/>
          <w:lang w:val="es-ES" w:eastAsia="ja-JP"/>
        </w:rPr>
        <w:t xml:space="preserve"> del sueldo del agente</w:t>
      </w:r>
      <w:r w:rsidR="002D6733" w:rsidRPr="0012360B">
        <w:rPr>
          <w:rFonts w:asciiTheme="majorHAnsi" w:hAnsiTheme="majorHAnsi"/>
          <w:sz w:val="20"/>
          <w:szCs w:val="20"/>
          <w:lang w:val="es-ES" w:eastAsia="ja-JP"/>
        </w:rPr>
        <w:t>.</w:t>
      </w:r>
      <w:r w:rsidR="008243F2" w:rsidRPr="0012360B">
        <w:rPr>
          <w:rFonts w:asciiTheme="majorHAnsi" w:hAnsiTheme="majorHAnsi"/>
          <w:sz w:val="20"/>
          <w:szCs w:val="20"/>
          <w:lang w:val="es-ES" w:eastAsia="ja-JP"/>
        </w:rPr>
        <w:t xml:space="preserve"> A</w:t>
      </w:r>
      <w:r w:rsidR="00182A25">
        <w:rPr>
          <w:rFonts w:asciiTheme="majorHAnsi" w:hAnsiTheme="majorHAnsi"/>
          <w:sz w:val="20"/>
          <w:szCs w:val="20"/>
          <w:lang w:val="es-ES" w:eastAsia="ja-JP"/>
        </w:rPr>
        <w:t>simismo</w:t>
      </w:r>
      <w:r w:rsidR="008243F2" w:rsidRPr="0012360B">
        <w:rPr>
          <w:rFonts w:asciiTheme="majorHAnsi" w:hAnsiTheme="majorHAnsi"/>
          <w:sz w:val="20"/>
          <w:szCs w:val="20"/>
          <w:lang w:val="es-ES" w:eastAsia="ja-JP"/>
        </w:rPr>
        <w:t xml:space="preserve">, </w:t>
      </w:r>
      <w:r w:rsidR="00182A25">
        <w:rPr>
          <w:rFonts w:asciiTheme="majorHAnsi" w:hAnsiTheme="majorHAnsi"/>
          <w:sz w:val="20"/>
          <w:szCs w:val="20"/>
          <w:lang w:val="es-ES" w:eastAsia="ja-JP"/>
        </w:rPr>
        <w:t>señala</w:t>
      </w:r>
      <w:r w:rsidR="009970EE">
        <w:rPr>
          <w:rFonts w:asciiTheme="majorHAnsi" w:hAnsiTheme="majorHAnsi"/>
          <w:sz w:val="20"/>
          <w:szCs w:val="20"/>
          <w:lang w:val="es-ES" w:eastAsia="ja-JP"/>
        </w:rPr>
        <w:t xml:space="preserve"> que </w:t>
      </w:r>
      <w:r w:rsidR="008243F2" w:rsidRPr="0012360B">
        <w:rPr>
          <w:rFonts w:asciiTheme="majorHAnsi" w:hAnsiTheme="majorHAnsi"/>
          <w:sz w:val="20"/>
          <w:szCs w:val="20"/>
          <w:lang w:val="es-ES" w:eastAsia="ja-JP"/>
        </w:rPr>
        <w:t xml:space="preserve">sus familiares no pudieron establecerse en la zona de Villavicencio, </w:t>
      </w:r>
      <w:r w:rsidR="009970EE">
        <w:rPr>
          <w:rFonts w:asciiTheme="majorHAnsi" w:hAnsiTheme="majorHAnsi"/>
          <w:sz w:val="20"/>
          <w:szCs w:val="20"/>
          <w:lang w:val="es-ES" w:eastAsia="ja-JP"/>
        </w:rPr>
        <w:t>después de los hechos</w:t>
      </w:r>
      <w:r w:rsidR="00CD4AFB">
        <w:rPr>
          <w:rFonts w:asciiTheme="majorHAnsi" w:hAnsiTheme="majorHAnsi"/>
          <w:sz w:val="20"/>
          <w:szCs w:val="20"/>
          <w:lang w:val="es-ES" w:eastAsia="ja-JP"/>
        </w:rPr>
        <w:t xml:space="preserve"> y tuvieron que desplazarse a otra región del país</w:t>
      </w:r>
      <w:r w:rsidR="008243F2" w:rsidRPr="0012360B">
        <w:rPr>
          <w:rFonts w:asciiTheme="majorHAnsi" w:hAnsiTheme="majorHAnsi"/>
          <w:sz w:val="20"/>
          <w:szCs w:val="20"/>
          <w:lang w:val="es-ES" w:eastAsia="ja-JP"/>
        </w:rPr>
        <w:t>.</w:t>
      </w:r>
      <w:r w:rsidR="00CD4AFB">
        <w:rPr>
          <w:rFonts w:asciiTheme="majorHAnsi" w:hAnsiTheme="majorHAnsi"/>
          <w:sz w:val="20"/>
          <w:szCs w:val="20"/>
          <w:lang w:val="es-ES" w:eastAsia="ja-JP"/>
        </w:rPr>
        <w:t xml:space="preserve"> </w:t>
      </w:r>
    </w:p>
    <w:p w14:paraId="13954029" w14:textId="31992CE1" w:rsidR="00D62450" w:rsidRDefault="007219FC" w:rsidP="00D624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2360B">
        <w:rPr>
          <w:rFonts w:asciiTheme="majorHAnsi" w:hAnsiTheme="majorHAnsi"/>
          <w:sz w:val="20"/>
          <w:szCs w:val="20"/>
          <w:lang w:val="es-ES"/>
        </w:rPr>
        <w:t>D</w:t>
      </w:r>
      <w:r w:rsidR="00AA2BF1" w:rsidRPr="0012360B">
        <w:rPr>
          <w:rFonts w:asciiTheme="majorHAnsi" w:hAnsiTheme="majorHAnsi"/>
          <w:sz w:val="20"/>
          <w:szCs w:val="20"/>
          <w:lang w:val="es-ES"/>
        </w:rPr>
        <w:t>estaca que la muerte de la presunta víctima obedeció a una falla de servicio</w:t>
      </w:r>
      <w:r w:rsidR="00821954" w:rsidRPr="0012360B">
        <w:rPr>
          <w:rFonts w:asciiTheme="majorHAnsi" w:hAnsiTheme="majorHAnsi"/>
          <w:sz w:val="20"/>
          <w:szCs w:val="20"/>
          <w:lang w:val="es-ES"/>
        </w:rPr>
        <w:t xml:space="preserve"> atribuible al Estado</w:t>
      </w:r>
      <w:r w:rsidR="00AA2BF1" w:rsidRPr="0012360B">
        <w:rPr>
          <w:rFonts w:asciiTheme="majorHAnsi" w:hAnsiTheme="majorHAnsi"/>
          <w:sz w:val="20"/>
          <w:szCs w:val="20"/>
          <w:lang w:val="es-ES"/>
        </w:rPr>
        <w:t xml:space="preserve"> pues con anterioridad a los hechos materia de este asunto, en </w:t>
      </w:r>
      <w:r w:rsidR="00821954" w:rsidRPr="0012360B">
        <w:rPr>
          <w:rFonts w:asciiTheme="majorHAnsi" w:hAnsiTheme="majorHAnsi"/>
          <w:sz w:val="20"/>
          <w:szCs w:val="20"/>
          <w:lang w:val="es-ES"/>
        </w:rPr>
        <w:t xml:space="preserve">el sector de </w:t>
      </w:r>
      <w:proofErr w:type="spellStart"/>
      <w:r w:rsidR="00821954" w:rsidRPr="0012360B">
        <w:rPr>
          <w:rFonts w:asciiTheme="majorHAnsi" w:hAnsiTheme="majorHAnsi"/>
          <w:sz w:val="20"/>
          <w:szCs w:val="20"/>
          <w:lang w:val="es-ES"/>
        </w:rPr>
        <w:t>Chorillano</w:t>
      </w:r>
      <w:proofErr w:type="spellEnd"/>
      <w:r w:rsidR="00821954" w:rsidRPr="0012360B">
        <w:rPr>
          <w:rFonts w:asciiTheme="majorHAnsi" w:hAnsiTheme="majorHAnsi"/>
          <w:sz w:val="20"/>
          <w:szCs w:val="20"/>
          <w:lang w:val="es-ES"/>
        </w:rPr>
        <w:t xml:space="preserve"> </w:t>
      </w:r>
      <w:r w:rsidR="00AA2BF1" w:rsidRPr="0012360B">
        <w:rPr>
          <w:rFonts w:asciiTheme="majorHAnsi" w:hAnsiTheme="majorHAnsi"/>
          <w:sz w:val="20"/>
          <w:szCs w:val="20"/>
          <w:lang w:val="es-ES"/>
        </w:rPr>
        <w:t>se habían presentado ataques guerrilleros con saldo de varios agentes de polic</w:t>
      </w:r>
      <w:r w:rsidR="00821954" w:rsidRPr="0012360B">
        <w:rPr>
          <w:rFonts w:asciiTheme="majorHAnsi" w:hAnsiTheme="majorHAnsi"/>
          <w:sz w:val="20"/>
          <w:szCs w:val="20"/>
          <w:lang w:val="es-ES"/>
        </w:rPr>
        <w:t>ías muertos, debiendo el Estado</w:t>
      </w:r>
      <w:r w:rsidR="00AA2BF1" w:rsidRPr="0012360B">
        <w:rPr>
          <w:rFonts w:asciiTheme="majorHAnsi" w:hAnsiTheme="majorHAnsi"/>
          <w:sz w:val="20"/>
          <w:szCs w:val="20"/>
          <w:lang w:val="es-ES"/>
        </w:rPr>
        <w:t xml:space="preserve"> h</w:t>
      </w:r>
      <w:r w:rsidR="003050F6" w:rsidRPr="0012360B">
        <w:rPr>
          <w:rFonts w:asciiTheme="majorHAnsi" w:hAnsiTheme="majorHAnsi"/>
          <w:sz w:val="20"/>
          <w:szCs w:val="20"/>
          <w:lang w:val="es-ES"/>
        </w:rPr>
        <w:t>aber tomado medidas de control,</w:t>
      </w:r>
      <w:r w:rsidR="00AA2BF1" w:rsidRPr="0012360B">
        <w:rPr>
          <w:rFonts w:asciiTheme="majorHAnsi" w:hAnsiTheme="majorHAnsi"/>
          <w:sz w:val="20"/>
          <w:szCs w:val="20"/>
          <w:lang w:val="es-ES"/>
        </w:rPr>
        <w:t xml:space="preserve"> prevención</w:t>
      </w:r>
      <w:r w:rsidR="003050F6" w:rsidRPr="0012360B">
        <w:rPr>
          <w:rFonts w:asciiTheme="majorHAnsi" w:hAnsiTheme="majorHAnsi"/>
          <w:sz w:val="20"/>
          <w:szCs w:val="20"/>
          <w:lang w:val="es-ES"/>
        </w:rPr>
        <w:t>, seguridad e inteligencia</w:t>
      </w:r>
      <w:r w:rsidR="00402840" w:rsidRPr="0012360B">
        <w:rPr>
          <w:rFonts w:asciiTheme="majorHAnsi" w:hAnsiTheme="majorHAnsi"/>
          <w:sz w:val="20"/>
          <w:szCs w:val="20"/>
          <w:lang w:val="es-ES"/>
        </w:rPr>
        <w:t xml:space="preserve"> a fin de evitar su</w:t>
      </w:r>
      <w:r w:rsidR="00821954" w:rsidRPr="0012360B">
        <w:rPr>
          <w:rFonts w:asciiTheme="majorHAnsi" w:hAnsiTheme="majorHAnsi"/>
          <w:sz w:val="20"/>
          <w:szCs w:val="20"/>
          <w:lang w:val="es-ES"/>
        </w:rPr>
        <w:t xml:space="preserve"> muerte</w:t>
      </w:r>
      <w:r w:rsidR="00AA2BF1" w:rsidRPr="0012360B">
        <w:rPr>
          <w:rFonts w:asciiTheme="majorHAnsi" w:hAnsiTheme="majorHAnsi"/>
          <w:sz w:val="20"/>
          <w:szCs w:val="20"/>
          <w:lang w:val="es-ES"/>
        </w:rPr>
        <w:t xml:space="preserve">. </w:t>
      </w:r>
      <w:r w:rsidR="00B650CF" w:rsidRPr="0012360B">
        <w:rPr>
          <w:rFonts w:asciiTheme="majorHAnsi" w:hAnsiTheme="majorHAnsi" w:cs="Arial"/>
          <w:sz w:val="20"/>
          <w:szCs w:val="20"/>
          <w:lang w:val="es-ES"/>
        </w:rPr>
        <w:t>Señala que la negligencia estatal es aún más grave ya que</w:t>
      </w:r>
      <w:r w:rsidR="008F402B" w:rsidRPr="0012360B">
        <w:rPr>
          <w:rFonts w:asciiTheme="majorHAnsi" w:hAnsiTheme="majorHAnsi" w:cs="Arial"/>
          <w:sz w:val="20"/>
          <w:szCs w:val="20"/>
          <w:lang w:val="es-ES"/>
        </w:rPr>
        <w:t xml:space="preserve"> a menos de 15 kilómetros del lugar de los hechos,</w:t>
      </w:r>
      <w:r w:rsidR="00B650CF" w:rsidRPr="0012360B">
        <w:rPr>
          <w:rFonts w:asciiTheme="majorHAnsi" w:hAnsiTheme="majorHAnsi" w:cs="Arial"/>
          <w:sz w:val="20"/>
          <w:szCs w:val="20"/>
          <w:lang w:val="es-ES"/>
        </w:rPr>
        <w:t xml:space="preserve"> existen instalaciones del </w:t>
      </w:r>
      <w:r w:rsidR="00402840" w:rsidRPr="0012360B">
        <w:rPr>
          <w:rFonts w:asciiTheme="majorHAnsi" w:hAnsiTheme="majorHAnsi" w:cs="Arial"/>
          <w:sz w:val="20"/>
          <w:szCs w:val="20"/>
          <w:lang w:val="es-ES"/>
        </w:rPr>
        <w:t xml:space="preserve">Ejército Nacional, entre ellas la </w:t>
      </w:r>
      <w:r w:rsidR="00B650CF" w:rsidRPr="0012360B">
        <w:rPr>
          <w:rFonts w:asciiTheme="majorHAnsi" w:hAnsiTheme="majorHAnsi" w:cs="Arial"/>
          <w:sz w:val="20"/>
          <w:szCs w:val="20"/>
          <w:lang w:val="es-ES"/>
        </w:rPr>
        <w:t>Cuarta División, S</w:t>
      </w:r>
      <w:r w:rsidR="00B650CF" w:rsidRPr="0012360B">
        <w:rPr>
          <w:rFonts w:asciiTheme="majorHAnsi" w:hAnsiTheme="majorHAnsi"/>
          <w:sz w:val="20"/>
          <w:szCs w:val="20"/>
          <w:lang w:val="es-ES" w:eastAsia="ja-JP"/>
        </w:rPr>
        <w:t xml:space="preserve">éptima Brigada y diversos batallones donde se ubican los mandos militares de grado de General, quienes hubieran podido dar las órdenes necesarias para </w:t>
      </w:r>
      <w:r w:rsidR="002B759C" w:rsidRPr="0012360B">
        <w:rPr>
          <w:rFonts w:asciiTheme="majorHAnsi" w:hAnsiTheme="majorHAnsi"/>
          <w:sz w:val="20"/>
          <w:szCs w:val="20"/>
          <w:lang w:val="es-ES" w:eastAsia="ja-JP"/>
        </w:rPr>
        <w:t>desplazar a los guerrilleros que</w:t>
      </w:r>
      <w:r w:rsidR="00B650CF" w:rsidRPr="0012360B">
        <w:rPr>
          <w:rFonts w:asciiTheme="majorHAnsi" w:hAnsiTheme="majorHAnsi"/>
          <w:sz w:val="20"/>
          <w:szCs w:val="20"/>
          <w:lang w:val="es-ES" w:eastAsia="ja-JP"/>
        </w:rPr>
        <w:t xml:space="preserve"> estuvieron por más de cuatro horas en la zona. Resalta que en la misma ciudad se ubica la Base Aérea de “APIAY” con helicópteros, personal militar, armas y log</w:t>
      </w:r>
      <w:r w:rsidR="00B650CF" w:rsidRPr="0012360B">
        <w:rPr>
          <w:rFonts w:asciiTheme="majorHAnsi" w:hAnsiTheme="majorHAnsi"/>
          <w:sz w:val="20"/>
          <w:szCs w:val="20"/>
          <w:lang w:val="es-ES" w:eastAsia="ko-KR"/>
        </w:rPr>
        <w:t>ística necesaria para hacer presencia oportuna y adecuada en la zona donde había presencia de la subversión.</w:t>
      </w:r>
      <w:r w:rsidR="008F402B" w:rsidRPr="0012360B">
        <w:rPr>
          <w:rFonts w:asciiTheme="majorHAnsi" w:hAnsiTheme="majorHAnsi"/>
          <w:sz w:val="20"/>
          <w:szCs w:val="20"/>
          <w:lang w:val="es-ES" w:eastAsia="ko-KR"/>
        </w:rPr>
        <w:t xml:space="preserve"> </w:t>
      </w:r>
      <w:r w:rsidR="00D62450" w:rsidRPr="0012360B">
        <w:rPr>
          <w:rFonts w:asciiTheme="majorHAnsi" w:hAnsiTheme="majorHAnsi"/>
          <w:sz w:val="20"/>
          <w:szCs w:val="20"/>
          <w:lang w:val="es-ES"/>
        </w:rPr>
        <w:t xml:space="preserve">Aduce que la muerte de la presunta víctima y las implicancias emocionales, socio-culturales y económicas para sus familiares son consecuencia única y directa del conflicto interno que vive el estado colombiano con grupos armados ilegales como FARC y Autodefensas, e implicando una mayor responsabilidad para el Estado, cuando estaba advertido de la presencia en el lugar del grupo insurgente. </w:t>
      </w:r>
    </w:p>
    <w:p w14:paraId="0AD7344B" w14:textId="7406C763" w:rsidR="00661E25" w:rsidRDefault="00661E25" w:rsidP="00661E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En ese contexto, r</w:t>
      </w:r>
      <w:r w:rsidRPr="0012360B">
        <w:rPr>
          <w:rFonts w:asciiTheme="majorHAnsi" w:hAnsiTheme="majorHAnsi"/>
          <w:sz w:val="20"/>
          <w:szCs w:val="20"/>
          <w:lang w:val="es-ES"/>
        </w:rPr>
        <w:t>elata que la población, las autoridades del Municipio de Villav</w:t>
      </w:r>
      <w:r>
        <w:rPr>
          <w:rFonts w:asciiTheme="majorHAnsi" w:hAnsiTheme="majorHAnsi"/>
          <w:sz w:val="20"/>
          <w:szCs w:val="20"/>
          <w:lang w:val="es-ES"/>
        </w:rPr>
        <w:t>icencio</w:t>
      </w:r>
      <w:r w:rsidRPr="0012360B">
        <w:rPr>
          <w:rFonts w:asciiTheme="majorHAnsi" w:hAnsiTheme="majorHAnsi"/>
          <w:sz w:val="20"/>
          <w:szCs w:val="20"/>
          <w:lang w:val="es-ES"/>
        </w:rPr>
        <w:t xml:space="preserve"> y las autoridades del aeropuerto de Vanguardia presentaron informes sobre presencia de grupos armados ilegalmente y solicitaron protección e investigaciones ante la Defensoría del Pueblo, la Procuraduría General de la Nación, Presidencia de la República, Ministerio del Interior y de Justicia, Ministerio de Defensa y Departamento del Meta</w:t>
      </w:r>
      <w:r>
        <w:rPr>
          <w:rFonts w:asciiTheme="majorHAnsi" w:hAnsiTheme="majorHAnsi"/>
          <w:sz w:val="20"/>
          <w:szCs w:val="20"/>
          <w:lang w:val="es-ES"/>
        </w:rPr>
        <w:t xml:space="preserve">. Refiere que dichas acciones </w:t>
      </w:r>
      <w:r w:rsidRPr="0012360B">
        <w:rPr>
          <w:rFonts w:asciiTheme="majorHAnsi" w:hAnsiTheme="majorHAnsi"/>
          <w:sz w:val="20"/>
          <w:szCs w:val="20"/>
          <w:lang w:val="es-ES"/>
        </w:rPr>
        <w:t xml:space="preserve">no tuvieron continuidad ni resultados positivos o concretos, existiendo una omisión del Estado en garantizar los derechos de los ciudadanos sin aportar mayor información. Sostiene que las entidades estatales incumplieron con las disposiciones, deberes u obligaciones sobre derecho internacional humanitario, al no tomar </w:t>
      </w:r>
      <w:r w:rsidR="000951C2">
        <w:rPr>
          <w:rFonts w:asciiTheme="majorHAnsi" w:hAnsiTheme="majorHAnsi"/>
          <w:sz w:val="20"/>
          <w:szCs w:val="20"/>
          <w:lang w:val="es-ES"/>
        </w:rPr>
        <w:t xml:space="preserve">medidas de </w:t>
      </w:r>
      <w:r w:rsidR="000951C2" w:rsidRPr="0012360B">
        <w:rPr>
          <w:rFonts w:asciiTheme="majorHAnsi" w:hAnsiTheme="majorHAnsi"/>
          <w:sz w:val="20"/>
          <w:szCs w:val="20"/>
          <w:lang w:val="es-ES"/>
        </w:rPr>
        <w:t>prevención</w:t>
      </w:r>
      <w:r w:rsidRPr="0012360B">
        <w:rPr>
          <w:rFonts w:asciiTheme="majorHAnsi" w:hAnsiTheme="majorHAnsi"/>
          <w:sz w:val="20"/>
          <w:szCs w:val="20"/>
          <w:lang w:val="es-ES"/>
        </w:rPr>
        <w:t xml:space="preserve"> ante la presencia de grupos armados ilegalmente, generando responsabilidad del Estado, por dicha negligencia u omisión, conforme lo imponen las convenciones o tratados internacionales.  </w:t>
      </w:r>
    </w:p>
    <w:p w14:paraId="225948C7" w14:textId="49EFB58F" w:rsidR="00F53E96" w:rsidRPr="00F53E96" w:rsidRDefault="00F53E96" w:rsidP="00F53E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 xml:space="preserve">Informa que </w:t>
      </w:r>
      <w:r w:rsidRPr="0012360B">
        <w:rPr>
          <w:rFonts w:asciiTheme="majorHAnsi" w:hAnsiTheme="majorHAnsi"/>
          <w:sz w:val="20"/>
          <w:szCs w:val="20"/>
          <w:lang w:val="es-ES"/>
        </w:rPr>
        <w:t>el 7 de julio de 1999 la Fiscalía General de la Nación ordenó realizar una investigación previa en la Fiscalía Quinta Regional de Villavicencio, sin que a la fecha de la presentación de la petición la investigación se encuentre concluida o exista identificación de los re</w:t>
      </w:r>
      <w:r>
        <w:rPr>
          <w:rFonts w:asciiTheme="majorHAnsi" w:hAnsiTheme="majorHAnsi"/>
          <w:sz w:val="20"/>
          <w:szCs w:val="20"/>
          <w:lang w:val="es-ES"/>
        </w:rPr>
        <w:t>sponsables del asesinato</w:t>
      </w:r>
      <w:r w:rsidRPr="0012360B">
        <w:rPr>
          <w:rFonts w:asciiTheme="majorHAnsi" w:hAnsiTheme="majorHAnsi"/>
          <w:sz w:val="20"/>
          <w:szCs w:val="20"/>
          <w:lang w:val="es-ES"/>
        </w:rPr>
        <w:t xml:space="preserve">, ni </w:t>
      </w:r>
      <w:r>
        <w:rPr>
          <w:rFonts w:asciiTheme="majorHAnsi" w:hAnsiTheme="majorHAnsi"/>
          <w:sz w:val="20"/>
          <w:szCs w:val="20"/>
          <w:lang w:val="es-ES"/>
        </w:rPr>
        <w:t>co</w:t>
      </w:r>
      <w:r w:rsidRPr="0012360B">
        <w:rPr>
          <w:rFonts w:asciiTheme="majorHAnsi" w:hAnsiTheme="majorHAnsi"/>
          <w:sz w:val="20"/>
          <w:szCs w:val="20"/>
          <w:lang w:val="es-ES"/>
        </w:rPr>
        <w:t xml:space="preserve">ndena de los mismos. Señala que no </w:t>
      </w:r>
      <w:r>
        <w:rPr>
          <w:rFonts w:asciiTheme="majorHAnsi" w:hAnsiTheme="majorHAnsi"/>
          <w:sz w:val="20"/>
          <w:szCs w:val="20"/>
          <w:lang w:val="es-ES"/>
        </w:rPr>
        <w:t xml:space="preserve">existen </w:t>
      </w:r>
      <w:r w:rsidRPr="0012360B">
        <w:rPr>
          <w:rFonts w:asciiTheme="majorHAnsi" w:hAnsiTheme="majorHAnsi"/>
          <w:sz w:val="20"/>
          <w:szCs w:val="20"/>
          <w:lang w:val="es-ES"/>
        </w:rPr>
        <w:t>recursos, notificaciones o acciones procesales a las víctimas dentro del proceso penal en forma directa</w:t>
      </w:r>
      <w:r>
        <w:rPr>
          <w:rFonts w:asciiTheme="majorHAnsi" w:hAnsiTheme="majorHAnsi"/>
          <w:sz w:val="20"/>
          <w:szCs w:val="20"/>
          <w:lang w:val="es-ES"/>
        </w:rPr>
        <w:t>, pues</w:t>
      </w:r>
      <w:r w:rsidRPr="0012360B">
        <w:rPr>
          <w:rFonts w:asciiTheme="majorHAnsi" w:hAnsiTheme="majorHAnsi"/>
          <w:sz w:val="20"/>
          <w:szCs w:val="20"/>
          <w:lang w:val="es-ES"/>
        </w:rPr>
        <w:t xml:space="preserve"> </w:t>
      </w:r>
      <w:r>
        <w:rPr>
          <w:rFonts w:asciiTheme="majorHAnsi" w:hAnsiTheme="majorHAnsi"/>
          <w:sz w:val="20"/>
          <w:szCs w:val="20"/>
          <w:lang w:val="es-ES"/>
        </w:rPr>
        <w:t xml:space="preserve">primero </w:t>
      </w:r>
      <w:r w:rsidRPr="0012360B">
        <w:rPr>
          <w:rFonts w:asciiTheme="majorHAnsi" w:hAnsiTheme="majorHAnsi"/>
          <w:sz w:val="20"/>
          <w:szCs w:val="20"/>
          <w:lang w:val="es-ES"/>
        </w:rPr>
        <w:t>deben convertirse en parte civil</w:t>
      </w:r>
      <w:r>
        <w:rPr>
          <w:rFonts w:asciiTheme="majorHAnsi" w:hAnsiTheme="majorHAnsi"/>
          <w:sz w:val="20"/>
          <w:szCs w:val="20"/>
          <w:lang w:val="es-ES"/>
        </w:rPr>
        <w:t xml:space="preserve">. </w:t>
      </w:r>
      <w:r w:rsidRPr="0012360B">
        <w:rPr>
          <w:rFonts w:asciiTheme="majorHAnsi" w:hAnsiTheme="majorHAnsi"/>
          <w:sz w:val="20"/>
          <w:szCs w:val="20"/>
          <w:lang w:val="es-ES"/>
        </w:rPr>
        <w:t xml:space="preserve"> </w:t>
      </w:r>
      <w:r>
        <w:rPr>
          <w:rFonts w:asciiTheme="majorHAnsi" w:hAnsiTheme="majorHAnsi"/>
          <w:sz w:val="20"/>
          <w:szCs w:val="20"/>
          <w:lang w:val="es-ES"/>
        </w:rPr>
        <w:t xml:space="preserve">Afirma </w:t>
      </w:r>
      <w:r w:rsidR="00C30D13">
        <w:rPr>
          <w:rFonts w:asciiTheme="majorHAnsi" w:hAnsiTheme="majorHAnsi"/>
          <w:sz w:val="20"/>
          <w:szCs w:val="20"/>
          <w:lang w:val="es-ES"/>
        </w:rPr>
        <w:t>que,</w:t>
      </w:r>
      <w:r>
        <w:rPr>
          <w:rFonts w:asciiTheme="majorHAnsi" w:hAnsiTheme="majorHAnsi"/>
          <w:sz w:val="20"/>
          <w:szCs w:val="20"/>
          <w:lang w:val="es-ES"/>
        </w:rPr>
        <w:t xml:space="preserve"> por lo anterior</w:t>
      </w:r>
      <w:r w:rsidRPr="0012360B">
        <w:rPr>
          <w:rFonts w:asciiTheme="majorHAnsi" w:hAnsiTheme="majorHAnsi"/>
          <w:sz w:val="20"/>
          <w:szCs w:val="20"/>
          <w:lang w:val="es-ES"/>
        </w:rPr>
        <w:t>,</w:t>
      </w:r>
      <w:r>
        <w:rPr>
          <w:rFonts w:asciiTheme="majorHAnsi" w:hAnsiTheme="majorHAnsi"/>
          <w:sz w:val="20"/>
          <w:szCs w:val="20"/>
          <w:lang w:val="es-ES"/>
        </w:rPr>
        <w:t xml:space="preserve"> la familia de la presunta víctima</w:t>
      </w:r>
      <w:r w:rsidRPr="0012360B">
        <w:rPr>
          <w:rFonts w:asciiTheme="majorHAnsi" w:hAnsiTheme="majorHAnsi"/>
          <w:sz w:val="20"/>
          <w:szCs w:val="20"/>
          <w:lang w:val="es-ES"/>
        </w:rPr>
        <w:t xml:space="preserve"> no conoce si el proceso penal</w:t>
      </w:r>
      <w:r>
        <w:rPr>
          <w:rFonts w:asciiTheme="majorHAnsi" w:hAnsiTheme="majorHAnsi"/>
          <w:sz w:val="20"/>
          <w:szCs w:val="20"/>
          <w:lang w:val="es-ES"/>
        </w:rPr>
        <w:t xml:space="preserve"> ha tenido una</w:t>
      </w:r>
      <w:r w:rsidRPr="0012360B">
        <w:rPr>
          <w:rFonts w:asciiTheme="majorHAnsi" w:hAnsiTheme="majorHAnsi"/>
          <w:sz w:val="20"/>
          <w:szCs w:val="20"/>
          <w:lang w:val="es-ES"/>
        </w:rPr>
        <w:t xml:space="preserve"> decisión definitiva ya que no pu</w:t>
      </w:r>
      <w:r>
        <w:rPr>
          <w:rFonts w:asciiTheme="majorHAnsi" w:hAnsiTheme="majorHAnsi"/>
          <w:sz w:val="20"/>
          <w:szCs w:val="20"/>
          <w:lang w:val="es-ES"/>
        </w:rPr>
        <w:t>do</w:t>
      </w:r>
      <w:r w:rsidRPr="0012360B">
        <w:rPr>
          <w:rFonts w:asciiTheme="majorHAnsi" w:hAnsiTheme="majorHAnsi"/>
          <w:sz w:val="20"/>
          <w:szCs w:val="20"/>
          <w:lang w:val="es-ES"/>
        </w:rPr>
        <w:t xml:space="preserve"> se</w:t>
      </w:r>
      <w:r>
        <w:rPr>
          <w:rFonts w:asciiTheme="majorHAnsi" w:hAnsiTheme="majorHAnsi"/>
          <w:sz w:val="20"/>
          <w:szCs w:val="20"/>
          <w:lang w:val="es-ES"/>
        </w:rPr>
        <w:t>r notificada de resolución alguna</w:t>
      </w:r>
      <w:r w:rsidRPr="0012360B">
        <w:rPr>
          <w:rFonts w:asciiTheme="majorHAnsi" w:hAnsiTheme="majorHAnsi"/>
          <w:sz w:val="20"/>
          <w:szCs w:val="20"/>
          <w:lang w:val="es-ES"/>
        </w:rPr>
        <w:t xml:space="preserve">. </w:t>
      </w:r>
    </w:p>
    <w:p w14:paraId="5A21AEE4" w14:textId="540EEE6C" w:rsidR="00790C3F" w:rsidRPr="0012360B" w:rsidRDefault="009A644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Theme="majorHAnsi" w:hAnsiTheme="majorHAnsi"/>
          <w:sz w:val="20"/>
          <w:szCs w:val="20"/>
          <w:lang w:val="es-ES"/>
        </w:rPr>
        <w:t>M</w:t>
      </w:r>
      <w:r w:rsidR="00E6301A" w:rsidRPr="0012360B">
        <w:rPr>
          <w:rFonts w:asciiTheme="majorHAnsi" w:hAnsiTheme="majorHAnsi"/>
          <w:sz w:val="20"/>
          <w:szCs w:val="20"/>
          <w:lang w:val="es-ES"/>
        </w:rPr>
        <w:t xml:space="preserve">anifiesta que </w:t>
      </w:r>
      <w:r w:rsidR="00790C3F" w:rsidRPr="0012360B">
        <w:rPr>
          <w:rFonts w:asciiTheme="majorHAnsi" w:hAnsiTheme="majorHAnsi"/>
          <w:sz w:val="20"/>
          <w:szCs w:val="20"/>
          <w:lang w:val="es-ES"/>
        </w:rPr>
        <w:t xml:space="preserve">la esposa de la presunta víctima </w:t>
      </w:r>
      <w:r w:rsidR="00E6301A" w:rsidRPr="0012360B">
        <w:rPr>
          <w:rFonts w:asciiTheme="majorHAnsi" w:hAnsiTheme="majorHAnsi"/>
          <w:sz w:val="20"/>
          <w:szCs w:val="20"/>
          <w:lang w:val="es-ES"/>
        </w:rPr>
        <w:t xml:space="preserve">inició </w:t>
      </w:r>
      <w:r w:rsidR="00790C3F" w:rsidRPr="0012360B">
        <w:rPr>
          <w:rFonts w:asciiTheme="majorHAnsi" w:hAnsiTheme="majorHAnsi"/>
          <w:sz w:val="20"/>
          <w:szCs w:val="20"/>
          <w:lang w:val="es-ES"/>
        </w:rPr>
        <w:t xml:space="preserve">una demanda </w:t>
      </w:r>
      <w:r w:rsidR="0099339E">
        <w:rPr>
          <w:rFonts w:asciiTheme="majorHAnsi" w:hAnsiTheme="majorHAnsi"/>
          <w:sz w:val="20"/>
          <w:szCs w:val="20"/>
          <w:lang w:val="es-ES"/>
        </w:rPr>
        <w:t xml:space="preserve">el 8 de septiembre de 1998 </w:t>
      </w:r>
      <w:r w:rsidR="00790C3F" w:rsidRPr="0012360B">
        <w:rPr>
          <w:rFonts w:asciiTheme="majorHAnsi" w:hAnsiTheme="majorHAnsi"/>
          <w:sz w:val="20"/>
          <w:szCs w:val="20"/>
          <w:lang w:val="es-ES"/>
        </w:rPr>
        <w:t>en ejercicio de la acción de reparación directa contra la Na</w:t>
      </w:r>
      <w:r w:rsidR="002B759C" w:rsidRPr="0012360B">
        <w:rPr>
          <w:rFonts w:asciiTheme="majorHAnsi" w:hAnsiTheme="majorHAnsi"/>
          <w:sz w:val="20"/>
          <w:szCs w:val="20"/>
          <w:lang w:val="es-ES"/>
        </w:rPr>
        <w:t xml:space="preserve">ción – Ministerio de Defensa- </w:t>
      </w:r>
      <w:r w:rsidR="00790C3F" w:rsidRPr="0012360B">
        <w:rPr>
          <w:rFonts w:asciiTheme="majorHAnsi" w:hAnsiTheme="majorHAnsi"/>
          <w:sz w:val="20"/>
          <w:szCs w:val="20"/>
          <w:lang w:val="es-ES"/>
        </w:rPr>
        <w:t xml:space="preserve">Policía Nacional, la que fue rechazada por el </w:t>
      </w:r>
      <w:r w:rsidR="00842CC4" w:rsidRPr="0012360B">
        <w:rPr>
          <w:rFonts w:asciiTheme="majorHAnsi" w:hAnsiTheme="majorHAnsi"/>
          <w:sz w:val="20"/>
          <w:szCs w:val="20"/>
          <w:lang w:val="es-ES"/>
        </w:rPr>
        <w:t>Tribunal Conte</w:t>
      </w:r>
      <w:r w:rsidR="00790C3F" w:rsidRPr="0012360B">
        <w:rPr>
          <w:rFonts w:asciiTheme="majorHAnsi" w:hAnsiTheme="majorHAnsi"/>
          <w:sz w:val="20"/>
          <w:szCs w:val="20"/>
          <w:lang w:val="es-ES"/>
        </w:rPr>
        <w:t>ncioso Administrativo del Meta el 17 de abril de 2001</w:t>
      </w:r>
      <w:r w:rsidR="00406E3B">
        <w:rPr>
          <w:rFonts w:asciiTheme="majorHAnsi" w:hAnsiTheme="majorHAnsi"/>
          <w:sz w:val="20"/>
          <w:szCs w:val="20"/>
          <w:lang w:val="es-ES"/>
        </w:rPr>
        <w:t xml:space="preserve">. </w:t>
      </w:r>
      <w:r w:rsidR="00FB79FD" w:rsidRPr="0012360B">
        <w:rPr>
          <w:rFonts w:asciiTheme="majorHAnsi" w:hAnsiTheme="majorHAnsi"/>
          <w:sz w:val="20"/>
          <w:szCs w:val="20"/>
          <w:lang w:val="es-ES"/>
        </w:rPr>
        <w:t>El peticionario</w:t>
      </w:r>
      <w:r>
        <w:rPr>
          <w:rFonts w:asciiTheme="majorHAnsi" w:hAnsiTheme="majorHAnsi"/>
          <w:sz w:val="20"/>
          <w:szCs w:val="20"/>
          <w:lang w:val="es-ES"/>
        </w:rPr>
        <w:t xml:space="preserve"> indica </w:t>
      </w:r>
      <w:r>
        <w:rPr>
          <w:rFonts w:asciiTheme="majorHAnsi" w:hAnsiTheme="majorHAnsi"/>
          <w:sz w:val="20"/>
          <w:szCs w:val="20"/>
          <w:lang w:val="es-ES"/>
        </w:rPr>
        <w:lastRenderedPageBreak/>
        <w:t>que</w:t>
      </w:r>
      <w:r w:rsidR="00FB79FD" w:rsidRPr="0012360B">
        <w:rPr>
          <w:rFonts w:asciiTheme="majorHAnsi" w:hAnsiTheme="majorHAnsi"/>
          <w:sz w:val="20"/>
          <w:szCs w:val="20"/>
          <w:lang w:val="es-ES"/>
        </w:rPr>
        <w:t xml:space="preserve"> apeló dicha decisión, la que fue confirmada el d</w:t>
      </w:r>
      <w:r w:rsidR="00C740BF" w:rsidRPr="0012360B">
        <w:rPr>
          <w:rFonts w:asciiTheme="majorHAnsi" w:hAnsiTheme="majorHAnsi"/>
          <w:sz w:val="20"/>
          <w:szCs w:val="20"/>
          <w:lang w:val="es-ES"/>
        </w:rPr>
        <w:t>ía 7 de julio de 2011</w:t>
      </w:r>
      <w:r w:rsidR="00C7761D">
        <w:rPr>
          <w:rFonts w:asciiTheme="majorHAnsi" w:hAnsiTheme="majorHAnsi"/>
          <w:sz w:val="20"/>
          <w:szCs w:val="20"/>
          <w:lang w:val="es-ES"/>
        </w:rPr>
        <w:t xml:space="preserve"> por la Sala de </w:t>
      </w:r>
      <w:r w:rsidR="00950B7D">
        <w:rPr>
          <w:rFonts w:asciiTheme="majorHAnsi" w:hAnsiTheme="majorHAnsi"/>
          <w:sz w:val="20"/>
          <w:szCs w:val="20"/>
          <w:lang w:val="es-ES"/>
        </w:rPr>
        <w:t xml:space="preserve">lo </w:t>
      </w:r>
      <w:r w:rsidR="00C7761D">
        <w:rPr>
          <w:rFonts w:asciiTheme="majorHAnsi" w:hAnsiTheme="majorHAnsi"/>
          <w:sz w:val="20"/>
          <w:szCs w:val="20"/>
          <w:lang w:val="es-ES"/>
        </w:rPr>
        <w:t xml:space="preserve">Contencioso Administrativo </w:t>
      </w:r>
      <w:r w:rsidR="00950B7D">
        <w:rPr>
          <w:rFonts w:asciiTheme="majorHAnsi" w:hAnsiTheme="majorHAnsi"/>
          <w:sz w:val="20"/>
          <w:szCs w:val="20"/>
          <w:lang w:val="es-ES"/>
        </w:rPr>
        <w:t>-</w:t>
      </w:r>
      <w:r w:rsidR="00C7761D">
        <w:rPr>
          <w:rFonts w:asciiTheme="majorHAnsi" w:hAnsiTheme="majorHAnsi"/>
          <w:sz w:val="20"/>
          <w:szCs w:val="20"/>
          <w:lang w:val="es-ES"/>
        </w:rPr>
        <w:t>Sección tercera</w:t>
      </w:r>
      <w:r w:rsidR="00950B7D">
        <w:rPr>
          <w:rFonts w:asciiTheme="majorHAnsi" w:hAnsiTheme="majorHAnsi"/>
          <w:sz w:val="20"/>
          <w:szCs w:val="20"/>
          <w:lang w:val="es-ES"/>
        </w:rPr>
        <w:t>-</w:t>
      </w:r>
      <w:r w:rsidR="00C7761D">
        <w:rPr>
          <w:rFonts w:asciiTheme="majorHAnsi" w:hAnsiTheme="majorHAnsi"/>
          <w:sz w:val="20"/>
          <w:szCs w:val="20"/>
          <w:lang w:val="es-ES"/>
        </w:rPr>
        <w:t xml:space="preserve"> del Consejo de Estado</w:t>
      </w:r>
      <w:r w:rsidR="00C740BF" w:rsidRPr="0012360B">
        <w:rPr>
          <w:rFonts w:asciiTheme="majorHAnsi" w:hAnsiTheme="majorHAnsi"/>
          <w:sz w:val="20"/>
          <w:szCs w:val="20"/>
          <w:lang w:val="es-ES"/>
        </w:rPr>
        <w:t>, diez años despu</w:t>
      </w:r>
      <w:r w:rsidR="00C740BF" w:rsidRPr="0012360B">
        <w:rPr>
          <w:rFonts w:asciiTheme="majorHAnsi" w:hAnsiTheme="majorHAnsi"/>
          <w:sz w:val="20"/>
          <w:szCs w:val="20"/>
          <w:lang w:val="es-ES" w:eastAsia="ja-JP"/>
        </w:rPr>
        <w:t>és, lo que considera</w:t>
      </w:r>
      <w:r w:rsidR="005B20CD">
        <w:rPr>
          <w:rFonts w:asciiTheme="majorHAnsi" w:hAnsiTheme="majorHAnsi"/>
          <w:sz w:val="20"/>
          <w:szCs w:val="20"/>
          <w:lang w:val="es-ES" w:eastAsia="ja-JP"/>
        </w:rPr>
        <w:t xml:space="preserve"> violatorio del artículo 46.2.c.</w:t>
      </w:r>
      <w:r w:rsidR="00C740BF" w:rsidRPr="0012360B">
        <w:rPr>
          <w:rFonts w:asciiTheme="majorHAnsi" w:hAnsiTheme="majorHAnsi"/>
          <w:sz w:val="20"/>
          <w:szCs w:val="20"/>
          <w:lang w:val="es-ES" w:eastAsia="ja-JP"/>
        </w:rPr>
        <w:t xml:space="preserve"> de la Convención.</w:t>
      </w:r>
    </w:p>
    <w:p w14:paraId="544102D9" w14:textId="48290868" w:rsidR="00DD2418" w:rsidRPr="0012360B" w:rsidRDefault="00F14602"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2360B">
        <w:rPr>
          <w:rFonts w:asciiTheme="majorHAnsi" w:hAnsiTheme="majorHAnsi"/>
          <w:sz w:val="20"/>
          <w:szCs w:val="20"/>
          <w:lang w:val="es-ES"/>
        </w:rPr>
        <w:t>Por su parte</w:t>
      </w:r>
      <w:r w:rsidR="00D62450" w:rsidRPr="0012360B">
        <w:rPr>
          <w:rFonts w:asciiTheme="majorHAnsi" w:hAnsiTheme="majorHAnsi"/>
          <w:sz w:val="20"/>
          <w:szCs w:val="20"/>
          <w:lang w:val="es-ES"/>
        </w:rPr>
        <w:t>,</w:t>
      </w:r>
      <w:r w:rsidRPr="0012360B">
        <w:rPr>
          <w:rFonts w:asciiTheme="majorHAnsi" w:hAnsiTheme="majorHAnsi"/>
          <w:sz w:val="20"/>
          <w:szCs w:val="20"/>
          <w:lang w:val="es-ES"/>
        </w:rPr>
        <w:t xml:space="preserve"> el Estado señala que </w:t>
      </w:r>
      <w:r w:rsidR="00DD2418" w:rsidRPr="0012360B">
        <w:rPr>
          <w:rFonts w:asciiTheme="majorHAnsi" w:hAnsiTheme="majorHAnsi"/>
          <w:sz w:val="20"/>
          <w:szCs w:val="20"/>
          <w:lang w:val="es-ES"/>
        </w:rPr>
        <w:t>los hechos denunciados por el peticionario no caracterizan una violación de los derechos garantizados por la Convención ya que los hechos no son atribuibles al Estado conforme los parámetros establecidos en la Resolución A/RES/56/83 de la Asamblea General de las Naciones Unidas sobre la Responsabilidad del Estado por hechos internacionalmente ilícitos.</w:t>
      </w:r>
      <w:r w:rsidR="000951C2">
        <w:rPr>
          <w:rFonts w:asciiTheme="majorHAnsi" w:hAnsiTheme="majorHAnsi"/>
          <w:sz w:val="20"/>
          <w:szCs w:val="20"/>
          <w:lang w:val="es-ES"/>
        </w:rPr>
        <w:t xml:space="preserve">  S</w:t>
      </w:r>
      <w:r w:rsidR="00D060FC" w:rsidRPr="0012360B">
        <w:rPr>
          <w:rFonts w:asciiTheme="majorHAnsi" w:hAnsiTheme="majorHAnsi"/>
          <w:sz w:val="20"/>
          <w:szCs w:val="20"/>
          <w:lang w:val="es-ES"/>
        </w:rPr>
        <w:t>ostiene que resulta claro que la muerte de la presunta víctima no puede ser imputada a agentes u organismos estatales en la medida en que fue ocasionada por las FARC</w:t>
      </w:r>
      <w:r w:rsidR="00F53E96">
        <w:rPr>
          <w:rFonts w:asciiTheme="majorHAnsi" w:hAnsiTheme="majorHAnsi"/>
          <w:sz w:val="20"/>
          <w:szCs w:val="20"/>
          <w:lang w:val="es-ES"/>
        </w:rPr>
        <w:t>. Alega que</w:t>
      </w:r>
      <w:r w:rsidR="00D060FC" w:rsidRPr="0012360B">
        <w:rPr>
          <w:rFonts w:asciiTheme="majorHAnsi" w:hAnsiTheme="majorHAnsi"/>
          <w:sz w:val="20"/>
          <w:szCs w:val="20"/>
          <w:lang w:val="es-ES"/>
        </w:rPr>
        <w:t xml:space="preserve"> el Estado no ha incurrido en una vulneración de su deber de prevención</w:t>
      </w:r>
      <w:r w:rsidR="00F53E96">
        <w:rPr>
          <w:rFonts w:asciiTheme="majorHAnsi" w:hAnsiTheme="majorHAnsi"/>
          <w:sz w:val="20"/>
          <w:szCs w:val="20"/>
          <w:lang w:val="es-ES"/>
        </w:rPr>
        <w:t>,</w:t>
      </w:r>
      <w:r w:rsidR="00D060FC" w:rsidRPr="0012360B">
        <w:rPr>
          <w:rFonts w:asciiTheme="majorHAnsi" w:hAnsiTheme="majorHAnsi"/>
          <w:sz w:val="20"/>
          <w:szCs w:val="20"/>
          <w:lang w:val="es-ES"/>
        </w:rPr>
        <w:t xml:space="preserve"> ya que la condición de miembro de la fuerza pública de la presunta víctima conlleva una serie de riesgos propios de la profesión, dentro de los que se incluye la posibilidad de sufrir afectaciones a su integridad o su vida debido a la acción de grupos armados al margen de la ley. Además, manifiesta que, en el marco de estos riesgos, no está probado que el Estado tuviera cono</w:t>
      </w:r>
      <w:r w:rsidR="00CD4AFB">
        <w:rPr>
          <w:rFonts w:asciiTheme="majorHAnsi" w:hAnsiTheme="majorHAnsi"/>
          <w:sz w:val="20"/>
          <w:szCs w:val="20"/>
          <w:lang w:val="es-ES"/>
        </w:rPr>
        <w:t>cimiento de la existencia de un peligro</w:t>
      </w:r>
      <w:r w:rsidR="00D060FC" w:rsidRPr="0012360B">
        <w:rPr>
          <w:rFonts w:asciiTheme="majorHAnsi" w:hAnsiTheme="majorHAnsi"/>
          <w:sz w:val="20"/>
          <w:szCs w:val="20"/>
          <w:lang w:val="es-ES"/>
        </w:rPr>
        <w:t xml:space="preserve"> real o inmediato, adicional al que corresponde al ejercicio habitual de sus funciones, por lo que no le correspondía tomar medidas especiales de protección con respecto a</w:t>
      </w:r>
      <w:r w:rsidR="005B20CD">
        <w:rPr>
          <w:rFonts w:asciiTheme="majorHAnsi" w:hAnsiTheme="majorHAnsi"/>
          <w:sz w:val="20"/>
          <w:szCs w:val="20"/>
          <w:lang w:val="es-ES"/>
        </w:rPr>
        <w:t xml:space="preserve"> la presunta víctima</w:t>
      </w:r>
      <w:r w:rsidR="00D060FC" w:rsidRPr="0012360B">
        <w:rPr>
          <w:rFonts w:asciiTheme="majorHAnsi" w:hAnsiTheme="majorHAnsi"/>
          <w:sz w:val="20"/>
          <w:szCs w:val="20"/>
          <w:lang w:val="es-ES"/>
        </w:rPr>
        <w:t>.</w:t>
      </w:r>
      <w:r w:rsidR="003A0BAB" w:rsidRPr="0012360B">
        <w:rPr>
          <w:rFonts w:asciiTheme="majorHAnsi" w:hAnsiTheme="majorHAnsi"/>
          <w:sz w:val="20"/>
          <w:szCs w:val="20"/>
          <w:lang w:val="es-ES"/>
        </w:rPr>
        <w:t xml:space="preserve"> Por lo tanto, el Estado requiere</w:t>
      </w:r>
      <w:r w:rsidR="00C27B94" w:rsidRPr="0012360B">
        <w:rPr>
          <w:rFonts w:asciiTheme="majorHAnsi" w:hAnsiTheme="majorHAnsi"/>
          <w:sz w:val="20"/>
          <w:szCs w:val="20"/>
          <w:lang w:val="es-ES"/>
        </w:rPr>
        <w:t xml:space="preserve"> que la petición </w:t>
      </w:r>
      <w:r w:rsidR="000951C2">
        <w:rPr>
          <w:rFonts w:asciiTheme="majorHAnsi" w:hAnsiTheme="majorHAnsi"/>
          <w:sz w:val="20"/>
          <w:szCs w:val="20"/>
          <w:lang w:val="es-ES"/>
        </w:rPr>
        <w:t>sea</w:t>
      </w:r>
      <w:r w:rsidR="00C27B94" w:rsidRPr="0012360B">
        <w:rPr>
          <w:rFonts w:asciiTheme="majorHAnsi" w:hAnsiTheme="majorHAnsi"/>
          <w:sz w:val="20"/>
          <w:szCs w:val="20"/>
          <w:lang w:val="es-ES"/>
        </w:rPr>
        <w:t xml:space="preserve"> considerada inadmisible conforme lo establecido en el artículo 47.b de la Convención.</w:t>
      </w:r>
    </w:p>
    <w:p w14:paraId="32A62580" w14:textId="0C099B86" w:rsidR="004C78FE" w:rsidRPr="0012360B" w:rsidRDefault="004C78F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2360B">
        <w:rPr>
          <w:rFonts w:asciiTheme="majorHAnsi" w:hAnsiTheme="majorHAnsi"/>
          <w:sz w:val="20"/>
          <w:szCs w:val="20"/>
          <w:lang w:val="es-ES"/>
        </w:rPr>
        <w:t xml:space="preserve">Argumenta que desde el año 2010, el Estado ha reiterado su reconocimiento de la existencia de una situación de conflicto armado de carácter no internacional, que azota a Colombia hace más de 60 años, frente a instancias nacionales e internacionales. Sin perjuicio de ello, señala que la mera existencia del grupo armado al margen de la ley, no implica que el Estado conozca cuándo y cómo se presentan sus actividades </w:t>
      </w:r>
      <w:r w:rsidR="003326AA" w:rsidRPr="0012360B">
        <w:rPr>
          <w:rFonts w:asciiTheme="majorHAnsi" w:hAnsiTheme="majorHAnsi"/>
          <w:sz w:val="20"/>
          <w:szCs w:val="20"/>
          <w:lang w:val="es-ES"/>
        </w:rPr>
        <w:t>delictivas</w:t>
      </w:r>
      <w:r w:rsidRPr="0012360B">
        <w:rPr>
          <w:rFonts w:asciiTheme="majorHAnsi" w:hAnsiTheme="majorHAnsi"/>
          <w:sz w:val="20"/>
          <w:szCs w:val="20"/>
          <w:lang w:val="es-ES"/>
        </w:rPr>
        <w:t xml:space="preserve">. Por lo tanto, para poder demostrar que las autoridades estatales tenían conocimiento de un posible actuar criminal o de una operación que podría afectar a la población bajo su custodia en el marco de un conflicto armado, se deben presentar elementos que permitan establecer que se conocía del riesgo, lo que no se puede dar simplemente por la cercanía con puestos militares. Asimismo, aduce que la presunta víctima </w:t>
      </w:r>
      <w:r w:rsidR="00B41422" w:rsidRPr="0012360B">
        <w:rPr>
          <w:rFonts w:asciiTheme="majorHAnsi" w:hAnsiTheme="majorHAnsi"/>
          <w:sz w:val="20"/>
          <w:szCs w:val="20"/>
          <w:lang w:val="es-ES"/>
        </w:rPr>
        <w:t>se encontraba</w:t>
      </w:r>
      <w:r w:rsidRPr="0012360B">
        <w:rPr>
          <w:rFonts w:asciiTheme="majorHAnsi" w:hAnsiTheme="majorHAnsi"/>
          <w:sz w:val="20"/>
          <w:szCs w:val="20"/>
          <w:lang w:val="es-ES"/>
        </w:rPr>
        <w:t xml:space="preserve"> en el lugar de su deceso al margen de las órdenes de sus superiores jerárquicos por lo que no se aportan elementos que demuestren una conducta omisiva del Estado con respecto a la protección de la presunta víctima, ya que él acudió al sitio de los hechos por voluntad propia y con pleno conocimiento de la existencia del retén en donde perdió la vida.</w:t>
      </w:r>
    </w:p>
    <w:p w14:paraId="009B94BD" w14:textId="28CC2770" w:rsidR="00E26177" w:rsidRPr="0012360B" w:rsidRDefault="00DD2418"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2360B">
        <w:rPr>
          <w:rFonts w:asciiTheme="majorHAnsi" w:hAnsiTheme="majorHAnsi"/>
          <w:sz w:val="20"/>
          <w:szCs w:val="20"/>
          <w:lang w:val="es-ES"/>
        </w:rPr>
        <w:t>Sobre el agotamiento de los recursos internos</w:t>
      </w:r>
      <w:r w:rsidR="00F14602" w:rsidRPr="0012360B">
        <w:rPr>
          <w:rFonts w:asciiTheme="majorHAnsi" w:hAnsiTheme="majorHAnsi"/>
          <w:sz w:val="20"/>
          <w:szCs w:val="20"/>
          <w:lang w:val="es-ES"/>
        </w:rPr>
        <w:t>,</w:t>
      </w:r>
      <w:r w:rsidRPr="0012360B">
        <w:rPr>
          <w:rFonts w:asciiTheme="majorHAnsi" w:hAnsiTheme="majorHAnsi"/>
          <w:sz w:val="20"/>
          <w:szCs w:val="20"/>
          <w:lang w:val="es-ES"/>
        </w:rPr>
        <w:t xml:space="preserve"> indica que</w:t>
      </w:r>
      <w:r w:rsidR="00F14602" w:rsidRPr="0012360B">
        <w:rPr>
          <w:rFonts w:asciiTheme="majorHAnsi" w:hAnsiTheme="majorHAnsi"/>
          <w:sz w:val="20"/>
          <w:szCs w:val="20"/>
          <w:lang w:val="es-ES"/>
        </w:rPr>
        <w:t xml:space="preserve"> la Fiscalía 8 Especializada de la ciudad de Villavicencio, inició la investigación No 35208</w:t>
      </w:r>
      <w:r w:rsidR="00682796" w:rsidRPr="0012360B">
        <w:rPr>
          <w:rFonts w:asciiTheme="majorHAnsi" w:hAnsiTheme="majorHAnsi"/>
          <w:sz w:val="20"/>
          <w:szCs w:val="20"/>
          <w:lang w:val="es-ES"/>
        </w:rPr>
        <w:t xml:space="preserve"> el 7 de julio de 1999 contra el señor Edwin Escobar</w:t>
      </w:r>
      <w:r w:rsidR="003A0BAB" w:rsidRPr="0012360B">
        <w:rPr>
          <w:rFonts w:asciiTheme="majorHAnsi" w:hAnsiTheme="majorHAnsi"/>
          <w:sz w:val="20"/>
          <w:szCs w:val="20"/>
          <w:lang w:val="es-ES"/>
        </w:rPr>
        <w:t xml:space="preserve"> </w:t>
      </w:r>
      <w:r w:rsidR="00682796" w:rsidRPr="0012360B">
        <w:rPr>
          <w:rFonts w:asciiTheme="majorHAnsi" w:hAnsiTheme="majorHAnsi"/>
          <w:sz w:val="20"/>
          <w:szCs w:val="20"/>
          <w:lang w:val="es-ES"/>
        </w:rPr>
        <w:t xml:space="preserve">Useche </w:t>
      </w:r>
      <w:r w:rsidR="003A0BAB" w:rsidRPr="0012360B">
        <w:rPr>
          <w:rFonts w:asciiTheme="majorHAnsi" w:hAnsiTheme="majorHAnsi"/>
          <w:sz w:val="20"/>
          <w:szCs w:val="20"/>
          <w:lang w:val="es-ES"/>
        </w:rPr>
        <w:t xml:space="preserve">(miembro al Frente 53 de las FARC) </w:t>
      </w:r>
      <w:r w:rsidR="00682796" w:rsidRPr="0012360B">
        <w:rPr>
          <w:rFonts w:asciiTheme="majorHAnsi" w:hAnsiTheme="majorHAnsi"/>
          <w:sz w:val="20"/>
          <w:szCs w:val="20"/>
          <w:lang w:val="es-ES"/>
        </w:rPr>
        <w:t>como posible autor de los delitos de homicidio con fines terroristas, secuestro extorsivo y rebelión en el marco del retén ilegal del 6 de marzo de 1998.</w:t>
      </w:r>
      <w:r w:rsidR="003B2ADB" w:rsidRPr="0012360B">
        <w:rPr>
          <w:rFonts w:asciiTheme="majorHAnsi" w:hAnsiTheme="majorHAnsi"/>
          <w:sz w:val="20"/>
          <w:szCs w:val="20"/>
          <w:lang w:val="es-ES"/>
        </w:rPr>
        <w:t xml:space="preserve"> Indica que el 18 de marzo de 2002, se profirió decisión </w:t>
      </w:r>
      <w:proofErr w:type="spellStart"/>
      <w:r w:rsidR="003B2ADB" w:rsidRPr="0012360B">
        <w:rPr>
          <w:rFonts w:asciiTheme="majorHAnsi" w:hAnsiTheme="majorHAnsi"/>
          <w:sz w:val="20"/>
          <w:szCs w:val="20"/>
          <w:lang w:val="es-ES"/>
        </w:rPr>
        <w:t>precluyendo</w:t>
      </w:r>
      <w:proofErr w:type="spellEnd"/>
      <w:r w:rsidR="003B2ADB" w:rsidRPr="0012360B">
        <w:rPr>
          <w:rFonts w:asciiTheme="majorHAnsi" w:hAnsiTheme="majorHAnsi"/>
          <w:sz w:val="20"/>
          <w:szCs w:val="20"/>
          <w:lang w:val="es-ES"/>
        </w:rPr>
        <w:t xml:space="preserve"> la investigación</w:t>
      </w:r>
      <w:r w:rsidR="00F53E96">
        <w:rPr>
          <w:rFonts w:asciiTheme="majorHAnsi" w:hAnsiTheme="majorHAnsi"/>
          <w:sz w:val="20"/>
          <w:szCs w:val="20"/>
          <w:lang w:val="es-ES"/>
        </w:rPr>
        <w:t>,</w:t>
      </w:r>
      <w:r w:rsidR="003B2ADB" w:rsidRPr="0012360B">
        <w:rPr>
          <w:rFonts w:asciiTheme="majorHAnsi" w:hAnsiTheme="majorHAnsi"/>
          <w:sz w:val="20"/>
          <w:szCs w:val="20"/>
          <w:lang w:val="es-ES"/>
        </w:rPr>
        <w:t xml:space="preserve"> la que quedó ejecutoriada el 10 de abril del mismo año por la falta de acervo probatorio para iniciar acción penal en contra del investig</w:t>
      </w:r>
      <w:r w:rsidR="00682796" w:rsidRPr="0012360B">
        <w:rPr>
          <w:rFonts w:asciiTheme="majorHAnsi" w:hAnsiTheme="majorHAnsi"/>
          <w:sz w:val="20"/>
          <w:szCs w:val="20"/>
          <w:lang w:val="es-ES"/>
        </w:rPr>
        <w:t xml:space="preserve">ado. </w:t>
      </w:r>
      <w:r w:rsidR="003B2ADB" w:rsidRPr="0012360B">
        <w:rPr>
          <w:rFonts w:asciiTheme="majorHAnsi" w:hAnsiTheme="majorHAnsi"/>
          <w:sz w:val="20"/>
          <w:szCs w:val="20"/>
          <w:lang w:val="es-ES"/>
        </w:rPr>
        <w:t>Manifiesta que la Fiscal</w:t>
      </w:r>
      <w:r w:rsidR="00765ED4" w:rsidRPr="0012360B">
        <w:rPr>
          <w:rFonts w:asciiTheme="majorHAnsi" w:hAnsiTheme="majorHAnsi"/>
          <w:sz w:val="20"/>
          <w:szCs w:val="20"/>
          <w:lang w:val="es-ES"/>
        </w:rPr>
        <w:t xml:space="preserve">ía 4 Especializada de la Ciudad de </w:t>
      </w:r>
      <w:r w:rsidR="00F53E96">
        <w:rPr>
          <w:rFonts w:asciiTheme="majorHAnsi" w:hAnsiTheme="majorHAnsi"/>
          <w:sz w:val="20"/>
          <w:szCs w:val="20"/>
          <w:lang w:val="es-ES"/>
        </w:rPr>
        <w:t>Villavicencio</w:t>
      </w:r>
      <w:r w:rsidR="00765ED4" w:rsidRPr="0012360B">
        <w:rPr>
          <w:rFonts w:asciiTheme="majorHAnsi" w:hAnsiTheme="majorHAnsi"/>
          <w:sz w:val="20"/>
          <w:szCs w:val="20"/>
          <w:lang w:val="es-ES"/>
        </w:rPr>
        <w:t>, se encontraba estudiando la viabilidad de continuar las indagaciones por la muerte del agente frente a otros presuntos responsables atendiendo al principio de reparación integral.</w:t>
      </w:r>
      <w:r w:rsidR="00544121" w:rsidRPr="0012360B">
        <w:rPr>
          <w:rFonts w:asciiTheme="majorHAnsi" w:hAnsiTheme="majorHAnsi"/>
          <w:sz w:val="20"/>
          <w:szCs w:val="20"/>
          <w:lang w:val="es-ES"/>
        </w:rPr>
        <w:t xml:space="preserve"> </w:t>
      </w:r>
    </w:p>
    <w:p w14:paraId="653CA96A" w14:textId="430A0CAB" w:rsidR="003956DB" w:rsidRPr="0012360B" w:rsidRDefault="00C27B94" w:rsidP="003956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12360B">
        <w:rPr>
          <w:rFonts w:asciiTheme="majorHAnsi" w:hAnsiTheme="majorHAnsi"/>
          <w:sz w:val="20"/>
          <w:szCs w:val="20"/>
          <w:lang w:val="es-ES"/>
        </w:rPr>
        <w:t>Finalmente</w:t>
      </w:r>
      <w:r w:rsidR="003956DB" w:rsidRPr="0012360B">
        <w:rPr>
          <w:rFonts w:asciiTheme="majorHAnsi" w:hAnsiTheme="majorHAnsi"/>
          <w:sz w:val="20"/>
          <w:szCs w:val="20"/>
          <w:lang w:val="es-ES"/>
        </w:rPr>
        <w:t>, el Estado sostiene que la petición es también inadmisible, dado que opera la fórmula de cuarta instancia ya que existen decisiones internas tomadas por los órganos competentes, independientes e imparciales que han dado una respuesta adecuada y efectiva a los requerimientos de los peticionarios tanto en la jurisdicción administrativa como penal.</w:t>
      </w:r>
    </w:p>
    <w:p w14:paraId="3FE6F5AE" w14:textId="5838016A" w:rsidR="004C616A" w:rsidRPr="0012360B" w:rsidRDefault="004C616A" w:rsidP="00647756">
      <w:pPr>
        <w:pStyle w:val="ListParagraph"/>
        <w:spacing w:before="120" w:after="120"/>
        <w:jc w:val="both"/>
        <w:rPr>
          <w:rFonts w:asciiTheme="majorHAnsi" w:hAnsiTheme="majorHAnsi"/>
          <w:b/>
          <w:bCs/>
          <w:sz w:val="20"/>
          <w:szCs w:val="20"/>
          <w:lang w:val="es-ES"/>
        </w:rPr>
      </w:pPr>
      <w:r w:rsidRPr="0012360B">
        <w:rPr>
          <w:rFonts w:asciiTheme="majorHAnsi" w:hAnsiTheme="majorHAnsi"/>
          <w:b/>
          <w:bCs/>
          <w:sz w:val="20"/>
          <w:szCs w:val="20"/>
          <w:lang w:val="es-ES"/>
        </w:rPr>
        <w:t xml:space="preserve">VI. </w:t>
      </w:r>
      <w:r w:rsidRPr="0012360B">
        <w:rPr>
          <w:rFonts w:asciiTheme="majorHAnsi" w:hAnsiTheme="majorHAnsi"/>
          <w:b/>
          <w:bCs/>
          <w:sz w:val="20"/>
          <w:szCs w:val="20"/>
          <w:lang w:val="es-ES"/>
        </w:rPr>
        <w:tab/>
        <w:t>AGOTAMIENTO DE LOS RECURSOS INTERNOS Y PLAZO DE PRESENTACIÓN</w:t>
      </w:r>
    </w:p>
    <w:p w14:paraId="6BF80752" w14:textId="1F960A70" w:rsidR="00B04331" w:rsidRPr="0012360B" w:rsidRDefault="005737AD" w:rsidP="00D62450">
      <w:pPr>
        <w:pStyle w:val="ListParagraph"/>
        <w:numPr>
          <w:ilvl w:val="0"/>
          <w:numId w:val="55"/>
        </w:numPr>
        <w:jc w:val="both"/>
        <w:rPr>
          <w:rFonts w:asciiTheme="majorHAnsi" w:hAnsiTheme="majorHAnsi"/>
          <w:sz w:val="20"/>
          <w:szCs w:val="20"/>
          <w:lang w:val="es-ES"/>
        </w:rPr>
      </w:pPr>
      <w:r w:rsidRPr="0012360B">
        <w:rPr>
          <w:rFonts w:asciiTheme="majorHAnsi" w:hAnsiTheme="majorHAnsi"/>
          <w:sz w:val="20"/>
          <w:szCs w:val="20"/>
          <w:lang w:val="es-ES"/>
        </w:rPr>
        <w:t>El peticionario indica que se ha producido un retardo injustificado en la resolución de los recursos de apelación en la jurisdicción contencioso administrativa</w:t>
      </w:r>
      <w:r w:rsidR="007718C9" w:rsidRPr="0012360B">
        <w:rPr>
          <w:rFonts w:asciiTheme="majorHAnsi" w:hAnsiTheme="majorHAnsi"/>
          <w:sz w:val="20"/>
          <w:szCs w:val="20"/>
          <w:lang w:val="es-ES"/>
        </w:rPr>
        <w:t xml:space="preserve"> y en la investigación penal,</w:t>
      </w:r>
      <w:r w:rsidRPr="0012360B">
        <w:rPr>
          <w:rFonts w:asciiTheme="majorHAnsi" w:hAnsiTheme="majorHAnsi"/>
          <w:sz w:val="20"/>
          <w:szCs w:val="20"/>
          <w:lang w:val="es-ES"/>
        </w:rPr>
        <w:t xml:space="preserve"> configurándose la excepción prevista en el artículo 46.2.c. Asimismo, destaca que no se logró obtener información acerca de la existencia y localización de las actuacion</w:t>
      </w:r>
      <w:r w:rsidR="00B1794A" w:rsidRPr="0012360B">
        <w:rPr>
          <w:rFonts w:asciiTheme="majorHAnsi" w:hAnsiTheme="majorHAnsi"/>
          <w:sz w:val="20"/>
          <w:szCs w:val="20"/>
          <w:lang w:val="es-ES"/>
        </w:rPr>
        <w:t xml:space="preserve">es iniciadas en el ámbito penal ya que el Estado no concede recursos, notificaciones o acciones procesales </w:t>
      </w:r>
      <w:r w:rsidR="007718C9" w:rsidRPr="0012360B">
        <w:rPr>
          <w:rFonts w:asciiTheme="majorHAnsi" w:hAnsiTheme="majorHAnsi"/>
          <w:sz w:val="20"/>
          <w:szCs w:val="20"/>
          <w:lang w:val="es-ES"/>
        </w:rPr>
        <w:t>dentro de dicho</w:t>
      </w:r>
      <w:r w:rsidR="00B1794A" w:rsidRPr="0012360B">
        <w:rPr>
          <w:rFonts w:asciiTheme="majorHAnsi" w:hAnsiTheme="majorHAnsi"/>
          <w:sz w:val="20"/>
          <w:szCs w:val="20"/>
          <w:lang w:val="es-ES"/>
        </w:rPr>
        <w:t xml:space="preserve"> proceso en forma directa</w:t>
      </w:r>
      <w:r w:rsidR="007718C9" w:rsidRPr="0012360B">
        <w:rPr>
          <w:rFonts w:asciiTheme="majorHAnsi" w:hAnsiTheme="majorHAnsi"/>
          <w:sz w:val="20"/>
          <w:szCs w:val="20"/>
          <w:lang w:val="es-ES"/>
        </w:rPr>
        <w:t xml:space="preserve"> a las víctimas s</w:t>
      </w:r>
      <w:r w:rsidR="00B1794A" w:rsidRPr="0012360B">
        <w:rPr>
          <w:rFonts w:asciiTheme="majorHAnsi" w:hAnsiTheme="majorHAnsi"/>
          <w:sz w:val="20"/>
          <w:szCs w:val="20"/>
          <w:lang w:val="es-ES"/>
        </w:rPr>
        <w:t>ino que deben convertirse en parte civil</w:t>
      </w:r>
      <w:r w:rsidR="00AF3FCE">
        <w:rPr>
          <w:rFonts w:asciiTheme="majorHAnsi" w:hAnsiTheme="majorHAnsi"/>
          <w:sz w:val="20"/>
          <w:szCs w:val="20"/>
          <w:lang w:val="es-ES"/>
        </w:rPr>
        <w:t xml:space="preserve"> configurándose la</w:t>
      </w:r>
      <w:r w:rsidR="006D0A95">
        <w:rPr>
          <w:rFonts w:asciiTheme="majorHAnsi" w:hAnsiTheme="majorHAnsi"/>
          <w:sz w:val="20"/>
          <w:szCs w:val="20"/>
          <w:lang w:val="es-ES"/>
        </w:rPr>
        <w:t>s</w:t>
      </w:r>
      <w:r w:rsidR="00AF3FCE">
        <w:rPr>
          <w:rFonts w:asciiTheme="majorHAnsi" w:hAnsiTheme="majorHAnsi"/>
          <w:sz w:val="20"/>
          <w:szCs w:val="20"/>
          <w:lang w:val="es-ES"/>
        </w:rPr>
        <w:t xml:space="preserve"> excepci</w:t>
      </w:r>
      <w:r w:rsidR="006D0A95">
        <w:rPr>
          <w:rFonts w:asciiTheme="majorHAnsi" w:hAnsiTheme="majorHAnsi"/>
          <w:sz w:val="20"/>
          <w:szCs w:val="20"/>
          <w:lang w:val="es-ES"/>
        </w:rPr>
        <w:t>ones previstas en los</w:t>
      </w:r>
      <w:r w:rsidR="00AF3FCE">
        <w:rPr>
          <w:rFonts w:asciiTheme="majorHAnsi" w:hAnsiTheme="majorHAnsi"/>
          <w:sz w:val="20"/>
          <w:szCs w:val="20"/>
          <w:lang w:val="es-ES"/>
        </w:rPr>
        <w:t xml:space="preserve"> artículo</w:t>
      </w:r>
      <w:r w:rsidR="006D0A95">
        <w:rPr>
          <w:rFonts w:asciiTheme="majorHAnsi" w:hAnsiTheme="majorHAnsi"/>
          <w:sz w:val="20"/>
          <w:szCs w:val="20"/>
          <w:lang w:val="es-ES"/>
        </w:rPr>
        <w:t>s</w:t>
      </w:r>
      <w:r w:rsidR="00AF3FCE">
        <w:rPr>
          <w:rFonts w:asciiTheme="majorHAnsi" w:hAnsiTheme="majorHAnsi"/>
          <w:sz w:val="20"/>
          <w:szCs w:val="20"/>
          <w:lang w:val="es-ES"/>
        </w:rPr>
        <w:t xml:space="preserve"> 46.2.</w:t>
      </w:r>
      <w:r w:rsidR="006D0A95">
        <w:rPr>
          <w:rFonts w:asciiTheme="majorHAnsi" w:hAnsiTheme="majorHAnsi"/>
          <w:sz w:val="20"/>
          <w:szCs w:val="20"/>
          <w:lang w:val="es-ES"/>
        </w:rPr>
        <w:t>a y 46.2.</w:t>
      </w:r>
      <w:r w:rsidR="00AF3FCE">
        <w:rPr>
          <w:rFonts w:asciiTheme="majorHAnsi" w:hAnsiTheme="majorHAnsi"/>
          <w:sz w:val="20"/>
          <w:szCs w:val="20"/>
          <w:lang w:val="es-ES"/>
        </w:rPr>
        <w:t>b</w:t>
      </w:r>
      <w:r w:rsidR="006D0A95">
        <w:rPr>
          <w:rFonts w:asciiTheme="majorHAnsi" w:hAnsiTheme="majorHAnsi"/>
          <w:sz w:val="20"/>
          <w:szCs w:val="20"/>
          <w:lang w:val="es-ES"/>
        </w:rPr>
        <w:t xml:space="preserve"> de la Convenci</w:t>
      </w:r>
      <w:r w:rsidR="006D0A95">
        <w:rPr>
          <w:rFonts w:ascii="Times New Roman" w:hAnsi="Times New Roman" w:cs="Times New Roman"/>
          <w:sz w:val="20"/>
          <w:szCs w:val="20"/>
          <w:lang w:val="es-ES"/>
        </w:rPr>
        <w:t>ón.</w:t>
      </w:r>
      <w:r w:rsidR="00B1794A" w:rsidRPr="0012360B">
        <w:rPr>
          <w:rFonts w:asciiTheme="majorHAnsi" w:hAnsiTheme="majorHAnsi"/>
          <w:sz w:val="20"/>
          <w:szCs w:val="20"/>
          <w:lang w:val="es-ES"/>
        </w:rPr>
        <w:t xml:space="preserve"> </w:t>
      </w:r>
      <w:r w:rsidRPr="0012360B">
        <w:rPr>
          <w:rFonts w:asciiTheme="majorHAnsi" w:hAnsiTheme="majorHAnsi"/>
          <w:sz w:val="20"/>
          <w:szCs w:val="20"/>
          <w:lang w:val="es-ES"/>
        </w:rPr>
        <w:t xml:space="preserve">Por su parte, el Estado alega </w:t>
      </w:r>
      <w:r w:rsidR="00E51F63">
        <w:rPr>
          <w:rFonts w:asciiTheme="majorHAnsi" w:hAnsiTheme="majorHAnsi"/>
          <w:sz w:val="20"/>
          <w:szCs w:val="20"/>
          <w:lang w:val="es-ES"/>
        </w:rPr>
        <w:t xml:space="preserve">que </w:t>
      </w:r>
      <w:r w:rsidR="00656939">
        <w:rPr>
          <w:rFonts w:asciiTheme="majorHAnsi" w:hAnsiTheme="majorHAnsi"/>
          <w:sz w:val="20"/>
          <w:szCs w:val="20"/>
          <w:lang w:val="es-ES"/>
        </w:rPr>
        <w:t xml:space="preserve">el peticionario </w:t>
      </w:r>
      <w:r w:rsidR="00E51F63">
        <w:rPr>
          <w:rFonts w:asciiTheme="majorHAnsi" w:hAnsiTheme="majorHAnsi"/>
          <w:sz w:val="20"/>
          <w:szCs w:val="20"/>
          <w:lang w:val="es-ES"/>
        </w:rPr>
        <w:t xml:space="preserve">al acudir al sistema interamericano de protección de derechos humanos, </w:t>
      </w:r>
      <w:r w:rsidR="00656939">
        <w:rPr>
          <w:rFonts w:asciiTheme="majorHAnsi" w:hAnsiTheme="majorHAnsi"/>
          <w:sz w:val="20"/>
          <w:szCs w:val="20"/>
          <w:lang w:val="es-ES"/>
        </w:rPr>
        <w:t>pretende</w:t>
      </w:r>
      <w:r w:rsidR="00E51F63">
        <w:rPr>
          <w:rFonts w:asciiTheme="majorHAnsi" w:hAnsiTheme="majorHAnsi"/>
          <w:sz w:val="20"/>
          <w:szCs w:val="20"/>
          <w:lang w:val="es-ES"/>
        </w:rPr>
        <w:t xml:space="preserve"> controvertir las dec</w:t>
      </w:r>
      <w:r w:rsidR="00412A02">
        <w:rPr>
          <w:rFonts w:asciiTheme="majorHAnsi" w:hAnsiTheme="majorHAnsi"/>
          <w:sz w:val="20"/>
          <w:szCs w:val="20"/>
          <w:lang w:val="es-ES"/>
        </w:rPr>
        <w:t xml:space="preserve">isiones internas </w:t>
      </w:r>
      <w:r w:rsidR="00B04331" w:rsidRPr="0012360B">
        <w:rPr>
          <w:rFonts w:asciiTheme="majorHAnsi" w:hAnsiTheme="majorHAnsi"/>
          <w:sz w:val="20"/>
          <w:szCs w:val="20"/>
          <w:lang w:val="es-ES"/>
        </w:rPr>
        <w:t>tomadas por los órganos competentes, independientes e imparciales que han dado una res</w:t>
      </w:r>
      <w:r w:rsidR="00E2640C">
        <w:rPr>
          <w:rFonts w:asciiTheme="majorHAnsi" w:hAnsiTheme="majorHAnsi"/>
          <w:sz w:val="20"/>
          <w:szCs w:val="20"/>
          <w:lang w:val="es-ES"/>
        </w:rPr>
        <w:t>puesta adecuada y efectiva a sus</w:t>
      </w:r>
      <w:r w:rsidR="00B04331" w:rsidRPr="0012360B">
        <w:rPr>
          <w:rFonts w:asciiTheme="majorHAnsi" w:hAnsiTheme="majorHAnsi"/>
          <w:sz w:val="20"/>
          <w:szCs w:val="20"/>
          <w:lang w:val="es-ES"/>
        </w:rPr>
        <w:t xml:space="preserve"> requerimientos tanto en la jurisdicción administrativa como penal.</w:t>
      </w:r>
    </w:p>
    <w:p w14:paraId="1D46E33C" w14:textId="77777777" w:rsidR="00B04331" w:rsidRPr="0012360B" w:rsidRDefault="00B04331" w:rsidP="00D62450">
      <w:pPr>
        <w:pStyle w:val="ListParagraph"/>
        <w:ind w:left="1440"/>
        <w:jc w:val="both"/>
        <w:rPr>
          <w:rFonts w:asciiTheme="majorHAnsi" w:hAnsiTheme="majorHAnsi"/>
          <w:sz w:val="20"/>
          <w:szCs w:val="20"/>
          <w:lang w:val="es-ES"/>
        </w:rPr>
      </w:pPr>
    </w:p>
    <w:p w14:paraId="2D5C91F2" w14:textId="7CA0DD0B" w:rsidR="005737AD" w:rsidRPr="0012360B" w:rsidRDefault="005737AD" w:rsidP="00D624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2360B">
        <w:rPr>
          <w:rFonts w:asciiTheme="majorHAnsi" w:hAnsiTheme="majorHAnsi"/>
          <w:sz w:val="20"/>
          <w:szCs w:val="20"/>
          <w:lang w:val="es-ES"/>
        </w:rPr>
        <w:t>L</w:t>
      </w:r>
      <w:r w:rsidRPr="0012360B">
        <w:rPr>
          <w:rFonts w:asciiTheme="majorHAnsi" w:hAnsiTheme="majorHAnsi"/>
          <w:sz w:val="20"/>
          <w:szCs w:val="20"/>
          <w:lang w:val="es-AR"/>
        </w:rPr>
        <w:t xml:space="preserve">a CIDH ha señalado con anterioridad </w:t>
      </w:r>
      <w:r w:rsidRPr="0012360B">
        <w:rPr>
          <w:rFonts w:asciiTheme="majorHAnsi" w:hAnsiTheme="majorHAnsi" w:cs="Arial"/>
          <w:sz w:val="20"/>
          <w:szCs w:val="20"/>
          <w:lang w:val="es-ES"/>
        </w:rPr>
        <w:t>que, tratándose de casos como el presente, que involucran posibles violaciones a los derechos humanos, esto es, perseguibles de oficio, y más aún cuando agentes del Estado estarían implicados en los hechos alegados,</w:t>
      </w:r>
      <w:r w:rsidR="008A0BB6">
        <w:rPr>
          <w:rFonts w:asciiTheme="majorHAnsi" w:hAnsiTheme="majorHAnsi" w:cs="Arial"/>
          <w:sz w:val="20"/>
          <w:szCs w:val="20"/>
          <w:lang w:val="es-ES"/>
        </w:rPr>
        <w:t xml:space="preserve"> por una posible falta de prevención y ante una situación de riesgo que habría sido conocida por las autoridades,</w:t>
      </w:r>
      <w:r w:rsidRPr="0012360B">
        <w:rPr>
          <w:rFonts w:asciiTheme="majorHAnsi" w:hAnsiTheme="majorHAnsi" w:cs="Arial"/>
          <w:sz w:val="20"/>
          <w:szCs w:val="20"/>
          <w:lang w:val="es-ES"/>
        </w:rPr>
        <w:t xml:space="preserve"> el Estado tiene la obligación de investigarlos. Esta carga debe ser asumida por el Estado como un deber jurídico propio, y no como una gestión de intereses de particulares o que dependa de la iniciativa de éstos o de la aportación de pruebas por parte de los mismos</w:t>
      </w:r>
      <w:r w:rsidRPr="0012360B">
        <w:rPr>
          <w:rFonts w:asciiTheme="majorHAnsi" w:hAnsiTheme="majorHAnsi" w:cs="Arial"/>
          <w:sz w:val="20"/>
          <w:szCs w:val="20"/>
          <w:vertAlign w:val="superscript"/>
          <w:lang w:val="es-ES"/>
        </w:rPr>
        <w:footnoteReference w:id="7"/>
      </w:r>
      <w:r w:rsidRPr="0012360B">
        <w:rPr>
          <w:rFonts w:asciiTheme="majorHAnsi" w:eastAsia="Times New Roman" w:hAnsiTheme="majorHAnsi"/>
          <w:sz w:val="20"/>
          <w:szCs w:val="20"/>
          <w:bdr w:val="none" w:sz="0" w:space="0" w:color="auto" w:frame="1"/>
          <w:lang w:val="es-AR"/>
        </w:rPr>
        <w:t xml:space="preserve">. </w:t>
      </w:r>
      <w:r w:rsidRPr="0012360B">
        <w:rPr>
          <w:rFonts w:asciiTheme="majorHAnsi" w:hAnsiTheme="majorHAnsi" w:cs="Arial"/>
          <w:sz w:val="20"/>
          <w:szCs w:val="20"/>
          <w:lang w:val="es-ES"/>
        </w:rPr>
        <w:t>De la información disponible la Comisión obse</w:t>
      </w:r>
      <w:r w:rsidR="00E2640C">
        <w:rPr>
          <w:rFonts w:asciiTheme="majorHAnsi" w:hAnsiTheme="majorHAnsi" w:cs="Arial"/>
          <w:sz w:val="20"/>
          <w:szCs w:val="20"/>
          <w:lang w:val="es-ES"/>
        </w:rPr>
        <w:t>rva que, a más de 20 años de lo sucedido</w:t>
      </w:r>
      <w:r w:rsidRPr="0012360B">
        <w:rPr>
          <w:rFonts w:asciiTheme="majorHAnsi" w:hAnsiTheme="majorHAnsi" w:cs="Arial"/>
          <w:sz w:val="20"/>
          <w:szCs w:val="20"/>
          <w:lang w:val="es-ES"/>
        </w:rPr>
        <w:t>,</w:t>
      </w:r>
      <w:r w:rsidR="00412A02">
        <w:rPr>
          <w:rFonts w:asciiTheme="majorHAnsi" w:hAnsiTheme="majorHAnsi" w:cs="Arial"/>
          <w:sz w:val="20"/>
          <w:szCs w:val="20"/>
          <w:lang w:val="es-ES"/>
        </w:rPr>
        <w:t xml:space="preserve"> si bien se inició</w:t>
      </w:r>
      <w:r w:rsidRPr="0012360B">
        <w:rPr>
          <w:rFonts w:asciiTheme="majorHAnsi" w:hAnsiTheme="majorHAnsi" w:cs="Arial"/>
          <w:sz w:val="20"/>
          <w:szCs w:val="20"/>
          <w:lang w:val="es-ES"/>
        </w:rPr>
        <w:t xml:space="preserve"> </w:t>
      </w:r>
      <w:r w:rsidR="00412A02">
        <w:rPr>
          <w:rFonts w:asciiTheme="majorHAnsi" w:hAnsiTheme="majorHAnsi" w:cs="Arial"/>
          <w:sz w:val="20"/>
          <w:szCs w:val="20"/>
          <w:lang w:val="es-ES"/>
        </w:rPr>
        <w:t xml:space="preserve">una investigación en </w:t>
      </w:r>
      <w:r w:rsidR="007E5AF6" w:rsidRPr="0012360B">
        <w:rPr>
          <w:rFonts w:asciiTheme="majorHAnsi" w:hAnsiTheme="majorHAnsi" w:cs="Arial"/>
          <w:sz w:val="20"/>
          <w:szCs w:val="20"/>
          <w:lang w:val="es-ES"/>
        </w:rPr>
        <w:t xml:space="preserve">la jurisdicción </w:t>
      </w:r>
      <w:r w:rsidR="00412A02" w:rsidRPr="0012360B">
        <w:rPr>
          <w:rFonts w:asciiTheme="majorHAnsi" w:hAnsiTheme="majorHAnsi" w:cs="Arial"/>
          <w:sz w:val="20"/>
          <w:szCs w:val="20"/>
          <w:lang w:val="es-ES"/>
        </w:rPr>
        <w:t>ordinaria</w:t>
      </w:r>
      <w:r w:rsidR="00412A02">
        <w:rPr>
          <w:rFonts w:asciiTheme="majorHAnsi" w:hAnsiTheme="majorHAnsi" w:cs="Arial"/>
          <w:sz w:val="20"/>
          <w:szCs w:val="20"/>
          <w:lang w:val="es-ES"/>
        </w:rPr>
        <w:t xml:space="preserve">, </w:t>
      </w:r>
      <w:r w:rsidR="001A5AD7">
        <w:rPr>
          <w:rFonts w:asciiTheme="majorHAnsi" w:hAnsiTheme="majorHAnsi" w:cs="Arial"/>
          <w:sz w:val="20"/>
          <w:szCs w:val="20"/>
          <w:lang w:val="es-ES"/>
        </w:rPr>
        <w:t xml:space="preserve">hasta la fecha no </w:t>
      </w:r>
      <w:r w:rsidR="00412A02">
        <w:rPr>
          <w:rFonts w:asciiTheme="majorHAnsi" w:hAnsiTheme="majorHAnsi" w:cs="Arial"/>
          <w:sz w:val="20"/>
          <w:szCs w:val="20"/>
          <w:lang w:val="es-ES"/>
        </w:rPr>
        <w:t xml:space="preserve">se habrían </w:t>
      </w:r>
      <w:r w:rsidR="001A5AD7">
        <w:rPr>
          <w:rFonts w:asciiTheme="majorHAnsi" w:hAnsiTheme="majorHAnsi" w:cs="Arial"/>
          <w:sz w:val="20"/>
          <w:szCs w:val="20"/>
          <w:lang w:val="es-ES"/>
        </w:rPr>
        <w:t>esclarecido</w:t>
      </w:r>
      <w:r w:rsidR="00412A02">
        <w:rPr>
          <w:rFonts w:asciiTheme="majorHAnsi" w:hAnsiTheme="majorHAnsi" w:cs="Arial"/>
          <w:sz w:val="20"/>
          <w:szCs w:val="20"/>
          <w:lang w:val="es-ES"/>
        </w:rPr>
        <w:t xml:space="preserve"> </w:t>
      </w:r>
      <w:r w:rsidR="007E5AF6" w:rsidRPr="0012360B">
        <w:rPr>
          <w:rFonts w:asciiTheme="majorHAnsi" w:hAnsiTheme="majorHAnsi" w:cs="Arial"/>
          <w:sz w:val="20"/>
          <w:szCs w:val="20"/>
          <w:lang w:val="es-ES"/>
        </w:rPr>
        <w:t xml:space="preserve">los </w:t>
      </w:r>
      <w:r w:rsidR="001A5AD7">
        <w:rPr>
          <w:rFonts w:asciiTheme="majorHAnsi" w:hAnsiTheme="majorHAnsi" w:cs="Arial"/>
          <w:sz w:val="20"/>
          <w:szCs w:val="20"/>
          <w:lang w:val="es-ES"/>
        </w:rPr>
        <w:t xml:space="preserve">hechos </w:t>
      </w:r>
      <w:r w:rsidR="00950B7D">
        <w:rPr>
          <w:rFonts w:asciiTheme="majorHAnsi" w:hAnsiTheme="majorHAnsi" w:cs="Arial"/>
          <w:sz w:val="20"/>
          <w:szCs w:val="20"/>
          <w:lang w:val="es-ES"/>
        </w:rPr>
        <w:t>ni sancionado a sus responsables</w:t>
      </w:r>
      <w:r w:rsidRPr="0012360B">
        <w:rPr>
          <w:rFonts w:asciiTheme="majorHAnsi" w:hAnsiTheme="majorHAnsi" w:cs="Arial"/>
          <w:sz w:val="20"/>
          <w:szCs w:val="20"/>
          <w:lang w:val="es-ES"/>
        </w:rPr>
        <w:t xml:space="preserve">. En consecuencia, la CIDH considera que resulta aplicable la excepción prevista en el artículo 46.2.c de la Convención. </w:t>
      </w:r>
    </w:p>
    <w:p w14:paraId="3FF13823" w14:textId="0DD60E80" w:rsidR="0099339E" w:rsidRPr="00005919" w:rsidRDefault="005737AD" w:rsidP="000059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77BB9">
        <w:rPr>
          <w:rFonts w:asciiTheme="majorHAnsi" w:hAnsiTheme="majorHAnsi"/>
          <w:sz w:val="20"/>
          <w:szCs w:val="20"/>
          <w:bdr w:val="none" w:sz="0" w:space="0" w:color="auto" w:frame="1"/>
          <w:lang w:val="es-ES"/>
        </w:rPr>
        <w:t>Por otra parte, e</w:t>
      </w:r>
      <w:r w:rsidRPr="00777BB9">
        <w:rPr>
          <w:rFonts w:asciiTheme="majorHAnsi" w:hAnsiTheme="majorHAnsi"/>
          <w:sz w:val="20"/>
          <w:szCs w:val="20"/>
          <w:lang w:val="es-ES"/>
        </w:rPr>
        <w:t>n cuanto a los procesos de reparación directa, la Comisión ha sostenido reiteradamente que dicha vía no constituye un recurso idóneo a efectos de analizar la admisibilidad de un reclamo de la naturaleza del presente</w:t>
      </w:r>
      <w:r w:rsidRPr="00777BB9">
        <w:rPr>
          <w:rStyle w:val="FootnoteReference"/>
          <w:rFonts w:asciiTheme="majorHAnsi" w:hAnsiTheme="majorHAnsi"/>
          <w:sz w:val="20"/>
          <w:szCs w:val="20"/>
          <w:lang w:val="es-ES"/>
        </w:rPr>
        <w:footnoteReference w:id="8"/>
      </w:r>
      <w:r w:rsidRPr="00777BB9">
        <w:rPr>
          <w:rFonts w:asciiTheme="majorHAnsi" w:hAnsiTheme="majorHAnsi"/>
          <w:sz w:val="20"/>
          <w:szCs w:val="20"/>
          <w:lang w:val="es-ES"/>
        </w:rPr>
        <w:t>, ya que la misma no es adecuada para proporcionar una reparación integral y justicia a los familiares.</w:t>
      </w:r>
      <w:r w:rsidR="00777BB9" w:rsidRPr="00777BB9">
        <w:rPr>
          <w:rFonts w:asciiTheme="majorHAnsi" w:hAnsiTheme="majorHAnsi"/>
          <w:sz w:val="20"/>
          <w:szCs w:val="20"/>
          <w:bdr w:val="none" w:sz="0" w:space="0" w:color="auto" w:frame="1"/>
          <w:lang w:val="es-ES"/>
        </w:rPr>
        <w:t xml:space="preserve"> No obstante, la CIDH observa </w:t>
      </w:r>
      <w:r w:rsidR="00B41422" w:rsidRPr="00777BB9">
        <w:rPr>
          <w:rFonts w:asciiTheme="majorHAnsi" w:hAnsiTheme="majorHAnsi"/>
          <w:sz w:val="20"/>
          <w:szCs w:val="20"/>
          <w:bdr w:val="none" w:sz="0" w:space="0" w:color="auto" w:frame="1"/>
          <w:lang w:val="es-ES"/>
        </w:rPr>
        <w:t>que,</w:t>
      </w:r>
      <w:r w:rsidR="00777BB9" w:rsidRPr="00777BB9">
        <w:rPr>
          <w:rFonts w:asciiTheme="majorHAnsi" w:hAnsiTheme="majorHAnsi"/>
          <w:sz w:val="20"/>
          <w:szCs w:val="20"/>
          <w:bdr w:val="none" w:sz="0" w:space="0" w:color="auto" w:frame="1"/>
          <w:lang w:val="es-ES"/>
        </w:rPr>
        <w:t xml:space="preserve"> en el marco del proc</w:t>
      </w:r>
      <w:r w:rsidR="008C0A75">
        <w:rPr>
          <w:rFonts w:asciiTheme="majorHAnsi" w:hAnsiTheme="majorHAnsi"/>
          <w:sz w:val="20"/>
          <w:szCs w:val="20"/>
          <w:bdr w:val="none" w:sz="0" w:space="0" w:color="auto" w:frame="1"/>
          <w:lang w:val="es-ES"/>
        </w:rPr>
        <w:t>eso contencioso administrativo,</w:t>
      </w:r>
      <w:r w:rsidR="00DE7B73">
        <w:rPr>
          <w:rFonts w:asciiTheme="majorHAnsi" w:hAnsiTheme="majorHAnsi"/>
          <w:sz w:val="20"/>
          <w:szCs w:val="20"/>
          <w:bdr w:val="none" w:sz="0" w:space="0" w:color="auto" w:frame="1"/>
          <w:lang w:val="es-ES"/>
        </w:rPr>
        <w:t xml:space="preserve"> el peticionario alega que</w:t>
      </w:r>
      <w:r w:rsidR="008C0A75">
        <w:rPr>
          <w:rFonts w:asciiTheme="majorHAnsi" w:hAnsiTheme="majorHAnsi"/>
          <w:sz w:val="20"/>
          <w:szCs w:val="20"/>
          <w:bdr w:val="none" w:sz="0" w:space="0" w:color="auto" w:frame="1"/>
          <w:lang w:val="es-ES"/>
        </w:rPr>
        <w:t xml:space="preserve"> </w:t>
      </w:r>
      <w:r w:rsidR="00777BB9" w:rsidRPr="00777BB9">
        <w:rPr>
          <w:rFonts w:asciiTheme="majorHAnsi" w:hAnsiTheme="majorHAnsi"/>
          <w:sz w:val="20"/>
          <w:szCs w:val="20"/>
          <w:bdr w:val="none" w:sz="0" w:space="0" w:color="auto" w:frame="1"/>
          <w:lang w:val="es-ES"/>
        </w:rPr>
        <w:t>los tribunales excedieron el plazo razonable para resolver</w:t>
      </w:r>
      <w:r w:rsidR="00E2640C">
        <w:rPr>
          <w:rFonts w:asciiTheme="majorHAnsi" w:hAnsiTheme="majorHAnsi"/>
          <w:sz w:val="20"/>
          <w:szCs w:val="20"/>
          <w:bdr w:val="none" w:sz="0" w:space="0" w:color="auto" w:frame="1"/>
          <w:lang w:val="es-ES"/>
        </w:rPr>
        <w:t xml:space="preserve"> </w:t>
      </w:r>
      <w:r w:rsidR="00DE7B73">
        <w:rPr>
          <w:rFonts w:asciiTheme="majorHAnsi" w:hAnsiTheme="majorHAnsi"/>
          <w:sz w:val="20"/>
          <w:szCs w:val="20"/>
          <w:bdr w:val="none" w:sz="0" w:space="0" w:color="auto" w:frame="1"/>
          <w:lang w:val="es-ES"/>
        </w:rPr>
        <w:t xml:space="preserve">la demanda de reparación directa, </w:t>
      </w:r>
      <w:r w:rsidR="00777BB9" w:rsidRPr="00777BB9">
        <w:rPr>
          <w:rFonts w:asciiTheme="majorHAnsi" w:hAnsiTheme="majorHAnsi"/>
          <w:sz w:val="20"/>
          <w:szCs w:val="20"/>
          <w:bdr w:val="none" w:sz="0" w:space="0" w:color="auto" w:frame="1"/>
          <w:lang w:val="es-ES"/>
        </w:rPr>
        <w:t>m</w:t>
      </w:r>
      <w:r w:rsidR="0099339E">
        <w:rPr>
          <w:rFonts w:asciiTheme="majorHAnsi" w:hAnsiTheme="majorHAnsi"/>
          <w:sz w:val="20"/>
          <w:szCs w:val="20"/>
          <w:bdr w:val="none" w:sz="0" w:space="0" w:color="auto" w:frame="1"/>
          <w:lang w:val="es-ES"/>
        </w:rPr>
        <w:t>ás de 13</w:t>
      </w:r>
      <w:r w:rsidR="00777BB9" w:rsidRPr="00777BB9">
        <w:rPr>
          <w:rFonts w:asciiTheme="majorHAnsi" w:hAnsiTheme="majorHAnsi"/>
          <w:sz w:val="20"/>
          <w:szCs w:val="20"/>
          <w:bdr w:val="none" w:sz="0" w:space="0" w:color="auto" w:frame="1"/>
          <w:lang w:val="es-ES"/>
        </w:rPr>
        <w:t xml:space="preserve"> años de iniciada la acción</w:t>
      </w:r>
      <w:r w:rsidR="0099339E">
        <w:rPr>
          <w:rFonts w:asciiTheme="majorHAnsi" w:hAnsiTheme="majorHAnsi"/>
          <w:sz w:val="20"/>
          <w:szCs w:val="20"/>
          <w:bdr w:val="none" w:sz="0" w:space="0" w:color="auto" w:frame="1"/>
          <w:lang w:val="es-ES"/>
        </w:rPr>
        <w:t xml:space="preserve">. Por lo tanto, </w:t>
      </w:r>
      <w:r w:rsidR="00777BB9" w:rsidRPr="00777BB9">
        <w:rPr>
          <w:rFonts w:asciiTheme="majorHAnsi" w:hAnsiTheme="majorHAnsi"/>
          <w:sz w:val="20"/>
          <w:szCs w:val="20"/>
          <w:bdr w:val="none" w:sz="0" w:space="0" w:color="auto" w:frame="1"/>
          <w:lang w:val="es-ES"/>
        </w:rPr>
        <w:t>la Comisi</w:t>
      </w:r>
      <w:r w:rsidR="00882047">
        <w:rPr>
          <w:rFonts w:asciiTheme="majorHAnsi" w:hAnsiTheme="majorHAnsi"/>
          <w:sz w:val="20"/>
          <w:szCs w:val="20"/>
          <w:bdr w:val="none" w:sz="0" w:space="0" w:color="auto" w:frame="1"/>
          <w:lang w:val="es-ES"/>
        </w:rPr>
        <w:t xml:space="preserve">ón considera </w:t>
      </w:r>
      <w:r w:rsidR="00B41422">
        <w:rPr>
          <w:rFonts w:asciiTheme="majorHAnsi" w:hAnsiTheme="majorHAnsi"/>
          <w:sz w:val="20"/>
          <w:szCs w:val="20"/>
          <w:bdr w:val="none" w:sz="0" w:space="0" w:color="auto" w:frame="1"/>
          <w:lang w:val="es-ES"/>
        </w:rPr>
        <w:t>que,</w:t>
      </w:r>
      <w:r w:rsidR="00882047">
        <w:rPr>
          <w:rFonts w:asciiTheme="majorHAnsi" w:hAnsiTheme="majorHAnsi"/>
          <w:sz w:val="20"/>
          <w:szCs w:val="20"/>
          <w:bdr w:val="none" w:sz="0" w:space="0" w:color="auto" w:frame="1"/>
          <w:lang w:val="es-ES"/>
        </w:rPr>
        <w:t xml:space="preserve"> con respecto a </w:t>
      </w:r>
      <w:r w:rsidR="00161DDA">
        <w:rPr>
          <w:rFonts w:asciiTheme="majorHAnsi" w:hAnsiTheme="majorHAnsi"/>
          <w:sz w:val="20"/>
          <w:szCs w:val="20"/>
          <w:bdr w:val="none" w:sz="0" w:space="0" w:color="auto" w:frame="1"/>
          <w:lang w:val="es-ES"/>
        </w:rPr>
        <w:t>dicho</w:t>
      </w:r>
      <w:r w:rsidR="00777BB9" w:rsidRPr="00777BB9">
        <w:rPr>
          <w:rFonts w:asciiTheme="majorHAnsi" w:hAnsiTheme="majorHAnsi"/>
          <w:sz w:val="20"/>
          <w:szCs w:val="20"/>
          <w:bdr w:val="none" w:sz="0" w:space="0" w:color="auto" w:frame="1"/>
          <w:lang w:val="es-ES"/>
        </w:rPr>
        <w:t xml:space="preserve"> proceso, </w:t>
      </w:r>
      <w:r w:rsidR="00161DDA">
        <w:rPr>
          <w:rFonts w:asciiTheme="majorHAnsi" w:hAnsiTheme="majorHAnsi"/>
          <w:sz w:val="20"/>
          <w:szCs w:val="20"/>
          <w:bdr w:val="none" w:sz="0" w:space="0" w:color="auto" w:frame="1"/>
          <w:lang w:val="es-ES"/>
        </w:rPr>
        <w:t xml:space="preserve">los recursos fueron agotados con la sentencia </w:t>
      </w:r>
      <w:r w:rsidR="00161DDA">
        <w:rPr>
          <w:rFonts w:asciiTheme="majorHAnsi" w:hAnsiTheme="majorHAnsi"/>
          <w:sz w:val="20"/>
          <w:szCs w:val="20"/>
          <w:lang w:val="es-ES"/>
        </w:rPr>
        <w:t>que resolvió la apelación interpuesta por el peticionario y que fue</w:t>
      </w:r>
      <w:r w:rsidR="00161DDA">
        <w:rPr>
          <w:rFonts w:asciiTheme="majorHAnsi" w:hAnsiTheme="majorHAnsi"/>
          <w:sz w:val="20"/>
          <w:szCs w:val="20"/>
          <w:bdr w:val="none" w:sz="0" w:space="0" w:color="auto" w:frame="1"/>
          <w:lang w:val="es-ES"/>
        </w:rPr>
        <w:t xml:space="preserve"> emitida por la </w:t>
      </w:r>
      <w:r w:rsidR="00161DDA">
        <w:rPr>
          <w:rFonts w:asciiTheme="majorHAnsi" w:hAnsiTheme="majorHAnsi"/>
          <w:sz w:val="20"/>
          <w:szCs w:val="20"/>
          <w:lang w:val="es-ES"/>
        </w:rPr>
        <w:t>Sección Tercera del Consejo de Estado el</w:t>
      </w:r>
      <w:r w:rsidR="00161DDA">
        <w:rPr>
          <w:rFonts w:asciiTheme="majorHAnsi" w:hAnsiTheme="majorHAnsi"/>
          <w:sz w:val="20"/>
          <w:szCs w:val="20"/>
          <w:bdr w:val="none" w:sz="0" w:space="0" w:color="auto" w:frame="1"/>
          <w:lang w:val="es-ES"/>
        </w:rPr>
        <w:t xml:space="preserve"> </w:t>
      </w:r>
      <w:r w:rsidR="00161DDA" w:rsidRPr="0012360B">
        <w:rPr>
          <w:rFonts w:asciiTheme="majorHAnsi" w:hAnsiTheme="majorHAnsi"/>
          <w:sz w:val="20"/>
          <w:szCs w:val="20"/>
          <w:lang w:val="es-ES"/>
        </w:rPr>
        <w:t>7 de julio de 2011</w:t>
      </w:r>
      <w:r w:rsidR="0099339E">
        <w:rPr>
          <w:rFonts w:asciiTheme="majorHAnsi" w:hAnsiTheme="majorHAnsi"/>
          <w:sz w:val="20"/>
          <w:szCs w:val="20"/>
          <w:bdr w:val="none" w:sz="0" w:space="0" w:color="auto" w:frame="1"/>
          <w:lang w:val="es-ES"/>
        </w:rPr>
        <w:t>.</w:t>
      </w:r>
    </w:p>
    <w:p w14:paraId="097BF86F" w14:textId="2C2CC7D6" w:rsidR="005737AD" w:rsidRPr="0012360B" w:rsidRDefault="005737AD" w:rsidP="003E36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b/>
          <w:bCs/>
          <w:sz w:val="20"/>
          <w:szCs w:val="20"/>
          <w:lang w:val="es-ES"/>
        </w:rPr>
      </w:pPr>
      <w:r w:rsidRPr="0012360B">
        <w:rPr>
          <w:rFonts w:asciiTheme="majorHAnsi" w:hAnsiTheme="majorHAnsi"/>
          <w:sz w:val="20"/>
          <w:szCs w:val="20"/>
          <w:lang w:val="es-ES"/>
        </w:rPr>
        <w:t xml:space="preserve">Asimismo, </w:t>
      </w:r>
      <w:r w:rsidRPr="0012360B">
        <w:rPr>
          <w:rFonts w:asciiTheme="majorHAnsi" w:hAnsiTheme="majorHAnsi"/>
          <w:sz w:val="20"/>
          <w:szCs w:val="20"/>
          <w:bdr w:val="none" w:sz="0" w:space="0" w:color="auto" w:frame="1"/>
          <w:lang w:val="es-ES"/>
        </w:rPr>
        <w:t>la petición fue recibida el</w:t>
      </w:r>
      <w:r w:rsidR="003E368C" w:rsidRPr="0012360B">
        <w:rPr>
          <w:rFonts w:asciiTheme="majorHAnsi" w:hAnsiTheme="majorHAnsi"/>
          <w:sz w:val="20"/>
          <w:szCs w:val="20"/>
          <w:bdr w:val="none" w:sz="0" w:space="0" w:color="auto" w:frame="1"/>
          <w:lang w:val="es-ES"/>
        </w:rPr>
        <w:t xml:space="preserve"> 15 de mayo de 2009</w:t>
      </w:r>
      <w:r w:rsidRPr="0012360B">
        <w:rPr>
          <w:rFonts w:asciiTheme="majorHAnsi" w:hAnsiTheme="majorHAnsi"/>
          <w:sz w:val="20"/>
          <w:szCs w:val="20"/>
          <w:bdr w:val="none" w:sz="0" w:space="0" w:color="auto" w:frame="1"/>
          <w:lang w:val="es-ES"/>
        </w:rPr>
        <w:t>, los alegados hechos que dieron origen a la petición ocurrieron el</w:t>
      </w:r>
      <w:r w:rsidRPr="0012360B">
        <w:rPr>
          <w:rFonts w:asciiTheme="majorHAnsi" w:hAnsiTheme="majorHAnsi"/>
          <w:sz w:val="20"/>
          <w:szCs w:val="20"/>
          <w:lang w:val="es-AR"/>
        </w:rPr>
        <w:t xml:space="preserve"> </w:t>
      </w:r>
      <w:r w:rsidR="003E368C" w:rsidRPr="00777BB9">
        <w:rPr>
          <w:rFonts w:asciiTheme="majorHAnsi" w:hAnsiTheme="majorHAnsi"/>
          <w:sz w:val="20"/>
          <w:szCs w:val="20"/>
          <w:lang w:val="es-AR"/>
        </w:rPr>
        <w:t>6</w:t>
      </w:r>
      <w:r w:rsidR="003E368C" w:rsidRPr="0012360B">
        <w:rPr>
          <w:rFonts w:asciiTheme="majorHAnsi" w:hAnsiTheme="majorHAnsi"/>
          <w:sz w:val="20"/>
          <w:szCs w:val="20"/>
          <w:lang w:val="es-AR"/>
        </w:rPr>
        <w:t xml:space="preserve"> de marzo de 1998, </w:t>
      </w:r>
      <w:r w:rsidRPr="0012360B">
        <w:rPr>
          <w:rFonts w:asciiTheme="majorHAnsi" w:hAnsiTheme="majorHAnsi"/>
          <w:sz w:val="20"/>
          <w:szCs w:val="20"/>
          <w:bdr w:val="none" w:sz="0" w:space="0" w:color="auto" w:frame="1"/>
          <w:lang w:val="es-ES"/>
        </w:rPr>
        <w:t>y los efectos de los hechos materia del reclamo se extenderían hasta el presente</w:t>
      </w:r>
      <w:r w:rsidR="008537A4">
        <w:rPr>
          <w:rFonts w:asciiTheme="majorHAnsi" w:hAnsiTheme="majorHAnsi"/>
          <w:sz w:val="20"/>
          <w:szCs w:val="20"/>
          <w:bdr w:val="none" w:sz="0" w:space="0" w:color="auto" w:frame="1"/>
          <w:lang w:val="es-ES"/>
        </w:rPr>
        <w:t xml:space="preserve"> debido al retardo injustificado en las investigaciones penales. En consecuencia</w:t>
      </w:r>
      <w:r w:rsidRPr="0012360B">
        <w:rPr>
          <w:rFonts w:asciiTheme="majorHAnsi" w:hAnsiTheme="majorHAnsi"/>
          <w:sz w:val="20"/>
          <w:szCs w:val="20"/>
          <w:bdr w:val="none" w:sz="0" w:space="0" w:color="auto" w:frame="1"/>
          <w:lang w:val="es-ES"/>
        </w:rPr>
        <w:t xml:space="preserve">, la Comisión considera que la petición fue presentada dentro de un plazo razonable y da por satisfecho </w:t>
      </w:r>
      <w:r w:rsidR="008537A4">
        <w:rPr>
          <w:rFonts w:asciiTheme="majorHAnsi" w:hAnsiTheme="majorHAnsi"/>
          <w:sz w:val="20"/>
          <w:szCs w:val="20"/>
          <w:bdr w:val="none" w:sz="0" w:space="0" w:color="auto" w:frame="1"/>
          <w:lang w:val="es-ES"/>
        </w:rPr>
        <w:t xml:space="preserve">dicho </w:t>
      </w:r>
      <w:r w:rsidRPr="0012360B">
        <w:rPr>
          <w:rFonts w:asciiTheme="majorHAnsi" w:hAnsiTheme="majorHAnsi"/>
          <w:sz w:val="20"/>
          <w:szCs w:val="20"/>
          <w:bdr w:val="none" w:sz="0" w:space="0" w:color="auto" w:frame="1"/>
          <w:lang w:val="es-ES"/>
        </w:rPr>
        <w:t>requisito</w:t>
      </w:r>
    </w:p>
    <w:p w14:paraId="7090A929" w14:textId="6E6A9250" w:rsidR="00F04591" w:rsidRPr="0012360B" w:rsidRDefault="00F04591" w:rsidP="00FF7D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12360B">
        <w:rPr>
          <w:rFonts w:asciiTheme="majorHAnsi" w:hAnsiTheme="majorHAnsi"/>
          <w:b/>
          <w:bCs/>
          <w:sz w:val="20"/>
          <w:szCs w:val="20"/>
          <w:lang w:val="es-ES"/>
        </w:rPr>
        <w:t>V</w:t>
      </w:r>
      <w:r w:rsidR="000E2789" w:rsidRPr="0012360B">
        <w:rPr>
          <w:rFonts w:asciiTheme="majorHAnsi" w:hAnsiTheme="majorHAnsi"/>
          <w:b/>
          <w:bCs/>
          <w:sz w:val="20"/>
          <w:szCs w:val="20"/>
          <w:lang w:val="es-ES"/>
        </w:rPr>
        <w:t>I</w:t>
      </w:r>
      <w:r w:rsidRPr="0012360B">
        <w:rPr>
          <w:rFonts w:asciiTheme="majorHAnsi" w:hAnsiTheme="majorHAnsi"/>
          <w:b/>
          <w:bCs/>
          <w:sz w:val="20"/>
          <w:szCs w:val="20"/>
          <w:lang w:val="es-ES"/>
        </w:rPr>
        <w:t xml:space="preserve">I. </w:t>
      </w:r>
      <w:r w:rsidRPr="0012360B">
        <w:rPr>
          <w:rFonts w:asciiTheme="majorHAnsi" w:hAnsiTheme="majorHAnsi"/>
          <w:b/>
          <w:bCs/>
          <w:sz w:val="20"/>
          <w:szCs w:val="20"/>
          <w:lang w:val="es-ES"/>
        </w:rPr>
        <w:tab/>
        <w:t>CARACTERIZACIÓN</w:t>
      </w:r>
    </w:p>
    <w:p w14:paraId="3EAF4F52" w14:textId="0694A8C0" w:rsidR="00FF7D65" w:rsidRPr="0012360B" w:rsidRDefault="00FF7D65" w:rsidP="00406E3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12360B">
        <w:rPr>
          <w:rFonts w:asciiTheme="majorHAnsi" w:hAnsiTheme="majorHAnsi" w:cs="Arial"/>
          <w:sz w:val="20"/>
          <w:szCs w:val="20"/>
          <w:lang w:val="es-ES"/>
        </w:rPr>
        <w:t xml:space="preserve">En vista de los elementos de hecho y de derecho expuestos por las partes y la naturaleza del asunto puesto bajo su conocimiento, la Comisión </w:t>
      </w:r>
      <w:r w:rsidR="00B41422">
        <w:rPr>
          <w:rFonts w:asciiTheme="majorHAnsi" w:hAnsiTheme="majorHAnsi" w:cs="Arial"/>
          <w:sz w:val="20"/>
          <w:szCs w:val="20"/>
          <w:lang w:val="es-ES"/>
        </w:rPr>
        <w:t xml:space="preserve">estima que las alegaciones de la parte peticionaria no resultan manifiestamente infundadas y requieren un estudio de fondo pues de comprobarse como ciertas </w:t>
      </w:r>
      <w:r w:rsidRPr="0012360B">
        <w:rPr>
          <w:rFonts w:asciiTheme="majorHAnsi" w:hAnsiTheme="majorHAnsi" w:cs="Arial"/>
          <w:sz w:val="20"/>
          <w:szCs w:val="20"/>
          <w:lang w:val="es-ES"/>
        </w:rPr>
        <w:t>la</w:t>
      </w:r>
      <w:r w:rsidR="00896A08">
        <w:rPr>
          <w:rFonts w:asciiTheme="majorHAnsi" w:hAnsiTheme="majorHAnsi" w:cs="Arial"/>
          <w:sz w:val="20"/>
          <w:szCs w:val="20"/>
          <w:lang w:val="es-ES"/>
        </w:rPr>
        <w:t xml:space="preserve"> </w:t>
      </w:r>
      <w:r w:rsidR="00896A08" w:rsidRPr="0012360B">
        <w:rPr>
          <w:rFonts w:asciiTheme="majorHAnsi" w:hAnsiTheme="majorHAnsi" w:cs="Arial"/>
          <w:sz w:val="20"/>
          <w:szCs w:val="20"/>
          <w:lang w:val="es-ES"/>
        </w:rPr>
        <w:t xml:space="preserve">alegada </w:t>
      </w:r>
      <w:r w:rsidR="00896A08">
        <w:rPr>
          <w:rFonts w:asciiTheme="majorHAnsi" w:hAnsiTheme="majorHAnsi" w:cs="Arial"/>
          <w:sz w:val="20"/>
          <w:szCs w:val="20"/>
          <w:lang w:val="es-ES"/>
        </w:rPr>
        <w:t xml:space="preserve">retención ilegal y posterior </w:t>
      </w:r>
      <w:r w:rsidRPr="0012360B">
        <w:rPr>
          <w:rFonts w:asciiTheme="majorHAnsi" w:hAnsiTheme="majorHAnsi" w:cs="Arial"/>
          <w:sz w:val="20"/>
          <w:szCs w:val="20"/>
          <w:lang w:val="es-ES"/>
        </w:rPr>
        <w:t xml:space="preserve"> ejecución del agente Ricardo Martínez Rico</w:t>
      </w:r>
      <w:r w:rsidR="00FD173F">
        <w:rPr>
          <w:rFonts w:asciiTheme="majorHAnsi" w:hAnsiTheme="majorHAnsi" w:cs="Arial"/>
          <w:sz w:val="20"/>
          <w:szCs w:val="20"/>
          <w:lang w:val="es-ES"/>
        </w:rPr>
        <w:t xml:space="preserve"> por grupos armados ilegales</w:t>
      </w:r>
      <w:r w:rsidRPr="0012360B">
        <w:rPr>
          <w:rFonts w:asciiTheme="majorHAnsi" w:hAnsiTheme="majorHAnsi" w:cs="Arial"/>
          <w:sz w:val="20"/>
          <w:szCs w:val="20"/>
          <w:lang w:val="es-ES"/>
        </w:rPr>
        <w:t xml:space="preserve">, la </w:t>
      </w:r>
      <w:r w:rsidR="00896A08">
        <w:rPr>
          <w:rFonts w:asciiTheme="majorHAnsi" w:hAnsiTheme="majorHAnsi" w:cs="Arial"/>
          <w:sz w:val="20"/>
          <w:szCs w:val="20"/>
          <w:lang w:val="es-ES"/>
        </w:rPr>
        <w:t xml:space="preserve">presunta </w:t>
      </w:r>
      <w:r w:rsidRPr="0012360B">
        <w:rPr>
          <w:rFonts w:asciiTheme="majorHAnsi" w:hAnsiTheme="majorHAnsi" w:cs="Arial"/>
          <w:sz w:val="20"/>
          <w:szCs w:val="20"/>
          <w:lang w:val="es-ES"/>
        </w:rPr>
        <w:t>falta de investigación y sanció</w:t>
      </w:r>
      <w:r w:rsidR="00896A08">
        <w:rPr>
          <w:rFonts w:asciiTheme="majorHAnsi" w:hAnsiTheme="majorHAnsi" w:cs="Arial"/>
          <w:sz w:val="20"/>
          <w:szCs w:val="20"/>
          <w:lang w:val="es-ES"/>
        </w:rPr>
        <w:t xml:space="preserve">n de los responsables, </w:t>
      </w:r>
      <w:r w:rsidRPr="0012360B">
        <w:rPr>
          <w:rFonts w:asciiTheme="majorHAnsi" w:hAnsiTheme="majorHAnsi" w:cs="Arial"/>
          <w:sz w:val="20"/>
          <w:szCs w:val="20"/>
          <w:lang w:val="es-ES"/>
        </w:rPr>
        <w:t>el retardo injustificado</w:t>
      </w:r>
      <w:r w:rsidR="008C1E59">
        <w:rPr>
          <w:rFonts w:asciiTheme="majorHAnsi" w:hAnsiTheme="majorHAnsi" w:cs="Arial"/>
          <w:sz w:val="20"/>
          <w:szCs w:val="20"/>
          <w:lang w:val="es-ES"/>
        </w:rPr>
        <w:t xml:space="preserve"> de justicia en los procesos internos</w:t>
      </w:r>
      <w:r w:rsidR="00B51367">
        <w:rPr>
          <w:rFonts w:asciiTheme="majorHAnsi" w:hAnsiTheme="majorHAnsi" w:cs="Arial"/>
          <w:sz w:val="20"/>
          <w:szCs w:val="20"/>
          <w:lang w:val="es-ES"/>
        </w:rPr>
        <w:t xml:space="preserve"> y la imposibilidad de sus familiares de participar en los mismos</w:t>
      </w:r>
      <w:r w:rsidRPr="0012360B">
        <w:rPr>
          <w:rFonts w:asciiTheme="majorHAnsi" w:hAnsiTheme="majorHAnsi" w:cs="Arial"/>
          <w:sz w:val="20"/>
          <w:szCs w:val="20"/>
          <w:lang w:val="es-ES"/>
        </w:rPr>
        <w:t>,</w:t>
      </w:r>
      <w:r w:rsidR="00896A08">
        <w:rPr>
          <w:rFonts w:asciiTheme="majorHAnsi" w:hAnsiTheme="majorHAnsi" w:cs="Arial"/>
          <w:sz w:val="20"/>
          <w:szCs w:val="20"/>
          <w:lang w:val="es-ES"/>
        </w:rPr>
        <w:t xml:space="preserve"> así como</w:t>
      </w:r>
      <w:r w:rsidR="00B41422">
        <w:rPr>
          <w:rFonts w:asciiTheme="majorHAnsi" w:hAnsiTheme="majorHAnsi" w:cs="Arial"/>
          <w:sz w:val="20"/>
          <w:szCs w:val="20"/>
          <w:lang w:val="es-ES"/>
        </w:rPr>
        <w:t xml:space="preserve"> </w:t>
      </w:r>
      <w:r w:rsidR="00C30D6B">
        <w:rPr>
          <w:rFonts w:ascii="Cambria" w:hAnsi="Cambria"/>
          <w:sz w:val="20"/>
          <w:szCs w:val="20"/>
          <w:lang w:val="es-CO"/>
        </w:rPr>
        <w:t>el desplazamiento interno, cuya naturaleza múltiple, compleja y continua habría ocasionado afectaciones directas entre otras en el derecho a la vivienda y el desarraigo en términos sociales y culturales,</w:t>
      </w:r>
      <w:r w:rsidR="00C30D6B">
        <w:rPr>
          <w:rFonts w:asciiTheme="majorHAnsi" w:hAnsiTheme="majorHAnsi" w:cs="Arial"/>
          <w:sz w:val="20"/>
          <w:szCs w:val="20"/>
          <w:lang w:val="es-ES"/>
        </w:rPr>
        <w:t xml:space="preserve"> </w:t>
      </w:r>
      <w:r w:rsidR="00B41422">
        <w:rPr>
          <w:rFonts w:asciiTheme="majorHAnsi" w:hAnsiTheme="majorHAnsi" w:cs="Arial"/>
          <w:sz w:val="20"/>
          <w:szCs w:val="20"/>
          <w:lang w:val="es-ES"/>
        </w:rPr>
        <w:t xml:space="preserve">y </w:t>
      </w:r>
      <w:r w:rsidR="00896A08">
        <w:rPr>
          <w:rFonts w:asciiTheme="majorHAnsi" w:hAnsiTheme="majorHAnsi" w:cs="Arial"/>
          <w:sz w:val="20"/>
          <w:szCs w:val="20"/>
          <w:lang w:val="es-ES"/>
        </w:rPr>
        <w:t xml:space="preserve">afectación de la vida familiar por la falta de reparación </w:t>
      </w:r>
      <w:r w:rsidR="0037433F">
        <w:rPr>
          <w:rFonts w:asciiTheme="majorHAnsi" w:hAnsiTheme="majorHAnsi" w:cs="Arial"/>
          <w:sz w:val="20"/>
          <w:szCs w:val="20"/>
          <w:lang w:val="es-ES"/>
        </w:rPr>
        <w:t>y l</w:t>
      </w:r>
      <w:r w:rsidR="007640C1">
        <w:rPr>
          <w:rFonts w:asciiTheme="majorHAnsi" w:hAnsiTheme="majorHAnsi" w:cs="Arial"/>
          <w:sz w:val="20"/>
          <w:szCs w:val="20"/>
          <w:lang w:val="es-ES"/>
        </w:rPr>
        <w:t>a imposibil</w:t>
      </w:r>
      <w:r w:rsidR="008C1E59">
        <w:rPr>
          <w:rFonts w:asciiTheme="majorHAnsi" w:hAnsiTheme="majorHAnsi" w:cs="Arial"/>
          <w:sz w:val="20"/>
          <w:szCs w:val="20"/>
          <w:lang w:val="es-ES"/>
        </w:rPr>
        <w:t>idad de establecerse en la Villavicencio,</w:t>
      </w:r>
      <w:r w:rsidR="00C30D6B">
        <w:rPr>
          <w:rFonts w:asciiTheme="majorHAnsi" w:hAnsiTheme="majorHAnsi" w:cs="Arial"/>
          <w:sz w:val="20"/>
          <w:szCs w:val="20"/>
          <w:lang w:val="es-ES"/>
        </w:rPr>
        <w:t xml:space="preserve"> </w:t>
      </w:r>
      <w:r w:rsidRPr="0012360B">
        <w:rPr>
          <w:rFonts w:asciiTheme="majorHAnsi" w:hAnsiTheme="majorHAnsi" w:cs="Arial"/>
          <w:sz w:val="20"/>
          <w:szCs w:val="20"/>
          <w:lang w:val="es-ES"/>
        </w:rPr>
        <w:t xml:space="preserve">podrían caracterizar posibles violaciones de los artículos 4 (vida), 5 (integridad personal), </w:t>
      </w:r>
      <w:r w:rsidR="00896A08">
        <w:rPr>
          <w:rFonts w:asciiTheme="majorHAnsi" w:hAnsiTheme="majorHAnsi" w:cs="Arial"/>
          <w:sz w:val="20"/>
          <w:szCs w:val="20"/>
          <w:lang w:val="es-ES"/>
        </w:rPr>
        <w:t xml:space="preserve">7 (libertad personal), </w:t>
      </w:r>
      <w:r w:rsidRPr="0012360B">
        <w:rPr>
          <w:rFonts w:asciiTheme="majorHAnsi" w:hAnsiTheme="majorHAnsi" w:cs="Arial"/>
          <w:sz w:val="20"/>
          <w:szCs w:val="20"/>
          <w:lang w:val="es-ES"/>
        </w:rPr>
        <w:t>8 (garantías judiciales)</w:t>
      </w:r>
      <w:r w:rsidR="00C24D19" w:rsidRPr="0012360B">
        <w:rPr>
          <w:rFonts w:asciiTheme="majorHAnsi" w:hAnsiTheme="majorHAnsi" w:cs="Arial"/>
          <w:sz w:val="20"/>
          <w:szCs w:val="20"/>
          <w:lang w:val="es-ES"/>
        </w:rPr>
        <w:t xml:space="preserve">, </w:t>
      </w:r>
      <w:r w:rsidR="00C24D19" w:rsidRPr="001A5AD7">
        <w:rPr>
          <w:rFonts w:asciiTheme="majorHAnsi" w:hAnsiTheme="majorHAnsi" w:cs="Arial"/>
          <w:sz w:val="20"/>
          <w:szCs w:val="20"/>
          <w:lang w:val="es-ES"/>
        </w:rPr>
        <w:t>17 (protección a la familia)</w:t>
      </w:r>
      <w:r w:rsidR="00F66355" w:rsidRPr="001A5AD7">
        <w:rPr>
          <w:rFonts w:asciiTheme="majorHAnsi" w:hAnsiTheme="majorHAnsi" w:cs="Arial"/>
          <w:sz w:val="20"/>
          <w:szCs w:val="20"/>
          <w:lang w:val="es-ES"/>
        </w:rPr>
        <w:t xml:space="preserve">, </w:t>
      </w:r>
      <w:r w:rsidR="00F66355" w:rsidRPr="0012360B">
        <w:rPr>
          <w:rFonts w:asciiTheme="majorHAnsi" w:hAnsiTheme="majorHAnsi" w:cs="Arial"/>
          <w:sz w:val="20"/>
          <w:szCs w:val="20"/>
          <w:lang w:val="es-ES"/>
        </w:rPr>
        <w:t>22 (de circulación y residencia)</w:t>
      </w:r>
      <w:r w:rsidR="00406E3B">
        <w:rPr>
          <w:rFonts w:asciiTheme="majorHAnsi" w:hAnsiTheme="majorHAnsi" w:cs="Arial"/>
          <w:sz w:val="20"/>
          <w:szCs w:val="20"/>
          <w:lang w:val="es-ES"/>
        </w:rPr>
        <w:t>,</w:t>
      </w:r>
      <w:r w:rsidR="00F66355" w:rsidRPr="0012360B">
        <w:rPr>
          <w:rFonts w:asciiTheme="majorHAnsi" w:hAnsiTheme="majorHAnsi" w:cs="Arial"/>
          <w:sz w:val="20"/>
          <w:szCs w:val="20"/>
          <w:lang w:val="es-ES"/>
        </w:rPr>
        <w:t xml:space="preserve"> </w:t>
      </w:r>
      <w:r w:rsidR="00406E3B" w:rsidRPr="00406E3B">
        <w:rPr>
          <w:rFonts w:asciiTheme="majorHAnsi" w:hAnsiTheme="majorHAnsi" w:cs="Arial"/>
          <w:sz w:val="20"/>
          <w:szCs w:val="20"/>
          <w:lang w:val="es-ES"/>
        </w:rPr>
        <w:t xml:space="preserve">25 (protección judicial) y 26 (derechos económicos, sociales y culturales) </w:t>
      </w:r>
      <w:r w:rsidRPr="0012360B">
        <w:rPr>
          <w:rFonts w:asciiTheme="majorHAnsi" w:hAnsiTheme="majorHAnsi" w:cs="Arial"/>
          <w:sz w:val="20"/>
          <w:szCs w:val="20"/>
          <w:lang w:val="es-ES"/>
        </w:rPr>
        <w:t>de la Convención Americana en relación con su</w:t>
      </w:r>
      <w:r w:rsidR="008A0BB6">
        <w:rPr>
          <w:rFonts w:asciiTheme="majorHAnsi" w:hAnsiTheme="majorHAnsi" w:cs="Arial"/>
          <w:sz w:val="20"/>
          <w:szCs w:val="20"/>
          <w:lang w:val="es-ES"/>
        </w:rPr>
        <w:t>s</w:t>
      </w:r>
      <w:r w:rsidRPr="0012360B">
        <w:rPr>
          <w:rFonts w:asciiTheme="majorHAnsi" w:hAnsiTheme="majorHAnsi" w:cs="Arial"/>
          <w:sz w:val="20"/>
          <w:szCs w:val="20"/>
          <w:lang w:val="es-ES"/>
        </w:rPr>
        <w:t xml:space="preserve"> artículo</w:t>
      </w:r>
      <w:r w:rsidR="008A0BB6">
        <w:rPr>
          <w:rFonts w:asciiTheme="majorHAnsi" w:hAnsiTheme="majorHAnsi" w:cs="Arial"/>
          <w:sz w:val="20"/>
          <w:szCs w:val="20"/>
          <w:lang w:val="es-ES"/>
        </w:rPr>
        <w:t>s</w:t>
      </w:r>
      <w:r w:rsidRPr="0012360B">
        <w:rPr>
          <w:rFonts w:asciiTheme="majorHAnsi" w:hAnsiTheme="majorHAnsi" w:cs="Arial"/>
          <w:sz w:val="20"/>
          <w:szCs w:val="20"/>
          <w:lang w:val="es-ES"/>
        </w:rPr>
        <w:t xml:space="preserve"> 1.</w:t>
      </w:r>
      <w:r w:rsidRPr="00DC464D">
        <w:rPr>
          <w:rFonts w:asciiTheme="majorHAnsi" w:hAnsiTheme="majorHAnsi" w:cs="Arial"/>
          <w:sz w:val="20"/>
          <w:szCs w:val="20"/>
          <w:lang w:val="es-ES"/>
        </w:rPr>
        <w:t>1</w:t>
      </w:r>
      <w:r w:rsidR="008A0BB6">
        <w:rPr>
          <w:rFonts w:asciiTheme="majorHAnsi" w:hAnsiTheme="majorHAnsi" w:cs="Arial"/>
          <w:sz w:val="20"/>
          <w:szCs w:val="20"/>
          <w:lang w:val="es-ES"/>
        </w:rPr>
        <w:t xml:space="preserve"> y 2, en pe</w:t>
      </w:r>
      <w:r w:rsidRPr="0012360B">
        <w:rPr>
          <w:rFonts w:asciiTheme="majorHAnsi" w:hAnsiTheme="majorHAnsi" w:cs="Arial"/>
          <w:sz w:val="20"/>
          <w:szCs w:val="20"/>
          <w:lang w:val="es-ES"/>
        </w:rPr>
        <w:t>rjuicio</w:t>
      </w:r>
      <w:r w:rsidR="001D2064" w:rsidRPr="0012360B">
        <w:rPr>
          <w:rFonts w:asciiTheme="majorHAnsi" w:hAnsiTheme="majorHAnsi" w:cs="Arial"/>
          <w:sz w:val="20"/>
          <w:szCs w:val="20"/>
          <w:lang w:val="es-ES"/>
        </w:rPr>
        <w:t xml:space="preserve"> de la presunta víctima</w:t>
      </w:r>
      <w:r w:rsidRPr="0012360B">
        <w:rPr>
          <w:rFonts w:asciiTheme="majorHAnsi" w:hAnsiTheme="majorHAnsi" w:cs="Arial"/>
          <w:sz w:val="20"/>
          <w:szCs w:val="20"/>
          <w:lang w:val="es-ES"/>
        </w:rPr>
        <w:t xml:space="preserve"> y sus familiares.</w:t>
      </w:r>
    </w:p>
    <w:p w14:paraId="418E8587" w14:textId="15A764A1" w:rsidR="008438A0" w:rsidRPr="0012360B" w:rsidRDefault="008438A0" w:rsidP="00FF7D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12360B">
        <w:rPr>
          <w:rFonts w:asciiTheme="majorHAnsi" w:hAnsiTheme="majorHAnsi" w:cs="Arial"/>
          <w:sz w:val="20"/>
          <w:szCs w:val="20"/>
          <w:lang w:val="es-ES"/>
        </w:rPr>
        <w:t xml:space="preserve">En cuanto a los alegatos del artículo 10 (indemnización), cabe destacar que el peticionario sostiene </w:t>
      </w:r>
      <w:r w:rsidR="00A52E8F" w:rsidRPr="0012360B">
        <w:rPr>
          <w:rFonts w:asciiTheme="majorHAnsi" w:hAnsiTheme="majorHAnsi" w:cs="Arial"/>
          <w:sz w:val="20"/>
          <w:szCs w:val="20"/>
          <w:lang w:val="es-ES"/>
        </w:rPr>
        <w:t>que,</w:t>
      </w:r>
      <w:r w:rsidRPr="0012360B">
        <w:rPr>
          <w:rFonts w:asciiTheme="majorHAnsi" w:hAnsiTheme="majorHAnsi" w:cs="Arial"/>
          <w:sz w:val="20"/>
          <w:szCs w:val="20"/>
          <w:lang w:val="es-ES"/>
        </w:rPr>
        <w:t xml:space="preserve"> en los recursos internos, el Estado ha ignorado el perjuicio integral por la muerte de la presunta víctima sufrida por</w:t>
      </w:r>
      <w:r w:rsidR="005314BC" w:rsidRPr="0012360B">
        <w:rPr>
          <w:rFonts w:asciiTheme="majorHAnsi" w:hAnsiTheme="majorHAnsi" w:cs="Arial"/>
          <w:sz w:val="20"/>
          <w:szCs w:val="20"/>
          <w:lang w:val="es-ES"/>
        </w:rPr>
        <w:t xml:space="preserve"> sus familiares y no reparó justa y plenamente el perjuicio ocasionado.</w:t>
      </w:r>
      <w:r w:rsidRPr="0012360B">
        <w:rPr>
          <w:rFonts w:asciiTheme="majorHAnsi" w:hAnsiTheme="majorHAnsi" w:cs="Arial"/>
          <w:sz w:val="20"/>
          <w:szCs w:val="20"/>
          <w:lang w:val="es-ES"/>
        </w:rPr>
        <w:t xml:space="preserve"> </w:t>
      </w:r>
      <w:r w:rsidR="00DC464D">
        <w:rPr>
          <w:rFonts w:asciiTheme="majorHAnsi" w:hAnsiTheme="majorHAnsi" w:cs="Arial"/>
          <w:sz w:val="20"/>
          <w:szCs w:val="20"/>
          <w:lang w:val="es-ES"/>
        </w:rPr>
        <w:t>Por su parte, el Estado aduce</w:t>
      </w:r>
      <w:r w:rsidRPr="0012360B">
        <w:rPr>
          <w:rFonts w:asciiTheme="majorHAnsi" w:hAnsiTheme="majorHAnsi" w:cs="Arial"/>
          <w:sz w:val="20"/>
          <w:szCs w:val="20"/>
          <w:lang w:val="es-ES"/>
        </w:rPr>
        <w:t xml:space="preserve"> que por medio de la resolución 004941 de 1998 se reconoció el derecho de la familia del agente Martínez a recibir una indemnización y además, una mesada pensional a los familiares de las víctimas. Sin perjuicio de que en el análisis de fondo </w:t>
      </w:r>
      <w:r w:rsidR="005B20CD">
        <w:rPr>
          <w:rFonts w:asciiTheme="majorHAnsi" w:hAnsiTheme="majorHAnsi" w:cs="Arial"/>
          <w:sz w:val="20"/>
          <w:szCs w:val="20"/>
          <w:lang w:val="es-ES"/>
        </w:rPr>
        <w:t>deberá</w:t>
      </w:r>
      <w:r w:rsidRPr="0012360B">
        <w:rPr>
          <w:rFonts w:asciiTheme="majorHAnsi" w:hAnsiTheme="majorHAnsi" w:cs="Arial"/>
          <w:sz w:val="20"/>
          <w:szCs w:val="20"/>
          <w:lang w:val="es-ES"/>
        </w:rPr>
        <w:t xml:space="preserve"> decidirse si a la presunta víctima debe otorgarse una reparación integral, la Comisi</w:t>
      </w:r>
      <w:r w:rsidRPr="0012360B">
        <w:rPr>
          <w:rFonts w:asciiTheme="majorHAnsi" w:hAnsiTheme="majorHAnsi"/>
          <w:sz w:val="20"/>
          <w:szCs w:val="20"/>
          <w:lang w:val="es-ES"/>
        </w:rPr>
        <w:t xml:space="preserve">ón considera que los alegatos </w:t>
      </w:r>
      <w:r w:rsidR="001D2064" w:rsidRPr="0012360B">
        <w:rPr>
          <w:rFonts w:asciiTheme="majorHAnsi" w:hAnsiTheme="majorHAnsi"/>
          <w:sz w:val="20"/>
          <w:szCs w:val="20"/>
          <w:lang w:val="es-ES"/>
        </w:rPr>
        <w:t>enunciados por el peticion</w:t>
      </w:r>
      <w:r w:rsidR="000C4FBB">
        <w:rPr>
          <w:rFonts w:asciiTheme="majorHAnsi" w:hAnsiTheme="majorHAnsi"/>
          <w:sz w:val="20"/>
          <w:szCs w:val="20"/>
          <w:lang w:val="es-ES"/>
        </w:rPr>
        <w:t xml:space="preserve">ario, no permitirían considerar, </w:t>
      </w:r>
      <w:r w:rsidR="001D2064" w:rsidRPr="000C4FBB">
        <w:rPr>
          <w:rFonts w:asciiTheme="majorHAnsi" w:hAnsiTheme="majorHAnsi"/>
          <w:i/>
          <w:sz w:val="20"/>
          <w:szCs w:val="20"/>
          <w:lang w:val="es-ES"/>
        </w:rPr>
        <w:t xml:space="preserve">prima </w:t>
      </w:r>
      <w:r w:rsidR="00B41422" w:rsidRPr="000C4FBB">
        <w:rPr>
          <w:rFonts w:asciiTheme="majorHAnsi" w:hAnsiTheme="majorHAnsi"/>
          <w:i/>
          <w:sz w:val="20"/>
          <w:szCs w:val="20"/>
          <w:lang w:val="es-ES"/>
        </w:rPr>
        <w:t>facie</w:t>
      </w:r>
      <w:r w:rsidR="00B41422">
        <w:rPr>
          <w:rFonts w:asciiTheme="majorHAnsi" w:hAnsiTheme="majorHAnsi"/>
          <w:i/>
          <w:sz w:val="20"/>
          <w:szCs w:val="20"/>
          <w:lang w:val="es-ES"/>
        </w:rPr>
        <w:t xml:space="preserve">, </w:t>
      </w:r>
      <w:r w:rsidR="00B41422" w:rsidRPr="0012360B">
        <w:rPr>
          <w:rFonts w:asciiTheme="majorHAnsi" w:hAnsiTheme="majorHAnsi"/>
          <w:sz w:val="20"/>
          <w:szCs w:val="20"/>
          <w:lang w:val="es-ES"/>
        </w:rPr>
        <w:t>la</w:t>
      </w:r>
      <w:r w:rsidR="00F66355" w:rsidRPr="0012360B">
        <w:rPr>
          <w:rFonts w:asciiTheme="majorHAnsi" w:hAnsiTheme="majorHAnsi"/>
          <w:sz w:val="20"/>
          <w:szCs w:val="20"/>
          <w:lang w:val="es-ES"/>
        </w:rPr>
        <w:t xml:space="preserve"> </w:t>
      </w:r>
      <w:r w:rsidR="001D2064" w:rsidRPr="0012360B">
        <w:rPr>
          <w:rFonts w:asciiTheme="majorHAnsi" w:hAnsiTheme="majorHAnsi"/>
          <w:sz w:val="20"/>
          <w:szCs w:val="20"/>
          <w:lang w:val="es-ES"/>
        </w:rPr>
        <w:t>violaci</w:t>
      </w:r>
      <w:r w:rsidR="00F66355" w:rsidRPr="0012360B">
        <w:rPr>
          <w:rFonts w:asciiTheme="majorHAnsi" w:hAnsiTheme="majorHAnsi"/>
          <w:sz w:val="20"/>
          <w:szCs w:val="20"/>
          <w:lang w:val="es-ES"/>
        </w:rPr>
        <w:t xml:space="preserve">ón del artículo 10. </w:t>
      </w:r>
    </w:p>
    <w:p w14:paraId="6682DE1E" w14:textId="60CAF1BD" w:rsidR="00FF7D65" w:rsidRPr="0012360B" w:rsidRDefault="00FF7D65" w:rsidP="00FF7D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
        </w:rPr>
      </w:pPr>
      <w:r w:rsidRPr="0012360B">
        <w:rPr>
          <w:rFonts w:asciiTheme="majorHAnsi" w:hAnsiTheme="majorHAnsi" w:cs="Arial"/>
          <w:sz w:val="20"/>
          <w:szCs w:val="20"/>
          <w:lang w:val="es-ES"/>
        </w:rPr>
        <w:lastRenderedPageBreak/>
        <w:t>En cuanto a los alegatos</w:t>
      </w:r>
      <w:r w:rsidR="00F66355" w:rsidRPr="0012360B">
        <w:rPr>
          <w:rFonts w:asciiTheme="majorHAnsi" w:hAnsiTheme="majorHAnsi" w:cs="Arial"/>
          <w:sz w:val="20"/>
          <w:szCs w:val="20"/>
          <w:lang w:val="es-ES"/>
        </w:rPr>
        <w:t xml:space="preserve"> sobre la violación del artículo 24 </w:t>
      </w:r>
      <w:r w:rsidRPr="0012360B">
        <w:rPr>
          <w:rFonts w:asciiTheme="majorHAnsi" w:hAnsiTheme="majorHAnsi" w:cs="Arial"/>
          <w:sz w:val="20"/>
          <w:szCs w:val="20"/>
          <w:lang w:val="es-ES"/>
        </w:rPr>
        <w:t>(</w:t>
      </w:r>
      <w:r w:rsidR="00F66355" w:rsidRPr="0012360B">
        <w:rPr>
          <w:rFonts w:asciiTheme="majorHAnsi" w:hAnsiTheme="majorHAnsi" w:cs="Arial"/>
          <w:sz w:val="20"/>
          <w:szCs w:val="20"/>
          <w:lang w:val="es-ES"/>
        </w:rPr>
        <w:t xml:space="preserve">igualdad) </w:t>
      </w:r>
      <w:r w:rsidRPr="0012360B">
        <w:rPr>
          <w:rFonts w:asciiTheme="majorHAnsi" w:hAnsiTheme="majorHAnsi" w:cs="Arial"/>
          <w:sz w:val="20"/>
          <w:szCs w:val="20"/>
          <w:lang w:val="es-ES"/>
        </w:rPr>
        <w:t xml:space="preserve">de la Convención Americana, la Comisión observa que el peticionario no presenta alegatos o elementos suficientes que permitan identificar o determinar, </w:t>
      </w:r>
      <w:r w:rsidRPr="0012360B">
        <w:rPr>
          <w:rFonts w:asciiTheme="majorHAnsi" w:hAnsiTheme="majorHAnsi" w:cs="Arial"/>
          <w:i/>
          <w:sz w:val="20"/>
          <w:szCs w:val="20"/>
          <w:lang w:val="es-ES"/>
        </w:rPr>
        <w:t>prima facie</w:t>
      </w:r>
      <w:r w:rsidR="00544646">
        <w:rPr>
          <w:rFonts w:asciiTheme="majorHAnsi" w:hAnsiTheme="majorHAnsi" w:cs="Arial"/>
          <w:sz w:val="20"/>
          <w:szCs w:val="20"/>
          <w:lang w:val="es-ES"/>
        </w:rPr>
        <w:t>, la violación de esta disposición</w:t>
      </w:r>
      <w:r w:rsidRPr="0012360B">
        <w:rPr>
          <w:rFonts w:asciiTheme="majorHAnsi" w:hAnsiTheme="majorHAnsi" w:cs="Arial"/>
          <w:sz w:val="20"/>
          <w:szCs w:val="20"/>
          <w:lang w:val="es-ES"/>
        </w:rPr>
        <w:t xml:space="preserve">. </w:t>
      </w:r>
    </w:p>
    <w:p w14:paraId="4590233A" w14:textId="77777777" w:rsidR="00FF7D65" w:rsidRDefault="00FF7D65" w:rsidP="00FF7D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sz w:val="20"/>
          <w:szCs w:val="20"/>
          <w:lang w:val="es-ES_tradnl"/>
        </w:rPr>
      </w:pPr>
      <w:r w:rsidRPr="0012360B">
        <w:rPr>
          <w:rFonts w:asciiTheme="majorHAnsi" w:hAnsiTheme="majorHAnsi" w:cs="Arial"/>
          <w:sz w:val="20"/>
          <w:szCs w:val="20"/>
          <w:lang w:val="es-ES"/>
        </w:rPr>
        <w:t xml:space="preserve">Con respecto a las alegadas violaciones de la Declaración Americana, </w:t>
      </w:r>
      <w:r w:rsidRPr="0012360B">
        <w:rPr>
          <w:rFonts w:asciiTheme="majorHAnsi" w:hAnsiTheme="majorHAnsi" w:cs="Arial"/>
          <w:sz w:val="20"/>
          <w:szCs w:val="20"/>
          <w:lang w:val="es-ES_tradnl"/>
        </w:rPr>
        <w:t>la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p>
    <w:p w14:paraId="68ABF33D" w14:textId="33FEE463" w:rsidR="0012360B" w:rsidRPr="0012360B" w:rsidRDefault="0012360B" w:rsidP="001236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Pr>
          <w:rFonts w:ascii="Cambria" w:hAnsi="Cambria"/>
          <w:sz w:val="20"/>
          <w:szCs w:val="20"/>
          <w:lang w:val="es-ES"/>
        </w:rPr>
        <w:t>Por último, r</w:t>
      </w:r>
      <w:r w:rsidRPr="00134557">
        <w:rPr>
          <w:rFonts w:ascii="Cambria" w:hAnsi="Cambria"/>
          <w:sz w:val="20"/>
          <w:szCs w:val="20"/>
          <w:lang w:val="es-ES"/>
        </w:rPr>
        <w:t>especto a los alegatos del Estado referidos a la fórmula de cuarta instancia, la Comisión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2851F5F9" w:rsidR="003239B8" w:rsidRPr="00161DDA"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12360B">
        <w:rPr>
          <w:rFonts w:asciiTheme="majorHAnsi" w:hAnsiTheme="majorHAnsi"/>
          <w:b/>
          <w:bCs/>
          <w:sz w:val="20"/>
          <w:szCs w:val="20"/>
          <w:lang w:val="es-ES"/>
        </w:rPr>
        <w:t>VI</w:t>
      </w:r>
      <w:r w:rsidR="00F04591" w:rsidRPr="0012360B">
        <w:rPr>
          <w:rFonts w:asciiTheme="majorHAnsi" w:hAnsiTheme="majorHAnsi"/>
          <w:b/>
          <w:bCs/>
          <w:sz w:val="20"/>
          <w:szCs w:val="20"/>
          <w:lang w:val="es-ES"/>
        </w:rPr>
        <w:t>II</w:t>
      </w:r>
      <w:r w:rsidR="003239B8" w:rsidRPr="0012360B">
        <w:rPr>
          <w:rFonts w:asciiTheme="majorHAnsi" w:hAnsiTheme="majorHAnsi"/>
          <w:b/>
          <w:bCs/>
          <w:sz w:val="20"/>
          <w:szCs w:val="20"/>
          <w:lang w:val="es-ES"/>
        </w:rPr>
        <w:t xml:space="preserve">. </w:t>
      </w:r>
      <w:r w:rsidR="003239B8" w:rsidRPr="0012360B">
        <w:rPr>
          <w:rFonts w:asciiTheme="majorHAnsi" w:hAnsiTheme="majorHAnsi"/>
          <w:b/>
          <w:bCs/>
          <w:sz w:val="20"/>
          <w:szCs w:val="20"/>
          <w:lang w:val="es-ES"/>
        </w:rPr>
        <w:tab/>
        <w:t>DECISIÓN</w:t>
      </w:r>
    </w:p>
    <w:p w14:paraId="0FDE1D10" w14:textId="664FE2A9" w:rsidR="003239B8" w:rsidRPr="0012360B" w:rsidRDefault="003239B8"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61DDA">
        <w:rPr>
          <w:rFonts w:asciiTheme="majorHAnsi" w:hAnsiTheme="majorHAnsi"/>
          <w:sz w:val="20"/>
          <w:szCs w:val="20"/>
          <w:lang w:val="es-ES"/>
        </w:rPr>
        <w:t>Declarar admisible la presente petición en relación con</w:t>
      </w:r>
      <w:r w:rsidR="003A6337" w:rsidRPr="00161DDA">
        <w:rPr>
          <w:rFonts w:asciiTheme="majorHAnsi" w:hAnsiTheme="majorHAnsi"/>
          <w:sz w:val="20"/>
          <w:szCs w:val="20"/>
          <w:lang w:val="es-ES"/>
        </w:rPr>
        <w:t xml:space="preserve"> los </w:t>
      </w:r>
      <w:r w:rsidR="00F66355" w:rsidRPr="00161DDA">
        <w:rPr>
          <w:rFonts w:asciiTheme="majorHAnsi" w:hAnsiTheme="majorHAnsi"/>
          <w:bCs/>
          <w:sz w:val="20"/>
          <w:szCs w:val="20"/>
          <w:lang w:val="es-ES"/>
        </w:rPr>
        <w:t xml:space="preserve">artículos </w:t>
      </w:r>
      <w:r w:rsidR="008B2648" w:rsidRPr="00161DDA">
        <w:rPr>
          <w:rFonts w:asciiTheme="majorHAnsi" w:hAnsiTheme="majorHAnsi" w:cs="Arial"/>
          <w:sz w:val="20"/>
          <w:szCs w:val="20"/>
          <w:lang w:val="es-ES"/>
        </w:rPr>
        <w:t>4,</w:t>
      </w:r>
      <w:r w:rsidR="00F66355" w:rsidRPr="00161DDA">
        <w:rPr>
          <w:rFonts w:asciiTheme="majorHAnsi" w:hAnsiTheme="majorHAnsi" w:cs="Arial"/>
          <w:sz w:val="20"/>
          <w:szCs w:val="20"/>
          <w:lang w:val="es-ES"/>
        </w:rPr>
        <w:t xml:space="preserve"> 5</w:t>
      </w:r>
      <w:r w:rsidR="008B2648" w:rsidRPr="00161DDA">
        <w:rPr>
          <w:rFonts w:asciiTheme="majorHAnsi" w:hAnsiTheme="majorHAnsi" w:cs="Arial"/>
          <w:sz w:val="20"/>
          <w:szCs w:val="20"/>
          <w:lang w:val="es-ES"/>
        </w:rPr>
        <w:t>, 8</w:t>
      </w:r>
      <w:r w:rsidR="00F66355" w:rsidRPr="00161DDA">
        <w:rPr>
          <w:rFonts w:asciiTheme="majorHAnsi" w:hAnsiTheme="majorHAnsi" w:cs="Arial"/>
          <w:sz w:val="20"/>
          <w:szCs w:val="20"/>
          <w:lang w:val="es-ES"/>
        </w:rPr>
        <w:t xml:space="preserve">, </w:t>
      </w:r>
      <w:r w:rsidR="008B2648" w:rsidRPr="00161DDA">
        <w:rPr>
          <w:rFonts w:asciiTheme="majorHAnsi" w:hAnsiTheme="majorHAnsi" w:cs="Arial"/>
          <w:sz w:val="20"/>
          <w:szCs w:val="20"/>
          <w:lang w:val="es-ES"/>
        </w:rPr>
        <w:t>17</w:t>
      </w:r>
      <w:r w:rsidR="00F66355" w:rsidRPr="0012360B">
        <w:rPr>
          <w:rFonts w:asciiTheme="majorHAnsi" w:hAnsiTheme="majorHAnsi" w:cs="Arial"/>
          <w:sz w:val="20"/>
          <w:szCs w:val="20"/>
          <w:lang w:val="es-ES"/>
        </w:rPr>
        <w:t>, 22</w:t>
      </w:r>
      <w:r w:rsidR="00406E3B">
        <w:rPr>
          <w:rFonts w:asciiTheme="majorHAnsi" w:hAnsiTheme="majorHAnsi" w:cs="Arial"/>
          <w:sz w:val="20"/>
          <w:szCs w:val="20"/>
          <w:lang w:val="es-ES"/>
        </w:rPr>
        <w:t>,</w:t>
      </w:r>
      <w:r w:rsidR="00F66355" w:rsidRPr="0012360B">
        <w:rPr>
          <w:rFonts w:asciiTheme="majorHAnsi" w:hAnsiTheme="majorHAnsi" w:cs="Arial"/>
          <w:sz w:val="20"/>
          <w:szCs w:val="20"/>
          <w:lang w:val="es-ES"/>
        </w:rPr>
        <w:t xml:space="preserve"> 25</w:t>
      </w:r>
      <w:r w:rsidR="00406E3B">
        <w:rPr>
          <w:rFonts w:asciiTheme="majorHAnsi" w:hAnsiTheme="majorHAnsi" w:cs="Arial"/>
          <w:sz w:val="20"/>
          <w:szCs w:val="20"/>
          <w:lang w:val="es-ES"/>
        </w:rPr>
        <w:t xml:space="preserve"> y 26</w:t>
      </w:r>
      <w:r w:rsidR="00F66355" w:rsidRPr="0012360B">
        <w:rPr>
          <w:rFonts w:asciiTheme="majorHAnsi" w:hAnsiTheme="majorHAnsi" w:cs="Arial"/>
          <w:sz w:val="20"/>
          <w:szCs w:val="20"/>
          <w:lang w:val="es-ES"/>
        </w:rPr>
        <w:t xml:space="preserve"> de la Convención Americana en relación con su</w:t>
      </w:r>
      <w:r w:rsidR="00B51367">
        <w:rPr>
          <w:rFonts w:asciiTheme="majorHAnsi" w:hAnsiTheme="majorHAnsi" w:cs="Arial"/>
          <w:sz w:val="20"/>
          <w:szCs w:val="20"/>
          <w:lang w:val="es-ES"/>
        </w:rPr>
        <w:t>s</w:t>
      </w:r>
      <w:r w:rsidR="00F66355" w:rsidRPr="0012360B">
        <w:rPr>
          <w:rFonts w:asciiTheme="majorHAnsi" w:hAnsiTheme="majorHAnsi" w:cs="Arial"/>
          <w:sz w:val="20"/>
          <w:szCs w:val="20"/>
          <w:lang w:val="es-ES"/>
        </w:rPr>
        <w:t xml:space="preserve"> artículo</w:t>
      </w:r>
      <w:r w:rsidR="00B51367">
        <w:rPr>
          <w:rFonts w:asciiTheme="majorHAnsi" w:hAnsiTheme="majorHAnsi" w:cs="Arial"/>
          <w:sz w:val="20"/>
          <w:szCs w:val="20"/>
          <w:lang w:val="es-ES"/>
        </w:rPr>
        <w:t>s</w:t>
      </w:r>
      <w:r w:rsidR="00F66355" w:rsidRPr="0012360B">
        <w:rPr>
          <w:rFonts w:asciiTheme="majorHAnsi" w:hAnsiTheme="majorHAnsi" w:cs="Arial"/>
          <w:sz w:val="20"/>
          <w:szCs w:val="20"/>
          <w:lang w:val="es-ES"/>
        </w:rPr>
        <w:t xml:space="preserve"> 1.1</w:t>
      </w:r>
      <w:r w:rsidR="00B51367">
        <w:rPr>
          <w:rFonts w:asciiTheme="majorHAnsi" w:hAnsiTheme="majorHAnsi" w:cs="Arial"/>
          <w:sz w:val="20"/>
          <w:szCs w:val="20"/>
          <w:lang w:val="es-ES"/>
        </w:rPr>
        <w:t xml:space="preserve"> y 2</w:t>
      </w:r>
      <w:r w:rsidR="008B2648" w:rsidRPr="0012360B">
        <w:rPr>
          <w:rFonts w:asciiTheme="majorHAnsi" w:hAnsiTheme="majorHAnsi" w:cs="Arial"/>
          <w:sz w:val="20"/>
          <w:szCs w:val="20"/>
          <w:lang w:val="es-ES"/>
        </w:rPr>
        <w:t xml:space="preserve">, </w:t>
      </w:r>
      <w:r w:rsidR="00F66355" w:rsidRPr="0012360B">
        <w:rPr>
          <w:rFonts w:asciiTheme="majorHAnsi" w:hAnsiTheme="majorHAnsi" w:cs="Arial"/>
          <w:sz w:val="20"/>
          <w:szCs w:val="20"/>
          <w:lang w:val="es-ES"/>
        </w:rPr>
        <w:t>en perjuicio de la presunta víctima y sus familiares</w:t>
      </w:r>
      <w:r w:rsidR="00A758AA" w:rsidRPr="0012360B">
        <w:rPr>
          <w:rFonts w:asciiTheme="majorHAnsi" w:hAnsiTheme="majorHAnsi"/>
          <w:sz w:val="20"/>
          <w:szCs w:val="20"/>
          <w:lang w:val="es-ES"/>
        </w:rPr>
        <w:t>;</w:t>
      </w:r>
    </w:p>
    <w:p w14:paraId="570DA61C" w14:textId="0A87CFED" w:rsidR="000419AD" w:rsidRPr="0012360B" w:rsidRDefault="000419AD" w:rsidP="00176BB3">
      <w:pPr>
        <w:pStyle w:val="ListParagraph"/>
        <w:numPr>
          <w:ilvl w:val="0"/>
          <w:numId w:val="56"/>
        </w:numPr>
        <w:spacing w:after="120"/>
        <w:jc w:val="both"/>
        <w:rPr>
          <w:rFonts w:asciiTheme="majorHAnsi" w:eastAsia="Arial Unicode MS" w:hAnsiTheme="majorHAnsi" w:cs="Times New Roman"/>
          <w:color w:val="auto"/>
          <w:sz w:val="20"/>
          <w:szCs w:val="20"/>
          <w:lang w:val="es-ES" w:eastAsia="en-US"/>
        </w:rPr>
      </w:pPr>
      <w:r w:rsidRPr="0012360B">
        <w:rPr>
          <w:rFonts w:asciiTheme="majorHAnsi" w:eastAsia="Arial Unicode MS" w:hAnsiTheme="majorHAnsi" w:cs="Times New Roman"/>
          <w:color w:val="auto"/>
          <w:sz w:val="20"/>
          <w:szCs w:val="20"/>
          <w:lang w:val="es-ES" w:eastAsia="en-US"/>
        </w:rPr>
        <w:t xml:space="preserve">Declarar inadmisible la presente petición en relación con </w:t>
      </w:r>
      <w:r w:rsidR="003A6337" w:rsidRPr="0012360B">
        <w:rPr>
          <w:rFonts w:asciiTheme="majorHAnsi" w:hAnsiTheme="majorHAnsi"/>
          <w:color w:val="auto"/>
          <w:sz w:val="20"/>
          <w:szCs w:val="20"/>
          <w:lang w:val="es-ES"/>
        </w:rPr>
        <w:t xml:space="preserve">los artículos </w:t>
      </w:r>
      <w:r w:rsidR="008B2648" w:rsidRPr="0012360B">
        <w:rPr>
          <w:rFonts w:asciiTheme="majorHAnsi" w:hAnsiTheme="majorHAnsi"/>
          <w:bCs/>
          <w:color w:val="auto"/>
          <w:sz w:val="20"/>
          <w:szCs w:val="20"/>
          <w:lang w:val="es-ES"/>
        </w:rPr>
        <w:t>10 y 24 de la Convención Americana.</w:t>
      </w:r>
    </w:p>
    <w:p w14:paraId="4157390F" w14:textId="6EEA00B3" w:rsidR="00D93A90"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12360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FBA6982" w14:textId="08784C68" w:rsidR="00576007" w:rsidRPr="00A37B82" w:rsidRDefault="00576007" w:rsidP="0057600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7600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6BDB7" w14:textId="77777777" w:rsidR="008C222C" w:rsidRDefault="008C222C">
      <w:r>
        <w:separator/>
      </w:r>
    </w:p>
  </w:endnote>
  <w:endnote w:type="continuationSeparator" w:id="0">
    <w:p w14:paraId="22D782B2" w14:textId="77777777" w:rsidR="008C222C" w:rsidRDefault="008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48D3" w14:textId="77777777" w:rsidR="00D948D9" w:rsidRDefault="00D94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EE28F0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948D9">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FF4F1" w14:textId="77777777" w:rsidR="008C222C" w:rsidRPr="000F35ED" w:rsidRDefault="008C22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F50B4C" w14:textId="77777777" w:rsidR="008C222C" w:rsidRPr="000F35ED" w:rsidRDefault="008C222C" w:rsidP="000F35ED">
      <w:pPr>
        <w:rPr>
          <w:rFonts w:asciiTheme="majorHAnsi" w:hAnsiTheme="majorHAnsi"/>
          <w:sz w:val="16"/>
          <w:szCs w:val="16"/>
        </w:rPr>
      </w:pPr>
      <w:r w:rsidRPr="000F35ED">
        <w:rPr>
          <w:rFonts w:asciiTheme="majorHAnsi" w:hAnsiTheme="majorHAnsi"/>
          <w:sz w:val="16"/>
          <w:szCs w:val="16"/>
        </w:rPr>
        <w:separator/>
      </w:r>
    </w:p>
    <w:p w14:paraId="41BF4D88" w14:textId="77777777" w:rsidR="008C222C" w:rsidRPr="000F35ED" w:rsidRDefault="008C222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41F393D" w14:textId="77777777" w:rsidR="008C222C" w:rsidRPr="000F35ED" w:rsidRDefault="008C222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C80005F" w14:textId="0D40ACE3" w:rsidR="00836BB1" w:rsidRPr="008C0A75" w:rsidRDefault="00836BB1" w:rsidP="00836BB1">
      <w:pPr>
        <w:pStyle w:val="FootnoteText"/>
        <w:ind w:firstLine="720"/>
        <w:rPr>
          <w:rFonts w:asciiTheme="majorHAnsi" w:hAnsiTheme="majorHAnsi"/>
          <w:lang w:val="es-ES"/>
        </w:rPr>
      </w:pPr>
      <w:r w:rsidRPr="008C0A75">
        <w:rPr>
          <w:rStyle w:val="FootnoteReference"/>
          <w:rFonts w:asciiTheme="majorHAnsi" w:hAnsiTheme="majorHAnsi"/>
          <w:sz w:val="16"/>
        </w:rPr>
        <w:footnoteRef/>
      </w:r>
      <w:r w:rsidRPr="008C0A75">
        <w:rPr>
          <w:rFonts w:asciiTheme="majorHAnsi" w:hAnsiTheme="majorHAnsi"/>
          <w:sz w:val="16"/>
          <w:lang w:val="es-ES"/>
        </w:rPr>
        <w:t xml:space="preserve"> </w:t>
      </w:r>
      <w:r w:rsidR="00B926EA" w:rsidRPr="008C0A75">
        <w:rPr>
          <w:rFonts w:asciiTheme="majorHAnsi" w:hAnsiTheme="majorHAnsi"/>
          <w:sz w:val="16"/>
          <w:lang w:val="es-ES"/>
        </w:rPr>
        <w:t xml:space="preserve">Su esposa María Rocío Triana Gómez </w:t>
      </w:r>
      <w:r w:rsidRPr="008C0A75">
        <w:rPr>
          <w:rFonts w:asciiTheme="majorHAnsi" w:hAnsiTheme="majorHAnsi"/>
          <w:sz w:val="16"/>
          <w:lang w:val="es-ES"/>
        </w:rPr>
        <w:t xml:space="preserve">y en representación de sus hijos menores de edad </w:t>
      </w:r>
      <w:proofErr w:type="spellStart"/>
      <w:r w:rsidRPr="008C0A75">
        <w:rPr>
          <w:rFonts w:asciiTheme="majorHAnsi" w:hAnsiTheme="majorHAnsi"/>
          <w:sz w:val="16"/>
          <w:lang w:val="es-ES"/>
        </w:rPr>
        <w:t>Heidy</w:t>
      </w:r>
      <w:proofErr w:type="spellEnd"/>
      <w:r w:rsidRPr="008C0A75">
        <w:rPr>
          <w:rFonts w:asciiTheme="majorHAnsi" w:hAnsiTheme="majorHAnsi"/>
          <w:sz w:val="16"/>
          <w:lang w:val="es-ES"/>
        </w:rPr>
        <w:t xml:space="preserve"> </w:t>
      </w:r>
      <w:proofErr w:type="spellStart"/>
      <w:r w:rsidRPr="008C0A75">
        <w:rPr>
          <w:rFonts w:asciiTheme="majorHAnsi" w:hAnsiTheme="majorHAnsi"/>
          <w:sz w:val="16"/>
          <w:lang w:val="es-ES"/>
        </w:rPr>
        <w:t>Yessenia</w:t>
      </w:r>
      <w:proofErr w:type="spellEnd"/>
      <w:r w:rsidRPr="008C0A75">
        <w:rPr>
          <w:rFonts w:asciiTheme="majorHAnsi" w:hAnsiTheme="majorHAnsi"/>
          <w:sz w:val="16"/>
          <w:lang w:val="es-ES"/>
        </w:rPr>
        <w:t xml:space="preserve"> Martínez Triana, Franklin Eduardo Martínez Triana</w:t>
      </w:r>
      <w:r w:rsidR="00AA3DAB" w:rsidRPr="008C0A75">
        <w:rPr>
          <w:rFonts w:asciiTheme="majorHAnsi" w:hAnsiTheme="majorHAnsi"/>
          <w:sz w:val="16"/>
          <w:lang w:val="es-ES"/>
        </w:rPr>
        <w:t>,</w:t>
      </w:r>
      <w:r w:rsidR="00B926EA" w:rsidRPr="008C0A75">
        <w:rPr>
          <w:rFonts w:asciiTheme="majorHAnsi" w:hAnsiTheme="majorHAnsi"/>
          <w:sz w:val="16"/>
          <w:lang w:val="es-ES"/>
        </w:rPr>
        <w:t xml:space="preserve"> David </w:t>
      </w:r>
      <w:proofErr w:type="spellStart"/>
      <w:r w:rsidR="00B926EA" w:rsidRPr="008C0A75">
        <w:rPr>
          <w:rFonts w:asciiTheme="majorHAnsi" w:hAnsiTheme="majorHAnsi"/>
          <w:sz w:val="16"/>
          <w:lang w:val="es-ES"/>
        </w:rPr>
        <w:t>Stiven</w:t>
      </w:r>
      <w:proofErr w:type="spellEnd"/>
      <w:r w:rsidR="00B926EA" w:rsidRPr="008C0A75">
        <w:rPr>
          <w:rFonts w:asciiTheme="majorHAnsi" w:hAnsiTheme="majorHAnsi"/>
          <w:sz w:val="16"/>
          <w:lang w:val="es-ES"/>
        </w:rPr>
        <w:t xml:space="preserve"> </w:t>
      </w:r>
      <w:r w:rsidR="00AA3DAB" w:rsidRPr="008C0A75">
        <w:rPr>
          <w:rFonts w:asciiTheme="majorHAnsi" w:hAnsiTheme="majorHAnsi"/>
          <w:sz w:val="16"/>
          <w:lang w:val="es-ES"/>
        </w:rPr>
        <w:t>Martínez Triana y Angélica Martínez Triana</w:t>
      </w:r>
      <w:r w:rsidR="00AA3DAB" w:rsidRPr="008C0A75">
        <w:rPr>
          <w:rFonts w:asciiTheme="majorHAnsi" w:hAnsiTheme="majorHAnsi"/>
          <w:lang w:val="es-ES"/>
        </w:rPr>
        <w:t>.</w:t>
      </w:r>
    </w:p>
  </w:footnote>
  <w:footnote w:id="3">
    <w:p w14:paraId="215EEB52" w14:textId="3D2F5FA7" w:rsidR="00BF514A" w:rsidRPr="008C0A75" w:rsidRDefault="00BF514A" w:rsidP="00AA3DAB">
      <w:pPr>
        <w:pStyle w:val="FootnoteText"/>
        <w:ind w:firstLine="720"/>
        <w:jc w:val="both"/>
        <w:rPr>
          <w:rFonts w:asciiTheme="majorHAnsi" w:hAnsiTheme="majorHAnsi"/>
          <w:sz w:val="16"/>
          <w:szCs w:val="16"/>
          <w:lang w:val="es-ES"/>
        </w:rPr>
      </w:pPr>
      <w:r w:rsidRPr="008C0A75">
        <w:rPr>
          <w:rStyle w:val="FootnoteReference"/>
          <w:rFonts w:asciiTheme="majorHAnsi" w:hAnsiTheme="majorHAnsi"/>
          <w:sz w:val="16"/>
          <w:szCs w:val="16"/>
        </w:rPr>
        <w:footnoteRef/>
      </w:r>
      <w:r w:rsidRPr="008C0A75">
        <w:rPr>
          <w:rFonts w:asciiTheme="majorHAnsi" w:hAnsiTheme="majorHAnsi"/>
          <w:sz w:val="16"/>
          <w:szCs w:val="16"/>
          <w:lang w:val="es-ES"/>
        </w:rPr>
        <w:t xml:space="preserve"> En adelante “la Convención Americana” o “la Convención”.</w:t>
      </w:r>
    </w:p>
  </w:footnote>
  <w:footnote w:id="4">
    <w:p w14:paraId="454F4814" w14:textId="73F4D190" w:rsidR="00A10BC4" w:rsidRPr="008C0A75" w:rsidRDefault="00A10BC4" w:rsidP="00A10BC4">
      <w:pPr>
        <w:pStyle w:val="FootnoteText"/>
        <w:ind w:firstLine="720"/>
        <w:rPr>
          <w:rFonts w:asciiTheme="majorHAnsi" w:hAnsiTheme="majorHAnsi"/>
          <w:lang w:val="es-ES"/>
        </w:rPr>
      </w:pPr>
      <w:r w:rsidRPr="008C0A75">
        <w:rPr>
          <w:rStyle w:val="FootnoteReference"/>
          <w:rFonts w:asciiTheme="majorHAnsi" w:hAnsiTheme="majorHAnsi"/>
        </w:rPr>
        <w:footnoteRef/>
      </w:r>
      <w:r w:rsidRPr="008C0A75">
        <w:rPr>
          <w:rFonts w:asciiTheme="majorHAnsi" w:hAnsiTheme="majorHAnsi"/>
          <w:lang w:val="es-ES"/>
        </w:rPr>
        <w:t xml:space="preserve"> </w:t>
      </w:r>
      <w:r w:rsidR="00454DAD" w:rsidRPr="008C0A75">
        <w:rPr>
          <w:rFonts w:asciiTheme="majorHAnsi" w:hAnsiTheme="majorHAnsi"/>
          <w:sz w:val="16"/>
          <w:lang w:val="es-ES"/>
        </w:rPr>
        <w:t>En adelante “Declaración Americana” o “Declaración”.</w:t>
      </w:r>
    </w:p>
  </w:footnote>
  <w:footnote w:id="5">
    <w:p w14:paraId="79F07139" w14:textId="77777777" w:rsidR="008E3BFE" w:rsidRPr="008C0A75" w:rsidRDefault="008E3BFE" w:rsidP="00AA3DAB">
      <w:pPr>
        <w:pStyle w:val="FootnoteText"/>
        <w:ind w:firstLine="720"/>
        <w:jc w:val="both"/>
        <w:rPr>
          <w:rFonts w:asciiTheme="majorHAnsi" w:hAnsiTheme="majorHAnsi"/>
          <w:sz w:val="16"/>
          <w:szCs w:val="16"/>
          <w:lang w:val="es-ES"/>
        </w:rPr>
      </w:pPr>
      <w:r w:rsidRPr="008C0A75">
        <w:rPr>
          <w:rStyle w:val="FootnoteReference"/>
          <w:rFonts w:asciiTheme="majorHAnsi" w:hAnsiTheme="majorHAnsi"/>
          <w:sz w:val="16"/>
          <w:szCs w:val="16"/>
        </w:rPr>
        <w:footnoteRef/>
      </w:r>
      <w:r w:rsidRPr="008C0A75">
        <w:rPr>
          <w:rFonts w:asciiTheme="majorHAnsi" w:hAnsiTheme="majorHAnsi"/>
          <w:sz w:val="16"/>
          <w:szCs w:val="16"/>
          <w:lang w:val="es-ES"/>
        </w:rPr>
        <w:t xml:space="preserve"> Las observaciones de cada parte fueron debidamente trasladadas a la parte contraria.</w:t>
      </w:r>
    </w:p>
  </w:footnote>
  <w:footnote w:id="6">
    <w:p w14:paraId="2460E6E4" w14:textId="60B1CD9A" w:rsidR="00182A25" w:rsidRPr="008C0A75" w:rsidRDefault="00182A25" w:rsidP="00182A25">
      <w:pPr>
        <w:pStyle w:val="FootnoteText"/>
        <w:ind w:firstLine="720"/>
        <w:rPr>
          <w:rFonts w:asciiTheme="majorHAnsi" w:hAnsiTheme="majorHAnsi" w:cs="Arial"/>
          <w:sz w:val="16"/>
          <w:szCs w:val="16"/>
          <w:lang w:val="es-ES"/>
        </w:rPr>
      </w:pPr>
      <w:r w:rsidRPr="008C0A75">
        <w:rPr>
          <w:rStyle w:val="FootnoteReference"/>
          <w:rFonts w:asciiTheme="majorHAnsi" w:hAnsiTheme="majorHAnsi"/>
          <w:sz w:val="16"/>
          <w:szCs w:val="16"/>
        </w:rPr>
        <w:footnoteRef/>
      </w:r>
      <w:r w:rsidRPr="008C0A75">
        <w:rPr>
          <w:rFonts w:asciiTheme="majorHAnsi" w:hAnsiTheme="majorHAnsi"/>
          <w:sz w:val="16"/>
          <w:szCs w:val="16"/>
          <w:lang w:val="es-ES"/>
        </w:rPr>
        <w:t xml:space="preserve"> </w:t>
      </w:r>
      <w:proofErr w:type="spellStart"/>
      <w:r w:rsidRPr="008C0A75">
        <w:rPr>
          <w:rFonts w:asciiTheme="majorHAnsi" w:hAnsiTheme="majorHAnsi"/>
          <w:sz w:val="16"/>
          <w:szCs w:val="16"/>
          <w:lang w:val="es-ES"/>
        </w:rPr>
        <w:t>Heidy</w:t>
      </w:r>
      <w:proofErr w:type="spellEnd"/>
      <w:r w:rsidRPr="008C0A75">
        <w:rPr>
          <w:rFonts w:asciiTheme="majorHAnsi" w:hAnsiTheme="majorHAnsi"/>
          <w:sz w:val="16"/>
          <w:szCs w:val="16"/>
          <w:lang w:val="es-ES"/>
        </w:rPr>
        <w:t xml:space="preserve"> </w:t>
      </w:r>
      <w:proofErr w:type="spellStart"/>
      <w:r w:rsidRPr="008C0A75">
        <w:rPr>
          <w:rFonts w:asciiTheme="majorHAnsi" w:hAnsiTheme="majorHAnsi"/>
          <w:sz w:val="16"/>
          <w:szCs w:val="16"/>
          <w:lang w:val="es-ES"/>
        </w:rPr>
        <w:t>Yessenia</w:t>
      </w:r>
      <w:proofErr w:type="spellEnd"/>
      <w:r w:rsidRPr="008C0A75">
        <w:rPr>
          <w:rFonts w:asciiTheme="majorHAnsi" w:hAnsiTheme="majorHAnsi"/>
          <w:sz w:val="16"/>
          <w:szCs w:val="16"/>
          <w:lang w:val="es-ES"/>
        </w:rPr>
        <w:t xml:space="preserve"> Martínez </w:t>
      </w:r>
      <w:proofErr w:type="spellStart"/>
      <w:r w:rsidRPr="008C0A75">
        <w:rPr>
          <w:rFonts w:asciiTheme="majorHAnsi" w:hAnsiTheme="majorHAnsi"/>
          <w:sz w:val="16"/>
          <w:szCs w:val="16"/>
          <w:lang w:val="es-ES"/>
        </w:rPr>
        <w:t>Trianada</w:t>
      </w:r>
      <w:proofErr w:type="spellEnd"/>
      <w:r w:rsidRPr="008C0A75">
        <w:rPr>
          <w:rFonts w:asciiTheme="majorHAnsi" w:hAnsiTheme="majorHAnsi"/>
          <w:sz w:val="16"/>
          <w:szCs w:val="16"/>
          <w:lang w:val="es-ES"/>
        </w:rPr>
        <w:t xml:space="preserve">, nacida el 13 de junio de 1991; Franklin Eduardo Martínez Triana, nacido el 30 de junio de 1993, </w:t>
      </w:r>
      <w:proofErr w:type="spellStart"/>
      <w:r w:rsidRPr="008C0A75">
        <w:rPr>
          <w:rFonts w:asciiTheme="majorHAnsi" w:hAnsiTheme="majorHAnsi"/>
          <w:sz w:val="16"/>
          <w:szCs w:val="16"/>
          <w:lang w:val="es-ES"/>
        </w:rPr>
        <w:t>Davide</w:t>
      </w:r>
      <w:proofErr w:type="spellEnd"/>
      <w:r w:rsidRPr="008C0A75">
        <w:rPr>
          <w:rFonts w:asciiTheme="majorHAnsi" w:hAnsiTheme="majorHAnsi"/>
          <w:sz w:val="16"/>
          <w:szCs w:val="16"/>
          <w:lang w:val="es-ES"/>
        </w:rPr>
        <w:t xml:space="preserve"> </w:t>
      </w:r>
      <w:proofErr w:type="spellStart"/>
      <w:r w:rsidRPr="008C0A75">
        <w:rPr>
          <w:rFonts w:asciiTheme="majorHAnsi" w:hAnsiTheme="majorHAnsi"/>
          <w:sz w:val="16"/>
          <w:szCs w:val="16"/>
          <w:lang w:val="es-ES"/>
        </w:rPr>
        <w:t>Stiven</w:t>
      </w:r>
      <w:proofErr w:type="spellEnd"/>
      <w:r w:rsidRPr="008C0A75">
        <w:rPr>
          <w:rFonts w:asciiTheme="majorHAnsi" w:hAnsiTheme="majorHAnsi"/>
          <w:sz w:val="16"/>
          <w:szCs w:val="16"/>
          <w:lang w:val="es-ES"/>
        </w:rPr>
        <w:t xml:space="preserve"> Mart</w:t>
      </w:r>
      <w:r w:rsidRPr="008C0A75">
        <w:rPr>
          <w:rFonts w:asciiTheme="majorHAnsi" w:hAnsiTheme="majorHAnsi" w:cs="Arial"/>
          <w:sz w:val="16"/>
          <w:szCs w:val="16"/>
          <w:lang w:val="es-ES"/>
        </w:rPr>
        <w:t>ínez Triana nacid</w:t>
      </w:r>
      <w:r w:rsidR="00C7761D" w:rsidRPr="008C0A75">
        <w:rPr>
          <w:rFonts w:asciiTheme="majorHAnsi" w:hAnsiTheme="majorHAnsi" w:cs="Arial"/>
          <w:sz w:val="16"/>
          <w:szCs w:val="16"/>
          <w:lang w:val="es-ES"/>
        </w:rPr>
        <w:t xml:space="preserve">o el 20 de junio de 1993 </w:t>
      </w:r>
      <w:r w:rsidR="00B41422" w:rsidRPr="008C0A75">
        <w:rPr>
          <w:rFonts w:asciiTheme="majorHAnsi" w:hAnsiTheme="majorHAnsi" w:cs="Arial"/>
          <w:sz w:val="16"/>
          <w:szCs w:val="16"/>
          <w:lang w:val="es-ES"/>
        </w:rPr>
        <w:t>y Angélica</w:t>
      </w:r>
      <w:r w:rsidR="00C7761D" w:rsidRPr="008C0A75">
        <w:rPr>
          <w:rFonts w:asciiTheme="majorHAnsi" w:hAnsiTheme="majorHAnsi"/>
          <w:sz w:val="16"/>
          <w:lang w:val="es-ES"/>
        </w:rPr>
        <w:t xml:space="preserve"> Martínez Triana</w:t>
      </w:r>
      <w:r w:rsidR="00C7761D" w:rsidRPr="008C0A75">
        <w:rPr>
          <w:rFonts w:asciiTheme="majorHAnsi" w:hAnsiTheme="majorHAnsi" w:cs="Arial"/>
          <w:sz w:val="16"/>
          <w:szCs w:val="16"/>
          <w:lang w:val="es-ES"/>
        </w:rPr>
        <w:t xml:space="preserve"> nacida</w:t>
      </w:r>
      <w:r w:rsidRPr="008C0A75">
        <w:rPr>
          <w:rFonts w:asciiTheme="majorHAnsi" w:hAnsiTheme="majorHAnsi" w:cs="Arial"/>
          <w:sz w:val="16"/>
          <w:szCs w:val="16"/>
          <w:lang w:val="es-ES"/>
        </w:rPr>
        <w:t xml:space="preserve"> el 7 de mayo de 1997.</w:t>
      </w:r>
    </w:p>
  </w:footnote>
  <w:footnote w:id="7">
    <w:p w14:paraId="4F724C6B" w14:textId="77777777" w:rsidR="005737AD" w:rsidRPr="008C0A75" w:rsidRDefault="005737AD" w:rsidP="005737AD">
      <w:pPr>
        <w:pStyle w:val="FootnoteText"/>
        <w:ind w:firstLine="720"/>
        <w:jc w:val="both"/>
        <w:rPr>
          <w:rFonts w:asciiTheme="majorHAnsi" w:hAnsiTheme="majorHAnsi"/>
          <w:sz w:val="16"/>
          <w:szCs w:val="16"/>
          <w:lang w:val="es-MX"/>
        </w:rPr>
      </w:pPr>
      <w:r w:rsidRPr="008C0A75">
        <w:rPr>
          <w:rStyle w:val="FootnoteReference"/>
          <w:rFonts w:asciiTheme="majorHAnsi" w:hAnsiTheme="majorHAnsi"/>
          <w:sz w:val="16"/>
          <w:szCs w:val="16"/>
        </w:rPr>
        <w:footnoteRef/>
      </w:r>
      <w:r w:rsidRPr="008C0A75">
        <w:rPr>
          <w:rFonts w:asciiTheme="majorHAnsi" w:hAnsiTheme="majorHAnsi"/>
          <w:sz w:val="16"/>
          <w:szCs w:val="16"/>
          <w:lang w:val="es-ES"/>
        </w:rPr>
        <w:t xml:space="preserve"> CIDH, Informe No. 68/08, Petición 231-98, Admisibilidad, </w:t>
      </w:r>
      <w:r w:rsidRPr="008C0A75">
        <w:rPr>
          <w:rFonts w:asciiTheme="majorHAnsi" w:hAnsiTheme="majorHAnsi"/>
          <w:i/>
          <w:sz w:val="16"/>
          <w:szCs w:val="16"/>
          <w:lang w:val="es-ES"/>
        </w:rPr>
        <w:t xml:space="preserve">Ernesto </w:t>
      </w:r>
      <w:proofErr w:type="spellStart"/>
      <w:r w:rsidRPr="008C0A75">
        <w:rPr>
          <w:rFonts w:asciiTheme="majorHAnsi" w:hAnsiTheme="majorHAnsi"/>
          <w:i/>
          <w:sz w:val="16"/>
          <w:szCs w:val="16"/>
          <w:lang w:val="es-ES"/>
        </w:rPr>
        <w:t>Travesi</w:t>
      </w:r>
      <w:proofErr w:type="spellEnd"/>
      <w:r w:rsidRPr="008C0A75">
        <w:rPr>
          <w:rFonts w:asciiTheme="majorHAnsi" w:hAnsiTheme="majorHAnsi"/>
          <w:sz w:val="16"/>
          <w:szCs w:val="16"/>
          <w:lang w:val="es-ES"/>
        </w:rPr>
        <w:t>, Argentina, 16 de octubre de 2008, párr. 32.</w:t>
      </w:r>
    </w:p>
  </w:footnote>
  <w:footnote w:id="8">
    <w:p w14:paraId="6EEA9616" w14:textId="77777777" w:rsidR="005737AD" w:rsidRPr="008C0A75" w:rsidRDefault="005737AD" w:rsidP="005737AD">
      <w:pPr>
        <w:pStyle w:val="FootnoteText"/>
        <w:ind w:firstLine="720"/>
        <w:jc w:val="both"/>
        <w:rPr>
          <w:rFonts w:asciiTheme="majorHAnsi" w:hAnsiTheme="majorHAnsi"/>
          <w:sz w:val="16"/>
          <w:szCs w:val="16"/>
          <w:lang w:val="es-BO"/>
        </w:rPr>
      </w:pPr>
      <w:r w:rsidRPr="008C0A75">
        <w:rPr>
          <w:rStyle w:val="FootnoteReference"/>
          <w:rFonts w:asciiTheme="majorHAnsi" w:hAnsiTheme="majorHAnsi"/>
          <w:sz w:val="16"/>
          <w:szCs w:val="16"/>
        </w:rPr>
        <w:footnoteRef/>
      </w:r>
      <w:r w:rsidRPr="008C0A75">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3A7F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C222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052A" w14:textId="77777777" w:rsidR="00D948D9" w:rsidRDefault="00D94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D1429BE"/>
    <w:lvl w:ilvl="0" w:tplc="C6C8627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5919"/>
    <w:rsid w:val="000065D0"/>
    <w:rsid w:val="00006B74"/>
    <w:rsid w:val="00006E1F"/>
    <w:rsid w:val="000070D7"/>
    <w:rsid w:val="000104F5"/>
    <w:rsid w:val="00015701"/>
    <w:rsid w:val="0001788C"/>
    <w:rsid w:val="0002186F"/>
    <w:rsid w:val="00023A49"/>
    <w:rsid w:val="000259FB"/>
    <w:rsid w:val="000337EF"/>
    <w:rsid w:val="00040C3A"/>
    <w:rsid w:val="000419AD"/>
    <w:rsid w:val="000539FE"/>
    <w:rsid w:val="000716C5"/>
    <w:rsid w:val="00075149"/>
    <w:rsid w:val="00075E23"/>
    <w:rsid w:val="00076CD1"/>
    <w:rsid w:val="0009006E"/>
    <w:rsid w:val="0009344A"/>
    <w:rsid w:val="000951C2"/>
    <w:rsid w:val="000A19F8"/>
    <w:rsid w:val="000A3254"/>
    <w:rsid w:val="000A392E"/>
    <w:rsid w:val="000A575F"/>
    <w:rsid w:val="000A63D0"/>
    <w:rsid w:val="000B0579"/>
    <w:rsid w:val="000B62FE"/>
    <w:rsid w:val="000C1C69"/>
    <w:rsid w:val="000C3A31"/>
    <w:rsid w:val="000C4FBB"/>
    <w:rsid w:val="000D10DB"/>
    <w:rsid w:val="000E2789"/>
    <w:rsid w:val="000E5EB5"/>
    <w:rsid w:val="000F35ED"/>
    <w:rsid w:val="00107131"/>
    <w:rsid w:val="0010736F"/>
    <w:rsid w:val="00111A8A"/>
    <w:rsid w:val="00113F73"/>
    <w:rsid w:val="00121CC2"/>
    <w:rsid w:val="0012360B"/>
    <w:rsid w:val="00131D8B"/>
    <w:rsid w:val="00133EE5"/>
    <w:rsid w:val="00136E3D"/>
    <w:rsid w:val="00143EFE"/>
    <w:rsid w:val="001479C0"/>
    <w:rsid w:val="0015330B"/>
    <w:rsid w:val="00157535"/>
    <w:rsid w:val="00161DDA"/>
    <w:rsid w:val="00167A34"/>
    <w:rsid w:val="00176BB3"/>
    <w:rsid w:val="00177EEF"/>
    <w:rsid w:val="001827C5"/>
    <w:rsid w:val="00182A25"/>
    <w:rsid w:val="001A5485"/>
    <w:rsid w:val="001A5AD7"/>
    <w:rsid w:val="001A7870"/>
    <w:rsid w:val="001B3A00"/>
    <w:rsid w:val="001B4C00"/>
    <w:rsid w:val="001C1B41"/>
    <w:rsid w:val="001C35C4"/>
    <w:rsid w:val="001D2064"/>
    <w:rsid w:val="001D65EF"/>
    <w:rsid w:val="001E49E7"/>
    <w:rsid w:val="001F271B"/>
    <w:rsid w:val="001F7201"/>
    <w:rsid w:val="00204067"/>
    <w:rsid w:val="00204931"/>
    <w:rsid w:val="0022167C"/>
    <w:rsid w:val="00223A29"/>
    <w:rsid w:val="00223D5A"/>
    <w:rsid w:val="002250A3"/>
    <w:rsid w:val="00231294"/>
    <w:rsid w:val="00235217"/>
    <w:rsid w:val="002355A9"/>
    <w:rsid w:val="00236444"/>
    <w:rsid w:val="00246D1F"/>
    <w:rsid w:val="00247403"/>
    <w:rsid w:val="00247542"/>
    <w:rsid w:val="00266B61"/>
    <w:rsid w:val="0026712A"/>
    <w:rsid w:val="002704DB"/>
    <w:rsid w:val="00277BDA"/>
    <w:rsid w:val="0029575A"/>
    <w:rsid w:val="002A0AAE"/>
    <w:rsid w:val="002A5820"/>
    <w:rsid w:val="002B759C"/>
    <w:rsid w:val="002C3350"/>
    <w:rsid w:val="002D2B26"/>
    <w:rsid w:val="002D6733"/>
    <w:rsid w:val="002D7EA2"/>
    <w:rsid w:val="002E187C"/>
    <w:rsid w:val="002E7512"/>
    <w:rsid w:val="002F3724"/>
    <w:rsid w:val="00302733"/>
    <w:rsid w:val="003050F6"/>
    <w:rsid w:val="003064E7"/>
    <w:rsid w:val="003121D5"/>
    <w:rsid w:val="00314078"/>
    <w:rsid w:val="0031535D"/>
    <w:rsid w:val="003239B8"/>
    <w:rsid w:val="0033169F"/>
    <w:rsid w:val="003326AA"/>
    <w:rsid w:val="0034224A"/>
    <w:rsid w:val="00343438"/>
    <w:rsid w:val="00344977"/>
    <w:rsid w:val="00346C95"/>
    <w:rsid w:val="00351155"/>
    <w:rsid w:val="00356185"/>
    <w:rsid w:val="00360380"/>
    <w:rsid w:val="0037433F"/>
    <w:rsid w:val="0037519E"/>
    <w:rsid w:val="0038029D"/>
    <w:rsid w:val="003853BF"/>
    <w:rsid w:val="00386C6C"/>
    <w:rsid w:val="00386CF0"/>
    <w:rsid w:val="00392A8E"/>
    <w:rsid w:val="003942EC"/>
    <w:rsid w:val="0039482A"/>
    <w:rsid w:val="003956DB"/>
    <w:rsid w:val="003A0BAB"/>
    <w:rsid w:val="003A4D6A"/>
    <w:rsid w:val="003A6337"/>
    <w:rsid w:val="003A7F56"/>
    <w:rsid w:val="003B2ADB"/>
    <w:rsid w:val="003B4FF6"/>
    <w:rsid w:val="003B70FB"/>
    <w:rsid w:val="003C6112"/>
    <w:rsid w:val="003C676B"/>
    <w:rsid w:val="003D0A55"/>
    <w:rsid w:val="003D3BC2"/>
    <w:rsid w:val="003E368C"/>
    <w:rsid w:val="003E614F"/>
    <w:rsid w:val="003E6CA1"/>
    <w:rsid w:val="00402840"/>
    <w:rsid w:val="004065A8"/>
    <w:rsid w:val="00406E3B"/>
    <w:rsid w:val="00412A02"/>
    <w:rsid w:val="004153F5"/>
    <w:rsid w:val="004165C2"/>
    <w:rsid w:val="00416BBE"/>
    <w:rsid w:val="0042527E"/>
    <w:rsid w:val="0042611C"/>
    <w:rsid w:val="004304AD"/>
    <w:rsid w:val="00441ECB"/>
    <w:rsid w:val="00445193"/>
    <w:rsid w:val="00447CCF"/>
    <w:rsid w:val="00454DAD"/>
    <w:rsid w:val="004561BB"/>
    <w:rsid w:val="004565BA"/>
    <w:rsid w:val="00462C1B"/>
    <w:rsid w:val="004630D6"/>
    <w:rsid w:val="00467B7E"/>
    <w:rsid w:val="0047080D"/>
    <w:rsid w:val="00473BB4"/>
    <w:rsid w:val="00474D6D"/>
    <w:rsid w:val="00476211"/>
    <w:rsid w:val="00477592"/>
    <w:rsid w:val="00486F1C"/>
    <w:rsid w:val="0049419D"/>
    <w:rsid w:val="00494833"/>
    <w:rsid w:val="004A59CC"/>
    <w:rsid w:val="004A6A54"/>
    <w:rsid w:val="004C20D2"/>
    <w:rsid w:val="004C2312"/>
    <w:rsid w:val="004C4B62"/>
    <w:rsid w:val="004C54C9"/>
    <w:rsid w:val="004C616A"/>
    <w:rsid w:val="004C78FE"/>
    <w:rsid w:val="004D4ABA"/>
    <w:rsid w:val="004D6025"/>
    <w:rsid w:val="004E19B1"/>
    <w:rsid w:val="004E2649"/>
    <w:rsid w:val="004F06A1"/>
    <w:rsid w:val="00501399"/>
    <w:rsid w:val="00501652"/>
    <w:rsid w:val="0050633D"/>
    <w:rsid w:val="00507BC4"/>
    <w:rsid w:val="005128E4"/>
    <w:rsid w:val="005133DB"/>
    <w:rsid w:val="005246BD"/>
    <w:rsid w:val="00525560"/>
    <w:rsid w:val="005314BC"/>
    <w:rsid w:val="005415E6"/>
    <w:rsid w:val="00544121"/>
    <w:rsid w:val="00544216"/>
    <w:rsid w:val="00544646"/>
    <w:rsid w:val="00544C49"/>
    <w:rsid w:val="005516A1"/>
    <w:rsid w:val="00563557"/>
    <w:rsid w:val="005642D4"/>
    <w:rsid w:val="005737AD"/>
    <w:rsid w:val="0057402A"/>
    <w:rsid w:val="00574CB7"/>
    <w:rsid w:val="00576007"/>
    <w:rsid w:val="005771D0"/>
    <w:rsid w:val="0059191A"/>
    <w:rsid w:val="005921FF"/>
    <w:rsid w:val="00594707"/>
    <w:rsid w:val="005A24ED"/>
    <w:rsid w:val="005A6D0E"/>
    <w:rsid w:val="005B20CD"/>
    <w:rsid w:val="005B37CC"/>
    <w:rsid w:val="005B52B0"/>
    <w:rsid w:val="005B6806"/>
    <w:rsid w:val="005B6D22"/>
    <w:rsid w:val="005C261A"/>
    <w:rsid w:val="005C4225"/>
    <w:rsid w:val="005C7989"/>
    <w:rsid w:val="005D4554"/>
    <w:rsid w:val="005D66AD"/>
    <w:rsid w:val="005E0B65"/>
    <w:rsid w:val="005E11B2"/>
    <w:rsid w:val="005F0DAD"/>
    <w:rsid w:val="005F0F33"/>
    <w:rsid w:val="00600DEB"/>
    <w:rsid w:val="006068B7"/>
    <w:rsid w:val="0062720F"/>
    <w:rsid w:val="006277DE"/>
    <w:rsid w:val="00627C9F"/>
    <w:rsid w:val="006311E9"/>
    <w:rsid w:val="00632354"/>
    <w:rsid w:val="00642810"/>
    <w:rsid w:val="00647756"/>
    <w:rsid w:val="006509DA"/>
    <w:rsid w:val="00652333"/>
    <w:rsid w:val="00656939"/>
    <w:rsid w:val="00661E25"/>
    <w:rsid w:val="006775AB"/>
    <w:rsid w:val="0068009E"/>
    <w:rsid w:val="006819E9"/>
    <w:rsid w:val="00682796"/>
    <w:rsid w:val="00686471"/>
    <w:rsid w:val="0068794B"/>
    <w:rsid w:val="00691BBE"/>
    <w:rsid w:val="00692219"/>
    <w:rsid w:val="0069402E"/>
    <w:rsid w:val="006953E1"/>
    <w:rsid w:val="006A17D2"/>
    <w:rsid w:val="006A73E6"/>
    <w:rsid w:val="006A7EE8"/>
    <w:rsid w:val="006B2D5C"/>
    <w:rsid w:val="006B2EE8"/>
    <w:rsid w:val="006C4EB1"/>
    <w:rsid w:val="006D0A95"/>
    <w:rsid w:val="006E0166"/>
    <w:rsid w:val="006E772A"/>
    <w:rsid w:val="006E7B34"/>
    <w:rsid w:val="0070697F"/>
    <w:rsid w:val="0072199C"/>
    <w:rsid w:val="007219FC"/>
    <w:rsid w:val="00722C9F"/>
    <w:rsid w:val="007253B8"/>
    <w:rsid w:val="00727B0E"/>
    <w:rsid w:val="00732D43"/>
    <w:rsid w:val="00734A0F"/>
    <w:rsid w:val="0073594D"/>
    <w:rsid w:val="0073598C"/>
    <w:rsid w:val="0073741F"/>
    <w:rsid w:val="007640C1"/>
    <w:rsid w:val="00765ED4"/>
    <w:rsid w:val="0076643F"/>
    <w:rsid w:val="007718C9"/>
    <w:rsid w:val="00777BB9"/>
    <w:rsid w:val="00777F63"/>
    <w:rsid w:val="007852B5"/>
    <w:rsid w:val="00790C3F"/>
    <w:rsid w:val="00796A37"/>
    <w:rsid w:val="007A5817"/>
    <w:rsid w:val="007B05C4"/>
    <w:rsid w:val="007B4E24"/>
    <w:rsid w:val="007B60E9"/>
    <w:rsid w:val="007B6CC3"/>
    <w:rsid w:val="007C3334"/>
    <w:rsid w:val="007C402A"/>
    <w:rsid w:val="007D2B98"/>
    <w:rsid w:val="007D7C02"/>
    <w:rsid w:val="007E21BC"/>
    <w:rsid w:val="007E58FE"/>
    <w:rsid w:val="007E5AF6"/>
    <w:rsid w:val="007E7C82"/>
    <w:rsid w:val="007F588D"/>
    <w:rsid w:val="007F771E"/>
    <w:rsid w:val="00802748"/>
    <w:rsid w:val="00803F1C"/>
    <w:rsid w:val="0080600E"/>
    <w:rsid w:val="00816ED8"/>
    <w:rsid w:val="00817612"/>
    <w:rsid w:val="008215A6"/>
    <w:rsid w:val="00821954"/>
    <w:rsid w:val="008243F2"/>
    <w:rsid w:val="008338A4"/>
    <w:rsid w:val="00834D49"/>
    <w:rsid w:val="00836BB1"/>
    <w:rsid w:val="00837C45"/>
    <w:rsid w:val="008411F0"/>
    <w:rsid w:val="00842CC4"/>
    <w:rsid w:val="008438A0"/>
    <w:rsid w:val="008439BC"/>
    <w:rsid w:val="00844730"/>
    <w:rsid w:val="008457C2"/>
    <w:rsid w:val="00851BEF"/>
    <w:rsid w:val="008537A4"/>
    <w:rsid w:val="00857A82"/>
    <w:rsid w:val="00871526"/>
    <w:rsid w:val="00873836"/>
    <w:rsid w:val="00875668"/>
    <w:rsid w:val="00882047"/>
    <w:rsid w:val="00885737"/>
    <w:rsid w:val="00890650"/>
    <w:rsid w:val="00896A08"/>
    <w:rsid w:val="00897E12"/>
    <w:rsid w:val="008A0BB6"/>
    <w:rsid w:val="008A0F81"/>
    <w:rsid w:val="008A310C"/>
    <w:rsid w:val="008A4817"/>
    <w:rsid w:val="008A7E0F"/>
    <w:rsid w:val="008B12F5"/>
    <w:rsid w:val="008B2648"/>
    <w:rsid w:val="008B5932"/>
    <w:rsid w:val="008C0A75"/>
    <w:rsid w:val="008C1E59"/>
    <w:rsid w:val="008C222C"/>
    <w:rsid w:val="008C5751"/>
    <w:rsid w:val="008D5163"/>
    <w:rsid w:val="008D768D"/>
    <w:rsid w:val="008E082F"/>
    <w:rsid w:val="008E0FD8"/>
    <w:rsid w:val="008E328A"/>
    <w:rsid w:val="008E3759"/>
    <w:rsid w:val="008E3BFE"/>
    <w:rsid w:val="008E7900"/>
    <w:rsid w:val="008F1912"/>
    <w:rsid w:val="008F402B"/>
    <w:rsid w:val="0090270B"/>
    <w:rsid w:val="009041DC"/>
    <w:rsid w:val="00905AF2"/>
    <w:rsid w:val="00917B5A"/>
    <w:rsid w:val="00920A58"/>
    <w:rsid w:val="00920A8C"/>
    <w:rsid w:val="00934A2C"/>
    <w:rsid w:val="00935A7E"/>
    <w:rsid w:val="00935F06"/>
    <w:rsid w:val="00937B3A"/>
    <w:rsid w:val="00950B7D"/>
    <w:rsid w:val="00953DAC"/>
    <w:rsid w:val="00954B82"/>
    <w:rsid w:val="00957000"/>
    <w:rsid w:val="0095774F"/>
    <w:rsid w:val="00962436"/>
    <w:rsid w:val="0096706E"/>
    <w:rsid w:val="00973008"/>
    <w:rsid w:val="00974491"/>
    <w:rsid w:val="00975C4E"/>
    <w:rsid w:val="00981FBA"/>
    <w:rsid w:val="00982054"/>
    <w:rsid w:val="00984122"/>
    <w:rsid w:val="0099339E"/>
    <w:rsid w:val="009970EE"/>
    <w:rsid w:val="00997BC5"/>
    <w:rsid w:val="009A4F41"/>
    <w:rsid w:val="009A6445"/>
    <w:rsid w:val="009B381B"/>
    <w:rsid w:val="009B6BEE"/>
    <w:rsid w:val="009C2FC5"/>
    <w:rsid w:val="009D1753"/>
    <w:rsid w:val="009D6502"/>
    <w:rsid w:val="009D7611"/>
    <w:rsid w:val="009D78A5"/>
    <w:rsid w:val="009E08DD"/>
    <w:rsid w:val="009E0B61"/>
    <w:rsid w:val="009E53DE"/>
    <w:rsid w:val="009E7C00"/>
    <w:rsid w:val="00A0691C"/>
    <w:rsid w:val="00A10BC4"/>
    <w:rsid w:val="00A11E44"/>
    <w:rsid w:val="00A154C8"/>
    <w:rsid w:val="00A22397"/>
    <w:rsid w:val="00A32313"/>
    <w:rsid w:val="00A328B3"/>
    <w:rsid w:val="00A50FCF"/>
    <w:rsid w:val="00A528D1"/>
    <w:rsid w:val="00A52E8F"/>
    <w:rsid w:val="00A610CD"/>
    <w:rsid w:val="00A625E0"/>
    <w:rsid w:val="00A74947"/>
    <w:rsid w:val="00A758AA"/>
    <w:rsid w:val="00A7775B"/>
    <w:rsid w:val="00A82421"/>
    <w:rsid w:val="00A8356C"/>
    <w:rsid w:val="00A86D0B"/>
    <w:rsid w:val="00A92093"/>
    <w:rsid w:val="00AA09A2"/>
    <w:rsid w:val="00AA2BF1"/>
    <w:rsid w:val="00AA3DAB"/>
    <w:rsid w:val="00AA7996"/>
    <w:rsid w:val="00AB5162"/>
    <w:rsid w:val="00AC19CB"/>
    <w:rsid w:val="00AD1886"/>
    <w:rsid w:val="00AE5488"/>
    <w:rsid w:val="00AE6F91"/>
    <w:rsid w:val="00AF3FCE"/>
    <w:rsid w:val="00AF5571"/>
    <w:rsid w:val="00B04331"/>
    <w:rsid w:val="00B06B4E"/>
    <w:rsid w:val="00B07341"/>
    <w:rsid w:val="00B1794A"/>
    <w:rsid w:val="00B202B5"/>
    <w:rsid w:val="00B30539"/>
    <w:rsid w:val="00B314DB"/>
    <w:rsid w:val="00B361F2"/>
    <w:rsid w:val="00B3718B"/>
    <w:rsid w:val="00B41422"/>
    <w:rsid w:val="00B4632A"/>
    <w:rsid w:val="00B5067D"/>
    <w:rsid w:val="00B51367"/>
    <w:rsid w:val="00B530F1"/>
    <w:rsid w:val="00B57297"/>
    <w:rsid w:val="00B6378E"/>
    <w:rsid w:val="00B650CF"/>
    <w:rsid w:val="00B736AF"/>
    <w:rsid w:val="00B742BE"/>
    <w:rsid w:val="00B76A6F"/>
    <w:rsid w:val="00B87359"/>
    <w:rsid w:val="00B926EA"/>
    <w:rsid w:val="00B97946"/>
    <w:rsid w:val="00BA276C"/>
    <w:rsid w:val="00BA5544"/>
    <w:rsid w:val="00BB06BC"/>
    <w:rsid w:val="00BB306F"/>
    <w:rsid w:val="00BB3FBD"/>
    <w:rsid w:val="00BC2C99"/>
    <w:rsid w:val="00BC6CD0"/>
    <w:rsid w:val="00BD4B89"/>
    <w:rsid w:val="00BD5922"/>
    <w:rsid w:val="00BD76D9"/>
    <w:rsid w:val="00BF02CB"/>
    <w:rsid w:val="00BF0452"/>
    <w:rsid w:val="00BF514A"/>
    <w:rsid w:val="00BF6FD8"/>
    <w:rsid w:val="00BF775D"/>
    <w:rsid w:val="00C03680"/>
    <w:rsid w:val="00C054DF"/>
    <w:rsid w:val="00C10AFC"/>
    <w:rsid w:val="00C21562"/>
    <w:rsid w:val="00C21762"/>
    <w:rsid w:val="00C21FEF"/>
    <w:rsid w:val="00C24543"/>
    <w:rsid w:val="00C24D19"/>
    <w:rsid w:val="00C256A2"/>
    <w:rsid w:val="00C27B94"/>
    <w:rsid w:val="00C30D13"/>
    <w:rsid w:val="00C30D6B"/>
    <w:rsid w:val="00C35A26"/>
    <w:rsid w:val="00C3624D"/>
    <w:rsid w:val="00C51515"/>
    <w:rsid w:val="00C53910"/>
    <w:rsid w:val="00C5660B"/>
    <w:rsid w:val="00C56854"/>
    <w:rsid w:val="00C5788A"/>
    <w:rsid w:val="00C66B72"/>
    <w:rsid w:val="00C740BF"/>
    <w:rsid w:val="00C7761D"/>
    <w:rsid w:val="00C87AC4"/>
    <w:rsid w:val="00C93B05"/>
    <w:rsid w:val="00C9567A"/>
    <w:rsid w:val="00CA48A3"/>
    <w:rsid w:val="00CA4DDC"/>
    <w:rsid w:val="00CB212D"/>
    <w:rsid w:val="00CB2660"/>
    <w:rsid w:val="00CB66AD"/>
    <w:rsid w:val="00CB6A65"/>
    <w:rsid w:val="00CC5E90"/>
    <w:rsid w:val="00CD046C"/>
    <w:rsid w:val="00CD186A"/>
    <w:rsid w:val="00CD4AFB"/>
    <w:rsid w:val="00CE076C"/>
    <w:rsid w:val="00CE0F60"/>
    <w:rsid w:val="00CE5199"/>
    <w:rsid w:val="00CE66D5"/>
    <w:rsid w:val="00CF637A"/>
    <w:rsid w:val="00D059DE"/>
    <w:rsid w:val="00D05ABD"/>
    <w:rsid w:val="00D060FC"/>
    <w:rsid w:val="00D13FCE"/>
    <w:rsid w:val="00D17E8C"/>
    <w:rsid w:val="00D24D9C"/>
    <w:rsid w:val="00D306D1"/>
    <w:rsid w:val="00D30800"/>
    <w:rsid w:val="00D31B7B"/>
    <w:rsid w:val="00D31C6F"/>
    <w:rsid w:val="00D327C3"/>
    <w:rsid w:val="00D34786"/>
    <w:rsid w:val="00D37BFC"/>
    <w:rsid w:val="00D42822"/>
    <w:rsid w:val="00D4479E"/>
    <w:rsid w:val="00D47A8E"/>
    <w:rsid w:val="00D52D14"/>
    <w:rsid w:val="00D55256"/>
    <w:rsid w:val="00D56D93"/>
    <w:rsid w:val="00D62450"/>
    <w:rsid w:val="00D63D32"/>
    <w:rsid w:val="00D712D3"/>
    <w:rsid w:val="00D71422"/>
    <w:rsid w:val="00D72DC6"/>
    <w:rsid w:val="00D73C6B"/>
    <w:rsid w:val="00D73F5E"/>
    <w:rsid w:val="00D7558D"/>
    <w:rsid w:val="00D77503"/>
    <w:rsid w:val="00D81D92"/>
    <w:rsid w:val="00D876F9"/>
    <w:rsid w:val="00D877B6"/>
    <w:rsid w:val="00D93A90"/>
    <w:rsid w:val="00D948D9"/>
    <w:rsid w:val="00DA4A93"/>
    <w:rsid w:val="00DA7B5F"/>
    <w:rsid w:val="00DC11E7"/>
    <w:rsid w:val="00DC464D"/>
    <w:rsid w:val="00DC7023"/>
    <w:rsid w:val="00DC769A"/>
    <w:rsid w:val="00DD061E"/>
    <w:rsid w:val="00DD2418"/>
    <w:rsid w:val="00DD3D86"/>
    <w:rsid w:val="00DD66C5"/>
    <w:rsid w:val="00DE12F0"/>
    <w:rsid w:val="00DE7B73"/>
    <w:rsid w:val="00DF1EC4"/>
    <w:rsid w:val="00DF51E9"/>
    <w:rsid w:val="00E01943"/>
    <w:rsid w:val="00E0340B"/>
    <w:rsid w:val="00E04A90"/>
    <w:rsid w:val="00E0551F"/>
    <w:rsid w:val="00E219C7"/>
    <w:rsid w:val="00E26177"/>
    <w:rsid w:val="00E2640C"/>
    <w:rsid w:val="00E26CCA"/>
    <w:rsid w:val="00E27F56"/>
    <w:rsid w:val="00E4118C"/>
    <w:rsid w:val="00E43157"/>
    <w:rsid w:val="00E461CE"/>
    <w:rsid w:val="00E51F63"/>
    <w:rsid w:val="00E6301A"/>
    <w:rsid w:val="00E720CA"/>
    <w:rsid w:val="00E84EB5"/>
    <w:rsid w:val="00E85662"/>
    <w:rsid w:val="00E86362"/>
    <w:rsid w:val="00E8789F"/>
    <w:rsid w:val="00E92747"/>
    <w:rsid w:val="00E97B71"/>
    <w:rsid w:val="00EA3D34"/>
    <w:rsid w:val="00EB44CE"/>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17F3"/>
    <w:rsid w:val="00F14602"/>
    <w:rsid w:val="00F253CC"/>
    <w:rsid w:val="00F332EF"/>
    <w:rsid w:val="00F37106"/>
    <w:rsid w:val="00F417A7"/>
    <w:rsid w:val="00F519CF"/>
    <w:rsid w:val="00F53168"/>
    <w:rsid w:val="00F53E96"/>
    <w:rsid w:val="00F56BA5"/>
    <w:rsid w:val="00F60E22"/>
    <w:rsid w:val="00F61803"/>
    <w:rsid w:val="00F63B39"/>
    <w:rsid w:val="00F66355"/>
    <w:rsid w:val="00F71EC3"/>
    <w:rsid w:val="00F757BE"/>
    <w:rsid w:val="00F81395"/>
    <w:rsid w:val="00F81887"/>
    <w:rsid w:val="00F81BB8"/>
    <w:rsid w:val="00F917D1"/>
    <w:rsid w:val="00F9342C"/>
    <w:rsid w:val="00F9653B"/>
    <w:rsid w:val="00FA0A9F"/>
    <w:rsid w:val="00FA20A1"/>
    <w:rsid w:val="00FA56EA"/>
    <w:rsid w:val="00FB62CF"/>
    <w:rsid w:val="00FB79FD"/>
    <w:rsid w:val="00FC0F4A"/>
    <w:rsid w:val="00FC3330"/>
    <w:rsid w:val="00FD173F"/>
    <w:rsid w:val="00FD3C3B"/>
    <w:rsid w:val="00FE07DD"/>
    <w:rsid w:val="00FE6B45"/>
    <w:rsid w:val="00FF55F3"/>
    <w:rsid w:val="00FF5851"/>
    <w:rsid w:val="00FF7B79"/>
    <w:rsid w:val="00FF7D6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D2C5-7638-4F77-8CCB-A1E0A1E5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3010</Words>
  <Characters>15867</Characters>
  <Application>Microsoft Office Word</Application>
  <DocSecurity>0</DocSecurity>
  <Lines>305</Lines>
  <Paragraphs>98</Paragraphs>
  <ScaleCrop>false</ScaleCrop>
  <Company/>
  <LinksUpToDate>false</LinksUpToDate>
  <CharactersWithSpaces>18779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119/20</dc:title>
  <dc:creator/>
  <cp:lastModifiedBy/>
  <cp:revision>1</cp:revision>
  <dcterms:created xsi:type="dcterms:W3CDTF">2020-07-09T19:39:00Z</dcterms:created>
  <dcterms:modified xsi:type="dcterms:W3CDTF">2020-07-09T19:39:00Z</dcterms:modified>
</cp:coreProperties>
</file>