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319E532" w:rsidR="00040C3A" w:rsidRPr="00BF4E8C" w:rsidRDefault="00D306D1" w:rsidP="00627C9F">
      <w:pPr>
        <w:jc w:val="both"/>
        <w:rPr>
          <w:b/>
          <w:lang w:val="es-PA"/>
        </w:rPr>
      </w:pPr>
      <w:r w:rsidRPr="00BF4E8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68E28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F4E8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D4E3A" w:rsidRDefault="000D4E3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0D4E3A" w:rsidRDefault="000D4E3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roofErr w:type="gramStart"/>
      <w:r w:rsidR="00B2583A" w:rsidRPr="00BF4E8C">
        <w:rPr>
          <w:rFonts w:asciiTheme="majorHAnsi" w:hAnsiTheme="majorHAnsi" w:cs="Univers"/>
          <w:bCs/>
          <w:sz w:val="22"/>
          <w:szCs w:val="22"/>
          <w:lang w:val="es-PA"/>
        </w:rPr>
        <w:t>f</w:t>
      </w:r>
      <w:proofErr w:type="gramEnd"/>
    </w:p>
    <w:p w14:paraId="47386BAF" w14:textId="77777777" w:rsidR="00040C3A" w:rsidRPr="00BF4E8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F4E8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F4E8C" w:rsidRDefault="005128E4" w:rsidP="00040C3A">
      <w:pPr>
        <w:tabs>
          <w:tab w:val="center" w:pos="5400"/>
        </w:tabs>
        <w:suppressAutoHyphens/>
        <w:rPr>
          <w:rFonts w:asciiTheme="majorHAnsi" w:hAnsiTheme="majorHAnsi"/>
          <w:sz w:val="22"/>
          <w:szCs w:val="22"/>
          <w:lang w:val="es-ES"/>
        </w:rPr>
      </w:pPr>
    </w:p>
    <w:p w14:paraId="12A36B24" w14:textId="77777777" w:rsidR="005128E4" w:rsidRPr="00BF4E8C" w:rsidRDefault="005128E4" w:rsidP="00040C3A">
      <w:pPr>
        <w:tabs>
          <w:tab w:val="center" w:pos="5400"/>
        </w:tabs>
        <w:suppressAutoHyphens/>
        <w:rPr>
          <w:rFonts w:asciiTheme="majorHAnsi" w:hAnsiTheme="majorHAnsi"/>
          <w:sz w:val="22"/>
          <w:szCs w:val="22"/>
          <w:lang w:val="es-ES"/>
        </w:rPr>
      </w:pPr>
    </w:p>
    <w:p w14:paraId="2252093D" w14:textId="77777777" w:rsidR="005128E4" w:rsidRPr="00BF4E8C" w:rsidRDefault="005128E4" w:rsidP="00040C3A">
      <w:pPr>
        <w:tabs>
          <w:tab w:val="center" w:pos="5400"/>
        </w:tabs>
        <w:suppressAutoHyphens/>
        <w:rPr>
          <w:rFonts w:asciiTheme="majorHAnsi" w:hAnsiTheme="majorHAnsi"/>
          <w:sz w:val="22"/>
          <w:szCs w:val="22"/>
          <w:lang w:val="es-ES"/>
        </w:rPr>
      </w:pPr>
    </w:p>
    <w:p w14:paraId="403935BD" w14:textId="77777777" w:rsidR="00040C3A" w:rsidRPr="00BF4E8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BF4E8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BF4E8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BF4E8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BF4E8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BF4E8C" w:rsidRDefault="003D3BC2" w:rsidP="00040C3A">
      <w:pPr>
        <w:tabs>
          <w:tab w:val="center" w:pos="5400"/>
        </w:tabs>
        <w:suppressAutoHyphens/>
        <w:jc w:val="center"/>
        <w:rPr>
          <w:rFonts w:asciiTheme="majorHAnsi" w:hAnsiTheme="majorHAnsi"/>
          <w:sz w:val="22"/>
          <w:szCs w:val="22"/>
          <w:lang w:val="es-ES"/>
        </w:rPr>
      </w:pPr>
      <w:r w:rsidRPr="00BF4E8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3933A" w14:textId="77777777" w:rsidR="00927DCD" w:rsidRPr="004E2649" w:rsidRDefault="00927DCD" w:rsidP="00927DCD">
                            <w:pPr>
                              <w:spacing w:line="276" w:lineRule="auto"/>
                              <w:rPr>
                                <w:rFonts w:asciiTheme="majorHAnsi" w:hAnsiTheme="majorHAnsi" w:cs="Arial"/>
                                <w:b/>
                                <w:bCs/>
                                <w:color w:val="0D0D0D" w:themeColor="text1" w:themeTint="F2"/>
                                <w:sz w:val="36"/>
                                <w:szCs w:val="22"/>
                                <w:lang w:val="es-ES_tradnl"/>
                              </w:rPr>
                            </w:pPr>
                            <w:bookmarkStart w:id="0" w:name="_ftnref1"/>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362/20</w:t>
                            </w:r>
                          </w:p>
                          <w:p w14:paraId="6253DD9A" w14:textId="77777777" w:rsidR="00927DCD" w:rsidRDefault="00927DCD" w:rsidP="00927DC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653-10</w:t>
                            </w:r>
                            <w:r w:rsidRPr="004E2649">
                              <w:rPr>
                                <w:rFonts w:asciiTheme="majorHAnsi" w:hAnsiTheme="majorHAnsi" w:cs="Arial"/>
                                <w:b/>
                                <w:color w:val="0D0D0D" w:themeColor="text1" w:themeTint="F2"/>
                                <w:sz w:val="36"/>
                                <w:szCs w:val="22"/>
                                <w:lang w:val="es-ES_tradnl"/>
                              </w:rPr>
                              <w:t xml:space="preserve"> </w:t>
                            </w:r>
                          </w:p>
                          <w:p w14:paraId="46694C5D" w14:textId="77777777" w:rsidR="00927DCD" w:rsidRPr="0010736F" w:rsidRDefault="00927DCD" w:rsidP="00927DC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0D4E3A" w:rsidRPr="0010736F" w:rsidRDefault="000D4E3A" w:rsidP="00997BC5">
                            <w:pPr>
                              <w:spacing w:line="276" w:lineRule="auto"/>
                              <w:rPr>
                                <w:rFonts w:asciiTheme="majorHAnsi" w:hAnsiTheme="majorHAnsi" w:cs="Arial"/>
                                <w:color w:val="0D0D0D" w:themeColor="text1" w:themeTint="F2"/>
                                <w:szCs w:val="22"/>
                                <w:lang w:val="es-ES_tradnl"/>
                              </w:rPr>
                            </w:pPr>
                          </w:p>
                          <w:p w14:paraId="4CFA2FBF" w14:textId="24F730F9" w:rsidR="000D4E3A" w:rsidRPr="004E5467" w:rsidRDefault="000D4E3A"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MASACRE DE LA CHINITA</w:t>
                            </w:r>
                          </w:p>
                          <w:bookmarkEnd w:id="0"/>
                          <w:p w14:paraId="35068D0D" w14:textId="144CF9C9" w:rsidR="000D4E3A" w:rsidRPr="0010736F" w:rsidRDefault="000D4E3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D4E3A" w:rsidRPr="00AE5488" w:rsidRDefault="000D4E3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4A3933A" w14:textId="77777777" w:rsidR="00927DCD" w:rsidRPr="004E2649" w:rsidRDefault="00927DCD" w:rsidP="00927DCD">
                      <w:pPr>
                        <w:spacing w:line="276" w:lineRule="auto"/>
                        <w:rPr>
                          <w:rFonts w:asciiTheme="majorHAnsi" w:hAnsiTheme="majorHAnsi" w:cs="Arial"/>
                          <w:b/>
                          <w:bCs/>
                          <w:color w:val="0D0D0D" w:themeColor="text1" w:themeTint="F2"/>
                          <w:sz w:val="36"/>
                          <w:szCs w:val="22"/>
                          <w:lang w:val="es-ES_tradnl"/>
                        </w:rPr>
                      </w:pPr>
                      <w:bookmarkStart w:id="1" w:name="_ftnref1"/>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362/20</w:t>
                      </w:r>
                    </w:p>
                    <w:p w14:paraId="6253DD9A" w14:textId="77777777" w:rsidR="00927DCD" w:rsidRDefault="00927DCD" w:rsidP="00927DC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653-10</w:t>
                      </w:r>
                      <w:r w:rsidRPr="004E2649">
                        <w:rPr>
                          <w:rFonts w:asciiTheme="majorHAnsi" w:hAnsiTheme="majorHAnsi" w:cs="Arial"/>
                          <w:b/>
                          <w:color w:val="0D0D0D" w:themeColor="text1" w:themeTint="F2"/>
                          <w:sz w:val="36"/>
                          <w:szCs w:val="22"/>
                          <w:lang w:val="es-ES_tradnl"/>
                        </w:rPr>
                        <w:t xml:space="preserve"> </w:t>
                      </w:r>
                    </w:p>
                    <w:p w14:paraId="46694C5D" w14:textId="77777777" w:rsidR="00927DCD" w:rsidRPr="0010736F" w:rsidRDefault="00927DCD" w:rsidP="00927DC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0D4E3A" w:rsidRPr="0010736F" w:rsidRDefault="000D4E3A" w:rsidP="00997BC5">
                      <w:pPr>
                        <w:spacing w:line="276" w:lineRule="auto"/>
                        <w:rPr>
                          <w:rFonts w:asciiTheme="majorHAnsi" w:hAnsiTheme="majorHAnsi" w:cs="Arial"/>
                          <w:color w:val="0D0D0D" w:themeColor="text1" w:themeTint="F2"/>
                          <w:szCs w:val="22"/>
                          <w:lang w:val="es-ES_tradnl"/>
                        </w:rPr>
                      </w:pPr>
                    </w:p>
                    <w:p w14:paraId="4CFA2FBF" w14:textId="24F730F9" w:rsidR="000D4E3A" w:rsidRPr="004E5467" w:rsidRDefault="000D4E3A"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MASACRE DE LA CHINITA</w:t>
                      </w:r>
                    </w:p>
                    <w:bookmarkEnd w:id="1"/>
                    <w:p w14:paraId="35068D0D" w14:textId="144CF9C9" w:rsidR="000D4E3A" w:rsidRPr="0010736F" w:rsidRDefault="000D4E3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D4E3A" w:rsidRPr="00AE5488" w:rsidRDefault="000D4E3A" w:rsidP="007A5817">
                      <w:pPr>
                        <w:rPr>
                          <w:color w:val="0D0D0D" w:themeColor="text1" w:themeTint="F2"/>
                          <w:lang w:val="es-ES_tradnl"/>
                        </w:rPr>
                      </w:pPr>
                    </w:p>
                  </w:txbxContent>
                </v:textbox>
              </v:shape>
            </w:pict>
          </mc:Fallback>
        </mc:AlternateContent>
      </w:r>
      <w:r w:rsidR="004E2649" w:rsidRPr="00BF4E8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3531D" w14:textId="77777777" w:rsidR="00927DCD" w:rsidRPr="008D5B40" w:rsidRDefault="00927DCD" w:rsidP="00927DCD">
                            <w:pPr>
                              <w:spacing w:line="276" w:lineRule="auto"/>
                              <w:jc w:val="right"/>
                              <w:rPr>
                                <w:rFonts w:asciiTheme="minorHAnsi" w:hAnsiTheme="minorHAnsi"/>
                                <w:color w:val="FFFFFF" w:themeColor="background1"/>
                                <w:sz w:val="22"/>
                                <w:lang w:val="es-419"/>
                              </w:rPr>
                            </w:pPr>
                            <w:r w:rsidRPr="008D5B40">
                              <w:rPr>
                                <w:rFonts w:asciiTheme="minorHAnsi" w:hAnsiTheme="minorHAnsi"/>
                                <w:color w:val="FFFFFF" w:themeColor="background1"/>
                                <w:sz w:val="22"/>
                                <w:lang w:val="es-419"/>
                              </w:rPr>
                              <w:t>OEA/</w:t>
                            </w:r>
                            <w:proofErr w:type="spellStart"/>
                            <w:r w:rsidRPr="008D5B40">
                              <w:rPr>
                                <w:rFonts w:asciiTheme="minorHAnsi" w:hAnsiTheme="minorHAnsi"/>
                                <w:color w:val="FFFFFF" w:themeColor="background1"/>
                                <w:sz w:val="22"/>
                                <w:lang w:val="es-419"/>
                              </w:rPr>
                              <w:t>Ser.L</w:t>
                            </w:r>
                            <w:proofErr w:type="spellEnd"/>
                            <w:r w:rsidRPr="008D5B40">
                              <w:rPr>
                                <w:rFonts w:asciiTheme="minorHAnsi" w:hAnsiTheme="minorHAnsi"/>
                                <w:color w:val="FFFFFF" w:themeColor="background1"/>
                                <w:sz w:val="22"/>
                                <w:lang w:val="es-419"/>
                              </w:rPr>
                              <w:t>/V/II</w:t>
                            </w:r>
                          </w:p>
                          <w:p w14:paraId="14A8369C" w14:textId="77777777" w:rsidR="00927DCD" w:rsidRPr="008D5B40" w:rsidRDefault="00927DCD" w:rsidP="00927DCD">
                            <w:pPr>
                              <w:spacing w:line="276" w:lineRule="auto"/>
                              <w:jc w:val="right"/>
                              <w:rPr>
                                <w:rFonts w:asciiTheme="minorHAnsi" w:hAnsiTheme="minorHAnsi"/>
                                <w:color w:val="FFFFFF" w:themeColor="background1"/>
                                <w:sz w:val="22"/>
                                <w:lang w:val="es-419"/>
                              </w:rPr>
                            </w:pPr>
                            <w:r w:rsidRPr="008D5B40">
                              <w:rPr>
                                <w:rFonts w:asciiTheme="minorHAnsi" w:hAnsiTheme="minorHAnsi"/>
                                <w:color w:val="FFFFFF" w:themeColor="background1"/>
                                <w:sz w:val="22"/>
                                <w:lang w:val="es-419"/>
                              </w:rPr>
                              <w:t>Doc. 380</w:t>
                            </w:r>
                          </w:p>
                          <w:p w14:paraId="1443C58F" w14:textId="77777777" w:rsidR="00927DCD" w:rsidRPr="001B4C00" w:rsidRDefault="00927DCD" w:rsidP="00927DCD">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14 diciembre</w:t>
                            </w:r>
                            <w:r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20</w:t>
                            </w:r>
                          </w:p>
                          <w:p w14:paraId="06FEABFC" w14:textId="77777777" w:rsidR="00927DCD" w:rsidRPr="001B4C00" w:rsidRDefault="00927DCD" w:rsidP="00927DCD">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p w14:paraId="0771DB5B" w14:textId="5D806298" w:rsidR="000D4E3A" w:rsidRPr="001B4C00" w:rsidRDefault="000D4E3A" w:rsidP="007A5817">
                            <w:pPr>
                              <w:spacing w:line="276" w:lineRule="auto"/>
                              <w:jc w:val="right"/>
                              <w:rPr>
                                <w:rFonts w:asciiTheme="minorHAnsi" w:hAnsiTheme="minorHAnsi"/>
                                <w:color w:val="FFFFFF" w:themeColor="background1"/>
                                <w:sz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153531D" w14:textId="77777777" w:rsidR="00927DCD" w:rsidRPr="008D5B40" w:rsidRDefault="00927DCD" w:rsidP="00927DCD">
                      <w:pPr>
                        <w:spacing w:line="276" w:lineRule="auto"/>
                        <w:jc w:val="right"/>
                        <w:rPr>
                          <w:rFonts w:asciiTheme="minorHAnsi" w:hAnsiTheme="minorHAnsi"/>
                          <w:color w:val="FFFFFF" w:themeColor="background1"/>
                          <w:sz w:val="22"/>
                          <w:lang w:val="es-419"/>
                        </w:rPr>
                      </w:pPr>
                      <w:r w:rsidRPr="008D5B40">
                        <w:rPr>
                          <w:rFonts w:asciiTheme="minorHAnsi" w:hAnsiTheme="minorHAnsi"/>
                          <w:color w:val="FFFFFF" w:themeColor="background1"/>
                          <w:sz w:val="22"/>
                          <w:lang w:val="es-419"/>
                        </w:rPr>
                        <w:t>OEA/</w:t>
                      </w:r>
                      <w:proofErr w:type="spellStart"/>
                      <w:r w:rsidRPr="008D5B40">
                        <w:rPr>
                          <w:rFonts w:asciiTheme="minorHAnsi" w:hAnsiTheme="minorHAnsi"/>
                          <w:color w:val="FFFFFF" w:themeColor="background1"/>
                          <w:sz w:val="22"/>
                          <w:lang w:val="es-419"/>
                        </w:rPr>
                        <w:t>Ser.L</w:t>
                      </w:r>
                      <w:proofErr w:type="spellEnd"/>
                      <w:r w:rsidRPr="008D5B40">
                        <w:rPr>
                          <w:rFonts w:asciiTheme="minorHAnsi" w:hAnsiTheme="minorHAnsi"/>
                          <w:color w:val="FFFFFF" w:themeColor="background1"/>
                          <w:sz w:val="22"/>
                          <w:lang w:val="es-419"/>
                        </w:rPr>
                        <w:t>/V/II</w:t>
                      </w:r>
                    </w:p>
                    <w:p w14:paraId="14A8369C" w14:textId="77777777" w:rsidR="00927DCD" w:rsidRPr="008D5B40" w:rsidRDefault="00927DCD" w:rsidP="00927DCD">
                      <w:pPr>
                        <w:spacing w:line="276" w:lineRule="auto"/>
                        <w:jc w:val="right"/>
                        <w:rPr>
                          <w:rFonts w:asciiTheme="minorHAnsi" w:hAnsiTheme="minorHAnsi"/>
                          <w:color w:val="FFFFFF" w:themeColor="background1"/>
                          <w:sz w:val="22"/>
                          <w:lang w:val="es-419"/>
                        </w:rPr>
                      </w:pPr>
                      <w:r w:rsidRPr="008D5B40">
                        <w:rPr>
                          <w:rFonts w:asciiTheme="minorHAnsi" w:hAnsiTheme="minorHAnsi"/>
                          <w:color w:val="FFFFFF" w:themeColor="background1"/>
                          <w:sz w:val="22"/>
                          <w:lang w:val="es-419"/>
                        </w:rPr>
                        <w:t>Doc. 380</w:t>
                      </w:r>
                    </w:p>
                    <w:p w14:paraId="1443C58F" w14:textId="77777777" w:rsidR="00927DCD" w:rsidRPr="001B4C00" w:rsidRDefault="00927DCD" w:rsidP="00927DCD">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14 diciembre</w:t>
                      </w:r>
                      <w:r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20</w:t>
                      </w:r>
                    </w:p>
                    <w:p w14:paraId="06FEABFC" w14:textId="77777777" w:rsidR="00927DCD" w:rsidRPr="001B4C00" w:rsidRDefault="00927DCD" w:rsidP="00927DCD">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p w14:paraId="0771DB5B" w14:textId="5D806298" w:rsidR="000D4E3A" w:rsidRPr="001B4C00" w:rsidRDefault="000D4E3A" w:rsidP="007A5817">
                      <w:pPr>
                        <w:spacing w:line="276" w:lineRule="auto"/>
                        <w:jc w:val="right"/>
                        <w:rPr>
                          <w:rFonts w:asciiTheme="minorHAnsi" w:hAnsiTheme="minorHAnsi"/>
                          <w:color w:val="FFFFFF" w:themeColor="background1"/>
                          <w:sz w:val="22"/>
                          <w:lang w:val="es-ES"/>
                        </w:rPr>
                      </w:pPr>
                    </w:p>
                  </w:txbxContent>
                </v:textbox>
              </v:shape>
            </w:pict>
          </mc:Fallback>
        </mc:AlternateContent>
      </w:r>
    </w:p>
    <w:p w14:paraId="155B0536"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BF4E8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BF4E8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BF4E8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BF4E8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BF4E8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BF4E8C" w:rsidRDefault="0090270B" w:rsidP="00040C3A">
      <w:pPr>
        <w:tabs>
          <w:tab w:val="center" w:pos="5400"/>
        </w:tabs>
        <w:suppressAutoHyphens/>
        <w:jc w:val="center"/>
        <w:rPr>
          <w:rFonts w:asciiTheme="majorHAnsi" w:hAnsiTheme="majorHAnsi"/>
          <w:sz w:val="18"/>
          <w:szCs w:val="22"/>
          <w:lang w:val="es-ES"/>
        </w:rPr>
      </w:pPr>
      <w:r w:rsidRPr="00BF4E8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7552E" w14:textId="3B0D36C9" w:rsidR="00927DCD" w:rsidRPr="00890650" w:rsidRDefault="00927DCD" w:rsidP="00927DC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diciembre de 2020</w:t>
                            </w:r>
                            <w:r w:rsidR="00C2302E">
                              <w:rPr>
                                <w:rFonts w:asciiTheme="majorHAnsi" w:hAnsiTheme="majorHAnsi"/>
                                <w:color w:val="0D0D0D" w:themeColor="text1" w:themeTint="F2"/>
                                <w:sz w:val="18"/>
                                <w:szCs w:val="22"/>
                                <w:lang w:val="es-ES"/>
                              </w:rPr>
                              <w:t>.</w:t>
                            </w:r>
                            <w:bookmarkStart w:id="1" w:name="_GoBack"/>
                            <w:bookmarkEnd w:id="1"/>
                          </w:p>
                          <w:p w14:paraId="4BDF3581" w14:textId="77777777" w:rsidR="000D4E3A" w:rsidRPr="007A5817" w:rsidRDefault="000D4E3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D4E3A" w:rsidRPr="00167A34" w:rsidRDefault="000D4E3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ED7552E" w14:textId="3B0D36C9" w:rsidR="00927DCD" w:rsidRPr="00890650" w:rsidRDefault="00927DCD" w:rsidP="00927DC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diciembre de 2020</w:t>
                      </w:r>
                      <w:r w:rsidR="00C2302E">
                        <w:rPr>
                          <w:rFonts w:asciiTheme="majorHAnsi" w:hAnsiTheme="majorHAnsi"/>
                          <w:color w:val="0D0D0D" w:themeColor="text1" w:themeTint="F2"/>
                          <w:sz w:val="18"/>
                          <w:szCs w:val="22"/>
                          <w:lang w:val="es-ES"/>
                        </w:rPr>
                        <w:t>.</w:t>
                      </w:r>
                      <w:bookmarkStart w:id="2" w:name="_GoBack"/>
                      <w:bookmarkEnd w:id="2"/>
                    </w:p>
                    <w:p w14:paraId="4BDF3581" w14:textId="77777777" w:rsidR="000D4E3A" w:rsidRPr="007A5817" w:rsidRDefault="000D4E3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D4E3A" w:rsidRPr="00167A34" w:rsidRDefault="000D4E3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BF4E8C" w:rsidRDefault="0090270B" w:rsidP="00040C3A">
      <w:pPr>
        <w:tabs>
          <w:tab w:val="center" w:pos="5400"/>
        </w:tabs>
        <w:suppressAutoHyphens/>
        <w:jc w:val="center"/>
        <w:rPr>
          <w:rFonts w:asciiTheme="majorHAnsi" w:hAnsiTheme="majorHAnsi"/>
          <w:sz w:val="18"/>
          <w:szCs w:val="22"/>
          <w:lang w:val="es-ES"/>
        </w:rPr>
      </w:pPr>
      <w:r w:rsidRPr="00BF4E8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AAD14" w14:textId="79DD3033" w:rsidR="00927DCD" w:rsidRPr="007B05C4" w:rsidRDefault="00927DCD" w:rsidP="00927DC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362/20</w:t>
                            </w:r>
                            <w:r w:rsidRPr="00161278">
                              <w:rPr>
                                <w:rFonts w:asciiTheme="majorHAnsi" w:hAnsiTheme="majorHAnsi"/>
                                <w:color w:val="595959" w:themeColor="text1" w:themeTint="A6"/>
                                <w:sz w:val="18"/>
                                <w:szCs w:val="18"/>
                                <w:lang w:val="pt-BR"/>
                              </w:rPr>
                              <w:t xml:space="preserve">. </w:t>
                            </w:r>
                            <w:r w:rsidR="00511000">
                              <w:rPr>
                                <w:rFonts w:asciiTheme="majorHAnsi" w:hAnsiTheme="majorHAnsi"/>
                                <w:color w:val="595959" w:themeColor="text1" w:themeTint="A6"/>
                                <w:sz w:val="18"/>
                                <w:szCs w:val="18"/>
                                <w:lang w:val="pt-BR"/>
                              </w:rPr>
                              <w:t xml:space="preserve">Petición 653-10. </w:t>
                            </w:r>
                            <w:r w:rsidRPr="00B65EB7">
                              <w:rPr>
                                <w:rFonts w:asciiTheme="majorHAnsi" w:hAnsiTheme="majorHAnsi"/>
                                <w:color w:val="595959" w:themeColor="text1" w:themeTint="A6"/>
                                <w:sz w:val="18"/>
                                <w:szCs w:val="18"/>
                                <w:lang w:val="es-US"/>
                              </w:rPr>
                              <w:t>A</w:t>
                            </w:r>
                            <w:proofErr w:type="spellStart"/>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Masacre de la Chinita. 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14 de diciembre de 2020</w:t>
                            </w:r>
                            <w:r w:rsidRPr="007B05C4">
                              <w:rPr>
                                <w:rFonts w:asciiTheme="majorHAnsi" w:hAnsiTheme="majorHAnsi"/>
                                <w:color w:val="595959" w:themeColor="text1" w:themeTint="A6"/>
                                <w:sz w:val="18"/>
                                <w:szCs w:val="18"/>
                                <w:lang w:val="es-ES"/>
                              </w:rPr>
                              <w:t>.</w:t>
                            </w:r>
                          </w:p>
                          <w:p w14:paraId="0D1B22CF" w14:textId="4FC68FAD" w:rsidR="000D4E3A" w:rsidRPr="007B05C4" w:rsidRDefault="000D4E3A"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48AAD14" w14:textId="79DD3033" w:rsidR="00927DCD" w:rsidRPr="007B05C4" w:rsidRDefault="00927DCD" w:rsidP="00927DC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362/20</w:t>
                      </w:r>
                      <w:r w:rsidRPr="00161278">
                        <w:rPr>
                          <w:rFonts w:asciiTheme="majorHAnsi" w:hAnsiTheme="majorHAnsi"/>
                          <w:color w:val="595959" w:themeColor="text1" w:themeTint="A6"/>
                          <w:sz w:val="18"/>
                          <w:szCs w:val="18"/>
                          <w:lang w:val="pt-BR"/>
                        </w:rPr>
                        <w:t xml:space="preserve">. </w:t>
                      </w:r>
                      <w:r w:rsidR="00511000">
                        <w:rPr>
                          <w:rFonts w:asciiTheme="majorHAnsi" w:hAnsiTheme="majorHAnsi"/>
                          <w:color w:val="595959" w:themeColor="text1" w:themeTint="A6"/>
                          <w:sz w:val="18"/>
                          <w:szCs w:val="18"/>
                          <w:lang w:val="pt-BR"/>
                        </w:rPr>
                        <w:t xml:space="preserve">Petición 653-10. </w:t>
                      </w:r>
                      <w:r w:rsidRPr="00B65EB7">
                        <w:rPr>
                          <w:rFonts w:asciiTheme="majorHAnsi" w:hAnsiTheme="majorHAnsi"/>
                          <w:color w:val="595959" w:themeColor="text1" w:themeTint="A6"/>
                          <w:sz w:val="18"/>
                          <w:szCs w:val="18"/>
                          <w:lang w:val="es-US"/>
                        </w:rPr>
                        <w:t>A</w:t>
                      </w:r>
                      <w:proofErr w:type="spellStart"/>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Masacre de la Chinita. 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14 de diciembre de 2020</w:t>
                      </w:r>
                      <w:r w:rsidRPr="007B05C4">
                        <w:rPr>
                          <w:rFonts w:asciiTheme="majorHAnsi" w:hAnsiTheme="majorHAnsi"/>
                          <w:color w:val="595959" w:themeColor="text1" w:themeTint="A6"/>
                          <w:sz w:val="18"/>
                          <w:szCs w:val="18"/>
                          <w:lang w:val="es-ES"/>
                        </w:rPr>
                        <w:t>.</w:t>
                      </w:r>
                    </w:p>
                    <w:p w14:paraId="0D1B22CF" w14:textId="4FC68FAD" w:rsidR="000D4E3A" w:rsidRPr="007B05C4" w:rsidRDefault="000D4E3A"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BF4E8C" w:rsidRDefault="00D306D1" w:rsidP="005516A1">
      <w:pPr>
        <w:tabs>
          <w:tab w:val="center" w:pos="5400"/>
        </w:tabs>
        <w:suppressAutoHyphens/>
        <w:jc w:val="center"/>
        <w:rPr>
          <w:rFonts w:asciiTheme="majorHAnsi" w:hAnsiTheme="majorHAnsi"/>
          <w:b/>
          <w:sz w:val="20"/>
          <w:lang w:val="es-ES"/>
        </w:rPr>
      </w:pPr>
      <w:r w:rsidRPr="00BF4E8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0D4E3A" w:rsidRPr="00D72DC6" w:rsidRDefault="000D4E3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282AB94">
                                  <wp:extent cx="1790700" cy="4606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99786" cy="4629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0D4E3A" w:rsidRPr="00D72DC6" w:rsidRDefault="000D4E3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282AB94">
                            <wp:extent cx="1790700" cy="4606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99786" cy="462994"/>
                                    </a:xfrm>
                                    <a:prstGeom prst="rect">
                                      <a:avLst/>
                                    </a:prstGeom>
                                    <a:noFill/>
                                    <a:ln>
                                      <a:noFill/>
                                    </a:ln>
                                  </pic:spPr>
                                </pic:pic>
                              </a:graphicData>
                            </a:graphic>
                          </wp:inline>
                        </w:drawing>
                      </w:r>
                    </w:p>
                  </w:txbxContent>
                </v:textbox>
              </v:shape>
            </w:pict>
          </mc:Fallback>
        </mc:AlternateContent>
      </w:r>
      <w:r w:rsidRPr="00BF4E8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D4E3A" w:rsidRPr="004B7EB6" w:rsidRDefault="000D4E3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0D4E3A" w:rsidRPr="004B7EB6" w:rsidRDefault="000D4E3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BF4E8C" w:rsidRDefault="004A6A54" w:rsidP="005516A1">
      <w:pPr>
        <w:tabs>
          <w:tab w:val="center" w:pos="5400"/>
        </w:tabs>
        <w:suppressAutoHyphens/>
        <w:jc w:val="center"/>
        <w:rPr>
          <w:rFonts w:asciiTheme="majorHAnsi" w:hAnsiTheme="majorHAnsi"/>
          <w:b/>
          <w:sz w:val="20"/>
          <w:lang w:val="es-ES"/>
        </w:rPr>
        <w:sectPr w:rsidR="0070697F" w:rsidRPr="00BF4E8C"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BF4E8C">
        <w:rPr>
          <w:rFonts w:asciiTheme="majorHAnsi" w:hAnsiTheme="majorHAnsi"/>
          <w:b/>
          <w:sz w:val="20"/>
          <w:lang w:val="es-ES"/>
        </w:rPr>
        <w:tab/>
      </w:r>
    </w:p>
    <w:p w14:paraId="376DDC8B" w14:textId="77777777" w:rsidR="003239B8" w:rsidRPr="00BF4E8C" w:rsidRDefault="003239B8" w:rsidP="007C402A">
      <w:pPr>
        <w:spacing w:after="120"/>
        <w:ind w:firstLine="720"/>
        <w:jc w:val="both"/>
        <w:rPr>
          <w:rFonts w:asciiTheme="majorHAnsi" w:hAnsiTheme="majorHAnsi"/>
          <w:b/>
          <w:bCs/>
          <w:sz w:val="20"/>
          <w:szCs w:val="20"/>
          <w:lang w:val="es-ES"/>
        </w:rPr>
      </w:pPr>
      <w:r w:rsidRPr="00BF4E8C">
        <w:rPr>
          <w:rFonts w:asciiTheme="majorHAnsi" w:hAnsiTheme="majorHAnsi"/>
          <w:b/>
          <w:bCs/>
          <w:sz w:val="20"/>
          <w:szCs w:val="20"/>
          <w:lang w:val="es-ES"/>
        </w:rPr>
        <w:lastRenderedPageBreak/>
        <w:t>I.</w:t>
      </w:r>
      <w:r w:rsidRPr="00BF4E8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BF4E8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BF4E8C" w:rsidRDefault="00D77503" w:rsidP="00D43661">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Parte peticionaria</w:t>
            </w:r>
          </w:p>
        </w:tc>
        <w:tc>
          <w:tcPr>
            <w:tcW w:w="6570" w:type="dxa"/>
            <w:vAlign w:val="center"/>
          </w:tcPr>
          <w:p w14:paraId="3C5315D8" w14:textId="506BFDDF" w:rsidR="003239B8" w:rsidRPr="00BF4E8C" w:rsidRDefault="005025B1" w:rsidP="00D43661">
            <w:pPr>
              <w:jc w:val="both"/>
              <w:rPr>
                <w:rFonts w:ascii="Cambria" w:hAnsi="Cambria"/>
                <w:bCs/>
                <w:sz w:val="19"/>
                <w:szCs w:val="19"/>
                <w:lang w:val="es-ES"/>
              </w:rPr>
            </w:pPr>
            <w:r w:rsidRPr="00BF4E8C">
              <w:rPr>
                <w:rFonts w:ascii="Cambria" w:hAnsi="Cambria"/>
                <w:bCs/>
                <w:sz w:val="19"/>
                <w:szCs w:val="19"/>
                <w:lang w:val="es-ES"/>
              </w:rPr>
              <w:t xml:space="preserve">Javier </w:t>
            </w:r>
            <w:r w:rsidR="00B64DE4" w:rsidRPr="00BF4E8C">
              <w:rPr>
                <w:rFonts w:ascii="Cambria" w:hAnsi="Cambria"/>
                <w:bCs/>
                <w:sz w:val="19"/>
                <w:szCs w:val="19"/>
                <w:lang w:val="es-ES"/>
              </w:rPr>
              <w:t>Leónidas</w:t>
            </w:r>
            <w:r w:rsidRPr="00BF4E8C">
              <w:rPr>
                <w:rFonts w:ascii="Cambria" w:hAnsi="Cambria"/>
                <w:bCs/>
                <w:sz w:val="19"/>
                <w:szCs w:val="19"/>
                <w:lang w:val="es-ES"/>
              </w:rPr>
              <w:t xml:space="preserve"> Villegas Posada</w:t>
            </w:r>
          </w:p>
        </w:tc>
      </w:tr>
      <w:tr w:rsidR="003239B8" w:rsidRPr="00265D51"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BF4E8C" w:rsidRDefault="002355A9" w:rsidP="00D43661">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Presunta víctima</w:t>
            </w:r>
          </w:p>
        </w:tc>
        <w:tc>
          <w:tcPr>
            <w:tcW w:w="6570" w:type="dxa"/>
            <w:vAlign w:val="center"/>
          </w:tcPr>
          <w:p w14:paraId="4AEBF59E" w14:textId="2BEC8D6D" w:rsidR="003239B8" w:rsidRPr="00BF4E8C" w:rsidRDefault="005025B1" w:rsidP="00B64DE4">
            <w:pPr>
              <w:jc w:val="both"/>
              <w:rPr>
                <w:rFonts w:ascii="Cambria" w:hAnsi="Cambria"/>
                <w:bCs/>
                <w:sz w:val="19"/>
                <w:szCs w:val="19"/>
                <w:lang w:val="es-PA"/>
              </w:rPr>
            </w:pPr>
            <w:r w:rsidRPr="00BF4E8C">
              <w:rPr>
                <w:rFonts w:ascii="Cambria" w:hAnsi="Cambria"/>
                <w:bCs/>
                <w:sz w:val="19"/>
                <w:szCs w:val="19"/>
                <w:lang w:val="es-ES"/>
              </w:rPr>
              <w:t xml:space="preserve">Habitantes del </w:t>
            </w:r>
            <w:r w:rsidR="00B64DE4">
              <w:rPr>
                <w:rFonts w:ascii="Cambria" w:hAnsi="Cambria"/>
                <w:bCs/>
                <w:sz w:val="19"/>
                <w:szCs w:val="19"/>
                <w:lang w:val="es-ES"/>
              </w:rPr>
              <w:t>B</w:t>
            </w:r>
            <w:r w:rsidRPr="00BF4E8C">
              <w:rPr>
                <w:rFonts w:ascii="Cambria" w:hAnsi="Cambria"/>
                <w:bCs/>
                <w:sz w:val="19"/>
                <w:szCs w:val="19"/>
                <w:lang w:val="es-ES"/>
              </w:rPr>
              <w:t>arrio La Chinita</w:t>
            </w:r>
            <w:r w:rsidRPr="00BF4E8C">
              <w:rPr>
                <w:rStyle w:val="FootnoteReference"/>
                <w:rFonts w:ascii="Cambria" w:hAnsi="Cambria"/>
                <w:bCs/>
                <w:sz w:val="19"/>
                <w:szCs w:val="19"/>
                <w:lang w:val="es-ES"/>
              </w:rPr>
              <w:footnoteReference w:id="2"/>
            </w:r>
          </w:p>
        </w:tc>
      </w:tr>
      <w:tr w:rsidR="003239B8" w:rsidRPr="00BF4E8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BF4E8C" w:rsidRDefault="00D77503" w:rsidP="00D43661">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Estado denunciado</w:t>
            </w:r>
          </w:p>
        </w:tc>
        <w:tc>
          <w:tcPr>
            <w:tcW w:w="6570" w:type="dxa"/>
            <w:vAlign w:val="center"/>
          </w:tcPr>
          <w:p w14:paraId="274C8A50" w14:textId="71844B0E" w:rsidR="003239B8" w:rsidRPr="00BF4E8C" w:rsidRDefault="00F11FBB" w:rsidP="00425533">
            <w:pPr>
              <w:jc w:val="both"/>
              <w:rPr>
                <w:rFonts w:ascii="Cambria" w:hAnsi="Cambria"/>
                <w:bCs/>
                <w:sz w:val="19"/>
                <w:szCs w:val="19"/>
                <w:lang w:val="es-ES"/>
              </w:rPr>
            </w:pPr>
            <w:r w:rsidRPr="00BF4E8C">
              <w:rPr>
                <w:rFonts w:ascii="Cambria" w:hAnsi="Cambria"/>
                <w:bCs/>
                <w:sz w:val="19"/>
                <w:szCs w:val="19"/>
                <w:lang w:val="es-ES"/>
              </w:rPr>
              <w:t>Colombia</w:t>
            </w:r>
          </w:p>
        </w:tc>
      </w:tr>
      <w:tr w:rsidR="00D24AD4" w:rsidRPr="00265D51"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BF4E8C" w:rsidRDefault="001B3A00" w:rsidP="00E4118C">
            <w:pPr>
              <w:jc w:val="center"/>
              <w:rPr>
                <w:rFonts w:ascii="Cambria" w:hAnsi="Cambria"/>
                <w:bCs/>
                <w:sz w:val="19"/>
                <w:szCs w:val="19"/>
                <w:lang w:val="es-ES"/>
              </w:rPr>
            </w:pPr>
            <w:r w:rsidRPr="0031153F">
              <w:rPr>
                <w:rFonts w:ascii="Cambria" w:hAnsi="Cambria"/>
                <w:bCs/>
                <w:color w:val="FFFFFF" w:themeColor="background1"/>
                <w:sz w:val="19"/>
                <w:szCs w:val="19"/>
                <w:lang w:val="es-ES"/>
              </w:rPr>
              <w:t xml:space="preserve">Derechos </w:t>
            </w:r>
            <w:r w:rsidR="00E4118C" w:rsidRPr="0031153F">
              <w:rPr>
                <w:rFonts w:ascii="Cambria" w:hAnsi="Cambria"/>
                <w:bCs/>
                <w:color w:val="FFFFFF" w:themeColor="background1"/>
                <w:sz w:val="19"/>
                <w:szCs w:val="19"/>
                <w:lang w:val="es-ES"/>
              </w:rPr>
              <w:t>invocados</w:t>
            </w:r>
          </w:p>
        </w:tc>
        <w:tc>
          <w:tcPr>
            <w:tcW w:w="6570" w:type="dxa"/>
            <w:vAlign w:val="center"/>
          </w:tcPr>
          <w:p w14:paraId="6DEE1EEB" w14:textId="2F85A7F3" w:rsidR="00223A29" w:rsidRPr="00BF4E8C" w:rsidRDefault="007B3BF9" w:rsidP="0055761F">
            <w:pPr>
              <w:jc w:val="both"/>
              <w:rPr>
                <w:rFonts w:ascii="Cambria" w:hAnsi="Cambria"/>
                <w:bCs/>
                <w:sz w:val="19"/>
                <w:szCs w:val="19"/>
                <w:lang w:val="es-PA"/>
              </w:rPr>
            </w:pPr>
            <w:r w:rsidRPr="00BF4E8C">
              <w:rPr>
                <w:rFonts w:ascii="Cambria" w:hAnsi="Cambria"/>
                <w:bCs/>
                <w:sz w:val="19"/>
                <w:szCs w:val="19"/>
                <w:lang w:val="es-ES"/>
              </w:rPr>
              <w:t xml:space="preserve">Artículos 4 (vida), </w:t>
            </w:r>
            <w:r w:rsidR="005025B1" w:rsidRPr="00BF4E8C">
              <w:rPr>
                <w:rFonts w:ascii="Cambria" w:hAnsi="Cambria"/>
                <w:bCs/>
                <w:sz w:val="19"/>
                <w:szCs w:val="19"/>
                <w:lang w:val="es-ES"/>
              </w:rPr>
              <w:t>5 (integridad personal), 7 (libertad personal), 8 (garantías judiciales),</w:t>
            </w:r>
            <w:r w:rsidR="0055761F" w:rsidRPr="00BF4E8C">
              <w:rPr>
                <w:rFonts w:ascii="Cambria" w:hAnsi="Cambria"/>
                <w:bCs/>
                <w:sz w:val="19"/>
                <w:szCs w:val="19"/>
                <w:lang w:val="es-ES"/>
              </w:rPr>
              <w:t xml:space="preserve"> 11 (honra y dignidad), 24 (igualdad ante la ley) y</w:t>
            </w:r>
            <w:r w:rsidR="005025B1" w:rsidRPr="00BF4E8C">
              <w:rPr>
                <w:rFonts w:ascii="Cambria" w:hAnsi="Cambria"/>
                <w:bCs/>
                <w:sz w:val="19"/>
                <w:szCs w:val="19"/>
                <w:lang w:val="es-ES"/>
              </w:rPr>
              <w:t xml:space="preserve"> </w:t>
            </w:r>
            <w:r w:rsidR="0055761F" w:rsidRPr="00BF4E8C">
              <w:rPr>
                <w:rFonts w:ascii="Cambria" w:hAnsi="Cambria"/>
                <w:bCs/>
                <w:sz w:val="19"/>
                <w:szCs w:val="19"/>
                <w:lang w:val="es-ES"/>
              </w:rPr>
              <w:t xml:space="preserve">25 (protección judicial), </w:t>
            </w:r>
            <w:r w:rsidRPr="00BF4E8C">
              <w:rPr>
                <w:rFonts w:ascii="Cambria" w:hAnsi="Cambria"/>
                <w:bCs/>
                <w:sz w:val="19"/>
                <w:szCs w:val="19"/>
                <w:lang w:val="es-ES"/>
              </w:rPr>
              <w:t xml:space="preserve"> de la Convención Americana Sobre Derechos Humanos</w:t>
            </w:r>
            <w:r w:rsidR="0055761F" w:rsidRPr="00BF4E8C">
              <w:rPr>
                <w:rFonts w:ascii="Cambria" w:hAnsi="Cambria"/>
                <w:bCs/>
                <w:sz w:val="19"/>
                <w:szCs w:val="19"/>
                <w:lang w:val="es-ES"/>
              </w:rPr>
              <w:t>;</w:t>
            </w:r>
            <w:r w:rsidRPr="00BF4E8C">
              <w:rPr>
                <w:rStyle w:val="FootnoteReference"/>
                <w:rFonts w:ascii="Cambria" w:hAnsi="Cambria"/>
                <w:bCs/>
                <w:sz w:val="19"/>
                <w:szCs w:val="19"/>
                <w:lang w:val="es-ES"/>
              </w:rPr>
              <w:footnoteReference w:id="3"/>
            </w:r>
            <w:r w:rsidR="0055761F" w:rsidRPr="00BF4E8C">
              <w:rPr>
                <w:rFonts w:ascii="Cambria" w:hAnsi="Cambria"/>
                <w:bCs/>
                <w:sz w:val="19"/>
                <w:szCs w:val="19"/>
                <w:lang w:val="es-ES"/>
              </w:rPr>
              <w:t xml:space="preserve"> y artículos I (vida, libertad, seguridad e integridad), XI (preservación de la salud y bienestar), XVIII (justicia) y XXIII (propiedad) de la Declaración Americana de los Derechos y Deberes del Hombre</w:t>
            </w:r>
            <w:r w:rsidR="0055761F" w:rsidRPr="00BF4E8C">
              <w:rPr>
                <w:rStyle w:val="FootnoteReference"/>
                <w:rFonts w:ascii="Cambria" w:hAnsi="Cambria"/>
                <w:bCs/>
                <w:sz w:val="19"/>
                <w:szCs w:val="19"/>
                <w:lang w:val="es-ES"/>
              </w:rPr>
              <w:footnoteReference w:id="4"/>
            </w:r>
          </w:p>
        </w:tc>
      </w:tr>
    </w:tbl>
    <w:p w14:paraId="20263696" w14:textId="77777777" w:rsidR="003239B8" w:rsidRPr="00BF4E8C" w:rsidRDefault="003239B8" w:rsidP="007C402A">
      <w:pPr>
        <w:spacing w:before="120" w:after="120"/>
        <w:ind w:firstLine="720"/>
        <w:jc w:val="both"/>
        <w:rPr>
          <w:rFonts w:asciiTheme="majorHAnsi" w:hAnsiTheme="majorHAnsi"/>
          <w:b/>
          <w:bCs/>
          <w:sz w:val="20"/>
          <w:szCs w:val="20"/>
          <w:lang w:val="es-ES"/>
        </w:rPr>
      </w:pPr>
      <w:r w:rsidRPr="00BF4E8C">
        <w:rPr>
          <w:rFonts w:asciiTheme="majorHAnsi" w:hAnsiTheme="majorHAnsi"/>
          <w:b/>
          <w:bCs/>
          <w:sz w:val="20"/>
          <w:szCs w:val="20"/>
          <w:lang w:val="es-ES"/>
        </w:rPr>
        <w:t>II.</w:t>
      </w:r>
      <w:r w:rsidRPr="00BF4E8C">
        <w:rPr>
          <w:rFonts w:asciiTheme="majorHAnsi" w:hAnsiTheme="majorHAnsi"/>
          <w:b/>
          <w:bCs/>
          <w:sz w:val="20"/>
          <w:szCs w:val="20"/>
          <w:lang w:val="es-ES"/>
        </w:rPr>
        <w:tab/>
        <w:t>TRÁMITE ANTE LA CIDH</w:t>
      </w:r>
      <w:r w:rsidR="008E3BFE" w:rsidRPr="00BF4E8C">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BF4E8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BF4E8C" w:rsidRDefault="000C1C69" w:rsidP="004A6A54">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Recepción</w:t>
            </w:r>
            <w:r w:rsidR="00D77503" w:rsidRPr="00BF4E8C">
              <w:rPr>
                <w:rFonts w:ascii="Cambria" w:hAnsi="Cambria"/>
                <w:bCs/>
                <w:color w:val="FFFFFF" w:themeColor="background1"/>
                <w:sz w:val="19"/>
                <w:szCs w:val="19"/>
                <w:lang w:val="es-ES"/>
              </w:rPr>
              <w:t xml:space="preserve"> de la petición</w:t>
            </w:r>
          </w:p>
        </w:tc>
        <w:tc>
          <w:tcPr>
            <w:tcW w:w="6570" w:type="dxa"/>
            <w:vAlign w:val="center"/>
          </w:tcPr>
          <w:p w14:paraId="6E579153" w14:textId="2C84C723" w:rsidR="004C2312" w:rsidRPr="00BF4E8C" w:rsidRDefault="0055761F" w:rsidP="00D43661">
            <w:pPr>
              <w:jc w:val="both"/>
              <w:rPr>
                <w:rFonts w:ascii="Cambria" w:hAnsi="Cambria"/>
                <w:bCs/>
                <w:sz w:val="19"/>
                <w:szCs w:val="19"/>
                <w:lang w:val="es-ES"/>
              </w:rPr>
            </w:pPr>
            <w:r w:rsidRPr="00BF4E8C">
              <w:rPr>
                <w:rFonts w:ascii="Cambria" w:hAnsi="Cambria"/>
                <w:bCs/>
                <w:sz w:val="19"/>
                <w:szCs w:val="19"/>
                <w:lang w:val="es-ES"/>
              </w:rPr>
              <w:t>16 de abril de 2010</w:t>
            </w:r>
          </w:p>
        </w:tc>
      </w:tr>
      <w:tr w:rsidR="0055761F" w:rsidRPr="00265D51" w14:paraId="59D3DCAE" w14:textId="77777777" w:rsidTr="00954B82">
        <w:tc>
          <w:tcPr>
            <w:tcW w:w="2790" w:type="dxa"/>
            <w:tcBorders>
              <w:top w:val="single" w:sz="6" w:space="0" w:color="auto"/>
              <w:bottom w:val="single" w:sz="6" w:space="0" w:color="auto"/>
            </w:tcBorders>
            <w:shd w:val="clear" w:color="auto" w:fill="386294"/>
            <w:vAlign w:val="center"/>
          </w:tcPr>
          <w:p w14:paraId="311B9661" w14:textId="4F563775" w:rsidR="0055761F" w:rsidRPr="00BF4E8C" w:rsidRDefault="0055761F" w:rsidP="004A6A54">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Información adicional recibida durante la etapa de estudio</w:t>
            </w:r>
          </w:p>
        </w:tc>
        <w:tc>
          <w:tcPr>
            <w:tcW w:w="6570" w:type="dxa"/>
            <w:vAlign w:val="center"/>
          </w:tcPr>
          <w:p w14:paraId="0A64D88A" w14:textId="79282E5F" w:rsidR="0055761F" w:rsidRPr="00BF4E8C" w:rsidRDefault="0055761F" w:rsidP="00D43661">
            <w:pPr>
              <w:jc w:val="both"/>
              <w:rPr>
                <w:rFonts w:ascii="Cambria" w:hAnsi="Cambria"/>
                <w:bCs/>
                <w:sz w:val="19"/>
                <w:szCs w:val="19"/>
                <w:lang w:val="es-ES"/>
              </w:rPr>
            </w:pPr>
            <w:r w:rsidRPr="00BF4E8C">
              <w:rPr>
                <w:rFonts w:ascii="Cambria" w:hAnsi="Cambria"/>
                <w:bCs/>
                <w:sz w:val="19"/>
                <w:szCs w:val="19"/>
                <w:lang w:val="es-ES"/>
              </w:rPr>
              <w:t>19 de mayo de 2011; 2 y 18 de abril de 2013</w:t>
            </w:r>
          </w:p>
        </w:tc>
      </w:tr>
      <w:tr w:rsidR="004C2312" w:rsidRPr="00BF4E8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BF4E8C" w:rsidRDefault="004A6A54" w:rsidP="000C1C69">
            <w:pPr>
              <w:jc w:val="center"/>
              <w:rPr>
                <w:rFonts w:ascii="Cambria" w:hAnsi="Cambria"/>
                <w:bCs/>
                <w:color w:val="FFFFFF" w:themeColor="background1"/>
                <w:sz w:val="19"/>
                <w:szCs w:val="19"/>
                <w:lang w:val="es-ES"/>
              </w:rPr>
            </w:pPr>
            <w:r w:rsidRPr="00BF4E8C">
              <w:rPr>
                <w:rFonts w:ascii="Cambria" w:hAnsi="Cambria"/>
                <w:color w:val="FFFFFF" w:themeColor="background1"/>
                <w:sz w:val="19"/>
                <w:szCs w:val="19"/>
                <w:lang w:val="es-ES"/>
              </w:rPr>
              <w:t>N</w:t>
            </w:r>
            <w:r w:rsidR="004C2312" w:rsidRPr="00BF4E8C">
              <w:rPr>
                <w:rFonts w:ascii="Cambria" w:hAnsi="Cambria"/>
                <w:color w:val="FFFFFF" w:themeColor="background1"/>
                <w:sz w:val="19"/>
                <w:szCs w:val="19"/>
                <w:lang w:val="es-ES"/>
              </w:rPr>
              <w:t>otificación de la petición</w:t>
            </w:r>
          </w:p>
        </w:tc>
        <w:tc>
          <w:tcPr>
            <w:tcW w:w="6570" w:type="dxa"/>
            <w:vAlign w:val="center"/>
          </w:tcPr>
          <w:p w14:paraId="1519DA6A" w14:textId="310025C8" w:rsidR="004C2312" w:rsidRPr="00BF4E8C" w:rsidRDefault="002A13F9" w:rsidP="00D43661">
            <w:pPr>
              <w:jc w:val="both"/>
              <w:rPr>
                <w:rFonts w:ascii="Cambria" w:hAnsi="Cambria"/>
                <w:bCs/>
                <w:sz w:val="19"/>
                <w:szCs w:val="19"/>
                <w:lang w:val="es-ES"/>
              </w:rPr>
            </w:pPr>
            <w:r w:rsidRPr="00BF4E8C">
              <w:rPr>
                <w:rFonts w:ascii="Cambria" w:hAnsi="Cambria"/>
                <w:bCs/>
                <w:sz w:val="19"/>
                <w:szCs w:val="19"/>
                <w:lang w:val="es-ES"/>
              </w:rPr>
              <w:t>3 de mayo de 2016</w:t>
            </w:r>
          </w:p>
        </w:tc>
      </w:tr>
      <w:tr w:rsidR="00F06354" w:rsidRPr="00BF4E8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BF4E8C" w:rsidRDefault="00D77503" w:rsidP="00F06354">
            <w:pPr>
              <w:jc w:val="center"/>
              <w:rPr>
                <w:rFonts w:ascii="Cambria" w:hAnsi="Cambria"/>
                <w:bCs/>
                <w:color w:val="FFFFFF" w:themeColor="background1"/>
                <w:sz w:val="19"/>
                <w:szCs w:val="19"/>
                <w:lang w:val="es-ES"/>
              </w:rPr>
            </w:pPr>
            <w:r w:rsidRPr="00BF4E8C">
              <w:rPr>
                <w:rFonts w:ascii="Cambria" w:hAnsi="Cambria"/>
                <w:color w:val="FFFFFF" w:themeColor="background1"/>
                <w:sz w:val="19"/>
                <w:szCs w:val="19"/>
                <w:lang w:val="es-ES"/>
              </w:rPr>
              <w:t>Primera respuesta del Estado</w:t>
            </w:r>
          </w:p>
        </w:tc>
        <w:tc>
          <w:tcPr>
            <w:tcW w:w="6570" w:type="dxa"/>
            <w:vAlign w:val="center"/>
          </w:tcPr>
          <w:p w14:paraId="1972B99E" w14:textId="119BD003" w:rsidR="00F06354" w:rsidRPr="00BF4E8C" w:rsidRDefault="00382395" w:rsidP="00F06354">
            <w:pPr>
              <w:jc w:val="both"/>
              <w:rPr>
                <w:rFonts w:ascii="Cambria" w:hAnsi="Cambria"/>
                <w:bCs/>
                <w:sz w:val="19"/>
                <w:szCs w:val="19"/>
                <w:lang w:val="es-ES"/>
              </w:rPr>
            </w:pPr>
            <w:r w:rsidRPr="00BF4E8C">
              <w:rPr>
                <w:rFonts w:ascii="Cambria" w:hAnsi="Cambria"/>
                <w:bCs/>
                <w:sz w:val="19"/>
                <w:szCs w:val="19"/>
                <w:lang w:val="es-ES"/>
              </w:rPr>
              <w:t>24 de abril de 2019</w:t>
            </w:r>
          </w:p>
        </w:tc>
      </w:tr>
      <w:tr w:rsidR="00F06354" w:rsidRPr="00265D51"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BF4E8C" w:rsidRDefault="00F06354" w:rsidP="00F06354">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Observaciones adicionales de</w:t>
            </w:r>
            <w:r w:rsidR="00D77503" w:rsidRPr="00BF4E8C">
              <w:rPr>
                <w:rFonts w:ascii="Cambria" w:hAnsi="Cambria"/>
                <w:bCs/>
                <w:color w:val="FFFFFF" w:themeColor="background1"/>
                <w:sz w:val="19"/>
                <w:szCs w:val="19"/>
                <w:lang w:val="es-ES"/>
              </w:rPr>
              <w:t xml:space="preserve"> la parte peticionaria</w:t>
            </w:r>
          </w:p>
        </w:tc>
        <w:tc>
          <w:tcPr>
            <w:tcW w:w="6570" w:type="dxa"/>
            <w:vAlign w:val="center"/>
          </w:tcPr>
          <w:p w14:paraId="41D8B862" w14:textId="1D2655FD" w:rsidR="00F06354" w:rsidRPr="00BF4E8C" w:rsidRDefault="002A13F9" w:rsidP="00BC0968">
            <w:pPr>
              <w:jc w:val="both"/>
              <w:rPr>
                <w:rFonts w:ascii="Cambria" w:hAnsi="Cambria"/>
                <w:bCs/>
                <w:sz w:val="19"/>
                <w:szCs w:val="19"/>
                <w:lang w:val="es-ES"/>
              </w:rPr>
            </w:pPr>
            <w:r w:rsidRPr="00BF4E8C">
              <w:rPr>
                <w:rFonts w:ascii="Cambria" w:hAnsi="Cambria"/>
                <w:bCs/>
                <w:sz w:val="19"/>
                <w:szCs w:val="19"/>
                <w:lang w:val="es-ES"/>
              </w:rPr>
              <w:t>3 de noviembre de 2017</w:t>
            </w:r>
            <w:r w:rsidR="00382395" w:rsidRPr="00BF4E8C">
              <w:rPr>
                <w:rFonts w:ascii="Cambria" w:hAnsi="Cambria"/>
                <w:bCs/>
                <w:sz w:val="19"/>
                <w:szCs w:val="19"/>
                <w:lang w:val="es-ES"/>
              </w:rPr>
              <w:t xml:space="preserve"> y 4 de junio de 2020</w:t>
            </w:r>
          </w:p>
        </w:tc>
      </w:tr>
      <w:tr w:rsidR="00382395" w:rsidRPr="00BF4E8C" w14:paraId="22469533" w14:textId="77777777" w:rsidTr="00954B82">
        <w:tc>
          <w:tcPr>
            <w:tcW w:w="2790" w:type="dxa"/>
            <w:tcBorders>
              <w:top w:val="single" w:sz="6" w:space="0" w:color="auto"/>
              <w:bottom w:val="single" w:sz="6" w:space="0" w:color="auto"/>
            </w:tcBorders>
            <w:shd w:val="clear" w:color="auto" w:fill="386294"/>
            <w:vAlign w:val="center"/>
          </w:tcPr>
          <w:p w14:paraId="5F1DFE57" w14:textId="3E59334E" w:rsidR="00382395" w:rsidRPr="00BF4E8C" w:rsidRDefault="00382395" w:rsidP="00F06354">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Observaciones adicionales del Estado</w:t>
            </w:r>
          </w:p>
        </w:tc>
        <w:tc>
          <w:tcPr>
            <w:tcW w:w="6570" w:type="dxa"/>
            <w:vAlign w:val="center"/>
          </w:tcPr>
          <w:p w14:paraId="1CB336B6" w14:textId="4D3F4A21" w:rsidR="00382395" w:rsidRPr="00BF4E8C" w:rsidRDefault="00382395" w:rsidP="00BC0968">
            <w:pPr>
              <w:jc w:val="both"/>
              <w:rPr>
                <w:rFonts w:ascii="Cambria" w:hAnsi="Cambria"/>
                <w:bCs/>
                <w:sz w:val="19"/>
                <w:szCs w:val="19"/>
                <w:lang w:val="es-ES"/>
              </w:rPr>
            </w:pPr>
            <w:r w:rsidRPr="00BF4E8C">
              <w:rPr>
                <w:rFonts w:ascii="Cambria" w:hAnsi="Cambria"/>
                <w:bCs/>
                <w:sz w:val="19"/>
                <w:szCs w:val="19"/>
                <w:lang w:val="es-ES"/>
              </w:rPr>
              <w:t>14 de junio de 2019</w:t>
            </w:r>
          </w:p>
        </w:tc>
      </w:tr>
    </w:tbl>
    <w:p w14:paraId="21DAA666" w14:textId="5065046E" w:rsidR="003239B8" w:rsidRPr="00BF4E8C" w:rsidRDefault="003239B8" w:rsidP="007C402A">
      <w:pPr>
        <w:spacing w:before="120" w:after="120"/>
        <w:ind w:firstLine="720"/>
        <w:jc w:val="both"/>
        <w:rPr>
          <w:rFonts w:asciiTheme="majorHAnsi" w:hAnsiTheme="majorHAnsi"/>
          <w:b/>
          <w:bCs/>
          <w:sz w:val="20"/>
          <w:szCs w:val="20"/>
          <w:lang w:val="es-ES"/>
        </w:rPr>
      </w:pPr>
      <w:r w:rsidRPr="00BF4E8C">
        <w:rPr>
          <w:rFonts w:asciiTheme="majorHAnsi" w:hAnsiTheme="majorHAnsi"/>
          <w:b/>
          <w:bCs/>
          <w:sz w:val="20"/>
          <w:szCs w:val="20"/>
          <w:lang w:val="es-ES"/>
        </w:rPr>
        <w:t xml:space="preserve">III. </w:t>
      </w:r>
      <w:r w:rsidRPr="00BF4E8C">
        <w:rPr>
          <w:rFonts w:asciiTheme="majorHAnsi" w:hAnsiTheme="majorHAnsi"/>
          <w:b/>
          <w:bCs/>
          <w:sz w:val="20"/>
          <w:szCs w:val="20"/>
          <w:lang w:val="es-ES"/>
        </w:rPr>
        <w:tab/>
        <w:t>COMPETENCIA</w:t>
      </w:r>
      <w:r w:rsidR="00EE00E9" w:rsidRPr="00BF4E8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BF4E8C"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BF4E8C" w:rsidRDefault="00D77503" w:rsidP="00D43661">
            <w:pPr>
              <w:jc w:val="center"/>
              <w:rPr>
                <w:rFonts w:ascii="Cambria" w:hAnsi="Cambria"/>
                <w:bCs/>
                <w:i/>
                <w:color w:val="FFFFFF" w:themeColor="background1"/>
                <w:sz w:val="19"/>
                <w:szCs w:val="19"/>
                <w:lang w:val="es-ES"/>
              </w:rPr>
            </w:pPr>
            <w:r w:rsidRPr="00BF4E8C">
              <w:rPr>
                <w:rFonts w:ascii="Cambria" w:hAnsi="Cambria"/>
                <w:bCs/>
                <w:i/>
                <w:color w:val="FFFFFF" w:themeColor="background1"/>
                <w:sz w:val="19"/>
                <w:szCs w:val="19"/>
                <w:lang w:val="es-ES"/>
              </w:rPr>
              <w:t>Ratione personae</w:t>
            </w:r>
          </w:p>
        </w:tc>
        <w:tc>
          <w:tcPr>
            <w:tcW w:w="6570" w:type="dxa"/>
            <w:vAlign w:val="center"/>
          </w:tcPr>
          <w:p w14:paraId="7707F3E9" w14:textId="30DD0FA8" w:rsidR="003239B8" w:rsidRPr="00BF4E8C" w:rsidRDefault="00161278" w:rsidP="00D43661">
            <w:pPr>
              <w:rPr>
                <w:rFonts w:ascii="Cambria" w:hAnsi="Cambria"/>
                <w:bCs/>
                <w:sz w:val="19"/>
                <w:szCs w:val="19"/>
                <w:lang w:val="es-ES"/>
              </w:rPr>
            </w:pPr>
            <w:r w:rsidRPr="00BF4E8C">
              <w:rPr>
                <w:rFonts w:ascii="Cambria" w:hAnsi="Cambria"/>
                <w:bCs/>
                <w:sz w:val="19"/>
                <w:szCs w:val="19"/>
                <w:lang w:val="es-ES"/>
              </w:rPr>
              <w:t>Sí</w:t>
            </w:r>
          </w:p>
        </w:tc>
      </w:tr>
      <w:tr w:rsidR="003239B8" w:rsidRPr="00BF4E8C"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BF4E8C" w:rsidRDefault="003239B8" w:rsidP="00D77503">
            <w:pPr>
              <w:jc w:val="center"/>
              <w:rPr>
                <w:rFonts w:ascii="Cambria" w:hAnsi="Cambria"/>
                <w:bCs/>
                <w:color w:val="FFFFFF" w:themeColor="background1"/>
                <w:sz w:val="19"/>
                <w:szCs w:val="19"/>
                <w:lang w:val="es-ES"/>
              </w:rPr>
            </w:pPr>
            <w:r w:rsidRPr="00BF4E8C">
              <w:rPr>
                <w:rFonts w:ascii="Cambria" w:hAnsi="Cambria"/>
                <w:bCs/>
                <w:i/>
                <w:color w:val="FFFFFF" w:themeColor="background1"/>
                <w:sz w:val="19"/>
                <w:szCs w:val="19"/>
                <w:lang w:val="es-ES"/>
              </w:rPr>
              <w:t>Ratione loci</w:t>
            </w:r>
          </w:p>
        </w:tc>
        <w:tc>
          <w:tcPr>
            <w:tcW w:w="6570" w:type="dxa"/>
            <w:vAlign w:val="center"/>
          </w:tcPr>
          <w:p w14:paraId="12C931CB" w14:textId="07637622" w:rsidR="003239B8" w:rsidRPr="00BF4E8C" w:rsidRDefault="00161278" w:rsidP="00D43661">
            <w:pPr>
              <w:rPr>
                <w:rFonts w:ascii="Cambria" w:hAnsi="Cambria"/>
                <w:bCs/>
                <w:sz w:val="19"/>
                <w:szCs w:val="19"/>
                <w:lang w:val="es-ES"/>
              </w:rPr>
            </w:pPr>
            <w:r w:rsidRPr="00BF4E8C">
              <w:rPr>
                <w:rFonts w:ascii="Cambria" w:hAnsi="Cambria"/>
                <w:bCs/>
                <w:sz w:val="19"/>
                <w:szCs w:val="19"/>
                <w:lang w:val="es-ES"/>
              </w:rPr>
              <w:t>Sí</w:t>
            </w:r>
          </w:p>
        </w:tc>
      </w:tr>
      <w:tr w:rsidR="003239B8" w:rsidRPr="00BF4E8C"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BF4E8C" w:rsidRDefault="003239B8" w:rsidP="00D43661">
            <w:pPr>
              <w:jc w:val="center"/>
              <w:rPr>
                <w:rFonts w:ascii="Cambria" w:hAnsi="Cambria"/>
                <w:bCs/>
                <w:color w:val="FFFFFF" w:themeColor="background1"/>
                <w:sz w:val="19"/>
                <w:szCs w:val="19"/>
                <w:lang w:val="es-ES"/>
              </w:rPr>
            </w:pPr>
            <w:r w:rsidRPr="00BF4E8C">
              <w:rPr>
                <w:rFonts w:ascii="Cambria" w:hAnsi="Cambria"/>
                <w:bCs/>
                <w:i/>
                <w:color w:val="FFFFFF" w:themeColor="background1"/>
                <w:sz w:val="19"/>
                <w:szCs w:val="19"/>
                <w:lang w:val="es-ES"/>
              </w:rPr>
              <w:t>Ratione temporis</w:t>
            </w:r>
          </w:p>
        </w:tc>
        <w:tc>
          <w:tcPr>
            <w:tcW w:w="6570" w:type="dxa"/>
            <w:vAlign w:val="center"/>
          </w:tcPr>
          <w:p w14:paraId="6F8B059B" w14:textId="63ACCA21" w:rsidR="003239B8" w:rsidRPr="00BF4E8C" w:rsidRDefault="00161278" w:rsidP="00D43661">
            <w:pPr>
              <w:rPr>
                <w:rFonts w:ascii="Cambria" w:hAnsi="Cambria"/>
                <w:bCs/>
                <w:sz w:val="19"/>
                <w:szCs w:val="19"/>
                <w:lang w:val="es-ES"/>
              </w:rPr>
            </w:pPr>
            <w:r w:rsidRPr="00BF4E8C">
              <w:rPr>
                <w:rFonts w:ascii="Cambria" w:hAnsi="Cambria"/>
                <w:bCs/>
                <w:sz w:val="19"/>
                <w:szCs w:val="19"/>
                <w:lang w:val="es-ES"/>
              </w:rPr>
              <w:t>Sí</w:t>
            </w:r>
          </w:p>
        </w:tc>
      </w:tr>
      <w:tr w:rsidR="003239B8" w:rsidRPr="00BF4E8C"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BF4E8C" w:rsidRDefault="003239B8" w:rsidP="00D43661">
            <w:pPr>
              <w:jc w:val="center"/>
              <w:rPr>
                <w:rFonts w:ascii="Cambria" w:hAnsi="Cambria"/>
                <w:bCs/>
                <w:color w:val="FFFFFF" w:themeColor="background1"/>
                <w:sz w:val="19"/>
                <w:szCs w:val="19"/>
                <w:lang w:val="es-ES"/>
              </w:rPr>
            </w:pPr>
            <w:r w:rsidRPr="00BF4E8C">
              <w:rPr>
                <w:rFonts w:ascii="Cambria" w:hAnsi="Cambria"/>
                <w:bCs/>
                <w:i/>
                <w:color w:val="FFFFFF" w:themeColor="background1"/>
                <w:sz w:val="19"/>
                <w:szCs w:val="19"/>
                <w:lang w:val="es-ES"/>
              </w:rPr>
              <w:t>Ratione materia</w:t>
            </w:r>
            <w:r w:rsidR="00EE00E9" w:rsidRPr="00BF4E8C">
              <w:rPr>
                <w:rFonts w:ascii="Cambria" w:hAnsi="Cambria"/>
                <w:bCs/>
                <w:i/>
                <w:color w:val="FFFFFF" w:themeColor="background1"/>
                <w:sz w:val="19"/>
                <w:szCs w:val="19"/>
                <w:lang w:val="es-ES"/>
              </w:rPr>
              <w:t>e</w:t>
            </w:r>
          </w:p>
        </w:tc>
        <w:tc>
          <w:tcPr>
            <w:tcW w:w="6570" w:type="dxa"/>
            <w:vAlign w:val="center"/>
          </w:tcPr>
          <w:p w14:paraId="63A62A88" w14:textId="77777777" w:rsidR="00911B3F" w:rsidRPr="00BF4E8C" w:rsidRDefault="00911B3F" w:rsidP="00911B3F">
            <w:pPr>
              <w:jc w:val="both"/>
              <w:rPr>
                <w:rFonts w:asciiTheme="majorHAnsi" w:hAnsiTheme="majorHAnsi"/>
                <w:bCs/>
                <w:sz w:val="20"/>
                <w:szCs w:val="20"/>
                <w:lang w:val="es-ES"/>
              </w:rPr>
            </w:pPr>
            <w:r w:rsidRPr="00BF4E8C">
              <w:rPr>
                <w:rFonts w:asciiTheme="majorHAnsi" w:hAnsiTheme="majorHAnsi"/>
                <w:bCs/>
                <w:sz w:val="20"/>
                <w:szCs w:val="20"/>
                <w:lang w:val="es-ES"/>
              </w:rPr>
              <w:t>Sí, Convención Americana (depósito del instrumento realizado el</w:t>
            </w:r>
          </w:p>
          <w:p w14:paraId="0C122F44" w14:textId="78BA88B5" w:rsidR="003239B8" w:rsidRPr="00BF4E8C" w:rsidRDefault="00911B3F" w:rsidP="00911B3F">
            <w:pPr>
              <w:jc w:val="both"/>
              <w:rPr>
                <w:rFonts w:ascii="Cambria" w:hAnsi="Cambria"/>
                <w:bCs/>
                <w:sz w:val="19"/>
                <w:szCs w:val="19"/>
                <w:lang w:val="es-ES"/>
              </w:rPr>
            </w:pPr>
            <w:r w:rsidRPr="00BF4E8C">
              <w:rPr>
                <w:rFonts w:asciiTheme="majorHAnsi" w:hAnsiTheme="majorHAnsi"/>
                <w:bCs/>
                <w:sz w:val="20"/>
                <w:szCs w:val="20"/>
                <w:lang w:val="es-ES"/>
              </w:rPr>
              <w:t>31 de julio de 1973)</w:t>
            </w:r>
          </w:p>
        </w:tc>
      </w:tr>
    </w:tbl>
    <w:p w14:paraId="4E92C444" w14:textId="7D97AE5A" w:rsidR="003239B8" w:rsidRPr="00BF4E8C" w:rsidRDefault="003239B8" w:rsidP="007C402A">
      <w:pPr>
        <w:spacing w:before="120" w:after="120"/>
        <w:ind w:firstLine="720"/>
        <w:jc w:val="both"/>
        <w:rPr>
          <w:rFonts w:asciiTheme="majorHAnsi" w:hAnsiTheme="majorHAnsi"/>
          <w:b/>
          <w:bCs/>
          <w:sz w:val="20"/>
          <w:szCs w:val="20"/>
          <w:lang w:val="es-ES"/>
        </w:rPr>
      </w:pPr>
      <w:r w:rsidRPr="00BF4E8C">
        <w:rPr>
          <w:rFonts w:asciiTheme="majorHAnsi" w:hAnsiTheme="majorHAnsi"/>
          <w:b/>
          <w:bCs/>
          <w:sz w:val="20"/>
          <w:szCs w:val="20"/>
          <w:lang w:val="es-ES"/>
        </w:rPr>
        <w:t xml:space="preserve">IV. </w:t>
      </w:r>
      <w:r w:rsidRPr="00BF4E8C">
        <w:rPr>
          <w:rFonts w:asciiTheme="majorHAnsi" w:hAnsiTheme="majorHAnsi"/>
          <w:b/>
          <w:bCs/>
          <w:sz w:val="20"/>
          <w:szCs w:val="20"/>
          <w:lang w:val="es-ES"/>
        </w:rPr>
        <w:tab/>
      </w:r>
      <w:r w:rsidR="00EE00E9" w:rsidRPr="00BF4E8C">
        <w:rPr>
          <w:rFonts w:asciiTheme="majorHAnsi" w:hAnsiTheme="majorHAnsi"/>
          <w:b/>
          <w:bCs/>
          <w:sz w:val="20"/>
          <w:szCs w:val="20"/>
          <w:lang w:val="es-ES"/>
        </w:rPr>
        <w:t>DUPLICACIÓN</w:t>
      </w:r>
      <w:r w:rsidR="00EE00E9" w:rsidRPr="00BF4E8C">
        <w:rPr>
          <w:rFonts w:asciiTheme="majorHAnsi" w:hAnsiTheme="majorHAnsi"/>
          <w:b/>
          <w:bCs/>
          <w:color w:val="FFFFFF" w:themeColor="background1"/>
          <w:sz w:val="20"/>
          <w:szCs w:val="20"/>
          <w:lang w:val="es-ES"/>
        </w:rPr>
        <w:t xml:space="preserve"> </w:t>
      </w:r>
      <w:r w:rsidR="00EE00E9" w:rsidRPr="00BF4E8C">
        <w:rPr>
          <w:rFonts w:asciiTheme="majorHAnsi" w:hAnsiTheme="majorHAnsi"/>
          <w:b/>
          <w:bCs/>
          <w:sz w:val="20"/>
          <w:szCs w:val="20"/>
          <w:lang w:val="es-ES"/>
        </w:rPr>
        <w:t>DE PROCEDIMIENTOS Y COSA JUZGADA</w:t>
      </w:r>
      <w:r w:rsidR="00EE00E9" w:rsidRPr="00BF4E8C">
        <w:rPr>
          <w:rFonts w:asciiTheme="majorHAnsi" w:hAnsiTheme="majorHAnsi"/>
          <w:b/>
          <w:bCs/>
          <w:i/>
          <w:sz w:val="20"/>
          <w:szCs w:val="20"/>
          <w:lang w:val="es-ES"/>
        </w:rPr>
        <w:t xml:space="preserve"> </w:t>
      </w:r>
      <w:r w:rsidR="00911B3F" w:rsidRPr="00BF4E8C">
        <w:rPr>
          <w:rFonts w:asciiTheme="majorHAnsi" w:hAnsiTheme="majorHAnsi"/>
          <w:b/>
          <w:bCs/>
          <w:sz w:val="20"/>
          <w:szCs w:val="20"/>
          <w:lang w:val="es-ES"/>
        </w:rPr>
        <w:t>INTERNACIONAL</w:t>
      </w:r>
      <w:r w:rsidR="00EE00E9" w:rsidRPr="00BF4E8C">
        <w:rPr>
          <w:rFonts w:asciiTheme="majorHAnsi" w:hAnsiTheme="majorHAnsi"/>
          <w:b/>
          <w:bCs/>
          <w:sz w:val="20"/>
          <w:szCs w:val="20"/>
          <w:lang w:val="es-ES"/>
        </w:rPr>
        <w:t xml:space="preserve"> </w:t>
      </w:r>
      <w:r w:rsidRPr="00BF4E8C">
        <w:rPr>
          <w:rFonts w:asciiTheme="majorHAnsi" w:hAnsiTheme="majorHAnsi"/>
          <w:b/>
          <w:bCs/>
          <w:sz w:val="20"/>
          <w:szCs w:val="20"/>
          <w:lang w:val="es-ES"/>
        </w:rPr>
        <w:t xml:space="preserve"> CARACTERIZACIÓN, </w:t>
      </w:r>
      <w:r w:rsidRPr="00BF4E8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BF4E8C"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BF4E8C" w:rsidRDefault="00EE00E9" w:rsidP="00954B82">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 xml:space="preserve">Duplicación </w:t>
            </w:r>
            <w:r w:rsidR="00D77503" w:rsidRPr="00BF4E8C">
              <w:rPr>
                <w:rFonts w:ascii="Cambria" w:hAnsi="Cambria"/>
                <w:bCs/>
                <w:color w:val="FFFFFF" w:themeColor="background1"/>
                <w:sz w:val="19"/>
                <w:szCs w:val="19"/>
                <w:lang w:val="es-ES"/>
              </w:rPr>
              <w:t>y cosa juzgada internacional</w:t>
            </w:r>
          </w:p>
        </w:tc>
        <w:tc>
          <w:tcPr>
            <w:tcW w:w="6570" w:type="dxa"/>
            <w:vAlign w:val="center"/>
          </w:tcPr>
          <w:p w14:paraId="240941E6" w14:textId="135A8243" w:rsidR="00EE00E9" w:rsidRPr="00BF4E8C" w:rsidRDefault="00BB3402" w:rsidP="00D43661">
            <w:pPr>
              <w:jc w:val="both"/>
              <w:rPr>
                <w:rFonts w:ascii="Cambria" w:hAnsi="Cambria"/>
                <w:bCs/>
                <w:sz w:val="19"/>
                <w:szCs w:val="19"/>
                <w:lang w:val="es-ES"/>
              </w:rPr>
            </w:pPr>
            <w:r w:rsidRPr="00BF4E8C">
              <w:rPr>
                <w:rFonts w:ascii="Cambria" w:hAnsi="Cambria"/>
                <w:bCs/>
                <w:sz w:val="19"/>
                <w:szCs w:val="19"/>
                <w:lang w:val="es-ES"/>
              </w:rPr>
              <w:t>No</w:t>
            </w:r>
          </w:p>
        </w:tc>
      </w:tr>
      <w:tr w:rsidR="003239B8" w:rsidRPr="00265D51"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BF4E8C" w:rsidRDefault="003239B8" w:rsidP="00954B82">
            <w:pPr>
              <w:jc w:val="center"/>
              <w:rPr>
                <w:rFonts w:ascii="Cambria" w:hAnsi="Cambria"/>
                <w:bCs/>
                <w:i/>
                <w:color w:val="FFFFFF" w:themeColor="background1"/>
                <w:sz w:val="19"/>
                <w:szCs w:val="19"/>
                <w:lang w:val="es-ES"/>
              </w:rPr>
            </w:pPr>
            <w:r w:rsidRPr="00BF4E8C">
              <w:rPr>
                <w:rFonts w:ascii="Cambria" w:hAnsi="Cambria"/>
                <w:bCs/>
                <w:color w:val="FFFFFF" w:themeColor="background1"/>
                <w:sz w:val="19"/>
                <w:szCs w:val="19"/>
                <w:lang w:val="es-ES"/>
              </w:rPr>
              <w:t>Derechos admi</w:t>
            </w:r>
            <w:r w:rsidR="00954B82" w:rsidRPr="00BF4E8C">
              <w:rPr>
                <w:rFonts w:ascii="Cambria" w:hAnsi="Cambria"/>
                <w:bCs/>
                <w:color w:val="FFFFFF" w:themeColor="background1"/>
                <w:sz w:val="19"/>
                <w:szCs w:val="19"/>
                <w:lang w:val="es-ES"/>
              </w:rPr>
              <w:t>tidos</w:t>
            </w:r>
          </w:p>
        </w:tc>
        <w:tc>
          <w:tcPr>
            <w:tcW w:w="6570" w:type="dxa"/>
            <w:vAlign w:val="center"/>
          </w:tcPr>
          <w:p w14:paraId="6310C8F7" w14:textId="12C44523" w:rsidR="003239B8" w:rsidRPr="00BF4E8C" w:rsidRDefault="00B92D4A" w:rsidP="006B770C">
            <w:pPr>
              <w:jc w:val="both"/>
              <w:rPr>
                <w:rFonts w:ascii="Cambria" w:hAnsi="Cambria"/>
                <w:bCs/>
                <w:sz w:val="19"/>
                <w:szCs w:val="19"/>
                <w:lang w:val="es-ES"/>
              </w:rPr>
            </w:pPr>
            <w:r w:rsidRPr="00BF4E8C">
              <w:rPr>
                <w:rFonts w:ascii="Cambria" w:hAnsi="Cambria"/>
                <w:bCs/>
                <w:sz w:val="19"/>
                <w:szCs w:val="19"/>
                <w:lang w:val="es-ES"/>
              </w:rPr>
              <w:t>Artículos</w:t>
            </w:r>
            <w:r w:rsidR="00AF6123" w:rsidRPr="00BF4E8C">
              <w:rPr>
                <w:rFonts w:ascii="Cambria" w:hAnsi="Cambria"/>
                <w:bCs/>
                <w:sz w:val="19"/>
                <w:szCs w:val="19"/>
                <w:lang w:val="es-ES"/>
              </w:rPr>
              <w:t xml:space="preserve"> 4 (vida),</w:t>
            </w:r>
            <w:r w:rsidRPr="00BF4E8C">
              <w:rPr>
                <w:rFonts w:ascii="Cambria" w:hAnsi="Cambria"/>
                <w:bCs/>
                <w:sz w:val="19"/>
                <w:szCs w:val="19"/>
                <w:lang w:val="es-ES"/>
              </w:rPr>
              <w:t xml:space="preserve"> </w:t>
            </w:r>
            <w:r w:rsidR="00382395" w:rsidRPr="00BF4E8C">
              <w:rPr>
                <w:rFonts w:ascii="Cambria" w:hAnsi="Cambria"/>
                <w:bCs/>
                <w:sz w:val="19"/>
                <w:szCs w:val="19"/>
                <w:lang w:val="es-ES"/>
              </w:rPr>
              <w:t xml:space="preserve">5 (integridad personal), 7 (libertad personal), 8 (garantías judiciales), 11 (honra y dignidad), 21 (propiedad), </w:t>
            </w:r>
            <w:r w:rsidR="00221E40" w:rsidRPr="00BF4E8C">
              <w:rPr>
                <w:rFonts w:ascii="Cambria" w:hAnsi="Cambria"/>
                <w:bCs/>
                <w:sz w:val="19"/>
                <w:szCs w:val="19"/>
                <w:lang w:val="es-ES"/>
              </w:rPr>
              <w:t>16 (libertad de asociación)</w:t>
            </w:r>
            <w:r w:rsidR="001B12EC" w:rsidRPr="00BF4E8C">
              <w:rPr>
                <w:rFonts w:ascii="Cambria" w:hAnsi="Cambria"/>
                <w:bCs/>
                <w:sz w:val="19"/>
                <w:szCs w:val="19"/>
                <w:lang w:val="es-ES"/>
              </w:rPr>
              <w:t xml:space="preserve">, </w:t>
            </w:r>
            <w:r w:rsidR="006B770C">
              <w:rPr>
                <w:rFonts w:ascii="Cambria" w:hAnsi="Cambria"/>
                <w:bCs/>
                <w:sz w:val="19"/>
                <w:szCs w:val="19"/>
                <w:lang w:val="es-ES"/>
              </w:rPr>
              <w:t>24 (igualdad ante la ley) y</w:t>
            </w:r>
            <w:r w:rsidR="007D1178">
              <w:rPr>
                <w:rFonts w:ascii="Cambria" w:hAnsi="Cambria"/>
                <w:bCs/>
                <w:sz w:val="19"/>
                <w:szCs w:val="19"/>
                <w:lang w:val="es-ES"/>
              </w:rPr>
              <w:t xml:space="preserve"> </w:t>
            </w:r>
            <w:r w:rsidR="00382395" w:rsidRPr="00BF4E8C">
              <w:rPr>
                <w:rFonts w:ascii="Cambria" w:hAnsi="Cambria"/>
                <w:bCs/>
                <w:sz w:val="19"/>
                <w:szCs w:val="19"/>
                <w:lang w:val="es-ES"/>
              </w:rPr>
              <w:t>25 (protección judicial</w:t>
            </w:r>
            <w:r w:rsidRPr="00BF4E8C">
              <w:rPr>
                <w:rFonts w:ascii="Cambria" w:hAnsi="Cambria"/>
                <w:bCs/>
                <w:sz w:val="19"/>
                <w:szCs w:val="19"/>
                <w:lang w:val="es-ES"/>
              </w:rPr>
              <w:t xml:space="preserve"> de la Convenci</w:t>
            </w:r>
            <w:r w:rsidR="00AF6123" w:rsidRPr="00BF4E8C">
              <w:rPr>
                <w:rFonts w:ascii="Cambria" w:hAnsi="Cambria"/>
                <w:bCs/>
                <w:sz w:val="19"/>
                <w:szCs w:val="19"/>
                <w:lang w:val="es-ES"/>
              </w:rPr>
              <w:t>ón Americana en relación con su</w:t>
            </w:r>
            <w:r w:rsidR="00EC0810" w:rsidRPr="00BF4E8C">
              <w:rPr>
                <w:rFonts w:ascii="Cambria" w:hAnsi="Cambria"/>
                <w:bCs/>
                <w:sz w:val="19"/>
                <w:szCs w:val="19"/>
                <w:lang w:val="es-ES"/>
              </w:rPr>
              <w:t xml:space="preserve"> artículo</w:t>
            </w:r>
            <w:r w:rsidRPr="00BF4E8C">
              <w:rPr>
                <w:rFonts w:ascii="Cambria" w:hAnsi="Cambria"/>
                <w:bCs/>
                <w:sz w:val="19"/>
                <w:szCs w:val="19"/>
                <w:lang w:val="es-ES"/>
              </w:rPr>
              <w:t xml:space="preserve"> 1.1 (obligación de respe</w:t>
            </w:r>
            <w:r w:rsidR="006B770C">
              <w:rPr>
                <w:rFonts w:ascii="Cambria" w:hAnsi="Cambria"/>
                <w:bCs/>
                <w:sz w:val="19"/>
                <w:szCs w:val="19"/>
                <w:lang w:val="es-ES"/>
              </w:rPr>
              <w:t>tar los derechos)</w:t>
            </w:r>
          </w:p>
        </w:tc>
      </w:tr>
      <w:tr w:rsidR="003239B8" w:rsidRPr="00265D51"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BF4E8C" w:rsidRDefault="003239B8" w:rsidP="006775AB">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Agotamiento de</w:t>
            </w:r>
            <w:r w:rsidR="0069402E" w:rsidRPr="00BF4E8C">
              <w:rPr>
                <w:rFonts w:ascii="Cambria" w:hAnsi="Cambria"/>
                <w:bCs/>
                <w:color w:val="FFFFFF" w:themeColor="background1"/>
                <w:sz w:val="19"/>
                <w:szCs w:val="19"/>
                <w:lang w:val="es-ES"/>
              </w:rPr>
              <w:t xml:space="preserve"> </w:t>
            </w:r>
            <w:r w:rsidRPr="00BF4E8C">
              <w:rPr>
                <w:rFonts w:ascii="Cambria" w:hAnsi="Cambria"/>
                <w:bCs/>
                <w:color w:val="FFFFFF" w:themeColor="background1"/>
                <w:sz w:val="19"/>
                <w:szCs w:val="19"/>
                <w:lang w:val="es-ES"/>
              </w:rPr>
              <w:t xml:space="preserve">recursos </w:t>
            </w:r>
            <w:r w:rsidR="00D77503" w:rsidRPr="00BF4E8C">
              <w:rPr>
                <w:rFonts w:ascii="Cambria" w:hAnsi="Cambria"/>
                <w:bCs/>
                <w:color w:val="FFFFFF" w:themeColor="background1"/>
                <w:sz w:val="19"/>
                <w:szCs w:val="19"/>
                <w:lang w:val="es-ES"/>
              </w:rPr>
              <w:t>o procedencia de una excepción</w:t>
            </w:r>
          </w:p>
        </w:tc>
        <w:tc>
          <w:tcPr>
            <w:tcW w:w="6570" w:type="dxa"/>
            <w:vAlign w:val="center"/>
          </w:tcPr>
          <w:p w14:paraId="69C53E8A" w14:textId="2405397D" w:rsidR="003239B8" w:rsidRPr="00BF4E8C" w:rsidRDefault="00911B3F" w:rsidP="00AF6123">
            <w:pPr>
              <w:rPr>
                <w:rFonts w:ascii="Cambria" w:hAnsi="Cambria"/>
                <w:bCs/>
                <w:sz w:val="19"/>
                <w:szCs w:val="19"/>
                <w:lang w:val="es-ES"/>
              </w:rPr>
            </w:pPr>
            <w:r w:rsidRPr="00BF4E8C">
              <w:rPr>
                <w:rFonts w:ascii="Cambria" w:hAnsi="Cambria"/>
                <w:bCs/>
                <w:sz w:val="19"/>
                <w:szCs w:val="19"/>
                <w:lang w:val="es-ES"/>
              </w:rPr>
              <w:t xml:space="preserve">Sí, </w:t>
            </w:r>
            <w:r w:rsidR="00AF6123" w:rsidRPr="00BF4E8C">
              <w:rPr>
                <w:rFonts w:ascii="Cambria" w:hAnsi="Cambria"/>
                <w:bCs/>
                <w:sz w:val="19"/>
                <w:szCs w:val="19"/>
                <w:lang w:val="es-ES"/>
              </w:rPr>
              <w:t>en los términos de la Sección VI</w:t>
            </w:r>
          </w:p>
        </w:tc>
      </w:tr>
      <w:tr w:rsidR="003239B8" w:rsidRPr="00265D51"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BF4E8C" w:rsidRDefault="00D77503" w:rsidP="00D43661">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Presentación dentro de plazo</w:t>
            </w:r>
          </w:p>
        </w:tc>
        <w:tc>
          <w:tcPr>
            <w:tcW w:w="6570" w:type="dxa"/>
            <w:vAlign w:val="center"/>
          </w:tcPr>
          <w:p w14:paraId="4A2A4569" w14:textId="65D9D1CD" w:rsidR="003239B8" w:rsidRPr="00BF4E8C" w:rsidRDefault="00DF1745" w:rsidP="00AF6123">
            <w:pPr>
              <w:rPr>
                <w:rFonts w:ascii="Cambria" w:hAnsi="Cambria"/>
                <w:bCs/>
                <w:sz w:val="19"/>
                <w:szCs w:val="19"/>
                <w:lang w:val="es-ES"/>
              </w:rPr>
            </w:pPr>
            <w:r w:rsidRPr="00BF4E8C">
              <w:rPr>
                <w:rFonts w:ascii="Cambria" w:hAnsi="Cambria"/>
                <w:bCs/>
                <w:sz w:val="19"/>
                <w:szCs w:val="19"/>
                <w:lang w:val="es-ES"/>
              </w:rPr>
              <w:t xml:space="preserve">Sí, </w:t>
            </w:r>
            <w:r w:rsidR="00AF6123" w:rsidRPr="00BF4E8C">
              <w:rPr>
                <w:rFonts w:ascii="Cambria" w:hAnsi="Cambria"/>
                <w:bCs/>
                <w:sz w:val="19"/>
                <w:szCs w:val="19"/>
                <w:lang w:val="es-ES"/>
              </w:rPr>
              <w:t>en los términos de la Sección VI</w:t>
            </w:r>
          </w:p>
        </w:tc>
      </w:tr>
    </w:tbl>
    <w:p w14:paraId="18E6423B" w14:textId="5FDE25B0" w:rsidR="003239B8" w:rsidRPr="00BF4E8C" w:rsidRDefault="00223A29" w:rsidP="005565AF">
      <w:pPr>
        <w:spacing w:before="120" w:after="120"/>
        <w:ind w:firstLine="720"/>
        <w:jc w:val="both"/>
        <w:rPr>
          <w:rFonts w:asciiTheme="majorHAnsi" w:hAnsiTheme="majorHAnsi"/>
          <w:b/>
          <w:sz w:val="20"/>
          <w:szCs w:val="20"/>
          <w:lang w:val="es-ES"/>
        </w:rPr>
      </w:pPr>
      <w:r w:rsidRPr="00BF4E8C">
        <w:rPr>
          <w:rFonts w:asciiTheme="majorHAnsi" w:hAnsiTheme="majorHAnsi"/>
          <w:b/>
          <w:sz w:val="20"/>
          <w:szCs w:val="20"/>
          <w:lang w:val="es-ES"/>
        </w:rPr>
        <w:t xml:space="preserve">V. </w:t>
      </w:r>
      <w:r w:rsidRPr="00BF4E8C">
        <w:rPr>
          <w:rFonts w:asciiTheme="majorHAnsi" w:hAnsiTheme="majorHAnsi"/>
          <w:b/>
          <w:sz w:val="20"/>
          <w:szCs w:val="20"/>
          <w:lang w:val="es-ES"/>
        </w:rPr>
        <w:tab/>
      </w:r>
      <w:r w:rsidR="0034224A" w:rsidRPr="00BF4E8C">
        <w:rPr>
          <w:rFonts w:asciiTheme="majorHAnsi" w:hAnsiTheme="majorHAnsi"/>
          <w:b/>
          <w:sz w:val="20"/>
          <w:szCs w:val="20"/>
          <w:lang w:val="es-ES"/>
        </w:rPr>
        <w:t>RESUMEN DE LOS HECHOS ALEGADOS</w:t>
      </w:r>
    </w:p>
    <w:p w14:paraId="6DFD65E9" w14:textId="71F1DE00" w:rsidR="00D57A30" w:rsidRPr="00BF4E8C" w:rsidRDefault="00B64DE4" w:rsidP="003C7487">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La parte peticionaria</w:t>
      </w:r>
      <w:r w:rsidR="00382395" w:rsidRPr="00BF4E8C">
        <w:rPr>
          <w:rFonts w:ascii="Cambria" w:hAnsi="Cambria"/>
          <w:sz w:val="20"/>
          <w:szCs w:val="20"/>
          <w:lang w:val="es-ES"/>
        </w:rPr>
        <w:t xml:space="preserve"> denuncia presuntas violacion</w:t>
      </w:r>
      <w:r w:rsidR="00221E40" w:rsidRPr="00BF4E8C">
        <w:rPr>
          <w:rFonts w:ascii="Cambria" w:hAnsi="Cambria"/>
          <w:sz w:val="20"/>
          <w:szCs w:val="20"/>
          <w:lang w:val="es-ES"/>
        </w:rPr>
        <w:t xml:space="preserve">es </w:t>
      </w:r>
      <w:r>
        <w:rPr>
          <w:rFonts w:ascii="Cambria" w:hAnsi="Cambria"/>
          <w:sz w:val="20"/>
          <w:szCs w:val="20"/>
          <w:lang w:val="es-ES"/>
        </w:rPr>
        <w:t>de</w:t>
      </w:r>
      <w:r w:rsidR="00221E40" w:rsidRPr="00BF4E8C">
        <w:rPr>
          <w:rFonts w:ascii="Cambria" w:hAnsi="Cambria"/>
          <w:sz w:val="20"/>
          <w:szCs w:val="20"/>
          <w:lang w:val="es-ES"/>
        </w:rPr>
        <w:t xml:space="preserve"> derechos humanos de 156</w:t>
      </w:r>
      <w:r w:rsidR="00382395" w:rsidRPr="00BF4E8C">
        <w:rPr>
          <w:rFonts w:ascii="Cambria" w:hAnsi="Cambria"/>
          <w:sz w:val="20"/>
          <w:szCs w:val="20"/>
          <w:lang w:val="es-ES"/>
        </w:rPr>
        <w:t xml:space="preserve"> personas </w:t>
      </w:r>
      <w:r>
        <w:rPr>
          <w:rFonts w:ascii="Cambria" w:hAnsi="Cambria"/>
          <w:sz w:val="20"/>
          <w:szCs w:val="20"/>
          <w:lang w:val="es-ES"/>
        </w:rPr>
        <w:t>como consecuencia del</w:t>
      </w:r>
      <w:r w:rsidR="008919E9" w:rsidRPr="00BF4E8C">
        <w:rPr>
          <w:rFonts w:ascii="Cambria" w:hAnsi="Cambria"/>
          <w:sz w:val="20"/>
          <w:szCs w:val="20"/>
          <w:lang w:val="es-ES"/>
        </w:rPr>
        <w:t xml:space="preserve"> ataque </w:t>
      </w:r>
      <w:r w:rsidRPr="00BF4E8C">
        <w:rPr>
          <w:rFonts w:ascii="Cambria" w:hAnsi="Cambria"/>
          <w:sz w:val="20"/>
          <w:szCs w:val="20"/>
          <w:lang w:val="es-ES"/>
        </w:rPr>
        <w:t xml:space="preserve">un grupo armado ilegal en 1994 </w:t>
      </w:r>
      <w:r w:rsidR="008919E9" w:rsidRPr="00BF4E8C">
        <w:rPr>
          <w:rFonts w:ascii="Cambria" w:hAnsi="Cambria"/>
          <w:sz w:val="20"/>
          <w:szCs w:val="20"/>
          <w:lang w:val="es-ES"/>
        </w:rPr>
        <w:t xml:space="preserve">en el barrio </w:t>
      </w:r>
      <w:r>
        <w:rPr>
          <w:rFonts w:ascii="Cambria" w:hAnsi="Cambria"/>
          <w:sz w:val="20"/>
          <w:szCs w:val="20"/>
          <w:lang w:val="es-ES"/>
        </w:rPr>
        <w:t>L</w:t>
      </w:r>
      <w:r w:rsidR="008919E9" w:rsidRPr="00BF4E8C">
        <w:rPr>
          <w:rFonts w:ascii="Cambria" w:hAnsi="Cambria"/>
          <w:sz w:val="20"/>
          <w:szCs w:val="20"/>
          <w:lang w:val="es-ES"/>
        </w:rPr>
        <w:t xml:space="preserve">a </w:t>
      </w:r>
      <w:r>
        <w:rPr>
          <w:rFonts w:ascii="Cambria" w:hAnsi="Cambria"/>
          <w:sz w:val="20"/>
          <w:szCs w:val="20"/>
          <w:lang w:val="es-ES"/>
        </w:rPr>
        <w:t>C</w:t>
      </w:r>
      <w:r w:rsidR="008919E9" w:rsidRPr="00BF4E8C">
        <w:rPr>
          <w:rFonts w:ascii="Cambria" w:hAnsi="Cambria"/>
          <w:sz w:val="20"/>
          <w:szCs w:val="20"/>
          <w:lang w:val="es-ES"/>
        </w:rPr>
        <w:t xml:space="preserve">hinita </w:t>
      </w:r>
      <w:r>
        <w:rPr>
          <w:rFonts w:ascii="Cambria" w:hAnsi="Cambria"/>
          <w:sz w:val="20"/>
          <w:szCs w:val="20"/>
          <w:lang w:val="es-ES"/>
        </w:rPr>
        <w:t xml:space="preserve">de la Ciudad de Apartadó, Departamento de Antioquia, </w:t>
      </w:r>
      <w:r w:rsidR="008919E9" w:rsidRPr="00BF4E8C">
        <w:rPr>
          <w:rFonts w:ascii="Cambria" w:hAnsi="Cambria"/>
          <w:sz w:val="20"/>
          <w:szCs w:val="20"/>
          <w:lang w:val="es-ES"/>
        </w:rPr>
        <w:t>durante el cual fueron asesinadas 35 personas</w:t>
      </w:r>
      <w:r w:rsidR="008919E9" w:rsidRPr="00BF4E8C">
        <w:rPr>
          <w:rStyle w:val="FootnoteReference"/>
          <w:rFonts w:ascii="Cambria" w:hAnsi="Cambria"/>
          <w:sz w:val="20"/>
          <w:szCs w:val="20"/>
          <w:lang w:val="es-ES"/>
        </w:rPr>
        <w:footnoteReference w:id="6"/>
      </w:r>
      <w:r w:rsidR="008919E9" w:rsidRPr="00BF4E8C">
        <w:rPr>
          <w:rFonts w:ascii="Cambria" w:hAnsi="Cambria"/>
          <w:sz w:val="20"/>
          <w:szCs w:val="20"/>
          <w:lang w:val="es-ES"/>
        </w:rPr>
        <w:t xml:space="preserve"> y lesionadas por lo menos 12</w:t>
      </w:r>
      <w:r w:rsidR="008919E9" w:rsidRPr="00BF4E8C">
        <w:rPr>
          <w:rStyle w:val="FootnoteReference"/>
          <w:rFonts w:ascii="Cambria" w:hAnsi="Cambria"/>
          <w:sz w:val="20"/>
          <w:szCs w:val="20"/>
          <w:lang w:val="es-ES"/>
        </w:rPr>
        <w:footnoteReference w:id="7"/>
      </w:r>
      <w:r w:rsidR="008919E9" w:rsidRPr="00BF4E8C">
        <w:rPr>
          <w:rFonts w:ascii="Cambria" w:hAnsi="Cambria"/>
          <w:sz w:val="20"/>
          <w:szCs w:val="20"/>
          <w:lang w:val="es-ES"/>
        </w:rPr>
        <w:t xml:space="preserve">. La parte peticionaria alega que las autoridades estatales incumplieron su deber de adoptar medidas para proteger la vida e integridad de quienes residían en el barrio, pese a que </w:t>
      </w:r>
      <w:r>
        <w:rPr>
          <w:rFonts w:ascii="Cambria" w:hAnsi="Cambria"/>
          <w:sz w:val="20"/>
          <w:szCs w:val="20"/>
          <w:lang w:val="es-ES"/>
        </w:rPr>
        <w:t>sus</w:t>
      </w:r>
      <w:r w:rsidR="008919E9" w:rsidRPr="00BF4E8C">
        <w:rPr>
          <w:rFonts w:ascii="Cambria" w:hAnsi="Cambria"/>
          <w:sz w:val="20"/>
          <w:szCs w:val="20"/>
          <w:lang w:val="es-ES"/>
        </w:rPr>
        <w:t xml:space="preserve"> habitantes habían informado </w:t>
      </w:r>
      <w:r w:rsidR="008919E9" w:rsidRPr="00BF4E8C">
        <w:rPr>
          <w:rFonts w:ascii="Cambria" w:hAnsi="Cambria"/>
          <w:sz w:val="20"/>
          <w:szCs w:val="20"/>
          <w:lang w:val="es-ES"/>
        </w:rPr>
        <w:lastRenderedPageBreak/>
        <w:t>oportunamente a las autoridades que estaban siendo amenazadas por razón de su orientación política y solicit</w:t>
      </w:r>
      <w:r w:rsidR="00AF0B04" w:rsidRPr="00BF4E8C">
        <w:rPr>
          <w:rFonts w:ascii="Cambria" w:hAnsi="Cambria"/>
          <w:sz w:val="20"/>
          <w:szCs w:val="20"/>
          <w:lang w:val="es-ES"/>
        </w:rPr>
        <w:t>ado la protección del Estado. También denuncia que el Estado no ha cumplido con esclarecer los hechos relacionado con la masacre y sancionar a los responsables, así como con brindar reparación integral a todas las presuntas víctimas.</w:t>
      </w:r>
      <w:r w:rsidR="008919E9" w:rsidRPr="00BF4E8C">
        <w:rPr>
          <w:rFonts w:ascii="Cambria" w:hAnsi="Cambria"/>
          <w:sz w:val="20"/>
          <w:szCs w:val="20"/>
          <w:lang w:val="es-ES"/>
        </w:rPr>
        <w:t xml:space="preserve"> </w:t>
      </w:r>
    </w:p>
    <w:p w14:paraId="798C187B" w14:textId="0B5F321E" w:rsidR="00CE1BE0" w:rsidRPr="00BF4E8C" w:rsidRDefault="00FE5B2A" w:rsidP="00CE1BE0">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 xml:space="preserve">La parte peticionaria </w:t>
      </w:r>
      <w:r w:rsidR="005D7D16" w:rsidRPr="00BF4E8C">
        <w:rPr>
          <w:rFonts w:asciiTheme="majorHAnsi" w:hAnsiTheme="majorHAnsi"/>
          <w:bCs/>
          <w:sz w:val="20"/>
          <w:szCs w:val="20"/>
          <w:lang w:val="es-ES"/>
        </w:rPr>
        <w:t xml:space="preserve">indica </w:t>
      </w:r>
      <w:r w:rsidR="00DB2F13" w:rsidRPr="00BF4E8C">
        <w:rPr>
          <w:rFonts w:asciiTheme="majorHAnsi" w:hAnsiTheme="majorHAnsi"/>
          <w:bCs/>
          <w:sz w:val="20"/>
          <w:szCs w:val="20"/>
          <w:lang w:val="es-ES"/>
        </w:rPr>
        <w:t xml:space="preserve">que las personas habitantes del barrio </w:t>
      </w:r>
      <w:r w:rsidR="00B64DE4">
        <w:rPr>
          <w:rFonts w:asciiTheme="majorHAnsi" w:hAnsiTheme="majorHAnsi"/>
          <w:bCs/>
          <w:sz w:val="20"/>
          <w:szCs w:val="20"/>
          <w:lang w:val="es-ES"/>
        </w:rPr>
        <w:t>L</w:t>
      </w:r>
      <w:r w:rsidR="005D7D16" w:rsidRPr="00BF4E8C">
        <w:rPr>
          <w:rFonts w:asciiTheme="majorHAnsi" w:hAnsiTheme="majorHAnsi"/>
          <w:bCs/>
          <w:sz w:val="20"/>
          <w:szCs w:val="20"/>
          <w:lang w:val="es-ES"/>
        </w:rPr>
        <w:t xml:space="preserve">a Chinita </w:t>
      </w:r>
      <w:r w:rsidR="00DB2F13" w:rsidRPr="00BF4E8C">
        <w:rPr>
          <w:rFonts w:asciiTheme="majorHAnsi" w:hAnsiTheme="majorHAnsi"/>
          <w:bCs/>
          <w:sz w:val="20"/>
          <w:szCs w:val="20"/>
          <w:lang w:val="es-ES"/>
        </w:rPr>
        <w:t xml:space="preserve">eran en su mayoría militantes del movimiento político Esperanza, Paz y Libertad y que habían recibido por esta razón, amenazas y rumores sobre posibles atentados contra su integridad y la de sus familias. Señala que desde el 15 de noviembre de 1993 las personas residentes del barrio habían pedido auxilio al Ejército y al Departamento de Policía de Urabá </w:t>
      </w:r>
      <w:r w:rsidR="005D7D16" w:rsidRPr="00BF4E8C">
        <w:rPr>
          <w:rFonts w:asciiTheme="majorHAnsi" w:hAnsiTheme="majorHAnsi"/>
          <w:bCs/>
          <w:sz w:val="20"/>
          <w:szCs w:val="20"/>
          <w:lang w:val="es-ES"/>
        </w:rPr>
        <w:t xml:space="preserve">pues se sentían amedrentadas por hombre armados que movilizaban por el sector sin ningún impedimento pese a estar </w:t>
      </w:r>
      <w:r w:rsidR="00B65EB7" w:rsidRPr="00BF4E8C">
        <w:rPr>
          <w:rFonts w:asciiTheme="majorHAnsi" w:hAnsiTheme="majorHAnsi"/>
          <w:bCs/>
          <w:sz w:val="20"/>
          <w:szCs w:val="20"/>
          <w:lang w:val="es-ES"/>
        </w:rPr>
        <w:t xml:space="preserve">a </w:t>
      </w:r>
      <w:r w:rsidR="005D7D16" w:rsidRPr="00BF4E8C">
        <w:rPr>
          <w:rFonts w:asciiTheme="majorHAnsi" w:hAnsiTheme="majorHAnsi"/>
          <w:bCs/>
          <w:sz w:val="20"/>
          <w:szCs w:val="20"/>
          <w:lang w:val="es-ES"/>
        </w:rPr>
        <w:t>la vista de las autoridades. Explica que la población del barrio se vio obligada a cancelar las fiestas de navidad y año nuevo de 1993 por temor a un posible atentado pero que comenzando 1994 y habiendo transcurrido más de un mes sin contratiempos decidieron organizar dos fiestas. Destaca que las emisoras locales dieron amplia cobertura a las fiestas que se realizarían</w:t>
      </w:r>
      <w:r w:rsidR="006E6715" w:rsidRPr="00BF4E8C">
        <w:rPr>
          <w:rFonts w:asciiTheme="majorHAnsi" w:hAnsiTheme="majorHAnsi"/>
          <w:bCs/>
          <w:sz w:val="20"/>
          <w:szCs w:val="20"/>
          <w:lang w:val="es-ES"/>
        </w:rPr>
        <w:t xml:space="preserve"> el 22 de enero de 1994</w:t>
      </w:r>
      <w:r w:rsidR="005D7D16" w:rsidRPr="00BF4E8C">
        <w:rPr>
          <w:rFonts w:asciiTheme="majorHAnsi" w:hAnsiTheme="majorHAnsi"/>
          <w:bCs/>
          <w:sz w:val="20"/>
          <w:szCs w:val="20"/>
          <w:lang w:val="es-ES"/>
        </w:rPr>
        <w:t xml:space="preserve">, pese a lo que ni la Policía ni el Ejército hicieron ningún tipo de presencia en el barrio para prestar protección a sus habitantes ni para impedir desórdenes en las festividades.  Destaca además que </w:t>
      </w:r>
      <w:r w:rsidR="006E6715" w:rsidRPr="00BF4E8C">
        <w:rPr>
          <w:rFonts w:asciiTheme="majorHAnsi" w:hAnsiTheme="majorHAnsi"/>
          <w:bCs/>
          <w:sz w:val="20"/>
          <w:szCs w:val="20"/>
          <w:lang w:val="es-ES"/>
        </w:rPr>
        <w:t xml:space="preserve">el </w:t>
      </w:r>
      <w:r w:rsidR="00B65EB7" w:rsidRPr="00BF4E8C">
        <w:rPr>
          <w:rFonts w:asciiTheme="majorHAnsi" w:hAnsiTheme="majorHAnsi"/>
          <w:bCs/>
          <w:sz w:val="20"/>
          <w:szCs w:val="20"/>
          <w:lang w:val="es-ES"/>
        </w:rPr>
        <w:t xml:space="preserve">propio 22 de enero de 1994 </w:t>
      </w:r>
      <w:r w:rsidR="006E6715" w:rsidRPr="00BF4E8C">
        <w:rPr>
          <w:rFonts w:asciiTheme="majorHAnsi" w:hAnsiTheme="majorHAnsi"/>
          <w:bCs/>
          <w:sz w:val="20"/>
          <w:szCs w:val="20"/>
          <w:lang w:val="es-ES"/>
        </w:rPr>
        <w:t xml:space="preserve">antes de que iniciaran las fiestas había transitado por el barrio un candidato y senador de la República para cuya visita se había realizado </w:t>
      </w:r>
      <w:r w:rsidR="00B65EB7" w:rsidRPr="00BF4E8C">
        <w:rPr>
          <w:rFonts w:asciiTheme="majorHAnsi" w:hAnsiTheme="majorHAnsi"/>
          <w:bCs/>
          <w:sz w:val="20"/>
          <w:szCs w:val="20"/>
          <w:lang w:val="es-ES"/>
        </w:rPr>
        <w:t xml:space="preserve">con </w:t>
      </w:r>
      <w:r w:rsidR="006E6715" w:rsidRPr="00BF4E8C">
        <w:rPr>
          <w:rFonts w:asciiTheme="majorHAnsi" w:hAnsiTheme="majorHAnsi"/>
          <w:bCs/>
          <w:sz w:val="20"/>
          <w:szCs w:val="20"/>
          <w:lang w:val="es-ES"/>
        </w:rPr>
        <w:t xml:space="preserve">un significativo despliegue militar. </w:t>
      </w:r>
    </w:p>
    <w:p w14:paraId="12C03DFD" w14:textId="1B7794DE" w:rsidR="00A45B88" w:rsidRPr="00BF4E8C" w:rsidRDefault="006E6715" w:rsidP="00CE1BE0">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 xml:space="preserve">Continúa relatando que las fiestas del barrio iniciaron alrededor de las 7: 30 </w:t>
      </w:r>
      <w:r w:rsidR="00221E40" w:rsidRPr="00BF4E8C">
        <w:rPr>
          <w:rFonts w:asciiTheme="majorHAnsi" w:hAnsiTheme="majorHAnsi"/>
          <w:bCs/>
          <w:sz w:val="20"/>
          <w:szCs w:val="20"/>
          <w:lang w:val="es-ES"/>
        </w:rPr>
        <w:t xml:space="preserve">pm </w:t>
      </w:r>
      <w:r w:rsidRPr="00BF4E8C">
        <w:rPr>
          <w:rFonts w:asciiTheme="majorHAnsi" w:hAnsiTheme="majorHAnsi"/>
          <w:bCs/>
          <w:sz w:val="20"/>
          <w:szCs w:val="20"/>
          <w:lang w:val="es-ES"/>
        </w:rPr>
        <w:t xml:space="preserve">del 22 de enero </w:t>
      </w:r>
      <w:r w:rsidR="00286A61" w:rsidRPr="00BF4E8C">
        <w:rPr>
          <w:rFonts w:asciiTheme="majorHAnsi" w:hAnsiTheme="majorHAnsi"/>
          <w:bCs/>
          <w:sz w:val="20"/>
          <w:szCs w:val="20"/>
          <w:lang w:val="es-ES"/>
        </w:rPr>
        <w:t xml:space="preserve">de 1994 </w:t>
      </w:r>
      <w:r w:rsidRPr="00BF4E8C">
        <w:rPr>
          <w:rFonts w:asciiTheme="majorHAnsi" w:hAnsiTheme="majorHAnsi"/>
          <w:bCs/>
          <w:sz w:val="20"/>
          <w:szCs w:val="20"/>
          <w:lang w:val="es-ES"/>
        </w:rPr>
        <w:t>y transcurrieron con gran calma has</w:t>
      </w:r>
      <w:r w:rsidR="00286A61" w:rsidRPr="00BF4E8C">
        <w:rPr>
          <w:rFonts w:asciiTheme="majorHAnsi" w:hAnsiTheme="majorHAnsi"/>
          <w:bCs/>
          <w:sz w:val="20"/>
          <w:szCs w:val="20"/>
          <w:lang w:val="es-ES"/>
        </w:rPr>
        <w:t>ta que en la madrugada del 23 de enero un grupo de personas armadas, presuntamente integrantes de las</w:t>
      </w:r>
      <w:r w:rsidR="00221E40" w:rsidRPr="00BF4E8C">
        <w:rPr>
          <w:rFonts w:asciiTheme="majorHAnsi" w:hAnsiTheme="majorHAnsi"/>
          <w:bCs/>
          <w:sz w:val="20"/>
          <w:szCs w:val="20"/>
          <w:lang w:val="es-ES"/>
        </w:rPr>
        <w:t xml:space="preserve"> Fuerzas Armadas de Revolución Colombianas</w:t>
      </w:r>
      <w:r w:rsidR="00286A61" w:rsidRPr="00BF4E8C">
        <w:rPr>
          <w:rFonts w:asciiTheme="majorHAnsi" w:hAnsiTheme="majorHAnsi"/>
          <w:bCs/>
          <w:sz w:val="20"/>
          <w:szCs w:val="20"/>
          <w:lang w:val="es-ES"/>
        </w:rPr>
        <w:t xml:space="preserve"> </w:t>
      </w:r>
      <w:r w:rsidR="00221E40" w:rsidRPr="00BF4E8C">
        <w:rPr>
          <w:rFonts w:asciiTheme="majorHAnsi" w:hAnsiTheme="majorHAnsi"/>
          <w:bCs/>
          <w:sz w:val="20"/>
          <w:szCs w:val="20"/>
          <w:lang w:val="es-ES"/>
        </w:rPr>
        <w:t>(</w:t>
      </w:r>
      <w:r w:rsidR="00286A61" w:rsidRPr="00BF4E8C">
        <w:rPr>
          <w:rFonts w:asciiTheme="majorHAnsi" w:hAnsiTheme="majorHAnsi"/>
          <w:bCs/>
          <w:sz w:val="20"/>
          <w:szCs w:val="20"/>
          <w:lang w:val="es-ES"/>
        </w:rPr>
        <w:t>FARC</w:t>
      </w:r>
      <w:r w:rsidR="00221E40" w:rsidRPr="00BF4E8C">
        <w:rPr>
          <w:rFonts w:asciiTheme="majorHAnsi" w:hAnsiTheme="majorHAnsi"/>
          <w:bCs/>
          <w:sz w:val="20"/>
          <w:szCs w:val="20"/>
          <w:lang w:val="es-ES"/>
        </w:rPr>
        <w:t>)</w:t>
      </w:r>
      <w:r w:rsidR="00286A61" w:rsidRPr="00BF4E8C">
        <w:rPr>
          <w:rFonts w:asciiTheme="majorHAnsi" w:hAnsiTheme="majorHAnsi"/>
          <w:bCs/>
          <w:sz w:val="20"/>
          <w:szCs w:val="20"/>
          <w:lang w:val="es-ES"/>
        </w:rPr>
        <w:t xml:space="preserve">, irrumpieron en las festividades solicitando a las personas asistentes sus documentos de identidad. Indica que estos hombres armados procedieron luego a disparar irracional e indiscriminadamente contra las personas residentes del barrio causándole la muerte a 35 personas y lesiones a otras 12. </w:t>
      </w:r>
      <w:r w:rsidR="00A45B88" w:rsidRPr="00BF4E8C">
        <w:rPr>
          <w:rFonts w:asciiTheme="majorHAnsi" w:hAnsiTheme="majorHAnsi"/>
          <w:bCs/>
          <w:sz w:val="20"/>
          <w:szCs w:val="20"/>
          <w:lang w:val="es-ES"/>
        </w:rPr>
        <w:t>Resalta el caso específico de la señora Celia Mosquera Chala cuyo compañero permanente y padre de sus hijos fue asesinado durante la masacre y quien también resultó herida tras recibir en su hombro algunas esquirlas de los disparos que dieron muerte a su compañero. Explica que producto de la herida sufrida durante la masacre la señora Celia ha quedado con movilidad reducida en su brazo lo que le ha dificultado poder encontrar un trabajo estable, forzando a sus hijos</w:t>
      </w:r>
      <w:r w:rsidR="00C85959" w:rsidRPr="00BF4E8C">
        <w:rPr>
          <w:rFonts w:asciiTheme="majorHAnsi" w:hAnsiTheme="majorHAnsi"/>
          <w:bCs/>
          <w:sz w:val="20"/>
          <w:szCs w:val="20"/>
          <w:lang w:val="es-ES"/>
        </w:rPr>
        <w:t xml:space="preserve"> a</w:t>
      </w:r>
      <w:r w:rsidR="00A45B88" w:rsidRPr="00BF4E8C">
        <w:rPr>
          <w:rFonts w:asciiTheme="majorHAnsi" w:hAnsiTheme="majorHAnsi"/>
          <w:bCs/>
          <w:sz w:val="20"/>
          <w:szCs w:val="20"/>
          <w:lang w:val="es-ES"/>
        </w:rPr>
        <w:t xml:space="preserve"> </w:t>
      </w:r>
      <w:r w:rsidR="00C85959" w:rsidRPr="00BF4E8C">
        <w:rPr>
          <w:rFonts w:asciiTheme="majorHAnsi" w:hAnsiTheme="majorHAnsi"/>
          <w:bCs/>
          <w:sz w:val="20"/>
          <w:szCs w:val="20"/>
          <w:lang w:val="es-ES"/>
        </w:rPr>
        <w:t>sumar actividades productivas a las académicas propias de su edad</w:t>
      </w:r>
      <w:r w:rsidR="00A45B88" w:rsidRPr="00BF4E8C">
        <w:rPr>
          <w:rFonts w:asciiTheme="majorHAnsi" w:hAnsiTheme="majorHAnsi"/>
          <w:bCs/>
          <w:sz w:val="20"/>
          <w:szCs w:val="20"/>
          <w:lang w:val="es-ES"/>
        </w:rPr>
        <w:t xml:space="preserve"> para ayudar a la subsistencia del grupo familiar</w:t>
      </w:r>
      <w:r w:rsidR="00C85959" w:rsidRPr="00BF4E8C">
        <w:rPr>
          <w:rFonts w:asciiTheme="majorHAnsi" w:hAnsiTheme="majorHAnsi"/>
          <w:bCs/>
          <w:sz w:val="20"/>
          <w:szCs w:val="20"/>
          <w:lang w:val="es-ES"/>
        </w:rPr>
        <w:t xml:space="preserve">. De igual manera señala que la hija de la señora Celia se vio obligada a suplir a su madre en las labores del hogar. </w:t>
      </w:r>
    </w:p>
    <w:p w14:paraId="0F3D559F" w14:textId="3EC51881" w:rsidR="00561776" w:rsidRPr="00BF4E8C" w:rsidRDefault="00286A61" w:rsidP="00CE1BE0">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Destaca que algunas de las personas que cometieron esta masacre vestían uniformes de la policía, otras vestían camuflaj</w:t>
      </w:r>
      <w:r w:rsidR="00B64DE4">
        <w:rPr>
          <w:rFonts w:asciiTheme="majorHAnsi" w:hAnsiTheme="majorHAnsi"/>
          <w:bCs/>
          <w:sz w:val="20"/>
          <w:szCs w:val="20"/>
          <w:lang w:val="es-ES"/>
        </w:rPr>
        <w:t>es</w:t>
      </w:r>
      <w:r w:rsidRPr="00BF4E8C">
        <w:rPr>
          <w:rFonts w:asciiTheme="majorHAnsi" w:hAnsiTheme="majorHAnsi"/>
          <w:bCs/>
          <w:sz w:val="20"/>
          <w:szCs w:val="20"/>
          <w:lang w:val="es-ES"/>
        </w:rPr>
        <w:t xml:space="preserve"> similares a los utilizados por el Ejército y las demás ocultaban sus rostros con pinturas, pañuelos o pasamontañas. </w:t>
      </w:r>
      <w:r w:rsidR="00221E40" w:rsidRPr="00BF4E8C">
        <w:rPr>
          <w:rFonts w:asciiTheme="majorHAnsi" w:hAnsiTheme="majorHAnsi"/>
          <w:bCs/>
          <w:sz w:val="20"/>
          <w:szCs w:val="20"/>
          <w:lang w:val="es-ES"/>
        </w:rPr>
        <w:t xml:space="preserve">Explica que las personas integrantes de la comunidad no se alarmaron inicialmente por la presencia de estas personas armadas pues, dada su vestimenta, asumieron que se trataba de la fuerza pública. </w:t>
      </w:r>
      <w:r w:rsidRPr="00BF4E8C">
        <w:rPr>
          <w:rFonts w:asciiTheme="majorHAnsi" w:hAnsiTheme="majorHAnsi"/>
          <w:bCs/>
          <w:sz w:val="20"/>
          <w:szCs w:val="20"/>
          <w:lang w:val="es-ES"/>
        </w:rPr>
        <w:t xml:space="preserve">Resalta además que </w:t>
      </w:r>
      <w:r w:rsidR="00561776" w:rsidRPr="00BF4E8C">
        <w:rPr>
          <w:rFonts w:asciiTheme="majorHAnsi" w:hAnsiTheme="majorHAnsi"/>
          <w:bCs/>
          <w:sz w:val="20"/>
          <w:szCs w:val="20"/>
          <w:lang w:val="es-ES"/>
        </w:rPr>
        <w:t>en los años en cuestión existía en Colombia un patrón de violencia bajo el cual miles de personas simpatizantes de la Unión Patriótica y movimientos políticos similares habían sido asesinadas en masacres; siendo lo ocurrido en la Chinita un ejemplo más de ese patrón.</w:t>
      </w:r>
    </w:p>
    <w:p w14:paraId="15A7BC58" w14:textId="7433E758" w:rsidR="00870D95" w:rsidRPr="00BF4E8C" w:rsidRDefault="00561776" w:rsidP="00C80B5A">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 xml:space="preserve">Alega que las autoridades civiles y militares acantonadas en Apartadó contribuyeron con su omisión a que ocurriera la masacre pues no hicieron caso a los pedidos de protección </w:t>
      </w:r>
      <w:r w:rsidR="00C63ABE" w:rsidRPr="00BF4E8C">
        <w:rPr>
          <w:rFonts w:asciiTheme="majorHAnsi" w:hAnsiTheme="majorHAnsi"/>
          <w:bCs/>
          <w:sz w:val="20"/>
          <w:szCs w:val="20"/>
          <w:lang w:val="es-ES"/>
        </w:rPr>
        <w:t xml:space="preserve">que las personas </w:t>
      </w:r>
      <w:r w:rsidR="0038297B" w:rsidRPr="00BF4E8C">
        <w:rPr>
          <w:rFonts w:asciiTheme="majorHAnsi" w:hAnsiTheme="majorHAnsi"/>
          <w:bCs/>
          <w:sz w:val="20"/>
          <w:szCs w:val="20"/>
          <w:lang w:val="es-ES"/>
        </w:rPr>
        <w:t>residentes</w:t>
      </w:r>
      <w:r w:rsidR="00C63ABE" w:rsidRPr="00BF4E8C">
        <w:rPr>
          <w:rFonts w:asciiTheme="majorHAnsi" w:hAnsiTheme="majorHAnsi"/>
          <w:bCs/>
          <w:sz w:val="20"/>
          <w:szCs w:val="20"/>
          <w:lang w:val="es-ES"/>
        </w:rPr>
        <w:t xml:space="preserve"> de</w:t>
      </w:r>
      <w:r w:rsidR="00B64DE4">
        <w:rPr>
          <w:rFonts w:asciiTheme="majorHAnsi" w:hAnsiTheme="majorHAnsi"/>
          <w:bCs/>
          <w:sz w:val="20"/>
          <w:szCs w:val="20"/>
          <w:lang w:val="es-ES"/>
        </w:rPr>
        <w:t>l barrio</w:t>
      </w:r>
      <w:r w:rsidR="00C63ABE" w:rsidRPr="00BF4E8C">
        <w:rPr>
          <w:rFonts w:asciiTheme="majorHAnsi" w:hAnsiTheme="majorHAnsi"/>
          <w:bCs/>
          <w:sz w:val="20"/>
          <w:szCs w:val="20"/>
          <w:lang w:val="es-ES"/>
        </w:rPr>
        <w:t xml:space="preserve"> </w:t>
      </w:r>
      <w:r w:rsidR="00B64DE4">
        <w:rPr>
          <w:rFonts w:asciiTheme="majorHAnsi" w:hAnsiTheme="majorHAnsi"/>
          <w:bCs/>
          <w:sz w:val="20"/>
          <w:szCs w:val="20"/>
          <w:lang w:val="es-ES"/>
        </w:rPr>
        <w:t>L</w:t>
      </w:r>
      <w:r w:rsidR="00C63ABE" w:rsidRPr="00BF4E8C">
        <w:rPr>
          <w:rFonts w:asciiTheme="majorHAnsi" w:hAnsiTheme="majorHAnsi"/>
          <w:bCs/>
          <w:sz w:val="20"/>
          <w:szCs w:val="20"/>
          <w:lang w:val="es-ES"/>
        </w:rPr>
        <w:t>a Chinita les habían hecho por escrito. Destaca que Apartadó era una de las zonas más militarizadas del país y que las personas que cometieron la masacre debieron caminar largas distancias por terrenos controlados militarmente; por lo que considera imposible que la fuerza pública no detectará al gran número de individuos pertenecientes a grupos ar</w:t>
      </w:r>
      <w:r w:rsidR="0038297B" w:rsidRPr="00BF4E8C">
        <w:rPr>
          <w:rFonts w:asciiTheme="majorHAnsi" w:hAnsiTheme="majorHAnsi"/>
          <w:bCs/>
          <w:sz w:val="20"/>
          <w:szCs w:val="20"/>
          <w:lang w:val="es-ES"/>
        </w:rPr>
        <w:t>mados ilegales que incursionó</w:t>
      </w:r>
      <w:r w:rsidR="00C63ABE" w:rsidRPr="00BF4E8C">
        <w:rPr>
          <w:rFonts w:asciiTheme="majorHAnsi" w:hAnsiTheme="majorHAnsi"/>
          <w:bCs/>
          <w:sz w:val="20"/>
          <w:szCs w:val="20"/>
          <w:lang w:val="es-ES"/>
        </w:rPr>
        <w:t xml:space="preserve"> ese día</w:t>
      </w:r>
      <w:r w:rsidR="0038297B" w:rsidRPr="00BF4E8C">
        <w:rPr>
          <w:rFonts w:asciiTheme="majorHAnsi" w:hAnsiTheme="majorHAnsi"/>
          <w:bCs/>
          <w:sz w:val="20"/>
          <w:szCs w:val="20"/>
          <w:lang w:val="es-ES"/>
        </w:rPr>
        <w:t xml:space="preserve"> en la zona</w:t>
      </w:r>
      <w:r w:rsidR="00C63ABE" w:rsidRPr="00BF4E8C">
        <w:rPr>
          <w:rFonts w:asciiTheme="majorHAnsi" w:hAnsiTheme="majorHAnsi"/>
          <w:bCs/>
          <w:sz w:val="20"/>
          <w:szCs w:val="20"/>
          <w:lang w:val="es-ES"/>
        </w:rPr>
        <w:t xml:space="preserve">. De igual manera, denuncia que la fuerza pública no llegó al lugar de la masacre sino hasta dos horas después de que esta ocurriera, permitiendo que los homicidas escaparan sin ser perseguidos ni enfrentados. </w:t>
      </w:r>
    </w:p>
    <w:p w14:paraId="3668A4BB" w14:textId="77E14D72" w:rsidR="00EE2B73" w:rsidRPr="00BF4E8C" w:rsidRDefault="00C63ABE" w:rsidP="00C80B5A">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 xml:space="preserve">Agrega que el 9 de febrero de 1995 una comisión especial de la Fiscalía General de la Nación profirió resolución de acusación contra algunas personas </w:t>
      </w:r>
      <w:r w:rsidR="000E5F4C" w:rsidRPr="00BF4E8C">
        <w:rPr>
          <w:rFonts w:asciiTheme="majorHAnsi" w:hAnsiTheme="majorHAnsi"/>
          <w:bCs/>
          <w:sz w:val="20"/>
          <w:szCs w:val="20"/>
          <w:lang w:val="es-ES"/>
        </w:rPr>
        <w:t xml:space="preserve">por razón de los hechos ocurridos en </w:t>
      </w:r>
      <w:r w:rsidR="00B64DE4">
        <w:rPr>
          <w:rFonts w:asciiTheme="majorHAnsi" w:hAnsiTheme="majorHAnsi"/>
          <w:bCs/>
          <w:sz w:val="20"/>
          <w:szCs w:val="20"/>
          <w:lang w:val="es-ES"/>
        </w:rPr>
        <w:t>L</w:t>
      </w:r>
      <w:r w:rsidR="000E5F4C" w:rsidRPr="00BF4E8C">
        <w:rPr>
          <w:rFonts w:asciiTheme="majorHAnsi" w:hAnsiTheme="majorHAnsi"/>
          <w:bCs/>
          <w:sz w:val="20"/>
          <w:szCs w:val="20"/>
          <w:lang w:val="es-ES"/>
        </w:rPr>
        <w:t>a Chinita, calificando a estas personas como presuntos c</w:t>
      </w:r>
      <w:r w:rsidRPr="00BF4E8C">
        <w:rPr>
          <w:rFonts w:asciiTheme="majorHAnsi" w:hAnsiTheme="majorHAnsi"/>
          <w:bCs/>
          <w:sz w:val="20"/>
          <w:szCs w:val="20"/>
          <w:lang w:val="es-ES"/>
        </w:rPr>
        <w:t>oautores de un con</w:t>
      </w:r>
      <w:r w:rsidR="000E5F4C" w:rsidRPr="00BF4E8C">
        <w:rPr>
          <w:rFonts w:asciiTheme="majorHAnsi" w:hAnsiTheme="majorHAnsi"/>
          <w:bCs/>
          <w:sz w:val="20"/>
          <w:szCs w:val="20"/>
          <w:lang w:val="es-ES"/>
        </w:rPr>
        <w:t xml:space="preserve">curso de homicidios agravados, 35 consumados y 12 en grado de atentado, Explica que esta decisión fue luego confirmada en segunda instancia el 14 de agosto de 1995. Posteriormente, el 13 de marzo de 1995 se profirió acusación por los mismos hechos contra 12 personas más, siendo las causas acumuladas y decididas el 22 de julio de 1997 cuando el Juzgado Regional de Medellín absolvió a algunas de las personas acusadas y condenó a las demás a penas de entre los 6 </w:t>
      </w:r>
      <w:r w:rsidR="000E5F4C" w:rsidRPr="00BF4E8C">
        <w:rPr>
          <w:rFonts w:asciiTheme="majorHAnsi" w:hAnsiTheme="majorHAnsi"/>
          <w:bCs/>
          <w:sz w:val="20"/>
          <w:szCs w:val="20"/>
          <w:lang w:val="es-ES"/>
        </w:rPr>
        <w:lastRenderedPageBreak/>
        <w:t xml:space="preserve">y 50 años de prisión. La sentencia fue luego modificada en segunda instancia, condenándose a una de las personas que había resultado absuelta, aumentándose la pena a una de las que había sido condenada y absolviéndose a una de algunos de los cargos por que había sido condenada. Sin embargo, varias de las personas condenadas interpusieron recurso de Casación resultando en que el 20 de junio de 2005 la Corte Suprema de Justicia </w:t>
      </w:r>
      <w:r w:rsidR="001853A6" w:rsidRPr="00BF4E8C">
        <w:rPr>
          <w:rFonts w:asciiTheme="majorHAnsi" w:hAnsiTheme="majorHAnsi"/>
          <w:bCs/>
          <w:sz w:val="20"/>
          <w:szCs w:val="20"/>
          <w:lang w:val="es-ES"/>
        </w:rPr>
        <w:t>emitiera sentencia revocando</w:t>
      </w:r>
      <w:r w:rsidR="001B5816" w:rsidRPr="00BF4E8C">
        <w:rPr>
          <w:rFonts w:asciiTheme="majorHAnsi" w:hAnsiTheme="majorHAnsi"/>
          <w:bCs/>
          <w:sz w:val="20"/>
          <w:szCs w:val="20"/>
          <w:lang w:val="es-ES"/>
        </w:rPr>
        <w:t>,</w:t>
      </w:r>
      <w:r w:rsidR="001853A6" w:rsidRPr="00BF4E8C">
        <w:rPr>
          <w:rFonts w:asciiTheme="majorHAnsi" w:hAnsiTheme="majorHAnsi"/>
          <w:bCs/>
          <w:sz w:val="20"/>
          <w:szCs w:val="20"/>
          <w:lang w:val="es-ES"/>
        </w:rPr>
        <w:t xml:space="preserve"> por razones de prescripción del delito</w:t>
      </w:r>
      <w:r w:rsidR="001B5816" w:rsidRPr="00BF4E8C">
        <w:rPr>
          <w:rFonts w:asciiTheme="majorHAnsi" w:hAnsiTheme="majorHAnsi"/>
          <w:bCs/>
          <w:sz w:val="20"/>
          <w:szCs w:val="20"/>
          <w:lang w:val="es-ES"/>
        </w:rPr>
        <w:t>,</w:t>
      </w:r>
      <w:r w:rsidR="001853A6" w:rsidRPr="00BF4E8C">
        <w:rPr>
          <w:rFonts w:asciiTheme="majorHAnsi" w:hAnsiTheme="majorHAnsi"/>
          <w:bCs/>
          <w:sz w:val="20"/>
          <w:szCs w:val="20"/>
          <w:lang w:val="es-ES"/>
        </w:rPr>
        <w:t xml:space="preserve"> las condenas por rebelión y falsificación de documentos que algunas de las personas acusadas habían recibido. En la misma sentencia, la Corte también decretó la nulidad de todo lo actuado desde el momento de la indagatoria con respecto al resto de las personas acusadas y dispuso la libertad de todas las personas que habían sido vinculadas a la investigación. </w:t>
      </w:r>
      <w:r w:rsidR="00EE2B73" w:rsidRPr="00BF4E8C">
        <w:rPr>
          <w:rFonts w:asciiTheme="majorHAnsi" w:hAnsiTheme="majorHAnsi"/>
          <w:bCs/>
          <w:sz w:val="20"/>
          <w:szCs w:val="20"/>
          <w:lang w:val="es-ES"/>
        </w:rPr>
        <w:t xml:space="preserve"> </w:t>
      </w:r>
    </w:p>
    <w:p w14:paraId="02F8830C" w14:textId="510F01C3" w:rsidR="00C63ABE" w:rsidRPr="00BF4E8C" w:rsidRDefault="00EE2B73" w:rsidP="00C80B5A">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Manifiesta que la intención de la parte peticionaria no es acudir a la Comisión por su desacuerdo con la decisión de la jurisdicción penal sino por razón de que no se ha respetado el derecho de las presuntas</w:t>
      </w:r>
      <w:r w:rsidR="001B5816" w:rsidRPr="00BF4E8C">
        <w:rPr>
          <w:rFonts w:asciiTheme="majorHAnsi" w:hAnsiTheme="majorHAnsi"/>
          <w:bCs/>
          <w:sz w:val="20"/>
          <w:szCs w:val="20"/>
          <w:lang w:val="es-ES"/>
        </w:rPr>
        <w:t xml:space="preserve"> víctimas</w:t>
      </w:r>
      <w:r w:rsidRPr="00BF4E8C">
        <w:rPr>
          <w:rFonts w:asciiTheme="majorHAnsi" w:hAnsiTheme="majorHAnsi"/>
          <w:bCs/>
          <w:sz w:val="20"/>
          <w:szCs w:val="20"/>
          <w:lang w:val="es-ES"/>
        </w:rPr>
        <w:t xml:space="preserve"> a la verdad al no haberse producido una adecuada investigación, enjuiciamiento y sanción de todos los participantes por acción u omisión de los hechos que dieron origen a la masacre perpetrada en la Chinita. Resalta que no existe ninguna condena vigente contra ningún perpetrador ni mucho menos contra ningún integrante de la fuerza pública que haya incurrido en responsabilidad por omisión. Añade que fue la Fiscalía quien inobservó los requisitos formales resultando en que se decretará la nulidad de todo lo actuado en el proceso penal y forzando a que se tuviera que iniciar nuevamente las investigaciones en condiciones en que ya no tendrían las mismas posibilidades de ser efectivas </w:t>
      </w:r>
      <w:r w:rsidR="008A520D" w:rsidRPr="00BF4E8C">
        <w:rPr>
          <w:rFonts w:asciiTheme="majorHAnsi" w:hAnsiTheme="majorHAnsi"/>
          <w:bCs/>
          <w:sz w:val="20"/>
          <w:szCs w:val="20"/>
          <w:lang w:val="es-ES"/>
        </w:rPr>
        <w:t xml:space="preserve">por razón del paso del tiempo y lo que este representa para la reconstrucción del acervo probatorio. Alega que esta falla de la Fiscalía ha ampliado las posibilidades de impunidad y la imposibilidad de proteger los derechos a la verdad y a la justicia de las personas demandadas. </w:t>
      </w:r>
    </w:p>
    <w:p w14:paraId="67D4F6B2" w14:textId="1992D1CF" w:rsidR="008B1BC2" w:rsidRPr="00BF4E8C" w:rsidRDefault="00253A97" w:rsidP="008A0E20">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 xml:space="preserve">También indica que en 1995 se presentó ante el Tribunal Administrativo de Antioquía una demanda </w:t>
      </w:r>
      <w:r w:rsidR="006433D6" w:rsidRPr="00BF4E8C">
        <w:rPr>
          <w:rFonts w:asciiTheme="majorHAnsi" w:hAnsiTheme="majorHAnsi"/>
          <w:bCs/>
          <w:sz w:val="20"/>
          <w:szCs w:val="20"/>
          <w:lang w:val="es-ES"/>
        </w:rPr>
        <w:t>de reparación directa relacionada con las muertes y lesiones sufridas por 22 personas durante la masacre la Chinita</w:t>
      </w:r>
      <w:r w:rsidR="006433D6" w:rsidRPr="00BF4E8C">
        <w:rPr>
          <w:rStyle w:val="FootnoteReference"/>
          <w:rFonts w:asciiTheme="majorHAnsi" w:hAnsiTheme="majorHAnsi"/>
          <w:bCs/>
          <w:sz w:val="20"/>
          <w:szCs w:val="20"/>
          <w:lang w:val="es-ES"/>
        </w:rPr>
        <w:footnoteReference w:id="8"/>
      </w:r>
      <w:r w:rsidR="006433D6" w:rsidRPr="00BF4E8C">
        <w:rPr>
          <w:rFonts w:asciiTheme="majorHAnsi" w:hAnsiTheme="majorHAnsi"/>
          <w:bCs/>
          <w:sz w:val="20"/>
          <w:szCs w:val="20"/>
          <w:lang w:val="es-ES"/>
        </w:rPr>
        <w:t>. Explica que el 5 de mayo del 2000 se ordenó la apertura de prue</w:t>
      </w:r>
      <w:r w:rsidR="000D4E3A" w:rsidRPr="00BF4E8C">
        <w:rPr>
          <w:rFonts w:asciiTheme="majorHAnsi" w:hAnsiTheme="majorHAnsi"/>
          <w:bCs/>
          <w:sz w:val="20"/>
          <w:szCs w:val="20"/>
          <w:lang w:val="es-ES"/>
        </w:rPr>
        <w:t xml:space="preserve">bas con respecto a esta demanda, </w:t>
      </w:r>
      <w:r w:rsidR="006433D6" w:rsidRPr="00BF4E8C">
        <w:rPr>
          <w:rFonts w:asciiTheme="majorHAnsi" w:hAnsiTheme="majorHAnsi"/>
          <w:bCs/>
          <w:sz w:val="20"/>
          <w:szCs w:val="20"/>
          <w:lang w:val="es-ES"/>
        </w:rPr>
        <w:t>así como su acumulación con otra que había sido presentad</w:t>
      </w:r>
      <w:r w:rsidR="005B75B0" w:rsidRPr="00BF4E8C">
        <w:rPr>
          <w:rFonts w:asciiTheme="majorHAnsi" w:hAnsiTheme="majorHAnsi"/>
          <w:bCs/>
          <w:sz w:val="20"/>
          <w:szCs w:val="20"/>
          <w:lang w:val="es-ES"/>
        </w:rPr>
        <w:t>a por distintos demandantes</w:t>
      </w:r>
      <w:r w:rsidR="006433D6" w:rsidRPr="00BF4E8C">
        <w:rPr>
          <w:rFonts w:asciiTheme="majorHAnsi" w:hAnsiTheme="majorHAnsi"/>
          <w:bCs/>
          <w:sz w:val="20"/>
          <w:szCs w:val="20"/>
          <w:lang w:val="es-ES"/>
        </w:rPr>
        <w:t xml:space="preserve"> en relación con los mismos hechos. Señala que el proceso acumulado fue remitido a la Sala de Descongestión quien el 16 de diciembre de 2004 emitió sentencia declarando solidaria y administrativamente a la Nación, Ministerio de Defensa, Ejército Nacional, Policía Nacional y al Municipio de Apartadó </w:t>
      </w:r>
      <w:r w:rsidR="005B75B0" w:rsidRPr="00BF4E8C">
        <w:rPr>
          <w:rFonts w:asciiTheme="majorHAnsi" w:hAnsiTheme="majorHAnsi"/>
          <w:bCs/>
          <w:sz w:val="20"/>
          <w:szCs w:val="20"/>
          <w:lang w:val="es-ES"/>
        </w:rPr>
        <w:t xml:space="preserve">responsables </w:t>
      </w:r>
      <w:r w:rsidR="006433D6" w:rsidRPr="00BF4E8C">
        <w:rPr>
          <w:rFonts w:asciiTheme="majorHAnsi" w:hAnsiTheme="majorHAnsi"/>
          <w:bCs/>
          <w:sz w:val="20"/>
          <w:szCs w:val="20"/>
          <w:lang w:val="es-ES"/>
        </w:rPr>
        <w:t xml:space="preserve">por los daños y perjuicios sufridos por las personas demandantes a raíz de los hechos del 23 de enero de 1994 y ordenó el pago de indemnizaciones por una serie de perjuicios a determinados grupos familiares. Esta decisión fue apelada por ambas partes resultando en que los recursos fueran admitidos por el Consejo de Estado quien ordenó tramitarlos en debida forma. </w:t>
      </w:r>
      <w:r w:rsidR="000D4E3A" w:rsidRPr="00BF4E8C">
        <w:rPr>
          <w:rFonts w:asciiTheme="majorHAnsi" w:hAnsiTheme="majorHAnsi"/>
          <w:bCs/>
          <w:sz w:val="20"/>
          <w:szCs w:val="20"/>
          <w:lang w:val="es-ES"/>
        </w:rPr>
        <w:t xml:space="preserve">Relata que en el desarrollo de este proceso ante el Consejo de Estado se llegó a un acuerdo conciliatorio entre las partes en el que se acordó la forma en que las entidades estatales demandadas pagarían las indemnizaciones concedidas en la demanda. </w:t>
      </w:r>
      <w:r w:rsidR="00845123" w:rsidRPr="00BF4E8C">
        <w:rPr>
          <w:rFonts w:asciiTheme="majorHAnsi" w:hAnsiTheme="majorHAnsi"/>
          <w:bCs/>
          <w:sz w:val="20"/>
          <w:szCs w:val="20"/>
          <w:lang w:val="es-ES"/>
        </w:rPr>
        <w:t>Denuncia que, sin embargo, el acuerdo conciliatorio no acobijó, por razones puramente de forma, a 62 personas que tenían derecho a ser indemnizadas</w:t>
      </w:r>
      <w:r w:rsidR="00845123" w:rsidRPr="00BF4E8C">
        <w:rPr>
          <w:rStyle w:val="FootnoteReference"/>
          <w:rFonts w:asciiTheme="majorHAnsi" w:hAnsiTheme="majorHAnsi"/>
          <w:bCs/>
          <w:sz w:val="20"/>
          <w:szCs w:val="20"/>
          <w:lang w:val="es-ES"/>
        </w:rPr>
        <w:footnoteReference w:id="9"/>
      </w:r>
      <w:r w:rsidR="00845123" w:rsidRPr="00BF4E8C">
        <w:rPr>
          <w:rFonts w:asciiTheme="majorHAnsi" w:hAnsiTheme="majorHAnsi"/>
          <w:bCs/>
          <w:sz w:val="20"/>
          <w:szCs w:val="20"/>
          <w:lang w:val="es-ES"/>
        </w:rPr>
        <w:t xml:space="preserve">. </w:t>
      </w:r>
    </w:p>
    <w:p w14:paraId="16F153D4" w14:textId="46908243" w:rsidR="00845123" w:rsidRPr="00BF4E8C" w:rsidRDefault="00845123" w:rsidP="008A0E20">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Manifiesta que la petición no pretende cuestionar lo decidido en el acuerdo conciliatorio ni l</w:t>
      </w:r>
      <w:r w:rsidR="008B1BC2" w:rsidRPr="00BF4E8C">
        <w:rPr>
          <w:rFonts w:asciiTheme="majorHAnsi" w:hAnsiTheme="majorHAnsi"/>
          <w:bCs/>
          <w:sz w:val="20"/>
          <w:szCs w:val="20"/>
          <w:lang w:val="es-ES"/>
        </w:rPr>
        <w:t>o decidido con respecto a</w:t>
      </w:r>
      <w:r w:rsidRPr="00BF4E8C">
        <w:rPr>
          <w:rFonts w:asciiTheme="majorHAnsi" w:hAnsiTheme="majorHAnsi"/>
          <w:bCs/>
          <w:sz w:val="20"/>
          <w:szCs w:val="20"/>
          <w:lang w:val="es-ES"/>
        </w:rPr>
        <w:t xml:space="preserve"> la</w:t>
      </w:r>
      <w:r w:rsidR="008A0E20" w:rsidRPr="00BF4E8C">
        <w:rPr>
          <w:rFonts w:asciiTheme="majorHAnsi" w:hAnsiTheme="majorHAnsi"/>
          <w:bCs/>
          <w:sz w:val="20"/>
          <w:szCs w:val="20"/>
          <w:lang w:val="es-ES"/>
        </w:rPr>
        <w:t>s 62 personas</w:t>
      </w:r>
      <w:r w:rsidR="008B1BC2" w:rsidRPr="00BF4E8C">
        <w:rPr>
          <w:rFonts w:asciiTheme="majorHAnsi" w:hAnsiTheme="majorHAnsi"/>
          <w:bCs/>
          <w:sz w:val="20"/>
          <w:szCs w:val="20"/>
          <w:lang w:val="es-ES"/>
        </w:rPr>
        <w:t xml:space="preserve"> excluidas</w:t>
      </w:r>
      <w:r w:rsidR="008A0E20" w:rsidRPr="00BF4E8C">
        <w:rPr>
          <w:rFonts w:asciiTheme="majorHAnsi" w:hAnsiTheme="majorHAnsi"/>
          <w:bCs/>
          <w:sz w:val="20"/>
          <w:szCs w:val="20"/>
          <w:lang w:val="es-ES"/>
        </w:rPr>
        <w:t xml:space="preserve"> sino buscar</w:t>
      </w:r>
      <w:r w:rsidR="00BC2342" w:rsidRPr="00BF4E8C">
        <w:rPr>
          <w:rFonts w:asciiTheme="majorHAnsi" w:hAnsiTheme="majorHAnsi"/>
          <w:bCs/>
          <w:sz w:val="20"/>
          <w:szCs w:val="20"/>
          <w:lang w:val="es-ES"/>
        </w:rPr>
        <w:t xml:space="preserve"> una</w:t>
      </w:r>
      <w:r w:rsidR="008A0E20" w:rsidRPr="00BF4E8C">
        <w:rPr>
          <w:rFonts w:asciiTheme="majorHAnsi" w:hAnsiTheme="majorHAnsi"/>
          <w:bCs/>
          <w:sz w:val="20"/>
          <w:szCs w:val="20"/>
          <w:lang w:val="es-ES"/>
        </w:rPr>
        <w:t xml:space="preserve"> reparación integral para todas las presuntas víctimas</w:t>
      </w:r>
      <w:r w:rsidR="00BC2342" w:rsidRPr="00BF4E8C">
        <w:rPr>
          <w:rFonts w:asciiTheme="majorHAnsi" w:hAnsiTheme="majorHAnsi"/>
          <w:bCs/>
          <w:sz w:val="20"/>
          <w:szCs w:val="20"/>
          <w:lang w:val="es-ES"/>
        </w:rPr>
        <w:t xml:space="preserve"> la que incluye un componente de verdad</w:t>
      </w:r>
      <w:r w:rsidR="008A0E20" w:rsidRPr="00BF4E8C">
        <w:rPr>
          <w:rFonts w:asciiTheme="majorHAnsi" w:hAnsiTheme="majorHAnsi"/>
          <w:bCs/>
          <w:sz w:val="20"/>
          <w:szCs w:val="20"/>
          <w:lang w:val="es-ES"/>
        </w:rPr>
        <w:t xml:space="preserve">. Destaca </w:t>
      </w:r>
      <w:r w:rsidR="005B75B0" w:rsidRPr="00BF4E8C">
        <w:rPr>
          <w:rFonts w:asciiTheme="majorHAnsi" w:hAnsiTheme="majorHAnsi"/>
          <w:bCs/>
          <w:sz w:val="20"/>
          <w:szCs w:val="20"/>
          <w:lang w:val="es-ES"/>
        </w:rPr>
        <w:t>que,</w:t>
      </w:r>
      <w:r w:rsidR="008A0E20" w:rsidRPr="00BF4E8C">
        <w:rPr>
          <w:rFonts w:asciiTheme="majorHAnsi" w:hAnsiTheme="majorHAnsi"/>
          <w:bCs/>
          <w:sz w:val="20"/>
          <w:szCs w:val="20"/>
          <w:lang w:val="es-ES"/>
        </w:rPr>
        <w:t xml:space="preserve"> aunque la jurisdicción contencioso administrativa reconoció la responsabilidad administrativa del Estado no ordenó a este hacer un reconocimiento de</w:t>
      </w:r>
      <w:r w:rsidR="00BC2342" w:rsidRPr="00BF4E8C">
        <w:rPr>
          <w:rFonts w:asciiTheme="majorHAnsi" w:hAnsiTheme="majorHAnsi"/>
          <w:bCs/>
          <w:sz w:val="20"/>
          <w:szCs w:val="20"/>
          <w:lang w:val="es-ES"/>
        </w:rPr>
        <w:t xml:space="preserve"> su</w:t>
      </w:r>
      <w:r w:rsidR="008A0E20" w:rsidRPr="00BF4E8C">
        <w:rPr>
          <w:rFonts w:asciiTheme="majorHAnsi" w:hAnsiTheme="majorHAnsi"/>
          <w:bCs/>
          <w:sz w:val="20"/>
          <w:szCs w:val="20"/>
          <w:lang w:val="es-ES"/>
        </w:rPr>
        <w:t xml:space="preserve"> responsabilidad ni compulsó copias a la Fiscalía General de la Nación para que investigara las conductas evidenciadas. </w:t>
      </w:r>
      <w:r w:rsidR="008B1BC2" w:rsidRPr="00BF4E8C">
        <w:rPr>
          <w:rFonts w:asciiTheme="majorHAnsi" w:hAnsiTheme="majorHAnsi"/>
          <w:bCs/>
          <w:sz w:val="20"/>
          <w:szCs w:val="20"/>
          <w:lang w:val="es-ES"/>
        </w:rPr>
        <w:t xml:space="preserve">Considera que la acción de reparación directa no era un recurso idóneo para proporcionar reparación integral a las presuntas víctimas por lo que su agotamiento no les era exigible, así como que la falta de sanción para las personas responsables de la masacre por acción y por omisión justifica la aplicación de las excepciones al agotamiento de los recursos internos previstas en el artículo 46.2 de la Convención Americana. </w:t>
      </w:r>
    </w:p>
    <w:p w14:paraId="3A7909A8" w14:textId="6B06BFAB" w:rsidR="00BC2342" w:rsidRPr="00BF4E8C" w:rsidRDefault="00BC2342" w:rsidP="008A0E20">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 xml:space="preserve">El Estado, por su parte, considera que la petición debe ser inadmitida por configurarse la fórmula de la cuarta instancia, </w:t>
      </w:r>
      <w:r w:rsidR="003C18C4" w:rsidRPr="00BF4E8C">
        <w:rPr>
          <w:rFonts w:asciiTheme="majorHAnsi" w:hAnsiTheme="majorHAnsi"/>
          <w:bCs/>
          <w:sz w:val="20"/>
          <w:szCs w:val="20"/>
          <w:lang w:val="es-ES"/>
        </w:rPr>
        <w:t xml:space="preserve">por falta de agotamiento de los recursos internos y por ser extemporánea. </w:t>
      </w:r>
      <w:r w:rsidR="00FB15B4" w:rsidRPr="00BF4E8C">
        <w:rPr>
          <w:rFonts w:asciiTheme="majorHAnsi" w:hAnsiTheme="majorHAnsi"/>
          <w:bCs/>
          <w:sz w:val="20"/>
          <w:szCs w:val="20"/>
          <w:lang w:val="es-ES"/>
        </w:rPr>
        <w:t>Además,</w:t>
      </w:r>
      <w:r w:rsidR="000A44BB" w:rsidRPr="00BF4E8C">
        <w:rPr>
          <w:rFonts w:asciiTheme="majorHAnsi" w:hAnsiTheme="majorHAnsi"/>
          <w:bCs/>
          <w:sz w:val="20"/>
          <w:szCs w:val="20"/>
          <w:lang w:val="es-ES"/>
        </w:rPr>
        <w:t xml:space="preserve"> señala que la Comisión carece de competencia </w:t>
      </w:r>
      <w:r w:rsidR="000A44BB" w:rsidRPr="00BF4E8C">
        <w:rPr>
          <w:rFonts w:asciiTheme="majorHAnsi" w:hAnsiTheme="majorHAnsi"/>
          <w:bCs/>
          <w:i/>
          <w:sz w:val="20"/>
          <w:szCs w:val="20"/>
          <w:lang w:val="es-ES"/>
        </w:rPr>
        <w:t>ratione materiae</w:t>
      </w:r>
      <w:r w:rsidR="000A44BB" w:rsidRPr="00BF4E8C">
        <w:rPr>
          <w:rFonts w:asciiTheme="majorHAnsi" w:hAnsiTheme="majorHAnsi"/>
          <w:bCs/>
          <w:sz w:val="20"/>
          <w:szCs w:val="20"/>
          <w:lang w:val="es-ES"/>
        </w:rPr>
        <w:t xml:space="preserve"> para conocer alegatos de presuntas </w:t>
      </w:r>
      <w:r w:rsidR="000A44BB" w:rsidRPr="00BF4E8C">
        <w:rPr>
          <w:rFonts w:asciiTheme="majorHAnsi" w:hAnsiTheme="majorHAnsi"/>
          <w:bCs/>
          <w:sz w:val="20"/>
          <w:szCs w:val="20"/>
          <w:lang w:val="es-ES"/>
        </w:rPr>
        <w:lastRenderedPageBreak/>
        <w:t xml:space="preserve">violaciones a la Declaración Americana por parte de Colombia, puesto que Colombia ha ratificado la Convención Americana y los hechos alegados son posteriores a dicha ratificación, </w:t>
      </w:r>
    </w:p>
    <w:p w14:paraId="3A9BD585" w14:textId="0D7B73B5" w:rsidR="003E1C67" w:rsidRPr="00BF4E8C" w:rsidRDefault="00AB5D7B" w:rsidP="003E1C67">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 xml:space="preserve">En cuanto al procesamiento penal de las personas presuntamente responsables por lo ocurrido en la Chinita, </w:t>
      </w:r>
      <w:r w:rsidR="00B64DE4">
        <w:rPr>
          <w:rFonts w:asciiTheme="majorHAnsi" w:hAnsiTheme="majorHAnsi"/>
          <w:bCs/>
          <w:sz w:val="20"/>
          <w:szCs w:val="20"/>
          <w:lang w:val="es-ES"/>
        </w:rPr>
        <w:t xml:space="preserve">el Estado </w:t>
      </w:r>
      <w:r w:rsidRPr="00BF4E8C">
        <w:rPr>
          <w:rFonts w:asciiTheme="majorHAnsi" w:hAnsiTheme="majorHAnsi"/>
          <w:bCs/>
          <w:sz w:val="20"/>
          <w:szCs w:val="20"/>
          <w:lang w:val="es-ES"/>
        </w:rPr>
        <w:t xml:space="preserve">destaca que la Fiscalía inició oficio y de manera inmediata todas las diligencias necesarias para su esclarecimiento de los hechos, agotando todos los medios de prueba posible. Explica que las actuaciones desarrolladas por el ente investigador fueron posteriormente declaradas nulas en una sentencia de casación de la Corte Suprema de Justicia, luego de lo que se ha dificultado el avance de las investigaciones por la imposibilidad material de retomar la práctica de pruebas habiendo transcurrido más de 11 años desde la ocurrencia de los hechos. Señala que tras la decisión de la Corte Suprema de Justicia el 31 de enero de 2006 la Fiscalía 20 Especializada de Medellín precluyó la investigación a favor de la mayoría de las personas vinculadas en ella tras concluir que estas personas no habían cometido el homicidio múltiple agravado ocurrido en la Chinita. Añade que el 7 de noviembre de 2006 la Fiscalía emitió decisiones adicionales de preclusión a favor de otras de las personas vinculadas. </w:t>
      </w:r>
      <w:r w:rsidR="003E1C67" w:rsidRPr="00BF4E8C">
        <w:rPr>
          <w:rFonts w:asciiTheme="majorHAnsi" w:hAnsiTheme="majorHAnsi"/>
          <w:bCs/>
          <w:sz w:val="20"/>
          <w:szCs w:val="20"/>
          <w:lang w:val="es-ES"/>
        </w:rPr>
        <w:t>Indica que para fundamentar sus decisiones la Fiscalía a cargo explicó que “</w:t>
      </w:r>
      <w:r w:rsidR="003E1C67" w:rsidRPr="00BF4E8C">
        <w:rPr>
          <w:rFonts w:asciiTheme="majorHAnsi" w:hAnsiTheme="majorHAnsi"/>
          <w:sz w:val="20"/>
          <w:szCs w:val="20"/>
          <w:lang w:val="es-PA"/>
        </w:rPr>
        <w:t xml:space="preserve">la dirigencia política de Esperanza, Paz y Libertad aprovechó la ocurrencia de la masacre perpetrada por el V </w:t>
      </w:r>
      <w:r w:rsidR="00B64DE4">
        <w:rPr>
          <w:rFonts w:asciiTheme="majorHAnsi" w:hAnsiTheme="majorHAnsi"/>
          <w:sz w:val="20"/>
          <w:szCs w:val="20"/>
          <w:lang w:val="es-PA"/>
        </w:rPr>
        <w:t>F</w:t>
      </w:r>
      <w:r w:rsidR="003E1C67" w:rsidRPr="00BF4E8C">
        <w:rPr>
          <w:rFonts w:asciiTheme="majorHAnsi" w:hAnsiTheme="majorHAnsi"/>
          <w:sz w:val="20"/>
          <w:szCs w:val="20"/>
          <w:lang w:val="es-PA"/>
        </w:rPr>
        <w:t>rente de las F</w:t>
      </w:r>
      <w:r w:rsidR="00B64DE4">
        <w:rPr>
          <w:rFonts w:asciiTheme="majorHAnsi" w:hAnsiTheme="majorHAnsi"/>
          <w:sz w:val="20"/>
          <w:szCs w:val="20"/>
          <w:lang w:val="es-PA"/>
        </w:rPr>
        <w:t>ARC</w:t>
      </w:r>
      <w:r w:rsidR="003E1C67" w:rsidRPr="00BF4E8C">
        <w:rPr>
          <w:rFonts w:asciiTheme="majorHAnsi" w:hAnsiTheme="majorHAnsi"/>
          <w:sz w:val="20"/>
          <w:szCs w:val="20"/>
          <w:lang w:val="es-PA"/>
        </w:rPr>
        <w:t xml:space="preserve"> y sus milicias, donde murieron 35 simpatizantes de aquellos, para </w:t>
      </w:r>
      <w:r w:rsidR="00B64DE4" w:rsidRPr="00BF4E8C">
        <w:rPr>
          <w:rFonts w:asciiTheme="majorHAnsi" w:hAnsiTheme="majorHAnsi"/>
          <w:sz w:val="20"/>
          <w:szCs w:val="20"/>
          <w:lang w:val="es-PA"/>
        </w:rPr>
        <w:t>‘</w:t>
      </w:r>
      <w:r w:rsidR="003E1C67" w:rsidRPr="00BF4E8C">
        <w:rPr>
          <w:rFonts w:asciiTheme="majorHAnsi" w:hAnsiTheme="majorHAnsi"/>
          <w:sz w:val="20"/>
          <w:szCs w:val="20"/>
          <w:lang w:val="es-PA"/>
        </w:rPr>
        <w:t>judicializar</w:t>
      </w:r>
      <w:r w:rsidR="00B64DE4" w:rsidRPr="00BF4E8C">
        <w:rPr>
          <w:rFonts w:asciiTheme="majorHAnsi" w:hAnsiTheme="majorHAnsi"/>
          <w:b/>
          <w:bCs/>
          <w:sz w:val="20"/>
          <w:szCs w:val="20"/>
          <w:lang w:val="es-ES"/>
        </w:rPr>
        <w:t>’</w:t>
      </w:r>
      <w:r w:rsidR="003E1C67" w:rsidRPr="00BF4E8C">
        <w:rPr>
          <w:rFonts w:asciiTheme="majorHAnsi" w:hAnsiTheme="majorHAnsi"/>
          <w:sz w:val="20"/>
          <w:szCs w:val="20"/>
          <w:lang w:val="es-PA"/>
        </w:rPr>
        <w:t xml:space="preserve"> personas inocentes, por el solo prurito de ser presuntamente simpatizantes y seguidores de la Unión Patriótica y el Partido Comunista, a través de los métodos maquiavélicos antes indicados, para lo cual contaron con el ‘apoyo incondicional</w:t>
      </w:r>
      <w:r w:rsidR="003E1C67" w:rsidRPr="00BF4E8C">
        <w:rPr>
          <w:rFonts w:asciiTheme="majorHAnsi" w:hAnsiTheme="majorHAnsi"/>
          <w:b/>
          <w:bCs/>
          <w:sz w:val="20"/>
          <w:szCs w:val="20"/>
          <w:lang w:val="es-ES"/>
        </w:rPr>
        <w:t>’</w:t>
      </w:r>
      <w:r w:rsidR="003E1C67" w:rsidRPr="00BF4E8C">
        <w:rPr>
          <w:rFonts w:asciiTheme="majorHAnsi" w:hAnsiTheme="majorHAnsi"/>
          <w:sz w:val="20"/>
          <w:szCs w:val="20"/>
          <w:lang w:val="es-PA"/>
        </w:rPr>
        <w:t xml:space="preserve"> de los militares de la zona, quienes de paso mostraban ‘positivos’ en la erradicación de reconocidos ‘comunistas’ de su zona de operaciones”.</w:t>
      </w:r>
    </w:p>
    <w:p w14:paraId="25F11EFD" w14:textId="3DD9EAA2" w:rsidR="003E1C67" w:rsidRPr="00BF4E8C" w:rsidRDefault="00AB5D7B" w:rsidP="003E1C67">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E</w:t>
      </w:r>
      <w:r w:rsidR="00B64DE4">
        <w:rPr>
          <w:rFonts w:asciiTheme="majorHAnsi" w:hAnsiTheme="majorHAnsi"/>
          <w:bCs/>
          <w:sz w:val="20"/>
          <w:szCs w:val="20"/>
          <w:lang w:val="es-ES"/>
        </w:rPr>
        <w:t>l Estado e</w:t>
      </w:r>
      <w:r w:rsidRPr="00BF4E8C">
        <w:rPr>
          <w:rFonts w:asciiTheme="majorHAnsi" w:hAnsiTheme="majorHAnsi"/>
          <w:bCs/>
          <w:sz w:val="20"/>
          <w:szCs w:val="20"/>
          <w:lang w:val="es-ES"/>
        </w:rPr>
        <w:t>xpresa que, si bien el procedimiento penal terminó con una decisión de preclusión, esta estuvo debidamente motivada y no pretendió la impunidad de los responsables si no que fue el producto de la complejidad para individualizarlos. Manifiesta que los procesos ante le jurisdicción penal respetaron todas las garantías convencionales y que la decisión definitiva de esta jurisdicción no puede ser controvertida ante el Sistema Int</w:t>
      </w:r>
      <w:r w:rsidR="003E1C67" w:rsidRPr="00BF4E8C">
        <w:rPr>
          <w:rFonts w:asciiTheme="majorHAnsi" w:hAnsiTheme="majorHAnsi"/>
          <w:bCs/>
          <w:sz w:val="20"/>
          <w:szCs w:val="20"/>
          <w:lang w:val="es-ES"/>
        </w:rPr>
        <w:t xml:space="preserve">eramericano. </w:t>
      </w:r>
    </w:p>
    <w:p w14:paraId="40CA8A72" w14:textId="5BBF9878" w:rsidR="000A44BB" w:rsidRPr="00BF4E8C" w:rsidRDefault="00F26651" w:rsidP="00AB5D7B">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En cuanto al proceso contencioso administrativo, s</w:t>
      </w:r>
      <w:r w:rsidR="009A6A7A" w:rsidRPr="00BF4E8C">
        <w:rPr>
          <w:rFonts w:asciiTheme="majorHAnsi" w:hAnsiTheme="majorHAnsi"/>
          <w:bCs/>
          <w:sz w:val="20"/>
          <w:szCs w:val="20"/>
          <w:lang w:val="es-ES"/>
        </w:rPr>
        <w:t xml:space="preserve">eñala </w:t>
      </w:r>
      <w:r w:rsidR="00B64DE4">
        <w:rPr>
          <w:rFonts w:asciiTheme="majorHAnsi" w:hAnsiTheme="majorHAnsi"/>
          <w:bCs/>
          <w:sz w:val="20"/>
          <w:szCs w:val="20"/>
          <w:lang w:val="es-ES"/>
        </w:rPr>
        <w:t xml:space="preserve">el Estado </w:t>
      </w:r>
      <w:r w:rsidR="00FB15B4" w:rsidRPr="00BF4E8C">
        <w:rPr>
          <w:rFonts w:asciiTheme="majorHAnsi" w:hAnsiTheme="majorHAnsi"/>
          <w:bCs/>
          <w:sz w:val="20"/>
          <w:szCs w:val="20"/>
          <w:lang w:val="es-ES"/>
        </w:rPr>
        <w:t>que,</w:t>
      </w:r>
      <w:r w:rsidR="009A6A7A" w:rsidRPr="00BF4E8C">
        <w:rPr>
          <w:rFonts w:asciiTheme="majorHAnsi" w:hAnsiTheme="majorHAnsi"/>
          <w:bCs/>
          <w:sz w:val="20"/>
          <w:szCs w:val="20"/>
          <w:lang w:val="es-ES"/>
        </w:rPr>
        <w:t xml:space="preserve"> del total de las presuntas víctimas listadas en la petición, s</w:t>
      </w:r>
      <w:r w:rsidR="00B64DE4">
        <w:rPr>
          <w:rFonts w:asciiTheme="majorHAnsi" w:hAnsiTheme="majorHAnsi"/>
          <w:bCs/>
          <w:sz w:val="20"/>
          <w:szCs w:val="20"/>
          <w:lang w:val="es-ES"/>
        </w:rPr>
        <w:t>ó</w:t>
      </w:r>
      <w:r w:rsidR="009A6A7A" w:rsidRPr="00BF4E8C">
        <w:rPr>
          <w:rFonts w:asciiTheme="majorHAnsi" w:hAnsiTheme="majorHAnsi"/>
          <w:bCs/>
          <w:sz w:val="20"/>
          <w:szCs w:val="20"/>
          <w:lang w:val="es-ES"/>
        </w:rPr>
        <w:t>lo 63 acudieron a</w:t>
      </w:r>
      <w:r w:rsidR="000E3E63" w:rsidRPr="00BF4E8C">
        <w:rPr>
          <w:rFonts w:asciiTheme="majorHAnsi" w:hAnsiTheme="majorHAnsi"/>
          <w:bCs/>
          <w:sz w:val="20"/>
          <w:szCs w:val="20"/>
          <w:lang w:val="es-ES"/>
        </w:rPr>
        <w:t xml:space="preserve"> dicho</w:t>
      </w:r>
      <w:r w:rsidR="009A6A7A" w:rsidRPr="00BF4E8C">
        <w:rPr>
          <w:rFonts w:asciiTheme="majorHAnsi" w:hAnsiTheme="majorHAnsi"/>
          <w:bCs/>
          <w:sz w:val="20"/>
          <w:szCs w:val="20"/>
          <w:lang w:val="es-ES"/>
        </w:rPr>
        <w:t xml:space="preserve"> proceso. Explica que </w:t>
      </w:r>
      <w:r w:rsidR="00B64DE4" w:rsidRPr="00BF4E8C">
        <w:rPr>
          <w:rFonts w:asciiTheme="majorHAnsi" w:hAnsiTheme="majorHAnsi"/>
          <w:bCs/>
          <w:sz w:val="20"/>
          <w:szCs w:val="20"/>
          <w:lang w:val="es-ES"/>
        </w:rPr>
        <w:t>16</w:t>
      </w:r>
      <w:r w:rsidR="00B64DE4">
        <w:rPr>
          <w:rFonts w:asciiTheme="majorHAnsi" w:hAnsiTheme="majorHAnsi"/>
          <w:bCs/>
          <w:sz w:val="20"/>
          <w:szCs w:val="20"/>
          <w:lang w:val="es-ES"/>
        </w:rPr>
        <w:t xml:space="preserve"> </w:t>
      </w:r>
      <w:r w:rsidR="009A6A7A" w:rsidRPr="00BF4E8C">
        <w:rPr>
          <w:rFonts w:asciiTheme="majorHAnsi" w:hAnsiTheme="majorHAnsi"/>
          <w:bCs/>
          <w:sz w:val="20"/>
          <w:szCs w:val="20"/>
          <w:lang w:val="es-ES"/>
        </w:rPr>
        <w:t xml:space="preserve">de estas 63 </w:t>
      </w:r>
      <w:r w:rsidR="00CE3B9B">
        <w:rPr>
          <w:rFonts w:asciiTheme="majorHAnsi" w:hAnsiTheme="majorHAnsi"/>
          <w:bCs/>
          <w:sz w:val="20"/>
          <w:szCs w:val="20"/>
          <w:lang w:val="es-ES"/>
        </w:rPr>
        <w:t>personas</w:t>
      </w:r>
      <w:r w:rsidR="00CE3B9B" w:rsidRPr="00BF4E8C">
        <w:rPr>
          <w:rFonts w:asciiTheme="majorHAnsi" w:hAnsiTheme="majorHAnsi"/>
          <w:bCs/>
          <w:sz w:val="20"/>
          <w:szCs w:val="20"/>
          <w:lang w:val="es-ES"/>
        </w:rPr>
        <w:t xml:space="preserve"> fueron</w:t>
      </w:r>
      <w:r w:rsidR="009A6A7A" w:rsidRPr="00BF4E8C">
        <w:rPr>
          <w:rFonts w:asciiTheme="majorHAnsi" w:hAnsiTheme="majorHAnsi"/>
          <w:bCs/>
          <w:sz w:val="20"/>
          <w:szCs w:val="20"/>
          <w:lang w:val="es-ES"/>
        </w:rPr>
        <w:t xml:space="preserve"> reconocidas como víctimas dire</w:t>
      </w:r>
      <w:r w:rsidR="00FB15B4" w:rsidRPr="00BF4E8C">
        <w:rPr>
          <w:rFonts w:asciiTheme="majorHAnsi" w:hAnsiTheme="majorHAnsi"/>
          <w:bCs/>
          <w:sz w:val="20"/>
          <w:szCs w:val="20"/>
          <w:lang w:val="es-ES"/>
        </w:rPr>
        <w:t>ctas en el marco del proceso</w:t>
      </w:r>
      <w:r w:rsidR="00CE3B9B">
        <w:rPr>
          <w:rFonts w:asciiTheme="majorHAnsi" w:hAnsiTheme="majorHAnsi"/>
          <w:bCs/>
          <w:sz w:val="20"/>
          <w:szCs w:val="20"/>
          <w:lang w:val="es-ES"/>
        </w:rPr>
        <w:t>,</w:t>
      </w:r>
      <w:r w:rsidR="00FB15B4" w:rsidRPr="00BF4E8C">
        <w:rPr>
          <w:rFonts w:asciiTheme="majorHAnsi" w:hAnsiTheme="majorHAnsi"/>
          <w:bCs/>
          <w:sz w:val="20"/>
          <w:szCs w:val="20"/>
          <w:lang w:val="es-ES"/>
        </w:rPr>
        <w:t xml:space="preserve"> y una</w:t>
      </w:r>
      <w:r w:rsidR="009A6A7A" w:rsidRPr="00BF4E8C">
        <w:rPr>
          <w:rFonts w:asciiTheme="majorHAnsi" w:hAnsiTheme="majorHAnsi"/>
          <w:bCs/>
          <w:sz w:val="20"/>
          <w:szCs w:val="20"/>
          <w:lang w:val="es-ES"/>
        </w:rPr>
        <w:t xml:space="preserve"> como víctima indirecta. Indica que las restante</w:t>
      </w:r>
      <w:r w:rsidR="0085314A" w:rsidRPr="00BF4E8C">
        <w:rPr>
          <w:rFonts w:asciiTheme="majorHAnsi" w:hAnsiTheme="majorHAnsi"/>
          <w:bCs/>
          <w:sz w:val="20"/>
          <w:szCs w:val="20"/>
          <w:lang w:val="es-ES"/>
        </w:rPr>
        <w:t>s</w:t>
      </w:r>
      <w:r w:rsidR="009A6A7A" w:rsidRPr="00BF4E8C">
        <w:rPr>
          <w:rFonts w:asciiTheme="majorHAnsi" w:hAnsiTheme="majorHAnsi"/>
          <w:bCs/>
          <w:sz w:val="20"/>
          <w:szCs w:val="20"/>
          <w:lang w:val="es-ES"/>
        </w:rPr>
        <w:t xml:space="preserve"> 45 fueron excluidas de las decisiones </w:t>
      </w:r>
      <w:r w:rsidR="0085314A" w:rsidRPr="00BF4E8C">
        <w:rPr>
          <w:rFonts w:asciiTheme="majorHAnsi" w:hAnsiTheme="majorHAnsi"/>
          <w:bCs/>
          <w:sz w:val="20"/>
          <w:szCs w:val="20"/>
          <w:lang w:val="es-ES"/>
        </w:rPr>
        <w:t xml:space="preserve">indemnización </w:t>
      </w:r>
      <w:r w:rsidR="009A6A7A" w:rsidRPr="00BF4E8C">
        <w:rPr>
          <w:rFonts w:asciiTheme="majorHAnsi" w:hAnsiTheme="majorHAnsi"/>
          <w:bCs/>
          <w:sz w:val="20"/>
          <w:szCs w:val="20"/>
          <w:lang w:val="es-ES"/>
        </w:rPr>
        <w:t>porque no pudieron probar dentro del proceso su filiación o su convivencia con las víctimas directas. Destaca que las presuntas víctimas que no fueron incluidas en la decisión del juez de primera instancia tuvieron una nueva oportunidad de ser incluidas en el acuerdo de conciliación judicial pues en dicho acuerdo se estableció que también serían beneficiarias de las indemnizaciones las personas adicionales con respecto a las cuales fuera posible constatar en el expediente la existencia de los registros civiles que probaran su filiación con las víctimas directas de los hechos. Añade que posteriormente la Sección Tercera de la Sala de lo Contencioso Administrativo del Consejo de Estado realizó una nueva revisión d</w:t>
      </w:r>
      <w:r w:rsidR="00AB5D7B" w:rsidRPr="00BF4E8C">
        <w:rPr>
          <w:rFonts w:asciiTheme="majorHAnsi" w:hAnsiTheme="majorHAnsi"/>
          <w:bCs/>
          <w:sz w:val="20"/>
          <w:szCs w:val="20"/>
          <w:lang w:val="es-ES"/>
        </w:rPr>
        <w:t>e las pruebas aportadas con base</w:t>
      </w:r>
      <w:r w:rsidR="009A6A7A" w:rsidRPr="00BF4E8C">
        <w:rPr>
          <w:rFonts w:asciiTheme="majorHAnsi" w:hAnsiTheme="majorHAnsi"/>
          <w:bCs/>
          <w:sz w:val="20"/>
          <w:szCs w:val="20"/>
          <w:lang w:val="es-ES"/>
        </w:rPr>
        <w:t xml:space="preserve"> a lo cual se incorporaron al acuerdo nuevas víctimas indirectas que no habían sido reconocidas anteriormente. </w:t>
      </w:r>
      <w:r w:rsidR="0085314A" w:rsidRPr="00BF4E8C">
        <w:rPr>
          <w:rFonts w:asciiTheme="majorHAnsi" w:hAnsiTheme="majorHAnsi"/>
          <w:bCs/>
          <w:sz w:val="20"/>
          <w:szCs w:val="20"/>
          <w:lang w:val="es-ES"/>
        </w:rPr>
        <w:t xml:space="preserve">Manifiesta que la pretensión de las presuntas víctimas ya fue definitivamente resuelta en nivel interno, que estas tuvieron accesos a múltiples instancias judiciales en las que se respetó plenamente el debido proceso y que no se perciben violaciones manifiestas a la Convención Americana en el desarrollo del proceso contencioso administrativo. Por estas razones, sostiene que la parte peticionaria pretende improcedentemente que la Comisión haga una nueva valoración de las pruebas para modificar las decisiones que fueron adversas a sus intereses. </w:t>
      </w:r>
    </w:p>
    <w:p w14:paraId="326C4981" w14:textId="0E25AE6C" w:rsidR="00C64FB2" w:rsidRPr="00BF4E8C" w:rsidRDefault="00CE3B9B" w:rsidP="00C64FB2">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El Estado t</w:t>
      </w:r>
      <w:r w:rsidR="00D45BAF" w:rsidRPr="00BF4E8C">
        <w:rPr>
          <w:rFonts w:asciiTheme="majorHAnsi" w:hAnsiTheme="majorHAnsi"/>
          <w:bCs/>
          <w:sz w:val="20"/>
          <w:szCs w:val="20"/>
          <w:lang w:val="es-ES"/>
        </w:rPr>
        <w:t xml:space="preserve">ambién indica que </w:t>
      </w:r>
      <w:r w:rsidRPr="00BF4E8C">
        <w:rPr>
          <w:rFonts w:asciiTheme="majorHAnsi" w:hAnsiTheme="majorHAnsi"/>
          <w:bCs/>
          <w:sz w:val="20"/>
          <w:szCs w:val="20"/>
          <w:lang w:val="es-ES"/>
        </w:rPr>
        <w:t>62</w:t>
      </w:r>
      <w:r>
        <w:rPr>
          <w:rFonts w:asciiTheme="majorHAnsi" w:hAnsiTheme="majorHAnsi"/>
          <w:bCs/>
          <w:sz w:val="20"/>
          <w:szCs w:val="20"/>
          <w:lang w:val="es-ES"/>
        </w:rPr>
        <w:t xml:space="preserve"> </w:t>
      </w:r>
      <w:r w:rsidR="00D45BAF" w:rsidRPr="00BF4E8C">
        <w:rPr>
          <w:rFonts w:asciiTheme="majorHAnsi" w:hAnsiTheme="majorHAnsi"/>
          <w:bCs/>
          <w:sz w:val="20"/>
          <w:szCs w:val="20"/>
          <w:lang w:val="es-ES"/>
        </w:rPr>
        <w:t xml:space="preserve">de las presuntas víctimas listadas en la </w:t>
      </w:r>
      <w:r w:rsidRPr="00BF4E8C">
        <w:rPr>
          <w:rFonts w:asciiTheme="majorHAnsi" w:hAnsiTheme="majorHAnsi"/>
          <w:bCs/>
          <w:sz w:val="20"/>
          <w:szCs w:val="20"/>
          <w:lang w:val="es-ES"/>
        </w:rPr>
        <w:t>petición acudieron</w:t>
      </w:r>
      <w:r w:rsidR="00D45BAF" w:rsidRPr="00BF4E8C">
        <w:rPr>
          <w:rFonts w:asciiTheme="majorHAnsi" w:hAnsiTheme="majorHAnsi"/>
          <w:bCs/>
          <w:sz w:val="20"/>
          <w:szCs w:val="20"/>
          <w:lang w:val="es-ES"/>
        </w:rPr>
        <w:t xml:space="preserve"> al proceso contencioso administrativo y </w:t>
      </w:r>
      <w:r>
        <w:rPr>
          <w:rFonts w:asciiTheme="majorHAnsi" w:hAnsiTheme="majorHAnsi"/>
          <w:bCs/>
          <w:sz w:val="20"/>
          <w:szCs w:val="20"/>
          <w:lang w:val="es-ES"/>
        </w:rPr>
        <w:t xml:space="preserve">que </w:t>
      </w:r>
      <w:r w:rsidR="00D45BAF" w:rsidRPr="00BF4E8C">
        <w:rPr>
          <w:rFonts w:asciiTheme="majorHAnsi" w:hAnsiTheme="majorHAnsi"/>
          <w:bCs/>
          <w:sz w:val="20"/>
          <w:szCs w:val="20"/>
          <w:lang w:val="es-ES"/>
        </w:rPr>
        <w:t>94 no lo hicieron</w:t>
      </w:r>
      <w:r>
        <w:rPr>
          <w:rFonts w:asciiTheme="majorHAnsi" w:hAnsiTheme="majorHAnsi"/>
          <w:bCs/>
          <w:sz w:val="20"/>
          <w:szCs w:val="20"/>
          <w:lang w:val="es-ES"/>
        </w:rPr>
        <w:t>;</w:t>
      </w:r>
      <w:r w:rsidR="00D45BAF" w:rsidRPr="00BF4E8C">
        <w:rPr>
          <w:rFonts w:asciiTheme="majorHAnsi" w:hAnsiTheme="majorHAnsi"/>
          <w:bCs/>
          <w:sz w:val="20"/>
          <w:szCs w:val="20"/>
          <w:lang w:val="es-ES"/>
        </w:rPr>
        <w:t xml:space="preserve"> alega que la petición debe ser inadmitida </w:t>
      </w:r>
      <w:r>
        <w:rPr>
          <w:rFonts w:asciiTheme="majorHAnsi" w:hAnsiTheme="majorHAnsi"/>
          <w:bCs/>
          <w:sz w:val="20"/>
          <w:szCs w:val="20"/>
          <w:lang w:val="es-ES"/>
        </w:rPr>
        <w:t>respecto a estas últimas</w:t>
      </w:r>
      <w:r w:rsidRPr="00BF4E8C">
        <w:rPr>
          <w:rFonts w:asciiTheme="majorHAnsi" w:hAnsiTheme="majorHAnsi"/>
          <w:bCs/>
          <w:sz w:val="20"/>
          <w:szCs w:val="20"/>
          <w:lang w:val="es-ES"/>
        </w:rPr>
        <w:t xml:space="preserve"> </w:t>
      </w:r>
      <w:r w:rsidR="00D45BAF" w:rsidRPr="00BF4E8C">
        <w:rPr>
          <w:rFonts w:asciiTheme="majorHAnsi" w:hAnsiTheme="majorHAnsi"/>
          <w:bCs/>
          <w:sz w:val="20"/>
          <w:szCs w:val="20"/>
          <w:lang w:val="es-ES"/>
        </w:rPr>
        <w:t xml:space="preserve">por falta de agotamiento de los recursos internos. Destaca que la acción contencioso administrativa de reparación directa era el mecanismo idóneo para que las presuntas víctimas obtuvieran reparación integral. Resalta además que el Consejo de Estado, tribunal supremo de la jurisdicción contencioso administrativa ha ampliado sus parámetros en materia de reparación </w:t>
      </w:r>
      <w:r w:rsidR="00C64FB2" w:rsidRPr="00BF4E8C">
        <w:rPr>
          <w:rFonts w:asciiTheme="majorHAnsi" w:hAnsiTheme="majorHAnsi"/>
          <w:bCs/>
          <w:sz w:val="20"/>
          <w:szCs w:val="20"/>
          <w:lang w:val="es-ES"/>
        </w:rPr>
        <w:t xml:space="preserve">para acoger los criterios de reparación integral del Sistema Interamericano; determinando que en adición a la indemnización la jurisdicción contenciosa administrativa puede disponer la adopción de medidas de satisfacción, rehabilitación y garantías de no repetición. Añade que ninguna de las excepciones al requisito de agotamiento de los recursos internos previstas en la Convención Americana resultan aplicable al caso de las presuntas víctimas que no agotaron la acción de reparación directa. </w:t>
      </w:r>
    </w:p>
    <w:p w14:paraId="1301ADDD" w14:textId="240EFED0" w:rsidR="00C64FB2" w:rsidRPr="00BF4E8C" w:rsidRDefault="00C64FB2" w:rsidP="00C64FB2">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lastRenderedPageBreak/>
        <w:t xml:space="preserve">Por otra </w:t>
      </w:r>
      <w:r w:rsidR="00AB5D7B" w:rsidRPr="00BF4E8C">
        <w:rPr>
          <w:rFonts w:asciiTheme="majorHAnsi" w:hAnsiTheme="majorHAnsi"/>
          <w:bCs/>
          <w:sz w:val="20"/>
          <w:szCs w:val="20"/>
          <w:lang w:val="es-ES"/>
        </w:rPr>
        <w:t>parte,</w:t>
      </w:r>
      <w:r w:rsidRPr="00BF4E8C">
        <w:rPr>
          <w:rFonts w:asciiTheme="majorHAnsi" w:hAnsiTheme="majorHAnsi"/>
          <w:bCs/>
          <w:sz w:val="20"/>
          <w:szCs w:val="20"/>
          <w:lang w:val="es-ES"/>
        </w:rPr>
        <w:t xml:space="preserve"> y con relación a las presuntas víctimas que sí agotaron la acción de reparación directa, considera que la petición es extemporánea porque la decisión definitiva de la jurisdicción contencioso administrativa fue notificada por el Estado el 21 de julio de 2007 mientras que la petición fue presentada 2 años y 8 meses después, excediéndose así el plazo de 6 meses previsto en el artículo 46.1(b) de la Convención Americana. Agrega que estas presuntas víctimas no han aportado ninguna justificación sobre razones que les hayan impedido acudir al sistema interamericano de forma más temprana. </w:t>
      </w:r>
    </w:p>
    <w:p w14:paraId="3FE6F5AE" w14:textId="014E07DF" w:rsidR="004C616A" w:rsidRPr="00BF4E8C" w:rsidRDefault="004C616A" w:rsidP="00927DCD">
      <w:pPr>
        <w:suppressAutoHyphens/>
        <w:spacing w:after="120"/>
        <w:ind w:left="720"/>
        <w:jc w:val="both"/>
        <w:rPr>
          <w:rFonts w:asciiTheme="majorHAnsi" w:hAnsiTheme="majorHAnsi"/>
          <w:b/>
          <w:bCs/>
          <w:sz w:val="20"/>
          <w:szCs w:val="20"/>
          <w:lang w:val="es-ES"/>
        </w:rPr>
      </w:pPr>
      <w:r w:rsidRPr="00BF4E8C">
        <w:rPr>
          <w:rFonts w:asciiTheme="majorHAnsi" w:hAnsiTheme="majorHAnsi"/>
          <w:b/>
          <w:bCs/>
          <w:sz w:val="20"/>
          <w:szCs w:val="20"/>
          <w:lang w:val="es-ES"/>
        </w:rPr>
        <w:t xml:space="preserve">VI. </w:t>
      </w:r>
      <w:r w:rsidRPr="00BF4E8C">
        <w:rPr>
          <w:rFonts w:asciiTheme="majorHAnsi" w:hAnsiTheme="majorHAnsi"/>
          <w:b/>
          <w:bCs/>
          <w:sz w:val="20"/>
          <w:szCs w:val="20"/>
          <w:lang w:val="es-ES"/>
        </w:rPr>
        <w:tab/>
        <w:t>AGOTAMIENTO DE LOS RECURSOS INTERNOS Y PLAZO DE PRESENTACIÓN</w:t>
      </w:r>
    </w:p>
    <w:p w14:paraId="47249DB3" w14:textId="66DE0F36" w:rsidR="008B1BC2" w:rsidRPr="00BF4E8C" w:rsidRDefault="00004713" w:rsidP="008B1BC2">
      <w:pPr>
        <w:numPr>
          <w:ilvl w:val="0"/>
          <w:numId w:val="55"/>
        </w:numPr>
        <w:suppressAutoHyphens/>
        <w:spacing w:after="120"/>
        <w:jc w:val="both"/>
        <w:rPr>
          <w:rFonts w:asciiTheme="majorHAnsi" w:hAnsiTheme="majorHAnsi"/>
          <w:b/>
          <w:bCs/>
          <w:sz w:val="20"/>
          <w:szCs w:val="20"/>
          <w:lang w:val="es-ES"/>
        </w:rPr>
      </w:pPr>
      <w:r w:rsidRPr="00BF4E8C">
        <w:rPr>
          <w:rFonts w:ascii="Cambria" w:hAnsi="Cambria"/>
          <w:sz w:val="20"/>
          <w:szCs w:val="20"/>
          <w:lang w:val="es-ES"/>
        </w:rPr>
        <w:t xml:space="preserve">La </w:t>
      </w:r>
      <w:r w:rsidR="008B1BC2" w:rsidRPr="00BF4E8C">
        <w:rPr>
          <w:rFonts w:ascii="Cambria" w:hAnsi="Cambria"/>
          <w:sz w:val="20"/>
          <w:szCs w:val="20"/>
          <w:lang w:val="es-ES"/>
        </w:rPr>
        <w:t xml:space="preserve">parte peticionaria ha manifestado que </w:t>
      </w:r>
      <w:r w:rsidR="008B1BC2" w:rsidRPr="00BF4E8C">
        <w:rPr>
          <w:rFonts w:asciiTheme="majorHAnsi" w:hAnsiTheme="majorHAnsi"/>
          <w:bCs/>
          <w:sz w:val="20"/>
          <w:szCs w:val="20"/>
          <w:lang w:val="es-ES"/>
        </w:rPr>
        <w:t>la acción de reparación directa no constituía un recurso idóneo cuyo agotamiento fuera exigible a las presuntas víctimas y que</w:t>
      </w:r>
      <w:r w:rsidR="004D3119" w:rsidRPr="00BF4E8C">
        <w:rPr>
          <w:rFonts w:asciiTheme="majorHAnsi" w:hAnsiTheme="majorHAnsi"/>
          <w:bCs/>
          <w:sz w:val="20"/>
          <w:szCs w:val="20"/>
          <w:lang w:val="es-ES"/>
        </w:rPr>
        <w:t xml:space="preserve"> el hecho de que las personas responsables de la masacre de la Chinita no hayan sido sancionadas justifica la aplicación de una excepción al requisito de agotamiento de los recursos internos. Por su parte, el Estado ha indicado que la petición debe ser inadmitida por falta de agotamiento de los recursos internos con respecto a las presuntas víctimas que no agotaron la acción de reparación y por extemporánea con respecto al resto de las presuntas víctimas. </w:t>
      </w:r>
    </w:p>
    <w:p w14:paraId="26CF8377" w14:textId="4F31BB79" w:rsidR="008B1BC2" w:rsidRPr="00BF4E8C" w:rsidRDefault="00FD3886" w:rsidP="008B1BC2">
      <w:pPr>
        <w:numPr>
          <w:ilvl w:val="0"/>
          <w:numId w:val="55"/>
        </w:numPr>
        <w:suppressAutoHyphens/>
        <w:spacing w:after="120"/>
        <w:jc w:val="both"/>
        <w:rPr>
          <w:rFonts w:asciiTheme="majorHAnsi" w:hAnsiTheme="majorHAnsi"/>
          <w:b/>
          <w:bCs/>
          <w:sz w:val="20"/>
          <w:szCs w:val="20"/>
          <w:lang w:val="es-ES"/>
        </w:rPr>
      </w:pPr>
      <w:r w:rsidRPr="00BF4E8C">
        <w:rPr>
          <w:rFonts w:asciiTheme="majorHAnsi" w:hAnsiTheme="majorHAnsi"/>
          <w:bCs/>
          <w:sz w:val="20"/>
          <w:szCs w:val="20"/>
          <w:lang w:val="es-ES"/>
        </w:rPr>
        <w:t>La Comisión toma nota que, según lo expuesto por las partes, 62 de las presuntas víctimas habrían participado de un proceso contencioso administrativo de reparación directa con respecto al cual se emitió una decisión final que fue notificada el 21 de julio de 2007. El Estado ha manifestado que esta es la decisión definitiva con respecto a los reclamos de las presuntas víctimas, por lo que la petición sería extemporánea por haber sido presentada más de 6 meses luego de la notificación de la decisión final.</w:t>
      </w:r>
    </w:p>
    <w:p w14:paraId="059E0868" w14:textId="1C039F99" w:rsidR="0016341E" w:rsidRPr="00BF4E8C" w:rsidRDefault="00CE3B9B" w:rsidP="0016341E">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S</w:t>
      </w:r>
      <w:r w:rsidR="00186909" w:rsidRPr="00BF4E8C">
        <w:rPr>
          <w:rFonts w:ascii="Cambria" w:hAnsi="Cambria"/>
          <w:sz w:val="20"/>
          <w:szCs w:val="20"/>
          <w:lang w:val="es-ES"/>
        </w:rPr>
        <w:t xml:space="preserve">in embargo, la Comisión ha determinado </w:t>
      </w:r>
      <w:r>
        <w:rPr>
          <w:rFonts w:ascii="Cambria" w:hAnsi="Cambria"/>
          <w:sz w:val="20"/>
          <w:szCs w:val="20"/>
          <w:lang w:val="es-ES"/>
        </w:rPr>
        <w:t xml:space="preserve">anteriormente </w:t>
      </w:r>
      <w:r w:rsidR="00186909" w:rsidRPr="00BF4E8C">
        <w:rPr>
          <w:rFonts w:ascii="Cambria" w:hAnsi="Cambria"/>
          <w:sz w:val="20"/>
          <w:szCs w:val="20"/>
          <w:lang w:val="es-ES"/>
        </w:rPr>
        <w:t>que “</w:t>
      </w:r>
      <w:r w:rsidR="00186909" w:rsidRPr="00BF4E8C">
        <w:rPr>
          <w:rFonts w:ascii="Cambria" w:hAnsi="Cambria" w:cs="Calibri"/>
          <w:sz w:val="20"/>
          <w:szCs w:val="20"/>
          <w:lang w:val="es-ES_tradnl"/>
        </w:rPr>
        <w:t>en situaciones […] que incluyen delitos contra la vida e integridad, los recursos internos que deben tomarse en cuenta a los efectos de la admisibilidad de las peticiones son los relacionados con la investigación penal y sanción de los responsables”</w:t>
      </w:r>
      <w:r w:rsidR="00186909" w:rsidRPr="00BF4E8C">
        <w:rPr>
          <w:rFonts w:ascii="Cambria" w:hAnsi="Cambria" w:cs="Calibri"/>
          <w:sz w:val="20"/>
          <w:szCs w:val="20"/>
          <w:lang w:val="es-US"/>
        </w:rPr>
        <w:t xml:space="preserve"> </w:t>
      </w:r>
      <w:r w:rsidR="00186909" w:rsidRPr="00BF4E8C">
        <w:rPr>
          <w:rStyle w:val="FootnoteReference"/>
          <w:rFonts w:ascii="Cambria" w:hAnsi="Cambria" w:cs="Calibri"/>
          <w:sz w:val="20"/>
          <w:szCs w:val="20"/>
        </w:rPr>
        <w:footnoteReference w:id="10"/>
      </w:r>
      <w:r w:rsidR="00186909" w:rsidRPr="00BF4E8C">
        <w:rPr>
          <w:rFonts w:ascii="Cambria" w:hAnsi="Cambria" w:cs="Calibri"/>
          <w:sz w:val="20"/>
          <w:szCs w:val="20"/>
          <w:lang w:val="es-ES_tradnl"/>
        </w:rPr>
        <w:t xml:space="preserve">. En adición, </w:t>
      </w:r>
      <w:r w:rsidRPr="00BF4E8C">
        <w:rPr>
          <w:rFonts w:asciiTheme="majorHAnsi" w:hAnsiTheme="majorHAnsi"/>
          <w:bCs/>
          <w:sz w:val="20"/>
          <w:szCs w:val="20"/>
          <w:lang w:val="es-ES_tradnl"/>
        </w:rPr>
        <w:t xml:space="preserve">la Comisión ha </w:t>
      </w:r>
      <w:r>
        <w:rPr>
          <w:rFonts w:asciiTheme="majorHAnsi" w:hAnsiTheme="majorHAnsi"/>
          <w:bCs/>
          <w:sz w:val="20"/>
          <w:szCs w:val="20"/>
          <w:lang w:val="es-ES_tradnl"/>
        </w:rPr>
        <w:t xml:space="preserve">indicado </w:t>
      </w:r>
      <w:r w:rsidRPr="00BF4E8C">
        <w:rPr>
          <w:rFonts w:asciiTheme="majorHAnsi" w:hAnsiTheme="majorHAnsi"/>
          <w:bCs/>
          <w:sz w:val="20"/>
          <w:szCs w:val="20"/>
          <w:lang w:val="es-ES_tradnl"/>
        </w:rPr>
        <w:t xml:space="preserve">en </w:t>
      </w:r>
      <w:r>
        <w:rPr>
          <w:rFonts w:asciiTheme="majorHAnsi" w:hAnsiTheme="majorHAnsi"/>
          <w:bCs/>
          <w:sz w:val="20"/>
          <w:szCs w:val="20"/>
          <w:lang w:val="es-ES_tradnl"/>
        </w:rPr>
        <w:t xml:space="preserve">casos previos </w:t>
      </w:r>
      <w:r w:rsidRPr="00BF4E8C">
        <w:rPr>
          <w:rFonts w:asciiTheme="majorHAnsi" w:hAnsiTheme="majorHAnsi"/>
          <w:bCs/>
          <w:sz w:val="20"/>
          <w:szCs w:val="20"/>
          <w:lang w:val="es-ES_tradnl"/>
        </w:rPr>
        <w:t xml:space="preserve">respecto a en Colombia </w:t>
      </w:r>
      <w:r w:rsidR="00186909" w:rsidRPr="00BF4E8C">
        <w:rPr>
          <w:rFonts w:asciiTheme="majorHAnsi" w:hAnsiTheme="majorHAnsi"/>
          <w:bCs/>
          <w:sz w:val="20"/>
          <w:szCs w:val="20"/>
          <w:lang w:val="es-ES_tradnl"/>
        </w:rPr>
        <w:t xml:space="preserve">que </w:t>
      </w:r>
      <w:r w:rsidRPr="00BF4E8C">
        <w:rPr>
          <w:rFonts w:asciiTheme="majorHAnsi" w:hAnsiTheme="majorHAnsi"/>
          <w:bCs/>
          <w:sz w:val="20"/>
          <w:szCs w:val="20"/>
          <w:lang w:val="es-ES_tradnl"/>
        </w:rPr>
        <w:t xml:space="preserve">la acción de reparación directa </w:t>
      </w:r>
      <w:r w:rsidR="00186909" w:rsidRPr="00BF4E8C">
        <w:rPr>
          <w:rFonts w:asciiTheme="majorHAnsi" w:hAnsiTheme="majorHAnsi"/>
          <w:bCs/>
          <w:sz w:val="20"/>
          <w:szCs w:val="20"/>
          <w:lang w:val="es-ES_tradnl"/>
        </w:rPr>
        <w:t>no constituye un recurso idóneo cuyo agotamiento sea exigible en relación a presuntas violaciones a derechos humanos de naturaleza similar a las que se alegan en la presente petición</w:t>
      </w:r>
      <w:r w:rsidR="00186909" w:rsidRPr="00BF4E8C">
        <w:rPr>
          <w:rStyle w:val="FootnoteReference"/>
          <w:rFonts w:ascii="Cambria" w:hAnsi="Cambria" w:cs="Calibri"/>
          <w:sz w:val="20"/>
          <w:szCs w:val="20"/>
        </w:rPr>
        <w:footnoteReference w:id="11"/>
      </w:r>
      <w:r w:rsidR="00186909" w:rsidRPr="00BF4E8C">
        <w:rPr>
          <w:rFonts w:ascii="Cambria" w:hAnsi="Cambria" w:cs="Calibri"/>
          <w:sz w:val="20"/>
          <w:szCs w:val="20"/>
          <w:lang w:val="es-ES_tradnl"/>
        </w:rPr>
        <w:t>.</w:t>
      </w:r>
      <w:r w:rsidR="00186909" w:rsidRPr="00BF4E8C">
        <w:rPr>
          <w:rFonts w:asciiTheme="majorHAnsi" w:hAnsiTheme="majorHAnsi"/>
          <w:bCs/>
          <w:sz w:val="20"/>
          <w:szCs w:val="20"/>
          <w:lang w:val="es-ES_tradnl"/>
        </w:rPr>
        <w:t xml:space="preserve"> </w:t>
      </w:r>
      <w:r w:rsidR="00186909" w:rsidRPr="00BF4E8C">
        <w:rPr>
          <w:rFonts w:asciiTheme="majorHAnsi" w:hAnsiTheme="majorHAnsi"/>
          <w:bCs/>
          <w:sz w:val="20"/>
          <w:szCs w:val="20"/>
          <w:lang w:val="es-ES"/>
        </w:rPr>
        <w:t>Por estas razones, para evaluar si la petición cumple con los requisitos de agotamiento de los recursos internos y presentación dentro de plazo, los recursos que la Comisión valorará serán los relacionados con la investigación y sanción de las personas que pudieran tener responsabilidad por los hec</w:t>
      </w:r>
      <w:r>
        <w:rPr>
          <w:rFonts w:asciiTheme="majorHAnsi" w:hAnsiTheme="majorHAnsi"/>
          <w:bCs/>
          <w:sz w:val="20"/>
          <w:szCs w:val="20"/>
          <w:lang w:val="es-ES"/>
        </w:rPr>
        <w:t>hos que se alega ocurrieron en L</w:t>
      </w:r>
      <w:r w:rsidR="00186909" w:rsidRPr="00BF4E8C">
        <w:rPr>
          <w:rFonts w:asciiTheme="majorHAnsi" w:hAnsiTheme="majorHAnsi"/>
          <w:bCs/>
          <w:sz w:val="20"/>
          <w:szCs w:val="20"/>
          <w:lang w:val="es-ES"/>
        </w:rPr>
        <w:t>a Chinita en enero de 1994.</w:t>
      </w:r>
    </w:p>
    <w:p w14:paraId="6DEACF1F" w14:textId="6650FCFE" w:rsidR="0016341E" w:rsidRPr="00BF4E8C" w:rsidRDefault="00CE3B9B" w:rsidP="009D26B2">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Las partes</w:t>
      </w:r>
      <w:r w:rsidR="0016341E" w:rsidRPr="00BF4E8C">
        <w:rPr>
          <w:rFonts w:asciiTheme="majorHAnsi" w:hAnsiTheme="majorHAnsi"/>
          <w:bCs/>
          <w:sz w:val="20"/>
          <w:szCs w:val="20"/>
          <w:lang w:val="es-ES"/>
        </w:rPr>
        <w:t xml:space="preserve"> informa</w:t>
      </w:r>
      <w:r>
        <w:rPr>
          <w:rFonts w:asciiTheme="majorHAnsi" w:hAnsiTheme="majorHAnsi"/>
          <w:bCs/>
          <w:sz w:val="20"/>
          <w:szCs w:val="20"/>
          <w:lang w:val="es-ES"/>
        </w:rPr>
        <w:t xml:space="preserve">ron que se </w:t>
      </w:r>
      <w:r w:rsidR="0016341E" w:rsidRPr="00BF4E8C">
        <w:rPr>
          <w:rFonts w:asciiTheme="majorHAnsi" w:hAnsiTheme="majorHAnsi"/>
          <w:bCs/>
          <w:sz w:val="20"/>
          <w:szCs w:val="20"/>
          <w:lang w:val="es-ES"/>
        </w:rPr>
        <w:t>realiz</w:t>
      </w:r>
      <w:r>
        <w:rPr>
          <w:rFonts w:asciiTheme="majorHAnsi" w:hAnsiTheme="majorHAnsi"/>
          <w:bCs/>
          <w:sz w:val="20"/>
          <w:szCs w:val="20"/>
          <w:lang w:val="es-ES"/>
        </w:rPr>
        <w:t>ó</w:t>
      </w:r>
      <w:r w:rsidR="0016341E" w:rsidRPr="00BF4E8C">
        <w:rPr>
          <w:rFonts w:asciiTheme="majorHAnsi" w:hAnsiTheme="majorHAnsi"/>
          <w:bCs/>
          <w:sz w:val="20"/>
          <w:szCs w:val="20"/>
          <w:lang w:val="es-ES"/>
        </w:rPr>
        <w:t xml:space="preserve"> un proceso penal en que se vinculó a una serie de personas como presuntas</w:t>
      </w:r>
      <w:r>
        <w:rPr>
          <w:rFonts w:asciiTheme="majorHAnsi" w:hAnsiTheme="majorHAnsi"/>
          <w:bCs/>
          <w:sz w:val="20"/>
          <w:szCs w:val="20"/>
          <w:lang w:val="es-ES"/>
        </w:rPr>
        <w:t xml:space="preserve"> responsables de la masacre de L</w:t>
      </w:r>
      <w:r w:rsidR="0016341E" w:rsidRPr="00BF4E8C">
        <w:rPr>
          <w:rFonts w:asciiTheme="majorHAnsi" w:hAnsiTheme="majorHAnsi"/>
          <w:bCs/>
          <w:sz w:val="20"/>
          <w:szCs w:val="20"/>
          <w:lang w:val="es-ES"/>
        </w:rPr>
        <w:t xml:space="preserve">a Chinita, </w:t>
      </w:r>
      <w:r>
        <w:rPr>
          <w:rFonts w:asciiTheme="majorHAnsi" w:hAnsiTheme="majorHAnsi"/>
          <w:bCs/>
          <w:sz w:val="20"/>
          <w:szCs w:val="20"/>
          <w:lang w:val="es-ES"/>
        </w:rPr>
        <w:t xml:space="preserve">y </w:t>
      </w:r>
      <w:r w:rsidR="0016341E" w:rsidRPr="00BF4E8C">
        <w:rPr>
          <w:rFonts w:asciiTheme="majorHAnsi" w:hAnsiTheme="majorHAnsi"/>
          <w:bCs/>
          <w:sz w:val="20"/>
          <w:szCs w:val="20"/>
          <w:lang w:val="es-ES"/>
        </w:rPr>
        <w:t>se profirieron condenas que luego fueron revocadas en casación</w:t>
      </w:r>
      <w:r>
        <w:rPr>
          <w:rFonts w:asciiTheme="majorHAnsi" w:hAnsiTheme="majorHAnsi"/>
          <w:bCs/>
          <w:sz w:val="20"/>
          <w:szCs w:val="20"/>
          <w:lang w:val="es-ES"/>
        </w:rPr>
        <w:t>, por lo que</w:t>
      </w:r>
      <w:r w:rsidR="0016341E" w:rsidRPr="00BF4E8C">
        <w:rPr>
          <w:rFonts w:asciiTheme="majorHAnsi" w:hAnsiTheme="majorHAnsi"/>
          <w:bCs/>
          <w:sz w:val="20"/>
          <w:szCs w:val="20"/>
          <w:lang w:val="es-ES"/>
        </w:rPr>
        <w:t xml:space="preserve"> la investigaci</w:t>
      </w:r>
      <w:r w:rsidR="00E76103" w:rsidRPr="00BF4E8C">
        <w:rPr>
          <w:rFonts w:asciiTheme="majorHAnsi" w:hAnsiTheme="majorHAnsi"/>
          <w:bCs/>
          <w:sz w:val="20"/>
          <w:szCs w:val="20"/>
          <w:lang w:val="es-ES"/>
        </w:rPr>
        <w:t>ón fue reiniciada. Según lo expuesto por el Estado, en 2006 se habrían emitido decisiones definitivas de preclusión a favor de las personas vinculadas en esa investigación. Sin embargo,</w:t>
      </w:r>
      <w:r w:rsidR="00755000" w:rsidRPr="00BF4E8C">
        <w:rPr>
          <w:rFonts w:asciiTheme="majorHAnsi" w:hAnsiTheme="majorHAnsi"/>
          <w:bCs/>
          <w:sz w:val="20"/>
          <w:szCs w:val="20"/>
          <w:lang w:val="es-ES"/>
        </w:rPr>
        <w:t xml:space="preserve"> pese al tiempo transcurrido y</w:t>
      </w:r>
      <w:r w:rsidR="00E76103" w:rsidRPr="00BF4E8C">
        <w:rPr>
          <w:rFonts w:asciiTheme="majorHAnsi" w:hAnsiTheme="majorHAnsi"/>
          <w:bCs/>
          <w:sz w:val="20"/>
          <w:szCs w:val="20"/>
          <w:lang w:val="es-ES"/>
        </w:rPr>
        <w:t xml:space="preserve"> a que la jurisdicción contencioso administrativa reconoció la responsabilidad administrativa del Estado por la masacre, el Estado no ha indicado ni surge del expediente que se hayan iniciado investigaciones penales o administrativas encaminadas a identificar o sancionar a agentes o ex agentes del Estado que pudieran tener responsabilidad por los hechos alegados en la petición. </w:t>
      </w:r>
      <w:r w:rsidR="009D26B2" w:rsidRPr="00BF4E8C">
        <w:rPr>
          <w:rFonts w:asciiTheme="majorHAnsi" w:hAnsiTheme="majorHAnsi"/>
          <w:bCs/>
          <w:sz w:val="20"/>
          <w:szCs w:val="20"/>
          <w:lang w:val="es-ES"/>
        </w:rPr>
        <w:t>Al respecto, la Comisión recuerda que ya ha manifestado que “</w:t>
      </w:r>
      <w:r>
        <w:rPr>
          <w:rFonts w:asciiTheme="majorHAnsi" w:hAnsiTheme="majorHAnsi"/>
          <w:bCs/>
          <w:sz w:val="20"/>
          <w:szCs w:val="20"/>
          <w:lang w:val="es-ES"/>
        </w:rPr>
        <w:t>l</w:t>
      </w:r>
      <w:r w:rsidR="009D26B2" w:rsidRPr="00BF4E8C">
        <w:rPr>
          <w:rFonts w:asciiTheme="majorHAnsi" w:hAnsiTheme="majorHAnsi"/>
          <w:sz w:val="20"/>
          <w:szCs w:val="20"/>
          <w:lang w:val="es-PA"/>
        </w:rPr>
        <w:t>os Estados tienen la obligación de asegurar una justicia imparcial, oportuna y oficiosa, que implique una búsqueda exhaustiva de toda la información para diseñar y ejecutar una investigación que conduzca al debido análisis de las hipótesis de autoría, por acción o por omisión, en diferentes niveles, explorando todas las líneas investigativas pertinentes para identificar a los autores”</w:t>
      </w:r>
      <w:r w:rsidR="009D26B2" w:rsidRPr="00BF4E8C">
        <w:rPr>
          <w:rStyle w:val="FootnoteReference"/>
          <w:rFonts w:asciiTheme="majorHAnsi" w:hAnsiTheme="majorHAnsi"/>
          <w:sz w:val="20"/>
          <w:szCs w:val="20"/>
          <w:lang w:val="es-PA"/>
        </w:rPr>
        <w:footnoteReference w:id="12"/>
      </w:r>
      <w:r w:rsidR="009D26B2" w:rsidRPr="00BF4E8C">
        <w:rPr>
          <w:rFonts w:asciiTheme="majorHAnsi" w:hAnsiTheme="majorHAnsi"/>
          <w:sz w:val="20"/>
          <w:szCs w:val="20"/>
          <w:lang w:val="es-PA"/>
        </w:rPr>
        <w:t>.</w:t>
      </w:r>
      <w:r w:rsidR="009D26B2" w:rsidRPr="00BF4E8C">
        <w:rPr>
          <w:rFonts w:asciiTheme="majorHAnsi" w:hAnsiTheme="majorHAnsi"/>
          <w:b/>
          <w:bCs/>
          <w:sz w:val="20"/>
          <w:szCs w:val="20"/>
          <w:lang w:val="es-PA"/>
        </w:rPr>
        <w:t xml:space="preserve"> </w:t>
      </w:r>
      <w:r w:rsidR="006070B9" w:rsidRPr="00BF4E8C">
        <w:rPr>
          <w:rFonts w:asciiTheme="majorHAnsi" w:hAnsiTheme="majorHAnsi"/>
          <w:bCs/>
          <w:sz w:val="20"/>
          <w:szCs w:val="20"/>
          <w:lang w:val="es-ES"/>
        </w:rPr>
        <w:t xml:space="preserve"> La Comisión también ha concluido en casos previos</w:t>
      </w:r>
      <w:r w:rsidR="009103C2" w:rsidRPr="00BF4E8C">
        <w:rPr>
          <w:rFonts w:asciiTheme="majorHAnsi" w:hAnsiTheme="majorHAnsi"/>
          <w:bCs/>
          <w:sz w:val="20"/>
          <w:szCs w:val="20"/>
          <w:lang w:val="es-ES"/>
        </w:rPr>
        <w:t xml:space="preserve">, que una demora injustificada en el inicio de investigaciones con respecto a </w:t>
      </w:r>
      <w:r w:rsidR="00C85959" w:rsidRPr="00BF4E8C">
        <w:rPr>
          <w:rFonts w:asciiTheme="majorHAnsi" w:hAnsiTheme="majorHAnsi"/>
          <w:bCs/>
          <w:sz w:val="20"/>
          <w:szCs w:val="20"/>
          <w:lang w:val="es-ES"/>
        </w:rPr>
        <w:t>personas</w:t>
      </w:r>
      <w:r w:rsidR="009103C2" w:rsidRPr="00BF4E8C">
        <w:rPr>
          <w:rFonts w:asciiTheme="majorHAnsi" w:hAnsiTheme="majorHAnsi"/>
          <w:bCs/>
          <w:sz w:val="20"/>
          <w:szCs w:val="20"/>
          <w:lang w:val="es-ES"/>
        </w:rPr>
        <w:t xml:space="preserve"> que pudieran estar involucrados en violaciones a los derechos a la vida e integridad personal justifica la aplicación de la excepción al agotamiento de los recursos internos prevista en el artículo 46.2(c)de la Convención Americana</w:t>
      </w:r>
      <w:r w:rsidR="007E6869" w:rsidRPr="00BF4E8C">
        <w:rPr>
          <w:rStyle w:val="FootnoteReference"/>
          <w:rFonts w:asciiTheme="majorHAnsi" w:hAnsiTheme="majorHAnsi"/>
          <w:bCs/>
          <w:sz w:val="20"/>
          <w:szCs w:val="20"/>
          <w:lang w:val="es-ES"/>
        </w:rPr>
        <w:footnoteReference w:id="13"/>
      </w:r>
      <w:r w:rsidR="009103C2" w:rsidRPr="00BF4E8C">
        <w:rPr>
          <w:rFonts w:asciiTheme="majorHAnsi" w:hAnsiTheme="majorHAnsi"/>
          <w:bCs/>
          <w:sz w:val="20"/>
          <w:szCs w:val="20"/>
          <w:lang w:val="es-ES"/>
        </w:rPr>
        <w:t>.</w:t>
      </w:r>
      <w:r w:rsidR="006070B9" w:rsidRPr="00BF4E8C">
        <w:rPr>
          <w:rFonts w:asciiTheme="majorHAnsi" w:hAnsiTheme="majorHAnsi"/>
          <w:bCs/>
          <w:sz w:val="20"/>
          <w:szCs w:val="20"/>
          <w:lang w:val="es-ES"/>
        </w:rPr>
        <w:t xml:space="preserve"> Por estas razones, la Comisión considera que la aplicación de dicha excepción a la presente petición se encuentra justificada por el hecho de que no se hayan iniciado </w:t>
      </w:r>
      <w:r w:rsidR="006070B9" w:rsidRPr="00BF4E8C">
        <w:rPr>
          <w:rFonts w:asciiTheme="majorHAnsi" w:hAnsiTheme="majorHAnsi"/>
          <w:bCs/>
          <w:sz w:val="20"/>
          <w:szCs w:val="20"/>
          <w:lang w:val="es-ES"/>
        </w:rPr>
        <w:lastRenderedPageBreak/>
        <w:t>investigaciones para identificar y</w:t>
      </w:r>
      <w:r>
        <w:rPr>
          <w:rFonts w:asciiTheme="majorHAnsi" w:hAnsiTheme="majorHAnsi"/>
          <w:bCs/>
          <w:sz w:val="20"/>
          <w:szCs w:val="20"/>
          <w:lang w:val="es-ES"/>
        </w:rPr>
        <w:t>,</w:t>
      </w:r>
      <w:r w:rsidR="006070B9" w:rsidRPr="00BF4E8C">
        <w:rPr>
          <w:rFonts w:asciiTheme="majorHAnsi" w:hAnsiTheme="majorHAnsi"/>
          <w:bCs/>
          <w:sz w:val="20"/>
          <w:szCs w:val="20"/>
          <w:lang w:val="es-ES"/>
        </w:rPr>
        <w:t xml:space="preserve"> de ser el caso</w:t>
      </w:r>
      <w:r>
        <w:rPr>
          <w:rFonts w:asciiTheme="majorHAnsi" w:hAnsiTheme="majorHAnsi"/>
          <w:bCs/>
          <w:sz w:val="20"/>
          <w:szCs w:val="20"/>
          <w:lang w:val="es-ES"/>
        </w:rPr>
        <w:t>,</w:t>
      </w:r>
      <w:r w:rsidR="006070B9" w:rsidRPr="00BF4E8C">
        <w:rPr>
          <w:rFonts w:asciiTheme="majorHAnsi" w:hAnsiTheme="majorHAnsi"/>
          <w:bCs/>
          <w:sz w:val="20"/>
          <w:szCs w:val="20"/>
          <w:lang w:val="es-ES"/>
        </w:rPr>
        <w:t xml:space="preserve"> sancionar a los agentes o ex agentes estatales que pudieran tener responsabilidad por los hechos planteados en ella.</w:t>
      </w:r>
      <w:r w:rsidR="009103C2" w:rsidRPr="00BF4E8C">
        <w:rPr>
          <w:rFonts w:asciiTheme="majorHAnsi" w:hAnsiTheme="majorHAnsi"/>
          <w:bCs/>
          <w:sz w:val="20"/>
          <w:szCs w:val="20"/>
          <w:lang w:val="es-ES"/>
        </w:rPr>
        <w:t xml:space="preserve"> </w:t>
      </w:r>
      <w:r w:rsidR="00F06044" w:rsidRPr="00BF4E8C">
        <w:rPr>
          <w:rFonts w:asciiTheme="majorHAnsi" w:hAnsiTheme="majorHAnsi"/>
          <w:bCs/>
          <w:sz w:val="20"/>
          <w:szCs w:val="20"/>
          <w:lang w:val="es-ES"/>
        </w:rPr>
        <w:t xml:space="preserve">Dada la naturaleza y circunstancias del presente caso la Comisión también considera que la petición fue presentada dentro de plazo razonable en los términos del artículo 32.2 de su reglamento. </w:t>
      </w:r>
    </w:p>
    <w:p w14:paraId="7090A929" w14:textId="5CAAFD97" w:rsidR="00F04591" w:rsidRPr="00BF4E8C" w:rsidRDefault="00F04591" w:rsidP="008B1BC2">
      <w:pPr>
        <w:suppressAutoHyphens/>
        <w:spacing w:after="120"/>
        <w:ind w:left="720"/>
        <w:jc w:val="both"/>
        <w:rPr>
          <w:rFonts w:asciiTheme="majorHAnsi" w:hAnsiTheme="majorHAnsi"/>
          <w:b/>
          <w:bCs/>
          <w:sz w:val="20"/>
          <w:szCs w:val="20"/>
          <w:lang w:val="es-ES"/>
        </w:rPr>
      </w:pPr>
      <w:r w:rsidRPr="00BF4E8C">
        <w:rPr>
          <w:rFonts w:asciiTheme="majorHAnsi" w:hAnsiTheme="majorHAnsi"/>
          <w:b/>
          <w:bCs/>
          <w:sz w:val="20"/>
          <w:szCs w:val="20"/>
          <w:lang w:val="es-ES"/>
        </w:rPr>
        <w:t>V</w:t>
      </w:r>
      <w:r w:rsidR="000E2789" w:rsidRPr="00BF4E8C">
        <w:rPr>
          <w:rFonts w:asciiTheme="majorHAnsi" w:hAnsiTheme="majorHAnsi"/>
          <w:b/>
          <w:bCs/>
          <w:sz w:val="20"/>
          <w:szCs w:val="20"/>
          <w:lang w:val="es-ES"/>
        </w:rPr>
        <w:t>I</w:t>
      </w:r>
      <w:r w:rsidRPr="00BF4E8C">
        <w:rPr>
          <w:rFonts w:asciiTheme="majorHAnsi" w:hAnsiTheme="majorHAnsi"/>
          <w:b/>
          <w:bCs/>
          <w:sz w:val="20"/>
          <w:szCs w:val="20"/>
          <w:lang w:val="es-ES"/>
        </w:rPr>
        <w:t xml:space="preserve">I. </w:t>
      </w:r>
      <w:r w:rsidRPr="00BF4E8C">
        <w:rPr>
          <w:rFonts w:asciiTheme="majorHAnsi" w:hAnsiTheme="majorHAnsi"/>
          <w:b/>
          <w:bCs/>
          <w:sz w:val="20"/>
          <w:szCs w:val="20"/>
          <w:lang w:val="es-ES"/>
        </w:rPr>
        <w:tab/>
        <w:t>CARACTERIZACIÓN</w:t>
      </w:r>
    </w:p>
    <w:p w14:paraId="6EB60523" w14:textId="468FE079" w:rsidR="00722E22" w:rsidRPr="00BF4E8C" w:rsidRDefault="00E46AF9" w:rsidP="009354B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imes New Roman" w:eastAsia="Times New Roman" w:hAnsi="Times New Roman" w:cs="Times New Roman"/>
          <w:color w:val="auto"/>
          <w:sz w:val="20"/>
          <w:szCs w:val="20"/>
          <w:lang w:val="es-PE"/>
        </w:rPr>
      </w:pPr>
      <w:r w:rsidRPr="00BF4E8C">
        <w:rPr>
          <w:sz w:val="20"/>
          <w:szCs w:val="20"/>
          <w:lang w:val="es-AR"/>
        </w:rPr>
        <w:t xml:space="preserve">La </w:t>
      </w:r>
      <w:r w:rsidR="00CE3B9B">
        <w:rPr>
          <w:sz w:val="20"/>
          <w:szCs w:val="20"/>
          <w:lang w:val="es-AR"/>
        </w:rPr>
        <w:t xml:space="preserve">parte peticionaria </w:t>
      </w:r>
      <w:r w:rsidRPr="00BF4E8C">
        <w:rPr>
          <w:sz w:val="20"/>
          <w:szCs w:val="20"/>
          <w:lang w:val="es-AR"/>
        </w:rPr>
        <w:t>alega</w:t>
      </w:r>
      <w:r w:rsidR="009354B0" w:rsidRPr="00BF4E8C">
        <w:rPr>
          <w:sz w:val="20"/>
          <w:szCs w:val="20"/>
          <w:lang w:val="es-AR"/>
        </w:rPr>
        <w:t xml:space="preserve"> que </w:t>
      </w:r>
      <w:r w:rsidR="00F06044" w:rsidRPr="00BF4E8C">
        <w:rPr>
          <w:sz w:val="20"/>
          <w:szCs w:val="20"/>
          <w:lang w:val="es-AR"/>
        </w:rPr>
        <w:t>las autoridades estatales no adoptaron las medidas apropiadas para proteger la vida e integridad personal de la población de un barrio, pese a que tenían conocimiento previo de que la población de ese barrio se encontraba bajo amenaza por motivo de su orientación política; que las autoridades no intervinieron para detener las actividades de grupos ilegales pese a que estaban en posición de detectarlas fácilmente; que no se han identificado ni sancionado a las personas responsables de una masacre;</w:t>
      </w:r>
      <w:r w:rsidR="00DC3D5B" w:rsidRPr="00BF4E8C">
        <w:rPr>
          <w:sz w:val="20"/>
          <w:szCs w:val="20"/>
          <w:lang w:val="es-AR"/>
        </w:rPr>
        <w:t xml:space="preserve"> y que, pese a haberse declarado judicialmente la responsabilidad administrati</w:t>
      </w:r>
      <w:r w:rsidR="00CE3B9B">
        <w:rPr>
          <w:sz w:val="20"/>
          <w:szCs w:val="20"/>
          <w:lang w:val="es-AR"/>
        </w:rPr>
        <w:t>va del Estado por una masacre, é</w:t>
      </w:r>
      <w:r w:rsidR="00DC3D5B" w:rsidRPr="00BF4E8C">
        <w:rPr>
          <w:sz w:val="20"/>
          <w:szCs w:val="20"/>
          <w:lang w:val="es-AR"/>
        </w:rPr>
        <w:t>ste no ha brindado reparación integral a todas las presuntas víctimas</w:t>
      </w:r>
      <w:r w:rsidR="00CE3B9B">
        <w:rPr>
          <w:sz w:val="20"/>
          <w:szCs w:val="20"/>
          <w:lang w:val="es-AR"/>
        </w:rPr>
        <w:t>,</w:t>
      </w:r>
      <w:r w:rsidR="00DC3D5B" w:rsidRPr="00BF4E8C">
        <w:rPr>
          <w:sz w:val="20"/>
          <w:szCs w:val="20"/>
          <w:lang w:val="es-AR"/>
        </w:rPr>
        <w:t xml:space="preserve"> ni ha iniciado investigaciones encaminadas a identificar o sancionar a agentes o ex agentes estatales que pudieran tener responsabilidad por lo ocurrido.</w:t>
      </w:r>
    </w:p>
    <w:p w14:paraId="6E22263C" w14:textId="040D1411" w:rsidR="001B12EC" w:rsidRPr="00BF4E8C" w:rsidRDefault="00DC3D5B" w:rsidP="001B12E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imes New Roman" w:eastAsia="Times New Roman" w:hAnsi="Times New Roman" w:cs="Times New Roman"/>
          <w:color w:val="auto"/>
          <w:sz w:val="20"/>
          <w:szCs w:val="20"/>
          <w:lang w:val="es-PE"/>
        </w:rPr>
      </w:pPr>
      <w:r w:rsidRPr="00BF4E8C">
        <w:rPr>
          <w:color w:val="auto"/>
          <w:sz w:val="20"/>
          <w:szCs w:val="20"/>
          <w:lang w:val="es-AR"/>
        </w:rPr>
        <w:t>Dada la naturaleza de l</w:t>
      </w:r>
      <w:r w:rsidR="00CE3B9B">
        <w:rPr>
          <w:color w:val="auto"/>
          <w:sz w:val="20"/>
          <w:szCs w:val="20"/>
          <w:lang w:val="es-AR"/>
        </w:rPr>
        <w:t>o alegado,</w:t>
      </w:r>
      <w:r w:rsidRPr="00BF4E8C">
        <w:rPr>
          <w:color w:val="auto"/>
          <w:sz w:val="20"/>
          <w:szCs w:val="20"/>
          <w:lang w:val="es-AR"/>
        </w:rPr>
        <w:t xml:space="preserve"> </w:t>
      </w:r>
      <w:r w:rsidR="00CE3B9B">
        <w:rPr>
          <w:color w:val="auto"/>
          <w:sz w:val="20"/>
          <w:szCs w:val="20"/>
          <w:lang w:val="es-AR"/>
        </w:rPr>
        <w:t>cabe</w:t>
      </w:r>
      <w:r w:rsidRPr="00BF4E8C">
        <w:rPr>
          <w:color w:val="auto"/>
          <w:sz w:val="20"/>
          <w:szCs w:val="20"/>
          <w:lang w:val="es-AR"/>
        </w:rPr>
        <w:t xml:space="preserve"> recordar que la Corte Interamericana ha establecido que los criterios para evaluar la responsabilidad del Estado por falta</w:t>
      </w:r>
      <w:r w:rsidR="00CE3B9B">
        <w:rPr>
          <w:color w:val="auto"/>
          <w:sz w:val="20"/>
          <w:szCs w:val="20"/>
          <w:lang w:val="es-AR"/>
        </w:rPr>
        <w:t>s</w:t>
      </w:r>
      <w:r w:rsidRPr="00BF4E8C">
        <w:rPr>
          <w:color w:val="auto"/>
          <w:sz w:val="20"/>
          <w:szCs w:val="20"/>
          <w:lang w:val="es-AR"/>
        </w:rPr>
        <w:t xml:space="preserve"> al deber de prevenir violaciones </w:t>
      </w:r>
      <w:r w:rsidR="00CE3B9B">
        <w:rPr>
          <w:color w:val="auto"/>
          <w:sz w:val="20"/>
          <w:szCs w:val="20"/>
          <w:lang w:val="es-AR"/>
        </w:rPr>
        <w:t>de</w:t>
      </w:r>
      <w:r w:rsidRPr="00BF4E8C">
        <w:rPr>
          <w:color w:val="auto"/>
          <w:sz w:val="20"/>
          <w:szCs w:val="20"/>
          <w:lang w:val="es-AR"/>
        </w:rPr>
        <w:t xml:space="preserve"> derechos humanos son</w:t>
      </w:r>
      <w:r w:rsidR="00CE3B9B">
        <w:rPr>
          <w:color w:val="auto"/>
          <w:sz w:val="20"/>
          <w:szCs w:val="20"/>
          <w:lang w:val="es-AR"/>
        </w:rPr>
        <w:t>:</w:t>
      </w:r>
      <w:r w:rsidRPr="00BF4E8C">
        <w:rPr>
          <w:color w:val="auto"/>
          <w:sz w:val="20"/>
          <w:szCs w:val="20"/>
          <w:lang w:val="es-AR"/>
        </w:rPr>
        <w:t xml:space="preserve"> </w:t>
      </w:r>
      <w:r w:rsidR="00CE3B9B">
        <w:rPr>
          <w:color w:val="auto"/>
          <w:sz w:val="20"/>
          <w:szCs w:val="20"/>
          <w:lang w:val="es-AR"/>
        </w:rPr>
        <w:t xml:space="preserve">la verificación de </w:t>
      </w:r>
      <w:r w:rsidRPr="00BF4E8C">
        <w:rPr>
          <w:color w:val="auto"/>
          <w:sz w:val="20"/>
          <w:szCs w:val="20"/>
          <w:lang w:val="es-AR"/>
        </w:rPr>
        <w:t>una situación de riesgo real e inmediato para individuos o grupos de individuos determinados</w:t>
      </w:r>
      <w:r w:rsidR="00CE3B9B">
        <w:rPr>
          <w:color w:val="auto"/>
          <w:sz w:val="20"/>
          <w:szCs w:val="20"/>
          <w:lang w:val="es-AR"/>
        </w:rPr>
        <w:t>;</w:t>
      </w:r>
      <w:r w:rsidRPr="00BF4E8C">
        <w:rPr>
          <w:color w:val="auto"/>
          <w:sz w:val="20"/>
          <w:szCs w:val="20"/>
          <w:lang w:val="es-AR"/>
        </w:rPr>
        <w:t xml:space="preserve"> que las autoridades conocieran o debieran tener conocimiento de ese riesgo</w:t>
      </w:r>
      <w:r w:rsidR="00CE3B9B">
        <w:rPr>
          <w:color w:val="auto"/>
          <w:sz w:val="20"/>
          <w:szCs w:val="20"/>
          <w:lang w:val="es-AR"/>
        </w:rPr>
        <w:t>;</w:t>
      </w:r>
      <w:r w:rsidRPr="00BF4E8C">
        <w:rPr>
          <w:color w:val="auto"/>
          <w:sz w:val="20"/>
          <w:szCs w:val="20"/>
          <w:lang w:val="es-AR"/>
        </w:rPr>
        <w:t xml:space="preserve"> y que, pese a ello, </w:t>
      </w:r>
      <w:r w:rsidR="00CE3B9B">
        <w:rPr>
          <w:color w:val="auto"/>
          <w:sz w:val="20"/>
          <w:szCs w:val="20"/>
          <w:lang w:val="es-AR"/>
        </w:rPr>
        <w:t xml:space="preserve">hubieran </w:t>
      </w:r>
      <w:r w:rsidRPr="00BF4E8C">
        <w:rPr>
          <w:color w:val="auto"/>
          <w:sz w:val="20"/>
          <w:szCs w:val="20"/>
          <w:lang w:val="es-AR"/>
        </w:rPr>
        <w:t>adoptado “</w:t>
      </w:r>
      <w:r w:rsidRPr="00BF4E8C">
        <w:rPr>
          <w:color w:val="auto"/>
          <w:sz w:val="20"/>
          <w:szCs w:val="20"/>
          <w:lang w:val="es-PA"/>
        </w:rPr>
        <w:t>las medidas necesarias dentro del ámbito de sus atribuciones que, juzgadas razonablemente, podían esperarse para prevenir o evitar ese riesgo”</w:t>
      </w:r>
      <w:r w:rsidRPr="00BF4E8C">
        <w:rPr>
          <w:rStyle w:val="FootnoteReference"/>
          <w:color w:val="auto"/>
          <w:sz w:val="20"/>
          <w:szCs w:val="20"/>
          <w:lang w:val="es-PA"/>
        </w:rPr>
        <w:footnoteReference w:id="14"/>
      </w:r>
      <w:r w:rsidRPr="00BF4E8C">
        <w:rPr>
          <w:color w:val="auto"/>
          <w:sz w:val="20"/>
          <w:szCs w:val="20"/>
          <w:lang w:val="es-PA"/>
        </w:rPr>
        <w:t xml:space="preserve">. </w:t>
      </w:r>
      <w:r w:rsidRPr="00BF4E8C">
        <w:rPr>
          <w:color w:val="auto"/>
          <w:sz w:val="20"/>
          <w:szCs w:val="20"/>
          <w:lang w:val="es-ES"/>
        </w:rPr>
        <w:t xml:space="preserve">La Comisión también ha </w:t>
      </w:r>
      <w:r w:rsidR="00CE3B9B">
        <w:rPr>
          <w:color w:val="auto"/>
          <w:sz w:val="20"/>
          <w:szCs w:val="20"/>
          <w:lang w:val="es-ES"/>
        </w:rPr>
        <w:t xml:space="preserve">determinado </w:t>
      </w:r>
      <w:r w:rsidRPr="00BF4E8C">
        <w:rPr>
          <w:color w:val="auto"/>
          <w:sz w:val="20"/>
          <w:szCs w:val="20"/>
          <w:lang w:val="es-ES"/>
        </w:rPr>
        <w:t>que los Estados tienen “</w:t>
      </w:r>
      <w:r w:rsidRPr="00BF4E8C">
        <w:rPr>
          <w:rFonts w:cs="Calibri"/>
          <w:color w:val="auto"/>
          <w:sz w:val="20"/>
          <w:szCs w:val="20"/>
          <w:lang w:val="es-ES"/>
        </w:rPr>
        <w:t>la obligación de investigar eficientemente y sancionar aquellas actuaciones que pudieran conducir, incluso por acción u omisión, a la supresión de la inviolabilidad del derecho a la vida”</w:t>
      </w:r>
      <w:r w:rsidRPr="00BF4E8C">
        <w:rPr>
          <w:rStyle w:val="FootnoteReference"/>
          <w:rFonts w:cs="Calibri"/>
          <w:color w:val="auto"/>
          <w:sz w:val="20"/>
          <w:szCs w:val="20"/>
          <w:lang w:val="es-ES"/>
        </w:rPr>
        <w:footnoteReference w:id="15"/>
      </w:r>
      <w:r w:rsidRPr="00BF4E8C">
        <w:rPr>
          <w:rFonts w:cs="Calibri"/>
          <w:color w:val="auto"/>
          <w:sz w:val="20"/>
          <w:szCs w:val="20"/>
          <w:lang w:val="es-ES"/>
        </w:rPr>
        <w:t xml:space="preserve">.  </w:t>
      </w:r>
      <w:r w:rsidR="00CE3B9B">
        <w:rPr>
          <w:rFonts w:cs="Calibri"/>
          <w:color w:val="auto"/>
          <w:sz w:val="20"/>
          <w:szCs w:val="20"/>
          <w:lang w:val="es-ES"/>
        </w:rPr>
        <w:t>D</w:t>
      </w:r>
      <w:r w:rsidRPr="00BF4E8C">
        <w:rPr>
          <w:rFonts w:cs="Calibri"/>
          <w:color w:val="auto"/>
          <w:sz w:val="20"/>
          <w:szCs w:val="20"/>
          <w:lang w:val="es-ES"/>
        </w:rPr>
        <w:t xml:space="preserve">ado que el Estado ha alegado que algunas de las presuntas víctimas pretenden que la Comisión haga una nueva revisión </w:t>
      </w:r>
      <w:r w:rsidR="001B12EC" w:rsidRPr="00BF4E8C">
        <w:rPr>
          <w:rFonts w:cs="Calibri"/>
          <w:color w:val="auto"/>
          <w:sz w:val="20"/>
          <w:szCs w:val="20"/>
          <w:lang w:val="es-ES"/>
        </w:rPr>
        <w:t xml:space="preserve">de lo ya determinado a nivel doméstico sobre su condición de víctimas indirectas de la masacre, la Comisión ya ha manifestado </w:t>
      </w:r>
      <w:r w:rsidR="006F050E">
        <w:rPr>
          <w:rFonts w:cs="Calibri"/>
          <w:color w:val="auto"/>
          <w:sz w:val="20"/>
          <w:szCs w:val="20"/>
          <w:lang w:val="es-ES"/>
        </w:rPr>
        <w:t xml:space="preserve">anteriormente </w:t>
      </w:r>
      <w:r w:rsidR="001B12EC" w:rsidRPr="00BF4E8C">
        <w:rPr>
          <w:rFonts w:cs="Calibri"/>
          <w:sz w:val="20"/>
          <w:szCs w:val="20"/>
          <w:lang w:val="es-ES_tradnl"/>
        </w:rPr>
        <w:t xml:space="preserve">que la calidad de víctima ante el </w:t>
      </w:r>
      <w:r w:rsidR="006F050E">
        <w:rPr>
          <w:rFonts w:cs="Calibri"/>
          <w:sz w:val="20"/>
          <w:szCs w:val="20"/>
          <w:lang w:val="es-ES_tradnl"/>
        </w:rPr>
        <w:t>s</w:t>
      </w:r>
      <w:r w:rsidR="001B12EC" w:rsidRPr="00BF4E8C">
        <w:rPr>
          <w:rFonts w:cs="Calibri"/>
          <w:sz w:val="20"/>
          <w:szCs w:val="20"/>
          <w:lang w:val="es-ES_tradnl"/>
        </w:rPr>
        <w:t xml:space="preserve">istema </w:t>
      </w:r>
      <w:r w:rsidR="006F050E">
        <w:rPr>
          <w:rFonts w:cs="Calibri"/>
          <w:sz w:val="20"/>
          <w:szCs w:val="20"/>
          <w:lang w:val="es-ES_tradnl"/>
        </w:rPr>
        <w:t>i</w:t>
      </w:r>
      <w:r w:rsidR="001B12EC" w:rsidRPr="00BF4E8C">
        <w:rPr>
          <w:rFonts w:cs="Calibri"/>
          <w:sz w:val="20"/>
          <w:szCs w:val="20"/>
          <w:lang w:val="es-ES_tradnl"/>
        </w:rPr>
        <w:t>nteramericano se determina según las disposiciones de la Convención Americana y del Reglamento de la Comisión durante la etapa de fondo ante la CIDH</w:t>
      </w:r>
      <w:r w:rsidR="006F050E">
        <w:rPr>
          <w:rFonts w:cs="Calibri"/>
          <w:sz w:val="20"/>
          <w:szCs w:val="20"/>
          <w:lang w:val="es-ES_tradnl"/>
        </w:rPr>
        <w:t>,</w:t>
      </w:r>
      <w:r w:rsidR="001B12EC" w:rsidRPr="00BF4E8C">
        <w:rPr>
          <w:rFonts w:cs="Calibri"/>
          <w:sz w:val="20"/>
          <w:szCs w:val="20"/>
          <w:lang w:val="es-ES_tradnl"/>
        </w:rPr>
        <w:t xml:space="preserve"> y no ante instancias internas</w:t>
      </w:r>
      <w:r w:rsidR="001B12EC" w:rsidRPr="00BF4E8C">
        <w:rPr>
          <w:rStyle w:val="FootnoteReference"/>
          <w:rFonts w:cs="Calibri"/>
          <w:sz w:val="20"/>
          <w:szCs w:val="20"/>
        </w:rPr>
        <w:footnoteReference w:id="16"/>
      </w:r>
      <w:r w:rsidR="001B12EC" w:rsidRPr="00BF4E8C">
        <w:rPr>
          <w:rFonts w:cs="Calibri"/>
          <w:sz w:val="20"/>
          <w:szCs w:val="20"/>
          <w:lang w:val="es-ES_tradnl"/>
        </w:rPr>
        <w:t>.</w:t>
      </w:r>
      <w:r w:rsidR="00A94806" w:rsidRPr="00BF4E8C">
        <w:rPr>
          <w:rFonts w:cs="Calibri"/>
          <w:sz w:val="20"/>
          <w:szCs w:val="20"/>
          <w:lang w:val="es-ES_tradnl"/>
        </w:rPr>
        <w:t xml:space="preserve"> Por esta razón, la Comisión considera que, de resultar necesario, la identificación plena de la totalidad de las víctimas será determinada con la prueba aportada por las partes en la etapa de fondo. </w:t>
      </w:r>
    </w:p>
    <w:p w14:paraId="7DDD2954" w14:textId="4C53A24B" w:rsidR="001B12EC" w:rsidRPr="00BF4E8C" w:rsidRDefault="00EC0810" w:rsidP="001B12E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BF4E8C">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BF4E8C">
        <w:rPr>
          <w:bCs/>
          <w:sz w:val="19"/>
          <w:szCs w:val="19"/>
          <w:lang w:val="es-ES"/>
        </w:rPr>
        <w:t xml:space="preserve">artículos </w:t>
      </w:r>
      <w:r w:rsidR="001B12EC" w:rsidRPr="00BF4E8C">
        <w:rPr>
          <w:bCs/>
          <w:sz w:val="19"/>
          <w:szCs w:val="19"/>
          <w:lang w:val="es-ES"/>
        </w:rPr>
        <w:t xml:space="preserve">4 (vida), 5 (integridad personal), 7 (libertad personal), 8 (garantías judiciales), 11 (honra y dignidad), 21 (propiedad), </w:t>
      </w:r>
      <w:r w:rsidR="003E1C67" w:rsidRPr="00BF4E8C">
        <w:rPr>
          <w:bCs/>
          <w:sz w:val="19"/>
          <w:szCs w:val="19"/>
          <w:lang w:val="es-ES"/>
        </w:rPr>
        <w:t>16(libertad de asociación),</w:t>
      </w:r>
      <w:r w:rsidR="001B12EC" w:rsidRPr="00BF4E8C">
        <w:rPr>
          <w:bCs/>
          <w:sz w:val="19"/>
          <w:szCs w:val="19"/>
          <w:lang w:val="es-ES"/>
        </w:rPr>
        <w:t xml:space="preserve"> 24 (igualdad ante la </w:t>
      </w:r>
      <w:r w:rsidR="006B770C">
        <w:rPr>
          <w:bCs/>
          <w:sz w:val="19"/>
          <w:szCs w:val="19"/>
          <w:lang w:val="es-ES"/>
        </w:rPr>
        <w:t xml:space="preserve">ley), y 25 (protección judicial) </w:t>
      </w:r>
      <w:r w:rsidR="001B12EC" w:rsidRPr="00BF4E8C">
        <w:rPr>
          <w:bCs/>
          <w:sz w:val="19"/>
          <w:szCs w:val="19"/>
          <w:lang w:val="es-ES"/>
        </w:rPr>
        <w:t xml:space="preserve"> de la Convención Americana en relación con su artículo 1.1 (obligación de respetar los derechos).</w:t>
      </w:r>
    </w:p>
    <w:p w14:paraId="6390A933" w14:textId="5D54E335" w:rsidR="001B12EC" w:rsidRPr="006B770C" w:rsidRDefault="001B12EC" w:rsidP="001417FD">
      <w:pPr>
        <w:pStyle w:val="ListParagraph"/>
        <w:numPr>
          <w:ilvl w:val="0"/>
          <w:numId w:val="55"/>
        </w:numPr>
        <w:jc w:val="both"/>
        <w:rPr>
          <w:rFonts w:cs="Calibri"/>
          <w:sz w:val="20"/>
          <w:szCs w:val="20"/>
          <w:lang w:val="es-ES_tradnl"/>
        </w:rPr>
      </w:pPr>
      <w:r w:rsidRPr="006B770C">
        <w:rPr>
          <w:rFonts w:asciiTheme="majorHAnsi" w:hAnsiTheme="majorHAnsi"/>
          <w:sz w:val="20"/>
          <w:szCs w:val="20"/>
          <w:lang w:val="es-MX"/>
        </w:rPr>
        <w:t xml:space="preserve">Respecto a las </w:t>
      </w:r>
      <w:r w:rsidR="006F050E">
        <w:rPr>
          <w:rFonts w:asciiTheme="majorHAnsi" w:hAnsiTheme="majorHAnsi"/>
          <w:sz w:val="20"/>
          <w:szCs w:val="20"/>
          <w:lang w:val="es-MX"/>
        </w:rPr>
        <w:t>supuest</w:t>
      </w:r>
      <w:r w:rsidR="006F050E" w:rsidRPr="006B770C">
        <w:rPr>
          <w:rFonts w:asciiTheme="majorHAnsi" w:hAnsiTheme="majorHAnsi"/>
          <w:sz w:val="20"/>
          <w:szCs w:val="20"/>
          <w:lang w:val="es-MX"/>
        </w:rPr>
        <w:t>a</w:t>
      </w:r>
      <w:r w:rsidR="006F050E">
        <w:rPr>
          <w:rFonts w:asciiTheme="majorHAnsi" w:hAnsiTheme="majorHAnsi"/>
          <w:sz w:val="20"/>
          <w:szCs w:val="20"/>
          <w:lang w:val="es-MX"/>
        </w:rPr>
        <w:t>s</w:t>
      </w:r>
      <w:r w:rsidRPr="006B770C">
        <w:rPr>
          <w:rFonts w:asciiTheme="majorHAnsi" w:hAnsiTheme="majorHAnsi"/>
          <w:sz w:val="20"/>
          <w:szCs w:val="20"/>
          <w:lang w:val="es-MX"/>
        </w:rPr>
        <w:t xml:space="preserve"> violaciones </w:t>
      </w:r>
      <w:r w:rsidR="006F050E">
        <w:rPr>
          <w:rFonts w:asciiTheme="majorHAnsi" w:hAnsiTheme="majorHAnsi"/>
          <w:sz w:val="20"/>
          <w:szCs w:val="20"/>
          <w:lang w:val="es-MX"/>
        </w:rPr>
        <w:t>de</w:t>
      </w:r>
      <w:r w:rsidRPr="006B770C">
        <w:rPr>
          <w:rFonts w:asciiTheme="majorHAnsi" w:hAnsiTheme="majorHAnsi"/>
          <w:sz w:val="20"/>
          <w:szCs w:val="20"/>
          <w:lang w:val="es-MX"/>
        </w:rPr>
        <w:t xml:space="preserve"> los artículos </w:t>
      </w:r>
      <w:r w:rsidRPr="006B770C">
        <w:rPr>
          <w:bCs/>
          <w:sz w:val="19"/>
          <w:szCs w:val="19"/>
          <w:lang w:val="es-ES"/>
        </w:rPr>
        <w:t xml:space="preserve">XVIII (justicia) y XXIII (propiedad) de la Declaración Americana, la Comisión ha determinado </w:t>
      </w:r>
      <w:r w:rsidR="006F050E">
        <w:rPr>
          <w:bCs/>
          <w:sz w:val="19"/>
          <w:szCs w:val="19"/>
          <w:lang w:val="es-ES"/>
        </w:rPr>
        <w:t xml:space="preserve">anteriormente </w:t>
      </w:r>
      <w:r w:rsidRPr="006B770C">
        <w:rPr>
          <w:bCs/>
          <w:sz w:val="19"/>
          <w:szCs w:val="19"/>
          <w:lang w:val="es-ES"/>
        </w:rPr>
        <w:t xml:space="preserve">que </w:t>
      </w:r>
      <w:r w:rsidRPr="006B770C">
        <w:rPr>
          <w:rFonts w:cs="Calibri"/>
          <w:sz w:val="20"/>
          <w:szCs w:val="20"/>
          <w:lang w:val="es-ES_tradnl"/>
        </w:rPr>
        <w:t xml:space="preserve">una vez que la Convención Americana entra en vigor en relación con un Estado, ésta y no la Declaración pasa a ser la fuente primaria de derecho aplicable, siempre que la petición se refiera a la presunta violación de derechos idénticos en ambos instrumentos y </w:t>
      </w:r>
      <w:r w:rsidR="006F050E">
        <w:rPr>
          <w:rFonts w:cs="Calibri"/>
          <w:sz w:val="20"/>
          <w:szCs w:val="20"/>
          <w:lang w:val="es-ES_tradnl"/>
        </w:rPr>
        <w:t xml:space="preserve">que </w:t>
      </w:r>
      <w:r w:rsidRPr="006B770C">
        <w:rPr>
          <w:rFonts w:cs="Calibri"/>
          <w:sz w:val="20"/>
          <w:szCs w:val="20"/>
          <w:lang w:val="es-ES_tradnl"/>
        </w:rPr>
        <w:t>no se trate de una situación continua. En el presente caso</w:t>
      </w:r>
      <w:r w:rsidR="006F050E">
        <w:rPr>
          <w:rFonts w:cs="Calibri"/>
          <w:sz w:val="20"/>
          <w:szCs w:val="20"/>
          <w:lang w:val="es-ES_tradnl"/>
        </w:rPr>
        <w:t>,</w:t>
      </w:r>
      <w:r w:rsidRPr="006B770C">
        <w:rPr>
          <w:rFonts w:cs="Calibri"/>
          <w:sz w:val="20"/>
          <w:szCs w:val="20"/>
          <w:lang w:val="es-ES_tradnl"/>
        </w:rPr>
        <w:t xml:space="preserve"> la Comisión considera que las </w:t>
      </w:r>
      <w:r w:rsidR="006F050E">
        <w:rPr>
          <w:rFonts w:cs="Calibri"/>
          <w:sz w:val="20"/>
          <w:szCs w:val="20"/>
          <w:lang w:val="es-ES_tradnl"/>
        </w:rPr>
        <w:t>presuntas</w:t>
      </w:r>
      <w:r w:rsidRPr="006B770C">
        <w:rPr>
          <w:rFonts w:cs="Calibri"/>
          <w:sz w:val="20"/>
          <w:szCs w:val="20"/>
          <w:lang w:val="es-ES_tradnl"/>
        </w:rPr>
        <w:t xml:space="preserve"> violaciones </w:t>
      </w:r>
      <w:r w:rsidR="006F050E">
        <w:rPr>
          <w:rFonts w:cs="Calibri"/>
          <w:sz w:val="20"/>
          <w:szCs w:val="20"/>
          <w:lang w:val="es-ES_tradnl"/>
        </w:rPr>
        <w:t>de</w:t>
      </w:r>
      <w:r w:rsidRPr="006B770C">
        <w:rPr>
          <w:rFonts w:cs="Calibri"/>
          <w:sz w:val="20"/>
          <w:szCs w:val="20"/>
          <w:lang w:val="es-ES_tradnl"/>
        </w:rPr>
        <w:t xml:space="preserve"> estos artículos no escapan el ámbito e protección de los artículos 8, 21 y 25 de la Convención Americana por lo que las Comisión las examinará a la luz de estos artículos</w:t>
      </w:r>
      <w:r w:rsidRPr="007D1178">
        <w:rPr>
          <w:rFonts w:cs="Calibri"/>
          <w:sz w:val="20"/>
          <w:szCs w:val="20"/>
          <w:lang w:val="es-ES_tradnl"/>
        </w:rPr>
        <w:t>. En adición y en cuanto a las alegadas violaciones al artículo XI (</w:t>
      </w:r>
      <w:r w:rsidRPr="007D1178">
        <w:rPr>
          <w:bCs/>
          <w:sz w:val="19"/>
          <w:szCs w:val="19"/>
          <w:lang w:val="es-ES"/>
        </w:rPr>
        <w:t xml:space="preserve">preservación de la salud y bienestar) de la Declaración Americana la </w:t>
      </w:r>
      <w:r w:rsidR="00755000" w:rsidRPr="007D1178">
        <w:rPr>
          <w:rFonts w:asciiTheme="majorHAnsi" w:hAnsiTheme="majorHAnsi" w:cs="Calibri"/>
          <w:color w:val="auto"/>
          <w:sz w:val="20"/>
          <w:szCs w:val="20"/>
          <w:lang w:val="es-ES"/>
        </w:rPr>
        <w:t xml:space="preserve">Comisión considera que </w:t>
      </w:r>
      <w:r w:rsidR="006B770C" w:rsidRPr="007D1178">
        <w:rPr>
          <w:rFonts w:asciiTheme="majorHAnsi" w:hAnsiTheme="majorHAnsi" w:cs="Calibri"/>
          <w:color w:val="auto"/>
          <w:sz w:val="20"/>
          <w:szCs w:val="20"/>
          <w:lang w:val="es-ES"/>
        </w:rPr>
        <w:t xml:space="preserve">los peticionarios no han expuesto ni surge del expediente elementos o sustento suficiente para considerar </w:t>
      </w:r>
      <w:r w:rsidR="006B770C" w:rsidRPr="007D1178">
        <w:rPr>
          <w:rFonts w:asciiTheme="majorHAnsi" w:hAnsiTheme="majorHAnsi" w:cs="Calibri"/>
          <w:i/>
          <w:color w:val="auto"/>
          <w:sz w:val="20"/>
          <w:szCs w:val="20"/>
          <w:lang w:val="es-ES"/>
        </w:rPr>
        <w:t xml:space="preserve">prima facie </w:t>
      </w:r>
      <w:r w:rsidR="006B770C" w:rsidRPr="007D1178">
        <w:rPr>
          <w:rFonts w:asciiTheme="majorHAnsi" w:hAnsiTheme="majorHAnsi" w:cs="Calibri"/>
          <w:color w:val="auto"/>
          <w:sz w:val="20"/>
          <w:szCs w:val="20"/>
          <w:lang w:val="es-ES"/>
        </w:rPr>
        <w:t>su posible violación.</w:t>
      </w:r>
    </w:p>
    <w:p w14:paraId="4A525776" w14:textId="77777777" w:rsidR="006B770C" w:rsidRPr="006B770C" w:rsidRDefault="006B770C" w:rsidP="006B770C">
      <w:pPr>
        <w:pStyle w:val="ListParagraph"/>
        <w:jc w:val="both"/>
        <w:rPr>
          <w:rFonts w:cs="Calibri"/>
          <w:sz w:val="20"/>
          <w:szCs w:val="20"/>
          <w:lang w:val="es-ES_tradnl"/>
        </w:rPr>
      </w:pPr>
    </w:p>
    <w:p w14:paraId="6925CADA" w14:textId="78EDB94F" w:rsidR="00153012" w:rsidRPr="00BF4E8C" w:rsidRDefault="00153012" w:rsidP="0015301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BF4E8C">
        <w:rPr>
          <w:rFonts w:cs="Calibri"/>
          <w:sz w:val="20"/>
          <w:szCs w:val="20"/>
          <w:lang w:val="es-ES_tradnl"/>
        </w:rPr>
        <w:t xml:space="preserve">Con respecto a los alegatos del Estado </w:t>
      </w:r>
      <w:r w:rsidR="006F050E">
        <w:rPr>
          <w:rFonts w:cs="Calibri"/>
          <w:sz w:val="20"/>
          <w:szCs w:val="20"/>
          <w:lang w:val="es-ES_tradnl"/>
        </w:rPr>
        <w:t>sobre</w:t>
      </w:r>
      <w:r w:rsidRPr="00BF4E8C">
        <w:rPr>
          <w:rFonts w:cs="Calibri"/>
          <w:sz w:val="20"/>
          <w:szCs w:val="20"/>
          <w:lang w:val="es-ES_tradnl"/>
        </w:rPr>
        <w:t xml:space="preserve"> la llamada fórmula de “cuarta instancia”</w:t>
      </w:r>
      <w:r w:rsidRPr="00BF4E8C">
        <w:rPr>
          <w:sz w:val="20"/>
          <w:szCs w:val="20"/>
          <w:lang w:val="es-ES_tradnl"/>
        </w:rPr>
        <w:t>, la Comisión 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w:t>
      </w:r>
      <w:r w:rsidR="006F050E">
        <w:rPr>
          <w:sz w:val="20"/>
          <w:szCs w:val="20"/>
          <w:lang w:val="es-ES_tradnl"/>
        </w:rPr>
        <w:t>l mismo</w:t>
      </w:r>
      <w:r w:rsidRPr="00BF4E8C">
        <w:rPr>
          <w:sz w:val="20"/>
          <w:szCs w:val="20"/>
          <w:lang w:val="es-ES_tradnl"/>
        </w:rPr>
        <w:t>.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BF4E8C">
        <w:rPr>
          <w:rStyle w:val="FootnoteReference"/>
          <w:rFonts w:cs="Calibri"/>
          <w:sz w:val="20"/>
          <w:szCs w:val="20"/>
          <w:lang w:val="es-ES_tradnl"/>
        </w:rPr>
        <w:footnoteReference w:id="17"/>
      </w:r>
    </w:p>
    <w:p w14:paraId="29BB41F5" w14:textId="45F3FA1F" w:rsidR="003239B8" w:rsidRPr="00BF4E8C" w:rsidRDefault="00EC72AB" w:rsidP="00B92D4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F4E8C">
        <w:rPr>
          <w:rFonts w:asciiTheme="majorHAnsi" w:hAnsiTheme="majorHAnsi"/>
          <w:b/>
          <w:bCs/>
          <w:sz w:val="20"/>
          <w:szCs w:val="20"/>
          <w:lang w:val="es-ES"/>
        </w:rPr>
        <w:t>VI</w:t>
      </w:r>
      <w:r w:rsidR="00F04591" w:rsidRPr="00BF4E8C">
        <w:rPr>
          <w:rFonts w:asciiTheme="majorHAnsi" w:hAnsiTheme="majorHAnsi"/>
          <w:b/>
          <w:bCs/>
          <w:sz w:val="20"/>
          <w:szCs w:val="20"/>
          <w:lang w:val="es-ES"/>
        </w:rPr>
        <w:t>II</w:t>
      </w:r>
      <w:r w:rsidR="003239B8" w:rsidRPr="00BF4E8C">
        <w:rPr>
          <w:rFonts w:asciiTheme="majorHAnsi" w:hAnsiTheme="majorHAnsi"/>
          <w:b/>
          <w:bCs/>
          <w:sz w:val="20"/>
          <w:szCs w:val="20"/>
          <w:lang w:val="es-ES"/>
        </w:rPr>
        <w:t xml:space="preserve">. </w:t>
      </w:r>
      <w:r w:rsidR="003239B8" w:rsidRPr="00BF4E8C">
        <w:rPr>
          <w:rFonts w:asciiTheme="majorHAnsi" w:hAnsiTheme="majorHAnsi"/>
          <w:b/>
          <w:bCs/>
          <w:sz w:val="20"/>
          <w:szCs w:val="20"/>
          <w:lang w:val="es-ES"/>
        </w:rPr>
        <w:tab/>
        <w:t>DECISIÓN</w:t>
      </w:r>
    </w:p>
    <w:p w14:paraId="35FE56CE" w14:textId="3E82AEA7" w:rsidR="00755000" w:rsidRPr="006B770C" w:rsidRDefault="003239B8" w:rsidP="007550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BF4E8C">
        <w:rPr>
          <w:rFonts w:asciiTheme="majorHAnsi" w:hAnsiTheme="majorHAnsi"/>
          <w:sz w:val="20"/>
          <w:szCs w:val="20"/>
          <w:lang w:val="es-ES"/>
        </w:rPr>
        <w:t xml:space="preserve">Declarar </w:t>
      </w:r>
      <w:r w:rsidR="00FA5DB1" w:rsidRPr="00BF4E8C">
        <w:rPr>
          <w:rFonts w:asciiTheme="majorHAnsi" w:hAnsiTheme="majorHAnsi"/>
          <w:sz w:val="20"/>
          <w:szCs w:val="20"/>
          <w:lang w:val="es-ES"/>
        </w:rPr>
        <w:t xml:space="preserve">admisible la presente petición </w:t>
      </w:r>
      <w:r w:rsidR="004C3A7D" w:rsidRPr="00BF4E8C">
        <w:rPr>
          <w:rFonts w:asciiTheme="majorHAnsi" w:hAnsiTheme="majorHAnsi"/>
          <w:sz w:val="20"/>
          <w:szCs w:val="20"/>
          <w:lang w:val="es-ES"/>
        </w:rPr>
        <w:t xml:space="preserve">en relación con los artículos </w:t>
      </w:r>
      <w:r w:rsidR="00247B64" w:rsidRPr="00BF4E8C">
        <w:rPr>
          <w:bCs/>
          <w:sz w:val="19"/>
          <w:szCs w:val="19"/>
          <w:lang w:val="es-ES"/>
        </w:rPr>
        <w:t>4</w:t>
      </w:r>
      <w:r w:rsidR="003E1C67" w:rsidRPr="00BF4E8C">
        <w:rPr>
          <w:bCs/>
          <w:sz w:val="19"/>
          <w:szCs w:val="19"/>
          <w:lang w:val="es-ES"/>
        </w:rPr>
        <w:t xml:space="preserve">, </w:t>
      </w:r>
      <w:r w:rsidR="006F050E" w:rsidRPr="00BF4E8C">
        <w:rPr>
          <w:bCs/>
          <w:sz w:val="19"/>
          <w:szCs w:val="19"/>
          <w:lang w:val="es-ES"/>
        </w:rPr>
        <w:t>5,</w:t>
      </w:r>
      <w:r w:rsidR="003E1C67" w:rsidRPr="00BF4E8C">
        <w:rPr>
          <w:bCs/>
          <w:sz w:val="19"/>
          <w:szCs w:val="19"/>
          <w:lang w:val="es-ES"/>
        </w:rPr>
        <w:t xml:space="preserve"> 7, 8, 11, 16</w:t>
      </w:r>
      <w:r w:rsidR="00755000" w:rsidRPr="00BF4E8C">
        <w:rPr>
          <w:bCs/>
          <w:sz w:val="19"/>
          <w:szCs w:val="19"/>
          <w:lang w:val="es-ES"/>
        </w:rPr>
        <w:t xml:space="preserve">, </w:t>
      </w:r>
      <w:r w:rsidR="006F050E" w:rsidRPr="00BF4E8C">
        <w:rPr>
          <w:bCs/>
          <w:sz w:val="19"/>
          <w:szCs w:val="19"/>
          <w:lang w:val="es-ES"/>
        </w:rPr>
        <w:t xml:space="preserve">21, </w:t>
      </w:r>
      <w:r w:rsidR="00755000" w:rsidRPr="00BF4E8C">
        <w:rPr>
          <w:bCs/>
          <w:sz w:val="19"/>
          <w:szCs w:val="19"/>
          <w:lang w:val="es-ES"/>
        </w:rPr>
        <w:t>24</w:t>
      </w:r>
      <w:r w:rsidR="007D1178">
        <w:rPr>
          <w:bCs/>
          <w:sz w:val="19"/>
          <w:szCs w:val="19"/>
          <w:lang w:val="es-ES"/>
        </w:rPr>
        <w:t xml:space="preserve"> y 25</w:t>
      </w:r>
      <w:r w:rsidR="00755000" w:rsidRPr="00BF4E8C">
        <w:rPr>
          <w:bCs/>
          <w:sz w:val="19"/>
          <w:szCs w:val="19"/>
          <w:lang w:val="es-ES"/>
        </w:rPr>
        <w:t xml:space="preserve"> de la Convención Americana en r</w:t>
      </w:r>
      <w:r w:rsidR="006B770C">
        <w:rPr>
          <w:bCs/>
          <w:sz w:val="19"/>
          <w:szCs w:val="19"/>
          <w:lang w:val="es-ES"/>
        </w:rPr>
        <w:t>elación con su artículo 1.1</w:t>
      </w:r>
      <w:r w:rsidR="006F050E">
        <w:rPr>
          <w:bCs/>
          <w:sz w:val="19"/>
          <w:szCs w:val="19"/>
          <w:lang w:val="es-ES"/>
        </w:rPr>
        <w:t>.</w:t>
      </w:r>
      <w:r w:rsidR="006B770C">
        <w:rPr>
          <w:bCs/>
          <w:sz w:val="19"/>
          <w:szCs w:val="19"/>
          <w:lang w:val="es-ES"/>
        </w:rPr>
        <w:t xml:space="preserve">  </w:t>
      </w:r>
    </w:p>
    <w:p w14:paraId="164EF7A0" w14:textId="0A7EB710" w:rsidR="003E2134" w:rsidRPr="006B770C" w:rsidRDefault="006B770C" w:rsidP="006B77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bCs/>
          <w:sz w:val="19"/>
          <w:szCs w:val="19"/>
          <w:lang w:val="es-MX"/>
        </w:rPr>
        <w:t>Declarar inadmisible la presente petición en relación con el artículo XI de la Declaración Americana</w:t>
      </w:r>
      <w:r w:rsidR="006F050E">
        <w:rPr>
          <w:bCs/>
          <w:sz w:val="19"/>
          <w:szCs w:val="19"/>
          <w:lang w:val="es-MX"/>
        </w:rPr>
        <w:t>.</w:t>
      </w:r>
    </w:p>
    <w:p w14:paraId="4157390F" w14:textId="216E51D9" w:rsidR="00D93A90" w:rsidRPr="00DD2181"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BF4E8C">
        <w:rPr>
          <w:rFonts w:asciiTheme="majorHAnsi" w:hAnsiTheme="majorHAnsi"/>
          <w:sz w:val="20"/>
          <w:szCs w:val="20"/>
          <w:lang w:val="es-ES"/>
        </w:rPr>
        <w:t>Notificar a las partes la presente de</w:t>
      </w:r>
      <w:r w:rsidR="00FA5DB1" w:rsidRPr="00BF4E8C">
        <w:rPr>
          <w:rFonts w:asciiTheme="majorHAnsi" w:hAnsiTheme="majorHAnsi"/>
          <w:sz w:val="20"/>
          <w:szCs w:val="20"/>
          <w:lang w:val="es-ES"/>
        </w:rPr>
        <w:t xml:space="preserve">cisión; </w:t>
      </w:r>
      <w:r w:rsidRPr="00BF4E8C">
        <w:rPr>
          <w:rFonts w:asciiTheme="majorHAnsi" w:hAnsiTheme="majorHAnsi"/>
          <w:sz w:val="20"/>
          <w:szCs w:val="20"/>
          <w:lang w:val="es-ES"/>
        </w:rPr>
        <w:t>y publicar esta decisión e incluirla en su Informe Anual a la Asamblea General de la Organización de los Estados Americanos.</w:t>
      </w:r>
    </w:p>
    <w:p w14:paraId="473B75BC" w14:textId="77777777" w:rsidR="00927DCD" w:rsidRPr="00A37B82" w:rsidRDefault="00927DCD" w:rsidP="00927DC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F2079B9" w14:textId="77777777" w:rsidR="00927DCD" w:rsidRPr="00A37B82" w:rsidRDefault="00927DCD" w:rsidP="00927DCD">
      <w:pPr>
        <w:suppressAutoHyphens/>
        <w:ind w:firstLine="720"/>
        <w:jc w:val="both"/>
        <w:rPr>
          <w:rFonts w:asciiTheme="majorHAnsi" w:hAnsiTheme="majorHAnsi" w:cs="Arial"/>
          <w:noProof/>
          <w:spacing w:val="-2"/>
          <w:sz w:val="20"/>
          <w:szCs w:val="20"/>
          <w:lang w:val="es-CL"/>
        </w:rPr>
      </w:pPr>
    </w:p>
    <w:p w14:paraId="4D49199C" w14:textId="77777777" w:rsidR="00511000" w:rsidRDefault="00511000">
      <w:pPr>
        <w:rPr>
          <w:rFonts w:asciiTheme="majorHAnsi" w:hAnsiTheme="majorHAnsi"/>
          <w:b/>
          <w:sz w:val="20"/>
          <w:szCs w:val="20"/>
          <w:lang w:val="es-ES"/>
        </w:rPr>
      </w:pPr>
      <w:r>
        <w:rPr>
          <w:rFonts w:asciiTheme="majorHAnsi" w:hAnsiTheme="majorHAnsi"/>
          <w:b/>
          <w:sz w:val="20"/>
          <w:szCs w:val="20"/>
          <w:lang w:val="es-ES"/>
        </w:rPr>
        <w:br w:type="page"/>
      </w:r>
    </w:p>
    <w:p w14:paraId="149BDAEC" w14:textId="358F15EE" w:rsidR="00DD2181" w:rsidRDefault="00DD2181" w:rsidP="00927D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sz w:val="20"/>
          <w:szCs w:val="20"/>
          <w:lang w:val="es-ES"/>
        </w:rPr>
      </w:pPr>
      <w:r>
        <w:rPr>
          <w:rFonts w:asciiTheme="majorHAnsi" w:hAnsiTheme="majorHAnsi"/>
          <w:b/>
          <w:sz w:val="20"/>
          <w:szCs w:val="20"/>
          <w:lang w:val="es-ES"/>
        </w:rPr>
        <w:lastRenderedPageBreak/>
        <w:t>Lista de Presuntas Víctimas</w:t>
      </w:r>
    </w:p>
    <w:p w14:paraId="502B9BB3" w14:textId="1C231B1C" w:rsidR="00DD2181" w:rsidRDefault="00DD2181" w:rsidP="00DD21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
        </w:rPr>
      </w:pPr>
    </w:p>
    <w:p w14:paraId="1B670C7C" w14:textId="77777777" w:rsidR="00DD2181" w:rsidRDefault="00DD2181" w:rsidP="00DD2181">
      <w:pPr>
        <w:jc w:val="both"/>
        <w:rPr>
          <w:b/>
          <w:lang w:val="es-PA"/>
        </w:rPr>
      </w:pPr>
      <w:r>
        <w:rPr>
          <w:b/>
          <w:lang w:val="es-PA"/>
        </w:rPr>
        <w:t>Presuntas Víctimas de muerte</w:t>
      </w:r>
    </w:p>
    <w:p w14:paraId="5B56A040" w14:textId="77777777" w:rsidR="00DD2181" w:rsidRDefault="00DD2181" w:rsidP="00DD2181">
      <w:pPr>
        <w:jc w:val="both"/>
        <w:rPr>
          <w:lang w:val="es-PA"/>
        </w:rPr>
      </w:pPr>
    </w:p>
    <w:p w14:paraId="254EA1BA"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Fausto Hurtado Córdoba</w:t>
      </w:r>
    </w:p>
    <w:p w14:paraId="549F1451"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Dario Torres Marimon</w:t>
      </w:r>
    </w:p>
    <w:p w14:paraId="75DB46A8"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Jhon Jairo Lobo</w:t>
      </w:r>
    </w:p>
    <w:p w14:paraId="7832960F"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Asmet Barrios Fuentes</w:t>
      </w:r>
    </w:p>
    <w:p w14:paraId="47B3C78B"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Santiago Mejía Guerrero </w:t>
      </w:r>
    </w:p>
    <w:p w14:paraId="56FAF058"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William Urango Morelos y/o Moreno</w:t>
      </w:r>
    </w:p>
    <w:p w14:paraId="73E3396E"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Hermógenes Rentería Rentería</w:t>
      </w:r>
    </w:p>
    <w:p w14:paraId="6F1F2C84"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José de la Cruz Córdoba Solar</w:t>
      </w:r>
    </w:p>
    <w:p w14:paraId="19FBB207"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Oscar Mosquera Robledo </w:t>
      </w:r>
    </w:p>
    <w:p w14:paraId="67E96393"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Ángel Daniel Hinestroza Hurtado</w:t>
      </w:r>
    </w:p>
    <w:p w14:paraId="7F9DDE9B"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Ramon Córdoba Moreno </w:t>
      </w:r>
    </w:p>
    <w:p w14:paraId="6671E933"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Fulbio Mosquera Velásquez </w:t>
      </w:r>
    </w:p>
    <w:p w14:paraId="3B0C4456"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Marcelino Ospina Marimon</w:t>
      </w:r>
    </w:p>
    <w:p w14:paraId="60A665EA"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Jesús Alexis Asprilla Mosquera </w:t>
      </w:r>
    </w:p>
    <w:p w14:paraId="6AA0B791"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Paulino Rentería Rentería </w:t>
      </w:r>
    </w:p>
    <w:p w14:paraId="32AF35A8"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Yormán Barón Quiñonez</w:t>
      </w:r>
    </w:p>
    <w:p w14:paraId="06AA2ACD"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Robinson Humberto Hisnestroza Mosquera</w:t>
      </w:r>
    </w:p>
    <w:p w14:paraId="4938B9DD"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Lucio Mosquera Murillo</w:t>
      </w:r>
    </w:p>
    <w:p w14:paraId="203F2063"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Jenrry o Henrry Mosquera Mosquera </w:t>
      </w:r>
    </w:p>
    <w:p w14:paraId="30CA4C49"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Emilio Medrano Fernández </w:t>
      </w:r>
    </w:p>
    <w:p w14:paraId="5BDD4996"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Climaco Antonio Herrera</w:t>
      </w:r>
    </w:p>
    <w:p w14:paraId="535CDAC1" w14:textId="77777777" w:rsidR="00DD2181" w:rsidRDefault="00DD2181" w:rsidP="00DD218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Melkis Cantero Blanco</w:t>
      </w:r>
    </w:p>
    <w:p w14:paraId="2C410118" w14:textId="77777777" w:rsidR="00DD2181" w:rsidRDefault="00DD2181" w:rsidP="00DD2181">
      <w:pPr>
        <w:jc w:val="both"/>
        <w:rPr>
          <w:b/>
          <w:lang w:val="es-PA"/>
        </w:rPr>
      </w:pPr>
      <w:r>
        <w:rPr>
          <w:b/>
          <w:lang w:val="es-PA"/>
        </w:rPr>
        <w:t>Presunta víctima de lesión</w:t>
      </w:r>
    </w:p>
    <w:p w14:paraId="54D3CD89" w14:textId="77777777" w:rsidR="00DD2181" w:rsidRPr="007F0375" w:rsidRDefault="00DD2181" w:rsidP="00DD218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b/>
          <w:lang w:val="es-PA"/>
        </w:rPr>
      </w:pPr>
      <w:r w:rsidRPr="007F0375">
        <w:rPr>
          <w:lang w:val="es-PA"/>
        </w:rPr>
        <w:t>Celia Mosquera Chala</w:t>
      </w:r>
    </w:p>
    <w:p w14:paraId="5C80D61D" w14:textId="77777777" w:rsidR="00DD2181" w:rsidRDefault="00DD2181" w:rsidP="00DD2181">
      <w:pPr>
        <w:jc w:val="both"/>
        <w:rPr>
          <w:b/>
          <w:lang w:val="es-PA"/>
        </w:rPr>
      </w:pPr>
    </w:p>
    <w:p w14:paraId="55A2EC1A" w14:textId="77777777" w:rsidR="00DD2181" w:rsidRDefault="00DD2181" w:rsidP="00DD2181">
      <w:pPr>
        <w:ind w:left="345"/>
        <w:rPr>
          <w:b/>
          <w:lang w:val="es-PA"/>
        </w:rPr>
      </w:pPr>
      <w:r w:rsidRPr="007F0375">
        <w:rPr>
          <w:b/>
          <w:lang w:val="es-PA"/>
        </w:rPr>
        <w:t>Presuntas víctimas familiares de las presuntas víctimas de muerte</w:t>
      </w:r>
    </w:p>
    <w:p w14:paraId="66488BEB" w14:textId="77777777" w:rsidR="00DD2181" w:rsidRDefault="00DD2181" w:rsidP="00DD2181">
      <w:pPr>
        <w:ind w:left="345"/>
        <w:rPr>
          <w:lang w:val="es-PA"/>
        </w:rPr>
      </w:pPr>
      <w:r>
        <w:rPr>
          <w:lang w:val="es-PA"/>
        </w:rPr>
        <w:t>Familiares de Fausto Hurtado Córdoba</w:t>
      </w:r>
    </w:p>
    <w:p w14:paraId="082C947C"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Yamile Mosquera (compañera permanente)</w:t>
      </w:r>
    </w:p>
    <w:p w14:paraId="314911E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Paula Constanza Hurtado Mosquera (hija)</w:t>
      </w:r>
    </w:p>
    <w:p w14:paraId="5B41390A" w14:textId="77777777" w:rsidR="00DD2181" w:rsidRPr="003A1CEC"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Nayive Hurtado Mosquera (hija)</w:t>
      </w:r>
    </w:p>
    <w:p w14:paraId="70361836" w14:textId="77777777" w:rsidR="00DD2181" w:rsidRDefault="00DD2181" w:rsidP="00DD2181">
      <w:pPr>
        <w:ind w:left="345"/>
        <w:rPr>
          <w:lang w:val="es-PA"/>
        </w:rPr>
      </w:pPr>
      <w:r>
        <w:rPr>
          <w:lang w:val="es-PA"/>
        </w:rPr>
        <w:t>Familiares de Dario Torres Marimon</w:t>
      </w:r>
    </w:p>
    <w:p w14:paraId="664BB8D1"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Luz Amirla Torres Palacio (hija)</w:t>
      </w:r>
    </w:p>
    <w:p w14:paraId="01FE04A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Orleida Torres Castro (hija)</w:t>
      </w:r>
    </w:p>
    <w:p w14:paraId="0905C654"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Leonidas Marimon (padre)</w:t>
      </w:r>
    </w:p>
    <w:p w14:paraId="3D962C75"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Hernán Rivas Marimon (hermano)</w:t>
      </w:r>
    </w:p>
    <w:p w14:paraId="453447D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Rosa Enith Torres Rodríguez (hermana)</w:t>
      </w:r>
    </w:p>
    <w:p w14:paraId="01B5726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Luis Manuel Torres Quintana (hermano)</w:t>
      </w:r>
    </w:p>
    <w:p w14:paraId="28F39F95"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lastRenderedPageBreak/>
        <w:t>Marilis Torres Quintana (hermana)</w:t>
      </w:r>
    </w:p>
    <w:p w14:paraId="253DE4C2"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José Neiltor Torres Rodríguez (hermano)</w:t>
      </w:r>
    </w:p>
    <w:p w14:paraId="527DB7D9"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Samuel Torres Rodríguez (hermano)</w:t>
      </w:r>
    </w:p>
    <w:p w14:paraId="3C02E3B6"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Nelly Torres Rodríguez (hermana)</w:t>
      </w:r>
    </w:p>
    <w:p w14:paraId="55E69BD3"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Elkin Torres Rodríguez (hermano)</w:t>
      </w:r>
    </w:p>
    <w:p w14:paraId="0AF4DE46"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Carlos Alberto Torres Rodríguez (hermano)</w:t>
      </w:r>
    </w:p>
    <w:p w14:paraId="6EFFD721" w14:textId="77777777" w:rsidR="00DD2181" w:rsidRDefault="00DD2181" w:rsidP="00DD2181">
      <w:pPr>
        <w:ind w:left="345"/>
        <w:rPr>
          <w:lang w:val="es-PA"/>
        </w:rPr>
      </w:pPr>
      <w:r>
        <w:rPr>
          <w:lang w:val="es-PA"/>
        </w:rPr>
        <w:t xml:space="preserve">Familiares de Jhon Jairo Lobo Rodríguez </w:t>
      </w:r>
    </w:p>
    <w:p w14:paraId="67ECF390"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Soledad Berrío Lobo (hermana)</w:t>
      </w:r>
    </w:p>
    <w:p w14:paraId="0848CEC8"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Cruz Jhovany Jacome (hermano)</w:t>
      </w:r>
    </w:p>
    <w:p w14:paraId="6C317E9C"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Lilien Johana Lobo Rodríguez (hermana)</w:t>
      </w:r>
    </w:p>
    <w:p w14:paraId="41D30A1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Fabian Trespalacios (hermano)</w:t>
      </w:r>
    </w:p>
    <w:p w14:paraId="583762C8" w14:textId="77777777" w:rsidR="00DD2181" w:rsidRDefault="00DD2181" w:rsidP="00DD2181">
      <w:pPr>
        <w:ind w:left="345"/>
        <w:rPr>
          <w:lang w:val="es-PA"/>
        </w:rPr>
      </w:pPr>
      <w:r>
        <w:rPr>
          <w:lang w:val="es-PA"/>
        </w:rPr>
        <w:t>Familiares de Asmet Barrios Fuentes</w:t>
      </w:r>
    </w:p>
    <w:p w14:paraId="5FD57C9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Rosmiry Barrios Fuentes (cónyuge)</w:t>
      </w:r>
    </w:p>
    <w:p w14:paraId="1C1A1A02"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Bernidis Barrios Fuentes (hermano)</w:t>
      </w:r>
    </w:p>
    <w:p w14:paraId="30646E15"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José Agustín Barrios Fuentes (hermano)</w:t>
      </w:r>
    </w:p>
    <w:p w14:paraId="17DFEDA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Norlidis Barrios Fuentes (hermano)</w:t>
      </w:r>
    </w:p>
    <w:p w14:paraId="04ADDBB8"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Pedro Luis Barrios Fuentes (hermano)</w:t>
      </w:r>
    </w:p>
    <w:p w14:paraId="1CD2DB7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Merlis Barrios Fuentes (hermano)</w:t>
      </w:r>
    </w:p>
    <w:p w14:paraId="603A31D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Eberlidis Barrios Fuentes (hermano)</w:t>
      </w:r>
    </w:p>
    <w:p w14:paraId="33977F4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Dorlidis Barrios Fuentes (hermano)</w:t>
      </w:r>
    </w:p>
    <w:p w14:paraId="55FB26D4"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Euridice Gueto Fuentes (hermano)</w:t>
      </w:r>
    </w:p>
    <w:p w14:paraId="1F0D70E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Asmet Barrios Ballesta (hijo)</w:t>
      </w:r>
    </w:p>
    <w:p w14:paraId="61B1183F"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Hermen Barrios Ballesta (hijo)</w:t>
      </w:r>
    </w:p>
    <w:p w14:paraId="61FC09E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Mirna del Carmen Barrios Ballesta (hija)</w:t>
      </w:r>
    </w:p>
    <w:p w14:paraId="1D155ED4" w14:textId="77777777" w:rsidR="00DD2181" w:rsidRDefault="00DD2181" w:rsidP="00DD2181">
      <w:pPr>
        <w:ind w:left="345"/>
        <w:rPr>
          <w:lang w:val="es-PA"/>
        </w:rPr>
      </w:pPr>
      <w:r>
        <w:rPr>
          <w:lang w:val="es-PA"/>
        </w:rPr>
        <w:t>Familiares de Santiago Mejía Guerrero</w:t>
      </w:r>
    </w:p>
    <w:p w14:paraId="57E3B86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María Amparo Naverrete (compañera permanente)</w:t>
      </w:r>
    </w:p>
    <w:p w14:paraId="5626ACB3"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Estaban Mejía Polo (padre)</w:t>
      </w:r>
    </w:p>
    <w:p w14:paraId="24BC21F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Gertrudis Guerrero Hernández (madre)</w:t>
      </w:r>
    </w:p>
    <w:p w14:paraId="60702A3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Domingo Mejía Guerrero (hermano)</w:t>
      </w:r>
    </w:p>
    <w:p w14:paraId="4A107B3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Esteban Mejía Guerrero (hermano)</w:t>
      </w:r>
    </w:p>
    <w:p w14:paraId="7554A54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Dagoberto Mejía Guerrero (hermano)</w:t>
      </w:r>
    </w:p>
    <w:p w14:paraId="4B5597F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Tatiana Mejía Guerrero (hermano)</w:t>
      </w:r>
    </w:p>
    <w:p w14:paraId="2DB4C736"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Evangelista Mejía Guerrero (hermana)</w:t>
      </w:r>
    </w:p>
    <w:p w14:paraId="0B4B379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Glendis Mejía Guerrero (hermana)</w:t>
      </w:r>
    </w:p>
    <w:p w14:paraId="5FA04E95"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Adriana Mejía Guerrero (hermana)</w:t>
      </w:r>
    </w:p>
    <w:p w14:paraId="23F382D9" w14:textId="77777777" w:rsidR="00DD2181" w:rsidRDefault="00DD2181" w:rsidP="00DD2181">
      <w:pPr>
        <w:ind w:left="345"/>
        <w:rPr>
          <w:lang w:val="es-PA"/>
        </w:rPr>
      </w:pPr>
      <w:r>
        <w:rPr>
          <w:lang w:val="es-PA"/>
        </w:rPr>
        <w:t>Familiares de William Urango Morelos y/o Moreno</w:t>
      </w:r>
    </w:p>
    <w:p w14:paraId="4FEF74B4"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Ana Elena Dueñas Guerra (compañera permanente)</w:t>
      </w:r>
    </w:p>
    <w:p w14:paraId="305D0E3C"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Rene Urango Dueñas (hijo)</w:t>
      </w:r>
    </w:p>
    <w:p w14:paraId="7CF7DC66" w14:textId="77777777" w:rsidR="00DD2181" w:rsidRDefault="00DD2181" w:rsidP="00DD2181">
      <w:pPr>
        <w:ind w:left="345"/>
        <w:rPr>
          <w:lang w:val="es-PA"/>
        </w:rPr>
      </w:pPr>
      <w:r>
        <w:rPr>
          <w:lang w:val="es-PA"/>
        </w:rPr>
        <w:t xml:space="preserve">Familiares de Hermógenes Renteria Rentería </w:t>
      </w:r>
    </w:p>
    <w:p w14:paraId="4BCF35A2"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Paulino Rentería Mosquera (padre)</w:t>
      </w:r>
    </w:p>
    <w:p w14:paraId="67495600"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lastRenderedPageBreak/>
        <w:t>Caudina o Claudina Renteria Mena (madre)</w:t>
      </w:r>
    </w:p>
    <w:p w14:paraId="0375292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Erickson Rentería Rentería (hermano)</w:t>
      </w:r>
    </w:p>
    <w:p w14:paraId="40B866E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Martín Rentería Rentería (hermano)</w:t>
      </w:r>
    </w:p>
    <w:p w14:paraId="7D508C6C"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Floria Rentería Rentería (hermana)</w:t>
      </w:r>
    </w:p>
    <w:p w14:paraId="162809A4"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Geronimo Rentería Rentería (hermano)</w:t>
      </w:r>
    </w:p>
    <w:p w14:paraId="19069C8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Jeronima Mosquera Rentería (hermana)</w:t>
      </w:r>
    </w:p>
    <w:p w14:paraId="2DB02A4F" w14:textId="77777777" w:rsidR="00DD2181" w:rsidRDefault="00DD2181" w:rsidP="00DD2181">
      <w:pPr>
        <w:ind w:left="345"/>
        <w:rPr>
          <w:lang w:val="es-PA"/>
        </w:rPr>
      </w:pPr>
      <w:r>
        <w:rPr>
          <w:lang w:val="es-PA"/>
        </w:rPr>
        <w:t xml:space="preserve">Familiares de José de la Cruz Córdoba Solar </w:t>
      </w:r>
    </w:p>
    <w:p w14:paraId="5A53D9D0"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Ubis María Córdoba Solar (hermana)</w:t>
      </w:r>
    </w:p>
    <w:p w14:paraId="5DD7D47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Maria Concepción Solar Barrios (hermana)</w:t>
      </w:r>
    </w:p>
    <w:p w14:paraId="3BFF5D4F"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Nicolas Mosquera Solar (hermano)</w:t>
      </w:r>
    </w:p>
    <w:p w14:paraId="4EAB6562"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Virginia María Solar Barrios (hermana)</w:t>
      </w:r>
    </w:p>
    <w:p w14:paraId="205D3798" w14:textId="77777777" w:rsidR="00DD2181" w:rsidRDefault="00DD2181" w:rsidP="00DD2181">
      <w:pPr>
        <w:ind w:left="345"/>
        <w:rPr>
          <w:lang w:val="es-PA"/>
        </w:rPr>
      </w:pPr>
    </w:p>
    <w:p w14:paraId="332A97A3" w14:textId="77777777" w:rsidR="00DD2181" w:rsidRDefault="00DD2181" w:rsidP="00DD2181">
      <w:pPr>
        <w:ind w:left="345"/>
        <w:rPr>
          <w:lang w:val="es-PA"/>
        </w:rPr>
      </w:pPr>
      <w:r>
        <w:rPr>
          <w:lang w:val="es-PA"/>
        </w:rPr>
        <w:t>Familiares de Oscar Mosquera Robledo</w:t>
      </w:r>
    </w:p>
    <w:p w14:paraId="040824C1" w14:textId="77777777" w:rsidR="00DD2181" w:rsidRPr="00460B5A"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sidRPr="00460B5A">
        <w:rPr>
          <w:lang w:val="es-PA"/>
        </w:rPr>
        <w:t>Luz Nancy Hinestroza Mosquera (compañera permanente)</w:t>
      </w:r>
    </w:p>
    <w:p w14:paraId="4776C01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José Eliecer Mosquera Moya (hijo)</w:t>
      </w:r>
    </w:p>
    <w:p w14:paraId="31B483E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Melida Meina Robledo (madre)</w:t>
      </w:r>
    </w:p>
    <w:p w14:paraId="75361D2C"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Gabriel Blandon Robledo (hermano)</w:t>
      </w:r>
    </w:p>
    <w:p w14:paraId="380A076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Agustina Asprilla Robledo (hermana)</w:t>
      </w:r>
    </w:p>
    <w:p w14:paraId="73CB2CA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Herminio Blandon Robledo (hermano)</w:t>
      </w:r>
    </w:p>
    <w:p w14:paraId="547DA10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Delna Mosquera Gutierrez (hermano)</w:t>
      </w:r>
    </w:p>
    <w:p w14:paraId="729805D3"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Aurela Blandon Robledo (hermano)</w:t>
      </w:r>
    </w:p>
    <w:p w14:paraId="4D245FE5"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Eladio Romaña Robledo (hermano)</w:t>
      </w:r>
    </w:p>
    <w:p w14:paraId="077FB1E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Filomena o Filomena Asprilla Robledo (hermana)</w:t>
      </w:r>
    </w:p>
    <w:p w14:paraId="48D9B3D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Josefa Mosquero Prado (hermana)</w:t>
      </w:r>
    </w:p>
    <w:p w14:paraId="62D59B78"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José Gregorio Mosquera Prado (hermano)</w:t>
      </w:r>
    </w:p>
    <w:p w14:paraId="37BA2C4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Josefina Mosquera Prado (hermana)</w:t>
      </w:r>
    </w:p>
    <w:p w14:paraId="7C425A6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Yurlenis Mosquera Berrio (hermana)</w:t>
      </w:r>
    </w:p>
    <w:p w14:paraId="1893898C"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Yuber Arley Córdoba Palacios (sobrino)</w:t>
      </w:r>
    </w:p>
    <w:p w14:paraId="6F108F35"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Faber Córdoba Palacios (sobrino)</w:t>
      </w:r>
    </w:p>
    <w:p w14:paraId="6952CBC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Sixto Blandon Robledo (hermano)</w:t>
      </w:r>
    </w:p>
    <w:p w14:paraId="286178E0"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Harold Mosquera Ospina (hijo)</w:t>
      </w:r>
    </w:p>
    <w:p w14:paraId="3E66F773" w14:textId="77777777" w:rsidR="00DD2181" w:rsidRDefault="00DD2181" w:rsidP="00DD2181">
      <w:pPr>
        <w:ind w:left="345"/>
        <w:rPr>
          <w:lang w:val="es-PA"/>
        </w:rPr>
      </w:pPr>
      <w:r>
        <w:rPr>
          <w:lang w:val="es-PA"/>
        </w:rPr>
        <w:t xml:space="preserve">Familiares de Angel Daniel Hinestroza Hurtado </w:t>
      </w:r>
    </w:p>
    <w:p w14:paraId="0F2FDAF6"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Luz Estrella Flores Ruiz (compañera permanente)</w:t>
      </w:r>
    </w:p>
    <w:p w14:paraId="39EFBD39"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Eduvicia Hurtado Hinestroza (madre)</w:t>
      </w:r>
    </w:p>
    <w:p w14:paraId="3D3B13D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Estella Hinestroza Hurtado (hermana)</w:t>
      </w:r>
    </w:p>
    <w:p w14:paraId="1E74FAAC"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Manuel Segundo Hinestroza Horjuela o Horejuela (hermano)</w:t>
      </w:r>
    </w:p>
    <w:p w14:paraId="08C14A9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Libia Hinestroza Hurtado (hermano)</w:t>
      </w:r>
    </w:p>
    <w:p w14:paraId="7A58305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Elizabeth Hinestroza Hurtado (hermana)</w:t>
      </w:r>
    </w:p>
    <w:p w14:paraId="24445CF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Euripides Hinestroza Mosquera (hermano)</w:t>
      </w:r>
    </w:p>
    <w:p w14:paraId="6DB043D4"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Leila Hinestroza Hurtado (hermana)</w:t>
      </w:r>
    </w:p>
    <w:p w14:paraId="1E2707C4"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Abel Antonio HInestroza (hermano)</w:t>
      </w:r>
    </w:p>
    <w:p w14:paraId="5A61A578" w14:textId="77777777" w:rsidR="00DD2181" w:rsidRDefault="00DD2181" w:rsidP="00DD2181">
      <w:pPr>
        <w:ind w:left="345"/>
        <w:rPr>
          <w:lang w:val="es-PA"/>
        </w:rPr>
      </w:pPr>
      <w:r>
        <w:rPr>
          <w:lang w:val="es-PA"/>
        </w:rPr>
        <w:lastRenderedPageBreak/>
        <w:t xml:space="preserve">Familiares de Ramón Córdoba Moreno </w:t>
      </w:r>
    </w:p>
    <w:p w14:paraId="6F15E06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Alba Nery Palacios García (cónyuge)</w:t>
      </w:r>
    </w:p>
    <w:p w14:paraId="354FD51F"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Yuber Arley Córdoba Palacios (hijo)</w:t>
      </w:r>
    </w:p>
    <w:p w14:paraId="52AFD529"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Faiber Córdoba Palacios (hijo)</w:t>
      </w:r>
    </w:p>
    <w:p w14:paraId="3E916A00" w14:textId="77777777" w:rsidR="00DD2181" w:rsidRPr="00927DCD"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pt-BR"/>
        </w:rPr>
      </w:pPr>
      <w:r w:rsidRPr="00927DCD">
        <w:rPr>
          <w:lang w:val="pt-BR"/>
        </w:rPr>
        <w:t>Heiler Alberto Cardona Palacios (padre)</w:t>
      </w:r>
    </w:p>
    <w:p w14:paraId="6B9C4F40"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Yuber Arley Córdoba Palacios (sobrino)</w:t>
      </w:r>
    </w:p>
    <w:p w14:paraId="66992E81"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Faiber Córdoba Palacios (hijo)</w:t>
      </w:r>
    </w:p>
    <w:p w14:paraId="1D99E634" w14:textId="77777777" w:rsidR="00DD2181" w:rsidRPr="00927DCD"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pt-BR"/>
        </w:rPr>
      </w:pPr>
      <w:r w:rsidRPr="00927DCD">
        <w:rPr>
          <w:lang w:val="pt-BR"/>
        </w:rPr>
        <w:t>Heiler Alberto Cardona Palacios (padre)</w:t>
      </w:r>
    </w:p>
    <w:p w14:paraId="34211C7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Hector Córdoba Palacios (hijo)</w:t>
      </w:r>
    </w:p>
    <w:p w14:paraId="754E4803"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Luz Marina Córdoba Palacios (hija)</w:t>
      </w:r>
    </w:p>
    <w:p w14:paraId="572D972C"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Sayi María Córdoba Palacios (hija)</w:t>
      </w:r>
    </w:p>
    <w:p w14:paraId="0B0D4509" w14:textId="77777777" w:rsidR="00DD2181" w:rsidRDefault="00DD2181" w:rsidP="00DD2181">
      <w:pPr>
        <w:ind w:left="345"/>
        <w:rPr>
          <w:lang w:val="es-PA"/>
        </w:rPr>
      </w:pPr>
      <w:r>
        <w:rPr>
          <w:lang w:val="es-PA"/>
        </w:rPr>
        <w:t xml:space="preserve">Familiares de Fulbio Mosquera Velásquez </w:t>
      </w:r>
    </w:p>
    <w:p w14:paraId="171E19C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Luz Marina Mosquera Arroya (compañera permanente)</w:t>
      </w:r>
    </w:p>
    <w:p w14:paraId="78CFA0E9" w14:textId="77777777" w:rsidR="00DD2181" w:rsidRDefault="00DD2181" w:rsidP="00DD2181">
      <w:pPr>
        <w:ind w:left="345"/>
        <w:rPr>
          <w:lang w:val="es-PA"/>
        </w:rPr>
      </w:pPr>
      <w:r>
        <w:rPr>
          <w:lang w:val="es-PA"/>
        </w:rPr>
        <w:t xml:space="preserve">Familiares de Marcelino Ospina Marimon </w:t>
      </w:r>
    </w:p>
    <w:p w14:paraId="505CFEA2"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Argilio Ospina Rengifo (hermano)</w:t>
      </w:r>
    </w:p>
    <w:p w14:paraId="1AA16D96" w14:textId="77777777" w:rsidR="00DD2181" w:rsidRDefault="00DD2181" w:rsidP="00DD2181">
      <w:pPr>
        <w:ind w:left="345"/>
        <w:rPr>
          <w:lang w:val="es-PA"/>
        </w:rPr>
      </w:pPr>
      <w:r>
        <w:rPr>
          <w:lang w:val="es-PA"/>
        </w:rPr>
        <w:t xml:space="preserve">Familiares de Jesús Alexis Asprilla Mosquera </w:t>
      </w:r>
    </w:p>
    <w:p w14:paraId="3DF5DA13"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Dora Luz Mosquera Palacio (madre)</w:t>
      </w:r>
    </w:p>
    <w:p w14:paraId="1BBBE8C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Derinson Asprilla Mosquera (hermano)</w:t>
      </w:r>
    </w:p>
    <w:p w14:paraId="12DE57B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Leiton José Asprilla Mosquera (hermano)</w:t>
      </w:r>
    </w:p>
    <w:p w14:paraId="76D7C225" w14:textId="77777777" w:rsidR="00DD2181" w:rsidRDefault="00DD2181" w:rsidP="00DD2181">
      <w:pPr>
        <w:ind w:left="345"/>
        <w:rPr>
          <w:lang w:val="es-PA"/>
        </w:rPr>
      </w:pPr>
      <w:r>
        <w:rPr>
          <w:lang w:val="es-PA"/>
        </w:rPr>
        <w:t xml:space="preserve">Familiares de Paulino Rentería Rentería </w:t>
      </w:r>
    </w:p>
    <w:p w14:paraId="4E400E43"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Ely Johana Rentería Mosquera (hija)</w:t>
      </w:r>
    </w:p>
    <w:p w14:paraId="0A6FEDE5"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Erickson Rentería Rentería (hermano)</w:t>
      </w:r>
    </w:p>
    <w:p w14:paraId="03061D99"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Martín Rentería Rentería (hermano)</w:t>
      </w:r>
    </w:p>
    <w:p w14:paraId="1CAA1AE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Marina Leureana Mosquera Palacio (compañera permanente)</w:t>
      </w:r>
    </w:p>
    <w:p w14:paraId="44D7AD3F"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Jerónima Mosquera Rentería (hermana)</w:t>
      </w:r>
    </w:p>
    <w:p w14:paraId="211E2EBE" w14:textId="77777777" w:rsidR="00DD2181" w:rsidRDefault="00DD2181" w:rsidP="00DD2181">
      <w:pPr>
        <w:ind w:left="345"/>
        <w:rPr>
          <w:lang w:val="es-PA"/>
        </w:rPr>
      </w:pPr>
      <w:r>
        <w:rPr>
          <w:lang w:val="es-PA"/>
        </w:rPr>
        <w:t>Familiares de Yorman Barón Quiñonez</w:t>
      </w:r>
    </w:p>
    <w:p w14:paraId="1DF3F53C"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Neila Barón Quiñonez (madre)</w:t>
      </w:r>
    </w:p>
    <w:p w14:paraId="3313B9D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Jorge Luis Barón Quiñones (hermano)</w:t>
      </w:r>
    </w:p>
    <w:p w14:paraId="16CD4C0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Elkin Darío Causil Baron (hermano)</w:t>
      </w:r>
    </w:p>
    <w:p w14:paraId="5CEAFACA"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Julieth Patricia Causil Baron (hermana)</w:t>
      </w:r>
    </w:p>
    <w:p w14:paraId="3DA40B72" w14:textId="77777777" w:rsidR="00DD2181" w:rsidRDefault="00DD2181" w:rsidP="00DD2181">
      <w:pPr>
        <w:ind w:left="345"/>
        <w:rPr>
          <w:lang w:val="es-PA"/>
        </w:rPr>
      </w:pPr>
      <w:r>
        <w:rPr>
          <w:lang w:val="es-PA"/>
        </w:rPr>
        <w:t>Familiares de Robinson Humberto Hinestroza Mosquera</w:t>
      </w:r>
    </w:p>
    <w:p w14:paraId="5957FC1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Ciria Mosquera Ubaldo (madre)</w:t>
      </w:r>
    </w:p>
    <w:p w14:paraId="1F6FCD5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María Santos Mosquera Urrutia (hermana)</w:t>
      </w:r>
    </w:p>
    <w:p w14:paraId="1F2620AF"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Yurley Samira Mosquera Urrutia (hermana)</w:t>
      </w:r>
    </w:p>
    <w:p w14:paraId="14C0A062"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Diego Mosquera Urrutia (hermano)</w:t>
      </w:r>
    </w:p>
    <w:p w14:paraId="3CD59C0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Quirdaris Mosquera Urrutia (hermana)</w:t>
      </w:r>
    </w:p>
    <w:p w14:paraId="69CF9CDF" w14:textId="77777777" w:rsidR="00DD2181" w:rsidRPr="00927DCD"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pt-BR"/>
        </w:rPr>
      </w:pPr>
      <w:r w:rsidRPr="00927DCD">
        <w:rPr>
          <w:lang w:val="pt-BR"/>
        </w:rPr>
        <w:t>Sandra Patricia Mosquera Urrutia (hermana)</w:t>
      </w:r>
    </w:p>
    <w:p w14:paraId="5CC1F92B"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Sirley Yasida Mosquera Urrutia (hermana)</w:t>
      </w:r>
    </w:p>
    <w:p w14:paraId="1880BE84"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Juan Pablo Mosquera Mosquera (hermano)</w:t>
      </w:r>
    </w:p>
    <w:p w14:paraId="1E1983E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Dailis Victoria Mosquera Mosquera (hermana)</w:t>
      </w:r>
    </w:p>
    <w:p w14:paraId="53E6065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lastRenderedPageBreak/>
        <w:t>Dellys Yomara Pineda Mosquera (hermana)</w:t>
      </w:r>
    </w:p>
    <w:p w14:paraId="3A8F08A2" w14:textId="77777777" w:rsidR="00DD2181" w:rsidRDefault="00DD2181" w:rsidP="00DD2181">
      <w:pPr>
        <w:ind w:left="345"/>
        <w:rPr>
          <w:lang w:val="es-PA"/>
        </w:rPr>
      </w:pPr>
      <w:r>
        <w:rPr>
          <w:lang w:val="es-PA"/>
        </w:rPr>
        <w:t>Familiares de Lucio Mosquera Murillo</w:t>
      </w:r>
    </w:p>
    <w:p w14:paraId="1C4B0971"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Jesús Adriano Mosquera Palacio (hermano)</w:t>
      </w:r>
    </w:p>
    <w:p w14:paraId="05B5FEAF" w14:textId="77777777" w:rsidR="00DD2181" w:rsidRDefault="00DD2181" w:rsidP="00DD2181">
      <w:pPr>
        <w:ind w:left="345"/>
        <w:rPr>
          <w:lang w:val="es-PA"/>
        </w:rPr>
      </w:pPr>
      <w:r>
        <w:rPr>
          <w:lang w:val="es-PA"/>
        </w:rPr>
        <w:t>Familiares de Jenrry o Henrry Mosquera Mosquera</w:t>
      </w:r>
    </w:p>
    <w:p w14:paraId="31F82FC1"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Ernesto Mosquera Moreno (padre)</w:t>
      </w:r>
    </w:p>
    <w:p w14:paraId="194CD116" w14:textId="77777777" w:rsidR="00DD2181" w:rsidRDefault="00DD2181" w:rsidP="00DD2181">
      <w:pPr>
        <w:ind w:left="345"/>
        <w:rPr>
          <w:lang w:val="es-PA"/>
        </w:rPr>
      </w:pPr>
      <w:r>
        <w:rPr>
          <w:lang w:val="es-PA"/>
        </w:rPr>
        <w:t xml:space="preserve">Familiares de Emilio Medrano Fernández </w:t>
      </w:r>
    </w:p>
    <w:p w14:paraId="32FE07E5"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Ramona Cordero Díaz (compañera permanente)</w:t>
      </w:r>
    </w:p>
    <w:p w14:paraId="568199E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Desly del Carmen Medrano Cordero (hija)</w:t>
      </w:r>
    </w:p>
    <w:p w14:paraId="44FB3313"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Boris Medrano Cordero (hijo)</w:t>
      </w:r>
    </w:p>
    <w:p w14:paraId="73E34427" w14:textId="77777777" w:rsidR="00DD2181" w:rsidRDefault="00DD2181" w:rsidP="00DD2181">
      <w:pPr>
        <w:ind w:left="345"/>
        <w:rPr>
          <w:lang w:val="es-PA"/>
        </w:rPr>
      </w:pPr>
      <w:r>
        <w:rPr>
          <w:lang w:val="es-PA"/>
        </w:rPr>
        <w:t>Familares de Climaco Antonio Herrera</w:t>
      </w:r>
    </w:p>
    <w:p w14:paraId="70BA8DB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Nubia de Jesús Sepulveda Sepulveda (compañera permanente)</w:t>
      </w:r>
    </w:p>
    <w:p w14:paraId="3FDBA7E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Cenaida Herrera Sepúlveda (hija)</w:t>
      </w:r>
    </w:p>
    <w:p w14:paraId="68C63870"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Walter Herrera Sepúlveda (hijo)</w:t>
      </w:r>
    </w:p>
    <w:p w14:paraId="17701EDF" w14:textId="77777777" w:rsidR="00DD2181" w:rsidRDefault="00DD2181" w:rsidP="00DD2181">
      <w:pPr>
        <w:ind w:left="345"/>
        <w:rPr>
          <w:lang w:val="es-PA"/>
        </w:rPr>
      </w:pPr>
      <w:r>
        <w:rPr>
          <w:lang w:val="es-PA"/>
        </w:rPr>
        <w:t xml:space="preserve">Familiares de Melkis Cantero Blanco </w:t>
      </w:r>
    </w:p>
    <w:p w14:paraId="435CFFFE"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Oneida del Carmen Begambre (compañera permanente)</w:t>
      </w:r>
    </w:p>
    <w:p w14:paraId="61D588D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Joselito Cantero Salgado (padre)</w:t>
      </w:r>
    </w:p>
    <w:p w14:paraId="57EF8A94"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Edita Rosa Blanco (madre)</w:t>
      </w:r>
    </w:p>
    <w:p w14:paraId="1BA42DE1"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Livis Cantero Blanco (hermano)</w:t>
      </w:r>
    </w:p>
    <w:p w14:paraId="0480C99D"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Bellarmina Cantero Blanco (hermana)</w:t>
      </w:r>
    </w:p>
    <w:p w14:paraId="5BC33A57" w14:textId="77777777" w:rsidR="00DD2181" w:rsidRDefault="00DD2181" w:rsidP="00DD21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José Joaquín Cantero Blanco (hermano)</w:t>
      </w:r>
    </w:p>
    <w:p w14:paraId="6BA1FF2F" w14:textId="77777777" w:rsidR="00DD2181" w:rsidRDefault="00DD2181" w:rsidP="00DD2181">
      <w:pPr>
        <w:ind w:left="345"/>
        <w:rPr>
          <w:b/>
          <w:lang w:val="es-PA"/>
        </w:rPr>
      </w:pPr>
    </w:p>
    <w:p w14:paraId="40C79746" w14:textId="77777777" w:rsidR="00DD2181" w:rsidRPr="007F0375" w:rsidRDefault="00DD2181" w:rsidP="00DD2181">
      <w:pPr>
        <w:ind w:left="345"/>
        <w:rPr>
          <w:b/>
          <w:lang w:val="es-PA"/>
        </w:rPr>
      </w:pPr>
      <w:r w:rsidRPr="007F0375">
        <w:rPr>
          <w:b/>
          <w:lang w:val="es-PA"/>
        </w:rPr>
        <w:t>Familiares de</w:t>
      </w:r>
      <w:r>
        <w:rPr>
          <w:b/>
          <w:lang w:val="es-PA"/>
        </w:rPr>
        <w:t xml:space="preserve"> la presunta víctima de lesión </w:t>
      </w:r>
    </w:p>
    <w:p w14:paraId="4403332B" w14:textId="77777777" w:rsidR="00DD2181" w:rsidRPr="007F0375" w:rsidRDefault="00DD2181" w:rsidP="00DD218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Dario Torres Mosquera (hijo)</w:t>
      </w:r>
    </w:p>
    <w:p w14:paraId="49CED130" w14:textId="77777777" w:rsidR="00DD2181" w:rsidRDefault="00DD2181" w:rsidP="00DD218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Danis Torres Mosquera (hijo)</w:t>
      </w:r>
    </w:p>
    <w:p w14:paraId="1E3BECBD" w14:textId="77777777" w:rsidR="00DD2181" w:rsidRPr="000E4ED2" w:rsidRDefault="00DD2181" w:rsidP="00DD218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Danila Torres Mosquera (hija)</w:t>
      </w:r>
    </w:p>
    <w:p w14:paraId="7BF5E161" w14:textId="77777777" w:rsidR="00DD2181" w:rsidRDefault="00DD2181" w:rsidP="00DD2181">
      <w:pPr>
        <w:jc w:val="both"/>
        <w:rPr>
          <w:b/>
          <w:lang w:val="es-PA"/>
        </w:rPr>
      </w:pPr>
    </w:p>
    <w:p w14:paraId="22D43476" w14:textId="77777777" w:rsidR="00DD2181" w:rsidRDefault="00DD2181" w:rsidP="00DD2181">
      <w:pPr>
        <w:ind w:left="345"/>
        <w:jc w:val="both"/>
        <w:rPr>
          <w:b/>
          <w:lang w:val="es-PA"/>
        </w:rPr>
      </w:pPr>
      <w:r>
        <w:rPr>
          <w:b/>
          <w:lang w:val="es-PA"/>
        </w:rPr>
        <w:t>Presuntas víctimas con respecto a las que se indica que instauró una demanda de reparación directa</w:t>
      </w:r>
    </w:p>
    <w:p w14:paraId="41ED4DD6"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Ramón Córdoba Moreno </w:t>
      </w:r>
    </w:p>
    <w:p w14:paraId="47CFE2B5"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Eberto Díaz Vanegas</w:t>
      </w:r>
    </w:p>
    <w:p w14:paraId="0D391D0A"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José Nery Rivas Perea</w:t>
      </w:r>
    </w:p>
    <w:p w14:paraId="631BAF98"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Jhon Jairo Lobo Rodríguez</w:t>
      </w:r>
    </w:p>
    <w:p w14:paraId="382C4571"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Fulvio Mosquera Velásquez </w:t>
      </w:r>
    </w:p>
    <w:p w14:paraId="1570D71F"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Oscar Mosquero Robledo</w:t>
      </w:r>
    </w:p>
    <w:p w14:paraId="24F97649"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Julio Bercelio Guzmán González</w:t>
      </w:r>
    </w:p>
    <w:p w14:paraId="113BA6F0"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Jesús Alexis Asprilla Mosquera</w:t>
      </w:r>
    </w:p>
    <w:p w14:paraId="3880058D"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Fausto Hurtado Córdoba </w:t>
      </w:r>
    </w:p>
    <w:p w14:paraId="2261CD30"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Marcelino Ospina Marimón</w:t>
      </w:r>
    </w:p>
    <w:p w14:paraId="1D09718C"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Melkis Cantero Blanco</w:t>
      </w:r>
    </w:p>
    <w:p w14:paraId="0E55C9CD"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lastRenderedPageBreak/>
        <w:t>Santiago Mejía Guerrero</w:t>
      </w:r>
    </w:p>
    <w:p w14:paraId="0C2B6AF5"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Dario Torres Marimon </w:t>
      </w:r>
    </w:p>
    <w:p w14:paraId="78B2F64B"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Jenry Mosquera Mosquera </w:t>
      </w:r>
    </w:p>
    <w:p w14:paraId="049F8B6B"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Robinson Humberto Mosquera</w:t>
      </w:r>
    </w:p>
    <w:p w14:paraId="77B43832"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Paulino Rentería Rentería </w:t>
      </w:r>
    </w:p>
    <w:p w14:paraId="57DCDC6F"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Hermógenes Rentería Rentería</w:t>
      </w:r>
    </w:p>
    <w:p w14:paraId="4F017B58" w14:textId="77777777" w:rsidR="00DD2181" w:rsidRDefault="00DD2181" w:rsidP="00DD218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José de la Cruz Córdoba Solar </w:t>
      </w:r>
    </w:p>
    <w:p w14:paraId="06E5C3D3" w14:textId="77777777" w:rsidR="00DD2181" w:rsidRDefault="00DD2181" w:rsidP="00DD2181">
      <w:pPr>
        <w:rPr>
          <w:b/>
          <w:lang w:val="es-PA"/>
        </w:rPr>
      </w:pPr>
      <w:r>
        <w:rPr>
          <w:b/>
          <w:lang w:val="es-PA"/>
        </w:rPr>
        <w:t>Presuntas víctimas que señalan como excluidas del acuerdo de conciliación</w:t>
      </w:r>
    </w:p>
    <w:p w14:paraId="37963BDC"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Jairo Moisés Díaz Vanegas</w:t>
      </w:r>
    </w:p>
    <w:p w14:paraId="19834855"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Ferney Díaz Vanegas</w:t>
      </w:r>
    </w:p>
    <w:p w14:paraId="5C7A9D73"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Apolinar Rivas Perea</w:t>
      </w:r>
    </w:p>
    <w:p w14:paraId="66F723EF"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Wilfrido Rivas Perea </w:t>
      </w:r>
    </w:p>
    <w:p w14:paraId="322A7BE4"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Sebastiana Lobo Rodríguez</w:t>
      </w:r>
    </w:p>
    <w:p w14:paraId="22DF9B2B"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Cruz Jobany Lobo Rodríguez</w:t>
      </w:r>
    </w:p>
    <w:p w14:paraId="77508314"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Lilien Johana Lobo Rodríguez</w:t>
      </w:r>
    </w:p>
    <w:p w14:paraId="66C19AE3"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Jacomen Lobo Rodríguez </w:t>
      </w:r>
    </w:p>
    <w:p w14:paraId="2C5FE3C9"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José Gregorio Mosquera Prado </w:t>
      </w:r>
    </w:p>
    <w:p w14:paraId="75B27061"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José Inés Mosquera Prado</w:t>
      </w:r>
    </w:p>
    <w:p w14:paraId="598E3BB0"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Josefina Mosquera Prado</w:t>
      </w:r>
    </w:p>
    <w:p w14:paraId="4094B1EB"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Yamile Asprilla Robledo</w:t>
      </w:r>
    </w:p>
    <w:p w14:paraId="237A5C30"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Oneida del Carmen Begambre Pérez</w:t>
      </w:r>
    </w:p>
    <w:p w14:paraId="282F72C8"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José Cantero </w:t>
      </w:r>
    </w:p>
    <w:p w14:paraId="3F53383A"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Edita Rosa Blanco</w:t>
      </w:r>
    </w:p>
    <w:p w14:paraId="76A0CD2D"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Livis Cantero Blanco</w:t>
      </w:r>
    </w:p>
    <w:p w14:paraId="11EC3BD3"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Bellarmina Cantero Blanco</w:t>
      </w:r>
    </w:p>
    <w:p w14:paraId="2EBFC686"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José Joaquín Cantero Blanco</w:t>
      </w:r>
    </w:p>
    <w:p w14:paraId="0E2FD75A"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Diego Luis Mosquera Caicedo</w:t>
      </w:r>
    </w:p>
    <w:p w14:paraId="5C6554E9"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Ciria Mosquera Ubaldo</w:t>
      </w:r>
    </w:p>
    <w:p w14:paraId="367757D8"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María Santos Mosquera Urrutia </w:t>
      </w:r>
    </w:p>
    <w:p w14:paraId="1B71D436"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Yurley Samira Mosquera Urrutia</w:t>
      </w:r>
    </w:p>
    <w:p w14:paraId="78E6CDD1"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Diego Mosquera Urrutia</w:t>
      </w:r>
    </w:p>
    <w:p w14:paraId="4972BF97"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Quirdaris Mosquera Urrutia</w:t>
      </w:r>
    </w:p>
    <w:p w14:paraId="522CD6A7"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Sandra Patricia Mosquera Urrutia</w:t>
      </w:r>
    </w:p>
    <w:p w14:paraId="1D33937F"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Sirley Yasida Mosquera Urrutia</w:t>
      </w:r>
    </w:p>
    <w:p w14:paraId="5EAE25E8"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Juan Paulo Mosquera Mosquera</w:t>
      </w:r>
    </w:p>
    <w:p w14:paraId="59F12D04"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Dailis Victoria Mosquera Mosquera</w:t>
      </w:r>
    </w:p>
    <w:p w14:paraId="1458D656"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Dellys Yomara Pineda Mosquera</w:t>
      </w:r>
    </w:p>
    <w:p w14:paraId="2F235997"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Caudina o Claudina Rentería Mena</w:t>
      </w:r>
    </w:p>
    <w:p w14:paraId="7A30C01B" w14:textId="77777777" w:rsidR="00DD2181" w:rsidRDefault="00DD2181" w:rsidP="00DD218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lang w:val="es-PA"/>
        </w:rPr>
      </w:pPr>
      <w:r>
        <w:rPr>
          <w:lang w:val="es-PA"/>
        </w:rPr>
        <w:t xml:space="preserve">Paulino Rentería Mosquera </w:t>
      </w:r>
    </w:p>
    <w:p w14:paraId="09D3B001" w14:textId="254C766B" w:rsidR="00DD2181" w:rsidRPr="000F7D85" w:rsidRDefault="00DD2181" w:rsidP="0046382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59" w:lineRule="auto"/>
        <w:contextualSpacing/>
        <w:jc w:val="both"/>
        <w:rPr>
          <w:rFonts w:asciiTheme="majorHAnsi" w:hAnsiTheme="majorHAnsi"/>
          <w:b/>
          <w:sz w:val="20"/>
          <w:szCs w:val="20"/>
          <w:lang w:val="es-PA"/>
        </w:rPr>
      </w:pPr>
      <w:r w:rsidRPr="000F7D85">
        <w:rPr>
          <w:lang w:val="es-PA"/>
        </w:rPr>
        <w:t xml:space="preserve">Urbis María Córdoba Solar </w:t>
      </w:r>
    </w:p>
    <w:p w14:paraId="22BBA9D4" w14:textId="77777777" w:rsidR="00DD2181" w:rsidRPr="00DD2181" w:rsidRDefault="00DD2181" w:rsidP="00DD21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PA"/>
        </w:rPr>
      </w:pPr>
    </w:p>
    <w:sectPr w:rsidR="00DD2181" w:rsidRPr="00DD218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55852" w14:textId="77777777" w:rsidR="009B7C3E" w:rsidRDefault="009B7C3E">
      <w:r>
        <w:separator/>
      </w:r>
    </w:p>
  </w:endnote>
  <w:endnote w:type="continuationSeparator" w:id="0">
    <w:p w14:paraId="4AC04D1D" w14:textId="77777777" w:rsidR="009B7C3E" w:rsidRDefault="009B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C3576" w14:textId="77777777" w:rsidR="002B36ED" w:rsidRDefault="002B3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B5C7302" w:rsidR="000D4E3A" w:rsidRPr="00934A2C" w:rsidRDefault="000D4E3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2302E">
          <w:rPr>
            <w:noProof/>
            <w:sz w:val="16"/>
            <w:szCs w:val="22"/>
          </w:rPr>
          <w:t>13</w:t>
        </w:r>
        <w:r w:rsidRPr="00934A2C">
          <w:rPr>
            <w:noProof/>
            <w:sz w:val="16"/>
            <w:szCs w:val="22"/>
          </w:rPr>
          <w:fldChar w:fldCharType="end"/>
        </w:r>
      </w:p>
    </w:sdtContent>
  </w:sdt>
  <w:p w14:paraId="68530E6A" w14:textId="77777777" w:rsidR="000D4E3A" w:rsidRDefault="000D4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0D4E3A" w:rsidRPr="00934A2C" w:rsidRDefault="000D4E3A">
    <w:pPr>
      <w:pStyle w:val="Footer"/>
      <w:jc w:val="center"/>
      <w:rPr>
        <w:sz w:val="16"/>
        <w:szCs w:val="22"/>
      </w:rPr>
    </w:pPr>
  </w:p>
  <w:p w14:paraId="49059CE3" w14:textId="77777777" w:rsidR="000D4E3A" w:rsidRDefault="000D4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B74E8" w14:textId="77777777" w:rsidR="009B7C3E" w:rsidRPr="000F35ED" w:rsidRDefault="009B7C3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36F810" w14:textId="77777777" w:rsidR="009B7C3E" w:rsidRPr="000F35ED" w:rsidRDefault="009B7C3E" w:rsidP="000F35ED">
      <w:pPr>
        <w:rPr>
          <w:rFonts w:asciiTheme="majorHAnsi" w:hAnsiTheme="majorHAnsi"/>
          <w:sz w:val="16"/>
          <w:szCs w:val="16"/>
        </w:rPr>
      </w:pPr>
      <w:r w:rsidRPr="000F35ED">
        <w:rPr>
          <w:rFonts w:asciiTheme="majorHAnsi" w:hAnsiTheme="majorHAnsi"/>
          <w:sz w:val="16"/>
          <w:szCs w:val="16"/>
        </w:rPr>
        <w:separator/>
      </w:r>
    </w:p>
    <w:p w14:paraId="16D75A5A" w14:textId="77777777" w:rsidR="009B7C3E" w:rsidRPr="000F35ED" w:rsidRDefault="009B7C3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B1E8E0E" w14:textId="77777777" w:rsidR="009B7C3E" w:rsidRPr="000F35ED" w:rsidRDefault="009B7C3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EA6B2B8" w14:textId="1541BE39" w:rsidR="000D4E3A" w:rsidRPr="005025B1" w:rsidRDefault="000D4E3A" w:rsidP="005025B1">
      <w:pPr>
        <w:pStyle w:val="FootnoteText"/>
        <w:ind w:firstLine="720"/>
        <w:jc w:val="both"/>
        <w:rPr>
          <w:rFonts w:asciiTheme="majorHAnsi" w:hAnsiTheme="majorHAnsi"/>
          <w:sz w:val="16"/>
          <w:szCs w:val="16"/>
          <w:lang w:val="es-PA"/>
        </w:rPr>
      </w:pPr>
      <w:r>
        <w:rPr>
          <w:rStyle w:val="FootnoteReference"/>
        </w:rPr>
        <w:footnoteRef/>
      </w:r>
      <w:r w:rsidRPr="005025B1">
        <w:rPr>
          <w:lang w:val="es-PA"/>
        </w:rPr>
        <w:t xml:space="preserve"> </w:t>
      </w:r>
      <w:r>
        <w:rPr>
          <w:rFonts w:asciiTheme="majorHAnsi" w:hAnsiTheme="majorHAnsi"/>
          <w:sz w:val="16"/>
          <w:szCs w:val="16"/>
          <w:lang w:val="es-PA"/>
        </w:rPr>
        <w:t xml:space="preserve">La petición hace referencia a 155 presuntas víctimas cuyos nombres se detallan en documento anexo. </w:t>
      </w:r>
    </w:p>
  </w:footnote>
  <w:footnote w:id="3">
    <w:p w14:paraId="36D6AB9D" w14:textId="077451EB" w:rsidR="000D4E3A" w:rsidRPr="007B3BF9" w:rsidRDefault="000D4E3A" w:rsidP="007B3BF9">
      <w:pPr>
        <w:pStyle w:val="FootnoteText"/>
        <w:ind w:firstLine="720"/>
        <w:jc w:val="both"/>
        <w:rPr>
          <w:rFonts w:asciiTheme="majorHAnsi" w:hAnsiTheme="majorHAnsi"/>
          <w:sz w:val="16"/>
          <w:szCs w:val="16"/>
          <w:lang w:val="es-PA"/>
        </w:rPr>
      </w:pPr>
      <w:r>
        <w:rPr>
          <w:rStyle w:val="FootnoteReference"/>
        </w:rPr>
        <w:footnoteRef/>
      </w:r>
      <w:r w:rsidRPr="007B3BF9">
        <w:rPr>
          <w:rFonts w:asciiTheme="majorHAnsi" w:hAnsiTheme="majorHAnsi"/>
          <w:sz w:val="16"/>
          <w:szCs w:val="16"/>
          <w:lang w:val="es-PA"/>
        </w:rPr>
        <w:t xml:space="preserve"> En adelante “la Convención Americana”</w:t>
      </w:r>
    </w:p>
  </w:footnote>
  <w:footnote w:id="4">
    <w:p w14:paraId="3588E11B" w14:textId="0B8CE819" w:rsidR="000D4E3A" w:rsidRPr="0055761F" w:rsidRDefault="000D4E3A" w:rsidP="0055761F">
      <w:pPr>
        <w:pStyle w:val="FootnoteText"/>
        <w:ind w:firstLine="720"/>
        <w:jc w:val="both"/>
        <w:rPr>
          <w:rFonts w:ascii="Cambria" w:hAnsi="Cambria"/>
          <w:sz w:val="16"/>
          <w:szCs w:val="16"/>
          <w:lang w:val="es-PA"/>
        </w:rPr>
      </w:pPr>
      <w:r>
        <w:rPr>
          <w:rStyle w:val="FootnoteReference"/>
        </w:rPr>
        <w:footnoteRef/>
      </w:r>
      <w:r w:rsidRPr="0055761F">
        <w:rPr>
          <w:lang w:val="es-PA"/>
        </w:rPr>
        <w:t xml:space="preserve"> </w:t>
      </w:r>
      <w:r>
        <w:rPr>
          <w:rFonts w:ascii="Cambria" w:hAnsi="Cambria"/>
          <w:sz w:val="16"/>
          <w:szCs w:val="16"/>
          <w:lang w:val="es-PA"/>
        </w:rPr>
        <w:t>En adelante “la Declaración Americana”</w:t>
      </w:r>
    </w:p>
  </w:footnote>
  <w:footnote w:id="5">
    <w:p w14:paraId="79F07139" w14:textId="77777777" w:rsidR="000D4E3A" w:rsidRPr="00DE7D78" w:rsidRDefault="000D4E3A" w:rsidP="00226222">
      <w:pPr>
        <w:pStyle w:val="FootnoteText"/>
        <w:ind w:firstLine="720"/>
        <w:jc w:val="both"/>
        <w:rPr>
          <w:rFonts w:ascii="Cambria" w:hAnsi="Cambria"/>
          <w:sz w:val="16"/>
          <w:szCs w:val="16"/>
          <w:lang w:val="es-ES"/>
        </w:rPr>
      </w:pPr>
      <w:r w:rsidRPr="00567B31">
        <w:rPr>
          <w:rStyle w:val="FootnoteReference"/>
          <w:rFonts w:asciiTheme="majorHAnsi" w:hAnsiTheme="majorHAnsi"/>
          <w:sz w:val="16"/>
          <w:szCs w:val="16"/>
        </w:rPr>
        <w:footnoteRef/>
      </w:r>
      <w:r w:rsidRPr="00567B31">
        <w:rPr>
          <w:rFonts w:asciiTheme="majorHAnsi" w:hAnsiTheme="majorHAnsi"/>
          <w:sz w:val="16"/>
          <w:szCs w:val="16"/>
          <w:lang w:val="es-ES"/>
        </w:rPr>
        <w:t xml:space="preserve"> Las observaciones de cada parte fueron debidamente trasladadas a la parte contraria.</w:t>
      </w:r>
    </w:p>
  </w:footnote>
  <w:footnote w:id="6">
    <w:p w14:paraId="5D51996D" w14:textId="0EC89AA1" w:rsidR="000D4E3A" w:rsidRPr="008919E9" w:rsidRDefault="000D4E3A" w:rsidP="008919E9">
      <w:pPr>
        <w:pStyle w:val="FootnoteText"/>
        <w:ind w:firstLine="720"/>
        <w:jc w:val="both"/>
        <w:rPr>
          <w:rFonts w:asciiTheme="majorHAnsi" w:hAnsiTheme="majorHAnsi"/>
          <w:sz w:val="16"/>
          <w:szCs w:val="16"/>
          <w:lang w:val="es-PA"/>
        </w:rPr>
      </w:pPr>
      <w:r>
        <w:rPr>
          <w:rStyle w:val="FootnoteReference"/>
        </w:rPr>
        <w:footnoteRef/>
      </w:r>
      <w:r w:rsidRPr="008919E9">
        <w:rPr>
          <w:lang w:val="es-PA"/>
        </w:rPr>
        <w:t xml:space="preserve"> </w:t>
      </w:r>
      <w:r>
        <w:rPr>
          <w:rFonts w:asciiTheme="majorHAnsi" w:hAnsiTheme="majorHAnsi"/>
          <w:sz w:val="16"/>
          <w:szCs w:val="16"/>
          <w:lang w:val="es-PA"/>
        </w:rPr>
        <w:t>La parte peticionaria lista los nombres de 22 personas que habrían sido asesinadas durante los eventos de 1994, los que se incluyen en documento anexo</w:t>
      </w:r>
    </w:p>
  </w:footnote>
  <w:footnote w:id="7">
    <w:p w14:paraId="0DD32529" w14:textId="3C0126B7" w:rsidR="000D4E3A" w:rsidRPr="008919E9" w:rsidRDefault="000D4E3A" w:rsidP="008919E9">
      <w:pPr>
        <w:pStyle w:val="FootnoteText"/>
        <w:ind w:firstLine="720"/>
        <w:jc w:val="both"/>
        <w:rPr>
          <w:rFonts w:asciiTheme="majorHAnsi" w:hAnsiTheme="majorHAnsi"/>
          <w:sz w:val="16"/>
          <w:szCs w:val="16"/>
          <w:lang w:val="es-PA"/>
        </w:rPr>
      </w:pPr>
      <w:r>
        <w:rPr>
          <w:rStyle w:val="FootnoteReference"/>
        </w:rPr>
        <w:footnoteRef/>
      </w:r>
      <w:r w:rsidRPr="008919E9">
        <w:rPr>
          <w:lang w:val="es-PA"/>
        </w:rPr>
        <w:t xml:space="preserve"> </w:t>
      </w:r>
      <w:r>
        <w:rPr>
          <w:rFonts w:asciiTheme="majorHAnsi" w:hAnsiTheme="majorHAnsi"/>
          <w:sz w:val="16"/>
          <w:szCs w:val="16"/>
          <w:lang w:val="es-PA"/>
        </w:rPr>
        <w:t xml:space="preserve">La parte peticionaria aporta el nombre de una presunta víctima de lesión el cual se incluye en el documento anexo. </w:t>
      </w:r>
    </w:p>
  </w:footnote>
  <w:footnote w:id="8">
    <w:p w14:paraId="5975D70E" w14:textId="5EB8B063" w:rsidR="000D4E3A" w:rsidRPr="006433D6" w:rsidRDefault="000D4E3A" w:rsidP="006433D6">
      <w:pPr>
        <w:pStyle w:val="FootnoteText"/>
        <w:ind w:firstLine="720"/>
        <w:jc w:val="both"/>
        <w:rPr>
          <w:rFonts w:asciiTheme="majorHAnsi" w:hAnsiTheme="majorHAnsi"/>
          <w:sz w:val="16"/>
          <w:szCs w:val="16"/>
          <w:lang w:val="es-PA"/>
        </w:rPr>
      </w:pPr>
      <w:r>
        <w:rPr>
          <w:rStyle w:val="FootnoteReference"/>
        </w:rPr>
        <w:footnoteRef/>
      </w:r>
      <w:r w:rsidRPr="006433D6">
        <w:rPr>
          <w:lang w:val="es-PA"/>
        </w:rPr>
        <w:t xml:space="preserve"> </w:t>
      </w:r>
      <w:r>
        <w:rPr>
          <w:rFonts w:asciiTheme="majorHAnsi" w:hAnsiTheme="majorHAnsi"/>
          <w:sz w:val="16"/>
          <w:szCs w:val="16"/>
          <w:lang w:val="es-PA"/>
        </w:rPr>
        <w:t>Los nombres de estas 22 personas se detallan en documento anexo.</w:t>
      </w:r>
    </w:p>
  </w:footnote>
  <w:footnote w:id="9">
    <w:p w14:paraId="4F72D0A8" w14:textId="2163098E" w:rsidR="00845123" w:rsidRPr="00845123" w:rsidRDefault="00845123" w:rsidP="00845123">
      <w:pPr>
        <w:pStyle w:val="FootnoteText"/>
        <w:ind w:firstLine="720"/>
        <w:jc w:val="both"/>
        <w:rPr>
          <w:rFonts w:asciiTheme="majorHAnsi" w:hAnsiTheme="majorHAnsi"/>
          <w:sz w:val="16"/>
          <w:szCs w:val="16"/>
          <w:lang w:val="es-PA"/>
        </w:rPr>
      </w:pPr>
      <w:r>
        <w:rPr>
          <w:rStyle w:val="FootnoteReference"/>
        </w:rPr>
        <w:footnoteRef/>
      </w:r>
      <w:r w:rsidRPr="00845123">
        <w:rPr>
          <w:lang w:val="es-PA"/>
        </w:rPr>
        <w:t xml:space="preserve"> </w:t>
      </w:r>
      <w:r>
        <w:rPr>
          <w:rFonts w:asciiTheme="majorHAnsi" w:hAnsiTheme="majorHAnsi"/>
          <w:sz w:val="16"/>
          <w:szCs w:val="16"/>
          <w:lang w:val="es-PA"/>
        </w:rPr>
        <w:t xml:space="preserve">Detalla 32 nombres de estas presuntas víctimas los que se detallan en documento anexo. </w:t>
      </w:r>
    </w:p>
  </w:footnote>
  <w:footnote w:id="10">
    <w:p w14:paraId="181DB765" w14:textId="77777777" w:rsidR="00186909" w:rsidRPr="00403E71" w:rsidRDefault="00186909" w:rsidP="00186909">
      <w:pPr>
        <w:pStyle w:val="FootnoteText"/>
        <w:jc w:val="both"/>
        <w:rPr>
          <w:rFonts w:asciiTheme="majorHAnsi" w:hAnsiTheme="majorHAnsi"/>
          <w:sz w:val="16"/>
          <w:szCs w:val="16"/>
          <w:lang w:val="es-ES"/>
        </w:rPr>
      </w:pPr>
      <w:r w:rsidRPr="00403E71">
        <w:rPr>
          <w:rFonts w:asciiTheme="majorHAnsi" w:hAnsiTheme="majorHAnsi"/>
          <w:sz w:val="16"/>
          <w:szCs w:val="16"/>
          <w:lang w:val="es-ES"/>
        </w:rPr>
        <w:tab/>
      </w:r>
      <w:r w:rsidRPr="00403E71">
        <w:rPr>
          <w:rStyle w:val="FootnoteReference"/>
          <w:rFonts w:asciiTheme="majorHAnsi" w:hAnsiTheme="majorHAnsi"/>
          <w:sz w:val="16"/>
          <w:szCs w:val="16"/>
        </w:rPr>
        <w:footnoteRef/>
      </w:r>
      <w:r w:rsidRPr="00403E71">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11">
    <w:p w14:paraId="47115357" w14:textId="77777777" w:rsidR="00186909" w:rsidRPr="006132CC" w:rsidRDefault="00186909" w:rsidP="00186909">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40/18</w:t>
      </w:r>
      <w:r>
        <w:rPr>
          <w:rFonts w:ascii="Cambria" w:hAnsi="Cambria"/>
          <w:sz w:val="16"/>
          <w:szCs w:val="16"/>
          <w:lang w:val="es-ES"/>
        </w:rPr>
        <w:t>, Petición 607-07</w:t>
      </w:r>
      <w:r w:rsidRPr="006132CC">
        <w:rPr>
          <w:rFonts w:ascii="Cambria" w:hAnsi="Cambria"/>
          <w:sz w:val="16"/>
          <w:szCs w:val="16"/>
          <w:lang w:val="es-ES"/>
        </w:rPr>
        <w:t>. Admisibilidad. Nelson Enrique Giraldo Ramírez y familia. Colombia. 4 de mayo de 2018, párr. 15.</w:t>
      </w:r>
    </w:p>
  </w:footnote>
  <w:footnote w:id="12">
    <w:p w14:paraId="103806E9" w14:textId="1CC0D34B" w:rsidR="009D26B2" w:rsidRPr="009D26B2" w:rsidRDefault="009D26B2" w:rsidP="009D26B2">
      <w:pPr>
        <w:pStyle w:val="FootnoteText"/>
        <w:ind w:firstLine="720"/>
        <w:jc w:val="both"/>
        <w:rPr>
          <w:rFonts w:asciiTheme="majorHAnsi" w:hAnsiTheme="majorHAnsi"/>
          <w:sz w:val="16"/>
          <w:szCs w:val="16"/>
          <w:lang w:val="es-PA"/>
        </w:rPr>
      </w:pPr>
      <w:r w:rsidRPr="009D26B2">
        <w:rPr>
          <w:rStyle w:val="FootnoteReference"/>
          <w:rFonts w:asciiTheme="majorHAnsi" w:hAnsiTheme="majorHAnsi"/>
          <w:sz w:val="16"/>
          <w:szCs w:val="16"/>
        </w:rPr>
        <w:footnoteRef/>
      </w:r>
      <w:r w:rsidRPr="009D26B2">
        <w:rPr>
          <w:rFonts w:asciiTheme="majorHAnsi" w:hAnsiTheme="majorHAnsi"/>
          <w:sz w:val="16"/>
          <w:szCs w:val="16"/>
          <w:lang w:val="es-PA"/>
        </w:rPr>
        <w:t xml:space="preserve"> CIDH, Personas Defensoras </w:t>
      </w:r>
      <w:proofErr w:type="spellStart"/>
      <w:r w:rsidRPr="009D26B2">
        <w:rPr>
          <w:rFonts w:asciiTheme="majorHAnsi" w:hAnsiTheme="majorHAnsi"/>
          <w:sz w:val="16"/>
          <w:szCs w:val="16"/>
          <w:lang w:val="es-PA"/>
        </w:rPr>
        <w:t>Defensoras</w:t>
      </w:r>
      <w:proofErr w:type="spellEnd"/>
      <w:r w:rsidRPr="009D26B2">
        <w:rPr>
          <w:rFonts w:asciiTheme="majorHAnsi" w:hAnsiTheme="majorHAnsi"/>
          <w:sz w:val="16"/>
          <w:szCs w:val="16"/>
          <w:lang w:val="es-PA"/>
        </w:rPr>
        <w:t xml:space="preserve"> de Derechos Humanos y Líderes Sociales en Colombia, OEA/Ser. L/V/II. Doc. 262/19,</w:t>
      </w:r>
      <w:r w:rsidRPr="009D26B2">
        <w:rPr>
          <w:rFonts w:asciiTheme="majorHAnsi" w:hAnsiTheme="majorHAnsi"/>
          <w:i/>
          <w:sz w:val="16"/>
          <w:szCs w:val="16"/>
          <w:lang w:val="es-PA"/>
        </w:rPr>
        <w:t xml:space="preserve"> </w:t>
      </w:r>
      <w:proofErr w:type="spellStart"/>
      <w:r w:rsidRPr="009D26B2">
        <w:rPr>
          <w:rFonts w:asciiTheme="majorHAnsi" w:hAnsiTheme="majorHAnsi"/>
          <w:sz w:val="16"/>
          <w:szCs w:val="16"/>
          <w:lang w:val="es-PA"/>
        </w:rPr>
        <w:t>párr</w:t>
      </w:r>
      <w:proofErr w:type="spellEnd"/>
      <w:r w:rsidRPr="009D26B2">
        <w:rPr>
          <w:rFonts w:asciiTheme="majorHAnsi" w:hAnsiTheme="majorHAnsi"/>
          <w:sz w:val="16"/>
          <w:szCs w:val="16"/>
          <w:lang w:val="es-PA"/>
        </w:rPr>
        <w:t xml:space="preserve"> 231.</w:t>
      </w:r>
    </w:p>
  </w:footnote>
  <w:footnote w:id="13">
    <w:p w14:paraId="3959B95D" w14:textId="45555829" w:rsidR="007E6869" w:rsidRPr="007E6869" w:rsidRDefault="007E6869" w:rsidP="007E6869">
      <w:pPr>
        <w:pStyle w:val="FootnoteText"/>
        <w:ind w:firstLine="720"/>
        <w:jc w:val="both"/>
        <w:rPr>
          <w:rFonts w:asciiTheme="majorHAnsi" w:hAnsiTheme="majorHAnsi"/>
          <w:sz w:val="16"/>
          <w:szCs w:val="16"/>
          <w:lang w:val="es-PA"/>
        </w:rPr>
      </w:pPr>
      <w:r w:rsidRPr="007E6869">
        <w:rPr>
          <w:rStyle w:val="FootnoteReference"/>
          <w:rFonts w:asciiTheme="majorHAnsi" w:hAnsiTheme="majorHAnsi"/>
          <w:sz w:val="16"/>
          <w:szCs w:val="16"/>
        </w:rPr>
        <w:footnoteRef/>
      </w:r>
      <w:r w:rsidRPr="007E6869">
        <w:rPr>
          <w:rFonts w:asciiTheme="majorHAnsi" w:hAnsiTheme="majorHAnsi"/>
          <w:sz w:val="16"/>
          <w:szCs w:val="16"/>
          <w:lang w:val="es-PA"/>
        </w:rPr>
        <w:t xml:space="preserve"> CIDH, Informe No. 232/19, Petición 720-08. Admisibilidad. </w:t>
      </w:r>
      <w:proofErr w:type="spellStart"/>
      <w:r w:rsidRPr="007E6869">
        <w:rPr>
          <w:rFonts w:asciiTheme="majorHAnsi" w:hAnsiTheme="majorHAnsi"/>
          <w:sz w:val="16"/>
          <w:szCs w:val="16"/>
          <w:lang w:val="es-PA"/>
        </w:rPr>
        <w:t>Serge</w:t>
      </w:r>
      <w:proofErr w:type="spellEnd"/>
      <w:r w:rsidRPr="007E6869">
        <w:rPr>
          <w:rFonts w:asciiTheme="majorHAnsi" w:hAnsiTheme="majorHAnsi"/>
          <w:sz w:val="16"/>
          <w:szCs w:val="16"/>
          <w:lang w:val="es-PA"/>
        </w:rPr>
        <w:t xml:space="preserve"> </w:t>
      </w:r>
      <w:proofErr w:type="spellStart"/>
      <w:r w:rsidRPr="007E6869">
        <w:rPr>
          <w:rFonts w:asciiTheme="majorHAnsi" w:hAnsiTheme="majorHAnsi"/>
          <w:sz w:val="16"/>
          <w:szCs w:val="16"/>
          <w:lang w:val="es-PA"/>
        </w:rPr>
        <w:t>Berten</w:t>
      </w:r>
      <w:proofErr w:type="spellEnd"/>
      <w:r w:rsidRPr="007E6869">
        <w:rPr>
          <w:rFonts w:asciiTheme="majorHAnsi" w:hAnsiTheme="majorHAnsi"/>
          <w:sz w:val="16"/>
          <w:szCs w:val="16"/>
          <w:lang w:val="es-PA"/>
        </w:rPr>
        <w:t xml:space="preserve"> y familia. Guatemala. </w:t>
      </w:r>
      <w:r w:rsidRPr="00DC3D5B">
        <w:rPr>
          <w:rFonts w:asciiTheme="majorHAnsi" w:hAnsiTheme="majorHAnsi"/>
          <w:sz w:val="16"/>
          <w:szCs w:val="16"/>
          <w:lang w:val="es-PA"/>
        </w:rPr>
        <w:t xml:space="preserve">31 de diciembre de 2019. </w:t>
      </w:r>
      <w:proofErr w:type="spellStart"/>
      <w:r w:rsidRPr="00DC3D5B">
        <w:rPr>
          <w:rFonts w:asciiTheme="majorHAnsi" w:hAnsiTheme="majorHAnsi"/>
          <w:sz w:val="16"/>
          <w:szCs w:val="16"/>
          <w:lang w:val="es-PA"/>
        </w:rPr>
        <w:t>párrs</w:t>
      </w:r>
      <w:proofErr w:type="spellEnd"/>
      <w:r w:rsidRPr="00DC3D5B">
        <w:rPr>
          <w:rFonts w:asciiTheme="majorHAnsi" w:hAnsiTheme="majorHAnsi"/>
          <w:sz w:val="16"/>
          <w:szCs w:val="16"/>
          <w:lang w:val="es-PA"/>
        </w:rPr>
        <w:t xml:space="preserve"> 9-10</w:t>
      </w:r>
    </w:p>
  </w:footnote>
  <w:footnote w:id="14">
    <w:p w14:paraId="43EC2C9B" w14:textId="15F0FE32" w:rsidR="00DC3D5B" w:rsidRPr="0008748A" w:rsidRDefault="00DC3D5B" w:rsidP="00DC3D5B">
      <w:pPr>
        <w:pStyle w:val="FootnoteText"/>
        <w:ind w:firstLine="720"/>
        <w:jc w:val="both"/>
        <w:rPr>
          <w:rFonts w:asciiTheme="majorHAnsi" w:hAnsiTheme="majorHAnsi"/>
          <w:sz w:val="16"/>
          <w:szCs w:val="16"/>
          <w:lang w:val="es-PA"/>
        </w:rPr>
      </w:pPr>
      <w:r w:rsidRPr="0008748A">
        <w:rPr>
          <w:rStyle w:val="FootnoteReference"/>
          <w:rFonts w:asciiTheme="majorHAnsi" w:hAnsiTheme="majorHAnsi"/>
          <w:sz w:val="16"/>
          <w:szCs w:val="16"/>
        </w:rPr>
        <w:footnoteRef/>
      </w:r>
      <w:r w:rsidRPr="0008748A">
        <w:rPr>
          <w:rFonts w:asciiTheme="majorHAnsi" w:hAnsiTheme="majorHAnsi"/>
          <w:sz w:val="16"/>
          <w:szCs w:val="16"/>
          <w:lang w:val="es-PA"/>
        </w:rPr>
        <w:t xml:space="preserve"> Corte I.D.H., </w:t>
      </w:r>
      <w:proofErr w:type="spellStart"/>
      <w:r w:rsidRPr="0008748A">
        <w:rPr>
          <w:rFonts w:asciiTheme="majorHAnsi" w:hAnsiTheme="majorHAnsi"/>
          <w:sz w:val="16"/>
          <w:szCs w:val="16"/>
          <w:lang w:val="es-PA"/>
        </w:rPr>
        <w:t>Yarce</w:t>
      </w:r>
      <w:proofErr w:type="spellEnd"/>
      <w:r w:rsidRPr="0008748A">
        <w:rPr>
          <w:rFonts w:asciiTheme="majorHAnsi" w:hAnsiTheme="majorHAnsi"/>
          <w:sz w:val="16"/>
          <w:szCs w:val="16"/>
          <w:lang w:val="es-PA"/>
        </w:rPr>
        <w:t xml:space="preserve"> y Otras vs. Colombia. Sentencia de excepciones preliminar, fondo, reparaciones y costas. 22 de noviembre de 2016</w:t>
      </w:r>
      <w:r>
        <w:rPr>
          <w:rFonts w:asciiTheme="majorHAnsi" w:hAnsiTheme="majorHAnsi"/>
          <w:sz w:val="16"/>
          <w:szCs w:val="16"/>
          <w:lang w:val="es-PA"/>
        </w:rPr>
        <w:t xml:space="preserve"> (“Corte I.D.H., Sentencia </w:t>
      </w:r>
      <w:proofErr w:type="spellStart"/>
      <w:r>
        <w:rPr>
          <w:rFonts w:asciiTheme="majorHAnsi" w:hAnsiTheme="majorHAnsi"/>
          <w:sz w:val="16"/>
          <w:szCs w:val="16"/>
          <w:lang w:val="es-PA"/>
        </w:rPr>
        <w:t>Yarce</w:t>
      </w:r>
      <w:proofErr w:type="spellEnd"/>
      <w:r>
        <w:rPr>
          <w:rFonts w:asciiTheme="majorHAnsi" w:hAnsiTheme="majorHAnsi"/>
          <w:sz w:val="16"/>
          <w:szCs w:val="16"/>
          <w:lang w:val="es-PA"/>
        </w:rPr>
        <w:t xml:space="preserve"> y </w:t>
      </w:r>
      <w:r w:rsidR="006F050E">
        <w:rPr>
          <w:rFonts w:asciiTheme="majorHAnsi" w:hAnsiTheme="majorHAnsi"/>
          <w:sz w:val="16"/>
          <w:szCs w:val="16"/>
          <w:lang w:val="es-PA"/>
        </w:rPr>
        <w:t>Otras”),</w:t>
      </w:r>
      <w:r w:rsidRPr="0008748A">
        <w:rPr>
          <w:rFonts w:asciiTheme="majorHAnsi" w:hAnsiTheme="majorHAnsi"/>
          <w:sz w:val="16"/>
          <w:szCs w:val="16"/>
          <w:lang w:val="es-PA"/>
        </w:rPr>
        <w:t xml:space="preserve"> párr. 182.</w:t>
      </w:r>
    </w:p>
  </w:footnote>
  <w:footnote w:id="15">
    <w:p w14:paraId="5677FFBD" w14:textId="77777777" w:rsidR="00DC3D5B" w:rsidRPr="0008748A" w:rsidRDefault="00DC3D5B" w:rsidP="00DC3D5B">
      <w:pPr>
        <w:contextualSpacing/>
        <w:jc w:val="both"/>
        <w:rPr>
          <w:rFonts w:asciiTheme="majorHAnsi" w:hAnsiTheme="majorHAnsi" w:cs="Calibri"/>
          <w:sz w:val="16"/>
          <w:szCs w:val="16"/>
          <w:lang w:val="es-ES"/>
        </w:rPr>
      </w:pPr>
      <w:r w:rsidRPr="0008748A">
        <w:rPr>
          <w:rFonts w:asciiTheme="majorHAnsi" w:hAnsiTheme="majorHAnsi"/>
          <w:sz w:val="16"/>
          <w:szCs w:val="16"/>
          <w:lang w:val="es-ES"/>
        </w:rPr>
        <w:tab/>
      </w:r>
      <w:r w:rsidRPr="0008748A">
        <w:rPr>
          <w:rStyle w:val="FootnoteReference"/>
          <w:rFonts w:asciiTheme="majorHAnsi" w:hAnsiTheme="majorHAnsi"/>
          <w:sz w:val="16"/>
          <w:szCs w:val="16"/>
        </w:rPr>
        <w:footnoteRef/>
      </w:r>
      <w:r w:rsidRPr="0008748A">
        <w:rPr>
          <w:rFonts w:asciiTheme="majorHAnsi" w:hAnsiTheme="majorHAnsi"/>
          <w:sz w:val="16"/>
          <w:szCs w:val="16"/>
          <w:lang w:val="es-ES"/>
        </w:rPr>
        <w:t xml:space="preserve"> </w:t>
      </w:r>
      <w:r w:rsidRPr="0008748A">
        <w:rPr>
          <w:rFonts w:asciiTheme="majorHAnsi" w:hAnsiTheme="majorHAnsi" w:cs="Calibri"/>
          <w:sz w:val="16"/>
          <w:szCs w:val="16"/>
          <w:lang w:val="es-ES"/>
        </w:rPr>
        <w:t>CIDH, Informe No. 15/05, Petición 59-03. Admisibilidad. Carlos Escaleras Mejía. Honduras. 24 de febrero de 2005, párr. 31.</w:t>
      </w:r>
    </w:p>
  </w:footnote>
  <w:footnote w:id="16">
    <w:p w14:paraId="0B2AE177" w14:textId="77777777" w:rsidR="001B12EC" w:rsidRPr="006132CC" w:rsidRDefault="001B12EC" w:rsidP="001B12EC">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12/18</w:t>
      </w:r>
      <w:r>
        <w:rPr>
          <w:rFonts w:ascii="Cambria" w:hAnsi="Cambria"/>
          <w:sz w:val="16"/>
          <w:szCs w:val="16"/>
          <w:lang w:val="es-ES"/>
        </w:rPr>
        <w:t>, Petición 178-10</w:t>
      </w:r>
      <w:r w:rsidRPr="006132CC">
        <w:rPr>
          <w:rFonts w:ascii="Cambria" w:hAnsi="Cambria"/>
          <w:sz w:val="16"/>
          <w:szCs w:val="16"/>
          <w:lang w:val="es-ES"/>
        </w:rPr>
        <w:t>. Admisibilidad. 48 trabajadores fallecidos en la explosión de la mina Pasta de Conchos. México. 24 de febrero de 2018, párr. 28.</w:t>
      </w:r>
    </w:p>
  </w:footnote>
  <w:footnote w:id="17">
    <w:p w14:paraId="7090C764" w14:textId="77777777" w:rsidR="000D4E3A" w:rsidRPr="00C5191D" w:rsidRDefault="000D4E3A" w:rsidP="00153012">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D4E3A" w:rsidRDefault="000D4E3A"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D4E3A" w:rsidRDefault="000D4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0D4E3A" w:rsidRDefault="000D4E3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D4E3A" w:rsidRPr="00EC7D62" w:rsidRDefault="009B7C3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8991" w14:textId="77777777" w:rsidR="002B36ED" w:rsidRDefault="002B3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E806AD"/>
    <w:multiLevelType w:val="hybridMultilevel"/>
    <w:tmpl w:val="92B6EA28"/>
    <w:lvl w:ilvl="0" w:tplc="53762DA6">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714843"/>
    <w:multiLevelType w:val="hybridMultilevel"/>
    <w:tmpl w:val="FF448F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00363E"/>
    <w:multiLevelType w:val="hybridMultilevel"/>
    <w:tmpl w:val="CD608184"/>
    <w:lvl w:ilvl="0" w:tplc="CE507D1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5" w15:restartNumberingAfterBreak="0">
    <w:nsid w:val="552709FE"/>
    <w:multiLevelType w:val="hybridMultilevel"/>
    <w:tmpl w:val="E1EA84D6"/>
    <w:lvl w:ilvl="0" w:tplc="447496D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55455F7"/>
    <w:multiLevelType w:val="hybridMultilevel"/>
    <w:tmpl w:val="C6D8D4FC"/>
    <w:lvl w:ilvl="0" w:tplc="3DD455D8">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F0E0865"/>
    <w:multiLevelType w:val="hybridMultilevel"/>
    <w:tmpl w:val="039A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9"/>
  </w:num>
  <w:num w:numId="4">
    <w:abstractNumId w:val="23"/>
  </w:num>
  <w:num w:numId="5">
    <w:abstractNumId w:val="52"/>
  </w:num>
  <w:num w:numId="6">
    <w:abstractNumId w:val="28"/>
  </w:num>
  <w:num w:numId="7">
    <w:abstractNumId w:val="8"/>
  </w:num>
  <w:num w:numId="8">
    <w:abstractNumId w:val="18"/>
  </w:num>
  <w:num w:numId="9">
    <w:abstractNumId w:val="43"/>
  </w:num>
  <w:num w:numId="10">
    <w:abstractNumId w:val="0"/>
  </w:num>
  <w:num w:numId="11">
    <w:abstractNumId w:val="38"/>
  </w:num>
  <w:num w:numId="12">
    <w:abstractNumId w:val="39"/>
  </w:num>
  <w:num w:numId="13">
    <w:abstractNumId w:val="47"/>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9"/>
  </w:num>
  <w:num w:numId="42">
    <w:abstractNumId w:val="53"/>
  </w:num>
  <w:num w:numId="43">
    <w:abstractNumId w:val="54"/>
  </w:num>
  <w:num w:numId="44">
    <w:abstractNumId w:val="56"/>
  </w:num>
  <w:num w:numId="45">
    <w:abstractNumId w:val="58"/>
  </w:num>
  <w:num w:numId="46">
    <w:abstractNumId w:val="60"/>
  </w:num>
  <w:num w:numId="47">
    <w:abstractNumId w:val="61"/>
  </w:num>
  <w:num w:numId="48">
    <w:abstractNumId w:val="62"/>
  </w:num>
  <w:num w:numId="49">
    <w:abstractNumId w:val="63"/>
  </w:num>
  <w:num w:numId="50">
    <w:abstractNumId w:val="66"/>
  </w:num>
  <w:num w:numId="51">
    <w:abstractNumId w:val="22"/>
  </w:num>
  <w:num w:numId="52">
    <w:abstractNumId w:val="42"/>
  </w:num>
  <w:num w:numId="53">
    <w:abstractNumId w:val="55"/>
  </w:num>
  <w:num w:numId="54">
    <w:abstractNumId w:val="48"/>
  </w:num>
  <w:num w:numId="55">
    <w:abstractNumId w:val="6"/>
  </w:num>
  <w:num w:numId="56">
    <w:abstractNumId w:val="46"/>
  </w:num>
  <w:num w:numId="57">
    <w:abstractNumId w:val="64"/>
  </w:num>
  <w:num w:numId="58">
    <w:abstractNumId w:val="21"/>
  </w:num>
  <w:num w:numId="59">
    <w:abstractNumId w:val="4"/>
  </w:num>
  <w:num w:numId="60">
    <w:abstractNumId w:val="51"/>
  </w:num>
  <w:num w:numId="61">
    <w:abstractNumId w:val="50"/>
  </w:num>
  <w:num w:numId="62">
    <w:abstractNumId w:val="2"/>
  </w:num>
  <w:num w:numId="63">
    <w:abstractNumId w:val="37"/>
  </w:num>
  <w:num w:numId="64">
    <w:abstractNumId w:val="57"/>
  </w:num>
  <w:num w:numId="65">
    <w:abstractNumId w:val="45"/>
  </w:num>
  <w:num w:numId="66">
    <w:abstractNumId w:val="44"/>
  </w:num>
  <w:num w:numId="67">
    <w:abstractNumId w:val="6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056"/>
    <w:rsid w:val="0000036F"/>
    <w:rsid w:val="00000CDA"/>
    <w:rsid w:val="0000249E"/>
    <w:rsid w:val="00003321"/>
    <w:rsid w:val="00004713"/>
    <w:rsid w:val="000065D0"/>
    <w:rsid w:val="00006B74"/>
    <w:rsid w:val="00006E1F"/>
    <w:rsid w:val="000070D7"/>
    <w:rsid w:val="000104F5"/>
    <w:rsid w:val="00015701"/>
    <w:rsid w:val="00016406"/>
    <w:rsid w:val="000173E6"/>
    <w:rsid w:val="0001788C"/>
    <w:rsid w:val="0002186F"/>
    <w:rsid w:val="000337EF"/>
    <w:rsid w:val="00034010"/>
    <w:rsid w:val="00040C3A"/>
    <w:rsid w:val="000419AD"/>
    <w:rsid w:val="0004364E"/>
    <w:rsid w:val="00060649"/>
    <w:rsid w:val="00064191"/>
    <w:rsid w:val="000716C5"/>
    <w:rsid w:val="00075E23"/>
    <w:rsid w:val="00086E72"/>
    <w:rsid w:val="00087D19"/>
    <w:rsid w:val="0009006E"/>
    <w:rsid w:val="00092F44"/>
    <w:rsid w:val="0009344A"/>
    <w:rsid w:val="000A19F8"/>
    <w:rsid w:val="000A3254"/>
    <w:rsid w:val="000A392E"/>
    <w:rsid w:val="000A44BB"/>
    <w:rsid w:val="000A575F"/>
    <w:rsid w:val="000A63D0"/>
    <w:rsid w:val="000B0579"/>
    <w:rsid w:val="000B0E49"/>
    <w:rsid w:val="000B6A1B"/>
    <w:rsid w:val="000B6A31"/>
    <w:rsid w:val="000C1C69"/>
    <w:rsid w:val="000C3A31"/>
    <w:rsid w:val="000D10DB"/>
    <w:rsid w:val="000D4E3A"/>
    <w:rsid w:val="000D6148"/>
    <w:rsid w:val="000E2789"/>
    <w:rsid w:val="000E3E63"/>
    <w:rsid w:val="000E5EB5"/>
    <w:rsid w:val="000E5F4C"/>
    <w:rsid w:val="000F0B08"/>
    <w:rsid w:val="000F35ED"/>
    <w:rsid w:val="000F7D85"/>
    <w:rsid w:val="00107009"/>
    <w:rsid w:val="00107131"/>
    <w:rsid w:val="0010736F"/>
    <w:rsid w:val="00111A8A"/>
    <w:rsid w:val="00113F73"/>
    <w:rsid w:val="00121CC2"/>
    <w:rsid w:val="00124CFE"/>
    <w:rsid w:val="0012779F"/>
    <w:rsid w:val="00131D8B"/>
    <w:rsid w:val="00133EE5"/>
    <w:rsid w:val="00136E3D"/>
    <w:rsid w:val="00143EFE"/>
    <w:rsid w:val="001479C0"/>
    <w:rsid w:val="00151F08"/>
    <w:rsid w:val="00153012"/>
    <w:rsid w:val="0015330B"/>
    <w:rsid w:val="0015647F"/>
    <w:rsid w:val="00161278"/>
    <w:rsid w:val="0016341E"/>
    <w:rsid w:val="00167A34"/>
    <w:rsid w:val="00176BB3"/>
    <w:rsid w:val="00177EEF"/>
    <w:rsid w:val="001853A6"/>
    <w:rsid w:val="00186909"/>
    <w:rsid w:val="00186D2C"/>
    <w:rsid w:val="00187E3D"/>
    <w:rsid w:val="00190317"/>
    <w:rsid w:val="001A0935"/>
    <w:rsid w:val="001A3E48"/>
    <w:rsid w:val="001A6683"/>
    <w:rsid w:val="001A7870"/>
    <w:rsid w:val="001B12EC"/>
    <w:rsid w:val="001B1621"/>
    <w:rsid w:val="001B27B9"/>
    <w:rsid w:val="001B3A00"/>
    <w:rsid w:val="001B442A"/>
    <w:rsid w:val="001B47C0"/>
    <w:rsid w:val="001B4C00"/>
    <w:rsid w:val="001B5816"/>
    <w:rsid w:val="001C1455"/>
    <w:rsid w:val="001C1B41"/>
    <w:rsid w:val="001C4039"/>
    <w:rsid w:val="001D1B33"/>
    <w:rsid w:val="001D65EF"/>
    <w:rsid w:val="001E1067"/>
    <w:rsid w:val="001E49E7"/>
    <w:rsid w:val="001F271B"/>
    <w:rsid w:val="001F371D"/>
    <w:rsid w:val="001F7201"/>
    <w:rsid w:val="00204931"/>
    <w:rsid w:val="0020691D"/>
    <w:rsid w:val="00211731"/>
    <w:rsid w:val="00211BDA"/>
    <w:rsid w:val="0021779A"/>
    <w:rsid w:val="002207F6"/>
    <w:rsid w:val="00221E40"/>
    <w:rsid w:val="00223A29"/>
    <w:rsid w:val="00223BAA"/>
    <w:rsid w:val="002250A3"/>
    <w:rsid w:val="00226222"/>
    <w:rsid w:val="00231294"/>
    <w:rsid w:val="00233654"/>
    <w:rsid w:val="00235217"/>
    <w:rsid w:val="002355A9"/>
    <w:rsid w:val="00241813"/>
    <w:rsid w:val="002435FF"/>
    <w:rsid w:val="00246D1F"/>
    <w:rsid w:val="002473B9"/>
    <w:rsid w:val="00247403"/>
    <w:rsid w:val="00247542"/>
    <w:rsid w:val="00247B64"/>
    <w:rsid w:val="0025012E"/>
    <w:rsid w:val="00253A97"/>
    <w:rsid w:val="00257CF9"/>
    <w:rsid w:val="00265D51"/>
    <w:rsid w:val="00266B61"/>
    <w:rsid w:val="0026712A"/>
    <w:rsid w:val="002704DB"/>
    <w:rsid w:val="0027320E"/>
    <w:rsid w:val="00277BDA"/>
    <w:rsid w:val="00285F17"/>
    <w:rsid w:val="00286A61"/>
    <w:rsid w:val="0029575A"/>
    <w:rsid w:val="002A0AAE"/>
    <w:rsid w:val="002A13F9"/>
    <w:rsid w:val="002A5820"/>
    <w:rsid w:val="002A6BA5"/>
    <w:rsid w:val="002B36ED"/>
    <w:rsid w:val="002C3350"/>
    <w:rsid w:val="002D2B26"/>
    <w:rsid w:val="002D7EA2"/>
    <w:rsid w:val="002E187C"/>
    <w:rsid w:val="002E6E36"/>
    <w:rsid w:val="002E7512"/>
    <w:rsid w:val="002F0CBF"/>
    <w:rsid w:val="002F3724"/>
    <w:rsid w:val="00300C13"/>
    <w:rsid w:val="00302733"/>
    <w:rsid w:val="003077BF"/>
    <w:rsid w:val="0031153F"/>
    <w:rsid w:val="003121D5"/>
    <w:rsid w:val="00314078"/>
    <w:rsid w:val="0031535D"/>
    <w:rsid w:val="00315FD9"/>
    <w:rsid w:val="003207C9"/>
    <w:rsid w:val="003239B8"/>
    <w:rsid w:val="0033169F"/>
    <w:rsid w:val="00341105"/>
    <w:rsid w:val="0034224A"/>
    <w:rsid w:val="00343112"/>
    <w:rsid w:val="00343438"/>
    <w:rsid w:val="00344977"/>
    <w:rsid w:val="00346C95"/>
    <w:rsid w:val="00351155"/>
    <w:rsid w:val="00356185"/>
    <w:rsid w:val="00360380"/>
    <w:rsid w:val="0036066B"/>
    <w:rsid w:val="00363DB6"/>
    <w:rsid w:val="00367D17"/>
    <w:rsid w:val="0037519E"/>
    <w:rsid w:val="00382395"/>
    <w:rsid w:val="0038297B"/>
    <w:rsid w:val="00383A0B"/>
    <w:rsid w:val="003843E5"/>
    <w:rsid w:val="00386C6C"/>
    <w:rsid w:val="00386CF0"/>
    <w:rsid w:val="003942EC"/>
    <w:rsid w:val="00396562"/>
    <w:rsid w:val="0039714C"/>
    <w:rsid w:val="003A6337"/>
    <w:rsid w:val="003B4FF6"/>
    <w:rsid w:val="003B5585"/>
    <w:rsid w:val="003B70FB"/>
    <w:rsid w:val="003C18C4"/>
    <w:rsid w:val="003C20FF"/>
    <w:rsid w:val="003C4F45"/>
    <w:rsid w:val="003C6112"/>
    <w:rsid w:val="003C676B"/>
    <w:rsid w:val="003C7487"/>
    <w:rsid w:val="003D0A55"/>
    <w:rsid w:val="003D3BC2"/>
    <w:rsid w:val="003D5200"/>
    <w:rsid w:val="003E1C67"/>
    <w:rsid w:val="003E2134"/>
    <w:rsid w:val="003E3DC8"/>
    <w:rsid w:val="003E614F"/>
    <w:rsid w:val="003E6CA1"/>
    <w:rsid w:val="00400F5E"/>
    <w:rsid w:val="004065A8"/>
    <w:rsid w:val="004153F5"/>
    <w:rsid w:val="004165C2"/>
    <w:rsid w:val="00425533"/>
    <w:rsid w:val="004304AD"/>
    <w:rsid w:val="00434A3E"/>
    <w:rsid w:val="00441ECB"/>
    <w:rsid w:val="004435A3"/>
    <w:rsid w:val="00445193"/>
    <w:rsid w:val="00447AE4"/>
    <w:rsid w:val="00447CCF"/>
    <w:rsid w:val="0045229A"/>
    <w:rsid w:val="004565BA"/>
    <w:rsid w:val="004601CF"/>
    <w:rsid w:val="00462C1B"/>
    <w:rsid w:val="00467B7E"/>
    <w:rsid w:val="0047080D"/>
    <w:rsid w:val="00473BB4"/>
    <w:rsid w:val="00476211"/>
    <w:rsid w:val="00477592"/>
    <w:rsid w:val="00486F1C"/>
    <w:rsid w:val="0049419D"/>
    <w:rsid w:val="004A59CC"/>
    <w:rsid w:val="004A6A54"/>
    <w:rsid w:val="004A75A1"/>
    <w:rsid w:val="004B245C"/>
    <w:rsid w:val="004B50A0"/>
    <w:rsid w:val="004C0323"/>
    <w:rsid w:val="004C20D2"/>
    <w:rsid w:val="004C2312"/>
    <w:rsid w:val="004C3A7D"/>
    <w:rsid w:val="004C4B62"/>
    <w:rsid w:val="004C54C9"/>
    <w:rsid w:val="004C616A"/>
    <w:rsid w:val="004C731B"/>
    <w:rsid w:val="004D3119"/>
    <w:rsid w:val="004D33D4"/>
    <w:rsid w:val="004D4ABA"/>
    <w:rsid w:val="004D4DEE"/>
    <w:rsid w:val="004D6025"/>
    <w:rsid w:val="004E19B1"/>
    <w:rsid w:val="004E2649"/>
    <w:rsid w:val="004E5467"/>
    <w:rsid w:val="004F2474"/>
    <w:rsid w:val="004F2F5D"/>
    <w:rsid w:val="00501399"/>
    <w:rsid w:val="00501652"/>
    <w:rsid w:val="005025B1"/>
    <w:rsid w:val="0050633D"/>
    <w:rsid w:val="00507BC4"/>
    <w:rsid w:val="00511000"/>
    <w:rsid w:val="005128E4"/>
    <w:rsid w:val="005129B9"/>
    <w:rsid w:val="005133DB"/>
    <w:rsid w:val="005141C6"/>
    <w:rsid w:val="00525560"/>
    <w:rsid w:val="00534ED4"/>
    <w:rsid w:val="005415E6"/>
    <w:rsid w:val="00544216"/>
    <w:rsid w:val="00544C49"/>
    <w:rsid w:val="005516A1"/>
    <w:rsid w:val="005565AF"/>
    <w:rsid w:val="0055761F"/>
    <w:rsid w:val="00561776"/>
    <w:rsid w:val="00563557"/>
    <w:rsid w:val="00567B31"/>
    <w:rsid w:val="0057402A"/>
    <w:rsid w:val="00574CB7"/>
    <w:rsid w:val="005771D0"/>
    <w:rsid w:val="00577A79"/>
    <w:rsid w:val="0059191A"/>
    <w:rsid w:val="005921FF"/>
    <w:rsid w:val="00594707"/>
    <w:rsid w:val="0059763E"/>
    <w:rsid w:val="005A24ED"/>
    <w:rsid w:val="005A6C02"/>
    <w:rsid w:val="005A6D0E"/>
    <w:rsid w:val="005B00F5"/>
    <w:rsid w:val="005B37CC"/>
    <w:rsid w:val="005B52B0"/>
    <w:rsid w:val="005B6806"/>
    <w:rsid w:val="005B6D22"/>
    <w:rsid w:val="005B75B0"/>
    <w:rsid w:val="005C261A"/>
    <w:rsid w:val="005C4225"/>
    <w:rsid w:val="005C7989"/>
    <w:rsid w:val="005D13F3"/>
    <w:rsid w:val="005D4EBD"/>
    <w:rsid w:val="005D66AD"/>
    <w:rsid w:val="005D7D16"/>
    <w:rsid w:val="005E0B65"/>
    <w:rsid w:val="005E11B2"/>
    <w:rsid w:val="005E4C8B"/>
    <w:rsid w:val="005F0DAD"/>
    <w:rsid w:val="005F0F33"/>
    <w:rsid w:val="005F2E60"/>
    <w:rsid w:val="00600DEB"/>
    <w:rsid w:val="00604CA5"/>
    <w:rsid w:val="006062FA"/>
    <w:rsid w:val="006068B7"/>
    <w:rsid w:val="006070B9"/>
    <w:rsid w:val="00611CED"/>
    <w:rsid w:val="00615248"/>
    <w:rsid w:val="0061708C"/>
    <w:rsid w:val="00623A34"/>
    <w:rsid w:val="006274F5"/>
    <w:rsid w:val="006277DE"/>
    <w:rsid w:val="00627C9F"/>
    <w:rsid w:val="006311E9"/>
    <w:rsid w:val="00632354"/>
    <w:rsid w:val="00642810"/>
    <w:rsid w:val="006433D6"/>
    <w:rsid w:val="00647756"/>
    <w:rsid w:val="006509DA"/>
    <w:rsid w:val="00652333"/>
    <w:rsid w:val="00654344"/>
    <w:rsid w:val="0066069F"/>
    <w:rsid w:val="00662E2F"/>
    <w:rsid w:val="00663706"/>
    <w:rsid w:val="0066550E"/>
    <w:rsid w:val="00670BF9"/>
    <w:rsid w:val="00673D7A"/>
    <w:rsid w:val="006775AB"/>
    <w:rsid w:val="0068009E"/>
    <w:rsid w:val="006819E9"/>
    <w:rsid w:val="00686471"/>
    <w:rsid w:val="0068794B"/>
    <w:rsid w:val="0069157D"/>
    <w:rsid w:val="00691BBE"/>
    <w:rsid w:val="00692219"/>
    <w:rsid w:val="006928C1"/>
    <w:rsid w:val="0069402E"/>
    <w:rsid w:val="006A17D2"/>
    <w:rsid w:val="006A36BB"/>
    <w:rsid w:val="006A4D7E"/>
    <w:rsid w:val="006A73E6"/>
    <w:rsid w:val="006A7D20"/>
    <w:rsid w:val="006B1B8B"/>
    <w:rsid w:val="006B23DC"/>
    <w:rsid w:val="006B29DD"/>
    <w:rsid w:val="006B2D5C"/>
    <w:rsid w:val="006B2EE8"/>
    <w:rsid w:val="006B5A72"/>
    <w:rsid w:val="006B770C"/>
    <w:rsid w:val="006C4EB1"/>
    <w:rsid w:val="006D016F"/>
    <w:rsid w:val="006E0166"/>
    <w:rsid w:val="006E4E96"/>
    <w:rsid w:val="006E6715"/>
    <w:rsid w:val="006E772A"/>
    <w:rsid w:val="006E7B34"/>
    <w:rsid w:val="006F050E"/>
    <w:rsid w:val="006F551A"/>
    <w:rsid w:val="006F73BE"/>
    <w:rsid w:val="007044E1"/>
    <w:rsid w:val="00706189"/>
    <w:rsid w:val="0070697F"/>
    <w:rsid w:val="0072199C"/>
    <w:rsid w:val="00722C9F"/>
    <w:rsid w:val="00722E22"/>
    <w:rsid w:val="007253B8"/>
    <w:rsid w:val="00727B0E"/>
    <w:rsid w:val="0073036F"/>
    <w:rsid w:val="00731F35"/>
    <w:rsid w:val="00732C96"/>
    <w:rsid w:val="0073598C"/>
    <w:rsid w:val="00735A5E"/>
    <w:rsid w:val="0073741F"/>
    <w:rsid w:val="00755000"/>
    <w:rsid w:val="0076643F"/>
    <w:rsid w:val="00777F63"/>
    <w:rsid w:val="007852B5"/>
    <w:rsid w:val="007912C8"/>
    <w:rsid w:val="007931F4"/>
    <w:rsid w:val="00796A37"/>
    <w:rsid w:val="007A404E"/>
    <w:rsid w:val="007A5817"/>
    <w:rsid w:val="007A5D4C"/>
    <w:rsid w:val="007B05C4"/>
    <w:rsid w:val="007B11C8"/>
    <w:rsid w:val="007B3BF9"/>
    <w:rsid w:val="007B60E9"/>
    <w:rsid w:val="007B6CC3"/>
    <w:rsid w:val="007C3334"/>
    <w:rsid w:val="007C402A"/>
    <w:rsid w:val="007C5E01"/>
    <w:rsid w:val="007D1178"/>
    <w:rsid w:val="007D2B98"/>
    <w:rsid w:val="007D6BA1"/>
    <w:rsid w:val="007D7C02"/>
    <w:rsid w:val="007E21BC"/>
    <w:rsid w:val="007E58FE"/>
    <w:rsid w:val="007E6869"/>
    <w:rsid w:val="007E7C82"/>
    <w:rsid w:val="007F3ABA"/>
    <w:rsid w:val="007F54FB"/>
    <w:rsid w:val="007F588D"/>
    <w:rsid w:val="00802583"/>
    <w:rsid w:val="00802748"/>
    <w:rsid w:val="00803F1C"/>
    <w:rsid w:val="0080600E"/>
    <w:rsid w:val="00807E8C"/>
    <w:rsid w:val="00817612"/>
    <w:rsid w:val="00826756"/>
    <w:rsid w:val="00827C40"/>
    <w:rsid w:val="00832EB1"/>
    <w:rsid w:val="008338A4"/>
    <w:rsid w:val="00834D49"/>
    <w:rsid w:val="00837C45"/>
    <w:rsid w:val="008411F0"/>
    <w:rsid w:val="008439BC"/>
    <w:rsid w:val="00844730"/>
    <w:rsid w:val="008448B6"/>
    <w:rsid w:val="00845123"/>
    <w:rsid w:val="008457C2"/>
    <w:rsid w:val="00851BF6"/>
    <w:rsid w:val="0085314A"/>
    <w:rsid w:val="008534B6"/>
    <w:rsid w:val="00857A82"/>
    <w:rsid w:val="008600A3"/>
    <w:rsid w:val="0086141D"/>
    <w:rsid w:val="00870492"/>
    <w:rsid w:val="00870D95"/>
    <w:rsid w:val="00871359"/>
    <w:rsid w:val="00871526"/>
    <w:rsid w:val="00873836"/>
    <w:rsid w:val="00875668"/>
    <w:rsid w:val="008802DC"/>
    <w:rsid w:val="0088046D"/>
    <w:rsid w:val="00881E7D"/>
    <w:rsid w:val="008856AB"/>
    <w:rsid w:val="00885737"/>
    <w:rsid w:val="00890650"/>
    <w:rsid w:val="008919E9"/>
    <w:rsid w:val="00897E12"/>
    <w:rsid w:val="008A0E20"/>
    <w:rsid w:val="008A0F81"/>
    <w:rsid w:val="008A310C"/>
    <w:rsid w:val="008A392C"/>
    <w:rsid w:val="008A520D"/>
    <w:rsid w:val="008A7E0F"/>
    <w:rsid w:val="008B098F"/>
    <w:rsid w:val="008B12F5"/>
    <w:rsid w:val="008B1BC2"/>
    <w:rsid w:val="008B5932"/>
    <w:rsid w:val="008C5751"/>
    <w:rsid w:val="008C73B3"/>
    <w:rsid w:val="008D02AD"/>
    <w:rsid w:val="008D768D"/>
    <w:rsid w:val="008E0FD8"/>
    <w:rsid w:val="008E328A"/>
    <w:rsid w:val="008E3759"/>
    <w:rsid w:val="008E3BFE"/>
    <w:rsid w:val="008E7900"/>
    <w:rsid w:val="008F1912"/>
    <w:rsid w:val="008F642D"/>
    <w:rsid w:val="00900FDF"/>
    <w:rsid w:val="0090270B"/>
    <w:rsid w:val="009041DC"/>
    <w:rsid w:val="009053E2"/>
    <w:rsid w:val="009103C2"/>
    <w:rsid w:val="00910DE9"/>
    <w:rsid w:val="00911B3F"/>
    <w:rsid w:val="00917B5A"/>
    <w:rsid w:val="00920A58"/>
    <w:rsid w:val="00920A8C"/>
    <w:rsid w:val="00920AC1"/>
    <w:rsid w:val="00924F65"/>
    <w:rsid w:val="00927DCD"/>
    <w:rsid w:val="00934A2C"/>
    <w:rsid w:val="009354B0"/>
    <w:rsid w:val="00935F06"/>
    <w:rsid w:val="00937B3A"/>
    <w:rsid w:val="00943696"/>
    <w:rsid w:val="00945886"/>
    <w:rsid w:val="00953D82"/>
    <w:rsid w:val="00954B82"/>
    <w:rsid w:val="00957000"/>
    <w:rsid w:val="00962436"/>
    <w:rsid w:val="0096706E"/>
    <w:rsid w:val="00974491"/>
    <w:rsid w:val="00975C4E"/>
    <w:rsid w:val="00977573"/>
    <w:rsid w:val="00981FBA"/>
    <w:rsid w:val="00984ACE"/>
    <w:rsid w:val="00991376"/>
    <w:rsid w:val="00997BC5"/>
    <w:rsid w:val="009A4F41"/>
    <w:rsid w:val="009A6A7A"/>
    <w:rsid w:val="009B381B"/>
    <w:rsid w:val="009B7C3E"/>
    <w:rsid w:val="009C2FC5"/>
    <w:rsid w:val="009D1753"/>
    <w:rsid w:val="009D26B2"/>
    <w:rsid w:val="009D38C6"/>
    <w:rsid w:val="009D4CF0"/>
    <w:rsid w:val="009D6502"/>
    <w:rsid w:val="009D7611"/>
    <w:rsid w:val="009D78A5"/>
    <w:rsid w:val="009E08DD"/>
    <w:rsid w:val="009E0B61"/>
    <w:rsid w:val="009E53DE"/>
    <w:rsid w:val="009E7C00"/>
    <w:rsid w:val="00A0691C"/>
    <w:rsid w:val="00A11E44"/>
    <w:rsid w:val="00A154C8"/>
    <w:rsid w:val="00A15CAA"/>
    <w:rsid w:val="00A22397"/>
    <w:rsid w:val="00A32313"/>
    <w:rsid w:val="00A328B3"/>
    <w:rsid w:val="00A32A8E"/>
    <w:rsid w:val="00A42709"/>
    <w:rsid w:val="00A45B88"/>
    <w:rsid w:val="00A507C8"/>
    <w:rsid w:val="00A50FCF"/>
    <w:rsid w:val="00A528D1"/>
    <w:rsid w:val="00A563EE"/>
    <w:rsid w:val="00A610CD"/>
    <w:rsid w:val="00A625E0"/>
    <w:rsid w:val="00A74947"/>
    <w:rsid w:val="00A758AA"/>
    <w:rsid w:val="00A81CA1"/>
    <w:rsid w:val="00A87543"/>
    <w:rsid w:val="00A92093"/>
    <w:rsid w:val="00A929AA"/>
    <w:rsid w:val="00A93A60"/>
    <w:rsid w:val="00A94806"/>
    <w:rsid w:val="00AA09A2"/>
    <w:rsid w:val="00AA19DA"/>
    <w:rsid w:val="00AA399C"/>
    <w:rsid w:val="00AA7996"/>
    <w:rsid w:val="00AB14BB"/>
    <w:rsid w:val="00AB5D7B"/>
    <w:rsid w:val="00AB7E43"/>
    <w:rsid w:val="00AC19CB"/>
    <w:rsid w:val="00AD1886"/>
    <w:rsid w:val="00AE5488"/>
    <w:rsid w:val="00AE6F91"/>
    <w:rsid w:val="00AF0B04"/>
    <w:rsid w:val="00AF43A4"/>
    <w:rsid w:val="00AF5571"/>
    <w:rsid w:val="00AF6123"/>
    <w:rsid w:val="00AF695E"/>
    <w:rsid w:val="00B066A5"/>
    <w:rsid w:val="00B06B4E"/>
    <w:rsid w:val="00B07341"/>
    <w:rsid w:val="00B10160"/>
    <w:rsid w:val="00B202B5"/>
    <w:rsid w:val="00B2583A"/>
    <w:rsid w:val="00B30099"/>
    <w:rsid w:val="00B30539"/>
    <w:rsid w:val="00B314DB"/>
    <w:rsid w:val="00B361F2"/>
    <w:rsid w:val="00B36FBE"/>
    <w:rsid w:val="00B3718B"/>
    <w:rsid w:val="00B403E3"/>
    <w:rsid w:val="00B415FE"/>
    <w:rsid w:val="00B42FA4"/>
    <w:rsid w:val="00B4460D"/>
    <w:rsid w:val="00B45CC0"/>
    <w:rsid w:val="00B4632A"/>
    <w:rsid w:val="00B5067D"/>
    <w:rsid w:val="00B530F1"/>
    <w:rsid w:val="00B54338"/>
    <w:rsid w:val="00B543EC"/>
    <w:rsid w:val="00B57297"/>
    <w:rsid w:val="00B5798A"/>
    <w:rsid w:val="00B64DE4"/>
    <w:rsid w:val="00B655BD"/>
    <w:rsid w:val="00B65EB7"/>
    <w:rsid w:val="00B736AF"/>
    <w:rsid w:val="00B742BE"/>
    <w:rsid w:val="00B74BBE"/>
    <w:rsid w:val="00B85E9F"/>
    <w:rsid w:val="00B87359"/>
    <w:rsid w:val="00B92D4A"/>
    <w:rsid w:val="00B97946"/>
    <w:rsid w:val="00BA1EAE"/>
    <w:rsid w:val="00BA276C"/>
    <w:rsid w:val="00BA5544"/>
    <w:rsid w:val="00BB0330"/>
    <w:rsid w:val="00BB306F"/>
    <w:rsid w:val="00BB3402"/>
    <w:rsid w:val="00BB3FBD"/>
    <w:rsid w:val="00BC0968"/>
    <w:rsid w:val="00BC2342"/>
    <w:rsid w:val="00BC6593"/>
    <w:rsid w:val="00BC6CD0"/>
    <w:rsid w:val="00BD4B89"/>
    <w:rsid w:val="00BD5922"/>
    <w:rsid w:val="00BD622A"/>
    <w:rsid w:val="00BD76D9"/>
    <w:rsid w:val="00BF02CB"/>
    <w:rsid w:val="00BF2178"/>
    <w:rsid w:val="00BF32A7"/>
    <w:rsid w:val="00BF4E8C"/>
    <w:rsid w:val="00BF514A"/>
    <w:rsid w:val="00BF6FD8"/>
    <w:rsid w:val="00BF775D"/>
    <w:rsid w:val="00C00A8C"/>
    <w:rsid w:val="00C03680"/>
    <w:rsid w:val="00C054DF"/>
    <w:rsid w:val="00C05D56"/>
    <w:rsid w:val="00C06EF7"/>
    <w:rsid w:val="00C10AFC"/>
    <w:rsid w:val="00C21562"/>
    <w:rsid w:val="00C21762"/>
    <w:rsid w:val="00C21FEF"/>
    <w:rsid w:val="00C2302E"/>
    <w:rsid w:val="00C24543"/>
    <w:rsid w:val="00C256A2"/>
    <w:rsid w:val="00C308DF"/>
    <w:rsid w:val="00C35A26"/>
    <w:rsid w:val="00C4317B"/>
    <w:rsid w:val="00C44FDD"/>
    <w:rsid w:val="00C51515"/>
    <w:rsid w:val="00C53619"/>
    <w:rsid w:val="00C53910"/>
    <w:rsid w:val="00C5660B"/>
    <w:rsid w:val="00C56854"/>
    <w:rsid w:val="00C5788A"/>
    <w:rsid w:val="00C63ABE"/>
    <w:rsid w:val="00C64FB2"/>
    <w:rsid w:val="00C66B72"/>
    <w:rsid w:val="00C70BA7"/>
    <w:rsid w:val="00C80B5A"/>
    <w:rsid w:val="00C85959"/>
    <w:rsid w:val="00C87628"/>
    <w:rsid w:val="00C87AC4"/>
    <w:rsid w:val="00C903F9"/>
    <w:rsid w:val="00C9529A"/>
    <w:rsid w:val="00C9567A"/>
    <w:rsid w:val="00C96DCD"/>
    <w:rsid w:val="00C97A5D"/>
    <w:rsid w:val="00CA275B"/>
    <w:rsid w:val="00CA48A3"/>
    <w:rsid w:val="00CB212D"/>
    <w:rsid w:val="00CB2660"/>
    <w:rsid w:val="00CC5E90"/>
    <w:rsid w:val="00CD046C"/>
    <w:rsid w:val="00CD186A"/>
    <w:rsid w:val="00CE0020"/>
    <w:rsid w:val="00CE076C"/>
    <w:rsid w:val="00CE1BE0"/>
    <w:rsid w:val="00CE3B9B"/>
    <w:rsid w:val="00CE5199"/>
    <w:rsid w:val="00CE66D5"/>
    <w:rsid w:val="00CF637A"/>
    <w:rsid w:val="00D01897"/>
    <w:rsid w:val="00D059DE"/>
    <w:rsid w:val="00D05ABD"/>
    <w:rsid w:val="00D07A47"/>
    <w:rsid w:val="00D115B2"/>
    <w:rsid w:val="00D13FCE"/>
    <w:rsid w:val="00D17E8C"/>
    <w:rsid w:val="00D20237"/>
    <w:rsid w:val="00D21B18"/>
    <w:rsid w:val="00D22FBE"/>
    <w:rsid w:val="00D24AD4"/>
    <w:rsid w:val="00D306D1"/>
    <w:rsid w:val="00D30800"/>
    <w:rsid w:val="00D34786"/>
    <w:rsid w:val="00D37BFC"/>
    <w:rsid w:val="00D37FB9"/>
    <w:rsid w:val="00D40BDC"/>
    <w:rsid w:val="00D42822"/>
    <w:rsid w:val="00D43661"/>
    <w:rsid w:val="00D45BAF"/>
    <w:rsid w:val="00D47A8E"/>
    <w:rsid w:val="00D52D14"/>
    <w:rsid w:val="00D55256"/>
    <w:rsid w:val="00D56D93"/>
    <w:rsid w:val="00D56FB8"/>
    <w:rsid w:val="00D575BC"/>
    <w:rsid w:val="00D57A30"/>
    <w:rsid w:val="00D712D3"/>
    <w:rsid w:val="00D71422"/>
    <w:rsid w:val="00D72DC6"/>
    <w:rsid w:val="00D73F5E"/>
    <w:rsid w:val="00D7558D"/>
    <w:rsid w:val="00D77503"/>
    <w:rsid w:val="00D81D92"/>
    <w:rsid w:val="00D876F9"/>
    <w:rsid w:val="00D877B6"/>
    <w:rsid w:val="00D93A90"/>
    <w:rsid w:val="00DA7B5F"/>
    <w:rsid w:val="00DB197B"/>
    <w:rsid w:val="00DB2F13"/>
    <w:rsid w:val="00DC0155"/>
    <w:rsid w:val="00DC11E7"/>
    <w:rsid w:val="00DC3D5B"/>
    <w:rsid w:val="00DC7023"/>
    <w:rsid w:val="00DC769A"/>
    <w:rsid w:val="00DD061E"/>
    <w:rsid w:val="00DD151B"/>
    <w:rsid w:val="00DD2181"/>
    <w:rsid w:val="00DD3D86"/>
    <w:rsid w:val="00DE12F0"/>
    <w:rsid w:val="00DE7D78"/>
    <w:rsid w:val="00DF1745"/>
    <w:rsid w:val="00DF1EC4"/>
    <w:rsid w:val="00DF51E9"/>
    <w:rsid w:val="00DF54A0"/>
    <w:rsid w:val="00E01943"/>
    <w:rsid w:val="00E0340B"/>
    <w:rsid w:val="00E04A90"/>
    <w:rsid w:val="00E0551F"/>
    <w:rsid w:val="00E0695F"/>
    <w:rsid w:val="00E07937"/>
    <w:rsid w:val="00E07CB1"/>
    <w:rsid w:val="00E1204C"/>
    <w:rsid w:val="00E14D45"/>
    <w:rsid w:val="00E219C7"/>
    <w:rsid w:val="00E25875"/>
    <w:rsid w:val="00E26CCA"/>
    <w:rsid w:val="00E27F56"/>
    <w:rsid w:val="00E3702D"/>
    <w:rsid w:val="00E4118C"/>
    <w:rsid w:val="00E43157"/>
    <w:rsid w:val="00E461CE"/>
    <w:rsid w:val="00E46AF9"/>
    <w:rsid w:val="00E720CA"/>
    <w:rsid w:val="00E723E8"/>
    <w:rsid w:val="00E73010"/>
    <w:rsid w:val="00E76103"/>
    <w:rsid w:val="00E81364"/>
    <w:rsid w:val="00E84EB5"/>
    <w:rsid w:val="00E85662"/>
    <w:rsid w:val="00E85D37"/>
    <w:rsid w:val="00E86C16"/>
    <w:rsid w:val="00E8789F"/>
    <w:rsid w:val="00E90973"/>
    <w:rsid w:val="00E92747"/>
    <w:rsid w:val="00E9525D"/>
    <w:rsid w:val="00E97B71"/>
    <w:rsid w:val="00EA3D34"/>
    <w:rsid w:val="00EA4E70"/>
    <w:rsid w:val="00EA4FA6"/>
    <w:rsid w:val="00EB454D"/>
    <w:rsid w:val="00EC0810"/>
    <w:rsid w:val="00EC16CC"/>
    <w:rsid w:val="00EC26E9"/>
    <w:rsid w:val="00EC72AB"/>
    <w:rsid w:val="00ED0700"/>
    <w:rsid w:val="00ED2F03"/>
    <w:rsid w:val="00ED4CBD"/>
    <w:rsid w:val="00ED549D"/>
    <w:rsid w:val="00ED76BE"/>
    <w:rsid w:val="00ED7F05"/>
    <w:rsid w:val="00EE00E9"/>
    <w:rsid w:val="00EE014D"/>
    <w:rsid w:val="00EE1764"/>
    <w:rsid w:val="00EE2B73"/>
    <w:rsid w:val="00EE50D3"/>
    <w:rsid w:val="00EF35AB"/>
    <w:rsid w:val="00EF4C44"/>
    <w:rsid w:val="00EF619B"/>
    <w:rsid w:val="00F00B55"/>
    <w:rsid w:val="00F02AD1"/>
    <w:rsid w:val="00F04591"/>
    <w:rsid w:val="00F06044"/>
    <w:rsid w:val="00F06354"/>
    <w:rsid w:val="00F11019"/>
    <w:rsid w:val="00F11FBB"/>
    <w:rsid w:val="00F1747D"/>
    <w:rsid w:val="00F251B7"/>
    <w:rsid w:val="00F2521F"/>
    <w:rsid w:val="00F253CC"/>
    <w:rsid w:val="00F26651"/>
    <w:rsid w:val="00F332EF"/>
    <w:rsid w:val="00F3559E"/>
    <w:rsid w:val="00F37106"/>
    <w:rsid w:val="00F371C8"/>
    <w:rsid w:val="00F519CF"/>
    <w:rsid w:val="00F53168"/>
    <w:rsid w:val="00F547B9"/>
    <w:rsid w:val="00F56BA5"/>
    <w:rsid w:val="00F60E22"/>
    <w:rsid w:val="00F63B39"/>
    <w:rsid w:val="00F65CE0"/>
    <w:rsid w:val="00F71FEE"/>
    <w:rsid w:val="00F7325F"/>
    <w:rsid w:val="00F7618D"/>
    <w:rsid w:val="00F81395"/>
    <w:rsid w:val="00F81887"/>
    <w:rsid w:val="00F81BB8"/>
    <w:rsid w:val="00F917D1"/>
    <w:rsid w:val="00F9342C"/>
    <w:rsid w:val="00F95068"/>
    <w:rsid w:val="00F9653B"/>
    <w:rsid w:val="00FA56EA"/>
    <w:rsid w:val="00FA5DB1"/>
    <w:rsid w:val="00FA74C9"/>
    <w:rsid w:val="00FB15B4"/>
    <w:rsid w:val="00FB62CF"/>
    <w:rsid w:val="00FC0649"/>
    <w:rsid w:val="00FC0F4A"/>
    <w:rsid w:val="00FC3330"/>
    <w:rsid w:val="00FC5576"/>
    <w:rsid w:val="00FC7608"/>
    <w:rsid w:val="00FD1986"/>
    <w:rsid w:val="00FD1C1D"/>
    <w:rsid w:val="00FD3886"/>
    <w:rsid w:val="00FD3C3B"/>
    <w:rsid w:val="00FD5C1E"/>
    <w:rsid w:val="00FD6A68"/>
    <w:rsid w:val="00FE07DD"/>
    <w:rsid w:val="00FE430E"/>
    <w:rsid w:val="00FE5B2A"/>
    <w:rsid w:val="00FE6B45"/>
    <w:rsid w:val="00FF27D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5301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D090-9395-489D-8066-A25ABEA8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5665</Words>
  <Characters>31045</Characters>
  <Application>Microsoft Office Word</Application>
  <DocSecurity>0</DocSecurity>
  <Lines>608</Lines>
  <Paragraphs>356</Paragraphs>
  <ScaleCrop>false</ScaleCrop>
  <Company/>
  <LinksUpToDate>false</LinksUpToDate>
  <CharactersWithSpaces>36354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362/20</dc:title>
  <dc:creator/>
  <cp:lastModifiedBy/>
  <cp:revision>1</cp:revision>
  <dcterms:created xsi:type="dcterms:W3CDTF">2021-01-06T15:46:00Z</dcterms:created>
  <dcterms:modified xsi:type="dcterms:W3CDTF">2021-01-06T15:47:00Z</dcterms:modified>
</cp:coreProperties>
</file>