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62B54" w:rsidRDefault="008009E5">
      <w:pPr>
        <w:pStyle w:val="Body"/>
        <w:jc w:val="both"/>
        <w:rPr>
          <w:rFonts w:ascii="Cambria" w:eastAsia="Cambria" w:hAnsi="Cambria" w:cs="Cambria"/>
          <w:b/>
          <w:bCs/>
          <w:sz w:val="22"/>
          <w:szCs w:val="22"/>
        </w:rPr>
      </w:pPr>
      <w:r>
        <w:rPr>
          <w:rFonts w:ascii="Cambria" w:eastAsia="Cambria" w:hAnsi="Cambria" w:cs="Cambria"/>
          <w:noProof/>
          <w:sz w:val="22"/>
          <w:szCs w:val="22"/>
        </w:rPr>
        <mc:AlternateContent>
          <mc:Choice Requires="wps">
            <w:drawing>
              <wp:anchor distT="0" distB="0" distL="0" distR="0" simplePos="0" relativeHeight="251661312" behindDoc="0" locked="0" layoutInCell="1" allowOverlap="1">
                <wp:simplePos x="0" y="0"/>
                <wp:positionH relativeFrom="column">
                  <wp:posOffset>-416115</wp:posOffset>
                </wp:positionH>
                <wp:positionV relativeFrom="line">
                  <wp:posOffset>-439419</wp:posOffset>
                </wp:positionV>
                <wp:extent cx="1543050" cy="9096375"/>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w="12700" cap="flat">
                          <a:noFill/>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rect w14:anchorId="7D21BA7C" id="officeArt object" o:spid="_x0000_s1026" style="position:absolute;margin-left:-32.75pt;margin-top:-34.6pt;width:121.5pt;height:716.25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" fillcolor="#4a7194" stroked="f" strokeweight="1pt">
                <v:stroke miterlimit="4"/>
                <w10:wrap anchory="line"/>
              </v:rect>
            </w:pict>
          </mc:Fallback>
        </mc:AlternateContent>
      </w:r>
      <w:r>
        <w:rPr>
          <w:rFonts w:ascii="Cambria" w:eastAsia="Cambria" w:hAnsi="Cambria" w:cs="Cambria"/>
          <w:noProof/>
          <w:sz w:val="22"/>
          <w:szCs w:val="22"/>
        </w:rPr>
        <mc:AlternateContent>
          <mc:Choice Requires="wps">
            <w:drawing>
              <wp:anchor distT="0" distB="0" distL="0" distR="0" simplePos="0" relativeHeight="251665408" behindDoc="0" locked="0" layoutInCell="1" allowOverlap="1">
                <wp:simplePos x="0" y="0"/>
                <wp:positionH relativeFrom="column">
                  <wp:posOffset>1282064</wp:posOffset>
                </wp:positionH>
                <wp:positionV relativeFrom="line">
                  <wp:posOffset>-424179</wp:posOffset>
                </wp:positionV>
                <wp:extent cx="5248275" cy="902334"/>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5248275" cy="902334"/>
                        </a:xfrm>
                        <a:prstGeom prst="rect">
                          <a:avLst/>
                        </a:prstGeom>
                        <a:noFill/>
                        <a:ln w="12700" cap="flat">
                          <a:noFill/>
                          <a:miter lim="400000"/>
                        </a:ln>
                        <a:effectLst/>
                      </wps:spPr>
                      <wps:txbx>
                        <w:txbxContent>
                          <w:p w:rsidR="00962B54" w:rsidRDefault="004648CE">
                            <w:pPr>
                              <w:pStyle w:val="Body"/>
                            </w:pPr>
                            <w:r>
                              <w:rPr>
                                <w:noProof/>
                              </w:rPr>
                              <w:drawing>
                                <wp:inline distT="0" distB="0" distL="0" distR="0" wp14:anchorId="02E5FD6E" wp14:editId="4C38061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8009E5">
                              <w:rPr>
                                <w:lang w:val="de-DE"/>
                              </w:rPr>
                              <w:tab/>
                              <w:t xml:space="preserve">                              </w:t>
                            </w:r>
                          </w:p>
                        </w:txbxContent>
                      </wps:txbx>
                      <wps:bodyPr wrap="square" lIns="45719" tIns="45719" rIns="45719" bIns="45719"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id="officeArt object" o:spid="_x0000_s1026" style="position:absolute;left:0;text-align:left;margin-left:100.95pt;margin-top:-33.4pt;width:413.25pt;height:71.05pt;z-index:25166540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" filled="f" stroked="f" strokeweight="1pt">
                <v:stroke miterlimit="4"/>
                <v:textbox inset="1.27mm,1.27mm,1.27mm,1.27mm">
                  <w:txbxContent>
                    <w:p w:rsidR="00962B54" w:rsidRDefault="004648CE">
                      <w:pPr>
                        <w:pStyle w:val="Body"/>
                      </w:pPr>
                      <w:r>
                        <w:rPr>
                          <w:noProof/>
                        </w:rPr>
                        <w:drawing>
                          <wp:inline distT="0" distB="0" distL="0" distR="0" wp14:anchorId="02E5FD6E" wp14:editId="4C38061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8009E5">
                        <w:rPr>
                          <w:lang w:val="de-DE"/>
                        </w:rPr>
                        <w:tab/>
                        <w:t xml:space="preserve">                              </w:t>
                      </w:r>
                    </w:p>
                  </w:txbxContent>
                </v:textbox>
                <w10:wrap anchory="line"/>
              </v:rect>
            </w:pict>
          </mc:Fallback>
        </mc:AlternateContent>
      </w:r>
    </w:p>
    <w:p w:rsidR="00962B54" w:rsidRDefault="00962B54">
      <w:pPr>
        <w:pStyle w:val="Body"/>
        <w:tabs>
          <w:tab w:val="center" w:pos="5400"/>
        </w:tabs>
        <w:suppressAutoHyphens/>
        <w:jc w:val="both"/>
        <w:rPr>
          <w:rFonts w:ascii="Cambria" w:eastAsia="Cambria" w:hAnsi="Cambria" w:cs="Cambria"/>
          <w:sz w:val="22"/>
          <w:szCs w:val="22"/>
          <w:lang w:val="es-ES_tradnl"/>
        </w:rPr>
      </w:pPr>
    </w:p>
    <w:p w:rsidR="00962B54" w:rsidRDefault="00962B54">
      <w:pPr>
        <w:pStyle w:val="Body"/>
        <w:tabs>
          <w:tab w:val="center" w:pos="5400"/>
        </w:tabs>
        <w:suppressAutoHyphens/>
        <w:jc w:val="both"/>
        <w:rPr>
          <w:rFonts w:ascii="Cambria" w:eastAsia="Cambria" w:hAnsi="Cambria" w:cs="Cambria"/>
          <w:sz w:val="22"/>
          <w:szCs w:val="22"/>
          <w:lang w:val="es-ES_tradnl"/>
        </w:rPr>
      </w:pPr>
    </w:p>
    <w:p w:rsidR="00962B54" w:rsidRDefault="00962B54">
      <w:pPr>
        <w:pStyle w:val="Body"/>
        <w:tabs>
          <w:tab w:val="center" w:pos="5400"/>
        </w:tabs>
        <w:suppressAutoHyphens/>
        <w:rPr>
          <w:rFonts w:ascii="Cambria" w:eastAsia="Cambria" w:hAnsi="Cambria" w:cs="Cambria"/>
          <w:sz w:val="22"/>
          <w:szCs w:val="22"/>
          <w:lang w:val="es-ES_tradnl"/>
        </w:rPr>
      </w:pPr>
    </w:p>
    <w:p w:rsidR="00962B54" w:rsidRDefault="00962B54">
      <w:pPr>
        <w:pStyle w:val="Body"/>
        <w:tabs>
          <w:tab w:val="center" w:pos="5400"/>
        </w:tabs>
        <w:suppressAutoHyphens/>
        <w:rPr>
          <w:rFonts w:ascii="Cambria" w:eastAsia="Cambria" w:hAnsi="Cambria" w:cs="Cambria"/>
          <w:sz w:val="22"/>
          <w:szCs w:val="22"/>
          <w:lang w:val="es-ES_tradnl"/>
        </w:rPr>
      </w:pPr>
    </w:p>
    <w:p w:rsidR="00962B54" w:rsidRDefault="00962B54">
      <w:pPr>
        <w:pStyle w:val="Body"/>
        <w:tabs>
          <w:tab w:val="center" w:pos="5400"/>
        </w:tabs>
        <w:suppressAutoHyphens/>
        <w:rPr>
          <w:rFonts w:ascii="Cambria" w:eastAsia="Cambria" w:hAnsi="Cambria" w:cs="Cambria"/>
          <w:sz w:val="22"/>
          <w:szCs w:val="22"/>
          <w:lang w:val="es-ES_tradnl"/>
        </w:rPr>
      </w:pPr>
    </w:p>
    <w:p w:rsidR="00962B54" w:rsidRDefault="00962B54">
      <w:pPr>
        <w:pStyle w:val="Body"/>
        <w:tabs>
          <w:tab w:val="center" w:pos="5400"/>
        </w:tabs>
        <w:suppressAutoHyphens/>
        <w:jc w:val="center"/>
        <w:rPr>
          <w:rFonts w:ascii="Cambria" w:eastAsia="Cambria" w:hAnsi="Cambria" w:cs="Cambria"/>
          <w:sz w:val="22"/>
          <w:szCs w:val="22"/>
          <w:lang w:val="es-ES_tradnl"/>
        </w:rPr>
      </w:pPr>
    </w:p>
    <w:p w:rsidR="00962B54" w:rsidRDefault="00962B54">
      <w:pPr>
        <w:pStyle w:val="Body"/>
        <w:tabs>
          <w:tab w:val="center" w:pos="5400"/>
        </w:tabs>
        <w:suppressAutoHyphens/>
        <w:jc w:val="center"/>
        <w:rPr>
          <w:rFonts w:ascii="Cambria" w:eastAsia="Cambria" w:hAnsi="Cambria" w:cs="Cambria"/>
          <w:sz w:val="22"/>
          <w:szCs w:val="22"/>
          <w:lang w:val="es-ES_tradnl"/>
        </w:rPr>
      </w:pPr>
    </w:p>
    <w:p w:rsidR="00962B54" w:rsidRDefault="00962B54">
      <w:pPr>
        <w:pStyle w:val="Body"/>
        <w:tabs>
          <w:tab w:val="center" w:pos="5400"/>
        </w:tabs>
        <w:suppressAutoHyphens/>
        <w:jc w:val="center"/>
        <w:rPr>
          <w:rFonts w:ascii="Cambria" w:eastAsia="Cambria" w:hAnsi="Cambria" w:cs="Cambria"/>
          <w:sz w:val="22"/>
          <w:szCs w:val="22"/>
          <w:lang w:val="es-ES_tradnl"/>
        </w:rPr>
      </w:pPr>
    </w:p>
    <w:p w:rsidR="00962B54" w:rsidRDefault="00962B54">
      <w:pPr>
        <w:pStyle w:val="Body"/>
        <w:tabs>
          <w:tab w:val="center" w:pos="5400"/>
        </w:tabs>
        <w:suppressAutoHyphens/>
        <w:jc w:val="center"/>
        <w:rPr>
          <w:rFonts w:ascii="Cambria" w:eastAsia="Cambria" w:hAnsi="Cambria" w:cs="Cambria"/>
          <w:sz w:val="22"/>
          <w:szCs w:val="22"/>
          <w:lang w:val="es-ES_tradnl"/>
        </w:rPr>
      </w:pPr>
    </w:p>
    <w:p w:rsidR="00962B54" w:rsidRDefault="00962B54">
      <w:pPr>
        <w:pStyle w:val="Body"/>
        <w:tabs>
          <w:tab w:val="center" w:pos="5400"/>
        </w:tabs>
        <w:suppressAutoHyphens/>
        <w:jc w:val="center"/>
        <w:rPr>
          <w:rFonts w:ascii="Cambria" w:eastAsia="Cambria" w:hAnsi="Cambria" w:cs="Cambria"/>
          <w:sz w:val="22"/>
          <w:szCs w:val="22"/>
          <w:lang w:val="es-ES_tradnl"/>
        </w:rPr>
      </w:pPr>
    </w:p>
    <w:p w:rsidR="00962B54" w:rsidRDefault="00962B54">
      <w:pPr>
        <w:pStyle w:val="Body"/>
        <w:tabs>
          <w:tab w:val="center" w:pos="5400"/>
        </w:tabs>
        <w:suppressAutoHyphens/>
        <w:jc w:val="center"/>
        <w:rPr>
          <w:rFonts w:ascii="Cambria" w:eastAsia="Cambria" w:hAnsi="Cambria" w:cs="Cambria"/>
          <w:sz w:val="22"/>
          <w:szCs w:val="22"/>
          <w:lang w:val="es-ES_tradnl"/>
        </w:rPr>
      </w:pPr>
    </w:p>
    <w:p w:rsidR="00962B54" w:rsidRDefault="00962B54">
      <w:pPr>
        <w:pStyle w:val="Body"/>
        <w:tabs>
          <w:tab w:val="center" w:pos="5400"/>
        </w:tabs>
        <w:suppressAutoHyphens/>
        <w:jc w:val="center"/>
        <w:rPr>
          <w:rFonts w:ascii="Cambria" w:eastAsia="Cambria" w:hAnsi="Cambria" w:cs="Cambria"/>
          <w:sz w:val="22"/>
          <w:szCs w:val="22"/>
          <w:lang w:val="es-ES_tradnl"/>
        </w:rPr>
      </w:pPr>
    </w:p>
    <w:p w:rsidR="00962B54" w:rsidRDefault="008009E5">
      <w:pPr>
        <w:pStyle w:val="Body"/>
        <w:tabs>
          <w:tab w:val="center" w:pos="5400"/>
        </w:tabs>
        <w:suppressAutoHyphens/>
        <w:jc w:val="center"/>
        <w:rPr>
          <w:rFonts w:ascii="Cambria" w:eastAsia="Cambria" w:hAnsi="Cambria" w:cs="Cambria"/>
          <w:sz w:val="22"/>
          <w:szCs w:val="22"/>
        </w:rPr>
      </w:pPr>
      <w:r>
        <w:rPr>
          <w:rFonts w:ascii="Cambria" w:eastAsia="Cambria" w:hAnsi="Cambria" w:cs="Cambria"/>
          <w:noProof/>
          <w:sz w:val="22"/>
          <w:szCs w:val="22"/>
        </w:rPr>
        <mc:AlternateContent>
          <mc:Choice Requires="wps">
            <w:drawing>
              <wp:anchor distT="0" distB="0" distL="0" distR="0" simplePos="0" relativeHeight="251662336" behindDoc="0" locked="0" layoutInCell="1" allowOverlap="1">
                <wp:simplePos x="0" y="0"/>
                <wp:positionH relativeFrom="column">
                  <wp:posOffset>1352550</wp:posOffset>
                </wp:positionH>
                <wp:positionV relativeFrom="line">
                  <wp:posOffset>107315</wp:posOffset>
                </wp:positionV>
                <wp:extent cx="4441190" cy="2181225"/>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4441190" cy="2181225"/>
                        </a:xfrm>
                        <a:prstGeom prst="rect">
                          <a:avLst/>
                        </a:prstGeom>
                        <a:noFill/>
                        <a:ln w="12700" cap="flat">
                          <a:noFill/>
                          <a:miter lim="400000"/>
                        </a:ln>
                        <a:effectLst/>
                      </wps:spPr>
                      <wps:txbx>
                        <w:txbxContent>
                          <w:p w:rsidR="00962B54" w:rsidRPr="00A85612" w:rsidRDefault="008009E5">
                            <w:pPr>
                              <w:pStyle w:val="Body"/>
                              <w:spacing w:line="276" w:lineRule="auto"/>
                              <w:rPr>
                                <w:rFonts w:ascii="Cambria" w:eastAsia="Cambria" w:hAnsi="Cambria" w:cs="Cambria"/>
                                <w:b/>
                                <w:bCs/>
                                <w:color w:val="0D0D0D"/>
                                <w:sz w:val="36"/>
                                <w:szCs w:val="36"/>
                                <w:u w:color="0D0D0D"/>
                                <w:lang w:val="es-419"/>
                              </w:rPr>
                            </w:pPr>
                            <w:r>
                              <w:rPr>
                                <w:rFonts w:ascii="Cambria" w:eastAsia="Cambria" w:hAnsi="Cambria" w:cs="Cambria"/>
                                <w:b/>
                                <w:bCs/>
                                <w:color w:val="0D0D0D"/>
                                <w:sz w:val="36"/>
                                <w:szCs w:val="36"/>
                                <w:u w:color="0D0D0D"/>
                                <w:lang w:val="es-ES_tradnl"/>
                              </w:rPr>
                              <w:t>INFORME No. 118/20</w:t>
                            </w:r>
                          </w:p>
                          <w:p w:rsidR="00962B54" w:rsidRPr="004648CE" w:rsidRDefault="008009E5">
                            <w:pPr>
                              <w:pStyle w:val="Body"/>
                              <w:spacing w:line="276" w:lineRule="auto"/>
                              <w:rPr>
                                <w:rFonts w:ascii="Cambria" w:eastAsia="Cambria" w:hAnsi="Cambria" w:cs="Cambria"/>
                                <w:b/>
                                <w:bCs/>
                                <w:color w:val="0D0D0D"/>
                                <w:sz w:val="36"/>
                                <w:szCs w:val="36"/>
                                <w:u w:color="0D0D0D"/>
                                <w:lang w:val="es-419"/>
                              </w:rPr>
                            </w:pPr>
                            <w:r>
                              <w:rPr>
                                <w:rFonts w:ascii="Cambria" w:eastAsia="Cambria" w:hAnsi="Cambria" w:cs="Cambria"/>
                                <w:b/>
                                <w:bCs/>
                                <w:color w:val="0D0D0D"/>
                                <w:sz w:val="36"/>
                                <w:szCs w:val="36"/>
                                <w:u w:color="0D0D0D"/>
                                <w:lang w:val="es-ES_tradnl"/>
                              </w:rPr>
                              <w:t>PETICIÓN 777-08</w:t>
                            </w:r>
                          </w:p>
                          <w:p w:rsidR="00962B54" w:rsidRPr="004648CE" w:rsidRDefault="008009E5">
                            <w:pPr>
                              <w:pStyle w:val="Body"/>
                              <w:spacing w:line="276" w:lineRule="auto"/>
                              <w:rPr>
                                <w:rFonts w:ascii="Cambria" w:eastAsia="Cambria" w:hAnsi="Cambria" w:cs="Cambria"/>
                                <w:color w:val="0D0D0D"/>
                                <w:u w:color="0D0D0D"/>
                                <w:lang w:val="es-419"/>
                              </w:rPr>
                            </w:pPr>
                            <w:r>
                              <w:rPr>
                                <w:rFonts w:ascii="Cambria" w:eastAsia="Cambria" w:hAnsi="Cambria" w:cs="Cambria"/>
                                <w:color w:val="0D0D0D"/>
                                <w:u w:color="0D0D0D"/>
                                <w:lang w:val="es-ES_tradnl"/>
                              </w:rPr>
                              <w:t xml:space="preserve">INFORME DE ADMISIBILIDAD </w:t>
                            </w:r>
                          </w:p>
                          <w:p w:rsidR="00962B54" w:rsidRDefault="00962B54">
                            <w:pPr>
                              <w:pStyle w:val="Body"/>
                              <w:spacing w:line="276" w:lineRule="auto"/>
                              <w:rPr>
                                <w:rFonts w:ascii="Cambria" w:eastAsia="Cambria" w:hAnsi="Cambria" w:cs="Cambria"/>
                                <w:color w:val="0D0D0D"/>
                                <w:u w:color="0D0D0D"/>
                                <w:lang w:val="es-ES_tradnl"/>
                              </w:rPr>
                            </w:pPr>
                          </w:p>
                          <w:p w:rsidR="00962B54" w:rsidRPr="004648CE" w:rsidRDefault="008009E5">
                            <w:pPr>
                              <w:pStyle w:val="Body"/>
                              <w:spacing w:line="276" w:lineRule="auto"/>
                              <w:rPr>
                                <w:rFonts w:ascii="Cambria" w:eastAsia="Cambria" w:hAnsi="Cambria" w:cs="Cambria"/>
                                <w:color w:val="0D0D0D"/>
                                <w:u w:color="0D0D0D"/>
                                <w:lang w:val="es-419"/>
                              </w:rPr>
                            </w:pPr>
                            <w:r>
                              <w:rPr>
                                <w:rFonts w:ascii="Cambria" w:eastAsia="Cambria" w:hAnsi="Cambria" w:cs="Cambria"/>
                                <w:color w:val="0D0D0D"/>
                                <w:u w:color="0D0D0D"/>
                                <w:lang w:val="es-ES_tradnl"/>
                              </w:rPr>
                              <w:t>GUSTAVO ALDAZ CASTILLO Y FAMILIA</w:t>
                            </w:r>
                          </w:p>
                          <w:p w:rsidR="00962B54" w:rsidRPr="00A85612" w:rsidRDefault="008009E5">
                            <w:pPr>
                              <w:pStyle w:val="Body"/>
                              <w:spacing w:line="276" w:lineRule="auto"/>
                              <w:rPr>
                                <w:rFonts w:ascii="Cambria" w:eastAsia="Cambria" w:hAnsi="Cambria" w:cs="Cambria"/>
                                <w:color w:val="0D0D0D"/>
                                <w:u w:color="0D0D0D"/>
                                <w:lang w:val="es-419"/>
                              </w:rPr>
                            </w:pPr>
                            <w:r>
                              <w:rPr>
                                <w:rFonts w:ascii="Cambria" w:eastAsia="Cambria" w:hAnsi="Cambria" w:cs="Cambria"/>
                                <w:color w:val="0D0D0D"/>
                                <w:u w:color="0D0D0D"/>
                                <w:lang w:val="es-ES_tradnl"/>
                              </w:rPr>
                              <w:t>COLOMBIA</w:t>
                            </w:r>
                          </w:p>
                          <w:p w:rsidR="00962B54" w:rsidRPr="00A85612" w:rsidRDefault="00962B54">
                            <w:pPr>
                              <w:pStyle w:val="Body"/>
                              <w:rPr>
                                <w:lang w:val="es-419"/>
                              </w:rPr>
                            </w:pPr>
                          </w:p>
                        </w:txbxContent>
                      </wps:txbx>
                      <wps:bodyPr wrap="square" lIns="45719" tIns="45719" rIns="45719" bIns="45719"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id="_x0000_s1027" style="position:absolute;left:0;text-align:left;margin-left:106.5pt;margin-top:8.45pt;width:349.7pt;height:171.75pt;z-index:25166233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" filled="f" stroked="f" strokeweight="1pt">
                <v:stroke miterlimit="4"/>
                <v:textbox inset="1.27mm,1.27mm,1.27mm,1.27mm">
                  <w:txbxContent>
                    <w:p w:rsidR="00962B54" w:rsidRDefault="008009E5">
                      <w:pPr>
                        <w:pStyle w:val="Body"/>
                        <w:spacing w:line="276" w:lineRule="auto"/>
                        <w:rPr>
                          <w:rFonts w:ascii="Cambria" w:eastAsia="Cambria" w:hAnsi="Cambria" w:cs="Cambria"/>
                          <w:b/>
                          <w:bCs/>
                          <w:color w:val="0D0D0D"/>
                          <w:sz w:val="36"/>
                          <w:szCs w:val="36"/>
                          <w:u w:color="0D0D0D"/>
                        </w:rPr>
                      </w:pPr>
                      <w:r>
                        <w:rPr>
                          <w:rFonts w:ascii="Cambria" w:eastAsia="Cambria" w:hAnsi="Cambria" w:cs="Cambria"/>
                          <w:b/>
                          <w:bCs/>
                          <w:color w:val="0D0D0D"/>
                          <w:sz w:val="36"/>
                          <w:szCs w:val="36"/>
                          <w:u w:color="0D0D0D"/>
                          <w:lang w:val="es-ES_tradnl"/>
                        </w:rPr>
                        <w:t>INFORME No. 118</w:t>
                      </w:r>
                      <w:r>
                        <w:rPr>
                          <w:rFonts w:ascii="Cambria" w:eastAsia="Cambria" w:hAnsi="Cambria" w:cs="Cambria"/>
                          <w:b/>
                          <w:bCs/>
                          <w:color w:val="0D0D0D"/>
                          <w:sz w:val="36"/>
                          <w:szCs w:val="36"/>
                          <w:u w:color="0D0D0D"/>
                          <w:lang w:val="es-ES_tradnl"/>
                        </w:rPr>
                        <w:t>/20</w:t>
                      </w:r>
                    </w:p>
                    <w:p w:rsidR="00962B54" w:rsidRPr="004648CE" w:rsidRDefault="008009E5">
                      <w:pPr>
                        <w:pStyle w:val="Body"/>
                        <w:spacing w:line="276" w:lineRule="auto"/>
                        <w:rPr>
                          <w:rFonts w:ascii="Cambria" w:eastAsia="Cambria" w:hAnsi="Cambria" w:cs="Cambria"/>
                          <w:b/>
                          <w:bCs/>
                          <w:color w:val="0D0D0D"/>
                          <w:sz w:val="36"/>
                          <w:szCs w:val="36"/>
                          <w:u w:color="0D0D0D"/>
                          <w:lang w:val="es-419"/>
                        </w:rPr>
                      </w:pPr>
                      <w:r>
                        <w:rPr>
                          <w:rFonts w:ascii="Cambria" w:eastAsia="Cambria" w:hAnsi="Cambria" w:cs="Cambria"/>
                          <w:b/>
                          <w:bCs/>
                          <w:color w:val="0D0D0D"/>
                          <w:sz w:val="36"/>
                          <w:szCs w:val="36"/>
                          <w:u w:color="0D0D0D"/>
                          <w:lang w:val="es-ES_tradnl"/>
                        </w:rPr>
                        <w:t>PETICIÓN 777-08</w:t>
                      </w:r>
                    </w:p>
                    <w:p w:rsidR="00962B54" w:rsidRPr="004648CE" w:rsidRDefault="008009E5">
                      <w:pPr>
                        <w:pStyle w:val="Body"/>
                        <w:spacing w:line="276" w:lineRule="auto"/>
                        <w:rPr>
                          <w:rFonts w:ascii="Cambria" w:eastAsia="Cambria" w:hAnsi="Cambria" w:cs="Cambria"/>
                          <w:color w:val="0D0D0D"/>
                          <w:u w:color="0D0D0D"/>
                          <w:lang w:val="es-419"/>
                        </w:rPr>
                      </w:pPr>
                      <w:r>
                        <w:rPr>
                          <w:rFonts w:ascii="Cambria" w:eastAsia="Cambria" w:hAnsi="Cambria" w:cs="Cambria"/>
                          <w:color w:val="0D0D0D"/>
                          <w:u w:color="0D0D0D"/>
                          <w:lang w:val="es-ES_tradnl"/>
                        </w:rPr>
                        <w:t xml:space="preserve">INFORME DE ADMISIBILIDAD </w:t>
                      </w:r>
                    </w:p>
                    <w:p w:rsidR="00962B54" w:rsidRDefault="00962B54">
                      <w:pPr>
                        <w:pStyle w:val="Body"/>
                        <w:spacing w:line="276" w:lineRule="auto"/>
                        <w:rPr>
                          <w:rFonts w:ascii="Cambria" w:eastAsia="Cambria" w:hAnsi="Cambria" w:cs="Cambria"/>
                          <w:color w:val="0D0D0D"/>
                          <w:u w:color="0D0D0D"/>
                          <w:lang w:val="es-ES_tradnl"/>
                        </w:rPr>
                      </w:pPr>
                    </w:p>
                    <w:p w:rsidR="00962B54" w:rsidRPr="004648CE" w:rsidRDefault="008009E5">
                      <w:pPr>
                        <w:pStyle w:val="Body"/>
                        <w:spacing w:line="276" w:lineRule="auto"/>
                        <w:rPr>
                          <w:rFonts w:ascii="Cambria" w:eastAsia="Cambria" w:hAnsi="Cambria" w:cs="Cambria"/>
                          <w:color w:val="0D0D0D"/>
                          <w:u w:color="0D0D0D"/>
                          <w:lang w:val="es-419"/>
                        </w:rPr>
                      </w:pPr>
                      <w:r>
                        <w:rPr>
                          <w:rFonts w:ascii="Cambria" w:eastAsia="Cambria" w:hAnsi="Cambria" w:cs="Cambria"/>
                          <w:color w:val="0D0D0D"/>
                          <w:u w:color="0D0D0D"/>
                          <w:lang w:val="es-ES_tradnl"/>
                        </w:rPr>
                        <w:t>GUSTAVO ALDAZ CASTILLO Y FAMILIA</w:t>
                      </w:r>
                    </w:p>
                    <w:p w:rsidR="00962B54" w:rsidRDefault="008009E5">
                      <w:pPr>
                        <w:pStyle w:val="Body"/>
                        <w:spacing w:line="276" w:lineRule="auto"/>
                        <w:rPr>
                          <w:rFonts w:ascii="Cambria" w:eastAsia="Cambria" w:hAnsi="Cambria" w:cs="Cambria"/>
                          <w:color w:val="0D0D0D"/>
                          <w:u w:color="0D0D0D"/>
                        </w:rPr>
                      </w:pPr>
                      <w:r>
                        <w:rPr>
                          <w:rFonts w:ascii="Cambria" w:eastAsia="Cambria" w:hAnsi="Cambria" w:cs="Cambria"/>
                          <w:color w:val="0D0D0D"/>
                          <w:u w:color="0D0D0D"/>
                          <w:lang w:val="es-ES_tradnl"/>
                        </w:rPr>
                        <w:t>COLOMBIA</w:t>
                      </w:r>
                    </w:p>
                    <w:p w:rsidR="00962B54" w:rsidRDefault="00962B54">
                      <w:pPr>
                        <w:pStyle w:val="Body"/>
                      </w:pPr>
                    </w:p>
                  </w:txbxContent>
                </v:textbox>
                <w10:wrap anchory="line"/>
              </v:rect>
            </w:pict>
          </mc:Fallback>
        </mc:AlternateContent>
      </w:r>
      <w:r>
        <w:rPr>
          <w:rFonts w:ascii="Cambria" w:eastAsia="Cambria" w:hAnsi="Cambria" w:cs="Cambria"/>
          <w:noProof/>
          <w:sz w:val="22"/>
          <w:szCs w:val="22"/>
        </w:rPr>
        <mc:AlternateContent>
          <mc:Choice Requires="wps">
            <w:drawing>
              <wp:anchor distT="0" distB="0" distL="0" distR="0" simplePos="0" relativeHeight="251664384" behindDoc="0" locked="0" layoutInCell="1" allowOverlap="1">
                <wp:simplePos x="0" y="0"/>
                <wp:positionH relativeFrom="column">
                  <wp:posOffset>-342900</wp:posOffset>
                </wp:positionH>
                <wp:positionV relativeFrom="line">
                  <wp:posOffset>164464</wp:posOffset>
                </wp:positionV>
                <wp:extent cx="1390650" cy="1377316"/>
                <wp:effectExtent l="0" t="0" r="0" b="0"/>
                <wp:wrapNone/>
                <wp:docPr id="1073741830" name="officeArt object"/>
                <wp:cNvGraphicFramePr/>
                <a:graphic xmlns:a="http://schemas.openxmlformats.org/drawingml/2006/main">
                  <a:graphicData uri="http://schemas.microsoft.com/office/word/2010/wordprocessingShape">
                    <wps:wsp>
                      <wps:cNvSpPr/>
                      <wps:spPr>
                        <a:xfrm>
                          <a:off x="0" y="0"/>
                          <a:ext cx="1390650" cy="1377316"/>
                        </a:xfrm>
                        <a:prstGeom prst="rect">
                          <a:avLst/>
                        </a:prstGeom>
                        <a:noFill/>
                        <a:ln w="12700" cap="flat">
                          <a:noFill/>
                          <a:miter lim="400000"/>
                        </a:ln>
                        <a:effectLst/>
                      </wps:spPr>
                      <wps:txbx>
                        <w:txbxContent>
                          <w:p w:rsidR="00962B54" w:rsidRPr="004648CE" w:rsidRDefault="008009E5">
                            <w:pPr>
                              <w:pStyle w:val="Body"/>
                              <w:spacing w:line="276" w:lineRule="auto"/>
                              <w:jc w:val="right"/>
                              <w:rPr>
                                <w:rFonts w:ascii="Calibri" w:eastAsia="Calibri" w:hAnsi="Calibri" w:cs="Calibri"/>
                                <w:color w:val="FFFFFF"/>
                                <w:sz w:val="22"/>
                                <w:szCs w:val="22"/>
                                <w:u w:color="FFFFFF"/>
                                <w:lang w:val="pt-BR"/>
                              </w:rPr>
                            </w:pPr>
                            <w:r>
                              <w:rPr>
                                <w:rFonts w:ascii="Calibri" w:eastAsia="Calibri" w:hAnsi="Calibri" w:cs="Calibri"/>
                                <w:color w:val="FFFFFF"/>
                                <w:sz w:val="22"/>
                                <w:szCs w:val="22"/>
                                <w:u w:color="FFFFFF"/>
                                <w:lang w:val="pt-PT"/>
                              </w:rPr>
                              <w:t>OEA/Ser.L/V/II.</w:t>
                            </w:r>
                          </w:p>
                          <w:p w:rsidR="00962B54" w:rsidRPr="004648CE" w:rsidRDefault="008009E5">
                            <w:pPr>
                              <w:pStyle w:val="Body"/>
                              <w:spacing w:line="276" w:lineRule="auto"/>
                              <w:jc w:val="right"/>
                              <w:rPr>
                                <w:rFonts w:ascii="Calibri" w:eastAsia="Calibri" w:hAnsi="Calibri" w:cs="Calibri"/>
                                <w:color w:val="FFFFFF"/>
                                <w:sz w:val="22"/>
                                <w:szCs w:val="22"/>
                                <w:u w:color="FFFFFF"/>
                                <w:lang w:val="pt-BR"/>
                              </w:rPr>
                            </w:pPr>
                            <w:r>
                              <w:rPr>
                                <w:rFonts w:ascii="Calibri" w:eastAsia="Calibri" w:hAnsi="Calibri" w:cs="Calibri"/>
                                <w:color w:val="FFFFFF"/>
                                <w:sz w:val="22"/>
                                <w:szCs w:val="22"/>
                                <w:u w:color="FFFFFF"/>
                                <w:lang w:val="pt-PT"/>
                              </w:rPr>
                              <w:t>Doc. 128</w:t>
                            </w:r>
                          </w:p>
                          <w:p w:rsidR="00962B54" w:rsidRDefault="008009E5">
                            <w:pPr>
                              <w:pStyle w:val="Body"/>
                              <w:spacing w:line="276" w:lineRule="auto"/>
                              <w:jc w:val="right"/>
                              <w:rPr>
                                <w:rFonts w:ascii="Calibri" w:eastAsia="Calibri" w:hAnsi="Calibri" w:cs="Calibri"/>
                                <w:color w:val="FFFFFF"/>
                                <w:sz w:val="22"/>
                                <w:szCs w:val="22"/>
                                <w:u w:color="FFFFFF"/>
                              </w:rPr>
                            </w:pPr>
                            <w:r>
                              <w:rPr>
                                <w:rFonts w:ascii="Calibri" w:eastAsia="Calibri" w:hAnsi="Calibri" w:cs="Calibri"/>
                                <w:color w:val="FFFFFF"/>
                                <w:sz w:val="22"/>
                                <w:szCs w:val="22"/>
                                <w:u w:color="FFFFFF"/>
                                <w:lang w:val="es-ES_tradnl"/>
                              </w:rPr>
                              <w:t>25 abril 2020</w:t>
                            </w:r>
                          </w:p>
                          <w:p w:rsidR="00962B54" w:rsidRDefault="008009E5">
                            <w:pPr>
                              <w:pStyle w:val="Body"/>
                              <w:spacing w:line="276" w:lineRule="auto"/>
                              <w:jc w:val="right"/>
                            </w:pPr>
                            <w:r>
                              <w:rPr>
                                <w:rFonts w:ascii="Calibri" w:eastAsia="Calibri" w:hAnsi="Calibri" w:cs="Calibri"/>
                                <w:color w:val="FFFFFF"/>
                                <w:sz w:val="22"/>
                                <w:szCs w:val="22"/>
                                <w:u w:color="FFFFFF"/>
                                <w:lang w:val="es-ES_tradnl"/>
                              </w:rPr>
                              <w:t>Original: inglés</w:t>
                            </w:r>
                          </w:p>
                        </w:txbxContent>
                      </wps:txbx>
                      <wps:bodyPr wrap="square" lIns="45719" tIns="45719" rIns="45719" bIns="45719"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id="_x0000_s1028" style="position:absolute;left:0;text-align:left;margin-left:-27pt;margin-top:12.95pt;width:109.5pt;height:108.45pt;z-index:25166438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" filled="f" stroked="f" strokeweight="1pt">
                <v:stroke miterlimit="4"/>
                <v:textbox inset="1.27mm,1.27mm,1.27mm,1.27mm">
                  <w:txbxContent>
                    <w:p w:rsidR="00962B54" w:rsidRPr="004648CE" w:rsidRDefault="008009E5">
                      <w:pPr>
                        <w:pStyle w:val="Body"/>
                        <w:spacing w:line="276" w:lineRule="auto"/>
                        <w:jc w:val="right"/>
                        <w:rPr>
                          <w:rFonts w:ascii="Calibri" w:eastAsia="Calibri" w:hAnsi="Calibri" w:cs="Calibri"/>
                          <w:color w:val="FFFFFF"/>
                          <w:sz w:val="22"/>
                          <w:szCs w:val="22"/>
                          <w:u w:color="FFFFFF"/>
                          <w:lang w:val="pt-BR"/>
                        </w:rPr>
                      </w:pPr>
                      <w:r>
                        <w:rPr>
                          <w:rFonts w:ascii="Calibri" w:eastAsia="Calibri" w:hAnsi="Calibri" w:cs="Calibri"/>
                          <w:color w:val="FFFFFF"/>
                          <w:sz w:val="22"/>
                          <w:szCs w:val="22"/>
                          <w:u w:color="FFFFFF"/>
                          <w:lang w:val="pt-PT"/>
                        </w:rPr>
                        <w:t>OEA/Ser.L/V/II.</w:t>
                      </w:r>
                    </w:p>
                    <w:p w:rsidR="00962B54" w:rsidRPr="004648CE" w:rsidRDefault="008009E5">
                      <w:pPr>
                        <w:pStyle w:val="Body"/>
                        <w:spacing w:line="276" w:lineRule="auto"/>
                        <w:jc w:val="right"/>
                        <w:rPr>
                          <w:rFonts w:ascii="Calibri" w:eastAsia="Calibri" w:hAnsi="Calibri" w:cs="Calibri"/>
                          <w:color w:val="FFFFFF"/>
                          <w:sz w:val="22"/>
                          <w:szCs w:val="22"/>
                          <w:u w:color="FFFFFF"/>
                          <w:lang w:val="pt-BR"/>
                        </w:rPr>
                      </w:pPr>
                      <w:r>
                        <w:rPr>
                          <w:rFonts w:ascii="Calibri" w:eastAsia="Calibri" w:hAnsi="Calibri" w:cs="Calibri"/>
                          <w:color w:val="FFFFFF"/>
                          <w:sz w:val="22"/>
                          <w:szCs w:val="22"/>
                          <w:u w:color="FFFFFF"/>
                          <w:lang w:val="pt-PT"/>
                        </w:rPr>
                        <w:t>Doc. 128</w:t>
                      </w:r>
                    </w:p>
                    <w:p w:rsidR="00962B54" w:rsidRDefault="008009E5">
                      <w:pPr>
                        <w:pStyle w:val="Body"/>
                        <w:spacing w:line="276" w:lineRule="auto"/>
                        <w:jc w:val="right"/>
                        <w:rPr>
                          <w:rFonts w:ascii="Calibri" w:eastAsia="Calibri" w:hAnsi="Calibri" w:cs="Calibri"/>
                          <w:color w:val="FFFFFF"/>
                          <w:sz w:val="22"/>
                          <w:szCs w:val="22"/>
                          <w:u w:color="FFFFFF"/>
                        </w:rPr>
                      </w:pPr>
                      <w:r>
                        <w:rPr>
                          <w:rFonts w:ascii="Calibri" w:eastAsia="Calibri" w:hAnsi="Calibri" w:cs="Calibri"/>
                          <w:color w:val="FFFFFF"/>
                          <w:sz w:val="22"/>
                          <w:szCs w:val="22"/>
                          <w:u w:color="FFFFFF"/>
                          <w:lang w:val="es-ES_tradnl"/>
                        </w:rPr>
                        <w:t>25 abril</w:t>
                      </w:r>
                      <w:r>
                        <w:rPr>
                          <w:rFonts w:ascii="Calibri" w:eastAsia="Calibri" w:hAnsi="Calibri" w:cs="Calibri"/>
                          <w:color w:val="FFFFFF"/>
                          <w:sz w:val="22"/>
                          <w:szCs w:val="22"/>
                          <w:u w:color="FFFFFF"/>
                          <w:lang w:val="es-ES_tradnl"/>
                        </w:rPr>
                        <w:t xml:space="preserve"> 2020</w:t>
                      </w:r>
                    </w:p>
                    <w:p w:rsidR="00962B54" w:rsidRDefault="008009E5">
                      <w:pPr>
                        <w:pStyle w:val="Body"/>
                        <w:spacing w:line="276" w:lineRule="auto"/>
                        <w:jc w:val="right"/>
                      </w:pPr>
                      <w:r>
                        <w:rPr>
                          <w:rFonts w:ascii="Calibri" w:eastAsia="Calibri" w:hAnsi="Calibri" w:cs="Calibri"/>
                          <w:color w:val="FFFFFF"/>
                          <w:sz w:val="22"/>
                          <w:szCs w:val="22"/>
                          <w:u w:color="FFFFFF"/>
                          <w:lang w:val="es-ES_tradnl"/>
                        </w:rPr>
                        <w:t>Original: inglés</w:t>
                      </w:r>
                    </w:p>
                  </w:txbxContent>
                </v:textbox>
                <w10:wrap anchory="line"/>
              </v:rect>
            </w:pict>
          </mc:Fallback>
        </mc:AlternateContent>
      </w:r>
    </w:p>
    <w:p w:rsidR="00962B54" w:rsidRDefault="00962B54">
      <w:pPr>
        <w:pStyle w:val="Body"/>
        <w:tabs>
          <w:tab w:val="center" w:pos="5400"/>
        </w:tabs>
        <w:suppressAutoHyphens/>
        <w:jc w:val="center"/>
        <w:rPr>
          <w:rFonts w:ascii="Cambria" w:eastAsia="Cambria" w:hAnsi="Cambria" w:cs="Cambria"/>
          <w:sz w:val="22"/>
          <w:szCs w:val="22"/>
          <w:lang w:val="es-ES_tradnl"/>
        </w:rPr>
      </w:pPr>
    </w:p>
    <w:p w:rsidR="00962B54" w:rsidRDefault="00962B54">
      <w:pPr>
        <w:pStyle w:val="Body"/>
        <w:tabs>
          <w:tab w:val="center" w:pos="5400"/>
        </w:tabs>
        <w:suppressAutoHyphens/>
        <w:jc w:val="center"/>
        <w:rPr>
          <w:rFonts w:ascii="Cambria" w:eastAsia="Cambria" w:hAnsi="Cambria" w:cs="Cambria"/>
          <w:sz w:val="22"/>
          <w:szCs w:val="22"/>
          <w:lang w:val="es-ES_tradnl"/>
        </w:rPr>
      </w:pPr>
    </w:p>
    <w:p w:rsidR="00962B54" w:rsidRDefault="00962B54">
      <w:pPr>
        <w:pStyle w:val="Body"/>
        <w:tabs>
          <w:tab w:val="center" w:pos="5400"/>
        </w:tabs>
        <w:suppressAutoHyphens/>
        <w:jc w:val="center"/>
        <w:rPr>
          <w:rFonts w:ascii="Cambria" w:eastAsia="Cambria" w:hAnsi="Cambria" w:cs="Cambria"/>
          <w:sz w:val="22"/>
          <w:szCs w:val="22"/>
          <w:lang w:val="es-ES_tradnl"/>
        </w:rPr>
      </w:pPr>
    </w:p>
    <w:p w:rsidR="00962B54" w:rsidRDefault="00962B54">
      <w:pPr>
        <w:pStyle w:val="Body"/>
        <w:tabs>
          <w:tab w:val="center" w:pos="5400"/>
        </w:tabs>
        <w:suppressAutoHyphens/>
        <w:jc w:val="center"/>
        <w:rPr>
          <w:rFonts w:ascii="Cambria" w:eastAsia="Cambria" w:hAnsi="Cambria" w:cs="Cambria"/>
          <w:sz w:val="22"/>
          <w:szCs w:val="22"/>
          <w:lang w:val="es-ES_tradnl"/>
        </w:rPr>
      </w:pPr>
    </w:p>
    <w:p w:rsidR="00962B54" w:rsidRDefault="00962B54">
      <w:pPr>
        <w:pStyle w:val="Body"/>
        <w:tabs>
          <w:tab w:val="center" w:pos="5400"/>
        </w:tabs>
        <w:suppressAutoHyphens/>
        <w:jc w:val="center"/>
        <w:rPr>
          <w:rFonts w:ascii="Cambria" w:eastAsia="Cambria" w:hAnsi="Cambria" w:cs="Cambria"/>
          <w:sz w:val="22"/>
          <w:szCs w:val="22"/>
          <w:lang w:val="es-ES_tradnl"/>
        </w:rPr>
      </w:pPr>
    </w:p>
    <w:p w:rsidR="00962B54" w:rsidRDefault="00962B54">
      <w:pPr>
        <w:pStyle w:val="Body"/>
        <w:tabs>
          <w:tab w:val="center" w:pos="5400"/>
        </w:tabs>
        <w:suppressAutoHyphens/>
        <w:jc w:val="center"/>
        <w:rPr>
          <w:rFonts w:ascii="Cambria" w:eastAsia="Cambria" w:hAnsi="Cambria" w:cs="Cambria"/>
          <w:sz w:val="22"/>
          <w:szCs w:val="22"/>
          <w:lang w:val="es-ES_tradnl"/>
        </w:rPr>
      </w:pPr>
    </w:p>
    <w:p w:rsidR="00962B54" w:rsidRDefault="00962B54">
      <w:pPr>
        <w:pStyle w:val="Body"/>
        <w:tabs>
          <w:tab w:val="center" w:pos="5400"/>
        </w:tabs>
        <w:suppressAutoHyphens/>
        <w:jc w:val="center"/>
        <w:rPr>
          <w:rFonts w:ascii="Cambria" w:eastAsia="Cambria" w:hAnsi="Cambria" w:cs="Cambria"/>
          <w:sz w:val="22"/>
          <w:szCs w:val="22"/>
          <w:lang w:val="es-ES_tradnl"/>
        </w:rPr>
      </w:pPr>
    </w:p>
    <w:p w:rsidR="00962B54" w:rsidRDefault="00962B54">
      <w:pPr>
        <w:pStyle w:val="Body"/>
        <w:tabs>
          <w:tab w:val="center" w:pos="5400"/>
        </w:tabs>
        <w:suppressAutoHyphens/>
        <w:jc w:val="center"/>
        <w:rPr>
          <w:rFonts w:ascii="Cambria" w:eastAsia="Cambria" w:hAnsi="Cambria" w:cs="Cambria"/>
          <w:sz w:val="22"/>
          <w:szCs w:val="22"/>
          <w:lang w:val="es-ES_tradnl"/>
        </w:rPr>
      </w:pPr>
    </w:p>
    <w:p w:rsidR="00962B54" w:rsidRDefault="00962B54">
      <w:pPr>
        <w:pStyle w:val="Body"/>
        <w:tabs>
          <w:tab w:val="center" w:pos="5400"/>
        </w:tabs>
        <w:suppressAutoHyphens/>
        <w:jc w:val="center"/>
        <w:rPr>
          <w:rFonts w:ascii="Cambria" w:eastAsia="Cambria" w:hAnsi="Cambria" w:cs="Cambria"/>
          <w:sz w:val="22"/>
          <w:szCs w:val="22"/>
          <w:lang w:val="es-ES_tradnl"/>
        </w:rPr>
      </w:pPr>
    </w:p>
    <w:p w:rsidR="00962B54" w:rsidRDefault="00962B54">
      <w:pPr>
        <w:pStyle w:val="Body"/>
        <w:tabs>
          <w:tab w:val="center" w:pos="5400"/>
        </w:tabs>
        <w:suppressAutoHyphens/>
        <w:jc w:val="center"/>
        <w:rPr>
          <w:rFonts w:ascii="Cambria" w:eastAsia="Cambria" w:hAnsi="Cambria" w:cs="Cambria"/>
          <w:sz w:val="22"/>
          <w:szCs w:val="22"/>
          <w:lang w:val="es-ES_tradnl"/>
        </w:rPr>
      </w:pPr>
    </w:p>
    <w:p w:rsidR="00962B54" w:rsidRDefault="00962B54">
      <w:pPr>
        <w:pStyle w:val="Body"/>
        <w:tabs>
          <w:tab w:val="center" w:pos="5400"/>
        </w:tabs>
        <w:suppressAutoHyphens/>
        <w:jc w:val="center"/>
        <w:rPr>
          <w:rFonts w:ascii="Cambria" w:eastAsia="Cambria" w:hAnsi="Cambria" w:cs="Cambria"/>
          <w:sz w:val="22"/>
          <w:szCs w:val="22"/>
          <w:lang w:val="es-ES_tradnl"/>
        </w:rPr>
      </w:pPr>
    </w:p>
    <w:p w:rsidR="00962B54" w:rsidRDefault="00962B54">
      <w:pPr>
        <w:pStyle w:val="Body"/>
        <w:tabs>
          <w:tab w:val="center" w:pos="5400"/>
        </w:tabs>
        <w:suppressAutoHyphens/>
        <w:jc w:val="center"/>
        <w:rPr>
          <w:rFonts w:ascii="Cambria" w:eastAsia="Cambria" w:hAnsi="Cambria" w:cs="Cambria"/>
          <w:sz w:val="22"/>
          <w:szCs w:val="22"/>
          <w:lang w:val="es-ES_tradnl"/>
        </w:rPr>
      </w:pPr>
    </w:p>
    <w:p w:rsidR="00962B54" w:rsidRDefault="00962B54">
      <w:pPr>
        <w:pStyle w:val="Body"/>
        <w:tabs>
          <w:tab w:val="center" w:pos="5400"/>
        </w:tabs>
        <w:suppressAutoHyphens/>
        <w:jc w:val="center"/>
        <w:rPr>
          <w:rFonts w:ascii="Cambria" w:eastAsia="Cambria" w:hAnsi="Cambria" w:cs="Cambria"/>
          <w:sz w:val="22"/>
          <w:szCs w:val="22"/>
          <w:lang w:val="es-ES_tradnl"/>
        </w:rPr>
      </w:pPr>
    </w:p>
    <w:p w:rsidR="00962B54" w:rsidRDefault="00962B54">
      <w:pPr>
        <w:pStyle w:val="Body"/>
        <w:tabs>
          <w:tab w:val="center" w:pos="5400"/>
        </w:tabs>
        <w:suppressAutoHyphens/>
        <w:jc w:val="center"/>
        <w:rPr>
          <w:rFonts w:ascii="Cambria" w:eastAsia="Cambria" w:hAnsi="Cambria" w:cs="Cambria"/>
          <w:sz w:val="22"/>
          <w:szCs w:val="22"/>
          <w:lang w:val="es-ES_tradnl"/>
        </w:rPr>
      </w:pPr>
    </w:p>
    <w:p w:rsidR="00962B54" w:rsidRDefault="00962B54">
      <w:pPr>
        <w:pStyle w:val="Body"/>
        <w:tabs>
          <w:tab w:val="center" w:pos="5400"/>
        </w:tabs>
        <w:suppressAutoHyphens/>
        <w:jc w:val="center"/>
        <w:rPr>
          <w:rFonts w:ascii="Cambria" w:eastAsia="Cambria" w:hAnsi="Cambria" w:cs="Cambria"/>
          <w:sz w:val="18"/>
          <w:szCs w:val="18"/>
          <w:lang w:val="es-ES_tradnl"/>
        </w:rPr>
      </w:pPr>
    </w:p>
    <w:p w:rsidR="00962B54" w:rsidRDefault="00962B54">
      <w:pPr>
        <w:pStyle w:val="Body"/>
        <w:tabs>
          <w:tab w:val="center" w:pos="5400"/>
        </w:tabs>
        <w:suppressAutoHyphens/>
        <w:jc w:val="center"/>
        <w:rPr>
          <w:rFonts w:ascii="Cambria" w:eastAsia="Cambria" w:hAnsi="Cambria" w:cs="Cambria"/>
          <w:sz w:val="18"/>
          <w:szCs w:val="18"/>
          <w:lang w:val="es-ES_tradnl"/>
        </w:rPr>
      </w:pPr>
    </w:p>
    <w:p w:rsidR="00962B54" w:rsidRDefault="00962B54">
      <w:pPr>
        <w:pStyle w:val="Body"/>
        <w:tabs>
          <w:tab w:val="center" w:pos="5400"/>
        </w:tabs>
        <w:suppressAutoHyphens/>
        <w:jc w:val="center"/>
        <w:rPr>
          <w:rFonts w:ascii="Cambria" w:eastAsia="Cambria" w:hAnsi="Cambria" w:cs="Cambria"/>
          <w:sz w:val="18"/>
          <w:szCs w:val="18"/>
          <w:lang w:val="es-ES_tradnl"/>
        </w:rPr>
      </w:pPr>
    </w:p>
    <w:p w:rsidR="00962B54" w:rsidRDefault="00962B54">
      <w:pPr>
        <w:pStyle w:val="Body"/>
        <w:tabs>
          <w:tab w:val="center" w:pos="5400"/>
        </w:tabs>
        <w:suppressAutoHyphens/>
        <w:jc w:val="center"/>
        <w:rPr>
          <w:rFonts w:ascii="Cambria" w:eastAsia="Cambria" w:hAnsi="Cambria" w:cs="Cambria"/>
          <w:sz w:val="18"/>
          <w:szCs w:val="18"/>
          <w:lang w:val="es-ES_tradnl"/>
        </w:rPr>
      </w:pPr>
    </w:p>
    <w:p w:rsidR="00962B54" w:rsidRDefault="00962B54">
      <w:pPr>
        <w:pStyle w:val="Body"/>
        <w:tabs>
          <w:tab w:val="center" w:pos="5400"/>
        </w:tabs>
        <w:suppressAutoHyphens/>
        <w:jc w:val="center"/>
        <w:rPr>
          <w:rFonts w:ascii="Cambria" w:eastAsia="Cambria" w:hAnsi="Cambria" w:cs="Cambria"/>
          <w:sz w:val="18"/>
          <w:szCs w:val="18"/>
          <w:lang w:val="es-ES_tradnl"/>
        </w:rPr>
      </w:pPr>
    </w:p>
    <w:p w:rsidR="00962B54" w:rsidRDefault="00962B54">
      <w:pPr>
        <w:pStyle w:val="Body"/>
        <w:tabs>
          <w:tab w:val="center" w:pos="5400"/>
        </w:tabs>
        <w:suppressAutoHyphens/>
        <w:jc w:val="center"/>
        <w:rPr>
          <w:rFonts w:ascii="Cambria" w:eastAsia="Cambria" w:hAnsi="Cambria" w:cs="Cambria"/>
          <w:sz w:val="18"/>
          <w:szCs w:val="18"/>
          <w:lang w:val="es-ES_tradnl"/>
        </w:rPr>
      </w:pPr>
    </w:p>
    <w:p w:rsidR="00962B54" w:rsidRDefault="00962B54">
      <w:pPr>
        <w:pStyle w:val="Body"/>
        <w:tabs>
          <w:tab w:val="center" w:pos="5400"/>
        </w:tabs>
        <w:suppressAutoHyphens/>
        <w:jc w:val="center"/>
        <w:rPr>
          <w:rFonts w:ascii="Cambria" w:eastAsia="Cambria" w:hAnsi="Cambria" w:cs="Cambria"/>
          <w:sz w:val="18"/>
          <w:szCs w:val="18"/>
          <w:lang w:val="es-ES_tradnl"/>
        </w:rPr>
      </w:pPr>
    </w:p>
    <w:p w:rsidR="00962B54" w:rsidRDefault="00962B54">
      <w:pPr>
        <w:pStyle w:val="Body"/>
        <w:tabs>
          <w:tab w:val="center" w:pos="5400"/>
        </w:tabs>
        <w:suppressAutoHyphens/>
        <w:jc w:val="center"/>
        <w:rPr>
          <w:rFonts w:ascii="Cambria" w:eastAsia="Cambria" w:hAnsi="Cambria" w:cs="Cambria"/>
          <w:sz w:val="18"/>
          <w:szCs w:val="18"/>
          <w:lang w:val="es-ES_tradnl"/>
        </w:rPr>
      </w:pPr>
    </w:p>
    <w:p w:rsidR="00962B54" w:rsidRDefault="00962B54">
      <w:pPr>
        <w:pStyle w:val="Body"/>
        <w:tabs>
          <w:tab w:val="center" w:pos="5400"/>
        </w:tabs>
        <w:suppressAutoHyphens/>
        <w:jc w:val="center"/>
        <w:rPr>
          <w:rFonts w:ascii="Cambria" w:eastAsia="Cambria" w:hAnsi="Cambria" w:cs="Cambria"/>
          <w:sz w:val="18"/>
          <w:szCs w:val="18"/>
          <w:lang w:val="es-ES_tradnl"/>
        </w:rPr>
      </w:pPr>
    </w:p>
    <w:p w:rsidR="00962B54" w:rsidRDefault="00962B54">
      <w:pPr>
        <w:pStyle w:val="Body"/>
        <w:tabs>
          <w:tab w:val="center" w:pos="5400"/>
        </w:tabs>
        <w:suppressAutoHyphens/>
        <w:jc w:val="center"/>
        <w:rPr>
          <w:rFonts w:ascii="Cambria" w:eastAsia="Cambria" w:hAnsi="Cambria" w:cs="Cambria"/>
          <w:sz w:val="18"/>
          <w:szCs w:val="18"/>
          <w:lang w:val="es-ES_tradnl"/>
        </w:rPr>
      </w:pPr>
    </w:p>
    <w:p w:rsidR="00962B54" w:rsidRDefault="00962B54">
      <w:pPr>
        <w:pStyle w:val="Body"/>
        <w:tabs>
          <w:tab w:val="center" w:pos="5400"/>
        </w:tabs>
        <w:suppressAutoHyphens/>
        <w:jc w:val="center"/>
        <w:rPr>
          <w:rFonts w:ascii="Cambria" w:eastAsia="Cambria" w:hAnsi="Cambria" w:cs="Cambria"/>
          <w:sz w:val="18"/>
          <w:szCs w:val="18"/>
          <w:lang w:val="es-ES_tradnl"/>
        </w:rPr>
      </w:pPr>
    </w:p>
    <w:p w:rsidR="00962B54" w:rsidRDefault="00962B54">
      <w:pPr>
        <w:pStyle w:val="Body"/>
        <w:tabs>
          <w:tab w:val="center" w:pos="5400"/>
        </w:tabs>
        <w:suppressAutoHyphens/>
        <w:jc w:val="center"/>
        <w:rPr>
          <w:rFonts w:ascii="Cambria" w:eastAsia="Cambria" w:hAnsi="Cambria" w:cs="Cambria"/>
          <w:sz w:val="18"/>
          <w:szCs w:val="18"/>
          <w:lang w:val="es-ES_tradnl"/>
        </w:rPr>
      </w:pPr>
    </w:p>
    <w:p w:rsidR="00962B54" w:rsidRDefault="00962B54">
      <w:pPr>
        <w:pStyle w:val="Body"/>
        <w:tabs>
          <w:tab w:val="center" w:pos="5400"/>
        </w:tabs>
        <w:suppressAutoHyphens/>
        <w:jc w:val="center"/>
        <w:rPr>
          <w:rFonts w:ascii="Cambria" w:eastAsia="Cambria" w:hAnsi="Cambria" w:cs="Cambria"/>
          <w:sz w:val="18"/>
          <w:szCs w:val="18"/>
          <w:lang w:val="es-ES_tradnl"/>
        </w:rPr>
      </w:pPr>
    </w:p>
    <w:p w:rsidR="00962B54" w:rsidRDefault="00962B54">
      <w:pPr>
        <w:pStyle w:val="Body"/>
        <w:tabs>
          <w:tab w:val="center" w:pos="5400"/>
        </w:tabs>
        <w:suppressAutoHyphens/>
        <w:jc w:val="center"/>
        <w:rPr>
          <w:rFonts w:ascii="Cambria" w:eastAsia="Cambria" w:hAnsi="Cambria" w:cs="Cambria"/>
          <w:sz w:val="18"/>
          <w:szCs w:val="18"/>
          <w:lang w:val="es-ES_tradnl"/>
        </w:rPr>
      </w:pPr>
    </w:p>
    <w:p w:rsidR="00962B54" w:rsidRDefault="004648CE">
      <w:pPr>
        <w:pStyle w:val="Body"/>
        <w:tabs>
          <w:tab w:val="center" w:pos="5400"/>
        </w:tabs>
        <w:suppressAutoHyphens/>
        <w:jc w:val="center"/>
        <w:rPr>
          <w:rFonts w:ascii="Cambria" w:eastAsia="Cambria" w:hAnsi="Cambria" w:cs="Cambria"/>
          <w:sz w:val="18"/>
          <w:szCs w:val="18"/>
        </w:rPr>
      </w:pPr>
      <w:r>
        <w:rPr>
          <w:rFonts w:ascii="Cambria" w:eastAsia="Cambria" w:hAnsi="Cambria" w:cs="Cambria"/>
          <w:noProof/>
          <w:sz w:val="22"/>
          <w:szCs w:val="22"/>
        </w:rPr>
        <mc:AlternateContent>
          <mc:Choice Requires="wps">
            <w:drawing>
              <wp:anchor distT="0" distB="0" distL="0" distR="0" simplePos="0" relativeHeight="251663360" behindDoc="0" locked="0" layoutInCell="1" allowOverlap="1">
                <wp:simplePos x="0" y="0"/>
                <wp:positionH relativeFrom="column">
                  <wp:posOffset>1341755</wp:posOffset>
                </wp:positionH>
                <wp:positionV relativeFrom="line">
                  <wp:posOffset>22859</wp:posOffset>
                </wp:positionV>
                <wp:extent cx="4933950" cy="664846"/>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4933950" cy="664846"/>
                        </a:xfrm>
                        <a:prstGeom prst="rect">
                          <a:avLst/>
                        </a:prstGeom>
                        <a:noFill/>
                        <a:ln w="12700" cap="flat">
                          <a:noFill/>
                          <a:miter lim="400000"/>
                        </a:ln>
                        <a:effectLst/>
                      </wps:spPr>
                      <wps:txbx>
                        <w:txbxContent>
                          <w:p w:rsidR="00962B54" w:rsidRPr="004648CE" w:rsidRDefault="008009E5">
                            <w:pPr>
                              <w:pStyle w:val="Body"/>
                              <w:tabs>
                                <w:tab w:val="center" w:pos="5400"/>
                              </w:tabs>
                              <w:suppressAutoHyphens/>
                              <w:spacing w:before="60"/>
                              <w:rPr>
                                <w:rFonts w:ascii="Cambria" w:eastAsia="Cambria" w:hAnsi="Cambria" w:cs="Cambria"/>
                                <w:color w:val="0D0D0D"/>
                                <w:sz w:val="18"/>
                                <w:szCs w:val="18"/>
                                <w:u w:color="0D0D0D"/>
                                <w:lang w:val="es-419"/>
                              </w:rPr>
                            </w:pPr>
                            <w:r>
                              <w:rPr>
                                <w:rFonts w:ascii="Cambria" w:eastAsia="Cambria" w:hAnsi="Cambria" w:cs="Cambria"/>
                                <w:color w:val="0D0D0D"/>
                                <w:sz w:val="18"/>
                                <w:szCs w:val="18"/>
                                <w:u w:color="0D0D0D"/>
                                <w:lang w:val="es-ES_tradnl"/>
                              </w:rPr>
                              <w:t>Aprobado electrónicamente por la Comisión el 25 de abril de 2020</w:t>
                            </w:r>
                            <w:r w:rsidR="00C2763B">
                              <w:rPr>
                                <w:rFonts w:ascii="Cambria" w:eastAsia="Cambria" w:hAnsi="Cambria" w:cs="Cambria"/>
                                <w:color w:val="0D0D0D"/>
                                <w:sz w:val="18"/>
                                <w:szCs w:val="18"/>
                                <w:u w:color="0D0D0D"/>
                                <w:lang w:val="es-ES_tradnl"/>
                              </w:rPr>
                              <w:t>.</w:t>
                            </w:r>
                          </w:p>
                          <w:p w:rsidR="00962B54" w:rsidRPr="004648CE" w:rsidRDefault="00962B54">
                            <w:pPr>
                              <w:pStyle w:val="Body"/>
                              <w:tabs>
                                <w:tab w:val="center" w:pos="5400"/>
                              </w:tabs>
                              <w:suppressAutoHyphens/>
                              <w:spacing w:before="60"/>
                              <w:rPr>
                                <w:lang w:val="es-419"/>
                              </w:rPr>
                            </w:pPr>
                          </w:p>
                        </w:txbxContent>
                      </wps:txbx>
                      <wps:bodyPr wrap="square" lIns="45719" tIns="45719" rIns="45719" bIns="45719" numCol="1" anchor="t">
                        <a:noAutofit/>
                      </wps:bodyPr>
                    </wps:wsp>
                  </a:graphicData>
                </a:graphic>
              </wp:anchor>
            </w:drawing>
          </mc:Choice>
          <mc:Fallback>
            <w:pict>
              <v:rect id="_x0000_s1029" style="position:absolute;left:0;text-align:left;margin-left:105.65pt;margin-top:1.8pt;width:388.5pt;height:52.35pt;z-index:25166336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" filled="f" stroked="f" strokeweight="1pt">
                <v:stroke miterlimit="4"/>
                <v:textbox inset="1.27mm,1.27mm,1.27mm,1.27mm">
                  <w:txbxContent>
                    <w:p w:rsidR="00962B54" w:rsidRPr="004648CE" w:rsidRDefault="008009E5">
                      <w:pPr>
                        <w:pStyle w:val="Body"/>
                        <w:tabs>
                          <w:tab w:val="center" w:pos="5400"/>
                        </w:tabs>
                        <w:suppressAutoHyphens/>
                        <w:spacing w:before="60"/>
                        <w:rPr>
                          <w:rFonts w:ascii="Cambria" w:eastAsia="Cambria" w:hAnsi="Cambria" w:cs="Cambria"/>
                          <w:color w:val="0D0D0D"/>
                          <w:sz w:val="18"/>
                          <w:szCs w:val="18"/>
                          <w:u w:color="0D0D0D"/>
                          <w:lang w:val="es-419"/>
                        </w:rPr>
                      </w:pPr>
                      <w:r>
                        <w:rPr>
                          <w:rFonts w:ascii="Cambria" w:eastAsia="Cambria" w:hAnsi="Cambria" w:cs="Cambria"/>
                          <w:color w:val="0D0D0D"/>
                          <w:sz w:val="18"/>
                          <w:szCs w:val="18"/>
                          <w:u w:color="0D0D0D"/>
                          <w:lang w:val="es-ES_tradnl"/>
                        </w:rPr>
                        <w:t>Aprobado electrónicamente por la Comisión el 25 de abril de 2020</w:t>
                      </w:r>
                      <w:r w:rsidR="00C2763B">
                        <w:rPr>
                          <w:rFonts w:ascii="Cambria" w:eastAsia="Cambria" w:hAnsi="Cambria" w:cs="Cambria"/>
                          <w:color w:val="0D0D0D"/>
                          <w:sz w:val="18"/>
                          <w:szCs w:val="18"/>
                          <w:u w:color="0D0D0D"/>
                          <w:lang w:val="es-ES_tradnl"/>
                        </w:rPr>
                        <w:t>.</w:t>
                      </w:r>
                    </w:p>
                    <w:p w:rsidR="00962B54" w:rsidRPr="004648CE" w:rsidRDefault="00962B54">
                      <w:pPr>
                        <w:pStyle w:val="Body"/>
                        <w:tabs>
                          <w:tab w:val="center" w:pos="5400"/>
                        </w:tabs>
                        <w:suppressAutoHyphens/>
                        <w:spacing w:before="60"/>
                        <w:rPr>
                          <w:lang w:val="es-419"/>
                        </w:rPr>
                      </w:pPr>
                    </w:p>
                  </w:txbxContent>
                </v:textbox>
                <w10:wrap anchory="line"/>
              </v:rect>
            </w:pict>
          </mc:Fallback>
        </mc:AlternateContent>
      </w:r>
    </w:p>
    <w:p w:rsidR="00962B54" w:rsidRDefault="00962B54">
      <w:pPr>
        <w:pStyle w:val="Body"/>
        <w:tabs>
          <w:tab w:val="center" w:pos="5400"/>
        </w:tabs>
        <w:suppressAutoHyphens/>
        <w:jc w:val="center"/>
        <w:rPr>
          <w:rFonts w:ascii="Cambria" w:eastAsia="Cambria" w:hAnsi="Cambria" w:cs="Cambria"/>
          <w:sz w:val="18"/>
          <w:szCs w:val="18"/>
          <w:lang w:val="es-ES_tradnl"/>
        </w:rPr>
      </w:pPr>
    </w:p>
    <w:p w:rsidR="00962B54" w:rsidRDefault="00962B54">
      <w:pPr>
        <w:pStyle w:val="Body"/>
        <w:tabs>
          <w:tab w:val="center" w:pos="5400"/>
        </w:tabs>
        <w:suppressAutoHyphens/>
        <w:jc w:val="center"/>
        <w:rPr>
          <w:rFonts w:ascii="Cambria" w:eastAsia="Cambria" w:hAnsi="Cambria" w:cs="Cambria"/>
          <w:sz w:val="18"/>
          <w:szCs w:val="18"/>
          <w:lang w:val="es-ES_tradnl"/>
        </w:rPr>
      </w:pPr>
    </w:p>
    <w:p w:rsidR="00962B54" w:rsidRDefault="00962B54">
      <w:pPr>
        <w:pStyle w:val="Body"/>
        <w:tabs>
          <w:tab w:val="center" w:pos="5400"/>
        </w:tabs>
        <w:suppressAutoHyphens/>
        <w:jc w:val="center"/>
        <w:rPr>
          <w:rFonts w:ascii="Cambria" w:eastAsia="Cambria" w:hAnsi="Cambria" w:cs="Cambria"/>
          <w:sz w:val="18"/>
          <w:szCs w:val="18"/>
          <w:lang w:val="es-ES_tradnl"/>
        </w:rPr>
      </w:pPr>
    </w:p>
    <w:p w:rsidR="00962B54" w:rsidRDefault="00962B54">
      <w:pPr>
        <w:pStyle w:val="Body"/>
        <w:tabs>
          <w:tab w:val="center" w:pos="5400"/>
        </w:tabs>
        <w:suppressAutoHyphens/>
        <w:jc w:val="center"/>
        <w:rPr>
          <w:rFonts w:ascii="Cambria" w:eastAsia="Cambria" w:hAnsi="Cambria" w:cs="Cambria"/>
          <w:sz w:val="18"/>
          <w:szCs w:val="18"/>
          <w:lang w:val="es-ES_tradnl"/>
        </w:rPr>
      </w:pPr>
    </w:p>
    <w:p w:rsidR="00962B54" w:rsidRDefault="008009E5">
      <w:pPr>
        <w:pStyle w:val="Body"/>
        <w:tabs>
          <w:tab w:val="center" w:pos="5400"/>
        </w:tabs>
        <w:suppressAutoHyphens/>
        <w:jc w:val="center"/>
        <w:rPr>
          <w:rFonts w:ascii="Cambria" w:eastAsia="Cambria" w:hAnsi="Cambria" w:cs="Cambria"/>
          <w:sz w:val="18"/>
          <w:szCs w:val="18"/>
        </w:rPr>
      </w:pPr>
      <w:r>
        <w:rPr>
          <w:rFonts w:ascii="Cambria" w:eastAsia="Cambria" w:hAnsi="Cambria" w:cs="Cambria"/>
          <w:noProof/>
          <w:sz w:val="18"/>
          <w:szCs w:val="18"/>
        </w:rPr>
        <mc:AlternateContent>
          <mc:Choice Requires="wps">
            <w:drawing>
              <wp:anchor distT="0" distB="0" distL="0" distR="0" simplePos="0" relativeHeight="251666432" behindDoc="0" locked="0" layoutInCell="1" allowOverlap="1">
                <wp:simplePos x="0" y="0"/>
                <wp:positionH relativeFrom="column">
                  <wp:posOffset>1333500</wp:posOffset>
                </wp:positionH>
                <wp:positionV relativeFrom="line">
                  <wp:posOffset>5714</wp:posOffset>
                </wp:positionV>
                <wp:extent cx="4943475" cy="657225"/>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4943475" cy="657225"/>
                        </a:xfrm>
                        <a:prstGeom prst="rect">
                          <a:avLst/>
                        </a:prstGeom>
                        <a:noFill/>
                        <a:ln w="12700" cap="flat">
                          <a:noFill/>
                          <a:miter lim="400000"/>
                        </a:ln>
                        <a:effectLst/>
                      </wps:spPr>
                      <wps:txbx>
                        <w:txbxContent>
                          <w:p w:rsidR="00962B54" w:rsidRPr="008009E5" w:rsidRDefault="008009E5">
                            <w:pPr>
                              <w:pStyle w:val="Body"/>
                              <w:spacing w:line="276" w:lineRule="auto"/>
                              <w:rPr>
                                <w:lang w:val="es-419"/>
                              </w:rPr>
                            </w:pPr>
                            <w:r>
                              <w:rPr>
                                <w:rFonts w:ascii="Cambria" w:eastAsia="Cambria" w:hAnsi="Cambria" w:cs="Cambria"/>
                                <w:b/>
                                <w:bCs/>
                                <w:color w:val="595959"/>
                                <w:sz w:val="18"/>
                                <w:szCs w:val="18"/>
                                <w:u w:color="595959"/>
                                <w:lang w:val="pt-PT"/>
                              </w:rPr>
                              <w:t>Citar como:</w:t>
                            </w:r>
                            <w:r>
                              <w:rPr>
                                <w:rFonts w:ascii="Cambria" w:eastAsia="Cambria" w:hAnsi="Cambria" w:cs="Cambria"/>
                                <w:color w:val="595959"/>
                                <w:sz w:val="18"/>
                                <w:szCs w:val="18"/>
                                <w:u w:color="595959"/>
                                <w:lang w:val="pt-PT"/>
                              </w:rPr>
                              <w:t xml:space="preserve"> CIDH, Informe No. </w:t>
                            </w:r>
                            <w:r w:rsidRPr="008009E5">
                              <w:rPr>
                                <w:rFonts w:ascii="Cambria" w:eastAsia="Cambria" w:hAnsi="Cambria" w:cs="Cambria"/>
                                <w:color w:val="595959"/>
                                <w:sz w:val="18"/>
                                <w:szCs w:val="18"/>
                                <w:u w:color="595959"/>
                                <w:lang w:val="pt-BR"/>
                              </w:rPr>
                              <w:t xml:space="preserve">118/20. </w:t>
                            </w:r>
                            <w:r>
                              <w:rPr>
                                <w:rFonts w:ascii="Cambria" w:eastAsia="Cambria" w:hAnsi="Cambria" w:cs="Cambria"/>
                                <w:color w:val="595959"/>
                                <w:sz w:val="18"/>
                                <w:szCs w:val="18"/>
                                <w:u w:color="595959"/>
                                <w:lang w:val="es-ES_tradnl"/>
                              </w:rPr>
                              <w:t xml:space="preserve">Petición 777-08. Admisibilidad. Gustavo </w:t>
                            </w:r>
                            <w:proofErr w:type="spellStart"/>
                            <w:r>
                              <w:rPr>
                                <w:rFonts w:ascii="Cambria" w:eastAsia="Cambria" w:hAnsi="Cambria" w:cs="Cambria"/>
                                <w:color w:val="595959"/>
                                <w:sz w:val="18"/>
                                <w:szCs w:val="18"/>
                                <w:u w:color="595959"/>
                                <w:lang w:val="es-ES_tradnl"/>
                              </w:rPr>
                              <w:t>Aldaz</w:t>
                            </w:r>
                            <w:proofErr w:type="spellEnd"/>
                            <w:r>
                              <w:rPr>
                                <w:rFonts w:ascii="Cambria" w:eastAsia="Cambria" w:hAnsi="Cambria" w:cs="Cambria"/>
                                <w:color w:val="595959"/>
                                <w:sz w:val="18"/>
                                <w:szCs w:val="18"/>
                                <w:u w:color="595959"/>
                                <w:lang w:val="es-ES_tradnl"/>
                              </w:rPr>
                              <w:t xml:space="preserve"> Castillo y familia. Colombia. 25 de abril de 2020.</w:t>
                            </w:r>
                          </w:p>
                        </w:txbxContent>
                      </wps:txbx>
                      <wps:bodyPr wrap="square" lIns="45719" tIns="45719" rIns="45719" bIns="45719"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id="_x0000_s1030" style="position:absolute;left:0;text-align:left;margin-left:105pt;margin-top:.45pt;width:389.25pt;height:51.75pt;z-index:25166643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" filled="f" stroked="f" strokeweight="1pt">
                <v:stroke miterlimit="4"/>
                <v:textbox inset="1.27mm,1.27mm,1.27mm,1.27mm">
                  <w:txbxContent>
                    <w:p w:rsidR="00962B54" w:rsidRPr="008009E5" w:rsidRDefault="008009E5">
                      <w:pPr>
                        <w:pStyle w:val="Body"/>
                        <w:spacing w:line="276" w:lineRule="auto"/>
                        <w:rPr>
                          <w:lang w:val="es-419"/>
                        </w:rPr>
                      </w:pPr>
                      <w:r>
                        <w:rPr>
                          <w:rFonts w:ascii="Cambria" w:eastAsia="Cambria" w:hAnsi="Cambria" w:cs="Cambria"/>
                          <w:b/>
                          <w:bCs/>
                          <w:color w:val="595959"/>
                          <w:sz w:val="18"/>
                          <w:szCs w:val="18"/>
                          <w:u w:color="595959"/>
                          <w:lang w:val="pt-PT"/>
                        </w:rPr>
                        <w:t>Citar como:</w:t>
                      </w:r>
                      <w:r>
                        <w:rPr>
                          <w:rFonts w:ascii="Cambria" w:eastAsia="Cambria" w:hAnsi="Cambria" w:cs="Cambria"/>
                          <w:color w:val="595959"/>
                          <w:sz w:val="18"/>
                          <w:szCs w:val="18"/>
                          <w:u w:color="595959"/>
                          <w:lang w:val="pt-PT"/>
                        </w:rPr>
                        <w:t xml:space="preserve"> CIDH, Informe No. </w:t>
                      </w:r>
                      <w:r w:rsidRPr="008009E5">
                        <w:rPr>
                          <w:rFonts w:ascii="Cambria" w:eastAsia="Cambria" w:hAnsi="Cambria" w:cs="Cambria"/>
                          <w:color w:val="595959"/>
                          <w:sz w:val="18"/>
                          <w:szCs w:val="18"/>
                          <w:u w:color="595959"/>
                          <w:lang w:val="pt-BR"/>
                        </w:rPr>
                        <w:t>118</w:t>
                      </w:r>
                      <w:r w:rsidRPr="008009E5">
                        <w:rPr>
                          <w:rFonts w:ascii="Cambria" w:eastAsia="Cambria" w:hAnsi="Cambria" w:cs="Cambria"/>
                          <w:color w:val="595959"/>
                          <w:sz w:val="18"/>
                          <w:szCs w:val="18"/>
                          <w:u w:color="595959"/>
                          <w:lang w:val="pt-BR"/>
                        </w:rPr>
                        <w:t>/20</w:t>
                      </w:r>
                      <w:r w:rsidRPr="008009E5">
                        <w:rPr>
                          <w:rFonts w:ascii="Cambria" w:eastAsia="Cambria" w:hAnsi="Cambria" w:cs="Cambria"/>
                          <w:color w:val="595959"/>
                          <w:sz w:val="18"/>
                          <w:szCs w:val="18"/>
                          <w:u w:color="595959"/>
                          <w:lang w:val="pt-BR"/>
                        </w:rPr>
                        <w:t xml:space="preserve">. </w:t>
                      </w:r>
                      <w:r>
                        <w:rPr>
                          <w:rFonts w:ascii="Cambria" w:eastAsia="Cambria" w:hAnsi="Cambria" w:cs="Cambria"/>
                          <w:color w:val="595959"/>
                          <w:sz w:val="18"/>
                          <w:szCs w:val="18"/>
                          <w:u w:color="595959"/>
                          <w:lang w:val="es-ES_tradnl"/>
                        </w:rPr>
                        <w:t xml:space="preserve">Petición 777-08. </w:t>
                      </w:r>
                      <w:r>
                        <w:rPr>
                          <w:rFonts w:ascii="Cambria" w:eastAsia="Cambria" w:hAnsi="Cambria" w:cs="Cambria"/>
                          <w:color w:val="595959"/>
                          <w:sz w:val="18"/>
                          <w:szCs w:val="18"/>
                          <w:u w:color="595959"/>
                          <w:lang w:val="es-ES_tradnl"/>
                        </w:rPr>
                        <w:t>Admisibilidad. Gustavo Aldaz Castillo y f</w:t>
                      </w:r>
                      <w:r>
                        <w:rPr>
                          <w:rFonts w:ascii="Cambria" w:eastAsia="Cambria" w:hAnsi="Cambria" w:cs="Cambria"/>
                          <w:color w:val="595959"/>
                          <w:sz w:val="18"/>
                          <w:szCs w:val="18"/>
                          <w:u w:color="595959"/>
                          <w:lang w:val="es-ES_tradnl"/>
                        </w:rPr>
                        <w:t>amilia. Colombia. 25 de abril de 2020</w:t>
                      </w:r>
                      <w:r>
                        <w:rPr>
                          <w:rFonts w:ascii="Cambria" w:eastAsia="Cambria" w:hAnsi="Cambria" w:cs="Cambria"/>
                          <w:color w:val="595959"/>
                          <w:sz w:val="18"/>
                          <w:szCs w:val="18"/>
                          <w:u w:color="595959"/>
                          <w:lang w:val="es-ES_tradnl"/>
                        </w:rPr>
                        <w:t>.</w:t>
                      </w:r>
                    </w:p>
                  </w:txbxContent>
                </v:textbox>
                <w10:wrap anchory="line"/>
              </v:rect>
            </w:pict>
          </mc:Fallback>
        </mc:AlternateContent>
      </w:r>
    </w:p>
    <w:p w:rsidR="00962B54" w:rsidRDefault="00962B54">
      <w:pPr>
        <w:pStyle w:val="Body"/>
        <w:tabs>
          <w:tab w:val="center" w:pos="5400"/>
        </w:tabs>
        <w:suppressAutoHyphens/>
        <w:jc w:val="center"/>
        <w:rPr>
          <w:rFonts w:ascii="Cambria" w:eastAsia="Cambria" w:hAnsi="Cambria" w:cs="Cambria"/>
          <w:sz w:val="18"/>
          <w:szCs w:val="18"/>
          <w:lang w:val="es-ES_tradnl"/>
        </w:rPr>
      </w:pPr>
    </w:p>
    <w:p w:rsidR="00962B54" w:rsidRDefault="008009E5">
      <w:pPr>
        <w:pStyle w:val="Body"/>
        <w:tabs>
          <w:tab w:val="center" w:pos="5400"/>
        </w:tabs>
        <w:suppressAutoHyphens/>
        <w:jc w:val="center"/>
        <w:rPr>
          <w:rFonts w:ascii="Cambria" w:eastAsia="Cambria" w:hAnsi="Cambria" w:cs="Cambria"/>
          <w:b/>
          <w:bCs/>
          <w:sz w:val="20"/>
          <w:szCs w:val="20"/>
        </w:rPr>
      </w:pPr>
      <w:r>
        <w:rPr>
          <w:rFonts w:ascii="Cambria" w:eastAsia="Cambria" w:hAnsi="Cambria" w:cs="Cambria"/>
          <w:noProof/>
          <w:sz w:val="22"/>
          <w:szCs w:val="22"/>
        </w:rPr>
        <mc:AlternateContent>
          <mc:Choice Requires="wps">
            <w:drawing>
              <wp:anchor distT="0" distB="0" distL="0" distR="0" simplePos="0" relativeHeight="251660288" behindDoc="0" locked="0" layoutInCell="1" allowOverlap="1">
                <wp:simplePos x="0" y="0"/>
                <wp:positionH relativeFrom="column">
                  <wp:posOffset>-272225</wp:posOffset>
                </wp:positionH>
                <wp:positionV relativeFrom="line">
                  <wp:posOffset>915035</wp:posOffset>
                </wp:positionV>
                <wp:extent cx="1181100" cy="332741"/>
                <wp:effectExtent l="0" t="0" r="0" b="0"/>
                <wp:wrapNone/>
                <wp:docPr id="1073741833" name="officeArt object"/>
                <wp:cNvGraphicFramePr/>
                <a:graphic xmlns:a="http://schemas.openxmlformats.org/drawingml/2006/main">
                  <a:graphicData uri="http://schemas.microsoft.com/office/word/2010/wordprocessingShape">
                    <wps:wsp>
                      <wps:cNvSpPr/>
                      <wps:spPr>
                        <a:xfrm>
                          <a:off x="0" y="0"/>
                          <a:ext cx="1181100" cy="332741"/>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xmlns:w16se="http://schemas.microsoft.com/office/word/2015/wordml/symex" xmlns:cx1="http://schemas.microsoft.com/office/drawing/2015/9/8/chartex" xmlns:cx="http://schemas.microsoft.com/office/drawing/2014/chartex" val="1"/>
                          </a:ext>
                        </a:extLst>
                      </wps:spPr>
                      <wps:txbx>
                        <w:txbxContent>
                          <w:p w:rsidR="00962B54" w:rsidRDefault="008009E5">
                            <w:pPr>
                              <w:pStyle w:val="Body"/>
                              <w:jc w:val="center"/>
                            </w:pPr>
                            <w:r>
                              <w:rPr>
                                <w:rFonts w:ascii="Calibri" w:eastAsia="Calibri" w:hAnsi="Calibri" w:cs="Calibri"/>
                                <w:b/>
                                <w:bCs/>
                                <w:color w:val="FFFFFF"/>
                                <w:u w:color="FFFFFF"/>
                                <w:lang w:val="pt-PT"/>
                              </w:rPr>
                              <w:t>www.cidh.org</w:t>
                            </w:r>
                          </w:p>
                        </w:txbxContent>
                      </wps:txbx>
                      <wps:bodyPr wrap="square" lIns="45719" tIns="45719" rIns="45719" bIns="45719"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id="_x0000_s1031" style="position:absolute;left:0;text-align:left;margin-left:-21.45pt;margin-top:72.05pt;width:93pt;height:26.2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" filled="f" stroked="f" strokeweight="1pt">
                <v:stroke miterlimit="4"/>
                <v:textbox inset="1.27mm,1.27mm,1.27mm,1.27mm">
                  <w:txbxContent>
                    <w:p w:rsidR="00962B54" w:rsidRDefault="008009E5">
                      <w:pPr>
                        <w:pStyle w:val="Body"/>
                        <w:jc w:val="center"/>
                      </w:pPr>
                      <w:r>
                        <w:rPr>
                          <w:rFonts w:ascii="Calibri" w:eastAsia="Calibri" w:hAnsi="Calibri" w:cs="Calibri"/>
                          <w:b/>
                          <w:bCs/>
                          <w:color w:val="FFFFFF"/>
                          <w:u w:color="FFFFFF"/>
                          <w:lang w:val="pt-PT"/>
                        </w:rPr>
                        <w:t>www.cidh.org</w:t>
                      </w:r>
                    </w:p>
                  </w:txbxContent>
                </v:textbox>
                <w10:wrap anchory="line"/>
              </v:rect>
            </w:pict>
          </mc:Fallback>
        </mc:AlternateContent>
      </w:r>
    </w:p>
    <w:p w:rsidR="00962B54" w:rsidRDefault="008009E5">
      <w:pPr>
        <w:pStyle w:val="Body"/>
        <w:tabs>
          <w:tab w:val="center" w:pos="5400"/>
        </w:tabs>
        <w:suppressAutoHyphens/>
        <w:jc w:val="center"/>
        <w:sectPr w:rsidR="00962B54">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sectPr>
      </w:pPr>
      <w:r>
        <w:rPr>
          <w:noProof/>
          <w:color w:val="FFFFFF"/>
          <w:u w:color="FFFFFF"/>
        </w:rPr>
        <w:drawing>
          <wp:anchor distT="57150" distB="57150" distL="57150" distR="57150" simplePos="0" relativeHeight="251667456" behindDoc="0" locked="0" layoutInCell="1" allowOverlap="1">
            <wp:simplePos x="0" y="0"/>
            <wp:positionH relativeFrom="column">
              <wp:posOffset>1420404</wp:posOffset>
            </wp:positionH>
            <wp:positionV relativeFrom="page">
              <wp:posOffset>9042491</wp:posOffset>
            </wp:positionV>
            <wp:extent cx="1910080" cy="477520"/>
            <wp:effectExtent l="0" t="0" r="0" b="0"/>
            <wp:wrapSquare wrapText="bothSides" distT="57150" distB="57150" distL="57150" distR="57150"/>
            <wp:docPr id="1073741835" name="officeArt object" descr="C:\Users\mfontana\Documents\Eva Fontana\GRAFICA CIDH\cartas\logos\oea-es.jpg"/>
            <wp:cNvGraphicFramePr/>
            <a:graphic xmlns:a="http://schemas.openxmlformats.org/drawingml/2006/main">
              <a:graphicData uri="http://schemas.openxmlformats.org/drawingml/2006/picture">
                <pic:pic xmlns:pic="http://schemas.openxmlformats.org/drawingml/2006/picture">
                  <pic:nvPicPr>
                    <pic:cNvPr id="1073741835" name="image3.png" descr="C:\Users\mfontana\Documents\Eva Fontana\GRAFICA CIDH\cartas\logos\oea-es.jpg"/>
                    <pic:cNvPicPr>
                      <a:picLocks noChangeAspect="1"/>
                    </pic:cNvPicPr>
                  </pic:nvPicPr>
                  <pic:blipFill>
                    <a:blip r:embed="rId15">
                      <a:extLst/>
                    </a:blip>
                    <a:stretch>
                      <a:fillRect/>
                    </a:stretch>
                  </pic:blipFill>
                  <pic:spPr>
                    <a:xfrm>
                      <a:off x="0" y="0"/>
                      <a:ext cx="1910080" cy="47752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4648CE" w:rsidRPr="004648CE">
        <w:rPr>
          <w:rFonts w:ascii="Cambria" w:hAnsi="Cambria" w:cs="Arial"/>
          <w:noProof/>
          <w:color w:val="auto"/>
          <w:sz w:val="22"/>
          <w:szCs w:val="22"/>
        </w:rPr>
        <mc:AlternateContent>
          <mc:Choice Requires="wps">
            <w:drawing>
              <wp:anchor distT="0" distB="0" distL="114300" distR="114300" simplePos="0" relativeHeight="251669504" behindDoc="0" locked="0" layoutInCell="1" allowOverlap="1" wp14:anchorId="3D93D802" wp14:editId="6BD29319">
                <wp:simplePos x="0" y="0"/>
                <wp:positionH relativeFrom="column">
                  <wp:posOffset>-266700</wp:posOffset>
                </wp:positionH>
                <wp:positionV relativeFrom="paragraph">
                  <wp:posOffset>676819</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txbx>
                        <w:txbxContent>
                          <w:p w:rsidR="004648CE" w:rsidRPr="004648CE" w:rsidRDefault="004648CE" w:rsidP="004648CE">
                            <w:pPr>
                              <w:jc w:val="center"/>
                              <w:rPr>
                                <w:rFonts w:ascii="Calibri" w:hAnsi="Calibri"/>
                                <w:b/>
                                <w:color w:val="FFFFFF"/>
                              </w:rPr>
                            </w:pPr>
                            <w:r w:rsidRPr="004648CE">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D93D802" id="_x0000_t202" coordsize="21600,21600" o:spt="202" path="m,l,21600r21600,l21600,xe">
                <v:stroke joinstyle="miter"/>
                <v:path gradientshapeok="t" o:connecttype="rect"/>
              </v:shapetype>
              <v:shape id="Text Box 4" o:spid="_x0000_s1032" type="#_x0000_t202" style="position:absolute;left:0;text-align:left;margin-left:-21pt;margin-top:53.3pt;width:93pt;height:2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" filled="f" stroked="f" strokeweight=".5pt">
                <v:textbox>
                  <w:txbxContent>
                    <w:p w:rsidR="004648CE" w:rsidRPr="004648CE" w:rsidRDefault="004648CE" w:rsidP="004648CE">
                      <w:pPr>
                        <w:jc w:val="center"/>
                        <w:rPr>
                          <w:rFonts w:ascii="Calibri" w:hAnsi="Calibri"/>
                          <w:b/>
                          <w:color w:val="FFFFFF"/>
                        </w:rPr>
                      </w:pPr>
                      <w:r w:rsidRPr="004648CE">
                        <w:rPr>
                          <w:rFonts w:ascii="Calibri" w:hAnsi="Calibri"/>
                          <w:b/>
                          <w:color w:val="FFFFFF"/>
                          <w:lang w:val="pt-BR"/>
                        </w:rPr>
                        <w:t>www.cidh.org</w:t>
                      </w:r>
                    </w:p>
                  </w:txbxContent>
                </v:textbox>
              </v:shape>
            </w:pict>
          </mc:Fallback>
        </mc:AlternateContent>
      </w:r>
      <w:r>
        <w:rPr>
          <w:rFonts w:ascii="Cambria" w:eastAsia="Cambria" w:hAnsi="Cambria" w:cs="Cambria"/>
          <w:noProof/>
          <w:sz w:val="18"/>
          <w:szCs w:val="18"/>
        </w:rPr>
        <mc:AlternateContent>
          <mc:Choice Requires="wps">
            <w:drawing>
              <wp:anchor distT="0" distB="0" distL="0" distR="0" simplePos="0" relativeHeight="251659264" behindDoc="0" locked="0" layoutInCell="1" allowOverlap="1">
                <wp:simplePos x="0" y="0"/>
                <wp:positionH relativeFrom="column">
                  <wp:posOffset>1330658</wp:posOffset>
                </wp:positionH>
                <wp:positionV relativeFrom="line">
                  <wp:posOffset>489651</wp:posOffset>
                </wp:positionV>
                <wp:extent cx="2286000" cy="567055"/>
                <wp:effectExtent l="0" t="0" r="0" b="0"/>
                <wp:wrapNone/>
                <wp:docPr id="1073741834" name="officeArt object"/>
                <wp:cNvGraphicFramePr/>
                <a:graphic xmlns:a="http://schemas.openxmlformats.org/drawingml/2006/main">
                  <a:graphicData uri="http://schemas.microsoft.com/office/word/2010/wordprocessingShape">
                    <wps:wsp>
                      <wps:cNvSpPr/>
                      <wps:spPr>
                        <a:xfrm>
                          <a:off x="0" y="0"/>
                          <a:ext cx="2286000" cy="567055"/>
                        </a:xfrm>
                        <a:prstGeom prst="rect">
                          <a:avLst/>
                        </a:prstGeom>
                        <a:solidFill>
                          <a:srgbClr val="FFFFFF"/>
                        </a:solidFill>
                        <a:ln w="12700" cap="flat">
                          <a:noFill/>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rect w14:anchorId="1817128C" id="officeArt object" o:spid="_x0000_s1026" style="position:absolute;margin-left:104.8pt;margin-top:38.55pt;width:180pt;height:44.6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" stroked="f" strokeweight="1pt">
                <v:stroke miterlimit="4"/>
                <w10:wrap anchory="line"/>
              </v:rect>
            </w:pict>
          </mc:Fallback>
        </mc:AlternateContent>
      </w:r>
    </w:p>
    <w:p w:rsidR="00962B54" w:rsidRPr="00A85612" w:rsidRDefault="008009E5" w:rsidP="00A85612">
      <w:pPr>
        <w:pStyle w:val="Body"/>
        <w:spacing w:after="120"/>
        <w:ind w:firstLine="720"/>
        <w:jc w:val="both"/>
        <w:rPr>
          <w:rFonts w:ascii="Cambria" w:eastAsia="Cambria" w:hAnsi="Cambria" w:cs="Cambria"/>
          <w:b/>
          <w:bCs/>
          <w:sz w:val="20"/>
          <w:szCs w:val="20"/>
        </w:rPr>
      </w:pPr>
      <w:r w:rsidRPr="00A85612">
        <w:rPr>
          <w:rFonts w:ascii="Cambria" w:eastAsia="Cambria" w:hAnsi="Cambria" w:cs="Cambria"/>
          <w:b/>
          <w:bCs/>
          <w:sz w:val="20"/>
          <w:szCs w:val="20"/>
          <w:lang w:val="es-ES_tradnl"/>
        </w:rPr>
        <w:lastRenderedPageBreak/>
        <w:t>I.</w:t>
      </w:r>
      <w:r w:rsidRPr="00A85612">
        <w:rPr>
          <w:rFonts w:ascii="Cambria" w:eastAsia="Cambria" w:hAnsi="Cambria" w:cs="Cambria"/>
          <w:b/>
          <w:bCs/>
          <w:sz w:val="20"/>
          <w:szCs w:val="20"/>
          <w:lang w:val="es-ES_tradnl"/>
        </w:rPr>
        <w:tab/>
        <w:t xml:space="preserve">DATOS DE LA PETICIÓN </w:t>
      </w:r>
    </w:p>
    <w:tbl>
      <w:tblPr>
        <w:tblW w:w="935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44"/>
        <w:gridCol w:w="5812"/>
      </w:tblGrid>
      <w:tr w:rsidR="00962B54" w:rsidRPr="00A85612">
        <w:trPr>
          <w:trHeight w:val="222"/>
        </w:trPr>
        <w:tc>
          <w:tcPr>
            <w:tcW w:w="3544"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962B54" w:rsidRPr="00A85612" w:rsidRDefault="008009E5">
            <w:pPr>
              <w:pStyle w:val="Body"/>
              <w:jc w:val="center"/>
              <w:rPr>
                <w:sz w:val="20"/>
                <w:szCs w:val="20"/>
              </w:rPr>
            </w:pPr>
            <w:r w:rsidRPr="00A85612">
              <w:rPr>
                <w:rFonts w:ascii="Cambria" w:eastAsia="Cambria" w:hAnsi="Cambria" w:cs="Cambria"/>
                <w:color w:val="FFFFFF"/>
                <w:sz w:val="20"/>
                <w:szCs w:val="20"/>
                <w:u w:color="FFFFFF"/>
                <w:lang w:val="es-ES_tradnl"/>
              </w:rPr>
              <w:t>Parte peticionaria</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54" w:rsidRPr="00A85612" w:rsidRDefault="008009E5">
            <w:pPr>
              <w:pStyle w:val="Body"/>
              <w:jc w:val="both"/>
              <w:rPr>
                <w:sz w:val="20"/>
                <w:szCs w:val="20"/>
              </w:rPr>
            </w:pPr>
            <w:r w:rsidRPr="00A85612">
              <w:rPr>
                <w:rFonts w:ascii="Cambria" w:eastAsia="Cambria" w:hAnsi="Cambria" w:cs="Cambria"/>
                <w:sz w:val="20"/>
                <w:szCs w:val="20"/>
                <w:lang w:val="es-ES_tradnl"/>
              </w:rPr>
              <w:t>Miguel Piñeros Rey</w:t>
            </w:r>
          </w:p>
        </w:tc>
      </w:tr>
      <w:tr w:rsidR="00962B54" w:rsidRPr="00C2763B">
        <w:trPr>
          <w:trHeight w:val="222"/>
        </w:trPr>
        <w:tc>
          <w:tcPr>
            <w:tcW w:w="3544"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962B54" w:rsidRPr="00A85612" w:rsidRDefault="008009E5">
            <w:pPr>
              <w:pStyle w:val="Body"/>
              <w:jc w:val="center"/>
              <w:rPr>
                <w:sz w:val="20"/>
                <w:szCs w:val="20"/>
              </w:rPr>
            </w:pPr>
            <w:r w:rsidRPr="00A85612">
              <w:rPr>
                <w:rFonts w:ascii="Cambria" w:eastAsia="Cambria" w:hAnsi="Cambria" w:cs="Cambria"/>
                <w:color w:val="FFFFFF"/>
                <w:sz w:val="20"/>
                <w:szCs w:val="20"/>
                <w:u w:color="FFFFFF"/>
                <w:lang w:val="es-ES_tradnl"/>
              </w:rPr>
              <w:t>Presunta víctima</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54" w:rsidRPr="00A85612" w:rsidRDefault="008009E5">
            <w:pPr>
              <w:pStyle w:val="Body"/>
              <w:jc w:val="both"/>
              <w:rPr>
                <w:sz w:val="20"/>
                <w:szCs w:val="20"/>
                <w:lang w:val="es-419"/>
              </w:rPr>
            </w:pPr>
            <w:r w:rsidRPr="00A85612">
              <w:rPr>
                <w:rFonts w:ascii="Cambria" w:eastAsia="Cambria" w:hAnsi="Cambria" w:cs="Cambria"/>
                <w:sz w:val="20"/>
                <w:szCs w:val="20"/>
                <w:lang w:val="es-ES_tradnl"/>
              </w:rPr>
              <w:t xml:space="preserve">Gustavo </w:t>
            </w:r>
            <w:proofErr w:type="spellStart"/>
            <w:r w:rsidRPr="00A85612">
              <w:rPr>
                <w:rFonts w:ascii="Cambria" w:eastAsia="Cambria" w:hAnsi="Cambria" w:cs="Cambria"/>
                <w:sz w:val="20"/>
                <w:szCs w:val="20"/>
                <w:lang w:val="es-ES_tradnl"/>
              </w:rPr>
              <w:t>Aldaz</w:t>
            </w:r>
            <w:proofErr w:type="spellEnd"/>
            <w:r w:rsidRPr="00A85612">
              <w:rPr>
                <w:rFonts w:ascii="Cambria" w:eastAsia="Cambria" w:hAnsi="Cambria" w:cs="Cambria"/>
                <w:sz w:val="20"/>
                <w:szCs w:val="20"/>
                <w:lang w:val="es-ES_tradnl"/>
              </w:rPr>
              <w:t xml:space="preserve"> Castillo y familia</w:t>
            </w:r>
          </w:p>
        </w:tc>
      </w:tr>
      <w:tr w:rsidR="00962B54" w:rsidRPr="00A85612">
        <w:trPr>
          <w:trHeight w:val="222"/>
        </w:trPr>
        <w:tc>
          <w:tcPr>
            <w:tcW w:w="3544"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962B54" w:rsidRPr="00A85612" w:rsidRDefault="008009E5">
            <w:pPr>
              <w:pStyle w:val="Body"/>
              <w:jc w:val="center"/>
              <w:rPr>
                <w:sz w:val="20"/>
                <w:szCs w:val="20"/>
              </w:rPr>
            </w:pPr>
            <w:r w:rsidRPr="00A85612">
              <w:rPr>
                <w:rFonts w:ascii="Cambria" w:eastAsia="Cambria" w:hAnsi="Cambria" w:cs="Cambria"/>
                <w:color w:val="FFFFFF"/>
                <w:sz w:val="20"/>
                <w:szCs w:val="20"/>
                <w:u w:color="FFFFFF"/>
                <w:lang w:val="es-ES_tradnl"/>
              </w:rPr>
              <w:t>Estado denunciado</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54" w:rsidRPr="00A85612" w:rsidRDefault="008009E5">
            <w:pPr>
              <w:pStyle w:val="Body"/>
              <w:jc w:val="both"/>
              <w:rPr>
                <w:sz w:val="20"/>
                <w:szCs w:val="20"/>
              </w:rPr>
            </w:pPr>
            <w:r w:rsidRPr="00A85612">
              <w:rPr>
                <w:rFonts w:ascii="Cambria" w:eastAsia="Cambria" w:hAnsi="Cambria" w:cs="Cambria"/>
                <w:sz w:val="20"/>
                <w:szCs w:val="20"/>
              </w:rPr>
              <w:t>Colombia</w:t>
            </w:r>
          </w:p>
        </w:tc>
      </w:tr>
      <w:tr w:rsidR="00962B54" w:rsidRPr="00C2763B">
        <w:trPr>
          <w:trHeight w:val="1322"/>
        </w:trPr>
        <w:tc>
          <w:tcPr>
            <w:tcW w:w="3544"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962B54" w:rsidRPr="00A85612" w:rsidRDefault="008009E5">
            <w:pPr>
              <w:pStyle w:val="Body"/>
              <w:jc w:val="center"/>
              <w:rPr>
                <w:sz w:val="20"/>
                <w:szCs w:val="20"/>
              </w:rPr>
            </w:pPr>
            <w:r w:rsidRPr="00A85612">
              <w:rPr>
                <w:rFonts w:ascii="Cambria" w:eastAsia="Cambria" w:hAnsi="Cambria" w:cs="Cambria"/>
                <w:color w:val="FFFFFF"/>
                <w:sz w:val="20"/>
                <w:szCs w:val="20"/>
                <w:u w:color="FFFFFF"/>
                <w:lang w:val="es-ES_tradnl"/>
              </w:rPr>
              <w:t>Derechos invocados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54" w:rsidRPr="00A85612" w:rsidRDefault="008009E5">
            <w:pPr>
              <w:pStyle w:val="Body"/>
              <w:jc w:val="both"/>
              <w:rPr>
                <w:sz w:val="19"/>
                <w:szCs w:val="19"/>
                <w:lang w:val="es-419"/>
              </w:rPr>
            </w:pPr>
            <w:r w:rsidRPr="00A85612">
              <w:rPr>
                <w:rFonts w:ascii="Cambria" w:eastAsia="Cambria" w:hAnsi="Cambria" w:cs="Cambria"/>
                <w:sz w:val="19"/>
                <w:szCs w:val="19"/>
                <w:lang w:val="es-ES_tradnl"/>
              </w:rPr>
              <w:t>Artículo 8 (garantías judiciales), 21 (propiedad privada), 22 (circulación y residencia), 24 (igualdad), 25 (protección judicial) y 31 de la Convención Americana sobre Derechos Humanos; artículos VIII (residencia y tránsito), XI (preservación de la salud y bienestar) y XVIII (justicia) de la Declaración Americana de los Derechos y Deberes del Hombre</w:t>
            </w:r>
          </w:p>
        </w:tc>
      </w:tr>
    </w:tbl>
    <w:p w:rsidR="00962B54" w:rsidRPr="00A85612" w:rsidRDefault="008009E5" w:rsidP="00A85612">
      <w:pPr>
        <w:pStyle w:val="Body"/>
        <w:spacing w:before="120" w:after="120"/>
        <w:ind w:firstLine="720"/>
        <w:jc w:val="both"/>
        <w:rPr>
          <w:rFonts w:ascii="Cambria" w:eastAsia="Cambria" w:hAnsi="Cambria" w:cs="Cambria"/>
          <w:b/>
          <w:bCs/>
          <w:sz w:val="20"/>
          <w:szCs w:val="20"/>
          <w:lang w:val="es-419"/>
        </w:rPr>
      </w:pPr>
      <w:r w:rsidRPr="00A85612">
        <w:rPr>
          <w:rFonts w:ascii="Cambria" w:eastAsia="Cambria" w:hAnsi="Cambria" w:cs="Cambria"/>
          <w:b/>
          <w:bCs/>
          <w:sz w:val="20"/>
          <w:szCs w:val="20"/>
          <w:lang w:val="es-ES_tradnl"/>
        </w:rPr>
        <w:t>II.</w:t>
      </w:r>
      <w:r w:rsidRPr="00A85612">
        <w:rPr>
          <w:rFonts w:ascii="Cambria" w:eastAsia="Cambria" w:hAnsi="Cambria" w:cs="Cambria"/>
          <w:b/>
          <w:bCs/>
          <w:sz w:val="20"/>
          <w:szCs w:val="20"/>
          <w:lang w:val="es-ES_tradnl"/>
        </w:rPr>
        <w:tab/>
        <w:t>TRÁMITE ANTE LA CIDH</w:t>
      </w:r>
      <w:r w:rsidRPr="00A85612">
        <w:rPr>
          <w:rFonts w:ascii="Cambria" w:eastAsia="Cambria" w:hAnsi="Cambria" w:cs="Cambria"/>
          <w:b/>
          <w:bCs/>
          <w:sz w:val="20"/>
          <w:szCs w:val="20"/>
          <w:vertAlign w:val="superscript"/>
        </w:rPr>
        <w:footnoteReference w:id="2"/>
      </w:r>
    </w:p>
    <w:tbl>
      <w:tblPr>
        <w:tblW w:w="935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44"/>
        <w:gridCol w:w="5812"/>
      </w:tblGrid>
      <w:tr w:rsidR="00962B54" w:rsidRPr="00A85612">
        <w:trPr>
          <w:trHeight w:val="222"/>
        </w:trPr>
        <w:tc>
          <w:tcPr>
            <w:tcW w:w="3544"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962B54" w:rsidRPr="00A85612" w:rsidRDefault="008009E5">
            <w:pPr>
              <w:pStyle w:val="Body"/>
              <w:jc w:val="center"/>
              <w:rPr>
                <w:sz w:val="20"/>
                <w:szCs w:val="20"/>
              </w:rPr>
            </w:pPr>
            <w:r w:rsidRPr="00A85612">
              <w:rPr>
                <w:rFonts w:ascii="Cambria" w:eastAsia="Cambria" w:hAnsi="Cambria" w:cs="Cambria"/>
                <w:color w:val="FFFFFF"/>
                <w:sz w:val="20"/>
                <w:szCs w:val="20"/>
                <w:u w:color="FFFFFF"/>
                <w:lang w:val="es-ES_tradnl"/>
              </w:rPr>
              <w:t>Recepción de la petición</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2B54" w:rsidRPr="00A85612" w:rsidRDefault="008009E5">
            <w:pPr>
              <w:pStyle w:val="Body"/>
              <w:jc w:val="both"/>
              <w:rPr>
                <w:sz w:val="20"/>
                <w:szCs w:val="20"/>
              </w:rPr>
            </w:pPr>
            <w:r w:rsidRPr="00A85612">
              <w:rPr>
                <w:rFonts w:ascii="Cambria" w:eastAsia="Cambria" w:hAnsi="Cambria" w:cs="Cambria"/>
                <w:sz w:val="20"/>
                <w:szCs w:val="20"/>
                <w:lang w:val="es-ES_tradnl"/>
              </w:rPr>
              <w:t>8 de junio de 2008</w:t>
            </w:r>
          </w:p>
        </w:tc>
      </w:tr>
      <w:tr w:rsidR="00962B54" w:rsidRPr="00C2763B">
        <w:trPr>
          <w:trHeight w:val="402"/>
        </w:trPr>
        <w:tc>
          <w:tcPr>
            <w:tcW w:w="3544"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962B54" w:rsidRPr="00A85612" w:rsidRDefault="008009E5">
            <w:pPr>
              <w:pStyle w:val="Body"/>
              <w:jc w:val="center"/>
              <w:rPr>
                <w:sz w:val="20"/>
                <w:szCs w:val="20"/>
                <w:lang w:val="es-419"/>
              </w:rPr>
            </w:pPr>
            <w:r w:rsidRPr="00A85612">
              <w:rPr>
                <w:rFonts w:ascii="Cambria" w:eastAsia="Cambria" w:hAnsi="Cambria" w:cs="Cambria"/>
                <w:color w:val="FFFFFF"/>
                <w:sz w:val="20"/>
                <w:szCs w:val="20"/>
                <w:u w:color="FFFFFF"/>
                <w:lang w:val="es-ES_tradnl"/>
              </w:rPr>
              <w:t>Información adicional recibida durante la etapa de estudio</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2B54" w:rsidRPr="00A85612" w:rsidRDefault="008009E5">
            <w:pPr>
              <w:pStyle w:val="Body"/>
              <w:jc w:val="both"/>
              <w:rPr>
                <w:sz w:val="20"/>
                <w:szCs w:val="20"/>
                <w:lang w:val="es-419"/>
              </w:rPr>
            </w:pPr>
            <w:r w:rsidRPr="00A85612">
              <w:rPr>
                <w:rFonts w:ascii="Cambria" w:eastAsia="Cambria" w:hAnsi="Cambria" w:cs="Cambria"/>
                <w:sz w:val="20"/>
                <w:szCs w:val="20"/>
                <w:lang w:val="es-ES_tradnl"/>
              </w:rPr>
              <w:t>22 de julio de 2008, 7 de noviembre de 2013 y 10 de junio de 2014</w:t>
            </w:r>
          </w:p>
        </w:tc>
      </w:tr>
      <w:tr w:rsidR="00962B54" w:rsidRPr="00A85612">
        <w:trPr>
          <w:trHeight w:val="222"/>
        </w:trPr>
        <w:tc>
          <w:tcPr>
            <w:tcW w:w="3544"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962B54" w:rsidRPr="00A85612" w:rsidRDefault="008009E5">
            <w:pPr>
              <w:pStyle w:val="Body"/>
              <w:jc w:val="center"/>
              <w:rPr>
                <w:sz w:val="20"/>
                <w:szCs w:val="20"/>
              </w:rPr>
            </w:pPr>
            <w:r w:rsidRPr="00A85612">
              <w:rPr>
                <w:rFonts w:ascii="Cambria" w:eastAsia="Cambria" w:hAnsi="Cambria" w:cs="Cambria"/>
                <w:color w:val="FFFFFF"/>
                <w:sz w:val="20"/>
                <w:szCs w:val="20"/>
                <w:u w:color="FFFFFF"/>
                <w:lang w:val="es-ES_tradnl"/>
              </w:rPr>
              <w:t>Notificación de la petición</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2B54" w:rsidRPr="00A85612" w:rsidRDefault="008009E5">
            <w:pPr>
              <w:pStyle w:val="Body"/>
              <w:jc w:val="both"/>
              <w:rPr>
                <w:sz w:val="20"/>
                <w:szCs w:val="20"/>
              </w:rPr>
            </w:pPr>
            <w:r w:rsidRPr="00A85612">
              <w:rPr>
                <w:rFonts w:ascii="Cambria" w:eastAsia="Cambria" w:hAnsi="Cambria" w:cs="Cambria"/>
                <w:sz w:val="20"/>
                <w:szCs w:val="20"/>
                <w:lang w:val="es-ES_tradnl"/>
              </w:rPr>
              <w:t>28 de septiembre de 2016</w:t>
            </w:r>
          </w:p>
        </w:tc>
      </w:tr>
      <w:tr w:rsidR="00962B54" w:rsidRPr="00A85612">
        <w:trPr>
          <w:trHeight w:val="222"/>
        </w:trPr>
        <w:tc>
          <w:tcPr>
            <w:tcW w:w="3544"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962B54" w:rsidRPr="00A85612" w:rsidRDefault="008009E5">
            <w:pPr>
              <w:pStyle w:val="Body"/>
              <w:jc w:val="center"/>
              <w:rPr>
                <w:sz w:val="20"/>
                <w:szCs w:val="20"/>
              </w:rPr>
            </w:pPr>
            <w:r w:rsidRPr="00A85612">
              <w:rPr>
                <w:rFonts w:ascii="Cambria" w:eastAsia="Cambria" w:hAnsi="Cambria" w:cs="Cambria"/>
                <w:color w:val="FFFFFF"/>
                <w:sz w:val="20"/>
                <w:szCs w:val="20"/>
                <w:u w:color="FFFFFF"/>
                <w:lang w:val="es-ES_tradnl"/>
              </w:rPr>
              <w:t>Primera respuesta del Estado</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2B54" w:rsidRPr="00A85612" w:rsidRDefault="008009E5">
            <w:pPr>
              <w:pStyle w:val="Body"/>
              <w:jc w:val="both"/>
              <w:rPr>
                <w:sz w:val="20"/>
                <w:szCs w:val="20"/>
              </w:rPr>
            </w:pPr>
            <w:r w:rsidRPr="00A85612">
              <w:rPr>
                <w:rFonts w:ascii="Cambria" w:eastAsia="Cambria" w:hAnsi="Cambria" w:cs="Cambria"/>
                <w:sz w:val="20"/>
                <w:szCs w:val="20"/>
                <w:lang w:val="es-ES_tradnl"/>
              </w:rPr>
              <w:t>17 de agosto 2017</w:t>
            </w:r>
          </w:p>
        </w:tc>
      </w:tr>
      <w:tr w:rsidR="00962B54" w:rsidRPr="00C2763B">
        <w:trPr>
          <w:trHeight w:val="442"/>
        </w:trPr>
        <w:tc>
          <w:tcPr>
            <w:tcW w:w="3544"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962B54" w:rsidRPr="00A85612" w:rsidRDefault="008009E5">
            <w:pPr>
              <w:pStyle w:val="Body"/>
              <w:jc w:val="center"/>
              <w:rPr>
                <w:rFonts w:ascii="Cambria" w:eastAsia="Cambria" w:hAnsi="Cambria" w:cs="Cambria"/>
                <w:color w:val="FFFFFF"/>
                <w:sz w:val="20"/>
                <w:szCs w:val="20"/>
                <w:u w:color="FFFFFF"/>
                <w:lang w:val="es-419"/>
              </w:rPr>
            </w:pPr>
            <w:r w:rsidRPr="00A85612">
              <w:rPr>
                <w:rFonts w:ascii="Cambria" w:eastAsia="Cambria" w:hAnsi="Cambria" w:cs="Cambria"/>
                <w:color w:val="FFFFFF"/>
                <w:sz w:val="20"/>
                <w:szCs w:val="20"/>
                <w:u w:color="FFFFFF"/>
                <w:lang w:val="es-ES_tradnl"/>
              </w:rPr>
              <w:t xml:space="preserve">Observaciones adicionales de la </w:t>
            </w:r>
          </w:p>
          <w:p w:rsidR="00962B54" w:rsidRPr="00A85612" w:rsidRDefault="008009E5">
            <w:pPr>
              <w:pStyle w:val="Body"/>
              <w:jc w:val="center"/>
              <w:rPr>
                <w:sz w:val="20"/>
                <w:szCs w:val="20"/>
                <w:lang w:val="es-419"/>
              </w:rPr>
            </w:pPr>
            <w:r w:rsidRPr="00A85612">
              <w:rPr>
                <w:rFonts w:ascii="Cambria" w:eastAsia="Cambria" w:hAnsi="Cambria" w:cs="Cambria"/>
                <w:color w:val="FFFFFF"/>
                <w:sz w:val="20"/>
                <w:szCs w:val="20"/>
                <w:u w:color="FFFFFF"/>
                <w:lang w:val="es-ES_tradnl"/>
              </w:rPr>
              <w:t>parte peticionaria</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2B54" w:rsidRPr="00A85612" w:rsidRDefault="008009E5">
            <w:pPr>
              <w:pStyle w:val="Body"/>
              <w:jc w:val="both"/>
              <w:rPr>
                <w:sz w:val="20"/>
                <w:szCs w:val="20"/>
                <w:lang w:val="es-419"/>
              </w:rPr>
            </w:pPr>
            <w:r w:rsidRPr="00A85612">
              <w:rPr>
                <w:rFonts w:ascii="Cambria" w:eastAsia="Cambria" w:hAnsi="Cambria" w:cs="Cambria"/>
                <w:sz w:val="20"/>
                <w:szCs w:val="20"/>
                <w:lang w:val="es-ES_tradnl"/>
              </w:rPr>
              <w:t>1 de diciembre de 2016, 9 de marzo de 2017, 13 de julio de 2017 y 1 de marzo de 2018</w:t>
            </w:r>
          </w:p>
        </w:tc>
      </w:tr>
    </w:tbl>
    <w:p w:rsidR="00962B54" w:rsidRPr="00A85612" w:rsidRDefault="008009E5" w:rsidP="00A85612">
      <w:pPr>
        <w:pStyle w:val="Body"/>
        <w:tabs>
          <w:tab w:val="left" w:pos="720"/>
          <w:tab w:val="left" w:pos="1440"/>
          <w:tab w:val="left" w:pos="2160"/>
          <w:tab w:val="left" w:pos="2880"/>
          <w:tab w:val="left" w:pos="4500"/>
        </w:tabs>
        <w:spacing w:before="120" w:after="120"/>
        <w:ind w:firstLine="720"/>
        <w:jc w:val="both"/>
        <w:rPr>
          <w:rFonts w:ascii="Cambria" w:eastAsia="Cambria" w:hAnsi="Cambria" w:cs="Cambria"/>
          <w:b/>
          <w:bCs/>
          <w:sz w:val="20"/>
          <w:szCs w:val="20"/>
        </w:rPr>
      </w:pPr>
      <w:r w:rsidRPr="00A85612">
        <w:rPr>
          <w:rFonts w:ascii="Cambria" w:eastAsia="Cambria" w:hAnsi="Cambria" w:cs="Cambria"/>
          <w:b/>
          <w:bCs/>
          <w:sz w:val="20"/>
          <w:szCs w:val="20"/>
          <w:lang w:val="es-ES_tradnl"/>
        </w:rPr>
        <w:t xml:space="preserve">III. </w:t>
      </w:r>
      <w:r w:rsidRPr="00A85612">
        <w:rPr>
          <w:rFonts w:ascii="Cambria" w:eastAsia="Cambria" w:hAnsi="Cambria" w:cs="Cambria"/>
          <w:b/>
          <w:bCs/>
          <w:sz w:val="20"/>
          <w:szCs w:val="20"/>
          <w:lang w:val="es-ES_tradnl"/>
        </w:rPr>
        <w:tab/>
        <w:t xml:space="preserve">COMPETENCIA </w:t>
      </w:r>
    </w:p>
    <w:tbl>
      <w:tblPr>
        <w:tblW w:w="93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00"/>
        <w:gridCol w:w="5760"/>
      </w:tblGrid>
      <w:tr w:rsidR="00962B54" w:rsidRPr="00C2763B">
        <w:trPr>
          <w:trHeight w:val="222"/>
        </w:trPr>
        <w:tc>
          <w:tcPr>
            <w:tcW w:w="3600"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962B54" w:rsidRPr="00A85612" w:rsidRDefault="008009E5">
            <w:pPr>
              <w:pStyle w:val="Body"/>
              <w:jc w:val="center"/>
              <w:rPr>
                <w:sz w:val="20"/>
                <w:szCs w:val="20"/>
              </w:rPr>
            </w:pPr>
            <w:proofErr w:type="spellStart"/>
            <w:r w:rsidRPr="00A85612">
              <w:rPr>
                <w:rFonts w:ascii="Cambria" w:eastAsia="Cambria" w:hAnsi="Cambria" w:cs="Cambria"/>
                <w:i/>
                <w:iCs/>
                <w:color w:val="FFFFFF"/>
                <w:sz w:val="20"/>
                <w:szCs w:val="20"/>
                <w:u w:color="FFFFFF"/>
                <w:lang w:val="es-ES_tradnl"/>
              </w:rPr>
              <w:t>Ratione</w:t>
            </w:r>
            <w:proofErr w:type="spellEnd"/>
            <w:r w:rsidRPr="00A85612">
              <w:rPr>
                <w:rFonts w:ascii="Cambria" w:eastAsia="Cambria" w:hAnsi="Cambria" w:cs="Cambria"/>
                <w:i/>
                <w:iCs/>
                <w:color w:val="FFFFFF"/>
                <w:sz w:val="20"/>
                <w:szCs w:val="20"/>
                <w:u w:color="FFFFFF"/>
                <w:lang w:val="es-ES_tradnl"/>
              </w:rPr>
              <w:t xml:space="preserve"> </w:t>
            </w:r>
            <w:proofErr w:type="spellStart"/>
            <w:r w:rsidRPr="00A85612">
              <w:rPr>
                <w:rFonts w:ascii="Cambria" w:eastAsia="Cambria" w:hAnsi="Cambria" w:cs="Cambria"/>
                <w:i/>
                <w:iCs/>
                <w:color w:val="FFFFFF"/>
                <w:sz w:val="20"/>
                <w:szCs w:val="20"/>
                <w:u w:color="FFFFFF"/>
                <w:lang w:val="es-ES_tradnl"/>
              </w:rPr>
              <w:t>personae</w:t>
            </w:r>
            <w:proofErr w:type="spellEnd"/>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54" w:rsidRPr="00A85612" w:rsidRDefault="008009E5">
            <w:pPr>
              <w:pStyle w:val="Body"/>
              <w:rPr>
                <w:sz w:val="20"/>
                <w:szCs w:val="20"/>
                <w:lang w:val="es-419"/>
              </w:rPr>
            </w:pPr>
            <w:r w:rsidRPr="00A85612">
              <w:rPr>
                <w:rFonts w:ascii="Cambria" w:eastAsia="Cambria" w:hAnsi="Cambria" w:cs="Cambria"/>
                <w:sz w:val="20"/>
                <w:szCs w:val="20"/>
                <w:lang w:val="es-ES_tradnl"/>
              </w:rPr>
              <w:t>Sí y no (ver sección VI)</w:t>
            </w:r>
          </w:p>
        </w:tc>
      </w:tr>
      <w:tr w:rsidR="00962B54" w:rsidRPr="00A85612">
        <w:trPr>
          <w:trHeight w:val="222"/>
        </w:trPr>
        <w:tc>
          <w:tcPr>
            <w:tcW w:w="3600"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962B54" w:rsidRPr="00A85612" w:rsidRDefault="008009E5">
            <w:pPr>
              <w:pStyle w:val="Body"/>
              <w:jc w:val="center"/>
              <w:rPr>
                <w:sz w:val="20"/>
                <w:szCs w:val="20"/>
              </w:rPr>
            </w:pPr>
            <w:proofErr w:type="spellStart"/>
            <w:r w:rsidRPr="00A85612">
              <w:rPr>
                <w:rFonts w:ascii="Cambria" w:eastAsia="Cambria" w:hAnsi="Cambria" w:cs="Cambria"/>
                <w:i/>
                <w:iCs/>
                <w:color w:val="FFFFFF"/>
                <w:sz w:val="20"/>
                <w:szCs w:val="20"/>
                <w:u w:color="FFFFFF"/>
                <w:lang w:val="es-ES_tradnl"/>
              </w:rPr>
              <w:t>Ratione</w:t>
            </w:r>
            <w:proofErr w:type="spellEnd"/>
            <w:r w:rsidRPr="00A85612">
              <w:rPr>
                <w:rFonts w:ascii="Cambria" w:eastAsia="Cambria" w:hAnsi="Cambria" w:cs="Cambria"/>
                <w:i/>
                <w:iCs/>
                <w:color w:val="FFFFFF"/>
                <w:sz w:val="20"/>
                <w:szCs w:val="20"/>
                <w:u w:color="FFFFFF"/>
                <w:lang w:val="es-ES_tradnl"/>
              </w:rPr>
              <w:t xml:space="preserve"> </w:t>
            </w:r>
            <w:proofErr w:type="spellStart"/>
            <w:r w:rsidRPr="00A85612">
              <w:rPr>
                <w:rFonts w:ascii="Cambria" w:eastAsia="Cambria" w:hAnsi="Cambria" w:cs="Cambria"/>
                <w:i/>
                <w:iCs/>
                <w:color w:val="FFFFFF"/>
                <w:sz w:val="20"/>
                <w:szCs w:val="20"/>
                <w:u w:color="FFFFFF"/>
                <w:lang w:val="es-ES_tradnl"/>
              </w:rPr>
              <w:t>loci</w:t>
            </w:r>
            <w:proofErr w:type="spellEnd"/>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54" w:rsidRPr="00A85612" w:rsidRDefault="008009E5">
            <w:pPr>
              <w:pStyle w:val="Body"/>
              <w:rPr>
                <w:sz w:val="20"/>
                <w:szCs w:val="20"/>
              </w:rPr>
            </w:pPr>
            <w:proofErr w:type="spellStart"/>
            <w:r w:rsidRPr="00A85612">
              <w:rPr>
                <w:rFonts w:ascii="Cambria" w:eastAsia="Cambria" w:hAnsi="Cambria" w:cs="Cambria"/>
                <w:sz w:val="20"/>
                <w:szCs w:val="20"/>
              </w:rPr>
              <w:t>Sí</w:t>
            </w:r>
            <w:proofErr w:type="spellEnd"/>
          </w:p>
        </w:tc>
      </w:tr>
      <w:tr w:rsidR="00962B54" w:rsidRPr="00A85612">
        <w:trPr>
          <w:trHeight w:val="222"/>
        </w:trPr>
        <w:tc>
          <w:tcPr>
            <w:tcW w:w="3600"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962B54" w:rsidRPr="00A85612" w:rsidRDefault="008009E5">
            <w:pPr>
              <w:pStyle w:val="Body"/>
              <w:jc w:val="center"/>
              <w:rPr>
                <w:sz w:val="20"/>
                <w:szCs w:val="20"/>
              </w:rPr>
            </w:pPr>
            <w:proofErr w:type="spellStart"/>
            <w:r w:rsidRPr="00A85612">
              <w:rPr>
                <w:rFonts w:ascii="Cambria" w:eastAsia="Cambria" w:hAnsi="Cambria" w:cs="Cambria"/>
                <w:i/>
                <w:iCs/>
                <w:color w:val="FFFFFF"/>
                <w:sz w:val="20"/>
                <w:szCs w:val="20"/>
                <w:u w:color="FFFFFF"/>
                <w:lang w:val="es-ES_tradnl"/>
              </w:rPr>
              <w:t>Ratione</w:t>
            </w:r>
            <w:proofErr w:type="spellEnd"/>
            <w:r w:rsidRPr="00A85612">
              <w:rPr>
                <w:rFonts w:ascii="Cambria" w:eastAsia="Cambria" w:hAnsi="Cambria" w:cs="Cambria"/>
                <w:i/>
                <w:iCs/>
                <w:color w:val="FFFFFF"/>
                <w:sz w:val="20"/>
                <w:szCs w:val="20"/>
                <w:u w:color="FFFFFF"/>
                <w:lang w:val="es-ES_tradnl"/>
              </w:rPr>
              <w:t xml:space="preserve"> </w:t>
            </w:r>
            <w:proofErr w:type="spellStart"/>
            <w:r w:rsidRPr="00A85612">
              <w:rPr>
                <w:rFonts w:ascii="Cambria" w:eastAsia="Cambria" w:hAnsi="Cambria" w:cs="Cambria"/>
                <w:i/>
                <w:iCs/>
                <w:color w:val="FFFFFF"/>
                <w:sz w:val="20"/>
                <w:szCs w:val="20"/>
                <w:u w:color="FFFFFF"/>
                <w:lang w:val="es-ES_tradnl"/>
              </w:rPr>
              <w:t>temporis</w:t>
            </w:r>
            <w:proofErr w:type="spellEnd"/>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54" w:rsidRPr="00A85612" w:rsidRDefault="008009E5">
            <w:pPr>
              <w:pStyle w:val="Body"/>
              <w:rPr>
                <w:sz w:val="20"/>
                <w:szCs w:val="20"/>
              </w:rPr>
            </w:pPr>
            <w:proofErr w:type="spellStart"/>
            <w:r w:rsidRPr="00A85612">
              <w:rPr>
                <w:rFonts w:ascii="Cambria" w:eastAsia="Cambria" w:hAnsi="Cambria" w:cs="Cambria"/>
                <w:sz w:val="20"/>
                <w:szCs w:val="20"/>
              </w:rPr>
              <w:t>Sí</w:t>
            </w:r>
            <w:proofErr w:type="spellEnd"/>
          </w:p>
        </w:tc>
      </w:tr>
      <w:tr w:rsidR="00962B54" w:rsidRPr="00C2763B">
        <w:trPr>
          <w:trHeight w:val="442"/>
        </w:trPr>
        <w:tc>
          <w:tcPr>
            <w:tcW w:w="3600"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962B54" w:rsidRPr="00A85612" w:rsidRDefault="008009E5">
            <w:pPr>
              <w:pStyle w:val="Body"/>
              <w:jc w:val="center"/>
              <w:rPr>
                <w:sz w:val="20"/>
                <w:szCs w:val="20"/>
              </w:rPr>
            </w:pPr>
            <w:proofErr w:type="spellStart"/>
            <w:r w:rsidRPr="00A85612">
              <w:rPr>
                <w:rFonts w:ascii="Cambria" w:eastAsia="Cambria" w:hAnsi="Cambria" w:cs="Cambria"/>
                <w:i/>
                <w:iCs/>
                <w:color w:val="FFFFFF"/>
                <w:sz w:val="20"/>
                <w:szCs w:val="20"/>
                <w:u w:color="FFFFFF"/>
                <w:lang w:val="es-ES_tradnl"/>
              </w:rPr>
              <w:t>Ratione</w:t>
            </w:r>
            <w:proofErr w:type="spellEnd"/>
            <w:r w:rsidRPr="00A85612">
              <w:rPr>
                <w:rFonts w:ascii="Cambria" w:eastAsia="Cambria" w:hAnsi="Cambria" w:cs="Cambria"/>
                <w:i/>
                <w:iCs/>
                <w:color w:val="FFFFFF"/>
                <w:sz w:val="20"/>
                <w:szCs w:val="20"/>
                <w:u w:color="FFFFFF"/>
                <w:lang w:val="es-ES_tradnl"/>
              </w:rPr>
              <w:t xml:space="preserve"> </w:t>
            </w:r>
            <w:proofErr w:type="spellStart"/>
            <w:r w:rsidRPr="00A85612">
              <w:rPr>
                <w:rFonts w:ascii="Cambria" w:eastAsia="Cambria" w:hAnsi="Cambria" w:cs="Cambria"/>
                <w:i/>
                <w:iCs/>
                <w:color w:val="FFFFFF"/>
                <w:sz w:val="20"/>
                <w:szCs w:val="20"/>
                <w:u w:color="FFFFFF"/>
                <w:lang w:val="es-ES_tradnl"/>
              </w:rPr>
              <w:t>materiae</w:t>
            </w:r>
            <w:proofErr w:type="spellEnd"/>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54" w:rsidRPr="00A85612" w:rsidRDefault="008009E5">
            <w:pPr>
              <w:pStyle w:val="Body"/>
              <w:jc w:val="both"/>
              <w:rPr>
                <w:sz w:val="20"/>
                <w:szCs w:val="20"/>
                <w:lang w:val="es-419"/>
              </w:rPr>
            </w:pPr>
            <w:r w:rsidRPr="00A85612">
              <w:rPr>
                <w:rFonts w:ascii="Cambria" w:eastAsia="Cambria" w:hAnsi="Cambria" w:cs="Cambria"/>
                <w:sz w:val="20"/>
                <w:szCs w:val="20"/>
                <w:lang w:val="es-ES_tradnl"/>
              </w:rPr>
              <w:t>Sí, en parte; Convención Americana (instrumento de ratificación depositado el 31 de julio de 1973)</w:t>
            </w:r>
          </w:p>
        </w:tc>
      </w:tr>
    </w:tbl>
    <w:p w:rsidR="00962B54" w:rsidRPr="00A85612" w:rsidRDefault="009B5053" w:rsidP="00A85612">
      <w:pPr>
        <w:pStyle w:val="Body"/>
        <w:spacing w:before="120" w:after="120"/>
        <w:ind w:firstLine="720"/>
        <w:jc w:val="both"/>
        <w:rPr>
          <w:rFonts w:ascii="Cambria" w:eastAsia="Cambria" w:hAnsi="Cambria" w:cs="Cambria"/>
          <w:b/>
          <w:bCs/>
          <w:sz w:val="20"/>
          <w:szCs w:val="20"/>
          <w:lang w:val="es-419"/>
        </w:rPr>
      </w:pPr>
      <w:r>
        <w:rPr>
          <w:rFonts w:ascii="Cambria" w:eastAsia="Cambria" w:hAnsi="Cambria" w:cs="Cambria"/>
          <w:b/>
          <w:bCs/>
          <w:sz w:val="20"/>
          <w:szCs w:val="20"/>
          <w:lang w:val="es-ES_tradnl"/>
        </w:rPr>
        <w:t>I</w:t>
      </w:r>
      <w:r w:rsidR="008009E5" w:rsidRPr="00A85612">
        <w:rPr>
          <w:rFonts w:ascii="Cambria" w:eastAsia="Cambria" w:hAnsi="Cambria" w:cs="Cambria"/>
          <w:b/>
          <w:bCs/>
          <w:sz w:val="20"/>
          <w:szCs w:val="20"/>
          <w:lang w:val="es-ES_tradnl"/>
        </w:rPr>
        <w:t xml:space="preserve">V. </w:t>
      </w:r>
      <w:r w:rsidR="008009E5" w:rsidRPr="00A85612">
        <w:rPr>
          <w:rFonts w:ascii="Cambria" w:eastAsia="Cambria" w:hAnsi="Cambria" w:cs="Cambria"/>
          <w:b/>
          <w:bCs/>
          <w:sz w:val="20"/>
          <w:szCs w:val="20"/>
          <w:lang w:val="es-ES_tradnl"/>
        </w:rPr>
        <w:tab/>
        <w:t>DUPLICACIÓN</w:t>
      </w:r>
      <w:r w:rsidR="008009E5" w:rsidRPr="00A85612">
        <w:rPr>
          <w:rFonts w:ascii="Cambria" w:eastAsia="Cambria" w:hAnsi="Cambria" w:cs="Cambria"/>
          <w:b/>
          <w:bCs/>
          <w:color w:val="FFFFFF"/>
          <w:sz w:val="20"/>
          <w:szCs w:val="20"/>
          <w:u w:color="FFFFFF"/>
          <w:lang w:val="es-ES_tradnl"/>
        </w:rPr>
        <w:t xml:space="preserve"> </w:t>
      </w:r>
      <w:r w:rsidR="008009E5" w:rsidRPr="00A85612">
        <w:rPr>
          <w:rFonts w:ascii="Cambria" w:eastAsia="Cambria" w:hAnsi="Cambria" w:cs="Cambria"/>
          <w:b/>
          <w:bCs/>
          <w:sz w:val="20"/>
          <w:szCs w:val="20"/>
          <w:lang w:val="es-ES_tradnl"/>
        </w:rPr>
        <w:t>DE PRCEDIMIENTOS Y COSA JUZGADA</w:t>
      </w:r>
      <w:r w:rsidR="008009E5" w:rsidRPr="00A85612">
        <w:rPr>
          <w:rFonts w:ascii="Cambria" w:eastAsia="Cambria" w:hAnsi="Cambria" w:cs="Cambria"/>
          <w:b/>
          <w:bCs/>
          <w:i/>
          <w:iCs/>
          <w:sz w:val="20"/>
          <w:szCs w:val="20"/>
          <w:lang w:val="es-ES_tradnl"/>
        </w:rPr>
        <w:t xml:space="preserve"> </w:t>
      </w:r>
      <w:r w:rsidR="008009E5" w:rsidRPr="00A85612">
        <w:rPr>
          <w:rFonts w:ascii="Cambria" w:eastAsia="Cambria" w:hAnsi="Cambria" w:cs="Cambria"/>
          <w:b/>
          <w:bCs/>
          <w:sz w:val="20"/>
          <w:szCs w:val="20"/>
          <w:lang w:val="es-ES_tradnl"/>
        </w:rPr>
        <w:t>INTERNACIONAL, CARACTERIZACIÓN, AGOTAMIENTO DE LO RECURSOS INTERNOS Y PLAZO DE PRESENTACIÓN</w:t>
      </w:r>
    </w:p>
    <w:tbl>
      <w:tblPr>
        <w:tblW w:w="93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00"/>
        <w:gridCol w:w="5760"/>
      </w:tblGrid>
      <w:tr w:rsidR="00962B54" w:rsidRPr="00A85612">
        <w:trPr>
          <w:trHeight w:val="402"/>
        </w:trPr>
        <w:tc>
          <w:tcPr>
            <w:tcW w:w="3600"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962B54" w:rsidRPr="00A85612" w:rsidRDefault="008009E5">
            <w:pPr>
              <w:pStyle w:val="Body"/>
              <w:jc w:val="center"/>
              <w:rPr>
                <w:rFonts w:ascii="Cambria" w:eastAsia="Cambria" w:hAnsi="Cambria" w:cs="Cambria"/>
                <w:color w:val="FFFFFF"/>
                <w:sz w:val="20"/>
                <w:szCs w:val="20"/>
                <w:u w:color="FFFFFF"/>
                <w:lang w:val="es-419"/>
              </w:rPr>
            </w:pPr>
            <w:r w:rsidRPr="00A85612">
              <w:rPr>
                <w:rFonts w:ascii="Cambria" w:eastAsia="Cambria" w:hAnsi="Cambria" w:cs="Cambria"/>
                <w:color w:val="FFFFFF"/>
                <w:sz w:val="20"/>
                <w:szCs w:val="20"/>
                <w:u w:color="FFFFFF"/>
                <w:lang w:val="es-ES_tradnl"/>
              </w:rPr>
              <w:t xml:space="preserve">Duplicación y cosa juzgada </w:t>
            </w:r>
          </w:p>
          <w:p w:rsidR="00962B54" w:rsidRPr="00A85612" w:rsidRDefault="008009E5">
            <w:pPr>
              <w:pStyle w:val="Body"/>
              <w:jc w:val="center"/>
              <w:rPr>
                <w:sz w:val="20"/>
                <w:szCs w:val="20"/>
                <w:lang w:val="es-419"/>
              </w:rPr>
            </w:pPr>
            <w:r w:rsidRPr="00A85612">
              <w:rPr>
                <w:rFonts w:ascii="Cambria" w:eastAsia="Cambria" w:hAnsi="Cambria" w:cs="Cambria"/>
                <w:color w:val="FFFFFF"/>
                <w:sz w:val="20"/>
                <w:szCs w:val="20"/>
                <w:u w:color="FFFFFF"/>
                <w:lang w:val="es-ES_tradnl"/>
              </w:rPr>
              <w:t>internacional</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54" w:rsidRPr="00A85612" w:rsidRDefault="008009E5">
            <w:pPr>
              <w:pStyle w:val="Body"/>
              <w:jc w:val="both"/>
              <w:rPr>
                <w:sz w:val="20"/>
                <w:szCs w:val="20"/>
              </w:rPr>
            </w:pPr>
            <w:r w:rsidRPr="00A85612">
              <w:rPr>
                <w:rFonts w:ascii="Cambria" w:eastAsia="Cambria" w:hAnsi="Cambria" w:cs="Cambria"/>
                <w:sz w:val="20"/>
                <w:szCs w:val="20"/>
                <w:lang w:val="es-ES_tradnl"/>
              </w:rPr>
              <w:t>No</w:t>
            </w:r>
          </w:p>
        </w:tc>
      </w:tr>
      <w:tr w:rsidR="00962B54" w:rsidRPr="00C2763B">
        <w:trPr>
          <w:trHeight w:val="662"/>
        </w:trPr>
        <w:tc>
          <w:tcPr>
            <w:tcW w:w="3600"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962B54" w:rsidRPr="00A85612" w:rsidRDefault="008009E5">
            <w:pPr>
              <w:pStyle w:val="Body"/>
              <w:jc w:val="center"/>
              <w:rPr>
                <w:sz w:val="20"/>
                <w:szCs w:val="20"/>
              </w:rPr>
            </w:pPr>
            <w:r w:rsidRPr="00A85612">
              <w:rPr>
                <w:rFonts w:ascii="Cambria" w:eastAsia="Cambria" w:hAnsi="Cambria" w:cs="Cambria"/>
                <w:color w:val="FFFFFF"/>
                <w:sz w:val="20"/>
                <w:szCs w:val="20"/>
                <w:u w:color="FFFFFF"/>
                <w:lang w:val="es-ES_tradnl"/>
              </w:rPr>
              <w:t>Derechos admitidos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54" w:rsidRPr="00A85612" w:rsidRDefault="008009E5">
            <w:pPr>
              <w:pStyle w:val="Body"/>
              <w:jc w:val="both"/>
              <w:rPr>
                <w:sz w:val="19"/>
                <w:szCs w:val="19"/>
                <w:lang w:val="es-419"/>
              </w:rPr>
            </w:pPr>
            <w:r w:rsidRPr="00A85612">
              <w:rPr>
                <w:rFonts w:ascii="Cambria" w:eastAsia="Cambria" w:hAnsi="Cambria" w:cs="Cambria"/>
                <w:sz w:val="19"/>
                <w:szCs w:val="19"/>
                <w:lang w:val="es-ES_tradnl"/>
              </w:rPr>
              <w:t>Artículos 8 (garantías judiciales), 21 (propiedad privada) y 25 (protección judicial) de la Convención Americana, en relación con los artículos 1(1) y 2 del mismo instrumento</w:t>
            </w:r>
          </w:p>
        </w:tc>
      </w:tr>
      <w:tr w:rsidR="00962B54" w:rsidRPr="00C2763B">
        <w:trPr>
          <w:trHeight w:val="402"/>
        </w:trPr>
        <w:tc>
          <w:tcPr>
            <w:tcW w:w="3600"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962B54" w:rsidRPr="00A85612" w:rsidRDefault="008009E5">
            <w:pPr>
              <w:pStyle w:val="Body"/>
              <w:jc w:val="center"/>
              <w:rPr>
                <w:rFonts w:ascii="Cambria" w:eastAsia="Cambria" w:hAnsi="Cambria" w:cs="Cambria"/>
                <w:color w:val="FFFFFF"/>
                <w:sz w:val="20"/>
                <w:szCs w:val="20"/>
                <w:u w:color="FFFFFF"/>
                <w:lang w:val="es-419"/>
              </w:rPr>
            </w:pPr>
            <w:r w:rsidRPr="00A85612">
              <w:rPr>
                <w:rFonts w:ascii="Cambria" w:eastAsia="Cambria" w:hAnsi="Cambria" w:cs="Cambria"/>
                <w:color w:val="FFFFFF"/>
                <w:sz w:val="20"/>
                <w:szCs w:val="20"/>
                <w:u w:color="FFFFFF"/>
                <w:lang w:val="es-ES_tradnl"/>
              </w:rPr>
              <w:t xml:space="preserve">Agotamiento de recursos </w:t>
            </w:r>
          </w:p>
          <w:p w:rsidR="00962B54" w:rsidRPr="00A85612" w:rsidRDefault="008009E5">
            <w:pPr>
              <w:pStyle w:val="Body"/>
              <w:jc w:val="center"/>
              <w:rPr>
                <w:sz w:val="20"/>
                <w:szCs w:val="20"/>
                <w:lang w:val="es-419"/>
              </w:rPr>
            </w:pPr>
            <w:r w:rsidRPr="00A85612">
              <w:rPr>
                <w:rFonts w:ascii="Cambria" w:eastAsia="Cambria" w:hAnsi="Cambria" w:cs="Cambria"/>
                <w:color w:val="FFFFFF"/>
                <w:sz w:val="20"/>
                <w:szCs w:val="20"/>
                <w:u w:color="FFFFFF"/>
                <w:lang w:val="es-ES_tradnl"/>
              </w:rPr>
              <w:t>o procedencia de una excepción</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54" w:rsidRPr="00A85612" w:rsidRDefault="008009E5">
            <w:pPr>
              <w:pStyle w:val="Body"/>
              <w:rPr>
                <w:sz w:val="20"/>
                <w:szCs w:val="20"/>
                <w:lang w:val="es-419"/>
              </w:rPr>
            </w:pPr>
            <w:r w:rsidRPr="00A85612">
              <w:rPr>
                <w:rFonts w:ascii="Cambria" w:eastAsia="Cambria" w:hAnsi="Cambria" w:cs="Cambria"/>
                <w:sz w:val="20"/>
                <w:szCs w:val="20"/>
                <w:lang w:val="es-ES_tradnl"/>
              </w:rPr>
              <w:t>Sí, en los términos la sección VII</w:t>
            </w:r>
          </w:p>
        </w:tc>
      </w:tr>
      <w:tr w:rsidR="00962B54" w:rsidRPr="00C2763B">
        <w:trPr>
          <w:trHeight w:val="222"/>
        </w:trPr>
        <w:tc>
          <w:tcPr>
            <w:tcW w:w="3600"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962B54" w:rsidRPr="00A85612" w:rsidRDefault="008009E5">
            <w:pPr>
              <w:pStyle w:val="Body"/>
              <w:jc w:val="center"/>
              <w:rPr>
                <w:sz w:val="20"/>
                <w:szCs w:val="20"/>
              </w:rPr>
            </w:pPr>
            <w:r w:rsidRPr="00A85612">
              <w:rPr>
                <w:rFonts w:ascii="Cambria" w:eastAsia="Cambria" w:hAnsi="Cambria" w:cs="Cambria"/>
                <w:color w:val="FFFFFF"/>
                <w:sz w:val="20"/>
                <w:szCs w:val="20"/>
                <w:u w:color="FFFFFF"/>
                <w:lang w:val="es-ES_tradnl"/>
              </w:rPr>
              <w:t>Presentación dentro de plazo</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B54" w:rsidRPr="00A85612" w:rsidRDefault="008009E5">
            <w:pPr>
              <w:pStyle w:val="Body"/>
              <w:rPr>
                <w:sz w:val="20"/>
                <w:szCs w:val="20"/>
                <w:lang w:val="es-419"/>
              </w:rPr>
            </w:pPr>
            <w:r w:rsidRPr="00A85612">
              <w:rPr>
                <w:rFonts w:ascii="Cambria" w:eastAsia="Cambria" w:hAnsi="Cambria" w:cs="Cambria"/>
                <w:sz w:val="20"/>
                <w:szCs w:val="20"/>
                <w:lang w:val="es-ES_tradnl"/>
              </w:rPr>
              <w:t>Sí, en los términos la sección VII</w:t>
            </w:r>
          </w:p>
        </w:tc>
      </w:tr>
    </w:tbl>
    <w:p w:rsidR="00962B54" w:rsidRPr="004648CE" w:rsidRDefault="008009E5">
      <w:pPr>
        <w:pStyle w:val="Body"/>
        <w:spacing w:before="240" w:after="240"/>
        <w:ind w:firstLine="720"/>
        <w:jc w:val="both"/>
        <w:rPr>
          <w:rFonts w:ascii="Cambria" w:eastAsia="Cambria" w:hAnsi="Cambria" w:cs="Cambria"/>
          <w:b/>
          <w:bCs/>
          <w:sz w:val="20"/>
          <w:szCs w:val="20"/>
          <w:lang w:val="es-419"/>
        </w:rPr>
      </w:pPr>
      <w:r>
        <w:rPr>
          <w:rFonts w:ascii="Cambria" w:eastAsia="Cambria" w:hAnsi="Cambria" w:cs="Cambria"/>
          <w:b/>
          <w:bCs/>
          <w:sz w:val="20"/>
          <w:szCs w:val="20"/>
          <w:lang w:val="es-ES_tradnl"/>
        </w:rPr>
        <w:lastRenderedPageBreak/>
        <w:t xml:space="preserve">V. </w:t>
      </w:r>
      <w:r>
        <w:rPr>
          <w:rFonts w:ascii="Cambria" w:eastAsia="Cambria" w:hAnsi="Cambria" w:cs="Cambria"/>
          <w:b/>
          <w:bCs/>
          <w:sz w:val="20"/>
          <w:szCs w:val="20"/>
          <w:lang w:val="es-ES_tradnl"/>
        </w:rPr>
        <w:tab/>
        <w:t xml:space="preserve">RESUMEN DE LOS HECHOS ALEGADOS </w:t>
      </w:r>
    </w:p>
    <w:p w:rsidR="00962B54" w:rsidRDefault="008009E5" w:rsidP="004648CE">
      <w:pPr>
        <w:pStyle w:val="Body"/>
        <w:numPr>
          <w:ilvl w:val="0"/>
          <w:numId w:val="2"/>
        </w:numPr>
        <w:suppressAutoHyphens/>
        <w:spacing w:before="120" w:after="12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 xml:space="preserve">La petición fue inicialmente presentada en nombre de Gustavo </w:t>
      </w:r>
      <w:proofErr w:type="spellStart"/>
      <w:r>
        <w:rPr>
          <w:rFonts w:ascii="Cambria" w:eastAsia="Cambria" w:hAnsi="Cambria" w:cs="Cambria"/>
          <w:sz w:val="20"/>
          <w:szCs w:val="20"/>
          <w:lang w:val="es-ES_tradnl"/>
        </w:rPr>
        <w:t>Aldaz</w:t>
      </w:r>
      <w:proofErr w:type="spellEnd"/>
      <w:r>
        <w:rPr>
          <w:rFonts w:ascii="Cambria" w:eastAsia="Cambria" w:hAnsi="Cambria" w:cs="Cambria"/>
          <w:sz w:val="20"/>
          <w:szCs w:val="20"/>
          <w:lang w:val="es-ES_tradnl"/>
        </w:rPr>
        <w:t xml:space="preserve"> Castillo (en adelante “el señor </w:t>
      </w:r>
      <w:proofErr w:type="spellStart"/>
      <w:r>
        <w:rPr>
          <w:rFonts w:ascii="Cambria" w:eastAsia="Cambria" w:hAnsi="Cambria" w:cs="Cambria"/>
          <w:sz w:val="20"/>
          <w:szCs w:val="20"/>
          <w:lang w:val="es-ES_tradnl"/>
        </w:rPr>
        <w:t>Aldaz</w:t>
      </w:r>
      <w:proofErr w:type="spellEnd"/>
      <w:r>
        <w:rPr>
          <w:rFonts w:ascii="Cambria" w:eastAsia="Cambria" w:hAnsi="Cambria" w:cs="Cambria"/>
          <w:sz w:val="20"/>
          <w:szCs w:val="20"/>
          <w:lang w:val="es-ES_tradnl"/>
        </w:rPr>
        <w:t>”) a título personal, de El Proveedor Mayorista Limitada</w:t>
      </w:r>
      <w:r>
        <w:rPr>
          <w:rFonts w:ascii="Cambria" w:eastAsia="Cambria" w:hAnsi="Cambria" w:cs="Cambria"/>
          <w:sz w:val="20"/>
          <w:szCs w:val="20"/>
          <w:vertAlign w:val="superscript"/>
          <w:lang w:val="es-ES_tradnl"/>
        </w:rPr>
        <w:footnoteReference w:id="3"/>
      </w:r>
      <w:r>
        <w:rPr>
          <w:rFonts w:ascii="Cambria" w:eastAsia="Cambria" w:hAnsi="Cambria" w:cs="Cambria"/>
          <w:sz w:val="20"/>
          <w:szCs w:val="20"/>
          <w:lang w:val="es-ES_tradnl"/>
        </w:rPr>
        <w:t xml:space="preserve"> y del señor </w:t>
      </w:r>
      <w:proofErr w:type="spellStart"/>
      <w:r>
        <w:rPr>
          <w:rFonts w:ascii="Cambria" w:eastAsia="Cambria" w:hAnsi="Cambria" w:cs="Cambria"/>
          <w:sz w:val="20"/>
          <w:szCs w:val="20"/>
          <w:lang w:val="es-ES_tradnl"/>
        </w:rPr>
        <w:t>Aldaz</w:t>
      </w:r>
      <w:proofErr w:type="spellEnd"/>
      <w:r>
        <w:rPr>
          <w:rFonts w:ascii="Cambria" w:eastAsia="Cambria" w:hAnsi="Cambria" w:cs="Cambria"/>
          <w:sz w:val="20"/>
          <w:szCs w:val="20"/>
          <w:lang w:val="es-ES_tradnl"/>
        </w:rPr>
        <w:t xml:space="preserve"> y cinco miembros de su familia</w:t>
      </w:r>
      <w:r>
        <w:rPr>
          <w:rFonts w:ascii="Cambria" w:eastAsia="Cambria" w:hAnsi="Cambria" w:cs="Cambria"/>
          <w:sz w:val="20"/>
          <w:szCs w:val="20"/>
          <w:vertAlign w:val="superscript"/>
          <w:lang w:val="es-ES_tradnl"/>
        </w:rPr>
        <w:footnoteReference w:id="4"/>
      </w:r>
      <w:r>
        <w:rPr>
          <w:rFonts w:ascii="Cambria" w:eastAsia="Cambria" w:hAnsi="Cambria" w:cs="Cambria"/>
          <w:sz w:val="20"/>
          <w:szCs w:val="20"/>
          <w:lang w:val="es-ES_tradnl"/>
        </w:rPr>
        <w:t xml:space="preserve"> en calidad de integrantes/propietarios de El Proveedor Mayorista Limitada</w:t>
      </w:r>
      <w:r>
        <w:rPr>
          <w:rFonts w:ascii="Cambria" w:eastAsia="Cambria" w:hAnsi="Cambria" w:cs="Cambria"/>
          <w:i/>
          <w:iCs/>
          <w:sz w:val="20"/>
          <w:szCs w:val="20"/>
          <w:vertAlign w:val="superscript"/>
          <w:lang w:val="es-ES_tradnl"/>
        </w:rPr>
        <w:footnoteReference w:id="5"/>
      </w:r>
      <w:r>
        <w:rPr>
          <w:rFonts w:ascii="Cambria" w:eastAsia="Cambria" w:hAnsi="Cambria" w:cs="Cambria"/>
          <w:sz w:val="20"/>
          <w:szCs w:val="20"/>
          <w:lang w:val="es-ES_tradnl"/>
        </w:rPr>
        <w:t xml:space="preserve"> (en adelante, “El Proveedor Mayorista” o “la empresa”). Los alegatos de la petición surgen de la destrucción de los establecimientos comerciales y propiedades vinculadas con el señor </w:t>
      </w:r>
      <w:proofErr w:type="spellStart"/>
      <w:r>
        <w:rPr>
          <w:rFonts w:ascii="Cambria" w:eastAsia="Cambria" w:hAnsi="Cambria" w:cs="Cambria"/>
          <w:sz w:val="20"/>
          <w:szCs w:val="20"/>
          <w:lang w:val="es-ES_tradnl"/>
        </w:rPr>
        <w:t>Aldaz</w:t>
      </w:r>
      <w:proofErr w:type="spellEnd"/>
      <w:r>
        <w:rPr>
          <w:rFonts w:ascii="Cambria" w:eastAsia="Cambria" w:hAnsi="Cambria" w:cs="Cambria"/>
          <w:sz w:val="20"/>
          <w:szCs w:val="20"/>
          <w:lang w:val="es-ES_tradnl"/>
        </w:rPr>
        <w:t xml:space="preserve"> y su familia ocasionada por una confrontación armada entre la guerrilla de las FARC</w:t>
      </w:r>
      <w:r>
        <w:rPr>
          <w:rFonts w:ascii="Cambria" w:eastAsia="Cambria" w:hAnsi="Cambria" w:cs="Cambria"/>
          <w:sz w:val="20"/>
          <w:szCs w:val="20"/>
          <w:vertAlign w:val="superscript"/>
          <w:lang w:val="es-ES_tradnl"/>
        </w:rPr>
        <w:footnoteReference w:id="6"/>
      </w:r>
      <w:r>
        <w:rPr>
          <w:rFonts w:ascii="Cambria" w:eastAsia="Cambria" w:hAnsi="Cambria" w:cs="Cambria"/>
          <w:sz w:val="20"/>
          <w:szCs w:val="20"/>
          <w:lang w:val="es-ES_tradnl"/>
        </w:rPr>
        <w:t xml:space="preserve"> y las fuerzas armadas y la policía nacional colombianas, el 23 y el 24 de febrero de 2000, en el municipio de Mitú, departamento de Vaupés. Según el expediente, en estas fechas, la guerrilla de las FARC perpetró un ataque armado contra la comisaría local y algunos integrantes de la población civil de Mitú. Ante ello, la policía y las fuerzas armadas respondieron con el uso de las armas. Según la petición, la consiguiente confrontación provocó que varias empresas comerciales, entre ellas, los comercios propiedad del señor </w:t>
      </w:r>
      <w:proofErr w:type="spellStart"/>
      <w:r>
        <w:rPr>
          <w:rFonts w:ascii="Cambria" w:eastAsia="Cambria" w:hAnsi="Cambria" w:cs="Cambria"/>
          <w:sz w:val="20"/>
          <w:szCs w:val="20"/>
          <w:lang w:val="es-ES_tradnl"/>
        </w:rPr>
        <w:t>Aldaz</w:t>
      </w:r>
      <w:proofErr w:type="spellEnd"/>
      <w:r>
        <w:rPr>
          <w:rFonts w:ascii="Cambria" w:eastAsia="Cambria" w:hAnsi="Cambria" w:cs="Cambria"/>
          <w:sz w:val="20"/>
          <w:szCs w:val="20"/>
          <w:lang w:val="es-ES_tradnl"/>
        </w:rPr>
        <w:t xml:space="preserve">, sufrieran daños y destrozos de consideración.  Los comercios afectados fueron Almacén El Proveedor, que era propiedad de la empresa, y Casa Cristal, propiedad registrada a título personal y exclusivo del señor </w:t>
      </w:r>
      <w:proofErr w:type="spellStart"/>
      <w:r>
        <w:rPr>
          <w:rFonts w:ascii="Cambria" w:eastAsia="Cambria" w:hAnsi="Cambria" w:cs="Cambria"/>
          <w:sz w:val="20"/>
          <w:szCs w:val="20"/>
          <w:lang w:val="es-ES_tradnl"/>
        </w:rPr>
        <w:t>Aldaz</w:t>
      </w:r>
      <w:proofErr w:type="spellEnd"/>
      <w:r>
        <w:rPr>
          <w:rFonts w:ascii="Cambria" w:eastAsia="Cambria" w:hAnsi="Cambria" w:cs="Cambria"/>
          <w:sz w:val="20"/>
          <w:szCs w:val="20"/>
          <w:lang w:val="es-ES_tradnl"/>
        </w:rPr>
        <w:t>.</w:t>
      </w:r>
    </w:p>
    <w:p w:rsidR="00962B54" w:rsidRDefault="008009E5" w:rsidP="004648CE">
      <w:pPr>
        <w:pStyle w:val="Body"/>
        <w:numPr>
          <w:ilvl w:val="0"/>
          <w:numId w:val="2"/>
        </w:numPr>
        <w:suppressAutoHyphens/>
        <w:spacing w:before="120" w:after="12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El peticionario alega que la policía y las fuerzas armadas, en su intento de repeler el ataque de las FARC, hicieron uso de la fuerza de forma arbitraria y excesiva y no adoptaron medidas razonables o adecuadas para evitar o reducir los daños o destrozos en estos comercios ajenos al conflicto. Señala, además, que Mitú es un blanco frecuente del accionar de las FARC y que, sin embargo, el gobierno no tomó medidas adecuadas para evitar este ataque que resultó en la destrucción de los comercios y proteger los derechos de los propietarios de estos establecimientos y de la población local. También afirma que, a raíz de la destrucción de sus empresas y hogares, la presunta víctima y su familia se vieron obligados a abandonar la zona, lo que ha tenido un efecto negativo en su bienestar.</w:t>
      </w:r>
    </w:p>
    <w:p w:rsidR="00962B54" w:rsidRDefault="008009E5" w:rsidP="004648CE">
      <w:pPr>
        <w:pStyle w:val="Body"/>
        <w:numPr>
          <w:ilvl w:val="0"/>
          <w:numId w:val="2"/>
        </w:numPr>
        <w:suppressAutoHyphens/>
        <w:spacing w:before="120" w:after="12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 xml:space="preserve">A modo de contexto, el peticionario afirma que en 1997 el señor </w:t>
      </w:r>
      <w:proofErr w:type="spellStart"/>
      <w:r>
        <w:rPr>
          <w:rFonts w:ascii="Cambria" w:eastAsia="Cambria" w:hAnsi="Cambria" w:cs="Cambria"/>
          <w:sz w:val="20"/>
          <w:szCs w:val="20"/>
          <w:lang w:val="es-ES_tradnl"/>
        </w:rPr>
        <w:t>Aldaz</w:t>
      </w:r>
      <w:proofErr w:type="spellEnd"/>
      <w:r>
        <w:rPr>
          <w:rFonts w:ascii="Cambria" w:eastAsia="Cambria" w:hAnsi="Cambria" w:cs="Cambria"/>
          <w:sz w:val="20"/>
          <w:szCs w:val="20"/>
          <w:lang w:val="es-ES_tradnl"/>
        </w:rPr>
        <w:t xml:space="preserve"> adquirió un terreno (en Mitú) con el objetivo de fundar y administrar dos empresas comerciales diferentes</w:t>
      </w:r>
      <w:r w:rsidRPr="004648CE">
        <w:rPr>
          <w:rFonts w:ascii="Cambria" w:eastAsia="Cambria" w:hAnsi="Cambria" w:cs="Cambria"/>
          <w:sz w:val="20"/>
          <w:szCs w:val="20"/>
          <w:lang w:val="es-ES_tradnl"/>
        </w:rPr>
        <w:footnoteReference w:id="7"/>
      </w:r>
      <w:r>
        <w:rPr>
          <w:rFonts w:ascii="Cambria" w:eastAsia="Cambria" w:hAnsi="Cambria" w:cs="Cambria"/>
          <w:sz w:val="20"/>
          <w:szCs w:val="20"/>
          <w:lang w:val="es-ES_tradnl"/>
        </w:rPr>
        <w:t xml:space="preserve">. Para una de estas empresas, el señor </w:t>
      </w:r>
      <w:proofErr w:type="spellStart"/>
      <w:r>
        <w:rPr>
          <w:rFonts w:ascii="Cambria" w:eastAsia="Cambria" w:hAnsi="Cambria" w:cs="Cambria"/>
          <w:sz w:val="20"/>
          <w:szCs w:val="20"/>
          <w:lang w:val="es-ES_tradnl"/>
        </w:rPr>
        <w:t>Aldaz</w:t>
      </w:r>
      <w:proofErr w:type="spellEnd"/>
      <w:r>
        <w:rPr>
          <w:rFonts w:ascii="Cambria" w:eastAsia="Cambria" w:hAnsi="Cambria" w:cs="Cambria"/>
          <w:sz w:val="20"/>
          <w:szCs w:val="20"/>
          <w:lang w:val="es-ES_tradnl"/>
        </w:rPr>
        <w:t xml:space="preserve"> y su familia crearon El Proveedor Mayorista, que era propietaria y administradora del establecimiento comercial denominado Almacén El Proveedor. Este comercio estaba dedicado a la venta de alimentos, bienes de consumo, productos de supermercado, artículos de papelería, equipos electrónicos, motores, ferretería y materiales de construcción y a la representación o distribución de bienes de industria nacional, entre ellos motores fuera de borda, plantas eléctricas, motores estacionarios, accesorios para botes, lubricantes y repuestos. Según la petición, el otro comercio se denominaba Casa Cristal y propiedad exclusiva del señor </w:t>
      </w:r>
      <w:proofErr w:type="spellStart"/>
      <w:r>
        <w:rPr>
          <w:rFonts w:ascii="Cambria" w:eastAsia="Cambria" w:hAnsi="Cambria" w:cs="Cambria"/>
          <w:sz w:val="20"/>
          <w:szCs w:val="20"/>
          <w:lang w:val="es-ES_tradnl"/>
        </w:rPr>
        <w:t>Aldaz</w:t>
      </w:r>
      <w:proofErr w:type="spellEnd"/>
      <w:r>
        <w:rPr>
          <w:rFonts w:ascii="Cambria" w:eastAsia="Cambria" w:hAnsi="Cambria" w:cs="Cambria"/>
          <w:sz w:val="20"/>
          <w:szCs w:val="20"/>
          <w:lang w:val="es-ES_tradnl"/>
        </w:rPr>
        <w:t xml:space="preserve"> a título personal. Se indica que este comercio se dedicaba principalmente a la venta al por mayor de bebidas alcohólicas y otras bebidas.</w:t>
      </w:r>
    </w:p>
    <w:p w:rsidR="00962B54" w:rsidRDefault="008009E5" w:rsidP="004648CE">
      <w:pPr>
        <w:pStyle w:val="Body"/>
        <w:numPr>
          <w:ilvl w:val="0"/>
          <w:numId w:val="2"/>
        </w:numPr>
        <w:suppressAutoHyphens/>
        <w:spacing w:before="120" w:after="12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 xml:space="preserve">El peticionario alega que el señor </w:t>
      </w:r>
      <w:proofErr w:type="spellStart"/>
      <w:r>
        <w:rPr>
          <w:rFonts w:ascii="Cambria" w:eastAsia="Cambria" w:hAnsi="Cambria" w:cs="Cambria"/>
          <w:sz w:val="20"/>
          <w:szCs w:val="20"/>
          <w:lang w:val="es-ES_tradnl"/>
        </w:rPr>
        <w:t>Aldaz</w:t>
      </w:r>
      <w:proofErr w:type="spellEnd"/>
      <w:r>
        <w:rPr>
          <w:rFonts w:ascii="Cambria" w:eastAsia="Cambria" w:hAnsi="Cambria" w:cs="Cambria"/>
          <w:sz w:val="20"/>
          <w:szCs w:val="20"/>
          <w:lang w:val="es-ES_tradnl"/>
        </w:rPr>
        <w:t xml:space="preserve"> solicitó reparación sobre todo a través de a) una demanda penal ante la Fiscalía General de la Nación</w:t>
      </w:r>
      <w:r w:rsidRPr="004648CE">
        <w:rPr>
          <w:rFonts w:ascii="Cambria" w:eastAsia="Cambria" w:hAnsi="Cambria" w:cs="Cambria"/>
          <w:sz w:val="20"/>
          <w:szCs w:val="20"/>
          <w:lang w:val="es-ES_tradnl"/>
        </w:rPr>
        <w:footnoteReference w:id="8"/>
      </w:r>
      <w:r>
        <w:rPr>
          <w:rFonts w:ascii="Cambria" w:eastAsia="Cambria" w:hAnsi="Cambria" w:cs="Cambria"/>
          <w:sz w:val="20"/>
          <w:szCs w:val="20"/>
          <w:lang w:val="es-ES_tradnl"/>
        </w:rPr>
        <w:t xml:space="preserve"> y b) una acción de reparación interpuesta ante el Tribunal Contencioso Administrativo del Meta, que fue finalmente resuelta en segunda instancia por el Consejo de Estado. Con respecto a la demanda penal, esta fue presentada por el señor </w:t>
      </w:r>
      <w:proofErr w:type="spellStart"/>
      <w:r>
        <w:rPr>
          <w:rFonts w:ascii="Cambria" w:eastAsia="Cambria" w:hAnsi="Cambria" w:cs="Cambria"/>
          <w:sz w:val="20"/>
          <w:szCs w:val="20"/>
          <w:lang w:val="es-ES_tradnl"/>
        </w:rPr>
        <w:t>Aldaz</w:t>
      </w:r>
      <w:proofErr w:type="spellEnd"/>
      <w:r>
        <w:rPr>
          <w:rFonts w:ascii="Cambria" w:eastAsia="Cambria" w:hAnsi="Cambria" w:cs="Cambria"/>
          <w:sz w:val="20"/>
          <w:szCs w:val="20"/>
          <w:lang w:val="es-ES_tradnl"/>
        </w:rPr>
        <w:t xml:space="preserve"> el 14 de abril de 2000 a nombre propio (en relación con la destrucción de Casa Cristal) y también en nombre de El Proveedor Mayorista. El peticionario aduce que una de las seccionales de la FGN abrió una investigación en Mitú pero luego la remitió </w:t>
      </w:r>
      <w:r>
        <w:rPr>
          <w:rFonts w:ascii="Cambria" w:eastAsia="Cambria" w:hAnsi="Cambria" w:cs="Cambria"/>
          <w:sz w:val="20"/>
          <w:szCs w:val="20"/>
          <w:lang w:val="es-ES_tradnl"/>
        </w:rPr>
        <w:lastRenderedPageBreak/>
        <w:t>a otra seccional de la FGN de Villavicencio</w:t>
      </w:r>
      <w:r w:rsidRPr="004648CE">
        <w:rPr>
          <w:rFonts w:ascii="Cambria" w:eastAsia="Cambria" w:hAnsi="Cambria" w:cs="Cambria"/>
          <w:sz w:val="20"/>
          <w:szCs w:val="20"/>
          <w:lang w:val="es-ES_tradnl"/>
        </w:rPr>
        <w:footnoteReference w:id="9"/>
      </w:r>
      <w:r>
        <w:rPr>
          <w:rFonts w:ascii="Cambria" w:eastAsia="Cambria" w:hAnsi="Cambria" w:cs="Cambria"/>
          <w:sz w:val="20"/>
          <w:szCs w:val="20"/>
          <w:lang w:val="es-ES_tradnl"/>
        </w:rPr>
        <w:t>. Reclama que, pese a que han transcurrido más de siete años de los hechos, la FGN aún no ha concluido una investigación que a) esclarezca los hechos que resultaron en la destrucción de los comercios o b) identifique a las personas (penalmente) responsables por esa destrucción.</w:t>
      </w:r>
    </w:p>
    <w:p w:rsidR="00962B54" w:rsidRDefault="008009E5" w:rsidP="004648CE">
      <w:pPr>
        <w:pStyle w:val="Body"/>
        <w:numPr>
          <w:ilvl w:val="0"/>
          <w:numId w:val="2"/>
        </w:numPr>
        <w:suppressAutoHyphens/>
        <w:spacing w:before="120" w:after="12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 xml:space="preserve">En cuanto al litigio, el peticionario asevera que a) en 2001 el señor </w:t>
      </w:r>
      <w:proofErr w:type="spellStart"/>
      <w:r>
        <w:rPr>
          <w:rFonts w:ascii="Cambria" w:eastAsia="Cambria" w:hAnsi="Cambria" w:cs="Cambria"/>
          <w:sz w:val="20"/>
          <w:szCs w:val="20"/>
          <w:lang w:val="es-ES_tradnl"/>
        </w:rPr>
        <w:t>Aldaz</w:t>
      </w:r>
      <w:proofErr w:type="spellEnd"/>
      <w:r>
        <w:rPr>
          <w:rFonts w:ascii="Cambria" w:eastAsia="Cambria" w:hAnsi="Cambria" w:cs="Cambria"/>
          <w:sz w:val="20"/>
          <w:szCs w:val="20"/>
          <w:lang w:val="es-ES_tradnl"/>
        </w:rPr>
        <w:t xml:space="preserve"> interpuso una acción de reparación contra el Estado de Colombia, ante el Tribunal Contencioso Administrativo del Meta, b) la acción fue presentada a nombre del señor </w:t>
      </w:r>
      <w:proofErr w:type="spellStart"/>
      <w:r>
        <w:rPr>
          <w:rFonts w:ascii="Cambria" w:eastAsia="Cambria" w:hAnsi="Cambria" w:cs="Cambria"/>
          <w:sz w:val="20"/>
          <w:szCs w:val="20"/>
          <w:lang w:val="es-ES_tradnl"/>
        </w:rPr>
        <w:t>Aldaz</w:t>
      </w:r>
      <w:proofErr w:type="spellEnd"/>
      <w:r>
        <w:rPr>
          <w:rFonts w:ascii="Cambria" w:eastAsia="Cambria" w:hAnsi="Cambria" w:cs="Cambria"/>
          <w:sz w:val="20"/>
          <w:szCs w:val="20"/>
          <w:lang w:val="es-ES_tradnl"/>
        </w:rPr>
        <w:t xml:space="preserve"> (a título personal</w:t>
      </w:r>
      <w:r w:rsidRPr="004648CE">
        <w:rPr>
          <w:rFonts w:ascii="Cambria" w:eastAsia="Cambria" w:hAnsi="Cambria" w:cs="Cambria"/>
          <w:sz w:val="20"/>
          <w:szCs w:val="20"/>
          <w:lang w:val="es-ES_tradnl"/>
        </w:rPr>
        <w:footnoteReference w:id="10"/>
      </w:r>
      <w:r>
        <w:rPr>
          <w:rFonts w:ascii="Cambria" w:eastAsia="Cambria" w:hAnsi="Cambria" w:cs="Cambria"/>
          <w:sz w:val="20"/>
          <w:szCs w:val="20"/>
          <w:lang w:val="es-ES_tradnl"/>
        </w:rPr>
        <w:t xml:space="preserve">) y en representación de El Proveedor Mayorista, c) la acción fue rechazada por el Tribunal el 20 de septiembre de 2005, tras lo cual el señor </w:t>
      </w:r>
      <w:proofErr w:type="spellStart"/>
      <w:r>
        <w:rPr>
          <w:rFonts w:ascii="Cambria" w:eastAsia="Cambria" w:hAnsi="Cambria" w:cs="Cambria"/>
          <w:sz w:val="20"/>
          <w:szCs w:val="20"/>
          <w:lang w:val="es-ES_tradnl"/>
        </w:rPr>
        <w:t>Aldaz</w:t>
      </w:r>
      <w:proofErr w:type="spellEnd"/>
      <w:r>
        <w:rPr>
          <w:rFonts w:ascii="Cambria" w:eastAsia="Cambria" w:hAnsi="Cambria" w:cs="Cambria"/>
          <w:sz w:val="20"/>
          <w:szCs w:val="20"/>
          <w:lang w:val="es-ES_tradnl"/>
        </w:rPr>
        <w:t xml:space="preserve"> apeló ante el Consejo de Estado, d) el 26 de junio de 2014, el Consejo de Estado revocó la decisión del Tribunal Contencioso Administrativo del Meta mediante una sentencia a favor del señor </w:t>
      </w:r>
      <w:proofErr w:type="spellStart"/>
      <w:r>
        <w:rPr>
          <w:rFonts w:ascii="Cambria" w:eastAsia="Cambria" w:hAnsi="Cambria" w:cs="Cambria"/>
          <w:sz w:val="20"/>
          <w:szCs w:val="20"/>
          <w:lang w:val="es-ES_tradnl"/>
        </w:rPr>
        <w:t>Aldaz</w:t>
      </w:r>
      <w:proofErr w:type="spellEnd"/>
      <w:r>
        <w:rPr>
          <w:rFonts w:ascii="Cambria" w:eastAsia="Cambria" w:hAnsi="Cambria" w:cs="Cambria"/>
          <w:sz w:val="20"/>
          <w:szCs w:val="20"/>
          <w:lang w:val="es-ES_tradnl"/>
        </w:rPr>
        <w:t xml:space="preserve"> y El Proveedor Mayorista, en la que se determinó la responsabilidad del Estado por la destrucción de sus establecimientos comerciales y propiedades. Sin embargo, el Consejo de Estado remitió la causa al Tribunal Contencioso Administrativo del Meta para que se hiciera la liquidación de perjuicios</w:t>
      </w:r>
      <w:r w:rsidRPr="004648CE">
        <w:rPr>
          <w:rFonts w:ascii="Cambria" w:eastAsia="Cambria" w:hAnsi="Cambria" w:cs="Cambria"/>
          <w:sz w:val="20"/>
          <w:szCs w:val="20"/>
          <w:lang w:val="es-ES_tradnl"/>
        </w:rPr>
        <w:footnoteReference w:id="11"/>
      </w:r>
      <w:r>
        <w:rPr>
          <w:rFonts w:ascii="Cambria" w:eastAsia="Cambria" w:hAnsi="Cambria" w:cs="Cambria"/>
          <w:sz w:val="20"/>
          <w:szCs w:val="20"/>
          <w:lang w:val="es-ES_tradnl"/>
        </w:rPr>
        <w:t>. El peticionario afirma que, hasta la fecha, el proceso sigue pendiente de resolución.</w:t>
      </w:r>
    </w:p>
    <w:p w:rsidR="00962B54" w:rsidRDefault="008009E5" w:rsidP="004648CE">
      <w:pPr>
        <w:pStyle w:val="Body"/>
        <w:numPr>
          <w:ilvl w:val="0"/>
          <w:numId w:val="2"/>
        </w:numPr>
        <w:suppressAutoHyphens/>
        <w:spacing w:before="120" w:after="12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 xml:space="preserve">El Estado cuestiona la admisibilidad de la petición fundamentalmente por los siguientes motivos: a) falta de competencia </w:t>
      </w:r>
      <w:proofErr w:type="spellStart"/>
      <w:r w:rsidRPr="004648CE">
        <w:rPr>
          <w:rFonts w:ascii="Cambria" w:eastAsia="Cambria" w:hAnsi="Cambria" w:cs="Cambria"/>
          <w:sz w:val="20"/>
          <w:szCs w:val="20"/>
          <w:lang w:val="es-ES_tradnl"/>
        </w:rPr>
        <w:t>ratione</w:t>
      </w:r>
      <w:proofErr w:type="spellEnd"/>
      <w:r w:rsidRPr="004648CE">
        <w:rPr>
          <w:rFonts w:ascii="Cambria" w:eastAsia="Cambria" w:hAnsi="Cambria" w:cs="Cambria"/>
          <w:sz w:val="20"/>
          <w:szCs w:val="20"/>
          <w:lang w:val="es-ES_tradnl"/>
        </w:rPr>
        <w:t xml:space="preserve"> </w:t>
      </w:r>
      <w:proofErr w:type="spellStart"/>
      <w:r w:rsidRPr="004648CE">
        <w:rPr>
          <w:rFonts w:ascii="Cambria" w:eastAsia="Cambria" w:hAnsi="Cambria" w:cs="Cambria"/>
          <w:sz w:val="20"/>
          <w:szCs w:val="20"/>
          <w:lang w:val="es-ES_tradnl"/>
        </w:rPr>
        <w:t>personae</w:t>
      </w:r>
      <w:proofErr w:type="spellEnd"/>
      <w:r>
        <w:rPr>
          <w:rFonts w:ascii="Cambria" w:eastAsia="Cambria" w:hAnsi="Cambria" w:cs="Cambria"/>
          <w:sz w:val="20"/>
          <w:szCs w:val="20"/>
          <w:lang w:val="es-ES_tradnl"/>
        </w:rPr>
        <w:t xml:space="preserve"> de la CIDH para recibir y considerar una petición referida a una persona jurídica, b) falta de competencia </w:t>
      </w:r>
      <w:proofErr w:type="spellStart"/>
      <w:r w:rsidRPr="004648CE">
        <w:rPr>
          <w:rFonts w:ascii="Cambria" w:eastAsia="Cambria" w:hAnsi="Cambria" w:cs="Cambria"/>
          <w:sz w:val="20"/>
          <w:szCs w:val="20"/>
          <w:lang w:val="es-ES_tradnl"/>
        </w:rPr>
        <w:t>ratione</w:t>
      </w:r>
      <w:proofErr w:type="spellEnd"/>
      <w:r w:rsidRPr="004648CE">
        <w:rPr>
          <w:rFonts w:ascii="Cambria" w:eastAsia="Cambria" w:hAnsi="Cambria" w:cs="Cambria"/>
          <w:sz w:val="20"/>
          <w:szCs w:val="20"/>
          <w:lang w:val="es-ES_tradnl"/>
        </w:rPr>
        <w:t xml:space="preserve"> </w:t>
      </w:r>
      <w:proofErr w:type="spellStart"/>
      <w:r w:rsidRPr="004648CE">
        <w:rPr>
          <w:rFonts w:ascii="Cambria" w:eastAsia="Cambria" w:hAnsi="Cambria" w:cs="Cambria"/>
          <w:sz w:val="20"/>
          <w:szCs w:val="20"/>
          <w:lang w:val="es-ES_tradnl"/>
        </w:rPr>
        <w:t>materiae</w:t>
      </w:r>
      <w:proofErr w:type="spellEnd"/>
      <w:r>
        <w:rPr>
          <w:rFonts w:ascii="Cambria" w:eastAsia="Cambria" w:hAnsi="Cambria" w:cs="Cambria"/>
          <w:sz w:val="20"/>
          <w:szCs w:val="20"/>
          <w:lang w:val="es-ES_tradnl"/>
        </w:rPr>
        <w:t xml:space="preserve"> de la CIDH para considerar presuntas violaciones de la Declaración Americana y c) una posible pronunciación de la Comisión sobre dicha petición violaría la fórmula de cuarta instancia. Con relación al primer motivo, el Estado afirma que El Proveedor Mayorista es una persona jurídica, por lo tanto, ajena a la competencia </w:t>
      </w:r>
      <w:proofErr w:type="spellStart"/>
      <w:r w:rsidRPr="004648CE">
        <w:rPr>
          <w:rFonts w:ascii="Cambria" w:eastAsia="Cambria" w:hAnsi="Cambria" w:cs="Cambria"/>
          <w:sz w:val="20"/>
          <w:szCs w:val="20"/>
          <w:lang w:val="es-ES_tradnl"/>
        </w:rPr>
        <w:t>ratione</w:t>
      </w:r>
      <w:proofErr w:type="spellEnd"/>
      <w:r w:rsidRPr="004648CE">
        <w:rPr>
          <w:rFonts w:ascii="Cambria" w:eastAsia="Cambria" w:hAnsi="Cambria" w:cs="Cambria"/>
          <w:sz w:val="20"/>
          <w:szCs w:val="20"/>
          <w:lang w:val="es-ES_tradnl"/>
        </w:rPr>
        <w:t xml:space="preserve"> </w:t>
      </w:r>
      <w:proofErr w:type="spellStart"/>
      <w:r w:rsidRPr="004648CE">
        <w:rPr>
          <w:rFonts w:ascii="Cambria" w:eastAsia="Cambria" w:hAnsi="Cambria" w:cs="Cambria"/>
          <w:sz w:val="20"/>
          <w:szCs w:val="20"/>
          <w:lang w:val="es-ES_tradnl"/>
        </w:rPr>
        <w:t>personae</w:t>
      </w:r>
      <w:proofErr w:type="spellEnd"/>
      <w:r>
        <w:rPr>
          <w:rFonts w:ascii="Cambria" w:eastAsia="Cambria" w:hAnsi="Cambria" w:cs="Cambria"/>
          <w:sz w:val="20"/>
          <w:szCs w:val="20"/>
          <w:lang w:val="es-ES_tradnl"/>
        </w:rPr>
        <w:t xml:space="preserve"> de la CIDH. En cuanto al segundo motivo, el Estado afirma que las presuntas violaciones de la Declaración Americana exceden a la competencia </w:t>
      </w:r>
      <w:proofErr w:type="spellStart"/>
      <w:r w:rsidRPr="004648CE">
        <w:rPr>
          <w:rFonts w:ascii="Cambria" w:eastAsia="Cambria" w:hAnsi="Cambria" w:cs="Cambria"/>
          <w:sz w:val="20"/>
          <w:szCs w:val="20"/>
          <w:lang w:val="es-ES_tradnl"/>
        </w:rPr>
        <w:t>ratione</w:t>
      </w:r>
      <w:proofErr w:type="spellEnd"/>
      <w:r w:rsidRPr="004648CE">
        <w:rPr>
          <w:rFonts w:ascii="Cambria" w:eastAsia="Cambria" w:hAnsi="Cambria" w:cs="Cambria"/>
          <w:sz w:val="20"/>
          <w:szCs w:val="20"/>
          <w:lang w:val="es-ES_tradnl"/>
        </w:rPr>
        <w:t xml:space="preserve"> </w:t>
      </w:r>
      <w:proofErr w:type="spellStart"/>
      <w:r w:rsidRPr="004648CE">
        <w:rPr>
          <w:rFonts w:ascii="Cambria" w:eastAsia="Cambria" w:hAnsi="Cambria" w:cs="Cambria"/>
          <w:sz w:val="20"/>
          <w:szCs w:val="20"/>
          <w:lang w:val="es-ES_tradnl"/>
        </w:rPr>
        <w:t>materiae</w:t>
      </w:r>
      <w:proofErr w:type="spellEnd"/>
      <w:r>
        <w:rPr>
          <w:rFonts w:ascii="Cambria" w:eastAsia="Cambria" w:hAnsi="Cambria" w:cs="Cambria"/>
          <w:sz w:val="20"/>
          <w:szCs w:val="20"/>
          <w:lang w:val="es-ES_tradnl"/>
        </w:rPr>
        <w:t xml:space="preserve"> de la CIDH puesto que el Estado ratificó la Convención Americana. En lo que respecta al tercer motivo, el Estado indica que las presuntas violaciones de la Convención Americana han sido atendidas por los tribunales internos y que, así, todo análisis que pudiera hacer la CIDH de estas presuntas violaciones violaría la fórmula de cuarta instancia. En relación con esto, el Estado resalta que a) el Consejo de Estado finalmente emitió un fallo a favor del señor </w:t>
      </w:r>
      <w:proofErr w:type="spellStart"/>
      <w:r>
        <w:rPr>
          <w:rFonts w:ascii="Cambria" w:eastAsia="Cambria" w:hAnsi="Cambria" w:cs="Cambria"/>
          <w:sz w:val="20"/>
          <w:szCs w:val="20"/>
          <w:lang w:val="es-ES_tradnl"/>
        </w:rPr>
        <w:t>Aldaz</w:t>
      </w:r>
      <w:proofErr w:type="spellEnd"/>
      <w:r>
        <w:rPr>
          <w:rFonts w:ascii="Cambria" w:eastAsia="Cambria" w:hAnsi="Cambria" w:cs="Cambria"/>
          <w:sz w:val="20"/>
          <w:szCs w:val="20"/>
          <w:lang w:val="es-ES_tradnl"/>
        </w:rPr>
        <w:t xml:space="preserve"> y b) la liquidación de perjuicios ordenada por el Consejo de Estado aún está en trámite. En cuanto a la demanda penal del señor </w:t>
      </w:r>
      <w:proofErr w:type="spellStart"/>
      <w:r>
        <w:rPr>
          <w:rFonts w:ascii="Cambria" w:eastAsia="Cambria" w:hAnsi="Cambria" w:cs="Cambria"/>
          <w:sz w:val="20"/>
          <w:szCs w:val="20"/>
          <w:lang w:val="es-ES_tradnl"/>
        </w:rPr>
        <w:t>Aldaz</w:t>
      </w:r>
      <w:proofErr w:type="spellEnd"/>
      <w:r>
        <w:rPr>
          <w:rFonts w:ascii="Cambria" w:eastAsia="Cambria" w:hAnsi="Cambria" w:cs="Cambria"/>
          <w:sz w:val="20"/>
          <w:szCs w:val="20"/>
          <w:lang w:val="es-ES_tradnl"/>
        </w:rPr>
        <w:t>, el Estado señala que en 2004 la FGN suspendió la investigación debido a la prescripción del plazo para investigar. No obstante, el Estado señala que la FGN envió una copia del expediente de la investigación al Tribunal Contencioso Administrativo del Meta para su consideración en la acción de reparación.</w:t>
      </w:r>
    </w:p>
    <w:p w:rsidR="00962B54" w:rsidRDefault="008009E5">
      <w:pPr>
        <w:pStyle w:val="Body"/>
        <w:suppressAutoHyphens/>
        <w:spacing w:before="120" w:after="120"/>
        <w:ind w:left="720"/>
        <w:jc w:val="both"/>
        <w:rPr>
          <w:rFonts w:ascii="Cambria" w:eastAsia="Cambria" w:hAnsi="Cambria" w:cs="Cambria"/>
          <w:b/>
          <w:bCs/>
          <w:sz w:val="20"/>
          <w:szCs w:val="20"/>
        </w:rPr>
      </w:pPr>
      <w:r>
        <w:rPr>
          <w:rFonts w:ascii="Cambria" w:eastAsia="Cambria" w:hAnsi="Cambria" w:cs="Cambria"/>
          <w:b/>
          <w:bCs/>
          <w:sz w:val="20"/>
          <w:szCs w:val="20"/>
          <w:lang w:val="es-ES_tradnl"/>
        </w:rPr>
        <w:t>VI.</w:t>
      </w:r>
      <w:r>
        <w:rPr>
          <w:rFonts w:ascii="Cambria" w:eastAsia="Cambria" w:hAnsi="Cambria" w:cs="Cambria"/>
          <w:b/>
          <w:bCs/>
          <w:sz w:val="20"/>
          <w:szCs w:val="20"/>
          <w:lang w:val="es-ES_tradnl"/>
        </w:rPr>
        <w:tab/>
      </w:r>
      <w:r>
        <w:rPr>
          <w:rFonts w:ascii="Cambria" w:eastAsia="Cambria" w:hAnsi="Cambria" w:cs="Cambria"/>
          <w:b/>
          <w:bCs/>
          <w:i/>
          <w:iCs/>
          <w:sz w:val="20"/>
          <w:szCs w:val="20"/>
          <w:lang w:val="es-ES_tradnl"/>
        </w:rPr>
        <w:t>RATIONE PERSONAE</w:t>
      </w:r>
    </w:p>
    <w:p w:rsidR="00962B54" w:rsidRPr="004648CE" w:rsidRDefault="008009E5" w:rsidP="004648CE">
      <w:pPr>
        <w:pStyle w:val="Body"/>
        <w:numPr>
          <w:ilvl w:val="0"/>
          <w:numId w:val="2"/>
        </w:numPr>
        <w:suppressAutoHyphens/>
        <w:spacing w:before="120" w:after="120"/>
        <w:ind w:left="0" w:firstLine="720"/>
        <w:jc w:val="both"/>
        <w:rPr>
          <w:rFonts w:ascii="Cambria" w:eastAsia="Cambria" w:hAnsi="Cambria" w:cs="Cambria"/>
          <w:sz w:val="20"/>
          <w:szCs w:val="20"/>
          <w:lang w:val="es-ES_tradnl"/>
        </w:rPr>
      </w:pPr>
      <w:r w:rsidRPr="004648CE">
        <w:rPr>
          <w:rFonts w:ascii="Cambria" w:eastAsia="Cambria" w:hAnsi="Cambria" w:cs="Cambria"/>
          <w:sz w:val="20"/>
          <w:szCs w:val="20"/>
          <w:lang w:val="es-ES_tradnl"/>
        </w:rPr>
        <w:t>Ambas partes coinciden en que El Proveedor Mayorista es una persona jurídica. En este sentido, la Comisión ha establecido jurisprudencia constante e invariable sobre la inadmisibilidad de peticiones interpuestas por personas jurídicas empresariales donde el agotamiento de los recursos internos fue realizado por estas y no por las personas naturales que se presentan como peticionarios ante la Comisión. Tal es la situación en el presente caso, donde la presunta víctima invoca dicho carácter en su condición de titular de una persona jurídica y a nombre de la cual se agotaron los recursos internos. El propio peticionario reconoce que la persona jurídica es un instrumento jurídico para desarrollar actividades económicas. Una de las razones para la creación de personas jurídicas es separar su patrimonio del de las personas físicas que la constituyen. Precisamente, tal como lo distingue la legislación peruana y todas las legislaciones del hemisferio, las personas jurídicas son diferentes de las personas humanas, físicas o naturales y, por ende, el régimen jurídico al que están sujetas también es diferente</w:t>
      </w:r>
      <w:r w:rsidRPr="004648CE">
        <w:rPr>
          <w:rFonts w:ascii="Cambria" w:eastAsia="Cambria" w:hAnsi="Cambria" w:cs="Cambria"/>
          <w:sz w:val="20"/>
          <w:szCs w:val="20"/>
          <w:lang w:val="es-ES_tradnl"/>
        </w:rPr>
        <w:footnoteReference w:id="12"/>
      </w:r>
      <w:bookmarkStart w:id="1" w:name="_Hlk36575758"/>
      <w:r w:rsidRPr="004648CE">
        <w:rPr>
          <w:rFonts w:ascii="Cambria" w:eastAsia="Cambria" w:hAnsi="Cambria" w:cs="Cambria"/>
          <w:sz w:val="20"/>
          <w:szCs w:val="20"/>
          <w:lang w:val="es-ES_tradnl"/>
        </w:rPr>
        <w:t>.</w:t>
      </w:r>
      <w:bookmarkEnd w:id="1"/>
    </w:p>
    <w:p w:rsidR="00962B54" w:rsidRPr="004648CE" w:rsidRDefault="008009E5" w:rsidP="004648CE">
      <w:pPr>
        <w:pStyle w:val="Body"/>
        <w:numPr>
          <w:ilvl w:val="0"/>
          <w:numId w:val="2"/>
        </w:numPr>
        <w:suppressAutoHyphens/>
        <w:spacing w:before="120" w:after="120"/>
        <w:ind w:left="0" w:firstLine="720"/>
        <w:jc w:val="both"/>
        <w:rPr>
          <w:rFonts w:ascii="Cambria" w:eastAsia="Cambria" w:hAnsi="Cambria" w:cs="Cambria"/>
          <w:sz w:val="20"/>
          <w:szCs w:val="20"/>
          <w:lang w:val="es-ES_tradnl"/>
        </w:rPr>
      </w:pPr>
      <w:r w:rsidRPr="004648CE">
        <w:rPr>
          <w:rFonts w:ascii="Cambria" w:eastAsia="Cambria" w:hAnsi="Cambria" w:cs="Cambria"/>
          <w:sz w:val="20"/>
          <w:szCs w:val="20"/>
          <w:lang w:val="es-ES_tradnl"/>
        </w:rPr>
        <w:lastRenderedPageBreak/>
        <w:t xml:space="preserve"> Por lo tanto, teniendo en cuenta el artículo 44 de la Convención Americana y el artículo 23 del Reglamento de la Comisión, la CIDH no es competente para revisar presuntas violaciones cometidas contra El Proveedor Mayorista, particularmente debido a que los recursos internos fueron agotados a su nombre.</w:t>
      </w:r>
    </w:p>
    <w:p w:rsidR="00962B54" w:rsidRPr="004648CE" w:rsidRDefault="008009E5" w:rsidP="004648CE">
      <w:pPr>
        <w:pStyle w:val="Body"/>
        <w:numPr>
          <w:ilvl w:val="0"/>
          <w:numId w:val="2"/>
        </w:numPr>
        <w:suppressAutoHyphens/>
        <w:spacing w:before="120" w:after="120"/>
        <w:ind w:left="0" w:firstLine="720"/>
        <w:jc w:val="both"/>
        <w:rPr>
          <w:rFonts w:ascii="Cambria" w:eastAsia="Cambria" w:hAnsi="Cambria" w:cs="Cambria"/>
          <w:sz w:val="20"/>
          <w:szCs w:val="20"/>
          <w:lang w:val="es-ES_tradnl"/>
        </w:rPr>
      </w:pPr>
      <w:r w:rsidRPr="004648CE">
        <w:rPr>
          <w:rFonts w:ascii="Cambria" w:eastAsia="Cambria" w:hAnsi="Cambria" w:cs="Cambria"/>
          <w:sz w:val="20"/>
          <w:szCs w:val="20"/>
          <w:lang w:val="es-ES_tradnl"/>
        </w:rPr>
        <w:t xml:space="preserve">Con respecto a los alegatos del señor </w:t>
      </w:r>
      <w:proofErr w:type="spellStart"/>
      <w:r w:rsidRPr="004648CE">
        <w:rPr>
          <w:rFonts w:ascii="Cambria" w:eastAsia="Cambria" w:hAnsi="Cambria" w:cs="Cambria"/>
          <w:sz w:val="20"/>
          <w:szCs w:val="20"/>
          <w:lang w:val="es-ES_tradnl"/>
        </w:rPr>
        <w:t>Aldaz</w:t>
      </w:r>
      <w:proofErr w:type="spellEnd"/>
      <w:r w:rsidRPr="004648CE">
        <w:rPr>
          <w:rFonts w:ascii="Cambria" w:eastAsia="Cambria" w:hAnsi="Cambria" w:cs="Cambria"/>
          <w:sz w:val="20"/>
          <w:szCs w:val="20"/>
          <w:lang w:val="es-ES_tradnl"/>
        </w:rPr>
        <w:t xml:space="preserve"> como persona natural (a título personal), la Comisión sí considera que </w:t>
      </w:r>
      <w:proofErr w:type="gramStart"/>
      <w:r w:rsidRPr="004648CE">
        <w:rPr>
          <w:rFonts w:ascii="Cambria" w:eastAsia="Cambria" w:hAnsi="Cambria" w:cs="Cambria"/>
          <w:sz w:val="20"/>
          <w:szCs w:val="20"/>
          <w:lang w:val="es-ES_tradnl"/>
        </w:rPr>
        <w:t>este</w:t>
      </w:r>
      <w:proofErr w:type="gramEnd"/>
      <w:r w:rsidRPr="004648CE">
        <w:rPr>
          <w:rFonts w:ascii="Cambria" w:eastAsia="Cambria" w:hAnsi="Cambria" w:cs="Cambria"/>
          <w:sz w:val="20"/>
          <w:szCs w:val="20"/>
          <w:lang w:val="es-ES_tradnl"/>
        </w:rPr>
        <w:t xml:space="preserve"> cuenta con legitimación activa en virtud del artículo 44 de la Convención y que, por lo tanto, la Comisión puede ejercer jurisdicción </w:t>
      </w:r>
      <w:proofErr w:type="spellStart"/>
      <w:r w:rsidRPr="004648CE">
        <w:rPr>
          <w:rFonts w:ascii="Cambria" w:eastAsia="Cambria" w:hAnsi="Cambria" w:cs="Cambria"/>
          <w:sz w:val="20"/>
          <w:szCs w:val="20"/>
          <w:lang w:val="es-ES_tradnl"/>
        </w:rPr>
        <w:t>ratione</w:t>
      </w:r>
      <w:proofErr w:type="spellEnd"/>
      <w:r w:rsidRPr="004648CE">
        <w:rPr>
          <w:rFonts w:ascii="Cambria" w:eastAsia="Cambria" w:hAnsi="Cambria" w:cs="Cambria"/>
          <w:sz w:val="20"/>
          <w:szCs w:val="20"/>
          <w:lang w:val="es-ES_tradnl"/>
        </w:rPr>
        <w:t xml:space="preserve"> </w:t>
      </w:r>
      <w:proofErr w:type="spellStart"/>
      <w:r w:rsidRPr="004648CE">
        <w:rPr>
          <w:rFonts w:ascii="Cambria" w:eastAsia="Cambria" w:hAnsi="Cambria" w:cs="Cambria"/>
          <w:sz w:val="20"/>
          <w:szCs w:val="20"/>
          <w:lang w:val="es-ES_tradnl"/>
        </w:rPr>
        <w:t>personae</w:t>
      </w:r>
      <w:proofErr w:type="spellEnd"/>
      <w:r w:rsidRPr="004648CE">
        <w:rPr>
          <w:rFonts w:ascii="Cambria" w:eastAsia="Cambria" w:hAnsi="Cambria" w:cs="Cambria"/>
          <w:sz w:val="20"/>
          <w:szCs w:val="20"/>
          <w:lang w:val="es-ES_tradnl"/>
        </w:rPr>
        <w:t xml:space="preserve"> en este aspecto.</w:t>
      </w:r>
    </w:p>
    <w:p w:rsidR="00962B54" w:rsidRPr="004648CE" w:rsidRDefault="008009E5">
      <w:pPr>
        <w:pStyle w:val="Body"/>
        <w:spacing w:before="120" w:after="120"/>
        <w:ind w:firstLine="720"/>
        <w:jc w:val="both"/>
        <w:rPr>
          <w:rFonts w:ascii="Cambria" w:eastAsia="Cambria" w:hAnsi="Cambria" w:cs="Cambria"/>
          <w:sz w:val="20"/>
          <w:szCs w:val="20"/>
          <w:lang w:val="es-419"/>
        </w:rPr>
      </w:pPr>
      <w:r>
        <w:rPr>
          <w:rFonts w:ascii="Cambria" w:eastAsia="Cambria" w:hAnsi="Cambria" w:cs="Cambria"/>
          <w:b/>
          <w:bCs/>
          <w:sz w:val="20"/>
          <w:szCs w:val="20"/>
          <w:lang w:val="es-ES_tradnl"/>
        </w:rPr>
        <w:t>VII.</w:t>
      </w:r>
      <w:r>
        <w:rPr>
          <w:rFonts w:ascii="Cambria" w:eastAsia="Cambria" w:hAnsi="Cambria" w:cs="Cambria"/>
          <w:b/>
          <w:bCs/>
          <w:sz w:val="20"/>
          <w:szCs w:val="20"/>
          <w:lang w:val="es-ES_tradnl"/>
        </w:rPr>
        <w:tab/>
        <w:t xml:space="preserve">AGOTAMIENTO DE LOS RECURSOS INTERNOS Y PLAZO DE PRESENTACIÓN </w:t>
      </w:r>
    </w:p>
    <w:p w:rsidR="00962B54" w:rsidRDefault="008009E5" w:rsidP="004648CE">
      <w:pPr>
        <w:pStyle w:val="Body"/>
        <w:numPr>
          <w:ilvl w:val="0"/>
          <w:numId w:val="2"/>
        </w:numPr>
        <w:suppressAutoHyphens/>
        <w:spacing w:before="120" w:after="12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 xml:space="preserve">En consideración del análisis de competencia </w:t>
      </w:r>
      <w:proofErr w:type="spellStart"/>
      <w:r w:rsidRPr="004648CE">
        <w:rPr>
          <w:rFonts w:ascii="Cambria" w:eastAsia="Cambria" w:hAnsi="Cambria" w:cs="Cambria"/>
          <w:sz w:val="20"/>
          <w:szCs w:val="20"/>
          <w:lang w:val="es-ES_tradnl"/>
        </w:rPr>
        <w:t>ratione</w:t>
      </w:r>
      <w:proofErr w:type="spellEnd"/>
      <w:r w:rsidRPr="004648CE">
        <w:rPr>
          <w:rFonts w:ascii="Cambria" w:eastAsia="Cambria" w:hAnsi="Cambria" w:cs="Cambria"/>
          <w:sz w:val="20"/>
          <w:szCs w:val="20"/>
          <w:lang w:val="es-ES_tradnl"/>
        </w:rPr>
        <w:t xml:space="preserve"> </w:t>
      </w:r>
      <w:proofErr w:type="spellStart"/>
      <w:r w:rsidRPr="004648CE">
        <w:rPr>
          <w:rFonts w:ascii="Cambria" w:eastAsia="Cambria" w:hAnsi="Cambria" w:cs="Cambria"/>
          <w:sz w:val="20"/>
          <w:szCs w:val="20"/>
          <w:lang w:val="es-ES_tradnl"/>
        </w:rPr>
        <w:t>personae</w:t>
      </w:r>
      <w:proofErr w:type="spellEnd"/>
      <w:r>
        <w:rPr>
          <w:rFonts w:ascii="Cambria" w:eastAsia="Cambria" w:hAnsi="Cambria" w:cs="Cambria"/>
          <w:sz w:val="20"/>
          <w:szCs w:val="20"/>
          <w:lang w:val="es-ES_tradnl"/>
        </w:rPr>
        <w:t xml:space="preserve"> previo, la Comisión procederá a limitar el análisis del agotamiento de los recursos internos y plazo de presentación a los reclamos relacionados a la persona del señor </w:t>
      </w:r>
      <w:proofErr w:type="spellStart"/>
      <w:r>
        <w:rPr>
          <w:rFonts w:ascii="Cambria" w:eastAsia="Cambria" w:hAnsi="Cambria" w:cs="Cambria"/>
          <w:sz w:val="20"/>
          <w:szCs w:val="20"/>
          <w:lang w:val="es-ES_tradnl"/>
        </w:rPr>
        <w:t>Aldaz</w:t>
      </w:r>
      <w:proofErr w:type="spellEnd"/>
      <w:r w:rsidRPr="004648CE">
        <w:rPr>
          <w:rFonts w:ascii="Cambria" w:eastAsia="Cambria" w:hAnsi="Cambria" w:cs="Cambria"/>
          <w:sz w:val="20"/>
          <w:szCs w:val="20"/>
          <w:lang w:val="es-ES_tradnl"/>
        </w:rPr>
        <w:footnoteReference w:id="13"/>
      </w:r>
      <w:r>
        <w:rPr>
          <w:rFonts w:ascii="Cambria" w:eastAsia="Cambria" w:hAnsi="Cambria" w:cs="Cambria"/>
          <w:sz w:val="20"/>
          <w:szCs w:val="20"/>
          <w:lang w:val="es-ES_tradnl"/>
        </w:rPr>
        <w:t xml:space="preserve">.  </w:t>
      </w:r>
    </w:p>
    <w:p w:rsidR="00962B54" w:rsidRDefault="008009E5" w:rsidP="004648CE">
      <w:pPr>
        <w:pStyle w:val="Body"/>
        <w:numPr>
          <w:ilvl w:val="0"/>
          <w:numId w:val="2"/>
        </w:numPr>
        <w:suppressAutoHyphens/>
        <w:spacing w:before="120" w:after="12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 xml:space="preserve">El peticionario sostiene que a casi dos décadas de los hechos que dieron origen a los reclamos del señor </w:t>
      </w:r>
      <w:proofErr w:type="spellStart"/>
      <w:r>
        <w:rPr>
          <w:rFonts w:ascii="Cambria" w:eastAsia="Cambria" w:hAnsi="Cambria" w:cs="Cambria"/>
          <w:sz w:val="20"/>
          <w:szCs w:val="20"/>
          <w:lang w:val="es-ES_tradnl"/>
        </w:rPr>
        <w:t>Aldaz</w:t>
      </w:r>
      <w:proofErr w:type="spellEnd"/>
      <w:r>
        <w:rPr>
          <w:rFonts w:ascii="Cambria" w:eastAsia="Cambria" w:hAnsi="Cambria" w:cs="Cambria"/>
          <w:sz w:val="20"/>
          <w:szCs w:val="20"/>
          <w:lang w:val="es-ES_tradnl"/>
        </w:rPr>
        <w:t xml:space="preserve">, el Estado aún no ha cumplido con la obligación de investigar o de resolver el litigio referido a la demanda de reparación.  En vista de las circunstancias, el peticionario asevera que existió una demora injustificada por la cual corresponde que se aplique la excepción al agotamiento de los recursos internos establecida en el artículo 46(2)(c) de la Convención. Por su parte, el Estado afirma que los reclamos del señor </w:t>
      </w:r>
      <w:proofErr w:type="spellStart"/>
      <w:r>
        <w:rPr>
          <w:rFonts w:ascii="Cambria" w:eastAsia="Cambria" w:hAnsi="Cambria" w:cs="Cambria"/>
          <w:sz w:val="20"/>
          <w:szCs w:val="20"/>
          <w:lang w:val="es-ES_tradnl"/>
        </w:rPr>
        <w:t>Aldaz</w:t>
      </w:r>
      <w:proofErr w:type="spellEnd"/>
      <w:r>
        <w:rPr>
          <w:rFonts w:ascii="Cambria" w:eastAsia="Cambria" w:hAnsi="Cambria" w:cs="Cambria"/>
          <w:sz w:val="20"/>
          <w:szCs w:val="20"/>
          <w:lang w:val="es-ES_tradnl"/>
        </w:rPr>
        <w:t xml:space="preserve"> han sido debidamente analizados por las autoridades nacionales colombianas y que una revisión por parte de la Comisión configuraría una violación de la fórmula de cuarta instancia. </w:t>
      </w:r>
    </w:p>
    <w:p w:rsidR="00962B54" w:rsidRDefault="008009E5" w:rsidP="004648CE">
      <w:pPr>
        <w:pStyle w:val="Body"/>
        <w:numPr>
          <w:ilvl w:val="0"/>
          <w:numId w:val="2"/>
        </w:numPr>
        <w:suppressAutoHyphens/>
        <w:spacing w:before="120" w:after="12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 xml:space="preserve">La Comisión considera que, en situaciones como la presente, los recursos internos que deben tenerse en cuenta a los efectos de la admisibilidad de la petición son los relacionados con la investigación penal. Una investigación de este tipo es el recurso idóneo para esclarecer los hechos, procesar a los responsables y atribuir las sanciones correspondientes, además de facilitar otras formas de indemnización. En este sentido, la Comisión nota que la investigación penal fue suspendida en 2004 por el Estado, sin que se hubieran adoptado medidas para identificar, procesar y castigar a los responsables por la destrucción del establecimiento comercial que era propiedad del señor </w:t>
      </w:r>
      <w:proofErr w:type="spellStart"/>
      <w:r>
        <w:rPr>
          <w:rFonts w:ascii="Cambria" w:eastAsia="Cambria" w:hAnsi="Cambria" w:cs="Cambria"/>
          <w:sz w:val="20"/>
          <w:szCs w:val="20"/>
          <w:lang w:val="es-ES_tradnl"/>
        </w:rPr>
        <w:t>Aldaz</w:t>
      </w:r>
      <w:proofErr w:type="spellEnd"/>
      <w:r>
        <w:rPr>
          <w:rFonts w:ascii="Cambria" w:eastAsia="Cambria" w:hAnsi="Cambria" w:cs="Cambria"/>
          <w:sz w:val="20"/>
          <w:szCs w:val="20"/>
          <w:lang w:val="es-ES_tradnl"/>
        </w:rPr>
        <w:t>. Debido a la falta de una investigación penal concluyente y a la demora en el procedimiento judicial, la Comisión considera que en este caso corresponde aplicar la excepción al agotamiento de los recursos internos prevista en el artículo 46(2)(c) de la Convención Americana.</w:t>
      </w:r>
    </w:p>
    <w:p w:rsidR="00962B54" w:rsidRDefault="008009E5">
      <w:pPr>
        <w:pStyle w:val="ListParagraph"/>
        <w:spacing w:before="120" w:after="120"/>
        <w:jc w:val="both"/>
        <w:rPr>
          <w:b/>
          <w:bCs/>
          <w:sz w:val="20"/>
          <w:szCs w:val="20"/>
          <w:lang w:val="es-ES_tradnl"/>
        </w:rPr>
      </w:pPr>
      <w:r>
        <w:rPr>
          <w:b/>
          <w:bCs/>
          <w:sz w:val="20"/>
          <w:szCs w:val="20"/>
          <w:lang w:val="es-ES_tradnl"/>
        </w:rPr>
        <w:t>VIII.</w:t>
      </w:r>
      <w:r>
        <w:rPr>
          <w:b/>
          <w:bCs/>
          <w:sz w:val="20"/>
          <w:szCs w:val="20"/>
          <w:lang w:val="es-ES_tradnl"/>
        </w:rPr>
        <w:tab/>
        <w:t>CARACTERIZACIÓN</w:t>
      </w:r>
    </w:p>
    <w:p w:rsidR="00962B54" w:rsidRPr="004648CE" w:rsidRDefault="008009E5" w:rsidP="004648CE">
      <w:pPr>
        <w:pStyle w:val="Body"/>
        <w:numPr>
          <w:ilvl w:val="0"/>
          <w:numId w:val="2"/>
        </w:numPr>
        <w:suppressAutoHyphens/>
        <w:spacing w:before="120" w:after="12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 xml:space="preserve">La Comisión concluye que en vista de los argumentos de hecho y de derecho presentados por las partes, la presente petición no resulta manifiestamente infundada y que se requiere un estudio de fondo para determinar si los alegatos de la presunta falta de investigación y la demora en la resolución de la demanda de indemnización (presentada por el señor </w:t>
      </w:r>
      <w:proofErr w:type="spellStart"/>
      <w:r>
        <w:rPr>
          <w:rFonts w:ascii="Cambria" w:eastAsia="Cambria" w:hAnsi="Cambria" w:cs="Cambria"/>
          <w:sz w:val="20"/>
          <w:szCs w:val="20"/>
          <w:lang w:val="es-ES_tradnl"/>
        </w:rPr>
        <w:t>Aldaz</w:t>
      </w:r>
      <w:proofErr w:type="spellEnd"/>
      <w:r>
        <w:rPr>
          <w:rFonts w:ascii="Cambria" w:eastAsia="Cambria" w:hAnsi="Cambria" w:cs="Cambria"/>
          <w:sz w:val="20"/>
          <w:szCs w:val="20"/>
          <w:lang w:val="es-ES_tradnl"/>
        </w:rPr>
        <w:t xml:space="preserve"> a título personal) constituyen violaciones de los derechos protegidos por los artículos 8 (garantías judiciales), 21 (propiedad privada) y 25 (protección judicial) de la Convención Americana, en relación con sus artículos 1(1) y 2. En cuanto a los alegatos presentados en virtud de los artículos 22 (circulación y residencia), 24 (igualdad) y 31 (reconocimiento de otros derechos), la Comisión considera que el peticionario no ha presentado pruebas que permitan establecer </w:t>
      </w:r>
      <w:r w:rsidRPr="004648CE">
        <w:rPr>
          <w:rFonts w:ascii="Cambria" w:eastAsia="Cambria" w:hAnsi="Cambria" w:cs="Cambria"/>
          <w:sz w:val="20"/>
          <w:szCs w:val="20"/>
          <w:lang w:val="es-ES_tradnl"/>
        </w:rPr>
        <w:t>prima facie</w:t>
      </w:r>
      <w:r>
        <w:rPr>
          <w:rFonts w:ascii="Cambria" w:eastAsia="Cambria" w:hAnsi="Cambria" w:cs="Cambria"/>
          <w:sz w:val="20"/>
          <w:szCs w:val="20"/>
          <w:lang w:val="es-ES_tradnl"/>
        </w:rPr>
        <w:t xml:space="preserve"> la violación de estas disposiciones en relación con el señor </w:t>
      </w:r>
      <w:proofErr w:type="spellStart"/>
      <w:r>
        <w:rPr>
          <w:rFonts w:ascii="Cambria" w:eastAsia="Cambria" w:hAnsi="Cambria" w:cs="Cambria"/>
          <w:sz w:val="20"/>
          <w:szCs w:val="20"/>
          <w:lang w:val="es-ES_tradnl"/>
        </w:rPr>
        <w:t>Aldaz</w:t>
      </w:r>
      <w:proofErr w:type="spellEnd"/>
      <w:r>
        <w:rPr>
          <w:rFonts w:ascii="Cambria" w:eastAsia="Cambria" w:hAnsi="Cambria" w:cs="Cambria"/>
          <w:sz w:val="20"/>
          <w:szCs w:val="20"/>
          <w:lang w:val="es-ES_tradnl"/>
        </w:rPr>
        <w:t xml:space="preserve">. </w:t>
      </w:r>
    </w:p>
    <w:p w:rsidR="00962B54" w:rsidRDefault="008009E5" w:rsidP="004648CE">
      <w:pPr>
        <w:pStyle w:val="Body"/>
        <w:numPr>
          <w:ilvl w:val="0"/>
          <w:numId w:val="2"/>
        </w:numPr>
        <w:suppressAutoHyphens/>
        <w:spacing w:before="120" w:after="12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Con respecto a la presunta violación de los artículos VIII (residencia y tránsito), XI (preservación de la salud y bienestar) y XVIII (justicia) de la Declaración Americana, la Comisión reitera que una vez que la Convención entra en vigor en relación con un Estado, es esta y no la Declaración que se convierte en la fuente principal de derecho aplicable por la Comisión, siempre que la petición se refiera a violaciones de derechos sustancialmente idénticos en ambos instrumentos.</w:t>
      </w:r>
    </w:p>
    <w:p w:rsidR="00962B54" w:rsidRDefault="008009E5">
      <w:pPr>
        <w:pStyle w:val="Body"/>
        <w:suppressAutoHyphens/>
        <w:spacing w:before="120" w:after="120"/>
        <w:ind w:left="720"/>
        <w:jc w:val="both"/>
        <w:rPr>
          <w:rFonts w:ascii="Cambria" w:eastAsia="Cambria" w:hAnsi="Cambria" w:cs="Cambria"/>
          <w:b/>
          <w:bCs/>
          <w:sz w:val="20"/>
          <w:szCs w:val="20"/>
        </w:rPr>
      </w:pPr>
      <w:r>
        <w:rPr>
          <w:rFonts w:ascii="Cambria" w:eastAsia="Cambria" w:hAnsi="Cambria" w:cs="Cambria"/>
          <w:b/>
          <w:bCs/>
          <w:sz w:val="20"/>
          <w:szCs w:val="20"/>
          <w:lang w:val="es-ES_tradnl"/>
        </w:rPr>
        <w:t xml:space="preserve"> IX. </w:t>
      </w:r>
      <w:r>
        <w:rPr>
          <w:rFonts w:ascii="Cambria" w:eastAsia="Cambria" w:hAnsi="Cambria" w:cs="Cambria"/>
          <w:b/>
          <w:bCs/>
          <w:sz w:val="20"/>
          <w:szCs w:val="20"/>
          <w:lang w:val="es-ES_tradnl"/>
        </w:rPr>
        <w:tab/>
        <w:t>DECISIÓN</w:t>
      </w:r>
    </w:p>
    <w:p w:rsidR="00962B54" w:rsidRPr="004648CE" w:rsidRDefault="008009E5" w:rsidP="004648CE">
      <w:pPr>
        <w:pStyle w:val="Body"/>
        <w:numPr>
          <w:ilvl w:val="0"/>
          <w:numId w:val="6"/>
        </w:numPr>
        <w:suppressAutoHyphens/>
        <w:spacing w:before="120" w:after="120"/>
        <w:ind w:left="0" w:firstLine="720"/>
        <w:jc w:val="both"/>
        <w:rPr>
          <w:rFonts w:ascii="Cambria" w:eastAsia="Cambria" w:hAnsi="Cambria" w:cs="Cambria"/>
          <w:sz w:val="20"/>
          <w:szCs w:val="20"/>
          <w:lang w:val="es-ES_tradnl"/>
        </w:rPr>
      </w:pPr>
      <w:r w:rsidRPr="004648CE">
        <w:rPr>
          <w:rFonts w:ascii="Cambria" w:eastAsia="Cambria" w:hAnsi="Cambria" w:cs="Cambria"/>
          <w:sz w:val="20"/>
          <w:szCs w:val="20"/>
          <w:lang w:val="es-ES_tradnl"/>
        </w:rPr>
        <w:t xml:space="preserve">Declarar </w:t>
      </w:r>
      <w:r w:rsidR="009B5053" w:rsidRPr="004648CE">
        <w:rPr>
          <w:rFonts w:ascii="Cambria" w:eastAsia="Cambria" w:hAnsi="Cambria" w:cs="Cambria"/>
          <w:sz w:val="20"/>
          <w:szCs w:val="20"/>
          <w:lang w:val="es-ES_tradnl"/>
        </w:rPr>
        <w:t>admisible (</w:t>
      </w:r>
      <w:r w:rsidRPr="004648CE">
        <w:rPr>
          <w:rFonts w:ascii="Cambria" w:eastAsia="Cambria" w:hAnsi="Cambria" w:cs="Cambria"/>
          <w:sz w:val="20"/>
          <w:szCs w:val="20"/>
          <w:lang w:val="es-ES_tradnl"/>
        </w:rPr>
        <w:t xml:space="preserve">lo alegado del señor </w:t>
      </w:r>
      <w:proofErr w:type="spellStart"/>
      <w:r w:rsidRPr="004648CE">
        <w:rPr>
          <w:rFonts w:ascii="Cambria" w:eastAsia="Cambria" w:hAnsi="Cambria" w:cs="Cambria"/>
          <w:sz w:val="20"/>
          <w:szCs w:val="20"/>
          <w:lang w:val="es-ES_tradnl"/>
        </w:rPr>
        <w:t>Aldaz</w:t>
      </w:r>
      <w:proofErr w:type="spellEnd"/>
      <w:r w:rsidRPr="004648CE">
        <w:rPr>
          <w:rFonts w:ascii="Cambria" w:eastAsia="Cambria" w:hAnsi="Cambria" w:cs="Cambria"/>
          <w:sz w:val="20"/>
          <w:szCs w:val="20"/>
          <w:lang w:val="es-ES_tradnl"/>
        </w:rPr>
        <w:t xml:space="preserve"> como persona natural (a título personal) la presente petición respecto de los artículos 8, 21 y 25 de la Convención Americana, en concordancia con los artículos 1(1) y 2 del mismo instrumento;</w:t>
      </w:r>
    </w:p>
    <w:p w:rsidR="00962B54" w:rsidRPr="004648CE" w:rsidRDefault="008009E5" w:rsidP="004648CE">
      <w:pPr>
        <w:pStyle w:val="Body"/>
        <w:numPr>
          <w:ilvl w:val="0"/>
          <w:numId w:val="6"/>
        </w:numPr>
        <w:suppressAutoHyphens/>
        <w:spacing w:before="120" w:after="120"/>
        <w:ind w:left="0" w:firstLine="720"/>
        <w:jc w:val="both"/>
        <w:rPr>
          <w:rFonts w:ascii="Cambria" w:eastAsia="Cambria" w:hAnsi="Cambria" w:cs="Cambria"/>
          <w:sz w:val="20"/>
          <w:szCs w:val="20"/>
          <w:lang w:val="es-ES_tradnl"/>
        </w:rPr>
      </w:pPr>
      <w:r w:rsidRPr="004648CE">
        <w:rPr>
          <w:rFonts w:ascii="Cambria" w:eastAsia="Cambria" w:hAnsi="Cambria" w:cs="Cambria"/>
          <w:sz w:val="20"/>
          <w:szCs w:val="20"/>
          <w:lang w:val="es-ES_tradnl"/>
        </w:rPr>
        <w:lastRenderedPageBreak/>
        <w:t>Declarar inadmisible la presente petición respecto de los artículos 22, 24 y 31 de la Convención Americana; y</w:t>
      </w:r>
    </w:p>
    <w:p w:rsidR="00962B54" w:rsidRDefault="008009E5" w:rsidP="004648CE">
      <w:pPr>
        <w:pStyle w:val="Body"/>
        <w:numPr>
          <w:ilvl w:val="0"/>
          <w:numId w:val="6"/>
        </w:numPr>
        <w:suppressAutoHyphens/>
        <w:spacing w:before="120" w:after="12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rsidR="004648CE" w:rsidRPr="004648CE" w:rsidRDefault="004648CE" w:rsidP="004648CE">
      <w:pPr>
        <w:ind w:firstLine="720"/>
        <w:jc w:val="both"/>
        <w:rPr>
          <w:rFonts w:ascii="Cambria" w:hAnsi="Cambria" w:cs="Arial"/>
          <w:noProof/>
          <w:spacing w:val="-2"/>
          <w:sz w:val="20"/>
          <w:szCs w:val="20"/>
          <w:lang w:val="es-CL"/>
        </w:rPr>
      </w:pPr>
      <w:r w:rsidRPr="004648CE">
        <w:rPr>
          <w:rFonts w:ascii="Cambria" w:hAnsi="Cambria" w:cs="Arial"/>
          <w:noProof/>
          <w:spacing w:val="-2"/>
          <w:sz w:val="20"/>
          <w:szCs w:val="20"/>
          <w:lang w:val="es-CL"/>
        </w:rPr>
        <w:t xml:space="preserve">Aprobado por la Comisión Interamericana de Derechos Humanos  a los </w:t>
      </w:r>
      <w:r>
        <w:rPr>
          <w:rFonts w:ascii="Cambria" w:hAnsi="Cambria" w:cs="Arial"/>
          <w:noProof/>
          <w:spacing w:val="-2"/>
          <w:sz w:val="20"/>
          <w:szCs w:val="20"/>
          <w:lang w:val="es-CL"/>
        </w:rPr>
        <w:t>25</w:t>
      </w:r>
      <w:r w:rsidRPr="004648CE">
        <w:rPr>
          <w:rFonts w:ascii="Cambria" w:hAnsi="Cambria" w:cs="Arial"/>
          <w:noProof/>
          <w:spacing w:val="-2"/>
          <w:sz w:val="20"/>
          <w:szCs w:val="20"/>
          <w:lang w:val="es-CL"/>
        </w:rPr>
        <w:t xml:space="preserve"> días del mes de </w:t>
      </w:r>
      <w:r>
        <w:rPr>
          <w:rFonts w:ascii="Cambria" w:hAnsi="Cambria" w:cs="Arial"/>
          <w:noProof/>
          <w:spacing w:val="-2"/>
          <w:sz w:val="20"/>
          <w:szCs w:val="20"/>
          <w:lang w:val="es-CL"/>
        </w:rPr>
        <w:t>abril</w:t>
      </w:r>
      <w:r w:rsidRPr="004648CE">
        <w:rPr>
          <w:rFonts w:ascii="Cambria" w:hAnsi="Cambria" w:cs="Arial"/>
          <w:noProof/>
          <w:spacing w:val="-2"/>
          <w:sz w:val="20"/>
          <w:szCs w:val="20"/>
          <w:lang w:val="es-CL"/>
        </w:rPr>
        <w:t xml:space="preserve"> de 2020.  (Firmado): Joel Hernández, Presidente; Antonia Urrejola, Primera Vicepresidenta; Flávia Piovesan, Segunda Vicepresidenta; Margarette May Macaulay, Esmeralda E. Arosemena Bernal de Troitiño, Julissa Mantilla Falcón y Stuardo Ralón Orellana, Miembros de la Comisión.</w:t>
      </w:r>
      <w:r w:rsidRPr="004648CE">
        <w:rPr>
          <w:rFonts w:ascii="Cambria" w:hAnsi="Cambria" w:cs="Arial"/>
          <w:noProof/>
          <w:sz w:val="20"/>
          <w:szCs w:val="20"/>
          <w:lang w:val="es-CL"/>
        </w:rPr>
        <w:t xml:space="preserve"> </w:t>
      </w:r>
    </w:p>
    <w:p w:rsidR="004648CE" w:rsidRPr="004648CE" w:rsidRDefault="004648CE" w:rsidP="004648CE">
      <w:pPr>
        <w:suppressAutoHyphens/>
        <w:ind w:firstLine="720"/>
        <w:jc w:val="both"/>
        <w:rPr>
          <w:rFonts w:ascii="Cambria" w:hAnsi="Cambria" w:cs="Arial"/>
          <w:noProof/>
          <w:spacing w:val="-2"/>
          <w:sz w:val="20"/>
          <w:szCs w:val="20"/>
          <w:lang w:val="es-CL"/>
        </w:rPr>
      </w:pPr>
    </w:p>
    <w:sectPr w:rsidR="004648CE" w:rsidRPr="004648CE" w:rsidSect="004648CE">
      <w:type w:val="oddPag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426" w:rsidRDefault="00FC0426">
      <w:r>
        <w:separator/>
      </w:r>
    </w:p>
  </w:endnote>
  <w:endnote w:type="continuationSeparator" w:id="0">
    <w:p w:rsidR="00FC0426" w:rsidRDefault="00FC0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D24" w:rsidRDefault="00032D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B54" w:rsidRDefault="008009E5">
    <w:pPr>
      <w:pStyle w:val="Footer"/>
      <w:jc w:val="center"/>
    </w:pPr>
    <w:r>
      <w:rPr>
        <w:sz w:val="16"/>
        <w:szCs w:val="16"/>
      </w:rPr>
      <w:fldChar w:fldCharType="begin"/>
    </w:r>
    <w:r>
      <w:rPr>
        <w:sz w:val="16"/>
        <w:szCs w:val="16"/>
      </w:rPr>
      <w:instrText xml:space="preserve"> PAGE </w:instrText>
    </w:r>
    <w:r>
      <w:rPr>
        <w:sz w:val="16"/>
        <w:szCs w:val="16"/>
      </w:rPr>
      <w:fldChar w:fldCharType="separate"/>
    </w:r>
    <w:r w:rsidR="00032D24">
      <w:rPr>
        <w:noProof/>
        <w:sz w:val="16"/>
        <w:szCs w:val="16"/>
      </w:rPr>
      <w:t>1</w:t>
    </w:r>
    <w:r>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D24" w:rsidRDefault="00032D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426" w:rsidRDefault="00FC0426">
      <w:r>
        <w:separator/>
      </w:r>
    </w:p>
  </w:footnote>
  <w:footnote w:type="continuationSeparator" w:id="0">
    <w:p w:rsidR="00FC0426" w:rsidRDefault="00FC0426">
      <w:r>
        <w:continuationSeparator/>
      </w:r>
    </w:p>
  </w:footnote>
  <w:footnote w:type="continuationNotice" w:id="1">
    <w:p w:rsidR="00FC0426" w:rsidRDefault="00FC0426"/>
  </w:footnote>
  <w:footnote w:id="2">
    <w:p w:rsidR="00962B54" w:rsidRPr="004648CE" w:rsidRDefault="008009E5">
      <w:pPr>
        <w:pStyle w:val="FootnoteText"/>
        <w:ind w:firstLine="709"/>
        <w:jc w:val="both"/>
        <w:rPr>
          <w:lang w:val="es-419"/>
        </w:rPr>
      </w:pPr>
      <w:r w:rsidRPr="008009E5">
        <w:rPr>
          <w:rFonts w:ascii="Cambria" w:eastAsia="Cambria" w:hAnsi="Cambria" w:cs="Cambria"/>
          <w:bCs/>
          <w:vertAlign w:val="superscript"/>
          <w:lang w:val="es-ES_tradnl"/>
        </w:rPr>
        <w:footnoteRef/>
      </w:r>
      <w:r w:rsidRPr="008009E5">
        <w:rPr>
          <w:rFonts w:ascii="Cambria" w:eastAsia="Cambria" w:hAnsi="Cambria" w:cs="Cambria"/>
          <w:sz w:val="16"/>
          <w:szCs w:val="16"/>
          <w:lang w:val="es-ES_tradnl"/>
        </w:rPr>
        <w:t xml:space="preserve"> </w:t>
      </w:r>
      <w:r>
        <w:rPr>
          <w:rFonts w:ascii="Cambria" w:eastAsia="Cambria" w:hAnsi="Cambria" w:cs="Cambria"/>
          <w:sz w:val="16"/>
          <w:szCs w:val="16"/>
          <w:lang w:val="es-ES_tradnl"/>
        </w:rPr>
        <w:t>Las observaciones de cada parte fueron debidamente trasladadas a la parte contraria.</w:t>
      </w:r>
    </w:p>
  </w:footnote>
  <w:footnote w:id="3">
    <w:p w:rsidR="00962B54" w:rsidRPr="004648CE" w:rsidRDefault="008009E5">
      <w:pPr>
        <w:pStyle w:val="FootnoteText"/>
        <w:ind w:firstLine="709"/>
        <w:jc w:val="both"/>
        <w:rPr>
          <w:lang w:val="es-419"/>
        </w:rPr>
      </w:pPr>
      <w:r>
        <w:rPr>
          <w:rFonts w:ascii="Cambria" w:eastAsia="Cambria" w:hAnsi="Cambria" w:cs="Cambria"/>
          <w:vertAlign w:val="superscript"/>
          <w:lang w:val="es-ES_tradnl"/>
        </w:rPr>
        <w:footnoteRef/>
      </w:r>
      <w:r>
        <w:rPr>
          <w:rFonts w:ascii="Cambria" w:eastAsia="Cambria" w:hAnsi="Cambria" w:cs="Cambria"/>
          <w:sz w:val="16"/>
          <w:szCs w:val="16"/>
          <w:lang w:val="es-ES_tradnl"/>
        </w:rPr>
        <w:t xml:space="preserve"> Sociedad mercantil de responsabilidad limitada. </w:t>
      </w:r>
    </w:p>
  </w:footnote>
  <w:footnote w:id="4">
    <w:p w:rsidR="00962B54" w:rsidRPr="004648CE" w:rsidRDefault="008009E5">
      <w:pPr>
        <w:pStyle w:val="FootnoteText"/>
        <w:ind w:firstLine="709"/>
        <w:jc w:val="both"/>
        <w:rPr>
          <w:lang w:val="es-419"/>
        </w:rPr>
      </w:pPr>
      <w:r>
        <w:rPr>
          <w:rFonts w:ascii="Cambria" w:eastAsia="Cambria" w:hAnsi="Cambria" w:cs="Cambria"/>
          <w:vertAlign w:val="superscript"/>
          <w:lang w:val="es-ES_tradnl"/>
        </w:rPr>
        <w:footnoteRef/>
      </w:r>
      <w:r>
        <w:rPr>
          <w:rFonts w:ascii="Cambria" w:eastAsia="Cambria" w:hAnsi="Cambria" w:cs="Cambria"/>
          <w:sz w:val="16"/>
          <w:szCs w:val="16"/>
          <w:lang w:val="es-ES_tradnl"/>
        </w:rPr>
        <w:t xml:space="preserve"> Estos familiares son Teresa Gracia Olarte (esposa del señor </w:t>
      </w:r>
      <w:proofErr w:type="spellStart"/>
      <w:r>
        <w:rPr>
          <w:rFonts w:ascii="Cambria" w:eastAsia="Cambria" w:hAnsi="Cambria" w:cs="Cambria"/>
          <w:sz w:val="16"/>
          <w:szCs w:val="16"/>
          <w:lang w:val="es-ES_tradnl"/>
        </w:rPr>
        <w:t>Aldaz</w:t>
      </w:r>
      <w:proofErr w:type="spellEnd"/>
      <w:r>
        <w:rPr>
          <w:rFonts w:ascii="Cambria" w:eastAsia="Cambria" w:hAnsi="Cambria" w:cs="Cambria"/>
          <w:sz w:val="16"/>
          <w:szCs w:val="16"/>
          <w:lang w:val="es-ES_tradnl"/>
        </w:rPr>
        <w:t xml:space="preserve">), </w:t>
      </w:r>
      <w:proofErr w:type="spellStart"/>
      <w:r>
        <w:rPr>
          <w:rFonts w:ascii="Cambria" w:eastAsia="Cambria" w:hAnsi="Cambria" w:cs="Cambria"/>
          <w:sz w:val="16"/>
          <w:szCs w:val="16"/>
          <w:lang w:val="es-ES_tradnl"/>
        </w:rPr>
        <w:t>Benazir</w:t>
      </w:r>
      <w:proofErr w:type="spellEnd"/>
      <w:r>
        <w:rPr>
          <w:rFonts w:ascii="Cambria" w:eastAsia="Cambria" w:hAnsi="Cambria" w:cs="Cambria"/>
          <w:sz w:val="16"/>
          <w:szCs w:val="16"/>
          <w:lang w:val="es-ES_tradnl"/>
        </w:rPr>
        <w:t xml:space="preserve"> </w:t>
      </w:r>
      <w:proofErr w:type="spellStart"/>
      <w:r>
        <w:rPr>
          <w:rFonts w:ascii="Cambria" w:eastAsia="Cambria" w:hAnsi="Cambria" w:cs="Cambria"/>
          <w:sz w:val="16"/>
          <w:szCs w:val="16"/>
          <w:lang w:val="es-ES_tradnl"/>
        </w:rPr>
        <w:t>Aldaz</w:t>
      </w:r>
      <w:proofErr w:type="spellEnd"/>
      <w:r>
        <w:rPr>
          <w:rFonts w:ascii="Cambria" w:eastAsia="Cambria" w:hAnsi="Cambria" w:cs="Cambria"/>
          <w:sz w:val="16"/>
          <w:szCs w:val="16"/>
          <w:lang w:val="es-ES_tradnl"/>
        </w:rPr>
        <w:t xml:space="preserve"> Gracia (hijo del señor </w:t>
      </w:r>
      <w:proofErr w:type="spellStart"/>
      <w:r>
        <w:rPr>
          <w:rFonts w:ascii="Cambria" w:eastAsia="Cambria" w:hAnsi="Cambria" w:cs="Cambria"/>
          <w:sz w:val="16"/>
          <w:szCs w:val="16"/>
          <w:lang w:val="es-ES_tradnl"/>
        </w:rPr>
        <w:t>Aldaz</w:t>
      </w:r>
      <w:proofErr w:type="spellEnd"/>
      <w:r>
        <w:rPr>
          <w:rFonts w:ascii="Cambria" w:eastAsia="Cambria" w:hAnsi="Cambria" w:cs="Cambria"/>
          <w:sz w:val="16"/>
          <w:szCs w:val="16"/>
          <w:lang w:val="es-ES_tradnl"/>
        </w:rPr>
        <w:t xml:space="preserve">), Valeria </w:t>
      </w:r>
      <w:proofErr w:type="spellStart"/>
      <w:r>
        <w:rPr>
          <w:rFonts w:ascii="Cambria" w:eastAsia="Cambria" w:hAnsi="Cambria" w:cs="Cambria"/>
          <w:sz w:val="16"/>
          <w:szCs w:val="16"/>
          <w:lang w:val="es-ES_tradnl"/>
        </w:rPr>
        <w:t>Aldaz</w:t>
      </w:r>
      <w:proofErr w:type="spellEnd"/>
      <w:r>
        <w:rPr>
          <w:rFonts w:ascii="Cambria" w:eastAsia="Cambria" w:hAnsi="Cambria" w:cs="Cambria"/>
          <w:sz w:val="16"/>
          <w:szCs w:val="16"/>
          <w:lang w:val="es-ES_tradnl"/>
        </w:rPr>
        <w:t xml:space="preserve"> Gracia (hija del señor </w:t>
      </w:r>
      <w:proofErr w:type="spellStart"/>
      <w:r>
        <w:rPr>
          <w:rFonts w:ascii="Cambria" w:eastAsia="Cambria" w:hAnsi="Cambria" w:cs="Cambria"/>
          <w:sz w:val="16"/>
          <w:szCs w:val="16"/>
          <w:lang w:val="es-ES_tradnl"/>
        </w:rPr>
        <w:t>Aldaz</w:t>
      </w:r>
      <w:proofErr w:type="spellEnd"/>
      <w:r>
        <w:rPr>
          <w:rFonts w:ascii="Cambria" w:eastAsia="Cambria" w:hAnsi="Cambria" w:cs="Cambria"/>
          <w:sz w:val="16"/>
          <w:szCs w:val="16"/>
          <w:lang w:val="es-ES_tradnl"/>
        </w:rPr>
        <w:t xml:space="preserve">), Romelia Castillo Patiño (madre del señor </w:t>
      </w:r>
      <w:proofErr w:type="spellStart"/>
      <w:r>
        <w:rPr>
          <w:rFonts w:ascii="Cambria" w:eastAsia="Cambria" w:hAnsi="Cambria" w:cs="Cambria"/>
          <w:sz w:val="16"/>
          <w:szCs w:val="16"/>
          <w:lang w:val="es-ES_tradnl"/>
        </w:rPr>
        <w:t>Aldaz</w:t>
      </w:r>
      <w:proofErr w:type="spellEnd"/>
      <w:r>
        <w:rPr>
          <w:rFonts w:ascii="Cambria" w:eastAsia="Cambria" w:hAnsi="Cambria" w:cs="Cambria"/>
          <w:sz w:val="16"/>
          <w:szCs w:val="16"/>
          <w:lang w:val="es-ES_tradnl"/>
        </w:rPr>
        <w:t xml:space="preserve">) y José Omar </w:t>
      </w:r>
      <w:proofErr w:type="spellStart"/>
      <w:r>
        <w:rPr>
          <w:rFonts w:ascii="Cambria" w:eastAsia="Cambria" w:hAnsi="Cambria" w:cs="Cambria"/>
          <w:sz w:val="16"/>
          <w:szCs w:val="16"/>
          <w:lang w:val="es-ES_tradnl"/>
        </w:rPr>
        <w:t>Aldaz</w:t>
      </w:r>
      <w:proofErr w:type="spellEnd"/>
      <w:r>
        <w:rPr>
          <w:rFonts w:ascii="Cambria" w:eastAsia="Cambria" w:hAnsi="Cambria" w:cs="Cambria"/>
          <w:sz w:val="16"/>
          <w:szCs w:val="16"/>
          <w:lang w:val="es-ES_tradnl"/>
        </w:rPr>
        <w:t xml:space="preserve"> (hermano del señor </w:t>
      </w:r>
      <w:proofErr w:type="spellStart"/>
      <w:r>
        <w:rPr>
          <w:rFonts w:ascii="Cambria" w:eastAsia="Cambria" w:hAnsi="Cambria" w:cs="Cambria"/>
          <w:sz w:val="16"/>
          <w:szCs w:val="16"/>
          <w:lang w:val="es-ES_tradnl"/>
        </w:rPr>
        <w:t>Aldaz</w:t>
      </w:r>
      <w:proofErr w:type="spellEnd"/>
      <w:r>
        <w:rPr>
          <w:rFonts w:ascii="Cambria" w:eastAsia="Cambria" w:hAnsi="Cambria" w:cs="Cambria"/>
          <w:sz w:val="16"/>
          <w:szCs w:val="16"/>
          <w:lang w:val="es-ES_tradnl"/>
        </w:rPr>
        <w:t xml:space="preserve">). Aparte de ser integrante/socio de la empresa, el señor </w:t>
      </w:r>
      <w:proofErr w:type="spellStart"/>
      <w:r>
        <w:rPr>
          <w:rFonts w:ascii="Cambria" w:eastAsia="Cambria" w:hAnsi="Cambria" w:cs="Cambria"/>
          <w:sz w:val="16"/>
          <w:szCs w:val="16"/>
          <w:lang w:val="es-ES_tradnl"/>
        </w:rPr>
        <w:t>Aldaz</w:t>
      </w:r>
      <w:proofErr w:type="spellEnd"/>
      <w:r>
        <w:rPr>
          <w:rFonts w:ascii="Cambria" w:eastAsia="Cambria" w:hAnsi="Cambria" w:cs="Cambria"/>
          <w:sz w:val="16"/>
          <w:szCs w:val="16"/>
          <w:lang w:val="es-ES_tradnl"/>
        </w:rPr>
        <w:t xml:space="preserve"> se desempeñaba como su gerente.</w:t>
      </w:r>
    </w:p>
  </w:footnote>
  <w:footnote w:id="5">
    <w:p w:rsidR="00962B54" w:rsidRPr="004648CE" w:rsidRDefault="008009E5">
      <w:pPr>
        <w:pStyle w:val="FootnoteText"/>
        <w:ind w:firstLine="709"/>
        <w:jc w:val="both"/>
        <w:rPr>
          <w:lang w:val="es-419"/>
        </w:rPr>
      </w:pPr>
      <w:r>
        <w:rPr>
          <w:rFonts w:ascii="Cambria" w:eastAsia="Cambria" w:hAnsi="Cambria" w:cs="Cambria"/>
          <w:i/>
          <w:iCs/>
          <w:vertAlign w:val="superscript"/>
          <w:lang w:val="es-ES_tradnl"/>
        </w:rPr>
        <w:footnoteRef/>
      </w:r>
      <w:r>
        <w:rPr>
          <w:rFonts w:ascii="Cambria" w:eastAsia="Cambria" w:hAnsi="Cambria" w:cs="Cambria"/>
          <w:sz w:val="16"/>
          <w:szCs w:val="16"/>
          <w:lang w:val="es-ES_tradnl"/>
        </w:rPr>
        <w:t xml:space="preserve"> Poco tiempo después de presentar la petición, el peticionario envió un corrigendo en el cual solicitó quitar a El Proveedor Mayorista como presunta víctima bajo el argumento de que esta una persona jurídica (no natural) y, por ende, carece de legitimación activa ante la CIDH. No obstante, el peticionario solicitó que se siguiera considerando al señor </w:t>
      </w:r>
      <w:proofErr w:type="spellStart"/>
      <w:r>
        <w:rPr>
          <w:rFonts w:ascii="Cambria" w:eastAsia="Cambria" w:hAnsi="Cambria" w:cs="Cambria"/>
          <w:sz w:val="16"/>
          <w:szCs w:val="16"/>
          <w:lang w:val="es-ES_tradnl"/>
        </w:rPr>
        <w:t>Aldaz</w:t>
      </w:r>
      <w:proofErr w:type="spellEnd"/>
      <w:r>
        <w:rPr>
          <w:rFonts w:ascii="Cambria" w:eastAsia="Cambria" w:hAnsi="Cambria" w:cs="Cambria"/>
          <w:sz w:val="16"/>
          <w:szCs w:val="16"/>
          <w:lang w:val="es-ES_tradnl"/>
        </w:rPr>
        <w:t xml:space="preserve"> y su familia como presuntas víctimas en calidad de personas naturales e integrantes/propietarios de El Proveedor Mayorista.</w:t>
      </w:r>
    </w:p>
  </w:footnote>
  <w:footnote w:id="6">
    <w:p w:rsidR="00962B54" w:rsidRPr="004648CE" w:rsidRDefault="008009E5">
      <w:pPr>
        <w:pStyle w:val="FootnoteText"/>
        <w:ind w:firstLine="709"/>
        <w:jc w:val="both"/>
        <w:rPr>
          <w:lang w:val="es-419"/>
        </w:rPr>
      </w:pPr>
      <w:r>
        <w:rPr>
          <w:rFonts w:ascii="Cambria" w:eastAsia="Cambria" w:hAnsi="Cambria" w:cs="Cambria"/>
          <w:vertAlign w:val="superscript"/>
          <w:lang w:val="es-ES_tradnl"/>
        </w:rPr>
        <w:footnoteRef/>
      </w:r>
      <w:r>
        <w:rPr>
          <w:rFonts w:ascii="Cambria" w:eastAsia="Cambria" w:hAnsi="Cambria" w:cs="Cambria"/>
          <w:sz w:val="16"/>
          <w:szCs w:val="16"/>
          <w:lang w:val="es-ES_tradnl"/>
        </w:rPr>
        <w:t xml:space="preserve"> Fuerzas Armadas de Revolucionarias de Colombia.</w:t>
      </w:r>
    </w:p>
  </w:footnote>
  <w:footnote w:id="7">
    <w:p w:rsidR="00962B54" w:rsidRPr="004648CE" w:rsidRDefault="008009E5">
      <w:pPr>
        <w:pStyle w:val="FootnoteText"/>
        <w:ind w:firstLine="709"/>
        <w:jc w:val="both"/>
        <w:rPr>
          <w:lang w:val="es-419"/>
        </w:rPr>
      </w:pPr>
      <w:r>
        <w:rPr>
          <w:rFonts w:ascii="Cambria" w:eastAsia="Cambria" w:hAnsi="Cambria" w:cs="Cambria"/>
          <w:vertAlign w:val="superscript"/>
          <w:lang w:val="es-ES_tradnl"/>
        </w:rPr>
        <w:footnoteRef/>
      </w:r>
      <w:r>
        <w:rPr>
          <w:rFonts w:ascii="Cambria" w:eastAsia="Cambria" w:hAnsi="Cambria" w:cs="Cambria"/>
          <w:sz w:val="16"/>
          <w:szCs w:val="16"/>
          <w:lang w:val="es-ES_tradnl"/>
        </w:rPr>
        <w:t xml:space="preserve"> Según el expediente, estos comercios estaban ubicados y funcionaban dentro de la misma propiedad, pero en diferentes puntos de esta.</w:t>
      </w:r>
    </w:p>
  </w:footnote>
  <w:footnote w:id="8">
    <w:p w:rsidR="00962B54" w:rsidRPr="004648CE" w:rsidRDefault="008009E5">
      <w:pPr>
        <w:pStyle w:val="FootnoteText"/>
        <w:ind w:firstLine="709"/>
        <w:jc w:val="both"/>
        <w:rPr>
          <w:lang w:val="es-419"/>
        </w:rPr>
      </w:pPr>
      <w:r>
        <w:rPr>
          <w:rFonts w:ascii="Cambria" w:eastAsia="Cambria" w:hAnsi="Cambria" w:cs="Cambria"/>
          <w:vertAlign w:val="superscript"/>
          <w:lang w:val="es-ES_tradnl"/>
        </w:rPr>
        <w:footnoteRef/>
      </w:r>
      <w:r>
        <w:rPr>
          <w:rFonts w:ascii="Cambria" w:eastAsia="Cambria" w:hAnsi="Cambria" w:cs="Cambria"/>
          <w:sz w:val="16"/>
          <w:szCs w:val="16"/>
          <w:lang w:val="es-ES_tradnl"/>
        </w:rPr>
        <w:t xml:space="preserve"> En adelante “FGN”. </w:t>
      </w:r>
    </w:p>
  </w:footnote>
  <w:footnote w:id="9">
    <w:p w:rsidR="00962B54" w:rsidRPr="004648CE" w:rsidRDefault="008009E5">
      <w:pPr>
        <w:pStyle w:val="FootnoteText"/>
        <w:ind w:firstLine="709"/>
        <w:jc w:val="both"/>
        <w:rPr>
          <w:lang w:val="es-419"/>
        </w:rPr>
      </w:pPr>
      <w:r>
        <w:rPr>
          <w:rFonts w:ascii="Cambria" w:eastAsia="Cambria" w:hAnsi="Cambria" w:cs="Cambria"/>
          <w:vertAlign w:val="superscript"/>
          <w:lang w:val="es-ES_tradnl"/>
        </w:rPr>
        <w:footnoteRef/>
      </w:r>
      <w:r>
        <w:rPr>
          <w:rFonts w:ascii="Cambria" w:eastAsia="Cambria" w:hAnsi="Cambria" w:cs="Cambria"/>
          <w:sz w:val="16"/>
          <w:szCs w:val="16"/>
          <w:lang w:val="es-ES_tradnl"/>
        </w:rPr>
        <w:t xml:space="preserve"> Se informa que esta seccional estaba ligada a un juzgado penal (</w:t>
      </w:r>
      <w:r>
        <w:rPr>
          <w:rFonts w:ascii="Cambria" w:eastAsia="Cambria" w:hAnsi="Cambria" w:cs="Cambria"/>
          <w:i/>
          <w:iCs/>
          <w:sz w:val="16"/>
          <w:szCs w:val="16"/>
          <w:lang w:val="es-ES_tradnl"/>
        </w:rPr>
        <w:t>Los Jueces Penales del Circuito Especializados de Villavicencio</w:t>
      </w:r>
      <w:r>
        <w:rPr>
          <w:rFonts w:ascii="Cambria" w:eastAsia="Cambria" w:hAnsi="Cambria" w:cs="Cambria"/>
          <w:sz w:val="16"/>
          <w:szCs w:val="16"/>
          <w:lang w:val="es-ES_tradnl"/>
        </w:rPr>
        <w:t>).</w:t>
      </w:r>
    </w:p>
  </w:footnote>
  <w:footnote w:id="10">
    <w:p w:rsidR="00962B54" w:rsidRPr="004648CE" w:rsidRDefault="008009E5">
      <w:pPr>
        <w:pStyle w:val="FootnoteText"/>
        <w:ind w:firstLine="709"/>
        <w:jc w:val="both"/>
        <w:rPr>
          <w:lang w:val="es-419"/>
        </w:rPr>
      </w:pPr>
      <w:r>
        <w:rPr>
          <w:rFonts w:ascii="Cambria" w:eastAsia="Cambria" w:hAnsi="Cambria" w:cs="Cambria"/>
          <w:vertAlign w:val="superscript"/>
          <w:lang w:val="es-ES_tradnl"/>
        </w:rPr>
        <w:footnoteRef/>
      </w:r>
      <w:r>
        <w:rPr>
          <w:rFonts w:ascii="Cambria" w:eastAsia="Cambria" w:hAnsi="Cambria" w:cs="Cambria"/>
          <w:sz w:val="16"/>
          <w:szCs w:val="16"/>
          <w:lang w:val="es-ES_tradnl"/>
        </w:rPr>
        <w:t xml:space="preserve"> En particular, en relación con Casa Cristal, establecimiento comercial que era propiedad del señor </w:t>
      </w:r>
      <w:proofErr w:type="spellStart"/>
      <w:r>
        <w:rPr>
          <w:rFonts w:ascii="Cambria" w:eastAsia="Cambria" w:hAnsi="Cambria" w:cs="Cambria"/>
          <w:sz w:val="16"/>
          <w:szCs w:val="16"/>
          <w:lang w:val="es-ES_tradnl"/>
        </w:rPr>
        <w:t>Aldaz</w:t>
      </w:r>
      <w:proofErr w:type="spellEnd"/>
      <w:r>
        <w:rPr>
          <w:rFonts w:ascii="Cambria" w:eastAsia="Cambria" w:hAnsi="Cambria" w:cs="Cambria"/>
          <w:sz w:val="16"/>
          <w:szCs w:val="16"/>
          <w:lang w:val="es-ES_tradnl"/>
        </w:rPr>
        <w:t xml:space="preserve"> registrada a título personal.</w:t>
      </w:r>
    </w:p>
  </w:footnote>
  <w:footnote w:id="11">
    <w:p w:rsidR="00962B54" w:rsidRPr="004648CE" w:rsidRDefault="008009E5">
      <w:pPr>
        <w:pStyle w:val="FootnoteText"/>
        <w:ind w:firstLine="709"/>
        <w:jc w:val="both"/>
        <w:rPr>
          <w:lang w:val="es-419"/>
        </w:rPr>
      </w:pPr>
      <w:r>
        <w:rPr>
          <w:rFonts w:ascii="Cambria" w:eastAsia="Cambria" w:hAnsi="Cambria" w:cs="Cambria"/>
          <w:vertAlign w:val="superscript"/>
          <w:lang w:val="es-ES_tradnl"/>
        </w:rPr>
        <w:footnoteRef/>
      </w:r>
      <w:r>
        <w:rPr>
          <w:rFonts w:ascii="Cambria" w:eastAsia="Cambria" w:hAnsi="Cambria" w:cs="Cambria"/>
          <w:sz w:val="16"/>
          <w:szCs w:val="16"/>
          <w:lang w:val="es-ES_tradnl"/>
        </w:rPr>
        <w:t xml:space="preserve"> Evaluación de daños.</w:t>
      </w:r>
    </w:p>
  </w:footnote>
  <w:footnote w:id="12">
    <w:p w:rsidR="00962B54" w:rsidRPr="00C2763B" w:rsidRDefault="008009E5">
      <w:pPr>
        <w:pStyle w:val="FootnoteText"/>
        <w:ind w:firstLine="709"/>
        <w:jc w:val="both"/>
        <w:rPr>
          <w:lang w:val="es-US"/>
        </w:rPr>
      </w:pPr>
      <w:r>
        <w:rPr>
          <w:sz w:val="16"/>
          <w:szCs w:val="16"/>
          <w:lang w:val="es-ES_tradnl"/>
        </w:rPr>
        <w:tab/>
      </w:r>
      <w:r>
        <w:rPr>
          <w:vertAlign w:val="superscript"/>
          <w:lang w:val="es-ES_tradnl"/>
        </w:rPr>
        <w:footnoteRef/>
      </w:r>
      <w:r>
        <w:rPr>
          <w:rFonts w:ascii="Cambria" w:eastAsia="Cambria" w:hAnsi="Cambria" w:cs="Cambria"/>
          <w:sz w:val="16"/>
          <w:szCs w:val="16"/>
          <w:lang w:val="es-ES_tradnl"/>
        </w:rPr>
        <w:t xml:space="preserve"> CIDH, Informe N.º 40/05, Petición 12.139. Inadmisibilidad. José Luis </w:t>
      </w:r>
      <w:proofErr w:type="spellStart"/>
      <w:r>
        <w:rPr>
          <w:rFonts w:ascii="Cambria" w:eastAsia="Cambria" w:hAnsi="Cambria" w:cs="Cambria"/>
          <w:sz w:val="16"/>
          <w:szCs w:val="16"/>
          <w:lang w:val="es-ES_tradnl"/>
        </w:rPr>
        <w:t>Forzanni</w:t>
      </w:r>
      <w:proofErr w:type="spellEnd"/>
      <w:r>
        <w:rPr>
          <w:rFonts w:ascii="Cambria" w:eastAsia="Cambria" w:hAnsi="Cambria" w:cs="Cambria"/>
          <w:sz w:val="16"/>
          <w:szCs w:val="16"/>
          <w:lang w:val="es-ES_tradnl"/>
        </w:rPr>
        <w:t xml:space="preserve"> </w:t>
      </w:r>
      <w:proofErr w:type="spellStart"/>
      <w:r>
        <w:rPr>
          <w:rFonts w:ascii="Cambria" w:eastAsia="Cambria" w:hAnsi="Cambria" w:cs="Cambria"/>
          <w:sz w:val="16"/>
          <w:szCs w:val="16"/>
          <w:lang w:val="es-ES_tradnl"/>
        </w:rPr>
        <w:t>Ballardo</w:t>
      </w:r>
      <w:proofErr w:type="spellEnd"/>
      <w:r>
        <w:rPr>
          <w:rFonts w:ascii="Cambria" w:eastAsia="Cambria" w:hAnsi="Cambria" w:cs="Cambria"/>
          <w:sz w:val="16"/>
          <w:szCs w:val="16"/>
          <w:lang w:val="es-ES_tradnl"/>
        </w:rPr>
        <w:t xml:space="preserve">. Perú. 9 de marzo de 2005, párr. 35. Ver también CIDH, Informe N.º 83/05, Petición 644-00. Inadmisibilidad. Carlos Alberto López </w:t>
      </w:r>
      <w:proofErr w:type="spellStart"/>
      <w:r>
        <w:rPr>
          <w:rFonts w:ascii="Cambria" w:eastAsia="Cambria" w:hAnsi="Cambria" w:cs="Cambria"/>
          <w:sz w:val="16"/>
          <w:szCs w:val="16"/>
          <w:lang w:val="es-ES_tradnl"/>
        </w:rPr>
        <w:t>Urquía</w:t>
      </w:r>
      <w:proofErr w:type="spellEnd"/>
      <w:r>
        <w:rPr>
          <w:rFonts w:ascii="Cambria" w:eastAsia="Cambria" w:hAnsi="Cambria" w:cs="Cambria"/>
          <w:sz w:val="16"/>
          <w:szCs w:val="16"/>
          <w:lang w:val="es-ES_tradnl"/>
        </w:rPr>
        <w:t>. Honduras. 24 de octubre de 2005, párr. 42.</w:t>
      </w:r>
    </w:p>
  </w:footnote>
  <w:footnote w:id="13">
    <w:p w:rsidR="00962B54" w:rsidRPr="004648CE" w:rsidRDefault="008009E5">
      <w:pPr>
        <w:pStyle w:val="FootnoteText"/>
        <w:ind w:firstLine="709"/>
        <w:jc w:val="both"/>
        <w:rPr>
          <w:lang w:val="es-419"/>
        </w:rPr>
      </w:pPr>
      <w:r>
        <w:rPr>
          <w:rFonts w:ascii="Cambria" w:eastAsia="Cambria" w:hAnsi="Cambria" w:cs="Cambria"/>
          <w:vertAlign w:val="superscript"/>
          <w:lang w:val="es-ES_tradnl"/>
        </w:rPr>
        <w:footnoteRef/>
      </w:r>
      <w:r>
        <w:rPr>
          <w:rFonts w:ascii="Cambria" w:eastAsia="Cambria" w:hAnsi="Cambria" w:cs="Cambria"/>
          <w:sz w:val="16"/>
          <w:szCs w:val="16"/>
          <w:lang w:val="es-ES_tradnl"/>
        </w:rPr>
        <w:t xml:space="preserve"> Estos reclamos se refieren a la destrucción del comercio Casa Cristal, que pertenecía a la persona del señor </w:t>
      </w:r>
      <w:proofErr w:type="spellStart"/>
      <w:r>
        <w:rPr>
          <w:rFonts w:ascii="Cambria" w:eastAsia="Cambria" w:hAnsi="Cambria" w:cs="Cambria"/>
          <w:sz w:val="16"/>
          <w:szCs w:val="16"/>
          <w:lang w:val="es-ES_tradnl"/>
        </w:rPr>
        <w:t>Aldaz</w:t>
      </w:r>
      <w:proofErr w:type="spellEnd"/>
      <w:r>
        <w:rPr>
          <w:rFonts w:ascii="Cambria" w:eastAsia="Cambria" w:hAnsi="Cambria" w:cs="Cambria"/>
          <w:sz w:val="16"/>
          <w:szCs w:val="16"/>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D24" w:rsidRDefault="00032D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B54" w:rsidRDefault="008009E5">
    <w:pPr>
      <w:pStyle w:val="Header"/>
      <w:tabs>
        <w:tab w:val="clear" w:pos="4320"/>
        <w:tab w:val="clear" w:pos="8640"/>
      </w:tabs>
      <w:jc w:val="center"/>
      <w:rPr>
        <w:sz w:val="22"/>
        <w:szCs w:val="22"/>
      </w:rPr>
    </w:pPr>
    <w:r>
      <w:rPr>
        <w:noProof/>
        <w:sz w:val="22"/>
        <w:szCs w:val="22"/>
      </w:rPr>
      <w:drawing>
        <wp:inline distT="0" distB="0" distL="0" distR="0">
          <wp:extent cx="1972237" cy="104775"/>
          <wp:effectExtent l="0" t="0" r="0" b="0"/>
          <wp:docPr id="1073741825" name="officeArt object" descr="C:\Users\mfontana\Documents\Eva Fontana\GRAFICA CIDH\cartas\logos\cidh-peq.jpg"/>
          <wp:cNvGraphicFramePr/>
          <a:graphic xmlns:a="http://schemas.openxmlformats.org/drawingml/2006/main">
            <a:graphicData uri="http://schemas.openxmlformats.org/drawingml/2006/picture">
              <pic:pic xmlns:pic="http://schemas.openxmlformats.org/drawingml/2006/picture">
                <pic:nvPicPr>
                  <pic:cNvPr id="1073741825" name="image2.jpg" descr="C:\Users\mfontana\Documents\Eva Fontana\GRAFICA CIDH\cartas\logos\cidh-peq.jpg"/>
                  <pic:cNvPicPr>
                    <a:picLocks noChangeAspect="1"/>
                  </pic:cNvPicPr>
                </pic:nvPicPr>
                <pic:blipFill>
                  <a:blip r:embed="rId1">
                    <a:extLst/>
                  </a:blip>
                  <a:stretch>
                    <a:fillRect/>
                  </a:stretch>
                </pic:blipFill>
                <pic:spPr>
                  <a:xfrm>
                    <a:off x="0" y="0"/>
                    <a:ext cx="1972237" cy="104775"/>
                  </a:xfrm>
                  <a:prstGeom prst="rect">
                    <a:avLst/>
                  </a:prstGeom>
                  <a:ln w="12700" cap="flat">
                    <a:noFill/>
                    <a:miter lim="400000"/>
                  </a:ln>
                  <a:effectLst/>
                </pic:spPr>
              </pic:pic>
            </a:graphicData>
          </a:graphic>
        </wp:inline>
      </w:drawing>
    </w:r>
  </w:p>
  <w:p w:rsidR="00962B54" w:rsidRDefault="008009E5">
    <w:pPr>
      <w:pStyle w:val="Header"/>
      <w:tabs>
        <w:tab w:val="clear" w:pos="4320"/>
        <w:tab w:val="clear" w:pos="8640"/>
      </w:tabs>
      <w:jc w:val="center"/>
    </w:pPr>
    <w:r>
      <w:rPr>
        <w:noProof/>
        <w:sz w:val="22"/>
        <w:szCs w:val="22"/>
      </w:rPr>
      <mc:AlternateContent>
        <mc:Choice Requires="wps">
          <w:drawing>
            <wp:inline distT="0" distB="0" distL="0" distR="0">
              <wp:extent cx="5943600" cy="1905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xmlns:w16se="http://schemas.microsoft.com/office/word/2015/wordml/symex" xmlns:cx1="http://schemas.microsoft.com/office/drawing/2015/9/8/chartex" xmlns:cx="http://schemas.microsoft.com/office/drawing/2014/chartex">
          <w:pict>
            <v:rect id="_x0000_s1034"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D24" w:rsidRDefault="00032D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0A12CF"/>
    <w:multiLevelType w:val="hybridMultilevel"/>
    <w:tmpl w:val="3C54C91A"/>
    <w:numStyleLink w:val="ImportedStyle3"/>
  </w:abstractNum>
  <w:abstractNum w:abstractNumId="1" w15:restartNumberingAfterBreak="0">
    <w:nsid w:val="43AF47D3"/>
    <w:multiLevelType w:val="hybridMultilevel"/>
    <w:tmpl w:val="3C54C91A"/>
    <w:styleLink w:val="ImportedStyle3"/>
    <w:lvl w:ilvl="0" w:tplc="A59E1EB6">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3EE4154">
      <w:start w:val="1"/>
      <w:numFmt w:val="lowerLetter"/>
      <w:lvlText w:val="%2."/>
      <w:lvlJc w:val="left"/>
      <w:pPr>
        <w:tabs>
          <w:tab w:val="left" w:pos="720"/>
          <w:tab w:val="num" w:pos="2160"/>
        </w:tabs>
        <w:ind w:left="14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27CA912">
      <w:start w:val="1"/>
      <w:numFmt w:val="lowerRoman"/>
      <w:lvlText w:val="%3."/>
      <w:lvlJc w:val="left"/>
      <w:pPr>
        <w:tabs>
          <w:tab w:val="left" w:pos="720"/>
          <w:tab w:val="num" w:pos="2880"/>
        </w:tabs>
        <w:ind w:left="216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0E8CF1C">
      <w:start w:val="1"/>
      <w:numFmt w:val="decimal"/>
      <w:lvlText w:val="%4."/>
      <w:lvlJc w:val="left"/>
      <w:pPr>
        <w:tabs>
          <w:tab w:val="left" w:pos="720"/>
          <w:tab w:val="num" w:pos="3600"/>
        </w:tabs>
        <w:ind w:left="288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61C6088">
      <w:start w:val="1"/>
      <w:numFmt w:val="lowerLetter"/>
      <w:lvlText w:val="%5."/>
      <w:lvlJc w:val="left"/>
      <w:pPr>
        <w:tabs>
          <w:tab w:val="left" w:pos="720"/>
          <w:tab w:val="num" w:pos="4320"/>
        </w:tabs>
        <w:ind w:left="360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D922B8A">
      <w:start w:val="1"/>
      <w:numFmt w:val="lowerRoman"/>
      <w:lvlText w:val="%6."/>
      <w:lvlJc w:val="left"/>
      <w:pPr>
        <w:tabs>
          <w:tab w:val="left" w:pos="720"/>
          <w:tab w:val="num" w:pos="5040"/>
        </w:tabs>
        <w:ind w:left="432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DB632F6">
      <w:start w:val="1"/>
      <w:numFmt w:val="decimal"/>
      <w:lvlText w:val="%7."/>
      <w:lvlJc w:val="left"/>
      <w:pPr>
        <w:tabs>
          <w:tab w:val="left" w:pos="720"/>
          <w:tab w:val="num" w:pos="5760"/>
        </w:tabs>
        <w:ind w:left="50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87844D6">
      <w:start w:val="1"/>
      <w:numFmt w:val="lowerLetter"/>
      <w:lvlText w:val="%8."/>
      <w:lvlJc w:val="left"/>
      <w:pPr>
        <w:tabs>
          <w:tab w:val="left" w:pos="720"/>
          <w:tab w:val="num" w:pos="6480"/>
        </w:tabs>
        <w:ind w:left="576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BF44418">
      <w:start w:val="1"/>
      <w:numFmt w:val="lowerRoman"/>
      <w:lvlText w:val="%9."/>
      <w:lvlJc w:val="left"/>
      <w:pPr>
        <w:tabs>
          <w:tab w:val="left" w:pos="720"/>
          <w:tab w:val="num" w:pos="7200"/>
        </w:tabs>
        <w:ind w:left="648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44401DB1"/>
    <w:multiLevelType w:val="hybridMultilevel"/>
    <w:tmpl w:val="DFEA9F98"/>
    <w:numStyleLink w:val="ImportedStyle2"/>
  </w:abstractNum>
  <w:abstractNum w:abstractNumId="3" w15:restartNumberingAfterBreak="0">
    <w:nsid w:val="526D6E12"/>
    <w:multiLevelType w:val="hybridMultilevel"/>
    <w:tmpl w:val="DFEA9F98"/>
    <w:styleLink w:val="ImportedStyle2"/>
    <w:lvl w:ilvl="0" w:tplc="0A047A58">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6328B90">
      <w:start w:val="1"/>
      <w:numFmt w:val="lowerLetter"/>
      <w:lvlText w:val="%2."/>
      <w:lvlJc w:val="left"/>
      <w:pPr>
        <w:tabs>
          <w:tab w:val="left" w:pos="720"/>
          <w:tab w:val="num" w:pos="2160"/>
        </w:tabs>
        <w:ind w:left="14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1583FB2">
      <w:start w:val="1"/>
      <w:numFmt w:val="lowerRoman"/>
      <w:lvlText w:val="%3."/>
      <w:lvlJc w:val="left"/>
      <w:pPr>
        <w:tabs>
          <w:tab w:val="left" w:pos="720"/>
          <w:tab w:val="num" w:pos="2880"/>
        </w:tabs>
        <w:ind w:left="216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268566">
      <w:start w:val="1"/>
      <w:numFmt w:val="decimal"/>
      <w:lvlText w:val="%4."/>
      <w:lvlJc w:val="left"/>
      <w:pPr>
        <w:tabs>
          <w:tab w:val="left" w:pos="720"/>
          <w:tab w:val="num" w:pos="3600"/>
        </w:tabs>
        <w:ind w:left="288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26E50C2">
      <w:start w:val="1"/>
      <w:numFmt w:val="lowerLetter"/>
      <w:lvlText w:val="%5."/>
      <w:lvlJc w:val="left"/>
      <w:pPr>
        <w:tabs>
          <w:tab w:val="left" w:pos="720"/>
          <w:tab w:val="num" w:pos="4320"/>
        </w:tabs>
        <w:ind w:left="360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784E676">
      <w:start w:val="1"/>
      <w:numFmt w:val="lowerRoman"/>
      <w:lvlText w:val="%6."/>
      <w:lvlJc w:val="left"/>
      <w:pPr>
        <w:tabs>
          <w:tab w:val="left" w:pos="720"/>
          <w:tab w:val="num" w:pos="5040"/>
        </w:tabs>
        <w:ind w:left="432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194EBFA">
      <w:start w:val="1"/>
      <w:numFmt w:val="decimal"/>
      <w:lvlText w:val="%7."/>
      <w:lvlJc w:val="left"/>
      <w:pPr>
        <w:tabs>
          <w:tab w:val="left" w:pos="720"/>
          <w:tab w:val="num" w:pos="5760"/>
        </w:tabs>
        <w:ind w:left="50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AF4752E">
      <w:start w:val="1"/>
      <w:numFmt w:val="lowerLetter"/>
      <w:lvlText w:val="%8."/>
      <w:lvlJc w:val="left"/>
      <w:pPr>
        <w:tabs>
          <w:tab w:val="left" w:pos="720"/>
          <w:tab w:val="num" w:pos="6480"/>
        </w:tabs>
        <w:ind w:left="576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3F26532">
      <w:start w:val="1"/>
      <w:numFmt w:val="lowerRoman"/>
      <w:lvlText w:val="%9."/>
      <w:lvlJc w:val="left"/>
      <w:pPr>
        <w:tabs>
          <w:tab w:val="left" w:pos="720"/>
          <w:tab w:val="num" w:pos="7200"/>
        </w:tabs>
        <w:ind w:left="648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64C822AD"/>
    <w:multiLevelType w:val="hybridMultilevel"/>
    <w:tmpl w:val="83FCD86C"/>
    <w:lvl w:ilvl="0" w:tplc="225813CE">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9AC22F0">
      <w:start w:val="1"/>
      <w:numFmt w:val="lowerLetter"/>
      <w:lvlText w:val="%2."/>
      <w:lvlJc w:val="left"/>
      <w:pPr>
        <w:tabs>
          <w:tab w:val="left" w:pos="720"/>
          <w:tab w:val="num" w:pos="2160"/>
        </w:tabs>
        <w:ind w:left="14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75892DA">
      <w:start w:val="1"/>
      <w:numFmt w:val="lowerRoman"/>
      <w:lvlText w:val="%3."/>
      <w:lvlJc w:val="left"/>
      <w:pPr>
        <w:tabs>
          <w:tab w:val="left" w:pos="720"/>
          <w:tab w:val="num" w:pos="2880"/>
        </w:tabs>
        <w:ind w:left="216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320E9AA">
      <w:start w:val="1"/>
      <w:numFmt w:val="decimal"/>
      <w:lvlText w:val="%4."/>
      <w:lvlJc w:val="left"/>
      <w:pPr>
        <w:tabs>
          <w:tab w:val="left" w:pos="720"/>
          <w:tab w:val="num" w:pos="3600"/>
        </w:tabs>
        <w:ind w:left="288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EF4328E">
      <w:start w:val="1"/>
      <w:numFmt w:val="lowerLetter"/>
      <w:lvlText w:val="%5."/>
      <w:lvlJc w:val="left"/>
      <w:pPr>
        <w:tabs>
          <w:tab w:val="left" w:pos="720"/>
          <w:tab w:val="num" w:pos="4320"/>
        </w:tabs>
        <w:ind w:left="360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5A8314C">
      <w:start w:val="1"/>
      <w:numFmt w:val="lowerRoman"/>
      <w:lvlText w:val="%6."/>
      <w:lvlJc w:val="left"/>
      <w:pPr>
        <w:tabs>
          <w:tab w:val="left" w:pos="720"/>
          <w:tab w:val="num" w:pos="5040"/>
        </w:tabs>
        <w:ind w:left="432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F0AD88C">
      <w:start w:val="1"/>
      <w:numFmt w:val="decimal"/>
      <w:lvlText w:val="%7."/>
      <w:lvlJc w:val="left"/>
      <w:pPr>
        <w:tabs>
          <w:tab w:val="left" w:pos="720"/>
          <w:tab w:val="num" w:pos="5760"/>
        </w:tabs>
        <w:ind w:left="50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B54B58E">
      <w:start w:val="1"/>
      <w:numFmt w:val="lowerLetter"/>
      <w:lvlText w:val="%8."/>
      <w:lvlJc w:val="left"/>
      <w:pPr>
        <w:tabs>
          <w:tab w:val="left" w:pos="720"/>
          <w:tab w:val="num" w:pos="6480"/>
        </w:tabs>
        <w:ind w:left="576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972B162">
      <w:start w:val="1"/>
      <w:numFmt w:val="lowerRoman"/>
      <w:lvlText w:val="%9."/>
      <w:lvlJc w:val="left"/>
      <w:pPr>
        <w:tabs>
          <w:tab w:val="left" w:pos="720"/>
          <w:tab w:val="num" w:pos="7200"/>
        </w:tabs>
        <w:ind w:left="648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3"/>
  </w:num>
  <w:num w:numId="2">
    <w:abstractNumId w:val="2"/>
  </w:num>
  <w:num w:numId="3">
    <w:abstractNumId w:val="2"/>
    <w:lvlOverride w:ilvl="0">
      <w:lvl w:ilvl="0" w:tplc="BAB43E32">
        <w:start w:val="1"/>
        <w:numFmt w:val="decimal"/>
        <w:lvlText w:val="%1."/>
        <w:lvlJc w:val="left"/>
        <w:pPr>
          <w:tabs>
            <w:tab w:val="left" w:pos="720"/>
            <w:tab w:val="num" w:pos="1440"/>
          </w:tabs>
          <w:ind w:left="720" w:firstLine="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78AD4EC">
        <w:start w:val="1"/>
        <w:numFmt w:val="lowerLetter"/>
        <w:lvlText w:val="%2."/>
        <w:lvlJc w:val="left"/>
        <w:pPr>
          <w:tabs>
            <w:tab w:val="left" w:pos="720"/>
            <w:tab w:val="num" w:pos="2160"/>
          </w:tabs>
          <w:ind w:left="1440" w:firstLine="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B5ADBCE">
        <w:start w:val="1"/>
        <w:numFmt w:val="lowerRoman"/>
        <w:lvlText w:val="%3."/>
        <w:lvlJc w:val="left"/>
        <w:pPr>
          <w:tabs>
            <w:tab w:val="left" w:pos="720"/>
            <w:tab w:val="num" w:pos="2880"/>
          </w:tabs>
          <w:ind w:left="2160" w:firstLine="45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EED037AE">
        <w:start w:val="1"/>
        <w:numFmt w:val="decimal"/>
        <w:lvlText w:val="%4."/>
        <w:lvlJc w:val="left"/>
        <w:pPr>
          <w:tabs>
            <w:tab w:val="left" w:pos="720"/>
            <w:tab w:val="num" w:pos="3600"/>
          </w:tabs>
          <w:ind w:left="2880" w:firstLine="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BB84AEA">
        <w:start w:val="1"/>
        <w:numFmt w:val="lowerLetter"/>
        <w:lvlText w:val="%5."/>
        <w:lvlJc w:val="left"/>
        <w:pPr>
          <w:tabs>
            <w:tab w:val="left" w:pos="720"/>
            <w:tab w:val="num" w:pos="4320"/>
          </w:tabs>
          <w:ind w:left="3600" w:firstLine="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82CB7D8">
        <w:start w:val="1"/>
        <w:numFmt w:val="lowerRoman"/>
        <w:lvlText w:val="%6."/>
        <w:lvlJc w:val="left"/>
        <w:pPr>
          <w:tabs>
            <w:tab w:val="left" w:pos="720"/>
            <w:tab w:val="num" w:pos="5040"/>
          </w:tabs>
          <w:ind w:left="4320" w:firstLine="45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EE22288">
        <w:start w:val="1"/>
        <w:numFmt w:val="decimal"/>
        <w:lvlText w:val="%7."/>
        <w:lvlJc w:val="left"/>
        <w:pPr>
          <w:tabs>
            <w:tab w:val="left" w:pos="720"/>
            <w:tab w:val="num" w:pos="5760"/>
          </w:tabs>
          <w:ind w:left="5040" w:firstLine="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183633F2">
        <w:start w:val="1"/>
        <w:numFmt w:val="lowerLetter"/>
        <w:lvlText w:val="%8."/>
        <w:lvlJc w:val="left"/>
        <w:pPr>
          <w:tabs>
            <w:tab w:val="left" w:pos="720"/>
            <w:tab w:val="num" w:pos="6480"/>
          </w:tabs>
          <w:ind w:left="5760" w:firstLine="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398FF98">
        <w:start w:val="1"/>
        <w:numFmt w:val="lowerRoman"/>
        <w:lvlText w:val="%9."/>
        <w:lvlJc w:val="left"/>
        <w:pPr>
          <w:tabs>
            <w:tab w:val="left" w:pos="720"/>
            <w:tab w:val="num" w:pos="7200"/>
          </w:tabs>
          <w:ind w:left="6480" w:firstLine="45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54"/>
    <w:rsid w:val="00032D24"/>
    <w:rsid w:val="00446173"/>
    <w:rsid w:val="004648CE"/>
    <w:rsid w:val="004D7D71"/>
    <w:rsid w:val="008009E5"/>
    <w:rsid w:val="00962B54"/>
    <w:rsid w:val="009B5053"/>
    <w:rsid w:val="00A85612"/>
    <w:rsid w:val="00C2763B"/>
    <w:rsid w:val="00FC0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widowControl w:val="0"/>
      <w:tabs>
        <w:tab w:val="center" w:pos="4320"/>
        <w:tab w:val="right" w:pos="8640"/>
      </w:tabs>
    </w:pPr>
    <w:rPr>
      <w:rFonts w:ascii="Arial" w:hAnsi="Arial" w:cs="Arial Unicode MS"/>
      <w:color w:val="000000"/>
      <w:sz w:val="24"/>
      <w:szCs w:val="24"/>
      <w:u w:color="000000"/>
    </w:rPr>
  </w:style>
  <w:style w:type="paragraph" w:styleId="Footer">
    <w:name w:val="footer"/>
    <w:pPr>
      <w:tabs>
        <w:tab w:val="center" w:pos="4513"/>
        <w:tab w:val="right" w:pos="9026"/>
      </w:tabs>
    </w:pPr>
    <w:rPr>
      <w:rFonts w:ascii="Cambria" w:eastAsia="Cambria" w:hAnsi="Cambria" w:cs="Cambria"/>
      <w:color w:val="000000"/>
      <w:sz w:val="24"/>
      <w:szCs w:val="24"/>
      <w:u w:color="000000"/>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styleId="FootnoteText">
    <w:name w:val="footnote text"/>
    <w:rPr>
      <w:rFonts w:ascii="Calibri" w:eastAsia="Calibri" w:hAnsi="Calibri" w:cs="Calibri"/>
      <w:color w:val="000000"/>
      <w:u w:color="000000"/>
    </w:rPr>
  </w:style>
  <w:style w:type="numbering" w:customStyle="1" w:styleId="ImportedStyle2">
    <w:name w:val="Imported Style 2"/>
    <w:pPr>
      <w:numPr>
        <w:numId w:val="1"/>
      </w:numPr>
    </w:p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ImportedStyle3">
    <w:name w:val="Imported Style 3"/>
    <w:pPr>
      <w:numPr>
        <w:numId w:val="4"/>
      </w:numPr>
    </w:pPr>
  </w:style>
  <w:style w:type="paragraph" w:styleId="BodyTextIndent">
    <w:name w:val="Body Text Indent"/>
    <w:basedOn w:val="Normal"/>
    <w:link w:val="BodyTextIndentChar"/>
    <w:uiPriority w:val="99"/>
    <w:semiHidden/>
    <w:unhideWhenUsed/>
    <w:rsid w:val="004648CE"/>
    <w:pPr>
      <w:spacing w:after="120"/>
      <w:ind w:left="360"/>
    </w:pPr>
  </w:style>
  <w:style w:type="character" w:customStyle="1" w:styleId="BodyTextIndentChar">
    <w:name w:val="Body Text Indent Char"/>
    <w:basedOn w:val="DefaultParagraphFont"/>
    <w:link w:val="BodyTextIndent"/>
    <w:uiPriority w:val="99"/>
    <w:semiHidden/>
    <w:rsid w:val="004648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2331</Words>
  <Characters>12290</Characters>
  <Application>Microsoft Office Word</Application>
  <DocSecurity>0</DocSecurity>
  <Lines>211</Lines>
  <Paragraphs>52</Paragraphs>
  <ScaleCrop>false</ScaleCrop>
  <Company/>
  <LinksUpToDate>false</LinksUpToDate>
  <CharactersWithSpaces>14569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118/20</dc:title>
  <dc:creator/>
  <cp:lastModifiedBy/>
  <cp:revision>1</cp:revision>
  <dcterms:created xsi:type="dcterms:W3CDTF">2020-07-09T19:28:00Z</dcterms:created>
  <dcterms:modified xsi:type="dcterms:W3CDTF">2020-07-09T19:28:00Z</dcterms:modified>
</cp:coreProperties>
</file>