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53A5BF"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4DCB9C" wp14:editId="398915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A1F773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B1D3731" wp14:editId="0ADB3A0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1811C" w14:textId="77777777" w:rsidR="00CB2660" w:rsidRDefault="00AE5488" w:rsidP="00AE5488">
                            <w:r>
                              <w:rPr>
                                <w:noProof/>
                              </w:rPr>
                              <w:drawing>
                                <wp:inline distT="0" distB="0" distL="0" distR="0" wp14:anchorId="4ADF8E7C" wp14:editId="7D6A01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1D373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51811C" w14:textId="77777777" w:rsidR="00CB2660" w:rsidRDefault="00AE5488" w:rsidP="00AE5488">
                      <w:r>
                        <w:rPr>
                          <w:noProof/>
                        </w:rPr>
                        <w:drawing>
                          <wp:inline distT="0" distB="0" distL="0" distR="0" wp14:anchorId="4ADF8E7C" wp14:editId="7D6A01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40A849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28DD74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6893FC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A614FF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246D02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1ABBB23"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437012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D354F4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12E28A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2DAB02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A4194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6A04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3E17B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74EEA1A" wp14:editId="4977B811">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C9199" w14:textId="505741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4612D">
                              <w:rPr>
                                <w:rFonts w:asciiTheme="majorHAnsi" w:hAnsiTheme="majorHAnsi" w:cs="Arial"/>
                                <w:b/>
                                <w:bCs/>
                                <w:color w:val="0D0D0D" w:themeColor="text1" w:themeTint="F2"/>
                                <w:sz w:val="36"/>
                                <w:szCs w:val="22"/>
                                <w:lang w:val="es-ES_tradnl"/>
                              </w:rPr>
                              <w:t xml:space="preserve"> 232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5FA5F4C"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139F">
                              <w:rPr>
                                <w:rFonts w:asciiTheme="majorHAnsi" w:hAnsiTheme="majorHAnsi" w:cs="Arial"/>
                                <w:b/>
                                <w:color w:val="0D0D0D" w:themeColor="text1" w:themeTint="F2"/>
                                <w:sz w:val="36"/>
                                <w:szCs w:val="22"/>
                                <w:lang w:val="es-ES_tradnl"/>
                              </w:rPr>
                              <w:t>156</w:t>
                            </w:r>
                            <w:r w:rsidR="00246D1F" w:rsidRPr="004E2649">
                              <w:rPr>
                                <w:rFonts w:asciiTheme="majorHAnsi" w:hAnsiTheme="majorHAnsi" w:cs="Arial"/>
                                <w:b/>
                                <w:color w:val="0D0D0D" w:themeColor="text1" w:themeTint="F2"/>
                                <w:sz w:val="36"/>
                                <w:szCs w:val="22"/>
                                <w:lang w:val="es-ES_tradnl"/>
                              </w:rPr>
                              <w:t>-</w:t>
                            </w:r>
                            <w:r w:rsidR="0080139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1268960" w14:textId="4DEE6DD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44409">
                              <w:rPr>
                                <w:rFonts w:asciiTheme="majorHAnsi" w:hAnsiTheme="majorHAnsi" w:cs="Arial"/>
                                <w:color w:val="0D0D0D" w:themeColor="text1" w:themeTint="F2"/>
                                <w:szCs w:val="22"/>
                                <w:lang w:val="es-ES_tradnl"/>
                              </w:rPr>
                              <w:t xml:space="preserve">INFORME DE </w:t>
                            </w:r>
                            <w:r w:rsidR="00FF2352" w:rsidRPr="00444409">
                              <w:rPr>
                                <w:rFonts w:asciiTheme="majorHAnsi" w:hAnsiTheme="majorHAnsi" w:cs="Arial"/>
                                <w:color w:val="0D0D0D" w:themeColor="text1" w:themeTint="F2"/>
                                <w:szCs w:val="22"/>
                                <w:lang w:val="es-ES_tradnl"/>
                              </w:rPr>
                              <w:t>IN</w:t>
                            </w:r>
                            <w:r w:rsidRPr="0044440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6E710C8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9889C" w14:textId="77777777" w:rsidR="005B52B0" w:rsidRPr="00E55600" w:rsidRDefault="00E55600"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LUZ NIDIA RUBIO DE GONZ</w:t>
                            </w:r>
                            <w:r>
                              <w:rPr>
                                <w:rFonts w:asciiTheme="majorHAnsi" w:hAnsiTheme="majorHAnsi" w:cs="Arial"/>
                                <w:color w:val="0D0D0D" w:themeColor="text1" w:themeTint="F2"/>
                                <w:szCs w:val="22"/>
                                <w:lang w:val="es-PA"/>
                              </w:rPr>
                              <w:t>ALEZ</w:t>
                            </w:r>
                          </w:p>
                          <w:bookmarkEnd w:id="1"/>
                          <w:p w14:paraId="5CFA70C2" w14:textId="77777777" w:rsidR="005B52B0" w:rsidRPr="0010736F" w:rsidRDefault="008013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EC4A32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4EEA1A"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AmfgIAAGoFAAAOAAAAZHJzL2Uyb0RvYy54bWysVN9v2jAQfp+0/8Hy+xrCoGsRoWJUnSZV&#10;bTWY+mwcG6LZPs82JOyv39lJALG9dNpLcr77/Pl+T+8archeOF+BKWh+NaBEGA5lZTYF/b56+HBD&#10;iQ/MlEyBEQU9CE/vZu/fTWs7EUPYgiqFI0hi/KS2Bd2GYCdZ5vlWaOavwAqDRglOs4BHt8lKx2pk&#10;1yobDgbXWQ2utA648B61962RzhK/lIKHZym9CEQVFH0L6evSdx2/2WzKJhvH7LbinRvsH7zQrDL4&#10;6JHqngVGdq76g0pX3IEHGa446AykrLhIMWA0+eAimuWWWZFiweR4e0yT/3+0/Gn/4khVFnRMiWEa&#10;S7QSTSCfoSHjmJ3a+gmClhZhoUE1VrnXe1TGoBvpdPxjOATtmOfDMbeRjKNyNBrl+S2aONqG+c0Y&#10;qxd5stN163z4IkCTKBTUYfFSTtn+0YcW2kPiawYeKqVSAZUhdUGvP44H6cLRguTKRKxIrdDRxJBa&#10;15MUDkpEjDLfhMRUpAiiIjWhWChH9gzbh3EuTEjBJ15ER5REJ95yscOfvHrL5TaO/mUw4XhZVwZc&#10;iv7C7fJH77Js8Zjzs7ijGJp1k3rgWNk1lAcsuIN2YLzlDxUW5ZH58MIcTggWEqc+PONHKsDkQydR&#10;sgX362/6iMfGRSslNU5cQf3PHXOCEvXVYEvf5qNRHNF0GI0/DfHgzi3rc4vZ6QVgVXLcL5YnMeKD&#10;6kXpQL/icpjHV9HEDMe3Cxp6cRHaPYDLhYv5PIFwKC0Lj2ZpeaSORYott2pembNdXwZs6SfoZ5NN&#10;LtqzxcabBua7ALJKvRvz3Ga1yz8OdOr+bvnEjXF+TqjTipz9BgAA//8DAFBLAwQUAAYACAAAACEA&#10;JLwQu+IAAAAKAQAADwAAAGRycy9kb3ducmV2LnhtbEyPQUvDQBSE74L/YXmCN7tJqqFNsyklUATR&#10;Q2sv3jbZ1yQ0+zZmt2301/s86XGYYeabfD3ZXlxw9J0jBfEsAoFUO9NRo+Dwvn1YgPBBk9G9I1Tw&#10;hR7Wxe1NrjPjrrTDyz40gkvIZ1pBG8KQSenrFq32MzcgsXd0o9WB5dhIM+orl9teJlGUSqs74oVW&#10;D1i2WJ/2Z6vgpdy+6V2V2MV3Xz6/HjfD5+HjSan7u2mzAhFwCn9h+MVndCiYqXJnMl70CpJ4zl8C&#10;G+kSBAeWcfIIolIwT+MIZJHL/xeKHwAAAP//AwBQSwECLQAUAAYACAAAACEAtoM4kv4AAADhAQAA&#10;EwAAAAAAAAAAAAAAAAAAAAAAW0NvbnRlbnRfVHlwZXNdLnhtbFBLAQItABQABgAIAAAAIQA4/SH/&#10;1gAAAJQBAAALAAAAAAAAAAAAAAAAAC8BAABfcmVscy8ucmVsc1BLAQItABQABgAIAAAAIQBQYgAm&#10;fgIAAGoFAAAOAAAAAAAAAAAAAAAAAC4CAABkcnMvZTJvRG9jLnhtbFBLAQItABQABgAIAAAAIQAk&#10;vBC74gAAAAoBAAAPAAAAAAAAAAAAAAAAANgEAABkcnMvZG93bnJldi54bWxQSwUGAAAAAAQABADz&#10;AAAA5wUAAAAA&#10;" filled="f" stroked="f" strokeweight=".5pt">
                <v:textbox>
                  <w:txbxContent>
                    <w:p w14:paraId="1FCC9199" w14:textId="505741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4612D">
                        <w:rPr>
                          <w:rFonts w:asciiTheme="majorHAnsi" w:hAnsiTheme="majorHAnsi" w:cs="Arial"/>
                          <w:b/>
                          <w:bCs/>
                          <w:color w:val="0D0D0D" w:themeColor="text1" w:themeTint="F2"/>
                          <w:sz w:val="36"/>
                          <w:szCs w:val="22"/>
                          <w:lang w:val="es-ES_tradnl"/>
                        </w:rPr>
                        <w:t xml:space="preserve"> 232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5FA5F4C"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139F">
                        <w:rPr>
                          <w:rFonts w:asciiTheme="majorHAnsi" w:hAnsiTheme="majorHAnsi" w:cs="Arial"/>
                          <w:b/>
                          <w:color w:val="0D0D0D" w:themeColor="text1" w:themeTint="F2"/>
                          <w:sz w:val="36"/>
                          <w:szCs w:val="22"/>
                          <w:lang w:val="es-ES_tradnl"/>
                        </w:rPr>
                        <w:t>156</w:t>
                      </w:r>
                      <w:r w:rsidR="00246D1F" w:rsidRPr="004E2649">
                        <w:rPr>
                          <w:rFonts w:asciiTheme="majorHAnsi" w:hAnsiTheme="majorHAnsi" w:cs="Arial"/>
                          <w:b/>
                          <w:color w:val="0D0D0D" w:themeColor="text1" w:themeTint="F2"/>
                          <w:sz w:val="36"/>
                          <w:szCs w:val="22"/>
                          <w:lang w:val="es-ES_tradnl"/>
                        </w:rPr>
                        <w:t>-</w:t>
                      </w:r>
                      <w:r w:rsidR="0080139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1268960" w14:textId="4DEE6DD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44409">
                        <w:rPr>
                          <w:rFonts w:asciiTheme="majorHAnsi" w:hAnsiTheme="majorHAnsi" w:cs="Arial"/>
                          <w:color w:val="0D0D0D" w:themeColor="text1" w:themeTint="F2"/>
                          <w:szCs w:val="22"/>
                          <w:lang w:val="es-ES_tradnl"/>
                        </w:rPr>
                        <w:t xml:space="preserve">INFORME DE </w:t>
                      </w:r>
                      <w:r w:rsidR="00FF2352" w:rsidRPr="00444409">
                        <w:rPr>
                          <w:rFonts w:asciiTheme="majorHAnsi" w:hAnsiTheme="majorHAnsi" w:cs="Arial"/>
                          <w:color w:val="0D0D0D" w:themeColor="text1" w:themeTint="F2"/>
                          <w:szCs w:val="22"/>
                          <w:lang w:val="es-ES_tradnl"/>
                        </w:rPr>
                        <w:t>IN</w:t>
                      </w:r>
                      <w:r w:rsidRPr="0044440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6E710C80"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9889C" w14:textId="77777777" w:rsidR="005B52B0" w:rsidRPr="00E55600" w:rsidRDefault="00E55600"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LUZ NIDIA RUBIO DE GONZ</w:t>
                      </w:r>
                      <w:r>
                        <w:rPr>
                          <w:rFonts w:asciiTheme="majorHAnsi" w:hAnsiTheme="majorHAnsi" w:cs="Arial"/>
                          <w:color w:val="0D0D0D" w:themeColor="text1" w:themeTint="F2"/>
                          <w:szCs w:val="22"/>
                          <w:lang w:val="es-PA"/>
                        </w:rPr>
                        <w:t>ALEZ</w:t>
                      </w:r>
                    </w:p>
                    <w:bookmarkEnd w:id="1"/>
                    <w:p w14:paraId="5CFA70C2" w14:textId="77777777" w:rsidR="005B52B0" w:rsidRPr="0010736F" w:rsidRDefault="008013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EC4A324"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DD4F1A" wp14:editId="153053A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431D3" w14:textId="162EA0C3" w:rsidR="00627C9F" w:rsidRPr="004E2649" w:rsidRDefault="007461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7781011" w14:textId="4D72ECB0" w:rsidR="00627C9F" w:rsidRPr="004E2649" w:rsidRDefault="007461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247</w:t>
                            </w:r>
                          </w:p>
                          <w:p w14:paraId="640D40A7" w14:textId="69F3F29F" w:rsidR="00627C9F" w:rsidRPr="00C25ADB" w:rsidRDefault="007461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6B76423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DD4F1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18431D3" w14:textId="162EA0C3" w:rsidR="00627C9F" w:rsidRPr="004E2649" w:rsidRDefault="007461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7781011" w14:textId="4D72ECB0" w:rsidR="00627C9F" w:rsidRPr="004E2649" w:rsidRDefault="0074612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247</w:t>
                      </w:r>
                    </w:p>
                    <w:p w14:paraId="640D40A7" w14:textId="69F3F29F" w:rsidR="00627C9F" w:rsidRPr="00C25ADB" w:rsidRDefault="007461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6B76423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32107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524A8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5A1F56"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E7126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5D9D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D57C7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15BB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1CBB8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6E01A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41A93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405D5D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EE93C5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4BBFE0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0CAC5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03BFA7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398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FDF2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5241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A91B4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58966F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3FCD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B3C5F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BE30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5E53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B794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D525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0367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A7D7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0AD23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A058115" wp14:editId="4035FFE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C6962" w14:textId="5C25B0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74612D">
                              <w:rPr>
                                <w:rFonts w:asciiTheme="majorHAnsi" w:hAnsiTheme="majorHAnsi"/>
                                <w:color w:val="0D0D0D" w:themeColor="text1" w:themeTint="F2"/>
                                <w:sz w:val="18"/>
                                <w:szCs w:val="22"/>
                                <w:lang w:val="es-ES"/>
                              </w:rPr>
                              <w:t xml:space="preserve"> por la Comisión el 6</w:t>
                            </w:r>
                            <w:r w:rsidRPr="00890650">
                              <w:rPr>
                                <w:rFonts w:asciiTheme="majorHAnsi" w:hAnsiTheme="majorHAnsi"/>
                                <w:color w:val="0D0D0D" w:themeColor="text1" w:themeTint="F2"/>
                                <w:sz w:val="18"/>
                                <w:szCs w:val="22"/>
                                <w:lang w:val="es-ES"/>
                              </w:rPr>
                              <w:t xml:space="preserve"> de </w:t>
                            </w:r>
                            <w:r w:rsidR="0074612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25429E">
                              <w:rPr>
                                <w:rFonts w:asciiTheme="majorHAnsi" w:hAnsiTheme="majorHAnsi"/>
                                <w:color w:val="0D0D0D" w:themeColor="text1" w:themeTint="F2"/>
                                <w:sz w:val="18"/>
                                <w:szCs w:val="22"/>
                                <w:lang w:val="es-ES"/>
                              </w:rPr>
                              <w:t>.</w:t>
                            </w:r>
                          </w:p>
                          <w:p w14:paraId="0AD3BAE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7B5214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5811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82C6962" w14:textId="5C25B0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74612D">
                        <w:rPr>
                          <w:rFonts w:asciiTheme="majorHAnsi" w:hAnsiTheme="majorHAnsi"/>
                          <w:color w:val="0D0D0D" w:themeColor="text1" w:themeTint="F2"/>
                          <w:sz w:val="18"/>
                          <w:szCs w:val="22"/>
                          <w:lang w:val="es-ES"/>
                        </w:rPr>
                        <w:t xml:space="preserve"> por la Comisión el 6</w:t>
                      </w:r>
                      <w:r w:rsidRPr="00890650">
                        <w:rPr>
                          <w:rFonts w:asciiTheme="majorHAnsi" w:hAnsiTheme="majorHAnsi"/>
                          <w:color w:val="0D0D0D" w:themeColor="text1" w:themeTint="F2"/>
                          <w:sz w:val="18"/>
                          <w:szCs w:val="22"/>
                          <w:lang w:val="es-ES"/>
                        </w:rPr>
                        <w:t xml:space="preserve"> de </w:t>
                      </w:r>
                      <w:r w:rsidR="0074612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25429E">
                        <w:rPr>
                          <w:rFonts w:asciiTheme="majorHAnsi" w:hAnsiTheme="majorHAnsi"/>
                          <w:color w:val="0D0D0D" w:themeColor="text1" w:themeTint="F2"/>
                          <w:sz w:val="18"/>
                          <w:szCs w:val="22"/>
                          <w:lang w:val="es-ES"/>
                        </w:rPr>
                        <w:t>.</w:t>
                      </w:r>
                    </w:p>
                    <w:p w14:paraId="0AD3BAE2"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7B5214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62F0F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7175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A5C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FFE5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22169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2A75C17" wp14:editId="1984E56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6ED8B" w14:textId="700B7B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612D" w:rsidRPr="0074612D">
                              <w:rPr>
                                <w:rFonts w:asciiTheme="majorHAnsi" w:hAnsiTheme="majorHAnsi"/>
                                <w:color w:val="595959" w:themeColor="text1" w:themeTint="A6"/>
                                <w:sz w:val="18"/>
                                <w:szCs w:val="18"/>
                                <w:lang w:val="pt-BR"/>
                              </w:rPr>
                              <w:t>232</w:t>
                            </w:r>
                            <w:r w:rsidR="007B05C4" w:rsidRPr="0074612D">
                              <w:rPr>
                                <w:rFonts w:asciiTheme="majorHAnsi" w:hAnsiTheme="majorHAnsi"/>
                                <w:color w:val="595959" w:themeColor="text1" w:themeTint="A6"/>
                                <w:sz w:val="18"/>
                                <w:szCs w:val="18"/>
                                <w:lang w:val="pt-BR"/>
                              </w:rPr>
                              <w:t>/</w:t>
                            </w:r>
                            <w:r w:rsidR="00E55600" w:rsidRPr="0074612D">
                              <w:rPr>
                                <w:rFonts w:asciiTheme="majorHAnsi" w:hAnsiTheme="majorHAnsi"/>
                                <w:color w:val="595959" w:themeColor="text1" w:themeTint="A6"/>
                                <w:sz w:val="18"/>
                                <w:szCs w:val="18"/>
                                <w:lang w:val="pt-BR"/>
                              </w:rPr>
                              <w:t>20</w:t>
                            </w:r>
                            <w:r w:rsidR="007B05C4" w:rsidRPr="0074612D">
                              <w:rPr>
                                <w:rFonts w:asciiTheme="majorHAnsi" w:hAnsiTheme="majorHAnsi"/>
                                <w:color w:val="595959" w:themeColor="text1" w:themeTint="A6"/>
                                <w:sz w:val="18"/>
                                <w:szCs w:val="18"/>
                                <w:lang w:val="pt-BR"/>
                              </w:rPr>
                              <w:t>]</w:t>
                            </w:r>
                            <w:r w:rsidRPr="0074612D">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E55600">
                              <w:rPr>
                                <w:rFonts w:asciiTheme="majorHAnsi" w:hAnsiTheme="majorHAnsi"/>
                                <w:color w:val="595959" w:themeColor="text1" w:themeTint="A6"/>
                                <w:sz w:val="18"/>
                                <w:szCs w:val="18"/>
                                <w:lang w:val="es-ES"/>
                              </w:rPr>
                              <w:t>156</w:t>
                            </w:r>
                            <w:r w:rsidR="000433C9">
                              <w:rPr>
                                <w:rFonts w:asciiTheme="majorHAnsi" w:hAnsiTheme="majorHAnsi"/>
                                <w:color w:val="595959" w:themeColor="text1" w:themeTint="A6"/>
                                <w:sz w:val="18"/>
                                <w:szCs w:val="18"/>
                                <w:lang w:val="es-ES"/>
                              </w:rPr>
                              <w:t>-</w:t>
                            </w:r>
                            <w:r w:rsidR="00E55600">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D863A4">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E55600">
                              <w:rPr>
                                <w:rFonts w:asciiTheme="majorHAnsi" w:hAnsiTheme="majorHAnsi"/>
                                <w:color w:val="595959" w:themeColor="text1" w:themeTint="A6"/>
                                <w:sz w:val="18"/>
                                <w:szCs w:val="18"/>
                                <w:lang w:val="es-ES_tradnl"/>
                              </w:rPr>
                              <w:t>Luz Nidia Rubio de Gonzalez</w:t>
                            </w:r>
                            <w:r w:rsidRPr="00890650">
                              <w:rPr>
                                <w:rFonts w:asciiTheme="majorHAnsi" w:hAnsiTheme="majorHAnsi"/>
                                <w:color w:val="595959" w:themeColor="text1" w:themeTint="A6"/>
                                <w:sz w:val="18"/>
                                <w:szCs w:val="18"/>
                                <w:lang w:val="es-ES_tradnl"/>
                              </w:rPr>
                              <w:t xml:space="preserve">. </w:t>
                            </w:r>
                            <w:r w:rsidR="00E5560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4612D">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A75C1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336ED8B" w14:textId="700B7B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612D" w:rsidRPr="0074612D">
                        <w:rPr>
                          <w:rFonts w:asciiTheme="majorHAnsi" w:hAnsiTheme="majorHAnsi"/>
                          <w:color w:val="595959" w:themeColor="text1" w:themeTint="A6"/>
                          <w:sz w:val="18"/>
                          <w:szCs w:val="18"/>
                          <w:lang w:val="pt-BR"/>
                        </w:rPr>
                        <w:t>232</w:t>
                      </w:r>
                      <w:r w:rsidR="007B05C4" w:rsidRPr="0074612D">
                        <w:rPr>
                          <w:rFonts w:asciiTheme="majorHAnsi" w:hAnsiTheme="majorHAnsi"/>
                          <w:color w:val="595959" w:themeColor="text1" w:themeTint="A6"/>
                          <w:sz w:val="18"/>
                          <w:szCs w:val="18"/>
                          <w:lang w:val="pt-BR"/>
                        </w:rPr>
                        <w:t>/</w:t>
                      </w:r>
                      <w:r w:rsidR="00E55600" w:rsidRPr="0074612D">
                        <w:rPr>
                          <w:rFonts w:asciiTheme="majorHAnsi" w:hAnsiTheme="majorHAnsi"/>
                          <w:color w:val="595959" w:themeColor="text1" w:themeTint="A6"/>
                          <w:sz w:val="18"/>
                          <w:szCs w:val="18"/>
                          <w:lang w:val="pt-BR"/>
                        </w:rPr>
                        <w:t>20</w:t>
                      </w:r>
                      <w:r w:rsidR="007B05C4" w:rsidRPr="0074612D">
                        <w:rPr>
                          <w:rFonts w:asciiTheme="majorHAnsi" w:hAnsiTheme="majorHAnsi"/>
                          <w:color w:val="595959" w:themeColor="text1" w:themeTint="A6"/>
                          <w:sz w:val="18"/>
                          <w:szCs w:val="18"/>
                          <w:lang w:val="pt-BR"/>
                        </w:rPr>
                        <w:t>]</w:t>
                      </w:r>
                      <w:r w:rsidRPr="0074612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55600">
                        <w:rPr>
                          <w:rFonts w:asciiTheme="majorHAnsi" w:hAnsiTheme="majorHAnsi"/>
                          <w:color w:val="595959" w:themeColor="text1" w:themeTint="A6"/>
                          <w:sz w:val="18"/>
                          <w:szCs w:val="18"/>
                          <w:lang w:val="es-ES"/>
                        </w:rPr>
                        <w:t>156</w:t>
                      </w:r>
                      <w:r w:rsidR="000433C9">
                        <w:rPr>
                          <w:rFonts w:asciiTheme="majorHAnsi" w:hAnsiTheme="majorHAnsi"/>
                          <w:color w:val="595959" w:themeColor="text1" w:themeTint="A6"/>
                          <w:sz w:val="18"/>
                          <w:szCs w:val="18"/>
                          <w:lang w:val="es-ES"/>
                        </w:rPr>
                        <w:t>-</w:t>
                      </w:r>
                      <w:r w:rsidR="00E55600">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D863A4">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E55600">
                        <w:rPr>
                          <w:rFonts w:asciiTheme="majorHAnsi" w:hAnsiTheme="majorHAnsi"/>
                          <w:color w:val="595959" w:themeColor="text1" w:themeTint="A6"/>
                          <w:sz w:val="18"/>
                          <w:szCs w:val="18"/>
                          <w:lang w:val="es-ES_tradnl"/>
                        </w:rPr>
                        <w:t>Luz Nidia Rubio de Gonzalez</w:t>
                      </w:r>
                      <w:r w:rsidRPr="00890650">
                        <w:rPr>
                          <w:rFonts w:asciiTheme="majorHAnsi" w:hAnsiTheme="majorHAnsi"/>
                          <w:color w:val="595959" w:themeColor="text1" w:themeTint="A6"/>
                          <w:sz w:val="18"/>
                          <w:szCs w:val="18"/>
                          <w:lang w:val="es-ES_tradnl"/>
                        </w:rPr>
                        <w:t xml:space="preserve">. </w:t>
                      </w:r>
                      <w:r w:rsidR="00E55600">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4612D">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62CA82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F34C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A607A01" wp14:editId="023541F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61BD8" w14:textId="73DBCEE9" w:rsidR="00D72DC6" w:rsidRPr="00D72DC6" w:rsidRDefault="0025429E" w:rsidP="00F02AD1">
                            <w:pPr>
                              <w:rPr>
                                <w:color w:val="FFFFFF" w:themeColor="background1"/>
                                <w14:textFill>
                                  <w14:noFill/>
                                </w14:textFill>
                              </w:rPr>
                            </w:pPr>
                            <w:r>
                              <w:rPr>
                                <w:noProof/>
                                <w:color w:val="FFFFFF" w:themeColor="background1"/>
                              </w:rPr>
                              <w:drawing>
                                <wp:inline distT="0" distB="0" distL="0" distR="0" wp14:anchorId="529DB528" wp14:editId="073BAAC2">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07A0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9D61BD8" w14:textId="73DBCEE9" w:rsidR="00D72DC6" w:rsidRPr="00D72DC6" w:rsidRDefault="0025429E" w:rsidP="00F02AD1">
                      <w:pPr>
                        <w:rPr>
                          <w:color w:val="FFFFFF" w:themeColor="background1"/>
                          <w14:textFill>
                            <w14:noFill/>
                          </w14:textFill>
                        </w:rPr>
                      </w:pPr>
                      <w:r>
                        <w:rPr>
                          <w:noProof/>
                          <w:color w:val="FFFFFF" w:themeColor="background1"/>
                        </w:rPr>
                        <w:drawing>
                          <wp:inline distT="0" distB="0" distL="0" distR="0" wp14:anchorId="529DB528" wp14:editId="073BAAC2">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02FA2A0" wp14:editId="4E7EB96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9A48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2FA2A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7B9A48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9B7A724"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593F5AF"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774E9505" w14:textId="77777777" w:rsidTr="004A6A54">
        <w:tc>
          <w:tcPr>
            <w:tcW w:w="3600" w:type="dxa"/>
            <w:tcBorders>
              <w:top w:val="single" w:sz="4" w:space="0" w:color="auto"/>
              <w:bottom w:val="single" w:sz="6" w:space="0" w:color="auto"/>
            </w:tcBorders>
            <w:shd w:val="clear" w:color="auto" w:fill="386294"/>
            <w:vAlign w:val="center"/>
          </w:tcPr>
          <w:p w14:paraId="3844F9BD"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492DA638" w14:textId="77777777" w:rsidR="003239B8" w:rsidRPr="000D05CB" w:rsidRDefault="006543F3" w:rsidP="008D2290">
            <w:pPr>
              <w:jc w:val="both"/>
              <w:rPr>
                <w:rFonts w:ascii="Cambria" w:hAnsi="Cambria"/>
                <w:bCs/>
                <w:sz w:val="20"/>
                <w:szCs w:val="20"/>
              </w:rPr>
            </w:pPr>
            <w:r>
              <w:rPr>
                <w:rFonts w:ascii="Cambria" w:hAnsi="Cambria"/>
                <w:bCs/>
                <w:sz w:val="20"/>
                <w:szCs w:val="20"/>
              </w:rPr>
              <w:t>Oscar Garcia Parra</w:t>
            </w:r>
          </w:p>
        </w:tc>
      </w:tr>
      <w:tr w:rsidR="003239B8" w:rsidRPr="008F1524" w14:paraId="4C24A872" w14:textId="77777777" w:rsidTr="004A6A54">
        <w:tc>
          <w:tcPr>
            <w:tcW w:w="3600" w:type="dxa"/>
            <w:tcBorders>
              <w:top w:val="single" w:sz="6" w:space="0" w:color="auto"/>
              <w:bottom w:val="single" w:sz="6" w:space="0" w:color="auto"/>
            </w:tcBorders>
            <w:shd w:val="clear" w:color="auto" w:fill="386294"/>
            <w:vAlign w:val="center"/>
          </w:tcPr>
          <w:p w14:paraId="1CB7E97D" w14:textId="77777777" w:rsidR="003239B8" w:rsidRPr="000D05CB" w:rsidRDefault="00A81B2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56851FE0" w14:textId="77777777" w:rsidR="003239B8" w:rsidRPr="000D05CB" w:rsidRDefault="006543F3" w:rsidP="008D2290">
            <w:pPr>
              <w:jc w:val="both"/>
              <w:rPr>
                <w:rFonts w:ascii="Cambria" w:hAnsi="Cambria"/>
                <w:bCs/>
                <w:sz w:val="20"/>
                <w:szCs w:val="20"/>
                <w:lang w:val="es-ES"/>
              </w:rPr>
            </w:pPr>
            <w:r>
              <w:rPr>
                <w:rFonts w:ascii="Cambria" w:hAnsi="Cambria"/>
                <w:bCs/>
                <w:sz w:val="20"/>
                <w:szCs w:val="20"/>
                <w:lang w:val="es-ES"/>
              </w:rPr>
              <w:t>Luz Nidia Rubio de Gonzalez</w:t>
            </w:r>
          </w:p>
        </w:tc>
      </w:tr>
      <w:tr w:rsidR="003239B8" w14:paraId="28607B10" w14:textId="77777777" w:rsidTr="004A6A54">
        <w:tc>
          <w:tcPr>
            <w:tcW w:w="3600" w:type="dxa"/>
            <w:tcBorders>
              <w:top w:val="single" w:sz="6" w:space="0" w:color="auto"/>
              <w:bottom w:val="single" w:sz="6" w:space="0" w:color="auto"/>
            </w:tcBorders>
            <w:shd w:val="clear" w:color="auto" w:fill="386294"/>
            <w:vAlign w:val="center"/>
          </w:tcPr>
          <w:p w14:paraId="355EEF9D"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61B177B" w14:textId="565E3D36" w:rsidR="003239B8" w:rsidRPr="000D05CB" w:rsidRDefault="005D17A5" w:rsidP="008C26EB">
            <w:pPr>
              <w:jc w:val="both"/>
              <w:rPr>
                <w:rFonts w:ascii="Cambria" w:hAnsi="Cambria"/>
                <w:bCs/>
                <w:sz w:val="20"/>
                <w:szCs w:val="20"/>
              </w:rPr>
            </w:pPr>
            <w:r>
              <w:rPr>
                <w:rFonts w:ascii="Cambria" w:hAnsi="Cambria"/>
                <w:bCs/>
                <w:sz w:val="20"/>
                <w:szCs w:val="20"/>
              </w:rPr>
              <w:t>Colombia</w:t>
            </w:r>
          </w:p>
        </w:tc>
      </w:tr>
      <w:tr w:rsidR="00223A29" w:rsidRPr="008F1524" w14:paraId="3A49EFB9" w14:textId="77777777" w:rsidTr="004A6A54">
        <w:tc>
          <w:tcPr>
            <w:tcW w:w="3600" w:type="dxa"/>
            <w:tcBorders>
              <w:top w:val="single" w:sz="6" w:space="0" w:color="auto"/>
              <w:bottom w:val="single" w:sz="6" w:space="0" w:color="auto"/>
            </w:tcBorders>
            <w:shd w:val="clear" w:color="auto" w:fill="386294"/>
            <w:vAlign w:val="center"/>
          </w:tcPr>
          <w:p w14:paraId="185DE331"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4E18220" w14:textId="74E12D44" w:rsidR="0027241D" w:rsidRPr="00652A62" w:rsidRDefault="00ED28BB" w:rsidP="008D2290">
            <w:pPr>
              <w:jc w:val="both"/>
              <w:rPr>
                <w:rFonts w:ascii="Cambria" w:hAnsi="Cambria"/>
                <w:bCs/>
                <w:sz w:val="20"/>
                <w:szCs w:val="20"/>
                <w:lang w:val="es-PE"/>
              </w:rPr>
            </w:pPr>
            <w:r w:rsidRPr="00652A62">
              <w:rPr>
                <w:rFonts w:ascii="Cambria" w:hAnsi="Cambria"/>
                <w:bCs/>
                <w:sz w:val="20"/>
                <w:szCs w:val="20"/>
                <w:lang w:val="es-PE"/>
              </w:rPr>
              <w:t xml:space="preserve">Art. </w:t>
            </w:r>
            <w:r w:rsidR="00652A62" w:rsidRPr="00652A62">
              <w:rPr>
                <w:rFonts w:ascii="Cambria" w:hAnsi="Cambria"/>
                <w:bCs/>
                <w:sz w:val="20"/>
                <w:szCs w:val="20"/>
                <w:lang w:val="es-PE"/>
              </w:rPr>
              <w:t>8 (garantías judiciales</w:t>
            </w:r>
            <w:r w:rsidR="00964B34">
              <w:rPr>
                <w:rFonts w:ascii="Cambria" w:hAnsi="Cambria"/>
                <w:bCs/>
                <w:sz w:val="20"/>
                <w:szCs w:val="20"/>
                <w:lang w:val="es-PE"/>
              </w:rPr>
              <w:t>)</w:t>
            </w:r>
            <w:r w:rsidR="00652A62" w:rsidRPr="00652A62">
              <w:rPr>
                <w:rFonts w:ascii="Cambria" w:hAnsi="Cambria"/>
                <w:bCs/>
                <w:sz w:val="20"/>
                <w:szCs w:val="20"/>
                <w:lang w:val="es-PE"/>
              </w:rPr>
              <w:t xml:space="preserve"> y </w:t>
            </w:r>
            <w:r w:rsidR="00652A62">
              <w:rPr>
                <w:rFonts w:ascii="Cambria" w:hAnsi="Cambria"/>
                <w:bCs/>
                <w:sz w:val="20"/>
                <w:szCs w:val="20"/>
                <w:lang w:val="es-PE"/>
              </w:rPr>
              <w:t>25 (protección judicial) de la Convención Americana de Derechos Humanos</w:t>
            </w:r>
            <w:r w:rsidR="00E55600">
              <w:rPr>
                <w:rStyle w:val="FootnoteReference"/>
                <w:rFonts w:ascii="Cambria" w:hAnsi="Cambria"/>
                <w:bCs/>
                <w:sz w:val="20"/>
                <w:szCs w:val="20"/>
                <w:lang w:val="es-PE"/>
              </w:rPr>
              <w:footnoteReference w:id="2"/>
            </w:r>
            <w:r w:rsidR="00652A62">
              <w:rPr>
                <w:rFonts w:ascii="Cambria" w:hAnsi="Cambria"/>
                <w:bCs/>
                <w:sz w:val="20"/>
                <w:szCs w:val="20"/>
                <w:lang w:val="es-PE"/>
              </w:rPr>
              <w:t xml:space="preserve">. </w:t>
            </w:r>
          </w:p>
        </w:tc>
      </w:tr>
    </w:tbl>
    <w:p w14:paraId="417E6DD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60432EEC" w14:textId="77777777" w:rsidTr="004A6A54">
        <w:tc>
          <w:tcPr>
            <w:tcW w:w="3600" w:type="dxa"/>
            <w:tcBorders>
              <w:top w:val="single" w:sz="6" w:space="0" w:color="auto"/>
              <w:bottom w:val="single" w:sz="6" w:space="0" w:color="auto"/>
            </w:tcBorders>
            <w:shd w:val="clear" w:color="auto" w:fill="386294"/>
            <w:vAlign w:val="center"/>
          </w:tcPr>
          <w:p w14:paraId="2A489E95"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3EF88CED" w14:textId="77777777" w:rsidR="004C2312" w:rsidRPr="003239B8" w:rsidRDefault="00593C57" w:rsidP="00696347">
            <w:pPr>
              <w:jc w:val="both"/>
              <w:rPr>
                <w:rFonts w:ascii="Cambria" w:hAnsi="Cambria"/>
                <w:bCs/>
                <w:sz w:val="20"/>
                <w:szCs w:val="20"/>
                <w:lang w:val="es-ES"/>
              </w:rPr>
            </w:pPr>
            <w:r>
              <w:rPr>
                <w:rFonts w:ascii="Cambria" w:hAnsi="Cambria"/>
                <w:bCs/>
                <w:sz w:val="20"/>
                <w:szCs w:val="20"/>
                <w:lang w:val="es-ES"/>
              </w:rPr>
              <w:t>9 de febrero de 2011</w:t>
            </w:r>
          </w:p>
        </w:tc>
      </w:tr>
      <w:tr w:rsidR="004C2312" w:rsidRPr="00593C57" w14:paraId="58BECF7B" w14:textId="77777777" w:rsidTr="004A6A54">
        <w:tc>
          <w:tcPr>
            <w:tcW w:w="3600" w:type="dxa"/>
            <w:tcBorders>
              <w:top w:val="single" w:sz="6" w:space="0" w:color="auto"/>
              <w:bottom w:val="single" w:sz="6" w:space="0" w:color="auto"/>
            </w:tcBorders>
            <w:shd w:val="clear" w:color="auto" w:fill="386294"/>
            <w:vAlign w:val="center"/>
          </w:tcPr>
          <w:p w14:paraId="0C6BF0E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4046C63" w14:textId="77777777" w:rsidR="004C2312" w:rsidRPr="003239B8" w:rsidRDefault="00EB77CF" w:rsidP="008D2290">
            <w:pPr>
              <w:jc w:val="both"/>
              <w:rPr>
                <w:rFonts w:ascii="Cambria" w:hAnsi="Cambria"/>
                <w:bCs/>
                <w:sz w:val="20"/>
                <w:szCs w:val="20"/>
                <w:lang w:val="es-ES"/>
              </w:rPr>
            </w:pPr>
            <w:r>
              <w:rPr>
                <w:rFonts w:ascii="Cambria" w:hAnsi="Cambria"/>
                <w:bCs/>
                <w:sz w:val="20"/>
                <w:szCs w:val="20"/>
                <w:lang w:val="es-ES"/>
              </w:rPr>
              <w:t>22 de junio de 2016</w:t>
            </w:r>
          </w:p>
        </w:tc>
      </w:tr>
      <w:tr w:rsidR="004C2312" w:rsidRPr="00E55600" w14:paraId="5E3C59FA" w14:textId="77777777" w:rsidTr="004A6A54">
        <w:tc>
          <w:tcPr>
            <w:tcW w:w="3600" w:type="dxa"/>
            <w:tcBorders>
              <w:top w:val="single" w:sz="6" w:space="0" w:color="auto"/>
              <w:bottom w:val="single" w:sz="6" w:space="0" w:color="auto"/>
            </w:tcBorders>
            <w:shd w:val="clear" w:color="auto" w:fill="386294"/>
            <w:vAlign w:val="center"/>
          </w:tcPr>
          <w:p w14:paraId="2B2A8065"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88C6CF3" w14:textId="77777777" w:rsidR="004C2312" w:rsidRPr="003239B8" w:rsidRDefault="0050430F" w:rsidP="00E55600">
            <w:pPr>
              <w:jc w:val="both"/>
              <w:rPr>
                <w:rFonts w:ascii="Cambria" w:hAnsi="Cambria"/>
                <w:bCs/>
                <w:sz w:val="20"/>
                <w:szCs w:val="20"/>
                <w:lang w:val="es-ES"/>
              </w:rPr>
            </w:pPr>
            <w:r>
              <w:rPr>
                <w:rFonts w:ascii="Cambria" w:hAnsi="Cambria"/>
                <w:bCs/>
                <w:sz w:val="20"/>
                <w:szCs w:val="20"/>
                <w:lang w:val="es-ES"/>
              </w:rPr>
              <w:t>18 de enero de 2018</w:t>
            </w:r>
            <w:r w:rsidR="00B34848">
              <w:rPr>
                <w:rFonts w:ascii="Cambria" w:hAnsi="Cambria"/>
                <w:bCs/>
                <w:sz w:val="20"/>
                <w:szCs w:val="20"/>
                <w:lang w:val="es-ES"/>
              </w:rPr>
              <w:t xml:space="preserve"> </w:t>
            </w:r>
          </w:p>
        </w:tc>
      </w:tr>
      <w:tr w:rsidR="004C2312" w:rsidRPr="00E55600" w14:paraId="6371B4FA" w14:textId="77777777" w:rsidTr="004A6A54">
        <w:tc>
          <w:tcPr>
            <w:tcW w:w="3600" w:type="dxa"/>
            <w:tcBorders>
              <w:top w:val="single" w:sz="6" w:space="0" w:color="auto"/>
              <w:bottom w:val="single" w:sz="6" w:space="0" w:color="auto"/>
            </w:tcBorders>
            <w:shd w:val="clear" w:color="auto" w:fill="386294"/>
            <w:vAlign w:val="center"/>
          </w:tcPr>
          <w:p w14:paraId="4C54B26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84CC014" w14:textId="77777777" w:rsidR="004C2312" w:rsidRPr="003239B8" w:rsidRDefault="00B34848" w:rsidP="008D2290">
            <w:pPr>
              <w:jc w:val="both"/>
              <w:rPr>
                <w:rFonts w:ascii="Cambria" w:hAnsi="Cambria"/>
                <w:bCs/>
                <w:sz w:val="20"/>
                <w:szCs w:val="20"/>
                <w:lang w:val="es-ES"/>
              </w:rPr>
            </w:pPr>
            <w:r>
              <w:rPr>
                <w:rFonts w:ascii="Cambria" w:hAnsi="Cambria"/>
                <w:bCs/>
                <w:sz w:val="20"/>
                <w:szCs w:val="20"/>
                <w:lang w:val="es-ES"/>
              </w:rPr>
              <w:t>20 de febrero de 2018</w:t>
            </w:r>
          </w:p>
        </w:tc>
      </w:tr>
      <w:tr w:rsidR="004C2312" w:rsidRPr="005A282F" w14:paraId="4727DC8E" w14:textId="77777777" w:rsidTr="004A6A54">
        <w:tc>
          <w:tcPr>
            <w:tcW w:w="3600" w:type="dxa"/>
            <w:tcBorders>
              <w:top w:val="single" w:sz="6" w:space="0" w:color="auto"/>
              <w:bottom w:val="single" w:sz="6" w:space="0" w:color="auto"/>
            </w:tcBorders>
            <w:shd w:val="clear" w:color="auto" w:fill="386294"/>
            <w:vAlign w:val="center"/>
          </w:tcPr>
          <w:p w14:paraId="1C38C260"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48859166" w14:textId="77777777" w:rsidR="004C2312" w:rsidRPr="005A282F" w:rsidRDefault="00E55600" w:rsidP="008D2290">
            <w:pPr>
              <w:jc w:val="both"/>
              <w:rPr>
                <w:rFonts w:ascii="Cambria" w:hAnsi="Cambria"/>
                <w:bCs/>
                <w:sz w:val="20"/>
                <w:szCs w:val="20"/>
                <w:lang w:val="es-PE"/>
              </w:rPr>
            </w:pPr>
            <w:r>
              <w:rPr>
                <w:rFonts w:ascii="Cambria" w:hAnsi="Cambria"/>
                <w:bCs/>
                <w:sz w:val="20"/>
                <w:szCs w:val="20"/>
                <w:lang w:val="es-ES"/>
              </w:rPr>
              <w:t>24 de agosto de 2018</w:t>
            </w:r>
          </w:p>
        </w:tc>
      </w:tr>
    </w:tbl>
    <w:p w14:paraId="5F452001"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3C85918" w14:textId="77777777" w:rsidTr="004A6A54">
        <w:trPr>
          <w:cantSplit/>
        </w:trPr>
        <w:tc>
          <w:tcPr>
            <w:tcW w:w="3600" w:type="dxa"/>
            <w:tcBorders>
              <w:top w:val="single" w:sz="4" w:space="0" w:color="auto"/>
              <w:bottom w:val="single" w:sz="6" w:space="0" w:color="auto"/>
            </w:tcBorders>
            <w:shd w:val="clear" w:color="auto" w:fill="386294"/>
            <w:vAlign w:val="center"/>
          </w:tcPr>
          <w:p w14:paraId="79E9C032"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77F2558" w14:textId="77777777" w:rsidR="003239B8" w:rsidRPr="00B3745F" w:rsidRDefault="0080139F" w:rsidP="008D2290">
            <w:pPr>
              <w:rPr>
                <w:rFonts w:ascii="Cambria" w:hAnsi="Cambria"/>
                <w:bCs/>
                <w:sz w:val="20"/>
                <w:szCs w:val="20"/>
              </w:rPr>
            </w:pPr>
            <w:r>
              <w:rPr>
                <w:rFonts w:ascii="Cambria" w:hAnsi="Cambria"/>
                <w:bCs/>
                <w:sz w:val="20"/>
                <w:szCs w:val="20"/>
              </w:rPr>
              <w:t>Sí</w:t>
            </w:r>
          </w:p>
        </w:tc>
      </w:tr>
      <w:tr w:rsidR="003239B8" w:rsidRPr="00540F17" w14:paraId="29815E66" w14:textId="77777777" w:rsidTr="004A6A54">
        <w:trPr>
          <w:cantSplit/>
        </w:trPr>
        <w:tc>
          <w:tcPr>
            <w:tcW w:w="3600" w:type="dxa"/>
            <w:tcBorders>
              <w:top w:val="single" w:sz="6" w:space="0" w:color="auto"/>
              <w:bottom w:val="single" w:sz="6" w:space="0" w:color="auto"/>
            </w:tcBorders>
            <w:shd w:val="clear" w:color="auto" w:fill="386294"/>
            <w:vAlign w:val="center"/>
          </w:tcPr>
          <w:p w14:paraId="380EA31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2492A99B" w14:textId="77777777" w:rsidR="003239B8" w:rsidRPr="00B3745F" w:rsidRDefault="0080139F" w:rsidP="008D2290">
            <w:pPr>
              <w:rPr>
                <w:rFonts w:ascii="Cambria" w:hAnsi="Cambria"/>
                <w:bCs/>
                <w:sz w:val="20"/>
                <w:szCs w:val="20"/>
              </w:rPr>
            </w:pPr>
            <w:r>
              <w:rPr>
                <w:rFonts w:ascii="Cambria" w:hAnsi="Cambria"/>
                <w:bCs/>
                <w:sz w:val="20"/>
                <w:szCs w:val="20"/>
              </w:rPr>
              <w:t>Sí</w:t>
            </w:r>
          </w:p>
        </w:tc>
      </w:tr>
      <w:tr w:rsidR="003239B8" w:rsidRPr="00540F17" w14:paraId="554070F4" w14:textId="77777777" w:rsidTr="004A6A54">
        <w:trPr>
          <w:cantSplit/>
        </w:trPr>
        <w:tc>
          <w:tcPr>
            <w:tcW w:w="3600" w:type="dxa"/>
            <w:tcBorders>
              <w:top w:val="single" w:sz="6" w:space="0" w:color="auto"/>
              <w:bottom w:val="single" w:sz="6" w:space="0" w:color="auto"/>
            </w:tcBorders>
            <w:shd w:val="clear" w:color="auto" w:fill="386294"/>
            <w:vAlign w:val="center"/>
          </w:tcPr>
          <w:p w14:paraId="630F46A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C160EBE" w14:textId="77777777" w:rsidR="003239B8" w:rsidRPr="00B3745F" w:rsidRDefault="0080139F" w:rsidP="008D2290">
            <w:pPr>
              <w:rPr>
                <w:rFonts w:ascii="Cambria" w:hAnsi="Cambria"/>
                <w:bCs/>
                <w:sz w:val="20"/>
                <w:szCs w:val="20"/>
              </w:rPr>
            </w:pPr>
            <w:r>
              <w:rPr>
                <w:rFonts w:ascii="Cambria" w:hAnsi="Cambria"/>
                <w:bCs/>
                <w:sz w:val="20"/>
                <w:szCs w:val="20"/>
              </w:rPr>
              <w:t>Sí</w:t>
            </w:r>
          </w:p>
        </w:tc>
      </w:tr>
      <w:tr w:rsidR="003239B8" w:rsidRPr="008F1524" w14:paraId="00B4C5D2" w14:textId="77777777" w:rsidTr="004A6A54">
        <w:trPr>
          <w:cantSplit/>
        </w:trPr>
        <w:tc>
          <w:tcPr>
            <w:tcW w:w="3600" w:type="dxa"/>
            <w:tcBorders>
              <w:top w:val="single" w:sz="6" w:space="0" w:color="auto"/>
              <w:bottom w:val="single" w:sz="6" w:space="0" w:color="auto"/>
            </w:tcBorders>
            <w:shd w:val="clear" w:color="auto" w:fill="386294"/>
            <w:vAlign w:val="center"/>
          </w:tcPr>
          <w:p w14:paraId="243A29F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6669B795" w14:textId="77777777" w:rsidR="003239B8" w:rsidRPr="00E55600" w:rsidRDefault="0080139F" w:rsidP="00806B53">
            <w:pPr>
              <w:jc w:val="both"/>
              <w:rPr>
                <w:rFonts w:asciiTheme="majorHAnsi" w:hAnsiTheme="majorHAnsi"/>
                <w:bCs/>
                <w:sz w:val="20"/>
                <w:szCs w:val="20"/>
                <w:lang w:val="es-ES"/>
              </w:rPr>
            </w:pPr>
            <w:r>
              <w:rPr>
                <w:rFonts w:ascii="Cambria" w:hAnsi="Cambria"/>
                <w:bCs/>
                <w:sz w:val="20"/>
                <w:szCs w:val="20"/>
                <w:lang w:val="es-ES"/>
              </w:rPr>
              <w:t>Sí</w:t>
            </w:r>
            <w:r w:rsidR="00E55600">
              <w:rPr>
                <w:rFonts w:ascii="Cambria" w:hAnsi="Cambria"/>
                <w:bCs/>
                <w:sz w:val="20"/>
                <w:szCs w:val="20"/>
                <w:lang w:val="es-ES"/>
              </w:rPr>
              <w:t xml:space="preserve">, </w:t>
            </w:r>
            <w:r w:rsidR="00E55600" w:rsidRPr="00896F1A">
              <w:rPr>
                <w:rFonts w:asciiTheme="majorHAnsi" w:hAnsiTheme="majorHAnsi"/>
                <w:bCs/>
                <w:sz w:val="20"/>
                <w:szCs w:val="20"/>
                <w:lang w:val="es-ES"/>
              </w:rPr>
              <w:t xml:space="preserve"> Convención Americana (depósito del instrumento realizado el</w:t>
            </w:r>
            <w:r w:rsidR="00E55600">
              <w:rPr>
                <w:rFonts w:asciiTheme="majorHAnsi" w:hAnsiTheme="majorHAnsi"/>
                <w:bCs/>
                <w:sz w:val="20"/>
                <w:szCs w:val="20"/>
                <w:lang w:val="es-ES"/>
              </w:rPr>
              <w:t xml:space="preserve"> </w:t>
            </w:r>
            <w:r w:rsidR="00E55600" w:rsidRPr="00896F1A">
              <w:rPr>
                <w:rFonts w:asciiTheme="majorHAnsi" w:hAnsiTheme="majorHAnsi"/>
                <w:bCs/>
                <w:sz w:val="20"/>
                <w:szCs w:val="20"/>
                <w:lang w:val="es-ES"/>
              </w:rPr>
              <w:t>31 de julio de 1973)</w:t>
            </w:r>
          </w:p>
        </w:tc>
      </w:tr>
    </w:tbl>
    <w:p w14:paraId="3215B1FA" w14:textId="0821294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8C26EB" w:rsidRPr="003239B8">
        <w:rPr>
          <w:rFonts w:asciiTheme="majorHAnsi" w:hAnsiTheme="majorHAnsi"/>
          <w:b/>
          <w:bCs/>
          <w:sz w:val="20"/>
          <w:szCs w:val="20"/>
          <w:lang w:val="es-ES"/>
        </w:rPr>
        <w:t>INTERNACIONAL</w:t>
      </w:r>
      <w:r w:rsidR="008C26EB">
        <w:rPr>
          <w:rFonts w:asciiTheme="majorHAnsi" w:hAnsiTheme="majorHAnsi"/>
          <w:b/>
          <w:bCs/>
          <w:sz w:val="20"/>
          <w:szCs w:val="20"/>
          <w:lang w:val="es-ES"/>
        </w:rPr>
        <w:t xml:space="preserve">, </w:t>
      </w:r>
      <w:r w:rsidR="008C26EB"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5D17A5" w14:paraId="386B2A61" w14:textId="77777777" w:rsidTr="004A6A54">
        <w:trPr>
          <w:cantSplit/>
        </w:trPr>
        <w:tc>
          <w:tcPr>
            <w:tcW w:w="3600" w:type="dxa"/>
            <w:tcBorders>
              <w:top w:val="single" w:sz="4" w:space="0" w:color="auto"/>
              <w:bottom w:val="single" w:sz="6" w:space="0" w:color="auto"/>
            </w:tcBorders>
            <w:shd w:val="clear" w:color="auto" w:fill="386294"/>
            <w:vAlign w:val="center"/>
          </w:tcPr>
          <w:p w14:paraId="05598F81"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7E2F202" w14:textId="77777777" w:rsidR="00EE00E9" w:rsidRPr="00DC24E3" w:rsidRDefault="0053792D" w:rsidP="008D2290">
            <w:pPr>
              <w:jc w:val="both"/>
              <w:rPr>
                <w:rFonts w:ascii="Cambria" w:hAnsi="Cambria"/>
                <w:bCs/>
                <w:sz w:val="20"/>
                <w:szCs w:val="20"/>
                <w:lang w:val="es-ES"/>
              </w:rPr>
            </w:pPr>
            <w:r>
              <w:rPr>
                <w:rFonts w:ascii="Cambria" w:hAnsi="Cambria"/>
                <w:bCs/>
                <w:sz w:val="20"/>
                <w:szCs w:val="20"/>
                <w:lang w:val="es-ES"/>
              </w:rPr>
              <w:t>No</w:t>
            </w:r>
          </w:p>
        </w:tc>
      </w:tr>
      <w:tr w:rsidR="003239B8" w:rsidRPr="00696347" w14:paraId="01C78F59" w14:textId="77777777" w:rsidTr="004A6A54">
        <w:trPr>
          <w:cantSplit/>
        </w:trPr>
        <w:tc>
          <w:tcPr>
            <w:tcW w:w="3600" w:type="dxa"/>
            <w:tcBorders>
              <w:top w:val="single" w:sz="4" w:space="0" w:color="auto"/>
              <w:bottom w:val="single" w:sz="6" w:space="0" w:color="auto"/>
            </w:tcBorders>
            <w:shd w:val="clear" w:color="auto" w:fill="386294"/>
            <w:vAlign w:val="center"/>
          </w:tcPr>
          <w:p w14:paraId="02459FC3" w14:textId="77777777" w:rsidR="003239B8" w:rsidRPr="00444409" w:rsidRDefault="003239B8" w:rsidP="008D2290">
            <w:pPr>
              <w:jc w:val="center"/>
              <w:rPr>
                <w:rFonts w:ascii="Cambria" w:hAnsi="Cambria"/>
                <w:b/>
                <w:bCs/>
                <w:i/>
                <w:color w:val="FFFFFF" w:themeColor="background1"/>
                <w:sz w:val="20"/>
                <w:szCs w:val="20"/>
              </w:rPr>
            </w:pPr>
            <w:r w:rsidRPr="00444409">
              <w:rPr>
                <w:rFonts w:ascii="Cambria" w:hAnsi="Cambria"/>
                <w:b/>
                <w:bCs/>
                <w:color w:val="FFFFFF" w:themeColor="background1"/>
                <w:sz w:val="20"/>
                <w:szCs w:val="20"/>
              </w:rPr>
              <w:t>Derechos declarados admisibles</w:t>
            </w:r>
            <w:r w:rsidRPr="00444409">
              <w:rPr>
                <w:rFonts w:ascii="Cambria" w:hAnsi="Cambria"/>
                <w:b/>
                <w:bCs/>
                <w:i/>
                <w:color w:val="FFFFFF" w:themeColor="background1"/>
                <w:sz w:val="20"/>
                <w:szCs w:val="20"/>
              </w:rPr>
              <w:t>:</w:t>
            </w:r>
          </w:p>
        </w:tc>
        <w:tc>
          <w:tcPr>
            <w:tcW w:w="5760" w:type="dxa"/>
            <w:vAlign w:val="center"/>
          </w:tcPr>
          <w:p w14:paraId="440EAB1F" w14:textId="1A21EB1E" w:rsidR="003239B8" w:rsidRPr="00444409" w:rsidRDefault="00FF2352" w:rsidP="00696347">
            <w:pPr>
              <w:jc w:val="both"/>
              <w:rPr>
                <w:rFonts w:ascii="Cambria" w:hAnsi="Cambria"/>
                <w:bCs/>
                <w:sz w:val="20"/>
                <w:szCs w:val="20"/>
                <w:lang w:val="es-PA"/>
              </w:rPr>
            </w:pPr>
            <w:r w:rsidRPr="00444409">
              <w:rPr>
                <w:rFonts w:ascii="Cambria" w:hAnsi="Cambria"/>
                <w:bCs/>
                <w:sz w:val="20"/>
                <w:szCs w:val="20"/>
                <w:lang w:val="es-PA"/>
              </w:rPr>
              <w:t>Ninguno</w:t>
            </w:r>
          </w:p>
        </w:tc>
      </w:tr>
      <w:tr w:rsidR="003239B8" w:rsidRPr="00696347" w14:paraId="0EBCFD9A" w14:textId="77777777" w:rsidTr="004A6A54">
        <w:trPr>
          <w:cantSplit/>
        </w:trPr>
        <w:tc>
          <w:tcPr>
            <w:tcW w:w="3600" w:type="dxa"/>
            <w:tcBorders>
              <w:top w:val="single" w:sz="6" w:space="0" w:color="auto"/>
              <w:bottom w:val="single" w:sz="6" w:space="0" w:color="auto"/>
            </w:tcBorders>
            <w:shd w:val="clear" w:color="auto" w:fill="386294"/>
            <w:vAlign w:val="center"/>
          </w:tcPr>
          <w:p w14:paraId="5FD2ED99"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39F1DD21" w14:textId="77777777" w:rsidR="003239B8" w:rsidRPr="00DC24E3" w:rsidRDefault="00806B53" w:rsidP="008D2290">
            <w:pPr>
              <w:rPr>
                <w:rFonts w:ascii="Cambria" w:hAnsi="Cambria"/>
                <w:bCs/>
                <w:sz w:val="20"/>
                <w:szCs w:val="20"/>
                <w:lang w:val="es-ES"/>
              </w:rPr>
            </w:pPr>
            <w:r>
              <w:rPr>
                <w:rFonts w:ascii="Cambria" w:hAnsi="Cambria"/>
                <w:bCs/>
                <w:sz w:val="20"/>
                <w:szCs w:val="20"/>
                <w:lang w:val="es-ES"/>
              </w:rPr>
              <w:t>Sí, 27 de agosto de 2010</w:t>
            </w:r>
          </w:p>
        </w:tc>
      </w:tr>
      <w:tr w:rsidR="003239B8" w:rsidRPr="00696347" w14:paraId="747724E1" w14:textId="77777777" w:rsidTr="004A6A54">
        <w:trPr>
          <w:cantSplit/>
        </w:trPr>
        <w:tc>
          <w:tcPr>
            <w:tcW w:w="3600" w:type="dxa"/>
            <w:tcBorders>
              <w:top w:val="single" w:sz="6" w:space="0" w:color="auto"/>
              <w:bottom w:val="single" w:sz="6" w:space="0" w:color="auto"/>
            </w:tcBorders>
            <w:shd w:val="clear" w:color="auto" w:fill="386294"/>
            <w:vAlign w:val="center"/>
          </w:tcPr>
          <w:p w14:paraId="0359C2C8" w14:textId="77777777" w:rsidR="003239B8" w:rsidRPr="00696347" w:rsidRDefault="003239B8" w:rsidP="008D2290">
            <w:pPr>
              <w:jc w:val="center"/>
              <w:rPr>
                <w:rFonts w:ascii="Cambria" w:hAnsi="Cambria"/>
                <w:b/>
                <w:bCs/>
                <w:color w:val="FFFFFF" w:themeColor="background1"/>
                <w:sz w:val="20"/>
                <w:szCs w:val="20"/>
                <w:lang w:val="es-PA"/>
              </w:rPr>
            </w:pPr>
            <w:r w:rsidRPr="00696347">
              <w:rPr>
                <w:rFonts w:ascii="Cambria" w:hAnsi="Cambria"/>
                <w:b/>
                <w:bCs/>
                <w:color w:val="FFFFFF" w:themeColor="background1"/>
                <w:sz w:val="20"/>
                <w:szCs w:val="20"/>
                <w:lang w:val="es-PA"/>
              </w:rPr>
              <w:t>Presentación dentro de plazo:</w:t>
            </w:r>
          </w:p>
        </w:tc>
        <w:tc>
          <w:tcPr>
            <w:tcW w:w="5760" w:type="dxa"/>
            <w:vAlign w:val="center"/>
          </w:tcPr>
          <w:p w14:paraId="25923139" w14:textId="77777777" w:rsidR="003239B8" w:rsidRPr="00696347" w:rsidRDefault="00806B53" w:rsidP="008D2290">
            <w:pPr>
              <w:rPr>
                <w:rFonts w:ascii="Cambria" w:hAnsi="Cambria"/>
                <w:bCs/>
                <w:sz w:val="20"/>
                <w:szCs w:val="20"/>
                <w:lang w:val="es-PA"/>
              </w:rPr>
            </w:pPr>
            <w:r>
              <w:rPr>
                <w:rFonts w:ascii="Cambria" w:hAnsi="Cambria"/>
                <w:bCs/>
                <w:sz w:val="20"/>
                <w:szCs w:val="20"/>
                <w:lang w:val="es-PA"/>
              </w:rPr>
              <w:t>Sí, 9 de febrero de 2011</w:t>
            </w:r>
          </w:p>
        </w:tc>
      </w:tr>
    </w:tbl>
    <w:p w14:paraId="19CECF64"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DF6E85A" w14:textId="77777777" w:rsidR="00806B53" w:rsidRDefault="009630F1" w:rsidP="00D44C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Oscar Garcia Parra (en adelante “el peticionario”) denuncia</w:t>
      </w:r>
      <w:r w:rsidR="0004076B">
        <w:rPr>
          <w:sz w:val="20"/>
          <w:szCs w:val="20"/>
          <w:lang w:val="es-AR"/>
        </w:rPr>
        <w:t xml:space="preserve"> la afectación de los derechos a las garantías judiciales y protección judicial de la señora Luz Nidia Rubio de González (en adelante </w:t>
      </w:r>
      <w:r>
        <w:rPr>
          <w:sz w:val="20"/>
          <w:szCs w:val="20"/>
          <w:lang w:val="es-AR"/>
        </w:rPr>
        <w:t>“</w:t>
      </w:r>
      <w:r w:rsidR="0004076B">
        <w:rPr>
          <w:sz w:val="20"/>
          <w:szCs w:val="20"/>
          <w:lang w:val="es-AR"/>
        </w:rPr>
        <w:t>la presunta víctima</w:t>
      </w:r>
      <w:r>
        <w:rPr>
          <w:sz w:val="20"/>
          <w:szCs w:val="20"/>
          <w:lang w:val="es-AR"/>
        </w:rPr>
        <w:t>”</w:t>
      </w:r>
      <w:r w:rsidR="0004076B">
        <w:rPr>
          <w:sz w:val="20"/>
          <w:szCs w:val="20"/>
          <w:lang w:val="es-AR"/>
        </w:rPr>
        <w:t>)</w:t>
      </w:r>
      <w:r w:rsidR="00806B53">
        <w:rPr>
          <w:sz w:val="20"/>
          <w:szCs w:val="20"/>
          <w:lang w:val="es-AR"/>
        </w:rPr>
        <w:t xml:space="preserve"> alegando que esta </w:t>
      </w:r>
      <w:r w:rsidR="004C39F5">
        <w:rPr>
          <w:sz w:val="20"/>
          <w:szCs w:val="20"/>
          <w:lang w:val="es-AR"/>
        </w:rPr>
        <w:t>fue beneficiada por</w:t>
      </w:r>
      <w:r w:rsidR="00806B53">
        <w:rPr>
          <w:sz w:val="20"/>
          <w:szCs w:val="20"/>
          <w:lang w:val="es-AR"/>
        </w:rPr>
        <w:t xml:space="preserve"> una sentencia judicial con </w:t>
      </w:r>
      <w:r w:rsidR="004C39F5">
        <w:rPr>
          <w:sz w:val="20"/>
          <w:szCs w:val="20"/>
          <w:lang w:val="es-AR"/>
        </w:rPr>
        <w:t>grado</w:t>
      </w:r>
      <w:r w:rsidR="00806B53">
        <w:rPr>
          <w:sz w:val="20"/>
          <w:szCs w:val="20"/>
          <w:lang w:val="es-AR"/>
        </w:rPr>
        <w:t xml:space="preserve"> de cosa </w:t>
      </w:r>
      <w:r w:rsidR="004C39F5">
        <w:rPr>
          <w:sz w:val="20"/>
          <w:szCs w:val="20"/>
          <w:lang w:val="es-AR"/>
        </w:rPr>
        <w:t xml:space="preserve">juzgada la que no ha sido cumplida a cabalidad, rehusándose las autoridades judiciales a requerir su plena ejecución. </w:t>
      </w:r>
    </w:p>
    <w:p w14:paraId="743C80EF" w14:textId="77777777" w:rsidR="004C39F5" w:rsidRDefault="004C39F5" w:rsidP="00D44C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El peticionario relata que la presunta víctima </w:t>
      </w:r>
      <w:r w:rsidR="0067684C">
        <w:rPr>
          <w:sz w:val="20"/>
          <w:szCs w:val="20"/>
          <w:lang w:val="es-AR"/>
        </w:rPr>
        <w:t xml:space="preserve">era titular de una pensión de sobreviviente y que esta presentó una demanda de nulidad y restablecimiento del derecho ante el Tribunal Contencioso Administrativo del Cauca con el objeto de que se ordenara a la Nación-Ministerio de Defensa-Policía Nacional que le reconociera y pagara una prima de actualización a la que tiene derecho, así como que realizaran el reajuste de la sustitución. Indica que el 22 de junio de 2004 el tribunal emitió una sentencia favorable a las pretensiones de la presunta víctima la cual quedó ejecutoriada el 22 de julio de 2004 adquiriendo la calidad de cosa juzgada. </w:t>
      </w:r>
      <w:r w:rsidR="00EE2FFB">
        <w:rPr>
          <w:sz w:val="20"/>
          <w:szCs w:val="20"/>
          <w:lang w:val="es-AR"/>
        </w:rPr>
        <w:t xml:space="preserve">Denuncia que esta sentencia no ha sido cumplida en lo relativo a su punto tercero, el cual dispuso “Ordénase a la Nación-Ministerio de Defensa-Policía Nacional, que los reajustes anuales de ley, de la citada </w:t>
      </w:r>
      <w:r w:rsidR="00EE2FFB">
        <w:rPr>
          <w:sz w:val="20"/>
          <w:szCs w:val="20"/>
          <w:lang w:val="es-AR"/>
        </w:rPr>
        <w:lastRenderedPageBreak/>
        <w:t>asignación mensual, a partir del año 1996 se deben liquidar teniendo en cuenta la base prestacional que resulta de aplicar hasta ese año, la prima de actualización prevista en los Decretos 335 de 1992, 25 de 1993</w:t>
      </w:r>
      <w:r w:rsidR="00384AFA">
        <w:rPr>
          <w:sz w:val="20"/>
          <w:szCs w:val="20"/>
          <w:lang w:val="es-AR"/>
        </w:rPr>
        <w:t>,</w:t>
      </w:r>
      <w:r w:rsidR="00EE2FFB">
        <w:rPr>
          <w:sz w:val="20"/>
          <w:szCs w:val="20"/>
          <w:lang w:val="es-AR"/>
        </w:rPr>
        <w:t xml:space="preserve"> 65 de 1994 y 133 de 1995”</w:t>
      </w:r>
      <w:r w:rsidR="00490587">
        <w:rPr>
          <w:sz w:val="20"/>
          <w:szCs w:val="20"/>
          <w:lang w:val="es-AR"/>
        </w:rPr>
        <w:t>.</w:t>
      </w:r>
    </w:p>
    <w:p w14:paraId="502B5286" w14:textId="77777777" w:rsidR="007E479D" w:rsidRDefault="00EE2FFB" w:rsidP="00D44C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Continúa relatando que</w:t>
      </w:r>
      <w:r w:rsidR="00384AFA">
        <w:rPr>
          <w:sz w:val="20"/>
          <w:szCs w:val="20"/>
          <w:lang w:val="es-AR"/>
        </w:rPr>
        <w:t>,</w:t>
      </w:r>
      <w:r>
        <w:rPr>
          <w:sz w:val="20"/>
          <w:szCs w:val="20"/>
          <w:lang w:val="es-AR"/>
        </w:rPr>
        <w:t xml:space="preserve"> transcurrido del plazo legal de 18 meses </w:t>
      </w:r>
      <w:r w:rsidR="00384AFA">
        <w:rPr>
          <w:sz w:val="20"/>
          <w:szCs w:val="20"/>
          <w:lang w:val="es-AR"/>
        </w:rPr>
        <w:t>sin que se diera cumplimiento a</w:t>
      </w:r>
      <w:r>
        <w:rPr>
          <w:sz w:val="20"/>
          <w:szCs w:val="20"/>
          <w:lang w:val="es-AR"/>
        </w:rPr>
        <w:t>l</w:t>
      </w:r>
      <w:r w:rsidR="00384AFA">
        <w:rPr>
          <w:sz w:val="20"/>
          <w:szCs w:val="20"/>
          <w:lang w:val="es-AR"/>
        </w:rPr>
        <w:t xml:space="preserve"> punto tercero de l</w:t>
      </w:r>
      <w:r>
        <w:rPr>
          <w:sz w:val="20"/>
          <w:szCs w:val="20"/>
          <w:lang w:val="es-AR"/>
        </w:rPr>
        <w:t>a sentencia</w:t>
      </w:r>
      <w:r w:rsidR="00384AFA">
        <w:rPr>
          <w:sz w:val="20"/>
          <w:szCs w:val="20"/>
          <w:lang w:val="es-AR"/>
        </w:rPr>
        <w:t>,</w:t>
      </w:r>
      <w:r>
        <w:rPr>
          <w:sz w:val="20"/>
          <w:szCs w:val="20"/>
          <w:lang w:val="es-AR"/>
        </w:rPr>
        <w:t xml:space="preserve"> la presunta víctima</w:t>
      </w:r>
      <w:r w:rsidR="00BC1D13">
        <w:rPr>
          <w:sz w:val="20"/>
          <w:szCs w:val="20"/>
          <w:lang w:val="es-AR"/>
        </w:rPr>
        <w:t xml:space="preserve"> </w:t>
      </w:r>
      <w:r w:rsidR="00AC13C9" w:rsidRPr="00867BC5">
        <w:rPr>
          <w:sz w:val="20"/>
          <w:szCs w:val="20"/>
          <w:lang w:val="es-AR"/>
        </w:rPr>
        <w:t xml:space="preserve">formuló una demanda ejecutiva ante el Juzgado Cuarto Administrativo </w:t>
      </w:r>
      <w:r>
        <w:rPr>
          <w:sz w:val="20"/>
          <w:szCs w:val="20"/>
          <w:lang w:val="es-AR"/>
        </w:rPr>
        <w:t>del Circuito de Popayán.</w:t>
      </w:r>
      <w:r w:rsidR="00AC13C9" w:rsidRPr="00867BC5">
        <w:rPr>
          <w:sz w:val="20"/>
          <w:szCs w:val="20"/>
          <w:lang w:val="es-AR"/>
        </w:rPr>
        <w:t xml:space="preserve"> </w:t>
      </w:r>
      <w:r w:rsidR="003E645E">
        <w:rPr>
          <w:sz w:val="20"/>
          <w:szCs w:val="20"/>
          <w:lang w:val="es-AR"/>
        </w:rPr>
        <w:t xml:space="preserve"> </w:t>
      </w:r>
      <w:r w:rsidR="00384AFA">
        <w:rPr>
          <w:sz w:val="20"/>
          <w:szCs w:val="20"/>
          <w:lang w:val="es-AR"/>
        </w:rPr>
        <w:t>Indica que el 18 de mayo de 2009 el j</w:t>
      </w:r>
      <w:r w:rsidR="001A7B98">
        <w:rPr>
          <w:sz w:val="20"/>
          <w:szCs w:val="20"/>
          <w:lang w:val="es-AR"/>
        </w:rPr>
        <w:t>uzgado</w:t>
      </w:r>
      <w:r w:rsidR="003E645E">
        <w:rPr>
          <w:sz w:val="20"/>
          <w:szCs w:val="20"/>
          <w:lang w:val="es-AR"/>
        </w:rPr>
        <w:t xml:space="preserve"> decidió </w:t>
      </w:r>
      <w:r w:rsidR="00737E9E" w:rsidRPr="00867BC5">
        <w:rPr>
          <w:sz w:val="20"/>
          <w:szCs w:val="20"/>
          <w:lang w:val="es-AR"/>
        </w:rPr>
        <w:t>mediante un</w:t>
      </w:r>
      <w:r w:rsidR="00F545A6" w:rsidRPr="00867BC5">
        <w:rPr>
          <w:sz w:val="20"/>
          <w:szCs w:val="20"/>
          <w:lang w:val="es-AR"/>
        </w:rPr>
        <w:t xml:space="preserve"> auto interlocutorio</w:t>
      </w:r>
      <w:r w:rsidR="00737E9E" w:rsidRPr="00867BC5">
        <w:rPr>
          <w:sz w:val="20"/>
          <w:szCs w:val="20"/>
          <w:lang w:val="es-AR"/>
        </w:rPr>
        <w:t xml:space="preserve"> no librar</w:t>
      </w:r>
      <w:r w:rsidR="00384AFA">
        <w:rPr>
          <w:sz w:val="20"/>
          <w:szCs w:val="20"/>
          <w:lang w:val="es-AR"/>
        </w:rPr>
        <w:t xml:space="preserve"> el</w:t>
      </w:r>
      <w:r w:rsidR="00737E9E" w:rsidRPr="00867BC5">
        <w:rPr>
          <w:sz w:val="20"/>
          <w:szCs w:val="20"/>
          <w:lang w:val="es-AR"/>
        </w:rPr>
        <w:t xml:space="preserve"> mandamiento de pago</w:t>
      </w:r>
      <w:r w:rsidR="00384AFA">
        <w:rPr>
          <w:sz w:val="20"/>
          <w:szCs w:val="20"/>
          <w:lang w:val="es-AR"/>
        </w:rPr>
        <w:t xml:space="preserve"> solicitado, fundamentado su decisión en una jurisprudencia </w:t>
      </w:r>
      <w:r w:rsidR="005849E2">
        <w:rPr>
          <w:sz w:val="20"/>
          <w:szCs w:val="20"/>
          <w:lang w:val="es-AR"/>
        </w:rPr>
        <w:t>proveniente de una sentencia de tutela que había sido emitida el 22 de enero de 2009 y que a juicio del juzgado trataba un tema similar al de la acción de la presunta víctima. Señala que el auto interlocutorio fue</w:t>
      </w:r>
      <w:r w:rsidR="00F545A6" w:rsidRPr="00867BC5">
        <w:rPr>
          <w:sz w:val="20"/>
          <w:szCs w:val="20"/>
          <w:lang w:val="es-AR"/>
        </w:rPr>
        <w:t xml:space="preserve"> apelado</w:t>
      </w:r>
      <w:r w:rsidR="009820AE" w:rsidRPr="00867BC5">
        <w:rPr>
          <w:sz w:val="20"/>
          <w:szCs w:val="20"/>
          <w:lang w:val="es-AR"/>
        </w:rPr>
        <w:t xml:space="preserve"> </w:t>
      </w:r>
      <w:r w:rsidR="00384AFA">
        <w:rPr>
          <w:sz w:val="20"/>
          <w:szCs w:val="20"/>
          <w:lang w:val="es-AR"/>
        </w:rPr>
        <w:t>ante el</w:t>
      </w:r>
      <w:r w:rsidR="006851C9" w:rsidRPr="00867BC5">
        <w:rPr>
          <w:sz w:val="20"/>
          <w:szCs w:val="20"/>
          <w:lang w:val="es-AR"/>
        </w:rPr>
        <w:t xml:space="preserve"> Tribunal Contencioso Administrativo</w:t>
      </w:r>
      <w:r w:rsidR="00384AFA">
        <w:rPr>
          <w:sz w:val="20"/>
          <w:szCs w:val="20"/>
          <w:lang w:val="es-AR"/>
        </w:rPr>
        <w:t xml:space="preserve"> del Cauca</w:t>
      </w:r>
      <w:r w:rsidR="005849E2">
        <w:rPr>
          <w:sz w:val="20"/>
          <w:szCs w:val="20"/>
          <w:lang w:val="es-AR"/>
        </w:rPr>
        <w:t xml:space="preserve"> quien confirmó la decisión</w:t>
      </w:r>
      <w:r w:rsidR="006851C9" w:rsidRPr="00867BC5">
        <w:rPr>
          <w:sz w:val="20"/>
          <w:szCs w:val="20"/>
          <w:lang w:val="es-AR"/>
        </w:rPr>
        <w:t xml:space="preserve"> </w:t>
      </w:r>
      <w:r w:rsidR="009820AE" w:rsidRPr="00867BC5">
        <w:rPr>
          <w:sz w:val="20"/>
          <w:szCs w:val="20"/>
          <w:lang w:val="es-AR"/>
        </w:rPr>
        <w:t>el 20 de octubre de 2009</w:t>
      </w:r>
      <w:r w:rsidR="005849E2">
        <w:rPr>
          <w:sz w:val="20"/>
          <w:szCs w:val="20"/>
          <w:lang w:val="es-AR"/>
        </w:rPr>
        <w:t xml:space="preserve">, fundamentándose también en jurisprudencia posterior a la sentencia cuya ejecución se demandaba. </w:t>
      </w:r>
      <w:r w:rsidR="00C808EE" w:rsidRPr="00867BC5">
        <w:rPr>
          <w:sz w:val="20"/>
          <w:szCs w:val="20"/>
          <w:lang w:val="es-AR"/>
        </w:rPr>
        <w:t xml:space="preserve"> </w:t>
      </w:r>
      <w:r w:rsidR="00D049B5">
        <w:rPr>
          <w:sz w:val="20"/>
          <w:szCs w:val="20"/>
          <w:lang w:val="es-AR"/>
        </w:rPr>
        <w:t xml:space="preserve">Contra las dos decisiones que denegaron su solicitud de ejecución, la presunta víctima interpuso una acción de tutela ante el Consejo de Estado, quien se la negó en primera instancia el 11 de febrero de 2010 y, luego de impugnada la decisión por la presunta víctima, decidió en segunda instancia modificar la decisión y rechazar la acción por improcedente. Señala que la acción fue enviada a la Corte Constitucional para eventual revisión pero que la Sala de Selección decidió no escogerla para revisión mediante auto del 11 agosto de 2010. Sostiene que este auto constituyó la decisión definitiva que agotó los recursos internos y que el mismo le fue notificado a la presunta víctima el 27 de agosto de 2010. </w:t>
      </w:r>
    </w:p>
    <w:p w14:paraId="2909C8B4" w14:textId="77777777" w:rsidR="00490587" w:rsidRDefault="00490587" w:rsidP="00D44C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El peticionario alega que la sentencia emitida a favor de la presunta víctima cumplía con todos los requisitos exigidos por la legislación doméstica para constituirse en título ejecutivo y que al rehusar la solicitud de ejecución las autoridades judiciales incurrieron en arbitrariedad vulnerando la cosa juzgada. </w:t>
      </w:r>
      <w:r w:rsidR="00985B06">
        <w:rPr>
          <w:sz w:val="20"/>
          <w:szCs w:val="20"/>
          <w:lang w:val="es-AR"/>
        </w:rPr>
        <w:t>Destaca</w:t>
      </w:r>
      <w:r>
        <w:rPr>
          <w:sz w:val="20"/>
          <w:szCs w:val="20"/>
          <w:lang w:val="es-AR"/>
        </w:rPr>
        <w:t xml:space="preserve"> que el Tribunal Administrativo del Cauca que emitió la sentencia a favor de la presunta víctima fue quien luego negó la solicitud de ejecución en segunda instancia, pese a que la ley doméstica establece que una sentencia no es revocable ni reformable por el mismo tribunal que la pronunció. S</w:t>
      </w:r>
      <w:r w:rsidR="00985B06">
        <w:rPr>
          <w:sz w:val="20"/>
          <w:szCs w:val="20"/>
          <w:lang w:val="es-AR"/>
        </w:rPr>
        <w:t>ostiene que, contrario a lo alegado por el Estado, los valores reconocidos como prima de actualización no fueron incorporados a la asignación señalada para la pensión de la presunta víctima a partir de 1996 en virtud del principio de oscilación.  Argumenta que, si esos valores en efectos hubiesen sido incorporados desde 1996, entonces el Estado no habría sido condenado 8 años después como lo fue en el punto tercero de la sentencia de 22 junio de 2004 cuya ejecución luego se negó.</w:t>
      </w:r>
    </w:p>
    <w:p w14:paraId="77657C0D" w14:textId="77777777" w:rsidR="0010482D" w:rsidRDefault="00B302EF" w:rsidP="001048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El Estado, por su parte, considera que la petición debe ser inadmitida porque los hechos expuestos en ella no caracterizan violaciones a los derechos humanos y porque el peticionario pretende improcedentemente que la Comisión actúe como una cuarta instancia para que revise decisiones adoptadas por los tribunales domésticos por su mero desacuerdo con ellas. </w:t>
      </w:r>
      <w:r w:rsidR="0010482D">
        <w:rPr>
          <w:sz w:val="20"/>
          <w:szCs w:val="20"/>
          <w:lang w:val="es-AR"/>
        </w:rPr>
        <w:t xml:space="preserve">Explica que la prima de actualización fue un beneficio de carácter temporal que tenía por objeto nivelar la remuneración del personal activo y retirado de la Policía Nacional y que a partir del Decreto 107 de 1996 los valores reconocidos por prima de actualización fueron incorporados a las asignaciones básicas para los años siguientes en base al principio de oscilación. Por esta razón, sostiene que la sentencia emitida a favor de la presunta víctima fue cumplida por la Caja de Sueldos de Retiro de la Policía Nacional quien ordenó el pago a la presunta víctima del valor de reajuste de sustitución de asignación mensual de retiro por concepto de prima de actualización, únicamente por el periodo que esta estuvo vigente, es decir, desde el 1 de enero de 1993 hasta el 31 de diciembre de 1995.   </w:t>
      </w:r>
    </w:p>
    <w:p w14:paraId="0B54F6B0" w14:textId="7B741EAA" w:rsidR="00183A59" w:rsidRDefault="00183A59" w:rsidP="001048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Con respecto al proceso ejecutivo instaurado por la presunta víctima, indica que el tribunal de primera instancia </w:t>
      </w:r>
      <w:r w:rsidR="0097494C">
        <w:rPr>
          <w:sz w:val="20"/>
          <w:szCs w:val="20"/>
          <w:lang w:val="es-AR"/>
        </w:rPr>
        <w:t>expuso la razón</w:t>
      </w:r>
      <w:r w:rsidR="006E2562">
        <w:rPr>
          <w:sz w:val="20"/>
          <w:szCs w:val="20"/>
          <w:lang w:val="es-AR"/>
        </w:rPr>
        <w:t xml:space="preserve"> por la</w:t>
      </w:r>
      <w:r w:rsidR="0097494C">
        <w:rPr>
          <w:sz w:val="20"/>
          <w:szCs w:val="20"/>
          <w:lang w:val="es-AR"/>
        </w:rPr>
        <w:t xml:space="preserve"> que decidió apartarse de su jurisprudencia previa y negar el mandamiento de pago solicitado por la presunta víctima, siendo esta la posici</w:t>
      </w:r>
      <w:r w:rsidR="006E2562">
        <w:rPr>
          <w:sz w:val="20"/>
          <w:szCs w:val="20"/>
          <w:lang w:val="es-AR"/>
        </w:rPr>
        <w:t xml:space="preserve">ón que había sido adoptada por la jurisprudencia del Consejo de Estado con respecto a la prima de actualización. Señala que el tribunal de segunda instancia decidió confirmar la decisión tras valorar que, si bien el Consejo de Estado en una sentencia de 8 de mayo de 2003 había considerado procedente la reliquidación de las asignaciones de retiro desde el 1 enero de 1996 por razón de la prima de actualización, </w:t>
      </w:r>
      <w:r w:rsidR="00017EE1">
        <w:rPr>
          <w:sz w:val="20"/>
          <w:szCs w:val="20"/>
          <w:lang w:val="es-AR"/>
        </w:rPr>
        <w:t>esa posición había variado sustancialmente existiendo sentencias de 2006 y 2007 en las que</w:t>
      </w:r>
      <w:r w:rsidR="00481A4F">
        <w:rPr>
          <w:sz w:val="20"/>
          <w:szCs w:val="20"/>
          <w:lang w:val="es-AR"/>
        </w:rPr>
        <w:t xml:space="preserve"> el Consejo</w:t>
      </w:r>
      <w:r w:rsidR="00017EE1">
        <w:rPr>
          <w:sz w:val="20"/>
          <w:szCs w:val="20"/>
          <w:lang w:val="es-AR"/>
        </w:rPr>
        <w:t xml:space="preserve"> concluyó que en casos como el de la presunta víctima no era necesario revisar los reajustes de ley a partir del año de 1996 dado que los valores reconocidos como prima de actualización ya habían sido incorporados a la asignaci</w:t>
      </w:r>
      <w:r w:rsidR="00481A4F">
        <w:rPr>
          <w:sz w:val="20"/>
          <w:szCs w:val="20"/>
          <w:lang w:val="es-AR"/>
        </w:rPr>
        <w:t xml:space="preserve">ón recibida. Agrega que el ordenamiento jurídico colombiano permite que los tribunales se aparten de sus </w:t>
      </w:r>
      <w:r w:rsidR="004B39CB">
        <w:rPr>
          <w:sz w:val="20"/>
          <w:szCs w:val="20"/>
          <w:lang w:val="es-AR"/>
        </w:rPr>
        <w:t>precedentes,</w:t>
      </w:r>
      <w:r w:rsidR="00481A4F">
        <w:rPr>
          <w:sz w:val="20"/>
          <w:szCs w:val="20"/>
          <w:lang w:val="es-AR"/>
        </w:rPr>
        <w:t xml:space="preserve"> pero exige para ello una carga </w:t>
      </w:r>
      <w:r w:rsidR="00481A4F">
        <w:rPr>
          <w:sz w:val="20"/>
          <w:szCs w:val="20"/>
          <w:lang w:val="es-AR"/>
        </w:rPr>
        <w:lastRenderedPageBreak/>
        <w:t>argumentativa superior a la habitual. Sostiene que el Consejo de Estado expuso de manera clara y completa las razones que justificaron la modificaci</w:t>
      </w:r>
      <w:r w:rsidR="005F654E">
        <w:rPr>
          <w:sz w:val="20"/>
          <w:szCs w:val="20"/>
          <w:lang w:val="es-AR"/>
        </w:rPr>
        <w:t xml:space="preserve">ón de su jurisprudencia; por lo que las decisiones adoptadas en la primera y segunda instancia del proceso ejecutivo con fundamento en esta variación legítima del precedente no pueden considerarse violatoria de los derechos de la presunta víctima. </w:t>
      </w:r>
    </w:p>
    <w:p w14:paraId="55886A12" w14:textId="64E611C1" w:rsidR="005F654E" w:rsidRPr="0010482D" w:rsidRDefault="005F654E" w:rsidP="0010482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Añade que la presunta víctima tuvo</w:t>
      </w:r>
      <w:r w:rsidR="006C7B32">
        <w:rPr>
          <w:sz w:val="20"/>
          <w:szCs w:val="20"/>
          <w:lang w:val="es-AR"/>
        </w:rPr>
        <w:t xml:space="preserve"> </w:t>
      </w:r>
      <w:r>
        <w:rPr>
          <w:sz w:val="20"/>
          <w:szCs w:val="20"/>
          <w:lang w:val="es-AR"/>
        </w:rPr>
        <w:t xml:space="preserve">acceso a un recurso sencillo y rápido </w:t>
      </w:r>
      <w:r w:rsidR="006C7B32">
        <w:rPr>
          <w:sz w:val="20"/>
          <w:szCs w:val="20"/>
          <w:lang w:val="es-AR"/>
        </w:rPr>
        <w:t xml:space="preserve">para solicitar el amparo contra los actos consideró que vulneraban sus derechos pero que el Consejo de Estado que conoció la acción de tutela presentada por la presunta víctima encontró que las decisiones de las autoridades judiciales no vulneraron sus derechos al debido proceso y acceso a la justicia. Destaca </w:t>
      </w:r>
      <w:r w:rsidR="007E55C1">
        <w:rPr>
          <w:sz w:val="20"/>
          <w:szCs w:val="20"/>
          <w:lang w:val="es-AR"/>
        </w:rPr>
        <w:t>que,</w:t>
      </w:r>
      <w:r w:rsidR="006C7B32">
        <w:rPr>
          <w:sz w:val="20"/>
          <w:szCs w:val="20"/>
          <w:lang w:val="es-AR"/>
        </w:rPr>
        <w:t xml:space="preserve"> en el proceso de tutela, al igual que en todos en los que participó, la presunta víctima gozó de todas las garantías judiciales y pudo ejercer su derecho de defensa, ser oída y participar del proceso mediante su apoderado. Sostiene que de los hechos expuestos por el peticionario no se evidencia ningún tipo de arbitrariedad judicial que implique la violación de algún derecho convencional </w:t>
      </w:r>
      <w:r w:rsidR="00544B3D">
        <w:rPr>
          <w:sz w:val="20"/>
          <w:szCs w:val="20"/>
          <w:lang w:val="es-AR"/>
        </w:rPr>
        <w:t>y que las alegaciones del peticionario se limitan a su desacuerdo con la valoración de pruebas e interpretación de la ley hecha por los tribunales domésticos.</w:t>
      </w:r>
      <w:r w:rsidR="00891968">
        <w:rPr>
          <w:sz w:val="20"/>
          <w:szCs w:val="20"/>
          <w:lang w:val="es-AR"/>
        </w:rPr>
        <w:t xml:space="preserve"> Manifiesta</w:t>
      </w:r>
      <w:r w:rsidR="00544B3D">
        <w:rPr>
          <w:sz w:val="20"/>
          <w:szCs w:val="20"/>
          <w:lang w:val="es-AR"/>
        </w:rPr>
        <w:t xml:space="preserve"> que las pretensiones de la presunta víctima fueron zanjadas a nivel interno y que el peticionario, inconforme con la forma en que las autoridades locales dieron cumplimiento a la sentencia favorable a la presunta víctima, pretende que la Comisión determine el alcance de una sentencia interna en contravención a su naturaleza subsidiaria. </w:t>
      </w:r>
    </w:p>
    <w:p w14:paraId="6D5A0DDA" w14:textId="77777777" w:rsidR="00866ADE" w:rsidRPr="00866ADE" w:rsidRDefault="003239B8" w:rsidP="00866ADE">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32D251D1" w14:textId="77777777" w:rsidR="00D51638" w:rsidRDefault="00866ADE" w:rsidP="00AF26A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51638">
        <w:rPr>
          <w:sz w:val="20"/>
          <w:szCs w:val="20"/>
          <w:lang w:val="es-AR"/>
        </w:rPr>
        <w:t>La Comisión observa que</w:t>
      </w:r>
      <w:r w:rsidR="00442028" w:rsidRPr="00D51638">
        <w:rPr>
          <w:sz w:val="20"/>
          <w:szCs w:val="20"/>
          <w:lang w:val="es-AR"/>
        </w:rPr>
        <w:t xml:space="preserve"> el peticionario </w:t>
      </w:r>
      <w:r w:rsidR="00557BE3" w:rsidRPr="00D51638">
        <w:rPr>
          <w:sz w:val="20"/>
          <w:szCs w:val="20"/>
          <w:lang w:val="es-AR"/>
        </w:rPr>
        <w:t xml:space="preserve">sostiene </w:t>
      </w:r>
      <w:r w:rsidR="00891968">
        <w:rPr>
          <w:sz w:val="20"/>
          <w:szCs w:val="20"/>
          <w:lang w:val="es-AR"/>
        </w:rPr>
        <w:t xml:space="preserve">que la decisión definitiva que agotó los recursos internos fue el auto de la Sala de Selección del Tribunal constitucional que dispuso la no selección para revisión de la decisión que negó en segunda instancia la acción de tutela instaurada por la presunta víctima. De igual manera, toma nota que le Estado no ha presentado observaciones con respecto al agotamiento de los recursos internos. </w:t>
      </w:r>
    </w:p>
    <w:p w14:paraId="49998EE0" w14:textId="235BA35D" w:rsidR="00CC5B54" w:rsidRPr="00DC3DAB" w:rsidRDefault="00891968" w:rsidP="00CC5B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000000" w:themeColor="text1"/>
          <w:sz w:val="20"/>
          <w:szCs w:val="20"/>
          <w:lang w:val="es-AR"/>
        </w:rPr>
      </w:pPr>
      <w:r>
        <w:rPr>
          <w:sz w:val="20"/>
          <w:szCs w:val="20"/>
          <w:lang w:val="es-AR"/>
        </w:rPr>
        <w:t xml:space="preserve">La Comisión observa que el proceso ejecutivo constituía una vía idónea ante el alegado incumplimiento de una sentencia judicial con grado de cosa juzgada y que, luego de que su demanda ejecutiva fuera rechazada en dos instancias, la peticionaria acudió extraordinariamente a la vía constitucional. En este sentido, la Comisión recuerda su criterio sostenido </w:t>
      </w:r>
      <w:r w:rsidR="00713679">
        <w:rPr>
          <w:sz w:val="20"/>
          <w:szCs w:val="20"/>
          <w:lang w:val="es-AR"/>
        </w:rPr>
        <w:t xml:space="preserve">con respecto a </w:t>
      </w:r>
      <w:r w:rsidR="008C26EB">
        <w:rPr>
          <w:sz w:val="20"/>
          <w:szCs w:val="20"/>
          <w:lang w:val="es-AR"/>
        </w:rPr>
        <w:t>que,</w:t>
      </w:r>
      <w:r w:rsidR="00713679">
        <w:rPr>
          <w:sz w:val="20"/>
          <w:szCs w:val="20"/>
          <w:lang w:val="es-AR"/>
        </w:rPr>
        <w:t xml:space="preserve"> si bien en </w:t>
      </w:r>
      <w:r w:rsidR="00713679" w:rsidRPr="00FC2B4A">
        <w:rPr>
          <w:rFonts w:cs="Calibri"/>
          <w:sz w:val="20"/>
          <w:szCs w:val="20"/>
          <w:lang w:val="es-ES_tradnl"/>
        </w:rPr>
        <w:t>un caso como el presente puede ser suficiente que la presunta víctima agote los recursos ordinarios, si agota recursos extraordinarios con la expectativa razonable de obtener un resultado favorable, entonces los mismos pueden tomarse en cuenta como recursos válidamente agotados para efectos del cumplimiento de los requisitos de admisibilidad de la petición.</w:t>
      </w:r>
      <w:r>
        <w:rPr>
          <w:sz w:val="20"/>
          <w:szCs w:val="20"/>
          <w:lang w:val="es-AR"/>
        </w:rPr>
        <w:t xml:space="preserve"> </w:t>
      </w:r>
      <w:r w:rsidR="00713679">
        <w:rPr>
          <w:sz w:val="20"/>
          <w:szCs w:val="20"/>
          <w:lang w:val="es-AR"/>
        </w:rPr>
        <w:t>La Comisión también ha indicado con anterioridad que, en el caso de la justicia constitucional en Colombia, los recursos internos quedan definitivamente agotados cuando el máximo tribunal decide no seleccionar para revisión el expediente de tutela correspondiente al caso de la presunta víctima</w:t>
      </w:r>
      <w:r w:rsidR="00713679" w:rsidRPr="00FC2B4A">
        <w:rPr>
          <w:rStyle w:val="FootnoteReference"/>
          <w:rFonts w:cs="Calibri"/>
          <w:sz w:val="20"/>
          <w:szCs w:val="20"/>
        </w:rPr>
        <w:footnoteReference w:id="4"/>
      </w:r>
      <w:r w:rsidR="00713679" w:rsidRPr="00FC2B4A">
        <w:rPr>
          <w:rFonts w:cs="Calibri"/>
          <w:sz w:val="20"/>
          <w:szCs w:val="20"/>
          <w:lang w:val="es-ES_tradnl"/>
        </w:rPr>
        <w:t>.</w:t>
      </w:r>
      <w:r w:rsidR="00713679">
        <w:rPr>
          <w:sz w:val="20"/>
          <w:szCs w:val="20"/>
          <w:lang w:val="es-AR"/>
        </w:rPr>
        <w:t xml:space="preserve"> Por estas razones, y dado que el Estado no ha hecho referencia a recursos adicionales no agotados que pudieran ser idóneos para que las pretensiones de la presunta víctima sean atendidas a nivel doméstico, la Comisión concluye que con respecto a la presente petición los recursos de la jurisdicción interna se agotaron con la decisión de la Sala de Selección del Tribunal Constitucional. Dado que esta decisión fue notificada a la presunta víctima el 27 de agosto de 2010 y la petición presentada el 9 de febrero de 2011, la Comisión concluye que la presente petición cumple con los requisitos del artículo 46.1(a) y (b) de la Convención Americana. </w:t>
      </w:r>
    </w:p>
    <w:p w14:paraId="230AF9F3" w14:textId="77777777" w:rsidR="0082061E" w:rsidRPr="0082061E" w:rsidRDefault="003239B8" w:rsidP="0082061E">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77239932" w14:textId="3AD04D3E" w:rsidR="00301B66" w:rsidRPr="00444409" w:rsidRDefault="00713679" w:rsidP="00282C9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000000" w:themeColor="text1"/>
          <w:sz w:val="20"/>
          <w:szCs w:val="20"/>
          <w:lang w:val="es-AR"/>
        </w:rPr>
      </w:pPr>
      <w:r w:rsidRPr="00444409">
        <w:rPr>
          <w:sz w:val="20"/>
          <w:szCs w:val="20"/>
          <w:lang w:val="es-AR"/>
        </w:rPr>
        <w:t>La Comisión observa que la presente petición incluye alegaciones con respecto a</w:t>
      </w:r>
      <w:r w:rsidR="00F01755" w:rsidRPr="00444409">
        <w:rPr>
          <w:sz w:val="20"/>
          <w:szCs w:val="20"/>
          <w:lang w:val="es-AR"/>
        </w:rPr>
        <w:t>l incumplimiento parcial de</w:t>
      </w:r>
      <w:r w:rsidRPr="00444409">
        <w:rPr>
          <w:sz w:val="20"/>
          <w:szCs w:val="20"/>
          <w:lang w:val="es-AR"/>
        </w:rPr>
        <w:t xml:space="preserve"> que una sentencia judicial que </w:t>
      </w:r>
      <w:r w:rsidR="00F01755" w:rsidRPr="00444409">
        <w:rPr>
          <w:sz w:val="20"/>
          <w:szCs w:val="20"/>
          <w:lang w:val="es-AR"/>
        </w:rPr>
        <w:t xml:space="preserve">adquirió grado de cosa juzgada hace más de 15 años </w:t>
      </w:r>
      <w:r w:rsidRPr="00444409">
        <w:rPr>
          <w:sz w:val="20"/>
          <w:szCs w:val="20"/>
          <w:lang w:val="es-AR"/>
        </w:rPr>
        <w:t>y que se mantiene vigente</w:t>
      </w:r>
      <w:r w:rsidR="00F01755" w:rsidRPr="00444409">
        <w:rPr>
          <w:color w:val="auto"/>
          <w:sz w:val="20"/>
          <w:szCs w:val="20"/>
          <w:lang w:val="es-AR"/>
        </w:rPr>
        <w:t>.</w:t>
      </w:r>
    </w:p>
    <w:p w14:paraId="1A65328B" w14:textId="34DD5669" w:rsidR="00DB1C5D" w:rsidRPr="00444409" w:rsidRDefault="00DB1C5D" w:rsidP="00DB1C5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000000" w:themeColor="text1"/>
          <w:sz w:val="20"/>
          <w:szCs w:val="20"/>
          <w:lang w:val="es-AR"/>
        </w:rPr>
      </w:pPr>
      <w:r w:rsidRPr="00444409">
        <w:rPr>
          <w:sz w:val="20"/>
          <w:szCs w:val="20"/>
          <w:lang w:val="es-AR"/>
        </w:rPr>
        <w:t>L</w:t>
      </w:r>
      <w:r w:rsidRPr="00444409">
        <w:rPr>
          <w:sz w:val="20"/>
          <w:szCs w:val="20"/>
          <w:lang w:val="es-ES_tradnl"/>
        </w:rPr>
        <w:t xml:space="preserve">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w:t>
      </w:r>
      <w:r w:rsidRPr="00444409">
        <w:rPr>
          <w:sz w:val="20"/>
          <w:szCs w:val="20"/>
          <w:lang w:val="es-ES_tradnl"/>
        </w:rPr>
        <w:lastRenderedPageBreak/>
        <w:t>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444409">
        <w:rPr>
          <w:rStyle w:val="FootnoteReference"/>
          <w:rFonts w:cs="Calibri"/>
          <w:sz w:val="20"/>
          <w:szCs w:val="20"/>
          <w:lang w:val="es-ES_tradnl"/>
        </w:rPr>
        <w:footnoteReference w:id="5"/>
      </w:r>
    </w:p>
    <w:p w14:paraId="113BD2D0" w14:textId="1933198F" w:rsidR="00E65AFB" w:rsidRPr="00444409" w:rsidRDefault="00DB1C5D" w:rsidP="00F017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000000" w:themeColor="text1"/>
          <w:sz w:val="20"/>
          <w:szCs w:val="20"/>
          <w:lang w:val="es-AR"/>
        </w:rPr>
      </w:pPr>
      <w:r w:rsidRPr="00444409">
        <w:rPr>
          <w:rFonts w:asciiTheme="majorHAnsi" w:hAnsiTheme="majorHAnsi"/>
          <w:color w:val="000000" w:themeColor="text1"/>
          <w:sz w:val="20"/>
          <w:szCs w:val="20"/>
          <w:lang w:val="es-AR"/>
        </w:rPr>
        <w:t>Atendiendo a esta consideración y t</w:t>
      </w:r>
      <w:r w:rsidR="00993D63" w:rsidRPr="00444409">
        <w:rPr>
          <w:rFonts w:asciiTheme="majorHAnsi" w:hAnsiTheme="majorHAnsi"/>
          <w:color w:val="000000" w:themeColor="text1"/>
          <w:sz w:val="20"/>
          <w:szCs w:val="20"/>
          <w:lang w:val="es-AR"/>
        </w:rPr>
        <w:t xml:space="preserve">ras revisar los elementos de hecho y de derecho expuestos por las partes, la Comisión observa que el Estado considera que la sentencia emitida a favor de la presunta víctima fue cumplida por </w:t>
      </w:r>
      <w:r w:rsidR="00993D63" w:rsidRPr="00444409">
        <w:rPr>
          <w:sz w:val="20"/>
          <w:szCs w:val="20"/>
          <w:lang w:val="es-AR"/>
        </w:rPr>
        <w:t>la Caja de Sueldos de Retiro de la Policía Nacional mientras que la parte peticionaria sostiene que la sentencia no ha sido cu</w:t>
      </w:r>
      <w:r w:rsidR="00734C93" w:rsidRPr="00444409">
        <w:rPr>
          <w:sz w:val="20"/>
          <w:szCs w:val="20"/>
          <w:lang w:val="es-AR"/>
        </w:rPr>
        <w:t xml:space="preserve">mplida en su totalidad, no habiéndose cumplido con su punto tercero. La Comisión también toma nota que la presunta víctima interpuso los recursos judiciales pertinentes para solicitar la ejecución de la parte de la sentencia que consideraba incumplida y que las autoridades competentes rechazaron estas solicitudes mediante decisiones razonadas. Ante esta circunstancia, la Comisión considera pertinente recordar que ya ha examinado casos en que se plantean controversias con respecto a si una sentencia judicial ha sido efectivamente cumplida y </w:t>
      </w:r>
      <w:r w:rsidRPr="00444409">
        <w:rPr>
          <w:sz w:val="20"/>
          <w:szCs w:val="20"/>
          <w:lang w:val="es-AR"/>
        </w:rPr>
        <w:t>concluido que</w:t>
      </w:r>
      <w:r w:rsidR="00984B4B" w:rsidRPr="00444409">
        <w:rPr>
          <w:sz w:val="20"/>
          <w:szCs w:val="20"/>
          <w:lang w:val="es-AR"/>
        </w:rPr>
        <w:t xml:space="preserve"> </w:t>
      </w:r>
      <w:r w:rsidRPr="00444409">
        <w:rPr>
          <w:sz w:val="20"/>
          <w:szCs w:val="20"/>
          <w:lang w:val="es-AR"/>
        </w:rPr>
        <w:t>la mera discrepancia de la parte peticionaria con las medidas adoptadas por el Estado para ejecutar las decisiones no satisface el requisito de caracterización</w:t>
      </w:r>
      <w:r w:rsidRPr="00444409">
        <w:rPr>
          <w:rStyle w:val="FootnoteReference"/>
          <w:sz w:val="20"/>
          <w:szCs w:val="20"/>
          <w:lang w:val="es-AR"/>
        </w:rPr>
        <w:footnoteReference w:id="6"/>
      </w:r>
      <w:r w:rsidRPr="00444409">
        <w:rPr>
          <w:sz w:val="20"/>
          <w:szCs w:val="20"/>
          <w:lang w:val="es-AR"/>
        </w:rPr>
        <w:t>.</w:t>
      </w:r>
      <w:r w:rsidR="00984B4B" w:rsidRPr="00444409">
        <w:rPr>
          <w:sz w:val="20"/>
          <w:szCs w:val="20"/>
          <w:lang w:val="es-AR"/>
        </w:rPr>
        <w:t xml:space="preserve"> Por esta razón, y dado que la Comisión no encuentra indicios de arbitrariedad o desviación del poder en las decisiones de los tribunales domésticos ni ningún otro elemento que indicie violación a los derechos protegidos por el Sistema Interamericano, la Comisión concluye que la presente petición debe ser inadmitida según lo dispuesto en el artículo 47(b) de la Convención Americana.</w:t>
      </w:r>
    </w:p>
    <w:p w14:paraId="3F131F26"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B9EC760" w14:textId="320031B6" w:rsidR="000419AD" w:rsidRDefault="000419AD" w:rsidP="00FF2352">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00984B4B">
        <w:rPr>
          <w:rFonts w:eastAsia="Arial Unicode MS" w:cs="Times New Roman"/>
          <w:color w:val="000000" w:themeColor="text1"/>
          <w:sz w:val="20"/>
          <w:szCs w:val="20"/>
          <w:lang w:val="es-ES" w:eastAsia="en-US"/>
        </w:rPr>
        <w:t>inadmisible la presente petición con fundamento en el artículo 47(b) de la Convención Americana</w:t>
      </w:r>
      <w:r w:rsidR="00FF2352">
        <w:rPr>
          <w:rFonts w:eastAsia="Arial Unicode MS" w:cs="Times New Roman"/>
          <w:color w:val="000000" w:themeColor="text1"/>
          <w:sz w:val="20"/>
          <w:szCs w:val="20"/>
          <w:lang w:val="es-ES" w:eastAsia="en-US"/>
        </w:rPr>
        <w:t>.</w:t>
      </w:r>
    </w:p>
    <w:p w14:paraId="75538E28" w14:textId="77777777" w:rsidR="000419AD" w:rsidRPr="000419AD" w:rsidRDefault="000419AD" w:rsidP="000419AD">
      <w:pPr>
        <w:pStyle w:val="ListParagraph"/>
        <w:rPr>
          <w:rFonts w:eastAsia="Arial Unicode MS" w:cs="Times New Roman"/>
          <w:color w:val="auto"/>
          <w:sz w:val="20"/>
          <w:szCs w:val="20"/>
          <w:lang w:val="es-ES" w:eastAsia="en-US"/>
        </w:rPr>
      </w:pPr>
    </w:p>
    <w:p w14:paraId="27C0B821" w14:textId="614D6B02" w:rsidR="0074612D" w:rsidRPr="0074612D" w:rsidRDefault="004A6A54" w:rsidP="007461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FCCC927" w14:textId="28ADBE4F" w:rsidR="00722C9F" w:rsidRPr="008F1524" w:rsidRDefault="0074612D" w:rsidP="008F152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r w:rsidR="001A520D">
        <w:rPr>
          <w:rFonts w:asciiTheme="majorHAnsi" w:hAnsiTheme="majorHAnsi"/>
          <w:sz w:val="20"/>
          <w:szCs w:val="20"/>
          <w:lang w:val="es-ES_tradnl"/>
        </w:rPr>
        <w:tab/>
      </w:r>
    </w:p>
    <w:sectPr w:rsidR="00722C9F" w:rsidRPr="008F15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2F35A" w14:textId="77777777" w:rsidR="00A81B29" w:rsidRDefault="00A81B29">
      <w:r>
        <w:separator/>
      </w:r>
    </w:p>
  </w:endnote>
  <w:endnote w:type="continuationSeparator" w:id="0">
    <w:p w14:paraId="34868BD4" w14:textId="77777777" w:rsidR="00A81B29" w:rsidRDefault="00A8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D5E1" w14:textId="77777777" w:rsidR="00F3692E" w:rsidRDefault="00F36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9806159" w14:textId="603CDD0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3692E">
          <w:rPr>
            <w:noProof/>
            <w:sz w:val="16"/>
            <w:szCs w:val="22"/>
          </w:rPr>
          <w:t>1</w:t>
        </w:r>
        <w:r w:rsidRPr="00934A2C">
          <w:rPr>
            <w:noProof/>
            <w:sz w:val="16"/>
            <w:szCs w:val="22"/>
          </w:rPr>
          <w:fldChar w:fldCharType="end"/>
        </w:r>
      </w:p>
    </w:sdtContent>
  </w:sdt>
  <w:p w14:paraId="7D239435"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4187" w14:textId="77777777" w:rsidR="0070697F" w:rsidRPr="00934A2C" w:rsidRDefault="0070697F">
    <w:pPr>
      <w:pStyle w:val="Footer"/>
      <w:jc w:val="center"/>
      <w:rPr>
        <w:sz w:val="16"/>
        <w:szCs w:val="22"/>
      </w:rPr>
    </w:pPr>
  </w:p>
  <w:p w14:paraId="36BED6F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76C6B" w14:textId="77777777" w:rsidR="00A81B29" w:rsidRPr="000F35ED" w:rsidRDefault="00A81B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ADC9E3" w14:textId="77777777" w:rsidR="00A81B29" w:rsidRPr="000F35ED" w:rsidRDefault="00A81B29" w:rsidP="000F35ED">
      <w:pPr>
        <w:rPr>
          <w:rFonts w:asciiTheme="majorHAnsi" w:hAnsiTheme="majorHAnsi"/>
          <w:sz w:val="16"/>
          <w:szCs w:val="16"/>
        </w:rPr>
      </w:pPr>
      <w:r w:rsidRPr="000F35ED">
        <w:rPr>
          <w:rFonts w:asciiTheme="majorHAnsi" w:hAnsiTheme="majorHAnsi"/>
          <w:sz w:val="16"/>
          <w:szCs w:val="16"/>
        </w:rPr>
        <w:separator/>
      </w:r>
    </w:p>
    <w:p w14:paraId="6426FB0E" w14:textId="77777777" w:rsidR="00A81B29" w:rsidRPr="000F35ED" w:rsidRDefault="00A81B2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890BA74" w14:textId="77777777" w:rsidR="00A81B29" w:rsidRPr="000F35ED" w:rsidRDefault="00A81B2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03EB077" w14:textId="77777777" w:rsidR="00E55600" w:rsidRPr="00E55600" w:rsidRDefault="00E55600" w:rsidP="00E55600">
      <w:pPr>
        <w:pStyle w:val="FootnoteText"/>
        <w:ind w:firstLine="720"/>
        <w:jc w:val="both"/>
        <w:rPr>
          <w:rFonts w:asciiTheme="majorHAnsi" w:hAnsiTheme="majorHAnsi"/>
          <w:sz w:val="16"/>
          <w:szCs w:val="16"/>
          <w:lang w:val="es-PA"/>
        </w:rPr>
      </w:pPr>
      <w:r w:rsidRPr="00E55600">
        <w:rPr>
          <w:rStyle w:val="FootnoteReference"/>
          <w:rFonts w:asciiTheme="majorHAnsi" w:hAnsiTheme="majorHAnsi"/>
          <w:sz w:val="16"/>
          <w:szCs w:val="16"/>
        </w:rPr>
        <w:footnoteRef/>
      </w:r>
      <w:r w:rsidRPr="00E55600">
        <w:rPr>
          <w:rFonts w:asciiTheme="majorHAnsi" w:hAnsiTheme="majorHAnsi"/>
          <w:sz w:val="16"/>
          <w:szCs w:val="16"/>
          <w:lang w:val="es-PA"/>
        </w:rPr>
        <w:t xml:space="preserve"> En adelante “la Convención Americana”</w:t>
      </w:r>
    </w:p>
  </w:footnote>
  <w:footnote w:id="3">
    <w:p w14:paraId="3004BAA5" w14:textId="77777777" w:rsidR="008E3BFE" w:rsidRPr="00E55600" w:rsidRDefault="008E3BFE" w:rsidP="00E55600">
      <w:pPr>
        <w:pStyle w:val="FootnoteText"/>
        <w:ind w:firstLine="720"/>
        <w:jc w:val="both"/>
        <w:rPr>
          <w:rFonts w:asciiTheme="majorHAnsi" w:hAnsiTheme="majorHAnsi"/>
          <w:sz w:val="16"/>
          <w:szCs w:val="16"/>
          <w:lang w:val="es-ES"/>
        </w:rPr>
      </w:pPr>
      <w:r w:rsidRPr="00E55600">
        <w:rPr>
          <w:rStyle w:val="FootnoteReference"/>
          <w:rFonts w:asciiTheme="majorHAnsi" w:hAnsiTheme="majorHAnsi"/>
          <w:sz w:val="16"/>
          <w:szCs w:val="16"/>
        </w:rPr>
        <w:footnoteRef/>
      </w:r>
      <w:r w:rsidRPr="00E55600">
        <w:rPr>
          <w:rFonts w:asciiTheme="majorHAnsi" w:hAnsiTheme="majorHAnsi"/>
          <w:sz w:val="16"/>
          <w:szCs w:val="16"/>
          <w:lang w:val="es-ES"/>
        </w:rPr>
        <w:t xml:space="preserve"> Las observaciones de cada parte fueron debidamente trasladadas a la parte contraria.</w:t>
      </w:r>
    </w:p>
  </w:footnote>
  <w:footnote w:id="4">
    <w:p w14:paraId="407917B2" w14:textId="77777777" w:rsidR="00713679" w:rsidRPr="006132CC" w:rsidRDefault="00713679" w:rsidP="0071367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Pr>
          <w:rFonts w:ascii="Cambria" w:hAnsi="Cambria"/>
          <w:sz w:val="16"/>
          <w:szCs w:val="16"/>
          <w:lang w:val="es-ES"/>
        </w:rPr>
        <w:t xml:space="preserve"> CIDH, Informe No. 48/17,</w:t>
      </w:r>
      <w:r w:rsidRPr="006132CC">
        <w:rPr>
          <w:rFonts w:ascii="Cambria" w:hAnsi="Cambria"/>
          <w:sz w:val="16"/>
          <w:szCs w:val="16"/>
          <w:lang w:val="es-ES"/>
        </w:rPr>
        <w:t xml:space="preserve"> Petición 338-07. Admisibilidad. Luis Fernando Leyva </w:t>
      </w:r>
      <w:proofErr w:type="spellStart"/>
      <w:r w:rsidRPr="006132CC">
        <w:rPr>
          <w:rFonts w:ascii="Cambria" w:hAnsi="Cambria"/>
          <w:sz w:val="16"/>
          <w:szCs w:val="16"/>
          <w:lang w:val="es-ES"/>
        </w:rPr>
        <w:t>Micolta</w:t>
      </w:r>
      <w:proofErr w:type="spellEnd"/>
      <w:r w:rsidRPr="006132CC">
        <w:rPr>
          <w:rFonts w:ascii="Cambria" w:hAnsi="Cambria"/>
          <w:sz w:val="16"/>
          <w:szCs w:val="16"/>
          <w:lang w:val="es-ES"/>
        </w:rPr>
        <w:t>. Colombia. 25 de mayo de 2017, párr. 10.</w:t>
      </w:r>
    </w:p>
  </w:footnote>
  <w:footnote w:id="5">
    <w:p w14:paraId="18322FD6" w14:textId="77777777" w:rsidR="00DB1C5D" w:rsidRPr="00FF2352" w:rsidRDefault="00DB1C5D" w:rsidP="00DB1C5D">
      <w:pPr>
        <w:pStyle w:val="FootnoteText"/>
        <w:ind w:firstLine="720"/>
        <w:jc w:val="both"/>
        <w:rPr>
          <w:rFonts w:asciiTheme="majorHAnsi" w:hAnsiTheme="majorHAnsi"/>
          <w:sz w:val="16"/>
          <w:szCs w:val="16"/>
          <w:lang w:val="es-ES"/>
        </w:rPr>
      </w:pPr>
      <w:r w:rsidRPr="00FF2352">
        <w:rPr>
          <w:rStyle w:val="FootnoteReference"/>
          <w:rFonts w:asciiTheme="majorHAnsi" w:hAnsiTheme="majorHAnsi"/>
          <w:sz w:val="16"/>
          <w:szCs w:val="16"/>
        </w:rPr>
        <w:footnoteRef/>
      </w:r>
      <w:r w:rsidRPr="00FF2352">
        <w:rPr>
          <w:rFonts w:asciiTheme="majorHAnsi" w:hAnsiTheme="majorHAnsi"/>
          <w:sz w:val="16"/>
          <w:szCs w:val="16"/>
          <w:lang w:val="es-ES"/>
        </w:rPr>
        <w:t xml:space="preserve"> CIDH, Informe No. 143/18, Petición 940-08. Admisibilidad. Luis Américo Ayala Gonzales. Perú. 4 de diciembre de 2018, párr. 12.</w:t>
      </w:r>
    </w:p>
  </w:footnote>
  <w:footnote w:id="6">
    <w:p w14:paraId="12378EB8" w14:textId="769D057C" w:rsidR="00DB1C5D" w:rsidRPr="00984B4B" w:rsidRDefault="00DB1C5D" w:rsidP="00DB1C5D">
      <w:pPr>
        <w:pStyle w:val="FootnoteText"/>
        <w:ind w:firstLine="720"/>
        <w:jc w:val="both"/>
        <w:rPr>
          <w:rFonts w:ascii="Cambria" w:hAnsi="Cambria"/>
          <w:sz w:val="16"/>
          <w:szCs w:val="16"/>
          <w:vertAlign w:val="subscript"/>
          <w:lang w:val="es-PA"/>
        </w:rPr>
      </w:pPr>
      <w:r w:rsidRPr="00FF2352">
        <w:rPr>
          <w:rStyle w:val="FootnoteReference"/>
          <w:rFonts w:asciiTheme="majorHAnsi" w:hAnsiTheme="majorHAnsi"/>
          <w:sz w:val="16"/>
          <w:szCs w:val="16"/>
        </w:rPr>
        <w:footnoteRef/>
      </w:r>
      <w:r w:rsidRPr="00FF2352">
        <w:rPr>
          <w:rFonts w:asciiTheme="majorHAnsi" w:hAnsiTheme="majorHAnsi"/>
          <w:sz w:val="16"/>
          <w:szCs w:val="16"/>
          <w:lang w:val="es-PA"/>
        </w:rPr>
        <w:t xml:space="preserve"> </w:t>
      </w:r>
      <w:r w:rsidR="00984B4B" w:rsidRPr="00FF2352">
        <w:rPr>
          <w:rFonts w:asciiTheme="majorHAnsi" w:hAnsiTheme="majorHAnsi"/>
          <w:sz w:val="16"/>
          <w:szCs w:val="16"/>
          <w:lang w:val="es-PA"/>
        </w:rPr>
        <w:t xml:space="preserve">CIDH. Informe No. 82/05. Petición 12.169. Inadmisibilidad. Efraín Ramírez Echeverría y Amílcar Mario Acosta Luna. Ecuador, 24 de octubre de 2005, párr. 42; CIDH, Informe No. 118/12, Petición 12.297, Edilberto </w:t>
      </w:r>
      <w:proofErr w:type="spellStart"/>
      <w:r w:rsidR="00984B4B" w:rsidRPr="00FF2352">
        <w:rPr>
          <w:rFonts w:asciiTheme="majorHAnsi" w:hAnsiTheme="majorHAnsi"/>
          <w:sz w:val="16"/>
          <w:szCs w:val="16"/>
          <w:lang w:val="es-PA"/>
        </w:rPr>
        <w:t>Temoche</w:t>
      </w:r>
      <w:proofErr w:type="spellEnd"/>
      <w:r w:rsidR="00984B4B" w:rsidRPr="00FF2352">
        <w:rPr>
          <w:rFonts w:asciiTheme="majorHAnsi" w:hAnsiTheme="majorHAnsi"/>
          <w:sz w:val="16"/>
          <w:szCs w:val="16"/>
          <w:lang w:val="es-PA"/>
        </w:rPr>
        <w:t xml:space="preserve"> Mercado, Perú, 13 de noviembre de 2012, párr.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CE4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441CEF7"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88F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5412D2A" wp14:editId="406E865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E428569" w14:textId="77777777" w:rsidR="00040C3A" w:rsidRPr="00EC7D62" w:rsidRDefault="00A81B29" w:rsidP="00A50FCF">
    <w:pPr>
      <w:pStyle w:val="Header"/>
      <w:tabs>
        <w:tab w:val="clear" w:pos="4320"/>
        <w:tab w:val="clear" w:pos="8640"/>
      </w:tabs>
      <w:jc w:val="center"/>
      <w:rPr>
        <w:sz w:val="22"/>
        <w:szCs w:val="22"/>
      </w:rPr>
    </w:pPr>
    <w:r>
      <w:rPr>
        <w:noProof/>
        <w:sz w:val="22"/>
        <w:szCs w:val="22"/>
        <w:bdr w:val="nil"/>
      </w:rPr>
      <w:pict w14:anchorId="6B248887">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12E1" w14:textId="77777777" w:rsidR="00F3692E" w:rsidRDefault="00F36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354707"/>
    <w:multiLevelType w:val="hybridMultilevel"/>
    <w:tmpl w:val="B90EDDB8"/>
    <w:lvl w:ilvl="0" w:tplc="985C757E">
      <w:start w:val="1"/>
      <w:numFmt w:val="decimal"/>
      <w:lvlText w:val="%1."/>
      <w:lvlJc w:val="left"/>
      <w:pPr>
        <w:ind w:left="1109"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start w:val="1"/>
      <w:numFmt w:val="decimal"/>
      <w:lvlText w:val="%4."/>
      <w:lvlJc w:val="left"/>
      <w:pPr>
        <w:ind w:left="3164" w:hanging="360"/>
      </w:pPr>
    </w:lvl>
    <w:lvl w:ilvl="4" w:tplc="140A0019">
      <w:start w:val="1"/>
      <w:numFmt w:val="lowerLetter"/>
      <w:lvlText w:val="%5."/>
      <w:lvlJc w:val="left"/>
      <w:pPr>
        <w:ind w:left="3884" w:hanging="360"/>
      </w:pPr>
    </w:lvl>
    <w:lvl w:ilvl="5" w:tplc="140A001B">
      <w:start w:val="1"/>
      <w:numFmt w:val="lowerRoman"/>
      <w:lvlText w:val="%6."/>
      <w:lvlJc w:val="right"/>
      <w:pPr>
        <w:ind w:left="4604" w:hanging="180"/>
      </w:pPr>
    </w:lvl>
    <w:lvl w:ilvl="6" w:tplc="140A000F">
      <w:start w:val="1"/>
      <w:numFmt w:val="decimal"/>
      <w:lvlText w:val="%7."/>
      <w:lvlJc w:val="left"/>
      <w:pPr>
        <w:ind w:left="5324" w:hanging="360"/>
      </w:pPr>
    </w:lvl>
    <w:lvl w:ilvl="7" w:tplc="140A0019">
      <w:start w:val="1"/>
      <w:numFmt w:val="lowerLetter"/>
      <w:lvlText w:val="%8."/>
      <w:lvlJc w:val="left"/>
      <w:pPr>
        <w:ind w:left="6044" w:hanging="360"/>
      </w:pPr>
    </w:lvl>
    <w:lvl w:ilvl="8" w:tplc="140A001B">
      <w:start w:val="1"/>
      <w:numFmt w:val="lowerRoman"/>
      <w:lvlText w:val="%9."/>
      <w:lvlJc w:val="right"/>
      <w:pPr>
        <w:ind w:left="6764"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0"/>
  </w:num>
  <w:num w:numId="5">
    <w:abstractNumId w:val="48"/>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1"/>
  </w:num>
  <w:num w:numId="53">
    <w:abstractNumId w:val="51"/>
  </w:num>
  <w:num w:numId="54">
    <w:abstractNumId w:val="45"/>
  </w:num>
  <w:num w:numId="55">
    <w:abstractNumId w:val="43"/>
  </w:num>
  <w:num w:numId="56">
    <w:abstractNumId w:val="26"/>
  </w:num>
  <w:num w:numId="57">
    <w:abstractNumId w:val="24"/>
  </w:num>
  <w:num w:numId="58">
    <w:abstractNumId w:val="36"/>
  </w:num>
  <w:num w:numId="59">
    <w:abstractNumId w:val="47"/>
  </w:num>
  <w:num w:numId="60">
    <w:abstractNumId w:val="55"/>
  </w:num>
  <w:num w:numId="6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17EE1"/>
    <w:rsid w:val="000337EF"/>
    <w:rsid w:val="0004076B"/>
    <w:rsid w:val="00040C3A"/>
    <w:rsid w:val="000419AD"/>
    <w:rsid w:val="000433C9"/>
    <w:rsid w:val="00071174"/>
    <w:rsid w:val="000716C5"/>
    <w:rsid w:val="00075E23"/>
    <w:rsid w:val="000761D7"/>
    <w:rsid w:val="00090576"/>
    <w:rsid w:val="000924E8"/>
    <w:rsid w:val="0009344A"/>
    <w:rsid w:val="000A1572"/>
    <w:rsid w:val="000A266F"/>
    <w:rsid w:val="000A392E"/>
    <w:rsid w:val="000A575F"/>
    <w:rsid w:val="000D05CB"/>
    <w:rsid w:val="000D10DB"/>
    <w:rsid w:val="000E5EB5"/>
    <w:rsid w:val="000E6770"/>
    <w:rsid w:val="000F35ED"/>
    <w:rsid w:val="000F643D"/>
    <w:rsid w:val="00100F04"/>
    <w:rsid w:val="0010482D"/>
    <w:rsid w:val="00107131"/>
    <w:rsid w:val="0010736F"/>
    <w:rsid w:val="00113F73"/>
    <w:rsid w:val="00121011"/>
    <w:rsid w:val="0012118C"/>
    <w:rsid w:val="00121CC2"/>
    <w:rsid w:val="0012239D"/>
    <w:rsid w:val="00131425"/>
    <w:rsid w:val="00133EE5"/>
    <w:rsid w:val="00150E0E"/>
    <w:rsid w:val="001662F6"/>
    <w:rsid w:val="00167A34"/>
    <w:rsid w:val="00180FA4"/>
    <w:rsid w:val="00183A59"/>
    <w:rsid w:val="001A1679"/>
    <w:rsid w:val="001A520D"/>
    <w:rsid w:val="001A7870"/>
    <w:rsid w:val="001A7B98"/>
    <w:rsid w:val="001B3A00"/>
    <w:rsid w:val="001C1B41"/>
    <w:rsid w:val="001D22F2"/>
    <w:rsid w:val="001D2361"/>
    <w:rsid w:val="001D3BB9"/>
    <w:rsid w:val="001D62D6"/>
    <w:rsid w:val="001D65EF"/>
    <w:rsid w:val="001E3825"/>
    <w:rsid w:val="001E49E7"/>
    <w:rsid w:val="001F7201"/>
    <w:rsid w:val="00200D72"/>
    <w:rsid w:val="0020232D"/>
    <w:rsid w:val="00223A29"/>
    <w:rsid w:val="002250A3"/>
    <w:rsid w:val="00231DBC"/>
    <w:rsid w:val="00235217"/>
    <w:rsid w:val="00246D1F"/>
    <w:rsid w:val="00247403"/>
    <w:rsid w:val="00247542"/>
    <w:rsid w:val="00253410"/>
    <w:rsid w:val="0025429E"/>
    <w:rsid w:val="00266B61"/>
    <w:rsid w:val="0026712A"/>
    <w:rsid w:val="002704DB"/>
    <w:rsid w:val="0027241D"/>
    <w:rsid w:val="00285D7C"/>
    <w:rsid w:val="00286309"/>
    <w:rsid w:val="002A0AAE"/>
    <w:rsid w:val="002A5820"/>
    <w:rsid w:val="002D2B26"/>
    <w:rsid w:val="002D7EA2"/>
    <w:rsid w:val="002E187C"/>
    <w:rsid w:val="00301B66"/>
    <w:rsid w:val="00301FA0"/>
    <w:rsid w:val="00302733"/>
    <w:rsid w:val="00305835"/>
    <w:rsid w:val="00306F33"/>
    <w:rsid w:val="00314078"/>
    <w:rsid w:val="0031535D"/>
    <w:rsid w:val="00316862"/>
    <w:rsid w:val="003239B8"/>
    <w:rsid w:val="00330939"/>
    <w:rsid w:val="0033169F"/>
    <w:rsid w:val="00344977"/>
    <w:rsid w:val="00346C95"/>
    <w:rsid w:val="00347710"/>
    <w:rsid w:val="00356185"/>
    <w:rsid w:val="00360380"/>
    <w:rsid w:val="0036230F"/>
    <w:rsid w:val="00374393"/>
    <w:rsid w:val="0037519E"/>
    <w:rsid w:val="00384AFA"/>
    <w:rsid w:val="0038616F"/>
    <w:rsid w:val="00386CF0"/>
    <w:rsid w:val="003A7306"/>
    <w:rsid w:val="003B1AB6"/>
    <w:rsid w:val="003B70FB"/>
    <w:rsid w:val="003C676B"/>
    <w:rsid w:val="003D3BC2"/>
    <w:rsid w:val="003D6779"/>
    <w:rsid w:val="003E006F"/>
    <w:rsid w:val="003E6036"/>
    <w:rsid w:val="003E6186"/>
    <w:rsid w:val="003E645E"/>
    <w:rsid w:val="003E6CA1"/>
    <w:rsid w:val="003F5154"/>
    <w:rsid w:val="0040249D"/>
    <w:rsid w:val="00405F9C"/>
    <w:rsid w:val="004065A8"/>
    <w:rsid w:val="004112AA"/>
    <w:rsid w:val="00411576"/>
    <w:rsid w:val="004165C2"/>
    <w:rsid w:val="00421644"/>
    <w:rsid w:val="00434886"/>
    <w:rsid w:val="00441ECB"/>
    <w:rsid w:val="00442028"/>
    <w:rsid w:val="0044210D"/>
    <w:rsid w:val="00444409"/>
    <w:rsid w:val="00445193"/>
    <w:rsid w:val="00452D9E"/>
    <w:rsid w:val="00455950"/>
    <w:rsid w:val="00462C1B"/>
    <w:rsid w:val="00467B7E"/>
    <w:rsid w:val="00470ECC"/>
    <w:rsid w:val="00473BB4"/>
    <w:rsid w:val="00477592"/>
    <w:rsid w:val="00481A4F"/>
    <w:rsid w:val="00483640"/>
    <w:rsid w:val="00486F1C"/>
    <w:rsid w:val="00490145"/>
    <w:rsid w:val="00490587"/>
    <w:rsid w:val="0049419D"/>
    <w:rsid w:val="0049499C"/>
    <w:rsid w:val="004A6A54"/>
    <w:rsid w:val="004B0681"/>
    <w:rsid w:val="004B1050"/>
    <w:rsid w:val="004B39CB"/>
    <w:rsid w:val="004B421C"/>
    <w:rsid w:val="004C20D2"/>
    <w:rsid w:val="004C2312"/>
    <w:rsid w:val="004C2F2E"/>
    <w:rsid w:val="004C39F5"/>
    <w:rsid w:val="004C4B62"/>
    <w:rsid w:val="004C54C9"/>
    <w:rsid w:val="004D3DA4"/>
    <w:rsid w:val="004D4ABA"/>
    <w:rsid w:val="004D6025"/>
    <w:rsid w:val="004D647F"/>
    <w:rsid w:val="004E2649"/>
    <w:rsid w:val="004F4DF1"/>
    <w:rsid w:val="004F626F"/>
    <w:rsid w:val="00501399"/>
    <w:rsid w:val="0050430F"/>
    <w:rsid w:val="005047ED"/>
    <w:rsid w:val="00505674"/>
    <w:rsid w:val="0050633D"/>
    <w:rsid w:val="00507BC4"/>
    <w:rsid w:val="005128E4"/>
    <w:rsid w:val="005133DB"/>
    <w:rsid w:val="00514504"/>
    <w:rsid w:val="00520C11"/>
    <w:rsid w:val="00521E1F"/>
    <w:rsid w:val="00525560"/>
    <w:rsid w:val="00533B23"/>
    <w:rsid w:val="00533BBD"/>
    <w:rsid w:val="0053792D"/>
    <w:rsid w:val="00544B3D"/>
    <w:rsid w:val="00544C49"/>
    <w:rsid w:val="005516A1"/>
    <w:rsid w:val="005559EF"/>
    <w:rsid w:val="00557BE3"/>
    <w:rsid w:val="005606C1"/>
    <w:rsid w:val="00563557"/>
    <w:rsid w:val="0057402A"/>
    <w:rsid w:val="005771D0"/>
    <w:rsid w:val="005849E2"/>
    <w:rsid w:val="00590A10"/>
    <w:rsid w:val="0059191A"/>
    <w:rsid w:val="005921FF"/>
    <w:rsid w:val="00593C57"/>
    <w:rsid w:val="005A1819"/>
    <w:rsid w:val="005A24ED"/>
    <w:rsid w:val="005A282F"/>
    <w:rsid w:val="005A475B"/>
    <w:rsid w:val="005A6D0E"/>
    <w:rsid w:val="005B4C1C"/>
    <w:rsid w:val="005B52B0"/>
    <w:rsid w:val="005B6806"/>
    <w:rsid w:val="005B6CB4"/>
    <w:rsid w:val="005C4225"/>
    <w:rsid w:val="005D17A5"/>
    <w:rsid w:val="005F0DAD"/>
    <w:rsid w:val="005F0F33"/>
    <w:rsid w:val="005F654E"/>
    <w:rsid w:val="00600DEB"/>
    <w:rsid w:val="0062430B"/>
    <w:rsid w:val="006267F2"/>
    <w:rsid w:val="00627C9F"/>
    <w:rsid w:val="006311E9"/>
    <w:rsid w:val="00632354"/>
    <w:rsid w:val="00635421"/>
    <w:rsid w:val="00642810"/>
    <w:rsid w:val="00647300"/>
    <w:rsid w:val="00652333"/>
    <w:rsid w:val="00652A62"/>
    <w:rsid w:val="006543F3"/>
    <w:rsid w:val="00676832"/>
    <w:rsid w:val="0067684C"/>
    <w:rsid w:val="0068009E"/>
    <w:rsid w:val="006851C9"/>
    <w:rsid w:val="00692219"/>
    <w:rsid w:val="00696347"/>
    <w:rsid w:val="006A17D2"/>
    <w:rsid w:val="006A1FCA"/>
    <w:rsid w:val="006A465E"/>
    <w:rsid w:val="006A73E6"/>
    <w:rsid w:val="006B2D5C"/>
    <w:rsid w:val="006C0ECF"/>
    <w:rsid w:val="006C1FE9"/>
    <w:rsid w:val="006C4B7D"/>
    <w:rsid w:val="006C4EB1"/>
    <w:rsid w:val="006C7B32"/>
    <w:rsid w:val="006D402D"/>
    <w:rsid w:val="006D487F"/>
    <w:rsid w:val="006E0166"/>
    <w:rsid w:val="006E2562"/>
    <w:rsid w:val="006E2FFB"/>
    <w:rsid w:val="006E7B34"/>
    <w:rsid w:val="006F7B71"/>
    <w:rsid w:val="0070697F"/>
    <w:rsid w:val="007103C4"/>
    <w:rsid w:val="00712DAD"/>
    <w:rsid w:val="00713679"/>
    <w:rsid w:val="0072199C"/>
    <w:rsid w:val="00722C9F"/>
    <w:rsid w:val="007253B8"/>
    <w:rsid w:val="00727445"/>
    <w:rsid w:val="00734C93"/>
    <w:rsid w:val="0073741F"/>
    <w:rsid w:val="00737E9E"/>
    <w:rsid w:val="0074022F"/>
    <w:rsid w:val="00743450"/>
    <w:rsid w:val="0074612D"/>
    <w:rsid w:val="0076643F"/>
    <w:rsid w:val="00777DEA"/>
    <w:rsid w:val="00777F63"/>
    <w:rsid w:val="007A5817"/>
    <w:rsid w:val="007A58F9"/>
    <w:rsid w:val="007B05C4"/>
    <w:rsid w:val="007B0990"/>
    <w:rsid w:val="007B60E9"/>
    <w:rsid w:val="007B6CC3"/>
    <w:rsid w:val="007B76D3"/>
    <w:rsid w:val="007C2FE9"/>
    <w:rsid w:val="007C3334"/>
    <w:rsid w:val="007D2B98"/>
    <w:rsid w:val="007E07F6"/>
    <w:rsid w:val="007E21BC"/>
    <w:rsid w:val="007E479D"/>
    <w:rsid w:val="007E55C1"/>
    <w:rsid w:val="007E7C82"/>
    <w:rsid w:val="007F0C89"/>
    <w:rsid w:val="007F2AA1"/>
    <w:rsid w:val="007F588D"/>
    <w:rsid w:val="0080139F"/>
    <w:rsid w:val="00803F1C"/>
    <w:rsid w:val="0080600E"/>
    <w:rsid w:val="00806B53"/>
    <w:rsid w:val="00814688"/>
    <w:rsid w:val="00817612"/>
    <w:rsid w:val="0082061E"/>
    <w:rsid w:val="008243BC"/>
    <w:rsid w:val="008271E4"/>
    <w:rsid w:val="008338A4"/>
    <w:rsid w:val="00834D49"/>
    <w:rsid w:val="00834DB8"/>
    <w:rsid w:val="00837C45"/>
    <w:rsid w:val="00844730"/>
    <w:rsid w:val="008457C2"/>
    <w:rsid w:val="00852DA5"/>
    <w:rsid w:val="00857A82"/>
    <w:rsid w:val="008659BD"/>
    <w:rsid w:val="00866ADE"/>
    <w:rsid w:val="00867BC5"/>
    <w:rsid w:val="00871663"/>
    <w:rsid w:val="00873836"/>
    <w:rsid w:val="00885737"/>
    <w:rsid w:val="00890650"/>
    <w:rsid w:val="00891968"/>
    <w:rsid w:val="008944DC"/>
    <w:rsid w:val="00897E12"/>
    <w:rsid w:val="008A7E0F"/>
    <w:rsid w:val="008B12F5"/>
    <w:rsid w:val="008C26EB"/>
    <w:rsid w:val="008C47A2"/>
    <w:rsid w:val="008C5E2D"/>
    <w:rsid w:val="008D768D"/>
    <w:rsid w:val="008D7E46"/>
    <w:rsid w:val="008E3759"/>
    <w:rsid w:val="008E3BFE"/>
    <w:rsid w:val="008F1524"/>
    <w:rsid w:val="008F1912"/>
    <w:rsid w:val="0090270B"/>
    <w:rsid w:val="009041DC"/>
    <w:rsid w:val="00917B5A"/>
    <w:rsid w:val="00920A58"/>
    <w:rsid w:val="00920A8C"/>
    <w:rsid w:val="00934A2C"/>
    <w:rsid w:val="009439D3"/>
    <w:rsid w:val="00950AF6"/>
    <w:rsid w:val="009630F1"/>
    <w:rsid w:val="00964B34"/>
    <w:rsid w:val="0096706E"/>
    <w:rsid w:val="0097430A"/>
    <w:rsid w:val="00974491"/>
    <w:rsid w:val="0097494C"/>
    <w:rsid w:val="00975C4E"/>
    <w:rsid w:val="00981FBA"/>
    <w:rsid w:val="009820AE"/>
    <w:rsid w:val="00984B4B"/>
    <w:rsid w:val="00985B06"/>
    <w:rsid w:val="00993D63"/>
    <w:rsid w:val="00997BC5"/>
    <w:rsid w:val="009A4F41"/>
    <w:rsid w:val="009B381B"/>
    <w:rsid w:val="009B643B"/>
    <w:rsid w:val="009C2463"/>
    <w:rsid w:val="009D1753"/>
    <w:rsid w:val="009D7611"/>
    <w:rsid w:val="009E0B61"/>
    <w:rsid w:val="009E2CBC"/>
    <w:rsid w:val="009E308D"/>
    <w:rsid w:val="009E5382"/>
    <w:rsid w:val="009E53DE"/>
    <w:rsid w:val="00A11212"/>
    <w:rsid w:val="00A11E44"/>
    <w:rsid w:val="00A25B98"/>
    <w:rsid w:val="00A30100"/>
    <w:rsid w:val="00A328B3"/>
    <w:rsid w:val="00A50FCF"/>
    <w:rsid w:val="00A528D1"/>
    <w:rsid w:val="00A603E3"/>
    <w:rsid w:val="00A610CD"/>
    <w:rsid w:val="00A6153A"/>
    <w:rsid w:val="00A62350"/>
    <w:rsid w:val="00A758AA"/>
    <w:rsid w:val="00A81B29"/>
    <w:rsid w:val="00A873D9"/>
    <w:rsid w:val="00AA09A2"/>
    <w:rsid w:val="00AA7996"/>
    <w:rsid w:val="00AC13C9"/>
    <w:rsid w:val="00AC19CB"/>
    <w:rsid w:val="00AE5488"/>
    <w:rsid w:val="00AE6F91"/>
    <w:rsid w:val="00AF5571"/>
    <w:rsid w:val="00B07341"/>
    <w:rsid w:val="00B302EF"/>
    <w:rsid w:val="00B30539"/>
    <w:rsid w:val="00B314DB"/>
    <w:rsid w:val="00B34848"/>
    <w:rsid w:val="00B354B5"/>
    <w:rsid w:val="00B361F2"/>
    <w:rsid w:val="00B3718B"/>
    <w:rsid w:val="00B3745F"/>
    <w:rsid w:val="00B37C9E"/>
    <w:rsid w:val="00B42AE5"/>
    <w:rsid w:val="00B4632A"/>
    <w:rsid w:val="00B530F1"/>
    <w:rsid w:val="00B618D7"/>
    <w:rsid w:val="00B71584"/>
    <w:rsid w:val="00B93D7F"/>
    <w:rsid w:val="00BA276C"/>
    <w:rsid w:val="00BA7711"/>
    <w:rsid w:val="00BB019D"/>
    <w:rsid w:val="00BB306F"/>
    <w:rsid w:val="00BC1D13"/>
    <w:rsid w:val="00BD0FF5"/>
    <w:rsid w:val="00BD4B89"/>
    <w:rsid w:val="00BD5922"/>
    <w:rsid w:val="00BF02CB"/>
    <w:rsid w:val="00BF35BC"/>
    <w:rsid w:val="00BF6FD8"/>
    <w:rsid w:val="00C03680"/>
    <w:rsid w:val="00C054DF"/>
    <w:rsid w:val="00C21762"/>
    <w:rsid w:val="00C219F0"/>
    <w:rsid w:val="00C21FEF"/>
    <w:rsid w:val="00C23BA4"/>
    <w:rsid w:val="00C24543"/>
    <w:rsid w:val="00C256A2"/>
    <w:rsid w:val="00C25ADB"/>
    <w:rsid w:val="00C45595"/>
    <w:rsid w:val="00C51515"/>
    <w:rsid w:val="00C5660B"/>
    <w:rsid w:val="00C64838"/>
    <w:rsid w:val="00C66B72"/>
    <w:rsid w:val="00C808EE"/>
    <w:rsid w:val="00C862F5"/>
    <w:rsid w:val="00C87AC4"/>
    <w:rsid w:val="00C9567A"/>
    <w:rsid w:val="00C9576B"/>
    <w:rsid w:val="00CB212D"/>
    <w:rsid w:val="00CB2660"/>
    <w:rsid w:val="00CC2F38"/>
    <w:rsid w:val="00CC350E"/>
    <w:rsid w:val="00CC5B54"/>
    <w:rsid w:val="00CC5E90"/>
    <w:rsid w:val="00CD046C"/>
    <w:rsid w:val="00CE076C"/>
    <w:rsid w:val="00CE5199"/>
    <w:rsid w:val="00CE60D7"/>
    <w:rsid w:val="00CE66D5"/>
    <w:rsid w:val="00CF637A"/>
    <w:rsid w:val="00D049B5"/>
    <w:rsid w:val="00D059DE"/>
    <w:rsid w:val="00D05ABD"/>
    <w:rsid w:val="00D13FCE"/>
    <w:rsid w:val="00D306D1"/>
    <w:rsid w:val="00D30800"/>
    <w:rsid w:val="00D3180E"/>
    <w:rsid w:val="00D34786"/>
    <w:rsid w:val="00D37BFC"/>
    <w:rsid w:val="00D44CD2"/>
    <w:rsid w:val="00D47A8E"/>
    <w:rsid w:val="00D51638"/>
    <w:rsid w:val="00D51C25"/>
    <w:rsid w:val="00D52D14"/>
    <w:rsid w:val="00D652CE"/>
    <w:rsid w:val="00D712D3"/>
    <w:rsid w:val="00D71422"/>
    <w:rsid w:val="00D72DC6"/>
    <w:rsid w:val="00D73C7F"/>
    <w:rsid w:val="00D7558D"/>
    <w:rsid w:val="00D81D92"/>
    <w:rsid w:val="00D863A4"/>
    <w:rsid w:val="00D876F9"/>
    <w:rsid w:val="00D92A32"/>
    <w:rsid w:val="00D97CD7"/>
    <w:rsid w:val="00DA65FD"/>
    <w:rsid w:val="00DA66D5"/>
    <w:rsid w:val="00DA7B5F"/>
    <w:rsid w:val="00DB1C5D"/>
    <w:rsid w:val="00DB22B5"/>
    <w:rsid w:val="00DB5F88"/>
    <w:rsid w:val="00DC11E7"/>
    <w:rsid w:val="00DC24E3"/>
    <w:rsid w:val="00DC3DAB"/>
    <w:rsid w:val="00DC7023"/>
    <w:rsid w:val="00DC769A"/>
    <w:rsid w:val="00DD3D86"/>
    <w:rsid w:val="00DD4AD2"/>
    <w:rsid w:val="00DE2862"/>
    <w:rsid w:val="00DF1EC4"/>
    <w:rsid w:val="00E0340B"/>
    <w:rsid w:val="00E04A90"/>
    <w:rsid w:val="00E0551F"/>
    <w:rsid w:val="00E14701"/>
    <w:rsid w:val="00E15D2A"/>
    <w:rsid w:val="00E2067D"/>
    <w:rsid w:val="00E219C7"/>
    <w:rsid w:val="00E252BD"/>
    <w:rsid w:val="00E31A92"/>
    <w:rsid w:val="00E4118C"/>
    <w:rsid w:val="00E43157"/>
    <w:rsid w:val="00E437A6"/>
    <w:rsid w:val="00E461CE"/>
    <w:rsid w:val="00E47B2D"/>
    <w:rsid w:val="00E55297"/>
    <w:rsid w:val="00E55600"/>
    <w:rsid w:val="00E573E4"/>
    <w:rsid w:val="00E64C3D"/>
    <w:rsid w:val="00E65AFB"/>
    <w:rsid w:val="00E720CA"/>
    <w:rsid w:val="00E84EB5"/>
    <w:rsid w:val="00E85662"/>
    <w:rsid w:val="00E8789F"/>
    <w:rsid w:val="00E97B71"/>
    <w:rsid w:val="00EA3D34"/>
    <w:rsid w:val="00EA462D"/>
    <w:rsid w:val="00EB454D"/>
    <w:rsid w:val="00EB77CF"/>
    <w:rsid w:val="00ED28BB"/>
    <w:rsid w:val="00ED549D"/>
    <w:rsid w:val="00ED5E10"/>
    <w:rsid w:val="00ED76BE"/>
    <w:rsid w:val="00EE00E9"/>
    <w:rsid w:val="00EE2FC9"/>
    <w:rsid w:val="00EE2FFB"/>
    <w:rsid w:val="00EF1AAA"/>
    <w:rsid w:val="00EF619B"/>
    <w:rsid w:val="00F00B55"/>
    <w:rsid w:val="00F01755"/>
    <w:rsid w:val="00F02AD1"/>
    <w:rsid w:val="00F176E8"/>
    <w:rsid w:val="00F253CC"/>
    <w:rsid w:val="00F3692E"/>
    <w:rsid w:val="00F37106"/>
    <w:rsid w:val="00F407DC"/>
    <w:rsid w:val="00F44E25"/>
    <w:rsid w:val="00F45CBD"/>
    <w:rsid w:val="00F519CF"/>
    <w:rsid w:val="00F545A6"/>
    <w:rsid w:val="00F56BA5"/>
    <w:rsid w:val="00F60E22"/>
    <w:rsid w:val="00F65C02"/>
    <w:rsid w:val="00F77970"/>
    <w:rsid w:val="00F81395"/>
    <w:rsid w:val="00F81BB8"/>
    <w:rsid w:val="00F868AD"/>
    <w:rsid w:val="00F90C64"/>
    <w:rsid w:val="00F917D1"/>
    <w:rsid w:val="00F9653B"/>
    <w:rsid w:val="00FB62CF"/>
    <w:rsid w:val="00FC2996"/>
    <w:rsid w:val="00FC7284"/>
    <w:rsid w:val="00FC7F54"/>
    <w:rsid w:val="00FD3C3B"/>
    <w:rsid w:val="00FE07DD"/>
    <w:rsid w:val="00FE6B45"/>
    <w:rsid w:val="00FF235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D2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5AFB"/>
    <w:rPr>
      <w:sz w:val="16"/>
      <w:szCs w:val="16"/>
    </w:rPr>
  </w:style>
  <w:style w:type="paragraph" w:styleId="CommentText">
    <w:name w:val="annotation text"/>
    <w:basedOn w:val="Normal"/>
    <w:link w:val="CommentTextChar"/>
    <w:uiPriority w:val="99"/>
    <w:semiHidden/>
    <w:unhideWhenUsed/>
    <w:rsid w:val="00E65AFB"/>
    <w:rPr>
      <w:sz w:val="20"/>
      <w:szCs w:val="20"/>
    </w:rPr>
  </w:style>
  <w:style w:type="character" w:customStyle="1" w:styleId="CommentTextChar">
    <w:name w:val="Comment Text Char"/>
    <w:basedOn w:val="DefaultParagraphFont"/>
    <w:link w:val="CommentText"/>
    <w:uiPriority w:val="99"/>
    <w:semiHidden/>
    <w:rsid w:val="00E65AFB"/>
    <w:rPr>
      <w:lang w:val="en-US" w:eastAsia="en-US"/>
    </w:rPr>
  </w:style>
  <w:style w:type="paragraph" w:styleId="CommentSubject">
    <w:name w:val="annotation subject"/>
    <w:basedOn w:val="CommentText"/>
    <w:next w:val="CommentText"/>
    <w:link w:val="CommentSubjectChar"/>
    <w:uiPriority w:val="99"/>
    <w:semiHidden/>
    <w:unhideWhenUsed/>
    <w:rsid w:val="001D3BB9"/>
    <w:rPr>
      <w:b/>
      <w:bCs/>
    </w:rPr>
  </w:style>
  <w:style w:type="character" w:customStyle="1" w:styleId="CommentSubjectChar">
    <w:name w:val="Comment Subject Char"/>
    <w:basedOn w:val="CommentTextChar"/>
    <w:link w:val="CommentSubject"/>
    <w:uiPriority w:val="99"/>
    <w:semiHidden/>
    <w:rsid w:val="001D3BB9"/>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D652C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4421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411018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3061"/>
    <w:rsid w:val="00171D3E"/>
    <w:rsid w:val="00200821"/>
    <w:rsid w:val="0025245B"/>
    <w:rsid w:val="002A3923"/>
    <w:rsid w:val="00394049"/>
    <w:rsid w:val="003B0C71"/>
    <w:rsid w:val="003F3C17"/>
    <w:rsid w:val="004340AD"/>
    <w:rsid w:val="004B5BBB"/>
    <w:rsid w:val="004F2DF8"/>
    <w:rsid w:val="004F7BE7"/>
    <w:rsid w:val="00517E2A"/>
    <w:rsid w:val="00575236"/>
    <w:rsid w:val="00580A23"/>
    <w:rsid w:val="005A4EAB"/>
    <w:rsid w:val="005B091A"/>
    <w:rsid w:val="006F24A1"/>
    <w:rsid w:val="007735EF"/>
    <w:rsid w:val="007C56DE"/>
    <w:rsid w:val="008B22D2"/>
    <w:rsid w:val="00924B42"/>
    <w:rsid w:val="009A261B"/>
    <w:rsid w:val="009A5E14"/>
    <w:rsid w:val="009C59FD"/>
    <w:rsid w:val="00AA2E17"/>
    <w:rsid w:val="00AC15A4"/>
    <w:rsid w:val="00B0336C"/>
    <w:rsid w:val="00D241E9"/>
    <w:rsid w:val="00D67689"/>
    <w:rsid w:val="00D7750D"/>
    <w:rsid w:val="00DD5FE9"/>
    <w:rsid w:val="00EB14DC"/>
    <w:rsid w:val="00F00D2F"/>
    <w:rsid w:val="00F128DF"/>
    <w:rsid w:val="00F85BDD"/>
    <w:rsid w:val="00FD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C7BB-C0EB-4F1D-A18C-27CE773C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12705</Characters>
  <Application>Microsoft Office Word</Application>
  <DocSecurity>0</DocSecurity>
  <Lines>282</Lines>
  <Paragraphs>129</Paragraphs>
  <ScaleCrop>false</ScaleCrop>
  <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232/20</dc:title>
  <dc:creator/>
  <cp:lastModifiedBy/>
  <cp:revision>1</cp:revision>
  <dcterms:created xsi:type="dcterms:W3CDTF">2020-10-20T15:08:00Z</dcterms:created>
  <dcterms:modified xsi:type="dcterms:W3CDTF">2020-10-20T15:08:00Z</dcterms:modified>
</cp:coreProperties>
</file>