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3D4A44" w:rsidRDefault="00D306D1" w:rsidP="00627C9F">
      <w:pPr>
        <w:jc w:val="both"/>
        <w:rPr>
          <w:rFonts w:asciiTheme="majorHAnsi" w:hAnsiTheme="majorHAnsi" w:cs="Univers"/>
          <w:b/>
          <w:bCs/>
          <w:noProof/>
          <w:sz w:val="22"/>
          <w:szCs w:val="22"/>
          <w:lang w:val="es-ES_tradnl"/>
        </w:rPr>
      </w:pPr>
      <w:r w:rsidRPr="003D4A4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9E91A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3D4A4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3D4A44" w:rsidRDefault="00040C3A" w:rsidP="00040C3A">
      <w:pPr>
        <w:tabs>
          <w:tab w:val="center" w:pos="5400"/>
        </w:tabs>
        <w:suppressAutoHyphens/>
        <w:jc w:val="both"/>
        <w:rPr>
          <w:rFonts w:asciiTheme="majorHAnsi" w:hAnsiTheme="majorHAnsi"/>
          <w:noProof/>
          <w:sz w:val="22"/>
          <w:szCs w:val="22"/>
          <w:lang w:val="es-ES_tradnl"/>
        </w:rPr>
      </w:pPr>
    </w:p>
    <w:p w14:paraId="5A87E141" w14:textId="77777777" w:rsidR="00040C3A" w:rsidRPr="003D4A44" w:rsidRDefault="00040C3A" w:rsidP="00040C3A">
      <w:pPr>
        <w:tabs>
          <w:tab w:val="center" w:pos="5400"/>
        </w:tabs>
        <w:suppressAutoHyphens/>
        <w:jc w:val="both"/>
        <w:rPr>
          <w:rFonts w:asciiTheme="majorHAnsi" w:hAnsiTheme="majorHAnsi"/>
          <w:noProof/>
          <w:sz w:val="22"/>
          <w:szCs w:val="22"/>
          <w:lang w:val="es-ES_tradnl"/>
        </w:rPr>
      </w:pPr>
    </w:p>
    <w:p w14:paraId="29D95BCC" w14:textId="77777777" w:rsidR="005128E4" w:rsidRPr="003D4A44" w:rsidRDefault="005128E4" w:rsidP="00040C3A">
      <w:pPr>
        <w:tabs>
          <w:tab w:val="center" w:pos="5400"/>
        </w:tabs>
        <w:suppressAutoHyphens/>
        <w:rPr>
          <w:rFonts w:asciiTheme="majorHAnsi" w:hAnsiTheme="majorHAnsi"/>
          <w:noProof/>
          <w:sz w:val="22"/>
          <w:szCs w:val="22"/>
          <w:lang w:val="es-ES_tradnl"/>
        </w:rPr>
      </w:pPr>
    </w:p>
    <w:p w14:paraId="12A36B24" w14:textId="77777777" w:rsidR="005128E4" w:rsidRPr="003D4A44" w:rsidRDefault="005128E4" w:rsidP="00040C3A">
      <w:pPr>
        <w:tabs>
          <w:tab w:val="center" w:pos="5400"/>
        </w:tabs>
        <w:suppressAutoHyphens/>
        <w:rPr>
          <w:rFonts w:asciiTheme="majorHAnsi" w:hAnsiTheme="majorHAnsi"/>
          <w:noProof/>
          <w:sz w:val="22"/>
          <w:szCs w:val="22"/>
          <w:lang w:val="es-ES_tradnl"/>
        </w:rPr>
      </w:pPr>
    </w:p>
    <w:p w14:paraId="2252093D" w14:textId="77777777" w:rsidR="005128E4" w:rsidRPr="003D4A44" w:rsidRDefault="005128E4" w:rsidP="00040C3A">
      <w:pPr>
        <w:tabs>
          <w:tab w:val="center" w:pos="5400"/>
        </w:tabs>
        <w:suppressAutoHyphens/>
        <w:rPr>
          <w:rFonts w:asciiTheme="majorHAnsi" w:hAnsiTheme="majorHAnsi"/>
          <w:noProof/>
          <w:sz w:val="22"/>
          <w:szCs w:val="22"/>
          <w:lang w:val="es-ES_tradnl"/>
        </w:rPr>
      </w:pPr>
    </w:p>
    <w:p w14:paraId="403935BD" w14:textId="77777777" w:rsidR="00040C3A" w:rsidRPr="003D4A44" w:rsidRDefault="00040C3A" w:rsidP="005128E4">
      <w:pPr>
        <w:tabs>
          <w:tab w:val="center" w:pos="5400"/>
        </w:tabs>
        <w:suppressAutoHyphens/>
        <w:jc w:val="center"/>
        <w:rPr>
          <w:rFonts w:asciiTheme="majorHAnsi" w:hAnsiTheme="majorHAnsi"/>
          <w:noProof/>
          <w:sz w:val="22"/>
          <w:szCs w:val="22"/>
          <w:lang w:val="es-ES_tradnl"/>
        </w:rPr>
      </w:pPr>
    </w:p>
    <w:p w14:paraId="6DCF5F8F" w14:textId="77777777" w:rsidR="00040C3A" w:rsidRPr="003D4A44" w:rsidRDefault="00040C3A" w:rsidP="005128E4">
      <w:pPr>
        <w:tabs>
          <w:tab w:val="center" w:pos="5400"/>
        </w:tabs>
        <w:suppressAutoHyphens/>
        <w:jc w:val="center"/>
        <w:rPr>
          <w:rFonts w:asciiTheme="majorHAnsi" w:hAnsiTheme="majorHAnsi"/>
          <w:noProof/>
          <w:sz w:val="22"/>
          <w:szCs w:val="22"/>
          <w:lang w:val="es-ES_tradnl"/>
        </w:rPr>
      </w:pPr>
      <w:bookmarkStart w:id="0" w:name="_GoBack"/>
      <w:bookmarkEnd w:id="0"/>
    </w:p>
    <w:p w14:paraId="4791F13A" w14:textId="77777777" w:rsidR="005B52B0" w:rsidRPr="003D4A44" w:rsidRDefault="005B52B0" w:rsidP="005128E4">
      <w:pPr>
        <w:tabs>
          <w:tab w:val="center" w:pos="5400"/>
        </w:tabs>
        <w:suppressAutoHyphens/>
        <w:jc w:val="center"/>
        <w:rPr>
          <w:rFonts w:asciiTheme="majorHAnsi" w:hAnsiTheme="majorHAnsi"/>
          <w:noProof/>
          <w:sz w:val="22"/>
          <w:szCs w:val="22"/>
          <w:lang w:val="es-ES_tradnl"/>
        </w:rPr>
      </w:pPr>
    </w:p>
    <w:p w14:paraId="44E016B6" w14:textId="77777777" w:rsidR="005B52B0" w:rsidRPr="003D4A44" w:rsidRDefault="005B52B0" w:rsidP="005128E4">
      <w:pPr>
        <w:tabs>
          <w:tab w:val="center" w:pos="5400"/>
        </w:tabs>
        <w:suppressAutoHyphens/>
        <w:jc w:val="center"/>
        <w:rPr>
          <w:rFonts w:asciiTheme="majorHAnsi" w:hAnsiTheme="majorHAnsi"/>
          <w:noProof/>
          <w:sz w:val="22"/>
          <w:szCs w:val="22"/>
          <w:lang w:val="es-ES_tradnl"/>
        </w:rPr>
      </w:pPr>
    </w:p>
    <w:p w14:paraId="63D41962" w14:textId="77777777" w:rsidR="005B52B0" w:rsidRPr="003D4A44" w:rsidRDefault="005B52B0" w:rsidP="005128E4">
      <w:pPr>
        <w:tabs>
          <w:tab w:val="center" w:pos="5400"/>
        </w:tabs>
        <w:suppressAutoHyphens/>
        <w:jc w:val="center"/>
        <w:rPr>
          <w:rFonts w:asciiTheme="majorHAnsi" w:hAnsiTheme="majorHAnsi"/>
          <w:noProof/>
          <w:sz w:val="22"/>
          <w:szCs w:val="22"/>
          <w:lang w:val="es-ES_tradnl"/>
        </w:rPr>
      </w:pPr>
    </w:p>
    <w:p w14:paraId="5ADEB990"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2D81B7E8"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64791D04" w14:textId="77777777" w:rsidR="00040C3A" w:rsidRPr="003D4A44" w:rsidRDefault="003D3BC2" w:rsidP="00040C3A">
      <w:pPr>
        <w:tabs>
          <w:tab w:val="center" w:pos="5400"/>
        </w:tabs>
        <w:suppressAutoHyphens/>
        <w:jc w:val="center"/>
        <w:rPr>
          <w:rFonts w:asciiTheme="majorHAnsi" w:hAnsiTheme="majorHAnsi"/>
          <w:noProof/>
          <w:sz w:val="22"/>
          <w:szCs w:val="22"/>
          <w:lang w:val="es-ES_tradnl"/>
        </w:rPr>
      </w:pPr>
      <w:r w:rsidRPr="003D4A4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83104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D11CC">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4744A8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3ED8">
                              <w:rPr>
                                <w:rFonts w:asciiTheme="majorHAnsi" w:hAnsiTheme="majorHAnsi" w:cs="Arial"/>
                                <w:b/>
                                <w:color w:val="0D0D0D" w:themeColor="text1" w:themeTint="F2"/>
                                <w:sz w:val="36"/>
                                <w:szCs w:val="22"/>
                                <w:lang w:val="es-ES_tradnl"/>
                              </w:rPr>
                              <w:t>1609</w:t>
                            </w:r>
                            <w:r w:rsidR="00246D1F" w:rsidRPr="004E2649">
                              <w:rPr>
                                <w:rFonts w:asciiTheme="majorHAnsi" w:hAnsiTheme="majorHAnsi" w:cs="Arial"/>
                                <w:b/>
                                <w:color w:val="0D0D0D" w:themeColor="text1" w:themeTint="F2"/>
                                <w:sz w:val="36"/>
                                <w:szCs w:val="22"/>
                                <w:lang w:val="es-ES_tradnl"/>
                              </w:rPr>
                              <w:t>-</w:t>
                            </w:r>
                            <w:r w:rsidR="004F3ED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4A25AB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752282" w:rsidR="005B52B0" w:rsidRPr="0010736F" w:rsidRDefault="004F3E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FINO SERRANO</w:t>
                            </w:r>
                            <w:r>
                              <w:rPr>
                                <w:rFonts w:asciiTheme="majorHAnsi" w:hAnsiTheme="majorHAnsi" w:cs="Arial"/>
                                <w:color w:val="0D0D0D" w:themeColor="text1" w:themeTint="F2"/>
                                <w:szCs w:val="22"/>
                                <w:lang w:val="es-ES_tradnl"/>
                              </w:rPr>
                              <w:tab/>
                            </w:r>
                          </w:p>
                          <w:bookmarkEnd w:id="1"/>
                          <w:p w14:paraId="35068D0D" w14:textId="5042D1B5" w:rsidR="005B52B0" w:rsidRPr="0010736F" w:rsidRDefault="004F3ED8"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583104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D11CC">
                        <w:rPr>
                          <w:rFonts w:asciiTheme="majorHAnsi" w:hAnsiTheme="majorHAnsi" w:cs="Arial"/>
                          <w:b/>
                          <w:bCs/>
                          <w:color w:val="0D0D0D" w:themeColor="text1" w:themeTint="F2"/>
                          <w:sz w:val="36"/>
                          <w:szCs w:val="22"/>
                          <w:lang w:val="es-ES_tradnl"/>
                        </w:rPr>
                        <w:t>182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4744A8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3ED8">
                        <w:rPr>
                          <w:rFonts w:asciiTheme="majorHAnsi" w:hAnsiTheme="majorHAnsi" w:cs="Arial"/>
                          <w:b/>
                          <w:color w:val="0D0D0D" w:themeColor="text1" w:themeTint="F2"/>
                          <w:sz w:val="36"/>
                          <w:szCs w:val="22"/>
                          <w:lang w:val="es-ES_tradnl"/>
                        </w:rPr>
                        <w:t>1609</w:t>
                      </w:r>
                      <w:r w:rsidR="00246D1F" w:rsidRPr="004E2649">
                        <w:rPr>
                          <w:rFonts w:asciiTheme="majorHAnsi" w:hAnsiTheme="majorHAnsi" w:cs="Arial"/>
                          <w:b/>
                          <w:color w:val="0D0D0D" w:themeColor="text1" w:themeTint="F2"/>
                          <w:sz w:val="36"/>
                          <w:szCs w:val="22"/>
                          <w:lang w:val="es-ES_tradnl"/>
                        </w:rPr>
                        <w:t>-</w:t>
                      </w:r>
                      <w:r w:rsidR="004F3ED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4A25AB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752282" w:rsidR="005B52B0" w:rsidRPr="0010736F" w:rsidRDefault="004F3E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FINO SERRANO</w:t>
                      </w:r>
                      <w:r>
                        <w:rPr>
                          <w:rFonts w:asciiTheme="majorHAnsi" w:hAnsiTheme="majorHAnsi" w:cs="Arial"/>
                          <w:color w:val="0D0D0D" w:themeColor="text1" w:themeTint="F2"/>
                          <w:szCs w:val="22"/>
                          <w:lang w:val="es-ES_tradnl"/>
                        </w:rPr>
                        <w:tab/>
                      </w:r>
                    </w:p>
                    <w:bookmarkEnd w:id="1"/>
                    <w:p w14:paraId="35068D0D" w14:textId="5042D1B5" w:rsidR="005B52B0" w:rsidRPr="0010736F" w:rsidRDefault="004F3ED8"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3D4A4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55540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236EADE" w:rsidR="00627C9F" w:rsidRPr="004E2649" w:rsidRDefault="00AD11C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192</w:t>
                            </w:r>
                          </w:p>
                          <w:p w14:paraId="69373ED2" w14:textId="7FA8FDD1" w:rsidR="00627C9F" w:rsidRPr="00C25ADB" w:rsidRDefault="00AD11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E55540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236EADE" w:rsidR="00627C9F" w:rsidRPr="004E2649" w:rsidRDefault="00AD11C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192</w:t>
                      </w:r>
                    </w:p>
                    <w:p w14:paraId="69373ED2" w14:textId="7FA8FDD1" w:rsidR="00627C9F" w:rsidRPr="00C25ADB" w:rsidRDefault="00AD11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5FE3AB87"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3C383BC0" w14:textId="77777777" w:rsidR="00040C3A" w:rsidRPr="003D4A44" w:rsidRDefault="00040C3A" w:rsidP="00040C3A">
      <w:pPr>
        <w:tabs>
          <w:tab w:val="center" w:pos="5400"/>
        </w:tabs>
        <w:suppressAutoHyphens/>
        <w:jc w:val="center"/>
        <w:rPr>
          <w:rFonts w:asciiTheme="majorHAnsi" w:hAnsiTheme="majorHAnsi" w:cs="Arial"/>
          <w:noProof/>
          <w:sz w:val="22"/>
          <w:szCs w:val="22"/>
          <w:lang w:val="es-ES_tradnl"/>
        </w:rPr>
      </w:pPr>
    </w:p>
    <w:p w14:paraId="54590931"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76C291D6"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2161B44F"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3C4EEE07"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3B0E4647" w14:textId="77777777" w:rsidR="005128E4" w:rsidRPr="003D4A44" w:rsidRDefault="005128E4" w:rsidP="00040C3A">
      <w:pPr>
        <w:tabs>
          <w:tab w:val="center" w:pos="5400"/>
        </w:tabs>
        <w:suppressAutoHyphens/>
        <w:jc w:val="center"/>
        <w:rPr>
          <w:rFonts w:asciiTheme="majorHAnsi" w:hAnsiTheme="majorHAnsi"/>
          <w:noProof/>
          <w:sz w:val="22"/>
          <w:szCs w:val="22"/>
          <w:lang w:val="es-ES_tradnl"/>
        </w:rPr>
      </w:pPr>
    </w:p>
    <w:p w14:paraId="2DAAF36D"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12496A14" w14:textId="77777777" w:rsidR="005128E4" w:rsidRPr="003D4A44" w:rsidRDefault="005128E4" w:rsidP="00040C3A">
      <w:pPr>
        <w:tabs>
          <w:tab w:val="center" w:pos="5400"/>
        </w:tabs>
        <w:suppressAutoHyphens/>
        <w:jc w:val="center"/>
        <w:rPr>
          <w:rFonts w:asciiTheme="majorHAnsi" w:hAnsiTheme="majorHAnsi"/>
          <w:noProof/>
          <w:sz w:val="22"/>
          <w:szCs w:val="22"/>
          <w:lang w:val="es-ES_tradnl"/>
        </w:rPr>
      </w:pPr>
    </w:p>
    <w:p w14:paraId="25772DB3" w14:textId="77777777" w:rsidR="005128E4" w:rsidRPr="003D4A44" w:rsidRDefault="005128E4" w:rsidP="00040C3A">
      <w:pPr>
        <w:tabs>
          <w:tab w:val="center" w:pos="5400"/>
        </w:tabs>
        <w:suppressAutoHyphens/>
        <w:jc w:val="center"/>
        <w:rPr>
          <w:rFonts w:asciiTheme="majorHAnsi" w:hAnsiTheme="majorHAnsi"/>
          <w:noProof/>
          <w:sz w:val="22"/>
          <w:szCs w:val="22"/>
          <w:lang w:val="es-ES_tradnl"/>
        </w:rPr>
      </w:pPr>
    </w:p>
    <w:p w14:paraId="6820FADA" w14:textId="77777777" w:rsidR="005128E4" w:rsidRPr="003D4A44" w:rsidRDefault="005128E4" w:rsidP="00040C3A">
      <w:pPr>
        <w:tabs>
          <w:tab w:val="center" w:pos="5400"/>
        </w:tabs>
        <w:suppressAutoHyphens/>
        <w:jc w:val="center"/>
        <w:rPr>
          <w:rFonts w:asciiTheme="majorHAnsi" w:hAnsiTheme="majorHAnsi"/>
          <w:noProof/>
          <w:sz w:val="22"/>
          <w:szCs w:val="22"/>
          <w:lang w:val="es-ES_tradnl"/>
        </w:rPr>
      </w:pPr>
    </w:p>
    <w:p w14:paraId="54445A55"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5D4A4040" w14:textId="77777777" w:rsidR="00040C3A" w:rsidRPr="003D4A44" w:rsidRDefault="00040C3A" w:rsidP="00040C3A">
      <w:pPr>
        <w:tabs>
          <w:tab w:val="center" w:pos="5400"/>
        </w:tabs>
        <w:suppressAutoHyphens/>
        <w:jc w:val="center"/>
        <w:rPr>
          <w:rFonts w:asciiTheme="majorHAnsi" w:hAnsiTheme="majorHAnsi"/>
          <w:noProof/>
          <w:sz w:val="22"/>
          <w:szCs w:val="22"/>
          <w:lang w:val="es-ES_tradnl"/>
        </w:rPr>
      </w:pPr>
    </w:p>
    <w:p w14:paraId="048FBB22"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190ABFB3"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4C690048"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733CA438"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7874DEEB"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3698D0D6"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1F907823"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045D9AC1"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16068EE5"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14A4A430"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0B3B735F"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02C5C441"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7806A2B0"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319C392B"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514A0182" w14:textId="77777777" w:rsidR="00A50FCF" w:rsidRPr="003D4A44" w:rsidRDefault="0090270B" w:rsidP="00040C3A">
      <w:pPr>
        <w:tabs>
          <w:tab w:val="center" w:pos="5400"/>
        </w:tabs>
        <w:suppressAutoHyphens/>
        <w:jc w:val="center"/>
        <w:rPr>
          <w:rFonts w:asciiTheme="majorHAnsi" w:hAnsiTheme="majorHAnsi"/>
          <w:noProof/>
          <w:sz w:val="18"/>
          <w:szCs w:val="22"/>
          <w:lang w:val="es-ES_tradnl"/>
        </w:rPr>
      </w:pPr>
      <w:r w:rsidRPr="003D4A4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54369E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AD11CC">
                              <w:rPr>
                                <w:rFonts w:asciiTheme="majorHAnsi" w:hAnsiTheme="majorHAnsi"/>
                                <w:color w:val="0D0D0D" w:themeColor="text1" w:themeTint="F2"/>
                                <w:sz w:val="18"/>
                                <w:szCs w:val="22"/>
                              </w:rPr>
                              <w:t>6</w:t>
                            </w:r>
                            <w:r w:rsidRPr="00890650">
                              <w:rPr>
                                <w:rFonts w:asciiTheme="majorHAnsi" w:hAnsiTheme="majorHAnsi"/>
                                <w:color w:val="0D0D0D" w:themeColor="text1" w:themeTint="F2"/>
                                <w:sz w:val="18"/>
                                <w:szCs w:val="22"/>
                              </w:rPr>
                              <w:t xml:space="preserve"> de </w:t>
                            </w:r>
                            <w:r w:rsidR="00AD11CC">
                              <w:rPr>
                                <w:rFonts w:asciiTheme="majorHAnsi" w:hAnsiTheme="majorHAnsi"/>
                                <w:color w:val="0D0D0D" w:themeColor="text1" w:themeTint="F2"/>
                                <w:sz w:val="18"/>
                                <w:szCs w:val="22"/>
                              </w:rPr>
                              <w:t>julio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20</w:t>
                            </w:r>
                            <w:r w:rsidR="00C177FC">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54369E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AD11CC">
                        <w:rPr>
                          <w:rFonts w:asciiTheme="majorHAnsi" w:hAnsiTheme="majorHAnsi"/>
                          <w:color w:val="0D0D0D" w:themeColor="text1" w:themeTint="F2"/>
                          <w:sz w:val="18"/>
                          <w:szCs w:val="22"/>
                        </w:rPr>
                        <w:t>6</w:t>
                      </w:r>
                      <w:r w:rsidRPr="00890650">
                        <w:rPr>
                          <w:rFonts w:asciiTheme="majorHAnsi" w:hAnsiTheme="majorHAnsi"/>
                          <w:color w:val="0D0D0D" w:themeColor="text1" w:themeTint="F2"/>
                          <w:sz w:val="18"/>
                          <w:szCs w:val="22"/>
                        </w:rPr>
                        <w:t xml:space="preserve"> de </w:t>
                      </w:r>
                      <w:r w:rsidR="00AD11CC">
                        <w:rPr>
                          <w:rFonts w:asciiTheme="majorHAnsi" w:hAnsiTheme="majorHAnsi"/>
                          <w:color w:val="0D0D0D" w:themeColor="text1" w:themeTint="F2"/>
                          <w:sz w:val="18"/>
                          <w:szCs w:val="22"/>
                        </w:rPr>
                        <w:t>julio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20</w:t>
                      </w:r>
                      <w:r w:rsidR="00C177FC">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7929D1FD"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5469D0BE"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7A79F059"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330672AE" w14:textId="77777777" w:rsidR="00A50FCF" w:rsidRPr="003D4A44" w:rsidRDefault="0090270B" w:rsidP="00040C3A">
      <w:pPr>
        <w:tabs>
          <w:tab w:val="center" w:pos="5400"/>
        </w:tabs>
        <w:suppressAutoHyphens/>
        <w:jc w:val="center"/>
        <w:rPr>
          <w:rFonts w:asciiTheme="majorHAnsi" w:hAnsiTheme="majorHAnsi"/>
          <w:noProof/>
          <w:sz w:val="18"/>
          <w:szCs w:val="22"/>
          <w:lang w:val="es-ES_tradnl"/>
        </w:rPr>
      </w:pPr>
      <w:r w:rsidRPr="003D4A4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A0D418"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D11CC" w:rsidRPr="00AD11CC">
                              <w:rPr>
                                <w:rFonts w:asciiTheme="majorHAnsi" w:hAnsiTheme="majorHAnsi"/>
                                <w:color w:val="595959" w:themeColor="text1" w:themeTint="A6"/>
                                <w:sz w:val="18"/>
                                <w:szCs w:val="18"/>
                                <w:lang w:val="pt-BR"/>
                              </w:rPr>
                              <w:t>182</w:t>
                            </w:r>
                            <w:r w:rsidR="007B05C4" w:rsidRPr="00AD11CC">
                              <w:rPr>
                                <w:rFonts w:asciiTheme="majorHAnsi" w:hAnsiTheme="majorHAnsi"/>
                                <w:color w:val="595959" w:themeColor="text1" w:themeTint="A6"/>
                                <w:sz w:val="18"/>
                                <w:szCs w:val="18"/>
                                <w:lang w:val="pt-BR"/>
                              </w:rPr>
                              <w:t>/</w:t>
                            </w:r>
                            <w:r w:rsidR="00AD11CC" w:rsidRPr="00AD11CC">
                              <w:rPr>
                                <w:rFonts w:asciiTheme="majorHAnsi" w:hAnsiTheme="majorHAnsi"/>
                                <w:color w:val="595959" w:themeColor="text1" w:themeTint="A6"/>
                                <w:sz w:val="18"/>
                                <w:szCs w:val="18"/>
                                <w:lang w:val="pt-BR"/>
                              </w:rPr>
                              <w:t>20</w:t>
                            </w:r>
                            <w:r w:rsidRPr="00AD11C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7E0D7A">
                              <w:rPr>
                                <w:rFonts w:asciiTheme="majorHAnsi" w:hAnsiTheme="majorHAnsi"/>
                                <w:color w:val="595959" w:themeColor="text1" w:themeTint="A6"/>
                                <w:sz w:val="18"/>
                                <w:szCs w:val="18"/>
                              </w:rPr>
                              <w:t>1609</w:t>
                            </w:r>
                            <w:r w:rsidR="000433C9">
                              <w:rPr>
                                <w:rFonts w:asciiTheme="majorHAnsi" w:hAnsiTheme="majorHAnsi"/>
                                <w:color w:val="595959" w:themeColor="text1" w:themeTint="A6"/>
                                <w:sz w:val="18"/>
                                <w:szCs w:val="18"/>
                              </w:rPr>
                              <w:t>-</w:t>
                            </w:r>
                            <w:r w:rsidR="007E0D7A">
                              <w:rPr>
                                <w:rFonts w:asciiTheme="majorHAnsi" w:hAnsiTheme="majorHAnsi"/>
                                <w:color w:val="595959" w:themeColor="text1" w:themeTint="A6"/>
                                <w:sz w:val="18"/>
                                <w:szCs w:val="18"/>
                              </w:rPr>
                              <w:t>10</w:t>
                            </w:r>
                            <w:r w:rsidR="000433C9">
                              <w:rPr>
                                <w:rFonts w:asciiTheme="majorHAnsi" w:hAnsiTheme="majorHAnsi"/>
                                <w:color w:val="595959" w:themeColor="text1" w:themeTint="A6"/>
                                <w:sz w:val="18"/>
                                <w:szCs w:val="18"/>
                              </w:rPr>
                              <w:t>.</w:t>
                            </w:r>
                            <w:r w:rsidR="007E0D7A">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Inadmisibilidad. </w:t>
                            </w:r>
                            <w:r w:rsidR="007E0D7A">
                              <w:rPr>
                                <w:rFonts w:asciiTheme="majorHAnsi" w:hAnsiTheme="majorHAnsi"/>
                                <w:color w:val="595959" w:themeColor="text1" w:themeTint="A6"/>
                                <w:sz w:val="18"/>
                                <w:szCs w:val="18"/>
                                <w:lang w:val="es-ES_tradnl"/>
                              </w:rPr>
                              <w:t>Guillermo Fino Serrano</w:t>
                            </w:r>
                            <w:r w:rsidRPr="00890650">
                              <w:rPr>
                                <w:rFonts w:asciiTheme="majorHAnsi" w:hAnsiTheme="majorHAnsi"/>
                                <w:color w:val="595959" w:themeColor="text1" w:themeTint="A6"/>
                                <w:sz w:val="18"/>
                                <w:szCs w:val="18"/>
                                <w:lang w:val="es-ES_tradnl"/>
                              </w:rPr>
                              <w:t xml:space="preserve">. </w:t>
                            </w:r>
                            <w:r w:rsidR="007E0D7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D11CC">
                              <w:rPr>
                                <w:rFonts w:asciiTheme="majorHAnsi" w:hAnsiTheme="majorHAnsi"/>
                                <w:color w:val="595959" w:themeColor="text1" w:themeTint="A6"/>
                                <w:sz w:val="18"/>
                                <w:szCs w:val="18"/>
                              </w:rPr>
                              <w:t>6 de julio de 2020</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4A0D418"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D11CC" w:rsidRPr="00AD11CC">
                        <w:rPr>
                          <w:rFonts w:asciiTheme="majorHAnsi" w:hAnsiTheme="majorHAnsi"/>
                          <w:color w:val="595959" w:themeColor="text1" w:themeTint="A6"/>
                          <w:sz w:val="18"/>
                          <w:szCs w:val="18"/>
                          <w:lang w:val="pt-BR"/>
                        </w:rPr>
                        <w:t>182</w:t>
                      </w:r>
                      <w:r w:rsidR="007B05C4" w:rsidRPr="00AD11CC">
                        <w:rPr>
                          <w:rFonts w:asciiTheme="majorHAnsi" w:hAnsiTheme="majorHAnsi"/>
                          <w:color w:val="595959" w:themeColor="text1" w:themeTint="A6"/>
                          <w:sz w:val="18"/>
                          <w:szCs w:val="18"/>
                          <w:lang w:val="pt-BR"/>
                        </w:rPr>
                        <w:t>/</w:t>
                      </w:r>
                      <w:r w:rsidR="00AD11CC" w:rsidRPr="00AD11CC">
                        <w:rPr>
                          <w:rFonts w:asciiTheme="majorHAnsi" w:hAnsiTheme="majorHAnsi"/>
                          <w:color w:val="595959" w:themeColor="text1" w:themeTint="A6"/>
                          <w:sz w:val="18"/>
                          <w:szCs w:val="18"/>
                          <w:lang w:val="pt-BR"/>
                        </w:rPr>
                        <w:t>20</w:t>
                      </w:r>
                      <w:r w:rsidRPr="00AD11C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7E0D7A">
                        <w:rPr>
                          <w:rFonts w:asciiTheme="majorHAnsi" w:hAnsiTheme="majorHAnsi"/>
                          <w:color w:val="595959" w:themeColor="text1" w:themeTint="A6"/>
                          <w:sz w:val="18"/>
                          <w:szCs w:val="18"/>
                        </w:rPr>
                        <w:t>1609</w:t>
                      </w:r>
                      <w:r w:rsidR="000433C9">
                        <w:rPr>
                          <w:rFonts w:asciiTheme="majorHAnsi" w:hAnsiTheme="majorHAnsi"/>
                          <w:color w:val="595959" w:themeColor="text1" w:themeTint="A6"/>
                          <w:sz w:val="18"/>
                          <w:szCs w:val="18"/>
                        </w:rPr>
                        <w:t>-</w:t>
                      </w:r>
                      <w:r w:rsidR="007E0D7A">
                        <w:rPr>
                          <w:rFonts w:asciiTheme="majorHAnsi" w:hAnsiTheme="majorHAnsi"/>
                          <w:color w:val="595959" w:themeColor="text1" w:themeTint="A6"/>
                          <w:sz w:val="18"/>
                          <w:szCs w:val="18"/>
                        </w:rPr>
                        <w:t>10</w:t>
                      </w:r>
                      <w:r w:rsidR="000433C9">
                        <w:rPr>
                          <w:rFonts w:asciiTheme="majorHAnsi" w:hAnsiTheme="majorHAnsi"/>
                          <w:color w:val="595959" w:themeColor="text1" w:themeTint="A6"/>
                          <w:sz w:val="18"/>
                          <w:szCs w:val="18"/>
                        </w:rPr>
                        <w:t>.</w:t>
                      </w:r>
                      <w:r w:rsidR="007E0D7A">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Inadmisibilidad. </w:t>
                      </w:r>
                      <w:r w:rsidR="007E0D7A">
                        <w:rPr>
                          <w:rFonts w:asciiTheme="majorHAnsi" w:hAnsiTheme="majorHAnsi"/>
                          <w:color w:val="595959" w:themeColor="text1" w:themeTint="A6"/>
                          <w:sz w:val="18"/>
                          <w:szCs w:val="18"/>
                          <w:lang w:val="es-ES_tradnl"/>
                        </w:rPr>
                        <w:t>Guillermo Fino Serrano</w:t>
                      </w:r>
                      <w:r w:rsidRPr="00890650">
                        <w:rPr>
                          <w:rFonts w:asciiTheme="majorHAnsi" w:hAnsiTheme="majorHAnsi"/>
                          <w:color w:val="595959" w:themeColor="text1" w:themeTint="A6"/>
                          <w:sz w:val="18"/>
                          <w:szCs w:val="18"/>
                          <w:lang w:val="es-ES_tradnl"/>
                        </w:rPr>
                        <w:t xml:space="preserve">. </w:t>
                      </w:r>
                      <w:r w:rsidR="007E0D7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D11CC">
                        <w:rPr>
                          <w:rFonts w:asciiTheme="majorHAnsi" w:hAnsiTheme="majorHAnsi"/>
                          <w:color w:val="595959" w:themeColor="text1" w:themeTint="A6"/>
                          <w:sz w:val="18"/>
                          <w:szCs w:val="18"/>
                        </w:rPr>
                        <w:t>6 de julio de 2020</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3D4A44" w:rsidRDefault="00A50FCF" w:rsidP="00040C3A">
      <w:pPr>
        <w:tabs>
          <w:tab w:val="center" w:pos="5400"/>
        </w:tabs>
        <w:suppressAutoHyphens/>
        <w:jc w:val="center"/>
        <w:rPr>
          <w:rFonts w:asciiTheme="majorHAnsi" w:hAnsiTheme="majorHAnsi"/>
          <w:noProof/>
          <w:sz w:val="18"/>
          <w:szCs w:val="22"/>
          <w:lang w:val="es-ES_tradnl"/>
        </w:rPr>
      </w:pPr>
    </w:p>
    <w:p w14:paraId="1DA07629" w14:textId="77777777" w:rsidR="0090270B" w:rsidRPr="003D4A44" w:rsidRDefault="00D306D1" w:rsidP="005516A1">
      <w:pPr>
        <w:tabs>
          <w:tab w:val="center" w:pos="5400"/>
        </w:tabs>
        <w:suppressAutoHyphens/>
        <w:jc w:val="center"/>
        <w:rPr>
          <w:rFonts w:asciiTheme="majorHAnsi" w:hAnsiTheme="majorHAnsi"/>
          <w:b/>
          <w:noProof/>
          <w:sz w:val="20"/>
          <w:lang w:val="es-ES_tradnl"/>
        </w:rPr>
      </w:pPr>
      <w:r w:rsidRPr="003D4A4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74379C" w:rsidR="00D72DC6" w:rsidRPr="00D72DC6" w:rsidRDefault="00C177FC" w:rsidP="00F02AD1">
                            <w:pPr>
                              <w:rPr>
                                <w:color w:val="FFFFFF" w:themeColor="background1"/>
                                <w14:textFill>
                                  <w14:noFill/>
                                </w14:textFill>
                              </w:rPr>
                            </w:pPr>
                            <w:r>
                              <w:rPr>
                                <w:noProof/>
                                <w:color w:val="FFFFFF" w:themeColor="background1"/>
                              </w:rPr>
                              <w:drawing>
                                <wp:inline distT="0" distB="0" distL="0" distR="0" wp14:anchorId="61860A5A" wp14:editId="6E47FEC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C74379C" w:rsidR="00D72DC6" w:rsidRPr="00D72DC6" w:rsidRDefault="00C177FC" w:rsidP="00F02AD1">
                      <w:pPr>
                        <w:rPr>
                          <w:color w:val="FFFFFF" w:themeColor="background1"/>
                          <w14:textFill>
                            <w14:noFill/>
                          </w14:textFill>
                        </w:rPr>
                      </w:pPr>
                      <w:r>
                        <w:rPr>
                          <w:noProof/>
                          <w:color w:val="FFFFFF" w:themeColor="background1"/>
                        </w:rPr>
                        <w:drawing>
                          <wp:inline distT="0" distB="0" distL="0" distR="0" wp14:anchorId="61860A5A" wp14:editId="6E47FEC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D4A4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3D4A44" w:rsidRDefault="004A6A54" w:rsidP="005516A1">
      <w:pPr>
        <w:tabs>
          <w:tab w:val="center" w:pos="5400"/>
        </w:tabs>
        <w:suppressAutoHyphens/>
        <w:jc w:val="center"/>
        <w:rPr>
          <w:rFonts w:asciiTheme="majorHAnsi" w:hAnsiTheme="majorHAnsi"/>
          <w:b/>
          <w:noProof/>
          <w:sz w:val="20"/>
          <w:lang w:val="es-ES_tradnl"/>
        </w:rPr>
        <w:sectPr w:rsidR="0070697F" w:rsidRPr="003D4A4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D4A44">
        <w:rPr>
          <w:rFonts w:asciiTheme="majorHAnsi" w:hAnsiTheme="majorHAnsi"/>
          <w:b/>
          <w:noProof/>
          <w:sz w:val="20"/>
          <w:lang w:val="es-ES_tradnl"/>
        </w:rPr>
        <w:tab/>
      </w:r>
    </w:p>
    <w:p w14:paraId="376DDC8B" w14:textId="77777777" w:rsidR="003239B8" w:rsidRPr="003D4A44" w:rsidRDefault="003239B8" w:rsidP="004A6A54">
      <w:pPr>
        <w:spacing w:after="240"/>
        <w:ind w:firstLine="720"/>
        <w:jc w:val="both"/>
        <w:rPr>
          <w:rFonts w:asciiTheme="majorHAnsi" w:hAnsiTheme="majorHAnsi"/>
          <w:b/>
          <w:bCs/>
          <w:noProof/>
          <w:sz w:val="20"/>
          <w:szCs w:val="20"/>
          <w:lang w:val="es-ES_tradnl"/>
        </w:rPr>
      </w:pPr>
      <w:r w:rsidRPr="003D4A44">
        <w:rPr>
          <w:rFonts w:asciiTheme="majorHAnsi" w:hAnsiTheme="majorHAnsi"/>
          <w:b/>
          <w:bCs/>
          <w:noProof/>
          <w:sz w:val="20"/>
          <w:szCs w:val="20"/>
          <w:lang w:val="es-ES_tradnl"/>
        </w:rPr>
        <w:lastRenderedPageBreak/>
        <w:t>I.</w:t>
      </w:r>
      <w:r w:rsidRPr="003D4A44">
        <w:rPr>
          <w:rFonts w:asciiTheme="majorHAnsi" w:hAnsiTheme="majorHAnsi"/>
          <w:b/>
          <w:bCs/>
          <w:noProof/>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D4A4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Parte peticionaria:</w:t>
            </w:r>
          </w:p>
        </w:tc>
        <w:tc>
          <w:tcPr>
            <w:tcW w:w="5760" w:type="dxa"/>
            <w:vAlign w:val="center"/>
          </w:tcPr>
          <w:p w14:paraId="3C5315D8" w14:textId="290038E9" w:rsidR="003239B8" w:rsidRPr="003D4A44" w:rsidRDefault="00706255" w:rsidP="008D2290">
            <w:pPr>
              <w:jc w:val="both"/>
              <w:rPr>
                <w:rFonts w:ascii="Cambria" w:hAnsi="Cambria"/>
                <w:bCs/>
                <w:noProof/>
                <w:sz w:val="20"/>
                <w:szCs w:val="20"/>
                <w:lang w:val="es-ES_tradnl"/>
              </w:rPr>
            </w:pPr>
            <w:r w:rsidRPr="003D4A44">
              <w:rPr>
                <w:rFonts w:ascii="Cambria" w:hAnsi="Cambria"/>
                <w:bCs/>
                <w:noProof/>
                <w:sz w:val="20"/>
                <w:szCs w:val="20"/>
                <w:lang w:val="es-ES_tradnl"/>
              </w:rPr>
              <w:t>Claudia Ximena Fino Cantón</w:t>
            </w:r>
          </w:p>
        </w:tc>
      </w:tr>
      <w:tr w:rsidR="003239B8" w:rsidRPr="003D4A4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3D4A44" w:rsidRDefault="00B33E37" w:rsidP="008D2290">
            <w:pPr>
              <w:jc w:val="center"/>
              <w:rPr>
                <w:rFonts w:ascii="Cambria" w:hAnsi="Cambria"/>
                <w:b/>
                <w:bCs/>
                <w:noProof/>
                <w:color w:val="FFFFFF" w:themeColor="background1"/>
                <w:sz w:val="20"/>
                <w:szCs w:val="20"/>
                <w:lang w:val="es-ES_tradnl"/>
              </w:rPr>
            </w:pPr>
            <w:sdt>
              <w:sdtPr>
                <w:rPr>
                  <w:rFonts w:ascii="Cambria" w:hAnsi="Cambria"/>
                  <w:b/>
                  <w:bCs/>
                  <w:noProof/>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D4A44">
                  <w:rPr>
                    <w:rFonts w:ascii="Cambria" w:hAnsi="Cambria"/>
                    <w:b/>
                    <w:bCs/>
                    <w:noProof/>
                    <w:color w:val="FFFFFF" w:themeColor="background1"/>
                    <w:sz w:val="20"/>
                    <w:szCs w:val="20"/>
                    <w:lang w:val="es-ES_tradnl"/>
                  </w:rPr>
                  <w:t>Presunta víctima</w:t>
                </w:r>
              </w:sdtContent>
            </w:sdt>
            <w:r w:rsidR="003239B8" w:rsidRPr="003D4A44">
              <w:rPr>
                <w:rFonts w:ascii="Cambria" w:hAnsi="Cambria"/>
                <w:b/>
                <w:bCs/>
                <w:noProof/>
                <w:color w:val="FFFFFF" w:themeColor="background1"/>
                <w:sz w:val="20"/>
                <w:szCs w:val="20"/>
                <w:lang w:val="es-ES_tradnl"/>
              </w:rPr>
              <w:t>:</w:t>
            </w:r>
          </w:p>
        </w:tc>
        <w:tc>
          <w:tcPr>
            <w:tcW w:w="5760" w:type="dxa"/>
            <w:vAlign w:val="center"/>
          </w:tcPr>
          <w:p w14:paraId="4AEBF59E" w14:textId="1A4D3B6A" w:rsidR="003239B8" w:rsidRPr="003D4A44" w:rsidRDefault="00EA6DE8" w:rsidP="008D2290">
            <w:pPr>
              <w:jc w:val="both"/>
              <w:rPr>
                <w:rFonts w:ascii="Cambria" w:hAnsi="Cambria"/>
                <w:bCs/>
                <w:noProof/>
                <w:sz w:val="20"/>
                <w:szCs w:val="20"/>
                <w:lang w:val="es-ES_tradnl"/>
              </w:rPr>
            </w:pPr>
            <w:r w:rsidRPr="003D4A44">
              <w:rPr>
                <w:rFonts w:ascii="Cambria" w:hAnsi="Cambria"/>
                <w:bCs/>
                <w:noProof/>
                <w:sz w:val="20"/>
                <w:szCs w:val="20"/>
                <w:lang w:val="es-ES_tradnl"/>
              </w:rPr>
              <w:t xml:space="preserve">Guillermo Fino Serrano </w:t>
            </w:r>
          </w:p>
        </w:tc>
      </w:tr>
      <w:tr w:rsidR="003239B8" w:rsidRPr="003D4A44"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Estado denunciado:</w:t>
            </w:r>
          </w:p>
        </w:tc>
        <w:tc>
          <w:tcPr>
            <w:tcW w:w="5760" w:type="dxa"/>
            <w:vAlign w:val="center"/>
          </w:tcPr>
          <w:p w14:paraId="274C8A50" w14:textId="70713560" w:rsidR="003239B8" w:rsidRPr="003D4A44" w:rsidRDefault="00EA6DE8" w:rsidP="008D2290">
            <w:pPr>
              <w:jc w:val="both"/>
              <w:rPr>
                <w:rFonts w:ascii="Cambria" w:hAnsi="Cambria"/>
                <w:bCs/>
                <w:noProof/>
                <w:sz w:val="20"/>
                <w:szCs w:val="20"/>
                <w:lang w:val="es-ES_tradnl"/>
              </w:rPr>
            </w:pPr>
            <w:r w:rsidRPr="003D4A44">
              <w:rPr>
                <w:rFonts w:ascii="Cambria" w:hAnsi="Cambria"/>
                <w:bCs/>
                <w:noProof/>
                <w:sz w:val="20"/>
                <w:szCs w:val="20"/>
                <w:lang w:val="es-ES_tradnl"/>
              </w:rPr>
              <w:t>Colombia</w:t>
            </w:r>
          </w:p>
        </w:tc>
      </w:tr>
      <w:tr w:rsidR="00223A29" w:rsidRPr="003D4A4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3D4A44" w:rsidRDefault="001B3A00" w:rsidP="00E4118C">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 xml:space="preserve">Derechos </w:t>
            </w:r>
            <w:r w:rsidR="00E4118C" w:rsidRPr="003D4A44">
              <w:rPr>
                <w:rFonts w:ascii="Cambria" w:hAnsi="Cambria"/>
                <w:b/>
                <w:bCs/>
                <w:noProof/>
                <w:color w:val="FFFFFF" w:themeColor="background1"/>
                <w:sz w:val="20"/>
                <w:szCs w:val="20"/>
                <w:lang w:val="es-ES_tradnl"/>
              </w:rPr>
              <w:t>invocados</w:t>
            </w:r>
            <w:r w:rsidRPr="003D4A44">
              <w:rPr>
                <w:rFonts w:ascii="Cambria" w:hAnsi="Cambria"/>
                <w:b/>
                <w:bCs/>
                <w:noProof/>
                <w:color w:val="FFFFFF" w:themeColor="background1"/>
                <w:sz w:val="20"/>
                <w:szCs w:val="20"/>
                <w:lang w:val="es-ES_tradnl"/>
              </w:rPr>
              <w:t>:</w:t>
            </w:r>
          </w:p>
        </w:tc>
        <w:tc>
          <w:tcPr>
            <w:tcW w:w="5760" w:type="dxa"/>
            <w:vAlign w:val="center"/>
          </w:tcPr>
          <w:p w14:paraId="6DEE1EEB" w14:textId="044F3C89" w:rsidR="00223A29" w:rsidRPr="003D4A44" w:rsidRDefault="007E0D7A" w:rsidP="008D2290">
            <w:pPr>
              <w:jc w:val="both"/>
              <w:rPr>
                <w:rFonts w:ascii="Cambria" w:hAnsi="Cambria"/>
                <w:bCs/>
                <w:noProof/>
                <w:sz w:val="20"/>
                <w:szCs w:val="20"/>
                <w:lang w:val="es-ES_tradnl"/>
              </w:rPr>
            </w:pPr>
            <w:r w:rsidRPr="003D4A44">
              <w:rPr>
                <w:rFonts w:ascii="Cambria" w:hAnsi="Cambria"/>
                <w:noProof/>
                <w:sz w:val="20"/>
                <w:szCs w:val="20"/>
                <w:lang w:val="es-ES_tradnl"/>
              </w:rPr>
              <w:t>Artículos 7 (libertad personal) y 8 (garantías judiciales) de la Convención Americana sobre Derechos Humanos</w:t>
            </w:r>
            <w:r w:rsidRPr="003D4A44">
              <w:rPr>
                <w:rStyle w:val="FootnoteReference"/>
                <w:rFonts w:ascii="Cambria" w:hAnsi="Cambria"/>
                <w:noProof/>
                <w:sz w:val="20"/>
                <w:szCs w:val="20"/>
                <w:lang w:val="es-ES_tradnl"/>
              </w:rPr>
              <w:footnoteReference w:id="2"/>
            </w:r>
            <w:r w:rsidRPr="003D4A44">
              <w:rPr>
                <w:rFonts w:ascii="Cambria" w:hAnsi="Cambria"/>
                <w:noProof/>
                <w:sz w:val="20"/>
                <w:szCs w:val="20"/>
                <w:lang w:val="es-ES_tradnl"/>
              </w:rPr>
              <w:t>, en relación con su artículo 1.1 (obligación de respetar los derechos)</w:t>
            </w:r>
          </w:p>
        </w:tc>
      </w:tr>
    </w:tbl>
    <w:p w14:paraId="20263696" w14:textId="77777777" w:rsidR="003239B8" w:rsidRPr="003D4A44" w:rsidRDefault="003239B8" w:rsidP="003239B8">
      <w:pPr>
        <w:spacing w:before="240" w:after="240"/>
        <w:ind w:firstLine="720"/>
        <w:jc w:val="both"/>
        <w:rPr>
          <w:rFonts w:asciiTheme="majorHAnsi" w:hAnsiTheme="majorHAnsi"/>
          <w:b/>
          <w:bCs/>
          <w:noProof/>
          <w:sz w:val="20"/>
          <w:szCs w:val="20"/>
          <w:lang w:val="es-ES_tradnl"/>
        </w:rPr>
      </w:pPr>
      <w:r w:rsidRPr="003D4A44">
        <w:rPr>
          <w:rFonts w:asciiTheme="majorHAnsi" w:hAnsiTheme="majorHAnsi"/>
          <w:b/>
          <w:bCs/>
          <w:noProof/>
          <w:sz w:val="20"/>
          <w:szCs w:val="20"/>
          <w:lang w:val="es-ES_tradnl"/>
        </w:rPr>
        <w:t>II.</w:t>
      </w:r>
      <w:r w:rsidRPr="003D4A44">
        <w:rPr>
          <w:rFonts w:asciiTheme="majorHAnsi" w:hAnsiTheme="majorHAnsi"/>
          <w:b/>
          <w:bCs/>
          <w:noProof/>
          <w:sz w:val="20"/>
          <w:szCs w:val="20"/>
          <w:lang w:val="es-ES_tradnl"/>
        </w:rPr>
        <w:tab/>
        <w:t>TRÁMITE ANTE LA CIDH</w:t>
      </w:r>
      <w:r w:rsidR="008E3BFE" w:rsidRPr="003D4A44">
        <w:rPr>
          <w:rStyle w:val="FootnoteReference"/>
          <w:rFonts w:ascii="Cambria" w:hAnsi="Cambria"/>
          <w:b/>
          <w:noProof/>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D4A4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D4A44" w:rsidRDefault="004A6A54" w:rsidP="004A6A54">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P</w:t>
            </w:r>
            <w:r w:rsidR="004C2312" w:rsidRPr="003D4A44">
              <w:rPr>
                <w:rFonts w:ascii="Cambria" w:hAnsi="Cambria"/>
                <w:b/>
                <w:bCs/>
                <w:noProof/>
                <w:color w:val="FFFFFF" w:themeColor="background1"/>
                <w:sz w:val="20"/>
                <w:szCs w:val="20"/>
                <w:lang w:val="es-ES_tradnl"/>
              </w:rPr>
              <w:t>resentación de la petición:</w:t>
            </w:r>
          </w:p>
        </w:tc>
        <w:tc>
          <w:tcPr>
            <w:tcW w:w="5760" w:type="dxa"/>
            <w:vAlign w:val="center"/>
          </w:tcPr>
          <w:p w14:paraId="6E579153" w14:textId="6C89A8D7" w:rsidR="004C2312" w:rsidRPr="003D4A44" w:rsidRDefault="004A53A0" w:rsidP="002625EA">
            <w:pPr>
              <w:jc w:val="both"/>
              <w:rPr>
                <w:rFonts w:ascii="Cambria" w:hAnsi="Cambria"/>
                <w:bCs/>
                <w:noProof/>
                <w:sz w:val="20"/>
                <w:szCs w:val="20"/>
                <w:lang w:val="es-ES_tradnl"/>
              </w:rPr>
            </w:pPr>
            <w:r w:rsidRPr="003D4A44">
              <w:rPr>
                <w:rFonts w:ascii="Cambria" w:hAnsi="Cambria"/>
                <w:bCs/>
                <w:noProof/>
                <w:sz w:val="20"/>
                <w:szCs w:val="20"/>
                <w:lang w:val="es-ES_tradnl"/>
              </w:rPr>
              <w:t>6 de noviembre de 2010</w:t>
            </w:r>
          </w:p>
        </w:tc>
      </w:tr>
      <w:tr w:rsidR="00131425" w:rsidRPr="003D4A4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3D4A44" w:rsidRDefault="00131425" w:rsidP="004A6A54">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Información adicional recibida durante la etapa de estudio:</w:t>
            </w:r>
          </w:p>
        </w:tc>
        <w:tc>
          <w:tcPr>
            <w:tcW w:w="5760" w:type="dxa"/>
            <w:vAlign w:val="center"/>
          </w:tcPr>
          <w:p w14:paraId="30151270" w14:textId="01D2260A" w:rsidR="00131425" w:rsidRPr="003D4A44" w:rsidRDefault="00613485" w:rsidP="002625EA">
            <w:pPr>
              <w:jc w:val="both"/>
              <w:rPr>
                <w:rFonts w:ascii="Cambria" w:hAnsi="Cambria"/>
                <w:bCs/>
                <w:noProof/>
                <w:sz w:val="20"/>
                <w:szCs w:val="20"/>
                <w:lang w:val="es-ES_tradnl"/>
              </w:rPr>
            </w:pPr>
            <w:r w:rsidRPr="003D4A44">
              <w:rPr>
                <w:rFonts w:ascii="Cambria" w:hAnsi="Cambria"/>
                <w:bCs/>
                <w:noProof/>
                <w:sz w:val="20"/>
                <w:szCs w:val="20"/>
                <w:lang w:val="es-ES_tradnl"/>
              </w:rPr>
              <w:t>9 de noviembre de 2010</w:t>
            </w:r>
          </w:p>
        </w:tc>
      </w:tr>
      <w:tr w:rsidR="004C2312" w:rsidRPr="003D4A4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D4A44" w:rsidRDefault="004A6A54" w:rsidP="004A6A54">
            <w:pPr>
              <w:jc w:val="center"/>
              <w:rPr>
                <w:rFonts w:ascii="Cambria" w:hAnsi="Cambria"/>
                <w:b/>
                <w:bCs/>
                <w:noProof/>
                <w:color w:val="FFFFFF" w:themeColor="background1"/>
                <w:sz w:val="20"/>
                <w:szCs w:val="20"/>
                <w:lang w:val="es-ES_tradnl"/>
              </w:rPr>
            </w:pPr>
            <w:r w:rsidRPr="003D4A44">
              <w:rPr>
                <w:rFonts w:ascii="Cambria" w:hAnsi="Cambria"/>
                <w:b/>
                <w:noProof/>
                <w:color w:val="FFFFFF" w:themeColor="background1"/>
                <w:sz w:val="20"/>
                <w:szCs w:val="20"/>
                <w:lang w:val="es-ES_tradnl"/>
              </w:rPr>
              <w:t>N</w:t>
            </w:r>
            <w:r w:rsidR="004C2312" w:rsidRPr="003D4A44">
              <w:rPr>
                <w:rFonts w:ascii="Cambria" w:hAnsi="Cambria"/>
                <w:b/>
                <w:noProof/>
                <w:color w:val="FFFFFF" w:themeColor="background1"/>
                <w:sz w:val="20"/>
                <w:szCs w:val="20"/>
                <w:lang w:val="es-ES_tradnl"/>
              </w:rPr>
              <w:t>otificación de la petición al Estado:</w:t>
            </w:r>
          </w:p>
        </w:tc>
        <w:tc>
          <w:tcPr>
            <w:tcW w:w="5760" w:type="dxa"/>
            <w:vAlign w:val="center"/>
          </w:tcPr>
          <w:p w14:paraId="1519DA6A" w14:textId="69B1911C" w:rsidR="004C2312" w:rsidRPr="003D4A44" w:rsidRDefault="004A53A0" w:rsidP="008D2290">
            <w:pPr>
              <w:jc w:val="both"/>
              <w:rPr>
                <w:rFonts w:ascii="Cambria" w:hAnsi="Cambria"/>
                <w:bCs/>
                <w:noProof/>
                <w:sz w:val="20"/>
                <w:szCs w:val="20"/>
                <w:lang w:val="es-ES_tradnl"/>
              </w:rPr>
            </w:pPr>
            <w:r w:rsidRPr="003D4A44">
              <w:rPr>
                <w:rFonts w:ascii="Cambria" w:hAnsi="Cambria"/>
                <w:bCs/>
                <w:noProof/>
                <w:sz w:val="20"/>
                <w:szCs w:val="20"/>
                <w:lang w:val="es-ES_tradnl"/>
              </w:rPr>
              <w:t xml:space="preserve">29 de noviembre de </w:t>
            </w:r>
            <w:r w:rsidR="00EA4FFC" w:rsidRPr="003D4A44">
              <w:rPr>
                <w:rFonts w:ascii="Cambria" w:hAnsi="Cambria"/>
                <w:bCs/>
                <w:noProof/>
                <w:sz w:val="20"/>
                <w:szCs w:val="20"/>
                <w:lang w:val="es-ES_tradnl"/>
              </w:rPr>
              <w:t>2016</w:t>
            </w:r>
          </w:p>
        </w:tc>
      </w:tr>
      <w:tr w:rsidR="004C2312" w:rsidRPr="003D4A4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D4A44" w:rsidRDefault="004A6A54" w:rsidP="004A6A54">
            <w:pPr>
              <w:jc w:val="center"/>
              <w:rPr>
                <w:rFonts w:ascii="Cambria" w:hAnsi="Cambria"/>
                <w:b/>
                <w:bCs/>
                <w:noProof/>
                <w:color w:val="FFFFFF" w:themeColor="background1"/>
                <w:sz w:val="20"/>
                <w:szCs w:val="20"/>
                <w:lang w:val="es-ES_tradnl"/>
              </w:rPr>
            </w:pPr>
            <w:r w:rsidRPr="003D4A44">
              <w:rPr>
                <w:rFonts w:ascii="Cambria" w:hAnsi="Cambria"/>
                <w:b/>
                <w:noProof/>
                <w:color w:val="FFFFFF" w:themeColor="background1"/>
                <w:sz w:val="20"/>
                <w:szCs w:val="20"/>
                <w:lang w:val="es-ES_tradnl"/>
              </w:rPr>
              <w:t>P</w:t>
            </w:r>
            <w:r w:rsidR="004C2312" w:rsidRPr="003D4A44">
              <w:rPr>
                <w:rFonts w:ascii="Cambria" w:hAnsi="Cambria"/>
                <w:b/>
                <w:noProof/>
                <w:color w:val="FFFFFF" w:themeColor="background1"/>
                <w:sz w:val="20"/>
                <w:szCs w:val="20"/>
                <w:lang w:val="es-ES_tradnl"/>
              </w:rPr>
              <w:t>rimera respuesta del Estado:</w:t>
            </w:r>
          </w:p>
        </w:tc>
        <w:tc>
          <w:tcPr>
            <w:tcW w:w="5760" w:type="dxa"/>
            <w:vAlign w:val="center"/>
          </w:tcPr>
          <w:p w14:paraId="1972B99E" w14:textId="71ED0491" w:rsidR="004C2312" w:rsidRPr="003D4A44" w:rsidRDefault="00EA4FFC" w:rsidP="008D2290">
            <w:pPr>
              <w:jc w:val="both"/>
              <w:rPr>
                <w:rFonts w:ascii="Cambria" w:hAnsi="Cambria"/>
                <w:bCs/>
                <w:noProof/>
                <w:sz w:val="20"/>
                <w:szCs w:val="20"/>
                <w:lang w:val="es-ES_tradnl"/>
              </w:rPr>
            </w:pPr>
            <w:r w:rsidRPr="003D4A44">
              <w:rPr>
                <w:rFonts w:ascii="Cambria" w:hAnsi="Cambria"/>
                <w:bCs/>
                <w:noProof/>
                <w:sz w:val="20"/>
                <w:szCs w:val="20"/>
                <w:lang w:val="es-ES_tradnl"/>
              </w:rPr>
              <w:t>9 de enero de 2018</w:t>
            </w:r>
          </w:p>
        </w:tc>
      </w:tr>
      <w:tr w:rsidR="004C2312" w:rsidRPr="003D4A4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D4A44" w:rsidRDefault="008E3BFE" w:rsidP="008E3BFE">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Observaciones adicionales de la parte peticionaria:</w:t>
            </w:r>
          </w:p>
        </w:tc>
        <w:tc>
          <w:tcPr>
            <w:tcW w:w="5760" w:type="dxa"/>
            <w:vAlign w:val="center"/>
          </w:tcPr>
          <w:p w14:paraId="41D8B862" w14:textId="28067BD3" w:rsidR="004C2312" w:rsidRPr="003D4A44" w:rsidRDefault="00EA4FFC" w:rsidP="008D2290">
            <w:pPr>
              <w:jc w:val="both"/>
              <w:rPr>
                <w:rFonts w:ascii="Cambria" w:hAnsi="Cambria"/>
                <w:bCs/>
                <w:noProof/>
                <w:sz w:val="20"/>
                <w:szCs w:val="20"/>
                <w:lang w:val="es-ES_tradnl"/>
              </w:rPr>
            </w:pPr>
            <w:r w:rsidRPr="003D4A44">
              <w:rPr>
                <w:rFonts w:ascii="Cambria" w:hAnsi="Cambria"/>
                <w:bCs/>
                <w:noProof/>
                <w:sz w:val="20"/>
                <w:szCs w:val="20"/>
                <w:lang w:val="es-ES_tradnl"/>
              </w:rPr>
              <w:t>13 de agosto de 2018</w:t>
            </w:r>
          </w:p>
        </w:tc>
      </w:tr>
      <w:tr w:rsidR="004C2312" w:rsidRPr="003D4A44"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3D4A44" w:rsidRDefault="004C2312" w:rsidP="008E3BFE">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Observaciones adicionales del Estado:</w:t>
            </w:r>
          </w:p>
        </w:tc>
        <w:tc>
          <w:tcPr>
            <w:tcW w:w="5760" w:type="dxa"/>
            <w:vAlign w:val="center"/>
          </w:tcPr>
          <w:p w14:paraId="3CE49AFE" w14:textId="5E7038A0" w:rsidR="004C2312" w:rsidRPr="003D4A44" w:rsidRDefault="00EA4FFC" w:rsidP="008D2290">
            <w:pPr>
              <w:jc w:val="both"/>
              <w:rPr>
                <w:rFonts w:ascii="Cambria" w:hAnsi="Cambria"/>
                <w:bCs/>
                <w:noProof/>
                <w:sz w:val="20"/>
                <w:szCs w:val="20"/>
                <w:lang w:val="es-ES_tradnl"/>
              </w:rPr>
            </w:pPr>
            <w:r w:rsidRPr="003D4A44">
              <w:rPr>
                <w:rFonts w:ascii="Cambria" w:hAnsi="Cambria"/>
                <w:bCs/>
                <w:noProof/>
                <w:sz w:val="20"/>
                <w:szCs w:val="20"/>
                <w:lang w:val="es-ES_tradnl"/>
              </w:rPr>
              <w:t>18 de abril de 2019</w:t>
            </w:r>
          </w:p>
        </w:tc>
      </w:tr>
    </w:tbl>
    <w:p w14:paraId="21DAA666" w14:textId="77777777" w:rsidR="003239B8" w:rsidRPr="003D4A44" w:rsidRDefault="003239B8" w:rsidP="003239B8">
      <w:pPr>
        <w:spacing w:before="240" w:after="240"/>
        <w:ind w:firstLine="720"/>
        <w:jc w:val="both"/>
        <w:rPr>
          <w:rFonts w:asciiTheme="majorHAnsi" w:hAnsiTheme="majorHAnsi"/>
          <w:b/>
          <w:bCs/>
          <w:noProof/>
          <w:sz w:val="20"/>
          <w:szCs w:val="20"/>
          <w:lang w:val="es-ES_tradnl"/>
        </w:rPr>
      </w:pPr>
      <w:r w:rsidRPr="003D4A44">
        <w:rPr>
          <w:rFonts w:asciiTheme="majorHAnsi" w:hAnsiTheme="majorHAnsi"/>
          <w:b/>
          <w:bCs/>
          <w:noProof/>
          <w:sz w:val="20"/>
          <w:szCs w:val="20"/>
          <w:lang w:val="es-ES_tradnl"/>
        </w:rPr>
        <w:t xml:space="preserve">III. </w:t>
      </w:r>
      <w:r w:rsidRPr="003D4A44">
        <w:rPr>
          <w:rFonts w:asciiTheme="majorHAnsi" w:hAnsiTheme="majorHAnsi"/>
          <w:b/>
          <w:bCs/>
          <w:noProof/>
          <w:sz w:val="20"/>
          <w:szCs w:val="20"/>
          <w:lang w:val="es-ES_tradnl"/>
        </w:rPr>
        <w:tab/>
        <w:t>COMPETENCIA</w:t>
      </w:r>
      <w:r w:rsidR="00EE00E9" w:rsidRPr="003D4A44">
        <w:rPr>
          <w:rFonts w:asciiTheme="majorHAnsi" w:hAnsiTheme="majorHAnsi"/>
          <w:b/>
          <w:bCs/>
          <w:noProof/>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D4A4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3D4A44" w:rsidRDefault="003239B8" w:rsidP="008D2290">
            <w:pPr>
              <w:jc w:val="center"/>
              <w:rPr>
                <w:rFonts w:ascii="Cambria" w:hAnsi="Cambria"/>
                <w:b/>
                <w:bCs/>
                <w:i/>
                <w:noProof/>
                <w:color w:val="FFFFFF" w:themeColor="background1"/>
                <w:sz w:val="20"/>
                <w:szCs w:val="20"/>
                <w:lang w:val="es-ES_tradnl"/>
              </w:rPr>
            </w:pPr>
            <w:r w:rsidRPr="003D4A44">
              <w:rPr>
                <w:rFonts w:ascii="Cambria" w:hAnsi="Cambria"/>
                <w:b/>
                <w:bCs/>
                <w:noProof/>
                <w:color w:val="FFFFFF" w:themeColor="background1"/>
                <w:sz w:val="20"/>
                <w:szCs w:val="20"/>
                <w:lang w:val="es-ES_tradnl"/>
              </w:rPr>
              <w:t>Competencia</w:t>
            </w:r>
            <w:r w:rsidRPr="003D4A44">
              <w:rPr>
                <w:rFonts w:ascii="Cambria" w:hAnsi="Cambria"/>
                <w:b/>
                <w:bCs/>
                <w:i/>
                <w:noProof/>
                <w:color w:val="FFFFFF" w:themeColor="background1"/>
                <w:sz w:val="20"/>
                <w:szCs w:val="20"/>
                <w:lang w:val="es-ES_tradnl"/>
              </w:rPr>
              <w:t xml:space="preserve"> Ratione personae:</w:t>
            </w:r>
          </w:p>
        </w:tc>
        <w:tc>
          <w:tcPr>
            <w:tcW w:w="5760" w:type="dxa"/>
            <w:vAlign w:val="center"/>
          </w:tcPr>
          <w:p w14:paraId="7707F3E9" w14:textId="2DE53B4B" w:rsidR="003239B8" w:rsidRPr="003D4A44" w:rsidRDefault="00AE51F5" w:rsidP="008D2290">
            <w:pPr>
              <w:rPr>
                <w:rFonts w:ascii="Cambria" w:hAnsi="Cambria"/>
                <w:bCs/>
                <w:noProof/>
                <w:sz w:val="20"/>
                <w:szCs w:val="20"/>
                <w:lang w:val="es-ES_tradnl"/>
              </w:rPr>
            </w:pPr>
            <w:r w:rsidRPr="003D4A44">
              <w:rPr>
                <w:rFonts w:ascii="Cambria" w:hAnsi="Cambria"/>
                <w:bCs/>
                <w:noProof/>
                <w:sz w:val="20"/>
                <w:szCs w:val="20"/>
                <w:lang w:val="es-ES_tradnl"/>
              </w:rPr>
              <w:t>Sí</w:t>
            </w:r>
          </w:p>
        </w:tc>
      </w:tr>
      <w:tr w:rsidR="003239B8" w:rsidRPr="003D4A4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Competencia</w:t>
            </w:r>
            <w:r w:rsidRPr="003D4A44">
              <w:rPr>
                <w:rFonts w:ascii="Cambria" w:hAnsi="Cambria"/>
                <w:b/>
                <w:bCs/>
                <w:i/>
                <w:noProof/>
                <w:color w:val="FFFFFF" w:themeColor="background1"/>
                <w:sz w:val="20"/>
                <w:szCs w:val="20"/>
                <w:lang w:val="es-ES_tradnl"/>
              </w:rPr>
              <w:t xml:space="preserve"> Ratione loci</w:t>
            </w:r>
            <w:r w:rsidRPr="003D4A44">
              <w:rPr>
                <w:rFonts w:ascii="Cambria" w:hAnsi="Cambria"/>
                <w:b/>
                <w:bCs/>
                <w:noProof/>
                <w:color w:val="FFFFFF" w:themeColor="background1"/>
                <w:sz w:val="20"/>
                <w:szCs w:val="20"/>
                <w:lang w:val="es-ES_tradnl"/>
              </w:rPr>
              <w:t>:</w:t>
            </w:r>
          </w:p>
        </w:tc>
        <w:tc>
          <w:tcPr>
            <w:tcW w:w="5760" w:type="dxa"/>
            <w:vAlign w:val="center"/>
          </w:tcPr>
          <w:p w14:paraId="12C931CB" w14:textId="4BBAA188" w:rsidR="003239B8" w:rsidRPr="003D4A44" w:rsidRDefault="00AE51F5" w:rsidP="008D2290">
            <w:pPr>
              <w:rPr>
                <w:rFonts w:ascii="Cambria" w:hAnsi="Cambria"/>
                <w:bCs/>
                <w:noProof/>
                <w:sz w:val="20"/>
                <w:szCs w:val="20"/>
                <w:lang w:val="es-ES_tradnl"/>
              </w:rPr>
            </w:pPr>
            <w:r w:rsidRPr="003D4A44">
              <w:rPr>
                <w:rFonts w:ascii="Cambria" w:hAnsi="Cambria"/>
                <w:bCs/>
                <w:noProof/>
                <w:sz w:val="20"/>
                <w:szCs w:val="20"/>
                <w:lang w:val="es-ES_tradnl"/>
              </w:rPr>
              <w:t>Sí</w:t>
            </w:r>
          </w:p>
        </w:tc>
      </w:tr>
      <w:tr w:rsidR="003239B8" w:rsidRPr="003D4A4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Competencia</w:t>
            </w:r>
            <w:r w:rsidRPr="003D4A44">
              <w:rPr>
                <w:rFonts w:ascii="Cambria" w:hAnsi="Cambria"/>
                <w:b/>
                <w:bCs/>
                <w:i/>
                <w:noProof/>
                <w:color w:val="FFFFFF" w:themeColor="background1"/>
                <w:sz w:val="20"/>
                <w:szCs w:val="20"/>
                <w:lang w:val="es-ES_tradnl"/>
              </w:rPr>
              <w:t xml:space="preserve"> Ratione temporis</w:t>
            </w:r>
            <w:r w:rsidRPr="003D4A44">
              <w:rPr>
                <w:rFonts w:ascii="Cambria" w:hAnsi="Cambria"/>
                <w:b/>
                <w:bCs/>
                <w:noProof/>
                <w:color w:val="FFFFFF" w:themeColor="background1"/>
                <w:sz w:val="20"/>
                <w:szCs w:val="20"/>
                <w:lang w:val="es-ES_tradnl"/>
              </w:rPr>
              <w:t>:</w:t>
            </w:r>
          </w:p>
        </w:tc>
        <w:tc>
          <w:tcPr>
            <w:tcW w:w="5760" w:type="dxa"/>
            <w:vAlign w:val="center"/>
          </w:tcPr>
          <w:p w14:paraId="6F8B059B" w14:textId="5E7C5AFC" w:rsidR="003239B8" w:rsidRPr="003D4A44" w:rsidRDefault="00AE51F5" w:rsidP="008D2290">
            <w:pPr>
              <w:rPr>
                <w:rFonts w:ascii="Cambria" w:hAnsi="Cambria"/>
                <w:bCs/>
                <w:noProof/>
                <w:sz w:val="20"/>
                <w:szCs w:val="20"/>
                <w:lang w:val="es-ES_tradnl"/>
              </w:rPr>
            </w:pPr>
            <w:r w:rsidRPr="003D4A44">
              <w:rPr>
                <w:rFonts w:ascii="Cambria" w:hAnsi="Cambria"/>
                <w:bCs/>
                <w:noProof/>
                <w:sz w:val="20"/>
                <w:szCs w:val="20"/>
                <w:lang w:val="es-ES_tradnl"/>
              </w:rPr>
              <w:t>Sí</w:t>
            </w:r>
          </w:p>
        </w:tc>
      </w:tr>
      <w:tr w:rsidR="003239B8" w:rsidRPr="003D4A4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Competencia</w:t>
            </w:r>
            <w:r w:rsidRPr="003D4A44">
              <w:rPr>
                <w:rFonts w:ascii="Cambria" w:hAnsi="Cambria"/>
                <w:b/>
                <w:bCs/>
                <w:i/>
                <w:noProof/>
                <w:color w:val="FFFFFF" w:themeColor="background1"/>
                <w:sz w:val="20"/>
                <w:szCs w:val="20"/>
                <w:lang w:val="es-ES_tradnl"/>
              </w:rPr>
              <w:t xml:space="preserve"> Ratione materia</w:t>
            </w:r>
            <w:r w:rsidR="00EE00E9" w:rsidRPr="003D4A44">
              <w:rPr>
                <w:rFonts w:ascii="Cambria" w:hAnsi="Cambria"/>
                <w:b/>
                <w:bCs/>
                <w:i/>
                <w:noProof/>
                <w:color w:val="FFFFFF" w:themeColor="background1"/>
                <w:sz w:val="20"/>
                <w:szCs w:val="20"/>
                <w:lang w:val="es-ES_tradnl"/>
              </w:rPr>
              <w:t>e</w:t>
            </w:r>
            <w:r w:rsidRPr="003D4A44">
              <w:rPr>
                <w:rFonts w:ascii="Cambria" w:hAnsi="Cambria"/>
                <w:b/>
                <w:bCs/>
                <w:noProof/>
                <w:color w:val="FFFFFF" w:themeColor="background1"/>
                <w:sz w:val="20"/>
                <w:szCs w:val="20"/>
                <w:lang w:val="es-ES_tradnl"/>
              </w:rPr>
              <w:t>:</w:t>
            </w:r>
          </w:p>
        </w:tc>
        <w:tc>
          <w:tcPr>
            <w:tcW w:w="5760" w:type="dxa"/>
            <w:vAlign w:val="center"/>
          </w:tcPr>
          <w:p w14:paraId="0C122F44" w14:textId="1578148B" w:rsidR="003239B8" w:rsidRPr="003D4A44" w:rsidRDefault="00AE51F5" w:rsidP="008D2290">
            <w:pPr>
              <w:jc w:val="both"/>
              <w:rPr>
                <w:rFonts w:ascii="Cambria" w:hAnsi="Cambria"/>
                <w:bCs/>
                <w:noProof/>
                <w:sz w:val="20"/>
                <w:szCs w:val="20"/>
                <w:lang w:val="es-ES_tradnl"/>
              </w:rPr>
            </w:pPr>
            <w:r w:rsidRPr="003D4A44">
              <w:rPr>
                <w:rFonts w:ascii="Cambria" w:hAnsi="Cambria"/>
                <w:bCs/>
                <w:noProof/>
                <w:sz w:val="20"/>
                <w:szCs w:val="20"/>
                <w:lang w:val="es-ES_tradnl"/>
              </w:rPr>
              <w:t>Sí, Convención Americana (depósito del instrumento de ratificación realizado el 31 de julio de 1973)</w:t>
            </w:r>
          </w:p>
        </w:tc>
      </w:tr>
    </w:tbl>
    <w:p w14:paraId="4E92C444" w14:textId="140CB1E7" w:rsidR="003239B8" w:rsidRPr="003D4A44" w:rsidRDefault="003239B8" w:rsidP="003239B8">
      <w:pPr>
        <w:spacing w:before="240" w:after="240"/>
        <w:ind w:firstLine="720"/>
        <w:jc w:val="both"/>
        <w:rPr>
          <w:rFonts w:asciiTheme="majorHAnsi" w:hAnsiTheme="majorHAnsi"/>
          <w:b/>
          <w:bCs/>
          <w:noProof/>
          <w:sz w:val="20"/>
          <w:szCs w:val="20"/>
          <w:lang w:val="es-ES_tradnl"/>
        </w:rPr>
      </w:pPr>
      <w:r w:rsidRPr="003D4A44">
        <w:rPr>
          <w:rFonts w:asciiTheme="majorHAnsi" w:hAnsiTheme="majorHAnsi"/>
          <w:b/>
          <w:bCs/>
          <w:noProof/>
          <w:sz w:val="20"/>
          <w:szCs w:val="20"/>
          <w:lang w:val="es-ES_tradnl"/>
        </w:rPr>
        <w:t xml:space="preserve">IV. </w:t>
      </w:r>
      <w:r w:rsidRPr="003D4A44">
        <w:rPr>
          <w:rFonts w:asciiTheme="majorHAnsi" w:hAnsiTheme="majorHAnsi"/>
          <w:b/>
          <w:bCs/>
          <w:noProof/>
          <w:sz w:val="20"/>
          <w:szCs w:val="20"/>
          <w:lang w:val="es-ES_tradnl"/>
        </w:rPr>
        <w:tab/>
      </w:r>
      <w:r w:rsidR="00EE00E9" w:rsidRPr="003D4A44">
        <w:rPr>
          <w:rFonts w:asciiTheme="majorHAnsi" w:hAnsiTheme="majorHAnsi"/>
          <w:b/>
          <w:bCs/>
          <w:noProof/>
          <w:sz w:val="20"/>
          <w:szCs w:val="20"/>
          <w:lang w:val="es-ES_tradnl"/>
        </w:rPr>
        <w:t>DUPLICACIÓN</w:t>
      </w:r>
      <w:r w:rsidR="00EE00E9" w:rsidRPr="003D4A44">
        <w:rPr>
          <w:rFonts w:asciiTheme="majorHAnsi" w:hAnsiTheme="majorHAnsi"/>
          <w:b/>
          <w:bCs/>
          <w:noProof/>
          <w:color w:val="FFFFFF" w:themeColor="background1"/>
          <w:sz w:val="20"/>
          <w:szCs w:val="20"/>
          <w:lang w:val="es-ES_tradnl"/>
        </w:rPr>
        <w:t xml:space="preserve"> </w:t>
      </w:r>
      <w:r w:rsidR="00EE00E9" w:rsidRPr="003D4A44">
        <w:rPr>
          <w:rFonts w:asciiTheme="majorHAnsi" w:hAnsiTheme="majorHAnsi"/>
          <w:b/>
          <w:bCs/>
          <w:noProof/>
          <w:sz w:val="20"/>
          <w:szCs w:val="20"/>
          <w:lang w:val="es-ES_tradnl"/>
        </w:rPr>
        <w:t>DE PROCEDIMIENTOS Y COSA JUZGADA</w:t>
      </w:r>
      <w:r w:rsidR="00EE00E9" w:rsidRPr="003D4A44">
        <w:rPr>
          <w:rFonts w:asciiTheme="majorHAnsi" w:hAnsiTheme="majorHAnsi"/>
          <w:b/>
          <w:bCs/>
          <w:i/>
          <w:noProof/>
          <w:sz w:val="20"/>
          <w:szCs w:val="20"/>
          <w:lang w:val="es-ES_tradnl"/>
        </w:rPr>
        <w:t xml:space="preserve"> </w:t>
      </w:r>
      <w:r w:rsidR="00EE00E9" w:rsidRPr="003D4A44">
        <w:rPr>
          <w:rFonts w:asciiTheme="majorHAnsi" w:hAnsiTheme="majorHAnsi"/>
          <w:b/>
          <w:bCs/>
          <w:noProof/>
          <w:sz w:val="20"/>
          <w:szCs w:val="20"/>
          <w:lang w:val="es-ES_tradnl"/>
        </w:rPr>
        <w:t>INTERNACIONAL</w:t>
      </w:r>
      <w:r w:rsidR="005D38F9" w:rsidRPr="003D4A44">
        <w:rPr>
          <w:rFonts w:asciiTheme="majorHAnsi" w:hAnsiTheme="majorHAnsi"/>
          <w:b/>
          <w:bCs/>
          <w:noProof/>
          <w:sz w:val="20"/>
          <w:szCs w:val="20"/>
          <w:lang w:val="es-ES_tradnl"/>
        </w:rPr>
        <w:t>,</w:t>
      </w:r>
      <w:r w:rsidRPr="003D4A44">
        <w:rPr>
          <w:rFonts w:asciiTheme="majorHAnsi" w:hAnsiTheme="majorHAnsi"/>
          <w:b/>
          <w:bCs/>
          <w:noProof/>
          <w:sz w:val="20"/>
          <w:szCs w:val="20"/>
          <w:lang w:val="es-ES_tradnl"/>
        </w:rPr>
        <w:t xml:space="preserve"> CARACTERIZACIÓN, </w:t>
      </w:r>
      <w:r w:rsidRPr="003D4A44">
        <w:rPr>
          <w:rFonts w:asciiTheme="majorHAnsi" w:hAnsiTheme="majorHAnsi"/>
          <w:b/>
          <w:noProof/>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D4A4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3D4A44" w:rsidRDefault="00EE00E9"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Duplicación de procedimientos y cosa juzgada internacional:</w:t>
            </w:r>
          </w:p>
        </w:tc>
        <w:tc>
          <w:tcPr>
            <w:tcW w:w="5760" w:type="dxa"/>
            <w:vAlign w:val="center"/>
          </w:tcPr>
          <w:p w14:paraId="240941E6" w14:textId="62331D48" w:rsidR="00EE00E9" w:rsidRPr="003D4A44" w:rsidRDefault="00F324C3" w:rsidP="008D2290">
            <w:pPr>
              <w:jc w:val="both"/>
              <w:rPr>
                <w:rFonts w:ascii="Cambria" w:hAnsi="Cambria"/>
                <w:bCs/>
                <w:noProof/>
                <w:sz w:val="20"/>
                <w:szCs w:val="20"/>
                <w:lang w:val="es-ES_tradnl"/>
              </w:rPr>
            </w:pPr>
            <w:r w:rsidRPr="003D4A44">
              <w:rPr>
                <w:rFonts w:ascii="Cambria" w:hAnsi="Cambria"/>
                <w:bCs/>
                <w:noProof/>
                <w:sz w:val="20"/>
                <w:szCs w:val="20"/>
                <w:lang w:val="es-ES_tradnl"/>
              </w:rPr>
              <w:t>No</w:t>
            </w:r>
          </w:p>
        </w:tc>
      </w:tr>
      <w:tr w:rsidR="003239B8" w:rsidRPr="003D4A4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3D4A44" w:rsidRDefault="003239B8" w:rsidP="008D2290">
            <w:pPr>
              <w:jc w:val="center"/>
              <w:rPr>
                <w:rFonts w:ascii="Cambria" w:hAnsi="Cambria"/>
                <w:b/>
                <w:bCs/>
                <w:i/>
                <w:noProof/>
                <w:color w:val="FFFFFF" w:themeColor="background1"/>
                <w:sz w:val="20"/>
                <w:szCs w:val="20"/>
                <w:lang w:val="es-ES_tradnl"/>
              </w:rPr>
            </w:pPr>
            <w:r w:rsidRPr="003D4A44">
              <w:rPr>
                <w:rFonts w:ascii="Cambria" w:hAnsi="Cambria"/>
                <w:b/>
                <w:bCs/>
                <w:noProof/>
                <w:color w:val="FFFFFF" w:themeColor="background1"/>
                <w:sz w:val="20"/>
                <w:szCs w:val="20"/>
                <w:lang w:val="es-ES_tradnl"/>
              </w:rPr>
              <w:t>Derechos declarados admisibles</w:t>
            </w:r>
            <w:r w:rsidRPr="003D4A44">
              <w:rPr>
                <w:rFonts w:ascii="Cambria" w:hAnsi="Cambria"/>
                <w:b/>
                <w:bCs/>
                <w:i/>
                <w:noProof/>
                <w:color w:val="FFFFFF" w:themeColor="background1"/>
                <w:sz w:val="20"/>
                <w:szCs w:val="20"/>
                <w:lang w:val="es-ES_tradnl"/>
              </w:rPr>
              <w:t>:</w:t>
            </w:r>
          </w:p>
        </w:tc>
        <w:tc>
          <w:tcPr>
            <w:tcW w:w="5760" w:type="dxa"/>
            <w:vAlign w:val="center"/>
          </w:tcPr>
          <w:p w14:paraId="6310C8F7" w14:textId="3184A8F1" w:rsidR="003239B8" w:rsidRPr="003D4A44" w:rsidRDefault="00F324C3" w:rsidP="008D2290">
            <w:pPr>
              <w:jc w:val="both"/>
              <w:rPr>
                <w:rFonts w:ascii="Cambria" w:hAnsi="Cambria"/>
                <w:bCs/>
                <w:noProof/>
                <w:sz w:val="20"/>
                <w:szCs w:val="20"/>
                <w:lang w:val="es-ES_tradnl"/>
              </w:rPr>
            </w:pPr>
            <w:r w:rsidRPr="003D4A44">
              <w:rPr>
                <w:rFonts w:ascii="Cambria" w:hAnsi="Cambria"/>
                <w:bCs/>
                <w:noProof/>
                <w:sz w:val="20"/>
                <w:szCs w:val="20"/>
                <w:lang w:val="es-ES_tradnl"/>
              </w:rPr>
              <w:t>Ninguno</w:t>
            </w:r>
          </w:p>
        </w:tc>
      </w:tr>
      <w:tr w:rsidR="003239B8" w:rsidRPr="003D4A4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Agotamiento de recursos internos</w:t>
            </w:r>
            <w:r w:rsidR="00EE00E9" w:rsidRPr="003D4A44">
              <w:rPr>
                <w:rFonts w:ascii="Cambria" w:hAnsi="Cambria"/>
                <w:b/>
                <w:bCs/>
                <w:noProof/>
                <w:color w:val="FFFFFF" w:themeColor="background1"/>
                <w:sz w:val="20"/>
                <w:szCs w:val="20"/>
                <w:lang w:val="es-ES_tradnl"/>
              </w:rPr>
              <w:t xml:space="preserve"> o procedencia de una excepción</w:t>
            </w:r>
            <w:r w:rsidRPr="003D4A44">
              <w:rPr>
                <w:rFonts w:ascii="Cambria" w:hAnsi="Cambria"/>
                <w:b/>
                <w:bCs/>
                <w:noProof/>
                <w:color w:val="FFFFFF" w:themeColor="background1"/>
                <w:sz w:val="20"/>
                <w:szCs w:val="20"/>
                <w:lang w:val="es-ES_tradnl"/>
              </w:rPr>
              <w:t>:</w:t>
            </w:r>
          </w:p>
        </w:tc>
        <w:tc>
          <w:tcPr>
            <w:tcW w:w="5760" w:type="dxa"/>
            <w:vAlign w:val="center"/>
          </w:tcPr>
          <w:p w14:paraId="69C53E8A" w14:textId="36EED70E" w:rsidR="003239B8" w:rsidRPr="003D4A44" w:rsidRDefault="003B2314" w:rsidP="008D2290">
            <w:pPr>
              <w:rPr>
                <w:rFonts w:ascii="Cambria" w:hAnsi="Cambria"/>
                <w:bCs/>
                <w:noProof/>
                <w:sz w:val="20"/>
                <w:szCs w:val="20"/>
                <w:lang w:val="es-ES_tradnl"/>
              </w:rPr>
            </w:pPr>
            <w:r w:rsidRPr="003D4A44">
              <w:rPr>
                <w:rFonts w:ascii="Cambria" w:hAnsi="Cambria"/>
                <w:bCs/>
                <w:noProof/>
                <w:sz w:val="20"/>
                <w:szCs w:val="20"/>
                <w:lang w:val="es-ES_tradnl"/>
              </w:rPr>
              <w:t>No</w:t>
            </w:r>
            <w:r w:rsidR="00F324C3" w:rsidRPr="003D4A44">
              <w:rPr>
                <w:rFonts w:ascii="Cambria" w:hAnsi="Cambria"/>
                <w:bCs/>
                <w:noProof/>
                <w:sz w:val="20"/>
                <w:szCs w:val="20"/>
                <w:lang w:val="es-ES_tradnl"/>
              </w:rPr>
              <w:t>, en los términos de la sección VI</w:t>
            </w:r>
          </w:p>
        </w:tc>
      </w:tr>
      <w:tr w:rsidR="003239B8" w:rsidRPr="003D4A4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3D4A44" w:rsidRDefault="003239B8" w:rsidP="008D2290">
            <w:pPr>
              <w:jc w:val="center"/>
              <w:rPr>
                <w:rFonts w:ascii="Cambria" w:hAnsi="Cambria"/>
                <w:b/>
                <w:bCs/>
                <w:noProof/>
                <w:color w:val="FFFFFF" w:themeColor="background1"/>
                <w:sz w:val="20"/>
                <w:szCs w:val="20"/>
                <w:lang w:val="es-ES_tradnl"/>
              </w:rPr>
            </w:pPr>
            <w:r w:rsidRPr="003D4A44">
              <w:rPr>
                <w:rFonts w:ascii="Cambria" w:hAnsi="Cambria"/>
                <w:b/>
                <w:bCs/>
                <w:noProof/>
                <w:color w:val="FFFFFF" w:themeColor="background1"/>
                <w:sz w:val="20"/>
                <w:szCs w:val="20"/>
                <w:lang w:val="es-ES_tradnl"/>
              </w:rPr>
              <w:t>Presentación dentro de plazo:</w:t>
            </w:r>
          </w:p>
        </w:tc>
        <w:tc>
          <w:tcPr>
            <w:tcW w:w="5760" w:type="dxa"/>
            <w:vAlign w:val="center"/>
          </w:tcPr>
          <w:p w14:paraId="4A2A4569" w14:textId="0C8C5081" w:rsidR="003239B8" w:rsidRPr="003D4A44" w:rsidRDefault="003B2314" w:rsidP="008D2290">
            <w:pPr>
              <w:rPr>
                <w:rFonts w:ascii="Cambria" w:hAnsi="Cambria"/>
                <w:bCs/>
                <w:noProof/>
                <w:sz w:val="20"/>
                <w:szCs w:val="20"/>
                <w:lang w:val="es-ES_tradnl"/>
              </w:rPr>
            </w:pPr>
            <w:r w:rsidRPr="003D4A44">
              <w:rPr>
                <w:rFonts w:ascii="Cambria" w:hAnsi="Cambria"/>
                <w:bCs/>
                <w:noProof/>
                <w:sz w:val="20"/>
                <w:szCs w:val="20"/>
                <w:lang w:val="es-ES_tradnl"/>
              </w:rPr>
              <w:t>N/A</w:t>
            </w:r>
          </w:p>
        </w:tc>
      </w:tr>
    </w:tbl>
    <w:p w14:paraId="18E6423B" w14:textId="77777777" w:rsidR="003239B8" w:rsidRPr="003D4A44" w:rsidRDefault="00223A29" w:rsidP="003239B8">
      <w:pPr>
        <w:spacing w:before="240" w:after="240"/>
        <w:ind w:firstLine="720"/>
        <w:jc w:val="both"/>
        <w:rPr>
          <w:rFonts w:asciiTheme="majorHAnsi" w:hAnsiTheme="majorHAnsi"/>
          <w:b/>
          <w:noProof/>
          <w:sz w:val="20"/>
          <w:szCs w:val="20"/>
          <w:lang w:val="es-ES_tradnl"/>
        </w:rPr>
      </w:pPr>
      <w:r w:rsidRPr="003D4A44">
        <w:rPr>
          <w:rFonts w:asciiTheme="majorHAnsi" w:hAnsiTheme="majorHAnsi"/>
          <w:b/>
          <w:noProof/>
          <w:sz w:val="20"/>
          <w:szCs w:val="20"/>
          <w:lang w:val="es-ES_tradnl"/>
        </w:rPr>
        <w:t xml:space="preserve">V. </w:t>
      </w:r>
      <w:r w:rsidRPr="003D4A44">
        <w:rPr>
          <w:rFonts w:asciiTheme="majorHAnsi" w:hAnsiTheme="majorHAnsi"/>
          <w:b/>
          <w:noProof/>
          <w:sz w:val="20"/>
          <w:szCs w:val="20"/>
          <w:lang w:val="es-ES_tradnl"/>
        </w:rPr>
        <w:tab/>
      </w:r>
      <w:r w:rsidR="003239B8" w:rsidRPr="003D4A44">
        <w:rPr>
          <w:rFonts w:asciiTheme="majorHAnsi" w:hAnsiTheme="majorHAnsi"/>
          <w:b/>
          <w:noProof/>
          <w:sz w:val="20"/>
          <w:szCs w:val="20"/>
          <w:lang w:val="es-ES_tradnl"/>
        </w:rPr>
        <w:t xml:space="preserve">HECHOS ALEGADOS </w:t>
      </w:r>
    </w:p>
    <w:p w14:paraId="1C4370ED" w14:textId="5D43CDEE" w:rsidR="005269E2" w:rsidRPr="003D4A44" w:rsidRDefault="005269E2" w:rsidP="00EA3BB8">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La parte peticionaria denuncia que el señor Guille</w:t>
      </w:r>
      <w:r w:rsidR="00200B59" w:rsidRPr="003D4A44">
        <w:rPr>
          <w:rFonts w:ascii="Cambria" w:hAnsi="Cambria"/>
          <w:noProof/>
          <w:sz w:val="20"/>
          <w:szCs w:val="20"/>
          <w:lang w:val="es-ES_tradnl"/>
        </w:rPr>
        <w:t xml:space="preserve">rmo Fino Serrano (en adelante, </w:t>
      </w:r>
      <w:r w:rsidR="00413307" w:rsidRPr="003D4A44">
        <w:rPr>
          <w:rFonts w:ascii="Cambria" w:hAnsi="Cambria"/>
          <w:noProof/>
          <w:sz w:val="20"/>
          <w:szCs w:val="20"/>
          <w:lang w:val="es-ES_tradnl"/>
        </w:rPr>
        <w:t>”</w:t>
      </w:r>
      <w:r w:rsidRPr="003D4A44">
        <w:rPr>
          <w:rFonts w:ascii="Cambria" w:hAnsi="Cambria"/>
          <w:noProof/>
          <w:sz w:val="20"/>
          <w:szCs w:val="20"/>
          <w:lang w:val="es-ES_tradnl"/>
        </w:rPr>
        <w:t>la presunta víctima</w:t>
      </w:r>
      <w:r w:rsidR="00413307" w:rsidRPr="003D4A44">
        <w:rPr>
          <w:rFonts w:ascii="Cambria" w:hAnsi="Cambria"/>
          <w:noProof/>
          <w:sz w:val="20"/>
          <w:szCs w:val="20"/>
          <w:lang w:val="es-ES_tradnl"/>
        </w:rPr>
        <w:t>” o “</w:t>
      </w:r>
      <w:r w:rsidRPr="003D4A44">
        <w:rPr>
          <w:rFonts w:ascii="Cambria" w:hAnsi="Cambria"/>
          <w:noProof/>
          <w:sz w:val="20"/>
          <w:szCs w:val="20"/>
          <w:lang w:val="es-ES_tradnl"/>
        </w:rPr>
        <w:t>el señor Fino</w:t>
      </w:r>
      <w:r w:rsidR="00F324C3" w:rsidRPr="003D4A44">
        <w:rPr>
          <w:rFonts w:ascii="Cambria" w:hAnsi="Cambria"/>
          <w:noProof/>
          <w:sz w:val="20"/>
          <w:szCs w:val="20"/>
          <w:lang w:val="es-ES_tradnl"/>
        </w:rPr>
        <w:t xml:space="preserve"> Serrano</w:t>
      </w:r>
      <w:r w:rsidR="00413307" w:rsidRPr="003D4A44">
        <w:rPr>
          <w:rFonts w:ascii="Cambria" w:hAnsi="Cambria"/>
          <w:noProof/>
          <w:sz w:val="20"/>
          <w:szCs w:val="20"/>
          <w:lang w:val="es-ES_tradnl"/>
        </w:rPr>
        <w:t>”</w:t>
      </w:r>
      <w:r w:rsidRPr="003D4A44">
        <w:rPr>
          <w:rFonts w:ascii="Cambria" w:hAnsi="Cambria"/>
          <w:noProof/>
          <w:sz w:val="20"/>
          <w:szCs w:val="20"/>
          <w:lang w:val="es-ES_tradnl"/>
        </w:rPr>
        <w:t xml:space="preserve">) fue condenado por los delitos de cohecho impropio e interés indebido en la celebración de contratos, mediante un proceso penal que no respetó su derecho a la defensa y la garantía </w:t>
      </w:r>
      <w:r w:rsidR="002E6995" w:rsidRPr="003D4A44">
        <w:rPr>
          <w:rFonts w:ascii="Cambria" w:hAnsi="Cambria"/>
          <w:noProof/>
          <w:sz w:val="20"/>
          <w:szCs w:val="20"/>
          <w:lang w:val="es-ES_tradnl"/>
        </w:rPr>
        <w:t>al</w:t>
      </w:r>
      <w:r w:rsidRPr="003D4A44">
        <w:rPr>
          <w:rFonts w:ascii="Cambria" w:hAnsi="Cambria"/>
          <w:noProof/>
          <w:sz w:val="20"/>
          <w:szCs w:val="20"/>
          <w:lang w:val="es-ES_tradnl"/>
        </w:rPr>
        <w:t xml:space="preserve"> </w:t>
      </w:r>
      <w:r w:rsidR="002E6995" w:rsidRPr="003D4A44">
        <w:rPr>
          <w:rFonts w:ascii="Cambria" w:hAnsi="Cambria"/>
          <w:noProof/>
          <w:sz w:val="20"/>
          <w:szCs w:val="20"/>
          <w:lang w:val="es-ES_tradnl"/>
        </w:rPr>
        <w:t>tribunal</w:t>
      </w:r>
      <w:r w:rsidRPr="003D4A44">
        <w:rPr>
          <w:rFonts w:ascii="Cambria" w:hAnsi="Cambria"/>
          <w:noProof/>
          <w:sz w:val="20"/>
          <w:szCs w:val="20"/>
          <w:lang w:val="es-ES_tradnl"/>
        </w:rPr>
        <w:t xml:space="preserve"> independiente e imparcial.</w:t>
      </w:r>
    </w:p>
    <w:p w14:paraId="70BCB331" w14:textId="3C9F1652" w:rsidR="005269E2" w:rsidRPr="003D4A44" w:rsidRDefault="005269E2" w:rsidP="00F22C3B">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 xml:space="preserve">Indica que el 8 de junio de 2001 </w:t>
      </w:r>
      <w:r w:rsidR="00F22C3B" w:rsidRPr="003D4A44">
        <w:rPr>
          <w:rFonts w:ascii="Cambria" w:hAnsi="Cambria"/>
          <w:noProof/>
          <w:sz w:val="20"/>
          <w:szCs w:val="20"/>
          <w:lang w:val="es-ES_tradnl"/>
        </w:rPr>
        <w:t>el señor Fino</w:t>
      </w:r>
      <w:r w:rsidR="00F324C3" w:rsidRPr="003D4A44">
        <w:rPr>
          <w:rFonts w:ascii="Cambria" w:hAnsi="Cambria"/>
          <w:noProof/>
          <w:sz w:val="20"/>
          <w:szCs w:val="20"/>
          <w:lang w:val="es-ES_tradnl"/>
        </w:rPr>
        <w:t xml:space="preserve"> Serano</w:t>
      </w:r>
      <w:r w:rsidRPr="003D4A44">
        <w:rPr>
          <w:rFonts w:ascii="Cambria" w:hAnsi="Cambria"/>
          <w:noProof/>
          <w:sz w:val="20"/>
          <w:szCs w:val="20"/>
          <w:lang w:val="es-ES_tradnl"/>
        </w:rPr>
        <w:t xml:space="preserve"> </w:t>
      </w:r>
      <w:r w:rsidR="00F22C3B" w:rsidRPr="003D4A44">
        <w:rPr>
          <w:rFonts w:ascii="Cambria" w:hAnsi="Cambria"/>
          <w:noProof/>
          <w:sz w:val="20"/>
          <w:szCs w:val="20"/>
          <w:lang w:val="es-ES_tradnl"/>
        </w:rPr>
        <w:t xml:space="preserve">fue nombrado Presidente del Instituto de Seguros Sociales (en adelante, ISS), cargo que desempeñó hasta el 27 de agosto de 2002. Señala que el 27 de marzo de 2004 la presunta víctima interpuso una denuncia penal </w:t>
      </w:r>
      <w:r w:rsidR="00365C90" w:rsidRPr="003D4A44">
        <w:rPr>
          <w:rFonts w:ascii="Cambria" w:hAnsi="Cambria"/>
          <w:noProof/>
          <w:sz w:val="20"/>
          <w:szCs w:val="20"/>
          <w:lang w:val="es-ES_tradnl"/>
        </w:rPr>
        <w:t>manifestando</w:t>
      </w:r>
      <w:r w:rsidR="00F22C3B" w:rsidRPr="003D4A44">
        <w:rPr>
          <w:rFonts w:ascii="Cambria" w:hAnsi="Cambria"/>
          <w:noProof/>
          <w:sz w:val="20"/>
          <w:szCs w:val="20"/>
          <w:lang w:val="es-ES_tradnl"/>
        </w:rPr>
        <w:t xml:space="preserve"> que desde el 15 de octubre de 2003, mientras se encontraba en campaña política para acceder al Consejo de Bogotá, comenzó a ser </w:t>
      </w:r>
      <w:r w:rsidR="00F22C3B" w:rsidRPr="003D4A44">
        <w:rPr>
          <w:rFonts w:ascii="Cambria" w:hAnsi="Cambria"/>
          <w:noProof/>
          <w:sz w:val="20"/>
          <w:szCs w:val="20"/>
          <w:lang w:val="es-ES_tradnl"/>
        </w:rPr>
        <w:lastRenderedPageBreak/>
        <w:t xml:space="preserve">extorsionada mediante mensajes anónimos que le exigían la entrega de un monto de dinero a fin que no se divulguen los actos ilicítos que habría cometido mientras ejerció como Presidente del ISS. </w:t>
      </w:r>
    </w:p>
    <w:p w14:paraId="69814208" w14:textId="77777777" w:rsidR="004120E6" w:rsidRDefault="00F22C3B" w:rsidP="00B567E2">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El peticionario explica que el 13 de mayo de 200</w:t>
      </w:r>
      <w:r w:rsidR="00365C90" w:rsidRPr="003D4A44">
        <w:rPr>
          <w:rFonts w:ascii="Cambria" w:hAnsi="Cambria"/>
          <w:noProof/>
          <w:sz w:val="20"/>
          <w:szCs w:val="20"/>
          <w:lang w:val="es-ES_tradnl"/>
        </w:rPr>
        <w:t xml:space="preserve">4 el </w:t>
      </w:r>
      <w:r w:rsidR="009A3C77">
        <w:rPr>
          <w:rFonts w:ascii="Cambria" w:hAnsi="Cambria"/>
          <w:noProof/>
          <w:sz w:val="20"/>
          <w:szCs w:val="20"/>
          <w:lang w:val="es-ES_tradnl"/>
        </w:rPr>
        <w:t>responsab</w:t>
      </w:r>
      <w:r w:rsidR="00436021" w:rsidRPr="003D4A44">
        <w:rPr>
          <w:rFonts w:ascii="Cambria" w:hAnsi="Cambria"/>
          <w:noProof/>
          <w:sz w:val="20"/>
          <w:szCs w:val="20"/>
          <w:lang w:val="es-ES_tradnl"/>
        </w:rPr>
        <w:t>le de las extorsiones</w:t>
      </w:r>
      <w:r w:rsidR="00365C90" w:rsidRPr="003D4A44">
        <w:rPr>
          <w:rFonts w:ascii="Cambria" w:hAnsi="Cambria"/>
          <w:noProof/>
          <w:sz w:val="20"/>
          <w:szCs w:val="20"/>
          <w:lang w:val="es-ES_tradnl"/>
        </w:rPr>
        <w:t>, el señor Jesús Buriticá Restrepo, fue captur</w:t>
      </w:r>
    </w:p>
    <w:p w14:paraId="60488398" w14:textId="2BB8BEED" w:rsidR="00117F8C" w:rsidRPr="003D4A44" w:rsidRDefault="00365C90" w:rsidP="00B567E2">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ado en flagrancia. Precisa que en la diligencia indagatoria</w:t>
      </w:r>
      <w:r w:rsidR="00436021" w:rsidRPr="003D4A44">
        <w:rPr>
          <w:rFonts w:ascii="Cambria" w:hAnsi="Cambria"/>
          <w:noProof/>
          <w:sz w:val="20"/>
          <w:szCs w:val="20"/>
          <w:lang w:val="es-ES_tradnl"/>
        </w:rPr>
        <w:t xml:space="preserve"> la referida persona</w:t>
      </w:r>
      <w:r w:rsidRPr="003D4A44">
        <w:rPr>
          <w:rFonts w:ascii="Cambria" w:hAnsi="Cambria"/>
          <w:noProof/>
          <w:sz w:val="20"/>
          <w:szCs w:val="20"/>
          <w:lang w:val="es-ES_tradnl"/>
        </w:rPr>
        <w:t xml:space="preserve"> realizó graves denuncia</w:t>
      </w:r>
      <w:r w:rsidR="00436021" w:rsidRPr="003D4A44">
        <w:rPr>
          <w:rFonts w:ascii="Cambria" w:hAnsi="Cambria"/>
          <w:noProof/>
          <w:sz w:val="20"/>
          <w:szCs w:val="20"/>
          <w:lang w:val="es-ES_tradnl"/>
        </w:rPr>
        <w:t>s</w:t>
      </w:r>
      <w:r w:rsidRPr="003D4A44">
        <w:rPr>
          <w:rFonts w:ascii="Cambria" w:hAnsi="Cambria"/>
          <w:noProof/>
          <w:sz w:val="20"/>
          <w:szCs w:val="20"/>
          <w:lang w:val="es-ES_tradnl"/>
        </w:rPr>
        <w:t xml:space="preserve"> contra la presunta víctima, al indicar que </w:t>
      </w:r>
      <w:r w:rsidR="00B567E2" w:rsidRPr="003D4A44">
        <w:rPr>
          <w:rFonts w:ascii="Cambria" w:hAnsi="Cambria"/>
          <w:noProof/>
          <w:sz w:val="20"/>
          <w:szCs w:val="20"/>
          <w:lang w:val="es-ES_tradnl"/>
        </w:rPr>
        <w:t xml:space="preserve">le entregó una comisión irregular equivalente a 30.000 dólares, enviada por el representante legal de la compañía multinacional Fresenius Medical Care Colombia S.A a fin de agilizar </w:t>
      </w:r>
      <w:r w:rsidR="002E6995" w:rsidRPr="003D4A44">
        <w:rPr>
          <w:rFonts w:ascii="Cambria" w:hAnsi="Cambria"/>
          <w:noProof/>
          <w:sz w:val="20"/>
          <w:szCs w:val="20"/>
          <w:lang w:val="es-ES_tradnl"/>
        </w:rPr>
        <w:t xml:space="preserve">un pago anticipado </w:t>
      </w:r>
      <w:r w:rsidR="00B567E2" w:rsidRPr="003D4A44">
        <w:rPr>
          <w:rFonts w:ascii="Cambria" w:hAnsi="Cambria"/>
          <w:noProof/>
          <w:sz w:val="20"/>
          <w:szCs w:val="20"/>
          <w:lang w:val="es-ES_tradnl"/>
        </w:rPr>
        <w:t xml:space="preserve">correspondiente al contrato No. 110 del 20 de marzo de 2002, celebrado entre dicha empresa y el ISS. </w:t>
      </w:r>
    </w:p>
    <w:p w14:paraId="3E076B32" w14:textId="334E1DDA" w:rsidR="005C551B" w:rsidRPr="003D4A44" w:rsidRDefault="00FB4F4E" w:rsidP="005C551B">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Indica</w:t>
      </w:r>
      <w:r w:rsidR="00B567E2" w:rsidRPr="003D4A44">
        <w:rPr>
          <w:rFonts w:ascii="Cambria" w:hAnsi="Cambria"/>
          <w:noProof/>
          <w:sz w:val="20"/>
          <w:szCs w:val="20"/>
          <w:lang w:val="es-ES_tradnl"/>
        </w:rPr>
        <w:t xml:space="preserve"> que producto de ello el 22 de junio de 2004 el Fiscal General de la Nación destacó al Fiscal Segundo Delegado ante el Tribunal Superior del Distrito Judicial de Cundinamarca para que adelante una investigación contra </w:t>
      </w:r>
      <w:r w:rsidR="000C671D" w:rsidRPr="003D4A44">
        <w:rPr>
          <w:rFonts w:ascii="Cambria" w:hAnsi="Cambria"/>
          <w:noProof/>
          <w:sz w:val="20"/>
          <w:szCs w:val="20"/>
          <w:lang w:val="es-ES_tradnl"/>
        </w:rPr>
        <w:t>el señor F</w:t>
      </w:r>
      <w:r w:rsidR="005C551B" w:rsidRPr="003D4A44">
        <w:rPr>
          <w:rFonts w:ascii="Cambria" w:hAnsi="Cambria"/>
          <w:noProof/>
          <w:sz w:val="20"/>
          <w:szCs w:val="20"/>
          <w:lang w:val="es-ES_tradnl"/>
        </w:rPr>
        <w:t>ino</w:t>
      </w:r>
      <w:r w:rsidR="00F324C3" w:rsidRPr="003D4A44">
        <w:rPr>
          <w:rFonts w:ascii="Cambria" w:hAnsi="Cambria"/>
          <w:noProof/>
          <w:sz w:val="20"/>
          <w:szCs w:val="20"/>
          <w:lang w:val="es-ES_tradnl"/>
        </w:rPr>
        <w:t xml:space="preserve"> Serrano</w:t>
      </w:r>
      <w:r w:rsidR="005C551B" w:rsidRPr="003D4A44">
        <w:rPr>
          <w:rFonts w:ascii="Cambria" w:hAnsi="Cambria"/>
          <w:noProof/>
          <w:sz w:val="20"/>
          <w:szCs w:val="20"/>
          <w:lang w:val="es-ES_tradnl"/>
        </w:rPr>
        <w:t>.</w:t>
      </w:r>
      <w:r w:rsidR="000C671D" w:rsidRPr="003D4A44">
        <w:rPr>
          <w:rFonts w:ascii="Cambria" w:hAnsi="Cambria"/>
          <w:noProof/>
          <w:sz w:val="20"/>
          <w:szCs w:val="20"/>
          <w:lang w:val="es-ES_tradnl"/>
        </w:rPr>
        <w:t xml:space="preserve"> Alega que el</w:t>
      </w:r>
      <w:r w:rsidR="00117F8C" w:rsidRPr="003D4A44">
        <w:rPr>
          <w:rFonts w:ascii="Cambria" w:hAnsi="Cambria"/>
          <w:noProof/>
          <w:sz w:val="20"/>
          <w:szCs w:val="20"/>
          <w:lang w:val="es-ES_tradnl"/>
        </w:rPr>
        <w:t xml:space="preserve"> 17 de septiembre de 2004 </w:t>
      </w:r>
      <w:r w:rsidR="005C551B" w:rsidRPr="003D4A44">
        <w:rPr>
          <w:rFonts w:ascii="Cambria" w:hAnsi="Cambria"/>
          <w:noProof/>
          <w:sz w:val="20"/>
          <w:szCs w:val="20"/>
          <w:lang w:val="es-ES_tradnl"/>
        </w:rPr>
        <w:t>dicha autoridad</w:t>
      </w:r>
      <w:r w:rsidR="00117F8C" w:rsidRPr="003D4A44">
        <w:rPr>
          <w:rFonts w:ascii="Cambria" w:hAnsi="Cambria"/>
          <w:noProof/>
          <w:sz w:val="20"/>
          <w:szCs w:val="20"/>
          <w:lang w:val="es-ES_tradnl"/>
        </w:rPr>
        <w:t xml:space="preserve"> expidió orden de captura contra la presunta víctima y el</w:t>
      </w:r>
      <w:r w:rsidR="000C671D" w:rsidRPr="003D4A44">
        <w:rPr>
          <w:rFonts w:ascii="Cambria" w:hAnsi="Cambria"/>
          <w:noProof/>
          <w:sz w:val="20"/>
          <w:szCs w:val="20"/>
          <w:lang w:val="es-ES_tradnl"/>
        </w:rPr>
        <w:t xml:space="preserve"> 25 de septiembre de 2004 se </w:t>
      </w:r>
      <w:r w:rsidR="00117F8C" w:rsidRPr="003D4A44">
        <w:rPr>
          <w:rFonts w:ascii="Cambria" w:hAnsi="Cambria"/>
          <w:noProof/>
          <w:sz w:val="20"/>
          <w:szCs w:val="20"/>
          <w:lang w:val="es-ES_tradnl"/>
        </w:rPr>
        <w:t xml:space="preserve">dispuso la imposición de una </w:t>
      </w:r>
      <w:r w:rsidR="000C671D" w:rsidRPr="003D4A44">
        <w:rPr>
          <w:rFonts w:ascii="Cambria" w:hAnsi="Cambria"/>
          <w:noProof/>
          <w:sz w:val="20"/>
          <w:szCs w:val="20"/>
          <w:lang w:val="es-ES_tradnl"/>
        </w:rPr>
        <w:t>medida de detención preventiva</w:t>
      </w:r>
      <w:r w:rsidR="00117F8C" w:rsidRPr="003D4A44">
        <w:rPr>
          <w:rFonts w:ascii="Cambria" w:hAnsi="Cambria"/>
          <w:noProof/>
          <w:sz w:val="20"/>
          <w:szCs w:val="20"/>
          <w:lang w:val="es-ES_tradnl"/>
        </w:rPr>
        <w:t xml:space="preserve"> por los delitos de cohecho impropio e interés indebido en la celebración de contratos</w:t>
      </w:r>
      <w:r w:rsidR="000C671D" w:rsidRPr="003D4A44">
        <w:rPr>
          <w:rFonts w:ascii="Cambria" w:hAnsi="Cambria"/>
          <w:noProof/>
          <w:sz w:val="20"/>
          <w:szCs w:val="20"/>
          <w:lang w:val="es-ES_tradnl"/>
        </w:rPr>
        <w:t xml:space="preserve">. </w:t>
      </w:r>
    </w:p>
    <w:p w14:paraId="1C54B91B" w14:textId="714AD96A" w:rsidR="000C671D" w:rsidRPr="003D4A44" w:rsidRDefault="005C551B" w:rsidP="00273CB9">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Sostiene que el 8 de noviembre de 2004 la defensa del señor Fino</w:t>
      </w:r>
      <w:r w:rsidR="00F324C3" w:rsidRPr="003D4A44">
        <w:rPr>
          <w:rFonts w:ascii="Cambria" w:hAnsi="Cambria"/>
          <w:noProof/>
          <w:sz w:val="20"/>
          <w:szCs w:val="20"/>
          <w:lang w:val="es-ES_tradnl"/>
        </w:rPr>
        <w:t xml:space="preserve"> Serrano</w:t>
      </w:r>
      <w:r w:rsidRPr="003D4A44">
        <w:rPr>
          <w:rFonts w:ascii="Cambria" w:hAnsi="Cambria"/>
          <w:noProof/>
          <w:sz w:val="20"/>
          <w:szCs w:val="20"/>
          <w:lang w:val="es-ES_tradnl"/>
        </w:rPr>
        <w:t xml:space="preserve"> solicitó el beneficio de sustitución de la medida de detención preventiva por la de detención domiciliaria, pero el 23 de noviembre de 2004 se le negó dicho beneficio.</w:t>
      </w:r>
      <w:r w:rsidR="00273CB9" w:rsidRPr="003D4A44">
        <w:rPr>
          <w:rFonts w:ascii="Cambria" w:hAnsi="Cambria"/>
          <w:noProof/>
          <w:sz w:val="20"/>
          <w:szCs w:val="20"/>
          <w:lang w:val="es-ES_tradnl"/>
        </w:rPr>
        <w:t xml:space="preserve"> </w:t>
      </w:r>
      <w:r w:rsidR="00FB4F4E" w:rsidRPr="003D4A44">
        <w:rPr>
          <w:rFonts w:ascii="Cambria" w:hAnsi="Cambria"/>
          <w:noProof/>
          <w:sz w:val="20"/>
          <w:szCs w:val="20"/>
          <w:lang w:val="es-ES_tradnl"/>
        </w:rPr>
        <w:t>Denuncia</w:t>
      </w:r>
      <w:r w:rsidR="00273CB9" w:rsidRPr="003D4A44">
        <w:rPr>
          <w:rFonts w:ascii="Cambria" w:hAnsi="Cambria"/>
          <w:noProof/>
          <w:sz w:val="20"/>
          <w:szCs w:val="20"/>
          <w:lang w:val="es-ES_tradnl"/>
        </w:rPr>
        <w:t xml:space="preserve"> </w:t>
      </w:r>
      <w:r w:rsidR="00C776A6" w:rsidRPr="003D4A44">
        <w:rPr>
          <w:rFonts w:ascii="Cambria" w:hAnsi="Cambria"/>
          <w:noProof/>
          <w:sz w:val="20"/>
          <w:szCs w:val="20"/>
          <w:lang w:val="es-ES_tradnl"/>
        </w:rPr>
        <w:t xml:space="preserve">que dicha decisión fue apelada, pero la Fiscalía negó </w:t>
      </w:r>
      <w:r w:rsidR="00FB4F4E" w:rsidRPr="003D4A44">
        <w:rPr>
          <w:rFonts w:ascii="Cambria" w:hAnsi="Cambria"/>
          <w:noProof/>
          <w:sz w:val="20"/>
          <w:szCs w:val="20"/>
          <w:lang w:val="es-ES_tradnl"/>
        </w:rPr>
        <w:t xml:space="preserve">indebidamente </w:t>
      </w:r>
      <w:r w:rsidR="00C776A6" w:rsidRPr="003D4A44">
        <w:rPr>
          <w:rFonts w:ascii="Cambria" w:hAnsi="Cambria"/>
          <w:noProof/>
          <w:sz w:val="20"/>
          <w:szCs w:val="20"/>
          <w:lang w:val="es-ES_tradnl"/>
        </w:rPr>
        <w:t>el recurso.</w:t>
      </w:r>
      <w:r w:rsidR="00FB4F4E" w:rsidRPr="003D4A44">
        <w:rPr>
          <w:rFonts w:ascii="Cambria" w:hAnsi="Cambria"/>
          <w:noProof/>
          <w:sz w:val="20"/>
          <w:szCs w:val="20"/>
          <w:lang w:val="es-ES_tradnl"/>
        </w:rPr>
        <w:t xml:space="preserve"> Arguye que </w:t>
      </w:r>
      <w:r w:rsidR="00273CB9" w:rsidRPr="003D4A44">
        <w:rPr>
          <w:rFonts w:ascii="Cambria" w:hAnsi="Cambria"/>
          <w:noProof/>
          <w:sz w:val="20"/>
          <w:szCs w:val="20"/>
          <w:lang w:val="es-ES_tradnl"/>
        </w:rPr>
        <w:t xml:space="preserve">el 8 de febrero de 2005 la presunta víctima interpuso acción de tutela contra dicha </w:t>
      </w:r>
      <w:r w:rsidR="002E6995" w:rsidRPr="003D4A44">
        <w:rPr>
          <w:rFonts w:ascii="Cambria" w:hAnsi="Cambria"/>
          <w:noProof/>
          <w:sz w:val="20"/>
          <w:szCs w:val="20"/>
          <w:lang w:val="es-ES_tradnl"/>
        </w:rPr>
        <w:t>resolución</w:t>
      </w:r>
      <w:r w:rsidR="00273CB9" w:rsidRPr="003D4A44">
        <w:rPr>
          <w:rFonts w:ascii="Cambria" w:hAnsi="Cambria"/>
          <w:noProof/>
          <w:sz w:val="20"/>
          <w:szCs w:val="20"/>
          <w:lang w:val="es-ES_tradnl"/>
        </w:rPr>
        <w:t xml:space="preserve">, no obstante el 23 de febrero de 2005 la Sala de Casación Penal de la Corte Suprema </w:t>
      </w:r>
      <w:r w:rsidR="00FB4F4E" w:rsidRPr="003D4A44">
        <w:rPr>
          <w:rFonts w:ascii="Cambria" w:hAnsi="Cambria"/>
          <w:noProof/>
          <w:sz w:val="20"/>
          <w:szCs w:val="20"/>
          <w:lang w:val="es-ES_tradnl"/>
        </w:rPr>
        <w:t xml:space="preserve"> </w:t>
      </w:r>
      <w:r w:rsidR="00273CB9" w:rsidRPr="003D4A44">
        <w:rPr>
          <w:rFonts w:ascii="Cambria" w:hAnsi="Cambria"/>
          <w:noProof/>
          <w:sz w:val="20"/>
          <w:szCs w:val="20"/>
          <w:lang w:val="es-ES_tradnl"/>
        </w:rPr>
        <w:t>declaró</w:t>
      </w:r>
      <w:r w:rsidR="002E6995" w:rsidRPr="003D4A44">
        <w:rPr>
          <w:rFonts w:ascii="Cambria" w:hAnsi="Cambria"/>
          <w:noProof/>
          <w:sz w:val="20"/>
          <w:szCs w:val="20"/>
          <w:lang w:val="es-ES_tradnl"/>
        </w:rPr>
        <w:t xml:space="preserve"> </w:t>
      </w:r>
      <w:r w:rsidR="00273CB9" w:rsidRPr="003D4A44">
        <w:rPr>
          <w:rFonts w:ascii="Cambria" w:hAnsi="Cambria"/>
          <w:noProof/>
          <w:sz w:val="20"/>
          <w:szCs w:val="20"/>
          <w:lang w:val="es-ES_tradnl"/>
        </w:rPr>
        <w:t>improcedente</w:t>
      </w:r>
      <w:r w:rsidR="002E6995" w:rsidRPr="003D4A44">
        <w:rPr>
          <w:rFonts w:ascii="Cambria" w:hAnsi="Cambria"/>
          <w:noProof/>
          <w:sz w:val="20"/>
          <w:szCs w:val="20"/>
          <w:lang w:val="es-ES_tradnl"/>
        </w:rPr>
        <w:t xml:space="preserve"> la demanda</w:t>
      </w:r>
      <w:r w:rsidR="00273CB9" w:rsidRPr="003D4A44">
        <w:rPr>
          <w:rFonts w:ascii="Cambria" w:hAnsi="Cambria"/>
          <w:noProof/>
          <w:sz w:val="20"/>
          <w:szCs w:val="20"/>
          <w:lang w:val="es-ES_tradnl"/>
        </w:rPr>
        <w:t xml:space="preserve"> al considerar que la cuestión planteada debía controvertirse en el marco del proceso ordinario mediante un recurso de nulidad y no en vía constitucional.   </w:t>
      </w:r>
    </w:p>
    <w:p w14:paraId="1F58B11C" w14:textId="72E386DE" w:rsidR="000C671D" w:rsidRPr="003D4A44" w:rsidRDefault="002E6995" w:rsidP="00F204F7">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La parte peticionaria i</w:t>
      </w:r>
      <w:r w:rsidR="000C671D" w:rsidRPr="003D4A44">
        <w:rPr>
          <w:rFonts w:ascii="Cambria" w:hAnsi="Cambria"/>
          <w:noProof/>
          <w:sz w:val="20"/>
          <w:szCs w:val="20"/>
          <w:lang w:val="es-ES_tradnl"/>
        </w:rPr>
        <w:t>ndica que el 23 de marzo de 2006 el Juzgado Cuarto Penal de</w:t>
      </w:r>
      <w:r w:rsidR="001222DD" w:rsidRPr="003D4A44">
        <w:rPr>
          <w:rFonts w:ascii="Cambria" w:hAnsi="Cambria"/>
          <w:noProof/>
          <w:sz w:val="20"/>
          <w:szCs w:val="20"/>
          <w:lang w:val="es-ES_tradnl"/>
        </w:rPr>
        <w:t>l</w:t>
      </w:r>
      <w:r w:rsidR="000C671D" w:rsidRPr="003D4A44">
        <w:rPr>
          <w:rFonts w:ascii="Cambria" w:hAnsi="Cambria"/>
          <w:noProof/>
          <w:sz w:val="20"/>
          <w:szCs w:val="20"/>
          <w:lang w:val="es-ES_tradnl"/>
        </w:rPr>
        <w:t xml:space="preserve"> Circuito de Bogotá condenó </w:t>
      </w:r>
      <w:r w:rsidR="001222DD" w:rsidRPr="003D4A44">
        <w:rPr>
          <w:rFonts w:ascii="Cambria" w:hAnsi="Cambria"/>
          <w:noProof/>
          <w:sz w:val="20"/>
          <w:szCs w:val="20"/>
          <w:lang w:val="es-ES_tradnl"/>
        </w:rPr>
        <w:t>en</w:t>
      </w:r>
      <w:r w:rsidR="000C671D" w:rsidRPr="003D4A44">
        <w:rPr>
          <w:rFonts w:ascii="Cambria" w:hAnsi="Cambria"/>
          <w:noProof/>
          <w:sz w:val="20"/>
          <w:szCs w:val="20"/>
          <w:lang w:val="es-ES_tradnl"/>
        </w:rPr>
        <w:t xml:space="preserve"> primera instancia a la presunta víctima </w:t>
      </w:r>
      <w:r w:rsidR="001222DD" w:rsidRPr="003D4A44">
        <w:rPr>
          <w:rFonts w:ascii="Cambria" w:hAnsi="Cambria"/>
          <w:noProof/>
          <w:sz w:val="20"/>
          <w:szCs w:val="20"/>
          <w:lang w:val="es-ES_tradnl"/>
        </w:rPr>
        <w:t xml:space="preserve">por los delitos de cohecho impropio e interés indebido en la celebración de contratos </w:t>
      </w:r>
      <w:r w:rsidR="00F204F7" w:rsidRPr="003D4A44">
        <w:rPr>
          <w:rFonts w:ascii="Cambria" w:hAnsi="Cambria"/>
          <w:noProof/>
          <w:sz w:val="20"/>
          <w:szCs w:val="20"/>
          <w:lang w:val="es-ES_tradnl"/>
        </w:rPr>
        <w:t xml:space="preserve">a </w:t>
      </w:r>
      <w:r w:rsidR="000A2B10" w:rsidRPr="003D4A44">
        <w:rPr>
          <w:rFonts w:ascii="Cambria" w:hAnsi="Cambria"/>
          <w:noProof/>
          <w:sz w:val="20"/>
          <w:szCs w:val="20"/>
          <w:lang w:val="es-ES_tradnl"/>
        </w:rPr>
        <w:t>setenta meses de pena privativa de libertad</w:t>
      </w:r>
      <w:r w:rsidR="001222DD" w:rsidRPr="003D4A44">
        <w:rPr>
          <w:rFonts w:ascii="Cambria" w:hAnsi="Cambria"/>
          <w:noProof/>
          <w:sz w:val="20"/>
          <w:szCs w:val="20"/>
          <w:lang w:val="es-ES_tradnl"/>
        </w:rPr>
        <w:t xml:space="preserve">, pago de una multa e inhabilitación </w:t>
      </w:r>
      <w:r w:rsidR="000A2B10" w:rsidRPr="003D4A44">
        <w:rPr>
          <w:rFonts w:ascii="Cambria" w:hAnsi="Cambria"/>
          <w:noProof/>
          <w:sz w:val="20"/>
          <w:szCs w:val="20"/>
          <w:lang w:val="es-ES_tradnl"/>
        </w:rPr>
        <w:t>por setenta meses para el ejercicio de</w:t>
      </w:r>
      <w:r w:rsidR="00F204F7" w:rsidRPr="003D4A44">
        <w:rPr>
          <w:rFonts w:ascii="Cambria" w:hAnsi="Cambria"/>
          <w:noProof/>
          <w:sz w:val="20"/>
          <w:szCs w:val="20"/>
          <w:lang w:val="es-ES_tradnl"/>
        </w:rPr>
        <w:t xml:space="preserve"> </w:t>
      </w:r>
      <w:r w:rsidR="000A2B10" w:rsidRPr="003D4A44">
        <w:rPr>
          <w:rFonts w:ascii="Cambria" w:hAnsi="Cambria"/>
          <w:noProof/>
          <w:sz w:val="20"/>
          <w:szCs w:val="20"/>
          <w:lang w:val="es-ES_tradnl"/>
        </w:rPr>
        <w:t>derechos y funciones públicas</w:t>
      </w:r>
      <w:r w:rsidR="000C671D" w:rsidRPr="003D4A44">
        <w:rPr>
          <w:rFonts w:ascii="Cambria" w:hAnsi="Cambria"/>
          <w:noProof/>
          <w:sz w:val="20"/>
          <w:szCs w:val="20"/>
          <w:lang w:val="es-ES_tradnl"/>
        </w:rPr>
        <w:t xml:space="preserve">. </w:t>
      </w:r>
      <w:r w:rsidR="001222DD" w:rsidRPr="003D4A44">
        <w:rPr>
          <w:rFonts w:ascii="Cambria" w:hAnsi="Cambria"/>
          <w:noProof/>
          <w:sz w:val="20"/>
          <w:szCs w:val="20"/>
          <w:lang w:val="es-ES_tradnl"/>
        </w:rPr>
        <w:t>Precisa que tal decisión</w:t>
      </w:r>
      <w:r w:rsidR="00F204F7" w:rsidRPr="003D4A44">
        <w:rPr>
          <w:rFonts w:ascii="Cambria" w:hAnsi="Cambria"/>
          <w:noProof/>
          <w:sz w:val="20"/>
          <w:szCs w:val="20"/>
          <w:lang w:val="es-ES_tradnl"/>
        </w:rPr>
        <w:t xml:space="preserve"> fue apelada</w:t>
      </w:r>
      <w:r w:rsidR="001222DD" w:rsidRPr="003D4A44">
        <w:rPr>
          <w:rFonts w:ascii="Cambria" w:hAnsi="Cambria"/>
          <w:noProof/>
          <w:sz w:val="20"/>
          <w:szCs w:val="20"/>
          <w:lang w:val="es-ES_tradnl"/>
        </w:rPr>
        <w:t xml:space="preserve"> y el 31 de octubre de 2007</w:t>
      </w:r>
      <w:r w:rsidR="00F204F7" w:rsidRPr="003D4A44">
        <w:rPr>
          <w:rFonts w:ascii="Cambria" w:hAnsi="Cambria"/>
          <w:noProof/>
          <w:sz w:val="20"/>
          <w:szCs w:val="20"/>
          <w:lang w:val="es-ES_tradnl"/>
        </w:rPr>
        <w:t xml:space="preserve"> </w:t>
      </w:r>
      <w:r w:rsidR="001222DD" w:rsidRPr="003D4A44">
        <w:rPr>
          <w:rFonts w:ascii="Cambria" w:hAnsi="Cambria"/>
          <w:noProof/>
          <w:sz w:val="20"/>
          <w:szCs w:val="20"/>
          <w:lang w:val="es-ES_tradnl"/>
        </w:rPr>
        <w:t>el Tribunal Superior de Armenia revocó la sentencia condenatoria</w:t>
      </w:r>
      <w:r w:rsidR="00F204F7" w:rsidRPr="003D4A44">
        <w:rPr>
          <w:rFonts w:ascii="Cambria" w:hAnsi="Cambria"/>
          <w:noProof/>
          <w:sz w:val="20"/>
          <w:szCs w:val="20"/>
          <w:lang w:val="es-ES_tradnl"/>
        </w:rPr>
        <w:t xml:space="preserve"> y declaró</w:t>
      </w:r>
      <w:r w:rsidR="001222DD" w:rsidRPr="003D4A44">
        <w:rPr>
          <w:rFonts w:ascii="Cambria" w:hAnsi="Cambria"/>
          <w:noProof/>
          <w:sz w:val="20"/>
          <w:szCs w:val="20"/>
          <w:lang w:val="es-ES_tradnl"/>
        </w:rPr>
        <w:t xml:space="preserve"> </w:t>
      </w:r>
      <w:r w:rsidR="00F204F7" w:rsidRPr="003D4A44">
        <w:rPr>
          <w:rFonts w:ascii="Cambria" w:hAnsi="Cambria"/>
          <w:noProof/>
          <w:sz w:val="20"/>
          <w:szCs w:val="20"/>
          <w:lang w:val="es-ES_tradnl"/>
        </w:rPr>
        <w:t>la absolución del señor Fino</w:t>
      </w:r>
      <w:r w:rsidR="00F324C3" w:rsidRPr="003D4A44">
        <w:rPr>
          <w:rFonts w:ascii="Cambria" w:hAnsi="Cambria"/>
          <w:noProof/>
          <w:sz w:val="20"/>
          <w:szCs w:val="20"/>
          <w:lang w:val="es-ES_tradnl"/>
        </w:rPr>
        <w:t xml:space="preserve"> Serrano</w:t>
      </w:r>
      <w:r w:rsidR="00F204F7" w:rsidRPr="003D4A44">
        <w:rPr>
          <w:rFonts w:ascii="Cambria" w:hAnsi="Cambria"/>
          <w:noProof/>
          <w:sz w:val="20"/>
          <w:szCs w:val="20"/>
          <w:lang w:val="es-ES_tradnl"/>
        </w:rPr>
        <w:t xml:space="preserve">, al considerar que las pruebas aportadas no desvirtuaron la presunción de inocencia del acusado. </w:t>
      </w:r>
      <w:r w:rsidR="001222DD" w:rsidRPr="003D4A44">
        <w:rPr>
          <w:rFonts w:ascii="Cambria" w:hAnsi="Cambria"/>
          <w:noProof/>
          <w:sz w:val="20"/>
          <w:szCs w:val="20"/>
          <w:lang w:val="es-ES_tradnl"/>
        </w:rPr>
        <w:t xml:space="preserve">Arguye que la Fiscalía General de la Nación interpuso recurso extraordinario </w:t>
      </w:r>
      <w:r w:rsidR="00F204F7" w:rsidRPr="003D4A44">
        <w:rPr>
          <w:rFonts w:ascii="Cambria" w:hAnsi="Cambria"/>
          <w:noProof/>
          <w:sz w:val="20"/>
          <w:szCs w:val="20"/>
          <w:lang w:val="es-ES_tradnl"/>
        </w:rPr>
        <w:t xml:space="preserve">de casación </w:t>
      </w:r>
      <w:r w:rsidR="001222DD" w:rsidRPr="003D4A44">
        <w:rPr>
          <w:rFonts w:ascii="Cambria" w:hAnsi="Cambria"/>
          <w:noProof/>
          <w:sz w:val="20"/>
          <w:szCs w:val="20"/>
          <w:lang w:val="es-ES_tradnl"/>
        </w:rPr>
        <w:t xml:space="preserve">contra dicho fallo y el 8 de julio de 2009 la Sala de Casación Penal de la Corte Suprema de Justicia declaró fundado el recurso y </w:t>
      </w:r>
      <w:r w:rsidR="007505BF" w:rsidRPr="003D4A44">
        <w:rPr>
          <w:rFonts w:ascii="Cambria" w:hAnsi="Cambria"/>
          <w:noProof/>
          <w:sz w:val="20"/>
          <w:szCs w:val="20"/>
          <w:lang w:val="es-ES_tradnl"/>
        </w:rPr>
        <w:t>confirmó</w:t>
      </w:r>
      <w:r w:rsidR="001222DD" w:rsidRPr="003D4A44">
        <w:rPr>
          <w:rFonts w:ascii="Cambria" w:hAnsi="Cambria"/>
          <w:noProof/>
          <w:sz w:val="20"/>
          <w:szCs w:val="20"/>
          <w:lang w:val="es-ES_tradnl"/>
        </w:rPr>
        <w:t xml:space="preserve"> la sentencia condenatoria de primera instancia. A criterio de la citada Sala, </w:t>
      </w:r>
      <w:r w:rsidR="007505BF" w:rsidRPr="003D4A44">
        <w:rPr>
          <w:rFonts w:ascii="Cambria" w:hAnsi="Cambria"/>
          <w:noProof/>
          <w:sz w:val="20"/>
          <w:szCs w:val="20"/>
          <w:lang w:val="es-ES_tradnl"/>
        </w:rPr>
        <w:t>el Tribunal Superior de Armenia no valoró adecuadamente todo el acervo probatorio, que demuestra de forma fehaciente y consistente la responsabilidad del señor Fino</w:t>
      </w:r>
      <w:r w:rsidR="00F324C3" w:rsidRPr="003D4A44">
        <w:rPr>
          <w:rFonts w:ascii="Cambria" w:hAnsi="Cambria"/>
          <w:noProof/>
          <w:sz w:val="20"/>
          <w:szCs w:val="20"/>
          <w:lang w:val="es-ES_tradnl"/>
        </w:rPr>
        <w:t xml:space="preserve"> Serrano</w:t>
      </w:r>
      <w:r w:rsidR="007505BF" w:rsidRPr="003D4A44">
        <w:rPr>
          <w:rFonts w:ascii="Cambria" w:hAnsi="Cambria"/>
          <w:noProof/>
          <w:sz w:val="20"/>
          <w:szCs w:val="20"/>
          <w:lang w:val="es-ES_tradnl"/>
        </w:rPr>
        <w:t xml:space="preserve"> en los delitos que se le imputan. </w:t>
      </w:r>
    </w:p>
    <w:p w14:paraId="1EC70BC3" w14:textId="10BBCB9C" w:rsidR="00B976BF" w:rsidRPr="003D4A44" w:rsidRDefault="00567909" w:rsidP="00F204F7">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S</w:t>
      </w:r>
      <w:r w:rsidR="007505BF" w:rsidRPr="003D4A44">
        <w:rPr>
          <w:rFonts w:ascii="Cambria" w:hAnsi="Cambria"/>
          <w:noProof/>
          <w:sz w:val="20"/>
          <w:szCs w:val="20"/>
          <w:lang w:val="es-ES_tradnl"/>
        </w:rPr>
        <w:t xml:space="preserve">ostiene que </w:t>
      </w:r>
      <w:r w:rsidR="00097239" w:rsidRPr="003D4A44">
        <w:rPr>
          <w:rFonts w:ascii="Cambria" w:hAnsi="Cambria"/>
          <w:noProof/>
          <w:sz w:val="20"/>
          <w:szCs w:val="20"/>
          <w:lang w:val="es-ES_tradnl"/>
        </w:rPr>
        <w:t xml:space="preserve">la defensa </w:t>
      </w:r>
      <w:r w:rsidR="002E6995" w:rsidRPr="003D4A44">
        <w:rPr>
          <w:rFonts w:ascii="Cambria" w:hAnsi="Cambria"/>
          <w:noProof/>
          <w:sz w:val="20"/>
          <w:szCs w:val="20"/>
          <w:lang w:val="es-ES_tradnl"/>
        </w:rPr>
        <w:t xml:space="preserve">de </w:t>
      </w:r>
      <w:r w:rsidR="007505BF" w:rsidRPr="003D4A44">
        <w:rPr>
          <w:rFonts w:ascii="Cambria" w:hAnsi="Cambria"/>
          <w:noProof/>
          <w:sz w:val="20"/>
          <w:szCs w:val="20"/>
          <w:lang w:val="es-ES_tradnl"/>
        </w:rPr>
        <w:t>la presunta víctima interpuso incidente de nulidad contra la citada decisión de la Corte Suprema, sin embargo el 24 de julio de 2009 la Sala de Casación Penal de dicho tribunal declaró improcedente el recurso</w:t>
      </w:r>
      <w:r w:rsidR="00FA4524" w:rsidRPr="003D4A44">
        <w:rPr>
          <w:rFonts w:ascii="Cambria" w:hAnsi="Cambria"/>
          <w:noProof/>
          <w:sz w:val="20"/>
          <w:szCs w:val="20"/>
          <w:lang w:val="es-ES_tradnl"/>
        </w:rPr>
        <w:t>, ya que el mismo no procede contra sentencias de casación</w:t>
      </w:r>
      <w:r w:rsidR="007505BF" w:rsidRPr="003D4A44">
        <w:rPr>
          <w:rFonts w:ascii="Cambria" w:hAnsi="Cambria"/>
          <w:noProof/>
          <w:sz w:val="20"/>
          <w:szCs w:val="20"/>
          <w:lang w:val="es-ES_tradnl"/>
        </w:rPr>
        <w:t xml:space="preserve">. Ante ello, </w:t>
      </w:r>
      <w:r w:rsidR="00FA4524" w:rsidRPr="003D4A44">
        <w:rPr>
          <w:rFonts w:ascii="Cambria" w:hAnsi="Cambria"/>
          <w:noProof/>
          <w:sz w:val="20"/>
          <w:szCs w:val="20"/>
          <w:lang w:val="es-ES_tradnl"/>
        </w:rPr>
        <w:t xml:space="preserve">señala que </w:t>
      </w:r>
      <w:r w:rsidR="00097239" w:rsidRPr="003D4A44">
        <w:rPr>
          <w:rFonts w:ascii="Cambria" w:hAnsi="Cambria"/>
          <w:noProof/>
          <w:sz w:val="20"/>
          <w:szCs w:val="20"/>
          <w:lang w:val="es-ES_tradnl"/>
        </w:rPr>
        <w:t>el representante del señor Fino</w:t>
      </w:r>
      <w:r w:rsidR="007505BF" w:rsidRPr="003D4A44">
        <w:rPr>
          <w:rFonts w:ascii="Cambria" w:hAnsi="Cambria"/>
          <w:noProof/>
          <w:sz w:val="20"/>
          <w:szCs w:val="20"/>
          <w:lang w:val="es-ES_tradnl"/>
        </w:rPr>
        <w:t xml:space="preserve"> </w:t>
      </w:r>
      <w:r w:rsidR="00F324C3" w:rsidRPr="003D4A44">
        <w:rPr>
          <w:rFonts w:ascii="Cambria" w:hAnsi="Cambria"/>
          <w:noProof/>
          <w:sz w:val="20"/>
          <w:szCs w:val="20"/>
          <w:lang w:val="es-ES_tradnl"/>
        </w:rPr>
        <w:t xml:space="preserve">Serrano </w:t>
      </w:r>
      <w:r w:rsidR="002E6995" w:rsidRPr="003D4A44">
        <w:rPr>
          <w:rFonts w:ascii="Cambria" w:hAnsi="Cambria"/>
          <w:noProof/>
          <w:sz w:val="20"/>
          <w:szCs w:val="20"/>
          <w:lang w:val="es-ES_tradnl"/>
        </w:rPr>
        <w:t>presentó una</w:t>
      </w:r>
      <w:r w:rsidR="007505BF" w:rsidRPr="003D4A44">
        <w:rPr>
          <w:rFonts w:ascii="Cambria" w:hAnsi="Cambria"/>
          <w:noProof/>
          <w:sz w:val="20"/>
          <w:szCs w:val="20"/>
          <w:lang w:val="es-ES_tradnl"/>
        </w:rPr>
        <w:t xml:space="preserve"> acción de tutela, alegando que</w:t>
      </w:r>
      <w:r w:rsidR="00FA4524" w:rsidRPr="003D4A44">
        <w:rPr>
          <w:rFonts w:ascii="Cambria" w:hAnsi="Cambria"/>
          <w:noProof/>
          <w:sz w:val="20"/>
          <w:szCs w:val="20"/>
          <w:lang w:val="es-ES_tradnl"/>
        </w:rPr>
        <w:t xml:space="preserve"> el proceso penal violó sus derechos a la defensa y al juez natural</w:t>
      </w:r>
      <w:r w:rsidR="00B976BF" w:rsidRPr="003D4A44">
        <w:rPr>
          <w:rFonts w:ascii="Cambria" w:hAnsi="Cambria"/>
          <w:noProof/>
          <w:sz w:val="20"/>
          <w:szCs w:val="20"/>
          <w:lang w:val="es-ES_tradnl"/>
        </w:rPr>
        <w:t xml:space="preserve">, pues la Fiscalía General de la Nación designó a fiscales parcializados y sin competencia para investigar </w:t>
      </w:r>
      <w:r w:rsidR="0050011F" w:rsidRPr="003D4A44">
        <w:rPr>
          <w:rFonts w:ascii="Cambria" w:hAnsi="Cambria"/>
          <w:noProof/>
          <w:sz w:val="20"/>
          <w:szCs w:val="20"/>
          <w:lang w:val="es-ES_tradnl"/>
        </w:rPr>
        <w:t>los hechos denunciados</w:t>
      </w:r>
      <w:r w:rsidR="00B976BF" w:rsidRPr="003D4A44">
        <w:rPr>
          <w:rFonts w:ascii="Cambria" w:hAnsi="Cambria"/>
          <w:noProof/>
          <w:sz w:val="20"/>
          <w:szCs w:val="20"/>
          <w:lang w:val="es-ES_tradnl"/>
        </w:rPr>
        <w:t xml:space="preserve">, y que los magistrados que emitieron la decisión de casación en su contra estaban impedidos ya que previamente habían adoptados decisiones relacionadas </w:t>
      </w:r>
      <w:r w:rsidR="0050011F" w:rsidRPr="003D4A44">
        <w:rPr>
          <w:rFonts w:ascii="Cambria" w:hAnsi="Cambria"/>
          <w:noProof/>
          <w:sz w:val="20"/>
          <w:szCs w:val="20"/>
          <w:lang w:val="es-ES_tradnl"/>
        </w:rPr>
        <w:t xml:space="preserve">con su caso. </w:t>
      </w:r>
    </w:p>
    <w:p w14:paraId="005594E8" w14:textId="112936F4" w:rsidR="00193ADF" w:rsidRPr="003D4A44" w:rsidRDefault="00FA4524" w:rsidP="002B7B58">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Precisa que e</w:t>
      </w:r>
      <w:r w:rsidR="007505BF" w:rsidRPr="003D4A44">
        <w:rPr>
          <w:rFonts w:ascii="Cambria" w:hAnsi="Cambria"/>
          <w:noProof/>
          <w:sz w:val="20"/>
          <w:szCs w:val="20"/>
          <w:lang w:val="es-ES_tradnl"/>
        </w:rPr>
        <w:t>l 11 de noviembre de 2009 la Sala de Casación Civil de la Corte Suprema de Justicia</w:t>
      </w:r>
      <w:r w:rsidRPr="003D4A44">
        <w:rPr>
          <w:rFonts w:ascii="Cambria" w:hAnsi="Cambria"/>
          <w:noProof/>
          <w:sz w:val="20"/>
          <w:szCs w:val="20"/>
          <w:lang w:val="es-ES_tradnl"/>
        </w:rPr>
        <w:t xml:space="preserve"> rechazó la demanda, indicando que los recursos de tutela no proceden contra decisiones de la Corte Suprema.</w:t>
      </w:r>
      <w:r w:rsidR="00D51699" w:rsidRPr="003D4A44">
        <w:rPr>
          <w:rFonts w:ascii="Cambria" w:hAnsi="Cambria"/>
          <w:noProof/>
          <w:sz w:val="20"/>
          <w:szCs w:val="20"/>
          <w:lang w:val="es-ES_tradnl"/>
        </w:rPr>
        <w:t xml:space="preserve"> Arg</w:t>
      </w:r>
      <w:r w:rsidR="0050011F" w:rsidRPr="003D4A44">
        <w:rPr>
          <w:rFonts w:ascii="Cambria" w:hAnsi="Cambria"/>
          <w:noProof/>
          <w:sz w:val="20"/>
          <w:szCs w:val="20"/>
          <w:lang w:val="es-ES_tradnl"/>
        </w:rPr>
        <w:t>u</w:t>
      </w:r>
      <w:r w:rsidR="00D51699" w:rsidRPr="003D4A44">
        <w:rPr>
          <w:rFonts w:ascii="Cambria" w:hAnsi="Cambria"/>
          <w:noProof/>
          <w:sz w:val="20"/>
          <w:szCs w:val="20"/>
          <w:lang w:val="es-ES_tradnl"/>
        </w:rPr>
        <w:t xml:space="preserve">ye que el 19 de enero de 2010 </w:t>
      </w:r>
      <w:r w:rsidR="00097239" w:rsidRPr="003D4A44">
        <w:rPr>
          <w:rFonts w:ascii="Cambria" w:hAnsi="Cambria"/>
          <w:noProof/>
          <w:sz w:val="20"/>
          <w:szCs w:val="20"/>
          <w:lang w:val="es-ES_tradnl"/>
        </w:rPr>
        <w:t>la defensa</w:t>
      </w:r>
      <w:r w:rsidR="00D51699" w:rsidRPr="003D4A44">
        <w:rPr>
          <w:rFonts w:ascii="Cambria" w:hAnsi="Cambria"/>
          <w:noProof/>
          <w:sz w:val="20"/>
          <w:szCs w:val="20"/>
          <w:lang w:val="es-ES_tradnl"/>
        </w:rPr>
        <w:t xml:space="preserve"> del señor Fino</w:t>
      </w:r>
      <w:r w:rsidR="00F324C3" w:rsidRPr="003D4A44">
        <w:rPr>
          <w:rFonts w:ascii="Cambria" w:hAnsi="Cambria"/>
          <w:noProof/>
          <w:sz w:val="20"/>
          <w:szCs w:val="20"/>
          <w:lang w:val="es-ES_tradnl"/>
        </w:rPr>
        <w:t xml:space="preserve"> Serrano</w:t>
      </w:r>
      <w:r w:rsidR="00D51699" w:rsidRPr="003D4A44">
        <w:rPr>
          <w:rFonts w:ascii="Cambria" w:hAnsi="Cambria"/>
          <w:noProof/>
          <w:sz w:val="20"/>
          <w:szCs w:val="20"/>
          <w:lang w:val="es-ES_tradnl"/>
        </w:rPr>
        <w:t xml:space="preserve"> interpuso </w:t>
      </w:r>
      <w:r w:rsidRPr="003D4A44">
        <w:rPr>
          <w:rFonts w:ascii="Cambria" w:hAnsi="Cambria"/>
          <w:noProof/>
          <w:sz w:val="20"/>
          <w:szCs w:val="20"/>
          <w:lang w:val="es-ES_tradnl"/>
        </w:rPr>
        <w:t>otra</w:t>
      </w:r>
      <w:r w:rsidR="00D51699" w:rsidRPr="003D4A44">
        <w:rPr>
          <w:rFonts w:ascii="Cambria" w:hAnsi="Cambria"/>
          <w:noProof/>
          <w:sz w:val="20"/>
          <w:szCs w:val="20"/>
          <w:lang w:val="es-ES_tradnl"/>
        </w:rPr>
        <w:t xml:space="preserve"> acción de tutela ante el Consejo Superior de la Judicatura de Cundinamarca, controvirtiendo nuevamente la sentencia de casación de la Corte Suprema. El 1 de febrero de 2010 </w:t>
      </w:r>
      <w:r w:rsidR="0050011F" w:rsidRPr="003D4A44">
        <w:rPr>
          <w:rFonts w:ascii="Cambria" w:hAnsi="Cambria"/>
          <w:noProof/>
          <w:sz w:val="20"/>
          <w:szCs w:val="20"/>
          <w:lang w:val="es-ES_tradnl"/>
        </w:rPr>
        <w:t>el mencionado órgano judicial</w:t>
      </w:r>
      <w:r w:rsidR="00D51699" w:rsidRPr="003D4A44">
        <w:rPr>
          <w:rFonts w:ascii="Cambria" w:hAnsi="Cambria"/>
          <w:noProof/>
          <w:sz w:val="20"/>
          <w:szCs w:val="20"/>
          <w:lang w:val="es-ES_tradnl"/>
        </w:rPr>
        <w:t xml:space="preserve"> declaró improcedente el recuro</w:t>
      </w:r>
      <w:r w:rsidRPr="003D4A44">
        <w:rPr>
          <w:rFonts w:ascii="Cambria" w:hAnsi="Cambria"/>
          <w:noProof/>
          <w:sz w:val="20"/>
          <w:szCs w:val="20"/>
          <w:lang w:val="es-ES_tradnl"/>
        </w:rPr>
        <w:t xml:space="preserve"> al considerar, entre otros argumentos, que la presunta víctima no planteó oportunamente un recurso de recusación contra los magistrados cuestionados y </w:t>
      </w:r>
      <w:r w:rsidR="00B976BF" w:rsidRPr="003D4A44">
        <w:rPr>
          <w:rFonts w:ascii="Cambria" w:hAnsi="Cambria"/>
          <w:noProof/>
          <w:sz w:val="20"/>
          <w:szCs w:val="20"/>
          <w:lang w:val="es-ES_tradnl"/>
        </w:rPr>
        <w:t xml:space="preserve">que tampoco cuestionó en el momento procesal oportuno </w:t>
      </w:r>
      <w:r w:rsidR="00B976BF" w:rsidRPr="003D4A44">
        <w:rPr>
          <w:rFonts w:ascii="Cambria" w:hAnsi="Cambria"/>
          <w:noProof/>
          <w:sz w:val="20"/>
          <w:szCs w:val="20"/>
          <w:lang w:val="es-ES_tradnl"/>
        </w:rPr>
        <w:lastRenderedPageBreak/>
        <w:t>la designación de</w:t>
      </w:r>
      <w:r w:rsidR="0050011F" w:rsidRPr="003D4A44">
        <w:rPr>
          <w:rFonts w:ascii="Cambria" w:hAnsi="Cambria"/>
          <w:noProof/>
          <w:sz w:val="20"/>
          <w:szCs w:val="20"/>
          <w:lang w:val="es-ES_tradnl"/>
        </w:rPr>
        <w:t xml:space="preserve"> </w:t>
      </w:r>
      <w:r w:rsidR="00B976BF" w:rsidRPr="003D4A44">
        <w:rPr>
          <w:rFonts w:ascii="Cambria" w:hAnsi="Cambria"/>
          <w:noProof/>
          <w:sz w:val="20"/>
          <w:szCs w:val="20"/>
          <w:lang w:val="es-ES_tradnl"/>
        </w:rPr>
        <w:t>l</w:t>
      </w:r>
      <w:r w:rsidR="0050011F" w:rsidRPr="003D4A44">
        <w:rPr>
          <w:rFonts w:ascii="Cambria" w:hAnsi="Cambria"/>
          <w:noProof/>
          <w:sz w:val="20"/>
          <w:szCs w:val="20"/>
          <w:lang w:val="es-ES_tradnl"/>
        </w:rPr>
        <w:t>os</w:t>
      </w:r>
      <w:r w:rsidR="00B976BF" w:rsidRPr="003D4A44">
        <w:rPr>
          <w:rFonts w:ascii="Cambria" w:hAnsi="Cambria"/>
          <w:noProof/>
          <w:sz w:val="20"/>
          <w:szCs w:val="20"/>
          <w:lang w:val="es-ES_tradnl"/>
        </w:rPr>
        <w:t xml:space="preserve"> fiscal</w:t>
      </w:r>
      <w:r w:rsidR="0050011F" w:rsidRPr="003D4A44">
        <w:rPr>
          <w:rFonts w:ascii="Cambria" w:hAnsi="Cambria"/>
          <w:noProof/>
          <w:sz w:val="20"/>
          <w:szCs w:val="20"/>
          <w:lang w:val="es-ES_tradnl"/>
        </w:rPr>
        <w:t>es</w:t>
      </w:r>
      <w:r w:rsidR="00B976BF" w:rsidRPr="003D4A44">
        <w:rPr>
          <w:rFonts w:ascii="Cambria" w:hAnsi="Cambria"/>
          <w:noProof/>
          <w:sz w:val="20"/>
          <w:szCs w:val="20"/>
          <w:lang w:val="es-ES_tradnl"/>
        </w:rPr>
        <w:t xml:space="preserve"> competente</w:t>
      </w:r>
      <w:r w:rsidR="0050011F" w:rsidRPr="003D4A44">
        <w:rPr>
          <w:rFonts w:ascii="Cambria" w:hAnsi="Cambria"/>
          <w:noProof/>
          <w:sz w:val="20"/>
          <w:szCs w:val="20"/>
          <w:lang w:val="es-ES_tradnl"/>
        </w:rPr>
        <w:t>s</w:t>
      </w:r>
      <w:r w:rsidR="00B976BF" w:rsidRPr="003D4A44">
        <w:rPr>
          <w:rFonts w:ascii="Cambria" w:hAnsi="Cambria"/>
          <w:noProof/>
          <w:sz w:val="20"/>
          <w:szCs w:val="20"/>
          <w:lang w:val="es-ES_tradnl"/>
        </w:rPr>
        <w:t xml:space="preserve"> para su caso</w:t>
      </w:r>
      <w:r w:rsidR="00D51699" w:rsidRPr="003D4A44">
        <w:rPr>
          <w:rFonts w:ascii="Cambria" w:hAnsi="Cambria"/>
          <w:noProof/>
          <w:sz w:val="20"/>
          <w:szCs w:val="20"/>
          <w:lang w:val="es-ES_tradnl"/>
        </w:rPr>
        <w:t xml:space="preserve">. </w:t>
      </w:r>
      <w:r w:rsidR="00B976BF" w:rsidRPr="003D4A44">
        <w:rPr>
          <w:rFonts w:ascii="Cambria" w:hAnsi="Cambria"/>
          <w:noProof/>
          <w:sz w:val="20"/>
          <w:szCs w:val="20"/>
          <w:lang w:val="es-ES_tradnl"/>
        </w:rPr>
        <w:t>Explica que la citada decisión fue apelada</w:t>
      </w:r>
      <w:r w:rsidR="00D51699" w:rsidRPr="003D4A44">
        <w:rPr>
          <w:rFonts w:ascii="Cambria" w:hAnsi="Cambria"/>
          <w:noProof/>
          <w:sz w:val="20"/>
          <w:szCs w:val="20"/>
          <w:lang w:val="es-ES_tradnl"/>
        </w:rPr>
        <w:t xml:space="preserve"> y el 14 de abril de 2010 la Sala Disciplinaria del Consejo Superior de la Judicatura confirmó la improcedencia de la demanda. Finalmente, 7 de julio de 2010 la Sala de Selección de la Corte Constitucional excluyó de revisión dicho expediente</w:t>
      </w:r>
      <w:r w:rsidR="00097239" w:rsidRPr="003D4A44">
        <w:rPr>
          <w:rFonts w:ascii="Cambria" w:hAnsi="Cambria"/>
          <w:noProof/>
          <w:sz w:val="20"/>
          <w:szCs w:val="20"/>
          <w:lang w:val="es-ES_tradnl"/>
        </w:rPr>
        <w:t>.</w:t>
      </w:r>
    </w:p>
    <w:p w14:paraId="7A92EAA8" w14:textId="4F16C75B" w:rsidR="00AE51F5" w:rsidRPr="003D4A44" w:rsidRDefault="00AE51F5" w:rsidP="00193ADF">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La parte peticionaria denuncia que</w:t>
      </w:r>
      <w:r w:rsidR="00193ADF" w:rsidRPr="003D4A44">
        <w:rPr>
          <w:rFonts w:ascii="Cambria" w:hAnsi="Cambria"/>
          <w:noProof/>
          <w:sz w:val="20"/>
          <w:szCs w:val="20"/>
          <w:lang w:val="es-ES_tradnl"/>
        </w:rPr>
        <w:t xml:space="preserve"> el proceso penal vulneró el derecho a la defensa de la presunta víctima, pues a pesar de que el 10 de agosto de 2004 la Fiscalía dispuso escucharla en diligencia de versión libre, tal actuación no se llevó a cabo ya que el fiscal a cargo de la investigación no pudo estar presente por otras responsabilidades. Argumenta que las autoridades no reprogramaron una nueva fecha para realizar la solicitada versión libre y que el 16 de septiembre de 2004 se realizó la apertura de la investigación sin haberse llevado a cabo la citada diligencia, lo que conllevaría a la nulidad de todo lo actuado. </w:t>
      </w:r>
    </w:p>
    <w:p w14:paraId="5C44C3E3" w14:textId="0B5D52BB" w:rsidR="00313C72" w:rsidRPr="003D4A44" w:rsidRDefault="00524001" w:rsidP="00193ADF">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Además</w:t>
      </w:r>
      <w:r w:rsidR="00193ADF" w:rsidRPr="003D4A44">
        <w:rPr>
          <w:rFonts w:ascii="Cambria" w:hAnsi="Cambria"/>
          <w:noProof/>
          <w:sz w:val="20"/>
          <w:szCs w:val="20"/>
          <w:lang w:val="es-ES_tradnl"/>
        </w:rPr>
        <w:t xml:space="preserve">, sostiene que el referido proceso vulneró la garantía </w:t>
      </w:r>
      <w:r w:rsidRPr="003D4A44">
        <w:rPr>
          <w:rFonts w:ascii="Cambria" w:hAnsi="Cambria"/>
          <w:noProof/>
          <w:sz w:val="20"/>
          <w:szCs w:val="20"/>
          <w:lang w:val="es-ES_tradnl"/>
        </w:rPr>
        <w:t>al</w:t>
      </w:r>
      <w:r w:rsidR="00193ADF" w:rsidRPr="003D4A44">
        <w:rPr>
          <w:rFonts w:ascii="Cambria" w:hAnsi="Cambria"/>
          <w:noProof/>
          <w:sz w:val="20"/>
          <w:szCs w:val="20"/>
          <w:lang w:val="es-ES_tradnl"/>
        </w:rPr>
        <w:t xml:space="preserve"> juez independiente e imparcial. Al respecto, </w:t>
      </w:r>
      <w:r w:rsidRPr="003D4A44">
        <w:rPr>
          <w:rFonts w:ascii="Cambria" w:hAnsi="Cambria"/>
          <w:noProof/>
          <w:sz w:val="20"/>
          <w:szCs w:val="20"/>
          <w:lang w:val="es-ES_tradnl"/>
        </w:rPr>
        <w:t>arguye</w:t>
      </w:r>
      <w:r w:rsidR="00193ADF" w:rsidRPr="003D4A44">
        <w:rPr>
          <w:rFonts w:ascii="Cambria" w:hAnsi="Cambria"/>
          <w:noProof/>
          <w:sz w:val="20"/>
          <w:szCs w:val="20"/>
          <w:lang w:val="es-ES_tradnl"/>
        </w:rPr>
        <w:t xml:space="preserve"> que e</w:t>
      </w:r>
      <w:r w:rsidR="00313C72" w:rsidRPr="003D4A44">
        <w:rPr>
          <w:rFonts w:ascii="Cambria" w:hAnsi="Cambria"/>
          <w:noProof/>
          <w:sz w:val="20"/>
          <w:szCs w:val="20"/>
          <w:lang w:val="es-ES_tradnl"/>
        </w:rPr>
        <w:t xml:space="preserve">l Fiscal General de la Nación desconoció la competencia preestablecida por </w:t>
      </w:r>
      <w:r w:rsidR="008F0506" w:rsidRPr="003D4A44">
        <w:rPr>
          <w:rFonts w:ascii="Cambria" w:hAnsi="Cambria"/>
          <w:noProof/>
          <w:sz w:val="20"/>
          <w:szCs w:val="20"/>
          <w:lang w:val="es-ES_tradnl"/>
        </w:rPr>
        <w:t xml:space="preserve">la Ley 600 de 2000 </w:t>
      </w:r>
      <w:r w:rsidR="00313C72" w:rsidRPr="003D4A44">
        <w:rPr>
          <w:rFonts w:ascii="Cambria" w:hAnsi="Cambria"/>
          <w:noProof/>
          <w:sz w:val="20"/>
          <w:szCs w:val="20"/>
          <w:lang w:val="es-ES_tradnl"/>
        </w:rPr>
        <w:t>al</w:t>
      </w:r>
      <w:r w:rsidR="00193ADF" w:rsidRPr="003D4A44">
        <w:rPr>
          <w:rFonts w:ascii="Cambria" w:hAnsi="Cambria"/>
          <w:noProof/>
          <w:sz w:val="20"/>
          <w:szCs w:val="20"/>
          <w:lang w:val="es-ES_tradnl"/>
        </w:rPr>
        <w:t xml:space="preserve"> </w:t>
      </w:r>
      <w:r w:rsidRPr="003D4A44">
        <w:rPr>
          <w:rFonts w:ascii="Cambria" w:hAnsi="Cambria"/>
          <w:noProof/>
          <w:sz w:val="20"/>
          <w:szCs w:val="20"/>
          <w:lang w:val="es-ES_tradnl"/>
        </w:rPr>
        <w:t xml:space="preserve">destacar al Fiscal Segundo Delegado ante el Tribunal de Cundinamarca para investigar los hechos denunciados, sin </w:t>
      </w:r>
      <w:r w:rsidR="00193ADF" w:rsidRPr="003D4A44">
        <w:rPr>
          <w:rFonts w:ascii="Cambria" w:hAnsi="Cambria"/>
          <w:noProof/>
          <w:sz w:val="20"/>
          <w:szCs w:val="20"/>
          <w:lang w:val="es-ES_tradnl"/>
        </w:rPr>
        <w:t xml:space="preserve">respetar que correspondía al Fiscal Seccional Delegado ante los Jueces Penales del Circuito de Bogotá adelantar la </w:t>
      </w:r>
      <w:r w:rsidRPr="003D4A44">
        <w:rPr>
          <w:rFonts w:ascii="Cambria" w:hAnsi="Cambria"/>
          <w:noProof/>
          <w:sz w:val="20"/>
          <w:szCs w:val="20"/>
          <w:lang w:val="es-ES_tradnl"/>
        </w:rPr>
        <w:t xml:space="preserve">citada </w:t>
      </w:r>
      <w:r w:rsidR="00193ADF" w:rsidRPr="003D4A44">
        <w:rPr>
          <w:rFonts w:ascii="Cambria" w:hAnsi="Cambria"/>
          <w:noProof/>
          <w:sz w:val="20"/>
          <w:szCs w:val="20"/>
          <w:lang w:val="es-ES_tradnl"/>
        </w:rPr>
        <w:t>investigación.</w:t>
      </w:r>
      <w:r w:rsidR="00313C72" w:rsidRPr="003D4A44">
        <w:rPr>
          <w:rFonts w:ascii="Cambria" w:hAnsi="Cambria"/>
          <w:noProof/>
          <w:sz w:val="20"/>
          <w:szCs w:val="20"/>
          <w:lang w:val="es-ES_tradnl"/>
        </w:rPr>
        <w:t xml:space="preserve"> En sentido similar,</w:t>
      </w:r>
      <w:r w:rsidRPr="003D4A44">
        <w:rPr>
          <w:rFonts w:ascii="Cambria" w:hAnsi="Cambria"/>
          <w:noProof/>
          <w:sz w:val="20"/>
          <w:szCs w:val="20"/>
          <w:lang w:val="es-ES_tradnl"/>
        </w:rPr>
        <w:t xml:space="preserve"> cuestiona</w:t>
      </w:r>
      <w:r w:rsidR="00313C72" w:rsidRPr="003D4A44">
        <w:rPr>
          <w:rFonts w:ascii="Cambria" w:hAnsi="Cambria"/>
          <w:noProof/>
          <w:sz w:val="20"/>
          <w:szCs w:val="20"/>
          <w:lang w:val="es-ES_tradnl"/>
        </w:rPr>
        <w:t xml:space="preserve"> que el Fiscal Delegado ante la Corte Suprema de Justicia tampoco tenía competencia </w:t>
      </w:r>
      <w:r w:rsidRPr="003D4A44">
        <w:rPr>
          <w:rFonts w:ascii="Cambria" w:hAnsi="Cambria"/>
          <w:noProof/>
          <w:sz w:val="20"/>
          <w:szCs w:val="20"/>
          <w:lang w:val="es-ES_tradnl"/>
        </w:rPr>
        <w:t>para investigar la controversia</w:t>
      </w:r>
      <w:r w:rsidR="00313C72" w:rsidRPr="003D4A44">
        <w:rPr>
          <w:rFonts w:ascii="Cambria" w:hAnsi="Cambria"/>
          <w:noProof/>
          <w:sz w:val="20"/>
          <w:szCs w:val="20"/>
          <w:lang w:val="es-ES_tradnl"/>
        </w:rPr>
        <w:t xml:space="preserve">. </w:t>
      </w:r>
      <w:r w:rsidRPr="003D4A44">
        <w:rPr>
          <w:rFonts w:ascii="Cambria" w:hAnsi="Cambria"/>
          <w:noProof/>
          <w:sz w:val="20"/>
          <w:szCs w:val="20"/>
          <w:lang w:val="es-ES_tradnl"/>
        </w:rPr>
        <w:t>Por otr</w:t>
      </w:r>
      <w:r w:rsidR="00567909" w:rsidRPr="003D4A44">
        <w:rPr>
          <w:rFonts w:ascii="Cambria" w:hAnsi="Cambria"/>
          <w:noProof/>
          <w:sz w:val="20"/>
          <w:szCs w:val="20"/>
          <w:lang w:val="es-ES_tradnl"/>
        </w:rPr>
        <w:t>o</w:t>
      </w:r>
      <w:r w:rsidRPr="003D4A44">
        <w:rPr>
          <w:rFonts w:ascii="Cambria" w:hAnsi="Cambria"/>
          <w:noProof/>
          <w:sz w:val="20"/>
          <w:szCs w:val="20"/>
          <w:lang w:val="es-ES_tradnl"/>
        </w:rPr>
        <w:t xml:space="preserve"> </w:t>
      </w:r>
      <w:r w:rsidR="00567909" w:rsidRPr="003D4A44">
        <w:rPr>
          <w:rFonts w:ascii="Cambria" w:hAnsi="Cambria"/>
          <w:noProof/>
          <w:sz w:val="20"/>
          <w:szCs w:val="20"/>
          <w:lang w:val="es-ES_tradnl"/>
        </w:rPr>
        <w:t>lado</w:t>
      </w:r>
      <w:r w:rsidRPr="003D4A44">
        <w:rPr>
          <w:rFonts w:ascii="Cambria" w:hAnsi="Cambria"/>
          <w:noProof/>
          <w:sz w:val="20"/>
          <w:szCs w:val="20"/>
          <w:lang w:val="es-ES_tradnl"/>
        </w:rPr>
        <w:t xml:space="preserve">, alega que los magistrados que resolvieron </w:t>
      </w:r>
      <w:r w:rsidR="00567909" w:rsidRPr="003D4A44">
        <w:rPr>
          <w:rFonts w:ascii="Cambria" w:hAnsi="Cambria"/>
          <w:noProof/>
          <w:sz w:val="20"/>
          <w:szCs w:val="20"/>
          <w:lang w:val="es-ES_tradnl"/>
        </w:rPr>
        <w:t>el</w:t>
      </w:r>
      <w:r w:rsidRPr="003D4A44">
        <w:rPr>
          <w:rFonts w:ascii="Cambria" w:hAnsi="Cambria"/>
          <w:noProof/>
          <w:sz w:val="20"/>
          <w:szCs w:val="20"/>
          <w:lang w:val="es-ES_tradnl"/>
        </w:rPr>
        <w:t xml:space="preserve"> caso</w:t>
      </w:r>
      <w:r w:rsidR="00567909" w:rsidRPr="003D4A44">
        <w:rPr>
          <w:rFonts w:ascii="Cambria" w:hAnsi="Cambria"/>
          <w:noProof/>
          <w:sz w:val="20"/>
          <w:szCs w:val="20"/>
          <w:lang w:val="es-ES_tradnl"/>
        </w:rPr>
        <w:t xml:space="preserve"> del señor Fino Serrano</w:t>
      </w:r>
      <w:r w:rsidRPr="003D4A44">
        <w:rPr>
          <w:rFonts w:ascii="Cambria" w:hAnsi="Cambria"/>
          <w:noProof/>
          <w:sz w:val="20"/>
          <w:szCs w:val="20"/>
          <w:lang w:val="es-ES_tradnl"/>
        </w:rPr>
        <w:t xml:space="preserve"> en instancia de casación debieron declararse impedidos, pues previamente habían </w:t>
      </w:r>
      <w:r w:rsidR="00567909" w:rsidRPr="003D4A44">
        <w:rPr>
          <w:rFonts w:ascii="Cambria" w:hAnsi="Cambria"/>
          <w:noProof/>
          <w:sz w:val="20"/>
          <w:szCs w:val="20"/>
          <w:lang w:val="es-ES_tradnl"/>
        </w:rPr>
        <w:t>declarado improcedente</w:t>
      </w:r>
      <w:r w:rsidRPr="003D4A44">
        <w:rPr>
          <w:rFonts w:ascii="Cambria" w:hAnsi="Cambria"/>
          <w:noProof/>
          <w:sz w:val="20"/>
          <w:szCs w:val="20"/>
          <w:lang w:val="es-ES_tradnl"/>
        </w:rPr>
        <w:t xml:space="preserve"> la acción de tutela que interpuso</w:t>
      </w:r>
      <w:r w:rsidR="00567909" w:rsidRPr="003D4A44">
        <w:rPr>
          <w:rFonts w:ascii="Cambria" w:hAnsi="Cambria"/>
          <w:noProof/>
          <w:sz w:val="20"/>
          <w:szCs w:val="20"/>
          <w:lang w:val="es-ES_tradnl"/>
        </w:rPr>
        <w:t xml:space="preserve"> </w:t>
      </w:r>
      <w:r w:rsidRPr="003D4A44">
        <w:rPr>
          <w:rFonts w:ascii="Cambria" w:hAnsi="Cambria"/>
          <w:noProof/>
          <w:sz w:val="20"/>
          <w:szCs w:val="20"/>
          <w:lang w:val="es-ES_tradnl"/>
        </w:rPr>
        <w:t xml:space="preserve">contra la Fiscalía por </w:t>
      </w:r>
      <w:r w:rsidR="00567909" w:rsidRPr="003D4A44">
        <w:rPr>
          <w:rFonts w:ascii="Cambria" w:hAnsi="Cambria"/>
          <w:noProof/>
          <w:sz w:val="20"/>
          <w:szCs w:val="20"/>
          <w:lang w:val="es-ES_tradnl"/>
        </w:rPr>
        <w:t xml:space="preserve">rechazar </w:t>
      </w:r>
      <w:r w:rsidRPr="003D4A44">
        <w:rPr>
          <w:rFonts w:ascii="Cambria" w:hAnsi="Cambria"/>
          <w:noProof/>
          <w:sz w:val="20"/>
          <w:szCs w:val="20"/>
          <w:lang w:val="es-ES_tradnl"/>
        </w:rPr>
        <w:t>su solicitud de sustitución de la medida de detención preventiva. Asimismo, indica que una de las magistradas que resolvió dicho recurso de casación ya había analizado otros incidentes relacionados al mismo proceso. A juicio de la parte peticionaria, tales actuaciones demostrarían la predisposición de</w:t>
      </w:r>
      <w:r w:rsidR="00567909" w:rsidRPr="003D4A44">
        <w:rPr>
          <w:rFonts w:ascii="Cambria" w:hAnsi="Cambria"/>
          <w:noProof/>
          <w:sz w:val="20"/>
          <w:szCs w:val="20"/>
          <w:lang w:val="es-ES_tradnl"/>
        </w:rPr>
        <w:t xml:space="preserve"> las</w:t>
      </w:r>
      <w:r w:rsidRPr="003D4A44">
        <w:rPr>
          <w:rFonts w:ascii="Cambria" w:hAnsi="Cambria"/>
          <w:noProof/>
          <w:sz w:val="20"/>
          <w:szCs w:val="20"/>
          <w:lang w:val="es-ES_tradnl"/>
        </w:rPr>
        <w:t xml:space="preserve"> </w:t>
      </w:r>
      <w:r w:rsidR="002B7B58" w:rsidRPr="003D4A44">
        <w:rPr>
          <w:rFonts w:ascii="Cambria" w:hAnsi="Cambria"/>
          <w:noProof/>
          <w:sz w:val="20"/>
          <w:szCs w:val="20"/>
          <w:lang w:val="es-ES_tradnl"/>
        </w:rPr>
        <w:t xml:space="preserve">citadas autoridades judiciales contra la presunta víctima. </w:t>
      </w:r>
    </w:p>
    <w:p w14:paraId="19345723" w14:textId="3072B356" w:rsidR="009A6FC8" w:rsidRPr="003D4A44" w:rsidRDefault="004F46A6" w:rsidP="00D67222">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El Estado, por su parte, señala que el proceso en que estuvo involucrada la presunta víctima se llevó en conformidad con el marco legal y constitucional aplicable, y en completo respeto de las garantías judiciales y el debido proceso.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r w:rsidR="00D67222" w:rsidRPr="003D4A44">
        <w:rPr>
          <w:rFonts w:ascii="Cambria" w:hAnsi="Cambria"/>
          <w:noProof/>
          <w:sz w:val="20"/>
          <w:szCs w:val="20"/>
          <w:lang w:val="es-ES_tradnl"/>
        </w:rPr>
        <w:t xml:space="preserve"> </w:t>
      </w:r>
      <w:r w:rsidR="00975117" w:rsidRPr="003D4A44">
        <w:rPr>
          <w:rFonts w:ascii="Cambria" w:hAnsi="Cambria"/>
          <w:noProof/>
          <w:sz w:val="20"/>
          <w:szCs w:val="20"/>
          <w:lang w:val="es-ES_tradnl"/>
        </w:rPr>
        <w:t xml:space="preserve">Sostiene que </w:t>
      </w:r>
      <w:r w:rsidR="009A6FC8" w:rsidRPr="003D4A44">
        <w:rPr>
          <w:rFonts w:ascii="Cambria" w:hAnsi="Cambria"/>
          <w:noProof/>
          <w:sz w:val="20"/>
          <w:szCs w:val="20"/>
          <w:lang w:val="es-ES_tradnl"/>
        </w:rPr>
        <w:t xml:space="preserve">que la alegada violación al derecho a la defensa fue resuelta durante el desarrollo del proceso penal por los órganos de justicia, quiénes consideraron que la omisión de realizar la diligencia de versión libre carecía de transcendencia necesaria para declarar la nulidad de todo el proceso penal y que la presunta víctima no probó el perjuicio concreto que le causo la ausencia de dicha actuación. Por ello, el Estado asevera que el citado alegato fue resuelto a nivel interno, mediante autoridad competente en aplicación de la normativa vigente y a la luz de la obligación de garantizar el derecho de acceso a la justicia. </w:t>
      </w:r>
    </w:p>
    <w:p w14:paraId="732D8622" w14:textId="5A1423E0" w:rsidR="003B2399" w:rsidRPr="003D4A44" w:rsidRDefault="009A6FC8" w:rsidP="009A6FC8">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 xml:space="preserve">Por otro lado, arguye que tampoco hubo una vulneración a las garantías de independencia e imparcialidad. Precisa que </w:t>
      </w:r>
      <w:r w:rsidR="003B2399" w:rsidRPr="003D4A44">
        <w:rPr>
          <w:rFonts w:ascii="Cambria" w:hAnsi="Cambria"/>
          <w:noProof/>
          <w:sz w:val="20"/>
          <w:szCs w:val="20"/>
          <w:lang w:val="es-ES_tradnl"/>
        </w:rPr>
        <w:t>tanto la Constitución como la legislación penal establece</w:t>
      </w:r>
      <w:r w:rsidR="00E81D89" w:rsidRPr="003D4A44">
        <w:rPr>
          <w:rFonts w:ascii="Cambria" w:hAnsi="Cambria"/>
          <w:noProof/>
          <w:sz w:val="20"/>
          <w:szCs w:val="20"/>
          <w:lang w:val="es-ES_tradnl"/>
        </w:rPr>
        <w:t>n</w:t>
      </w:r>
      <w:r w:rsidR="003B2399" w:rsidRPr="003D4A44">
        <w:rPr>
          <w:rFonts w:ascii="Cambria" w:hAnsi="Cambria"/>
          <w:noProof/>
          <w:sz w:val="20"/>
          <w:szCs w:val="20"/>
          <w:lang w:val="es-ES_tradnl"/>
        </w:rPr>
        <w:t xml:space="preserve"> con claridad que </w:t>
      </w:r>
      <w:r w:rsidR="00B831B5" w:rsidRPr="003D4A44">
        <w:rPr>
          <w:rFonts w:ascii="Cambria" w:hAnsi="Cambria"/>
          <w:noProof/>
          <w:sz w:val="20"/>
          <w:szCs w:val="20"/>
          <w:lang w:val="es-ES_tradnl"/>
        </w:rPr>
        <w:t xml:space="preserve">el </w:t>
      </w:r>
      <w:r w:rsidR="003B2399" w:rsidRPr="003D4A44">
        <w:rPr>
          <w:rFonts w:ascii="Cambria" w:hAnsi="Cambria"/>
          <w:noProof/>
          <w:sz w:val="20"/>
          <w:szCs w:val="20"/>
          <w:lang w:val="es-ES_tradnl"/>
        </w:rPr>
        <w:t>Fiscal General de la Nación tiene competencia para designar o desplazar a sus servidores en las investigaciones y procesos, siempre que tal acto se encuentre debidamente motivado</w:t>
      </w:r>
      <w:r w:rsidRPr="003D4A44">
        <w:rPr>
          <w:rFonts w:ascii="Cambria" w:hAnsi="Cambria"/>
          <w:noProof/>
          <w:sz w:val="20"/>
          <w:szCs w:val="20"/>
          <w:lang w:val="es-ES_tradnl"/>
        </w:rPr>
        <w:t xml:space="preserve">, y </w:t>
      </w:r>
      <w:r w:rsidR="00E81D89" w:rsidRPr="003D4A44">
        <w:rPr>
          <w:rFonts w:ascii="Cambria" w:hAnsi="Cambria"/>
          <w:noProof/>
          <w:sz w:val="20"/>
          <w:szCs w:val="20"/>
          <w:lang w:val="es-ES_tradnl"/>
        </w:rPr>
        <w:t>que tal potestad no equivale a modificar las competencias establecidas en la ley, sino simplemente a</w:t>
      </w:r>
      <w:r w:rsidR="00684777" w:rsidRPr="003D4A44">
        <w:rPr>
          <w:rFonts w:ascii="Cambria" w:hAnsi="Cambria"/>
          <w:noProof/>
          <w:sz w:val="20"/>
          <w:szCs w:val="20"/>
          <w:lang w:val="es-ES_tradnl"/>
        </w:rPr>
        <w:t xml:space="preserve"> especificar </w:t>
      </w:r>
      <w:r w:rsidR="00E81D89" w:rsidRPr="003D4A44">
        <w:rPr>
          <w:rFonts w:ascii="Cambria" w:hAnsi="Cambria"/>
          <w:noProof/>
          <w:sz w:val="20"/>
          <w:szCs w:val="20"/>
          <w:lang w:val="es-ES_tradnl"/>
        </w:rPr>
        <w:t xml:space="preserve">los funcionarios que habrán de cumplirlas. </w:t>
      </w:r>
      <w:r w:rsidR="00952512" w:rsidRPr="003D4A44">
        <w:rPr>
          <w:rFonts w:ascii="Cambria" w:hAnsi="Cambria"/>
          <w:noProof/>
          <w:sz w:val="20"/>
          <w:szCs w:val="20"/>
          <w:lang w:val="es-ES_tradnl"/>
        </w:rPr>
        <w:t>Enfatiza</w:t>
      </w:r>
      <w:r w:rsidR="00E81D89" w:rsidRPr="003D4A44">
        <w:rPr>
          <w:rFonts w:ascii="Cambria" w:hAnsi="Cambria"/>
          <w:noProof/>
          <w:sz w:val="20"/>
          <w:szCs w:val="20"/>
          <w:lang w:val="es-ES_tradnl"/>
        </w:rPr>
        <w:t xml:space="preserve"> que el acto administrativo mediante el cual se designó al Fiscal Segundo Delegado ante el Tribunal de Cundinamarca para investigar la situación de la presunta víctima estuvo adecuadamente motivado en la trascendencia y connotación nacional de los hechos denunciados.</w:t>
      </w:r>
      <w:r w:rsidRPr="003D4A44">
        <w:rPr>
          <w:rFonts w:ascii="Cambria" w:hAnsi="Cambria"/>
          <w:noProof/>
          <w:sz w:val="20"/>
          <w:szCs w:val="20"/>
          <w:lang w:val="es-ES_tradnl"/>
        </w:rPr>
        <w:t xml:space="preserve"> </w:t>
      </w:r>
      <w:r w:rsidR="00567909" w:rsidRPr="003D4A44">
        <w:rPr>
          <w:rFonts w:ascii="Cambria" w:hAnsi="Cambria"/>
          <w:noProof/>
          <w:sz w:val="20"/>
          <w:szCs w:val="20"/>
          <w:lang w:val="es-ES_tradnl"/>
        </w:rPr>
        <w:t>Asimismo</w:t>
      </w:r>
      <w:r w:rsidR="00684777" w:rsidRPr="003D4A44">
        <w:rPr>
          <w:rFonts w:ascii="Cambria" w:hAnsi="Cambria"/>
          <w:noProof/>
          <w:sz w:val="20"/>
          <w:szCs w:val="20"/>
          <w:lang w:val="es-ES_tradnl"/>
        </w:rPr>
        <w:t>, agrega</w:t>
      </w:r>
      <w:r w:rsidRPr="003D4A44">
        <w:rPr>
          <w:rFonts w:ascii="Cambria" w:hAnsi="Cambria"/>
          <w:noProof/>
          <w:sz w:val="20"/>
          <w:szCs w:val="20"/>
          <w:lang w:val="es-ES_tradnl"/>
        </w:rPr>
        <w:t xml:space="preserve"> que ningún integrante de la Corte Suprema incurrió en una de las causales de impedimento previstas en el artículo 4 de la Ley 600 de 2000, pues su participación y pronunciamientos previos no estuvieron relacionados con la temática</w:t>
      </w:r>
      <w:r w:rsidR="00684777" w:rsidRPr="003D4A44">
        <w:rPr>
          <w:rFonts w:ascii="Cambria" w:hAnsi="Cambria"/>
          <w:noProof/>
          <w:sz w:val="20"/>
          <w:szCs w:val="20"/>
          <w:lang w:val="es-ES_tradnl"/>
        </w:rPr>
        <w:t xml:space="preserve"> central</w:t>
      </w:r>
      <w:r w:rsidRPr="003D4A44">
        <w:rPr>
          <w:rFonts w:ascii="Cambria" w:hAnsi="Cambria"/>
          <w:noProof/>
          <w:sz w:val="20"/>
          <w:szCs w:val="20"/>
          <w:lang w:val="es-ES_tradnl"/>
        </w:rPr>
        <w:t xml:space="preserve"> que resolvieron </w:t>
      </w:r>
      <w:r w:rsidR="00684777" w:rsidRPr="003D4A44">
        <w:rPr>
          <w:rFonts w:ascii="Cambria" w:hAnsi="Cambria"/>
          <w:noProof/>
          <w:sz w:val="20"/>
          <w:szCs w:val="20"/>
          <w:lang w:val="es-ES_tradnl"/>
        </w:rPr>
        <w:t>al</w:t>
      </w:r>
      <w:r w:rsidRPr="003D4A44">
        <w:rPr>
          <w:rFonts w:ascii="Cambria" w:hAnsi="Cambria"/>
          <w:noProof/>
          <w:sz w:val="20"/>
          <w:szCs w:val="20"/>
          <w:lang w:val="es-ES_tradnl"/>
        </w:rPr>
        <w:t xml:space="preserve"> conden</w:t>
      </w:r>
      <w:r w:rsidR="00684777" w:rsidRPr="003D4A44">
        <w:rPr>
          <w:rFonts w:ascii="Cambria" w:hAnsi="Cambria"/>
          <w:noProof/>
          <w:sz w:val="20"/>
          <w:szCs w:val="20"/>
          <w:lang w:val="es-ES_tradnl"/>
        </w:rPr>
        <w:t>ar</w:t>
      </w:r>
      <w:r w:rsidRPr="003D4A44">
        <w:rPr>
          <w:rFonts w:ascii="Cambria" w:hAnsi="Cambria"/>
          <w:noProof/>
          <w:sz w:val="20"/>
          <w:szCs w:val="20"/>
          <w:lang w:val="es-ES_tradnl"/>
        </w:rPr>
        <w:t xml:space="preserve"> a la presunta víctima. </w:t>
      </w:r>
      <w:r w:rsidR="00684777" w:rsidRPr="003D4A44">
        <w:rPr>
          <w:rFonts w:ascii="Cambria" w:hAnsi="Cambria"/>
          <w:noProof/>
          <w:sz w:val="20"/>
          <w:szCs w:val="20"/>
          <w:lang w:val="es-ES_tradnl"/>
        </w:rPr>
        <w:t>A juicio del Estado, tal razonamiento estuvo explicitado en la sentencia de casación.</w:t>
      </w:r>
    </w:p>
    <w:p w14:paraId="05C7701D" w14:textId="4F8E0F15" w:rsidR="004F46A6" w:rsidRPr="003D4A44" w:rsidRDefault="00684777" w:rsidP="00966031">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Adicionalmente, el Estado plantea que hubo un agotamiento indebido de los recursos internos.</w:t>
      </w:r>
      <w:r w:rsidR="00952512" w:rsidRPr="003D4A44">
        <w:rPr>
          <w:rFonts w:ascii="Cambria" w:hAnsi="Cambria"/>
          <w:noProof/>
          <w:sz w:val="20"/>
          <w:szCs w:val="20"/>
          <w:lang w:val="es-ES_tradnl"/>
        </w:rPr>
        <w:t xml:space="preserve"> Argumenta que las sentencias de tutela </w:t>
      </w:r>
      <w:r w:rsidR="000B661D" w:rsidRPr="003D4A44">
        <w:rPr>
          <w:rFonts w:ascii="Cambria" w:hAnsi="Cambria"/>
          <w:noProof/>
          <w:sz w:val="20"/>
          <w:szCs w:val="20"/>
          <w:lang w:val="es-ES_tradnl"/>
        </w:rPr>
        <w:t xml:space="preserve">constataron </w:t>
      </w:r>
      <w:r w:rsidR="00952512" w:rsidRPr="003D4A44">
        <w:rPr>
          <w:rFonts w:ascii="Cambria" w:hAnsi="Cambria"/>
          <w:noProof/>
          <w:sz w:val="20"/>
          <w:szCs w:val="20"/>
          <w:lang w:val="es-ES_tradnl"/>
        </w:rPr>
        <w:t xml:space="preserve">claramente que la presunta víctima no planteó oportunamente un recurso de recusación contra los magistrados cuestionados y que tampoco </w:t>
      </w:r>
      <w:r w:rsidR="00567909" w:rsidRPr="003D4A44">
        <w:rPr>
          <w:rFonts w:ascii="Cambria" w:hAnsi="Cambria"/>
          <w:noProof/>
          <w:sz w:val="20"/>
          <w:szCs w:val="20"/>
          <w:lang w:val="es-ES_tradnl"/>
        </w:rPr>
        <w:t>controvirtió</w:t>
      </w:r>
      <w:r w:rsidR="00952512" w:rsidRPr="003D4A44">
        <w:rPr>
          <w:rFonts w:ascii="Cambria" w:hAnsi="Cambria"/>
          <w:noProof/>
          <w:sz w:val="20"/>
          <w:szCs w:val="20"/>
          <w:lang w:val="es-ES_tradnl"/>
        </w:rPr>
        <w:t xml:space="preserve"> en el momento procesal oportuno la designación de los fiscales competentes para su caso. En razón a ello, concluye </w:t>
      </w:r>
      <w:r w:rsidR="00952512" w:rsidRPr="003D4A44">
        <w:rPr>
          <w:rFonts w:ascii="Cambria" w:hAnsi="Cambria"/>
          <w:noProof/>
          <w:sz w:val="20"/>
          <w:szCs w:val="20"/>
          <w:lang w:val="es-ES_tradnl"/>
        </w:rPr>
        <w:lastRenderedPageBreak/>
        <w:t xml:space="preserve">que la defensa del señor Fino </w:t>
      </w:r>
      <w:r w:rsidR="00F324C3" w:rsidRPr="003D4A44">
        <w:rPr>
          <w:rFonts w:ascii="Cambria" w:hAnsi="Cambria"/>
          <w:noProof/>
          <w:sz w:val="20"/>
          <w:szCs w:val="20"/>
          <w:lang w:val="es-ES_tradnl"/>
        </w:rPr>
        <w:t xml:space="preserve">Serrano </w:t>
      </w:r>
      <w:r w:rsidR="00952512" w:rsidRPr="003D4A44">
        <w:rPr>
          <w:rFonts w:ascii="Cambria" w:hAnsi="Cambria"/>
          <w:noProof/>
          <w:sz w:val="20"/>
          <w:szCs w:val="20"/>
          <w:lang w:val="es-ES_tradnl"/>
        </w:rPr>
        <w:t xml:space="preserve">no utilizó adecuadamente los recursos internos para hacer valer sus pretensiones. </w:t>
      </w:r>
    </w:p>
    <w:p w14:paraId="3C19F16C" w14:textId="437061FE" w:rsidR="008A2EA9" w:rsidRPr="003D4A44" w:rsidRDefault="008A2EA9" w:rsidP="008A2EA9">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 xml:space="preserve">Finalmente, sostiene que la petición es inadmisible pues no se han agotado los recursos de jurisdicción interna. A su juicio, la presunta víctima no ha utilizado la vía contenciosa administrativa para esclarecer la responsabilidad del Estado. Precisa que mediante una acción de reparación directa se pudo cuestionar el supuesto funcionamiento defectuoso de la administración de justicia para reclamar una eventual indemnización. </w:t>
      </w:r>
    </w:p>
    <w:p w14:paraId="6F4D4171" w14:textId="61F41104" w:rsidR="003239B8" w:rsidRPr="003D4A44" w:rsidRDefault="003239B8" w:rsidP="003239B8">
      <w:pPr>
        <w:spacing w:before="240" w:after="240"/>
        <w:ind w:firstLine="720"/>
        <w:jc w:val="both"/>
        <w:rPr>
          <w:rFonts w:ascii="Cambria" w:hAnsi="Cambria"/>
          <w:noProof/>
          <w:sz w:val="20"/>
          <w:szCs w:val="20"/>
          <w:lang w:val="es-ES_tradnl"/>
        </w:rPr>
      </w:pPr>
      <w:r w:rsidRPr="003D4A44">
        <w:rPr>
          <w:rFonts w:asciiTheme="majorHAnsi" w:eastAsia="Cambria" w:hAnsiTheme="majorHAnsi" w:cs="Cambria"/>
          <w:b/>
          <w:bCs/>
          <w:noProof/>
          <w:color w:val="000000"/>
          <w:sz w:val="20"/>
          <w:szCs w:val="20"/>
          <w:u w:color="000000"/>
          <w:lang w:val="es-ES_tradnl" w:eastAsia="es-ES"/>
        </w:rPr>
        <w:t>VI.</w:t>
      </w:r>
      <w:r w:rsidRPr="003D4A44">
        <w:rPr>
          <w:rFonts w:asciiTheme="majorHAnsi" w:eastAsia="Cambria" w:hAnsiTheme="majorHAnsi" w:cs="Cambria"/>
          <w:b/>
          <w:bCs/>
          <w:noProof/>
          <w:color w:val="000000"/>
          <w:sz w:val="20"/>
          <w:szCs w:val="20"/>
          <w:u w:color="000000"/>
          <w:lang w:val="es-ES_tradnl" w:eastAsia="es-ES"/>
        </w:rPr>
        <w:tab/>
      </w:r>
      <w:r w:rsidR="004A6A54" w:rsidRPr="003D4A44">
        <w:rPr>
          <w:rFonts w:asciiTheme="majorHAnsi" w:hAnsiTheme="majorHAnsi"/>
          <w:b/>
          <w:bCs/>
          <w:noProof/>
          <w:sz w:val="20"/>
          <w:szCs w:val="20"/>
          <w:lang w:val="es-ES_tradnl"/>
        </w:rPr>
        <w:t xml:space="preserve">ANÁLISIS DE </w:t>
      </w:r>
      <w:r w:rsidR="00C21FEF" w:rsidRPr="003D4A44">
        <w:rPr>
          <w:rFonts w:asciiTheme="majorHAnsi" w:hAnsiTheme="majorHAnsi"/>
          <w:b/>
          <w:noProof/>
          <w:sz w:val="20"/>
          <w:szCs w:val="20"/>
          <w:lang w:val="es-ES_tradnl"/>
        </w:rPr>
        <w:t>AGOTAMIENTO DE LOS RECURSOS INTERNOS Y PLAZO DE PRESENTACIÓN</w:t>
      </w:r>
      <w:r w:rsidR="00C21FEF" w:rsidRPr="003D4A44">
        <w:rPr>
          <w:rFonts w:asciiTheme="majorHAnsi" w:eastAsia="Cambria" w:hAnsiTheme="majorHAnsi" w:cs="Cambria"/>
          <w:b/>
          <w:bCs/>
          <w:noProof/>
          <w:color w:val="000000"/>
          <w:sz w:val="20"/>
          <w:szCs w:val="20"/>
          <w:u w:color="000000"/>
          <w:lang w:val="es-ES_tradnl" w:eastAsia="es-ES"/>
        </w:rPr>
        <w:t xml:space="preserve"> </w:t>
      </w:r>
    </w:p>
    <w:p w14:paraId="01D47E3F" w14:textId="0DA7A9A5" w:rsidR="003239B8" w:rsidRPr="003D4A44" w:rsidRDefault="00130062" w:rsidP="008A2EA9">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La parte peticionaria indica que los recursos domésticos fueron agotados el  7 de julio de 2010 con la decisión de la Corte Constitucional de Colombia</w:t>
      </w:r>
      <w:r w:rsidR="00F908DD" w:rsidRPr="003D4A44">
        <w:rPr>
          <w:rFonts w:ascii="Cambria" w:hAnsi="Cambria"/>
          <w:noProof/>
          <w:sz w:val="20"/>
          <w:szCs w:val="20"/>
          <w:lang w:val="es-ES_tradnl"/>
        </w:rPr>
        <w:t xml:space="preserve"> de no seleccionar la acción de tutela interpuesta por la</w:t>
      </w:r>
      <w:r w:rsidR="00413307" w:rsidRPr="003D4A44">
        <w:rPr>
          <w:rFonts w:ascii="Cambria" w:hAnsi="Cambria"/>
          <w:noProof/>
          <w:sz w:val="20"/>
          <w:szCs w:val="20"/>
          <w:lang w:val="es-ES_tradnl"/>
        </w:rPr>
        <w:t xml:space="preserve"> defensa de la presunta víctima</w:t>
      </w:r>
      <w:r w:rsidRPr="003D4A44">
        <w:rPr>
          <w:rFonts w:ascii="Cambria" w:hAnsi="Cambria"/>
          <w:noProof/>
          <w:sz w:val="20"/>
          <w:szCs w:val="20"/>
          <w:lang w:val="es-ES_tradnl"/>
        </w:rPr>
        <w:t xml:space="preserve">. El Estado, por su parte, </w:t>
      </w:r>
      <w:r w:rsidR="008A2EA9" w:rsidRPr="003D4A44">
        <w:rPr>
          <w:rFonts w:ascii="Cambria" w:hAnsi="Cambria"/>
          <w:noProof/>
          <w:sz w:val="20"/>
          <w:szCs w:val="20"/>
          <w:lang w:val="es-ES_tradnl"/>
        </w:rPr>
        <w:t xml:space="preserve">considera que la jurisdicción nacional no ha sido agotada, pues no se ha interpuesto un recurso de reparación directa para esclarecer un supuesto mal funcionamiento de la administración de justicia. </w:t>
      </w:r>
      <w:r w:rsidR="004A53A0" w:rsidRPr="003D4A44">
        <w:rPr>
          <w:rFonts w:ascii="Cambria" w:hAnsi="Cambria"/>
          <w:noProof/>
          <w:sz w:val="20"/>
          <w:szCs w:val="20"/>
          <w:lang w:val="es-ES_tradnl"/>
        </w:rPr>
        <w:t>Sin perjuicio de ello</w:t>
      </w:r>
      <w:r w:rsidR="008A2EA9" w:rsidRPr="003D4A44">
        <w:rPr>
          <w:rFonts w:ascii="Cambria" w:hAnsi="Cambria"/>
          <w:noProof/>
          <w:sz w:val="20"/>
          <w:szCs w:val="20"/>
          <w:lang w:val="es-ES_tradnl"/>
        </w:rPr>
        <w:t xml:space="preserve">, </w:t>
      </w:r>
      <w:r w:rsidR="004A53A0" w:rsidRPr="003D4A44">
        <w:rPr>
          <w:rFonts w:ascii="Cambria" w:hAnsi="Cambria"/>
          <w:noProof/>
          <w:sz w:val="20"/>
          <w:szCs w:val="20"/>
          <w:lang w:val="es-ES_tradnl"/>
        </w:rPr>
        <w:t>enfatiza</w:t>
      </w:r>
      <w:r w:rsidRPr="003D4A44">
        <w:rPr>
          <w:rFonts w:ascii="Cambria" w:hAnsi="Cambria"/>
          <w:noProof/>
          <w:sz w:val="20"/>
          <w:szCs w:val="20"/>
          <w:lang w:val="es-ES_tradnl"/>
        </w:rPr>
        <w:t xml:space="preserve"> </w:t>
      </w:r>
      <w:r w:rsidR="004A53A0" w:rsidRPr="003D4A44">
        <w:rPr>
          <w:rFonts w:ascii="Cambria" w:hAnsi="Cambria"/>
          <w:noProof/>
          <w:sz w:val="20"/>
          <w:szCs w:val="20"/>
          <w:lang w:val="es-ES_tradnl"/>
        </w:rPr>
        <w:t>que hubo</w:t>
      </w:r>
      <w:r w:rsidR="008A2EA9" w:rsidRPr="003D4A44">
        <w:rPr>
          <w:rFonts w:ascii="Cambria" w:hAnsi="Cambria"/>
          <w:noProof/>
          <w:sz w:val="20"/>
          <w:szCs w:val="20"/>
          <w:lang w:val="es-ES_tradnl"/>
        </w:rPr>
        <w:t xml:space="preserve"> un agotamiento</w:t>
      </w:r>
      <w:r w:rsidR="004A53A0" w:rsidRPr="003D4A44">
        <w:rPr>
          <w:rFonts w:ascii="Cambria" w:hAnsi="Cambria"/>
          <w:noProof/>
          <w:sz w:val="20"/>
          <w:szCs w:val="20"/>
          <w:lang w:val="es-ES_tradnl"/>
        </w:rPr>
        <w:t xml:space="preserve"> indebido</w:t>
      </w:r>
      <w:r w:rsidR="008A2EA9" w:rsidRPr="003D4A44">
        <w:rPr>
          <w:rFonts w:ascii="Cambria" w:hAnsi="Cambria"/>
          <w:noProof/>
          <w:sz w:val="20"/>
          <w:szCs w:val="20"/>
          <w:lang w:val="es-ES_tradnl"/>
        </w:rPr>
        <w:t xml:space="preserve"> de los recursos internos utilizados por la presunta víctima, pues </w:t>
      </w:r>
      <w:r w:rsidRPr="003D4A44">
        <w:rPr>
          <w:rFonts w:ascii="Cambria" w:hAnsi="Cambria"/>
          <w:noProof/>
          <w:sz w:val="20"/>
          <w:szCs w:val="20"/>
          <w:lang w:val="es-ES_tradnl"/>
        </w:rPr>
        <w:t>la</w:t>
      </w:r>
      <w:r w:rsidR="004A53A0" w:rsidRPr="003D4A44">
        <w:rPr>
          <w:rFonts w:ascii="Cambria" w:hAnsi="Cambria"/>
          <w:noProof/>
          <w:sz w:val="20"/>
          <w:szCs w:val="20"/>
          <w:lang w:val="es-ES_tradnl"/>
        </w:rPr>
        <w:t xml:space="preserve">s </w:t>
      </w:r>
      <w:r w:rsidRPr="003D4A44">
        <w:rPr>
          <w:rFonts w:ascii="Cambria" w:hAnsi="Cambria"/>
          <w:noProof/>
          <w:sz w:val="20"/>
          <w:szCs w:val="20"/>
          <w:lang w:val="es-ES_tradnl"/>
        </w:rPr>
        <w:t xml:space="preserve">alegadas afectaciones al derecho </w:t>
      </w:r>
      <w:r w:rsidR="004A53A0" w:rsidRPr="003D4A44">
        <w:rPr>
          <w:rFonts w:ascii="Cambria" w:hAnsi="Cambria"/>
          <w:noProof/>
          <w:sz w:val="20"/>
          <w:szCs w:val="20"/>
          <w:lang w:val="es-ES_tradnl"/>
        </w:rPr>
        <w:t>a contar con un tribunal independiente e imparcial</w:t>
      </w:r>
      <w:r w:rsidRPr="003D4A44">
        <w:rPr>
          <w:rFonts w:ascii="Cambria" w:hAnsi="Cambria"/>
          <w:noProof/>
          <w:sz w:val="20"/>
          <w:szCs w:val="20"/>
          <w:lang w:val="es-ES_tradnl"/>
        </w:rPr>
        <w:t xml:space="preserve"> no fueron </w:t>
      </w:r>
      <w:r w:rsidR="008A2EA9" w:rsidRPr="003D4A44">
        <w:rPr>
          <w:rFonts w:ascii="Cambria" w:hAnsi="Cambria"/>
          <w:noProof/>
          <w:sz w:val="20"/>
          <w:szCs w:val="20"/>
          <w:lang w:val="es-ES_tradnl"/>
        </w:rPr>
        <w:t xml:space="preserve">cuestionadas </w:t>
      </w:r>
      <w:r w:rsidRPr="003D4A44">
        <w:rPr>
          <w:rFonts w:ascii="Cambria" w:hAnsi="Cambria"/>
          <w:noProof/>
          <w:sz w:val="20"/>
          <w:szCs w:val="20"/>
          <w:lang w:val="es-ES_tradnl"/>
        </w:rPr>
        <w:t xml:space="preserve">oportunamente en los procesos internos. </w:t>
      </w:r>
    </w:p>
    <w:p w14:paraId="42F1EE6E" w14:textId="7E812776" w:rsidR="00F908DD" w:rsidRPr="003D4A44" w:rsidRDefault="00130062" w:rsidP="00D67222">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 xml:space="preserve">Al respecto, la </w:t>
      </w:r>
      <w:r w:rsidR="00F908DD" w:rsidRPr="003D4A44">
        <w:rPr>
          <w:rFonts w:ascii="Cambria" w:hAnsi="Cambria"/>
          <w:noProof/>
          <w:sz w:val="20"/>
          <w:szCs w:val="20"/>
          <w:lang w:val="es-ES_tradnl"/>
        </w:rPr>
        <w:t xml:space="preserve">Comisión </w:t>
      </w:r>
      <w:r w:rsidRPr="003D4A44">
        <w:rPr>
          <w:rFonts w:ascii="Cambria" w:hAnsi="Cambria"/>
          <w:noProof/>
          <w:sz w:val="20"/>
          <w:szCs w:val="20"/>
          <w:lang w:val="es-ES_tradnl"/>
        </w:rPr>
        <w:t>recuerda que</w:t>
      </w:r>
      <w:r w:rsidR="00F908DD" w:rsidRPr="003D4A44">
        <w:rPr>
          <w:rFonts w:ascii="Cambria" w:hAnsi="Cambria"/>
          <w:noProof/>
          <w:sz w:val="20"/>
          <w:szCs w:val="20"/>
          <w:lang w:val="es-ES_tradnl"/>
        </w:rPr>
        <w:t xml:space="preserve">, como regla general, </w:t>
      </w:r>
      <w:r w:rsidRPr="003D4A44">
        <w:rPr>
          <w:rFonts w:ascii="Cambria" w:hAnsi="Cambria"/>
          <w:noProof/>
          <w:sz w:val="20"/>
          <w:szCs w:val="20"/>
          <w:lang w:val="es-ES_tradnl"/>
        </w:rPr>
        <w:t xml:space="preserve">la parte peticionaria debe agotar </w:t>
      </w:r>
      <w:r w:rsidR="00567909" w:rsidRPr="003D4A44">
        <w:rPr>
          <w:rFonts w:ascii="Cambria" w:hAnsi="Cambria"/>
          <w:noProof/>
          <w:sz w:val="20"/>
          <w:szCs w:val="20"/>
          <w:lang w:val="es-ES_tradnl"/>
        </w:rPr>
        <w:t xml:space="preserve">previamente </w:t>
      </w:r>
      <w:r w:rsidRPr="003D4A44">
        <w:rPr>
          <w:rFonts w:ascii="Cambria" w:hAnsi="Cambria"/>
          <w:noProof/>
          <w:sz w:val="20"/>
          <w:szCs w:val="20"/>
          <w:lang w:val="es-ES_tradnl"/>
        </w:rPr>
        <w:t xml:space="preserve">los recursos </w:t>
      </w:r>
      <w:r w:rsidR="00567909" w:rsidRPr="003D4A44">
        <w:rPr>
          <w:rFonts w:ascii="Cambria" w:hAnsi="Cambria"/>
          <w:noProof/>
          <w:sz w:val="20"/>
          <w:szCs w:val="20"/>
          <w:lang w:val="es-ES_tradnl"/>
        </w:rPr>
        <w:t>domésticos</w:t>
      </w:r>
      <w:r w:rsidRPr="003D4A44">
        <w:rPr>
          <w:rFonts w:ascii="Cambria" w:hAnsi="Cambria"/>
          <w:noProof/>
          <w:sz w:val="20"/>
          <w:szCs w:val="20"/>
          <w:lang w:val="es-ES_tradnl"/>
        </w:rPr>
        <w:t xml:space="preserve"> de conformidad con la legislación procesal interna</w:t>
      </w:r>
      <w:r w:rsidR="00567909" w:rsidRPr="003D4A44">
        <w:rPr>
          <w:rFonts w:ascii="Cambria" w:hAnsi="Cambria"/>
          <w:noProof/>
          <w:sz w:val="20"/>
          <w:szCs w:val="20"/>
          <w:lang w:val="es-ES_tradnl"/>
        </w:rPr>
        <w:t>, por lo que</w:t>
      </w:r>
      <w:r w:rsidR="00F908DD" w:rsidRPr="003D4A44">
        <w:rPr>
          <w:rFonts w:ascii="Cambria" w:hAnsi="Cambria"/>
          <w:noProof/>
          <w:sz w:val="20"/>
          <w:szCs w:val="20"/>
          <w:lang w:val="es-ES_tradnl"/>
        </w:rPr>
        <w:t xml:space="preserve"> no se puede considerar debidamente cumplido </w:t>
      </w:r>
      <w:r w:rsidR="00567909" w:rsidRPr="003D4A44">
        <w:rPr>
          <w:rFonts w:ascii="Cambria" w:hAnsi="Cambria"/>
          <w:noProof/>
          <w:sz w:val="20"/>
          <w:szCs w:val="20"/>
          <w:lang w:val="es-ES_tradnl"/>
        </w:rPr>
        <w:t>tal requisito</w:t>
      </w:r>
      <w:r w:rsidRPr="003D4A44">
        <w:rPr>
          <w:rFonts w:ascii="Cambria" w:hAnsi="Cambria"/>
          <w:noProof/>
          <w:sz w:val="20"/>
          <w:szCs w:val="20"/>
          <w:lang w:val="es-ES_tradnl"/>
        </w:rPr>
        <w:t xml:space="preserve"> si l</w:t>
      </w:r>
      <w:r w:rsidR="00567909" w:rsidRPr="003D4A44">
        <w:rPr>
          <w:rFonts w:ascii="Cambria" w:hAnsi="Cambria"/>
          <w:noProof/>
          <w:sz w:val="20"/>
          <w:szCs w:val="20"/>
          <w:lang w:val="es-ES_tradnl"/>
        </w:rPr>
        <w:t>a</w:t>
      </w:r>
      <w:r w:rsidRPr="003D4A44">
        <w:rPr>
          <w:rFonts w:ascii="Cambria" w:hAnsi="Cambria"/>
          <w:noProof/>
          <w:sz w:val="20"/>
          <w:szCs w:val="20"/>
          <w:lang w:val="es-ES_tradnl"/>
        </w:rPr>
        <w:t>s</w:t>
      </w:r>
      <w:r w:rsidR="00567909" w:rsidRPr="003D4A44">
        <w:rPr>
          <w:rFonts w:ascii="Cambria" w:hAnsi="Cambria"/>
          <w:noProof/>
          <w:sz w:val="20"/>
          <w:szCs w:val="20"/>
          <w:lang w:val="es-ES_tradnl"/>
        </w:rPr>
        <w:t xml:space="preserve"> demandas interpuestas fueron declaradas improcedentes</w:t>
      </w:r>
      <w:r w:rsidRPr="003D4A44">
        <w:rPr>
          <w:rFonts w:ascii="Cambria" w:hAnsi="Cambria"/>
          <w:noProof/>
          <w:sz w:val="20"/>
          <w:szCs w:val="20"/>
          <w:lang w:val="es-ES_tradnl"/>
        </w:rPr>
        <w:t xml:space="preserve"> con fundamentos procesales razonables y no arbitrarios, como la interposición del recurso de amparo sin el previo agotamiento de las vías pertinentes</w:t>
      </w:r>
      <w:r w:rsidRPr="003D4A44">
        <w:rPr>
          <w:rStyle w:val="FootnoteReference"/>
          <w:rFonts w:ascii="Cambria" w:hAnsi="Cambria"/>
          <w:noProof/>
          <w:sz w:val="20"/>
          <w:szCs w:val="20"/>
          <w:lang w:val="es-ES_tradnl"/>
        </w:rPr>
        <w:footnoteReference w:id="4"/>
      </w:r>
      <w:r w:rsidRPr="003D4A44">
        <w:rPr>
          <w:rFonts w:ascii="Cambria" w:hAnsi="Cambria"/>
          <w:noProof/>
          <w:sz w:val="20"/>
          <w:szCs w:val="20"/>
          <w:lang w:val="es-ES_tradnl"/>
        </w:rPr>
        <w:t>.</w:t>
      </w:r>
      <w:r w:rsidR="00F908DD" w:rsidRPr="003D4A44">
        <w:rPr>
          <w:rFonts w:ascii="Cambria" w:hAnsi="Cambria"/>
          <w:noProof/>
          <w:sz w:val="20"/>
          <w:szCs w:val="20"/>
          <w:lang w:val="es-ES_tradnl"/>
        </w:rPr>
        <w:t xml:space="preserve"> En el presente caso, la CIDH constata que los juzgados que conocieron la acción de tutela interpuesta por la presunta víctima para cuestionar a las autoridades</w:t>
      </w:r>
      <w:r w:rsidR="00207962" w:rsidRPr="003D4A44">
        <w:rPr>
          <w:rFonts w:ascii="Cambria" w:hAnsi="Cambria"/>
          <w:noProof/>
          <w:sz w:val="20"/>
          <w:szCs w:val="20"/>
          <w:lang w:val="es-ES_tradnl"/>
        </w:rPr>
        <w:t xml:space="preserve"> judiciales que conocieron su caso</w:t>
      </w:r>
      <w:r w:rsidR="00F908DD" w:rsidRPr="003D4A44">
        <w:rPr>
          <w:rFonts w:ascii="Cambria" w:hAnsi="Cambria"/>
          <w:noProof/>
          <w:sz w:val="20"/>
          <w:szCs w:val="20"/>
          <w:lang w:val="es-ES_tradnl"/>
        </w:rPr>
        <w:t xml:space="preserve"> </w:t>
      </w:r>
      <w:r w:rsidR="00207962" w:rsidRPr="003D4A44">
        <w:rPr>
          <w:rFonts w:ascii="Cambria" w:hAnsi="Cambria"/>
          <w:noProof/>
          <w:sz w:val="20"/>
          <w:szCs w:val="20"/>
          <w:lang w:val="es-ES_tradnl"/>
        </w:rPr>
        <w:t>declararon improcedente la demanda</w:t>
      </w:r>
      <w:r w:rsidR="00AE5239" w:rsidRPr="003D4A44">
        <w:rPr>
          <w:rFonts w:ascii="Cambria" w:hAnsi="Cambria"/>
          <w:noProof/>
          <w:sz w:val="20"/>
          <w:szCs w:val="20"/>
          <w:lang w:val="es-ES_tradnl"/>
        </w:rPr>
        <w:t>,</w:t>
      </w:r>
      <w:r w:rsidR="00207962" w:rsidRPr="003D4A44">
        <w:rPr>
          <w:rFonts w:ascii="Cambria" w:hAnsi="Cambria"/>
          <w:noProof/>
          <w:sz w:val="20"/>
          <w:szCs w:val="20"/>
          <w:lang w:val="es-ES_tradnl"/>
        </w:rPr>
        <w:t xml:space="preserve"> argumentando </w:t>
      </w:r>
      <w:r w:rsidR="00F908DD" w:rsidRPr="003D4A44">
        <w:rPr>
          <w:rFonts w:ascii="Cambria" w:hAnsi="Cambria"/>
          <w:noProof/>
          <w:sz w:val="20"/>
          <w:szCs w:val="20"/>
          <w:lang w:val="es-ES_tradnl"/>
        </w:rPr>
        <w:t>que n</w:t>
      </w:r>
      <w:r w:rsidR="00207962" w:rsidRPr="003D4A44">
        <w:rPr>
          <w:rFonts w:ascii="Cambria" w:hAnsi="Cambria"/>
          <w:noProof/>
          <w:sz w:val="20"/>
          <w:szCs w:val="20"/>
          <w:lang w:val="es-ES_tradnl"/>
        </w:rPr>
        <w:t xml:space="preserve">o fue planteado previamente algún </w:t>
      </w:r>
      <w:r w:rsidR="00F908DD" w:rsidRPr="003D4A44">
        <w:rPr>
          <w:rFonts w:ascii="Cambria" w:hAnsi="Cambria"/>
          <w:noProof/>
          <w:sz w:val="20"/>
          <w:szCs w:val="20"/>
          <w:lang w:val="es-ES_tradnl"/>
        </w:rPr>
        <w:t xml:space="preserve">recurso de recusación contra los magistrados </w:t>
      </w:r>
      <w:r w:rsidR="002814B2" w:rsidRPr="003D4A44">
        <w:rPr>
          <w:rFonts w:ascii="Cambria" w:hAnsi="Cambria"/>
          <w:noProof/>
          <w:sz w:val="20"/>
          <w:szCs w:val="20"/>
          <w:lang w:val="es-ES_tradnl"/>
        </w:rPr>
        <w:t xml:space="preserve">objetados </w:t>
      </w:r>
      <w:r w:rsidR="00F908DD" w:rsidRPr="003D4A44">
        <w:rPr>
          <w:rFonts w:ascii="Cambria" w:hAnsi="Cambria"/>
          <w:noProof/>
          <w:sz w:val="20"/>
          <w:szCs w:val="20"/>
          <w:lang w:val="es-ES_tradnl"/>
        </w:rPr>
        <w:t>y tampoco se controvirtió oportunamente la designación de los fiscales competentes para el caso.</w:t>
      </w:r>
      <w:r w:rsidR="00207962" w:rsidRPr="003D4A44">
        <w:rPr>
          <w:rFonts w:ascii="Cambria" w:hAnsi="Cambria"/>
          <w:noProof/>
          <w:sz w:val="20"/>
          <w:szCs w:val="20"/>
          <w:lang w:val="es-ES_tradnl"/>
        </w:rPr>
        <w:t xml:space="preserve"> </w:t>
      </w:r>
      <w:r w:rsidR="002814B2" w:rsidRPr="003D4A44">
        <w:rPr>
          <w:rFonts w:ascii="Cambria" w:hAnsi="Cambria"/>
          <w:noProof/>
          <w:sz w:val="20"/>
          <w:szCs w:val="20"/>
          <w:lang w:val="es-ES_tradnl"/>
        </w:rPr>
        <w:t>Al respecto, l</w:t>
      </w:r>
      <w:r w:rsidR="00207962" w:rsidRPr="003D4A44">
        <w:rPr>
          <w:rFonts w:ascii="Cambria" w:hAnsi="Cambria"/>
          <w:noProof/>
          <w:sz w:val="20"/>
          <w:szCs w:val="20"/>
          <w:lang w:val="es-ES_tradnl"/>
        </w:rPr>
        <w:t>a parte peticionaria no ha aportado pruebas o argumentos que permitan deducir que tales decisiones hayan sido arbitrarias</w:t>
      </w:r>
      <w:r w:rsidR="002814B2" w:rsidRPr="003D4A44">
        <w:rPr>
          <w:rFonts w:ascii="Cambria" w:hAnsi="Cambria"/>
          <w:noProof/>
          <w:sz w:val="20"/>
          <w:szCs w:val="20"/>
          <w:lang w:val="es-ES_tradnl"/>
        </w:rPr>
        <w:t xml:space="preserve"> o irrazonables</w:t>
      </w:r>
      <w:r w:rsidR="00207962" w:rsidRPr="003D4A44">
        <w:rPr>
          <w:rFonts w:ascii="Cambria" w:hAnsi="Cambria"/>
          <w:noProof/>
          <w:sz w:val="20"/>
          <w:szCs w:val="20"/>
          <w:lang w:val="es-ES_tradnl"/>
        </w:rPr>
        <w:t xml:space="preserve">. </w:t>
      </w:r>
      <w:r w:rsidR="00F324C3" w:rsidRPr="003D4A44">
        <w:rPr>
          <w:rFonts w:ascii="Cambria" w:hAnsi="Cambria"/>
          <w:noProof/>
          <w:sz w:val="20"/>
          <w:szCs w:val="20"/>
          <w:lang w:val="es-ES_tradnl"/>
        </w:rPr>
        <w:t>A partir de la información brindada</w:t>
      </w:r>
      <w:r w:rsidR="00207962" w:rsidRPr="003D4A44">
        <w:rPr>
          <w:rFonts w:ascii="Cambria" w:hAnsi="Cambria"/>
          <w:noProof/>
          <w:sz w:val="20"/>
          <w:szCs w:val="20"/>
          <w:lang w:val="es-ES_tradnl"/>
        </w:rPr>
        <w:t xml:space="preserve">, la CIDH </w:t>
      </w:r>
      <w:r w:rsidR="002814B2" w:rsidRPr="003D4A44">
        <w:rPr>
          <w:rFonts w:ascii="Cambria" w:hAnsi="Cambria"/>
          <w:noProof/>
          <w:sz w:val="20"/>
          <w:szCs w:val="20"/>
          <w:lang w:val="es-ES_tradnl"/>
        </w:rPr>
        <w:t>concluye</w:t>
      </w:r>
      <w:r w:rsidR="00207962" w:rsidRPr="003D4A44">
        <w:rPr>
          <w:rFonts w:ascii="Cambria" w:hAnsi="Cambria"/>
          <w:noProof/>
          <w:sz w:val="20"/>
          <w:szCs w:val="20"/>
          <w:lang w:val="es-ES_tradnl"/>
        </w:rPr>
        <w:t xml:space="preserve"> que </w:t>
      </w:r>
      <w:r w:rsidR="002814B2" w:rsidRPr="003D4A44">
        <w:rPr>
          <w:rFonts w:ascii="Cambria" w:hAnsi="Cambria"/>
          <w:noProof/>
          <w:sz w:val="20"/>
          <w:szCs w:val="20"/>
          <w:lang w:val="es-ES_tradnl"/>
        </w:rPr>
        <w:t>hubo</w:t>
      </w:r>
      <w:r w:rsidR="00207962" w:rsidRPr="003D4A44">
        <w:rPr>
          <w:rFonts w:ascii="Cambria" w:hAnsi="Cambria"/>
          <w:noProof/>
          <w:sz w:val="20"/>
          <w:szCs w:val="20"/>
          <w:lang w:val="es-ES_tradnl"/>
        </w:rPr>
        <w:t xml:space="preserve"> un agotamiento indebido de los recursos internos, por lo que no puede dar por acreditado el requisito de admisibilidad previsto en el artículo 46.1.a de la Convención respecto </w:t>
      </w:r>
      <w:r w:rsidR="002814B2" w:rsidRPr="003D4A44">
        <w:rPr>
          <w:rFonts w:ascii="Cambria" w:hAnsi="Cambria"/>
          <w:noProof/>
          <w:sz w:val="20"/>
          <w:szCs w:val="20"/>
          <w:lang w:val="es-ES_tradnl"/>
        </w:rPr>
        <w:t>de</w:t>
      </w:r>
      <w:r w:rsidR="00207962" w:rsidRPr="003D4A44">
        <w:rPr>
          <w:rFonts w:ascii="Cambria" w:hAnsi="Cambria"/>
          <w:noProof/>
          <w:sz w:val="20"/>
          <w:szCs w:val="20"/>
          <w:lang w:val="es-ES_tradnl"/>
        </w:rPr>
        <w:t xml:space="preserve"> estos alegatos.   </w:t>
      </w:r>
    </w:p>
    <w:p w14:paraId="4FFBE378" w14:textId="64322DE9" w:rsidR="003239B8" w:rsidRPr="003D4A44" w:rsidRDefault="003239B8" w:rsidP="003239B8">
      <w:pPr>
        <w:pStyle w:val="ListParagraph"/>
        <w:spacing w:before="240" w:after="240"/>
        <w:jc w:val="both"/>
        <w:rPr>
          <w:rFonts w:asciiTheme="majorHAnsi" w:hAnsiTheme="majorHAnsi"/>
          <w:b/>
          <w:noProof/>
          <w:sz w:val="20"/>
          <w:szCs w:val="20"/>
          <w:lang w:val="es-ES_tradnl"/>
        </w:rPr>
      </w:pPr>
      <w:r w:rsidRPr="003D4A44">
        <w:rPr>
          <w:rFonts w:asciiTheme="majorHAnsi" w:hAnsiTheme="majorHAnsi"/>
          <w:b/>
          <w:bCs/>
          <w:noProof/>
          <w:sz w:val="20"/>
          <w:szCs w:val="20"/>
          <w:lang w:val="es-ES_tradnl"/>
        </w:rPr>
        <w:t>VII.</w:t>
      </w:r>
      <w:r w:rsidRPr="003D4A44">
        <w:rPr>
          <w:rFonts w:asciiTheme="majorHAnsi" w:hAnsiTheme="majorHAnsi"/>
          <w:b/>
          <w:bCs/>
          <w:noProof/>
          <w:sz w:val="20"/>
          <w:szCs w:val="20"/>
          <w:lang w:val="es-ES_tradnl"/>
        </w:rPr>
        <w:tab/>
      </w:r>
      <w:r w:rsidR="004A6A54" w:rsidRPr="003D4A44">
        <w:rPr>
          <w:rFonts w:asciiTheme="majorHAnsi" w:hAnsiTheme="majorHAnsi"/>
          <w:b/>
          <w:bCs/>
          <w:noProof/>
          <w:sz w:val="20"/>
          <w:szCs w:val="20"/>
          <w:lang w:val="es-ES_tradnl"/>
        </w:rPr>
        <w:t xml:space="preserve">ANÁLISIS DE </w:t>
      </w:r>
      <w:r w:rsidR="00C21FEF" w:rsidRPr="003D4A44">
        <w:rPr>
          <w:rFonts w:asciiTheme="majorHAnsi" w:hAnsiTheme="majorHAnsi"/>
          <w:b/>
          <w:bCs/>
          <w:noProof/>
          <w:sz w:val="20"/>
          <w:szCs w:val="20"/>
          <w:lang w:val="es-ES_tradnl"/>
        </w:rPr>
        <w:t>CARACTERIZACIÓN DE LOS HECHOS ALEGADOS</w:t>
      </w:r>
    </w:p>
    <w:p w14:paraId="2883263D" w14:textId="28709100" w:rsidR="00AE5239" w:rsidRPr="003D4A44" w:rsidRDefault="00AE5239" w:rsidP="00AE5239">
      <w:pPr>
        <w:numPr>
          <w:ilvl w:val="0"/>
          <w:numId w:val="103"/>
        </w:numPr>
        <w:suppressAutoHyphens/>
        <w:spacing w:after="240"/>
        <w:jc w:val="both"/>
        <w:rPr>
          <w:rFonts w:ascii="Cambria" w:hAnsi="Cambria"/>
          <w:noProof/>
          <w:sz w:val="20"/>
          <w:szCs w:val="20"/>
          <w:lang w:val="es-ES_tradnl"/>
        </w:rPr>
      </w:pPr>
      <w:r w:rsidRPr="003D4A44">
        <w:rPr>
          <w:rFonts w:ascii="Cambria" w:hAnsi="Cambria"/>
          <w:noProof/>
          <w:sz w:val="20"/>
          <w:szCs w:val="20"/>
          <w:lang w:val="es-ES_tradnl"/>
        </w:rPr>
        <w:t>La Comisión recuerda que no es competente para revisar las sentencias dictadas por tribunales nacionales que actúen en la esfera de su competencia y apliquen el debido proceso y las garantías judiciales. En el presente caso, la peticionaria denuncia que no se realizó una diligencia de versión libre antes de la apertura de la investigación penal. El Estado ha indicado que la situación fue debidamente examinada por las autoridades judiciales domésticas quienes concluyeron que, si bien se omitió realizar la alegada actuación,  la falta de tal actividad no era suficiente para declarar la nulidad de todo el proceso penal, dado que no afectó sustantivamente el derecho de defensa de la presunta víctima. La peticionaria no ha presentado elementos de hecho o de derecho que indicien que tal decisión adolezca de algún vicio o que implique una violación a la Convención Americana. Por lo tanto, la Comisión concluye que tal alegato resulta inadmisible con fundamento en el artículo 47 (b) de la Convención Americana, toda vez que de los hechos expuestos no se de</w:t>
      </w:r>
      <w:r w:rsidR="00E641FF" w:rsidRPr="003D4A44">
        <w:rPr>
          <w:rFonts w:ascii="Cambria" w:hAnsi="Cambria"/>
          <w:noProof/>
          <w:sz w:val="20"/>
          <w:szCs w:val="20"/>
          <w:lang w:val="es-ES_tradnl"/>
        </w:rPr>
        <w:t>s</w:t>
      </w:r>
      <w:r w:rsidRPr="003D4A44">
        <w:rPr>
          <w:rFonts w:ascii="Cambria" w:hAnsi="Cambria"/>
          <w:noProof/>
          <w:sz w:val="20"/>
          <w:szCs w:val="20"/>
          <w:lang w:val="es-ES_tradnl"/>
        </w:rPr>
        <w:t>prenden, ni siquiera prima facie, posibles violaciones a la Convención .</w:t>
      </w:r>
    </w:p>
    <w:p w14:paraId="3C4B88A2" w14:textId="77777777" w:rsidR="00AD11CC" w:rsidRDefault="00AD11CC">
      <w:pPr>
        <w:pBdr>
          <w:top w:val="nil"/>
          <w:left w:val="nil"/>
          <w:bottom w:val="nil"/>
          <w:right w:val="nil"/>
          <w:between w:val="nil"/>
          <w:bar w:val="nil"/>
        </w:pBdr>
        <w:rPr>
          <w:rFonts w:asciiTheme="majorHAnsi" w:eastAsia="Cambria" w:hAnsiTheme="majorHAnsi" w:cs="Cambria"/>
          <w:b/>
          <w:bCs/>
          <w:noProof/>
          <w:color w:val="000000"/>
          <w:sz w:val="20"/>
          <w:szCs w:val="20"/>
          <w:u w:color="000000"/>
          <w:bdr w:val="nil"/>
          <w:lang w:val="es-ES_tradnl" w:eastAsia="es-ES"/>
        </w:rPr>
      </w:pPr>
      <w:r>
        <w:rPr>
          <w:rFonts w:asciiTheme="majorHAnsi" w:hAnsiTheme="majorHAnsi"/>
          <w:b/>
          <w:bCs/>
          <w:noProof/>
          <w:sz w:val="20"/>
          <w:szCs w:val="20"/>
          <w:lang w:val="es-ES_tradnl"/>
        </w:rPr>
        <w:br w:type="page"/>
      </w:r>
    </w:p>
    <w:p w14:paraId="29BB41F5" w14:textId="11BDE01E" w:rsidR="003239B8" w:rsidRPr="003D4A44" w:rsidRDefault="003239B8" w:rsidP="003239B8">
      <w:pPr>
        <w:pStyle w:val="ListParagraph"/>
        <w:spacing w:before="240" w:after="240"/>
        <w:jc w:val="both"/>
        <w:rPr>
          <w:rFonts w:asciiTheme="majorHAnsi" w:hAnsiTheme="majorHAnsi"/>
          <w:b/>
          <w:bCs/>
          <w:noProof/>
          <w:sz w:val="20"/>
          <w:szCs w:val="20"/>
          <w:lang w:val="es-ES_tradnl"/>
        </w:rPr>
      </w:pPr>
      <w:r w:rsidRPr="003D4A44">
        <w:rPr>
          <w:rFonts w:asciiTheme="majorHAnsi" w:hAnsiTheme="majorHAnsi"/>
          <w:b/>
          <w:bCs/>
          <w:noProof/>
          <w:sz w:val="20"/>
          <w:szCs w:val="20"/>
          <w:lang w:val="es-ES_tradnl"/>
        </w:rPr>
        <w:lastRenderedPageBreak/>
        <w:t xml:space="preserve">VIII. </w:t>
      </w:r>
      <w:r w:rsidRPr="003D4A44">
        <w:rPr>
          <w:rFonts w:asciiTheme="majorHAnsi" w:hAnsiTheme="majorHAnsi"/>
          <w:b/>
          <w:bCs/>
          <w:noProof/>
          <w:sz w:val="20"/>
          <w:szCs w:val="20"/>
          <w:lang w:val="es-ES_tradnl"/>
        </w:rPr>
        <w:tab/>
        <w:t>DECISIÓN</w:t>
      </w:r>
    </w:p>
    <w:p w14:paraId="66797BA4" w14:textId="77777777" w:rsidR="004120E6" w:rsidRDefault="004120E6" w:rsidP="004120E6">
      <w:pPr>
        <w:pStyle w:val="ListParagraph"/>
        <w:numPr>
          <w:ilvl w:val="0"/>
          <w:numId w:val="109"/>
        </w:numPr>
        <w:rPr>
          <w:rFonts w:eastAsia="Arial Unicode MS" w:cs="Times New Roman"/>
          <w:color w:val="auto"/>
          <w:sz w:val="20"/>
          <w:szCs w:val="20"/>
          <w:lang w:val="es-ES" w:eastAsia="en-US"/>
        </w:rPr>
      </w:pPr>
      <w:r w:rsidRPr="009C6ABF">
        <w:rPr>
          <w:rFonts w:eastAsia="Arial Unicode MS" w:cs="Times New Roman"/>
          <w:color w:val="auto"/>
          <w:sz w:val="20"/>
          <w:szCs w:val="20"/>
          <w:lang w:val="es-ES" w:eastAsia="en-US"/>
        </w:rPr>
        <w:t>Declarar</w:t>
      </w:r>
      <w:r w:rsidRPr="00F6629D">
        <w:rPr>
          <w:rFonts w:eastAsia="Arial Unicode MS" w:cs="Times New Roman"/>
          <w:color w:val="auto"/>
          <w:sz w:val="20"/>
          <w:szCs w:val="20"/>
          <w:lang w:val="es-ES" w:eastAsia="en-US"/>
        </w:rPr>
        <w:t xml:space="preserve"> inadmisible </w:t>
      </w:r>
      <w:r w:rsidRPr="009C6ABF">
        <w:rPr>
          <w:rFonts w:eastAsia="Arial Unicode MS" w:cs="Times New Roman"/>
          <w:color w:val="auto"/>
          <w:sz w:val="20"/>
          <w:szCs w:val="20"/>
          <w:lang w:val="es-ES" w:eastAsia="en-US"/>
        </w:rPr>
        <w:t>la presente petición</w:t>
      </w:r>
      <w:r>
        <w:rPr>
          <w:rFonts w:eastAsia="Arial Unicode MS" w:cs="Times New Roman"/>
          <w:color w:val="auto"/>
          <w:sz w:val="20"/>
          <w:szCs w:val="20"/>
          <w:lang w:val="es-ES" w:eastAsia="en-US"/>
        </w:rPr>
        <w:t>, y</w:t>
      </w:r>
    </w:p>
    <w:p w14:paraId="5D892A47" w14:textId="77777777" w:rsidR="004120E6" w:rsidRPr="009C6ABF" w:rsidRDefault="004120E6" w:rsidP="004120E6">
      <w:pPr>
        <w:pStyle w:val="ListParagraph"/>
        <w:rPr>
          <w:rFonts w:eastAsia="Arial Unicode MS" w:cs="Times New Roman"/>
          <w:color w:val="auto"/>
          <w:sz w:val="20"/>
          <w:szCs w:val="20"/>
          <w:lang w:val="es-ES" w:eastAsia="en-US"/>
        </w:rPr>
      </w:pPr>
    </w:p>
    <w:p w14:paraId="7227CE9D" w14:textId="13F3D054" w:rsidR="004120E6" w:rsidRDefault="004120E6" w:rsidP="004120E6">
      <w:pPr>
        <w:numPr>
          <w:ilvl w:val="0"/>
          <w:numId w:val="109"/>
        </w:numPr>
        <w:suppressAutoHyphens/>
        <w:spacing w:after="240"/>
        <w:jc w:val="both"/>
        <w:rPr>
          <w:rFonts w:asciiTheme="majorHAnsi" w:hAnsiTheme="majorHAnsi"/>
          <w:sz w:val="20"/>
          <w:szCs w:val="20"/>
        </w:rPr>
      </w:pPr>
      <w:r w:rsidRPr="009B7794">
        <w:rPr>
          <w:rFonts w:asciiTheme="majorHAnsi" w:hAnsiTheme="majorHAnsi"/>
          <w:sz w:val="20"/>
          <w:szCs w:val="20"/>
        </w:rPr>
        <w:t>Notificar a las partes la presente decisión; publicar esta decisión e incluirla en su Informe Anual a la Asamblea General de la Organización de los Estados Americanos.</w:t>
      </w:r>
    </w:p>
    <w:p w14:paraId="077E5AA4" w14:textId="46FB88B7" w:rsidR="00AD11CC" w:rsidRPr="00A37B82" w:rsidRDefault="00AD11CC" w:rsidP="00AD11C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567F34A" w14:textId="77777777" w:rsidR="00AD11CC" w:rsidRPr="00A37B82" w:rsidRDefault="00AD11CC" w:rsidP="00AD11CC">
      <w:pPr>
        <w:suppressAutoHyphens/>
        <w:ind w:firstLine="720"/>
        <w:jc w:val="both"/>
        <w:rPr>
          <w:rFonts w:asciiTheme="majorHAnsi" w:hAnsiTheme="majorHAnsi" w:cs="Arial"/>
          <w:noProof/>
          <w:spacing w:val="-2"/>
          <w:sz w:val="20"/>
          <w:szCs w:val="20"/>
          <w:lang w:val="es-CL"/>
        </w:rPr>
      </w:pPr>
    </w:p>
    <w:sectPr w:rsidR="00AD11C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0A4B7" w14:textId="77777777" w:rsidR="00B33E37" w:rsidRDefault="00B33E37">
      <w:r>
        <w:separator/>
      </w:r>
    </w:p>
  </w:endnote>
  <w:endnote w:type="continuationSeparator" w:id="0">
    <w:p w14:paraId="4055BD41" w14:textId="77777777" w:rsidR="00B33E37" w:rsidRDefault="00B3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D880" w14:textId="77777777" w:rsidR="00697773" w:rsidRDefault="00697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4534D9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9777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FF8D" w14:textId="77777777" w:rsidR="00B33E37" w:rsidRPr="000F35ED" w:rsidRDefault="00B33E3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532311" w14:textId="77777777" w:rsidR="00B33E37" w:rsidRPr="000F35ED" w:rsidRDefault="00B33E37" w:rsidP="000F35ED">
      <w:pPr>
        <w:rPr>
          <w:rFonts w:asciiTheme="majorHAnsi" w:hAnsiTheme="majorHAnsi"/>
          <w:sz w:val="16"/>
          <w:szCs w:val="16"/>
        </w:rPr>
      </w:pPr>
      <w:r w:rsidRPr="000F35ED">
        <w:rPr>
          <w:rFonts w:asciiTheme="majorHAnsi" w:hAnsiTheme="majorHAnsi"/>
          <w:sz w:val="16"/>
          <w:szCs w:val="16"/>
        </w:rPr>
        <w:separator/>
      </w:r>
    </w:p>
    <w:p w14:paraId="4974EE42" w14:textId="77777777" w:rsidR="00B33E37" w:rsidRPr="000F35ED" w:rsidRDefault="00B33E3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78E2D3D" w14:textId="77777777" w:rsidR="00B33E37" w:rsidRPr="000F35ED" w:rsidRDefault="00B33E3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6E4FBD4" w14:textId="77777777" w:rsidR="007E0D7A" w:rsidRPr="00011E32" w:rsidRDefault="007E0D7A" w:rsidP="007E0D7A">
      <w:pPr>
        <w:pStyle w:val="FootnoteText"/>
        <w:ind w:firstLine="720"/>
        <w:jc w:val="both"/>
        <w:rPr>
          <w:rFonts w:ascii="Cambria" w:hAnsi="Cambria"/>
          <w:sz w:val="16"/>
          <w:szCs w:val="16"/>
          <w:lang w:val="es-ES"/>
        </w:rPr>
      </w:pPr>
      <w:r w:rsidRPr="00CA3C10">
        <w:rPr>
          <w:rStyle w:val="FootnoteReference"/>
          <w:rFonts w:ascii="Cambria" w:hAnsi="Cambria"/>
          <w:sz w:val="16"/>
          <w:szCs w:val="16"/>
        </w:rPr>
        <w:footnoteRef/>
      </w:r>
      <w:r w:rsidRPr="00CA3C10">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ED1FC44" w14:textId="77777777" w:rsidR="00130062" w:rsidRPr="00F908DD" w:rsidRDefault="00130062" w:rsidP="00130062">
      <w:pPr>
        <w:pStyle w:val="FootnoteText"/>
        <w:ind w:firstLine="720"/>
        <w:rPr>
          <w:sz w:val="16"/>
          <w:szCs w:val="16"/>
        </w:rPr>
      </w:pPr>
      <w:r>
        <w:rPr>
          <w:rStyle w:val="FootnoteReference"/>
        </w:rPr>
        <w:footnoteRef/>
      </w:r>
      <w:r w:rsidRPr="00F908DD">
        <w:rPr>
          <w:lang w:val="es-ES"/>
        </w:rPr>
        <w:t xml:space="preserve"> </w:t>
      </w:r>
      <w:r w:rsidRPr="009A3C77">
        <w:rPr>
          <w:sz w:val="16"/>
          <w:szCs w:val="16"/>
          <w:lang w:val="es-US"/>
        </w:rPr>
        <w:t xml:space="preserve">CIDH, Informe No. 90/03, Petición 0581/1999. Inadmisibilidad. Gustavo Trujillo González. Perú. 22 de octubre de 2003, párr. </w:t>
      </w:r>
      <w:r w:rsidRPr="00F908DD">
        <w:rPr>
          <w:sz w:val="16"/>
          <w:szCs w:val="16"/>
        </w:rPr>
        <w:t>32</w:t>
      </w:r>
    </w:p>
    <w:p w14:paraId="39AE0170" w14:textId="08C7AAE4" w:rsidR="00130062" w:rsidRPr="00130062" w:rsidRDefault="00130062">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33E3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4DE3" w14:textId="77777777" w:rsidR="00697773" w:rsidRDefault="00697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716C5"/>
    <w:rsid w:val="00075E23"/>
    <w:rsid w:val="00077C60"/>
    <w:rsid w:val="0009344A"/>
    <w:rsid w:val="00097239"/>
    <w:rsid w:val="000A2B10"/>
    <w:rsid w:val="000A392E"/>
    <w:rsid w:val="000A575F"/>
    <w:rsid w:val="000B45B0"/>
    <w:rsid w:val="000B661D"/>
    <w:rsid w:val="000C671D"/>
    <w:rsid w:val="000D05CB"/>
    <w:rsid w:val="000D10DB"/>
    <w:rsid w:val="000E5EB5"/>
    <w:rsid w:val="000F35ED"/>
    <w:rsid w:val="00107131"/>
    <w:rsid w:val="0010736F"/>
    <w:rsid w:val="00113F73"/>
    <w:rsid w:val="00117F8C"/>
    <w:rsid w:val="00121CC2"/>
    <w:rsid w:val="001222DD"/>
    <w:rsid w:val="00130062"/>
    <w:rsid w:val="00131425"/>
    <w:rsid w:val="00133EE5"/>
    <w:rsid w:val="00167A34"/>
    <w:rsid w:val="00193ADF"/>
    <w:rsid w:val="001A7870"/>
    <w:rsid w:val="001B3A00"/>
    <w:rsid w:val="001C1B41"/>
    <w:rsid w:val="001D65EF"/>
    <w:rsid w:val="001E49E7"/>
    <w:rsid w:val="001F7201"/>
    <w:rsid w:val="00200B59"/>
    <w:rsid w:val="00207962"/>
    <w:rsid w:val="00223A29"/>
    <w:rsid w:val="002250A3"/>
    <w:rsid w:val="00235217"/>
    <w:rsid w:val="00246D1F"/>
    <w:rsid w:val="00247403"/>
    <w:rsid w:val="00247542"/>
    <w:rsid w:val="00266B61"/>
    <w:rsid w:val="0026712A"/>
    <w:rsid w:val="002704DB"/>
    <w:rsid w:val="00273CB9"/>
    <w:rsid w:val="00274A5A"/>
    <w:rsid w:val="002814B2"/>
    <w:rsid w:val="002A0AAE"/>
    <w:rsid w:val="002A5820"/>
    <w:rsid w:val="002B7B58"/>
    <w:rsid w:val="002D2B26"/>
    <w:rsid w:val="002D7EA2"/>
    <w:rsid w:val="002E187C"/>
    <w:rsid w:val="002E6995"/>
    <w:rsid w:val="00302733"/>
    <w:rsid w:val="00313C72"/>
    <w:rsid w:val="00314078"/>
    <w:rsid w:val="0031535D"/>
    <w:rsid w:val="003239B8"/>
    <w:rsid w:val="0033169F"/>
    <w:rsid w:val="00344977"/>
    <w:rsid w:val="00346C95"/>
    <w:rsid w:val="00356185"/>
    <w:rsid w:val="00360380"/>
    <w:rsid w:val="00365C90"/>
    <w:rsid w:val="0037519E"/>
    <w:rsid w:val="00386CF0"/>
    <w:rsid w:val="00393838"/>
    <w:rsid w:val="003B2314"/>
    <w:rsid w:val="003B2399"/>
    <w:rsid w:val="003B70FB"/>
    <w:rsid w:val="003C676B"/>
    <w:rsid w:val="003D3BC2"/>
    <w:rsid w:val="003D4A44"/>
    <w:rsid w:val="003E6CA1"/>
    <w:rsid w:val="00405F9C"/>
    <w:rsid w:val="004065A8"/>
    <w:rsid w:val="004120E6"/>
    <w:rsid w:val="00413307"/>
    <w:rsid w:val="004165C2"/>
    <w:rsid w:val="004236FB"/>
    <w:rsid w:val="00436021"/>
    <w:rsid w:val="00441ECB"/>
    <w:rsid w:val="00445193"/>
    <w:rsid w:val="004577E3"/>
    <w:rsid w:val="00462C1B"/>
    <w:rsid w:val="00467B7E"/>
    <w:rsid w:val="00473BB4"/>
    <w:rsid w:val="00477592"/>
    <w:rsid w:val="00486F1C"/>
    <w:rsid w:val="0049419D"/>
    <w:rsid w:val="004A53A0"/>
    <w:rsid w:val="004A6A54"/>
    <w:rsid w:val="004C20D2"/>
    <w:rsid w:val="004C2312"/>
    <w:rsid w:val="004C4B62"/>
    <w:rsid w:val="004C54C9"/>
    <w:rsid w:val="004D4ABA"/>
    <w:rsid w:val="004D6025"/>
    <w:rsid w:val="004E2649"/>
    <w:rsid w:val="004F3ED8"/>
    <w:rsid w:val="004F46A6"/>
    <w:rsid w:val="004F626F"/>
    <w:rsid w:val="0050011F"/>
    <w:rsid w:val="00501399"/>
    <w:rsid w:val="0050633D"/>
    <w:rsid w:val="00507BC4"/>
    <w:rsid w:val="005128E4"/>
    <w:rsid w:val="005133DB"/>
    <w:rsid w:val="00514504"/>
    <w:rsid w:val="00524001"/>
    <w:rsid w:val="00525560"/>
    <w:rsid w:val="005269E2"/>
    <w:rsid w:val="00544C49"/>
    <w:rsid w:val="005516A1"/>
    <w:rsid w:val="005559EF"/>
    <w:rsid w:val="00563557"/>
    <w:rsid w:val="00567909"/>
    <w:rsid w:val="0057402A"/>
    <w:rsid w:val="005771D0"/>
    <w:rsid w:val="00587153"/>
    <w:rsid w:val="0059191A"/>
    <w:rsid w:val="005921FF"/>
    <w:rsid w:val="005A24ED"/>
    <w:rsid w:val="005A6D0E"/>
    <w:rsid w:val="005B52B0"/>
    <w:rsid w:val="005B6806"/>
    <w:rsid w:val="005C4225"/>
    <w:rsid w:val="005C551B"/>
    <w:rsid w:val="005D38F9"/>
    <w:rsid w:val="005F0DAD"/>
    <w:rsid w:val="005F0F33"/>
    <w:rsid w:val="00600DEB"/>
    <w:rsid w:val="00613485"/>
    <w:rsid w:val="00627C9F"/>
    <w:rsid w:val="006311E9"/>
    <w:rsid w:val="00632354"/>
    <w:rsid w:val="00635421"/>
    <w:rsid w:val="00642810"/>
    <w:rsid w:val="00652333"/>
    <w:rsid w:val="00663D06"/>
    <w:rsid w:val="0068009E"/>
    <w:rsid w:val="00684777"/>
    <w:rsid w:val="00692219"/>
    <w:rsid w:val="0069486B"/>
    <w:rsid w:val="00697773"/>
    <w:rsid w:val="006A17D2"/>
    <w:rsid w:val="006A73E6"/>
    <w:rsid w:val="006B2D5C"/>
    <w:rsid w:val="006C4EB1"/>
    <w:rsid w:val="006E0166"/>
    <w:rsid w:val="006E2FFB"/>
    <w:rsid w:val="006E7B34"/>
    <w:rsid w:val="00706255"/>
    <w:rsid w:val="0070697F"/>
    <w:rsid w:val="0072199C"/>
    <w:rsid w:val="00722C9F"/>
    <w:rsid w:val="007253B8"/>
    <w:rsid w:val="0073741F"/>
    <w:rsid w:val="007505BF"/>
    <w:rsid w:val="0076643F"/>
    <w:rsid w:val="00777F63"/>
    <w:rsid w:val="007A5817"/>
    <w:rsid w:val="007B05C4"/>
    <w:rsid w:val="007B60E9"/>
    <w:rsid w:val="007B6CC3"/>
    <w:rsid w:val="007B76D3"/>
    <w:rsid w:val="007C3334"/>
    <w:rsid w:val="007D2B98"/>
    <w:rsid w:val="007E0D7A"/>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628C8"/>
    <w:rsid w:val="00873836"/>
    <w:rsid w:val="00885737"/>
    <w:rsid w:val="00890650"/>
    <w:rsid w:val="00897E12"/>
    <w:rsid w:val="008A2EA9"/>
    <w:rsid w:val="008A7E0F"/>
    <w:rsid w:val="008B12F5"/>
    <w:rsid w:val="008C5E2D"/>
    <w:rsid w:val="008D768D"/>
    <w:rsid w:val="008E3759"/>
    <w:rsid w:val="008E3BFE"/>
    <w:rsid w:val="008F0506"/>
    <w:rsid w:val="008F1912"/>
    <w:rsid w:val="0090270B"/>
    <w:rsid w:val="009041DC"/>
    <w:rsid w:val="00917B5A"/>
    <w:rsid w:val="00920A58"/>
    <w:rsid w:val="00920A8C"/>
    <w:rsid w:val="00934A2C"/>
    <w:rsid w:val="00952512"/>
    <w:rsid w:val="00966031"/>
    <w:rsid w:val="0096706E"/>
    <w:rsid w:val="00974491"/>
    <w:rsid w:val="00975117"/>
    <w:rsid w:val="00975C4E"/>
    <w:rsid w:val="00981FBA"/>
    <w:rsid w:val="00997BC5"/>
    <w:rsid w:val="009A3C77"/>
    <w:rsid w:val="009A4F41"/>
    <w:rsid w:val="009A6FC8"/>
    <w:rsid w:val="009B381B"/>
    <w:rsid w:val="009D1753"/>
    <w:rsid w:val="009D54FE"/>
    <w:rsid w:val="009D7611"/>
    <w:rsid w:val="009E0B61"/>
    <w:rsid w:val="009E53DE"/>
    <w:rsid w:val="00A11212"/>
    <w:rsid w:val="00A11E44"/>
    <w:rsid w:val="00A30100"/>
    <w:rsid w:val="00A328B3"/>
    <w:rsid w:val="00A50FCF"/>
    <w:rsid w:val="00A528D1"/>
    <w:rsid w:val="00A610CD"/>
    <w:rsid w:val="00A758AA"/>
    <w:rsid w:val="00AA09A2"/>
    <w:rsid w:val="00AA7996"/>
    <w:rsid w:val="00AC19CB"/>
    <w:rsid w:val="00AD11CC"/>
    <w:rsid w:val="00AE51F5"/>
    <w:rsid w:val="00AE5239"/>
    <w:rsid w:val="00AE5488"/>
    <w:rsid w:val="00AE6F91"/>
    <w:rsid w:val="00AF5571"/>
    <w:rsid w:val="00B07341"/>
    <w:rsid w:val="00B254FC"/>
    <w:rsid w:val="00B30539"/>
    <w:rsid w:val="00B314DB"/>
    <w:rsid w:val="00B33E37"/>
    <w:rsid w:val="00B361F2"/>
    <w:rsid w:val="00B3718B"/>
    <w:rsid w:val="00B3745F"/>
    <w:rsid w:val="00B4632A"/>
    <w:rsid w:val="00B530F1"/>
    <w:rsid w:val="00B567E2"/>
    <w:rsid w:val="00B831B5"/>
    <w:rsid w:val="00B976BF"/>
    <w:rsid w:val="00BA276C"/>
    <w:rsid w:val="00BB306F"/>
    <w:rsid w:val="00BD4B89"/>
    <w:rsid w:val="00BD5922"/>
    <w:rsid w:val="00BF02CB"/>
    <w:rsid w:val="00BF6FD8"/>
    <w:rsid w:val="00C03680"/>
    <w:rsid w:val="00C054DF"/>
    <w:rsid w:val="00C177FC"/>
    <w:rsid w:val="00C21762"/>
    <w:rsid w:val="00C21FEF"/>
    <w:rsid w:val="00C23BA4"/>
    <w:rsid w:val="00C24543"/>
    <w:rsid w:val="00C256A2"/>
    <w:rsid w:val="00C25ADB"/>
    <w:rsid w:val="00C51515"/>
    <w:rsid w:val="00C5660B"/>
    <w:rsid w:val="00C66B72"/>
    <w:rsid w:val="00C729C7"/>
    <w:rsid w:val="00C776A6"/>
    <w:rsid w:val="00C87AC4"/>
    <w:rsid w:val="00C9567A"/>
    <w:rsid w:val="00CB212D"/>
    <w:rsid w:val="00CB2660"/>
    <w:rsid w:val="00CC5E90"/>
    <w:rsid w:val="00CD046C"/>
    <w:rsid w:val="00CD573F"/>
    <w:rsid w:val="00CE076C"/>
    <w:rsid w:val="00CE5199"/>
    <w:rsid w:val="00CE66D5"/>
    <w:rsid w:val="00CF422D"/>
    <w:rsid w:val="00CF637A"/>
    <w:rsid w:val="00D059DE"/>
    <w:rsid w:val="00D05ABD"/>
    <w:rsid w:val="00D13FCE"/>
    <w:rsid w:val="00D306D1"/>
    <w:rsid w:val="00D30800"/>
    <w:rsid w:val="00D34786"/>
    <w:rsid w:val="00D37BFC"/>
    <w:rsid w:val="00D47A8E"/>
    <w:rsid w:val="00D51699"/>
    <w:rsid w:val="00D52D14"/>
    <w:rsid w:val="00D67222"/>
    <w:rsid w:val="00D712D3"/>
    <w:rsid w:val="00D71422"/>
    <w:rsid w:val="00D72DC6"/>
    <w:rsid w:val="00D7558D"/>
    <w:rsid w:val="00D81D92"/>
    <w:rsid w:val="00D876F9"/>
    <w:rsid w:val="00DA66BF"/>
    <w:rsid w:val="00DA7B5F"/>
    <w:rsid w:val="00DC11E7"/>
    <w:rsid w:val="00DC24E3"/>
    <w:rsid w:val="00DC7023"/>
    <w:rsid w:val="00DC769A"/>
    <w:rsid w:val="00DD3D86"/>
    <w:rsid w:val="00DD4AD2"/>
    <w:rsid w:val="00DF1EC4"/>
    <w:rsid w:val="00E0340B"/>
    <w:rsid w:val="00E04A90"/>
    <w:rsid w:val="00E0551F"/>
    <w:rsid w:val="00E219C7"/>
    <w:rsid w:val="00E22D15"/>
    <w:rsid w:val="00E4118C"/>
    <w:rsid w:val="00E43157"/>
    <w:rsid w:val="00E461CE"/>
    <w:rsid w:val="00E573E4"/>
    <w:rsid w:val="00E641FF"/>
    <w:rsid w:val="00E64C3D"/>
    <w:rsid w:val="00E720CA"/>
    <w:rsid w:val="00E81D89"/>
    <w:rsid w:val="00E84EB5"/>
    <w:rsid w:val="00E85662"/>
    <w:rsid w:val="00E8789F"/>
    <w:rsid w:val="00E97B71"/>
    <w:rsid w:val="00EA3D34"/>
    <w:rsid w:val="00EA4FFC"/>
    <w:rsid w:val="00EA6DE8"/>
    <w:rsid w:val="00EB454D"/>
    <w:rsid w:val="00ED549D"/>
    <w:rsid w:val="00ED76BE"/>
    <w:rsid w:val="00EE00E9"/>
    <w:rsid w:val="00EE5657"/>
    <w:rsid w:val="00EF1AAA"/>
    <w:rsid w:val="00EF540D"/>
    <w:rsid w:val="00EF619B"/>
    <w:rsid w:val="00F00B55"/>
    <w:rsid w:val="00F02AD1"/>
    <w:rsid w:val="00F204F7"/>
    <w:rsid w:val="00F22C3B"/>
    <w:rsid w:val="00F253CC"/>
    <w:rsid w:val="00F316C2"/>
    <w:rsid w:val="00F324C3"/>
    <w:rsid w:val="00F3361C"/>
    <w:rsid w:val="00F37106"/>
    <w:rsid w:val="00F44E25"/>
    <w:rsid w:val="00F519CF"/>
    <w:rsid w:val="00F56BA5"/>
    <w:rsid w:val="00F60E22"/>
    <w:rsid w:val="00F81395"/>
    <w:rsid w:val="00F81BB8"/>
    <w:rsid w:val="00F908DD"/>
    <w:rsid w:val="00F90C64"/>
    <w:rsid w:val="00F917D1"/>
    <w:rsid w:val="00F9653B"/>
    <w:rsid w:val="00FA4524"/>
    <w:rsid w:val="00FB4F4E"/>
    <w:rsid w:val="00FB62CF"/>
    <w:rsid w:val="00FC79FC"/>
    <w:rsid w:val="00FD3C3B"/>
    <w:rsid w:val="00FE07DD"/>
    <w:rsid w:val="00FE6B45"/>
    <w:rsid w:val="00FF496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96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1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11906">
      <w:bodyDiv w:val="1"/>
      <w:marLeft w:val="0"/>
      <w:marRight w:val="0"/>
      <w:marTop w:val="0"/>
      <w:marBottom w:val="0"/>
      <w:divBdr>
        <w:top w:val="none" w:sz="0" w:space="0" w:color="auto"/>
        <w:left w:val="none" w:sz="0" w:space="0" w:color="auto"/>
        <w:bottom w:val="none" w:sz="0" w:space="0" w:color="auto"/>
        <w:right w:val="none" w:sz="0" w:space="0" w:color="auto"/>
      </w:divBdr>
      <w:divsChild>
        <w:div w:id="394858637">
          <w:marLeft w:val="0"/>
          <w:marRight w:val="0"/>
          <w:marTop w:val="0"/>
          <w:marBottom w:val="0"/>
          <w:divBdr>
            <w:top w:val="none" w:sz="0" w:space="0" w:color="auto"/>
            <w:left w:val="none" w:sz="0" w:space="0" w:color="auto"/>
            <w:bottom w:val="none" w:sz="0" w:space="0" w:color="auto"/>
            <w:right w:val="none" w:sz="0" w:space="0" w:color="auto"/>
          </w:divBdr>
          <w:divsChild>
            <w:div w:id="545794171">
              <w:marLeft w:val="0"/>
              <w:marRight w:val="0"/>
              <w:marTop w:val="0"/>
              <w:marBottom w:val="0"/>
              <w:divBdr>
                <w:top w:val="none" w:sz="0" w:space="0" w:color="auto"/>
                <w:left w:val="none" w:sz="0" w:space="0" w:color="auto"/>
                <w:bottom w:val="none" w:sz="0" w:space="0" w:color="auto"/>
                <w:right w:val="none" w:sz="0" w:space="0" w:color="auto"/>
              </w:divBdr>
              <w:divsChild>
                <w:div w:id="1578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0773">
      <w:bodyDiv w:val="1"/>
      <w:marLeft w:val="0"/>
      <w:marRight w:val="0"/>
      <w:marTop w:val="0"/>
      <w:marBottom w:val="0"/>
      <w:divBdr>
        <w:top w:val="none" w:sz="0" w:space="0" w:color="auto"/>
        <w:left w:val="none" w:sz="0" w:space="0" w:color="auto"/>
        <w:bottom w:val="none" w:sz="0" w:space="0" w:color="auto"/>
        <w:right w:val="none" w:sz="0" w:space="0" w:color="auto"/>
      </w:divBdr>
      <w:divsChild>
        <w:div w:id="1883982410">
          <w:marLeft w:val="0"/>
          <w:marRight w:val="0"/>
          <w:marTop w:val="0"/>
          <w:marBottom w:val="0"/>
          <w:divBdr>
            <w:top w:val="none" w:sz="0" w:space="0" w:color="auto"/>
            <w:left w:val="none" w:sz="0" w:space="0" w:color="auto"/>
            <w:bottom w:val="none" w:sz="0" w:space="0" w:color="auto"/>
            <w:right w:val="none" w:sz="0" w:space="0" w:color="auto"/>
          </w:divBdr>
          <w:divsChild>
            <w:div w:id="1638803001">
              <w:marLeft w:val="0"/>
              <w:marRight w:val="0"/>
              <w:marTop w:val="0"/>
              <w:marBottom w:val="0"/>
              <w:divBdr>
                <w:top w:val="none" w:sz="0" w:space="0" w:color="auto"/>
                <w:left w:val="none" w:sz="0" w:space="0" w:color="auto"/>
                <w:bottom w:val="none" w:sz="0" w:space="0" w:color="auto"/>
                <w:right w:val="none" w:sz="0" w:space="0" w:color="auto"/>
              </w:divBdr>
              <w:divsChild>
                <w:div w:id="15741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1057">
      <w:bodyDiv w:val="1"/>
      <w:marLeft w:val="0"/>
      <w:marRight w:val="0"/>
      <w:marTop w:val="0"/>
      <w:marBottom w:val="0"/>
      <w:divBdr>
        <w:top w:val="none" w:sz="0" w:space="0" w:color="auto"/>
        <w:left w:val="none" w:sz="0" w:space="0" w:color="auto"/>
        <w:bottom w:val="none" w:sz="0" w:space="0" w:color="auto"/>
        <w:right w:val="none" w:sz="0" w:space="0" w:color="auto"/>
      </w:divBdr>
    </w:div>
    <w:div w:id="326637393">
      <w:bodyDiv w:val="1"/>
      <w:marLeft w:val="0"/>
      <w:marRight w:val="0"/>
      <w:marTop w:val="0"/>
      <w:marBottom w:val="0"/>
      <w:divBdr>
        <w:top w:val="none" w:sz="0" w:space="0" w:color="auto"/>
        <w:left w:val="none" w:sz="0" w:space="0" w:color="auto"/>
        <w:bottom w:val="none" w:sz="0" w:space="0" w:color="auto"/>
        <w:right w:val="none" w:sz="0" w:space="0" w:color="auto"/>
      </w:divBdr>
    </w:div>
    <w:div w:id="431778431">
      <w:bodyDiv w:val="1"/>
      <w:marLeft w:val="0"/>
      <w:marRight w:val="0"/>
      <w:marTop w:val="0"/>
      <w:marBottom w:val="0"/>
      <w:divBdr>
        <w:top w:val="none" w:sz="0" w:space="0" w:color="auto"/>
        <w:left w:val="none" w:sz="0" w:space="0" w:color="auto"/>
        <w:bottom w:val="none" w:sz="0" w:space="0" w:color="auto"/>
        <w:right w:val="none" w:sz="0" w:space="0" w:color="auto"/>
      </w:divBdr>
    </w:div>
    <w:div w:id="484903189">
      <w:bodyDiv w:val="1"/>
      <w:marLeft w:val="0"/>
      <w:marRight w:val="0"/>
      <w:marTop w:val="0"/>
      <w:marBottom w:val="0"/>
      <w:divBdr>
        <w:top w:val="none" w:sz="0" w:space="0" w:color="auto"/>
        <w:left w:val="none" w:sz="0" w:space="0" w:color="auto"/>
        <w:bottom w:val="none" w:sz="0" w:space="0" w:color="auto"/>
        <w:right w:val="none" w:sz="0" w:space="0" w:color="auto"/>
      </w:divBdr>
    </w:div>
    <w:div w:id="490489705">
      <w:bodyDiv w:val="1"/>
      <w:marLeft w:val="0"/>
      <w:marRight w:val="0"/>
      <w:marTop w:val="0"/>
      <w:marBottom w:val="0"/>
      <w:divBdr>
        <w:top w:val="none" w:sz="0" w:space="0" w:color="auto"/>
        <w:left w:val="none" w:sz="0" w:space="0" w:color="auto"/>
        <w:bottom w:val="none" w:sz="0" w:space="0" w:color="auto"/>
        <w:right w:val="none" w:sz="0" w:space="0" w:color="auto"/>
      </w:divBdr>
    </w:div>
    <w:div w:id="533156642">
      <w:bodyDiv w:val="1"/>
      <w:marLeft w:val="0"/>
      <w:marRight w:val="0"/>
      <w:marTop w:val="0"/>
      <w:marBottom w:val="0"/>
      <w:divBdr>
        <w:top w:val="none" w:sz="0" w:space="0" w:color="auto"/>
        <w:left w:val="none" w:sz="0" w:space="0" w:color="auto"/>
        <w:bottom w:val="none" w:sz="0" w:space="0" w:color="auto"/>
        <w:right w:val="none" w:sz="0" w:space="0" w:color="auto"/>
      </w:divBdr>
    </w:div>
    <w:div w:id="831683957">
      <w:bodyDiv w:val="1"/>
      <w:marLeft w:val="0"/>
      <w:marRight w:val="0"/>
      <w:marTop w:val="0"/>
      <w:marBottom w:val="0"/>
      <w:divBdr>
        <w:top w:val="none" w:sz="0" w:space="0" w:color="auto"/>
        <w:left w:val="none" w:sz="0" w:space="0" w:color="auto"/>
        <w:bottom w:val="none" w:sz="0" w:space="0" w:color="auto"/>
        <w:right w:val="none" w:sz="0" w:space="0" w:color="auto"/>
      </w:divBdr>
      <w:divsChild>
        <w:div w:id="1472600050">
          <w:marLeft w:val="0"/>
          <w:marRight w:val="0"/>
          <w:marTop w:val="0"/>
          <w:marBottom w:val="0"/>
          <w:divBdr>
            <w:top w:val="none" w:sz="0" w:space="0" w:color="auto"/>
            <w:left w:val="none" w:sz="0" w:space="0" w:color="auto"/>
            <w:bottom w:val="none" w:sz="0" w:space="0" w:color="auto"/>
            <w:right w:val="none" w:sz="0" w:space="0" w:color="auto"/>
          </w:divBdr>
          <w:divsChild>
            <w:div w:id="1007293350">
              <w:marLeft w:val="0"/>
              <w:marRight w:val="0"/>
              <w:marTop w:val="0"/>
              <w:marBottom w:val="0"/>
              <w:divBdr>
                <w:top w:val="none" w:sz="0" w:space="0" w:color="auto"/>
                <w:left w:val="none" w:sz="0" w:space="0" w:color="auto"/>
                <w:bottom w:val="none" w:sz="0" w:space="0" w:color="auto"/>
                <w:right w:val="none" w:sz="0" w:space="0" w:color="auto"/>
              </w:divBdr>
              <w:divsChild>
                <w:div w:id="1440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6103">
      <w:bodyDiv w:val="1"/>
      <w:marLeft w:val="0"/>
      <w:marRight w:val="0"/>
      <w:marTop w:val="0"/>
      <w:marBottom w:val="0"/>
      <w:divBdr>
        <w:top w:val="none" w:sz="0" w:space="0" w:color="auto"/>
        <w:left w:val="none" w:sz="0" w:space="0" w:color="auto"/>
        <w:bottom w:val="none" w:sz="0" w:space="0" w:color="auto"/>
        <w:right w:val="none" w:sz="0" w:space="0" w:color="auto"/>
      </w:divBdr>
      <w:divsChild>
        <w:div w:id="1963153482">
          <w:marLeft w:val="0"/>
          <w:marRight w:val="0"/>
          <w:marTop w:val="0"/>
          <w:marBottom w:val="0"/>
          <w:divBdr>
            <w:top w:val="none" w:sz="0" w:space="0" w:color="auto"/>
            <w:left w:val="none" w:sz="0" w:space="0" w:color="auto"/>
            <w:bottom w:val="none" w:sz="0" w:space="0" w:color="auto"/>
            <w:right w:val="none" w:sz="0" w:space="0" w:color="auto"/>
          </w:divBdr>
          <w:divsChild>
            <w:div w:id="659894759">
              <w:marLeft w:val="0"/>
              <w:marRight w:val="0"/>
              <w:marTop w:val="0"/>
              <w:marBottom w:val="0"/>
              <w:divBdr>
                <w:top w:val="none" w:sz="0" w:space="0" w:color="auto"/>
                <w:left w:val="none" w:sz="0" w:space="0" w:color="auto"/>
                <w:bottom w:val="none" w:sz="0" w:space="0" w:color="auto"/>
                <w:right w:val="none" w:sz="0" w:space="0" w:color="auto"/>
              </w:divBdr>
              <w:divsChild>
                <w:div w:id="8665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2450">
      <w:bodyDiv w:val="1"/>
      <w:marLeft w:val="0"/>
      <w:marRight w:val="0"/>
      <w:marTop w:val="0"/>
      <w:marBottom w:val="0"/>
      <w:divBdr>
        <w:top w:val="none" w:sz="0" w:space="0" w:color="auto"/>
        <w:left w:val="none" w:sz="0" w:space="0" w:color="auto"/>
        <w:bottom w:val="none" w:sz="0" w:space="0" w:color="auto"/>
        <w:right w:val="none" w:sz="0" w:space="0" w:color="auto"/>
      </w:divBdr>
    </w:div>
    <w:div w:id="121859203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9454439">
      <w:bodyDiv w:val="1"/>
      <w:marLeft w:val="0"/>
      <w:marRight w:val="0"/>
      <w:marTop w:val="0"/>
      <w:marBottom w:val="0"/>
      <w:divBdr>
        <w:top w:val="none" w:sz="0" w:space="0" w:color="auto"/>
        <w:left w:val="none" w:sz="0" w:space="0" w:color="auto"/>
        <w:bottom w:val="none" w:sz="0" w:space="0" w:color="auto"/>
        <w:right w:val="none" w:sz="0" w:space="0" w:color="auto"/>
      </w:divBdr>
      <w:divsChild>
        <w:div w:id="144590258">
          <w:marLeft w:val="0"/>
          <w:marRight w:val="0"/>
          <w:marTop w:val="0"/>
          <w:marBottom w:val="0"/>
          <w:divBdr>
            <w:top w:val="none" w:sz="0" w:space="0" w:color="auto"/>
            <w:left w:val="none" w:sz="0" w:space="0" w:color="auto"/>
            <w:bottom w:val="none" w:sz="0" w:space="0" w:color="auto"/>
            <w:right w:val="none" w:sz="0" w:space="0" w:color="auto"/>
          </w:divBdr>
          <w:divsChild>
            <w:div w:id="876116710">
              <w:marLeft w:val="0"/>
              <w:marRight w:val="0"/>
              <w:marTop w:val="0"/>
              <w:marBottom w:val="0"/>
              <w:divBdr>
                <w:top w:val="none" w:sz="0" w:space="0" w:color="auto"/>
                <w:left w:val="none" w:sz="0" w:space="0" w:color="auto"/>
                <w:bottom w:val="none" w:sz="0" w:space="0" w:color="auto"/>
                <w:right w:val="none" w:sz="0" w:space="0" w:color="auto"/>
              </w:divBdr>
              <w:divsChild>
                <w:div w:id="13168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594">
      <w:bodyDiv w:val="1"/>
      <w:marLeft w:val="0"/>
      <w:marRight w:val="0"/>
      <w:marTop w:val="0"/>
      <w:marBottom w:val="0"/>
      <w:divBdr>
        <w:top w:val="none" w:sz="0" w:space="0" w:color="auto"/>
        <w:left w:val="none" w:sz="0" w:space="0" w:color="auto"/>
        <w:bottom w:val="none" w:sz="0" w:space="0" w:color="auto"/>
        <w:right w:val="none" w:sz="0" w:space="0" w:color="auto"/>
      </w:divBdr>
    </w:div>
    <w:div w:id="1466463017">
      <w:bodyDiv w:val="1"/>
      <w:marLeft w:val="0"/>
      <w:marRight w:val="0"/>
      <w:marTop w:val="0"/>
      <w:marBottom w:val="0"/>
      <w:divBdr>
        <w:top w:val="none" w:sz="0" w:space="0" w:color="auto"/>
        <w:left w:val="none" w:sz="0" w:space="0" w:color="auto"/>
        <w:bottom w:val="none" w:sz="0" w:space="0" w:color="auto"/>
        <w:right w:val="none" w:sz="0" w:space="0" w:color="auto"/>
      </w:divBdr>
      <w:divsChild>
        <w:div w:id="1987733677">
          <w:marLeft w:val="0"/>
          <w:marRight w:val="0"/>
          <w:marTop w:val="0"/>
          <w:marBottom w:val="0"/>
          <w:divBdr>
            <w:top w:val="none" w:sz="0" w:space="0" w:color="auto"/>
            <w:left w:val="none" w:sz="0" w:space="0" w:color="auto"/>
            <w:bottom w:val="none" w:sz="0" w:space="0" w:color="auto"/>
            <w:right w:val="none" w:sz="0" w:space="0" w:color="auto"/>
          </w:divBdr>
          <w:divsChild>
            <w:div w:id="308216622">
              <w:marLeft w:val="0"/>
              <w:marRight w:val="0"/>
              <w:marTop w:val="0"/>
              <w:marBottom w:val="0"/>
              <w:divBdr>
                <w:top w:val="none" w:sz="0" w:space="0" w:color="auto"/>
                <w:left w:val="none" w:sz="0" w:space="0" w:color="auto"/>
                <w:bottom w:val="none" w:sz="0" w:space="0" w:color="auto"/>
                <w:right w:val="none" w:sz="0" w:space="0" w:color="auto"/>
              </w:divBdr>
              <w:divsChild>
                <w:div w:id="707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2754">
      <w:bodyDiv w:val="1"/>
      <w:marLeft w:val="0"/>
      <w:marRight w:val="0"/>
      <w:marTop w:val="0"/>
      <w:marBottom w:val="0"/>
      <w:divBdr>
        <w:top w:val="none" w:sz="0" w:space="0" w:color="auto"/>
        <w:left w:val="none" w:sz="0" w:space="0" w:color="auto"/>
        <w:bottom w:val="none" w:sz="0" w:space="0" w:color="auto"/>
        <w:right w:val="none" w:sz="0" w:space="0" w:color="auto"/>
      </w:divBdr>
      <w:divsChild>
        <w:div w:id="29886086">
          <w:marLeft w:val="0"/>
          <w:marRight w:val="0"/>
          <w:marTop w:val="0"/>
          <w:marBottom w:val="0"/>
          <w:divBdr>
            <w:top w:val="none" w:sz="0" w:space="0" w:color="auto"/>
            <w:left w:val="none" w:sz="0" w:space="0" w:color="auto"/>
            <w:bottom w:val="none" w:sz="0" w:space="0" w:color="auto"/>
            <w:right w:val="none" w:sz="0" w:space="0" w:color="auto"/>
          </w:divBdr>
          <w:divsChild>
            <w:div w:id="1971280285">
              <w:marLeft w:val="0"/>
              <w:marRight w:val="0"/>
              <w:marTop w:val="0"/>
              <w:marBottom w:val="0"/>
              <w:divBdr>
                <w:top w:val="none" w:sz="0" w:space="0" w:color="auto"/>
                <w:left w:val="none" w:sz="0" w:space="0" w:color="auto"/>
                <w:bottom w:val="none" w:sz="0" w:space="0" w:color="auto"/>
                <w:right w:val="none" w:sz="0" w:space="0" w:color="auto"/>
              </w:divBdr>
              <w:divsChild>
                <w:div w:id="1231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380">
      <w:bodyDiv w:val="1"/>
      <w:marLeft w:val="0"/>
      <w:marRight w:val="0"/>
      <w:marTop w:val="0"/>
      <w:marBottom w:val="0"/>
      <w:divBdr>
        <w:top w:val="none" w:sz="0" w:space="0" w:color="auto"/>
        <w:left w:val="none" w:sz="0" w:space="0" w:color="auto"/>
        <w:bottom w:val="none" w:sz="0" w:space="0" w:color="auto"/>
        <w:right w:val="none" w:sz="0" w:space="0" w:color="auto"/>
      </w:divBdr>
    </w:div>
    <w:div w:id="176554004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509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E3E"/>
    <w:rsid w:val="0007021E"/>
    <w:rsid w:val="001B46B7"/>
    <w:rsid w:val="00200821"/>
    <w:rsid w:val="00223632"/>
    <w:rsid w:val="0025245B"/>
    <w:rsid w:val="00260753"/>
    <w:rsid w:val="002A3923"/>
    <w:rsid w:val="003569A8"/>
    <w:rsid w:val="00394049"/>
    <w:rsid w:val="004B5BBB"/>
    <w:rsid w:val="004F2DF8"/>
    <w:rsid w:val="005D0343"/>
    <w:rsid w:val="006F24A1"/>
    <w:rsid w:val="0095739A"/>
    <w:rsid w:val="009A261B"/>
    <w:rsid w:val="00AA2E17"/>
    <w:rsid w:val="00AC15A4"/>
    <w:rsid w:val="00B0336C"/>
    <w:rsid w:val="00CA7C57"/>
    <w:rsid w:val="00D241E9"/>
    <w:rsid w:val="00D7750D"/>
    <w:rsid w:val="00D950DA"/>
    <w:rsid w:val="00F00D2F"/>
    <w:rsid w:val="00F128DF"/>
    <w:rsid w:val="00F1316D"/>
    <w:rsid w:val="00F910F9"/>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9E0A-72C5-4A00-BF44-51780B06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13692</Characters>
  <Application>Microsoft Office Word</Application>
  <DocSecurity>0</DocSecurity>
  <Lines>228</Lines>
  <Paragraphs>53</Paragraphs>
  <ScaleCrop>false</ScaleCrop>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182/20</dc:title>
  <dc:creator/>
  <cp:lastModifiedBy/>
  <cp:revision>1</cp:revision>
  <dcterms:created xsi:type="dcterms:W3CDTF">2020-07-30T18:15:00Z</dcterms:created>
  <dcterms:modified xsi:type="dcterms:W3CDTF">2020-07-30T18:15:00Z</dcterms:modified>
</cp:coreProperties>
</file>