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0837" w:rsidRPr="00006B74" w:rsidRDefault="00154548"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E4A145"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37" w:rsidRDefault="00154548"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15083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150837" w:rsidRDefault="00154548"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150837">
                        <w:tab/>
                        <w:t xml:space="preserve">                              </w:t>
                      </w:r>
                    </w:p>
                  </w:txbxContent>
                </v:textbox>
              </v:shape>
            </w:pict>
          </mc:Fallback>
        </mc:AlternateContent>
      </w: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150837" w:rsidRPr="00006B74" w:rsidRDefault="001508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454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F710D">
                              <w:rPr>
                                <w:rFonts w:ascii="Cambria" w:hAnsi="Cambria" w:cs="Arial"/>
                                <w:b/>
                                <w:bCs/>
                                <w:color w:val="0D0D0D"/>
                                <w:sz w:val="36"/>
                                <w:szCs w:val="22"/>
                                <w:lang w:val="es-ES_tradnl"/>
                              </w:rPr>
                              <w:t xml:space="preserve">INFORME </w:t>
                            </w:r>
                            <w:r w:rsidRPr="00AF710D">
                              <w:rPr>
                                <w:rFonts w:ascii="Cambria" w:hAnsi="Cambria" w:cs="Arial"/>
                                <w:b/>
                                <w:bCs/>
                                <w:color w:val="0D0D0D"/>
                                <w:sz w:val="36"/>
                                <w:szCs w:val="40"/>
                                <w:lang w:val="es-ES_tradnl"/>
                              </w:rPr>
                              <w:t>No.</w:t>
                            </w:r>
                            <w:r w:rsidR="00F97B42">
                              <w:rPr>
                                <w:rFonts w:ascii="Cambria" w:hAnsi="Cambria" w:cs="Arial"/>
                                <w:b/>
                                <w:bCs/>
                                <w:color w:val="0D0D0D"/>
                                <w:sz w:val="36"/>
                                <w:szCs w:val="22"/>
                                <w:lang w:val="es-ES_tradnl"/>
                              </w:rPr>
                              <w:t xml:space="preserve"> 365</w:t>
                            </w:r>
                            <w:r w:rsidRPr="00AF710D">
                              <w:rPr>
                                <w:rFonts w:ascii="Cambria" w:hAnsi="Cambria" w:cs="Arial"/>
                                <w:b/>
                                <w:bCs/>
                                <w:color w:val="0D0D0D"/>
                                <w:sz w:val="36"/>
                                <w:szCs w:val="22"/>
                                <w:lang w:val="es-ES_tradnl"/>
                              </w:rPr>
                              <w:t>/20</w:t>
                            </w:r>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F710D">
                              <w:rPr>
                                <w:rFonts w:ascii="Cambria" w:hAnsi="Cambria" w:cs="Arial"/>
                                <w:b/>
                                <w:color w:val="0D0D0D"/>
                                <w:sz w:val="36"/>
                                <w:szCs w:val="22"/>
                                <w:lang w:val="es-ES_tradnl"/>
                              </w:rPr>
                              <w:t xml:space="preserve">PETICIÓN 389-11 </w:t>
                            </w:r>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F710D">
                              <w:rPr>
                                <w:rFonts w:ascii="Cambria" w:hAnsi="Cambria" w:cs="Arial"/>
                                <w:color w:val="0D0D0D"/>
                                <w:szCs w:val="22"/>
                                <w:lang w:val="es-ES_tradnl"/>
                              </w:rPr>
                              <w:t xml:space="preserve">INFORME DE </w:t>
                            </w:r>
                            <w:r w:rsidR="00214B5D" w:rsidRPr="00590FBB">
                              <w:rPr>
                                <w:rFonts w:ascii="Cambria" w:hAnsi="Cambria" w:cs="Arial"/>
                                <w:color w:val="0D0D0D"/>
                                <w:szCs w:val="22"/>
                                <w:lang w:val="es-ES_tradnl"/>
                              </w:rPr>
                              <w:t>IN</w:t>
                            </w:r>
                            <w:r w:rsidRPr="00590FBB">
                              <w:rPr>
                                <w:rFonts w:ascii="Cambria" w:hAnsi="Cambria" w:cs="Arial"/>
                                <w:color w:val="0D0D0D"/>
                                <w:szCs w:val="22"/>
                                <w:lang w:val="es-ES_tradnl"/>
                              </w:rPr>
                              <w:t>ADMISIBILIDAD</w:t>
                            </w:r>
                            <w:r w:rsidRPr="00AF710D">
                              <w:rPr>
                                <w:rFonts w:ascii="Cambria" w:hAnsi="Cambria" w:cs="Arial"/>
                                <w:color w:val="0D0D0D"/>
                                <w:szCs w:val="22"/>
                                <w:lang w:val="es-ES_tradnl"/>
                              </w:rPr>
                              <w:t xml:space="preserve"> </w:t>
                            </w:r>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AF710D">
                              <w:rPr>
                                <w:rFonts w:ascii="Cambria" w:hAnsi="Cambria" w:cs="Arial"/>
                                <w:color w:val="0D0D0D"/>
                                <w:szCs w:val="22"/>
                                <w:lang w:val="es-ES_tradnl"/>
                              </w:rPr>
                              <w:t>LUIS BERNARDO D</w:t>
                            </w:r>
                            <w:r w:rsidRPr="00AF710D">
                              <w:rPr>
                                <w:rFonts w:ascii="Cambria" w:hAnsi="Cambria" w:cs="Arial"/>
                                <w:color w:val="0D0D0D"/>
                                <w:szCs w:val="22"/>
                                <w:lang w:val="es-PA"/>
                              </w:rPr>
                              <w:t>ÍAZ GAMBOA</w:t>
                            </w:r>
                          </w:p>
                          <w:bookmarkEnd w:id="1"/>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F710D">
                              <w:rPr>
                                <w:rFonts w:ascii="Cambria" w:hAnsi="Cambria" w:cs="Arial"/>
                                <w:color w:val="0D0D0D"/>
                                <w:szCs w:val="22"/>
                                <w:lang w:val="es-ES_tradnl"/>
                              </w:rPr>
                              <w:t>COLOMBIA</w:t>
                            </w:r>
                          </w:p>
                          <w:p w:rsidR="00150837" w:rsidRPr="00AF710D" w:rsidRDefault="00150837"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F710D">
                        <w:rPr>
                          <w:rFonts w:ascii="Cambria" w:hAnsi="Cambria" w:cs="Arial"/>
                          <w:b/>
                          <w:bCs/>
                          <w:color w:val="0D0D0D"/>
                          <w:sz w:val="36"/>
                          <w:szCs w:val="22"/>
                          <w:lang w:val="es-ES_tradnl"/>
                        </w:rPr>
                        <w:t xml:space="preserve">INFORME </w:t>
                      </w:r>
                      <w:r w:rsidRPr="00AF710D">
                        <w:rPr>
                          <w:rFonts w:ascii="Cambria" w:hAnsi="Cambria" w:cs="Arial"/>
                          <w:b/>
                          <w:bCs/>
                          <w:color w:val="0D0D0D"/>
                          <w:sz w:val="36"/>
                          <w:szCs w:val="40"/>
                          <w:lang w:val="es-ES_tradnl"/>
                        </w:rPr>
                        <w:t>No.</w:t>
                      </w:r>
                      <w:r w:rsidR="00F97B42">
                        <w:rPr>
                          <w:rFonts w:ascii="Cambria" w:hAnsi="Cambria" w:cs="Arial"/>
                          <w:b/>
                          <w:bCs/>
                          <w:color w:val="0D0D0D"/>
                          <w:sz w:val="36"/>
                          <w:szCs w:val="22"/>
                          <w:lang w:val="es-ES_tradnl"/>
                        </w:rPr>
                        <w:t xml:space="preserve"> 365</w:t>
                      </w:r>
                      <w:r w:rsidRPr="00AF710D">
                        <w:rPr>
                          <w:rFonts w:ascii="Cambria" w:hAnsi="Cambria" w:cs="Arial"/>
                          <w:b/>
                          <w:bCs/>
                          <w:color w:val="0D0D0D"/>
                          <w:sz w:val="36"/>
                          <w:szCs w:val="22"/>
                          <w:lang w:val="es-ES_tradnl"/>
                        </w:rPr>
                        <w:t>/20</w:t>
                      </w:r>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F710D">
                        <w:rPr>
                          <w:rFonts w:ascii="Cambria" w:hAnsi="Cambria" w:cs="Arial"/>
                          <w:b/>
                          <w:color w:val="0D0D0D"/>
                          <w:sz w:val="36"/>
                          <w:szCs w:val="22"/>
                          <w:lang w:val="es-ES_tradnl"/>
                        </w:rPr>
                        <w:t xml:space="preserve">PETICIÓN 389-11 </w:t>
                      </w:r>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F710D">
                        <w:rPr>
                          <w:rFonts w:ascii="Cambria" w:hAnsi="Cambria" w:cs="Arial"/>
                          <w:color w:val="0D0D0D"/>
                          <w:szCs w:val="22"/>
                          <w:lang w:val="es-ES_tradnl"/>
                        </w:rPr>
                        <w:t xml:space="preserve">INFORME DE </w:t>
                      </w:r>
                      <w:r w:rsidR="00214B5D" w:rsidRPr="00590FBB">
                        <w:rPr>
                          <w:rFonts w:ascii="Cambria" w:hAnsi="Cambria" w:cs="Arial"/>
                          <w:color w:val="0D0D0D"/>
                          <w:szCs w:val="22"/>
                          <w:lang w:val="es-ES_tradnl"/>
                        </w:rPr>
                        <w:t>IN</w:t>
                      </w:r>
                      <w:r w:rsidRPr="00590FBB">
                        <w:rPr>
                          <w:rFonts w:ascii="Cambria" w:hAnsi="Cambria" w:cs="Arial"/>
                          <w:color w:val="0D0D0D"/>
                          <w:szCs w:val="22"/>
                          <w:lang w:val="es-ES_tradnl"/>
                        </w:rPr>
                        <w:t>ADMISIBILIDAD</w:t>
                      </w:r>
                      <w:r w:rsidRPr="00AF710D">
                        <w:rPr>
                          <w:rFonts w:ascii="Cambria" w:hAnsi="Cambria" w:cs="Arial"/>
                          <w:color w:val="0D0D0D"/>
                          <w:szCs w:val="22"/>
                          <w:lang w:val="es-ES_tradnl"/>
                        </w:rPr>
                        <w:t xml:space="preserve"> </w:t>
                      </w:r>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AF710D">
                        <w:rPr>
                          <w:rFonts w:ascii="Cambria" w:hAnsi="Cambria" w:cs="Arial"/>
                          <w:color w:val="0D0D0D"/>
                          <w:szCs w:val="22"/>
                          <w:lang w:val="es-ES_tradnl"/>
                        </w:rPr>
                        <w:t>LUIS BERNARDO D</w:t>
                      </w:r>
                      <w:r w:rsidRPr="00AF710D">
                        <w:rPr>
                          <w:rFonts w:ascii="Cambria" w:hAnsi="Cambria" w:cs="Arial"/>
                          <w:color w:val="0D0D0D"/>
                          <w:szCs w:val="22"/>
                          <w:lang w:val="es-PA"/>
                        </w:rPr>
                        <w:t>ÍAZ GAMBOA</w:t>
                      </w:r>
                    </w:p>
                    <w:bookmarkEnd w:id="1"/>
                    <w:p w:rsidR="00150837" w:rsidRPr="00AF710D" w:rsidRDefault="001508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F710D">
                        <w:rPr>
                          <w:rFonts w:ascii="Cambria" w:hAnsi="Cambria" w:cs="Arial"/>
                          <w:color w:val="0D0D0D"/>
                          <w:szCs w:val="22"/>
                          <w:lang w:val="es-ES_tradnl"/>
                        </w:rPr>
                        <w:t>COLOMBIA</w:t>
                      </w:r>
                    </w:p>
                    <w:p w:rsidR="00150837" w:rsidRPr="00AF710D" w:rsidRDefault="00150837"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37" w:rsidRPr="00E3639C" w:rsidRDefault="00F97B4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E3639C">
                              <w:rPr>
                                <w:rFonts w:ascii="Calibri" w:hAnsi="Calibri"/>
                                <w:color w:val="FFFFFF"/>
                                <w:sz w:val="22"/>
                                <w:lang w:val="pt-BR"/>
                              </w:rPr>
                              <w:t>OEA/Ser.L/V/II.</w:t>
                            </w:r>
                          </w:p>
                          <w:p w:rsidR="00150837" w:rsidRPr="00E3639C" w:rsidRDefault="00F97B4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E3639C">
                              <w:rPr>
                                <w:rFonts w:ascii="Calibri" w:hAnsi="Calibri"/>
                                <w:color w:val="FFFFFF"/>
                                <w:sz w:val="22"/>
                                <w:lang w:val="pt-BR"/>
                              </w:rPr>
                              <w:t>Doc. 383</w:t>
                            </w:r>
                          </w:p>
                          <w:p w:rsidR="00150837" w:rsidRPr="00AF710D" w:rsidRDefault="00F97B4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14 diciembre 2020</w:t>
                            </w:r>
                          </w:p>
                          <w:p w:rsidR="00150837" w:rsidRPr="00AF710D" w:rsidRDefault="0015083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AF710D">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50837" w:rsidRPr="00F97B42" w:rsidRDefault="00F97B4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F97B42">
                        <w:rPr>
                          <w:rFonts w:ascii="Calibri" w:hAnsi="Calibri"/>
                          <w:color w:val="FFFFFF"/>
                          <w:sz w:val="22"/>
                          <w:lang w:val="es-419"/>
                        </w:rPr>
                        <w:t>OEA/Ser.L/V/II.</w:t>
                      </w:r>
                    </w:p>
                    <w:p w:rsidR="00150837" w:rsidRPr="00F97B42" w:rsidRDefault="00F97B4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F97B42">
                        <w:rPr>
                          <w:rFonts w:ascii="Calibri" w:hAnsi="Calibri"/>
                          <w:color w:val="FFFFFF"/>
                          <w:sz w:val="22"/>
                          <w:lang w:val="es-419"/>
                        </w:rPr>
                        <w:t>Doc. 3</w:t>
                      </w:r>
                      <w:r>
                        <w:rPr>
                          <w:rFonts w:ascii="Calibri" w:hAnsi="Calibri"/>
                          <w:color w:val="FFFFFF"/>
                          <w:sz w:val="22"/>
                          <w:lang w:val="es-419"/>
                        </w:rPr>
                        <w:t>83</w:t>
                      </w:r>
                    </w:p>
                    <w:p w:rsidR="00150837" w:rsidRPr="00AF710D" w:rsidRDefault="00F97B4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14 diciembre 2020</w:t>
                      </w:r>
                    </w:p>
                    <w:p w:rsidR="00150837" w:rsidRPr="00AF710D" w:rsidRDefault="0015083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AF710D">
                        <w:rPr>
                          <w:rFonts w:ascii="Calibri" w:hAnsi="Calibri"/>
                          <w:color w:val="FFFFFF"/>
                          <w:sz w:val="22"/>
                          <w:lang w:val="es-ES"/>
                        </w:rPr>
                        <w:t>Original: español</w:t>
                      </w:r>
                    </w:p>
                  </w:txbxContent>
                </v:textbox>
              </v:shape>
            </w:pict>
          </mc:Fallback>
        </mc:AlternateContent>
      </w: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454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37" w:rsidRPr="00AF710D" w:rsidRDefault="00150837"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AF710D">
                              <w:rPr>
                                <w:rFonts w:ascii="Cambria" w:hAnsi="Cambria"/>
                                <w:color w:val="0D0D0D"/>
                                <w:sz w:val="18"/>
                                <w:szCs w:val="22"/>
                                <w:lang w:val="es-ES"/>
                              </w:rPr>
                              <w:t xml:space="preserve">Aprobado </w:t>
                            </w:r>
                            <w:proofErr w:type="spellStart"/>
                            <w:r w:rsidRPr="00AF710D">
                              <w:rPr>
                                <w:rFonts w:ascii="Cambria" w:hAnsi="Cambria"/>
                                <w:color w:val="0D0D0D"/>
                                <w:sz w:val="18"/>
                                <w:szCs w:val="22"/>
                                <w:lang w:val="es-ES"/>
                              </w:rPr>
                              <w:t>electr</w:t>
                            </w:r>
                            <w:r w:rsidRPr="00AF710D">
                              <w:rPr>
                                <w:rFonts w:ascii="Cambria" w:hAnsi="Cambria"/>
                                <w:color w:val="0D0D0D"/>
                                <w:sz w:val="18"/>
                                <w:szCs w:val="22"/>
                                <w:lang w:val="es-ES_tradnl"/>
                              </w:rPr>
                              <w:t>ónicamente</w:t>
                            </w:r>
                            <w:proofErr w:type="spellEnd"/>
                            <w:r w:rsidRPr="00AF710D">
                              <w:rPr>
                                <w:rFonts w:ascii="Cambria" w:hAnsi="Cambria"/>
                                <w:color w:val="0D0D0D"/>
                                <w:sz w:val="18"/>
                                <w:szCs w:val="22"/>
                                <w:lang w:val="es-ES"/>
                              </w:rPr>
                              <w:t xml:space="preserve"> por la Comisión el </w:t>
                            </w:r>
                            <w:r w:rsidR="00F97B42">
                              <w:rPr>
                                <w:rFonts w:ascii="Cambria" w:hAnsi="Cambria"/>
                                <w:color w:val="0D0D0D"/>
                                <w:sz w:val="18"/>
                                <w:szCs w:val="22"/>
                                <w:lang w:val="es-ES"/>
                              </w:rPr>
                              <w:t>14</w:t>
                            </w:r>
                            <w:r w:rsidRPr="00AF710D">
                              <w:rPr>
                                <w:rFonts w:ascii="Cambria" w:hAnsi="Cambria"/>
                                <w:color w:val="0D0D0D"/>
                                <w:sz w:val="18"/>
                                <w:szCs w:val="22"/>
                                <w:lang w:val="es-ES"/>
                              </w:rPr>
                              <w:t xml:space="preserve"> de </w:t>
                            </w:r>
                            <w:r w:rsidR="00F97B42">
                              <w:rPr>
                                <w:rFonts w:ascii="Cambria" w:hAnsi="Cambria"/>
                                <w:color w:val="0D0D0D"/>
                                <w:sz w:val="18"/>
                                <w:szCs w:val="22"/>
                                <w:lang w:val="es-ES"/>
                              </w:rPr>
                              <w:t>diciembre</w:t>
                            </w:r>
                            <w:r w:rsidRPr="00AF710D">
                              <w:rPr>
                                <w:rFonts w:ascii="Cambria" w:hAnsi="Cambria"/>
                                <w:color w:val="0D0D0D"/>
                                <w:sz w:val="18"/>
                                <w:szCs w:val="22"/>
                                <w:lang w:val="es-ES"/>
                              </w:rPr>
                              <w:t xml:space="preserve"> de 2020</w:t>
                            </w:r>
                            <w:r w:rsidR="004A7831">
                              <w:rPr>
                                <w:rFonts w:ascii="Cambria" w:hAnsi="Cambria"/>
                                <w:color w:val="0D0D0D"/>
                                <w:sz w:val="18"/>
                                <w:szCs w:val="22"/>
                                <w:lang w:val="es-ES"/>
                              </w:rPr>
                              <w:t>.</w:t>
                            </w:r>
                          </w:p>
                          <w:p w:rsidR="00150837" w:rsidRPr="00AF710D" w:rsidRDefault="00150837"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50837" w:rsidRPr="00AF710D" w:rsidRDefault="00150837"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150837" w:rsidRPr="00AF710D" w:rsidRDefault="00150837"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AF710D">
                        <w:rPr>
                          <w:rFonts w:ascii="Cambria" w:hAnsi="Cambria"/>
                          <w:color w:val="0D0D0D"/>
                          <w:sz w:val="18"/>
                          <w:szCs w:val="22"/>
                          <w:lang w:val="es-ES"/>
                        </w:rPr>
                        <w:t xml:space="preserve">Aprobado </w:t>
                      </w:r>
                      <w:proofErr w:type="spellStart"/>
                      <w:r w:rsidRPr="00AF710D">
                        <w:rPr>
                          <w:rFonts w:ascii="Cambria" w:hAnsi="Cambria"/>
                          <w:color w:val="0D0D0D"/>
                          <w:sz w:val="18"/>
                          <w:szCs w:val="22"/>
                          <w:lang w:val="es-ES"/>
                        </w:rPr>
                        <w:t>electr</w:t>
                      </w:r>
                      <w:r w:rsidRPr="00AF710D">
                        <w:rPr>
                          <w:rFonts w:ascii="Cambria" w:hAnsi="Cambria"/>
                          <w:color w:val="0D0D0D"/>
                          <w:sz w:val="18"/>
                          <w:szCs w:val="22"/>
                          <w:lang w:val="es-ES_tradnl"/>
                        </w:rPr>
                        <w:t>ónicamente</w:t>
                      </w:r>
                      <w:proofErr w:type="spellEnd"/>
                      <w:r w:rsidRPr="00AF710D">
                        <w:rPr>
                          <w:rFonts w:ascii="Cambria" w:hAnsi="Cambria"/>
                          <w:color w:val="0D0D0D"/>
                          <w:sz w:val="18"/>
                          <w:szCs w:val="22"/>
                          <w:lang w:val="es-ES"/>
                        </w:rPr>
                        <w:t xml:space="preserve"> por la Comisión el </w:t>
                      </w:r>
                      <w:r w:rsidR="00F97B42">
                        <w:rPr>
                          <w:rFonts w:ascii="Cambria" w:hAnsi="Cambria"/>
                          <w:color w:val="0D0D0D"/>
                          <w:sz w:val="18"/>
                          <w:szCs w:val="22"/>
                          <w:lang w:val="es-ES"/>
                        </w:rPr>
                        <w:t>14</w:t>
                      </w:r>
                      <w:r w:rsidRPr="00AF710D">
                        <w:rPr>
                          <w:rFonts w:ascii="Cambria" w:hAnsi="Cambria"/>
                          <w:color w:val="0D0D0D"/>
                          <w:sz w:val="18"/>
                          <w:szCs w:val="22"/>
                          <w:lang w:val="es-ES"/>
                        </w:rPr>
                        <w:t xml:space="preserve"> de </w:t>
                      </w:r>
                      <w:r w:rsidR="00F97B42">
                        <w:rPr>
                          <w:rFonts w:ascii="Cambria" w:hAnsi="Cambria"/>
                          <w:color w:val="0D0D0D"/>
                          <w:sz w:val="18"/>
                          <w:szCs w:val="22"/>
                          <w:lang w:val="es-ES"/>
                        </w:rPr>
                        <w:t>diciembre</w:t>
                      </w:r>
                      <w:r w:rsidRPr="00AF710D">
                        <w:rPr>
                          <w:rFonts w:ascii="Cambria" w:hAnsi="Cambria"/>
                          <w:color w:val="0D0D0D"/>
                          <w:sz w:val="18"/>
                          <w:szCs w:val="22"/>
                          <w:lang w:val="es-ES"/>
                        </w:rPr>
                        <w:t xml:space="preserve"> de 2020</w:t>
                      </w:r>
                      <w:r w:rsidR="004A7831">
                        <w:rPr>
                          <w:rFonts w:ascii="Cambria" w:hAnsi="Cambria"/>
                          <w:color w:val="0D0D0D"/>
                          <w:sz w:val="18"/>
                          <w:szCs w:val="22"/>
                          <w:lang w:val="es-ES"/>
                        </w:rPr>
                        <w:t>.</w:t>
                      </w:r>
                    </w:p>
                    <w:p w:rsidR="00150837" w:rsidRPr="00AF710D" w:rsidRDefault="00150837"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50837" w:rsidRPr="00AF710D" w:rsidRDefault="00150837"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454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37" w:rsidRPr="00AF710D" w:rsidRDefault="00150837"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F710D">
                              <w:rPr>
                                <w:rFonts w:ascii="Cambria" w:hAnsi="Cambria"/>
                                <w:b/>
                                <w:color w:val="595959"/>
                                <w:sz w:val="18"/>
                                <w:szCs w:val="18"/>
                                <w:lang w:val="pt-BR"/>
                              </w:rPr>
                              <w:t>Citar como:</w:t>
                            </w:r>
                            <w:r w:rsidRPr="00AF710D">
                              <w:rPr>
                                <w:rFonts w:ascii="Cambria" w:hAnsi="Cambria"/>
                                <w:color w:val="595959"/>
                                <w:sz w:val="18"/>
                                <w:szCs w:val="18"/>
                                <w:lang w:val="pt-BR"/>
                              </w:rPr>
                              <w:t xml:space="preserve"> CIDH, Informe No.</w:t>
                            </w:r>
                            <w:r w:rsidR="005766AD">
                              <w:rPr>
                                <w:rFonts w:ascii="Cambria" w:hAnsi="Cambria"/>
                                <w:color w:val="595959"/>
                                <w:sz w:val="18"/>
                                <w:szCs w:val="18"/>
                                <w:lang w:val="pt-BR"/>
                              </w:rPr>
                              <w:t xml:space="preserve"> </w:t>
                            </w:r>
                            <w:r w:rsidR="00F97B42">
                              <w:rPr>
                                <w:rFonts w:ascii="Cambria" w:hAnsi="Cambria"/>
                                <w:color w:val="595959"/>
                                <w:sz w:val="18"/>
                                <w:szCs w:val="18"/>
                                <w:lang w:val="pt-BR"/>
                              </w:rPr>
                              <w:t>365</w:t>
                            </w:r>
                            <w:r w:rsidRPr="00AF710D">
                              <w:rPr>
                                <w:rFonts w:ascii="Cambria" w:hAnsi="Cambria"/>
                                <w:color w:val="595959"/>
                                <w:sz w:val="18"/>
                                <w:szCs w:val="18"/>
                                <w:lang w:val="pt-BR"/>
                              </w:rPr>
                              <w:t>/20.</w:t>
                            </w:r>
                            <w:r w:rsidR="004A7831">
                              <w:rPr>
                                <w:rFonts w:ascii="Cambria" w:hAnsi="Cambria"/>
                                <w:color w:val="595959"/>
                                <w:sz w:val="18"/>
                                <w:szCs w:val="18"/>
                                <w:lang w:val="pt-BR"/>
                              </w:rPr>
                              <w:t xml:space="preserve"> Petición 389-11.</w:t>
                            </w:r>
                            <w:r w:rsidRPr="00AF710D">
                              <w:rPr>
                                <w:rFonts w:ascii="Cambria" w:hAnsi="Cambria"/>
                                <w:color w:val="595959"/>
                                <w:sz w:val="18"/>
                                <w:szCs w:val="18"/>
                                <w:lang w:val="pt-BR"/>
                              </w:rPr>
                              <w:t xml:space="preserve"> </w:t>
                            </w:r>
                            <w:r w:rsidR="00214B5D" w:rsidRPr="00590FBB">
                              <w:rPr>
                                <w:rFonts w:ascii="Cambria" w:hAnsi="Cambria"/>
                                <w:color w:val="595959"/>
                                <w:sz w:val="18"/>
                                <w:szCs w:val="18"/>
                                <w:lang w:val="es-US"/>
                              </w:rPr>
                              <w:t>Inadmisibilidad</w:t>
                            </w:r>
                            <w:r w:rsidRPr="00590FBB">
                              <w:rPr>
                                <w:rFonts w:ascii="Cambria" w:hAnsi="Cambria"/>
                                <w:color w:val="595959"/>
                                <w:sz w:val="18"/>
                                <w:szCs w:val="18"/>
                                <w:lang w:val="es-ES_tradnl"/>
                              </w:rPr>
                              <w:t>d</w:t>
                            </w:r>
                            <w:r w:rsidRPr="00AF710D">
                              <w:rPr>
                                <w:rFonts w:ascii="Cambria" w:hAnsi="Cambria"/>
                                <w:color w:val="595959"/>
                                <w:sz w:val="18"/>
                                <w:szCs w:val="18"/>
                                <w:lang w:val="es-ES_tradnl"/>
                              </w:rPr>
                              <w:t xml:space="preserve">. Luis Bernardo Días Gamboa. Colombia. </w:t>
                            </w:r>
                            <w:r w:rsidR="00F97B42">
                              <w:rPr>
                                <w:rFonts w:ascii="Cambria" w:hAnsi="Cambria"/>
                                <w:color w:val="595959"/>
                                <w:sz w:val="18"/>
                                <w:szCs w:val="18"/>
                                <w:lang w:val="es-ES"/>
                              </w:rPr>
                              <w:t>14 de diciembre de 2020</w:t>
                            </w:r>
                            <w:r w:rsidRPr="00AF710D">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50837" w:rsidRPr="00AF710D" w:rsidRDefault="00150837"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F710D">
                        <w:rPr>
                          <w:rFonts w:ascii="Cambria" w:hAnsi="Cambria"/>
                          <w:b/>
                          <w:color w:val="595959"/>
                          <w:sz w:val="18"/>
                          <w:szCs w:val="18"/>
                          <w:lang w:val="pt-BR"/>
                        </w:rPr>
                        <w:t>Citar como:</w:t>
                      </w:r>
                      <w:r w:rsidRPr="00AF710D">
                        <w:rPr>
                          <w:rFonts w:ascii="Cambria" w:hAnsi="Cambria"/>
                          <w:color w:val="595959"/>
                          <w:sz w:val="18"/>
                          <w:szCs w:val="18"/>
                          <w:lang w:val="pt-BR"/>
                        </w:rPr>
                        <w:t xml:space="preserve"> CIDH, Informe No.</w:t>
                      </w:r>
                      <w:r w:rsidR="005766AD">
                        <w:rPr>
                          <w:rFonts w:ascii="Cambria" w:hAnsi="Cambria"/>
                          <w:color w:val="595959"/>
                          <w:sz w:val="18"/>
                          <w:szCs w:val="18"/>
                          <w:lang w:val="pt-BR"/>
                        </w:rPr>
                        <w:t xml:space="preserve"> </w:t>
                      </w:r>
                      <w:r w:rsidR="00F97B42">
                        <w:rPr>
                          <w:rFonts w:ascii="Cambria" w:hAnsi="Cambria"/>
                          <w:color w:val="595959"/>
                          <w:sz w:val="18"/>
                          <w:szCs w:val="18"/>
                          <w:lang w:val="pt-BR"/>
                        </w:rPr>
                        <w:t>365</w:t>
                      </w:r>
                      <w:r w:rsidRPr="00AF710D">
                        <w:rPr>
                          <w:rFonts w:ascii="Cambria" w:hAnsi="Cambria"/>
                          <w:color w:val="595959"/>
                          <w:sz w:val="18"/>
                          <w:szCs w:val="18"/>
                          <w:lang w:val="pt-BR"/>
                        </w:rPr>
                        <w:t>/20.</w:t>
                      </w:r>
                      <w:r w:rsidR="004A7831">
                        <w:rPr>
                          <w:rFonts w:ascii="Cambria" w:hAnsi="Cambria"/>
                          <w:color w:val="595959"/>
                          <w:sz w:val="18"/>
                          <w:szCs w:val="18"/>
                          <w:lang w:val="pt-BR"/>
                        </w:rPr>
                        <w:t xml:space="preserve"> Petición 389-11.</w:t>
                      </w:r>
                      <w:r w:rsidRPr="00AF710D">
                        <w:rPr>
                          <w:rFonts w:ascii="Cambria" w:hAnsi="Cambria"/>
                          <w:color w:val="595959"/>
                          <w:sz w:val="18"/>
                          <w:szCs w:val="18"/>
                          <w:lang w:val="pt-BR"/>
                        </w:rPr>
                        <w:t xml:space="preserve"> </w:t>
                      </w:r>
                      <w:r w:rsidR="00214B5D" w:rsidRPr="00590FBB">
                        <w:rPr>
                          <w:rFonts w:ascii="Cambria" w:hAnsi="Cambria"/>
                          <w:color w:val="595959"/>
                          <w:sz w:val="18"/>
                          <w:szCs w:val="18"/>
                          <w:lang w:val="es-US"/>
                        </w:rPr>
                        <w:t>Inadmisibilidad</w:t>
                      </w:r>
                      <w:r w:rsidRPr="00590FBB">
                        <w:rPr>
                          <w:rFonts w:ascii="Cambria" w:hAnsi="Cambria"/>
                          <w:color w:val="595959"/>
                          <w:sz w:val="18"/>
                          <w:szCs w:val="18"/>
                          <w:lang w:val="es-ES_tradnl"/>
                        </w:rPr>
                        <w:t>d</w:t>
                      </w:r>
                      <w:r w:rsidRPr="00AF710D">
                        <w:rPr>
                          <w:rFonts w:ascii="Cambria" w:hAnsi="Cambria"/>
                          <w:color w:val="595959"/>
                          <w:sz w:val="18"/>
                          <w:szCs w:val="18"/>
                          <w:lang w:val="es-ES_tradnl"/>
                        </w:rPr>
                        <w:t xml:space="preserve">. Luis Bernardo Días Gamboa. Colombia. </w:t>
                      </w:r>
                      <w:r w:rsidR="00F97B42">
                        <w:rPr>
                          <w:rFonts w:ascii="Cambria" w:hAnsi="Cambria"/>
                          <w:color w:val="595959"/>
                          <w:sz w:val="18"/>
                          <w:szCs w:val="18"/>
                          <w:lang w:val="es-ES"/>
                        </w:rPr>
                        <w:t>14 de diciembre de 2020</w:t>
                      </w:r>
                      <w:r w:rsidRPr="00AF710D">
                        <w:rPr>
                          <w:rFonts w:ascii="Cambria" w:hAnsi="Cambria"/>
                          <w:color w:val="595959"/>
                          <w:sz w:val="18"/>
                          <w:szCs w:val="18"/>
                          <w:lang w:val="es-ES"/>
                        </w:rPr>
                        <w:t>.</w:t>
                      </w:r>
                    </w:p>
                  </w:txbxContent>
                </v:textbox>
              </v:shape>
            </w:pict>
          </mc:Fallback>
        </mc:AlternateContent>
      </w:r>
    </w:p>
    <w:p w:rsidR="00150837" w:rsidRPr="00006B74" w:rsidRDefault="001508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150837" w:rsidRPr="00006B74" w:rsidRDefault="00154548"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50837" w:rsidRPr="00AF710D" w:rsidRDefault="00154548"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763485" cy="46081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150837" w:rsidRPr="00AF710D" w:rsidRDefault="00154548"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763485" cy="46081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bookmarkStart w:id="3" w:name="_GoBack"/>
                      <w:bookmarkEnd w:id="3"/>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837" w:rsidRPr="00AF710D" w:rsidRDefault="00150837"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F710D">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150837" w:rsidRPr="00AF710D" w:rsidRDefault="00150837"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F710D">
                        <w:rPr>
                          <w:rFonts w:ascii="Calibri" w:hAnsi="Calibri"/>
                          <w:b/>
                          <w:color w:val="FFFFFF"/>
                          <w:lang w:val="pt-BR"/>
                        </w:rPr>
                        <w:t>www.cidh.org</w:t>
                      </w:r>
                    </w:p>
                  </w:txbxContent>
                </v:textbox>
              </v:shape>
            </w:pict>
          </mc:Fallback>
        </mc:AlternateContent>
      </w:r>
    </w:p>
    <w:p w:rsidR="00150837" w:rsidRPr="00006B74" w:rsidRDefault="00150837"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150837"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rtlGutter/>
          <w:docGrid w:linePitch="326"/>
        </w:sectPr>
      </w:pPr>
      <w:r w:rsidRPr="00006B74">
        <w:rPr>
          <w:rFonts w:ascii="Cambria" w:hAnsi="Cambria"/>
          <w:b/>
          <w:sz w:val="20"/>
          <w:lang w:val="es-ES"/>
        </w:rPr>
        <w:tab/>
      </w:r>
    </w:p>
    <w:p w:rsidR="00150837" w:rsidRPr="00006B74" w:rsidRDefault="00150837"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150837" w:rsidRPr="004E5467" w:rsidTr="00AF710D">
        <w:tc>
          <w:tcPr>
            <w:tcW w:w="2790" w:type="dxa"/>
            <w:tcBorders>
              <w:top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Parte peticionaria</w:t>
            </w:r>
          </w:p>
        </w:tc>
        <w:tc>
          <w:tcPr>
            <w:tcW w:w="6570" w:type="dxa"/>
            <w:tcBorders>
              <w:top w:val="single" w:sz="4" w:space="0" w:color="auto"/>
            </w:tcBorders>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Luis Bernardo Díaz Gamboa</w:t>
            </w:r>
          </w:p>
        </w:tc>
      </w:tr>
      <w:tr w:rsidR="00150837" w:rsidRPr="004E5467" w:rsidTr="00AF710D">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Presunta víctima</w:t>
            </w:r>
          </w:p>
        </w:tc>
        <w:tc>
          <w:tcPr>
            <w:tcW w:w="6570" w:type="dxa"/>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AF710D">
              <w:rPr>
                <w:rFonts w:ascii="Cambria" w:hAnsi="Cambria"/>
                <w:bCs/>
                <w:sz w:val="19"/>
                <w:szCs w:val="19"/>
                <w:lang w:val="es-ES"/>
              </w:rPr>
              <w:t xml:space="preserve">Luis Bernardo Díaz Gamboa </w:t>
            </w:r>
          </w:p>
        </w:tc>
      </w:tr>
      <w:tr w:rsidR="00150837" w:rsidRPr="00006B74" w:rsidTr="00AF710D">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Estado denunciado</w:t>
            </w:r>
          </w:p>
        </w:tc>
        <w:tc>
          <w:tcPr>
            <w:tcW w:w="6570" w:type="dxa"/>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Colombia</w:t>
            </w:r>
          </w:p>
        </w:tc>
      </w:tr>
      <w:tr w:rsidR="00150837" w:rsidRPr="00810982" w:rsidTr="00AF710D">
        <w:tc>
          <w:tcPr>
            <w:tcW w:w="2790" w:type="dxa"/>
            <w:tcBorders>
              <w:bottom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sz w:val="19"/>
                <w:szCs w:val="19"/>
                <w:lang w:val="es-ES"/>
              </w:rPr>
            </w:pPr>
            <w:r w:rsidRPr="005766AD">
              <w:rPr>
                <w:rFonts w:ascii="Cambria" w:hAnsi="Cambria"/>
                <w:bCs/>
                <w:color w:val="FFFFFF" w:themeColor="background1"/>
                <w:sz w:val="19"/>
                <w:szCs w:val="19"/>
                <w:lang w:val="es-ES"/>
              </w:rPr>
              <w:t>Derechos invocados</w:t>
            </w:r>
          </w:p>
        </w:tc>
        <w:tc>
          <w:tcPr>
            <w:tcW w:w="6570" w:type="dxa"/>
            <w:tcBorders>
              <w:bottom w:val="single" w:sz="4" w:space="0" w:color="auto"/>
            </w:tcBorders>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PA"/>
              </w:rPr>
            </w:pPr>
            <w:r w:rsidRPr="00AF710D">
              <w:rPr>
                <w:rFonts w:ascii="Cambria" w:hAnsi="Cambria"/>
                <w:bCs/>
                <w:sz w:val="19"/>
                <w:szCs w:val="19"/>
                <w:lang w:val="es-ES"/>
              </w:rPr>
              <w:t>Art</w:t>
            </w:r>
            <w:proofErr w:type="spellStart"/>
            <w:r w:rsidRPr="00AF710D">
              <w:rPr>
                <w:rFonts w:ascii="Cambria" w:hAnsi="Cambria"/>
                <w:bCs/>
                <w:sz w:val="19"/>
                <w:szCs w:val="19"/>
                <w:lang w:val="es-PA"/>
              </w:rPr>
              <w:t>ículos</w:t>
            </w:r>
            <w:proofErr w:type="spellEnd"/>
            <w:r w:rsidRPr="00AF710D">
              <w:rPr>
                <w:rFonts w:ascii="Cambria" w:hAnsi="Cambria"/>
                <w:bCs/>
                <w:sz w:val="19"/>
                <w:szCs w:val="19"/>
                <w:lang w:val="es-PA"/>
              </w:rPr>
              <w:t xml:space="preserve"> 8 (garantías judiciales), 13 (libertad de expresión), 16 (libertad de asociación), 21 (propiedad privada), 25 (protección judicial) y 26 (derechos económicos sociales y culturales) de la Convención Americana Sobre Derechos Humanos</w:t>
            </w:r>
            <w:r w:rsidRPr="00AF710D">
              <w:rPr>
                <w:rStyle w:val="FootnoteReference"/>
                <w:rFonts w:ascii="Cambria" w:hAnsi="Cambria"/>
                <w:bCs/>
                <w:sz w:val="19"/>
                <w:szCs w:val="19"/>
                <w:lang w:val="es-PA"/>
              </w:rPr>
              <w:footnoteReference w:id="2"/>
            </w:r>
            <w:r w:rsidRPr="00AF710D">
              <w:rPr>
                <w:rFonts w:ascii="Cambria" w:hAnsi="Cambria"/>
                <w:bCs/>
                <w:sz w:val="19"/>
                <w:szCs w:val="19"/>
                <w:lang w:val="es-PA"/>
              </w:rPr>
              <w:t xml:space="preserve"> en relación con su artículo 1 (obligación de respetar los derechos); Artículos XIV (trabajo y justa retribución), XVIII (justicia) y XXVI (proceso regular) de la Declaración Americana de Derechos y Deberes del Hombre</w:t>
            </w:r>
            <w:r w:rsidRPr="00AF710D">
              <w:rPr>
                <w:rStyle w:val="FootnoteReference"/>
                <w:rFonts w:ascii="Cambria" w:hAnsi="Cambria"/>
                <w:bCs/>
                <w:sz w:val="19"/>
                <w:szCs w:val="19"/>
                <w:lang w:val="es-PA"/>
              </w:rPr>
              <w:footnoteReference w:id="3"/>
            </w:r>
            <w:r w:rsidRPr="00AF710D">
              <w:rPr>
                <w:rFonts w:ascii="Cambria" w:hAnsi="Cambria"/>
                <w:bCs/>
                <w:sz w:val="19"/>
                <w:szCs w:val="19"/>
                <w:lang w:val="es-PA"/>
              </w:rPr>
              <w:t>; Artículos 3 (no discriminación), 6 (trabajo), 7 (condiciones justas equitativas y satisfactorias de trabajo), 9 (seguridad social), 10 (salud), 12 (alimentación), 15 (constitución y protección de la familia) del Protocolo Adicional a la Convención Americana Sobre Derechos Humanos en Materia de Derechos Económicos, Sociales y Culturales “Protocolo de San Salvador”</w:t>
            </w:r>
            <w:r w:rsidRPr="00AF710D">
              <w:rPr>
                <w:rStyle w:val="FootnoteReference"/>
                <w:rFonts w:ascii="Cambria" w:hAnsi="Cambria"/>
                <w:bCs/>
                <w:sz w:val="19"/>
                <w:szCs w:val="19"/>
                <w:lang w:val="es-PA"/>
              </w:rPr>
              <w:footnoteReference w:id="4"/>
            </w:r>
            <w:r w:rsidRPr="00AF710D">
              <w:rPr>
                <w:rFonts w:ascii="Cambria" w:hAnsi="Cambria"/>
                <w:bCs/>
                <w:sz w:val="19"/>
                <w:szCs w:val="19"/>
                <w:lang w:val="es-PA"/>
              </w:rPr>
              <w:t>; y otros instrumentos internacionales</w:t>
            </w:r>
            <w:r w:rsidRPr="00AF710D">
              <w:rPr>
                <w:rStyle w:val="FootnoteReference"/>
                <w:rFonts w:ascii="Cambria" w:hAnsi="Cambria"/>
                <w:bCs/>
                <w:sz w:val="19"/>
                <w:szCs w:val="19"/>
                <w:lang w:val="es-PA"/>
              </w:rPr>
              <w:footnoteReference w:id="5"/>
            </w:r>
            <w:r w:rsidRPr="00AF710D">
              <w:rPr>
                <w:rFonts w:ascii="Cambria" w:hAnsi="Cambria"/>
                <w:bCs/>
                <w:sz w:val="19"/>
                <w:szCs w:val="19"/>
                <w:lang w:val="es-PA"/>
              </w:rPr>
              <w:t>.</w:t>
            </w:r>
          </w:p>
        </w:tc>
      </w:tr>
    </w:tbl>
    <w:p w:rsidR="00150837" w:rsidRPr="00D24AD4" w:rsidRDefault="00150837"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D24AD4">
        <w:rPr>
          <w:rFonts w:ascii="Cambria" w:hAnsi="Cambria"/>
          <w:b/>
          <w:bCs/>
          <w:sz w:val="20"/>
          <w:szCs w:val="20"/>
          <w:lang w:val="es-ES"/>
        </w:rPr>
        <w:t>II.</w:t>
      </w:r>
      <w:r w:rsidRPr="00D24AD4">
        <w:rPr>
          <w:rFonts w:ascii="Cambria" w:hAnsi="Cambria"/>
          <w:b/>
          <w:bCs/>
          <w:sz w:val="20"/>
          <w:szCs w:val="20"/>
          <w:lang w:val="es-ES"/>
        </w:rPr>
        <w:tab/>
        <w:t>TRÁMITE ANTE LA CIDH</w:t>
      </w:r>
      <w:r w:rsidRPr="00D24AD4">
        <w:rPr>
          <w:rStyle w:val="FootnoteReference"/>
          <w:rFonts w:ascii="Cambria" w:hAnsi="Cambria"/>
          <w:b/>
          <w:sz w:val="20"/>
          <w:szCs w:val="20"/>
          <w:lang w:val="es-ES"/>
        </w:rPr>
        <w:footnoteReference w:id="6"/>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150837" w:rsidRPr="00161278" w:rsidTr="00AF710D">
        <w:tc>
          <w:tcPr>
            <w:tcW w:w="2790" w:type="dxa"/>
            <w:tcBorders>
              <w:top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Recepción de la petición</w:t>
            </w:r>
          </w:p>
        </w:tc>
        <w:tc>
          <w:tcPr>
            <w:tcW w:w="6570" w:type="dxa"/>
            <w:tcBorders>
              <w:top w:val="single" w:sz="4" w:space="0" w:color="auto"/>
            </w:tcBorders>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18 de febrero de 2011</w:t>
            </w:r>
          </w:p>
        </w:tc>
      </w:tr>
      <w:tr w:rsidR="00150837" w:rsidRPr="00006B74" w:rsidTr="00AF710D">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color w:val="FFFFFF"/>
                <w:sz w:val="19"/>
                <w:szCs w:val="19"/>
                <w:lang w:val="es-ES"/>
              </w:rPr>
              <w:t>Notificación de la petición</w:t>
            </w:r>
          </w:p>
        </w:tc>
        <w:tc>
          <w:tcPr>
            <w:tcW w:w="6570" w:type="dxa"/>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12 de abril de 2017</w:t>
            </w:r>
          </w:p>
        </w:tc>
      </w:tr>
      <w:tr w:rsidR="00150837" w:rsidRPr="00006B74" w:rsidTr="00AF710D">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color w:val="FFFFFF"/>
                <w:sz w:val="19"/>
                <w:szCs w:val="19"/>
                <w:lang w:val="es-ES"/>
              </w:rPr>
              <w:t>Primera respuesta del Estado</w:t>
            </w:r>
          </w:p>
        </w:tc>
        <w:tc>
          <w:tcPr>
            <w:tcW w:w="6570" w:type="dxa"/>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9 de febrero de 2018</w:t>
            </w:r>
          </w:p>
        </w:tc>
      </w:tr>
      <w:tr w:rsidR="00150837" w:rsidRPr="004E5467" w:rsidTr="00AF710D">
        <w:tc>
          <w:tcPr>
            <w:tcW w:w="2790" w:type="dxa"/>
            <w:tcBorders>
              <w:bottom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Observaciones adicionales de la parte peticionaria</w:t>
            </w:r>
          </w:p>
        </w:tc>
        <w:tc>
          <w:tcPr>
            <w:tcW w:w="6570" w:type="dxa"/>
            <w:tcBorders>
              <w:bottom w:val="single" w:sz="4" w:space="0" w:color="auto"/>
            </w:tcBorders>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17 de septiembre de 2018</w:t>
            </w:r>
          </w:p>
        </w:tc>
      </w:tr>
    </w:tbl>
    <w:p w:rsidR="00150837" w:rsidRPr="00006B74" w:rsidRDefault="00150837"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59"/>
        <w:gridCol w:w="6483"/>
      </w:tblGrid>
      <w:tr w:rsidR="00150837" w:rsidRPr="00006B74" w:rsidTr="00AF710D">
        <w:trPr>
          <w:cantSplit/>
        </w:trPr>
        <w:tc>
          <w:tcPr>
            <w:tcW w:w="2790" w:type="dxa"/>
            <w:tcBorders>
              <w:top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proofErr w:type="spellStart"/>
            <w:r w:rsidRPr="00AF710D">
              <w:rPr>
                <w:rFonts w:ascii="Cambria" w:hAnsi="Cambria"/>
                <w:bCs/>
                <w:i/>
                <w:color w:val="FFFFFF"/>
                <w:sz w:val="19"/>
                <w:szCs w:val="19"/>
                <w:lang w:val="es-ES"/>
              </w:rPr>
              <w:t>Ratione</w:t>
            </w:r>
            <w:proofErr w:type="spellEnd"/>
            <w:r w:rsidRPr="00AF710D">
              <w:rPr>
                <w:rFonts w:ascii="Cambria" w:hAnsi="Cambria"/>
                <w:bCs/>
                <w:i/>
                <w:color w:val="FFFFFF"/>
                <w:sz w:val="19"/>
                <w:szCs w:val="19"/>
                <w:lang w:val="es-ES"/>
              </w:rPr>
              <w:t xml:space="preserve"> </w:t>
            </w:r>
            <w:proofErr w:type="spellStart"/>
            <w:r w:rsidRPr="00AF710D">
              <w:rPr>
                <w:rFonts w:ascii="Cambria" w:hAnsi="Cambria"/>
                <w:bCs/>
                <w:i/>
                <w:color w:val="FFFFFF"/>
                <w:sz w:val="19"/>
                <w:szCs w:val="19"/>
                <w:lang w:val="es-ES"/>
              </w:rPr>
              <w:t>personae</w:t>
            </w:r>
            <w:proofErr w:type="spellEnd"/>
          </w:p>
        </w:tc>
        <w:tc>
          <w:tcPr>
            <w:tcW w:w="6570" w:type="dxa"/>
            <w:tcBorders>
              <w:top w:val="single" w:sz="4" w:space="0" w:color="auto"/>
            </w:tcBorders>
            <w:vAlign w:val="center"/>
          </w:tcPr>
          <w:p w:rsidR="00150837" w:rsidRPr="00AF710D" w:rsidRDefault="00150837" w:rsidP="00D43661">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F710D">
              <w:rPr>
                <w:rFonts w:ascii="Cambria" w:hAnsi="Cambria"/>
                <w:bCs/>
                <w:sz w:val="19"/>
                <w:szCs w:val="19"/>
                <w:lang w:val="es-ES"/>
              </w:rPr>
              <w:t>Sí</w:t>
            </w:r>
          </w:p>
        </w:tc>
      </w:tr>
      <w:tr w:rsidR="00150837" w:rsidRPr="00006B74" w:rsidTr="00AF710D">
        <w:trPr>
          <w:cantSplit/>
        </w:trPr>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AF710D">
              <w:rPr>
                <w:rFonts w:ascii="Cambria" w:hAnsi="Cambria"/>
                <w:bCs/>
                <w:i/>
                <w:color w:val="FFFFFF"/>
                <w:sz w:val="19"/>
                <w:szCs w:val="19"/>
                <w:lang w:val="es-ES"/>
              </w:rPr>
              <w:t>Ratione</w:t>
            </w:r>
            <w:proofErr w:type="spellEnd"/>
            <w:r w:rsidRPr="00AF710D">
              <w:rPr>
                <w:rFonts w:ascii="Cambria" w:hAnsi="Cambria"/>
                <w:bCs/>
                <w:i/>
                <w:color w:val="FFFFFF"/>
                <w:sz w:val="19"/>
                <w:szCs w:val="19"/>
                <w:lang w:val="es-ES"/>
              </w:rPr>
              <w:t xml:space="preserve"> </w:t>
            </w:r>
            <w:proofErr w:type="spellStart"/>
            <w:r w:rsidRPr="00AF710D">
              <w:rPr>
                <w:rFonts w:ascii="Cambria" w:hAnsi="Cambria"/>
                <w:bCs/>
                <w:i/>
                <w:color w:val="FFFFFF"/>
                <w:sz w:val="19"/>
                <w:szCs w:val="19"/>
                <w:lang w:val="es-ES"/>
              </w:rPr>
              <w:t>loci</w:t>
            </w:r>
            <w:proofErr w:type="spellEnd"/>
          </w:p>
        </w:tc>
        <w:tc>
          <w:tcPr>
            <w:tcW w:w="6570" w:type="dxa"/>
            <w:vAlign w:val="center"/>
          </w:tcPr>
          <w:p w:rsidR="00150837" w:rsidRPr="00AF710D" w:rsidRDefault="00150837" w:rsidP="00D43661">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F710D">
              <w:rPr>
                <w:rFonts w:ascii="Cambria" w:hAnsi="Cambria"/>
                <w:bCs/>
                <w:sz w:val="19"/>
                <w:szCs w:val="19"/>
                <w:lang w:val="es-ES"/>
              </w:rPr>
              <w:t>Sí</w:t>
            </w:r>
          </w:p>
        </w:tc>
      </w:tr>
      <w:tr w:rsidR="00150837" w:rsidRPr="00006B74" w:rsidTr="00AF710D">
        <w:trPr>
          <w:cantSplit/>
        </w:trPr>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AF710D">
              <w:rPr>
                <w:rFonts w:ascii="Cambria" w:hAnsi="Cambria"/>
                <w:bCs/>
                <w:i/>
                <w:color w:val="FFFFFF"/>
                <w:sz w:val="19"/>
                <w:szCs w:val="19"/>
                <w:lang w:val="es-ES"/>
              </w:rPr>
              <w:t>Ratione</w:t>
            </w:r>
            <w:proofErr w:type="spellEnd"/>
            <w:r w:rsidRPr="00AF710D">
              <w:rPr>
                <w:rFonts w:ascii="Cambria" w:hAnsi="Cambria"/>
                <w:bCs/>
                <w:i/>
                <w:color w:val="FFFFFF"/>
                <w:sz w:val="19"/>
                <w:szCs w:val="19"/>
                <w:lang w:val="es-ES"/>
              </w:rPr>
              <w:t xml:space="preserve"> </w:t>
            </w:r>
            <w:proofErr w:type="spellStart"/>
            <w:r w:rsidRPr="00AF710D">
              <w:rPr>
                <w:rFonts w:ascii="Cambria" w:hAnsi="Cambria"/>
                <w:bCs/>
                <w:i/>
                <w:color w:val="FFFFFF"/>
                <w:sz w:val="19"/>
                <w:szCs w:val="19"/>
                <w:lang w:val="es-ES"/>
              </w:rPr>
              <w:t>temporis</w:t>
            </w:r>
            <w:proofErr w:type="spellEnd"/>
          </w:p>
        </w:tc>
        <w:tc>
          <w:tcPr>
            <w:tcW w:w="6570" w:type="dxa"/>
            <w:vAlign w:val="center"/>
          </w:tcPr>
          <w:p w:rsidR="00150837" w:rsidRPr="00AF710D" w:rsidRDefault="00150837" w:rsidP="00D43661">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F710D">
              <w:rPr>
                <w:rFonts w:ascii="Cambria" w:hAnsi="Cambria"/>
                <w:bCs/>
                <w:sz w:val="19"/>
                <w:szCs w:val="19"/>
                <w:lang w:val="es-ES"/>
              </w:rPr>
              <w:t>Sí</w:t>
            </w:r>
          </w:p>
        </w:tc>
      </w:tr>
      <w:tr w:rsidR="00150837" w:rsidRPr="00006B74" w:rsidTr="00AF710D">
        <w:trPr>
          <w:cantSplit/>
        </w:trPr>
        <w:tc>
          <w:tcPr>
            <w:tcW w:w="2790" w:type="dxa"/>
            <w:tcBorders>
              <w:bottom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AF710D">
              <w:rPr>
                <w:rFonts w:ascii="Cambria" w:hAnsi="Cambria"/>
                <w:bCs/>
                <w:i/>
                <w:color w:val="FFFFFF"/>
                <w:sz w:val="19"/>
                <w:szCs w:val="19"/>
                <w:lang w:val="es-ES"/>
              </w:rPr>
              <w:t>Ratione</w:t>
            </w:r>
            <w:proofErr w:type="spellEnd"/>
            <w:r w:rsidRPr="00AF710D">
              <w:rPr>
                <w:rFonts w:ascii="Cambria" w:hAnsi="Cambria"/>
                <w:bCs/>
                <w:i/>
                <w:color w:val="FFFFFF"/>
                <w:sz w:val="19"/>
                <w:szCs w:val="19"/>
                <w:lang w:val="es-ES"/>
              </w:rPr>
              <w:t xml:space="preserve"> </w:t>
            </w:r>
            <w:proofErr w:type="spellStart"/>
            <w:r w:rsidRPr="00AF710D">
              <w:rPr>
                <w:rFonts w:ascii="Cambria" w:hAnsi="Cambria"/>
                <w:bCs/>
                <w:i/>
                <w:color w:val="FFFFFF"/>
                <w:sz w:val="19"/>
                <w:szCs w:val="19"/>
                <w:lang w:val="es-ES"/>
              </w:rPr>
              <w:t>materiae</w:t>
            </w:r>
            <w:proofErr w:type="spellEnd"/>
          </w:p>
        </w:tc>
        <w:tc>
          <w:tcPr>
            <w:tcW w:w="6570" w:type="dxa"/>
            <w:tcBorders>
              <w:bottom w:val="single" w:sz="4" w:space="0" w:color="auto"/>
            </w:tcBorders>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710D">
              <w:rPr>
                <w:rFonts w:ascii="Cambria" w:hAnsi="Cambria"/>
                <w:bCs/>
                <w:sz w:val="20"/>
                <w:szCs w:val="20"/>
                <w:lang w:val="es-ES"/>
              </w:rPr>
              <w:t>Sí, Convención Americana (depósito del instrumento realizado el</w:t>
            </w:r>
          </w:p>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20"/>
                <w:szCs w:val="20"/>
                <w:lang w:val="es-ES"/>
              </w:rPr>
              <w:t>31 de julio de 1973)</w:t>
            </w:r>
          </w:p>
        </w:tc>
      </w:tr>
    </w:tbl>
    <w:p w:rsidR="00150837" w:rsidRPr="00006B74" w:rsidRDefault="00150837"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Pr>
          <w:rFonts w:ascii="Cambria" w:hAnsi="Cambria"/>
          <w:b/>
          <w:bCs/>
          <w:sz w:val="20"/>
          <w:szCs w:val="20"/>
          <w:lang w:val="es-ES"/>
        </w:rPr>
        <w:t>INTERNACIONAL</w:t>
      </w:r>
      <w:r w:rsidRPr="00006B74">
        <w:rPr>
          <w:rFonts w:ascii="Cambria" w:hAnsi="Cambria"/>
          <w:b/>
          <w:bCs/>
          <w:sz w:val="20"/>
          <w:szCs w:val="20"/>
          <w:lang w:val="es-ES"/>
        </w:rPr>
        <w:t xml:space="preserve">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5"/>
        <w:gridCol w:w="6477"/>
      </w:tblGrid>
      <w:tr w:rsidR="00150837" w:rsidRPr="003207C9" w:rsidTr="00AF710D">
        <w:trPr>
          <w:cantSplit/>
        </w:trPr>
        <w:tc>
          <w:tcPr>
            <w:tcW w:w="2790" w:type="dxa"/>
            <w:tcBorders>
              <w:top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F710D">
              <w:rPr>
                <w:rFonts w:ascii="Cambria" w:hAnsi="Cambria"/>
                <w:bCs/>
                <w:sz w:val="19"/>
                <w:szCs w:val="19"/>
                <w:lang w:val="es-ES"/>
              </w:rPr>
              <w:t>No</w:t>
            </w:r>
          </w:p>
        </w:tc>
      </w:tr>
      <w:tr w:rsidR="00150837" w:rsidRPr="00214B5D" w:rsidTr="00AF710D">
        <w:trPr>
          <w:cantSplit/>
        </w:trPr>
        <w:tc>
          <w:tcPr>
            <w:tcW w:w="2790" w:type="dxa"/>
            <w:tcBorders>
              <w:top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AF710D">
              <w:rPr>
                <w:rFonts w:ascii="Cambria" w:hAnsi="Cambria"/>
                <w:bCs/>
                <w:color w:val="FFFFFF"/>
                <w:sz w:val="19"/>
                <w:szCs w:val="19"/>
                <w:lang w:val="es-ES"/>
              </w:rPr>
              <w:t>Derechos admitidos</w:t>
            </w:r>
          </w:p>
        </w:tc>
        <w:tc>
          <w:tcPr>
            <w:tcW w:w="6570" w:type="dxa"/>
            <w:vAlign w:val="center"/>
          </w:tcPr>
          <w:p w:rsidR="00150837" w:rsidRPr="00AF710D" w:rsidRDefault="00214B5D" w:rsidP="00AF71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590FBB">
              <w:rPr>
                <w:rFonts w:ascii="Cambria" w:hAnsi="Cambria"/>
                <w:bCs/>
                <w:sz w:val="19"/>
                <w:szCs w:val="19"/>
                <w:lang w:val="es-ES"/>
              </w:rPr>
              <w:t>Ninguno</w:t>
            </w:r>
          </w:p>
        </w:tc>
      </w:tr>
      <w:tr w:rsidR="00150837" w:rsidRPr="004E5467" w:rsidTr="00AF710D">
        <w:trPr>
          <w:cantSplit/>
        </w:trPr>
        <w:tc>
          <w:tcPr>
            <w:tcW w:w="2790" w:type="dxa"/>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Agotamiento de recursos o procedencia de una excepción</w:t>
            </w:r>
          </w:p>
        </w:tc>
        <w:tc>
          <w:tcPr>
            <w:tcW w:w="6570" w:type="dxa"/>
            <w:vAlign w:val="center"/>
          </w:tcPr>
          <w:p w:rsidR="00150837" w:rsidRPr="00AF710D" w:rsidRDefault="00150837" w:rsidP="00C97A5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F710D">
              <w:rPr>
                <w:rFonts w:ascii="Cambria" w:hAnsi="Cambria"/>
                <w:bCs/>
                <w:sz w:val="19"/>
                <w:szCs w:val="19"/>
                <w:lang w:val="es-ES"/>
              </w:rPr>
              <w:t>Sí, 20 de agosto de 2010</w:t>
            </w:r>
          </w:p>
        </w:tc>
      </w:tr>
      <w:tr w:rsidR="00150837" w:rsidRPr="00226222" w:rsidTr="00AF710D">
        <w:trPr>
          <w:cantSplit/>
        </w:trPr>
        <w:tc>
          <w:tcPr>
            <w:tcW w:w="2790" w:type="dxa"/>
            <w:tcBorders>
              <w:bottom w:val="single" w:sz="4" w:space="0" w:color="auto"/>
            </w:tcBorders>
            <w:shd w:val="clear" w:color="auto" w:fill="386294"/>
            <w:vAlign w:val="center"/>
          </w:tcPr>
          <w:p w:rsidR="00150837" w:rsidRPr="00AF710D" w:rsidRDefault="00150837" w:rsidP="00AF710D">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F710D">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150837" w:rsidRPr="00AF710D" w:rsidRDefault="00150837" w:rsidP="00DF1745">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F710D">
              <w:rPr>
                <w:rFonts w:ascii="Cambria" w:hAnsi="Cambria"/>
                <w:bCs/>
                <w:sz w:val="19"/>
                <w:szCs w:val="19"/>
                <w:lang w:val="es-ES"/>
              </w:rPr>
              <w:t>Sí, 18 de febrero de 2011</w:t>
            </w:r>
          </w:p>
        </w:tc>
      </w:tr>
    </w:tbl>
    <w:p w:rsidR="00150837" w:rsidRPr="00006B74" w:rsidRDefault="00150837" w:rsidP="005565AF">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150837" w:rsidRPr="00D20237" w:rsidRDefault="00150837" w:rsidP="005565A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 xml:space="preserve">Luis Bernardo Díaz Gamboa (en adelante “el peticionario”) denuncia presuntas violaciones a los derechos humanos alegando que fue destituido del cargo que ocupaba en la institución nacional de derechos humanos de su país mediante un acto de desviación del poder. También denuncia que no recibió una protección judicial efectiva ante la violación de sus derechos y que el proceso administrativo que interpuso para procurar el restablecimiento de estos no fue resuelto dentro de plazo razonable. </w:t>
      </w:r>
    </w:p>
    <w:p w:rsidR="00150837" w:rsidRPr="005B00F5" w:rsidRDefault="00150837" w:rsidP="005565A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El peticionario relata que, tras un proceso de entrevistas y selección, el 29 de mayo de 2001 fue designado por el Defensor del Pueblo de Colombia para ocupar el cargo de Defensor Regional de Boyacá. </w:t>
      </w:r>
      <w:r>
        <w:rPr>
          <w:rFonts w:ascii="Cambria" w:hAnsi="Cambria"/>
          <w:bCs/>
          <w:sz w:val="20"/>
          <w:szCs w:val="20"/>
          <w:lang w:val="es-ES"/>
        </w:rPr>
        <w:lastRenderedPageBreak/>
        <w:t>Señala que desempeñó este cargo con gran compromiso trabajando los fines de semanas sin recibir remuneración extra y cubriendo por cuenta propia gastos de la institución. Destaca que recibió reconocimientos por su excelente labor provenientes de la Organización de las Naciones Unidades y múltiples organizaciones de sociedad civil. Explica que en el desempeño de sus funciones solo recibió dos llamados de atención, ambos por parte de la Directora Nacional de Atención y Trámite de Quejas de la Defensoría del Pueblo quien le recriminó por supuestamente haber atendido una queja sobre un asunto que no era de su competencia y por haberse pronunciado públicamente sobre la necesidad de modificar la ley para garantizar la protección de las personas que ejercen cargos públicos relacionados con la defensa de los derechos humanos. Alega que a raíz de estos cuestionamientos se realizó una reunión secreta de altos directivos de la Defensoría del Pueblo en la que se discutió el tema de su gestión sin brindársele a él la oportunidad de presentar argumentos y la que conllevó a que se emitiera el 4 de marzo de 2002 una resolución declarándolo insubsistente de su cargo. Agrega que el 11 de marzo de 2002 le hizo entrega del cargo a su reemplazo.</w:t>
      </w:r>
    </w:p>
    <w:p w:rsidR="00150837" w:rsidRPr="003C7487" w:rsidRDefault="00150837" w:rsidP="003C748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Explica que su destitución se fundamentó en la supuesta facultad discrecional del Defensor Nacional para remover libremente a los defensores regionales. Sin embargo, sostiene que según la jurisprudencia y doctrina doméstica la faculta discrecional se encontraba limitada por el principio de razonabilidad y la prohibición de la arbitrariedad. Por estas razones, considera que le amparaba una “estabilidad por buen desempeño”. Alega que su destitución se trató de un acto de desviación del poder pues persiguió finalidades distintas al “buen servicio público”. Considera que esto queda evidenciado en que la persona que se designó para reemplazarlo tenía una hoja de vida menos apropiada para el cargo y ha realizado una gestión menos efectiva que la suya. Resalta, por ejemplo, que al tomar posesión su reemplazo anunció que reduciría el marco de acción de la defensoría regional, no atendiendo quejas sobre servicios públicos y limitando las salidas a los municipios a lo estrictamente necesario. También señala que la gestión de su reemplazo fue inferior a la suya porque este: no trabaja los fines de semanas como sí lo hacía él; tenía una condición de “amenazado” que le impedía comparecer a atender asuntos en zonas de “orden público” como sí lo hacía él; ordenó injustificadamente el archivo de 500 quejas, suspendió el trámite oficioso de quejas y la interposición de acciones de tutelas. Denuncia además que el Defensor Nacional le comentó al coordinador regional de su área que la decisión de declararlo insubsistente se debió a que la persona con quien lo reemplazaría era un amigo del Defensor.  Añade que el que se </w:t>
      </w:r>
      <w:r w:rsidRPr="003C7487">
        <w:rPr>
          <w:rFonts w:ascii="Cambria" w:hAnsi="Cambria"/>
          <w:bCs/>
          <w:sz w:val="20"/>
          <w:szCs w:val="20"/>
          <w:lang w:val="es-ES"/>
        </w:rPr>
        <w:t>le destituyera pese a su excelente gestión conllevó a manifestaciones de indignación por parte de la Oficina Regional del Alto Comisionado de las Naciones Unidades, funcionarios de la defensoría y organizaciones de sociedad civil</w:t>
      </w:r>
      <w:r>
        <w:rPr>
          <w:rFonts w:ascii="Cambria" w:hAnsi="Cambria"/>
          <w:bCs/>
          <w:sz w:val="20"/>
          <w:szCs w:val="20"/>
          <w:lang w:val="es-ES"/>
        </w:rPr>
        <w:t xml:space="preserve">. </w:t>
      </w:r>
    </w:p>
    <w:p w:rsidR="00150837" w:rsidRPr="00870D95" w:rsidRDefault="00150837" w:rsidP="003C748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Indica que el 28 de junio de 2002 interpuso una demanda de nulidad y restablecimiento del derecho contra el acto que le declaró insubsistente la que conllevó a que el 20 de junio de 2007 el Juzgado 10 Administrativo de Tunja fallara a su favor declarando la nulidad del acto impugnado y ordenando que se le reintegrara a un cargo igual o superior y que se le cancelaran sus derechos laborales dejados de percibir. Señala que esta decisión fue apelada por la parte demandada resultando en que la sentencia de primera instancia fuera revocada mediante sentencia del 11 agosto de 2010 por el Tribunal Administrativo de Boyacá. Destaca que esta decisión le fue notificada el 20 de agosto de 2010 y que, aunque la sentencia concluyó que no estaba probada la desviación de poder, ella también reconoció que la facultad discrecional del Defensor Nacional para removerlo no era absoluta. Considera que el Tribunal de segunda instancia incurrió en una vía de hecho en violación a su derecho al debido proceso pues utilizó un ritualismo formal excesivo para desestimar las pruebas a su favor con la finalidad de argumentar que la desmejora del servicio tras su remoción no estaba probada. De igual manera, reclama que el tribunal ignoró que conforme a la jurisprudencia doméstica incluso los actos discrecionales deben estar motivados, no bastando la referencia al concepto abstracto de “buen servicio” para satisfacer el requisito de motivación. Denuncia además que los 8 años transcurridos para que se emitiera la decisión final con respecto a su demanda administrativa no constituyen plazo razonable y recalca que su intención no es que la Comisión actué como una cuarta instancia, sino que decrete la responsabilidad del Estado por la violación a sus derechos. </w:t>
      </w:r>
    </w:p>
    <w:p w:rsidR="00150837" w:rsidRPr="00E1204C" w:rsidRDefault="00150837" w:rsidP="003C748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El Estado, por su parte, considera que la petición debe ser inadmitida porque el peticionario pretende improcedentemente que la Comisión actué como una cuarta instancia en contravención a su naturaleza subsidiaria y porque los hechos planteados en la petición no caracterizan violaciones a los derechos humanos. Sostiene que las reclamaciones del peticionario fueron discutidas extensamente ante diferentes instancias de la jurisdicción nacional siendo resueltas por el Estado de manera definitiva y plenamente acorde con las garantías convencionales. Considera que las reclamaciones del peticionario se circunscriben a </w:t>
      </w:r>
      <w:r>
        <w:rPr>
          <w:rFonts w:ascii="Cambria" w:hAnsi="Cambria"/>
          <w:bCs/>
          <w:sz w:val="20"/>
          <w:szCs w:val="20"/>
          <w:lang w:val="es-ES"/>
        </w:rPr>
        <w:lastRenderedPageBreak/>
        <w:t xml:space="preserve">controvertir la interpretación del derecho local y la valoración de la prueba realizada por las autoridades judiciales colombianas, por lo que resultan inadmisibles en los términos del artículo 47(b) de la CADH. </w:t>
      </w:r>
    </w:p>
    <w:p w:rsidR="00150837" w:rsidRPr="009F4469" w:rsidRDefault="00150837" w:rsidP="00C80B5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 xml:space="preserve">Resalta que el cargo de Defensor del Pueblo Regional de Boyacá que ocupaba el peticionario es bajo el derecho colombiano un cargo de nivel directivo no adscrito a la carrera administrativa y que, por tanto, es un cargo de libre nombramiento y remoción por parte del titular de la institución. Explica que por tratarse de un acto discrecional de la administración la declaratoria de insubsistencia del peticionario no requería motivación adicional y goza de presunción de legalidad recayendo la carga de la prueba en quien desee controvertir esa legalidad. Agrega que, si bien en primera instancia se emitió una decisión favorable al peticionario, esta fue luego revocada en segunda instancia mediante un proceso en que se respetaron todas las garantías y derechos del peticionario. Destaca que el tribunal de segunda instancia motivó ampliamente su decisión valorando, entre otras cosas; que el peticionario no había alcanzado siquiera un año de labores y que este ocupaba un cargo de nivel directivo que exigía los máximos niveles de confianza; que el que el peticionario hubiese contando con el aprecio de la comunidad y el que su reemplazo hubiese eliminado ciertos programas institucionales no constituía </w:t>
      </w:r>
      <w:r w:rsidRPr="00B543EC">
        <w:rPr>
          <w:rFonts w:ascii="Cambria" w:hAnsi="Cambria"/>
          <w:bCs/>
          <w:i/>
          <w:sz w:val="20"/>
          <w:szCs w:val="20"/>
          <w:lang w:val="es-ES"/>
        </w:rPr>
        <w:t>per se</w:t>
      </w:r>
      <w:r>
        <w:rPr>
          <w:rFonts w:ascii="Cambria" w:hAnsi="Cambria"/>
          <w:bCs/>
          <w:sz w:val="20"/>
          <w:szCs w:val="20"/>
          <w:lang w:val="es-ES"/>
        </w:rPr>
        <w:t xml:space="preserve"> evidencia de un desmejoramiento del servicio; y que no le correspondí a los tribunales realizar una valoración cualitativa de las hojas de vida del peticionario y su reemplazo. Agrega que el tribunal consideró que el que existiese un proceso disciplinario pendiente contra el peticionario no suspendía la facultad discrecional de remoción, así como tampoco lo hacía el que el país se encontrara en periodo electoral. Resalta además que el tribunal realizó una revisión a fondo de todo el acervo probatorio y que, si bien algunas pruebas no fueron aceptadas, esto se debió a que las mismas no cumplían con las exigencias formales requeridas por el derecho aplicable.</w:t>
      </w:r>
    </w:p>
    <w:p w:rsidR="00150837" w:rsidRPr="003C7487" w:rsidRDefault="00150837" w:rsidP="005766AD">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3C7487">
        <w:rPr>
          <w:rFonts w:ascii="Cambria" w:hAnsi="Cambria"/>
          <w:b/>
          <w:bCs/>
          <w:sz w:val="20"/>
          <w:szCs w:val="20"/>
          <w:lang w:val="es-ES"/>
        </w:rPr>
        <w:t xml:space="preserve">VI. </w:t>
      </w:r>
      <w:r w:rsidRPr="003C7487">
        <w:rPr>
          <w:rFonts w:ascii="Cambria" w:hAnsi="Cambria"/>
          <w:b/>
          <w:bCs/>
          <w:sz w:val="20"/>
          <w:szCs w:val="20"/>
          <w:lang w:val="es-ES"/>
        </w:rPr>
        <w:tab/>
        <w:t>AGOTAMIENTO DE LOS RECURSOS INTERNOS Y PLAZO DE PRESENTACIÓN</w:t>
      </w:r>
    </w:p>
    <w:p w:rsidR="00150837" w:rsidRPr="00A563EE" w:rsidRDefault="00150837" w:rsidP="00064191">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ES"/>
        </w:rPr>
        <w:t xml:space="preserve">La Comisión observa que </w:t>
      </w:r>
      <w:r w:rsidR="00536343">
        <w:rPr>
          <w:rFonts w:ascii="Cambria" w:hAnsi="Cambria"/>
          <w:sz w:val="20"/>
          <w:szCs w:val="20"/>
          <w:lang w:val="es-ES"/>
        </w:rPr>
        <w:t>el peticionario</w:t>
      </w:r>
      <w:r>
        <w:rPr>
          <w:rFonts w:ascii="Cambria" w:hAnsi="Cambria"/>
          <w:sz w:val="20"/>
          <w:szCs w:val="20"/>
          <w:lang w:val="es-ES"/>
        </w:rPr>
        <w:t xml:space="preserve"> ha indicado que la decisión definitiva con respecto a su caso fue la emitida en segunda instancia por el Tribunal Administrativo de Boyacá. De igual manera la Comisión toma nota que el Estado no ha presentado observaciones con respecto a si la petición cumple con los requisitos de agotamiento de los recursos internos y presentación dentro de plazo.  </w:t>
      </w:r>
    </w:p>
    <w:p w:rsidR="00150837" w:rsidRPr="006F551A" w:rsidRDefault="00150837" w:rsidP="006F551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bCs/>
          <w:sz w:val="20"/>
          <w:szCs w:val="20"/>
          <w:lang w:val="es-ES"/>
        </w:rPr>
      </w:pPr>
      <w:r w:rsidRPr="006F551A">
        <w:rPr>
          <w:rFonts w:ascii="Cambria" w:hAnsi="Cambria" w:cs="Calibri"/>
          <w:sz w:val="20"/>
          <w:szCs w:val="20"/>
          <w:lang w:val="es-ES"/>
        </w:rPr>
        <w:t>En el presente caso, la Comisión considera que la acción de nulidad y restablecimiento del derecho ante la jurisdicción contencioso administrativa interpuesta por la presunta víctima resultaba</w:t>
      </w:r>
      <w:r w:rsidRPr="006F551A">
        <w:rPr>
          <w:rFonts w:ascii="Cambria" w:hAnsi="Cambria" w:cs="Calibri"/>
          <w:i/>
          <w:sz w:val="20"/>
          <w:szCs w:val="20"/>
          <w:lang w:val="es-ES"/>
        </w:rPr>
        <w:t>, prima facie</w:t>
      </w:r>
      <w:r w:rsidR="00536343">
        <w:rPr>
          <w:rFonts w:ascii="Cambria" w:hAnsi="Cambria" w:cs="Calibri"/>
          <w:sz w:val="20"/>
          <w:szCs w:val="20"/>
          <w:lang w:val="es-ES"/>
        </w:rPr>
        <w:t>,</w:t>
      </w:r>
      <w:r w:rsidRPr="006F551A">
        <w:rPr>
          <w:rFonts w:ascii="Cambria" w:hAnsi="Cambria" w:cs="Calibri"/>
          <w:sz w:val="20"/>
          <w:szCs w:val="20"/>
          <w:lang w:val="es-ES"/>
        </w:rPr>
        <w:t xml:space="preserve"> una vía idónea pero que los reclamos planteados en la petición fueran atendidos a nivel doméstico.  </w:t>
      </w:r>
      <w:r>
        <w:rPr>
          <w:rFonts w:ascii="Cambria" w:hAnsi="Cambria" w:cs="Calibri"/>
          <w:sz w:val="20"/>
          <w:szCs w:val="20"/>
          <w:lang w:val="es-ES"/>
        </w:rPr>
        <w:t xml:space="preserve">Por esta razón, y dado que el Estado no ha hecho referencia a recursos internos no agotados que pudieran ser idóneos para las pretensiones del peticionario, </w:t>
      </w:r>
      <w:r w:rsidR="00536343">
        <w:rPr>
          <w:rFonts w:ascii="Cambria" w:hAnsi="Cambria" w:cs="Calibri"/>
          <w:sz w:val="20"/>
          <w:szCs w:val="20"/>
          <w:lang w:val="es-ES"/>
        </w:rPr>
        <w:t xml:space="preserve">la </w:t>
      </w:r>
      <w:r>
        <w:rPr>
          <w:rFonts w:ascii="Cambria" w:hAnsi="Cambria" w:cs="Calibri"/>
          <w:sz w:val="20"/>
          <w:szCs w:val="20"/>
          <w:lang w:val="es-ES"/>
        </w:rPr>
        <w:t xml:space="preserve">Comisión considera que los recursos internos se agotaron con respecto a la presente petición con la sentencia emitida por el Tribunal Administrativo de Boyacá que decidió en segunda instancia la demanda de nulidad y restablecimiento del derecho interpuesta por el peticionario. En consecuencia y valorando que la decisión definitiva fue notificada al peticionario el 20 de agosto de 2010 y la petición presentada el 18 de febrero de 2011, la Comisión concluye que la presente petición cumple con los requisitos del artículo 46.1(a) y (b) de la Convención Americana. </w:t>
      </w:r>
    </w:p>
    <w:p w:rsidR="00150837" w:rsidRPr="00006B74" w:rsidRDefault="00150837" w:rsidP="00A929AA">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006B74">
        <w:rPr>
          <w:rFonts w:ascii="Cambria" w:hAnsi="Cambria"/>
          <w:b/>
          <w:bCs/>
          <w:sz w:val="20"/>
          <w:szCs w:val="20"/>
          <w:lang w:val="es-ES"/>
        </w:rPr>
        <w:t xml:space="preserve">VII. </w:t>
      </w:r>
      <w:r w:rsidRPr="00006B74">
        <w:rPr>
          <w:rFonts w:ascii="Cambria" w:hAnsi="Cambria"/>
          <w:b/>
          <w:bCs/>
          <w:sz w:val="20"/>
          <w:szCs w:val="20"/>
          <w:lang w:val="es-ES"/>
        </w:rPr>
        <w:tab/>
        <w:t>CARACTERIZACIÓN</w:t>
      </w:r>
    </w:p>
    <w:p w:rsidR="00150837" w:rsidRDefault="00150837" w:rsidP="003E2134">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lang w:val="es-AR"/>
        </w:rPr>
      </w:pPr>
      <w:r>
        <w:rPr>
          <w:sz w:val="20"/>
          <w:szCs w:val="20"/>
          <w:lang w:val="es-AR"/>
        </w:rPr>
        <w:t xml:space="preserve">La Comisión observa que la presente petición </w:t>
      </w:r>
      <w:r w:rsidRPr="00590FBB">
        <w:rPr>
          <w:sz w:val="20"/>
          <w:szCs w:val="20"/>
          <w:lang w:val="es-AR"/>
        </w:rPr>
        <w:t>incluye alegaciones con respecto a que la presunta víctima fue destituido del cargo que ocupaba en una institución nacional de derechos humanos mediante resolución inmotivada; y que la acción contenciosa administrativa interpuesta por el peticionario en busca del restablecimiento de sus derechos laborales no fue resuelta dentro de plazo razonable, transcurriendo más de 8 años entre la interposición de la acción y la decisión definitiva</w:t>
      </w:r>
      <w:r>
        <w:rPr>
          <w:sz w:val="20"/>
          <w:szCs w:val="20"/>
          <w:lang w:val="es-AR"/>
        </w:rPr>
        <w:t xml:space="preserve">. </w:t>
      </w:r>
    </w:p>
    <w:p w:rsidR="00150837" w:rsidRDefault="00150837" w:rsidP="003E2134">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sz w:val="20"/>
          <w:szCs w:val="20"/>
          <w:lang w:val="es-AR"/>
        </w:rPr>
      </w:pPr>
      <w:r w:rsidRPr="00590FBB">
        <w:rPr>
          <w:sz w:val="20"/>
          <w:szCs w:val="20"/>
          <w:lang w:val="es-AR"/>
        </w:rPr>
        <w:t>L</w:t>
      </w:r>
      <w:r w:rsidRPr="00590FBB">
        <w:rPr>
          <w:sz w:val="20"/>
          <w:szCs w:val="20"/>
          <w:lang w:val="es-ES_tradnl"/>
        </w:rPr>
        <w:t>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w:t>
      </w:r>
      <w:r w:rsidR="00634245" w:rsidRPr="00590FBB">
        <w:rPr>
          <w:sz w:val="20"/>
          <w:szCs w:val="20"/>
          <w:lang w:val="es-ES_tradnl"/>
        </w:rPr>
        <w:t>.</w:t>
      </w:r>
      <w:r>
        <w:rPr>
          <w:sz w:val="20"/>
          <w:szCs w:val="20"/>
          <w:lang w:val="es-AR"/>
        </w:rPr>
        <w:tab/>
      </w:r>
      <w:r>
        <w:rPr>
          <w:sz w:val="20"/>
          <w:szCs w:val="20"/>
          <w:lang w:val="es-AR"/>
        </w:rPr>
        <w:tab/>
      </w:r>
    </w:p>
    <w:p w:rsidR="00150837" w:rsidRPr="00590FBB" w:rsidRDefault="00264EDA" w:rsidP="0055412E">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color w:val="auto"/>
          <w:sz w:val="20"/>
          <w:szCs w:val="20"/>
          <w:lang w:val="es-AR"/>
        </w:rPr>
      </w:pPr>
      <w:r w:rsidRPr="00590FBB">
        <w:rPr>
          <w:color w:val="auto"/>
          <w:sz w:val="20"/>
          <w:szCs w:val="20"/>
          <w:lang w:val="es-AR"/>
        </w:rPr>
        <w:t>La Comisión recuerda que la Corte Interamericana ha indicado que “</w:t>
      </w:r>
      <w:r w:rsidRPr="00590FBB">
        <w:rPr>
          <w:sz w:val="20"/>
          <w:szCs w:val="20"/>
          <w:lang w:val="es-PA"/>
        </w:rPr>
        <w:t xml:space="preserve">la argumentación de un fallo y de ciertos actos administrativos deben permitir conocer cuáles fueron los hechos, motivos y normas en </w:t>
      </w:r>
      <w:r w:rsidRPr="00590FBB">
        <w:rPr>
          <w:sz w:val="20"/>
          <w:szCs w:val="20"/>
          <w:lang w:val="es-PA"/>
        </w:rPr>
        <w:lastRenderedPageBreak/>
        <w:t>que se basó la autoridad para tomar su decisión, a fin de descartar cualquier indicio de arbitrariedad”</w:t>
      </w:r>
      <w:r w:rsidR="00590FBB" w:rsidRPr="00FC2B4A">
        <w:rPr>
          <w:rStyle w:val="FootnoteReference"/>
          <w:rFonts w:cs="Calibri"/>
          <w:sz w:val="20"/>
          <w:szCs w:val="20"/>
        </w:rPr>
        <w:footnoteReference w:id="7"/>
      </w:r>
      <w:r w:rsidR="00590FBB" w:rsidRPr="004C3A7D">
        <w:rPr>
          <w:rFonts w:cs="Calibri"/>
          <w:sz w:val="20"/>
          <w:szCs w:val="20"/>
          <w:lang w:val="es-ES_tradnl"/>
        </w:rPr>
        <w:t>.</w:t>
      </w:r>
      <w:r w:rsidRPr="00590FBB">
        <w:rPr>
          <w:sz w:val="20"/>
          <w:szCs w:val="20"/>
          <w:lang w:val="es-PA"/>
        </w:rPr>
        <w:t xml:space="preserve"> En el presente caso el peticionario reclama </w:t>
      </w:r>
      <w:r w:rsidR="00634245" w:rsidRPr="00590FBB">
        <w:rPr>
          <w:sz w:val="20"/>
          <w:szCs w:val="20"/>
          <w:lang w:val="es-PA"/>
        </w:rPr>
        <w:t>que fue destituido del cargo que ocupaba en una institución pública de forma injustificada y mediante decisión inmotivada. La Comisión observa que el peticionario agotó los recursos de la jurisdicción doméstica siendo la conclusi</w:t>
      </w:r>
      <w:r w:rsidR="00536343">
        <w:rPr>
          <w:sz w:val="20"/>
          <w:szCs w:val="20"/>
          <w:lang w:val="es-PA"/>
        </w:rPr>
        <w:t>ón de esta</w:t>
      </w:r>
      <w:r w:rsidR="00634245" w:rsidRPr="00590FBB">
        <w:rPr>
          <w:sz w:val="20"/>
          <w:szCs w:val="20"/>
          <w:lang w:val="es-PA"/>
        </w:rPr>
        <w:t xml:space="preserve"> que la destitución del peticionario no requería motivación pues la ley otorgaba al titular de la institución en cuestión facultades discrecionales para disponer del cargo que el peticionario ocupaba. </w:t>
      </w:r>
      <w:r w:rsidR="007C0899" w:rsidRPr="00590FBB">
        <w:rPr>
          <w:sz w:val="20"/>
          <w:szCs w:val="20"/>
          <w:lang w:val="es-PA"/>
        </w:rPr>
        <w:t xml:space="preserve">El peticionario también </w:t>
      </w:r>
      <w:r w:rsidR="00634245" w:rsidRPr="00590FBB">
        <w:rPr>
          <w:sz w:val="20"/>
          <w:szCs w:val="20"/>
          <w:lang w:val="es-PA"/>
        </w:rPr>
        <w:t xml:space="preserve">ha argumentado que </w:t>
      </w:r>
      <w:r w:rsidR="006A0E36" w:rsidRPr="00590FBB">
        <w:rPr>
          <w:sz w:val="20"/>
          <w:szCs w:val="20"/>
          <w:lang w:val="es-PA"/>
        </w:rPr>
        <w:t>su empleador incurrió en desviación del poder al destituirle. Sin embargo, su argumentación al respecto se ha limitado a invocar razones por las que considera que la persona que le reemplazo en el cargo sería menos idónea o habría tenido peor desempeño en comparación a él. En este sentido la Comisión valora 1) que el cargo que ocupaba el peticionario admitía la remoción discrecional conforme a las normas domésticas aplicables</w:t>
      </w:r>
      <w:r w:rsidR="007C0899" w:rsidRPr="00590FBB">
        <w:rPr>
          <w:sz w:val="20"/>
          <w:szCs w:val="20"/>
          <w:lang w:val="es-PA"/>
        </w:rPr>
        <w:t xml:space="preserve">, </w:t>
      </w:r>
      <w:r w:rsidR="006A0E36" w:rsidRPr="00590FBB">
        <w:rPr>
          <w:sz w:val="20"/>
          <w:szCs w:val="20"/>
          <w:lang w:val="es-PA"/>
        </w:rPr>
        <w:t xml:space="preserve">2) que el peticionario no ha sustentado o indicado razones por las cuales el cargo que ocupaba </w:t>
      </w:r>
      <w:r w:rsidR="007C0899" w:rsidRPr="00590FBB">
        <w:rPr>
          <w:sz w:val="20"/>
          <w:szCs w:val="20"/>
          <w:lang w:val="es-PA"/>
        </w:rPr>
        <w:t>requeriría</w:t>
      </w:r>
      <w:r w:rsidR="006A0E36" w:rsidRPr="00590FBB">
        <w:rPr>
          <w:sz w:val="20"/>
          <w:szCs w:val="20"/>
          <w:lang w:val="es-PA"/>
        </w:rPr>
        <w:t xml:space="preserve"> garantías de estabilidad reforzadas </w:t>
      </w:r>
      <w:r w:rsidR="007C0899" w:rsidRPr="00590FBB">
        <w:rPr>
          <w:sz w:val="20"/>
          <w:szCs w:val="20"/>
          <w:lang w:val="es-PA"/>
        </w:rPr>
        <w:t xml:space="preserve">bajo la Convención Americana y 3)que las razones expuestas por el peticionario para sustentar la alegada desviación del poder se limitan a su mera valoración subjetiva sobre la calidad de su reemplazo. Adicionalmente, el peticionario ha </w:t>
      </w:r>
      <w:r w:rsidR="006F10E3" w:rsidRPr="00590FBB">
        <w:rPr>
          <w:sz w:val="20"/>
          <w:szCs w:val="20"/>
          <w:lang w:val="es-PA"/>
        </w:rPr>
        <w:t xml:space="preserve">alegado </w:t>
      </w:r>
      <w:r w:rsidR="007C0899" w:rsidRPr="00590FBB">
        <w:rPr>
          <w:sz w:val="20"/>
          <w:szCs w:val="20"/>
          <w:lang w:val="es-PA"/>
        </w:rPr>
        <w:t>que el tiempo total de 8 años que demoró el proceso</w:t>
      </w:r>
      <w:r w:rsidR="006F10E3" w:rsidRPr="00590FBB">
        <w:rPr>
          <w:sz w:val="20"/>
          <w:szCs w:val="20"/>
          <w:lang w:val="es-PA"/>
        </w:rPr>
        <w:t xml:space="preserve"> contencioso administrativo relacionado con su destitución excedió el plazo razonable. Si bien la Comisión ha reconocido que las reclamaciones de tipo laboral </w:t>
      </w:r>
      <w:r w:rsidR="006F10E3" w:rsidRPr="00590FBB">
        <w:rPr>
          <w:color w:val="auto"/>
          <w:sz w:val="20"/>
          <w:szCs w:val="20"/>
          <w:lang w:val="es-ES_tradnl"/>
        </w:rPr>
        <w:t>“</w:t>
      </w:r>
      <w:r w:rsidR="006F10E3" w:rsidRPr="00590FBB">
        <w:rPr>
          <w:color w:val="auto"/>
          <w:sz w:val="20"/>
          <w:szCs w:val="20"/>
          <w:lang w:val="es-PA"/>
        </w:rPr>
        <w:t>por su propia naturaleza requiere de decisiones oportunas”</w:t>
      </w:r>
      <w:r w:rsidR="006F10E3" w:rsidRPr="00590FBB">
        <w:rPr>
          <w:rStyle w:val="FootnoteReference"/>
          <w:rFonts w:cs="Cambria"/>
          <w:color w:val="auto"/>
          <w:sz w:val="20"/>
          <w:szCs w:val="20"/>
          <w:lang w:val="es-PA"/>
        </w:rPr>
        <w:footnoteReference w:id="8"/>
      </w:r>
      <w:r w:rsidR="006F10E3" w:rsidRPr="00590FBB">
        <w:rPr>
          <w:color w:val="auto"/>
          <w:sz w:val="20"/>
          <w:szCs w:val="20"/>
          <w:lang w:val="es-PA"/>
        </w:rPr>
        <w:t xml:space="preserve">, considera que en el presente caso el peticionario no ha presentado suficientes elementos para considerar, </w:t>
      </w:r>
      <w:r w:rsidR="006F10E3" w:rsidRPr="00590FBB">
        <w:rPr>
          <w:i/>
          <w:color w:val="auto"/>
          <w:sz w:val="20"/>
          <w:szCs w:val="20"/>
          <w:lang w:val="es-PA"/>
        </w:rPr>
        <w:t>prima facie,</w:t>
      </w:r>
      <w:r w:rsidR="006F10E3" w:rsidRPr="00590FBB">
        <w:rPr>
          <w:color w:val="auto"/>
          <w:sz w:val="20"/>
          <w:szCs w:val="20"/>
          <w:lang w:val="es-PA"/>
        </w:rPr>
        <w:t xml:space="preserve"> que el tiempo total transcurrido desde la interposición de la demanda hasta la decisión final de segunda instancia haya </w:t>
      </w:r>
      <w:r w:rsidR="00C85CE6" w:rsidRPr="00590FBB">
        <w:rPr>
          <w:color w:val="auto"/>
          <w:sz w:val="20"/>
          <w:szCs w:val="20"/>
          <w:lang w:val="es-PA"/>
        </w:rPr>
        <w:t>sido irrazonable o que haya ocurrido una dilatación injustificada atribuible a las autoridades.</w:t>
      </w:r>
    </w:p>
    <w:p w:rsidR="00C85CE6" w:rsidRPr="00590FBB" w:rsidRDefault="00C85CE6" w:rsidP="0055412E">
      <w:pPr>
        <w:pStyle w:val="ListParagraph"/>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ind w:left="0"/>
        <w:jc w:val="both"/>
        <w:rPr>
          <w:color w:val="auto"/>
          <w:sz w:val="20"/>
          <w:szCs w:val="20"/>
          <w:lang w:val="es-AR"/>
        </w:rPr>
      </w:pPr>
      <w:r w:rsidRPr="00590FBB">
        <w:rPr>
          <w:color w:val="auto"/>
          <w:sz w:val="20"/>
          <w:szCs w:val="20"/>
          <w:lang w:val="es-AR"/>
        </w:rPr>
        <w:t xml:space="preserve">Por las razones expuestas, la Comisión considera que los hechos </w:t>
      </w:r>
      <w:r w:rsidR="00590FBB">
        <w:rPr>
          <w:color w:val="auto"/>
          <w:sz w:val="20"/>
          <w:szCs w:val="20"/>
          <w:lang w:val="es-AR"/>
        </w:rPr>
        <w:t>relatados</w:t>
      </w:r>
      <w:r w:rsidRPr="00590FBB">
        <w:rPr>
          <w:color w:val="auto"/>
          <w:sz w:val="20"/>
          <w:szCs w:val="20"/>
          <w:lang w:val="es-AR"/>
        </w:rPr>
        <w:t xml:space="preserve"> por el peticionario no resultan suficientes para caracterizar, </w:t>
      </w:r>
      <w:r w:rsidRPr="00590FBB">
        <w:rPr>
          <w:i/>
          <w:color w:val="auto"/>
          <w:sz w:val="20"/>
          <w:szCs w:val="20"/>
          <w:lang w:val="es-AR"/>
        </w:rPr>
        <w:t>prima facie,</w:t>
      </w:r>
      <w:r w:rsidRPr="00590FBB">
        <w:rPr>
          <w:color w:val="auto"/>
          <w:sz w:val="20"/>
          <w:szCs w:val="20"/>
          <w:lang w:val="es-AR"/>
        </w:rPr>
        <w:t xml:space="preserve"> posibles violaciones a la Convención Americana ni a los demás instrumentos que le otorgan competencia. </w:t>
      </w:r>
    </w:p>
    <w:p w:rsidR="00150837" w:rsidRPr="004C3A7D" w:rsidRDefault="00150837" w:rsidP="00722E22">
      <w:pPr>
        <w:pStyle w:val="ListParagraph"/>
        <w:numPr>
          <w:ilvl w:val="0"/>
          <w:numId w:val="55"/>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color w:val="auto"/>
          <w:sz w:val="20"/>
          <w:szCs w:val="20"/>
          <w:lang w:val="es-PE"/>
        </w:rPr>
      </w:pPr>
      <w:r w:rsidRPr="00B92D4A">
        <w:rPr>
          <w:sz w:val="20"/>
          <w:szCs w:val="20"/>
          <w:lang w:val="es-AR"/>
        </w:rPr>
        <w:t>En cuanto a las alegadas violaciones a los artículos</w:t>
      </w:r>
      <w:r w:rsidRPr="00B92D4A">
        <w:rPr>
          <w:bCs/>
          <w:sz w:val="19"/>
          <w:szCs w:val="19"/>
          <w:lang w:val="es-PA"/>
        </w:rPr>
        <w:t xml:space="preserve"> XIV (trabajo y justa retribución), XVIII (justicia) y XXVI (proceso regul</w:t>
      </w:r>
      <w:r>
        <w:rPr>
          <w:bCs/>
          <w:sz w:val="19"/>
          <w:szCs w:val="19"/>
          <w:lang w:val="es-PA"/>
        </w:rPr>
        <w:t xml:space="preserve">ar) de la Declaración Americana, la Comisión recuerda que ya ha </w:t>
      </w:r>
      <w:r w:rsidRPr="00FC2B4A">
        <w:rPr>
          <w:rFonts w:cs="Calibri"/>
          <w:sz w:val="20"/>
          <w:szCs w:val="20"/>
          <w:lang w:val="es-ES_tradnl"/>
        </w:rPr>
        <w:t>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Pr>
          <w:rFonts w:cs="Calibri"/>
          <w:sz w:val="20"/>
          <w:szCs w:val="20"/>
          <w:lang w:val="es-ES_tradnl"/>
        </w:rPr>
        <w:t xml:space="preserve">. </w:t>
      </w:r>
      <w:r w:rsidRPr="00C044C7">
        <w:rPr>
          <w:rFonts w:cs="Calibri"/>
          <w:sz w:val="20"/>
          <w:szCs w:val="20"/>
          <w:lang w:val="es-ES"/>
        </w:rPr>
        <w:t xml:space="preserve">En este caso las alegadas violaciones a </w:t>
      </w:r>
      <w:r>
        <w:rPr>
          <w:rFonts w:cs="Calibri"/>
          <w:sz w:val="20"/>
          <w:szCs w:val="20"/>
          <w:lang w:val="es-ES"/>
        </w:rPr>
        <w:t>estos artículos</w:t>
      </w:r>
      <w:r w:rsidRPr="00C044C7">
        <w:rPr>
          <w:rFonts w:cs="Calibri"/>
          <w:sz w:val="20"/>
          <w:szCs w:val="20"/>
          <w:lang w:val="es-ES"/>
        </w:rPr>
        <w:t xml:space="preserve"> encajan dentro del ámbito de protección de los artículos</w:t>
      </w:r>
      <w:r>
        <w:rPr>
          <w:rFonts w:cs="Calibri"/>
          <w:sz w:val="20"/>
          <w:szCs w:val="20"/>
          <w:lang w:val="es-ES"/>
        </w:rPr>
        <w:t xml:space="preserve"> 8, 25 y 26 </w:t>
      </w:r>
      <w:r w:rsidRPr="00C044C7">
        <w:rPr>
          <w:rFonts w:cs="Calibri"/>
          <w:sz w:val="20"/>
          <w:szCs w:val="20"/>
          <w:lang w:val="es-ES"/>
        </w:rPr>
        <w:t xml:space="preserve">de la Convención Americana. </w:t>
      </w:r>
      <w:r w:rsidRPr="00590FBB">
        <w:rPr>
          <w:rFonts w:cs="Calibri"/>
          <w:sz w:val="20"/>
          <w:szCs w:val="20"/>
          <w:lang w:val="es-ES"/>
        </w:rPr>
        <w:t xml:space="preserve">Por lo tanto, la Comisión </w:t>
      </w:r>
      <w:r w:rsidR="00C85CE6" w:rsidRPr="00590FBB">
        <w:rPr>
          <w:rFonts w:cs="Calibri"/>
          <w:sz w:val="20"/>
          <w:szCs w:val="20"/>
          <w:lang w:val="es-ES"/>
        </w:rPr>
        <w:t>ha examinado</w:t>
      </w:r>
      <w:r w:rsidRPr="00590FBB">
        <w:rPr>
          <w:rFonts w:cs="Calibri"/>
          <w:sz w:val="20"/>
          <w:szCs w:val="20"/>
          <w:lang w:val="es-ES"/>
        </w:rPr>
        <w:t xml:space="preserve"> estos alegatos a la luz de la Convención Americana.</w:t>
      </w:r>
      <w:r>
        <w:rPr>
          <w:rFonts w:cs="Calibri"/>
          <w:sz w:val="20"/>
          <w:szCs w:val="20"/>
          <w:lang w:val="es-ES"/>
        </w:rPr>
        <w:t xml:space="preserve"> </w:t>
      </w:r>
    </w:p>
    <w:p w:rsidR="00150837" w:rsidRPr="004C3A7D" w:rsidRDefault="00150837" w:rsidP="004C3A7D">
      <w:pPr>
        <w:pStyle w:val="ListParagraph"/>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0"/>
          <w:szCs w:val="20"/>
          <w:lang w:val="es-PE"/>
        </w:rPr>
      </w:pPr>
    </w:p>
    <w:p w:rsidR="00150837" w:rsidRPr="004C3A7D" w:rsidRDefault="00150837" w:rsidP="004C3A7D">
      <w:pPr>
        <w:pStyle w:val="ListParagraph"/>
        <w:numPr>
          <w:ilvl w:val="0"/>
          <w:numId w:val="55"/>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color w:val="auto"/>
          <w:sz w:val="20"/>
          <w:szCs w:val="20"/>
          <w:lang w:val="es-PE"/>
        </w:rPr>
      </w:pPr>
      <w:r w:rsidRPr="004C3A7D">
        <w:rPr>
          <w:rFonts w:ascii="Times New Roman" w:hAnsi="Times New Roman" w:cs="Times New Roman"/>
          <w:color w:val="auto"/>
          <w:sz w:val="20"/>
          <w:szCs w:val="20"/>
          <w:lang w:val="es-PE"/>
        </w:rPr>
        <w:t xml:space="preserve">En lo relativo a las alegadas violaciones a los artículos </w:t>
      </w:r>
      <w:r w:rsidRPr="004C3A7D">
        <w:rPr>
          <w:bCs/>
          <w:sz w:val="19"/>
          <w:szCs w:val="19"/>
          <w:lang w:val="es-PA"/>
        </w:rPr>
        <w:t xml:space="preserve">3 (no discriminación), 6 (trabajo), 7 (condiciones justas equitativas y satisfactorias de trabajo), 9 (seguridad social), 10 (salud), 12 (alimentación), 15 (constitución y protección de la familia) del Protocolo de San Salvador, la Comisión recuerda que </w:t>
      </w:r>
      <w:r w:rsidRPr="004C3A7D">
        <w:rPr>
          <w:rFonts w:cs="Calibri"/>
          <w:sz w:val="20"/>
          <w:szCs w:val="20"/>
          <w:lang w:val="es-ES_tradnl"/>
        </w:rPr>
        <w:t xml:space="preserve">la competencia prevista en los términos del artículo 19.6 de dicho tratado para establecer violaciones en el contexto de un caso individual se limita a los artículos 8.1.a y 13. De igual manera y con respecto a las alegadas violaciones al Pacto Internacional de Derechos Civiles y Políticos, la Declaración Universal de Derechos Humanos y tratados de la Organización Internacional del Trabajo, la Comisión recuerda que carece de competencia </w:t>
      </w:r>
      <w:proofErr w:type="spellStart"/>
      <w:r w:rsidRPr="004C3A7D">
        <w:rPr>
          <w:rFonts w:cs="Calibri"/>
          <w:i/>
          <w:sz w:val="20"/>
          <w:szCs w:val="20"/>
          <w:lang w:val="es-ES_tradnl"/>
        </w:rPr>
        <w:t>ratione</w:t>
      </w:r>
      <w:proofErr w:type="spellEnd"/>
      <w:r w:rsidRPr="004C3A7D">
        <w:rPr>
          <w:rFonts w:cs="Calibri"/>
          <w:i/>
          <w:sz w:val="20"/>
          <w:szCs w:val="20"/>
          <w:lang w:val="es-ES_tradnl"/>
        </w:rPr>
        <w:t xml:space="preserve"> </w:t>
      </w:r>
      <w:proofErr w:type="spellStart"/>
      <w:r w:rsidRPr="004C3A7D">
        <w:rPr>
          <w:rFonts w:cs="Calibri"/>
          <w:i/>
          <w:sz w:val="20"/>
          <w:szCs w:val="20"/>
          <w:lang w:val="es-ES_tradnl"/>
        </w:rPr>
        <w:t>materiae</w:t>
      </w:r>
      <w:proofErr w:type="spellEnd"/>
      <w:r w:rsidRPr="004C3A7D">
        <w:rPr>
          <w:rFonts w:cs="Calibri"/>
          <w:sz w:val="20"/>
          <w:szCs w:val="20"/>
          <w:lang w:val="es-ES_tradnl"/>
        </w:rPr>
        <w:t xml:space="preserve"> para pronunciarse sobre violaciones a los derechos contenidos en estos instrum</w:t>
      </w:r>
      <w:r w:rsidR="00590FBB">
        <w:rPr>
          <w:rFonts w:cs="Calibri"/>
          <w:sz w:val="20"/>
          <w:szCs w:val="20"/>
          <w:lang w:val="es-ES_tradnl"/>
        </w:rPr>
        <w:t>entos. Sin embargo, la</w:t>
      </w:r>
      <w:r w:rsidRPr="00590FBB">
        <w:rPr>
          <w:rFonts w:cs="Calibri"/>
          <w:sz w:val="20"/>
          <w:szCs w:val="20"/>
          <w:lang w:val="es-ES_tradnl"/>
        </w:rPr>
        <w:t xml:space="preserve"> Comisión</w:t>
      </w:r>
      <w:r w:rsidRPr="004C3A7D">
        <w:rPr>
          <w:rFonts w:cs="Calibri"/>
          <w:sz w:val="20"/>
          <w:szCs w:val="20"/>
          <w:lang w:val="es-ES_tradnl"/>
        </w:rPr>
        <w:t xml:space="preserve"> podrá recurrir a los estándares establecidos en los referidos artículos e instrumentos a fin de interpretar las normas de la Convención en virtud del artículo 29 de la misma</w:t>
      </w:r>
      <w:r w:rsidRPr="00FC2B4A">
        <w:rPr>
          <w:rStyle w:val="FootnoteReference"/>
          <w:rFonts w:cs="Calibri"/>
          <w:sz w:val="20"/>
          <w:szCs w:val="20"/>
        </w:rPr>
        <w:footnoteReference w:id="9"/>
      </w:r>
      <w:r w:rsidRPr="004C3A7D">
        <w:rPr>
          <w:rFonts w:cs="Calibri"/>
          <w:sz w:val="20"/>
          <w:szCs w:val="20"/>
          <w:lang w:val="es-ES_tradnl"/>
        </w:rPr>
        <w:t>.</w:t>
      </w:r>
    </w:p>
    <w:p w:rsidR="00F97B42" w:rsidRDefault="00F97B42" w:rsidP="00F97B42">
      <w:pPr>
        <w:pStyle w:val="ListParagraph"/>
        <w:pBdr>
          <w:top w:val="none" w:sz="0" w:space="0" w:color="auto"/>
          <w:left w:val="none" w:sz="0" w:space="0" w:color="auto"/>
          <w:bottom w:val="none" w:sz="0" w:space="0" w:color="auto"/>
          <w:right w:val="none" w:sz="0" w:space="0" w:color="auto"/>
          <w:bar w:val="none" w:sz="0" w:color="auto"/>
        </w:pBdr>
        <w:suppressAutoHyphens/>
        <w:jc w:val="both"/>
        <w:rPr>
          <w:b/>
          <w:bCs/>
          <w:sz w:val="20"/>
          <w:szCs w:val="20"/>
          <w:lang w:val="es-ES"/>
        </w:rPr>
      </w:pPr>
    </w:p>
    <w:p w:rsidR="00150837" w:rsidRPr="00B92D4A" w:rsidRDefault="00150837" w:rsidP="00B92D4A">
      <w:pPr>
        <w:pStyle w:val="ListParagraph"/>
        <w:pBdr>
          <w:top w:val="none" w:sz="0" w:space="0" w:color="auto"/>
          <w:left w:val="none" w:sz="0" w:space="0" w:color="auto"/>
          <w:bottom w:val="none" w:sz="0" w:space="0" w:color="auto"/>
          <w:right w:val="none" w:sz="0" w:space="0" w:color="auto"/>
          <w:bar w:val="none" w:sz="0" w:color="auto"/>
        </w:pBdr>
        <w:suppressAutoHyphens/>
        <w:spacing w:after="240"/>
        <w:jc w:val="both"/>
        <w:rPr>
          <w:sz w:val="20"/>
          <w:szCs w:val="20"/>
          <w:lang w:val="es-AR"/>
        </w:rPr>
      </w:pPr>
      <w:r w:rsidRPr="00B92D4A">
        <w:rPr>
          <w:b/>
          <w:bCs/>
          <w:sz w:val="20"/>
          <w:szCs w:val="20"/>
          <w:lang w:val="es-ES"/>
        </w:rPr>
        <w:t xml:space="preserve">VIII. </w:t>
      </w:r>
      <w:r w:rsidRPr="00B92D4A">
        <w:rPr>
          <w:b/>
          <w:bCs/>
          <w:sz w:val="20"/>
          <w:szCs w:val="20"/>
          <w:lang w:val="es-ES"/>
        </w:rPr>
        <w:tab/>
        <w:t>DECISIÓN</w:t>
      </w:r>
    </w:p>
    <w:p w:rsidR="00150837" w:rsidRPr="00590FBB" w:rsidRDefault="00150837" w:rsidP="00945886">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590FBB">
        <w:rPr>
          <w:rFonts w:ascii="Cambria" w:hAnsi="Cambria"/>
          <w:sz w:val="20"/>
          <w:szCs w:val="20"/>
          <w:lang w:val="es-ES"/>
        </w:rPr>
        <w:t xml:space="preserve">Declarar </w:t>
      </w:r>
      <w:r w:rsidR="00C85CE6" w:rsidRPr="00590FBB">
        <w:rPr>
          <w:rFonts w:ascii="Cambria" w:hAnsi="Cambria"/>
          <w:sz w:val="20"/>
          <w:szCs w:val="20"/>
          <w:lang w:val="es-ES"/>
        </w:rPr>
        <w:t xml:space="preserve">inadmisible la presente petición con fundamento en el artículo 47(b) de la Convención Americana. </w:t>
      </w:r>
    </w:p>
    <w:p w:rsidR="00150837" w:rsidRPr="00F97B42" w:rsidRDefault="00150837" w:rsidP="008439BC">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color w:val="FF0000"/>
          <w:sz w:val="20"/>
          <w:szCs w:val="20"/>
          <w:lang w:val="es-ES"/>
        </w:rPr>
      </w:pPr>
      <w:r w:rsidRPr="00006B74">
        <w:rPr>
          <w:rFonts w:ascii="Cambria" w:hAnsi="Cambria"/>
          <w:sz w:val="20"/>
          <w:szCs w:val="20"/>
          <w:lang w:val="es-ES"/>
        </w:rPr>
        <w:lastRenderedPageBreak/>
        <w:t>Notificar a las partes la presente de</w:t>
      </w:r>
      <w:r>
        <w:rPr>
          <w:rFonts w:ascii="Cambria" w:hAnsi="Cambria"/>
          <w:sz w:val="20"/>
          <w:szCs w:val="20"/>
          <w:lang w:val="es-ES"/>
        </w:rPr>
        <w:t xml:space="preserve">cisión; </w:t>
      </w:r>
      <w:r w:rsidRPr="00006B74">
        <w:rPr>
          <w:rFonts w:ascii="Cambria" w:hAnsi="Cambria"/>
          <w:sz w:val="20"/>
          <w:szCs w:val="20"/>
          <w:lang w:val="es-ES"/>
        </w:rPr>
        <w:t>y publicar esta decisión e incluirla en su Informe Anual a la Asamblea General de la Organización de los Estados Americanos.</w:t>
      </w:r>
    </w:p>
    <w:p w:rsidR="00F97B42" w:rsidRDefault="00F97B42" w:rsidP="00F97B42">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cs="Arial"/>
          <w:noProof/>
          <w:spacing w:val="-2"/>
          <w:sz w:val="20"/>
          <w:szCs w:val="20"/>
          <w:lang w:val="es-CL"/>
        </w:rPr>
      </w:pPr>
      <w:r>
        <w:rPr>
          <w:rFonts w:ascii="Cambria" w:hAnsi="Cambria" w:cs="Arial"/>
          <w:noProof/>
          <w:spacing w:val="-2"/>
          <w:sz w:val="20"/>
          <w:szCs w:val="20"/>
          <w:lang w:val="es-CL"/>
        </w:rPr>
        <w:tab/>
      </w:r>
      <w:r w:rsidRPr="006051F0">
        <w:rPr>
          <w:rFonts w:ascii="Cambria" w:hAnsi="Cambria" w:cs="Arial"/>
          <w:noProof/>
          <w:spacing w:val="-2"/>
          <w:sz w:val="20"/>
          <w:szCs w:val="20"/>
          <w:lang w:val="es-CL"/>
        </w:rPr>
        <w:t>Aprobado por la Comisión Interamericana de Derechos Humanos  a los 14 días del mes de diciembre de 2020.  (Firmado): Joel Hernández, Presidente; Antonia Urrejola, Primera Vicepresidenta; Esmeralda E. Arosemena Bernal de Troitiño y Stuardo Ralón Orellana, Miembros de la Comisión.</w:t>
      </w:r>
      <w:r w:rsidRPr="006051F0">
        <w:rPr>
          <w:rFonts w:ascii="Cambria" w:hAnsi="Cambria" w:cs="Arial"/>
          <w:noProof/>
          <w:sz w:val="20"/>
          <w:szCs w:val="20"/>
          <w:lang w:val="es-CL"/>
        </w:rPr>
        <w:t xml:space="preserve"> </w:t>
      </w:r>
    </w:p>
    <w:sectPr w:rsidR="00F97B42"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36" w:rsidRDefault="000E703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E7036" w:rsidRDefault="000E703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82" w:rsidRDefault="00810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37" w:rsidRPr="00934A2C" w:rsidRDefault="0015083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10982">
      <w:rPr>
        <w:noProof/>
        <w:sz w:val="16"/>
        <w:szCs w:val="22"/>
      </w:rPr>
      <w:t>3</w:t>
    </w:r>
    <w:r w:rsidRPr="00934A2C">
      <w:rPr>
        <w:sz w:val="16"/>
        <w:szCs w:val="22"/>
      </w:rPr>
      <w:fldChar w:fldCharType="end"/>
    </w:r>
  </w:p>
  <w:p w:rsidR="00150837" w:rsidRDefault="00150837">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37" w:rsidRPr="00934A2C" w:rsidRDefault="0015083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50837" w:rsidRDefault="00150837">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36" w:rsidRPr="000F35ED" w:rsidRDefault="000E7036">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0E7036" w:rsidRPr="000F35ED" w:rsidRDefault="000E7036"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0E7036" w:rsidRPr="000F35ED" w:rsidRDefault="000E7036"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0E7036" w:rsidRPr="000F35ED" w:rsidRDefault="000E7036"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150837" w:rsidRPr="00214B5D" w:rsidRDefault="00150837" w:rsidP="00F371C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67B31">
        <w:rPr>
          <w:rStyle w:val="FootnoteReference"/>
          <w:rFonts w:ascii="Cambria" w:hAnsi="Cambria"/>
          <w:sz w:val="16"/>
          <w:szCs w:val="16"/>
        </w:rPr>
        <w:footnoteRef/>
      </w:r>
      <w:r w:rsidRPr="00567B31">
        <w:rPr>
          <w:rFonts w:ascii="Cambria" w:hAnsi="Cambria"/>
          <w:sz w:val="16"/>
          <w:szCs w:val="16"/>
          <w:lang w:val="es-PA"/>
        </w:rPr>
        <w:t xml:space="preserve"> En adelante “la Convención Americana”</w:t>
      </w:r>
    </w:p>
  </w:footnote>
  <w:footnote w:id="3">
    <w:p w:rsidR="00150837" w:rsidRPr="00214B5D" w:rsidRDefault="00150837" w:rsidP="00F371C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67B31">
        <w:rPr>
          <w:rStyle w:val="FootnoteReference"/>
          <w:rFonts w:ascii="Cambria" w:hAnsi="Cambria"/>
          <w:sz w:val="16"/>
          <w:szCs w:val="16"/>
        </w:rPr>
        <w:footnoteRef/>
      </w:r>
      <w:r w:rsidRPr="00567B31">
        <w:rPr>
          <w:rFonts w:ascii="Cambria" w:hAnsi="Cambria"/>
          <w:sz w:val="16"/>
          <w:szCs w:val="16"/>
          <w:lang w:val="es-PA"/>
        </w:rPr>
        <w:t xml:space="preserve"> En adelante “la Declaración Americana”</w:t>
      </w:r>
    </w:p>
  </w:footnote>
  <w:footnote w:id="4">
    <w:p w:rsidR="00150837" w:rsidRPr="00214B5D" w:rsidRDefault="00150837" w:rsidP="00BC6593">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67B31">
        <w:rPr>
          <w:rStyle w:val="FootnoteReference"/>
          <w:rFonts w:ascii="Cambria" w:hAnsi="Cambria"/>
          <w:sz w:val="16"/>
          <w:szCs w:val="16"/>
        </w:rPr>
        <w:footnoteRef/>
      </w:r>
      <w:r w:rsidRPr="00567B31">
        <w:rPr>
          <w:rFonts w:ascii="Cambria" w:hAnsi="Cambria"/>
          <w:sz w:val="16"/>
          <w:szCs w:val="16"/>
          <w:lang w:val="es-PA"/>
        </w:rPr>
        <w:t xml:space="preserve"> En adelante “el Protocolo de San Salvador” </w:t>
      </w:r>
    </w:p>
  </w:footnote>
  <w:footnote w:id="5">
    <w:p w:rsidR="00150837" w:rsidRPr="00214B5D" w:rsidRDefault="00150837" w:rsidP="00BC6593">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67B31">
        <w:rPr>
          <w:rStyle w:val="FootnoteReference"/>
          <w:rFonts w:ascii="Cambria" w:hAnsi="Cambria"/>
          <w:sz w:val="16"/>
          <w:szCs w:val="16"/>
        </w:rPr>
        <w:footnoteRef/>
      </w:r>
      <w:r w:rsidRPr="00567B31">
        <w:rPr>
          <w:rFonts w:ascii="Cambria" w:hAnsi="Cambria"/>
          <w:sz w:val="16"/>
          <w:szCs w:val="16"/>
          <w:lang w:val="es-PA"/>
        </w:rPr>
        <w:t xml:space="preserve"> Pacto Internacional de Derechos Civiles y Políticos; Declaración Universal de los Derechos Humanos; y Convenios de las Organización Internacional del Trabajo (C-111 sobre Discriminación en Materia de Empleo y Ocupación, C-158 sobre Terminación de la Relación de Trabajo y C-151 Sobre las Relaciones de Trabajo en la Administración Pública).</w:t>
      </w:r>
    </w:p>
  </w:footnote>
  <w:footnote w:id="6">
    <w:p w:rsidR="00150837" w:rsidRPr="00214B5D" w:rsidRDefault="00150837" w:rsidP="00226222">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67B31">
        <w:rPr>
          <w:rStyle w:val="FootnoteReference"/>
          <w:rFonts w:ascii="Cambria" w:hAnsi="Cambria"/>
          <w:sz w:val="16"/>
          <w:szCs w:val="16"/>
        </w:rPr>
        <w:footnoteRef/>
      </w:r>
      <w:r w:rsidRPr="00567B31">
        <w:rPr>
          <w:rFonts w:ascii="Cambria" w:hAnsi="Cambria"/>
          <w:sz w:val="16"/>
          <w:szCs w:val="16"/>
          <w:lang w:val="es-ES"/>
        </w:rPr>
        <w:t xml:space="preserve"> Las observaciones de cada parte fueron debidamente trasladadas a la parte contraria.</w:t>
      </w:r>
    </w:p>
  </w:footnote>
  <w:footnote w:id="7">
    <w:p w:rsidR="00590FBB" w:rsidRPr="00536343" w:rsidRDefault="00590FBB" w:rsidP="00590FBB">
      <w:pPr>
        <w:pStyle w:val="FootnoteText"/>
        <w:pBdr>
          <w:top w:val="none" w:sz="0" w:space="0" w:color="auto"/>
          <w:left w:val="none" w:sz="0" w:space="0" w:color="auto"/>
          <w:bottom w:val="none" w:sz="0" w:space="0" w:color="auto"/>
          <w:right w:val="none" w:sz="0" w:space="0" w:color="auto"/>
          <w:bar w:val="none" w:sz="0" w:color="auto"/>
        </w:pBdr>
        <w:jc w:val="both"/>
        <w:rPr>
          <w:lang w:val="es-PA"/>
        </w:rPr>
      </w:pPr>
      <w:r w:rsidRPr="00590FBB">
        <w:rPr>
          <w:rFonts w:asciiTheme="majorHAnsi" w:hAnsiTheme="majorHAnsi"/>
          <w:sz w:val="16"/>
          <w:szCs w:val="16"/>
          <w:lang w:val="es-ES"/>
        </w:rPr>
        <w:tab/>
      </w:r>
      <w:r w:rsidRPr="00590FBB">
        <w:rPr>
          <w:rStyle w:val="FootnoteReference"/>
          <w:rFonts w:asciiTheme="majorHAnsi" w:hAnsiTheme="majorHAnsi"/>
          <w:sz w:val="16"/>
          <w:szCs w:val="16"/>
        </w:rPr>
        <w:footnoteRef/>
      </w:r>
      <w:r w:rsidRPr="00590FBB">
        <w:rPr>
          <w:rFonts w:asciiTheme="majorHAnsi" w:hAnsiTheme="majorHAnsi"/>
          <w:sz w:val="16"/>
          <w:szCs w:val="16"/>
          <w:lang w:val="es-ES"/>
        </w:rPr>
        <w:t xml:space="preserve"> </w:t>
      </w:r>
      <w:r w:rsidRPr="00590FBB">
        <w:rPr>
          <w:rFonts w:asciiTheme="majorHAnsi" w:hAnsiTheme="majorHAnsi"/>
          <w:sz w:val="16"/>
          <w:szCs w:val="16"/>
          <w:lang w:val="es-PA"/>
        </w:rPr>
        <w:t xml:space="preserve">Corte I.D.H., </w:t>
      </w:r>
      <w:proofErr w:type="spellStart"/>
      <w:r w:rsidRPr="00590FBB">
        <w:rPr>
          <w:rFonts w:asciiTheme="majorHAnsi" w:hAnsiTheme="majorHAnsi"/>
          <w:sz w:val="16"/>
          <w:szCs w:val="16"/>
          <w:lang w:val="es-PA"/>
        </w:rPr>
        <w:t>Chocron</w:t>
      </w:r>
      <w:proofErr w:type="spellEnd"/>
      <w:r w:rsidRPr="00590FBB">
        <w:rPr>
          <w:rFonts w:asciiTheme="majorHAnsi" w:hAnsiTheme="majorHAnsi"/>
          <w:sz w:val="16"/>
          <w:szCs w:val="16"/>
          <w:lang w:val="es-PA"/>
        </w:rPr>
        <w:t xml:space="preserve"> </w:t>
      </w:r>
      <w:proofErr w:type="spellStart"/>
      <w:r w:rsidRPr="00590FBB">
        <w:rPr>
          <w:rFonts w:asciiTheme="majorHAnsi" w:hAnsiTheme="majorHAnsi"/>
          <w:sz w:val="16"/>
          <w:szCs w:val="16"/>
          <w:lang w:val="es-PA"/>
        </w:rPr>
        <w:t>Chocron</w:t>
      </w:r>
      <w:proofErr w:type="spellEnd"/>
      <w:r w:rsidRPr="00590FBB">
        <w:rPr>
          <w:rFonts w:asciiTheme="majorHAnsi" w:hAnsiTheme="majorHAnsi"/>
          <w:sz w:val="16"/>
          <w:szCs w:val="16"/>
          <w:lang w:val="es-PA"/>
        </w:rPr>
        <w:t xml:space="preserve"> vs. Venezuela. Sentencia de Excepción Preliminar, Fondo Reparaciones y Costas. 1 de julio de 2011, párr. 118.</w:t>
      </w:r>
    </w:p>
  </w:footnote>
  <w:footnote w:id="8">
    <w:p w:rsidR="006F10E3" w:rsidRPr="00590FBB" w:rsidRDefault="006F10E3" w:rsidP="00590FB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590FBB">
        <w:rPr>
          <w:rStyle w:val="FootnoteReference"/>
          <w:rFonts w:asciiTheme="majorHAnsi" w:hAnsiTheme="majorHAnsi"/>
          <w:sz w:val="16"/>
          <w:szCs w:val="16"/>
        </w:rPr>
        <w:footnoteRef/>
      </w:r>
      <w:r w:rsidRPr="00F97B42">
        <w:rPr>
          <w:rFonts w:asciiTheme="majorHAnsi" w:hAnsiTheme="majorHAnsi"/>
          <w:sz w:val="16"/>
          <w:szCs w:val="16"/>
          <w:lang w:val="pt-BR"/>
        </w:rPr>
        <w:t xml:space="preserve"> CIDH. Informe No. 74/17, Caso 12.656. Fondo.Victorio Spoltore. </w:t>
      </w:r>
      <w:r w:rsidRPr="00590FBB">
        <w:rPr>
          <w:rFonts w:asciiTheme="majorHAnsi" w:hAnsiTheme="majorHAnsi"/>
          <w:sz w:val="16"/>
          <w:szCs w:val="16"/>
          <w:lang w:val="es-PA"/>
        </w:rPr>
        <w:t xml:space="preserve">Argentina. 5 de julio de 2017, </w:t>
      </w:r>
      <w:proofErr w:type="spellStart"/>
      <w:r w:rsidRPr="00590FBB">
        <w:rPr>
          <w:rFonts w:asciiTheme="majorHAnsi" w:hAnsiTheme="majorHAnsi"/>
          <w:sz w:val="16"/>
          <w:szCs w:val="16"/>
          <w:lang w:val="es-PA"/>
        </w:rPr>
        <w:t>párr</w:t>
      </w:r>
      <w:proofErr w:type="spellEnd"/>
      <w:r w:rsidRPr="00590FBB">
        <w:rPr>
          <w:rFonts w:asciiTheme="majorHAnsi" w:hAnsiTheme="majorHAnsi"/>
          <w:sz w:val="16"/>
          <w:szCs w:val="16"/>
          <w:lang w:val="es-PA"/>
        </w:rPr>
        <w:t xml:space="preserve"> 68.</w:t>
      </w:r>
    </w:p>
  </w:footnote>
  <w:footnote w:id="9">
    <w:p w:rsidR="00150837" w:rsidRDefault="00150837" w:rsidP="004C3A7D">
      <w:pPr>
        <w:pStyle w:val="FootnoteText"/>
        <w:pBdr>
          <w:top w:val="none" w:sz="0" w:space="0" w:color="auto"/>
          <w:left w:val="none" w:sz="0" w:space="0" w:color="auto"/>
          <w:bottom w:val="none" w:sz="0" w:space="0" w:color="auto"/>
          <w:right w:val="none" w:sz="0" w:space="0" w:color="auto"/>
          <w:bar w:val="none" w:sz="0" w:color="auto"/>
        </w:pBdr>
        <w:jc w:val="both"/>
      </w:pPr>
      <w:r w:rsidRPr="00590FBB">
        <w:rPr>
          <w:rFonts w:asciiTheme="majorHAnsi" w:hAnsiTheme="majorHAnsi"/>
          <w:sz w:val="16"/>
          <w:szCs w:val="16"/>
          <w:lang w:val="es-ES"/>
        </w:rPr>
        <w:tab/>
      </w:r>
      <w:r w:rsidRPr="00590FBB">
        <w:rPr>
          <w:rStyle w:val="FootnoteReference"/>
          <w:rFonts w:asciiTheme="majorHAnsi" w:hAnsiTheme="majorHAnsi"/>
          <w:sz w:val="16"/>
          <w:szCs w:val="16"/>
        </w:rPr>
        <w:footnoteRef/>
      </w:r>
      <w:r w:rsidRPr="00590FBB">
        <w:rPr>
          <w:rFonts w:asciiTheme="majorHAnsi" w:hAnsiTheme="majorHAnsi"/>
          <w:sz w:val="16"/>
          <w:szCs w:val="16"/>
          <w:lang w:val="es-ES"/>
        </w:rPr>
        <w:t xml:space="preserve"> CIDH, Informe No. 26/17, Petición 1208-08. Admisibilidad. William Olaya Moreno y familia. Colombia. 18 de marzo de 2017, párr. 9.</w:t>
      </w:r>
      <w:r w:rsidRPr="006132CC">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37" w:rsidRDefault="00150837" w:rsidP="00D43661">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50837" w:rsidRDefault="00150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37" w:rsidRDefault="00154548"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150837" w:rsidRPr="00EC7D62" w:rsidRDefault="000E703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82" w:rsidRDefault="00810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firstLine="72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rFonts w:cs="Times New Roman"/>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49E"/>
    <w:rsid w:val="00003321"/>
    <w:rsid w:val="00004713"/>
    <w:rsid w:val="000065D0"/>
    <w:rsid w:val="00006B74"/>
    <w:rsid w:val="00006E1F"/>
    <w:rsid w:val="000070D7"/>
    <w:rsid w:val="000104F5"/>
    <w:rsid w:val="00015701"/>
    <w:rsid w:val="00016406"/>
    <w:rsid w:val="000173E6"/>
    <w:rsid w:val="0001788C"/>
    <w:rsid w:val="0002186F"/>
    <w:rsid w:val="000337EF"/>
    <w:rsid w:val="00034010"/>
    <w:rsid w:val="00040C3A"/>
    <w:rsid w:val="000419AD"/>
    <w:rsid w:val="0004364E"/>
    <w:rsid w:val="00060649"/>
    <w:rsid w:val="00064191"/>
    <w:rsid w:val="000716C5"/>
    <w:rsid w:val="00075E23"/>
    <w:rsid w:val="00086E72"/>
    <w:rsid w:val="00087D19"/>
    <w:rsid w:val="0009006E"/>
    <w:rsid w:val="00092F44"/>
    <w:rsid w:val="0009344A"/>
    <w:rsid w:val="000A19F8"/>
    <w:rsid w:val="000A3254"/>
    <w:rsid w:val="000A392E"/>
    <w:rsid w:val="000A575F"/>
    <w:rsid w:val="000A63D0"/>
    <w:rsid w:val="000B0579"/>
    <w:rsid w:val="000B56F7"/>
    <w:rsid w:val="000B6A1B"/>
    <w:rsid w:val="000C1C69"/>
    <w:rsid w:val="000C3A31"/>
    <w:rsid w:val="000D10DB"/>
    <w:rsid w:val="000D6148"/>
    <w:rsid w:val="000E2789"/>
    <w:rsid w:val="000E5EB5"/>
    <w:rsid w:val="000E7036"/>
    <w:rsid w:val="000F0B08"/>
    <w:rsid w:val="000F35ED"/>
    <w:rsid w:val="00107009"/>
    <w:rsid w:val="00107131"/>
    <w:rsid w:val="0010736F"/>
    <w:rsid w:val="001114A3"/>
    <w:rsid w:val="00111A8A"/>
    <w:rsid w:val="00113F73"/>
    <w:rsid w:val="00116450"/>
    <w:rsid w:val="00121CC2"/>
    <w:rsid w:val="00124CFE"/>
    <w:rsid w:val="0012779F"/>
    <w:rsid w:val="00131D8B"/>
    <w:rsid w:val="00133EE5"/>
    <w:rsid w:val="00136E3D"/>
    <w:rsid w:val="00143EFE"/>
    <w:rsid w:val="001479C0"/>
    <w:rsid w:val="00150837"/>
    <w:rsid w:val="00151F08"/>
    <w:rsid w:val="0015330B"/>
    <w:rsid w:val="00154548"/>
    <w:rsid w:val="00161278"/>
    <w:rsid w:val="00167A34"/>
    <w:rsid w:val="00176BB3"/>
    <w:rsid w:val="00177EEF"/>
    <w:rsid w:val="00186D2C"/>
    <w:rsid w:val="00187E3D"/>
    <w:rsid w:val="00190317"/>
    <w:rsid w:val="001A6683"/>
    <w:rsid w:val="001A7870"/>
    <w:rsid w:val="001A7B8C"/>
    <w:rsid w:val="001B3A00"/>
    <w:rsid w:val="001B442A"/>
    <w:rsid w:val="001B4C00"/>
    <w:rsid w:val="001C1455"/>
    <w:rsid w:val="001C1B41"/>
    <w:rsid w:val="001C4039"/>
    <w:rsid w:val="001D65EF"/>
    <w:rsid w:val="001E1067"/>
    <w:rsid w:val="001E49E7"/>
    <w:rsid w:val="001F271B"/>
    <w:rsid w:val="001F371D"/>
    <w:rsid w:val="001F681D"/>
    <w:rsid w:val="001F7201"/>
    <w:rsid w:val="00204931"/>
    <w:rsid w:val="0020691D"/>
    <w:rsid w:val="00211731"/>
    <w:rsid w:val="00211BDA"/>
    <w:rsid w:val="002120BC"/>
    <w:rsid w:val="00214B5D"/>
    <w:rsid w:val="0021779A"/>
    <w:rsid w:val="002207F6"/>
    <w:rsid w:val="00223A29"/>
    <w:rsid w:val="00223BAA"/>
    <w:rsid w:val="002250A3"/>
    <w:rsid w:val="00226222"/>
    <w:rsid w:val="00231294"/>
    <w:rsid w:val="00233654"/>
    <w:rsid w:val="00235217"/>
    <w:rsid w:val="002355A9"/>
    <w:rsid w:val="00241813"/>
    <w:rsid w:val="002435FF"/>
    <w:rsid w:val="00246D1F"/>
    <w:rsid w:val="00246F54"/>
    <w:rsid w:val="00247403"/>
    <w:rsid w:val="00247542"/>
    <w:rsid w:val="0025012E"/>
    <w:rsid w:val="00257CF9"/>
    <w:rsid w:val="00264EDA"/>
    <w:rsid w:val="0026530F"/>
    <w:rsid w:val="00266B61"/>
    <w:rsid w:val="0026712A"/>
    <w:rsid w:val="002704DB"/>
    <w:rsid w:val="0027320E"/>
    <w:rsid w:val="0027435F"/>
    <w:rsid w:val="00277BDA"/>
    <w:rsid w:val="00285F17"/>
    <w:rsid w:val="0029575A"/>
    <w:rsid w:val="002A0AAE"/>
    <w:rsid w:val="002A5820"/>
    <w:rsid w:val="002A6BA5"/>
    <w:rsid w:val="002C3350"/>
    <w:rsid w:val="002D2B26"/>
    <w:rsid w:val="002D7EA2"/>
    <w:rsid w:val="002E187C"/>
    <w:rsid w:val="002E6E36"/>
    <w:rsid w:val="002E7512"/>
    <w:rsid w:val="002F3724"/>
    <w:rsid w:val="00300C13"/>
    <w:rsid w:val="00302733"/>
    <w:rsid w:val="003077BF"/>
    <w:rsid w:val="003121D5"/>
    <w:rsid w:val="00314078"/>
    <w:rsid w:val="0031535D"/>
    <w:rsid w:val="003207C9"/>
    <w:rsid w:val="003239B8"/>
    <w:rsid w:val="0033169F"/>
    <w:rsid w:val="00341105"/>
    <w:rsid w:val="0034224A"/>
    <w:rsid w:val="00343112"/>
    <w:rsid w:val="00343438"/>
    <w:rsid w:val="00344977"/>
    <w:rsid w:val="00346C95"/>
    <w:rsid w:val="00351155"/>
    <w:rsid w:val="00356185"/>
    <w:rsid w:val="00360380"/>
    <w:rsid w:val="00363DB6"/>
    <w:rsid w:val="00367D17"/>
    <w:rsid w:val="0037519E"/>
    <w:rsid w:val="00386C6C"/>
    <w:rsid w:val="00386CF0"/>
    <w:rsid w:val="003942EC"/>
    <w:rsid w:val="00396562"/>
    <w:rsid w:val="0039714C"/>
    <w:rsid w:val="003A6337"/>
    <w:rsid w:val="003B4FF6"/>
    <w:rsid w:val="003B5585"/>
    <w:rsid w:val="003B70FB"/>
    <w:rsid w:val="003C20FF"/>
    <w:rsid w:val="003C4F45"/>
    <w:rsid w:val="003C6112"/>
    <w:rsid w:val="003C676B"/>
    <w:rsid w:val="003C7487"/>
    <w:rsid w:val="003D0A55"/>
    <w:rsid w:val="003D3BC2"/>
    <w:rsid w:val="003E2134"/>
    <w:rsid w:val="003E3DC8"/>
    <w:rsid w:val="003E614F"/>
    <w:rsid w:val="003E6CA1"/>
    <w:rsid w:val="00400F5E"/>
    <w:rsid w:val="004065A8"/>
    <w:rsid w:val="004153F5"/>
    <w:rsid w:val="004165C2"/>
    <w:rsid w:val="00425533"/>
    <w:rsid w:val="004304AD"/>
    <w:rsid w:val="00434A3E"/>
    <w:rsid w:val="00441ECB"/>
    <w:rsid w:val="004435A3"/>
    <w:rsid w:val="00445193"/>
    <w:rsid w:val="00447CCF"/>
    <w:rsid w:val="0045229A"/>
    <w:rsid w:val="004565BA"/>
    <w:rsid w:val="004601CF"/>
    <w:rsid w:val="00462C1B"/>
    <w:rsid w:val="00467B7E"/>
    <w:rsid w:val="0047080D"/>
    <w:rsid w:val="00473BB4"/>
    <w:rsid w:val="00476211"/>
    <w:rsid w:val="00477592"/>
    <w:rsid w:val="00486F1C"/>
    <w:rsid w:val="0049419D"/>
    <w:rsid w:val="004A59CC"/>
    <w:rsid w:val="004A6A54"/>
    <w:rsid w:val="004A7831"/>
    <w:rsid w:val="004B132D"/>
    <w:rsid w:val="004B245C"/>
    <w:rsid w:val="004B50A0"/>
    <w:rsid w:val="004B5905"/>
    <w:rsid w:val="004C0323"/>
    <w:rsid w:val="004C20D2"/>
    <w:rsid w:val="004C2312"/>
    <w:rsid w:val="004C3A7D"/>
    <w:rsid w:val="004C4B62"/>
    <w:rsid w:val="004C54C9"/>
    <w:rsid w:val="004C616A"/>
    <w:rsid w:val="004C731B"/>
    <w:rsid w:val="004D33D4"/>
    <w:rsid w:val="004D4ABA"/>
    <w:rsid w:val="004D4DEE"/>
    <w:rsid w:val="004D6025"/>
    <w:rsid w:val="004E19B1"/>
    <w:rsid w:val="004E2649"/>
    <w:rsid w:val="004E2E69"/>
    <w:rsid w:val="004E5467"/>
    <w:rsid w:val="004F2474"/>
    <w:rsid w:val="004F2F5D"/>
    <w:rsid w:val="00501399"/>
    <w:rsid w:val="00501652"/>
    <w:rsid w:val="0050633D"/>
    <w:rsid w:val="00507BC4"/>
    <w:rsid w:val="005128E4"/>
    <w:rsid w:val="005133DB"/>
    <w:rsid w:val="005141C6"/>
    <w:rsid w:val="00525560"/>
    <w:rsid w:val="00534ED4"/>
    <w:rsid w:val="00536343"/>
    <w:rsid w:val="005415E6"/>
    <w:rsid w:val="00544216"/>
    <w:rsid w:val="00544C49"/>
    <w:rsid w:val="005516A1"/>
    <w:rsid w:val="0055412E"/>
    <w:rsid w:val="005565AF"/>
    <w:rsid w:val="00563557"/>
    <w:rsid w:val="00567B31"/>
    <w:rsid w:val="0057402A"/>
    <w:rsid w:val="00574CB7"/>
    <w:rsid w:val="005766AD"/>
    <w:rsid w:val="005771D0"/>
    <w:rsid w:val="00590FBB"/>
    <w:rsid w:val="0059191A"/>
    <w:rsid w:val="005921FF"/>
    <w:rsid w:val="00594707"/>
    <w:rsid w:val="005A24ED"/>
    <w:rsid w:val="005A6C02"/>
    <w:rsid w:val="005A6D0E"/>
    <w:rsid w:val="005B00F5"/>
    <w:rsid w:val="005B37CC"/>
    <w:rsid w:val="005B52B0"/>
    <w:rsid w:val="005B6806"/>
    <w:rsid w:val="005B6D22"/>
    <w:rsid w:val="005C261A"/>
    <w:rsid w:val="005C4225"/>
    <w:rsid w:val="005C458F"/>
    <w:rsid w:val="005C7989"/>
    <w:rsid w:val="005D13F3"/>
    <w:rsid w:val="005D4EBD"/>
    <w:rsid w:val="005D66AD"/>
    <w:rsid w:val="005E0B65"/>
    <w:rsid w:val="005E11B2"/>
    <w:rsid w:val="005E4C8B"/>
    <w:rsid w:val="005F0DAD"/>
    <w:rsid w:val="005F0F33"/>
    <w:rsid w:val="00600DEB"/>
    <w:rsid w:val="00604CA5"/>
    <w:rsid w:val="006062FA"/>
    <w:rsid w:val="006068B7"/>
    <w:rsid w:val="00611CED"/>
    <w:rsid w:val="006132CC"/>
    <w:rsid w:val="00615248"/>
    <w:rsid w:val="0061708C"/>
    <w:rsid w:val="00623A34"/>
    <w:rsid w:val="006277DE"/>
    <w:rsid w:val="00627C9F"/>
    <w:rsid w:val="006311E9"/>
    <w:rsid w:val="00632354"/>
    <w:rsid w:val="00634245"/>
    <w:rsid w:val="00642810"/>
    <w:rsid w:val="00647756"/>
    <w:rsid w:val="006509DA"/>
    <w:rsid w:val="00652333"/>
    <w:rsid w:val="00654344"/>
    <w:rsid w:val="0066069F"/>
    <w:rsid w:val="00662E2F"/>
    <w:rsid w:val="0066550E"/>
    <w:rsid w:val="00670BF9"/>
    <w:rsid w:val="00671554"/>
    <w:rsid w:val="006775AB"/>
    <w:rsid w:val="0068009E"/>
    <w:rsid w:val="006819E9"/>
    <w:rsid w:val="00686471"/>
    <w:rsid w:val="0068794B"/>
    <w:rsid w:val="0069157D"/>
    <w:rsid w:val="00691BBE"/>
    <w:rsid w:val="00692219"/>
    <w:rsid w:val="006928C1"/>
    <w:rsid w:val="0069402E"/>
    <w:rsid w:val="006A0E36"/>
    <w:rsid w:val="006A17D2"/>
    <w:rsid w:val="006A36BB"/>
    <w:rsid w:val="006A4D7E"/>
    <w:rsid w:val="006A73E6"/>
    <w:rsid w:val="006B1B8B"/>
    <w:rsid w:val="006B23DC"/>
    <w:rsid w:val="006B29DD"/>
    <w:rsid w:val="006B2D5C"/>
    <w:rsid w:val="006B2EE8"/>
    <w:rsid w:val="006B5A72"/>
    <w:rsid w:val="006C4EB1"/>
    <w:rsid w:val="006D016F"/>
    <w:rsid w:val="006E0166"/>
    <w:rsid w:val="006E4E96"/>
    <w:rsid w:val="006E772A"/>
    <w:rsid w:val="006E7B34"/>
    <w:rsid w:val="006F10E3"/>
    <w:rsid w:val="006F551A"/>
    <w:rsid w:val="006F6237"/>
    <w:rsid w:val="006F73BE"/>
    <w:rsid w:val="007044E1"/>
    <w:rsid w:val="00706189"/>
    <w:rsid w:val="0070697F"/>
    <w:rsid w:val="0072199C"/>
    <w:rsid w:val="00722C9F"/>
    <w:rsid w:val="00722E22"/>
    <w:rsid w:val="007253B8"/>
    <w:rsid w:val="00727B0E"/>
    <w:rsid w:val="0073036F"/>
    <w:rsid w:val="00731F35"/>
    <w:rsid w:val="00732C96"/>
    <w:rsid w:val="00733F2B"/>
    <w:rsid w:val="0073598C"/>
    <w:rsid w:val="0073741F"/>
    <w:rsid w:val="0076643F"/>
    <w:rsid w:val="00777F63"/>
    <w:rsid w:val="007852B5"/>
    <w:rsid w:val="007912C8"/>
    <w:rsid w:val="00796A37"/>
    <w:rsid w:val="007A5817"/>
    <w:rsid w:val="007A5D4C"/>
    <w:rsid w:val="007B05C4"/>
    <w:rsid w:val="007B11C8"/>
    <w:rsid w:val="007B60E9"/>
    <w:rsid w:val="007B6CC3"/>
    <w:rsid w:val="007C0899"/>
    <w:rsid w:val="007C3334"/>
    <w:rsid w:val="007C402A"/>
    <w:rsid w:val="007C5516"/>
    <w:rsid w:val="007C5E01"/>
    <w:rsid w:val="007D2B98"/>
    <w:rsid w:val="007D7C02"/>
    <w:rsid w:val="007E21BC"/>
    <w:rsid w:val="007E58FE"/>
    <w:rsid w:val="007E7C82"/>
    <w:rsid w:val="007F54FB"/>
    <w:rsid w:val="007F588D"/>
    <w:rsid w:val="00802583"/>
    <w:rsid w:val="00802748"/>
    <w:rsid w:val="00803F1C"/>
    <w:rsid w:val="0080600E"/>
    <w:rsid w:val="00807E8C"/>
    <w:rsid w:val="00810982"/>
    <w:rsid w:val="00817612"/>
    <w:rsid w:val="00826756"/>
    <w:rsid w:val="00827C40"/>
    <w:rsid w:val="008338A4"/>
    <w:rsid w:val="00834D49"/>
    <w:rsid w:val="00837C45"/>
    <w:rsid w:val="008411F0"/>
    <w:rsid w:val="008439BC"/>
    <w:rsid w:val="00844730"/>
    <w:rsid w:val="008448B6"/>
    <w:rsid w:val="008457C2"/>
    <w:rsid w:val="00851BF6"/>
    <w:rsid w:val="00857A82"/>
    <w:rsid w:val="0086141D"/>
    <w:rsid w:val="00870492"/>
    <w:rsid w:val="00870D95"/>
    <w:rsid w:val="00871359"/>
    <w:rsid w:val="00871526"/>
    <w:rsid w:val="00873836"/>
    <w:rsid w:val="00875668"/>
    <w:rsid w:val="008802DC"/>
    <w:rsid w:val="00881E7D"/>
    <w:rsid w:val="008856AB"/>
    <w:rsid w:val="00885737"/>
    <w:rsid w:val="00890650"/>
    <w:rsid w:val="00897E12"/>
    <w:rsid w:val="008A0F81"/>
    <w:rsid w:val="008A310C"/>
    <w:rsid w:val="008A392C"/>
    <w:rsid w:val="008A7E0F"/>
    <w:rsid w:val="008B098F"/>
    <w:rsid w:val="008B12F5"/>
    <w:rsid w:val="008B5932"/>
    <w:rsid w:val="008C5751"/>
    <w:rsid w:val="008C73B3"/>
    <w:rsid w:val="008D02AD"/>
    <w:rsid w:val="008D768D"/>
    <w:rsid w:val="008E0FD8"/>
    <w:rsid w:val="008E328A"/>
    <w:rsid w:val="008E3759"/>
    <w:rsid w:val="008E3BFE"/>
    <w:rsid w:val="008E7900"/>
    <w:rsid w:val="008F1912"/>
    <w:rsid w:val="008F642D"/>
    <w:rsid w:val="0090270B"/>
    <w:rsid w:val="009041DC"/>
    <w:rsid w:val="009053E2"/>
    <w:rsid w:val="00911B3F"/>
    <w:rsid w:val="00917B5A"/>
    <w:rsid w:val="00920A58"/>
    <w:rsid w:val="00920A8C"/>
    <w:rsid w:val="00920AC1"/>
    <w:rsid w:val="00924F65"/>
    <w:rsid w:val="00934A2C"/>
    <w:rsid w:val="00935F06"/>
    <w:rsid w:val="00937B3A"/>
    <w:rsid w:val="00943696"/>
    <w:rsid w:val="00945886"/>
    <w:rsid w:val="00953D82"/>
    <w:rsid w:val="00954B82"/>
    <w:rsid w:val="00957000"/>
    <w:rsid w:val="00962436"/>
    <w:rsid w:val="0096706E"/>
    <w:rsid w:val="00974491"/>
    <w:rsid w:val="00975C4E"/>
    <w:rsid w:val="00977573"/>
    <w:rsid w:val="00981FBA"/>
    <w:rsid w:val="00984ACE"/>
    <w:rsid w:val="00991376"/>
    <w:rsid w:val="00997BC5"/>
    <w:rsid w:val="009A4F41"/>
    <w:rsid w:val="009B381B"/>
    <w:rsid w:val="009C2FC5"/>
    <w:rsid w:val="009D1753"/>
    <w:rsid w:val="009D38C6"/>
    <w:rsid w:val="009D4CF0"/>
    <w:rsid w:val="009D6502"/>
    <w:rsid w:val="009D7611"/>
    <w:rsid w:val="009D78A5"/>
    <w:rsid w:val="009E08DD"/>
    <w:rsid w:val="009E0B61"/>
    <w:rsid w:val="009E53DE"/>
    <w:rsid w:val="009E7C00"/>
    <w:rsid w:val="009F4469"/>
    <w:rsid w:val="00A0691C"/>
    <w:rsid w:val="00A11E44"/>
    <w:rsid w:val="00A154C8"/>
    <w:rsid w:val="00A22397"/>
    <w:rsid w:val="00A32313"/>
    <w:rsid w:val="00A328B3"/>
    <w:rsid w:val="00A42709"/>
    <w:rsid w:val="00A507C8"/>
    <w:rsid w:val="00A50FCF"/>
    <w:rsid w:val="00A528D1"/>
    <w:rsid w:val="00A563EE"/>
    <w:rsid w:val="00A610CD"/>
    <w:rsid w:val="00A625E0"/>
    <w:rsid w:val="00A73E4C"/>
    <w:rsid w:val="00A74947"/>
    <w:rsid w:val="00A758AA"/>
    <w:rsid w:val="00A92093"/>
    <w:rsid w:val="00A929AA"/>
    <w:rsid w:val="00A93A60"/>
    <w:rsid w:val="00AA09A2"/>
    <w:rsid w:val="00AA19DA"/>
    <w:rsid w:val="00AA399C"/>
    <w:rsid w:val="00AA7996"/>
    <w:rsid w:val="00AB14BB"/>
    <w:rsid w:val="00AC19CB"/>
    <w:rsid w:val="00AD1886"/>
    <w:rsid w:val="00AE5488"/>
    <w:rsid w:val="00AE6F91"/>
    <w:rsid w:val="00AF5571"/>
    <w:rsid w:val="00AF695E"/>
    <w:rsid w:val="00AF710D"/>
    <w:rsid w:val="00B066A5"/>
    <w:rsid w:val="00B06B4E"/>
    <w:rsid w:val="00B07341"/>
    <w:rsid w:val="00B10160"/>
    <w:rsid w:val="00B202B5"/>
    <w:rsid w:val="00B30099"/>
    <w:rsid w:val="00B30539"/>
    <w:rsid w:val="00B314DB"/>
    <w:rsid w:val="00B361F2"/>
    <w:rsid w:val="00B36FBE"/>
    <w:rsid w:val="00B3718B"/>
    <w:rsid w:val="00B37229"/>
    <w:rsid w:val="00B403E3"/>
    <w:rsid w:val="00B415FE"/>
    <w:rsid w:val="00B42FA4"/>
    <w:rsid w:val="00B4460D"/>
    <w:rsid w:val="00B45CC0"/>
    <w:rsid w:val="00B4632A"/>
    <w:rsid w:val="00B5067D"/>
    <w:rsid w:val="00B530F1"/>
    <w:rsid w:val="00B54338"/>
    <w:rsid w:val="00B543EC"/>
    <w:rsid w:val="00B57297"/>
    <w:rsid w:val="00B5798A"/>
    <w:rsid w:val="00B736AF"/>
    <w:rsid w:val="00B742BE"/>
    <w:rsid w:val="00B85559"/>
    <w:rsid w:val="00B85E9F"/>
    <w:rsid w:val="00B87359"/>
    <w:rsid w:val="00B92D4A"/>
    <w:rsid w:val="00B97946"/>
    <w:rsid w:val="00BA1EAE"/>
    <w:rsid w:val="00BA276C"/>
    <w:rsid w:val="00BA5544"/>
    <w:rsid w:val="00BB0330"/>
    <w:rsid w:val="00BB306F"/>
    <w:rsid w:val="00BB3402"/>
    <w:rsid w:val="00BB3FBD"/>
    <w:rsid w:val="00BC0968"/>
    <w:rsid w:val="00BC6593"/>
    <w:rsid w:val="00BC6CD0"/>
    <w:rsid w:val="00BD4B89"/>
    <w:rsid w:val="00BD5922"/>
    <w:rsid w:val="00BD622A"/>
    <w:rsid w:val="00BD76D9"/>
    <w:rsid w:val="00BF02CB"/>
    <w:rsid w:val="00BF2178"/>
    <w:rsid w:val="00BF32A7"/>
    <w:rsid w:val="00BF514A"/>
    <w:rsid w:val="00BF6FD8"/>
    <w:rsid w:val="00BF775D"/>
    <w:rsid w:val="00C00A8C"/>
    <w:rsid w:val="00C03680"/>
    <w:rsid w:val="00C044C7"/>
    <w:rsid w:val="00C054DF"/>
    <w:rsid w:val="00C05D56"/>
    <w:rsid w:val="00C06EF7"/>
    <w:rsid w:val="00C10AFC"/>
    <w:rsid w:val="00C21562"/>
    <w:rsid w:val="00C21762"/>
    <w:rsid w:val="00C21FEF"/>
    <w:rsid w:val="00C24543"/>
    <w:rsid w:val="00C256A2"/>
    <w:rsid w:val="00C308DF"/>
    <w:rsid w:val="00C35A26"/>
    <w:rsid w:val="00C40B41"/>
    <w:rsid w:val="00C4317B"/>
    <w:rsid w:val="00C51515"/>
    <w:rsid w:val="00C53619"/>
    <w:rsid w:val="00C53910"/>
    <w:rsid w:val="00C5660B"/>
    <w:rsid w:val="00C56854"/>
    <w:rsid w:val="00C5788A"/>
    <w:rsid w:val="00C66B72"/>
    <w:rsid w:val="00C70BA7"/>
    <w:rsid w:val="00C80B5A"/>
    <w:rsid w:val="00C85CE6"/>
    <w:rsid w:val="00C87628"/>
    <w:rsid w:val="00C87AC4"/>
    <w:rsid w:val="00C9529A"/>
    <w:rsid w:val="00C9567A"/>
    <w:rsid w:val="00C97A5D"/>
    <w:rsid w:val="00CA48A3"/>
    <w:rsid w:val="00CB212D"/>
    <w:rsid w:val="00CB2660"/>
    <w:rsid w:val="00CC5E90"/>
    <w:rsid w:val="00CD046C"/>
    <w:rsid w:val="00CD186A"/>
    <w:rsid w:val="00CE0020"/>
    <w:rsid w:val="00CE076C"/>
    <w:rsid w:val="00CE5199"/>
    <w:rsid w:val="00CE66D5"/>
    <w:rsid w:val="00CF637A"/>
    <w:rsid w:val="00D01897"/>
    <w:rsid w:val="00D059DE"/>
    <w:rsid w:val="00D05ABD"/>
    <w:rsid w:val="00D07A47"/>
    <w:rsid w:val="00D115B2"/>
    <w:rsid w:val="00D13FCE"/>
    <w:rsid w:val="00D17E8C"/>
    <w:rsid w:val="00D20237"/>
    <w:rsid w:val="00D21B18"/>
    <w:rsid w:val="00D22FBE"/>
    <w:rsid w:val="00D24AD4"/>
    <w:rsid w:val="00D306D1"/>
    <w:rsid w:val="00D30800"/>
    <w:rsid w:val="00D34786"/>
    <w:rsid w:val="00D37BFC"/>
    <w:rsid w:val="00D37FB9"/>
    <w:rsid w:val="00D40BDC"/>
    <w:rsid w:val="00D42822"/>
    <w:rsid w:val="00D43661"/>
    <w:rsid w:val="00D47A8E"/>
    <w:rsid w:val="00D52D14"/>
    <w:rsid w:val="00D55256"/>
    <w:rsid w:val="00D56D93"/>
    <w:rsid w:val="00D575BC"/>
    <w:rsid w:val="00D712D3"/>
    <w:rsid w:val="00D71422"/>
    <w:rsid w:val="00D72DC6"/>
    <w:rsid w:val="00D73F5E"/>
    <w:rsid w:val="00D7558D"/>
    <w:rsid w:val="00D77503"/>
    <w:rsid w:val="00D81D92"/>
    <w:rsid w:val="00D876F9"/>
    <w:rsid w:val="00D877B6"/>
    <w:rsid w:val="00D93A90"/>
    <w:rsid w:val="00DA7B5F"/>
    <w:rsid w:val="00DB197B"/>
    <w:rsid w:val="00DC0155"/>
    <w:rsid w:val="00DC11E7"/>
    <w:rsid w:val="00DC7023"/>
    <w:rsid w:val="00DC769A"/>
    <w:rsid w:val="00DD061E"/>
    <w:rsid w:val="00DD151B"/>
    <w:rsid w:val="00DD3D86"/>
    <w:rsid w:val="00DE12F0"/>
    <w:rsid w:val="00DE6DAA"/>
    <w:rsid w:val="00DE7D78"/>
    <w:rsid w:val="00DF1745"/>
    <w:rsid w:val="00DF1EC4"/>
    <w:rsid w:val="00DF51E9"/>
    <w:rsid w:val="00DF54A0"/>
    <w:rsid w:val="00E01943"/>
    <w:rsid w:val="00E0340B"/>
    <w:rsid w:val="00E04A90"/>
    <w:rsid w:val="00E0551F"/>
    <w:rsid w:val="00E0695F"/>
    <w:rsid w:val="00E07937"/>
    <w:rsid w:val="00E07CB1"/>
    <w:rsid w:val="00E1204C"/>
    <w:rsid w:val="00E219C7"/>
    <w:rsid w:val="00E25875"/>
    <w:rsid w:val="00E26CCA"/>
    <w:rsid w:val="00E27F56"/>
    <w:rsid w:val="00E30CC1"/>
    <w:rsid w:val="00E3639C"/>
    <w:rsid w:val="00E3702D"/>
    <w:rsid w:val="00E4118C"/>
    <w:rsid w:val="00E43157"/>
    <w:rsid w:val="00E461CE"/>
    <w:rsid w:val="00E46AF9"/>
    <w:rsid w:val="00E720CA"/>
    <w:rsid w:val="00E73010"/>
    <w:rsid w:val="00E76C6F"/>
    <w:rsid w:val="00E8038C"/>
    <w:rsid w:val="00E81364"/>
    <w:rsid w:val="00E84EB5"/>
    <w:rsid w:val="00E85662"/>
    <w:rsid w:val="00E85D37"/>
    <w:rsid w:val="00E86C16"/>
    <w:rsid w:val="00E8789F"/>
    <w:rsid w:val="00E90973"/>
    <w:rsid w:val="00E92747"/>
    <w:rsid w:val="00E9525D"/>
    <w:rsid w:val="00E97B71"/>
    <w:rsid w:val="00EA3D34"/>
    <w:rsid w:val="00EA4E70"/>
    <w:rsid w:val="00EA4FA6"/>
    <w:rsid w:val="00EB454D"/>
    <w:rsid w:val="00EC16CC"/>
    <w:rsid w:val="00EC26E9"/>
    <w:rsid w:val="00EC72AB"/>
    <w:rsid w:val="00EC7D62"/>
    <w:rsid w:val="00ED2F03"/>
    <w:rsid w:val="00ED4CBD"/>
    <w:rsid w:val="00ED549D"/>
    <w:rsid w:val="00ED76BE"/>
    <w:rsid w:val="00ED7F05"/>
    <w:rsid w:val="00EE00E9"/>
    <w:rsid w:val="00EE014D"/>
    <w:rsid w:val="00EE1764"/>
    <w:rsid w:val="00EE1F11"/>
    <w:rsid w:val="00EE604B"/>
    <w:rsid w:val="00EF35AB"/>
    <w:rsid w:val="00EF4C44"/>
    <w:rsid w:val="00EF619B"/>
    <w:rsid w:val="00F00B55"/>
    <w:rsid w:val="00F02AD1"/>
    <w:rsid w:val="00F04591"/>
    <w:rsid w:val="00F06354"/>
    <w:rsid w:val="00F11019"/>
    <w:rsid w:val="00F11FBB"/>
    <w:rsid w:val="00F1747D"/>
    <w:rsid w:val="00F251B7"/>
    <w:rsid w:val="00F253CC"/>
    <w:rsid w:val="00F332EF"/>
    <w:rsid w:val="00F3559E"/>
    <w:rsid w:val="00F37106"/>
    <w:rsid w:val="00F371C8"/>
    <w:rsid w:val="00F519CF"/>
    <w:rsid w:val="00F53168"/>
    <w:rsid w:val="00F547B9"/>
    <w:rsid w:val="00F56BA5"/>
    <w:rsid w:val="00F60E22"/>
    <w:rsid w:val="00F63B39"/>
    <w:rsid w:val="00F65CE0"/>
    <w:rsid w:val="00F71FEE"/>
    <w:rsid w:val="00F7325F"/>
    <w:rsid w:val="00F81395"/>
    <w:rsid w:val="00F81887"/>
    <w:rsid w:val="00F81BB8"/>
    <w:rsid w:val="00F847C4"/>
    <w:rsid w:val="00F917D1"/>
    <w:rsid w:val="00F9342C"/>
    <w:rsid w:val="00F964D5"/>
    <w:rsid w:val="00F9653B"/>
    <w:rsid w:val="00F97B42"/>
    <w:rsid w:val="00FA56EA"/>
    <w:rsid w:val="00FA5DB1"/>
    <w:rsid w:val="00FB62CF"/>
    <w:rsid w:val="00FC0649"/>
    <w:rsid w:val="00FC0F4A"/>
    <w:rsid w:val="00FC2B4A"/>
    <w:rsid w:val="00FC3330"/>
    <w:rsid w:val="00FC5576"/>
    <w:rsid w:val="00FC7608"/>
    <w:rsid w:val="00FD1986"/>
    <w:rsid w:val="00FD1C1D"/>
    <w:rsid w:val="00FD3C3B"/>
    <w:rsid w:val="00FD4188"/>
    <w:rsid w:val="00FD6A68"/>
    <w:rsid w:val="00FD7C3E"/>
    <w:rsid w:val="00FE07DD"/>
    <w:rsid w:val="00FE430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4A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114A3"/>
    <w:rPr>
      <w:rFonts w:cs="Times New Roman"/>
      <w:u w:val="single"/>
    </w:rPr>
  </w:style>
  <w:style w:type="paragraph" w:customStyle="1" w:styleId="Cabeceraypie">
    <w:name w:val="Cabecera y pie"/>
    <w:uiPriority w:val="99"/>
    <w:rsid w:val="001114A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1114A3"/>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1114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114A3"/>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E37841"/>
    <w:rPr>
      <w:sz w:val="24"/>
      <w:szCs w:val="24"/>
      <w:lang w:val="en-US" w:eastAsia="en-US"/>
    </w:rPr>
  </w:style>
  <w:style w:type="paragraph" w:styleId="ListParagraph">
    <w:name w:val="List Paragraph"/>
    <w:basedOn w:val="Normal"/>
    <w:uiPriority w:val="99"/>
    <w:qFormat/>
    <w:rsid w:val="001114A3"/>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1114A3"/>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E37841"/>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link w:val="4GChar"/>
    <w:uiPriority w:val="99"/>
    <w:locked/>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5412E"/>
    <w:pPr>
      <w:pBdr>
        <w:top w:val="none" w:sz="0" w:space="0" w:color="auto"/>
        <w:left w:val="none" w:sz="0" w:space="0" w:color="auto"/>
        <w:bottom w:val="none" w:sz="0" w:space="0" w:color="auto"/>
        <w:right w:val="none" w:sz="0" w:space="0" w:color="auto"/>
        <w:bar w:val="none" w:sz="0" w:color="auto"/>
      </w:pBdr>
      <w:jc w:val="both"/>
    </w:pPr>
    <w:rPr>
      <w:sz w:val="20"/>
      <w:szCs w:val="20"/>
      <w:vertAlign w:val="superscript"/>
      <w:lang w:val="es-ES" w:eastAsia="es-ES"/>
    </w:rPr>
  </w:style>
  <w:style w:type="numbering" w:customStyle="1" w:styleId="List16">
    <w:name w:val="List 16"/>
    <w:rsid w:val="00E37841"/>
    <w:pPr>
      <w:numPr>
        <w:numId w:val="10"/>
      </w:numPr>
    </w:pPr>
  </w:style>
  <w:style w:type="numbering" w:customStyle="1" w:styleId="List36">
    <w:name w:val="List 36"/>
    <w:rsid w:val="00E37841"/>
    <w:pPr>
      <w:numPr>
        <w:numId w:val="14"/>
      </w:numPr>
    </w:pPr>
  </w:style>
  <w:style w:type="numbering" w:customStyle="1" w:styleId="List25">
    <w:name w:val="List 25"/>
    <w:rsid w:val="00E37841"/>
    <w:pPr>
      <w:numPr>
        <w:numId w:val="15"/>
      </w:numPr>
    </w:pPr>
  </w:style>
  <w:style w:type="numbering" w:customStyle="1" w:styleId="List1">
    <w:name w:val="List 1"/>
    <w:rsid w:val="00E37841"/>
    <w:pPr>
      <w:numPr>
        <w:numId w:val="1"/>
      </w:numPr>
    </w:pPr>
  </w:style>
  <w:style w:type="numbering" w:customStyle="1" w:styleId="List11">
    <w:name w:val="List 11"/>
    <w:rsid w:val="00E37841"/>
    <w:pPr>
      <w:numPr>
        <w:numId w:val="7"/>
      </w:numPr>
    </w:pPr>
  </w:style>
  <w:style w:type="numbering" w:customStyle="1" w:styleId="List15">
    <w:name w:val="List 15"/>
    <w:rsid w:val="00E37841"/>
    <w:pPr>
      <w:numPr>
        <w:numId w:val="16"/>
      </w:numPr>
    </w:pPr>
  </w:style>
  <w:style w:type="numbering" w:customStyle="1" w:styleId="List14">
    <w:name w:val="List 14"/>
    <w:rsid w:val="00E37841"/>
    <w:pPr>
      <w:numPr>
        <w:numId w:val="17"/>
      </w:numPr>
    </w:pPr>
  </w:style>
  <w:style w:type="numbering" w:customStyle="1" w:styleId="List23">
    <w:name w:val="List 23"/>
    <w:rsid w:val="00E37841"/>
    <w:pPr>
      <w:numPr>
        <w:numId w:val="18"/>
      </w:numPr>
    </w:pPr>
  </w:style>
  <w:style w:type="numbering" w:customStyle="1" w:styleId="List19">
    <w:name w:val="List 19"/>
    <w:rsid w:val="00E37841"/>
    <w:pPr>
      <w:numPr>
        <w:numId w:val="19"/>
      </w:numPr>
    </w:pPr>
  </w:style>
  <w:style w:type="numbering" w:customStyle="1" w:styleId="List45">
    <w:name w:val="List 45"/>
    <w:rsid w:val="00E37841"/>
    <w:pPr>
      <w:numPr>
        <w:numId w:val="20"/>
      </w:numPr>
    </w:pPr>
  </w:style>
  <w:style w:type="numbering" w:customStyle="1" w:styleId="List40">
    <w:name w:val="List 40"/>
    <w:rsid w:val="00E37841"/>
    <w:pPr>
      <w:numPr>
        <w:numId w:val="21"/>
      </w:numPr>
    </w:pPr>
  </w:style>
  <w:style w:type="numbering" w:customStyle="1" w:styleId="List9">
    <w:name w:val="List 9"/>
    <w:rsid w:val="00E37841"/>
    <w:pPr>
      <w:numPr>
        <w:numId w:val="22"/>
      </w:numPr>
    </w:pPr>
  </w:style>
  <w:style w:type="numbering" w:customStyle="1" w:styleId="List43">
    <w:name w:val="List 43"/>
    <w:rsid w:val="00E37841"/>
    <w:pPr>
      <w:numPr>
        <w:numId w:val="23"/>
      </w:numPr>
    </w:pPr>
  </w:style>
  <w:style w:type="numbering" w:customStyle="1" w:styleId="List46">
    <w:name w:val="List 46"/>
    <w:rsid w:val="00E37841"/>
    <w:pPr>
      <w:numPr>
        <w:numId w:val="24"/>
      </w:numPr>
    </w:pPr>
  </w:style>
  <w:style w:type="numbering" w:customStyle="1" w:styleId="List35">
    <w:name w:val="List 35"/>
    <w:rsid w:val="00E37841"/>
    <w:pPr>
      <w:numPr>
        <w:numId w:val="8"/>
      </w:numPr>
    </w:pPr>
  </w:style>
  <w:style w:type="numbering" w:customStyle="1" w:styleId="List17">
    <w:name w:val="List 17"/>
    <w:rsid w:val="00E37841"/>
    <w:pPr>
      <w:numPr>
        <w:numId w:val="25"/>
      </w:numPr>
    </w:pPr>
  </w:style>
  <w:style w:type="numbering" w:customStyle="1" w:styleId="List33">
    <w:name w:val="List 33"/>
    <w:rsid w:val="00E37841"/>
    <w:pPr>
      <w:numPr>
        <w:numId w:val="26"/>
      </w:numPr>
    </w:pPr>
  </w:style>
  <w:style w:type="numbering" w:customStyle="1" w:styleId="List7">
    <w:name w:val="List 7"/>
    <w:rsid w:val="00E37841"/>
    <w:pPr>
      <w:numPr>
        <w:numId w:val="4"/>
      </w:numPr>
    </w:pPr>
  </w:style>
  <w:style w:type="numbering" w:customStyle="1" w:styleId="List18">
    <w:name w:val="List 18"/>
    <w:rsid w:val="00E37841"/>
    <w:pPr>
      <w:numPr>
        <w:numId w:val="27"/>
      </w:numPr>
    </w:pPr>
  </w:style>
  <w:style w:type="numbering" w:customStyle="1" w:styleId="List22">
    <w:name w:val="List 22"/>
    <w:rsid w:val="00E37841"/>
    <w:pPr>
      <w:numPr>
        <w:numId w:val="28"/>
      </w:numPr>
    </w:pPr>
  </w:style>
  <w:style w:type="numbering" w:customStyle="1" w:styleId="List47">
    <w:name w:val="List 47"/>
    <w:rsid w:val="00E37841"/>
    <w:pPr>
      <w:numPr>
        <w:numId w:val="29"/>
      </w:numPr>
    </w:pPr>
  </w:style>
  <w:style w:type="numbering" w:customStyle="1" w:styleId="List28">
    <w:name w:val="List 28"/>
    <w:rsid w:val="00E37841"/>
    <w:pPr>
      <w:numPr>
        <w:numId w:val="30"/>
      </w:numPr>
    </w:pPr>
  </w:style>
  <w:style w:type="numbering" w:customStyle="1" w:styleId="List10">
    <w:name w:val="List 10"/>
    <w:rsid w:val="00E37841"/>
    <w:pPr>
      <w:numPr>
        <w:numId w:val="6"/>
      </w:numPr>
    </w:pPr>
  </w:style>
  <w:style w:type="numbering" w:customStyle="1" w:styleId="List0">
    <w:name w:val="List 0"/>
    <w:rsid w:val="00E37841"/>
    <w:pPr>
      <w:numPr>
        <w:numId w:val="31"/>
      </w:numPr>
    </w:pPr>
  </w:style>
  <w:style w:type="numbering" w:customStyle="1" w:styleId="List30">
    <w:name w:val="List 30"/>
    <w:rsid w:val="00E37841"/>
    <w:pPr>
      <w:numPr>
        <w:numId w:val="32"/>
      </w:numPr>
    </w:pPr>
  </w:style>
  <w:style w:type="numbering" w:customStyle="1" w:styleId="List29">
    <w:name w:val="List 29"/>
    <w:rsid w:val="00E37841"/>
    <w:pPr>
      <w:numPr>
        <w:numId w:val="34"/>
      </w:numPr>
    </w:pPr>
  </w:style>
  <w:style w:type="numbering" w:customStyle="1" w:styleId="List38">
    <w:name w:val="List 38"/>
    <w:rsid w:val="00E37841"/>
    <w:pPr>
      <w:numPr>
        <w:numId w:val="35"/>
      </w:numPr>
    </w:pPr>
  </w:style>
  <w:style w:type="numbering" w:customStyle="1" w:styleId="List12">
    <w:name w:val="List 12"/>
    <w:rsid w:val="00E37841"/>
    <w:pPr>
      <w:numPr>
        <w:numId w:val="36"/>
      </w:numPr>
    </w:pPr>
  </w:style>
  <w:style w:type="numbering" w:customStyle="1" w:styleId="List50">
    <w:name w:val="List 50"/>
    <w:rsid w:val="00E37841"/>
    <w:pPr>
      <w:numPr>
        <w:numId w:val="37"/>
      </w:numPr>
    </w:pPr>
  </w:style>
  <w:style w:type="numbering" w:customStyle="1" w:styleId="List34">
    <w:name w:val="List 34"/>
    <w:rsid w:val="00E37841"/>
    <w:pPr>
      <w:numPr>
        <w:numId w:val="11"/>
      </w:numPr>
    </w:pPr>
  </w:style>
  <w:style w:type="numbering" w:customStyle="1" w:styleId="List42">
    <w:name w:val="List 42"/>
    <w:rsid w:val="00E37841"/>
    <w:pPr>
      <w:numPr>
        <w:numId w:val="12"/>
      </w:numPr>
    </w:pPr>
  </w:style>
  <w:style w:type="numbering" w:customStyle="1" w:styleId="List49">
    <w:name w:val="List 49"/>
    <w:rsid w:val="00E37841"/>
    <w:pPr>
      <w:numPr>
        <w:numId w:val="39"/>
      </w:numPr>
    </w:pPr>
  </w:style>
  <w:style w:type="numbering" w:customStyle="1" w:styleId="List44">
    <w:name w:val="List 44"/>
    <w:rsid w:val="00E37841"/>
    <w:pPr>
      <w:numPr>
        <w:numId w:val="40"/>
      </w:numPr>
    </w:pPr>
  </w:style>
  <w:style w:type="numbering" w:customStyle="1" w:styleId="List21">
    <w:name w:val="List 21"/>
    <w:rsid w:val="00E37841"/>
    <w:pPr>
      <w:numPr>
        <w:numId w:val="52"/>
      </w:numPr>
    </w:pPr>
  </w:style>
  <w:style w:type="numbering" w:customStyle="1" w:styleId="List52">
    <w:name w:val="List 52"/>
    <w:rsid w:val="00E37841"/>
    <w:pPr>
      <w:numPr>
        <w:numId w:val="9"/>
      </w:numPr>
    </w:pPr>
  </w:style>
  <w:style w:type="numbering" w:customStyle="1" w:styleId="List24">
    <w:name w:val="List 24"/>
    <w:rsid w:val="00E37841"/>
    <w:pPr>
      <w:numPr>
        <w:numId w:val="13"/>
      </w:numPr>
    </w:pPr>
  </w:style>
  <w:style w:type="numbering" w:customStyle="1" w:styleId="List51">
    <w:name w:val="List 51"/>
    <w:rsid w:val="00E37841"/>
    <w:pPr>
      <w:numPr>
        <w:numId w:val="54"/>
      </w:numPr>
    </w:pPr>
  </w:style>
  <w:style w:type="numbering" w:customStyle="1" w:styleId="List27">
    <w:name w:val="List 27"/>
    <w:rsid w:val="00E37841"/>
    <w:pPr>
      <w:numPr>
        <w:numId w:val="41"/>
      </w:numPr>
    </w:pPr>
  </w:style>
  <w:style w:type="numbering" w:customStyle="1" w:styleId="List8">
    <w:name w:val="List 8"/>
    <w:rsid w:val="00E37841"/>
    <w:pPr>
      <w:numPr>
        <w:numId w:val="5"/>
      </w:numPr>
    </w:pPr>
  </w:style>
  <w:style w:type="numbering" w:customStyle="1" w:styleId="List13">
    <w:name w:val="List 13"/>
    <w:rsid w:val="00E37841"/>
    <w:pPr>
      <w:numPr>
        <w:numId w:val="42"/>
      </w:numPr>
    </w:pPr>
  </w:style>
  <w:style w:type="numbering" w:customStyle="1" w:styleId="List20">
    <w:name w:val="List 20"/>
    <w:rsid w:val="00E37841"/>
    <w:pPr>
      <w:numPr>
        <w:numId w:val="43"/>
      </w:numPr>
    </w:pPr>
  </w:style>
  <w:style w:type="numbering" w:customStyle="1" w:styleId="List41">
    <w:name w:val="List 41"/>
    <w:rsid w:val="00E37841"/>
    <w:pPr>
      <w:numPr>
        <w:numId w:val="44"/>
      </w:numPr>
    </w:pPr>
  </w:style>
  <w:style w:type="numbering" w:customStyle="1" w:styleId="List31">
    <w:name w:val="List 31"/>
    <w:rsid w:val="00E37841"/>
    <w:pPr>
      <w:numPr>
        <w:numId w:val="45"/>
      </w:numPr>
    </w:pPr>
  </w:style>
  <w:style w:type="numbering" w:customStyle="1" w:styleId="List6">
    <w:name w:val="List 6"/>
    <w:rsid w:val="00E37841"/>
    <w:pPr>
      <w:numPr>
        <w:numId w:val="3"/>
      </w:numPr>
    </w:pPr>
  </w:style>
  <w:style w:type="numbering" w:customStyle="1" w:styleId="List39">
    <w:name w:val="List 39"/>
    <w:rsid w:val="00E37841"/>
    <w:pPr>
      <w:numPr>
        <w:numId w:val="46"/>
      </w:numPr>
    </w:pPr>
  </w:style>
  <w:style w:type="numbering" w:customStyle="1" w:styleId="List37">
    <w:name w:val="List 37"/>
    <w:rsid w:val="00E37841"/>
    <w:pPr>
      <w:numPr>
        <w:numId w:val="47"/>
      </w:numPr>
    </w:pPr>
  </w:style>
  <w:style w:type="numbering" w:customStyle="1" w:styleId="List32">
    <w:name w:val="List 32"/>
    <w:rsid w:val="00E37841"/>
    <w:pPr>
      <w:numPr>
        <w:numId w:val="48"/>
      </w:numPr>
    </w:pPr>
  </w:style>
  <w:style w:type="numbering" w:customStyle="1" w:styleId="List26">
    <w:name w:val="List 26"/>
    <w:rsid w:val="00E37841"/>
    <w:pPr>
      <w:numPr>
        <w:numId w:val="49"/>
      </w:numPr>
    </w:pPr>
  </w:style>
  <w:style w:type="numbering" w:customStyle="1" w:styleId="List48">
    <w:name w:val="List 48"/>
    <w:rsid w:val="00E3784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2328">
      <w:marLeft w:val="0"/>
      <w:marRight w:val="0"/>
      <w:marTop w:val="0"/>
      <w:marBottom w:val="0"/>
      <w:divBdr>
        <w:top w:val="none" w:sz="0" w:space="0" w:color="auto"/>
        <w:left w:val="none" w:sz="0" w:space="0" w:color="auto"/>
        <w:bottom w:val="none" w:sz="0" w:space="0" w:color="auto"/>
        <w:right w:val="none" w:sz="0" w:space="0" w:color="auto"/>
      </w:divBdr>
    </w:div>
    <w:div w:id="571162329">
      <w:marLeft w:val="0"/>
      <w:marRight w:val="0"/>
      <w:marTop w:val="0"/>
      <w:marBottom w:val="0"/>
      <w:divBdr>
        <w:top w:val="none" w:sz="0" w:space="0" w:color="auto"/>
        <w:left w:val="none" w:sz="0" w:space="0" w:color="auto"/>
        <w:bottom w:val="none" w:sz="0" w:space="0" w:color="auto"/>
        <w:right w:val="none" w:sz="0" w:space="0" w:color="auto"/>
      </w:divBdr>
    </w:div>
    <w:div w:id="571162330">
      <w:marLeft w:val="0"/>
      <w:marRight w:val="0"/>
      <w:marTop w:val="0"/>
      <w:marBottom w:val="0"/>
      <w:divBdr>
        <w:top w:val="none" w:sz="0" w:space="0" w:color="auto"/>
        <w:left w:val="none" w:sz="0" w:space="0" w:color="auto"/>
        <w:bottom w:val="none" w:sz="0" w:space="0" w:color="auto"/>
        <w:right w:val="none" w:sz="0" w:space="0" w:color="auto"/>
      </w:divBdr>
    </w:div>
    <w:div w:id="571162331">
      <w:marLeft w:val="0"/>
      <w:marRight w:val="0"/>
      <w:marTop w:val="0"/>
      <w:marBottom w:val="0"/>
      <w:divBdr>
        <w:top w:val="none" w:sz="0" w:space="0" w:color="auto"/>
        <w:left w:val="none" w:sz="0" w:space="0" w:color="auto"/>
        <w:bottom w:val="none" w:sz="0" w:space="0" w:color="auto"/>
        <w:right w:val="none" w:sz="0" w:space="0" w:color="auto"/>
      </w:divBdr>
    </w:div>
    <w:div w:id="571162332">
      <w:marLeft w:val="0"/>
      <w:marRight w:val="0"/>
      <w:marTop w:val="0"/>
      <w:marBottom w:val="0"/>
      <w:divBdr>
        <w:top w:val="none" w:sz="0" w:space="0" w:color="auto"/>
        <w:left w:val="none" w:sz="0" w:space="0" w:color="auto"/>
        <w:bottom w:val="none" w:sz="0" w:space="0" w:color="auto"/>
        <w:right w:val="none" w:sz="0" w:space="0" w:color="auto"/>
      </w:divBdr>
    </w:div>
    <w:div w:id="571162333">
      <w:marLeft w:val="0"/>
      <w:marRight w:val="0"/>
      <w:marTop w:val="0"/>
      <w:marBottom w:val="0"/>
      <w:divBdr>
        <w:top w:val="none" w:sz="0" w:space="0" w:color="auto"/>
        <w:left w:val="none" w:sz="0" w:space="0" w:color="auto"/>
        <w:bottom w:val="none" w:sz="0" w:space="0" w:color="auto"/>
        <w:right w:val="none" w:sz="0" w:space="0" w:color="auto"/>
      </w:divBdr>
    </w:div>
    <w:div w:id="571162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A7E1-73FE-430A-94E5-CC79879C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14623</Characters>
  <Application>Microsoft Office Word</Application>
  <DocSecurity>0</DocSecurity>
  <Lines>292</Lines>
  <Paragraphs>91</Paragraphs>
  <ScaleCrop>false</ScaleCrop>
  <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365/20</dc:title>
  <dc:subject/>
  <dc:creator/>
  <cp:keywords/>
  <dc:description/>
  <cp:lastModifiedBy/>
  <cp:revision>1</cp:revision>
  <dcterms:created xsi:type="dcterms:W3CDTF">2021-01-07T13:18:00Z</dcterms:created>
  <dcterms:modified xsi:type="dcterms:W3CDTF">2021-01-07T13:18:00Z</dcterms:modified>
</cp:coreProperties>
</file>