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158B62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6715A1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bookmarkStart w:id="0" w:name="_GoBack"/>
      <w:bookmarkEnd w:id="0"/>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CE6C9F">
                              <w:rPr>
                                <w:rFonts w:asciiTheme="majorHAnsi" w:hAnsiTheme="majorHAnsi" w:cs="Arial"/>
                                <w:b/>
                                <w:bCs/>
                                <w:color w:val="0D0D0D" w:themeColor="text1" w:themeTint="F2"/>
                                <w:sz w:val="36"/>
                                <w:szCs w:val="22"/>
                                <w:lang w:val="es-ES_tradnl"/>
                              </w:rPr>
                              <w:t xml:space="preserve"> </w:t>
                            </w:r>
                            <w:r w:rsidR="00C868EC">
                              <w:rPr>
                                <w:rFonts w:asciiTheme="majorHAnsi" w:hAnsiTheme="majorHAnsi" w:cs="Arial"/>
                                <w:b/>
                                <w:bCs/>
                                <w:color w:val="0D0D0D" w:themeColor="text1" w:themeTint="F2"/>
                                <w:sz w:val="36"/>
                                <w:szCs w:val="22"/>
                                <w:lang w:val="es-ES_tradnl"/>
                              </w:rPr>
                              <w:t>333</w:t>
                            </w:r>
                            <w:r w:rsidR="00CE6C9F">
                              <w:rPr>
                                <w:rFonts w:asciiTheme="majorHAnsi" w:hAnsiTheme="majorHAnsi" w:cs="Arial"/>
                                <w:b/>
                                <w:bCs/>
                                <w:color w:val="0D0D0D" w:themeColor="text1" w:themeTint="F2"/>
                                <w:sz w:val="36"/>
                                <w:szCs w:val="22"/>
                                <w:lang w:val="es-ES_tradnl"/>
                              </w:rPr>
                              <w:t>/20</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CE6C9F">
                              <w:rPr>
                                <w:rFonts w:asciiTheme="majorHAnsi" w:hAnsiTheme="majorHAnsi" w:cs="Arial"/>
                                <w:b/>
                                <w:color w:val="0D0D0D" w:themeColor="text1" w:themeTint="F2"/>
                                <w:sz w:val="36"/>
                                <w:szCs w:val="22"/>
                                <w:lang w:val="es-ES_tradnl"/>
                              </w:rPr>
                              <w:t>13.421</w:t>
                            </w:r>
                          </w:p>
                          <w:p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CE6C9F" w:rsidRPr="00B54BF4" w:rsidRDefault="00C868EC" w:rsidP="00CE6C9F">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GEMINIANO GIL MARTI</w:t>
                            </w:r>
                            <w:r w:rsidR="00CE6C9F" w:rsidRPr="00B54BF4">
                              <w:rPr>
                                <w:rFonts w:asciiTheme="majorHAnsi" w:hAnsiTheme="majorHAnsi" w:cs="Arial"/>
                                <w:color w:val="0D0D0D" w:themeColor="text1" w:themeTint="F2"/>
                                <w:szCs w:val="22"/>
                                <w:lang w:val="es-ES_tradnl"/>
                              </w:rPr>
                              <w:t xml:space="preserve">NEZ </w:t>
                            </w:r>
                            <w:r w:rsidR="00631173">
                              <w:rPr>
                                <w:rFonts w:asciiTheme="majorHAnsi" w:hAnsiTheme="majorHAnsi" w:cs="Arial"/>
                                <w:color w:val="0D0D0D" w:themeColor="text1" w:themeTint="F2"/>
                                <w:szCs w:val="22"/>
                                <w:lang w:val="es-ES_tradnl"/>
                              </w:rPr>
                              <w:t>Y FAMILIA</w:t>
                            </w:r>
                          </w:p>
                          <w:p w:rsidR="00CE6C9F" w:rsidRPr="004B7EB6" w:rsidRDefault="00CE6C9F" w:rsidP="00CE6C9F">
                            <w:pPr>
                              <w:spacing w:line="276" w:lineRule="auto"/>
                              <w:rPr>
                                <w:rFonts w:asciiTheme="majorHAnsi" w:hAnsiTheme="majorHAnsi"/>
                                <w:color w:val="0D0D0D" w:themeColor="text1" w:themeTint="F2"/>
                                <w:lang w:val="es-ES_tradnl"/>
                              </w:rPr>
                            </w:pPr>
                            <w:r w:rsidRPr="00B54BF4">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431D62B"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CE6C9F">
                        <w:rPr>
                          <w:rFonts w:asciiTheme="majorHAnsi" w:hAnsiTheme="majorHAnsi" w:cs="Arial"/>
                          <w:b/>
                          <w:bCs/>
                          <w:color w:val="0D0D0D" w:themeColor="text1" w:themeTint="F2"/>
                          <w:sz w:val="36"/>
                          <w:szCs w:val="22"/>
                          <w:lang w:val="es-ES_tradnl"/>
                        </w:rPr>
                        <w:t xml:space="preserve"> </w:t>
                      </w:r>
                      <w:r w:rsidR="00C868EC">
                        <w:rPr>
                          <w:rFonts w:asciiTheme="majorHAnsi" w:hAnsiTheme="majorHAnsi" w:cs="Arial"/>
                          <w:b/>
                          <w:bCs/>
                          <w:color w:val="0D0D0D" w:themeColor="text1" w:themeTint="F2"/>
                          <w:sz w:val="36"/>
                          <w:szCs w:val="22"/>
                          <w:lang w:val="es-ES_tradnl"/>
                        </w:rPr>
                        <w:t>333</w:t>
                      </w:r>
                      <w:r w:rsidR="00CE6C9F">
                        <w:rPr>
                          <w:rFonts w:asciiTheme="majorHAnsi" w:hAnsiTheme="majorHAnsi" w:cs="Arial"/>
                          <w:b/>
                          <w:bCs/>
                          <w:color w:val="0D0D0D" w:themeColor="text1" w:themeTint="F2"/>
                          <w:sz w:val="36"/>
                          <w:szCs w:val="22"/>
                          <w:lang w:val="es-ES_tradnl"/>
                        </w:rPr>
                        <w:t>/20</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CE6C9F">
                        <w:rPr>
                          <w:rFonts w:asciiTheme="majorHAnsi" w:hAnsiTheme="majorHAnsi" w:cs="Arial"/>
                          <w:b/>
                          <w:color w:val="0D0D0D" w:themeColor="text1" w:themeTint="F2"/>
                          <w:sz w:val="36"/>
                          <w:szCs w:val="22"/>
                          <w:lang w:val="es-ES_tradnl"/>
                        </w:rPr>
                        <w:t>13.421</w:t>
                      </w:r>
                    </w:p>
                    <w:p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rsidR="00CE6C9F" w:rsidRPr="00B54BF4" w:rsidRDefault="00C868EC" w:rsidP="00CE6C9F">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GEMINIANO GIL MARTI</w:t>
                      </w:r>
                      <w:r w:rsidR="00CE6C9F" w:rsidRPr="00B54BF4">
                        <w:rPr>
                          <w:rFonts w:asciiTheme="majorHAnsi" w:hAnsiTheme="majorHAnsi" w:cs="Arial"/>
                          <w:color w:val="0D0D0D" w:themeColor="text1" w:themeTint="F2"/>
                          <w:szCs w:val="22"/>
                          <w:lang w:val="es-ES_tradnl"/>
                        </w:rPr>
                        <w:t xml:space="preserve">NEZ </w:t>
                      </w:r>
                      <w:r w:rsidR="00631173">
                        <w:rPr>
                          <w:rFonts w:asciiTheme="majorHAnsi" w:hAnsiTheme="majorHAnsi" w:cs="Arial"/>
                          <w:color w:val="0D0D0D" w:themeColor="text1" w:themeTint="F2"/>
                          <w:szCs w:val="22"/>
                          <w:lang w:val="es-ES_tradnl"/>
                        </w:rPr>
                        <w:t>Y FAMILIA</w:t>
                      </w:r>
                    </w:p>
                    <w:p w:rsidR="00CE6C9F" w:rsidRPr="004B7EB6" w:rsidRDefault="00CE6C9F" w:rsidP="00CE6C9F">
                      <w:pPr>
                        <w:spacing w:line="276" w:lineRule="auto"/>
                        <w:rPr>
                          <w:rFonts w:asciiTheme="majorHAnsi" w:hAnsiTheme="majorHAnsi"/>
                          <w:color w:val="0D0D0D" w:themeColor="text1" w:themeTint="F2"/>
                          <w:lang w:val="es-ES_tradnl"/>
                        </w:rPr>
                      </w:pPr>
                      <w:r w:rsidRPr="00B54BF4">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DC5262" w:rsidRDefault="008503FB" w:rsidP="007A5817">
                            <w:pPr>
                              <w:spacing w:line="276" w:lineRule="auto"/>
                              <w:jc w:val="right"/>
                              <w:rPr>
                                <w:rFonts w:asciiTheme="minorHAnsi" w:hAnsiTheme="minorHAnsi"/>
                                <w:color w:val="FFFFFF" w:themeColor="background1"/>
                                <w:sz w:val="22"/>
                                <w:lang w:val="pt-PT"/>
                              </w:rPr>
                            </w:pPr>
                            <w:r>
                              <w:rPr>
                                <w:rFonts w:asciiTheme="minorHAnsi" w:hAnsiTheme="minorHAnsi"/>
                                <w:color w:val="FFFFFF" w:themeColor="background1"/>
                                <w:sz w:val="22"/>
                                <w:lang w:val="pt-PT"/>
                              </w:rPr>
                              <w:t>OEA/Ser.L/V/II.</w:t>
                            </w:r>
                          </w:p>
                          <w:p w:rsidR="00627C9F" w:rsidRPr="00DC5262" w:rsidRDefault="00C868EC" w:rsidP="007A5817">
                            <w:pPr>
                              <w:spacing w:line="276" w:lineRule="auto"/>
                              <w:jc w:val="right"/>
                              <w:rPr>
                                <w:rFonts w:asciiTheme="minorHAnsi" w:hAnsiTheme="minorHAnsi"/>
                                <w:color w:val="FFFFFF" w:themeColor="background1"/>
                                <w:sz w:val="22"/>
                                <w:lang w:val="pt-PT"/>
                              </w:rPr>
                            </w:pPr>
                            <w:r w:rsidRPr="00DC5262">
                              <w:rPr>
                                <w:rFonts w:asciiTheme="minorHAnsi" w:hAnsiTheme="minorHAnsi"/>
                                <w:color w:val="FFFFFF" w:themeColor="background1"/>
                                <w:sz w:val="22"/>
                                <w:lang w:val="pt-PT"/>
                              </w:rPr>
                              <w:t>Doc. 351</w:t>
                            </w:r>
                          </w:p>
                          <w:p w:rsidR="00627C9F" w:rsidRPr="00FB72E4" w:rsidRDefault="00115A1F"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19 n</w:t>
                            </w:r>
                            <w:r w:rsidR="00C868EC">
                              <w:rPr>
                                <w:rFonts w:asciiTheme="minorHAnsi" w:hAnsiTheme="minorHAnsi"/>
                                <w:color w:val="FFFFFF" w:themeColor="background1"/>
                                <w:sz w:val="22"/>
                                <w:lang w:val="es-CO"/>
                              </w:rPr>
                              <w:t>oviembre</w:t>
                            </w:r>
                            <w:r w:rsidR="00627C9F" w:rsidRPr="00FB72E4">
                              <w:rPr>
                                <w:rFonts w:asciiTheme="minorHAnsi" w:hAnsiTheme="minorHAnsi"/>
                                <w:color w:val="FFFFFF" w:themeColor="background1"/>
                                <w:sz w:val="22"/>
                                <w:lang w:val="es-CO"/>
                              </w:rPr>
                              <w:t xml:space="preserve"> </w:t>
                            </w:r>
                            <w:r w:rsidR="00CE6C9F">
                              <w:rPr>
                                <w:rFonts w:asciiTheme="minorHAnsi" w:hAnsiTheme="minorHAnsi"/>
                                <w:color w:val="FFFFFF" w:themeColor="background1"/>
                                <w:sz w:val="22"/>
                                <w:lang w:val="es-CO"/>
                              </w:rPr>
                              <w:t>2020</w:t>
                            </w:r>
                          </w:p>
                          <w:p w:rsidR="00627C9F" w:rsidRPr="00FB72E4" w:rsidRDefault="00E0340B" w:rsidP="007A5817">
                            <w:pPr>
                              <w:spacing w:line="276" w:lineRule="auto"/>
                              <w:jc w:val="right"/>
                              <w:rPr>
                                <w:rFonts w:asciiTheme="minorHAnsi" w:hAnsiTheme="minorHAnsi"/>
                                <w:color w:val="FFFFFF" w:themeColor="background1"/>
                                <w:sz w:val="22"/>
                                <w:lang w:val="es-CO"/>
                              </w:rPr>
                            </w:pPr>
                            <w:r w:rsidRPr="00FB72E4">
                              <w:rPr>
                                <w:rFonts w:asciiTheme="minorHAnsi" w:hAnsiTheme="minorHAnsi"/>
                                <w:color w:val="FFFFFF" w:themeColor="background1"/>
                                <w:sz w:val="22"/>
                                <w:lang w:val="es-CO"/>
                              </w:rPr>
                              <w:t xml:space="preserve">Original: </w:t>
                            </w:r>
                            <w:r w:rsidR="008B12F5" w:rsidRPr="00FB72E4">
                              <w:rPr>
                                <w:rFonts w:asciiTheme="minorHAnsi" w:hAnsiTheme="minorHAnsi"/>
                                <w:color w:val="FFFFFF" w:themeColor="background1"/>
                                <w:sz w:val="22"/>
                                <w:lang w:val="es-CO"/>
                              </w:rPr>
                              <w:t>e</w:t>
                            </w:r>
                            <w:r w:rsidR="00627C9F" w:rsidRPr="00FB72E4">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0EDE4"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DC5262" w:rsidRDefault="008503FB" w:rsidP="007A5817">
                      <w:pPr>
                        <w:spacing w:line="276" w:lineRule="auto"/>
                        <w:jc w:val="right"/>
                        <w:rPr>
                          <w:rFonts w:asciiTheme="minorHAnsi" w:hAnsiTheme="minorHAnsi"/>
                          <w:color w:val="FFFFFF" w:themeColor="background1"/>
                          <w:sz w:val="22"/>
                          <w:lang w:val="pt-PT"/>
                        </w:rPr>
                      </w:pPr>
                      <w:r>
                        <w:rPr>
                          <w:rFonts w:asciiTheme="minorHAnsi" w:hAnsiTheme="minorHAnsi"/>
                          <w:color w:val="FFFFFF" w:themeColor="background1"/>
                          <w:sz w:val="22"/>
                          <w:lang w:val="pt-PT"/>
                        </w:rPr>
                        <w:t>OEA/Ser.L/V/II.</w:t>
                      </w:r>
                    </w:p>
                    <w:p w:rsidR="00627C9F" w:rsidRPr="00DC5262" w:rsidRDefault="00C868EC" w:rsidP="007A5817">
                      <w:pPr>
                        <w:spacing w:line="276" w:lineRule="auto"/>
                        <w:jc w:val="right"/>
                        <w:rPr>
                          <w:rFonts w:asciiTheme="minorHAnsi" w:hAnsiTheme="minorHAnsi"/>
                          <w:color w:val="FFFFFF" w:themeColor="background1"/>
                          <w:sz w:val="22"/>
                          <w:lang w:val="pt-PT"/>
                        </w:rPr>
                      </w:pPr>
                      <w:r w:rsidRPr="00DC5262">
                        <w:rPr>
                          <w:rFonts w:asciiTheme="minorHAnsi" w:hAnsiTheme="minorHAnsi"/>
                          <w:color w:val="FFFFFF" w:themeColor="background1"/>
                          <w:sz w:val="22"/>
                          <w:lang w:val="pt-PT"/>
                        </w:rPr>
                        <w:t>Doc. 351</w:t>
                      </w:r>
                    </w:p>
                    <w:p w:rsidR="00627C9F" w:rsidRPr="00FB72E4" w:rsidRDefault="00115A1F"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19 n</w:t>
                      </w:r>
                      <w:r w:rsidR="00C868EC">
                        <w:rPr>
                          <w:rFonts w:asciiTheme="minorHAnsi" w:hAnsiTheme="minorHAnsi"/>
                          <w:color w:val="FFFFFF" w:themeColor="background1"/>
                          <w:sz w:val="22"/>
                          <w:lang w:val="es-CO"/>
                        </w:rPr>
                        <w:t>oviembre</w:t>
                      </w:r>
                      <w:r w:rsidR="00627C9F" w:rsidRPr="00FB72E4">
                        <w:rPr>
                          <w:rFonts w:asciiTheme="minorHAnsi" w:hAnsiTheme="minorHAnsi"/>
                          <w:color w:val="FFFFFF" w:themeColor="background1"/>
                          <w:sz w:val="22"/>
                          <w:lang w:val="es-CO"/>
                        </w:rPr>
                        <w:t xml:space="preserve"> </w:t>
                      </w:r>
                      <w:r w:rsidR="00CE6C9F">
                        <w:rPr>
                          <w:rFonts w:asciiTheme="minorHAnsi" w:hAnsiTheme="minorHAnsi"/>
                          <w:color w:val="FFFFFF" w:themeColor="background1"/>
                          <w:sz w:val="22"/>
                          <w:lang w:val="es-CO"/>
                        </w:rPr>
                        <w:t>2020</w:t>
                      </w:r>
                    </w:p>
                    <w:p w:rsidR="00627C9F" w:rsidRPr="00FB72E4" w:rsidRDefault="00E0340B" w:rsidP="007A5817">
                      <w:pPr>
                        <w:spacing w:line="276" w:lineRule="auto"/>
                        <w:jc w:val="right"/>
                        <w:rPr>
                          <w:rFonts w:asciiTheme="minorHAnsi" w:hAnsiTheme="minorHAnsi"/>
                          <w:color w:val="FFFFFF" w:themeColor="background1"/>
                          <w:sz w:val="22"/>
                          <w:lang w:val="es-CO"/>
                        </w:rPr>
                      </w:pPr>
                      <w:r w:rsidRPr="00FB72E4">
                        <w:rPr>
                          <w:rFonts w:asciiTheme="minorHAnsi" w:hAnsiTheme="minorHAnsi"/>
                          <w:color w:val="FFFFFF" w:themeColor="background1"/>
                          <w:sz w:val="22"/>
                          <w:lang w:val="es-CO"/>
                        </w:rPr>
                        <w:t xml:space="preserve">Original: </w:t>
                      </w:r>
                      <w:r w:rsidR="008B12F5" w:rsidRPr="00FB72E4">
                        <w:rPr>
                          <w:rFonts w:asciiTheme="minorHAnsi" w:hAnsiTheme="minorHAnsi"/>
                          <w:color w:val="FFFFFF" w:themeColor="background1"/>
                          <w:sz w:val="22"/>
                          <w:lang w:val="es-CO"/>
                        </w:rPr>
                        <w:t>e</w:t>
                      </w:r>
                      <w:r w:rsidR="00627C9F" w:rsidRPr="00FB72E4">
                        <w:rPr>
                          <w:rFonts w:asciiTheme="minorHAnsi" w:hAnsiTheme="minorHAnsi"/>
                          <w:color w:val="FFFFFF" w:themeColor="background1"/>
                          <w:sz w:val="22"/>
                          <w:lang w:val="es-CO"/>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72E4" w:rsidRPr="00890650" w:rsidRDefault="00C868EC" w:rsidP="00FB72E4">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2192</w:t>
                            </w:r>
                            <w:r w:rsidRPr="00890650">
                              <w:rPr>
                                <w:rFonts w:asciiTheme="majorHAnsi" w:hAnsiTheme="majorHAnsi"/>
                                <w:color w:val="0D0D0D" w:themeColor="text1" w:themeTint="F2"/>
                                <w:sz w:val="18"/>
                                <w:szCs w:val="20"/>
                                <w:lang w:val="es-ES"/>
                              </w:rPr>
                              <w:t xml:space="preserve"> celebrada el </w:t>
                            </w:r>
                            <w:r>
                              <w:rPr>
                                <w:rFonts w:asciiTheme="majorHAnsi" w:hAnsiTheme="majorHAnsi"/>
                                <w:color w:val="0D0D0D" w:themeColor="text1" w:themeTint="F2"/>
                                <w:sz w:val="18"/>
                                <w:szCs w:val="20"/>
                                <w:lang w:val="es-ES"/>
                              </w:rPr>
                              <w:t>19 de noviembre de 2020</w:t>
                            </w:r>
                            <w:r w:rsidR="00FB72E4">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82E39A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FB72E4" w:rsidRPr="00890650" w:rsidRDefault="00C868EC" w:rsidP="00FB72E4">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2192</w:t>
                      </w:r>
                      <w:r w:rsidRPr="00890650">
                        <w:rPr>
                          <w:rFonts w:asciiTheme="majorHAnsi" w:hAnsiTheme="majorHAnsi"/>
                          <w:color w:val="0D0D0D" w:themeColor="text1" w:themeTint="F2"/>
                          <w:sz w:val="18"/>
                          <w:szCs w:val="20"/>
                          <w:lang w:val="es-ES"/>
                        </w:rPr>
                        <w:t xml:space="preserve"> celebrada el </w:t>
                      </w:r>
                      <w:r>
                        <w:rPr>
                          <w:rFonts w:asciiTheme="majorHAnsi" w:hAnsiTheme="majorHAnsi"/>
                          <w:color w:val="0D0D0D" w:themeColor="text1" w:themeTint="F2"/>
                          <w:sz w:val="18"/>
                          <w:szCs w:val="20"/>
                          <w:lang w:val="es-ES"/>
                        </w:rPr>
                        <w:t>19 de noviembre de 2020</w:t>
                      </w:r>
                      <w:r w:rsidR="00FB72E4">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72E4" w:rsidRPr="00B54BF4" w:rsidRDefault="00FB72E4" w:rsidP="00FB72E4">
                            <w:pPr>
                              <w:spacing w:line="276" w:lineRule="auto"/>
                              <w:rPr>
                                <w:rFonts w:asciiTheme="majorHAnsi" w:hAnsiTheme="majorHAnsi"/>
                                <w:color w:val="595959" w:themeColor="text1" w:themeTint="A6"/>
                                <w:sz w:val="18"/>
                                <w:szCs w:val="18"/>
                                <w:lang w:val="es-ES_tradnl"/>
                              </w:rPr>
                            </w:pPr>
                            <w:r w:rsidRPr="00F87FF9">
                              <w:rPr>
                                <w:rFonts w:asciiTheme="majorHAnsi" w:hAnsiTheme="majorHAnsi"/>
                                <w:b/>
                                <w:color w:val="595959" w:themeColor="text1" w:themeTint="A6"/>
                                <w:sz w:val="18"/>
                                <w:szCs w:val="18"/>
                                <w:lang w:val="pt-BR"/>
                              </w:rPr>
                              <w:t>Citar como:</w:t>
                            </w:r>
                            <w:r w:rsidRPr="00F87FF9">
                              <w:rPr>
                                <w:rFonts w:asciiTheme="majorHAnsi" w:hAnsiTheme="majorHAnsi"/>
                                <w:color w:val="595959" w:themeColor="text1" w:themeTint="A6"/>
                                <w:sz w:val="18"/>
                                <w:szCs w:val="18"/>
                                <w:lang w:val="pt-BR"/>
                              </w:rPr>
                              <w:t xml:space="preserve"> CIDH, Informe No. </w:t>
                            </w:r>
                            <w:r w:rsidR="00C868EC" w:rsidRPr="00C868EC">
                              <w:rPr>
                                <w:rFonts w:asciiTheme="majorHAnsi" w:hAnsiTheme="majorHAnsi"/>
                                <w:color w:val="595959" w:themeColor="text1" w:themeTint="A6"/>
                                <w:sz w:val="18"/>
                                <w:szCs w:val="18"/>
                                <w:lang w:val="pt-PT"/>
                              </w:rPr>
                              <w:t>333</w:t>
                            </w:r>
                            <w:r w:rsidRPr="00C868EC">
                              <w:rPr>
                                <w:rFonts w:asciiTheme="majorHAnsi" w:hAnsiTheme="majorHAnsi"/>
                                <w:color w:val="595959" w:themeColor="text1" w:themeTint="A6"/>
                                <w:sz w:val="18"/>
                                <w:szCs w:val="18"/>
                                <w:lang w:val="pt-PT"/>
                              </w:rPr>
                              <w:t xml:space="preserve">/20, Caso 13.421.  </w:t>
                            </w:r>
                            <w:r w:rsidRPr="00F87FF9">
                              <w:rPr>
                                <w:rFonts w:asciiTheme="majorHAnsi" w:hAnsiTheme="majorHAnsi"/>
                                <w:color w:val="595959" w:themeColor="text1" w:themeTint="A6"/>
                                <w:sz w:val="18"/>
                                <w:szCs w:val="18"/>
                                <w:lang w:val="es-ES_tradnl"/>
                              </w:rPr>
                              <w:t xml:space="preserve">Solución Amistosa. </w:t>
                            </w:r>
                            <w:proofErr w:type="spellStart"/>
                            <w:r>
                              <w:rPr>
                                <w:rFonts w:asciiTheme="majorHAnsi" w:hAnsiTheme="majorHAnsi"/>
                                <w:color w:val="595959" w:themeColor="text1" w:themeTint="A6"/>
                                <w:sz w:val="18"/>
                                <w:szCs w:val="18"/>
                                <w:lang w:val="es-ES_tradnl"/>
                              </w:rPr>
                              <w:t>Geminiano</w:t>
                            </w:r>
                            <w:proofErr w:type="spellEnd"/>
                            <w:r>
                              <w:rPr>
                                <w:rFonts w:asciiTheme="majorHAnsi" w:hAnsiTheme="majorHAnsi"/>
                                <w:color w:val="595959" w:themeColor="text1" w:themeTint="A6"/>
                                <w:sz w:val="18"/>
                                <w:szCs w:val="18"/>
                                <w:lang w:val="es-ES_tradnl"/>
                              </w:rPr>
                              <w:t xml:space="preserve"> Gil Martínez y</w:t>
                            </w:r>
                            <w:r w:rsidRPr="00B54BF4">
                              <w:rPr>
                                <w:rFonts w:asciiTheme="majorHAnsi" w:hAnsiTheme="majorHAnsi"/>
                                <w:color w:val="595959" w:themeColor="text1" w:themeTint="A6"/>
                                <w:sz w:val="18"/>
                                <w:szCs w:val="18"/>
                                <w:lang w:val="es-ES_tradnl"/>
                              </w:rPr>
                              <w:t xml:space="preserve"> Familia</w:t>
                            </w:r>
                            <w:r w:rsidRPr="00F87FF9">
                              <w:rPr>
                                <w:rFonts w:asciiTheme="majorHAnsi" w:hAnsiTheme="majorHAnsi"/>
                                <w:color w:val="595959" w:themeColor="text1" w:themeTint="A6"/>
                                <w:sz w:val="18"/>
                                <w:szCs w:val="18"/>
                                <w:lang w:val="es-ES_tradnl"/>
                              </w:rPr>
                              <w:t>. C</w:t>
                            </w:r>
                            <w:r>
                              <w:rPr>
                                <w:rFonts w:asciiTheme="majorHAnsi" w:hAnsiTheme="majorHAnsi"/>
                                <w:color w:val="595959" w:themeColor="text1" w:themeTint="A6"/>
                                <w:sz w:val="18"/>
                                <w:szCs w:val="18"/>
                                <w:lang w:val="es-ES_tradnl"/>
                              </w:rPr>
                              <w:t>olombia</w:t>
                            </w:r>
                            <w:r w:rsidRPr="00F87FF9">
                              <w:rPr>
                                <w:rFonts w:asciiTheme="majorHAnsi" w:hAnsiTheme="majorHAnsi"/>
                                <w:color w:val="595959" w:themeColor="text1" w:themeTint="A6"/>
                                <w:sz w:val="18"/>
                                <w:szCs w:val="18"/>
                                <w:lang w:val="es-ES_tradnl"/>
                              </w:rPr>
                              <w:t xml:space="preserve">. </w:t>
                            </w:r>
                            <w:r w:rsidR="00C868EC" w:rsidRPr="001542A3">
                              <w:rPr>
                                <w:rFonts w:asciiTheme="majorHAnsi" w:hAnsiTheme="majorHAnsi"/>
                                <w:color w:val="595959" w:themeColor="text1" w:themeTint="A6"/>
                                <w:sz w:val="18"/>
                                <w:szCs w:val="18"/>
                                <w:lang w:val="es-ES"/>
                              </w:rPr>
                              <w:t>19 de noviembre</w:t>
                            </w:r>
                            <w:r w:rsidRPr="001542A3">
                              <w:rPr>
                                <w:rFonts w:asciiTheme="majorHAnsi" w:hAnsiTheme="majorHAnsi"/>
                                <w:color w:val="595959" w:themeColor="text1" w:themeTint="A6"/>
                                <w:sz w:val="18"/>
                                <w:szCs w:val="18"/>
                                <w:lang w:val="es-ES"/>
                              </w:rPr>
                              <w:t xml:space="preserve"> de 2020.</w:t>
                            </w:r>
                          </w:p>
                          <w:p w:rsidR="00113F73" w:rsidRPr="00890650" w:rsidRDefault="00113F73" w:rsidP="00113F73">
                            <w:pPr>
                              <w:spacing w:line="276" w:lineRule="auto"/>
                              <w:rPr>
                                <w:rFonts w:asciiTheme="majorHAnsi" w:hAnsiTheme="majorHAnsi"/>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F9E530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FB72E4" w:rsidRPr="00B54BF4" w:rsidRDefault="00FB72E4" w:rsidP="00FB72E4">
                      <w:pPr>
                        <w:spacing w:line="276" w:lineRule="auto"/>
                        <w:rPr>
                          <w:rFonts w:asciiTheme="majorHAnsi" w:hAnsiTheme="majorHAnsi"/>
                          <w:color w:val="595959" w:themeColor="text1" w:themeTint="A6"/>
                          <w:sz w:val="18"/>
                          <w:szCs w:val="18"/>
                          <w:lang w:val="es-ES_tradnl"/>
                        </w:rPr>
                      </w:pPr>
                      <w:r w:rsidRPr="00F87FF9">
                        <w:rPr>
                          <w:rFonts w:asciiTheme="majorHAnsi" w:hAnsiTheme="majorHAnsi"/>
                          <w:b/>
                          <w:color w:val="595959" w:themeColor="text1" w:themeTint="A6"/>
                          <w:sz w:val="18"/>
                          <w:szCs w:val="18"/>
                          <w:lang w:val="pt-BR"/>
                        </w:rPr>
                        <w:t>Citar como:</w:t>
                      </w:r>
                      <w:r w:rsidRPr="00F87FF9">
                        <w:rPr>
                          <w:rFonts w:asciiTheme="majorHAnsi" w:hAnsiTheme="majorHAnsi"/>
                          <w:color w:val="595959" w:themeColor="text1" w:themeTint="A6"/>
                          <w:sz w:val="18"/>
                          <w:szCs w:val="18"/>
                          <w:lang w:val="pt-BR"/>
                        </w:rPr>
                        <w:t xml:space="preserve"> CIDH, Informe No. </w:t>
                      </w:r>
                      <w:r w:rsidR="00C868EC" w:rsidRPr="00C868EC">
                        <w:rPr>
                          <w:rFonts w:asciiTheme="majorHAnsi" w:hAnsiTheme="majorHAnsi"/>
                          <w:color w:val="595959" w:themeColor="text1" w:themeTint="A6"/>
                          <w:sz w:val="18"/>
                          <w:szCs w:val="18"/>
                          <w:lang w:val="pt-PT"/>
                        </w:rPr>
                        <w:t>333</w:t>
                      </w:r>
                      <w:r w:rsidRPr="00C868EC">
                        <w:rPr>
                          <w:rFonts w:asciiTheme="majorHAnsi" w:hAnsiTheme="majorHAnsi"/>
                          <w:color w:val="595959" w:themeColor="text1" w:themeTint="A6"/>
                          <w:sz w:val="18"/>
                          <w:szCs w:val="18"/>
                          <w:lang w:val="pt-PT"/>
                        </w:rPr>
                        <w:t xml:space="preserve">/20, Caso 13.421.  </w:t>
                      </w:r>
                      <w:r w:rsidRPr="00F87FF9">
                        <w:rPr>
                          <w:rFonts w:asciiTheme="majorHAnsi" w:hAnsiTheme="majorHAnsi"/>
                          <w:color w:val="595959" w:themeColor="text1" w:themeTint="A6"/>
                          <w:sz w:val="18"/>
                          <w:szCs w:val="18"/>
                          <w:lang w:val="es-ES_tradnl"/>
                        </w:rPr>
                        <w:t xml:space="preserve">Solución Amistosa. </w:t>
                      </w:r>
                      <w:r>
                        <w:rPr>
                          <w:rFonts w:asciiTheme="majorHAnsi" w:hAnsiTheme="majorHAnsi"/>
                          <w:color w:val="595959" w:themeColor="text1" w:themeTint="A6"/>
                          <w:sz w:val="18"/>
                          <w:szCs w:val="18"/>
                          <w:lang w:val="es-ES_tradnl"/>
                        </w:rPr>
                        <w:t>Geminiano Gil Martínez y</w:t>
                      </w:r>
                      <w:r w:rsidRPr="00B54BF4">
                        <w:rPr>
                          <w:rFonts w:asciiTheme="majorHAnsi" w:hAnsiTheme="majorHAnsi"/>
                          <w:color w:val="595959" w:themeColor="text1" w:themeTint="A6"/>
                          <w:sz w:val="18"/>
                          <w:szCs w:val="18"/>
                          <w:lang w:val="es-ES_tradnl"/>
                        </w:rPr>
                        <w:t xml:space="preserve"> Familia</w:t>
                      </w:r>
                      <w:r w:rsidRPr="00F87FF9">
                        <w:rPr>
                          <w:rFonts w:asciiTheme="majorHAnsi" w:hAnsiTheme="majorHAnsi"/>
                          <w:color w:val="595959" w:themeColor="text1" w:themeTint="A6"/>
                          <w:sz w:val="18"/>
                          <w:szCs w:val="18"/>
                          <w:lang w:val="es-ES_tradnl"/>
                        </w:rPr>
                        <w:t>. C</w:t>
                      </w:r>
                      <w:r>
                        <w:rPr>
                          <w:rFonts w:asciiTheme="majorHAnsi" w:hAnsiTheme="majorHAnsi"/>
                          <w:color w:val="595959" w:themeColor="text1" w:themeTint="A6"/>
                          <w:sz w:val="18"/>
                          <w:szCs w:val="18"/>
                          <w:lang w:val="es-ES_tradnl"/>
                        </w:rPr>
                        <w:t>olombia</w:t>
                      </w:r>
                      <w:r w:rsidRPr="00F87FF9">
                        <w:rPr>
                          <w:rFonts w:asciiTheme="majorHAnsi" w:hAnsiTheme="majorHAnsi"/>
                          <w:color w:val="595959" w:themeColor="text1" w:themeTint="A6"/>
                          <w:sz w:val="18"/>
                          <w:szCs w:val="18"/>
                          <w:lang w:val="es-ES_tradnl"/>
                        </w:rPr>
                        <w:t xml:space="preserve">. </w:t>
                      </w:r>
                      <w:r w:rsidR="00C868EC" w:rsidRPr="001542A3">
                        <w:rPr>
                          <w:rFonts w:asciiTheme="majorHAnsi" w:hAnsiTheme="majorHAnsi"/>
                          <w:color w:val="595959" w:themeColor="text1" w:themeTint="A6"/>
                          <w:sz w:val="18"/>
                          <w:szCs w:val="18"/>
                          <w:lang w:val="es-ES"/>
                        </w:rPr>
                        <w:t>19 de noviembre</w:t>
                      </w:r>
                      <w:r w:rsidRPr="001542A3">
                        <w:rPr>
                          <w:rFonts w:asciiTheme="majorHAnsi" w:hAnsiTheme="majorHAnsi"/>
                          <w:color w:val="595959" w:themeColor="text1" w:themeTint="A6"/>
                          <w:sz w:val="18"/>
                          <w:szCs w:val="18"/>
                          <w:lang w:val="es-ES"/>
                        </w:rPr>
                        <w:t xml:space="preserve"> de 2020.</w:t>
                      </w:r>
                    </w:p>
                    <w:p w:rsidR="00113F73" w:rsidRPr="00890650" w:rsidRDefault="00113F73" w:rsidP="00113F73">
                      <w:pPr>
                        <w:spacing w:line="276" w:lineRule="auto"/>
                        <w:rPr>
                          <w:rFonts w:asciiTheme="majorHAnsi" w:hAnsiTheme="majorHAnsi"/>
                          <w:color w:val="595959" w:themeColor="text1" w:themeTint="A6"/>
                          <w:sz w:val="18"/>
                          <w:szCs w:val="18"/>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B2EBCF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0E9251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FB72E4" w:rsidRPr="009274DC" w:rsidRDefault="00FB72E4" w:rsidP="00FB72E4">
      <w:pPr>
        <w:tabs>
          <w:tab w:val="center" w:pos="5400"/>
        </w:tabs>
        <w:suppressAutoHyphens/>
        <w:jc w:val="center"/>
        <w:rPr>
          <w:rFonts w:asciiTheme="majorHAnsi" w:hAnsiTheme="majorHAnsi"/>
          <w:b/>
          <w:sz w:val="18"/>
          <w:szCs w:val="18"/>
          <w:lang w:val="es-MX"/>
        </w:rPr>
      </w:pPr>
      <w:r w:rsidRPr="009274DC">
        <w:rPr>
          <w:rFonts w:asciiTheme="majorHAnsi" w:hAnsiTheme="majorHAnsi"/>
          <w:b/>
          <w:sz w:val="18"/>
          <w:szCs w:val="18"/>
          <w:lang w:val="es-MX"/>
        </w:rPr>
        <w:lastRenderedPageBreak/>
        <w:t xml:space="preserve">INFORME No. </w:t>
      </w:r>
      <w:r w:rsidR="001542A3">
        <w:rPr>
          <w:rFonts w:asciiTheme="majorHAnsi" w:hAnsiTheme="majorHAnsi"/>
          <w:b/>
          <w:sz w:val="18"/>
          <w:szCs w:val="18"/>
          <w:lang w:val="es-MX"/>
        </w:rPr>
        <w:t>333</w:t>
      </w:r>
      <w:r w:rsidR="00CE6C9F">
        <w:rPr>
          <w:rFonts w:asciiTheme="majorHAnsi" w:hAnsiTheme="majorHAnsi"/>
          <w:b/>
          <w:sz w:val="18"/>
          <w:szCs w:val="18"/>
          <w:lang w:val="es-MX"/>
        </w:rPr>
        <w:t>/20</w:t>
      </w:r>
    </w:p>
    <w:p w:rsidR="00FB72E4" w:rsidRPr="009274DC" w:rsidRDefault="00FB72E4" w:rsidP="00FB72E4">
      <w:pPr>
        <w:tabs>
          <w:tab w:val="center" w:pos="5400"/>
        </w:tabs>
        <w:suppressAutoHyphens/>
        <w:jc w:val="center"/>
        <w:rPr>
          <w:rFonts w:asciiTheme="majorHAnsi" w:hAnsiTheme="majorHAnsi"/>
          <w:b/>
          <w:sz w:val="18"/>
          <w:szCs w:val="18"/>
          <w:lang w:val="es-MX"/>
        </w:rPr>
      </w:pPr>
      <w:r w:rsidRPr="009274DC">
        <w:rPr>
          <w:rFonts w:asciiTheme="majorHAnsi" w:hAnsiTheme="majorHAnsi"/>
          <w:b/>
          <w:sz w:val="18"/>
          <w:szCs w:val="18"/>
          <w:lang w:val="es-MX"/>
        </w:rPr>
        <w:t>CASO 13.421</w:t>
      </w:r>
    </w:p>
    <w:p w:rsidR="00FB72E4" w:rsidRPr="009274DC" w:rsidRDefault="00FB72E4" w:rsidP="00FB72E4">
      <w:pPr>
        <w:tabs>
          <w:tab w:val="center" w:pos="5400"/>
        </w:tabs>
        <w:suppressAutoHyphens/>
        <w:jc w:val="center"/>
        <w:rPr>
          <w:rFonts w:asciiTheme="majorHAnsi" w:hAnsiTheme="majorHAnsi"/>
          <w:sz w:val="18"/>
          <w:szCs w:val="18"/>
          <w:lang w:val="es-ES_tradnl"/>
        </w:rPr>
      </w:pPr>
      <w:r w:rsidRPr="009274DC">
        <w:rPr>
          <w:rFonts w:asciiTheme="majorHAnsi" w:hAnsiTheme="majorHAnsi"/>
          <w:sz w:val="18"/>
          <w:szCs w:val="18"/>
          <w:lang w:val="es-ES_tradnl"/>
        </w:rPr>
        <w:t>SOLUCIÓN AMISTOSA</w:t>
      </w:r>
    </w:p>
    <w:p w:rsidR="00FB72E4" w:rsidRPr="009274DC" w:rsidRDefault="00FB72E4" w:rsidP="00FB72E4">
      <w:pPr>
        <w:tabs>
          <w:tab w:val="center" w:pos="5400"/>
        </w:tabs>
        <w:suppressAutoHyphens/>
        <w:jc w:val="center"/>
        <w:rPr>
          <w:rFonts w:asciiTheme="majorHAnsi" w:hAnsiTheme="majorHAnsi"/>
          <w:sz w:val="18"/>
          <w:szCs w:val="18"/>
          <w:lang w:val="es-ES_tradnl"/>
        </w:rPr>
      </w:pPr>
      <w:r w:rsidRPr="009274DC">
        <w:rPr>
          <w:rFonts w:asciiTheme="majorHAnsi" w:hAnsiTheme="majorHAnsi"/>
          <w:sz w:val="18"/>
          <w:szCs w:val="18"/>
          <w:lang w:val="es-ES_tradnl"/>
        </w:rPr>
        <w:t>GEMINIANO GIL MARTINEZ Y FAMILIA</w:t>
      </w:r>
    </w:p>
    <w:p w:rsidR="00FB72E4" w:rsidRPr="009274DC" w:rsidRDefault="00FB72E4" w:rsidP="00FB72E4">
      <w:pPr>
        <w:tabs>
          <w:tab w:val="center" w:pos="5400"/>
        </w:tabs>
        <w:suppressAutoHyphens/>
        <w:jc w:val="center"/>
        <w:rPr>
          <w:rFonts w:asciiTheme="majorHAnsi" w:hAnsiTheme="majorHAnsi"/>
          <w:sz w:val="18"/>
          <w:szCs w:val="18"/>
          <w:lang w:val="es-ES_tradnl"/>
        </w:rPr>
      </w:pPr>
      <w:r w:rsidRPr="009274DC">
        <w:rPr>
          <w:rFonts w:asciiTheme="majorHAnsi" w:hAnsiTheme="majorHAnsi"/>
          <w:sz w:val="18"/>
          <w:szCs w:val="18"/>
          <w:lang w:val="es-ES_tradnl"/>
        </w:rPr>
        <w:t>COLOMBIA</w:t>
      </w:r>
    </w:p>
    <w:p w:rsidR="00FB72E4" w:rsidRPr="009274DC" w:rsidRDefault="001542A3" w:rsidP="00FB72E4">
      <w:pPr>
        <w:tabs>
          <w:tab w:val="center" w:pos="5400"/>
        </w:tabs>
        <w:suppressAutoHyphens/>
        <w:jc w:val="center"/>
        <w:rPr>
          <w:rFonts w:asciiTheme="majorHAnsi" w:hAnsiTheme="majorHAnsi"/>
          <w:sz w:val="18"/>
          <w:szCs w:val="18"/>
          <w:lang w:val="es-ES_tradnl"/>
        </w:rPr>
      </w:pPr>
      <w:r>
        <w:rPr>
          <w:rFonts w:asciiTheme="majorHAnsi" w:hAnsiTheme="majorHAnsi"/>
          <w:sz w:val="18"/>
          <w:szCs w:val="18"/>
          <w:lang w:val="es-ES_tradnl"/>
        </w:rPr>
        <w:t>19 DE NOVIEMBRE</w:t>
      </w:r>
      <w:r w:rsidR="00FB72E4" w:rsidRPr="009274DC">
        <w:rPr>
          <w:rFonts w:asciiTheme="majorHAnsi" w:hAnsiTheme="majorHAnsi"/>
          <w:sz w:val="18"/>
          <w:szCs w:val="18"/>
          <w:lang w:val="es-ES_tradnl"/>
        </w:rPr>
        <w:t xml:space="preserve"> DE 2020</w:t>
      </w:r>
    </w:p>
    <w:p w:rsidR="00FB72E4" w:rsidRPr="009274DC" w:rsidRDefault="00FB72E4" w:rsidP="00FB72E4">
      <w:pPr>
        <w:tabs>
          <w:tab w:val="center" w:pos="5400"/>
        </w:tabs>
        <w:suppressAutoHyphens/>
        <w:jc w:val="center"/>
        <w:rPr>
          <w:rFonts w:asciiTheme="majorHAnsi" w:hAnsiTheme="majorHAnsi"/>
          <w:sz w:val="20"/>
          <w:szCs w:val="20"/>
          <w:highlight w:val="green"/>
          <w:lang w:val="es-ES_tradnl"/>
        </w:rPr>
      </w:pPr>
    </w:p>
    <w:p w:rsidR="00FB72E4" w:rsidRPr="009274DC" w:rsidRDefault="00FB72E4" w:rsidP="00FB72E4">
      <w:pPr>
        <w:tabs>
          <w:tab w:val="center" w:pos="5400"/>
        </w:tabs>
        <w:suppressAutoHyphens/>
        <w:jc w:val="center"/>
        <w:rPr>
          <w:rFonts w:asciiTheme="majorHAnsi" w:hAnsiTheme="majorHAnsi"/>
          <w:sz w:val="20"/>
          <w:szCs w:val="20"/>
          <w:highlight w:val="yellow"/>
          <w:lang w:val="es-ES_tradnl"/>
        </w:rPr>
      </w:pPr>
    </w:p>
    <w:p w:rsidR="00FB72E4" w:rsidRPr="00A552EB" w:rsidRDefault="00FB72E4" w:rsidP="00FB72E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b/>
          <w:color w:val="auto"/>
          <w:sz w:val="20"/>
          <w:szCs w:val="20"/>
          <w:lang w:val="es-BO"/>
        </w:rPr>
      </w:pPr>
      <w:r w:rsidRPr="00A552EB">
        <w:rPr>
          <w:b/>
          <w:color w:val="auto"/>
          <w:sz w:val="20"/>
          <w:szCs w:val="20"/>
          <w:lang w:val="es-BO"/>
        </w:rPr>
        <w:t>RESUMEN Y ASPECTOS PROCESALES RELEVANTES DEL PROCESO DE SOLUCIÓN AMISTOSA</w:t>
      </w:r>
    </w:p>
    <w:p w:rsidR="00FB72E4" w:rsidRPr="00A552EB" w:rsidRDefault="00FB72E4" w:rsidP="00FB72E4">
      <w:pPr>
        <w:ind w:firstLine="720"/>
        <w:rPr>
          <w:rFonts w:ascii="Cambria" w:hAnsi="Cambria"/>
          <w:b/>
          <w:sz w:val="20"/>
          <w:szCs w:val="20"/>
          <w:lang w:val="es-BO"/>
        </w:rPr>
      </w:pPr>
    </w:p>
    <w:p w:rsidR="00FB72E4" w:rsidRPr="00A552EB" w:rsidRDefault="00FB72E4" w:rsidP="00FB72E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Cambria" w:hAnsi="Cambria" w:cs="Arial"/>
          <w:sz w:val="20"/>
          <w:szCs w:val="20"/>
          <w:lang w:val="es-PE"/>
        </w:rPr>
      </w:pPr>
      <w:r w:rsidRPr="00A552EB">
        <w:rPr>
          <w:rFonts w:ascii="Cambria" w:hAnsi="Cambria" w:cs="Arial"/>
          <w:sz w:val="20"/>
          <w:szCs w:val="20"/>
          <w:lang w:val="es-PE"/>
        </w:rPr>
        <w:t>El 21 de diciembre de 2007, la Comisión Interamericana de Derechos Humanos (en lo sucesivo</w:t>
      </w:r>
      <w:r w:rsidRPr="00A552EB">
        <w:rPr>
          <w:rFonts w:ascii="Cambria" w:hAnsi="Cambria"/>
          <w:sz w:val="20"/>
          <w:szCs w:val="20"/>
          <w:lang w:val="es-ES"/>
        </w:rPr>
        <w:t xml:space="preserve"> “la Comisión” o la “CIDH”) </w:t>
      </w:r>
      <w:r w:rsidRPr="00A552EB">
        <w:rPr>
          <w:rFonts w:ascii="Cambria" w:hAnsi="Cambria" w:cs="Arial"/>
          <w:sz w:val="20"/>
          <w:szCs w:val="20"/>
          <w:lang w:val="es-PE"/>
        </w:rPr>
        <w:t xml:space="preserve">recibió una petición presentada por Jesús Arcángel Alonso Guzmán (en adelante “los peticionarios”), en contra de la República de Colombia (en adelante, “el Estado” o “el Estado colombiano”) en la cual se alegaba la responsabilidad internacional del Estado </w:t>
      </w:r>
      <w:r w:rsidRPr="00A552EB">
        <w:rPr>
          <w:rFonts w:ascii="Cambria" w:hAnsi="Cambria" w:cs="Arial"/>
          <w:sz w:val="20"/>
          <w:szCs w:val="20"/>
          <w:lang w:val="es-ES"/>
        </w:rPr>
        <w:t>en relación con el deber de prevención del secuestro, posterior asesinato, falta de claridad respecto de quienes fueron los autores de los hechos, y retardo injustificado en la investigación penal en detrimento del señor Geminiano Gil Martínez y familia. Posteriormente, Rigoberto Olivella Arzuaga asumió la representación de los familiares de la víctima.</w:t>
      </w:r>
    </w:p>
    <w:p w:rsidR="00FB72E4" w:rsidRPr="00A552EB" w:rsidRDefault="00FB72E4" w:rsidP="00FB72E4">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jc w:val="both"/>
        <w:rPr>
          <w:rFonts w:ascii="Cambria" w:hAnsi="Cambria" w:cs="Arial"/>
          <w:sz w:val="20"/>
          <w:szCs w:val="20"/>
          <w:lang w:val="es-PE"/>
        </w:rPr>
      </w:pPr>
    </w:p>
    <w:p w:rsidR="00FB72E4" w:rsidRPr="00A552EB" w:rsidRDefault="00FB72E4" w:rsidP="00FB72E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Cambria" w:hAnsi="Cambria" w:cs="Arial"/>
          <w:sz w:val="20"/>
          <w:szCs w:val="20"/>
          <w:lang w:val="es-PE"/>
        </w:rPr>
      </w:pPr>
      <w:r w:rsidRPr="00A552EB">
        <w:rPr>
          <w:rFonts w:ascii="Cambria" w:hAnsi="Cambria" w:cs="Arial"/>
          <w:sz w:val="20"/>
          <w:szCs w:val="20"/>
          <w:lang w:val="es-PE"/>
        </w:rPr>
        <w:t>Los peticionarios alegaron que el Estado colombiano era responsable por la violación de los derecho</w:t>
      </w:r>
      <w:r>
        <w:rPr>
          <w:rFonts w:ascii="Cambria" w:hAnsi="Cambria" w:cs="Arial"/>
          <w:sz w:val="20"/>
          <w:szCs w:val="20"/>
          <w:lang w:val="es-PE"/>
        </w:rPr>
        <w:t>s</w:t>
      </w:r>
      <w:r w:rsidRPr="00A552EB">
        <w:rPr>
          <w:rFonts w:ascii="Cambria" w:hAnsi="Cambria" w:cs="Arial"/>
          <w:sz w:val="20"/>
          <w:szCs w:val="20"/>
          <w:lang w:val="es-PE"/>
        </w:rPr>
        <w:t xml:space="preserve"> consagrados en los artículos </w:t>
      </w:r>
      <w:r w:rsidRPr="00A552EB">
        <w:rPr>
          <w:rFonts w:ascii="Cambria" w:hAnsi="Cambria" w:cs="Arial"/>
          <w:bCs/>
          <w:sz w:val="20"/>
          <w:szCs w:val="20"/>
          <w:lang w:val="es-US"/>
        </w:rPr>
        <w:t xml:space="preserve">1.1 (obligación de respetar los derechos), 4 (derecho a la vida), 5 (integridad personal), 7 (libertad personal), 8 (garantías judiciales) y 25 (protección judicial) </w:t>
      </w:r>
      <w:r w:rsidRPr="00A552EB">
        <w:rPr>
          <w:rFonts w:ascii="Cambria" w:hAnsi="Cambria" w:cs="Arial"/>
          <w:sz w:val="20"/>
          <w:szCs w:val="20"/>
          <w:lang w:val="es-PE"/>
        </w:rPr>
        <w:t>de la Convención Americana sobre Derechos Humanos (en adelante “Convención” o “Convención americana” o “CADH”).</w:t>
      </w:r>
    </w:p>
    <w:p w:rsidR="00FB72E4" w:rsidRPr="00A552EB" w:rsidRDefault="00FB72E4" w:rsidP="00FB72E4">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firstLine="720"/>
        <w:jc w:val="both"/>
        <w:rPr>
          <w:rFonts w:ascii="Cambria" w:hAnsi="Cambria" w:cs="Arial"/>
          <w:sz w:val="20"/>
          <w:szCs w:val="20"/>
          <w:lang w:val="es-PE"/>
        </w:rPr>
      </w:pPr>
    </w:p>
    <w:p w:rsidR="00FB72E4" w:rsidRPr="00A552EB" w:rsidRDefault="00FB72E4" w:rsidP="00FB72E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Cambria" w:hAnsi="Cambria" w:cs="Arial"/>
          <w:sz w:val="20"/>
          <w:szCs w:val="20"/>
          <w:lang w:val="es-PE"/>
        </w:rPr>
      </w:pPr>
      <w:r w:rsidRPr="00A552EB">
        <w:rPr>
          <w:rFonts w:ascii="Cambria" w:hAnsi="Cambria" w:cs="Arial"/>
          <w:sz w:val="20"/>
          <w:szCs w:val="20"/>
          <w:lang w:val="es-PE"/>
        </w:rPr>
        <w:t xml:space="preserve">El 26 de octubre de 2017, la CIDH emitió Informe de Admisibilidad No. 141/17. En su informe, la CIDH concluyó que era competente para declarar admisible la petición bajo estudio, en relación con los artículos </w:t>
      </w:r>
      <w:r w:rsidRPr="00A552EB">
        <w:rPr>
          <w:rFonts w:ascii="Cambria" w:hAnsi="Cambria" w:cs="Arial"/>
          <w:bCs/>
          <w:sz w:val="20"/>
          <w:szCs w:val="20"/>
          <w:lang w:val="es-US"/>
        </w:rPr>
        <w:t>4 (derecho a la vida), 5 (integridad personal), 7 (libertad personal), 8 (garantías judiciales) y 25 (protección judicial) de la Convención, en relación con su artículo 1.1 (obligación de respetar los derechos)</w:t>
      </w:r>
      <w:r>
        <w:rPr>
          <w:rFonts w:ascii="Cambria" w:hAnsi="Cambria" w:cs="Arial"/>
          <w:bCs/>
          <w:sz w:val="20"/>
          <w:szCs w:val="20"/>
          <w:lang w:val="es-US"/>
        </w:rPr>
        <w:t xml:space="preserve"> </w:t>
      </w:r>
      <w:r w:rsidRPr="00A552EB">
        <w:rPr>
          <w:rFonts w:ascii="Cambria" w:hAnsi="Cambria" w:cs="Arial"/>
          <w:sz w:val="20"/>
          <w:szCs w:val="20"/>
          <w:lang w:val="es-PE"/>
        </w:rPr>
        <w:t>de la Convención Americana.</w:t>
      </w:r>
    </w:p>
    <w:p w:rsidR="00FB72E4" w:rsidRPr="00A552EB" w:rsidRDefault="00FB72E4" w:rsidP="00FB72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4320"/>
        </w:tabs>
        <w:ind w:firstLine="720"/>
        <w:jc w:val="both"/>
        <w:rPr>
          <w:rFonts w:ascii="Cambria" w:hAnsi="Cambria" w:cs="Arial"/>
          <w:sz w:val="20"/>
          <w:szCs w:val="20"/>
          <w:lang w:val="es-PE"/>
        </w:rPr>
      </w:pPr>
    </w:p>
    <w:p w:rsidR="00FB72E4" w:rsidRDefault="00FB72E4" w:rsidP="00FB72E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Cambria" w:hAnsi="Cambria" w:cs="Arial"/>
          <w:sz w:val="20"/>
          <w:szCs w:val="20"/>
          <w:lang w:val="es-PE"/>
        </w:rPr>
      </w:pPr>
      <w:r w:rsidRPr="00A552EB">
        <w:rPr>
          <w:rFonts w:ascii="Cambria" w:hAnsi="Cambria" w:cs="Arial"/>
          <w:sz w:val="20"/>
          <w:szCs w:val="20"/>
          <w:lang w:val="es-PE"/>
        </w:rPr>
        <w:t xml:space="preserve">El 26 de abril de 2019, la parte peticionaria expresó su interés de avanzar por la vía de una solución amistosa, ofrecimiento que fue aceptado por el Estado el 18 de julio de 2019. El 2 de agosto de 2019, las partes remitieron un Acta de Entendimiento de inicio de la solución amistosa, que se materializó con la suscripción de un acuerdo de solución amistosa (en adelante “ASA” o “acuerdo”) el 4 de diciembre de 2019, con el fin de resolver la denuncia presentada ante la CIDH por fuera de la vía contenciosa. </w:t>
      </w:r>
    </w:p>
    <w:p w:rsidR="00FB72E4" w:rsidRDefault="00FB72E4" w:rsidP="00FB72E4">
      <w:pPr>
        <w:pStyle w:val="ListParagraph"/>
        <w:rPr>
          <w:rFonts w:cs="Arial"/>
          <w:sz w:val="20"/>
          <w:szCs w:val="20"/>
          <w:lang w:val="es-PE"/>
        </w:rPr>
      </w:pPr>
    </w:p>
    <w:p w:rsidR="00FB72E4" w:rsidRPr="00A552EB" w:rsidRDefault="00FB72E4" w:rsidP="00FB72E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Cambria" w:hAnsi="Cambria" w:cs="Arial"/>
          <w:sz w:val="20"/>
          <w:szCs w:val="20"/>
          <w:lang w:val="es-PE"/>
        </w:rPr>
      </w:pPr>
      <w:r>
        <w:rPr>
          <w:rFonts w:ascii="Cambria" w:hAnsi="Cambria" w:cs="Arial"/>
          <w:sz w:val="20"/>
          <w:szCs w:val="20"/>
          <w:lang w:val="es-PE"/>
        </w:rPr>
        <w:t xml:space="preserve">El 2 de julio de 2020, las partes solicitaron conjuntamente la homologación del acuerdo de solución amistosa a la Comisión. </w:t>
      </w:r>
    </w:p>
    <w:p w:rsidR="00FB72E4" w:rsidRPr="00A552EB" w:rsidRDefault="00FB72E4" w:rsidP="00FB72E4">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jc w:val="both"/>
        <w:rPr>
          <w:rFonts w:ascii="Cambria" w:hAnsi="Cambria" w:cs="Arial"/>
          <w:sz w:val="20"/>
          <w:szCs w:val="20"/>
          <w:lang w:val="es-PE"/>
        </w:rPr>
      </w:pPr>
    </w:p>
    <w:p w:rsidR="00FB72E4" w:rsidRPr="00A552EB" w:rsidRDefault="00FB72E4" w:rsidP="00FB72E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Cambria" w:hAnsi="Cambria" w:cs="Arial"/>
          <w:sz w:val="20"/>
          <w:szCs w:val="20"/>
          <w:lang w:val="es-PE"/>
        </w:rPr>
      </w:pPr>
      <w:r w:rsidRPr="00A552EB">
        <w:rPr>
          <w:rFonts w:ascii="Cambria" w:hAnsi="Cambria" w:cs="Arial"/>
          <w:sz w:val="20"/>
          <w:szCs w:val="20"/>
          <w:lang w:val="es-PE"/>
        </w:rPr>
        <w:t>En el presente informe de solución amistosa, según lo establecido en el artículo 49 de la Convención y en el artículo 40.5 del Reglamento de la Comisión, se efectúa una reseña de los hechos alegados por el peticionario y se trascribe el acuerdo de solución amistosa, suscrito el 4 de diciembre de 2019, por los peticionarios y representantes del Estado colombiano. Asimismo, se aprueba el acuerdo suscrito entre las partes y se acuerda la publicación del presente informe en el informe Anual de la CIDH a la Asamblea General de la Organización de los Estados Americanos.</w:t>
      </w:r>
    </w:p>
    <w:p w:rsidR="00FB72E4" w:rsidRPr="00A552EB" w:rsidRDefault="00FB72E4" w:rsidP="00FB72E4">
      <w:pPr>
        <w:ind w:firstLine="720"/>
        <w:rPr>
          <w:rFonts w:ascii="Cambria" w:hAnsi="Cambria" w:cs="Calibri"/>
          <w:sz w:val="20"/>
          <w:szCs w:val="20"/>
          <w:lang w:val="es-ES_tradnl"/>
        </w:rPr>
      </w:pPr>
    </w:p>
    <w:p w:rsidR="00FB72E4" w:rsidRPr="00A552EB" w:rsidRDefault="00F3553B" w:rsidP="00FB72E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b/>
          <w:color w:val="auto"/>
          <w:sz w:val="20"/>
          <w:szCs w:val="20"/>
          <w:lang w:val="es-BO"/>
        </w:rPr>
      </w:pPr>
      <w:r>
        <w:rPr>
          <w:b/>
          <w:color w:val="auto"/>
          <w:sz w:val="20"/>
          <w:szCs w:val="20"/>
          <w:lang w:val="es-BO"/>
        </w:rPr>
        <w:t>LOS HECHOS ALEGADOS</w:t>
      </w:r>
    </w:p>
    <w:p w:rsidR="00FB72E4" w:rsidRPr="00A552EB" w:rsidRDefault="00FB72E4" w:rsidP="00FB72E4">
      <w:pPr>
        <w:ind w:firstLine="720"/>
        <w:rPr>
          <w:rFonts w:ascii="Cambria" w:hAnsi="Cambria" w:cs="Arial"/>
          <w:sz w:val="20"/>
          <w:szCs w:val="20"/>
          <w:lang w:val="es-PE"/>
        </w:rPr>
      </w:pPr>
    </w:p>
    <w:p w:rsidR="00FB72E4" w:rsidRPr="00A552EB" w:rsidRDefault="00FB72E4" w:rsidP="00FB72E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Cambria" w:hAnsi="Cambria" w:cs="Arial"/>
          <w:sz w:val="20"/>
          <w:szCs w:val="20"/>
          <w:lang w:val="es-VE"/>
        </w:rPr>
      </w:pPr>
      <w:r w:rsidRPr="00A552EB">
        <w:rPr>
          <w:rFonts w:ascii="Cambria" w:hAnsi="Cambria" w:cs="Arial"/>
          <w:sz w:val="20"/>
          <w:szCs w:val="20"/>
          <w:lang w:val="es-VE"/>
        </w:rPr>
        <w:t xml:space="preserve">La parte peticionaria alegó que el 6 de diciembre de 1989, el señor Geminiano Gil Martínez fue secuestrado cuando se desplazaba desde Granada, Departamento de Antioquia, a un campamento ubicado en el Corregimiento de Santa Ana, por motivos de trabajo. Asimismo, señaló que el 8 de diciembre de 1989 en horas de la mañana, la esposa de la víctima recibió una llamada de una persona no identificada, quien le informó que su marido había sido secuestrado junto con otra persona. Posteriormente, en horas de la tarde, las autoridades del municipio de Guatapé encontraron el cuerpo de la víctima, junto con el cadáver de otra persona, e informaron que había fallecido como consecuencia de una herida de bala en la cabeza, posiblemente a manos </w:t>
      </w:r>
      <w:r w:rsidRPr="00A552EB">
        <w:rPr>
          <w:rFonts w:ascii="Cambria" w:hAnsi="Cambria" w:cs="Arial"/>
          <w:sz w:val="20"/>
          <w:szCs w:val="20"/>
          <w:lang w:val="es-VE"/>
        </w:rPr>
        <w:lastRenderedPageBreak/>
        <w:t xml:space="preserve">de grupos armados al margen de la ley. Adicionalmente, resaltó que el 10 de diciembre de 1989, se publicó en el diario de circulación nacional “El Espectador” una nota de prensa en el cual se indicaba que el secuestro había sido realizado por miembros del Ejército de Liberación Nacional. </w:t>
      </w:r>
    </w:p>
    <w:p w:rsidR="00FB72E4" w:rsidRPr="00A552EB" w:rsidRDefault="00FB72E4" w:rsidP="00FB72E4">
      <w:pPr>
        <w:pStyle w:val="ListParagraph"/>
        <w:tabs>
          <w:tab w:val="num" w:pos="0"/>
        </w:tabs>
        <w:ind w:left="0" w:firstLine="720"/>
        <w:rPr>
          <w:rFonts w:eastAsia="Arial Unicode MS" w:cs="Arial"/>
          <w:color w:val="auto"/>
          <w:sz w:val="20"/>
          <w:szCs w:val="20"/>
          <w:lang w:val="es-VE" w:eastAsia="en-US"/>
        </w:rPr>
      </w:pPr>
    </w:p>
    <w:p w:rsidR="00FB72E4" w:rsidRDefault="00FB72E4" w:rsidP="00FB72E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s>
        <w:suppressAutoHyphens/>
        <w:ind w:left="0" w:firstLine="720"/>
        <w:jc w:val="both"/>
        <w:rPr>
          <w:rFonts w:eastAsia="Arial Unicode MS" w:cs="Arial"/>
          <w:color w:val="auto"/>
          <w:sz w:val="20"/>
          <w:szCs w:val="20"/>
          <w:lang w:val="es-VE" w:eastAsia="en-US"/>
        </w:rPr>
      </w:pPr>
      <w:r w:rsidRPr="00A552EB">
        <w:rPr>
          <w:rFonts w:eastAsia="Arial Unicode MS" w:cs="Arial"/>
          <w:color w:val="auto"/>
          <w:sz w:val="20"/>
          <w:szCs w:val="20"/>
          <w:lang w:val="es-VE" w:eastAsia="en-US"/>
        </w:rPr>
        <w:t xml:space="preserve">Adicionalmente, la parte peticionaria informó que con posterioridad a los hechos se inició una investigación ante el Juzgado Promiscuo de Instrucción Criminal de Guatapé y que el 5 de febrero de 2007, se presentó un derecho de petición ante la Fiscalía General de la Nación y la Fiscalía Seccional de Antioquia, solicitando información sobre la investigación, que se había iniciado en el mes de diciembre de 1989, por el presunto secuestro y posterior homicidio de Geminiano Gil Martínez. La parte peticionaria resaltó que la Fiscalía informó que no existía registro de los hechos y que según el Juzgado Penal Municipal de Guatapé las diligencias fueron remitidas, el 28 de marzo de 1990, al Juzgado 61 de Instrucción Criminal del Municipio de San Rafael, el cual no tenía constancia del caso. Adicionalmente, la parte peticionaria informó que presentó una acción de reparación directa en contra de la Rama Judicial y la Fiscalía General de la Nación, admitida mediante Auto de fecha 14 de abril de 2009, que aún se encontraba pendiente de decisión judicial definitiva, al momento de la presentación de la petición. </w:t>
      </w:r>
    </w:p>
    <w:p w:rsidR="00FB72E4" w:rsidRPr="00A552EB" w:rsidRDefault="00FB72E4" w:rsidP="00FB72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Arial"/>
          <w:sz w:val="20"/>
          <w:szCs w:val="20"/>
          <w:lang w:val="es-VE"/>
        </w:rPr>
      </w:pPr>
    </w:p>
    <w:p w:rsidR="00FB72E4" w:rsidRDefault="00FB72E4" w:rsidP="00FB72E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s>
        <w:suppressAutoHyphens/>
        <w:ind w:left="0" w:firstLine="720"/>
        <w:jc w:val="both"/>
        <w:rPr>
          <w:rFonts w:ascii="Cambria" w:hAnsi="Cambria" w:cs="Arial"/>
          <w:sz w:val="20"/>
          <w:szCs w:val="20"/>
          <w:lang w:val="es-VE"/>
        </w:rPr>
      </w:pPr>
      <w:r w:rsidRPr="00A552EB">
        <w:rPr>
          <w:rFonts w:ascii="Cambria" w:hAnsi="Cambria" w:cs="Arial"/>
          <w:sz w:val="20"/>
          <w:szCs w:val="20"/>
          <w:lang w:val="es-VE"/>
        </w:rPr>
        <w:t>Finalmente, la parte peticionaria indicó que el Estado colombiano incumplió su deber de investigar, sancionar y reparar a las víctimas como consecuencia de la omisión de adelantar las acciones penales correspondientes. Asimismo, informó que al momento de la presentación de la petición habían transcurrido 18 años desde la muerte de la víctima sin que se haya sancionado a los responsables. Igualmente, señaló que los hechos ocurrieron en el contexto del conflicto interno armado y de inseguridad generalizada presente en Colombia durante los años 80, específicamente en el Departamento de Antioquia, y en el marco de una política pública de impunidad.</w:t>
      </w:r>
    </w:p>
    <w:p w:rsidR="00FB72E4" w:rsidRPr="00A552EB" w:rsidRDefault="00FB72E4" w:rsidP="00FB72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sz w:val="20"/>
          <w:szCs w:val="20"/>
          <w:lang w:val="es-VE"/>
        </w:rPr>
      </w:pPr>
    </w:p>
    <w:p w:rsidR="00FB72E4" w:rsidRPr="00A552EB" w:rsidRDefault="00FB72E4" w:rsidP="00FB72E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contextualSpacing/>
        <w:rPr>
          <w:b/>
          <w:color w:val="auto"/>
          <w:sz w:val="20"/>
          <w:szCs w:val="20"/>
          <w:lang w:val="es-BO"/>
        </w:rPr>
      </w:pPr>
      <w:r w:rsidRPr="00A552EB">
        <w:rPr>
          <w:b/>
          <w:color w:val="auto"/>
          <w:sz w:val="20"/>
          <w:szCs w:val="20"/>
          <w:lang w:val="es-BO"/>
        </w:rPr>
        <w:t>SOLUCIÓN AMISTOSA</w:t>
      </w:r>
    </w:p>
    <w:p w:rsidR="00FB72E4" w:rsidRPr="00A552EB" w:rsidRDefault="00FB72E4" w:rsidP="00FB72E4">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4320"/>
        </w:tabs>
        <w:ind w:firstLine="720"/>
        <w:jc w:val="both"/>
        <w:rPr>
          <w:rFonts w:ascii="Cambria" w:hAnsi="Cambria" w:cs="Arial"/>
          <w:sz w:val="20"/>
          <w:szCs w:val="20"/>
          <w:lang w:val="es-PE"/>
        </w:rPr>
      </w:pPr>
    </w:p>
    <w:p w:rsidR="00FB72E4" w:rsidRPr="00A552EB" w:rsidRDefault="00FB72E4" w:rsidP="00FB72E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Cambria" w:hAnsi="Cambria" w:cs="Arial"/>
          <w:sz w:val="20"/>
          <w:szCs w:val="20"/>
          <w:lang w:val="es-PE"/>
        </w:rPr>
      </w:pPr>
      <w:r w:rsidRPr="00A552EB">
        <w:rPr>
          <w:rFonts w:ascii="Cambria" w:hAnsi="Cambria" w:cs="Arial"/>
          <w:sz w:val="20"/>
          <w:szCs w:val="20"/>
          <w:lang w:val="es-VE"/>
        </w:rPr>
        <w:t xml:space="preserve">El 4 de diciembre de 2019, las partes suscribieron un acuerdo de solución amistosa que establece lo siguiente: </w:t>
      </w:r>
    </w:p>
    <w:p w:rsidR="00FB72E4" w:rsidRPr="00A552EB" w:rsidRDefault="00FB72E4" w:rsidP="00FB72E4">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s>
        <w:jc w:val="both"/>
        <w:rPr>
          <w:rFonts w:ascii="Cambria" w:hAnsi="Cambria" w:cs="Arial"/>
          <w:sz w:val="20"/>
          <w:szCs w:val="20"/>
          <w:lang w:val="es-PE"/>
        </w:rPr>
      </w:pPr>
    </w:p>
    <w:p w:rsidR="00FB72E4" w:rsidRPr="00A552EB" w:rsidRDefault="00FB72E4" w:rsidP="00FB72E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550"/>
          <w:tab w:val="left" w:pos="8640"/>
        </w:tabs>
        <w:ind w:left="720" w:right="720"/>
        <w:contextualSpacing/>
        <w:jc w:val="center"/>
        <w:rPr>
          <w:rFonts w:ascii="Cambria" w:eastAsia="Times New Roman" w:hAnsi="Cambria"/>
          <w:sz w:val="20"/>
          <w:szCs w:val="20"/>
          <w:lang w:val="es-ES" w:eastAsia="es-BO"/>
        </w:rPr>
      </w:pPr>
      <w:r w:rsidRPr="00A552EB">
        <w:rPr>
          <w:rFonts w:ascii="Cambria" w:hAnsi="Cambria" w:cs="Calibri"/>
          <w:b/>
          <w:sz w:val="20"/>
          <w:szCs w:val="20"/>
          <w:lang w:val="es-ES"/>
        </w:rPr>
        <w:t>ACUERDO SOLUCIÓN AMISTOSA</w:t>
      </w:r>
    </w:p>
    <w:p w:rsidR="00FB72E4" w:rsidRPr="00A552EB" w:rsidRDefault="00FB72E4" w:rsidP="00FB72E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550"/>
          <w:tab w:val="left" w:pos="8640"/>
        </w:tabs>
        <w:ind w:left="720" w:right="720"/>
        <w:contextualSpacing/>
        <w:jc w:val="center"/>
        <w:rPr>
          <w:rFonts w:ascii="Cambria" w:hAnsi="Cambria" w:cs="Calibri"/>
          <w:b/>
          <w:sz w:val="20"/>
          <w:szCs w:val="20"/>
          <w:lang w:val="es-ES"/>
        </w:rPr>
      </w:pPr>
      <w:r w:rsidRPr="00A552EB">
        <w:rPr>
          <w:rFonts w:ascii="Cambria" w:hAnsi="Cambria" w:cs="Calibri"/>
          <w:b/>
          <w:sz w:val="20"/>
          <w:szCs w:val="20"/>
          <w:lang w:val="es-ES"/>
        </w:rPr>
        <w:t>CASO 13.421</w:t>
      </w:r>
    </w:p>
    <w:p w:rsidR="00FB72E4" w:rsidRPr="00A552EB" w:rsidRDefault="00FB72E4" w:rsidP="00FB72E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550"/>
          <w:tab w:val="left" w:pos="8640"/>
        </w:tabs>
        <w:ind w:left="720" w:right="720"/>
        <w:contextualSpacing/>
        <w:jc w:val="center"/>
        <w:rPr>
          <w:rFonts w:ascii="Cambria" w:hAnsi="Cambria" w:cs="Calibri"/>
          <w:b/>
          <w:sz w:val="20"/>
          <w:szCs w:val="20"/>
          <w:lang w:val="es-ES"/>
        </w:rPr>
      </w:pPr>
      <w:r w:rsidRPr="00A552EB">
        <w:rPr>
          <w:rFonts w:ascii="Cambria" w:hAnsi="Cambria" w:cs="Calibri"/>
          <w:b/>
          <w:sz w:val="20"/>
          <w:szCs w:val="20"/>
          <w:lang w:val="es-VE"/>
        </w:rPr>
        <w:t>GEMINIANO GIL MARTÍNEZ Y FAMILIA</w:t>
      </w:r>
    </w:p>
    <w:p w:rsidR="00FB72E4" w:rsidRPr="00A552EB" w:rsidRDefault="00FB72E4" w:rsidP="00FB72E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 w:val="left" w:pos="8550"/>
          <w:tab w:val="left" w:pos="8640"/>
        </w:tabs>
        <w:ind w:left="720" w:right="720"/>
        <w:contextualSpacing/>
        <w:jc w:val="center"/>
        <w:rPr>
          <w:rFonts w:ascii="Cambria" w:hAnsi="Cambria" w:cs="Calibri"/>
          <w:b/>
          <w:sz w:val="20"/>
          <w:szCs w:val="20"/>
          <w:lang w:val="es-ES"/>
        </w:rPr>
      </w:pPr>
    </w:p>
    <w:p w:rsidR="00FB72E4" w:rsidRDefault="00FB72E4" w:rsidP="00FB72E4">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sz w:val="20"/>
          <w:szCs w:val="20"/>
          <w:lang w:val="es-VE"/>
        </w:rPr>
      </w:pPr>
      <w:r w:rsidRPr="00A552EB">
        <w:rPr>
          <w:rFonts w:ascii="Cambria" w:hAnsi="Cambria" w:cs="Arial"/>
          <w:sz w:val="20"/>
          <w:szCs w:val="20"/>
          <w:lang w:val="es-VE"/>
        </w:rPr>
        <w:t>El 4 de diciembre de 2019, en la ciudad de Bogotá D.C., María del Pilar Gutiérrez Perilla Asesora de la Dirección de Defensa Jurídica Internacional de la Agencia Nacional de Defensa Jurídica del Estado, quien actúa en nombre y representación del Estado colombiano, en adelante "Estado colombiano", y por la otra parte, Rigoberto Olivella Arzuaga, quien actúa como peticionario en este caso, y a quien en adelante se denominara “el  peticionario”, suscriben  el  presente Acuerdo  de  Solución  Amistosa  en  el  Caso  No 13.421 Geminiano Gil Martínez y Familia, tramitado ante la Comisión interamericana de Derechos Humanos.</w:t>
      </w:r>
    </w:p>
    <w:p w:rsidR="00FB72E4" w:rsidRPr="00A552EB" w:rsidRDefault="00FB72E4" w:rsidP="00FB72E4">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 w:val="left" w:pos="8550"/>
          <w:tab w:val="left" w:pos="8640"/>
        </w:tabs>
        <w:ind w:left="720" w:right="720"/>
        <w:jc w:val="both"/>
        <w:rPr>
          <w:rFonts w:ascii="Cambria" w:hAnsi="Cambria" w:cs="Arial"/>
          <w:sz w:val="20"/>
          <w:szCs w:val="20"/>
          <w:lang w:val="es-PE"/>
        </w:rPr>
      </w:pPr>
    </w:p>
    <w:p w:rsidR="00FB72E4" w:rsidRDefault="00FB72E4" w:rsidP="00FB72E4">
      <w:pPr>
        <w:widowControl w:val="0"/>
        <w:tabs>
          <w:tab w:val="left" w:pos="8550"/>
          <w:tab w:val="left" w:pos="8640"/>
        </w:tabs>
        <w:ind w:left="720" w:right="1003"/>
        <w:jc w:val="both"/>
        <w:rPr>
          <w:rFonts w:ascii="Cambria" w:eastAsia="Times New Roman" w:hAnsi="Cambria"/>
          <w:b/>
          <w:sz w:val="20"/>
          <w:szCs w:val="20"/>
          <w:lang w:val="es-VE"/>
        </w:rPr>
      </w:pPr>
      <w:r w:rsidRPr="00A552EB">
        <w:rPr>
          <w:rFonts w:ascii="Cambria" w:eastAsia="Times New Roman" w:hAnsi="Cambria"/>
          <w:b/>
          <w:sz w:val="20"/>
          <w:szCs w:val="20"/>
          <w:lang w:val="es-VE"/>
        </w:rPr>
        <w:t>CONSIDERACIONES PREVIAS</w:t>
      </w:r>
    </w:p>
    <w:p w:rsidR="00FB72E4" w:rsidRPr="00A552EB" w:rsidRDefault="00FB72E4" w:rsidP="00FB72E4">
      <w:pPr>
        <w:widowControl w:val="0"/>
        <w:tabs>
          <w:tab w:val="left" w:pos="8550"/>
          <w:tab w:val="left" w:pos="8640"/>
        </w:tabs>
        <w:ind w:left="720" w:right="1003"/>
        <w:jc w:val="both"/>
        <w:rPr>
          <w:rFonts w:ascii="Cambria" w:eastAsia="Times New Roman" w:hAnsi="Cambria"/>
          <w:b/>
          <w:sz w:val="20"/>
          <w:szCs w:val="20"/>
          <w:lang w:val="es-VE"/>
        </w:rPr>
      </w:pPr>
    </w:p>
    <w:p w:rsidR="00FB72E4" w:rsidRPr="00A552EB" w:rsidRDefault="00FB72E4" w:rsidP="00FB72E4">
      <w:pPr>
        <w:pStyle w:val="ListParagraph"/>
        <w:widowControl w:val="0"/>
        <w:numPr>
          <w:ilvl w:val="0"/>
          <w:numId w:val="60"/>
        </w:numPr>
        <w:tabs>
          <w:tab w:val="left" w:pos="990"/>
          <w:tab w:val="left" w:pos="8550"/>
          <w:tab w:val="left" w:pos="8640"/>
        </w:tabs>
        <w:ind w:left="720" w:right="720" w:firstLine="0"/>
        <w:jc w:val="both"/>
        <w:rPr>
          <w:rFonts w:eastAsia="Times New Roman"/>
          <w:sz w:val="20"/>
          <w:szCs w:val="20"/>
          <w:lang w:val="es-VE"/>
        </w:rPr>
      </w:pPr>
      <w:r w:rsidRPr="00A552EB">
        <w:rPr>
          <w:rFonts w:eastAsia="Times New Roman"/>
          <w:sz w:val="20"/>
          <w:szCs w:val="20"/>
          <w:lang w:val="es-VE"/>
        </w:rPr>
        <w:t>Los hechos de la petición hacen referencia al secuestro del Señor Geminiano Gil Martínez el 6 de diciembre de 1989, cuando se desplazaba desde Granada - Antioquia al campamento ubicado en el Corregimiento de Santa Ana.</w:t>
      </w:r>
    </w:p>
    <w:p w:rsidR="00FB72E4" w:rsidRPr="00A552EB" w:rsidRDefault="00FB72E4" w:rsidP="00FB72E4">
      <w:pPr>
        <w:pStyle w:val="ListParagraph"/>
        <w:widowControl w:val="0"/>
        <w:tabs>
          <w:tab w:val="left" w:pos="990"/>
          <w:tab w:val="left" w:pos="8550"/>
          <w:tab w:val="left" w:pos="8640"/>
        </w:tabs>
        <w:ind w:right="720"/>
        <w:jc w:val="both"/>
        <w:rPr>
          <w:rFonts w:eastAsia="Times New Roman"/>
          <w:sz w:val="20"/>
          <w:szCs w:val="20"/>
          <w:lang w:val="es-VE"/>
        </w:rPr>
      </w:pPr>
    </w:p>
    <w:p w:rsidR="00FB72E4" w:rsidRPr="005C2511" w:rsidRDefault="00FB72E4" w:rsidP="00FB72E4">
      <w:pPr>
        <w:pStyle w:val="ListParagraph"/>
        <w:widowControl w:val="0"/>
        <w:numPr>
          <w:ilvl w:val="0"/>
          <w:numId w:val="60"/>
        </w:numPr>
        <w:tabs>
          <w:tab w:val="left" w:pos="990"/>
          <w:tab w:val="left" w:pos="8550"/>
          <w:tab w:val="left" w:pos="8640"/>
        </w:tabs>
        <w:ind w:left="720" w:right="720" w:firstLine="0"/>
        <w:jc w:val="both"/>
        <w:rPr>
          <w:rFonts w:eastAsia="Times New Roman"/>
          <w:sz w:val="20"/>
          <w:szCs w:val="20"/>
          <w:lang w:val="es-VE"/>
        </w:rPr>
      </w:pPr>
      <w:r w:rsidRPr="005C2511">
        <w:rPr>
          <w:rFonts w:eastAsia="Times New Roman"/>
          <w:sz w:val="20"/>
          <w:szCs w:val="20"/>
          <w:lang w:val="es-VE"/>
        </w:rPr>
        <w:t>Posteriormente, en horas de la tarde, las autoridades del municipio de Guatapé encontraron el cuerpo del señor Geminiano Gil Martínez junto con el cadáver de otra persona, e informaron que había fallecido como consecuencia de una herida con proyectil de arma de fuego.</w:t>
      </w:r>
    </w:p>
    <w:p w:rsidR="00FB72E4" w:rsidRPr="005C2511" w:rsidRDefault="00FB72E4" w:rsidP="00FB72E4">
      <w:pPr>
        <w:widowControl w:val="0"/>
        <w:tabs>
          <w:tab w:val="left" w:pos="990"/>
          <w:tab w:val="left" w:pos="8550"/>
          <w:tab w:val="left" w:pos="8640"/>
        </w:tabs>
        <w:ind w:left="720" w:right="720"/>
        <w:jc w:val="both"/>
        <w:rPr>
          <w:rFonts w:eastAsia="Times New Roman"/>
          <w:sz w:val="20"/>
          <w:szCs w:val="20"/>
          <w:lang w:val="es-VE"/>
        </w:rPr>
      </w:pPr>
    </w:p>
    <w:p w:rsidR="00FB72E4" w:rsidRPr="005C2511" w:rsidRDefault="00FB72E4" w:rsidP="00FB72E4">
      <w:pPr>
        <w:pStyle w:val="ListParagraph"/>
        <w:widowControl w:val="0"/>
        <w:numPr>
          <w:ilvl w:val="0"/>
          <w:numId w:val="60"/>
        </w:numPr>
        <w:tabs>
          <w:tab w:val="left" w:pos="990"/>
          <w:tab w:val="left" w:pos="8550"/>
        </w:tabs>
        <w:ind w:left="720" w:right="720" w:firstLine="0"/>
        <w:jc w:val="both"/>
        <w:rPr>
          <w:rFonts w:eastAsia="Times New Roman"/>
          <w:sz w:val="20"/>
          <w:szCs w:val="20"/>
          <w:lang w:val="es-VE"/>
        </w:rPr>
      </w:pPr>
      <w:r w:rsidRPr="005C2511">
        <w:rPr>
          <w:rFonts w:eastAsia="Times New Roman"/>
          <w:sz w:val="20"/>
          <w:szCs w:val="20"/>
          <w:lang w:val="es-VE"/>
        </w:rPr>
        <w:t xml:space="preserve">Por su parte, la Fiscalía Seccional del Municipio de San Rafael profirió Resolución Inhibitoria el 11 de noviembre de 1992, posteriormente la investigación fue reabierta, el 16 de abril de 2012. A pesar de que han transcurrido más de veinte años desde que se </w:t>
      </w:r>
      <w:r w:rsidRPr="005C2511">
        <w:rPr>
          <w:rFonts w:eastAsia="Times New Roman"/>
          <w:sz w:val="20"/>
          <w:szCs w:val="20"/>
          <w:lang w:val="es-VE"/>
        </w:rPr>
        <w:lastRenderedPageBreak/>
        <w:t>presentaron los hechos, a la fecha no se ha avanzado en el esclarecimiento de lo sucedido.</w:t>
      </w:r>
    </w:p>
    <w:p w:rsidR="00FB72E4" w:rsidRPr="005C2511" w:rsidRDefault="00FB72E4" w:rsidP="00FB72E4">
      <w:pPr>
        <w:widowControl w:val="0"/>
        <w:tabs>
          <w:tab w:val="left" w:pos="8550"/>
          <w:tab w:val="left" w:pos="8640"/>
        </w:tabs>
        <w:ind w:left="720" w:right="1003"/>
        <w:jc w:val="both"/>
        <w:rPr>
          <w:rFonts w:eastAsia="Times New Roman"/>
          <w:sz w:val="20"/>
          <w:szCs w:val="20"/>
          <w:lang w:val="es-VE"/>
        </w:rPr>
      </w:pPr>
    </w:p>
    <w:p w:rsidR="00FB72E4" w:rsidRPr="005C2511" w:rsidRDefault="00FB72E4" w:rsidP="00FB72E4">
      <w:pPr>
        <w:pStyle w:val="ListParagraph"/>
        <w:widowControl w:val="0"/>
        <w:numPr>
          <w:ilvl w:val="0"/>
          <w:numId w:val="60"/>
        </w:numPr>
        <w:ind w:left="720" w:right="720" w:firstLine="0"/>
        <w:jc w:val="both"/>
        <w:rPr>
          <w:rFonts w:eastAsia="Times New Roman"/>
          <w:sz w:val="20"/>
          <w:szCs w:val="20"/>
          <w:lang w:val="es-VE"/>
        </w:rPr>
      </w:pPr>
      <w:r w:rsidRPr="005C2511">
        <w:rPr>
          <w:rFonts w:eastAsia="Times New Roman"/>
          <w:sz w:val="20"/>
          <w:szCs w:val="20"/>
          <w:lang w:val="es-VE"/>
        </w:rPr>
        <w:t>Los peticionarios interpusieron una acción de reparación directa, por indebida administración de justicia, la cual se encuentra pendiente de fallo en segunda instancia ante el Consejo de Estado.</w:t>
      </w:r>
    </w:p>
    <w:p w:rsidR="00FB72E4" w:rsidRPr="005C2511" w:rsidRDefault="00FB72E4" w:rsidP="00FB72E4">
      <w:pPr>
        <w:widowControl w:val="0"/>
        <w:tabs>
          <w:tab w:val="left" w:pos="8550"/>
          <w:tab w:val="left" w:pos="8640"/>
        </w:tabs>
        <w:ind w:left="720" w:right="720"/>
        <w:jc w:val="both"/>
        <w:rPr>
          <w:rFonts w:eastAsia="Times New Roman"/>
          <w:sz w:val="20"/>
          <w:szCs w:val="20"/>
          <w:lang w:val="es-VE"/>
        </w:rPr>
      </w:pPr>
    </w:p>
    <w:p w:rsidR="00FB72E4" w:rsidRPr="005C2511" w:rsidRDefault="00FB72E4" w:rsidP="00FB72E4">
      <w:pPr>
        <w:pStyle w:val="ListParagraph"/>
        <w:widowControl w:val="0"/>
        <w:numPr>
          <w:ilvl w:val="0"/>
          <w:numId w:val="60"/>
        </w:numPr>
        <w:ind w:left="720" w:right="720" w:firstLine="0"/>
        <w:jc w:val="both"/>
        <w:rPr>
          <w:rFonts w:eastAsia="Times New Roman"/>
          <w:sz w:val="20"/>
          <w:szCs w:val="20"/>
          <w:lang w:val="es-VE"/>
        </w:rPr>
      </w:pPr>
      <w:r w:rsidRPr="005C2511">
        <w:rPr>
          <w:rFonts w:eastAsia="Times New Roman"/>
          <w:sz w:val="20"/>
          <w:szCs w:val="20"/>
          <w:lang w:val="es-VE"/>
        </w:rPr>
        <w:t>El 21 de diciembre de 2007, la Comisión interamericana de Derechos Humanos, recibió una petición presentada por el Doctor Rigoberto Olivella Arzuaga, en la cual se alega la responsabilidad internacional del Estado, por los hechos que rodearon el homicidio del señor Geminiano Martínez Gil</w:t>
      </w:r>
      <w:r w:rsidR="00803FCD">
        <w:rPr>
          <w:rFonts w:eastAsia="Times New Roman"/>
          <w:sz w:val="20"/>
          <w:szCs w:val="20"/>
          <w:lang w:val="es-VE"/>
        </w:rPr>
        <w:t xml:space="preserve"> (Sic)</w:t>
      </w:r>
      <w:r w:rsidRPr="005C2511">
        <w:rPr>
          <w:rFonts w:eastAsia="Times New Roman"/>
          <w:sz w:val="20"/>
          <w:szCs w:val="20"/>
          <w:lang w:val="es-VE"/>
        </w:rPr>
        <w:t>, así como la falta de investigación y esclarecimiento de los hechos ocurridos.</w:t>
      </w:r>
    </w:p>
    <w:p w:rsidR="00FB72E4" w:rsidRPr="005C2511" w:rsidRDefault="00FB72E4" w:rsidP="00FB72E4">
      <w:pPr>
        <w:widowControl w:val="0"/>
        <w:tabs>
          <w:tab w:val="left" w:pos="8550"/>
          <w:tab w:val="left" w:pos="8640"/>
        </w:tabs>
        <w:ind w:left="720" w:right="720"/>
        <w:jc w:val="both"/>
        <w:rPr>
          <w:rFonts w:eastAsia="Times New Roman"/>
          <w:sz w:val="20"/>
          <w:szCs w:val="20"/>
          <w:lang w:val="es-VE"/>
        </w:rPr>
      </w:pPr>
    </w:p>
    <w:p w:rsidR="00FB72E4" w:rsidRPr="005C2511" w:rsidRDefault="00FB72E4" w:rsidP="00FB72E4">
      <w:pPr>
        <w:pStyle w:val="ListParagraph"/>
        <w:widowControl w:val="0"/>
        <w:numPr>
          <w:ilvl w:val="0"/>
          <w:numId w:val="60"/>
        </w:numPr>
        <w:ind w:left="720" w:right="720" w:firstLine="0"/>
        <w:jc w:val="both"/>
        <w:rPr>
          <w:rFonts w:eastAsia="Times New Roman"/>
          <w:sz w:val="20"/>
          <w:szCs w:val="20"/>
          <w:lang w:val="es-VE"/>
        </w:rPr>
      </w:pPr>
      <w:r w:rsidRPr="005C2511">
        <w:rPr>
          <w:rFonts w:eastAsia="Times New Roman"/>
          <w:sz w:val="20"/>
          <w:szCs w:val="20"/>
          <w:lang w:val="es-VE"/>
        </w:rPr>
        <w:t>Mediante informe No 141/17 del 26 de octubre de 2017, la Comisión Interamericana de Derechos Humanos declaró la admisibilidad de la petición en relación con los artículos 4, 5, 7, 8 y 25 de la Convención Americana sobre Derechos Humanos, en relación con su artículo 1.1.</w:t>
      </w:r>
    </w:p>
    <w:p w:rsidR="00FB72E4" w:rsidRPr="005C2511" w:rsidRDefault="00FB72E4" w:rsidP="00FB72E4">
      <w:pPr>
        <w:widowControl w:val="0"/>
        <w:tabs>
          <w:tab w:val="left" w:pos="8550"/>
          <w:tab w:val="left" w:pos="8640"/>
        </w:tabs>
        <w:ind w:left="720" w:right="720"/>
        <w:jc w:val="both"/>
        <w:rPr>
          <w:rFonts w:eastAsia="Times New Roman"/>
          <w:sz w:val="20"/>
          <w:szCs w:val="20"/>
          <w:lang w:val="es-VE"/>
        </w:rPr>
      </w:pPr>
    </w:p>
    <w:p w:rsidR="00FB72E4" w:rsidRPr="005C2511" w:rsidRDefault="00FB72E4" w:rsidP="00FB72E4">
      <w:pPr>
        <w:pStyle w:val="ListParagraph"/>
        <w:widowControl w:val="0"/>
        <w:numPr>
          <w:ilvl w:val="0"/>
          <w:numId w:val="60"/>
        </w:numPr>
        <w:tabs>
          <w:tab w:val="left" w:pos="990"/>
          <w:tab w:val="left" w:pos="8550"/>
          <w:tab w:val="left" w:pos="8640"/>
        </w:tabs>
        <w:ind w:left="720" w:right="720" w:firstLine="0"/>
        <w:jc w:val="both"/>
        <w:rPr>
          <w:rFonts w:eastAsia="Times New Roman"/>
          <w:sz w:val="20"/>
          <w:szCs w:val="20"/>
          <w:lang w:val="es-VE"/>
        </w:rPr>
      </w:pPr>
      <w:r w:rsidRPr="005C2511">
        <w:rPr>
          <w:rFonts w:eastAsia="Times New Roman"/>
          <w:sz w:val="20"/>
          <w:szCs w:val="20"/>
          <w:lang w:val="es-VE"/>
        </w:rPr>
        <w:t>El 24 de julio de 2019, el Estado colombiano y el representante de las víctimas, suscribieron un Acta de Entendimiento con el fin de llegar a una solución amistosa.</w:t>
      </w:r>
    </w:p>
    <w:p w:rsidR="00FB72E4" w:rsidRPr="005C2511" w:rsidRDefault="00FB72E4" w:rsidP="00FB72E4">
      <w:pPr>
        <w:widowControl w:val="0"/>
        <w:tabs>
          <w:tab w:val="left" w:pos="990"/>
          <w:tab w:val="left" w:pos="8550"/>
          <w:tab w:val="left" w:pos="8640"/>
        </w:tabs>
        <w:ind w:left="720" w:right="720"/>
        <w:jc w:val="both"/>
        <w:rPr>
          <w:rFonts w:eastAsia="Times New Roman"/>
          <w:sz w:val="20"/>
          <w:szCs w:val="20"/>
          <w:lang w:val="es-VE"/>
        </w:rPr>
      </w:pPr>
    </w:p>
    <w:p w:rsidR="00FB72E4" w:rsidRPr="005C2511" w:rsidRDefault="00FB72E4" w:rsidP="00FB72E4">
      <w:pPr>
        <w:pStyle w:val="ListParagraph"/>
        <w:widowControl w:val="0"/>
        <w:numPr>
          <w:ilvl w:val="0"/>
          <w:numId w:val="60"/>
        </w:numPr>
        <w:tabs>
          <w:tab w:val="left" w:pos="990"/>
          <w:tab w:val="left" w:pos="8550"/>
          <w:tab w:val="left" w:pos="8640"/>
        </w:tabs>
        <w:ind w:left="720" w:right="720" w:firstLine="0"/>
        <w:jc w:val="both"/>
        <w:rPr>
          <w:rFonts w:eastAsia="Times New Roman"/>
          <w:sz w:val="20"/>
          <w:szCs w:val="20"/>
          <w:lang w:val="es-VE"/>
        </w:rPr>
      </w:pPr>
      <w:r w:rsidRPr="005C2511">
        <w:rPr>
          <w:rFonts w:eastAsia="Times New Roman"/>
          <w:sz w:val="20"/>
          <w:szCs w:val="20"/>
          <w:lang w:val="es-VE"/>
        </w:rPr>
        <w:t>En los meses subsiguientes se celebraron reuniones conjuntas para analizar las propuestas de ambas partes con el fin de construir el presente acuerdo de solución amistosa.</w:t>
      </w:r>
    </w:p>
    <w:p w:rsidR="00FB72E4" w:rsidRPr="005C2511" w:rsidRDefault="00FB72E4" w:rsidP="00FB72E4">
      <w:pPr>
        <w:widowControl w:val="0"/>
        <w:tabs>
          <w:tab w:val="left" w:pos="990"/>
          <w:tab w:val="left" w:pos="8550"/>
          <w:tab w:val="left" w:pos="8640"/>
        </w:tabs>
        <w:ind w:left="720" w:right="720"/>
        <w:jc w:val="both"/>
        <w:rPr>
          <w:rFonts w:eastAsia="Times New Roman"/>
          <w:sz w:val="20"/>
          <w:szCs w:val="20"/>
          <w:lang w:val="es-VE"/>
        </w:rPr>
      </w:pPr>
    </w:p>
    <w:p w:rsidR="00FB72E4" w:rsidRPr="005C2511" w:rsidRDefault="00FB72E4" w:rsidP="00FB72E4">
      <w:pPr>
        <w:pStyle w:val="ListParagraph"/>
        <w:widowControl w:val="0"/>
        <w:numPr>
          <w:ilvl w:val="0"/>
          <w:numId w:val="60"/>
        </w:numPr>
        <w:tabs>
          <w:tab w:val="left" w:pos="990"/>
          <w:tab w:val="left" w:pos="8550"/>
          <w:tab w:val="left" w:pos="8640"/>
        </w:tabs>
        <w:ind w:left="720" w:right="720" w:firstLine="0"/>
        <w:jc w:val="both"/>
        <w:rPr>
          <w:rFonts w:eastAsia="Times New Roman"/>
          <w:sz w:val="20"/>
          <w:szCs w:val="20"/>
          <w:lang w:val="es-VE"/>
        </w:rPr>
      </w:pPr>
      <w:r w:rsidRPr="005C2511">
        <w:rPr>
          <w:rFonts w:eastAsia="Times New Roman"/>
          <w:sz w:val="20"/>
          <w:szCs w:val="20"/>
          <w:lang w:val="es-VE"/>
        </w:rPr>
        <w:t>El Estado colombiano y el representante de las víctimas determinaron suscribir el presente Acuerdo de Solución Amistosa, el cual se regirá bajo los siguientes términos:</w:t>
      </w:r>
    </w:p>
    <w:p w:rsidR="00FB72E4" w:rsidRPr="005C2511" w:rsidRDefault="00FB72E4" w:rsidP="00FB72E4">
      <w:pPr>
        <w:widowControl w:val="0"/>
        <w:tabs>
          <w:tab w:val="left" w:pos="990"/>
          <w:tab w:val="left" w:pos="8550"/>
          <w:tab w:val="left" w:pos="8640"/>
        </w:tabs>
        <w:ind w:left="720" w:right="720"/>
        <w:jc w:val="both"/>
        <w:rPr>
          <w:rFonts w:eastAsia="Times New Roman"/>
          <w:sz w:val="20"/>
          <w:szCs w:val="20"/>
          <w:lang w:val="es-VE"/>
        </w:rPr>
      </w:pPr>
    </w:p>
    <w:p w:rsidR="00FB72E4" w:rsidRDefault="00FB72E4" w:rsidP="00FB72E4">
      <w:pPr>
        <w:widowControl w:val="0"/>
        <w:tabs>
          <w:tab w:val="left" w:pos="8550"/>
          <w:tab w:val="left" w:pos="8640"/>
        </w:tabs>
        <w:ind w:left="720" w:right="720"/>
        <w:jc w:val="both"/>
        <w:rPr>
          <w:rFonts w:ascii="Cambria" w:eastAsia="Times New Roman" w:hAnsi="Cambria"/>
          <w:b/>
          <w:sz w:val="20"/>
          <w:szCs w:val="20"/>
          <w:lang w:val="es-VE"/>
        </w:rPr>
      </w:pPr>
      <w:r w:rsidRPr="00A552EB">
        <w:rPr>
          <w:rFonts w:ascii="Cambria" w:eastAsia="Times New Roman" w:hAnsi="Cambria"/>
          <w:b/>
          <w:sz w:val="20"/>
          <w:szCs w:val="20"/>
          <w:lang w:val="es-VE"/>
        </w:rPr>
        <w:t>PRIME</w:t>
      </w:r>
      <w:r>
        <w:rPr>
          <w:rFonts w:ascii="Cambria" w:eastAsia="Times New Roman" w:hAnsi="Cambria"/>
          <w:b/>
          <w:sz w:val="20"/>
          <w:szCs w:val="20"/>
          <w:lang w:val="es-VE"/>
        </w:rPr>
        <w:t xml:space="preserve">RO: RECONOCIMIENTO </w:t>
      </w:r>
      <w:r w:rsidRPr="00A552EB">
        <w:rPr>
          <w:rFonts w:ascii="Cambria" w:eastAsia="Times New Roman" w:hAnsi="Cambria"/>
          <w:b/>
          <w:sz w:val="20"/>
          <w:szCs w:val="20"/>
          <w:lang w:val="es-VE"/>
        </w:rPr>
        <w:t>DE RESPONSABILIDAD</w:t>
      </w:r>
    </w:p>
    <w:p w:rsidR="00FB72E4" w:rsidRPr="00A552EB" w:rsidRDefault="00FB72E4" w:rsidP="00FB72E4">
      <w:pPr>
        <w:widowControl w:val="0"/>
        <w:tabs>
          <w:tab w:val="left" w:pos="8550"/>
          <w:tab w:val="left" w:pos="8640"/>
        </w:tabs>
        <w:ind w:left="720" w:right="720"/>
        <w:jc w:val="both"/>
        <w:rPr>
          <w:rFonts w:ascii="Cambria" w:eastAsia="Times New Roman" w:hAnsi="Cambria"/>
          <w:b/>
          <w:sz w:val="20"/>
          <w:szCs w:val="20"/>
          <w:lang w:val="es-VE"/>
        </w:rPr>
      </w:pPr>
    </w:p>
    <w:p w:rsidR="00FB72E4" w:rsidRDefault="00FB72E4" w:rsidP="00FB72E4">
      <w:pPr>
        <w:widowControl w:val="0"/>
        <w:tabs>
          <w:tab w:val="left" w:pos="8550"/>
          <w:tab w:val="left" w:pos="8640"/>
        </w:tabs>
        <w:ind w:left="720" w:right="720"/>
        <w:jc w:val="both"/>
        <w:rPr>
          <w:rFonts w:ascii="Cambria" w:eastAsia="Times New Roman" w:hAnsi="Cambria"/>
          <w:sz w:val="20"/>
          <w:szCs w:val="20"/>
          <w:lang w:val="es-VE"/>
        </w:rPr>
      </w:pPr>
      <w:r w:rsidRPr="00A552EB">
        <w:rPr>
          <w:rFonts w:ascii="Cambria" w:eastAsia="Times New Roman" w:hAnsi="Cambria"/>
          <w:sz w:val="20"/>
          <w:szCs w:val="20"/>
          <w:lang w:val="es-VE"/>
        </w:rPr>
        <w:t>El Estado colombiano reconoce la responsabilidad internacional por la violación de los artículos 8 (derecho a las garantías judiciales) y 25 (derecho a la protección judicial) de la Convención Americana sobre Derechos Humanos en perjuicio de los familiares de la víctima, por la falta de diligencia en la investigación de los hechos sucedidos el 6 de diciembre de 1989, en los que falleció el señor Geminiano Gil Martínez.</w:t>
      </w:r>
    </w:p>
    <w:p w:rsidR="00FB72E4" w:rsidRPr="00A552EB" w:rsidRDefault="00FB72E4" w:rsidP="00FB72E4">
      <w:pPr>
        <w:widowControl w:val="0"/>
        <w:tabs>
          <w:tab w:val="left" w:pos="8550"/>
          <w:tab w:val="left" w:pos="8640"/>
        </w:tabs>
        <w:ind w:left="720" w:right="720"/>
        <w:jc w:val="both"/>
        <w:rPr>
          <w:rFonts w:ascii="Cambria" w:eastAsia="Times New Roman" w:hAnsi="Cambria"/>
          <w:sz w:val="20"/>
          <w:szCs w:val="20"/>
          <w:lang w:val="es-VE"/>
        </w:rPr>
      </w:pPr>
    </w:p>
    <w:p w:rsidR="00FB72E4" w:rsidRDefault="00FB72E4" w:rsidP="00FB72E4">
      <w:pPr>
        <w:widowControl w:val="0"/>
        <w:tabs>
          <w:tab w:val="left" w:pos="8550"/>
          <w:tab w:val="left" w:pos="8640"/>
        </w:tabs>
        <w:ind w:left="720" w:right="720"/>
        <w:jc w:val="both"/>
        <w:rPr>
          <w:rFonts w:ascii="Cambria" w:eastAsia="Times New Roman" w:hAnsi="Cambria"/>
          <w:sz w:val="20"/>
          <w:szCs w:val="20"/>
          <w:lang w:val="es-VE"/>
        </w:rPr>
      </w:pPr>
      <w:r w:rsidRPr="00A552EB">
        <w:rPr>
          <w:rFonts w:ascii="Cambria" w:eastAsia="Times New Roman" w:hAnsi="Cambria"/>
          <w:b/>
          <w:sz w:val="20"/>
          <w:szCs w:val="20"/>
          <w:lang w:val="es-VE"/>
        </w:rPr>
        <w:t>SEGUNDO: DESISTIMIENTO DE LA ACCIÓN DE REPARACIÓN DIRECTA.</w:t>
      </w:r>
      <w:r w:rsidRPr="00A552EB">
        <w:rPr>
          <w:rFonts w:ascii="Cambria" w:eastAsia="Times New Roman" w:hAnsi="Cambria"/>
          <w:sz w:val="20"/>
          <w:szCs w:val="20"/>
          <w:lang w:val="es-VE"/>
        </w:rPr>
        <w:t xml:space="preserve"> </w:t>
      </w:r>
    </w:p>
    <w:p w:rsidR="00FB72E4" w:rsidRPr="00A552EB" w:rsidRDefault="00FB72E4" w:rsidP="00FB72E4">
      <w:pPr>
        <w:widowControl w:val="0"/>
        <w:tabs>
          <w:tab w:val="left" w:pos="8550"/>
          <w:tab w:val="left" w:pos="8640"/>
        </w:tabs>
        <w:ind w:left="720" w:right="720"/>
        <w:jc w:val="both"/>
        <w:rPr>
          <w:rFonts w:ascii="Cambria" w:eastAsia="Times New Roman" w:hAnsi="Cambria"/>
          <w:sz w:val="20"/>
          <w:szCs w:val="20"/>
          <w:lang w:val="es-VE"/>
        </w:rPr>
      </w:pPr>
    </w:p>
    <w:p w:rsidR="00FB72E4" w:rsidRDefault="00FB72E4" w:rsidP="00FB72E4">
      <w:pPr>
        <w:widowControl w:val="0"/>
        <w:tabs>
          <w:tab w:val="left" w:pos="8550"/>
          <w:tab w:val="left" w:pos="8640"/>
        </w:tabs>
        <w:ind w:left="720" w:right="720"/>
        <w:jc w:val="both"/>
        <w:rPr>
          <w:rFonts w:ascii="Cambria" w:eastAsia="Times New Roman" w:hAnsi="Cambria"/>
          <w:sz w:val="20"/>
          <w:szCs w:val="20"/>
          <w:lang w:val="es-VE"/>
        </w:rPr>
      </w:pPr>
      <w:r w:rsidRPr="00A552EB">
        <w:rPr>
          <w:rFonts w:ascii="Cambria" w:eastAsia="Times New Roman" w:hAnsi="Cambria"/>
          <w:sz w:val="20"/>
          <w:szCs w:val="20"/>
          <w:lang w:val="es-VE"/>
        </w:rPr>
        <w:t>En vista que el Estado colombiano y el representante de las víctimas suscribieron el presente Acuerdo de Solución Amistosa, el peticionario se obliga a desistir de la Acción de Reparación Directa N° 05001233100020090059701 que se tramita en segunda instancia ante el Consejo de Estado, Sección Tercera. Así mismo, renuncia expresamente a interponer otra acción judicial a nivel interno respecto de los mismos hechos y por las mismas pretensiones.</w:t>
      </w:r>
    </w:p>
    <w:p w:rsidR="00FB72E4" w:rsidRPr="00A552EB" w:rsidRDefault="00FB72E4" w:rsidP="00FB72E4">
      <w:pPr>
        <w:widowControl w:val="0"/>
        <w:tabs>
          <w:tab w:val="left" w:pos="8550"/>
          <w:tab w:val="left" w:pos="8640"/>
        </w:tabs>
        <w:ind w:left="720" w:right="720"/>
        <w:jc w:val="both"/>
        <w:rPr>
          <w:rFonts w:ascii="Cambria" w:eastAsia="Times New Roman" w:hAnsi="Cambria"/>
          <w:sz w:val="20"/>
          <w:szCs w:val="20"/>
          <w:lang w:val="es-VE"/>
        </w:rPr>
      </w:pPr>
    </w:p>
    <w:p w:rsidR="00FB72E4" w:rsidRDefault="00FB72E4" w:rsidP="00FB72E4">
      <w:pPr>
        <w:widowControl w:val="0"/>
        <w:tabs>
          <w:tab w:val="left" w:pos="8550"/>
          <w:tab w:val="left" w:pos="8640"/>
        </w:tabs>
        <w:ind w:left="720" w:right="720"/>
        <w:jc w:val="both"/>
        <w:rPr>
          <w:rFonts w:ascii="Cambria" w:eastAsia="Times New Roman" w:hAnsi="Cambria"/>
          <w:b/>
          <w:sz w:val="20"/>
          <w:szCs w:val="20"/>
          <w:lang w:val="es-VE"/>
        </w:rPr>
      </w:pPr>
      <w:r w:rsidRPr="00A552EB">
        <w:rPr>
          <w:rFonts w:ascii="Cambria" w:eastAsia="Times New Roman" w:hAnsi="Cambria"/>
          <w:b/>
          <w:sz w:val="20"/>
          <w:szCs w:val="20"/>
          <w:lang w:val="es-VE"/>
        </w:rPr>
        <w:t>TERCERO: MEDIDAS DE SATISFACCIÓN</w:t>
      </w:r>
    </w:p>
    <w:p w:rsidR="00FB72E4" w:rsidRPr="00A552EB" w:rsidRDefault="00FB72E4" w:rsidP="00FB72E4">
      <w:pPr>
        <w:widowControl w:val="0"/>
        <w:tabs>
          <w:tab w:val="left" w:pos="8550"/>
          <w:tab w:val="left" w:pos="8640"/>
        </w:tabs>
        <w:ind w:left="720" w:right="720"/>
        <w:jc w:val="both"/>
        <w:rPr>
          <w:rFonts w:ascii="Cambria" w:eastAsia="Times New Roman" w:hAnsi="Cambria"/>
          <w:b/>
          <w:sz w:val="20"/>
          <w:szCs w:val="20"/>
          <w:lang w:val="es-VE"/>
        </w:rPr>
      </w:pPr>
    </w:p>
    <w:p w:rsidR="00FB72E4" w:rsidRDefault="00FB72E4" w:rsidP="00FB72E4">
      <w:pPr>
        <w:widowControl w:val="0"/>
        <w:tabs>
          <w:tab w:val="left" w:pos="8550"/>
          <w:tab w:val="left" w:pos="8640"/>
        </w:tabs>
        <w:ind w:left="720" w:right="720"/>
        <w:jc w:val="both"/>
        <w:rPr>
          <w:rFonts w:ascii="Cambria" w:eastAsia="Times New Roman" w:hAnsi="Cambria"/>
          <w:sz w:val="20"/>
          <w:szCs w:val="20"/>
          <w:lang w:val="es-VE"/>
        </w:rPr>
      </w:pPr>
      <w:r w:rsidRPr="00A552EB">
        <w:rPr>
          <w:rFonts w:ascii="Cambria" w:eastAsia="Times New Roman" w:hAnsi="Cambria"/>
          <w:sz w:val="20"/>
          <w:szCs w:val="20"/>
          <w:lang w:val="es-VE"/>
        </w:rPr>
        <w:t>El Estado de Colombia se compromete a realizar las siguientes medidas</w:t>
      </w:r>
      <w:r w:rsidRPr="00A552EB">
        <w:rPr>
          <w:rStyle w:val="FootnoteReference"/>
          <w:rFonts w:ascii="Cambria" w:eastAsia="Times New Roman" w:hAnsi="Cambria"/>
          <w:sz w:val="20"/>
          <w:szCs w:val="20"/>
          <w:lang w:val="es-VE"/>
        </w:rPr>
        <w:footnoteReference w:id="2"/>
      </w:r>
      <w:r w:rsidRPr="00A552EB">
        <w:rPr>
          <w:rFonts w:ascii="Cambria" w:eastAsia="Times New Roman" w:hAnsi="Cambria"/>
          <w:sz w:val="20"/>
          <w:szCs w:val="20"/>
          <w:lang w:val="es-VE"/>
        </w:rPr>
        <w:t>:</w:t>
      </w:r>
    </w:p>
    <w:p w:rsidR="00FB72E4" w:rsidRPr="00A552EB" w:rsidRDefault="00FB72E4" w:rsidP="00FB72E4">
      <w:pPr>
        <w:widowControl w:val="0"/>
        <w:tabs>
          <w:tab w:val="left" w:pos="8550"/>
          <w:tab w:val="left" w:pos="8640"/>
        </w:tabs>
        <w:ind w:left="720" w:right="720"/>
        <w:jc w:val="both"/>
        <w:rPr>
          <w:rFonts w:ascii="Cambria" w:eastAsia="Times New Roman" w:hAnsi="Cambria"/>
          <w:sz w:val="20"/>
          <w:szCs w:val="20"/>
          <w:lang w:val="es-VE"/>
        </w:rPr>
      </w:pPr>
    </w:p>
    <w:p w:rsidR="00FB72E4" w:rsidRDefault="00FB72E4" w:rsidP="00FB72E4">
      <w:pPr>
        <w:pStyle w:val="ListParagraph"/>
        <w:widowControl w:val="0"/>
        <w:numPr>
          <w:ilvl w:val="0"/>
          <w:numId w:val="59"/>
        </w:numPr>
        <w:tabs>
          <w:tab w:val="left" w:pos="990"/>
          <w:tab w:val="left" w:pos="1170"/>
          <w:tab w:val="left" w:pos="1890"/>
          <w:tab w:val="left" w:pos="8550"/>
          <w:tab w:val="left" w:pos="8640"/>
        </w:tabs>
        <w:ind w:right="720" w:firstLine="0"/>
        <w:jc w:val="both"/>
        <w:rPr>
          <w:rFonts w:eastAsia="Times New Roman"/>
          <w:sz w:val="20"/>
          <w:szCs w:val="20"/>
          <w:lang w:val="es-VE"/>
        </w:rPr>
      </w:pPr>
      <w:r w:rsidRPr="00A552EB">
        <w:rPr>
          <w:rFonts w:eastAsia="Times New Roman"/>
          <w:sz w:val="20"/>
          <w:szCs w:val="20"/>
          <w:lang w:val="es-VE"/>
        </w:rPr>
        <w:t>Acto de Reconocimiento de Responsabilidad.</w:t>
      </w:r>
    </w:p>
    <w:p w:rsidR="00FB72E4" w:rsidRPr="00A552EB" w:rsidRDefault="00FB72E4" w:rsidP="00FB72E4">
      <w:pPr>
        <w:pStyle w:val="ListParagraph"/>
        <w:widowControl w:val="0"/>
        <w:tabs>
          <w:tab w:val="left" w:pos="990"/>
          <w:tab w:val="left" w:pos="1170"/>
          <w:tab w:val="left" w:pos="1890"/>
          <w:tab w:val="left" w:pos="8550"/>
          <w:tab w:val="left" w:pos="8640"/>
        </w:tabs>
        <w:ind w:right="720"/>
        <w:jc w:val="both"/>
        <w:rPr>
          <w:rFonts w:eastAsia="Times New Roman"/>
          <w:sz w:val="20"/>
          <w:szCs w:val="20"/>
          <w:lang w:val="es-VE"/>
        </w:rPr>
      </w:pPr>
    </w:p>
    <w:p w:rsidR="00FB72E4" w:rsidRDefault="00FB72E4" w:rsidP="00FB72E4">
      <w:pPr>
        <w:widowControl w:val="0"/>
        <w:tabs>
          <w:tab w:val="left" w:pos="8550"/>
          <w:tab w:val="left" w:pos="8640"/>
        </w:tabs>
        <w:ind w:left="720" w:right="720"/>
        <w:jc w:val="both"/>
        <w:rPr>
          <w:rFonts w:ascii="Cambria" w:eastAsia="Times New Roman" w:hAnsi="Cambria"/>
          <w:sz w:val="20"/>
          <w:szCs w:val="20"/>
          <w:lang w:val="es-VE"/>
        </w:rPr>
      </w:pPr>
      <w:r w:rsidRPr="00A552EB">
        <w:rPr>
          <w:rFonts w:ascii="Cambria" w:eastAsia="Times New Roman" w:hAnsi="Cambria"/>
          <w:sz w:val="20"/>
          <w:szCs w:val="20"/>
          <w:lang w:val="es-VE"/>
        </w:rPr>
        <w:t xml:space="preserve">Un acto privado de disculpas y dignificación en la Catedral Castrense Jesucristo Redentor de la ciudad de Bogotá, encabezado por un alto funcionario del Gobierno Nacional. El acto de reconocimiento de responsabilidad se realizará con la participación activa de los familiares y el representante de las víctimas. En el mismo, se reconocerá la responsabilidad estatal en los términos establecidos en el presente acuerdo. La presente medida estará a cargo de la Agencia </w:t>
      </w:r>
      <w:r w:rsidRPr="00A552EB">
        <w:rPr>
          <w:rFonts w:ascii="Cambria" w:eastAsia="Times New Roman" w:hAnsi="Cambria"/>
          <w:sz w:val="20"/>
          <w:szCs w:val="20"/>
          <w:lang w:val="es-VE"/>
        </w:rPr>
        <w:lastRenderedPageBreak/>
        <w:t>Nacional de Defensa Jurídica del Estado, en coordinación con el Ministerio de Defensa Nacional.</w:t>
      </w:r>
    </w:p>
    <w:p w:rsidR="00FB72E4" w:rsidRPr="00A552EB" w:rsidRDefault="00FB72E4" w:rsidP="00FB72E4">
      <w:pPr>
        <w:widowControl w:val="0"/>
        <w:tabs>
          <w:tab w:val="left" w:pos="8550"/>
          <w:tab w:val="left" w:pos="8640"/>
        </w:tabs>
        <w:ind w:left="720" w:right="1003"/>
        <w:jc w:val="both"/>
        <w:rPr>
          <w:rFonts w:ascii="Cambria" w:eastAsia="Times New Roman" w:hAnsi="Cambria"/>
          <w:sz w:val="20"/>
          <w:szCs w:val="20"/>
          <w:lang w:val="es-VE"/>
        </w:rPr>
      </w:pPr>
    </w:p>
    <w:p w:rsidR="00FB72E4" w:rsidRDefault="00FB72E4" w:rsidP="00FB72E4">
      <w:pPr>
        <w:pStyle w:val="ListParagraph"/>
        <w:widowControl w:val="0"/>
        <w:numPr>
          <w:ilvl w:val="0"/>
          <w:numId w:val="59"/>
        </w:numPr>
        <w:tabs>
          <w:tab w:val="left" w:pos="990"/>
          <w:tab w:val="left" w:pos="8550"/>
          <w:tab w:val="left" w:pos="8640"/>
        </w:tabs>
        <w:ind w:right="720" w:firstLine="0"/>
        <w:jc w:val="both"/>
        <w:rPr>
          <w:rFonts w:eastAsia="Times New Roman"/>
          <w:sz w:val="20"/>
          <w:szCs w:val="20"/>
          <w:lang w:val="es-VE"/>
        </w:rPr>
      </w:pPr>
      <w:r w:rsidRPr="00A552EB">
        <w:rPr>
          <w:rFonts w:eastAsia="Times New Roman"/>
          <w:sz w:val="20"/>
          <w:szCs w:val="20"/>
          <w:lang w:val="es-VE"/>
        </w:rPr>
        <w:t>Entrega de recordatorios y de invitaciones.</w:t>
      </w:r>
    </w:p>
    <w:p w:rsidR="00FB72E4" w:rsidRPr="00A552EB" w:rsidRDefault="00FB72E4" w:rsidP="00FB72E4">
      <w:pPr>
        <w:pStyle w:val="ListParagraph"/>
        <w:widowControl w:val="0"/>
        <w:tabs>
          <w:tab w:val="left" w:pos="990"/>
          <w:tab w:val="left" w:pos="8550"/>
          <w:tab w:val="left" w:pos="8640"/>
        </w:tabs>
        <w:ind w:right="720"/>
        <w:jc w:val="both"/>
        <w:rPr>
          <w:rFonts w:eastAsia="Times New Roman"/>
          <w:sz w:val="20"/>
          <w:szCs w:val="20"/>
          <w:lang w:val="es-VE"/>
        </w:rPr>
      </w:pPr>
    </w:p>
    <w:p w:rsidR="00FB72E4" w:rsidRDefault="00FB72E4" w:rsidP="00FB72E4">
      <w:pPr>
        <w:widowControl w:val="0"/>
        <w:tabs>
          <w:tab w:val="left" w:pos="8550"/>
          <w:tab w:val="left" w:pos="8640"/>
        </w:tabs>
        <w:ind w:left="720" w:right="720"/>
        <w:jc w:val="both"/>
        <w:rPr>
          <w:rFonts w:ascii="Cambria" w:eastAsia="Times New Roman" w:hAnsi="Cambria"/>
          <w:sz w:val="20"/>
          <w:szCs w:val="20"/>
          <w:lang w:val="es-VE"/>
        </w:rPr>
      </w:pPr>
      <w:r w:rsidRPr="00A552EB">
        <w:rPr>
          <w:rFonts w:ascii="Cambria" w:eastAsia="Times New Roman" w:hAnsi="Cambria"/>
          <w:sz w:val="20"/>
          <w:szCs w:val="20"/>
          <w:lang w:val="es-VE"/>
        </w:rPr>
        <w:t>La Consejería Presidencial para los Derechos Humanos, se encargará de la elaboración de los recordatorios y las invitaciones, que se entregarán en el Acto de Reconocimiento de Responsabilidad. Estas medidas serán concertadas con las víctimas y sus representantes.</w:t>
      </w:r>
    </w:p>
    <w:p w:rsidR="00FB72E4" w:rsidRPr="00A552EB" w:rsidRDefault="00FB72E4" w:rsidP="00FB72E4">
      <w:pPr>
        <w:widowControl w:val="0"/>
        <w:tabs>
          <w:tab w:val="left" w:pos="8550"/>
          <w:tab w:val="left" w:pos="8640"/>
        </w:tabs>
        <w:ind w:left="720" w:right="720"/>
        <w:jc w:val="both"/>
        <w:rPr>
          <w:rFonts w:ascii="Cambria" w:eastAsia="Times New Roman" w:hAnsi="Cambria"/>
          <w:sz w:val="20"/>
          <w:szCs w:val="20"/>
          <w:lang w:val="es-VE"/>
        </w:rPr>
      </w:pPr>
    </w:p>
    <w:p w:rsidR="00FB72E4" w:rsidRDefault="00FB72E4" w:rsidP="00FB72E4">
      <w:pPr>
        <w:pStyle w:val="ListParagraph"/>
        <w:widowControl w:val="0"/>
        <w:numPr>
          <w:ilvl w:val="0"/>
          <w:numId w:val="59"/>
        </w:numPr>
        <w:tabs>
          <w:tab w:val="left" w:pos="990"/>
          <w:tab w:val="left" w:pos="8550"/>
          <w:tab w:val="left" w:pos="8640"/>
        </w:tabs>
        <w:ind w:right="720" w:firstLine="0"/>
        <w:jc w:val="both"/>
        <w:rPr>
          <w:rFonts w:eastAsia="Times New Roman"/>
          <w:sz w:val="20"/>
          <w:szCs w:val="20"/>
          <w:lang w:val="es-VE"/>
        </w:rPr>
      </w:pPr>
      <w:r w:rsidRPr="00A552EB">
        <w:rPr>
          <w:rFonts w:eastAsia="Times New Roman"/>
          <w:sz w:val="20"/>
          <w:szCs w:val="20"/>
          <w:lang w:val="es-VE"/>
        </w:rPr>
        <w:t>Publicación de los hechos.</w:t>
      </w:r>
    </w:p>
    <w:p w:rsidR="00FB72E4" w:rsidRPr="00A552EB" w:rsidRDefault="00FB72E4" w:rsidP="00FB72E4">
      <w:pPr>
        <w:pStyle w:val="ListParagraph"/>
        <w:widowControl w:val="0"/>
        <w:tabs>
          <w:tab w:val="left" w:pos="990"/>
          <w:tab w:val="left" w:pos="8550"/>
          <w:tab w:val="left" w:pos="8640"/>
        </w:tabs>
        <w:ind w:right="720"/>
        <w:jc w:val="both"/>
        <w:rPr>
          <w:rFonts w:eastAsia="Times New Roman"/>
          <w:sz w:val="20"/>
          <w:szCs w:val="20"/>
          <w:lang w:val="es-VE"/>
        </w:rPr>
      </w:pPr>
    </w:p>
    <w:p w:rsidR="00FB72E4" w:rsidRDefault="00FB72E4" w:rsidP="00FB72E4">
      <w:pPr>
        <w:widowControl w:val="0"/>
        <w:tabs>
          <w:tab w:val="left" w:pos="8550"/>
          <w:tab w:val="left" w:pos="8640"/>
        </w:tabs>
        <w:ind w:left="720" w:right="720"/>
        <w:jc w:val="both"/>
        <w:rPr>
          <w:rFonts w:ascii="Cambria" w:eastAsia="Times New Roman" w:hAnsi="Cambria"/>
          <w:sz w:val="20"/>
          <w:szCs w:val="20"/>
          <w:lang w:val="es-VE"/>
        </w:rPr>
      </w:pPr>
      <w:r w:rsidRPr="00A552EB">
        <w:rPr>
          <w:rFonts w:ascii="Cambria" w:eastAsia="Times New Roman" w:hAnsi="Cambria"/>
          <w:sz w:val="20"/>
          <w:szCs w:val="20"/>
          <w:lang w:val="es-VE"/>
        </w:rPr>
        <w:t>El Estado colombiano se compromete a publicar el informe de artículo 49 de la Convención Americana sobre Derechos Humanos emitido por la Comisión Interamericana de Derechos Humanos que homologue acuerdo de solución amistosa, en la página web de la Agencia Nacional de Defensa Jurídica del Estado, por el término de seis meses.</w:t>
      </w:r>
    </w:p>
    <w:p w:rsidR="00FB72E4" w:rsidRPr="00A552EB" w:rsidRDefault="00FB72E4" w:rsidP="00FB72E4">
      <w:pPr>
        <w:widowControl w:val="0"/>
        <w:tabs>
          <w:tab w:val="left" w:pos="8550"/>
          <w:tab w:val="left" w:pos="8640"/>
        </w:tabs>
        <w:ind w:left="720" w:right="720"/>
        <w:jc w:val="both"/>
        <w:rPr>
          <w:rFonts w:ascii="Cambria" w:eastAsia="Times New Roman" w:hAnsi="Cambria"/>
          <w:sz w:val="20"/>
          <w:szCs w:val="20"/>
          <w:lang w:val="es-VE"/>
        </w:rPr>
      </w:pPr>
    </w:p>
    <w:p w:rsidR="00FB72E4" w:rsidRDefault="00FB72E4" w:rsidP="00FB72E4">
      <w:pPr>
        <w:widowControl w:val="0"/>
        <w:tabs>
          <w:tab w:val="left" w:pos="8550"/>
          <w:tab w:val="left" w:pos="8640"/>
        </w:tabs>
        <w:ind w:left="720" w:right="720"/>
        <w:jc w:val="both"/>
        <w:rPr>
          <w:rFonts w:ascii="Cambria" w:eastAsia="Times New Roman" w:hAnsi="Cambria"/>
          <w:b/>
          <w:sz w:val="20"/>
          <w:szCs w:val="20"/>
          <w:lang w:val="es-VE"/>
        </w:rPr>
      </w:pPr>
      <w:r w:rsidRPr="00A552EB">
        <w:rPr>
          <w:rFonts w:ascii="Cambria" w:eastAsia="Times New Roman" w:hAnsi="Cambria"/>
          <w:b/>
          <w:sz w:val="20"/>
          <w:szCs w:val="20"/>
          <w:lang w:val="es-VE"/>
        </w:rPr>
        <w:t>CUARTO: REPARACIÓN PECUNIARIA</w:t>
      </w:r>
    </w:p>
    <w:p w:rsidR="00FB72E4" w:rsidRPr="00A552EB" w:rsidRDefault="00FB72E4" w:rsidP="00FB72E4">
      <w:pPr>
        <w:widowControl w:val="0"/>
        <w:tabs>
          <w:tab w:val="left" w:pos="8550"/>
          <w:tab w:val="left" w:pos="8640"/>
        </w:tabs>
        <w:ind w:left="720" w:right="720"/>
        <w:jc w:val="both"/>
        <w:rPr>
          <w:rFonts w:ascii="Cambria" w:eastAsia="Times New Roman" w:hAnsi="Cambria"/>
          <w:b/>
          <w:sz w:val="20"/>
          <w:szCs w:val="20"/>
          <w:lang w:val="es-VE"/>
        </w:rPr>
      </w:pPr>
    </w:p>
    <w:p w:rsidR="00FB72E4" w:rsidRDefault="00FB72E4" w:rsidP="00FB72E4">
      <w:pPr>
        <w:widowControl w:val="0"/>
        <w:tabs>
          <w:tab w:val="left" w:pos="8550"/>
          <w:tab w:val="left" w:pos="8640"/>
        </w:tabs>
        <w:ind w:left="720" w:right="720"/>
        <w:jc w:val="both"/>
        <w:rPr>
          <w:rFonts w:ascii="Cambria" w:eastAsia="Times New Roman" w:hAnsi="Cambria"/>
          <w:sz w:val="20"/>
          <w:szCs w:val="20"/>
          <w:lang w:val="es-VE"/>
        </w:rPr>
      </w:pPr>
      <w:r w:rsidRPr="00A552EB">
        <w:rPr>
          <w:rFonts w:ascii="Cambria" w:eastAsia="Times New Roman" w:hAnsi="Cambria"/>
          <w:sz w:val="20"/>
          <w:szCs w:val="20"/>
          <w:lang w:val="es-VE"/>
        </w:rPr>
        <w:t>El Estado se compromete a dar aplicación a la Ley 288 de 1996, una vez se homologue el presente acuerdo de solución amistosa mediante la expedición del Informe de artículo 49 de la Convención Americana sobre Derechos Humanos. Lo anterior, con el propósito de reparar los perjuicios inmateriales y materiales que llegarán a probarse a favor de los familiares de la víctima que no han sido indemnizados a través de la Jurisdicción Contencioso Administrativa, descontando, de ser el caso, los montos reconocidos por reparaciones administrativas. Para estos efectos, se acudirá a los criterios y montos reconocidos por la Jurisprudencia vigente del Consejo de Estado.</w:t>
      </w:r>
    </w:p>
    <w:p w:rsidR="00FB72E4" w:rsidRPr="00A552EB" w:rsidRDefault="00FB72E4" w:rsidP="00FB72E4">
      <w:pPr>
        <w:widowControl w:val="0"/>
        <w:tabs>
          <w:tab w:val="left" w:pos="8550"/>
          <w:tab w:val="left" w:pos="8640"/>
        </w:tabs>
        <w:ind w:left="720" w:right="720"/>
        <w:jc w:val="both"/>
        <w:rPr>
          <w:rFonts w:ascii="Cambria" w:eastAsia="Times New Roman" w:hAnsi="Cambria"/>
          <w:sz w:val="20"/>
          <w:szCs w:val="20"/>
          <w:lang w:val="es-VE"/>
        </w:rPr>
      </w:pPr>
    </w:p>
    <w:p w:rsidR="00FB72E4" w:rsidRDefault="00FB72E4" w:rsidP="00FB72E4">
      <w:pPr>
        <w:widowControl w:val="0"/>
        <w:tabs>
          <w:tab w:val="left" w:pos="8550"/>
          <w:tab w:val="left" w:pos="8640"/>
        </w:tabs>
        <w:ind w:left="720" w:right="720"/>
        <w:jc w:val="both"/>
        <w:rPr>
          <w:rFonts w:ascii="Cambria" w:eastAsia="Times New Roman" w:hAnsi="Cambria"/>
          <w:b/>
          <w:sz w:val="20"/>
          <w:szCs w:val="20"/>
          <w:lang w:val="es-VE"/>
        </w:rPr>
      </w:pPr>
      <w:r w:rsidRPr="00A552EB">
        <w:rPr>
          <w:rFonts w:ascii="Cambria" w:eastAsia="Times New Roman" w:hAnsi="Cambria"/>
          <w:b/>
          <w:sz w:val="20"/>
          <w:szCs w:val="20"/>
          <w:lang w:val="es-VE"/>
        </w:rPr>
        <w:t>QUINTO: HOMOLOGACIÓN Y SEGUIMIENTO</w:t>
      </w:r>
    </w:p>
    <w:p w:rsidR="00FB72E4" w:rsidRPr="00A552EB" w:rsidRDefault="00FB72E4" w:rsidP="00FB72E4">
      <w:pPr>
        <w:widowControl w:val="0"/>
        <w:tabs>
          <w:tab w:val="left" w:pos="8550"/>
          <w:tab w:val="left" w:pos="8640"/>
        </w:tabs>
        <w:ind w:left="720" w:right="720"/>
        <w:jc w:val="both"/>
        <w:rPr>
          <w:rFonts w:ascii="Cambria" w:eastAsia="Times New Roman" w:hAnsi="Cambria"/>
          <w:b/>
          <w:sz w:val="20"/>
          <w:szCs w:val="20"/>
          <w:lang w:val="es-VE"/>
        </w:rPr>
      </w:pPr>
    </w:p>
    <w:p w:rsidR="00FB72E4" w:rsidRPr="00A552EB" w:rsidRDefault="00FB72E4" w:rsidP="00FB72E4">
      <w:pPr>
        <w:widowControl w:val="0"/>
        <w:tabs>
          <w:tab w:val="left" w:pos="8550"/>
          <w:tab w:val="left" w:pos="8640"/>
        </w:tabs>
        <w:ind w:left="720" w:right="720"/>
        <w:jc w:val="both"/>
        <w:rPr>
          <w:rFonts w:ascii="Cambria" w:eastAsia="Cambria" w:hAnsi="Cambria" w:cs="Calibri"/>
          <w:sz w:val="20"/>
          <w:szCs w:val="20"/>
          <w:u w:color="000000"/>
          <w:lang w:val="es-ES_tradnl" w:eastAsia="es-ES"/>
        </w:rPr>
      </w:pPr>
      <w:r>
        <w:rPr>
          <w:rFonts w:ascii="Cambria" w:eastAsia="Cambria" w:hAnsi="Cambria" w:cs="Calibri"/>
          <w:sz w:val="20"/>
          <w:szCs w:val="20"/>
          <w:u w:color="000000"/>
          <w:lang w:val="es-ES_tradnl" w:eastAsia="es-ES"/>
        </w:rPr>
        <w:t>Las partes le</w:t>
      </w:r>
      <w:r w:rsidRPr="00A552EB">
        <w:rPr>
          <w:rFonts w:ascii="Cambria" w:eastAsia="Cambria" w:hAnsi="Cambria" w:cs="Calibri"/>
          <w:sz w:val="20"/>
          <w:szCs w:val="20"/>
          <w:u w:color="000000"/>
          <w:lang w:val="es-ES_tradnl" w:eastAsia="es-ES"/>
        </w:rPr>
        <w:t xml:space="preserve"> solicitan </w:t>
      </w:r>
      <w:r>
        <w:rPr>
          <w:rFonts w:ascii="Cambria" w:eastAsia="Cambria" w:hAnsi="Cambria" w:cs="Calibri"/>
          <w:sz w:val="20"/>
          <w:szCs w:val="20"/>
          <w:u w:color="000000"/>
          <w:lang w:val="es-ES_tradnl" w:eastAsia="es-ES"/>
        </w:rPr>
        <w:t>a la Comisión Interamericana de Derechos Humanos</w:t>
      </w:r>
      <w:r w:rsidRPr="00A552EB">
        <w:rPr>
          <w:rFonts w:ascii="Cambria" w:eastAsia="Cambria" w:hAnsi="Cambria" w:cs="Calibri"/>
          <w:sz w:val="20"/>
          <w:szCs w:val="20"/>
          <w:u w:color="000000"/>
          <w:lang w:val="es-ES_tradnl" w:eastAsia="es-ES"/>
        </w:rPr>
        <w:t xml:space="preserve"> la homologación del presente acuerdo y su seguimiento.</w:t>
      </w:r>
    </w:p>
    <w:p w:rsidR="00FB72E4" w:rsidRDefault="00FB72E4" w:rsidP="00FB72E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Cambria" w:hAnsi="Cambria"/>
          <w:sz w:val="20"/>
          <w:szCs w:val="20"/>
          <w:lang w:val="es-VE"/>
        </w:rPr>
      </w:pPr>
    </w:p>
    <w:p w:rsidR="00FB72E4" w:rsidRPr="00A552EB" w:rsidRDefault="00FB72E4" w:rsidP="00FB72E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b/>
          <w:color w:val="auto"/>
          <w:sz w:val="20"/>
          <w:szCs w:val="20"/>
          <w:lang w:val="es-BO"/>
        </w:rPr>
      </w:pPr>
      <w:r w:rsidRPr="00A552EB">
        <w:rPr>
          <w:b/>
          <w:color w:val="auto"/>
          <w:sz w:val="20"/>
          <w:szCs w:val="20"/>
          <w:lang w:val="es-BO"/>
        </w:rPr>
        <w:t>DETERMINACIÓN DE COMPATIBILIDAD Y CUMPLIMIENTO.</w:t>
      </w:r>
    </w:p>
    <w:p w:rsidR="00FB72E4" w:rsidRPr="00A552EB" w:rsidRDefault="00FB72E4" w:rsidP="00FB72E4">
      <w:pPr>
        <w:pStyle w:val="ListParagraph"/>
        <w:ind w:left="0" w:firstLine="720"/>
        <w:rPr>
          <w:b/>
          <w:color w:val="auto"/>
          <w:sz w:val="20"/>
          <w:szCs w:val="20"/>
          <w:lang w:val="es-BO"/>
        </w:rPr>
      </w:pPr>
    </w:p>
    <w:p w:rsidR="00FB72E4" w:rsidRDefault="00FB72E4" w:rsidP="00FB72E4">
      <w:pPr>
        <w:pStyle w:val="ListParagraph"/>
        <w:numPr>
          <w:ilvl w:val="0"/>
          <w:numId w:val="55"/>
        </w:numPr>
        <w:tabs>
          <w:tab w:val="clear" w:pos="4320"/>
          <w:tab w:val="left" w:pos="0"/>
          <w:tab w:val="num" w:pos="180"/>
          <w:tab w:val="left" w:pos="810"/>
        </w:tabs>
        <w:ind w:left="0" w:firstLine="720"/>
        <w:jc w:val="both"/>
        <w:rPr>
          <w:rFonts w:cs="Calibri"/>
          <w:color w:val="auto"/>
          <w:sz w:val="20"/>
          <w:szCs w:val="20"/>
          <w:lang w:val="es-ES_tradnl"/>
        </w:rPr>
      </w:pPr>
      <w:r w:rsidRPr="00A552EB">
        <w:rPr>
          <w:rFonts w:cs="Calibri"/>
          <w:color w:val="auto"/>
          <w:sz w:val="20"/>
          <w:szCs w:val="20"/>
          <w:lang w:val="es-ES_tradnl"/>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A552EB">
        <w:rPr>
          <w:rFonts w:cs="Calibri"/>
          <w:i/>
          <w:color w:val="auto"/>
          <w:sz w:val="20"/>
          <w:szCs w:val="20"/>
          <w:lang w:val="es-ES_tradnl"/>
        </w:rPr>
        <w:t>pacta sunt servanda</w:t>
      </w:r>
      <w:r w:rsidRPr="00A552EB">
        <w:rPr>
          <w:rFonts w:cs="Calibri"/>
          <w:color w:val="auto"/>
          <w:sz w:val="20"/>
          <w:szCs w:val="20"/>
          <w:lang w:val="es-ES_tradnl"/>
        </w:rPr>
        <w:t>, por el cual los Estados deben cumplir de buena fe las obligaciones asumidas en los tratados</w:t>
      </w:r>
      <w:r w:rsidRPr="00A552EB">
        <w:rPr>
          <w:rStyle w:val="FootnoteReference"/>
          <w:rFonts w:cs="Calibri"/>
          <w:color w:val="auto"/>
          <w:sz w:val="20"/>
          <w:szCs w:val="20"/>
          <w:lang w:val="es-ES_tradnl"/>
        </w:rPr>
        <w:footnoteReference w:id="3"/>
      </w:r>
      <w:r w:rsidRPr="00A552EB">
        <w:rPr>
          <w:rFonts w:cs="Calibri"/>
          <w:color w:val="auto"/>
          <w:sz w:val="20"/>
          <w:szCs w:val="20"/>
          <w:lang w:val="es-ES_tradnl"/>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FB72E4" w:rsidRPr="00A552EB" w:rsidRDefault="00FB72E4" w:rsidP="00FB72E4">
      <w:pPr>
        <w:pStyle w:val="ListParagraph"/>
        <w:tabs>
          <w:tab w:val="left" w:pos="0"/>
          <w:tab w:val="left" w:pos="810"/>
        </w:tabs>
        <w:jc w:val="both"/>
        <w:rPr>
          <w:rFonts w:cs="Calibri"/>
          <w:color w:val="auto"/>
          <w:sz w:val="20"/>
          <w:szCs w:val="20"/>
          <w:lang w:val="es-ES_tradnl"/>
        </w:rPr>
      </w:pPr>
    </w:p>
    <w:p w:rsidR="00FB72E4" w:rsidRDefault="00FB72E4" w:rsidP="00FB72E4">
      <w:pPr>
        <w:pStyle w:val="ListParagraph"/>
        <w:numPr>
          <w:ilvl w:val="0"/>
          <w:numId w:val="55"/>
        </w:numPr>
        <w:tabs>
          <w:tab w:val="clear" w:pos="4320"/>
          <w:tab w:val="left" w:pos="0"/>
          <w:tab w:val="num" w:pos="180"/>
          <w:tab w:val="left" w:pos="810"/>
        </w:tabs>
        <w:ind w:left="0" w:firstLine="720"/>
        <w:jc w:val="both"/>
        <w:rPr>
          <w:rFonts w:cs="Calibri"/>
          <w:color w:val="auto"/>
          <w:sz w:val="20"/>
          <w:szCs w:val="20"/>
          <w:lang w:val="es-ES_tradnl"/>
        </w:rPr>
      </w:pPr>
      <w:r w:rsidRPr="00A552EB">
        <w:rPr>
          <w:rFonts w:cs="Calibri"/>
          <w:color w:val="auto"/>
          <w:sz w:val="20"/>
          <w:szCs w:val="20"/>
          <w:lang w:val="es-ES_tradnl"/>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rsidR="00FB72E4" w:rsidRPr="005C2511" w:rsidRDefault="00FB72E4" w:rsidP="00FB72E4">
      <w:pPr>
        <w:pStyle w:val="ListParagraph"/>
        <w:rPr>
          <w:rFonts w:cs="Calibri"/>
          <w:color w:val="auto"/>
          <w:sz w:val="20"/>
          <w:szCs w:val="20"/>
          <w:lang w:val="es-ES_tradnl"/>
        </w:rPr>
      </w:pPr>
    </w:p>
    <w:p w:rsidR="00FB72E4" w:rsidRPr="00A552EB" w:rsidRDefault="00FB72E4" w:rsidP="00FB72E4">
      <w:pPr>
        <w:pStyle w:val="ListParagraph"/>
        <w:tabs>
          <w:tab w:val="left" w:pos="0"/>
          <w:tab w:val="left" w:pos="810"/>
        </w:tabs>
        <w:jc w:val="both"/>
        <w:rPr>
          <w:rFonts w:cs="Calibri"/>
          <w:color w:val="auto"/>
          <w:sz w:val="20"/>
          <w:szCs w:val="20"/>
          <w:lang w:val="es-ES_tradnl"/>
        </w:rPr>
      </w:pPr>
    </w:p>
    <w:p w:rsidR="00FB72E4" w:rsidRPr="005C2511" w:rsidRDefault="00FB72E4" w:rsidP="00FB72E4">
      <w:pPr>
        <w:pStyle w:val="ListParagraph"/>
        <w:numPr>
          <w:ilvl w:val="0"/>
          <w:numId w:val="55"/>
        </w:numPr>
        <w:tabs>
          <w:tab w:val="clear" w:pos="4320"/>
          <w:tab w:val="left" w:pos="0"/>
          <w:tab w:val="num" w:pos="180"/>
          <w:tab w:val="left" w:pos="810"/>
        </w:tabs>
        <w:ind w:left="0" w:firstLine="720"/>
        <w:jc w:val="both"/>
        <w:rPr>
          <w:rFonts w:cs="Calibri"/>
          <w:color w:val="auto"/>
          <w:sz w:val="20"/>
          <w:szCs w:val="20"/>
          <w:lang w:val="es-ES_tradnl"/>
        </w:rPr>
      </w:pPr>
      <w:r w:rsidRPr="00A552EB">
        <w:rPr>
          <w:rFonts w:cs="Calibri"/>
          <w:sz w:val="20"/>
          <w:szCs w:val="20"/>
          <w:lang w:val="es-VE"/>
        </w:rPr>
        <w:t>De conformidad a lo establecido en la cláusula 5 del acuerdo de solución amistosa</w:t>
      </w:r>
      <w:r>
        <w:rPr>
          <w:rFonts w:cs="Calibri"/>
          <w:sz w:val="20"/>
          <w:szCs w:val="20"/>
          <w:lang w:val="es-VE"/>
        </w:rPr>
        <w:t xml:space="preserve"> y en la comunicación conjunta de las partes de 2 de julio de 2020</w:t>
      </w:r>
      <w:r w:rsidRPr="00A552EB">
        <w:rPr>
          <w:rFonts w:cs="Calibri"/>
          <w:sz w:val="20"/>
          <w:szCs w:val="20"/>
          <w:lang w:val="es-VE"/>
        </w:rPr>
        <w:t xml:space="preserve">, las partes solicitaron a la Comisión que emitiera el informe de solución amistosa contemplado en el artículo 49 de la Convención Americana. </w:t>
      </w:r>
    </w:p>
    <w:p w:rsidR="00FB72E4" w:rsidRPr="00A552EB" w:rsidRDefault="00FB72E4" w:rsidP="00FB72E4">
      <w:pPr>
        <w:pStyle w:val="ListParagraph"/>
        <w:tabs>
          <w:tab w:val="left" w:pos="0"/>
          <w:tab w:val="left" w:pos="810"/>
        </w:tabs>
        <w:jc w:val="both"/>
        <w:rPr>
          <w:rFonts w:cs="Calibri"/>
          <w:color w:val="auto"/>
          <w:sz w:val="20"/>
          <w:szCs w:val="20"/>
          <w:lang w:val="es-ES_tradnl"/>
        </w:rPr>
      </w:pPr>
    </w:p>
    <w:p w:rsidR="00FB72E4" w:rsidRPr="00A552EB" w:rsidRDefault="00FB72E4" w:rsidP="00FB72E4">
      <w:pPr>
        <w:pStyle w:val="ListParagraph"/>
        <w:numPr>
          <w:ilvl w:val="0"/>
          <w:numId w:val="55"/>
        </w:numPr>
        <w:tabs>
          <w:tab w:val="clear" w:pos="4320"/>
          <w:tab w:val="left" w:pos="0"/>
          <w:tab w:val="num" w:pos="180"/>
          <w:tab w:val="left" w:pos="810"/>
        </w:tabs>
        <w:ind w:left="0" w:firstLine="720"/>
        <w:jc w:val="both"/>
        <w:rPr>
          <w:rFonts w:cs="Calibri"/>
          <w:color w:val="auto"/>
          <w:sz w:val="20"/>
          <w:szCs w:val="20"/>
          <w:lang w:val="es-ES_tradnl"/>
        </w:rPr>
      </w:pPr>
      <w:r w:rsidRPr="00A552EB">
        <w:rPr>
          <w:rFonts w:cs="Calibri"/>
          <w:color w:val="auto"/>
          <w:sz w:val="20"/>
          <w:szCs w:val="20"/>
          <w:lang w:val="es-ES_tradnl"/>
        </w:rPr>
        <w:lastRenderedPageBreak/>
        <w:t xml:space="preserve">La Comisión Interamericana considera que la cláusula 1 (Reconocimiento de la Responsabilidad del Estado colombiano), 2 (Desistimiento de la Acción de Reparación Directa) y 5, (Homologación y Seguimiento del acuerdo de solución amistosa) son de carácter declarativo, </w:t>
      </w:r>
      <w:r w:rsidRPr="00A552EB">
        <w:rPr>
          <w:rFonts w:cs="Calibri"/>
          <w:color w:val="auto"/>
          <w:sz w:val="20"/>
          <w:szCs w:val="20"/>
          <w:lang w:val="es-ES"/>
        </w:rPr>
        <w:t>por lo que no corresponde supervisar su ejecución</w:t>
      </w:r>
      <w:r w:rsidRPr="00A552EB">
        <w:rPr>
          <w:rFonts w:cs="Calibri"/>
          <w:color w:val="auto"/>
          <w:sz w:val="20"/>
          <w:szCs w:val="20"/>
          <w:lang w:val="es-ES_tradnl"/>
        </w:rPr>
        <w:t xml:space="preserve">. </w:t>
      </w:r>
    </w:p>
    <w:p w:rsidR="00FB72E4" w:rsidRPr="00A552EB" w:rsidRDefault="00FB72E4" w:rsidP="00FB72E4">
      <w:pPr>
        <w:pStyle w:val="ListParagraph"/>
        <w:rPr>
          <w:rFonts w:cs="Calibri"/>
          <w:color w:val="auto"/>
          <w:sz w:val="20"/>
          <w:szCs w:val="20"/>
          <w:lang w:val="es-ES_tradnl"/>
        </w:rPr>
      </w:pPr>
    </w:p>
    <w:p w:rsidR="00FB72E4" w:rsidRPr="00A552EB" w:rsidRDefault="00FB72E4" w:rsidP="00FB72E4">
      <w:pPr>
        <w:pStyle w:val="ListParagraph"/>
        <w:numPr>
          <w:ilvl w:val="0"/>
          <w:numId w:val="55"/>
        </w:numPr>
        <w:tabs>
          <w:tab w:val="clear" w:pos="4320"/>
          <w:tab w:val="left" w:pos="0"/>
          <w:tab w:val="num" w:pos="180"/>
          <w:tab w:val="left" w:pos="810"/>
        </w:tabs>
        <w:ind w:left="0" w:firstLine="720"/>
        <w:jc w:val="both"/>
        <w:rPr>
          <w:rFonts w:cs="Calibri"/>
          <w:color w:val="auto"/>
          <w:sz w:val="20"/>
          <w:szCs w:val="20"/>
          <w:lang w:val="es-ES_tradnl"/>
        </w:rPr>
      </w:pPr>
      <w:r w:rsidRPr="00A552EB">
        <w:rPr>
          <w:rFonts w:cs="Calibri"/>
          <w:color w:val="auto"/>
          <w:sz w:val="20"/>
          <w:szCs w:val="20"/>
          <w:lang w:val="es-ES_tradnl"/>
        </w:rPr>
        <w:t>En relación con los literales a y b de la cláusula tercera, referidos a la realización de un acto de reconocimiento de responsabilidad privado y la entrega de recordatorios e invitaciones</w:t>
      </w:r>
      <w:r w:rsidRPr="00A552EB">
        <w:rPr>
          <w:rFonts w:cs="Calibri"/>
          <w:color w:val="auto"/>
          <w:sz w:val="20"/>
          <w:szCs w:val="20"/>
          <w:lang w:val="es-VE"/>
        </w:rPr>
        <w:t>, el 2 de julio de 2020, las partes informaron conjuntamente a la Comisión que el acto privado de reconocimiento de responsabilidad y solicitud de perdón se realizó, el 21 de diciembre de 2019, alrededor de las 11:55 am, en la Catedral Castrense Jesucristo Redentor.</w:t>
      </w:r>
      <w:r w:rsidRPr="00A552EB">
        <w:rPr>
          <w:rFonts w:eastAsia="MS Mincho" w:cs="Times New Roman"/>
          <w:sz w:val="20"/>
          <w:szCs w:val="20"/>
          <w:lang w:val="es-ES" w:eastAsia="en-US"/>
        </w:rPr>
        <w:t xml:space="preserve"> Al respecto, </w:t>
      </w:r>
      <w:r w:rsidRPr="00A552EB">
        <w:rPr>
          <w:rFonts w:cs="Calibri"/>
          <w:color w:val="auto"/>
          <w:sz w:val="20"/>
          <w:szCs w:val="20"/>
          <w:lang w:val="es-VE"/>
        </w:rPr>
        <w:t xml:space="preserve">las partes destacaron que el acto de reconocimiento de responsabilidad fue iniciado con un acto litúrgico en conmemoración del aniversario No. 30 de la muerte de Geminiano Gil Martínez, por lo que habría sido un evento simbólico de gran relevancia para la familia. </w:t>
      </w:r>
      <w:r w:rsidRPr="00A552EB">
        <w:rPr>
          <w:rFonts w:eastAsia="MS Mincho" w:cs="Times New Roman"/>
          <w:sz w:val="20"/>
          <w:szCs w:val="20"/>
          <w:lang w:val="es-ES" w:eastAsia="en-US"/>
        </w:rPr>
        <w:t xml:space="preserve">El acto estuvo presidido por el Director General de la Agencia Nacional de Defensa Jurídica del Estado, quien en nombre del Estado colombiano pidió perdón a las víctimas y sus familiares por lo ocurrido, y reconoció la responsabilidad en los términos del presente acuerdo. Las partes confirmaron que para el cumplimiento de la medida existió una comunicación permanente entre el Estado, las víctimas y sus representantes, quienes concertaron cada uno de los detalles para la implementación de la medida, incluyendo la fecha, hora, lugar y contenido de la orden del día, así como los demás aspectos logísticos. </w:t>
      </w:r>
    </w:p>
    <w:p w:rsidR="00FB72E4" w:rsidRPr="00A552EB" w:rsidRDefault="00FB72E4" w:rsidP="00FB72E4">
      <w:pPr>
        <w:pStyle w:val="ListParagraph"/>
        <w:tabs>
          <w:tab w:val="left" w:pos="0"/>
          <w:tab w:val="left" w:pos="810"/>
        </w:tabs>
        <w:jc w:val="both"/>
        <w:rPr>
          <w:rFonts w:cs="Calibri"/>
          <w:color w:val="auto"/>
          <w:sz w:val="20"/>
          <w:szCs w:val="20"/>
          <w:lang w:val="es-ES_tradnl"/>
        </w:rPr>
      </w:pPr>
    </w:p>
    <w:p w:rsidR="00FB72E4" w:rsidRPr="00A552EB" w:rsidRDefault="00FB72E4" w:rsidP="00FB72E4">
      <w:pPr>
        <w:pStyle w:val="ListParagraph"/>
        <w:numPr>
          <w:ilvl w:val="0"/>
          <w:numId w:val="55"/>
        </w:numPr>
        <w:tabs>
          <w:tab w:val="clear" w:pos="4320"/>
          <w:tab w:val="left" w:pos="0"/>
          <w:tab w:val="num" w:pos="180"/>
          <w:tab w:val="left" w:pos="810"/>
        </w:tabs>
        <w:ind w:left="0" w:firstLine="720"/>
        <w:jc w:val="both"/>
        <w:rPr>
          <w:rFonts w:cs="Calibri"/>
          <w:color w:val="auto"/>
          <w:sz w:val="20"/>
          <w:szCs w:val="20"/>
          <w:lang w:val="es-ES_tradnl"/>
        </w:rPr>
      </w:pPr>
      <w:r w:rsidRPr="00A552EB">
        <w:rPr>
          <w:rFonts w:eastAsia="MS Mincho" w:cs="Times New Roman"/>
          <w:sz w:val="20"/>
          <w:szCs w:val="20"/>
          <w:lang w:val="es-ES" w:eastAsia="en-US"/>
        </w:rPr>
        <w:t xml:space="preserve">Adicionalmente, las partes indicaron conjuntamente que </w:t>
      </w:r>
      <w:r w:rsidRPr="00A552EB">
        <w:rPr>
          <w:rFonts w:cs="Calibri"/>
          <w:color w:val="auto"/>
          <w:sz w:val="20"/>
          <w:szCs w:val="20"/>
          <w:lang w:val="es-VE"/>
        </w:rPr>
        <w:t>el Estado remitió invitaciones del evento a las víctimas y sus familiares, y proporcionaron registro fotográfico de las invitaciones a la CIDH. En el mismo sentido, se informó que e</w:t>
      </w:r>
      <w:r w:rsidRPr="00A552EB">
        <w:rPr>
          <w:rFonts w:eastAsia="MS Mincho" w:cs="Times New Roman"/>
          <w:sz w:val="20"/>
          <w:szCs w:val="20"/>
          <w:lang w:val="es-ES" w:eastAsia="en-US"/>
        </w:rPr>
        <w:t>n el marco del acto se hizo entrega de 80 recordatorios y 20 invitaciones impresas, cuyos diseños habían sido concertadas entre las partes. Las partes también proporcionaron registro fotográfico de la orden del día y del acto, que incluyó la participación de cinco familiares de la víctima, el Ministerio de Defensa y de la ANDJE. Por lo anterior, tomando en consideración la información aportada conjuntamente por las partes, l</w:t>
      </w:r>
      <w:r w:rsidRPr="00A552EB">
        <w:rPr>
          <w:rFonts w:eastAsia="MS Mincho" w:cs="Times New Roman"/>
          <w:sz w:val="20"/>
          <w:szCs w:val="20"/>
          <w:lang w:val="es-ES_tradnl" w:eastAsia="en-US"/>
        </w:rPr>
        <w:t>a Comisión considera</w:t>
      </w:r>
      <w:r w:rsidRPr="00A552EB">
        <w:rPr>
          <w:rFonts w:cs="Calibri"/>
          <w:color w:val="auto"/>
          <w:sz w:val="20"/>
          <w:szCs w:val="20"/>
          <w:lang w:val="es-ES"/>
        </w:rPr>
        <w:t xml:space="preserve"> que los literales a y b de la cláusula tercera del acuerdo de solución amistosa se encuentran cumplidos totalmente y así lo declara. </w:t>
      </w:r>
    </w:p>
    <w:p w:rsidR="00FB72E4" w:rsidRPr="00A552EB" w:rsidRDefault="00FB72E4" w:rsidP="00FB72E4">
      <w:pPr>
        <w:pStyle w:val="ListParagraph"/>
        <w:rPr>
          <w:rFonts w:cs="Calibri"/>
          <w:color w:val="auto"/>
          <w:sz w:val="20"/>
          <w:szCs w:val="20"/>
          <w:lang w:val="es-ES"/>
        </w:rPr>
      </w:pPr>
    </w:p>
    <w:p w:rsidR="00FB72E4" w:rsidRPr="00A552EB" w:rsidRDefault="00FB72E4" w:rsidP="00FB72E4">
      <w:pPr>
        <w:pStyle w:val="ListParagraph"/>
        <w:numPr>
          <w:ilvl w:val="0"/>
          <w:numId w:val="55"/>
        </w:numPr>
        <w:tabs>
          <w:tab w:val="clear" w:pos="4320"/>
          <w:tab w:val="left" w:pos="0"/>
          <w:tab w:val="num" w:pos="180"/>
          <w:tab w:val="left" w:pos="810"/>
        </w:tabs>
        <w:ind w:left="0" w:firstLine="720"/>
        <w:jc w:val="both"/>
        <w:rPr>
          <w:rFonts w:cs="Calibri"/>
          <w:sz w:val="20"/>
          <w:szCs w:val="20"/>
          <w:lang w:val="es-VE"/>
        </w:rPr>
      </w:pPr>
      <w:r w:rsidRPr="00A552EB">
        <w:rPr>
          <w:rFonts w:cs="Calibri"/>
          <w:color w:val="auto"/>
          <w:sz w:val="20"/>
          <w:szCs w:val="20"/>
          <w:lang w:val="es-ES"/>
        </w:rPr>
        <w:t xml:space="preserve">En relación al literal c de la cláusula tercera relacionado con la publicación del informe de homologación en la página web de la ANDJE, </w:t>
      </w:r>
      <w:r w:rsidRPr="00A552EB">
        <w:rPr>
          <w:rFonts w:cs="Calibri"/>
          <w:color w:val="auto"/>
          <w:sz w:val="20"/>
          <w:szCs w:val="20"/>
          <w:lang w:val="es-VE"/>
        </w:rPr>
        <w:t xml:space="preserve">la Comisión entiende que dicha medida deberá ejecutarse con posterioridad a la publicación del presente informe, por lo que se encuentra pendiente de cumplimiento y si lo declara. </w:t>
      </w:r>
    </w:p>
    <w:p w:rsidR="00FB72E4" w:rsidRPr="00A552EB" w:rsidRDefault="00FB72E4" w:rsidP="00FB72E4">
      <w:pPr>
        <w:pStyle w:val="ListParagraph"/>
        <w:rPr>
          <w:rFonts w:cs="Calibri"/>
          <w:color w:val="auto"/>
          <w:sz w:val="20"/>
          <w:szCs w:val="20"/>
          <w:lang w:val="es-VE"/>
        </w:rPr>
      </w:pPr>
    </w:p>
    <w:p w:rsidR="00FB72E4" w:rsidRPr="00A552EB" w:rsidRDefault="00FB72E4" w:rsidP="00FB72E4">
      <w:pPr>
        <w:pStyle w:val="ListParagraph"/>
        <w:numPr>
          <w:ilvl w:val="0"/>
          <w:numId w:val="55"/>
        </w:numPr>
        <w:tabs>
          <w:tab w:val="clear" w:pos="4320"/>
          <w:tab w:val="left" w:pos="0"/>
          <w:tab w:val="num" w:pos="180"/>
          <w:tab w:val="left" w:pos="810"/>
        </w:tabs>
        <w:ind w:left="0" w:firstLine="720"/>
        <w:jc w:val="both"/>
        <w:rPr>
          <w:rFonts w:cs="Calibri"/>
          <w:sz w:val="20"/>
          <w:szCs w:val="20"/>
          <w:lang w:val="es-VE"/>
        </w:rPr>
      </w:pPr>
      <w:r w:rsidRPr="00A552EB">
        <w:rPr>
          <w:rFonts w:cs="Calibri"/>
          <w:color w:val="auto"/>
          <w:sz w:val="20"/>
          <w:szCs w:val="20"/>
          <w:lang w:val="es-VE"/>
        </w:rPr>
        <w:t>En el mismo sentido, en relación</w:t>
      </w:r>
      <w:r w:rsidRPr="00A552EB">
        <w:rPr>
          <w:rFonts w:cs="Calibri"/>
          <w:color w:val="auto"/>
          <w:sz w:val="20"/>
          <w:szCs w:val="20"/>
          <w:lang w:val="es-ES_tradnl"/>
        </w:rPr>
        <w:t xml:space="preserve"> a la cláusula cuarta, relacionada con la reparación pecuniaria, </w:t>
      </w:r>
      <w:r w:rsidRPr="00A552EB">
        <w:rPr>
          <w:rFonts w:cs="Calibri"/>
          <w:sz w:val="20"/>
          <w:szCs w:val="20"/>
          <w:lang w:val="es-VE"/>
        </w:rPr>
        <w:t xml:space="preserve">la Comisión observa que, de acuerdo al mecanismo establecido en la Ley 288 de 1996, dicha medida debe cumplirse una vez emitido el presente informe de homologación, por lo que considera que la medida se encuentra pendiente de cumplimiento y así lo declara. </w:t>
      </w:r>
    </w:p>
    <w:p w:rsidR="00FB72E4" w:rsidRPr="00A552EB" w:rsidRDefault="00FB72E4" w:rsidP="00FB72E4">
      <w:pPr>
        <w:pStyle w:val="ListParagraph"/>
        <w:rPr>
          <w:rFonts w:cs="Calibri"/>
          <w:color w:val="auto"/>
          <w:sz w:val="20"/>
          <w:szCs w:val="20"/>
          <w:lang w:val="es-ES_tradnl"/>
        </w:rPr>
      </w:pPr>
    </w:p>
    <w:p w:rsidR="00FB72E4" w:rsidRPr="00A552EB" w:rsidRDefault="00FB72E4" w:rsidP="00FB72E4">
      <w:pPr>
        <w:pStyle w:val="ListParagraph"/>
        <w:numPr>
          <w:ilvl w:val="0"/>
          <w:numId w:val="55"/>
        </w:numPr>
        <w:tabs>
          <w:tab w:val="clear" w:pos="4320"/>
          <w:tab w:val="left" w:pos="0"/>
          <w:tab w:val="left" w:pos="180"/>
          <w:tab w:val="left" w:pos="810"/>
        </w:tabs>
        <w:ind w:left="0" w:firstLine="720"/>
        <w:jc w:val="both"/>
        <w:rPr>
          <w:rFonts w:cs="Calibri"/>
          <w:sz w:val="20"/>
          <w:szCs w:val="20"/>
          <w:lang w:val="es-ES_tradnl"/>
        </w:rPr>
      </w:pPr>
      <w:r w:rsidRPr="00A552EB">
        <w:rPr>
          <w:rFonts w:cs="Calibri"/>
          <w:sz w:val="20"/>
          <w:szCs w:val="20"/>
          <w:lang w:val="es-VE"/>
        </w:rPr>
        <w:t xml:space="preserve">Finalmente, la Comisión concluye que los literales a y b de la cláusula tercera del acuerdo de solución amistosa (acto privado de disculpas y entrega de invitaciones y recordatorios) se encuentran cumplidos totalmente. Por otro lado, la Comisión considera que el literal c de la cláusula tercera (publicación del informe de homologación) y la cláusula a cuarta (Reparación pecuniaria) se encuentran pendientes de cumplimiento.  Asimismo, la CIDH seguirá de cerca la implementación de las demás obligaciones asumidas en el acuerdo, aplicando los lineamientos prescritos en el artículo 49 de la Convención. </w:t>
      </w:r>
    </w:p>
    <w:p w:rsidR="009729B6" w:rsidRPr="00A552EB" w:rsidRDefault="009729B6" w:rsidP="00FB72E4">
      <w:pPr>
        <w:tabs>
          <w:tab w:val="left" w:pos="0"/>
          <w:tab w:val="left" w:pos="810"/>
        </w:tabs>
        <w:ind w:firstLine="720"/>
        <w:jc w:val="both"/>
        <w:rPr>
          <w:rFonts w:ascii="Cambria" w:hAnsi="Cambria" w:cs="Calibri"/>
          <w:sz w:val="20"/>
          <w:szCs w:val="20"/>
          <w:lang w:val="es-ES"/>
        </w:rPr>
      </w:pPr>
    </w:p>
    <w:p w:rsidR="00FB72E4" w:rsidRPr="009729B6" w:rsidRDefault="00FB72E4" w:rsidP="009729B6">
      <w:pPr>
        <w:pStyle w:val="ListParagraph"/>
        <w:numPr>
          <w:ilvl w:val="0"/>
          <w:numId w:val="56"/>
        </w:numPr>
        <w:tabs>
          <w:tab w:val="left" w:pos="720"/>
        </w:tabs>
        <w:ind w:left="0" w:firstLine="720"/>
        <w:jc w:val="both"/>
        <w:rPr>
          <w:rFonts w:cs="Calibri"/>
          <w:b/>
          <w:sz w:val="20"/>
          <w:szCs w:val="20"/>
          <w:lang w:val="es-ES_tradnl"/>
        </w:rPr>
      </w:pPr>
      <w:r w:rsidRPr="009729B6">
        <w:rPr>
          <w:rFonts w:cs="Calibri"/>
          <w:b/>
          <w:sz w:val="20"/>
          <w:szCs w:val="20"/>
          <w:lang w:val="es-ES_tradnl"/>
        </w:rPr>
        <w:t xml:space="preserve">CONCLUSIONES </w:t>
      </w:r>
    </w:p>
    <w:p w:rsidR="00FB72E4" w:rsidRPr="00A552EB" w:rsidRDefault="00FB72E4" w:rsidP="00FB72E4">
      <w:pPr>
        <w:tabs>
          <w:tab w:val="left" w:pos="360"/>
          <w:tab w:val="left" w:pos="1440"/>
        </w:tabs>
        <w:ind w:firstLine="720"/>
        <w:jc w:val="both"/>
        <w:rPr>
          <w:rFonts w:ascii="Cambria" w:hAnsi="Cambria" w:cs="Calibri"/>
          <w:b/>
          <w:sz w:val="20"/>
          <w:szCs w:val="20"/>
          <w:lang w:val="es-ES_tradnl"/>
        </w:rPr>
      </w:pPr>
    </w:p>
    <w:p w:rsidR="00FB72E4" w:rsidRPr="00A552EB" w:rsidRDefault="00FB72E4" w:rsidP="00FB72E4">
      <w:pPr>
        <w:pStyle w:val="ListParagraph"/>
        <w:numPr>
          <w:ilvl w:val="0"/>
          <w:numId w:val="58"/>
        </w:numPr>
        <w:tabs>
          <w:tab w:val="left" w:pos="360"/>
          <w:tab w:val="left" w:pos="1440"/>
        </w:tabs>
        <w:ind w:left="0" w:firstLine="720"/>
        <w:contextualSpacing/>
        <w:jc w:val="both"/>
        <w:rPr>
          <w:rFonts w:cs="Calibri"/>
          <w:color w:val="auto"/>
          <w:sz w:val="20"/>
          <w:szCs w:val="20"/>
          <w:lang w:val="es-ES_tradnl"/>
        </w:rPr>
      </w:pPr>
      <w:r w:rsidRPr="00A552EB">
        <w:rPr>
          <w:color w:val="auto"/>
          <w:sz w:val="20"/>
          <w:szCs w:val="20"/>
          <w:lang w:val="es-ES_tradnl"/>
        </w:rPr>
        <w:t xml:space="preserve"> </w:t>
      </w:r>
      <w:r w:rsidRPr="00A552EB">
        <w:rPr>
          <w:color w:val="auto"/>
          <w:sz w:val="20"/>
          <w:szCs w:val="20"/>
          <w:lang w:val="es-ES"/>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rsidR="00FB72E4" w:rsidRPr="00A552EB" w:rsidRDefault="00FB72E4" w:rsidP="00FB72E4">
      <w:pPr>
        <w:pStyle w:val="ListParagraph"/>
        <w:tabs>
          <w:tab w:val="left" w:pos="360"/>
          <w:tab w:val="left" w:pos="1440"/>
        </w:tabs>
        <w:ind w:left="0" w:firstLine="720"/>
        <w:contextualSpacing/>
        <w:jc w:val="both"/>
        <w:rPr>
          <w:rFonts w:cs="Calibri"/>
          <w:color w:val="auto"/>
          <w:sz w:val="20"/>
          <w:szCs w:val="20"/>
          <w:lang w:val="es-ES_tradnl"/>
        </w:rPr>
      </w:pPr>
    </w:p>
    <w:p w:rsidR="00FB72E4" w:rsidRPr="00A552EB" w:rsidRDefault="00FB72E4" w:rsidP="00FB72E4">
      <w:pPr>
        <w:pStyle w:val="ListParagraph"/>
        <w:numPr>
          <w:ilvl w:val="0"/>
          <w:numId w:val="58"/>
        </w:numPr>
        <w:tabs>
          <w:tab w:val="left" w:pos="360"/>
          <w:tab w:val="left" w:pos="1440"/>
        </w:tabs>
        <w:ind w:left="0" w:firstLine="720"/>
        <w:contextualSpacing/>
        <w:jc w:val="both"/>
        <w:rPr>
          <w:rFonts w:cs="Calibri"/>
          <w:color w:val="auto"/>
          <w:sz w:val="20"/>
          <w:szCs w:val="20"/>
          <w:lang w:val="es-ES_tradnl"/>
        </w:rPr>
      </w:pPr>
      <w:r w:rsidRPr="00A552EB">
        <w:rPr>
          <w:color w:val="auto"/>
          <w:sz w:val="20"/>
          <w:szCs w:val="20"/>
          <w:lang w:val="es-ES"/>
        </w:rPr>
        <w:t>En virtud de las consideraciones y conclusiones expuestas en este informe,</w:t>
      </w:r>
    </w:p>
    <w:p w:rsidR="00FB72E4" w:rsidRPr="00A552EB" w:rsidRDefault="00FB72E4" w:rsidP="00FB72E4">
      <w:pPr>
        <w:tabs>
          <w:tab w:val="left" w:pos="360"/>
        </w:tabs>
        <w:ind w:firstLine="360"/>
        <w:jc w:val="both"/>
        <w:rPr>
          <w:rFonts w:ascii="Cambria" w:hAnsi="Cambria" w:cs="Calibri"/>
          <w:b/>
          <w:sz w:val="20"/>
          <w:szCs w:val="20"/>
          <w:lang w:val="es-ES_tradnl"/>
        </w:rPr>
      </w:pPr>
    </w:p>
    <w:p w:rsidR="00FB72E4" w:rsidRPr="00A552EB" w:rsidRDefault="00FB72E4" w:rsidP="00FB72E4">
      <w:pPr>
        <w:tabs>
          <w:tab w:val="left" w:pos="360"/>
        </w:tabs>
        <w:ind w:firstLine="360"/>
        <w:jc w:val="both"/>
        <w:rPr>
          <w:rFonts w:ascii="Cambria" w:hAnsi="Cambria" w:cs="Calibri"/>
          <w:b/>
          <w:sz w:val="20"/>
          <w:szCs w:val="20"/>
          <w:lang w:val="es-ES_tradnl"/>
        </w:rPr>
      </w:pPr>
    </w:p>
    <w:p w:rsidR="00FB72E4" w:rsidRPr="00A552EB" w:rsidRDefault="00FB72E4" w:rsidP="00F3553B">
      <w:pPr>
        <w:tabs>
          <w:tab w:val="left" w:pos="720"/>
          <w:tab w:val="left" w:pos="1440"/>
        </w:tabs>
        <w:jc w:val="center"/>
        <w:rPr>
          <w:rFonts w:ascii="Cambria" w:hAnsi="Cambria"/>
          <w:b/>
          <w:bCs/>
          <w:sz w:val="20"/>
          <w:szCs w:val="20"/>
          <w:lang w:val="es-ES"/>
        </w:rPr>
      </w:pPr>
      <w:r w:rsidRPr="00A552EB">
        <w:rPr>
          <w:rFonts w:ascii="Cambria" w:hAnsi="Cambria"/>
          <w:b/>
          <w:bCs/>
          <w:sz w:val="20"/>
          <w:szCs w:val="20"/>
          <w:lang w:val="es-ES"/>
        </w:rPr>
        <w:lastRenderedPageBreak/>
        <w:t>LA COMISIÓN INTERAMERICANA DE DERECHOS HUMANOS</w:t>
      </w:r>
    </w:p>
    <w:p w:rsidR="00FB72E4" w:rsidRPr="00A552EB" w:rsidRDefault="00FB72E4" w:rsidP="00FB72E4">
      <w:pPr>
        <w:tabs>
          <w:tab w:val="left" w:pos="720"/>
          <w:tab w:val="left" w:pos="1440"/>
        </w:tabs>
        <w:ind w:firstLine="360"/>
        <w:jc w:val="center"/>
        <w:rPr>
          <w:rFonts w:ascii="Cambria" w:hAnsi="Cambria"/>
          <w:b/>
          <w:bCs/>
          <w:sz w:val="20"/>
          <w:szCs w:val="20"/>
          <w:lang w:val="es-ES"/>
        </w:rPr>
      </w:pPr>
    </w:p>
    <w:p w:rsidR="00FB72E4" w:rsidRPr="00A552EB" w:rsidRDefault="00FB72E4" w:rsidP="00F3553B">
      <w:pPr>
        <w:jc w:val="both"/>
        <w:rPr>
          <w:rFonts w:ascii="Cambria" w:hAnsi="Cambria"/>
          <w:b/>
          <w:bCs/>
          <w:sz w:val="20"/>
          <w:szCs w:val="20"/>
        </w:rPr>
      </w:pPr>
      <w:r w:rsidRPr="00A552EB">
        <w:rPr>
          <w:rFonts w:ascii="Cambria" w:hAnsi="Cambria"/>
          <w:b/>
          <w:bCs/>
          <w:sz w:val="20"/>
          <w:szCs w:val="20"/>
        </w:rPr>
        <w:t>DECIDE:</w:t>
      </w:r>
    </w:p>
    <w:p w:rsidR="00FB72E4" w:rsidRPr="00A552EB" w:rsidRDefault="00FB72E4" w:rsidP="00FB72E4">
      <w:pPr>
        <w:ind w:firstLine="360"/>
        <w:jc w:val="both"/>
        <w:rPr>
          <w:rFonts w:ascii="Cambria" w:hAnsi="Cambria"/>
          <w:b/>
          <w:bCs/>
          <w:sz w:val="20"/>
          <w:szCs w:val="20"/>
        </w:rPr>
      </w:pPr>
    </w:p>
    <w:p w:rsidR="00FB72E4" w:rsidRPr="00A552EB" w:rsidRDefault="00FB72E4" w:rsidP="00FB72E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r w:rsidRPr="00A552EB">
        <w:rPr>
          <w:rFonts w:ascii="Cambria" w:hAnsi="Cambria"/>
          <w:sz w:val="20"/>
          <w:szCs w:val="20"/>
          <w:lang w:val="es-ES"/>
        </w:rPr>
        <w:t xml:space="preserve">Aprobar los términos del acuerdo suscrito por las partes el </w:t>
      </w:r>
      <w:r w:rsidRPr="00A552EB">
        <w:rPr>
          <w:rFonts w:ascii="Cambria" w:hAnsi="Cambria"/>
          <w:sz w:val="20"/>
          <w:szCs w:val="20"/>
          <w:lang w:val="es-VE"/>
        </w:rPr>
        <w:t>4 de diciembre de 2019</w:t>
      </w:r>
      <w:r w:rsidRPr="00A552EB">
        <w:rPr>
          <w:rFonts w:ascii="Cambria" w:hAnsi="Cambria"/>
          <w:sz w:val="20"/>
          <w:szCs w:val="20"/>
          <w:lang w:val="es-ES"/>
        </w:rPr>
        <w:t>.</w:t>
      </w:r>
    </w:p>
    <w:p w:rsidR="00FB72E4" w:rsidRPr="00A552EB" w:rsidRDefault="00FB72E4" w:rsidP="00FB72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360" w:firstLine="720"/>
        <w:jc w:val="both"/>
        <w:rPr>
          <w:rFonts w:ascii="Cambria" w:hAnsi="Cambria"/>
          <w:sz w:val="20"/>
          <w:szCs w:val="20"/>
          <w:lang w:val="es-ES"/>
        </w:rPr>
      </w:pPr>
    </w:p>
    <w:p w:rsidR="00FB72E4" w:rsidRPr="00A552EB" w:rsidRDefault="00FB72E4" w:rsidP="00FB72E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r w:rsidRPr="00A552EB">
        <w:rPr>
          <w:rFonts w:ascii="Cambria" w:hAnsi="Cambria"/>
          <w:sz w:val="20"/>
          <w:szCs w:val="20"/>
          <w:lang w:val="es-ES"/>
        </w:rPr>
        <w:t xml:space="preserve">Declarar cumplidos totalmente </w:t>
      </w:r>
      <w:r w:rsidRPr="00A552EB">
        <w:rPr>
          <w:rFonts w:ascii="Cambria" w:hAnsi="Cambria" w:cs="Calibri"/>
          <w:sz w:val="20"/>
          <w:szCs w:val="20"/>
          <w:lang w:val="es-VE"/>
        </w:rPr>
        <w:t>los literales a</w:t>
      </w:r>
      <w:r w:rsidR="00F070D0">
        <w:rPr>
          <w:rFonts w:ascii="Cambria" w:hAnsi="Cambria" w:cs="Calibri"/>
          <w:sz w:val="20"/>
          <w:szCs w:val="20"/>
          <w:lang w:val="es-VE"/>
        </w:rPr>
        <w:t>)</w:t>
      </w:r>
      <w:r w:rsidRPr="00A552EB">
        <w:rPr>
          <w:rFonts w:ascii="Cambria" w:hAnsi="Cambria" w:cs="Calibri"/>
          <w:sz w:val="20"/>
          <w:szCs w:val="20"/>
          <w:lang w:val="es-VE"/>
        </w:rPr>
        <w:t xml:space="preserve"> y b</w:t>
      </w:r>
      <w:r w:rsidR="00F070D0">
        <w:rPr>
          <w:rFonts w:ascii="Cambria" w:hAnsi="Cambria" w:cs="Calibri"/>
          <w:sz w:val="20"/>
          <w:szCs w:val="20"/>
          <w:lang w:val="es-VE"/>
        </w:rPr>
        <w:t>)</w:t>
      </w:r>
      <w:r w:rsidRPr="00A552EB">
        <w:rPr>
          <w:rFonts w:ascii="Cambria" w:hAnsi="Cambria" w:cs="Calibri"/>
          <w:sz w:val="20"/>
          <w:szCs w:val="20"/>
          <w:lang w:val="es-VE"/>
        </w:rPr>
        <w:t xml:space="preserve"> de la cláusula tercera del acuerdo de solución amistosa (acto privado de disculpas y entrega de invitaciones y recordatorios), según el análisis contenido en el presente informe</w:t>
      </w:r>
      <w:r w:rsidRPr="00A552EB">
        <w:rPr>
          <w:rFonts w:ascii="Cambria" w:hAnsi="Cambria"/>
          <w:sz w:val="20"/>
          <w:szCs w:val="20"/>
          <w:lang w:val="es-ES"/>
        </w:rPr>
        <w:t>.</w:t>
      </w:r>
    </w:p>
    <w:p w:rsidR="00FB72E4" w:rsidRPr="00A552EB" w:rsidRDefault="00FB72E4" w:rsidP="00FB72E4">
      <w:pPr>
        <w:pStyle w:val="ListParagraph"/>
        <w:rPr>
          <w:sz w:val="20"/>
          <w:szCs w:val="20"/>
          <w:lang w:val="es-ES"/>
        </w:rPr>
      </w:pPr>
    </w:p>
    <w:p w:rsidR="00FB72E4" w:rsidRPr="00A552EB" w:rsidRDefault="00FB72E4" w:rsidP="00FB72E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r w:rsidRPr="00A552EB">
        <w:rPr>
          <w:rFonts w:ascii="Cambria" w:hAnsi="Cambria"/>
          <w:sz w:val="20"/>
          <w:szCs w:val="20"/>
          <w:lang w:val="es-ES"/>
        </w:rPr>
        <w:t>Declarar pendientes de cumplimiento el literal c</w:t>
      </w:r>
      <w:r w:rsidR="00F070D0">
        <w:rPr>
          <w:rFonts w:ascii="Cambria" w:hAnsi="Cambria"/>
          <w:sz w:val="20"/>
          <w:szCs w:val="20"/>
          <w:lang w:val="es-ES"/>
        </w:rPr>
        <w:t>)</w:t>
      </w:r>
      <w:r w:rsidRPr="00A552EB">
        <w:rPr>
          <w:rFonts w:ascii="Cambria" w:hAnsi="Cambria"/>
          <w:sz w:val="20"/>
          <w:szCs w:val="20"/>
          <w:lang w:val="es-ES"/>
        </w:rPr>
        <w:t xml:space="preserve"> de la cláusula tercera (publicación del informe de homologación) y la cláusula cuarta (</w:t>
      </w:r>
      <w:r w:rsidR="009729B6">
        <w:rPr>
          <w:rFonts w:ascii="Cambria" w:hAnsi="Cambria"/>
          <w:sz w:val="20"/>
          <w:szCs w:val="20"/>
          <w:lang w:val="es-ES"/>
        </w:rPr>
        <w:t>r</w:t>
      </w:r>
      <w:r w:rsidRPr="00A552EB">
        <w:rPr>
          <w:rFonts w:ascii="Cambria" w:hAnsi="Cambria"/>
          <w:sz w:val="20"/>
          <w:szCs w:val="20"/>
          <w:lang w:val="es-ES"/>
        </w:rPr>
        <w:t xml:space="preserve">eparación </w:t>
      </w:r>
      <w:r w:rsidR="009729B6">
        <w:rPr>
          <w:rFonts w:ascii="Cambria" w:hAnsi="Cambria"/>
          <w:sz w:val="20"/>
          <w:szCs w:val="20"/>
          <w:lang w:val="es-ES"/>
        </w:rPr>
        <w:t>p</w:t>
      </w:r>
      <w:r w:rsidRPr="00A552EB">
        <w:rPr>
          <w:rFonts w:ascii="Cambria" w:hAnsi="Cambria"/>
          <w:sz w:val="20"/>
          <w:szCs w:val="20"/>
          <w:lang w:val="es-ES"/>
        </w:rPr>
        <w:t>ecuniaria), según el análisis contenido en el presente informe.</w:t>
      </w:r>
    </w:p>
    <w:p w:rsidR="00FB72E4" w:rsidRPr="00A552EB" w:rsidRDefault="00FB72E4" w:rsidP="00FB72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hAnsi="Cambria"/>
          <w:sz w:val="20"/>
          <w:szCs w:val="20"/>
          <w:lang w:val="es-ES"/>
        </w:rPr>
      </w:pPr>
    </w:p>
    <w:p w:rsidR="00FB72E4" w:rsidRPr="00A552EB" w:rsidRDefault="00FB72E4" w:rsidP="00FB72E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ES"/>
        </w:rPr>
      </w:pPr>
      <w:r w:rsidRPr="00A552EB">
        <w:rPr>
          <w:rFonts w:ascii="Cambria" w:hAnsi="Cambria"/>
          <w:sz w:val="20"/>
          <w:szCs w:val="20"/>
          <w:lang w:val="es-ES"/>
        </w:rPr>
        <w:t>Continuar con la supervisión de las cláusulas tercera y cuarta del acuerdo de solución amistosa hasta su total cumplimiento, según el análisis contenido en este Informe. Con tal finalidad, recordar a las partes su compromiso de informar periódicamente a la CIDH sobre su cumplimiento.</w:t>
      </w:r>
    </w:p>
    <w:p w:rsidR="00FB72E4" w:rsidRPr="00A552EB" w:rsidRDefault="00FB72E4" w:rsidP="00FB72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ind w:firstLine="720"/>
        <w:jc w:val="both"/>
        <w:rPr>
          <w:rFonts w:ascii="Cambria" w:hAnsi="Cambria"/>
          <w:sz w:val="20"/>
          <w:szCs w:val="20"/>
          <w:lang w:val="es-ES"/>
        </w:rPr>
      </w:pPr>
    </w:p>
    <w:p w:rsidR="00FB72E4" w:rsidRPr="00A552EB" w:rsidRDefault="00FB72E4" w:rsidP="00FB72E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Cambria" w:hAnsi="Cambria"/>
          <w:sz w:val="20"/>
          <w:szCs w:val="20"/>
          <w:lang w:val="es-ES"/>
        </w:rPr>
      </w:pPr>
      <w:r w:rsidRPr="00A552EB">
        <w:rPr>
          <w:rFonts w:ascii="Cambria" w:hAnsi="Cambria"/>
          <w:sz w:val="20"/>
          <w:szCs w:val="20"/>
          <w:lang w:val="es-ES"/>
        </w:rPr>
        <w:t>Hacer público el presente informe e incluirlo en su Informe Anual a la Asamblea General de la OEA.</w:t>
      </w:r>
    </w:p>
    <w:p w:rsidR="001542A3" w:rsidRPr="00631173" w:rsidRDefault="001542A3" w:rsidP="001542A3">
      <w:pPr>
        <w:suppressAutoHyphens/>
        <w:jc w:val="both"/>
        <w:rPr>
          <w:rFonts w:ascii="Cambria" w:hAnsi="Cambria"/>
          <w:sz w:val="20"/>
          <w:szCs w:val="20"/>
          <w:lang w:val="es-ES"/>
        </w:rPr>
      </w:pPr>
    </w:p>
    <w:p w:rsidR="00F3553B" w:rsidRPr="00F3553B" w:rsidRDefault="001542A3" w:rsidP="00F3553B">
      <w:pPr>
        <w:suppressAutoHyphens/>
        <w:ind w:firstLine="720"/>
        <w:jc w:val="both"/>
        <w:rPr>
          <w:rFonts w:asciiTheme="majorHAnsi" w:eastAsia="Times New Roman" w:hAnsiTheme="majorHAnsi" w:cs="Arial"/>
          <w:snapToGrid w:val="0"/>
          <w:sz w:val="20"/>
          <w:szCs w:val="20"/>
          <w:bdr w:val="none" w:sz="0" w:space="0" w:color="auto" w:frame="1"/>
          <w:lang w:val="es-VE" w:eastAsia="es-ES"/>
        </w:rPr>
      </w:pPr>
      <w:r w:rsidRPr="00631173">
        <w:rPr>
          <w:rFonts w:ascii="Cambria" w:hAnsi="Cambria"/>
          <w:sz w:val="20"/>
          <w:szCs w:val="20"/>
          <w:lang w:val="es-ES"/>
        </w:rPr>
        <w:t xml:space="preserve">Aprobado por la Comisión Interamericana de Derechos Humanos a los </w:t>
      </w:r>
      <w:r w:rsidR="000845AA" w:rsidRPr="00631173">
        <w:rPr>
          <w:rFonts w:ascii="Cambria" w:hAnsi="Cambria"/>
          <w:sz w:val="20"/>
          <w:szCs w:val="20"/>
          <w:lang w:val="es-ES"/>
        </w:rPr>
        <w:t>19</w:t>
      </w:r>
      <w:r w:rsidRPr="00631173">
        <w:rPr>
          <w:rFonts w:ascii="Cambria" w:hAnsi="Cambria"/>
          <w:sz w:val="20"/>
          <w:szCs w:val="20"/>
          <w:lang w:val="es-ES"/>
        </w:rPr>
        <w:t xml:space="preserve"> días del mes de </w:t>
      </w:r>
      <w:r w:rsidR="000845AA" w:rsidRPr="00631173">
        <w:rPr>
          <w:rFonts w:ascii="Cambria" w:hAnsi="Cambria"/>
          <w:sz w:val="20"/>
          <w:szCs w:val="20"/>
          <w:lang w:val="es-ES"/>
        </w:rPr>
        <w:t>noviembre</w:t>
      </w:r>
      <w:r w:rsidRPr="00631173">
        <w:rPr>
          <w:rFonts w:ascii="Cambria" w:hAnsi="Cambria"/>
          <w:sz w:val="20"/>
          <w:szCs w:val="20"/>
          <w:lang w:val="es-ES"/>
        </w:rPr>
        <w:t xml:space="preserve"> de 2020. </w:t>
      </w:r>
      <w:r w:rsidR="00F3553B">
        <w:rPr>
          <w:rFonts w:ascii="Cambria" w:hAnsi="Cambria"/>
          <w:sz w:val="20"/>
          <w:szCs w:val="20"/>
          <w:lang w:val="es-ES"/>
        </w:rPr>
        <w:t xml:space="preserve">(Firmado): </w:t>
      </w:r>
      <w:r w:rsidR="00F3553B" w:rsidRPr="00F3553B">
        <w:rPr>
          <w:rFonts w:asciiTheme="majorHAnsi" w:hAnsiTheme="majorHAnsi"/>
          <w:spacing w:val="-2"/>
          <w:sz w:val="20"/>
          <w:szCs w:val="20"/>
          <w:bdr w:val="none" w:sz="0" w:space="0" w:color="auto"/>
          <w:lang w:val="es-ES" w:eastAsia="es-ES"/>
        </w:rPr>
        <w:t xml:space="preserve">Joel Hernández, Presidente; </w:t>
      </w:r>
      <w:r w:rsidR="00F3553B" w:rsidRPr="00F3553B">
        <w:rPr>
          <w:rFonts w:asciiTheme="majorHAnsi" w:hAnsiTheme="majorHAnsi"/>
          <w:sz w:val="20"/>
          <w:szCs w:val="20"/>
          <w:lang w:val="es-ES"/>
        </w:rPr>
        <w:t xml:space="preserve">Antonia Urrejola, Primera Vice Presidenta; </w:t>
      </w:r>
      <w:r w:rsidR="00F3553B" w:rsidRPr="00F3553B">
        <w:rPr>
          <w:rFonts w:asciiTheme="majorHAnsi" w:eastAsia="Times New Roman" w:hAnsiTheme="majorHAnsi" w:cs="Arial"/>
          <w:snapToGrid w:val="0"/>
          <w:sz w:val="20"/>
          <w:szCs w:val="20"/>
          <w:bdr w:val="none" w:sz="0" w:space="0" w:color="auto" w:frame="1"/>
          <w:lang w:val="pt-BR" w:eastAsia="es-ES"/>
        </w:rPr>
        <w:t xml:space="preserve">Flávia Piovesan. Segunda Vice Presidenta; </w:t>
      </w:r>
      <w:r w:rsidR="00F3553B" w:rsidRPr="00F3553B">
        <w:rPr>
          <w:rFonts w:asciiTheme="majorHAnsi" w:hAnsiTheme="majorHAnsi"/>
          <w:sz w:val="20"/>
          <w:szCs w:val="20"/>
          <w:lang w:val="es-ES"/>
        </w:rPr>
        <w:t xml:space="preserve">Margarette May Macaulay, </w:t>
      </w:r>
      <w:r w:rsidR="00F3553B" w:rsidRPr="00F3553B">
        <w:rPr>
          <w:rFonts w:asciiTheme="majorHAnsi" w:eastAsia="Times New Roman" w:hAnsiTheme="majorHAnsi" w:cs="Arial"/>
          <w:snapToGrid w:val="0"/>
          <w:sz w:val="20"/>
          <w:szCs w:val="20"/>
          <w:bdr w:val="none" w:sz="0" w:space="0" w:color="auto" w:frame="1"/>
          <w:lang w:val="es-ES_tradnl" w:eastAsia="es-ES"/>
        </w:rPr>
        <w:t xml:space="preserve">Esmeralda E. Arosemena Bernal de </w:t>
      </w:r>
      <w:proofErr w:type="spellStart"/>
      <w:r w:rsidR="00F3553B" w:rsidRPr="00F3553B">
        <w:rPr>
          <w:rFonts w:asciiTheme="majorHAnsi" w:eastAsia="Times New Roman" w:hAnsiTheme="majorHAnsi" w:cs="Arial"/>
          <w:snapToGrid w:val="0"/>
          <w:sz w:val="20"/>
          <w:szCs w:val="20"/>
          <w:bdr w:val="none" w:sz="0" w:space="0" w:color="auto" w:frame="1"/>
          <w:lang w:val="es-ES_tradnl" w:eastAsia="es-ES"/>
        </w:rPr>
        <w:t>Troitiño</w:t>
      </w:r>
      <w:proofErr w:type="spellEnd"/>
      <w:r w:rsidR="00F3553B" w:rsidRPr="00F3553B">
        <w:rPr>
          <w:rFonts w:asciiTheme="majorHAnsi" w:eastAsia="Times New Roman" w:hAnsiTheme="majorHAnsi" w:cs="Arial"/>
          <w:snapToGrid w:val="0"/>
          <w:sz w:val="20"/>
          <w:szCs w:val="20"/>
          <w:bdr w:val="none" w:sz="0" w:space="0" w:color="auto" w:frame="1"/>
          <w:lang w:val="es-ES_tradnl" w:eastAsia="es-ES"/>
        </w:rPr>
        <w:t xml:space="preserve">,  </w:t>
      </w:r>
      <w:r w:rsidR="00F3553B" w:rsidRPr="00F3553B">
        <w:rPr>
          <w:rFonts w:asciiTheme="majorHAnsi" w:eastAsia="Times New Roman" w:hAnsiTheme="majorHAnsi" w:cs="Arial"/>
          <w:snapToGrid w:val="0"/>
          <w:sz w:val="20"/>
          <w:szCs w:val="20"/>
          <w:bdr w:val="none" w:sz="0" w:space="0" w:color="auto" w:frame="1"/>
          <w:lang w:val="es-ES" w:eastAsia="es-ES"/>
        </w:rPr>
        <w:t>Julissa Mantilla Falcón</w:t>
      </w:r>
      <w:r w:rsidR="00F3553B" w:rsidRPr="00F3553B">
        <w:rPr>
          <w:rFonts w:asciiTheme="majorHAnsi" w:eastAsia="Times New Roman" w:hAnsiTheme="majorHAnsi" w:cs="Arial"/>
          <w:snapToGrid w:val="0"/>
          <w:sz w:val="20"/>
          <w:szCs w:val="20"/>
          <w:bdr w:val="none" w:sz="0" w:space="0" w:color="auto" w:frame="1"/>
          <w:lang w:val="es-ES_tradnl" w:eastAsia="es-ES"/>
        </w:rPr>
        <w:t>, y</w:t>
      </w:r>
      <w:r w:rsidR="00F3553B">
        <w:rPr>
          <w:rFonts w:asciiTheme="majorHAnsi" w:eastAsia="Times New Roman" w:hAnsiTheme="majorHAnsi" w:cs="Arial"/>
          <w:snapToGrid w:val="0"/>
          <w:sz w:val="20"/>
          <w:szCs w:val="20"/>
          <w:bdr w:val="none" w:sz="0" w:space="0" w:color="auto" w:frame="1"/>
          <w:lang w:val="es-ES_tradnl" w:eastAsia="es-ES"/>
        </w:rPr>
        <w:t xml:space="preserve"> </w:t>
      </w:r>
      <w:r w:rsidR="00F3553B" w:rsidRPr="00F3553B">
        <w:rPr>
          <w:rFonts w:asciiTheme="majorHAnsi" w:eastAsia="Times New Roman" w:hAnsiTheme="majorHAnsi" w:cs="Arial"/>
          <w:snapToGrid w:val="0"/>
          <w:sz w:val="20"/>
          <w:szCs w:val="20"/>
          <w:bdr w:val="none" w:sz="0" w:space="0" w:color="auto" w:frame="1"/>
          <w:lang w:val="es-VE" w:eastAsia="es-ES"/>
        </w:rPr>
        <w:t xml:space="preserve">Edgar </w:t>
      </w:r>
      <w:proofErr w:type="spellStart"/>
      <w:r w:rsidR="00F3553B" w:rsidRPr="00F3553B">
        <w:rPr>
          <w:rFonts w:asciiTheme="majorHAnsi" w:eastAsia="Times New Roman" w:hAnsiTheme="majorHAnsi" w:cs="Arial"/>
          <w:snapToGrid w:val="0"/>
          <w:sz w:val="20"/>
          <w:szCs w:val="20"/>
          <w:bdr w:val="none" w:sz="0" w:space="0" w:color="auto" w:frame="1"/>
          <w:lang w:val="es-VE" w:eastAsia="es-ES"/>
        </w:rPr>
        <w:t>Stuardo</w:t>
      </w:r>
      <w:proofErr w:type="spellEnd"/>
      <w:r w:rsidR="00F3553B" w:rsidRPr="00F3553B">
        <w:rPr>
          <w:rFonts w:asciiTheme="majorHAnsi" w:eastAsia="Times New Roman" w:hAnsiTheme="majorHAnsi" w:cs="Arial"/>
          <w:snapToGrid w:val="0"/>
          <w:sz w:val="20"/>
          <w:szCs w:val="20"/>
          <w:bdr w:val="none" w:sz="0" w:space="0" w:color="auto" w:frame="1"/>
          <w:lang w:val="es-VE" w:eastAsia="es-ES"/>
        </w:rPr>
        <w:t xml:space="preserve"> </w:t>
      </w:r>
      <w:proofErr w:type="spellStart"/>
      <w:r w:rsidR="00F3553B" w:rsidRPr="00F3553B">
        <w:rPr>
          <w:rFonts w:asciiTheme="majorHAnsi" w:eastAsia="Times New Roman" w:hAnsiTheme="majorHAnsi" w:cs="Arial"/>
          <w:snapToGrid w:val="0"/>
          <w:sz w:val="20"/>
          <w:szCs w:val="20"/>
          <w:bdr w:val="none" w:sz="0" w:space="0" w:color="auto" w:frame="1"/>
          <w:lang w:val="es-VE" w:eastAsia="es-ES"/>
        </w:rPr>
        <w:t>Ralón</w:t>
      </w:r>
      <w:proofErr w:type="spellEnd"/>
      <w:r w:rsidR="00F3553B" w:rsidRPr="00F3553B">
        <w:rPr>
          <w:rFonts w:asciiTheme="majorHAnsi" w:eastAsia="Times New Roman" w:hAnsiTheme="majorHAnsi" w:cs="Arial"/>
          <w:snapToGrid w:val="0"/>
          <w:sz w:val="20"/>
          <w:szCs w:val="20"/>
          <w:bdr w:val="none" w:sz="0" w:space="0" w:color="auto" w:frame="1"/>
          <w:lang w:val="es-VE" w:eastAsia="es-ES"/>
        </w:rPr>
        <w:t xml:space="preserve"> Orellana, Miembros de l</w:t>
      </w:r>
      <w:r w:rsidR="00F3553B">
        <w:rPr>
          <w:rFonts w:asciiTheme="majorHAnsi" w:eastAsia="Times New Roman" w:hAnsiTheme="majorHAnsi" w:cs="Arial"/>
          <w:snapToGrid w:val="0"/>
          <w:sz w:val="20"/>
          <w:szCs w:val="20"/>
          <w:bdr w:val="none" w:sz="0" w:space="0" w:color="auto" w:frame="1"/>
          <w:lang w:val="es-VE" w:eastAsia="es-ES"/>
        </w:rPr>
        <w:t>a</w:t>
      </w:r>
      <w:r w:rsidR="00F3553B" w:rsidRPr="00F3553B">
        <w:rPr>
          <w:rFonts w:asciiTheme="majorHAnsi" w:eastAsia="Times New Roman" w:hAnsiTheme="majorHAnsi" w:cs="Arial"/>
          <w:snapToGrid w:val="0"/>
          <w:sz w:val="20"/>
          <w:szCs w:val="20"/>
          <w:bdr w:val="none" w:sz="0" w:space="0" w:color="auto" w:frame="1"/>
          <w:lang w:val="es-VE" w:eastAsia="es-ES"/>
        </w:rPr>
        <w:t xml:space="preserve"> </w:t>
      </w:r>
      <w:r w:rsidR="00F3553B">
        <w:rPr>
          <w:rFonts w:asciiTheme="majorHAnsi" w:eastAsia="Times New Roman" w:hAnsiTheme="majorHAnsi" w:cs="Arial"/>
          <w:snapToGrid w:val="0"/>
          <w:sz w:val="20"/>
          <w:szCs w:val="20"/>
          <w:bdr w:val="none" w:sz="0" w:space="0" w:color="auto" w:frame="1"/>
          <w:lang w:val="es-VE" w:eastAsia="es-ES"/>
        </w:rPr>
        <w:t>Comisión</w:t>
      </w:r>
      <w:r w:rsidR="00F3553B" w:rsidRPr="00F3553B">
        <w:rPr>
          <w:rFonts w:asciiTheme="majorHAnsi" w:eastAsia="Times New Roman" w:hAnsiTheme="majorHAnsi" w:cs="Arial"/>
          <w:snapToGrid w:val="0"/>
          <w:sz w:val="20"/>
          <w:szCs w:val="20"/>
          <w:bdr w:val="none" w:sz="0" w:space="0" w:color="auto" w:frame="1"/>
          <w:lang w:val="es-VE" w:eastAsia="es-ES"/>
        </w:rPr>
        <w:t>.</w:t>
      </w:r>
    </w:p>
    <w:p w:rsidR="00F3553B" w:rsidRPr="00F3553B" w:rsidRDefault="00F3553B" w:rsidP="009F629B">
      <w:pPr>
        <w:tabs>
          <w:tab w:val="center" w:pos="4680"/>
          <w:tab w:val="left" w:pos="6511"/>
        </w:tabs>
        <w:ind w:firstLine="720"/>
        <w:jc w:val="center"/>
        <w:rPr>
          <w:rFonts w:asciiTheme="majorHAnsi" w:eastAsia="Times New Roman" w:hAnsiTheme="majorHAnsi" w:cs="Arial"/>
          <w:snapToGrid w:val="0"/>
          <w:sz w:val="20"/>
          <w:szCs w:val="20"/>
          <w:bdr w:val="none" w:sz="0" w:space="0" w:color="auto" w:frame="1"/>
          <w:lang w:val="es-ES_tradnl" w:eastAsia="es-ES"/>
        </w:rPr>
      </w:pPr>
    </w:p>
    <w:p w:rsidR="00DC5262" w:rsidRPr="00ED78FD" w:rsidRDefault="00DC5262" w:rsidP="00DC5262">
      <w:pPr>
        <w:suppressAutoHyphens/>
        <w:ind w:firstLine="720"/>
        <w:jc w:val="both"/>
        <w:rPr>
          <w:sz w:val="20"/>
          <w:szCs w:val="20"/>
          <w:lang w:val="es-VE"/>
        </w:rPr>
      </w:pPr>
    </w:p>
    <w:p w:rsidR="00DC5262" w:rsidRPr="000845AA" w:rsidRDefault="00DC5262" w:rsidP="00DC5262">
      <w:pPr>
        <w:suppressAutoHyphens/>
        <w:jc w:val="both"/>
        <w:rPr>
          <w:sz w:val="20"/>
          <w:szCs w:val="20"/>
          <w:lang w:val="es-ES"/>
        </w:rPr>
      </w:pPr>
    </w:p>
    <w:p w:rsidR="00DC5262" w:rsidRDefault="00DC5262" w:rsidP="00DC5262">
      <w:pPr>
        <w:tabs>
          <w:tab w:val="left" w:pos="720"/>
          <w:tab w:val="center" w:pos="4680"/>
          <w:tab w:val="left" w:pos="6511"/>
        </w:tabs>
        <w:ind w:firstLine="720"/>
        <w:rPr>
          <w:rFonts w:ascii="Cambria" w:hAnsi="Cambria" w:cs="Calibri"/>
          <w:color w:val="808080" w:themeColor="background1" w:themeShade="80"/>
          <w:sz w:val="20"/>
          <w:szCs w:val="20"/>
          <w:lang w:val="es-ES_tradnl"/>
        </w:rPr>
      </w:pPr>
    </w:p>
    <w:p w:rsidR="00DC5262" w:rsidRDefault="00DC5262" w:rsidP="00DC5262">
      <w:pPr>
        <w:tabs>
          <w:tab w:val="left" w:pos="720"/>
          <w:tab w:val="center" w:pos="4680"/>
          <w:tab w:val="left" w:pos="6511"/>
        </w:tabs>
        <w:ind w:firstLine="720"/>
        <w:rPr>
          <w:rFonts w:ascii="Cambria" w:hAnsi="Cambria" w:cs="Calibri"/>
          <w:color w:val="808080" w:themeColor="background1" w:themeShade="80"/>
          <w:sz w:val="20"/>
          <w:szCs w:val="20"/>
          <w:lang w:val="es-ES_tradnl"/>
        </w:rPr>
      </w:pPr>
    </w:p>
    <w:p w:rsidR="00DC5262" w:rsidRDefault="00DC5262" w:rsidP="00DC5262">
      <w:pPr>
        <w:tabs>
          <w:tab w:val="left" w:pos="720"/>
          <w:tab w:val="center" w:pos="4680"/>
          <w:tab w:val="left" w:pos="6511"/>
        </w:tabs>
        <w:ind w:firstLine="720"/>
        <w:rPr>
          <w:rFonts w:ascii="Cambria" w:hAnsi="Cambria" w:cs="Calibri"/>
          <w:color w:val="808080" w:themeColor="background1" w:themeShade="80"/>
          <w:sz w:val="20"/>
          <w:szCs w:val="20"/>
          <w:lang w:val="es-ES_tradnl"/>
        </w:rPr>
      </w:pPr>
    </w:p>
    <w:sectPr w:rsidR="00DC526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610" w:rsidRDefault="00F90610">
      <w:r>
        <w:separator/>
      </w:r>
    </w:p>
  </w:endnote>
  <w:endnote w:type="continuationSeparator" w:id="0">
    <w:p w:rsidR="00F90610" w:rsidRDefault="00F9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788" w:rsidRDefault="00FF37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15A1F">
          <w:rPr>
            <w:noProof/>
            <w:sz w:val="16"/>
            <w:szCs w:val="22"/>
          </w:rPr>
          <w:t>6</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610" w:rsidRPr="000F35ED" w:rsidRDefault="00F90610">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F90610" w:rsidRPr="000F35ED" w:rsidRDefault="00F90610" w:rsidP="000F35ED">
      <w:pPr>
        <w:rPr>
          <w:rFonts w:asciiTheme="majorHAnsi" w:hAnsiTheme="majorHAnsi"/>
          <w:sz w:val="16"/>
          <w:szCs w:val="16"/>
        </w:rPr>
      </w:pPr>
      <w:r w:rsidRPr="000F35ED">
        <w:rPr>
          <w:rFonts w:asciiTheme="majorHAnsi" w:hAnsiTheme="majorHAnsi"/>
          <w:sz w:val="16"/>
          <w:szCs w:val="16"/>
        </w:rPr>
        <w:separator/>
      </w:r>
    </w:p>
    <w:p w:rsidR="00F90610" w:rsidRPr="000F35ED" w:rsidRDefault="00F9061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F90610" w:rsidRPr="000F35ED" w:rsidRDefault="00F9061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FB72E4" w:rsidRPr="00F73DF3" w:rsidRDefault="00FB72E4" w:rsidP="00FB72E4">
      <w:pPr>
        <w:pStyle w:val="FootnoteText"/>
        <w:ind w:firstLine="720"/>
        <w:rPr>
          <w:rFonts w:asciiTheme="majorHAnsi" w:hAnsiTheme="majorHAnsi"/>
          <w:sz w:val="16"/>
          <w:szCs w:val="16"/>
          <w:lang w:val="es-CO"/>
        </w:rPr>
      </w:pPr>
      <w:r w:rsidRPr="00F73DF3">
        <w:rPr>
          <w:rStyle w:val="FootnoteReference"/>
          <w:rFonts w:asciiTheme="majorHAnsi" w:hAnsiTheme="majorHAnsi"/>
          <w:sz w:val="16"/>
          <w:szCs w:val="16"/>
        </w:rPr>
        <w:footnoteRef/>
      </w:r>
      <w:r w:rsidRPr="00F73DF3">
        <w:rPr>
          <w:rFonts w:asciiTheme="majorHAnsi" w:hAnsiTheme="majorHAnsi"/>
          <w:sz w:val="16"/>
          <w:szCs w:val="16"/>
          <w:lang w:val="es-CO"/>
        </w:rPr>
        <w:t xml:space="preserve"> Numeración por fuera del texto original del acuerdo de solución amistosa. </w:t>
      </w:r>
    </w:p>
  </w:footnote>
  <w:footnote w:id="3">
    <w:p w:rsidR="00FB72E4" w:rsidRPr="00F73DF3" w:rsidRDefault="00FB72E4" w:rsidP="00FB72E4">
      <w:pPr>
        <w:pStyle w:val="FootnoteText"/>
        <w:ind w:firstLine="720"/>
        <w:jc w:val="both"/>
        <w:rPr>
          <w:rFonts w:asciiTheme="majorHAnsi" w:hAnsiTheme="majorHAnsi"/>
          <w:sz w:val="16"/>
          <w:szCs w:val="16"/>
          <w:lang w:val="es-ES"/>
        </w:rPr>
      </w:pPr>
      <w:r w:rsidRPr="00F73DF3">
        <w:rPr>
          <w:rStyle w:val="FootnoteReference"/>
          <w:rFonts w:asciiTheme="majorHAnsi" w:hAnsiTheme="majorHAnsi"/>
          <w:sz w:val="16"/>
          <w:szCs w:val="16"/>
        </w:rPr>
        <w:footnoteRef/>
      </w:r>
      <w:r w:rsidRPr="00F73DF3">
        <w:rPr>
          <w:rFonts w:asciiTheme="majorHAnsi" w:hAnsiTheme="majorHAnsi"/>
          <w:sz w:val="16"/>
          <w:szCs w:val="16"/>
          <w:lang w:val="es-ES"/>
        </w:rPr>
        <w:t xml:space="preserve"> Convención de Viena sobre el Derecho de los Tratados, U.N. </w:t>
      </w:r>
      <w:proofErr w:type="spellStart"/>
      <w:r w:rsidRPr="00F73DF3">
        <w:rPr>
          <w:rFonts w:asciiTheme="majorHAnsi" w:hAnsiTheme="majorHAnsi"/>
          <w:sz w:val="16"/>
          <w:szCs w:val="16"/>
          <w:lang w:val="es-ES"/>
        </w:rPr>
        <w:t>Doc</w:t>
      </w:r>
      <w:proofErr w:type="spellEnd"/>
      <w:r w:rsidRPr="00F73DF3">
        <w:rPr>
          <w:rFonts w:asciiTheme="majorHAnsi" w:hAnsiTheme="majorHAnsi"/>
          <w:sz w:val="16"/>
          <w:szCs w:val="16"/>
          <w:lang w:val="es-ES"/>
        </w:rPr>
        <w:t xml:space="preserve"> A/CONF.39/27 (1969), Artículo 26: </w:t>
      </w:r>
      <w:r w:rsidRPr="00F73DF3">
        <w:rPr>
          <w:rFonts w:asciiTheme="majorHAnsi" w:hAnsiTheme="majorHAnsi"/>
          <w:b/>
          <w:sz w:val="16"/>
          <w:szCs w:val="16"/>
          <w:lang w:val="es-ES"/>
        </w:rPr>
        <w:t xml:space="preserve">"Pacta </w:t>
      </w:r>
      <w:proofErr w:type="spellStart"/>
      <w:r w:rsidRPr="00F73DF3">
        <w:rPr>
          <w:rFonts w:asciiTheme="majorHAnsi" w:hAnsiTheme="majorHAnsi"/>
          <w:b/>
          <w:sz w:val="16"/>
          <w:szCs w:val="16"/>
          <w:lang w:val="es-ES"/>
        </w:rPr>
        <w:t>sunt</w:t>
      </w:r>
      <w:proofErr w:type="spellEnd"/>
      <w:r w:rsidRPr="00F73DF3">
        <w:rPr>
          <w:rFonts w:asciiTheme="majorHAnsi" w:hAnsiTheme="majorHAnsi"/>
          <w:b/>
          <w:sz w:val="16"/>
          <w:szCs w:val="16"/>
          <w:lang w:val="es-ES"/>
        </w:rPr>
        <w:t xml:space="preserve"> </w:t>
      </w:r>
      <w:proofErr w:type="spellStart"/>
      <w:r w:rsidRPr="00F73DF3">
        <w:rPr>
          <w:rFonts w:asciiTheme="majorHAnsi" w:hAnsiTheme="majorHAnsi"/>
          <w:b/>
          <w:sz w:val="16"/>
          <w:szCs w:val="16"/>
          <w:lang w:val="es-ES"/>
        </w:rPr>
        <w:t>servanda</w:t>
      </w:r>
      <w:proofErr w:type="spellEnd"/>
      <w:r w:rsidRPr="00F73DF3">
        <w:rPr>
          <w:rFonts w:asciiTheme="majorHAnsi" w:hAnsiTheme="majorHAnsi"/>
          <w:b/>
          <w:sz w:val="16"/>
          <w:szCs w:val="16"/>
          <w:lang w:val="es-ES"/>
        </w:rPr>
        <w:t xml:space="preserve">". </w:t>
      </w:r>
      <w:r w:rsidRPr="00F73DF3">
        <w:rPr>
          <w:rFonts w:asciiTheme="majorHAnsi" w:hAnsiTheme="majorHAnsi"/>
          <w:i/>
          <w:sz w:val="16"/>
          <w:szCs w:val="16"/>
          <w:lang w:val="es-ES"/>
        </w:rPr>
        <w:t>Todo tratado en vigor obliga a las partes y debe ser cumplido por ellas de buena fe.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F90610"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788" w:rsidRDefault="00FF37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80234C6"/>
    <w:multiLevelType w:val="hybridMultilevel"/>
    <w:tmpl w:val="9E70D8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506BB5"/>
    <w:multiLevelType w:val="hybridMultilevel"/>
    <w:tmpl w:val="58BEDD18"/>
    <w:lvl w:ilvl="0" w:tplc="2FBCA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0F36EB4A"/>
    <w:lvl w:ilvl="0" w:tplc="37A6397E">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4240A62"/>
    <w:multiLevelType w:val="hybridMultilevel"/>
    <w:tmpl w:val="F02683B6"/>
    <w:lvl w:ilvl="0" w:tplc="0C0A000F">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22"/>
  </w:num>
  <w:num w:numId="5">
    <w:abstractNumId w:val="46"/>
  </w:num>
  <w:num w:numId="6">
    <w:abstractNumId w:val="27"/>
  </w:num>
  <w:num w:numId="7">
    <w:abstractNumId w:val="6"/>
  </w:num>
  <w:num w:numId="8">
    <w:abstractNumId w:val="18"/>
  </w:num>
  <w:num w:numId="9">
    <w:abstractNumId w:val="41"/>
  </w:num>
  <w:num w:numId="10">
    <w:abstractNumId w:val="0"/>
  </w:num>
  <w:num w:numId="11">
    <w:abstractNumId w:val="36"/>
  </w:num>
  <w:num w:numId="12">
    <w:abstractNumId w:val="37"/>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2"/>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7"/>
  </w:num>
  <w:num w:numId="43">
    <w:abstractNumId w:val="49"/>
  </w:num>
  <w:num w:numId="44">
    <w:abstractNumId w:val="51"/>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1"/>
  </w:num>
  <w:num w:numId="52">
    <w:abstractNumId w:val="40"/>
  </w:num>
  <w:num w:numId="53">
    <w:abstractNumId w:val="50"/>
  </w:num>
  <w:num w:numId="54">
    <w:abstractNumId w:val="43"/>
  </w:num>
  <w:num w:numId="55">
    <w:abstractNumId w:val="48"/>
  </w:num>
  <w:num w:numId="56">
    <w:abstractNumId w:val="52"/>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num>
  <w:num w:numId="59">
    <w:abstractNumId w:val="5"/>
  </w:num>
  <w:num w:numId="60">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40C3A"/>
    <w:rsid w:val="000716C5"/>
    <w:rsid w:val="00075E23"/>
    <w:rsid w:val="000845AA"/>
    <w:rsid w:val="0009344A"/>
    <w:rsid w:val="000A392E"/>
    <w:rsid w:val="000A575F"/>
    <w:rsid w:val="000D10DB"/>
    <w:rsid w:val="000E5EB5"/>
    <w:rsid w:val="000F35ED"/>
    <w:rsid w:val="00107131"/>
    <w:rsid w:val="0010736F"/>
    <w:rsid w:val="00113F73"/>
    <w:rsid w:val="00115A1F"/>
    <w:rsid w:val="00121CC2"/>
    <w:rsid w:val="00133EE5"/>
    <w:rsid w:val="001542A3"/>
    <w:rsid w:val="00167A34"/>
    <w:rsid w:val="001A7870"/>
    <w:rsid w:val="001C1B41"/>
    <w:rsid w:val="001D65EF"/>
    <w:rsid w:val="002250A3"/>
    <w:rsid w:val="00235217"/>
    <w:rsid w:val="00246D1F"/>
    <w:rsid w:val="00247403"/>
    <w:rsid w:val="00247542"/>
    <w:rsid w:val="00266B61"/>
    <w:rsid w:val="0026712A"/>
    <w:rsid w:val="002704DB"/>
    <w:rsid w:val="002A0AAE"/>
    <w:rsid w:val="002A5820"/>
    <w:rsid w:val="002D2B26"/>
    <w:rsid w:val="002D7EA2"/>
    <w:rsid w:val="002E187C"/>
    <w:rsid w:val="00302733"/>
    <w:rsid w:val="00314078"/>
    <w:rsid w:val="0031535D"/>
    <w:rsid w:val="0033169F"/>
    <w:rsid w:val="00346C95"/>
    <w:rsid w:val="00356185"/>
    <w:rsid w:val="00360380"/>
    <w:rsid w:val="0037519E"/>
    <w:rsid w:val="00386CF0"/>
    <w:rsid w:val="003C676B"/>
    <w:rsid w:val="003D3BC2"/>
    <w:rsid w:val="003E6CA1"/>
    <w:rsid w:val="004165C2"/>
    <w:rsid w:val="00441ECB"/>
    <w:rsid w:val="00467B7E"/>
    <w:rsid w:val="00477592"/>
    <w:rsid w:val="00486F1C"/>
    <w:rsid w:val="0049419D"/>
    <w:rsid w:val="004B4A5C"/>
    <w:rsid w:val="004C20D2"/>
    <w:rsid w:val="004C4B62"/>
    <w:rsid w:val="004C54C9"/>
    <w:rsid w:val="004D6025"/>
    <w:rsid w:val="004E2649"/>
    <w:rsid w:val="00501399"/>
    <w:rsid w:val="0050633D"/>
    <w:rsid w:val="00507BC4"/>
    <w:rsid w:val="005128E4"/>
    <w:rsid w:val="005133DB"/>
    <w:rsid w:val="00525560"/>
    <w:rsid w:val="00544C49"/>
    <w:rsid w:val="005516A1"/>
    <w:rsid w:val="0057402A"/>
    <w:rsid w:val="005771D0"/>
    <w:rsid w:val="0059191A"/>
    <w:rsid w:val="005921FF"/>
    <w:rsid w:val="005A6D0E"/>
    <w:rsid w:val="005B52B0"/>
    <w:rsid w:val="005B6806"/>
    <w:rsid w:val="005C4225"/>
    <w:rsid w:val="005F0DAD"/>
    <w:rsid w:val="005F0F33"/>
    <w:rsid w:val="00600DEB"/>
    <w:rsid w:val="00627C9F"/>
    <w:rsid w:val="00631173"/>
    <w:rsid w:val="006311E9"/>
    <w:rsid w:val="00632354"/>
    <w:rsid w:val="00642810"/>
    <w:rsid w:val="00652333"/>
    <w:rsid w:val="0068009E"/>
    <w:rsid w:val="00692219"/>
    <w:rsid w:val="006A17D2"/>
    <w:rsid w:val="006A73E6"/>
    <w:rsid w:val="006B2D5C"/>
    <w:rsid w:val="006C4EB1"/>
    <w:rsid w:val="006E0166"/>
    <w:rsid w:val="006E7B34"/>
    <w:rsid w:val="0070697F"/>
    <w:rsid w:val="0072199C"/>
    <w:rsid w:val="00722C9F"/>
    <w:rsid w:val="007253B8"/>
    <w:rsid w:val="0073741F"/>
    <w:rsid w:val="0076643F"/>
    <w:rsid w:val="00777F63"/>
    <w:rsid w:val="007A5817"/>
    <w:rsid w:val="007B60E9"/>
    <w:rsid w:val="007B6CC3"/>
    <w:rsid w:val="007C3334"/>
    <w:rsid w:val="007D2B98"/>
    <w:rsid w:val="007E21BC"/>
    <w:rsid w:val="00803F1C"/>
    <w:rsid w:val="00803FCD"/>
    <w:rsid w:val="0080600E"/>
    <w:rsid w:val="00817612"/>
    <w:rsid w:val="008338A4"/>
    <w:rsid w:val="00837C45"/>
    <w:rsid w:val="00844730"/>
    <w:rsid w:val="008457C2"/>
    <w:rsid w:val="008503FB"/>
    <w:rsid w:val="00857A82"/>
    <w:rsid w:val="00873836"/>
    <w:rsid w:val="00885737"/>
    <w:rsid w:val="00890650"/>
    <w:rsid w:val="00897E12"/>
    <w:rsid w:val="008A7E0F"/>
    <w:rsid w:val="008B12F5"/>
    <w:rsid w:val="008D768D"/>
    <w:rsid w:val="008E3759"/>
    <w:rsid w:val="008F1912"/>
    <w:rsid w:val="0090270B"/>
    <w:rsid w:val="009041DC"/>
    <w:rsid w:val="00917B5A"/>
    <w:rsid w:val="00920A58"/>
    <w:rsid w:val="00920A8C"/>
    <w:rsid w:val="00934A2C"/>
    <w:rsid w:val="0096706E"/>
    <w:rsid w:val="009729B6"/>
    <w:rsid w:val="00975C4E"/>
    <w:rsid w:val="00981FBA"/>
    <w:rsid w:val="00997BC5"/>
    <w:rsid w:val="009A4F41"/>
    <w:rsid w:val="009B381B"/>
    <w:rsid w:val="009D1753"/>
    <w:rsid w:val="009D7611"/>
    <w:rsid w:val="009E0B61"/>
    <w:rsid w:val="009E53DE"/>
    <w:rsid w:val="00A328B3"/>
    <w:rsid w:val="00A50FCF"/>
    <w:rsid w:val="00A528D1"/>
    <w:rsid w:val="00A610CD"/>
    <w:rsid w:val="00AA09A2"/>
    <w:rsid w:val="00AA7996"/>
    <w:rsid w:val="00AC19CB"/>
    <w:rsid w:val="00AE5488"/>
    <w:rsid w:val="00AE6F91"/>
    <w:rsid w:val="00AF5571"/>
    <w:rsid w:val="00B07341"/>
    <w:rsid w:val="00B30539"/>
    <w:rsid w:val="00B314DB"/>
    <w:rsid w:val="00B361F2"/>
    <w:rsid w:val="00B3718B"/>
    <w:rsid w:val="00B4632A"/>
    <w:rsid w:val="00B530F1"/>
    <w:rsid w:val="00BA276C"/>
    <w:rsid w:val="00BB306F"/>
    <w:rsid w:val="00BD4B89"/>
    <w:rsid w:val="00BF6FD8"/>
    <w:rsid w:val="00C03680"/>
    <w:rsid w:val="00C054DF"/>
    <w:rsid w:val="00C21762"/>
    <w:rsid w:val="00C24543"/>
    <w:rsid w:val="00C256A2"/>
    <w:rsid w:val="00C51515"/>
    <w:rsid w:val="00C5660B"/>
    <w:rsid w:val="00C66819"/>
    <w:rsid w:val="00C66B72"/>
    <w:rsid w:val="00C868EC"/>
    <w:rsid w:val="00C9567A"/>
    <w:rsid w:val="00CB212D"/>
    <w:rsid w:val="00CB2660"/>
    <w:rsid w:val="00CC5E90"/>
    <w:rsid w:val="00CD046C"/>
    <w:rsid w:val="00CE076C"/>
    <w:rsid w:val="00CE5199"/>
    <w:rsid w:val="00CE66D5"/>
    <w:rsid w:val="00CE6C9F"/>
    <w:rsid w:val="00CF637A"/>
    <w:rsid w:val="00D059DE"/>
    <w:rsid w:val="00D13FCE"/>
    <w:rsid w:val="00D306D1"/>
    <w:rsid w:val="00D34786"/>
    <w:rsid w:val="00D37BFC"/>
    <w:rsid w:val="00D47A8E"/>
    <w:rsid w:val="00D52D14"/>
    <w:rsid w:val="00D702DC"/>
    <w:rsid w:val="00D712D3"/>
    <w:rsid w:val="00D71422"/>
    <w:rsid w:val="00D72DC6"/>
    <w:rsid w:val="00D7558D"/>
    <w:rsid w:val="00D81D92"/>
    <w:rsid w:val="00DA7B5F"/>
    <w:rsid w:val="00DC11E7"/>
    <w:rsid w:val="00DC5262"/>
    <w:rsid w:val="00DC7023"/>
    <w:rsid w:val="00DC769A"/>
    <w:rsid w:val="00DD3D86"/>
    <w:rsid w:val="00DF1EC4"/>
    <w:rsid w:val="00E0340B"/>
    <w:rsid w:val="00E04A90"/>
    <w:rsid w:val="00E219C7"/>
    <w:rsid w:val="00E43157"/>
    <w:rsid w:val="00E461CE"/>
    <w:rsid w:val="00E720CA"/>
    <w:rsid w:val="00E84EB5"/>
    <w:rsid w:val="00E85662"/>
    <w:rsid w:val="00E8789F"/>
    <w:rsid w:val="00E97B71"/>
    <w:rsid w:val="00EA3D34"/>
    <w:rsid w:val="00EB454D"/>
    <w:rsid w:val="00ED76BE"/>
    <w:rsid w:val="00EF619B"/>
    <w:rsid w:val="00F00B55"/>
    <w:rsid w:val="00F02AD1"/>
    <w:rsid w:val="00F070D0"/>
    <w:rsid w:val="00F253CC"/>
    <w:rsid w:val="00F3553B"/>
    <w:rsid w:val="00F37106"/>
    <w:rsid w:val="00F519CF"/>
    <w:rsid w:val="00F56BA5"/>
    <w:rsid w:val="00F60E22"/>
    <w:rsid w:val="00F81395"/>
    <w:rsid w:val="00F90610"/>
    <w:rsid w:val="00F917D1"/>
    <w:rsid w:val="00F9653B"/>
    <w:rsid w:val="00FB62CF"/>
    <w:rsid w:val="00FB72E4"/>
    <w:rsid w:val="00FD3C3B"/>
    <w:rsid w:val="00FE6B45"/>
    <w:rsid w:val="00FF378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95E4-7ACA-4DF9-838C-17BE8C14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3055</Words>
  <Characters>16195</Characters>
  <Application>Microsoft Office Word</Application>
  <DocSecurity>0</DocSecurity>
  <Lines>352</Lines>
  <Paragraphs>82</Paragraphs>
  <ScaleCrop>false</ScaleCrop>
  <Company/>
  <LinksUpToDate>false</LinksUpToDate>
  <CharactersWithSpaces>19168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333/20</dc:title>
  <dc:creator/>
  <cp:lastModifiedBy/>
  <cp:revision>1</cp:revision>
  <dcterms:created xsi:type="dcterms:W3CDTF">2020-12-08T21:10:00Z</dcterms:created>
  <dcterms:modified xsi:type="dcterms:W3CDTF">2020-12-08T21:10:00Z</dcterms:modified>
</cp:coreProperties>
</file>