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C6EE2"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96E0081" wp14:editId="5C15FED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33C2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2DDB3B3" wp14:editId="1E43CC1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172C9" w14:textId="77777777" w:rsidR="00B93A81" w:rsidRDefault="00B93A81" w:rsidP="00AE5488">
                            <w:r>
                              <w:rPr>
                                <w:noProof/>
                              </w:rPr>
                              <w:drawing>
                                <wp:inline distT="0" distB="0" distL="0" distR="0" wp14:anchorId="16F12383" wp14:editId="3BEC0A9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DB3B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D3172C9" w14:textId="77777777" w:rsidR="00B93A81" w:rsidRDefault="00B93A81" w:rsidP="00AE5488">
                      <w:r>
                        <w:rPr>
                          <w:noProof/>
                        </w:rPr>
                        <w:drawing>
                          <wp:inline distT="0" distB="0" distL="0" distR="0" wp14:anchorId="16F12383" wp14:editId="3BEC0A9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00567ED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14BB992"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11ADED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EE4E823"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EAA4B93"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6221D77"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5D160FC"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C8255AD"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F1D952E"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CF0DC8E"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F49FB1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4319FF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ED2395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9F8938D" wp14:editId="404146D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FD87FE" w14:textId="77777777" w:rsidR="00B93A81" w:rsidRPr="00964253" w:rsidRDefault="00B93A81" w:rsidP="00997BC5">
                            <w:pPr>
                              <w:spacing w:line="276" w:lineRule="auto"/>
                              <w:rPr>
                                <w:rFonts w:asciiTheme="majorHAnsi" w:hAnsiTheme="majorHAnsi" w:cs="Arial"/>
                                <w:b/>
                                <w:bCs/>
                                <w:color w:val="0D0D0D" w:themeColor="text1" w:themeTint="F2"/>
                                <w:sz w:val="36"/>
                                <w:szCs w:val="22"/>
                                <w:lang w:val="es-ES"/>
                              </w:rPr>
                            </w:pPr>
                            <w:r w:rsidRPr="00964253">
                              <w:rPr>
                                <w:rFonts w:asciiTheme="majorHAnsi" w:hAnsiTheme="majorHAnsi" w:cs="Arial"/>
                                <w:b/>
                                <w:bCs/>
                                <w:color w:val="0D0D0D" w:themeColor="text1" w:themeTint="F2"/>
                                <w:sz w:val="36"/>
                                <w:szCs w:val="22"/>
                                <w:lang w:val="es-ES"/>
                              </w:rPr>
                              <w:t xml:space="preserve">INFORME </w:t>
                            </w:r>
                            <w:r w:rsidRPr="00964253">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25/20</w:t>
                            </w:r>
                          </w:p>
                          <w:p w14:paraId="1456FC29" w14:textId="77777777" w:rsidR="00B93A81" w:rsidRPr="001B6A51" w:rsidRDefault="00B93A81" w:rsidP="00997BC5">
                            <w:pPr>
                              <w:spacing w:line="276" w:lineRule="auto"/>
                              <w:rPr>
                                <w:rFonts w:asciiTheme="majorHAnsi" w:hAnsiTheme="majorHAnsi" w:cs="Arial"/>
                                <w:b/>
                                <w:color w:val="0D0D0D" w:themeColor="text1" w:themeTint="F2"/>
                                <w:sz w:val="36"/>
                                <w:szCs w:val="22"/>
                                <w:lang w:val="es-ES"/>
                              </w:rPr>
                            </w:pPr>
                            <w:r w:rsidRPr="001B6A51">
                              <w:rPr>
                                <w:rFonts w:asciiTheme="majorHAnsi" w:hAnsiTheme="majorHAnsi" w:cs="Arial"/>
                                <w:b/>
                                <w:color w:val="0D0D0D" w:themeColor="text1" w:themeTint="F2"/>
                                <w:sz w:val="36"/>
                                <w:szCs w:val="22"/>
                                <w:lang w:val="es-ES"/>
                              </w:rPr>
                              <w:t>CASO 12.780</w:t>
                            </w:r>
                          </w:p>
                          <w:p w14:paraId="68145F0C" w14:textId="77777777" w:rsidR="00B93A81" w:rsidRPr="0010736F" w:rsidRDefault="00B93A81" w:rsidP="000158FD">
                            <w:pPr>
                              <w:spacing w:line="276" w:lineRule="auto"/>
                              <w:rPr>
                                <w:rFonts w:asciiTheme="majorHAnsi" w:hAnsiTheme="majorHAnsi" w:cs="Arial"/>
                                <w:color w:val="0D0D0D" w:themeColor="text1" w:themeTint="F2"/>
                                <w:szCs w:val="22"/>
                                <w:lang w:val="es-ES_tradnl"/>
                              </w:rPr>
                            </w:pPr>
                            <w:r w:rsidRPr="000846D0">
                              <w:rPr>
                                <w:rFonts w:asciiTheme="majorHAnsi" w:hAnsiTheme="majorHAnsi" w:cs="Arial"/>
                                <w:color w:val="0D0D0D" w:themeColor="text1" w:themeTint="F2"/>
                                <w:szCs w:val="22"/>
                                <w:lang w:val="es-ES_tradnl"/>
                              </w:rPr>
                              <w:t>INFORME DE FONDO (</w:t>
                            </w:r>
                            <w:r w:rsidR="00286267" w:rsidRPr="000846D0">
                              <w:rPr>
                                <w:rFonts w:asciiTheme="majorHAnsi" w:hAnsiTheme="majorHAnsi" w:cs="Arial"/>
                                <w:color w:val="0D0D0D" w:themeColor="text1" w:themeTint="F2"/>
                                <w:szCs w:val="22"/>
                                <w:lang w:val="es-ES_tradnl"/>
                              </w:rPr>
                              <w:t>PUBLICACIÓN</w:t>
                            </w:r>
                            <w:r w:rsidRPr="000846D0">
                              <w:rPr>
                                <w:rFonts w:asciiTheme="majorHAnsi" w:hAnsiTheme="majorHAnsi" w:cs="Arial"/>
                                <w:color w:val="0D0D0D" w:themeColor="text1" w:themeTint="F2"/>
                                <w:szCs w:val="22"/>
                                <w:lang w:val="es-ES_tradnl"/>
                              </w:rPr>
                              <w:t>)</w:t>
                            </w:r>
                          </w:p>
                          <w:p w14:paraId="708F4B5D" w14:textId="77777777" w:rsidR="00B93A81" w:rsidRPr="0010736F" w:rsidRDefault="00B93A81" w:rsidP="00997BC5">
                            <w:pPr>
                              <w:spacing w:line="276" w:lineRule="auto"/>
                              <w:rPr>
                                <w:rFonts w:asciiTheme="majorHAnsi" w:hAnsiTheme="majorHAnsi" w:cs="Arial"/>
                                <w:color w:val="0D0D0D" w:themeColor="text1" w:themeTint="F2"/>
                                <w:szCs w:val="22"/>
                                <w:lang w:val="es-ES_tradnl"/>
                              </w:rPr>
                            </w:pPr>
                            <w:bookmarkStart w:id="0" w:name="_ftnref1"/>
                          </w:p>
                          <w:p w14:paraId="444B203A" w14:textId="77777777" w:rsidR="00B93A81" w:rsidRPr="0010736F" w:rsidRDefault="00B93A8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ARTURO BETANCOURT ESTRADA Y FAMILIA</w:t>
                            </w:r>
                          </w:p>
                          <w:bookmarkEnd w:id="0"/>
                          <w:p w14:paraId="11202B36" w14:textId="77777777" w:rsidR="00B93A81" w:rsidRPr="0010736F" w:rsidRDefault="00B93A8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1A267DCD" w14:textId="77777777" w:rsidR="00B93A81" w:rsidRPr="00AE5488" w:rsidRDefault="00B93A8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8938D"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7FD87FE" w14:textId="77777777" w:rsidR="00B93A81" w:rsidRPr="00964253" w:rsidRDefault="00B93A81" w:rsidP="00997BC5">
                      <w:pPr>
                        <w:spacing w:line="276" w:lineRule="auto"/>
                        <w:rPr>
                          <w:rFonts w:asciiTheme="majorHAnsi" w:hAnsiTheme="majorHAnsi" w:cs="Arial"/>
                          <w:b/>
                          <w:bCs/>
                          <w:color w:val="0D0D0D" w:themeColor="text1" w:themeTint="F2"/>
                          <w:sz w:val="36"/>
                          <w:szCs w:val="22"/>
                          <w:lang w:val="es-ES"/>
                        </w:rPr>
                      </w:pPr>
                      <w:r w:rsidRPr="00964253">
                        <w:rPr>
                          <w:rFonts w:asciiTheme="majorHAnsi" w:hAnsiTheme="majorHAnsi" w:cs="Arial"/>
                          <w:b/>
                          <w:bCs/>
                          <w:color w:val="0D0D0D" w:themeColor="text1" w:themeTint="F2"/>
                          <w:sz w:val="36"/>
                          <w:szCs w:val="22"/>
                          <w:lang w:val="es-ES"/>
                        </w:rPr>
                        <w:t xml:space="preserve">INFORME </w:t>
                      </w:r>
                      <w:r w:rsidRPr="00964253">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25/20</w:t>
                      </w:r>
                    </w:p>
                    <w:p w14:paraId="1456FC29" w14:textId="77777777" w:rsidR="00B93A81" w:rsidRPr="001B6A51" w:rsidRDefault="00B93A81" w:rsidP="00997BC5">
                      <w:pPr>
                        <w:spacing w:line="276" w:lineRule="auto"/>
                        <w:rPr>
                          <w:rFonts w:asciiTheme="majorHAnsi" w:hAnsiTheme="majorHAnsi" w:cs="Arial"/>
                          <w:b/>
                          <w:color w:val="0D0D0D" w:themeColor="text1" w:themeTint="F2"/>
                          <w:sz w:val="36"/>
                          <w:szCs w:val="22"/>
                          <w:lang w:val="es-ES"/>
                        </w:rPr>
                      </w:pPr>
                      <w:r w:rsidRPr="001B6A51">
                        <w:rPr>
                          <w:rFonts w:asciiTheme="majorHAnsi" w:hAnsiTheme="majorHAnsi" w:cs="Arial"/>
                          <w:b/>
                          <w:color w:val="0D0D0D" w:themeColor="text1" w:themeTint="F2"/>
                          <w:sz w:val="36"/>
                          <w:szCs w:val="22"/>
                          <w:lang w:val="es-ES"/>
                        </w:rPr>
                        <w:t>CASO 12.780</w:t>
                      </w:r>
                    </w:p>
                    <w:p w14:paraId="68145F0C" w14:textId="77777777" w:rsidR="00B93A81" w:rsidRPr="0010736F" w:rsidRDefault="00B93A81" w:rsidP="000158FD">
                      <w:pPr>
                        <w:spacing w:line="276" w:lineRule="auto"/>
                        <w:rPr>
                          <w:rFonts w:asciiTheme="majorHAnsi" w:hAnsiTheme="majorHAnsi" w:cs="Arial"/>
                          <w:color w:val="0D0D0D" w:themeColor="text1" w:themeTint="F2"/>
                          <w:szCs w:val="22"/>
                          <w:lang w:val="es-ES_tradnl"/>
                        </w:rPr>
                      </w:pPr>
                      <w:r w:rsidRPr="000846D0">
                        <w:rPr>
                          <w:rFonts w:asciiTheme="majorHAnsi" w:hAnsiTheme="majorHAnsi" w:cs="Arial"/>
                          <w:color w:val="0D0D0D" w:themeColor="text1" w:themeTint="F2"/>
                          <w:szCs w:val="22"/>
                          <w:lang w:val="es-ES_tradnl"/>
                        </w:rPr>
                        <w:t>INFORME DE FONDO (</w:t>
                      </w:r>
                      <w:r w:rsidR="00286267" w:rsidRPr="000846D0">
                        <w:rPr>
                          <w:rFonts w:asciiTheme="majorHAnsi" w:hAnsiTheme="majorHAnsi" w:cs="Arial"/>
                          <w:color w:val="0D0D0D" w:themeColor="text1" w:themeTint="F2"/>
                          <w:szCs w:val="22"/>
                          <w:lang w:val="es-ES_tradnl"/>
                        </w:rPr>
                        <w:t>PUBLICACIÓN</w:t>
                      </w:r>
                      <w:r w:rsidRPr="000846D0">
                        <w:rPr>
                          <w:rFonts w:asciiTheme="majorHAnsi" w:hAnsiTheme="majorHAnsi" w:cs="Arial"/>
                          <w:color w:val="0D0D0D" w:themeColor="text1" w:themeTint="F2"/>
                          <w:szCs w:val="22"/>
                          <w:lang w:val="es-ES_tradnl"/>
                        </w:rPr>
                        <w:t>)</w:t>
                      </w:r>
                    </w:p>
                    <w:p w14:paraId="708F4B5D" w14:textId="77777777" w:rsidR="00B93A81" w:rsidRPr="0010736F" w:rsidRDefault="00B93A81" w:rsidP="00997BC5">
                      <w:pPr>
                        <w:spacing w:line="276" w:lineRule="auto"/>
                        <w:rPr>
                          <w:rFonts w:asciiTheme="majorHAnsi" w:hAnsiTheme="majorHAnsi" w:cs="Arial"/>
                          <w:color w:val="0D0D0D" w:themeColor="text1" w:themeTint="F2"/>
                          <w:szCs w:val="22"/>
                          <w:lang w:val="es-ES_tradnl"/>
                        </w:rPr>
                      </w:pPr>
                      <w:bookmarkStart w:id="1" w:name="_ftnref1"/>
                    </w:p>
                    <w:p w14:paraId="444B203A" w14:textId="77777777" w:rsidR="00B93A81" w:rsidRPr="0010736F" w:rsidRDefault="00B93A8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ARTURO BETANCOURT ESTRADA Y FAMILIA</w:t>
                      </w:r>
                    </w:p>
                    <w:bookmarkEnd w:id="1"/>
                    <w:p w14:paraId="11202B36" w14:textId="77777777" w:rsidR="00B93A81" w:rsidRPr="0010736F" w:rsidRDefault="00B93A8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1A267DCD" w14:textId="77777777" w:rsidR="00B93A81" w:rsidRPr="00AE5488" w:rsidRDefault="00B93A81"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348606F" wp14:editId="2AA8352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905AF7" w14:textId="77777777" w:rsidR="00B93A81" w:rsidRPr="00B06D7A" w:rsidRDefault="00B93A81" w:rsidP="007A5817">
                            <w:pPr>
                              <w:spacing w:line="276" w:lineRule="auto"/>
                              <w:jc w:val="right"/>
                              <w:rPr>
                                <w:rFonts w:asciiTheme="minorHAnsi" w:hAnsiTheme="minorHAnsi"/>
                                <w:color w:val="FFFFFF" w:themeColor="background1"/>
                                <w:sz w:val="22"/>
                                <w:lang w:val="es-US"/>
                              </w:rPr>
                            </w:pPr>
                            <w:r w:rsidRPr="00B06D7A">
                              <w:rPr>
                                <w:rFonts w:asciiTheme="minorHAnsi" w:hAnsiTheme="minorHAnsi"/>
                                <w:color w:val="FFFFFF" w:themeColor="background1"/>
                                <w:sz w:val="22"/>
                                <w:lang w:val="es-US"/>
                              </w:rPr>
                              <w:t>OEA/Ser.L/V/II</w:t>
                            </w:r>
                          </w:p>
                          <w:p w14:paraId="50FE7365" w14:textId="77777777" w:rsidR="00B93A81" w:rsidRPr="00B06D7A" w:rsidRDefault="00B93A81" w:rsidP="007A5817">
                            <w:pPr>
                              <w:spacing w:line="276" w:lineRule="auto"/>
                              <w:jc w:val="right"/>
                              <w:rPr>
                                <w:rFonts w:asciiTheme="minorHAnsi" w:hAnsiTheme="minorHAnsi"/>
                                <w:color w:val="FFFFFF" w:themeColor="background1"/>
                                <w:sz w:val="22"/>
                                <w:lang w:val="es-US"/>
                              </w:rPr>
                            </w:pPr>
                            <w:r w:rsidRPr="00B06D7A">
                              <w:rPr>
                                <w:rFonts w:asciiTheme="minorHAnsi" w:hAnsiTheme="minorHAnsi"/>
                                <w:color w:val="FFFFFF" w:themeColor="background1"/>
                                <w:sz w:val="22"/>
                                <w:lang w:val="es-US"/>
                              </w:rPr>
                              <w:t>Doc. 35</w:t>
                            </w:r>
                          </w:p>
                          <w:p w14:paraId="4C9DD656" w14:textId="77777777" w:rsidR="00B93A81" w:rsidRPr="007C756A" w:rsidRDefault="00B93A81" w:rsidP="007A5817">
                            <w:pPr>
                              <w:spacing w:line="276" w:lineRule="auto"/>
                              <w:jc w:val="right"/>
                              <w:rPr>
                                <w:rFonts w:asciiTheme="minorHAnsi" w:hAnsiTheme="minorHAnsi"/>
                                <w:color w:val="FFFFFF" w:themeColor="background1"/>
                                <w:sz w:val="22"/>
                                <w:lang w:val="es-US"/>
                              </w:rPr>
                            </w:pPr>
                            <w:r w:rsidRPr="00B06D7A">
                              <w:rPr>
                                <w:rFonts w:asciiTheme="minorHAnsi" w:hAnsiTheme="minorHAnsi"/>
                                <w:color w:val="FFFFFF" w:themeColor="background1"/>
                                <w:sz w:val="22"/>
                                <w:lang w:val="es-US"/>
                              </w:rPr>
                              <w:t xml:space="preserve">22 Abril </w:t>
                            </w:r>
                            <w:r>
                              <w:rPr>
                                <w:rFonts w:asciiTheme="minorHAnsi" w:hAnsiTheme="minorHAnsi"/>
                                <w:color w:val="FFFFFF" w:themeColor="background1"/>
                                <w:sz w:val="22"/>
                                <w:lang w:val="es-US"/>
                              </w:rPr>
                              <w:t>2020</w:t>
                            </w:r>
                          </w:p>
                          <w:p w14:paraId="5E34899E" w14:textId="77777777" w:rsidR="00B93A81" w:rsidRPr="007C756A" w:rsidRDefault="00B93A81"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8606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4905AF7" w14:textId="77777777" w:rsidR="00B93A81" w:rsidRPr="00B06D7A" w:rsidRDefault="00B93A81" w:rsidP="007A5817">
                      <w:pPr>
                        <w:spacing w:line="276" w:lineRule="auto"/>
                        <w:jc w:val="right"/>
                        <w:rPr>
                          <w:rFonts w:asciiTheme="minorHAnsi" w:hAnsiTheme="minorHAnsi"/>
                          <w:color w:val="FFFFFF" w:themeColor="background1"/>
                          <w:sz w:val="22"/>
                          <w:lang w:val="es-US"/>
                        </w:rPr>
                      </w:pPr>
                      <w:r w:rsidRPr="00B06D7A">
                        <w:rPr>
                          <w:rFonts w:asciiTheme="minorHAnsi" w:hAnsiTheme="minorHAnsi"/>
                          <w:color w:val="FFFFFF" w:themeColor="background1"/>
                          <w:sz w:val="22"/>
                          <w:lang w:val="es-US"/>
                        </w:rPr>
                        <w:t>OEA/Ser.L/V/II</w:t>
                      </w:r>
                    </w:p>
                    <w:p w14:paraId="50FE7365" w14:textId="77777777" w:rsidR="00B93A81" w:rsidRPr="00B06D7A" w:rsidRDefault="00B93A81" w:rsidP="007A5817">
                      <w:pPr>
                        <w:spacing w:line="276" w:lineRule="auto"/>
                        <w:jc w:val="right"/>
                        <w:rPr>
                          <w:rFonts w:asciiTheme="minorHAnsi" w:hAnsiTheme="minorHAnsi"/>
                          <w:color w:val="FFFFFF" w:themeColor="background1"/>
                          <w:sz w:val="22"/>
                          <w:lang w:val="es-US"/>
                        </w:rPr>
                      </w:pPr>
                      <w:r w:rsidRPr="00B06D7A">
                        <w:rPr>
                          <w:rFonts w:asciiTheme="minorHAnsi" w:hAnsiTheme="minorHAnsi"/>
                          <w:color w:val="FFFFFF" w:themeColor="background1"/>
                          <w:sz w:val="22"/>
                          <w:lang w:val="es-US"/>
                        </w:rPr>
                        <w:t>Doc. 35</w:t>
                      </w:r>
                    </w:p>
                    <w:p w14:paraId="4C9DD656" w14:textId="77777777" w:rsidR="00B93A81" w:rsidRPr="007C756A" w:rsidRDefault="00B93A81" w:rsidP="007A5817">
                      <w:pPr>
                        <w:spacing w:line="276" w:lineRule="auto"/>
                        <w:jc w:val="right"/>
                        <w:rPr>
                          <w:rFonts w:asciiTheme="minorHAnsi" w:hAnsiTheme="minorHAnsi"/>
                          <w:color w:val="FFFFFF" w:themeColor="background1"/>
                          <w:sz w:val="22"/>
                          <w:lang w:val="es-US"/>
                        </w:rPr>
                      </w:pPr>
                      <w:r w:rsidRPr="00B06D7A">
                        <w:rPr>
                          <w:rFonts w:asciiTheme="minorHAnsi" w:hAnsiTheme="minorHAnsi"/>
                          <w:color w:val="FFFFFF" w:themeColor="background1"/>
                          <w:sz w:val="22"/>
                          <w:lang w:val="es-US"/>
                        </w:rPr>
                        <w:t xml:space="preserve">22 Abril </w:t>
                      </w:r>
                      <w:r>
                        <w:rPr>
                          <w:rFonts w:asciiTheme="minorHAnsi" w:hAnsiTheme="minorHAnsi"/>
                          <w:color w:val="FFFFFF" w:themeColor="background1"/>
                          <w:sz w:val="22"/>
                          <w:lang w:val="es-US"/>
                        </w:rPr>
                        <w:t>2020</w:t>
                      </w:r>
                    </w:p>
                    <w:p w14:paraId="5E34899E" w14:textId="77777777" w:rsidR="00B93A81" w:rsidRPr="007C756A" w:rsidRDefault="00B93A81"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14:paraId="31EDC4E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A86C2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D4AB70B"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65CD96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30DAF1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F0301A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163975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4B1FAFC"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AF6849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49760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34227A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BF869E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40428F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EA3BE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AC984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FE7DA8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B802E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A53394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5C9DDF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C563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18E40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CF0487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19D7D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F7A842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2CFB0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AA7F99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91FD86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5BE7F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33EA0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20AEC50" wp14:editId="48186AD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EEF026" w14:textId="77777777" w:rsidR="00B93A81" w:rsidRPr="001B6A51" w:rsidRDefault="00B93A81" w:rsidP="0059191A">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 xml:space="preserve">Aprobado por la Comisión </w:t>
                            </w:r>
                            <w:r w:rsidR="00286267">
                              <w:rPr>
                                <w:rFonts w:asciiTheme="majorHAnsi" w:hAnsiTheme="majorHAnsi"/>
                                <w:color w:val="0D0D0D" w:themeColor="text1" w:themeTint="F2"/>
                                <w:sz w:val="18"/>
                                <w:szCs w:val="20"/>
                                <w:lang w:val="es-ES"/>
                              </w:rPr>
                              <w:t>electrónicamente</w:t>
                            </w:r>
                            <w:r>
                              <w:rPr>
                                <w:rFonts w:asciiTheme="majorHAnsi" w:hAnsiTheme="majorHAnsi"/>
                                <w:color w:val="0D0D0D" w:themeColor="text1" w:themeTint="F2"/>
                                <w:sz w:val="18"/>
                                <w:szCs w:val="20"/>
                                <w:lang w:val="es-ES"/>
                              </w:rPr>
                              <w:t xml:space="preserve"> el 22 de abril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AEC50"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AEEF026" w14:textId="77777777" w:rsidR="00B93A81" w:rsidRPr="001B6A51" w:rsidRDefault="00B93A81" w:rsidP="0059191A">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 xml:space="preserve">Aprobado por la Comisión </w:t>
                      </w:r>
                      <w:r w:rsidR="00286267">
                        <w:rPr>
                          <w:rFonts w:asciiTheme="majorHAnsi" w:hAnsiTheme="majorHAnsi"/>
                          <w:color w:val="0D0D0D" w:themeColor="text1" w:themeTint="F2"/>
                          <w:sz w:val="18"/>
                          <w:szCs w:val="20"/>
                          <w:lang w:val="es-ES"/>
                        </w:rPr>
                        <w:t>electrónicamente</w:t>
                      </w:r>
                      <w:r>
                        <w:rPr>
                          <w:rFonts w:asciiTheme="majorHAnsi" w:hAnsiTheme="majorHAnsi"/>
                          <w:color w:val="0D0D0D" w:themeColor="text1" w:themeTint="F2"/>
                          <w:sz w:val="18"/>
                          <w:szCs w:val="20"/>
                          <w:lang w:val="es-ES"/>
                        </w:rPr>
                        <w:t xml:space="preserve"> el 22 de abril de 2020</w:t>
                      </w:r>
                    </w:p>
                  </w:txbxContent>
                </v:textbox>
              </v:shape>
            </w:pict>
          </mc:Fallback>
        </mc:AlternateContent>
      </w:r>
    </w:p>
    <w:p w14:paraId="1AA60FD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FBBA5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BA583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D670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4A1D02B"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BC69EC7" wp14:editId="3DC623BE">
                <wp:simplePos x="0" y="0"/>
                <wp:positionH relativeFrom="column">
                  <wp:posOffset>1316875</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B5736E" w14:textId="77777777" w:rsidR="00B93A81" w:rsidRPr="007C756A" w:rsidRDefault="00B93A81" w:rsidP="00113F73">
                            <w:pPr>
                              <w:spacing w:line="276" w:lineRule="auto"/>
                              <w:rPr>
                                <w:rFonts w:asciiTheme="majorHAnsi" w:hAnsiTheme="majorHAnsi"/>
                                <w:color w:val="595959" w:themeColor="text1" w:themeTint="A6"/>
                                <w:sz w:val="18"/>
                                <w:szCs w:val="18"/>
                                <w:lang w:val="es-US"/>
                              </w:rPr>
                            </w:pPr>
                            <w:r w:rsidRPr="001B6A51">
                              <w:rPr>
                                <w:rFonts w:asciiTheme="majorHAnsi" w:hAnsiTheme="majorHAnsi"/>
                                <w:b/>
                                <w:color w:val="595959" w:themeColor="text1" w:themeTint="A6"/>
                                <w:sz w:val="18"/>
                                <w:szCs w:val="18"/>
                                <w:lang w:val="pt-BR"/>
                              </w:rPr>
                              <w:t>Citar como:</w:t>
                            </w:r>
                            <w:r w:rsidRPr="001B6A51">
                              <w:rPr>
                                <w:rFonts w:asciiTheme="majorHAnsi" w:hAnsiTheme="majorHAnsi"/>
                                <w:color w:val="595959" w:themeColor="text1" w:themeTint="A6"/>
                                <w:sz w:val="18"/>
                                <w:szCs w:val="18"/>
                                <w:lang w:val="pt-BR"/>
                              </w:rPr>
                              <w:t xml:space="preserve"> CIDH</w:t>
                            </w:r>
                            <w:r>
                              <w:rPr>
                                <w:rFonts w:asciiTheme="majorHAnsi" w:hAnsiTheme="majorHAnsi"/>
                                <w:color w:val="595959" w:themeColor="text1" w:themeTint="A6"/>
                                <w:sz w:val="18"/>
                                <w:szCs w:val="18"/>
                                <w:lang w:val="pt-BR"/>
                              </w:rPr>
                              <w:t xml:space="preserve">. Informe </w:t>
                            </w:r>
                            <w:r w:rsidRPr="00B93A81">
                              <w:rPr>
                                <w:rFonts w:asciiTheme="majorHAnsi" w:hAnsiTheme="majorHAnsi"/>
                                <w:color w:val="595959" w:themeColor="text1" w:themeTint="A6"/>
                                <w:sz w:val="18"/>
                                <w:szCs w:val="18"/>
                                <w:lang w:val="pt-BR"/>
                              </w:rPr>
                              <w:t xml:space="preserve">No. </w:t>
                            </w:r>
                            <w:r>
                              <w:rPr>
                                <w:rFonts w:asciiTheme="majorHAnsi" w:hAnsiTheme="majorHAnsi"/>
                                <w:color w:val="595959" w:themeColor="text1" w:themeTint="A6"/>
                                <w:sz w:val="18"/>
                                <w:szCs w:val="18"/>
                                <w:lang w:val="pt-BR"/>
                              </w:rPr>
                              <w:t>25</w:t>
                            </w:r>
                            <w:r w:rsidR="004E3DF7">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20</w:t>
                            </w:r>
                            <w:r w:rsidRPr="00B06D7A">
                              <w:rPr>
                                <w:rFonts w:asciiTheme="majorHAnsi" w:hAnsiTheme="majorHAnsi"/>
                                <w:color w:val="595959" w:themeColor="text1" w:themeTint="A6"/>
                                <w:sz w:val="18"/>
                                <w:szCs w:val="18"/>
                                <w:lang w:val="pt-BR"/>
                              </w:rPr>
                              <w:t xml:space="preserve">. </w:t>
                            </w:r>
                            <w:r w:rsidRPr="00A46229">
                              <w:rPr>
                                <w:rFonts w:asciiTheme="majorHAnsi" w:hAnsiTheme="majorHAnsi"/>
                                <w:color w:val="595959" w:themeColor="text1" w:themeTint="A6"/>
                                <w:sz w:val="18"/>
                                <w:szCs w:val="18"/>
                                <w:lang w:val="es-ES"/>
                              </w:rPr>
                              <w:t xml:space="preserve">Caso 12.780. </w:t>
                            </w:r>
                            <w:r>
                              <w:rPr>
                                <w:rFonts w:asciiTheme="majorHAnsi" w:hAnsiTheme="majorHAnsi"/>
                                <w:color w:val="595959" w:themeColor="text1" w:themeTint="A6"/>
                                <w:sz w:val="18"/>
                                <w:szCs w:val="18"/>
                                <w:lang w:val="es-ES_tradnl"/>
                              </w:rPr>
                              <w:t>Fondo (Publicación)</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Carlos Arturo Betancourt Estrada y familia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US"/>
                              </w:rPr>
                              <w:t>22 de abril de 2020</w:t>
                            </w:r>
                            <w:r w:rsidRPr="00B93A81">
                              <w:rPr>
                                <w:rFonts w:asciiTheme="majorHAnsi" w:hAnsiTheme="majorHAnsi"/>
                                <w:color w:val="595959" w:themeColor="text1" w:themeTint="A6"/>
                                <w:sz w:val="18"/>
                                <w:szCs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69EC7" id="Text Box 10" o:spid="_x0000_s1030" type="#_x0000_t202" style="position:absolute;left:0;text-align:left;margin-left:103.7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" filled="f" stroked="f" strokeweight=".5pt">
                <v:textbox>
                  <w:txbxContent>
                    <w:p w14:paraId="11B5736E" w14:textId="77777777" w:rsidR="00B93A81" w:rsidRPr="007C756A" w:rsidRDefault="00B93A81" w:rsidP="00113F73">
                      <w:pPr>
                        <w:spacing w:line="276" w:lineRule="auto"/>
                        <w:rPr>
                          <w:rFonts w:asciiTheme="majorHAnsi" w:hAnsiTheme="majorHAnsi"/>
                          <w:color w:val="595959" w:themeColor="text1" w:themeTint="A6"/>
                          <w:sz w:val="18"/>
                          <w:szCs w:val="18"/>
                          <w:lang w:val="es-US"/>
                        </w:rPr>
                      </w:pPr>
                      <w:r w:rsidRPr="001B6A51">
                        <w:rPr>
                          <w:rFonts w:asciiTheme="majorHAnsi" w:hAnsiTheme="majorHAnsi"/>
                          <w:b/>
                          <w:color w:val="595959" w:themeColor="text1" w:themeTint="A6"/>
                          <w:sz w:val="18"/>
                          <w:szCs w:val="18"/>
                          <w:lang w:val="pt-BR"/>
                        </w:rPr>
                        <w:t>Citar como:</w:t>
                      </w:r>
                      <w:r w:rsidRPr="001B6A51">
                        <w:rPr>
                          <w:rFonts w:asciiTheme="majorHAnsi" w:hAnsiTheme="majorHAnsi"/>
                          <w:color w:val="595959" w:themeColor="text1" w:themeTint="A6"/>
                          <w:sz w:val="18"/>
                          <w:szCs w:val="18"/>
                          <w:lang w:val="pt-BR"/>
                        </w:rPr>
                        <w:t xml:space="preserve"> CIDH</w:t>
                      </w:r>
                      <w:r>
                        <w:rPr>
                          <w:rFonts w:asciiTheme="majorHAnsi" w:hAnsiTheme="majorHAnsi"/>
                          <w:color w:val="595959" w:themeColor="text1" w:themeTint="A6"/>
                          <w:sz w:val="18"/>
                          <w:szCs w:val="18"/>
                          <w:lang w:val="pt-BR"/>
                        </w:rPr>
                        <w:t xml:space="preserve">. Informe </w:t>
                      </w:r>
                      <w:r w:rsidRPr="00B93A81">
                        <w:rPr>
                          <w:rFonts w:asciiTheme="majorHAnsi" w:hAnsiTheme="majorHAnsi"/>
                          <w:color w:val="595959" w:themeColor="text1" w:themeTint="A6"/>
                          <w:sz w:val="18"/>
                          <w:szCs w:val="18"/>
                          <w:lang w:val="pt-BR"/>
                        </w:rPr>
                        <w:t xml:space="preserve">No. </w:t>
                      </w:r>
                      <w:r>
                        <w:rPr>
                          <w:rFonts w:asciiTheme="majorHAnsi" w:hAnsiTheme="majorHAnsi"/>
                          <w:color w:val="595959" w:themeColor="text1" w:themeTint="A6"/>
                          <w:sz w:val="18"/>
                          <w:szCs w:val="18"/>
                          <w:lang w:val="pt-BR"/>
                        </w:rPr>
                        <w:t>25</w:t>
                      </w:r>
                      <w:r w:rsidR="004E3DF7">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20</w:t>
                      </w:r>
                      <w:r w:rsidRPr="00B06D7A">
                        <w:rPr>
                          <w:rFonts w:asciiTheme="majorHAnsi" w:hAnsiTheme="majorHAnsi"/>
                          <w:color w:val="595959" w:themeColor="text1" w:themeTint="A6"/>
                          <w:sz w:val="18"/>
                          <w:szCs w:val="18"/>
                          <w:lang w:val="pt-BR"/>
                        </w:rPr>
                        <w:t xml:space="preserve">. </w:t>
                      </w:r>
                      <w:r w:rsidRPr="00A46229">
                        <w:rPr>
                          <w:rFonts w:asciiTheme="majorHAnsi" w:hAnsiTheme="majorHAnsi"/>
                          <w:color w:val="595959" w:themeColor="text1" w:themeTint="A6"/>
                          <w:sz w:val="18"/>
                          <w:szCs w:val="18"/>
                          <w:lang w:val="es-ES"/>
                        </w:rPr>
                        <w:t xml:space="preserve">Caso 12.780. </w:t>
                      </w:r>
                      <w:r>
                        <w:rPr>
                          <w:rFonts w:asciiTheme="majorHAnsi" w:hAnsiTheme="majorHAnsi"/>
                          <w:color w:val="595959" w:themeColor="text1" w:themeTint="A6"/>
                          <w:sz w:val="18"/>
                          <w:szCs w:val="18"/>
                          <w:lang w:val="es-ES_tradnl"/>
                        </w:rPr>
                        <w:t>Fondo (Publicación)</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Carlos Arturo Betancourt Estrada y familia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US"/>
                        </w:rPr>
                        <w:t>22 de abril de 2020</w:t>
                      </w:r>
                      <w:r w:rsidRPr="00B93A81">
                        <w:rPr>
                          <w:rFonts w:asciiTheme="majorHAnsi" w:hAnsiTheme="majorHAnsi"/>
                          <w:color w:val="595959" w:themeColor="text1" w:themeTint="A6"/>
                          <w:sz w:val="18"/>
                          <w:szCs w:val="18"/>
                          <w:lang w:val="es-US"/>
                        </w:rPr>
                        <w:t>.</w:t>
                      </w:r>
                    </w:p>
                  </w:txbxContent>
                </v:textbox>
              </v:shape>
            </w:pict>
          </mc:Fallback>
        </mc:AlternateContent>
      </w:r>
    </w:p>
    <w:p w14:paraId="3EBBCB6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577EB37"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555F5C7" wp14:editId="7DC2D79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6BB42" w14:textId="77777777" w:rsidR="00B93A81" w:rsidRPr="00D72DC6" w:rsidRDefault="00B93A8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95E3C6F" wp14:editId="5F414D68">
                                  <wp:extent cx="1338942" cy="390525"/>
                                  <wp:effectExtent l="0" t="0" r="0" b="0"/>
                                  <wp:docPr id="2" name="Picture 2"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5F5C7"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7696BB42" w14:textId="77777777" w:rsidR="00B93A81" w:rsidRPr="00D72DC6" w:rsidRDefault="00B93A8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95E3C6F" wp14:editId="5F414D68">
                            <wp:extent cx="1338942" cy="390525"/>
                            <wp:effectExtent l="0" t="0" r="0" b="0"/>
                            <wp:docPr id="2" name="Picture 2"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6D699D9" wp14:editId="61D8DE6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9BE95B" w14:textId="77777777" w:rsidR="00B93A81" w:rsidRPr="004B7EB6" w:rsidRDefault="00B93A8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699D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09BE95B" w14:textId="77777777" w:rsidR="00B93A81" w:rsidRPr="004B7EB6" w:rsidRDefault="00B93A8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48775EC" w14:textId="77777777" w:rsidR="0070697F" w:rsidRDefault="0070697F" w:rsidP="00240F51">
      <w:pPr>
        <w:tabs>
          <w:tab w:val="center" w:pos="5400"/>
        </w:tabs>
        <w:suppressAutoHyphens/>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7BC3A982" w14:textId="77777777" w:rsidR="00722C9F" w:rsidRDefault="00722C9F" w:rsidP="00240F51">
      <w:pPr>
        <w:tabs>
          <w:tab w:val="center" w:pos="5400"/>
        </w:tabs>
        <w:suppressAutoHyphens/>
        <w:spacing w:line="276" w:lineRule="auto"/>
        <w:rPr>
          <w:rFonts w:asciiTheme="majorHAnsi" w:hAnsiTheme="majorHAnsi"/>
          <w:sz w:val="18"/>
          <w:szCs w:val="20"/>
          <w:lang w:val="es-ES_tradnl"/>
        </w:rPr>
      </w:pPr>
    </w:p>
    <w:sdt>
      <w:sdtPr>
        <w:rPr>
          <w:rFonts w:asciiTheme="majorHAnsi" w:hAnsiTheme="majorHAnsi"/>
          <w:sz w:val="18"/>
          <w:szCs w:val="18"/>
        </w:rPr>
        <w:id w:val="-1627393512"/>
        <w:docPartObj>
          <w:docPartGallery w:val="Table of Contents"/>
          <w:docPartUnique/>
        </w:docPartObj>
      </w:sdtPr>
      <w:sdtEndPr>
        <w:rPr>
          <w:b/>
          <w:bCs/>
          <w:noProof/>
        </w:rPr>
      </w:sdtEndPr>
      <w:sdtContent>
        <w:p w14:paraId="1C4AEB12" w14:textId="77777777" w:rsidR="002B1BDD" w:rsidRPr="004E3DF7" w:rsidRDefault="002B1BDD" w:rsidP="001E3EBE">
          <w:pPr>
            <w:tabs>
              <w:tab w:val="center" w:pos="5400"/>
            </w:tabs>
            <w:suppressAutoHyphens/>
            <w:spacing w:line="276" w:lineRule="auto"/>
            <w:jc w:val="center"/>
            <w:rPr>
              <w:rFonts w:asciiTheme="majorHAnsi" w:hAnsiTheme="majorHAnsi"/>
              <w:sz w:val="18"/>
              <w:szCs w:val="18"/>
              <w:lang w:val="es-ES"/>
            </w:rPr>
          </w:pPr>
          <w:r w:rsidRPr="004E3DF7">
            <w:rPr>
              <w:rFonts w:asciiTheme="majorHAnsi" w:hAnsiTheme="majorHAnsi"/>
              <w:b/>
              <w:sz w:val="18"/>
              <w:szCs w:val="18"/>
              <w:lang w:val="es-ES_tradnl"/>
            </w:rPr>
            <w:t>ÍNDICE</w:t>
          </w:r>
        </w:p>
        <w:p w14:paraId="0128DB59" w14:textId="31A6C817" w:rsidR="004E3DF7" w:rsidRPr="004E3DF7" w:rsidRDefault="002B1BDD">
          <w:pPr>
            <w:pStyle w:val="TOC1"/>
            <w:rPr>
              <w:rFonts w:eastAsiaTheme="minorEastAsia" w:cstheme="minorBidi"/>
              <w:b w:val="0"/>
              <w:noProof/>
              <w:sz w:val="18"/>
              <w:szCs w:val="18"/>
              <w:bdr w:val="none" w:sz="0" w:space="0" w:color="auto"/>
              <w:lang w:val="es-US" w:eastAsia="zh-CN"/>
            </w:rPr>
          </w:pPr>
          <w:r w:rsidRPr="004E3DF7">
            <w:rPr>
              <w:sz w:val="18"/>
              <w:szCs w:val="18"/>
            </w:rPr>
            <w:fldChar w:fldCharType="begin"/>
          </w:r>
          <w:r w:rsidRPr="004E3DF7">
            <w:rPr>
              <w:sz w:val="18"/>
              <w:szCs w:val="18"/>
              <w:lang w:val="es-ES"/>
            </w:rPr>
            <w:instrText xml:space="preserve"> TOC \o "1-3" </w:instrText>
          </w:r>
          <w:r w:rsidRPr="004E3DF7">
            <w:rPr>
              <w:sz w:val="18"/>
              <w:szCs w:val="18"/>
            </w:rPr>
            <w:fldChar w:fldCharType="separate"/>
          </w:r>
          <w:r w:rsidR="004E3DF7" w:rsidRPr="004E3DF7">
            <w:rPr>
              <w:noProof/>
              <w:color w:val="000000"/>
              <w:sz w:val="18"/>
              <w:szCs w:val="18"/>
              <w:lang w:val="es-US"/>
              <w14:scene3d>
                <w14:camera w14:prst="orthographicFront"/>
                <w14:lightRig w14:rig="threePt" w14:dir="t">
                  <w14:rot w14:lat="0" w14:lon="0" w14:rev="0"/>
                </w14:lightRig>
              </w14:scene3d>
            </w:rPr>
            <w:t>I.</w:t>
          </w:r>
          <w:r w:rsidR="004E3DF7" w:rsidRPr="004E3DF7">
            <w:rPr>
              <w:rFonts w:eastAsiaTheme="minorEastAsia" w:cstheme="minorBidi"/>
              <w:b w:val="0"/>
              <w:noProof/>
              <w:sz w:val="18"/>
              <w:szCs w:val="18"/>
              <w:bdr w:val="none" w:sz="0" w:space="0" w:color="auto"/>
              <w:lang w:val="es-US" w:eastAsia="zh-CN"/>
            </w:rPr>
            <w:tab/>
          </w:r>
          <w:r w:rsidR="004E3DF7" w:rsidRPr="004E3DF7">
            <w:rPr>
              <w:noProof/>
              <w:sz w:val="18"/>
              <w:szCs w:val="18"/>
              <w:lang w:val="es-US"/>
            </w:rPr>
            <w:t>RESUMEN</w:t>
          </w:r>
          <w:r w:rsidR="004E3DF7" w:rsidRPr="004E3DF7">
            <w:rPr>
              <w:noProof/>
              <w:sz w:val="18"/>
              <w:szCs w:val="18"/>
              <w:lang w:val="es-US"/>
            </w:rPr>
            <w:tab/>
          </w:r>
          <w:r w:rsidR="004E3DF7" w:rsidRPr="004E3DF7">
            <w:rPr>
              <w:noProof/>
              <w:sz w:val="18"/>
              <w:szCs w:val="18"/>
            </w:rPr>
            <w:fldChar w:fldCharType="begin"/>
          </w:r>
          <w:r w:rsidR="004E3DF7" w:rsidRPr="004E3DF7">
            <w:rPr>
              <w:noProof/>
              <w:sz w:val="18"/>
              <w:szCs w:val="18"/>
              <w:lang w:val="es-US"/>
            </w:rPr>
            <w:instrText xml:space="preserve"> PAGEREF _Toc70437007 \h </w:instrText>
          </w:r>
          <w:r w:rsidR="004E3DF7" w:rsidRPr="004E3DF7">
            <w:rPr>
              <w:noProof/>
              <w:sz w:val="18"/>
              <w:szCs w:val="18"/>
            </w:rPr>
          </w:r>
          <w:r w:rsidR="004E3DF7" w:rsidRPr="004E3DF7">
            <w:rPr>
              <w:noProof/>
              <w:sz w:val="18"/>
              <w:szCs w:val="18"/>
            </w:rPr>
            <w:fldChar w:fldCharType="separate"/>
          </w:r>
          <w:r w:rsidR="005D5F07">
            <w:rPr>
              <w:noProof/>
              <w:sz w:val="18"/>
              <w:szCs w:val="18"/>
              <w:lang w:val="es-US"/>
            </w:rPr>
            <w:t>2</w:t>
          </w:r>
          <w:r w:rsidR="004E3DF7" w:rsidRPr="004E3DF7">
            <w:rPr>
              <w:noProof/>
              <w:sz w:val="18"/>
              <w:szCs w:val="18"/>
            </w:rPr>
            <w:fldChar w:fldCharType="end"/>
          </w:r>
        </w:p>
        <w:p w14:paraId="17739597" w14:textId="2EFA49D3" w:rsidR="004E3DF7" w:rsidRPr="004E3DF7" w:rsidRDefault="004E3DF7">
          <w:pPr>
            <w:pStyle w:val="TOC1"/>
            <w:rPr>
              <w:rFonts w:eastAsiaTheme="minorEastAsia" w:cstheme="minorBidi"/>
              <w:b w:val="0"/>
              <w:noProof/>
              <w:sz w:val="18"/>
              <w:szCs w:val="18"/>
              <w:bdr w:val="none" w:sz="0" w:space="0" w:color="auto"/>
              <w:lang w:val="es-US" w:eastAsia="zh-CN"/>
            </w:rPr>
          </w:pPr>
          <w:r w:rsidRPr="004E3DF7">
            <w:rPr>
              <w:noProof/>
              <w:color w:val="000000"/>
              <w:sz w:val="18"/>
              <w:szCs w:val="18"/>
              <w:lang w:val="es-US"/>
              <w14:scene3d>
                <w14:camera w14:prst="orthographicFront"/>
                <w14:lightRig w14:rig="threePt" w14:dir="t">
                  <w14:rot w14:lat="0" w14:lon="0" w14:rev="0"/>
                </w14:lightRig>
              </w14:scene3d>
            </w:rPr>
            <w:t>II.</w:t>
          </w:r>
          <w:r w:rsidRPr="004E3DF7">
            <w:rPr>
              <w:rFonts w:eastAsiaTheme="minorEastAsia" w:cstheme="minorBidi"/>
              <w:b w:val="0"/>
              <w:noProof/>
              <w:sz w:val="18"/>
              <w:szCs w:val="18"/>
              <w:bdr w:val="none" w:sz="0" w:space="0" w:color="auto"/>
              <w:lang w:val="es-US" w:eastAsia="zh-CN"/>
            </w:rPr>
            <w:tab/>
          </w:r>
          <w:r w:rsidRPr="004E3DF7">
            <w:rPr>
              <w:noProof/>
              <w:sz w:val="18"/>
              <w:szCs w:val="18"/>
              <w:lang w:val="es-US"/>
            </w:rPr>
            <w:t>ALEGATOS DE LAS PARTES</w:t>
          </w:r>
          <w:r w:rsidRPr="004E3DF7">
            <w:rPr>
              <w:noProof/>
              <w:sz w:val="18"/>
              <w:szCs w:val="18"/>
              <w:lang w:val="es-US"/>
            </w:rPr>
            <w:tab/>
          </w:r>
          <w:r w:rsidRPr="004E3DF7">
            <w:rPr>
              <w:noProof/>
              <w:sz w:val="18"/>
              <w:szCs w:val="18"/>
            </w:rPr>
            <w:fldChar w:fldCharType="begin"/>
          </w:r>
          <w:r w:rsidRPr="004E3DF7">
            <w:rPr>
              <w:noProof/>
              <w:sz w:val="18"/>
              <w:szCs w:val="18"/>
              <w:lang w:val="es-US"/>
            </w:rPr>
            <w:instrText xml:space="preserve"> PAGEREF _Toc70437008 \h </w:instrText>
          </w:r>
          <w:r w:rsidRPr="004E3DF7">
            <w:rPr>
              <w:noProof/>
              <w:sz w:val="18"/>
              <w:szCs w:val="18"/>
            </w:rPr>
          </w:r>
          <w:r w:rsidRPr="004E3DF7">
            <w:rPr>
              <w:noProof/>
              <w:sz w:val="18"/>
              <w:szCs w:val="18"/>
            </w:rPr>
            <w:fldChar w:fldCharType="separate"/>
          </w:r>
          <w:r w:rsidR="005D5F07">
            <w:rPr>
              <w:noProof/>
              <w:sz w:val="18"/>
              <w:szCs w:val="18"/>
              <w:lang w:val="es-US"/>
            </w:rPr>
            <w:t>2</w:t>
          </w:r>
          <w:r w:rsidRPr="004E3DF7">
            <w:rPr>
              <w:noProof/>
              <w:sz w:val="18"/>
              <w:szCs w:val="18"/>
            </w:rPr>
            <w:fldChar w:fldCharType="end"/>
          </w:r>
        </w:p>
        <w:p w14:paraId="483E746F" w14:textId="312FCE1C" w:rsidR="004E3DF7" w:rsidRPr="004E3DF7" w:rsidRDefault="004E3DF7">
          <w:pPr>
            <w:pStyle w:val="TOC2"/>
            <w:rPr>
              <w:rFonts w:asciiTheme="majorHAnsi" w:eastAsiaTheme="minorEastAsia" w:hAnsiTheme="majorHAnsi" w:cstheme="minorBidi"/>
              <w:b w:val="0"/>
              <w:noProof/>
              <w:sz w:val="18"/>
              <w:szCs w:val="18"/>
              <w:bdr w:val="none" w:sz="0" w:space="0" w:color="auto"/>
              <w:lang w:val="es-US" w:eastAsia="zh-CN"/>
            </w:rPr>
          </w:pPr>
          <w:r w:rsidRPr="004E3DF7">
            <w:rPr>
              <w:rFonts w:asciiTheme="majorHAnsi" w:hAnsiTheme="majorHAnsi"/>
              <w:noProof/>
              <w:sz w:val="18"/>
              <w:szCs w:val="18"/>
              <w:lang w:val="es-ES_tradnl"/>
            </w:rPr>
            <w:t>A.</w:t>
          </w:r>
          <w:r w:rsidRPr="004E3DF7">
            <w:rPr>
              <w:rFonts w:asciiTheme="majorHAnsi" w:eastAsiaTheme="minorEastAsia" w:hAnsiTheme="majorHAnsi" w:cstheme="minorBidi"/>
              <w:b w:val="0"/>
              <w:noProof/>
              <w:sz w:val="18"/>
              <w:szCs w:val="18"/>
              <w:bdr w:val="none" w:sz="0" w:space="0" w:color="auto"/>
              <w:lang w:val="es-US" w:eastAsia="zh-CN"/>
            </w:rPr>
            <w:tab/>
          </w:r>
          <w:r w:rsidRPr="004E3DF7">
            <w:rPr>
              <w:rFonts w:asciiTheme="majorHAnsi" w:hAnsiTheme="majorHAnsi"/>
              <w:noProof/>
              <w:sz w:val="18"/>
              <w:szCs w:val="18"/>
              <w:lang w:val="es-ES_tradnl"/>
            </w:rPr>
            <w:t>Parte peticionaria</w:t>
          </w:r>
          <w:r w:rsidRPr="004E3DF7">
            <w:rPr>
              <w:rFonts w:asciiTheme="majorHAnsi" w:hAnsiTheme="majorHAnsi"/>
              <w:noProof/>
              <w:sz w:val="18"/>
              <w:szCs w:val="18"/>
              <w:lang w:val="es-US"/>
            </w:rPr>
            <w:tab/>
          </w:r>
          <w:r w:rsidRPr="004E3DF7">
            <w:rPr>
              <w:rFonts w:asciiTheme="majorHAnsi" w:hAnsiTheme="majorHAnsi"/>
              <w:noProof/>
              <w:sz w:val="18"/>
              <w:szCs w:val="18"/>
            </w:rPr>
            <w:fldChar w:fldCharType="begin"/>
          </w:r>
          <w:r w:rsidRPr="004E3DF7">
            <w:rPr>
              <w:rFonts w:asciiTheme="majorHAnsi" w:hAnsiTheme="majorHAnsi"/>
              <w:noProof/>
              <w:sz w:val="18"/>
              <w:szCs w:val="18"/>
              <w:lang w:val="es-US"/>
            </w:rPr>
            <w:instrText xml:space="preserve"> PAGEREF _Toc70437009 \h </w:instrText>
          </w:r>
          <w:r w:rsidRPr="004E3DF7">
            <w:rPr>
              <w:rFonts w:asciiTheme="majorHAnsi" w:hAnsiTheme="majorHAnsi"/>
              <w:noProof/>
              <w:sz w:val="18"/>
              <w:szCs w:val="18"/>
            </w:rPr>
          </w:r>
          <w:r w:rsidRPr="004E3DF7">
            <w:rPr>
              <w:rFonts w:asciiTheme="majorHAnsi" w:hAnsiTheme="majorHAnsi"/>
              <w:noProof/>
              <w:sz w:val="18"/>
              <w:szCs w:val="18"/>
            </w:rPr>
            <w:fldChar w:fldCharType="separate"/>
          </w:r>
          <w:r w:rsidR="005D5F07">
            <w:rPr>
              <w:rFonts w:asciiTheme="majorHAnsi" w:hAnsiTheme="majorHAnsi"/>
              <w:noProof/>
              <w:sz w:val="18"/>
              <w:szCs w:val="18"/>
              <w:lang w:val="es-US"/>
            </w:rPr>
            <w:t>2</w:t>
          </w:r>
          <w:r w:rsidRPr="004E3DF7">
            <w:rPr>
              <w:rFonts w:asciiTheme="majorHAnsi" w:hAnsiTheme="majorHAnsi"/>
              <w:noProof/>
              <w:sz w:val="18"/>
              <w:szCs w:val="18"/>
            </w:rPr>
            <w:fldChar w:fldCharType="end"/>
          </w:r>
        </w:p>
        <w:p w14:paraId="1F059C9B" w14:textId="0F445134" w:rsidR="004E3DF7" w:rsidRPr="004E3DF7" w:rsidRDefault="004E3DF7">
          <w:pPr>
            <w:pStyle w:val="TOC2"/>
            <w:rPr>
              <w:rFonts w:asciiTheme="majorHAnsi" w:eastAsiaTheme="minorEastAsia" w:hAnsiTheme="majorHAnsi" w:cstheme="minorBidi"/>
              <w:b w:val="0"/>
              <w:noProof/>
              <w:sz w:val="18"/>
              <w:szCs w:val="18"/>
              <w:bdr w:val="none" w:sz="0" w:space="0" w:color="auto"/>
              <w:lang w:val="es-US" w:eastAsia="zh-CN"/>
            </w:rPr>
          </w:pPr>
          <w:r w:rsidRPr="004E3DF7">
            <w:rPr>
              <w:rFonts w:asciiTheme="majorHAnsi" w:hAnsiTheme="majorHAnsi"/>
              <w:noProof/>
              <w:sz w:val="18"/>
              <w:szCs w:val="18"/>
              <w:lang w:val="es-ES_tradnl"/>
            </w:rPr>
            <w:t>B.</w:t>
          </w:r>
          <w:r w:rsidRPr="004E3DF7">
            <w:rPr>
              <w:rFonts w:asciiTheme="majorHAnsi" w:eastAsiaTheme="minorEastAsia" w:hAnsiTheme="majorHAnsi" w:cstheme="minorBidi"/>
              <w:b w:val="0"/>
              <w:noProof/>
              <w:sz w:val="18"/>
              <w:szCs w:val="18"/>
              <w:bdr w:val="none" w:sz="0" w:space="0" w:color="auto"/>
              <w:lang w:val="es-US" w:eastAsia="zh-CN"/>
            </w:rPr>
            <w:tab/>
          </w:r>
          <w:r w:rsidRPr="004E3DF7">
            <w:rPr>
              <w:rFonts w:asciiTheme="majorHAnsi" w:hAnsiTheme="majorHAnsi"/>
              <w:noProof/>
              <w:sz w:val="18"/>
              <w:szCs w:val="18"/>
              <w:lang w:val="es-ES_tradnl"/>
            </w:rPr>
            <w:t>Estado</w:t>
          </w:r>
          <w:r w:rsidRPr="004E3DF7">
            <w:rPr>
              <w:rFonts w:asciiTheme="majorHAnsi" w:hAnsiTheme="majorHAnsi"/>
              <w:noProof/>
              <w:sz w:val="18"/>
              <w:szCs w:val="18"/>
              <w:lang w:val="es-US"/>
            </w:rPr>
            <w:tab/>
          </w:r>
          <w:r w:rsidRPr="004E3DF7">
            <w:rPr>
              <w:rFonts w:asciiTheme="majorHAnsi" w:hAnsiTheme="majorHAnsi"/>
              <w:noProof/>
              <w:sz w:val="18"/>
              <w:szCs w:val="18"/>
            </w:rPr>
            <w:fldChar w:fldCharType="begin"/>
          </w:r>
          <w:r w:rsidRPr="004E3DF7">
            <w:rPr>
              <w:rFonts w:asciiTheme="majorHAnsi" w:hAnsiTheme="majorHAnsi"/>
              <w:noProof/>
              <w:sz w:val="18"/>
              <w:szCs w:val="18"/>
              <w:lang w:val="es-US"/>
            </w:rPr>
            <w:instrText xml:space="preserve"> PAGEREF _Toc70437010 \h </w:instrText>
          </w:r>
          <w:r w:rsidRPr="004E3DF7">
            <w:rPr>
              <w:rFonts w:asciiTheme="majorHAnsi" w:hAnsiTheme="majorHAnsi"/>
              <w:noProof/>
              <w:sz w:val="18"/>
              <w:szCs w:val="18"/>
            </w:rPr>
          </w:r>
          <w:r w:rsidRPr="004E3DF7">
            <w:rPr>
              <w:rFonts w:asciiTheme="majorHAnsi" w:hAnsiTheme="majorHAnsi"/>
              <w:noProof/>
              <w:sz w:val="18"/>
              <w:szCs w:val="18"/>
            </w:rPr>
            <w:fldChar w:fldCharType="separate"/>
          </w:r>
          <w:r w:rsidR="005D5F07">
            <w:rPr>
              <w:rFonts w:asciiTheme="majorHAnsi" w:hAnsiTheme="majorHAnsi"/>
              <w:noProof/>
              <w:sz w:val="18"/>
              <w:szCs w:val="18"/>
              <w:lang w:val="es-US"/>
            </w:rPr>
            <w:t>3</w:t>
          </w:r>
          <w:r w:rsidRPr="004E3DF7">
            <w:rPr>
              <w:rFonts w:asciiTheme="majorHAnsi" w:hAnsiTheme="majorHAnsi"/>
              <w:noProof/>
              <w:sz w:val="18"/>
              <w:szCs w:val="18"/>
            </w:rPr>
            <w:fldChar w:fldCharType="end"/>
          </w:r>
        </w:p>
        <w:p w14:paraId="3555B309" w14:textId="5704CE94" w:rsidR="004E3DF7" w:rsidRPr="004E3DF7" w:rsidRDefault="004E3DF7">
          <w:pPr>
            <w:pStyle w:val="TOC1"/>
            <w:rPr>
              <w:rFonts w:eastAsiaTheme="minorEastAsia" w:cstheme="minorBidi"/>
              <w:b w:val="0"/>
              <w:noProof/>
              <w:sz w:val="18"/>
              <w:szCs w:val="18"/>
              <w:bdr w:val="none" w:sz="0" w:space="0" w:color="auto"/>
              <w:lang w:val="es-US" w:eastAsia="zh-CN"/>
            </w:rPr>
          </w:pPr>
          <w:r w:rsidRPr="004E3DF7">
            <w:rPr>
              <w:noProof/>
              <w:color w:val="000000"/>
              <w:sz w:val="18"/>
              <w:szCs w:val="18"/>
              <w:lang w:val="es-US"/>
              <w14:scene3d>
                <w14:camera w14:prst="orthographicFront"/>
                <w14:lightRig w14:rig="threePt" w14:dir="t">
                  <w14:rot w14:lat="0" w14:lon="0" w14:rev="0"/>
                </w14:lightRig>
              </w14:scene3d>
            </w:rPr>
            <w:t>III.</w:t>
          </w:r>
          <w:r w:rsidRPr="004E3DF7">
            <w:rPr>
              <w:rFonts w:eastAsiaTheme="minorEastAsia" w:cstheme="minorBidi"/>
              <w:b w:val="0"/>
              <w:noProof/>
              <w:sz w:val="18"/>
              <w:szCs w:val="18"/>
              <w:bdr w:val="none" w:sz="0" w:space="0" w:color="auto"/>
              <w:lang w:val="es-US" w:eastAsia="zh-CN"/>
            </w:rPr>
            <w:tab/>
          </w:r>
          <w:r w:rsidRPr="004E3DF7">
            <w:rPr>
              <w:noProof/>
              <w:sz w:val="18"/>
              <w:szCs w:val="18"/>
              <w:lang w:val="es-US"/>
            </w:rPr>
            <w:t>DETERMINACIONES DE HECHO</w:t>
          </w:r>
          <w:r w:rsidRPr="004E3DF7">
            <w:rPr>
              <w:noProof/>
              <w:sz w:val="18"/>
              <w:szCs w:val="18"/>
              <w:lang w:val="es-US"/>
            </w:rPr>
            <w:tab/>
          </w:r>
          <w:r w:rsidRPr="004E3DF7">
            <w:rPr>
              <w:noProof/>
              <w:sz w:val="18"/>
              <w:szCs w:val="18"/>
            </w:rPr>
            <w:fldChar w:fldCharType="begin"/>
          </w:r>
          <w:r w:rsidRPr="004E3DF7">
            <w:rPr>
              <w:noProof/>
              <w:sz w:val="18"/>
              <w:szCs w:val="18"/>
              <w:lang w:val="es-US"/>
            </w:rPr>
            <w:instrText xml:space="preserve"> PAGEREF _Toc70437011 \h </w:instrText>
          </w:r>
          <w:r w:rsidRPr="004E3DF7">
            <w:rPr>
              <w:noProof/>
              <w:sz w:val="18"/>
              <w:szCs w:val="18"/>
            </w:rPr>
          </w:r>
          <w:r w:rsidRPr="004E3DF7">
            <w:rPr>
              <w:noProof/>
              <w:sz w:val="18"/>
              <w:szCs w:val="18"/>
            </w:rPr>
            <w:fldChar w:fldCharType="separate"/>
          </w:r>
          <w:r w:rsidR="005D5F07">
            <w:rPr>
              <w:noProof/>
              <w:sz w:val="18"/>
              <w:szCs w:val="18"/>
              <w:lang w:val="es-US"/>
            </w:rPr>
            <w:t>3</w:t>
          </w:r>
          <w:r w:rsidRPr="004E3DF7">
            <w:rPr>
              <w:noProof/>
              <w:sz w:val="18"/>
              <w:szCs w:val="18"/>
            </w:rPr>
            <w:fldChar w:fldCharType="end"/>
          </w:r>
        </w:p>
        <w:p w14:paraId="33C23A1C" w14:textId="3D417845" w:rsidR="004E3DF7" w:rsidRPr="004E3DF7" w:rsidRDefault="004E3DF7">
          <w:pPr>
            <w:pStyle w:val="TOC2"/>
            <w:rPr>
              <w:rFonts w:asciiTheme="majorHAnsi" w:eastAsiaTheme="minorEastAsia" w:hAnsiTheme="majorHAnsi" w:cstheme="minorBidi"/>
              <w:b w:val="0"/>
              <w:noProof/>
              <w:sz w:val="18"/>
              <w:szCs w:val="18"/>
              <w:bdr w:val="none" w:sz="0" w:space="0" w:color="auto"/>
              <w:lang w:val="es-US" w:eastAsia="zh-CN"/>
            </w:rPr>
          </w:pPr>
          <w:r w:rsidRPr="004E3DF7">
            <w:rPr>
              <w:rFonts w:asciiTheme="majorHAnsi" w:hAnsiTheme="majorHAnsi"/>
              <w:noProof/>
              <w:sz w:val="18"/>
              <w:szCs w:val="18"/>
              <w:lang w:val="es-ES_tradnl"/>
            </w:rPr>
            <w:t>A.</w:t>
          </w:r>
          <w:r w:rsidRPr="004E3DF7">
            <w:rPr>
              <w:rFonts w:asciiTheme="majorHAnsi" w:eastAsiaTheme="minorEastAsia" w:hAnsiTheme="majorHAnsi" w:cstheme="minorBidi"/>
              <w:b w:val="0"/>
              <w:noProof/>
              <w:sz w:val="18"/>
              <w:szCs w:val="18"/>
              <w:bdr w:val="none" w:sz="0" w:space="0" w:color="auto"/>
              <w:lang w:val="es-US" w:eastAsia="zh-CN"/>
            </w:rPr>
            <w:tab/>
          </w:r>
          <w:r w:rsidRPr="004E3DF7">
            <w:rPr>
              <w:rFonts w:asciiTheme="majorHAnsi" w:hAnsiTheme="majorHAnsi"/>
              <w:noProof/>
              <w:sz w:val="18"/>
              <w:szCs w:val="18"/>
              <w:lang w:val="es-ES_tradnl"/>
            </w:rPr>
            <w:t>Contexto</w:t>
          </w:r>
          <w:r w:rsidRPr="004E3DF7">
            <w:rPr>
              <w:rFonts w:asciiTheme="majorHAnsi" w:hAnsiTheme="majorHAnsi"/>
              <w:noProof/>
              <w:sz w:val="18"/>
              <w:szCs w:val="18"/>
              <w:lang w:val="es-US"/>
            </w:rPr>
            <w:tab/>
          </w:r>
          <w:r w:rsidRPr="004E3DF7">
            <w:rPr>
              <w:rFonts w:asciiTheme="majorHAnsi" w:hAnsiTheme="majorHAnsi"/>
              <w:noProof/>
              <w:sz w:val="18"/>
              <w:szCs w:val="18"/>
            </w:rPr>
            <w:fldChar w:fldCharType="begin"/>
          </w:r>
          <w:r w:rsidRPr="004E3DF7">
            <w:rPr>
              <w:rFonts w:asciiTheme="majorHAnsi" w:hAnsiTheme="majorHAnsi"/>
              <w:noProof/>
              <w:sz w:val="18"/>
              <w:szCs w:val="18"/>
              <w:lang w:val="es-US"/>
            </w:rPr>
            <w:instrText xml:space="preserve"> PAGEREF _Toc70437012 \h </w:instrText>
          </w:r>
          <w:r w:rsidRPr="004E3DF7">
            <w:rPr>
              <w:rFonts w:asciiTheme="majorHAnsi" w:hAnsiTheme="majorHAnsi"/>
              <w:noProof/>
              <w:sz w:val="18"/>
              <w:szCs w:val="18"/>
            </w:rPr>
          </w:r>
          <w:r w:rsidRPr="004E3DF7">
            <w:rPr>
              <w:rFonts w:asciiTheme="majorHAnsi" w:hAnsiTheme="majorHAnsi"/>
              <w:noProof/>
              <w:sz w:val="18"/>
              <w:szCs w:val="18"/>
            </w:rPr>
            <w:fldChar w:fldCharType="separate"/>
          </w:r>
          <w:r w:rsidR="005D5F07">
            <w:rPr>
              <w:rFonts w:asciiTheme="majorHAnsi" w:hAnsiTheme="majorHAnsi"/>
              <w:noProof/>
              <w:sz w:val="18"/>
              <w:szCs w:val="18"/>
              <w:lang w:val="es-US"/>
            </w:rPr>
            <w:t>3</w:t>
          </w:r>
          <w:r w:rsidRPr="004E3DF7">
            <w:rPr>
              <w:rFonts w:asciiTheme="majorHAnsi" w:hAnsiTheme="majorHAnsi"/>
              <w:noProof/>
              <w:sz w:val="18"/>
              <w:szCs w:val="18"/>
            </w:rPr>
            <w:fldChar w:fldCharType="end"/>
          </w:r>
        </w:p>
        <w:p w14:paraId="3D3C15D8" w14:textId="5A8A34A4" w:rsidR="004E3DF7" w:rsidRPr="004E3DF7" w:rsidRDefault="004E3DF7">
          <w:pPr>
            <w:pStyle w:val="TOC2"/>
            <w:rPr>
              <w:rFonts w:asciiTheme="majorHAnsi" w:eastAsiaTheme="minorEastAsia" w:hAnsiTheme="majorHAnsi" w:cstheme="minorBidi"/>
              <w:b w:val="0"/>
              <w:noProof/>
              <w:sz w:val="18"/>
              <w:szCs w:val="18"/>
              <w:bdr w:val="none" w:sz="0" w:space="0" w:color="auto"/>
              <w:lang w:val="es-US" w:eastAsia="zh-CN"/>
            </w:rPr>
          </w:pPr>
          <w:r w:rsidRPr="004E3DF7">
            <w:rPr>
              <w:rFonts w:asciiTheme="majorHAnsi" w:hAnsiTheme="majorHAnsi"/>
              <w:noProof/>
              <w:sz w:val="18"/>
              <w:szCs w:val="18"/>
              <w:lang w:val="es-ES_tradnl"/>
            </w:rPr>
            <w:t>B.</w:t>
          </w:r>
          <w:r w:rsidRPr="004E3DF7">
            <w:rPr>
              <w:rFonts w:asciiTheme="majorHAnsi" w:eastAsiaTheme="minorEastAsia" w:hAnsiTheme="majorHAnsi" w:cstheme="minorBidi"/>
              <w:b w:val="0"/>
              <w:noProof/>
              <w:sz w:val="18"/>
              <w:szCs w:val="18"/>
              <w:bdr w:val="none" w:sz="0" w:space="0" w:color="auto"/>
              <w:lang w:val="es-US" w:eastAsia="zh-CN"/>
            </w:rPr>
            <w:tab/>
          </w:r>
          <w:r w:rsidRPr="004E3DF7">
            <w:rPr>
              <w:rFonts w:asciiTheme="majorHAnsi" w:hAnsiTheme="majorHAnsi"/>
              <w:noProof/>
              <w:sz w:val="18"/>
              <w:szCs w:val="18"/>
              <w:lang w:val="es-ES_tradnl"/>
            </w:rPr>
            <w:t>Información disponible sobre la presunta víctima y familiares</w:t>
          </w:r>
          <w:r w:rsidRPr="004E3DF7">
            <w:rPr>
              <w:rFonts w:asciiTheme="majorHAnsi" w:hAnsiTheme="majorHAnsi"/>
              <w:noProof/>
              <w:sz w:val="18"/>
              <w:szCs w:val="18"/>
              <w:lang w:val="es-US"/>
            </w:rPr>
            <w:tab/>
          </w:r>
          <w:r w:rsidRPr="004E3DF7">
            <w:rPr>
              <w:rFonts w:asciiTheme="majorHAnsi" w:hAnsiTheme="majorHAnsi"/>
              <w:noProof/>
              <w:sz w:val="18"/>
              <w:szCs w:val="18"/>
            </w:rPr>
            <w:fldChar w:fldCharType="begin"/>
          </w:r>
          <w:r w:rsidRPr="004E3DF7">
            <w:rPr>
              <w:rFonts w:asciiTheme="majorHAnsi" w:hAnsiTheme="majorHAnsi"/>
              <w:noProof/>
              <w:sz w:val="18"/>
              <w:szCs w:val="18"/>
              <w:lang w:val="es-US"/>
            </w:rPr>
            <w:instrText xml:space="preserve"> PAGEREF _Toc70437013 \h </w:instrText>
          </w:r>
          <w:r w:rsidRPr="004E3DF7">
            <w:rPr>
              <w:rFonts w:asciiTheme="majorHAnsi" w:hAnsiTheme="majorHAnsi"/>
              <w:noProof/>
              <w:sz w:val="18"/>
              <w:szCs w:val="18"/>
            </w:rPr>
          </w:r>
          <w:r w:rsidRPr="004E3DF7">
            <w:rPr>
              <w:rFonts w:asciiTheme="majorHAnsi" w:hAnsiTheme="majorHAnsi"/>
              <w:noProof/>
              <w:sz w:val="18"/>
              <w:szCs w:val="18"/>
            </w:rPr>
            <w:fldChar w:fldCharType="separate"/>
          </w:r>
          <w:r w:rsidR="005D5F07">
            <w:rPr>
              <w:rFonts w:asciiTheme="majorHAnsi" w:hAnsiTheme="majorHAnsi"/>
              <w:noProof/>
              <w:sz w:val="18"/>
              <w:szCs w:val="18"/>
              <w:lang w:val="es-US"/>
            </w:rPr>
            <w:t>4</w:t>
          </w:r>
          <w:r w:rsidRPr="004E3DF7">
            <w:rPr>
              <w:rFonts w:asciiTheme="majorHAnsi" w:hAnsiTheme="majorHAnsi"/>
              <w:noProof/>
              <w:sz w:val="18"/>
              <w:szCs w:val="18"/>
            </w:rPr>
            <w:fldChar w:fldCharType="end"/>
          </w:r>
        </w:p>
        <w:p w14:paraId="451ED8DC" w14:textId="723FF6BA" w:rsidR="004E3DF7" w:rsidRPr="004E3DF7" w:rsidRDefault="004E3DF7">
          <w:pPr>
            <w:pStyle w:val="TOC2"/>
            <w:rPr>
              <w:rFonts w:asciiTheme="majorHAnsi" w:eastAsiaTheme="minorEastAsia" w:hAnsiTheme="majorHAnsi" w:cstheme="minorBidi"/>
              <w:b w:val="0"/>
              <w:noProof/>
              <w:sz w:val="18"/>
              <w:szCs w:val="18"/>
              <w:bdr w:val="none" w:sz="0" w:space="0" w:color="auto"/>
              <w:lang w:val="es-US" w:eastAsia="zh-CN"/>
            </w:rPr>
          </w:pPr>
          <w:r w:rsidRPr="004E3DF7">
            <w:rPr>
              <w:rFonts w:asciiTheme="majorHAnsi" w:hAnsiTheme="majorHAnsi"/>
              <w:noProof/>
              <w:sz w:val="18"/>
              <w:szCs w:val="18"/>
              <w:lang w:val="es-ES_tradnl"/>
            </w:rPr>
            <w:t>C.</w:t>
          </w:r>
          <w:r w:rsidRPr="004E3DF7">
            <w:rPr>
              <w:rFonts w:asciiTheme="majorHAnsi" w:eastAsiaTheme="minorEastAsia" w:hAnsiTheme="majorHAnsi" w:cstheme="minorBidi"/>
              <w:b w:val="0"/>
              <w:noProof/>
              <w:sz w:val="18"/>
              <w:szCs w:val="18"/>
              <w:bdr w:val="none" w:sz="0" w:space="0" w:color="auto"/>
              <w:lang w:val="es-US" w:eastAsia="zh-CN"/>
            </w:rPr>
            <w:tab/>
          </w:r>
          <w:r w:rsidRPr="004E3DF7">
            <w:rPr>
              <w:rFonts w:asciiTheme="majorHAnsi" w:hAnsiTheme="majorHAnsi"/>
              <w:noProof/>
              <w:sz w:val="18"/>
              <w:szCs w:val="18"/>
              <w:lang w:val="es-ES_tradnl"/>
            </w:rPr>
            <w:t>Hechos del caso</w:t>
          </w:r>
          <w:r w:rsidRPr="004E3DF7">
            <w:rPr>
              <w:rFonts w:asciiTheme="majorHAnsi" w:hAnsiTheme="majorHAnsi"/>
              <w:noProof/>
              <w:sz w:val="18"/>
              <w:szCs w:val="18"/>
              <w:lang w:val="es-US"/>
            </w:rPr>
            <w:tab/>
          </w:r>
          <w:r w:rsidRPr="004E3DF7">
            <w:rPr>
              <w:rFonts w:asciiTheme="majorHAnsi" w:hAnsiTheme="majorHAnsi"/>
              <w:noProof/>
              <w:sz w:val="18"/>
              <w:szCs w:val="18"/>
            </w:rPr>
            <w:fldChar w:fldCharType="begin"/>
          </w:r>
          <w:r w:rsidRPr="004E3DF7">
            <w:rPr>
              <w:rFonts w:asciiTheme="majorHAnsi" w:hAnsiTheme="majorHAnsi"/>
              <w:noProof/>
              <w:sz w:val="18"/>
              <w:szCs w:val="18"/>
              <w:lang w:val="es-US"/>
            </w:rPr>
            <w:instrText xml:space="preserve"> PAGEREF _Toc70437014 \h </w:instrText>
          </w:r>
          <w:r w:rsidRPr="004E3DF7">
            <w:rPr>
              <w:rFonts w:asciiTheme="majorHAnsi" w:hAnsiTheme="majorHAnsi"/>
              <w:noProof/>
              <w:sz w:val="18"/>
              <w:szCs w:val="18"/>
            </w:rPr>
          </w:r>
          <w:r w:rsidRPr="004E3DF7">
            <w:rPr>
              <w:rFonts w:asciiTheme="majorHAnsi" w:hAnsiTheme="majorHAnsi"/>
              <w:noProof/>
              <w:sz w:val="18"/>
              <w:szCs w:val="18"/>
            </w:rPr>
            <w:fldChar w:fldCharType="separate"/>
          </w:r>
          <w:r w:rsidR="005D5F07">
            <w:rPr>
              <w:rFonts w:asciiTheme="majorHAnsi" w:hAnsiTheme="majorHAnsi"/>
              <w:noProof/>
              <w:sz w:val="18"/>
              <w:szCs w:val="18"/>
              <w:lang w:val="es-US"/>
            </w:rPr>
            <w:t>4</w:t>
          </w:r>
          <w:r w:rsidRPr="004E3DF7">
            <w:rPr>
              <w:rFonts w:asciiTheme="majorHAnsi" w:hAnsiTheme="majorHAnsi"/>
              <w:noProof/>
              <w:sz w:val="18"/>
              <w:szCs w:val="18"/>
            </w:rPr>
            <w:fldChar w:fldCharType="end"/>
          </w:r>
        </w:p>
        <w:p w14:paraId="4B723E26" w14:textId="01163C0F" w:rsidR="004E3DF7" w:rsidRPr="004E3DF7" w:rsidRDefault="004E3DF7">
          <w:pPr>
            <w:pStyle w:val="TOC3"/>
            <w:rPr>
              <w:rFonts w:asciiTheme="majorHAnsi" w:eastAsiaTheme="minorEastAsia" w:hAnsiTheme="majorHAnsi" w:cstheme="minorBidi"/>
              <w:noProof/>
              <w:sz w:val="18"/>
              <w:szCs w:val="18"/>
              <w:bdr w:val="none" w:sz="0" w:space="0" w:color="auto"/>
              <w:lang w:val="es-US" w:eastAsia="zh-CN"/>
            </w:rPr>
          </w:pPr>
          <w:r w:rsidRPr="004E3DF7">
            <w:rPr>
              <w:rFonts w:asciiTheme="majorHAnsi" w:hAnsiTheme="majorHAnsi"/>
              <w:noProof/>
              <w:sz w:val="18"/>
              <w:szCs w:val="18"/>
              <w:lang w:val="es-ES_tradnl"/>
            </w:rPr>
            <w:t>1.</w:t>
          </w:r>
          <w:r w:rsidRPr="004E3DF7">
            <w:rPr>
              <w:rFonts w:asciiTheme="majorHAnsi" w:eastAsiaTheme="minorEastAsia" w:hAnsiTheme="majorHAnsi" w:cstheme="minorBidi"/>
              <w:noProof/>
              <w:sz w:val="18"/>
              <w:szCs w:val="18"/>
              <w:bdr w:val="none" w:sz="0" w:space="0" w:color="auto"/>
              <w:lang w:val="es-US" w:eastAsia="zh-CN"/>
            </w:rPr>
            <w:tab/>
          </w:r>
          <w:r w:rsidRPr="004E3DF7">
            <w:rPr>
              <w:rFonts w:asciiTheme="majorHAnsi" w:hAnsiTheme="majorHAnsi"/>
              <w:noProof/>
              <w:sz w:val="18"/>
              <w:szCs w:val="18"/>
              <w:lang w:val="es-ES_tradnl"/>
            </w:rPr>
            <w:t xml:space="preserve">El secuestro (14 de noviembre de 1999) y la liberación (17 de febrero de 2000) de </w:t>
          </w:r>
          <w:r w:rsidRPr="004E3DF7">
            <w:rPr>
              <w:rFonts w:asciiTheme="majorHAnsi" w:hAnsiTheme="majorHAnsi"/>
              <w:noProof/>
              <w:sz w:val="18"/>
              <w:szCs w:val="18"/>
              <w:lang w:val="es-VE"/>
            </w:rPr>
            <w:t>Carlos Arturo Betancourt Estrada</w:t>
          </w:r>
          <w:r w:rsidRPr="004E3DF7">
            <w:rPr>
              <w:rFonts w:asciiTheme="majorHAnsi" w:hAnsiTheme="majorHAnsi"/>
              <w:noProof/>
              <w:sz w:val="18"/>
              <w:szCs w:val="18"/>
              <w:lang w:val="es-US"/>
            </w:rPr>
            <w:tab/>
          </w:r>
          <w:r w:rsidRPr="004E3DF7">
            <w:rPr>
              <w:rFonts w:asciiTheme="majorHAnsi" w:hAnsiTheme="majorHAnsi"/>
              <w:noProof/>
              <w:sz w:val="18"/>
              <w:szCs w:val="18"/>
            </w:rPr>
            <w:fldChar w:fldCharType="begin"/>
          </w:r>
          <w:r w:rsidRPr="004E3DF7">
            <w:rPr>
              <w:rFonts w:asciiTheme="majorHAnsi" w:hAnsiTheme="majorHAnsi"/>
              <w:noProof/>
              <w:sz w:val="18"/>
              <w:szCs w:val="18"/>
              <w:lang w:val="es-US"/>
            </w:rPr>
            <w:instrText xml:space="preserve"> PAGEREF _Toc70437015 \h </w:instrText>
          </w:r>
          <w:r w:rsidRPr="004E3DF7">
            <w:rPr>
              <w:rFonts w:asciiTheme="majorHAnsi" w:hAnsiTheme="majorHAnsi"/>
              <w:noProof/>
              <w:sz w:val="18"/>
              <w:szCs w:val="18"/>
            </w:rPr>
          </w:r>
          <w:r w:rsidRPr="004E3DF7">
            <w:rPr>
              <w:rFonts w:asciiTheme="majorHAnsi" w:hAnsiTheme="majorHAnsi"/>
              <w:noProof/>
              <w:sz w:val="18"/>
              <w:szCs w:val="18"/>
            </w:rPr>
            <w:fldChar w:fldCharType="separate"/>
          </w:r>
          <w:r w:rsidR="005D5F07">
            <w:rPr>
              <w:rFonts w:asciiTheme="majorHAnsi" w:hAnsiTheme="majorHAnsi"/>
              <w:noProof/>
              <w:sz w:val="18"/>
              <w:szCs w:val="18"/>
              <w:lang w:val="es-US"/>
            </w:rPr>
            <w:t>5</w:t>
          </w:r>
          <w:r w:rsidRPr="004E3DF7">
            <w:rPr>
              <w:rFonts w:asciiTheme="majorHAnsi" w:hAnsiTheme="majorHAnsi"/>
              <w:noProof/>
              <w:sz w:val="18"/>
              <w:szCs w:val="18"/>
            </w:rPr>
            <w:fldChar w:fldCharType="end"/>
          </w:r>
        </w:p>
        <w:p w14:paraId="78C7038E" w14:textId="2D34DF56" w:rsidR="004E3DF7" w:rsidRPr="004E3DF7" w:rsidRDefault="004E3DF7">
          <w:pPr>
            <w:pStyle w:val="TOC3"/>
            <w:rPr>
              <w:rFonts w:asciiTheme="majorHAnsi" w:eastAsiaTheme="minorEastAsia" w:hAnsiTheme="majorHAnsi" w:cstheme="minorBidi"/>
              <w:noProof/>
              <w:sz w:val="18"/>
              <w:szCs w:val="18"/>
              <w:bdr w:val="none" w:sz="0" w:space="0" w:color="auto"/>
              <w:lang w:val="es-US" w:eastAsia="zh-CN"/>
            </w:rPr>
          </w:pPr>
          <w:r w:rsidRPr="004E3DF7">
            <w:rPr>
              <w:rFonts w:asciiTheme="majorHAnsi" w:hAnsiTheme="majorHAnsi"/>
              <w:noProof/>
              <w:sz w:val="18"/>
              <w:szCs w:val="18"/>
              <w:lang w:val="es-ES_tradnl"/>
            </w:rPr>
            <w:t>2.</w:t>
          </w:r>
          <w:r w:rsidRPr="004E3DF7">
            <w:rPr>
              <w:rFonts w:asciiTheme="majorHAnsi" w:eastAsiaTheme="minorEastAsia" w:hAnsiTheme="majorHAnsi" w:cstheme="minorBidi"/>
              <w:noProof/>
              <w:sz w:val="18"/>
              <w:szCs w:val="18"/>
              <w:bdr w:val="none" w:sz="0" w:space="0" w:color="auto"/>
              <w:lang w:val="es-US" w:eastAsia="zh-CN"/>
            </w:rPr>
            <w:tab/>
          </w:r>
          <w:r w:rsidRPr="004E3DF7">
            <w:rPr>
              <w:rFonts w:asciiTheme="majorHAnsi" w:hAnsiTheme="majorHAnsi"/>
              <w:noProof/>
              <w:sz w:val="18"/>
              <w:szCs w:val="18"/>
              <w:lang w:val="es-ES_tradnl"/>
            </w:rPr>
            <w:t>Las amenazas posteriores a la liberación, la salida del territorio de Colombia y los efectos de los perjuicios patrimoniales en la vida de familia Betancourt</w:t>
          </w:r>
          <w:r w:rsidRPr="004E3DF7">
            <w:rPr>
              <w:rFonts w:asciiTheme="majorHAnsi" w:hAnsiTheme="majorHAnsi"/>
              <w:noProof/>
              <w:sz w:val="18"/>
              <w:szCs w:val="18"/>
              <w:lang w:val="es-US"/>
            </w:rPr>
            <w:tab/>
          </w:r>
          <w:r w:rsidRPr="004E3DF7">
            <w:rPr>
              <w:rFonts w:asciiTheme="majorHAnsi" w:hAnsiTheme="majorHAnsi"/>
              <w:noProof/>
              <w:sz w:val="18"/>
              <w:szCs w:val="18"/>
            </w:rPr>
            <w:fldChar w:fldCharType="begin"/>
          </w:r>
          <w:r w:rsidRPr="004E3DF7">
            <w:rPr>
              <w:rFonts w:asciiTheme="majorHAnsi" w:hAnsiTheme="majorHAnsi"/>
              <w:noProof/>
              <w:sz w:val="18"/>
              <w:szCs w:val="18"/>
              <w:lang w:val="es-US"/>
            </w:rPr>
            <w:instrText xml:space="preserve"> PAGEREF _Toc70437016 \h </w:instrText>
          </w:r>
          <w:r w:rsidRPr="004E3DF7">
            <w:rPr>
              <w:rFonts w:asciiTheme="majorHAnsi" w:hAnsiTheme="majorHAnsi"/>
              <w:noProof/>
              <w:sz w:val="18"/>
              <w:szCs w:val="18"/>
            </w:rPr>
          </w:r>
          <w:r w:rsidRPr="004E3DF7">
            <w:rPr>
              <w:rFonts w:asciiTheme="majorHAnsi" w:hAnsiTheme="majorHAnsi"/>
              <w:noProof/>
              <w:sz w:val="18"/>
              <w:szCs w:val="18"/>
            </w:rPr>
            <w:fldChar w:fldCharType="separate"/>
          </w:r>
          <w:r w:rsidR="005D5F07">
            <w:rPr>
              <w:rFonts w:asciiTheme="majorHAnsi" w:hAnsiTheme="majorHAnsi"/>
              <w:noProof/>
              <w:sz w:val="18"/>
              <w:szCs w:val="18"/>
              <w:lang w:val="es-US"/>
            </w:rPr>
            <w:t>6</w:t>
          </w:r>
          <w:r w:rsidRPr="004E3DF7">
            <w:rPr>
              <w:rFonts w:asciiTheme="majorHAnsi" w:hAnsiTheme="majorHAnsi"/>
              <w:noProof/>
              <w:sz w:val="18"/>
              <w:szCs w:val="18"/>
            </w:rPr>
            <w:fldChar w:fldCharType="end"/>
          </w:r>
        </w:p>
        <w:p w14:paraId="05E050EE" w14:textId="2CA0C2AF" w:rsidR="004E3DF7" w:rsidRPr="004E3DF7" w:rsidRDefault="004E3DF7">
          <w:pPr>
            <w:pStyle w:val="TOC3"/>
            <w:rPr>
              <w:rFonts w:asciiTheme="majorHAnsi" w:eastAsiaTheme="minorEastAsia" w:hAnsiTheme="majorHAnsi" w:cstheme="minorBidi"/>
              <w:noProof/>
              <w:sz w:val="18"/>
              <w:szCs w:val="18"/>
              <w:bdr w:val="none" w:sz="0" w:space="0" w:color="auto"/>
              <w:lang w:val="es-US" w:eastAsia="zh-CN"/>
            </w:rPr>
          </w:pPr>
          <w:r w:rsidRPr="004E3DF7">
            <w:rPr>
              <w:rFonts w:asciiTheme="majorHAnsi" w:hAnsiTheme="majorHAnsi"/>
              <w:noProof/>
              <w:sz w:val="18"/>
              <w:szCs w:val="18"/>
              <w:lang w:val="es-ES_tradnl"/>
            </w:rPr>
            <w:t>3.</w:t>
          </w:r>
          <w:r w:rsidRPr="004E3DF7">
            <w:rPr>
              <w:rFonts w:asciiTheme="majorHAnsi" w:eastAsiaTheme="minorEastAsia" w:hAnsiTheme="majorHAnsi" w:cstheme="minorBidi"/>
              <w:noProof/>
              <w:sz w:val="18"/>
              <w:szCs w:val="18"/>
              <w:bdr w:val="none" w:sz="0" w:space="0" w:color="auto"/>
              <w:lang w:val="es-US" w:eastAsia="zh-CN"/>
            </w:rPr>
            <w:tab/>
          </w:r>
          <w:r w:rsidRPr="004E3DF7">
            <w:rPr>
              <w:rFonts w:asciiTheme="majorHAnsi" w:hAnsiTheme="majorHAnsi"/>
              <w:noProof/>
              <w:sz w:val="18"/>
              <w:szCs w:val="18"/>
              <w:lang w:val="es-ES_tradnl"/>
            </w:rPr>
            <w:t>La investigación judicial del secuestro</w:t>
          </w:r>
          <w:r w:rsidRPr="004E3DF7">
            <w:rPr>
              <w:rFonts w:asciiTheme="majorHAnsi" w:hAnsiTheme="majorHAnsi"/>
              <w:noProof/>
              <w:sz w:val="18"/>
              <w:szCs w:val="18"/>
              <w:lang w:val="es-US"/>
            </w:rPr>
            <w:tab/>
          </w:r>
          <w:r w:rsidRPr="004E3DF7">
            <w:rPr>
              <w:rFonts w:asciiTheme="majorHAnsi" w:hAnsiTheme="majorHAnsi"/>
              <w:noProof/>
              <w:sz w:val="18"/>
              <w:szCs w:val="18"/>
            </w:rPr>
            <w:fldChar w:fldCharType="begin"/>
          </w:r>
          <w:r w:rsidRPr="004E3DF7">
            <w:rPr>
              <w:rFonts w:asciiTheme="majorHAnsi" w:hAnsiTheme="majorHAnsi"/>
              <w:noProof/>
              <w:sz w:val="18"/>
              <w:szCs w:val="18"/>
              <w:lang w:val="es-US"/>
            </w:rPr>
            <w:instrText xml:space="preserve"> PAGEREF _Toc70437017 \h </w:instrText>
          </w:r>
          <w:r w:rsidRPr="004E3DF7">
            <w:rPr>
              <w:rFonts w:asciiTheme="majorHAnsi" w:hAnsiTheme="majorHAnsi"/>
              <w:noProof/>
              <w:sz w:val="18"/>
              <w:szCs w:val="18"/>
            </w:rPr>
          </w:r>
          <w:r w:rsidRPr="004E3DF7">
            <w:rPr>
              <w:rFonts w:asciiTheme="majorHAnsi" w:hAnsiTheme="majorHAnsi"/>
              <w:noProof/>
              <w:sz w:val="18"/>
              <w:szCs w:val="18"/>
            </w:rPr>
            <w:fldChar w:fldCharType="separate"/>
          </w:r>
          <w:r w:rsidR="005D5F07">
            <w:rPr>
              <w:rFonts w:asciiTheme="majorHAnsi" w:hAnsiTheme="majorHAnsi"/>
              <w:noProof/>
              <w:sz w:val="18"/>
              <w:szCs w:val="18"/>
              <w:lang w:val="es-US"/>
            </w:rPr>
            <w:t>8</w:t>
          </w:r>
          <w:r w:rsidRPr="004E3DF7">
            <w:rPr>
              <w:rFonts w:asciiTheme="majorHAnsi" w:hAnsiTheme="majorHAnsi"/>
              <w:noProof/>
              <w:sz w:val="18"/>
              <w:szCs w:val="18"/>
            </w:rPr>
            <w:fldChar w:fldCharType="end"/>
          </w:r>
        </w:p>
        <w:p w14:paraId="098D7522" w14:textId="395CD22B" w:rsidR="004E3DF7" w:rsidRPr="004E3DF7" w:rsidRDefault="004E3DF7">
          <w:pPr>
            <w:pStyle w:val="TOC1"/>
            <w:rPr>
              <w:rFonts w:eastAsiaTheme="minorEastAsia" w:cstheme="minorBidi"/>
              <w:b w:val="0"/>
              <w:noProof/>
              <w:sz w:val="18"/>
              <w:szCs w:val="18"/>
              <w:bdr w:val="none" w:sz="0" w:space="0" w:color="auto"/>
              <w:lang w:val="es-US" w:eastAsia="zh-CN"/>
            </w:rPr>
          </w:pPr>
          <w:r w:rsidRPr="004E3DF7">
            <w:rPr>
              <w:noProof/>
              <w:color w:val="000000"/>
              <w:sz w:val="18"/>
              <w:szCs w:val="18"/>
              <w:lang w:val="es-US"/>
              <w14:scene3d>
                <w14:camera w14:prst="orthographicFront"/>
                <w14:lightRig w14:rig="threePt" w14:dir="t">
                  <w14:rot w14:lat="0" w14:lon="0" w14:rev="0"/>
                </w14:lightRig>
              </w14:scene3d>
            </w:rPr>
            <w:t>IV.</w:t>
          </w:r>
          <w:r w:rsidRPr="004E3DF7">
            <w:rPr>
              <w:rFonts w:eastAsiaTheme="minorEastAsia" w:cstheme="minorBidi"/>
              <w:b w:val="0"/>
              <w:noProof/>
              <w:sz w:val="18"/>
              <w:szCs w:val="18"/>
              <w:bdr w:val="none" w:sz="0" w:space="0" w:color="auto"/>
              <w:lang w:val="es-US" w:eastAsia="zh-CN"/>
            </w:rPr>
            <w:tab/>
          </w:r>
          <w:r w:rsidRPr="004E3DF7">
            <w:rPr>
              <w:noProof/>
              <w:sz w:val="18"/>
              <w:szCs w:val="18"/>
              <w:lang w:val="es-US"/>
            </w:rPr>
            <w:t>ANÁLISIS DE DERECHO</w:t>
          </w:r>
          <w:r w:rsidRPr="004E3DF7">
            <w:rPr>
              <w:noProof/>
              <w:sz w:val="18"/>
              <w:szCs w:val="18"/>
              <w:lang w:val="es-US"/>
            </w:rPr>
            <w:tab/>
          </w:r>
          <w:r w:rsidRPr="004E3DF7">
            <w:rPr>
              <w:noProof/>
              <w:sz w:val="18"/>
              <w:szCs w:val="18"/>
            </w:rPr>
            <w:fldChar w:fldCharType="begin"/>
          </w:r>
          <w:r w:rsidRPr="004E3DF7">
            <w:rPr>
              <w:noProof/>
              <w:sz w:val="18"/>
              <w:szCs w:val="18"/>
              <w:lang w:val="es-US"/>
            </w:rPr>
            <w:instrText xml:space="preserve"> PAGEREF _Toc70437018 \h </w:instrText>
          </w:r>
          <w:r w:rsidRPr="004E3DF7">
            <w:rPr>
              <w:noProof/>
              <w:sz w:val="18"/>
              <w:szCs w:val="18"/>
            </w:rPr>
          </w:r>
          <w:r w:rsidRPr="004E3DF7">
            <w:rPr>
              <w:noProof/>
              <w:sz w:val="18"/>
              <w:szCs w:val="18"/>
            </w:rPr>
            <w:fldChar w:fldCharType="separate"/>
          </w:r>
          <w:r w:rsidR="005D5F07">
            <w:rPr>
              <w:noProof/>
              <w:sz w:val="18"/>
              <w:szCs w:val="18"/>
              <w:lang w:val="es-US"/>
            </w:rPr>
            <w:t>10</w:t>
          </w:r>
          <w:r w:rsidRPr="004E3DF7">
            <w:rPr>
              <w:noProof/>
              <w:sz w:val="18"/>
              <w:szCs w:val="18"/>
            </w:rPr>
            <w:fldChar w:fldCharType="end"/>
          </w:r>
        </w:p>
        <w:p w14:paraId="12D35572" w14:textId="0B8434AF" w:rsidR="004E3DF7" w:rsidRPr="004E3DF7" w:rsidRDefault="004E3DF7">
          <w:pPr>
            <w:pStyle w:val="TOC2"/>
            <w:rPr>
              <w:rFonts w:asciiTheme="majorHAnsi" w:eastAsiaTheme="minorEastAsia" w:hAnsiTheme="majorHAnsi" w:cstheme="minorBidi"/>
              <w:b w:val="0"/>
              <w:noProof/>
              <w:sz w:val="18"/>
              <w:szCs w:val="18"/>
              <w:bdr w:val="none" w:sz="0" w:space="0" w:color="auto"/>
              <w:lang w:val="es-US" w:eastAsia="zh-CN"/>
            </w:rPr>
          </w:pPr>
          <w:r w:rsidRPr="004E3DF7">
            <w:rPr>
              <w:rFonts w:asciiTheme="majorHAnsi" w:hAnsiTheme="majorHAnsi"/>
              <w:noProof/>
              <w:sz w:val="18"/>
              <w:szCs w:val="18"/>
              <w:lang w:val="es-ES"/>
            </w:rPr>
            <w:t>A.</w:t>
          </w:r>
          <w:r w:rsidRPr="004E3DF7">
            <w:rPr>
              <w:rFonts w:asciiTheme="majorHAnsi" w:eastAsiaTheme="minorEastAsia" w:hAnsiTheme="majorHAnsi" w:cstheme="minorBidi"/>
              <w:b w:val="0"/>
              <w:noProof/>
              <w:sz w:val="18"/>
              <w:szCs w:val="18"/>
              <w:bdr w:val="none" w:sz="0" w:space="0" w:color="auto"/>
              <w:lang w:val="es-US" w:eastAsia="zh-CN"/>
            </w:rPr>
            <w:tab/>
          </w:r>
          <w:r w:rsidRPr="004E3DF7">
            <w:rPr>
              <w:rFonts w:asciiTheme="majorHAnsi" w:hAnsiTheme="majorHAnsi"/>
              <w:noProof/>
              <w:sz w:val="18"/>
              <w:szCs w:val="18"/>
              <w:lang w:val="es-ES"/>
            </w:rPr>
            <w:t>Derechos a la integridad personal (artículo 5.1), a la libertad y seguridad personales (artículo 7.1) y a la libertad de derecho de circulación y residencia(artículo 22.1) en relación con el artículo 1.1 de la Convención Americana</w:t>
          </w:r>
          <w:r w:rsidRPr="004E3DF7">
            <w:rPr>
              <w:rFonts w:asciiTheme="majorHAnsi" w:hAnsiTheme="majorHAnsi"/>
              <w:noProof/>
              <w:sz w:val="18"/>
              <w:szCs w:val="18"/>
              <w:lang w:val="es-US"/>
            </w:rPr>
            <w:tab/>
          </w:r>
          <w:r w:rsidRPr="004E3DF7">
            <w:rPr>
              <w:rFonts w:asciiTheme="majorHAnsi" w:hAnsiTheme="majorHAnsi"/>
              <w:noProof/>
              <w:sz w:val="18"/>
              <w:szCs w:val="18"/>
            </w:rPr>
            <w:fldChar w:fldCharType="begin"/>
          </w:r>
          <w:r w:rsidRPr="004E3DF7">
            <w:rPr>
              <w:rFonts w:asciiTheme="majorHAnsi" w:hAnsiTheme="majorHAnsi"/>
              <w:noProof/>
              <w:sz w:val="18"/>
              <w:szCs w:val="18"/>
              <w:lang w:val="es-US"/>
            </w:rPr>
            <w:instrText xml:space="preserve"> PAGEREF _Toc70437019 \h </w:instrText>
          </w:r>
          <w:r w:rsidRPr="004E3DF7">
            <w:rPr>
              <w:rFonts w:asciiTheme="majorHAnsi" w:hAnsiTheme="majorHAnsi"/>
              <w:noProof/>
              <w:sz w:val="18"/>
              <w:szCs w:val="18"/>
            </w:rPr>
          </w:r>
          <w:r w:rsidRPr="004E3DF7">
            <w:rPr>
              <w:rFonts w:asciiTheme="majorHAnsi" w:hAnsiTheme="majorHAnsi"/>
              <w:noProof/>
              <w:sz w:val="18"/>
              <w:szCs w:val="18"/>
            </w:rPr>
            <w:fldChar w:fldCharType="separate"/>
          </w:r>
          <w:r w:rsidR="005D5F07">
            <w:rPr>
              <w:rFonts w:asciiTheme="majorHAnsi" w:hAnsiTheme="majorHAnsi"/>
              <w:noProof/>
              <w:sz w:val="18"/>
              <w:szCs w:val="18"/>
              <w:lang w:val="es-US"/>
            </w:rPr>
            <w:t>10</w:t>
          </w:r>
          <w:r w:rsidRPr="004E3DF7">
            <w:rPr>
              <w:rFonts w:asciiTheme="majorHAnsi" w:hAnsiTheme="majorHAnsi"/>
              <w:noProof/>
              <w:sz w:val="18"/>
              <w:szCs w:val="18"/>
            </w:rPr>
            <w:fldChar w:fldCharType="end"/>
          </w:r>
        </w:p>
        <w:p w14:paraId="5081C3D0" w14:textId="2FEAF8E6" w:rsidR="004E3DF7" w:rsidRPr="004E3DF7" w:rsidRDefault="004E3DF7">
          <w:pPr>
            <w:pStyle w:val="TOC3"/>
            <w:rPr>
              <w:rFonts w:asciiTheme="majorHAnsi" w:eastAsiaTheme="minorEastAsia" w:hAnsiTheme="majorHAnsi" w:cstheme="minorBidi"/>
              <w:noProof/>
              <w:sz w:val="18"/>
              <w:szCs w:val="18"/>
              <w:bdr w:val="none" w:sz="0" w:space="0" w:color="auto"/>
              <w:lang w:val="es-US" w:eastAsia="zh-CN"/>
            </w:rPr>
          </w:pPr>
          <w:r w:rsidRPr="004E3DF7">
            <w:rPr>
              <w:rFonts w:asciiTheme="majorHAnsi" w:hAnsiTheme="majorHAnsi"/>
              <w:noProof/>
              <w:sz w:val="18"/>
              <w:szCs w:val="18"/>
              <w:lang w:val="es-ES"/>
            </w:rPr>
            <w:t>1.</w:t>
          </w:r>
          <w:r w:rsidRPr="004E3DF7">
            <w:rPr>
              <w:rFonts w:asciiTheme="majorHAnsi" w:eastAsiaTheme="minorEastAsia" w:hAnsiTheme="majorHAnsi" w:cstheme="minorBidi"/>
              <w:noProof/>
              <w:sz w:val="18"/>
              <w:szCs w:val="18"/>
              <w:bdr w:val="none" w:sz="0" w:space="0" w:color="auto"/>
              <w:lang w:val="es-US" w:eastAsia="zh-CN"/>
            </w:rPr>
            <w:tab/>
          </w:r>
          <w:r w:rsidRPr="004E3DF7">
            <w:rPr>
              <w:rFonts w:asciiTheme="majorHAnsi" w:hAnsiTheme="majorHAnsi"/>
              <w:noProof/>
              <w:sz w:val="18"/>
              <w:szCs w:val="18"/>
              <w:lang w:val="es-ES"/>
            </w:rPr>
            <w:t>Consideraciones generales sobre la obligación de garantía en su componente de prevención y protección</w:t>
          </w:r>
          <w:r w:rsidRPr="004E3DF7">
            <w:rPr>
              <w:rFonts w:asciiTheme="majorHAnsi" w:hAnsiTheme="majorHAnsi"/>
              <w:noProof/>
              <w:sz w:val="18"/>
              <w:szCs w:val="18"/>
              <w:lang w:val="es-US"/>
            </w:rPr>
            <w:tab/>
          </w:r>
          <w:r w:rsidRPr="004E3DF7">
            <w:rPr>
              <w:rFonts w:asciiTheme="majorHAnsi" w:hAnsiTheme="majorHAnsi"/>
              <w:noProof/>
              <w:sz w:val="18"/>
              <w:szCs w:val="18"/>
            </w:rPr>
            <w:fldChar w:fldCharType="begin"/>
          </w:r>
          <w:r w:rsidRPr="004E3DF7">
            <w:rPr>
              <w:rFonts w:asciiTheme="majorHAnsi" w:hAnsiTheme="majorHAnsi"/>
              <w:noProof/>
              <w:sz w:val="18"/>
              <w:szCs w:val="18"/>
              <w:lang w:val="es-US"/>
            </w:rPr>
            <w:instrText xml:space="preserve"> PAGEREF _Toc70437020 \h </w:instrText>
          </w:r>
          <w:r w:rsidRPr="004E3DF7">
            <w:rPr>
              <w:rFonts w:asciiTheme="majorHAnsi" w:hAnsiTheme="majorHAnsi"/>
              <w:noProof/>
              <w:sz w:val="18"/>
              <w:szCs w:val="18"/>
            </w:rPr>
          </w:r>
          <w:r w:rsidRPr="004E3DF7">
            <w:rPr>
              <w:rFonts w:asciiTheme="majorHAnsi" w:hAnsiTheme="majorHAnsi"/>
              <w:noProof/>
              <w:sz w:val="18"/>
              <w:szCs w:val="18"/>
            </w:rPr>
            <w:fldChar w:fldCharType="separate"/>
          </w:r>
          <w:r w:rsidR="005D5F07">
            <w:rPr>
              <w:rFonts w:asciiTheme="majorHAnsi" w:hAnsiTheme="majorHAnsi"/>
              <w:noProof/>
              <w:sz w:val="18"/>
              <w:szCs w:val="18"/>
              <w:lang w:val="es-US"/>
            </w:rPr>
            <w:t>10</w:t>
          </w:r>
          <w:r w:rsidRPr="004E3DF7">
            <w:rPr>
              <w:rFonts w:asciiTheme="majorHAnsi" w:hAnsiTheme="majorHAnsi"/>
              <w:noProof/>
              <w:sz w:val="18"/>
              <w:szCs w:val="18"/>
            </w:rPr>
            <w:fldChar w:fldCharType="end"/>
          </w:r>
        </w:p>
        <w:p w14:paraId="1D41F4C1" w14:textId="1D694D19" w:rsidR="004E3DF7" w:rsidRPr="004E3DF7" w:rsidRDefault="004E3DF7">
          <w:pPr>
            <w:pStyle w:val="TOC3"/>
            <w:rPr>
              <w:rFonts w:asciiTheme="majorHAnsi" w:eastAsiaTheme="minorEastAsia" w:hAnsiTheme="majorHAnsi" w:cstheme="minorBidi"/>
              <w:noProof/>
              <w:sz w:val="18"/>
              <w:szCs w:val="18"/>
              <w:bdr w:val="none" w:sz="0" w:space="0" w:color="auto"/>
              <w:lang w:val="es-US" w:eastAsia="zh-CN"/>
            </w:rPr>
          </w:pPr>
          <w:r w:rsidRPr="004E3DF7">
            <w:rPr>
              <w:rFonts w:asciiTheme="majorHAnsi" w:hAnsiTheme="majorHAnsi"/>
              <w:noProof/>
              <w:sz w:val="18"/>
              <w:szCs w:val="18"/>
              <w:lang w:val="es-ES"/>
            </w:rPr>
            <w:t>2.</w:t>
          </w:r>
          <w:r w:rsidRPr="004E3DF7">
            <w:rPr>
              <w:rFonts w:asciiTheme="majorHAnsi" w:eastAsiaTheme="minorEastAsia" w:hAnsiTheme="majorHAnsi" w:cstheme="minorBidi"/>
              <w:noProof/>
              <w:sz w:val="18"/>
              <w:szCs w:val="18"/>
              <w:bdr w:val="none" w:sz="0" w:space="0" w:color="auto"/>
              <w:lang w:val="es-US" w:eastAsia="zh-CN"/>
            </w:rPr>
            <w:tab/>
          </w:r>
          <w:r w:rsidRPr="004E3DF7">
            <w:rPr>
              <w:rFonts w:asciiTheme="majorHAnsi" w:hAnsiTheme="majorHAnsi"/>
              <w:noProof/>
              <w:sz w:val="18"/>
              <w:szCs w:val="18"/>
              <w:lang w:val="es-ES"/>
            </w:rPr>
            <w:t>Consideraciones específicas sobre la obligación de garantía en el contexto de secuestros extorsivos cometidos por actores no estatales</w:t>
          </w:r>
          <w:r w:rsidRPr="004E3DF7">
            <w:rPr>
              <w:rFonts w:asciiTheme="majorHAnsi" w:hAnsiTheme="majorHAnsi"/>
              <w:noProof/>
              <w:sz w:val="18"/>
              <w:szCs w:val="18"/>
              <w:lang w:val="es-US"/>
            </w:rPr>
            <w:tab/>
          </w:r>
          <w:r w:rsidRPr="004E3DF7">
            <w:rPr>
              <w:rFonts w:asciiTheme="majorHAnsi" w:hAnsiTheme="majorHAnsi"/>
              <w:noProof/>
              <w:sz w:val="18"/>
              <w:szCs w:val="18"/>
            </w:rPr>
            <w:fldChar w:fldCharType="begin"/>
          </w:r>
          <w:r w:rsidRPr="004E3DF7">
            <w:rPr>
              <w:rFonts w:asciiTheme="majorHAnsi" w:hAnsiTheme="majorHAnsi"/>
              <w:noProof/>
              <w:sz w:val="18"/>
              <w:szCs w:val="18"/>
              <w:lang w:val="es-US"/>
            </w:rPr>
            <w:instrText xml:space="preserve"> PAGEREF _Toc70437021 \h </w:instrText>
          </w:r>
          <w:r w:rsidRPr="004E3DF7">
            <w:rPr>
              <w:rFonts w:asciiTheme="majorHAnsi" w:hAnsiTheme="majorHAnsi"/>
              <w:noProof/>
              <w:sz w:val="18"/>
              <w:szCs w:val="18"/>
            </w:rPr>
          </w:r>
          <w:r w:rsidRPr="004E3DF7">
            <w:rPr>
              <w:rFonts w:asciiTheme="majorHAnsi" w:hAnsiTheme="majorHAnsi"/>
              <w:noProof/>
              <w:sz w:val="18"/>
              <w:szCs w:val="18"/>
            </w:rPr>
            <w:fldChar w:fldCharType="separate"/>
          </w:r>
          <w:r w:rsidR="005D5F07">
            <w:rPr>
              <w:rFonts w:asciiTheme="majorHAnsi" w:hAnsiTheme="majorHAnsi"/>
              <w:noProof/>
              <w:sz w:val="18"/>
              <w:szCs w:val="18"/>
              <w:lang w:val="es-US"/>
            </w:rPr>
            <w:t>11</w:t>
          </w:r>
          <w:r w:rsidRPr="004E3DF7">
            <w:rPr>
              <w:rFonts w:asciiTheme="majorHAnsi" w:hAnsiTheme="majorHAnsi"/>
              <w:noProof/>
              <w:sz w:val="18"/>
              <w:szCs w:val="18"/>
            </w:rPr>
            <w:fldChar w:fldCharType="end"/>
          </w:r>
        </w:p>
        <w:p w14:paraId="06576310" w14:textId="294EE178" w:rsidR="004E3DF7" w:rsidRPr="004E3DF7" w:rsidRDefault="004E3DF7">
          <w:pPr>
            <w:pStyle w:val="TOC3"/>
            <w:rPr>
              <w:rFonts w:asciiTheme="majorHAnsi" w:eastAsiaTheme="minorEastAsia" w:hAnsiTheme="majorHAnsi" w:cstheme="minorBidi"/>
              <w:noProof/>
              <w:sz w:val="18"/>
              <w:szCs w:val="18"/>
              <w:bdr w:val="none" w:sz="0" w:space="0" w:color="auto"/>
              <w:lang w:val="es-US" w:eastAsia="zh-CN"/>
            </w:rPr>
          </w:pPr>
          <w:r w:rsidRPr="004E3DF7">
            <w:rPr>
              <w:rFonts w:asciiTheme="majorHAnsi" w:hAnsiTheme="majorHAnsi"/>
              <w:noProof/>
              <w:sz w:val="18"/>
              <w:szCs w:val="18"/>
              <w:lang w:val="es-ES"/>
            </w:rPr>
            <w:t>3.</w:t>
          </w:r>
          <w:r w:rsidRPr="004E3DF7">
            <w:rPr>
              <w:rFonts w:asciiTheme="majorHAnsi" w:eastAsiaTheme="minorEastAsia" w:hAnsiTheme="majorHAnsi" w:cstheme="minorBidi"/>
              <w:noProof/>
              <w:sz w:val="18"/>
              <w:szCs w:val="18"/>
              <w:bdr w:val="none" w:sz="0" w:space="0" w:color="auto"/>
              <w:lang w:val="es-US" w:eastAsia="zh-CN"/>
            </w:rPr>
            <w:tab/>
          </w:r>
          <w:r w:rsidRPr="004E3DF7">
            <w:rPr>
              <w:rFonts w:asciiTheme="majorHAnsi" w:hAnsiTheme="majorHAnsi"/>
              <w:noProof/>
              <w:sz w:val="18"/>
              <w:szCs w:val="18"/>
              <w:lang w:val="es-ES"/>
            </w:rPr>
            <w:t>Análisis del deber de prevención y protección en el caso de Carlos Arturo Betancourt Estrada</w:t>
          </w:r>
          <w:r w:rsidRPr="004E3DF7">
            <w:rPr>
              <w:rFonts w:asciiTheme="majorHAnsi" w:hAnsiTheme="majorHAnsi"/>
              <w:noProof/>
              <w:sz w:val="18"/>
              <w:szCs w:val="18"/>
              <w:lang w:val="es-US"/>
            </w:rPr>
            <w:tab/>
          </w:r>
          <w:r w:rsidRPr="004E3DF7">
            <w:rPr>
              <w:rFonts w:asciiTheme="majorHAnsi" w:hAnsiTheme="majorHAnsi"/>
              <w:noProof/>
              <w:sz w:val="18"/>
              <w:szCs w:val="18"/>
            </w:rPr>
            <w:fldChar w:fldCharType="begin"/>
          </w:r>
          <w:r w:rsidRPr="004E3DF7">
            <w:rPr>
              <w:rFonts w:asciiTheme="majorHAnsi" w:hAnsiTheme="majorHAnsi"/>
              <w:noProof/>
              <w:sz w:val="18"/>
              <w:szCs w:val="18"/>
              <w:lang w:val="es-US"/>
            </w:rPr>
            <w:instrText xml:space="preserve"> PAGEREF _Toc70437022 \h </w:instrText>
          </w:r>
          <w:r w:rsidRPr="004E3DF7">
            <w:rPr>
              <w:rFonts w:asciiTheme="majorHAnsi" w:hAnsiTheme="majorHAnsi"/>
              <w:noProof/>
              <w:sz w:val="18"/>
              <w:szCs w:val="18"/>
            </w:rPr>
          </w:r>
          <w:r w:rsidRPr="004E3DF7">
            <w:rPr>
              <w:rFonts w:asciiTheme="majorHAnsi" w:hAnsiTheme="majorHAnsi"/>
              <w:noProof/>
              <w:sz w:val="18"/>
              <w:szCs w:val="18"/>
            </w:rPr>
            <w:fldChar w:fldCharType="separate"/>
          </w:r>
          <w:r w:rsidR="005D5F07">
            <w:rPr>
              <w:rFonts w:asciiTheme="majorHAnsi" w:hAnsiTheme="majorHAnsi"/>
              <w:noProof/>
              <w:sz w:val="18"/>
              <w:szCs w:val="18"/>
              <w:lang w:val="es-US"/>
            </w:rPr>
            <w:t>14</w:t>
          </w:r>
          <w:r w:rsidRPr="004E3DF7">
            <w:rPr>
              <w:rFonts w:asciiTheme="majorHAnsi" w:hAnsiTheme="majorHAnsi"/>
              <w:noProof/>
              <w:sz w:val="18"/>
              <w:szCs w:val="18"/>
            </w:rPr>
            <w:fldChar w:fldCharType="end"/>
          </w:r>
        </w:p>
        <w:p w14:paraId="61801335" w14:textId="0F4028EF" w:rsidR="004E3DF7" w:rsidRPr="004E3DF7" w:rsidRDefault="004E3DF7">
          <w:pPr>
            <w:pStyle w:val="TOC2"/>
            <w:rPr>
              <w:rFonts w:asciiTheme="majorHAnsi" w:eastAsiaTheme="minorEastAsia" w:hAnsiTheme="majorHAnsi" w:cstheme="minorBidi"/>
              <w:b w:val="0"/>
              <w:noProof/>
              <w:sz w:val="18"/>
              <w:szCs w:val="18"/>
              <w:bdr w:val="none" w:sz="0" w:space="0" w:color="auto"/>
              <w:lang w:val="es-US" w:eastAsia="zh-CN"/>
            </w:rPr>
          </w:pPr>
          <w:r w:rsidRPr="004E3DF7">
            <w:rPr>
              <w:rFonts w:asciiTheme="majorHAnsi" w:hAnsiTheme="majorHAnsi"/>
              <w:noProof/>
              <w:sz w:val="18"/>
              <w:szCs w:val="18"/>
              <w:lang w:val="es-ES"/>
            </w:rPr>
            <w:t>B.</w:t>
          </w:r>
          <w:r w:rsidRPr="004E3DF7">
            <w:rPr>
              <w:rFonts w:asciiTheme="majorHAnsi" w:eastAsiaTheme="minorEastAsia" w:hAnsiTheme="majorHAnsi" w:cstheme="minorBidi"/>
              <w:b w:val="0"/>
              <w:noProof/>
              <w:sz w:val="18"/>
              <w:szCs w:val="18"/>
              <w:bdr w:val="none" w:sz="0" w:space="0" w:color="auto"/>
              <w:lang w:val="es-US" w:eastAsia="zh-CN"/>
            </w:rPr>
            <w:tab/>
          </w:r>
          <w:r w:rsidRPr="004E3DF7">
            <w:rPr>
              <w:rFonts w:asciiTheme="majorHAnsi" w:hAnsiTheme="majorHAnsi"/>
              <w:noProof/>
              <w:sz w:val="18"/>
              <w:szCs w:val="18"/>
              <w:lang w:val="es-ES"/>
            </w:rPr>
            <w:t>El derecho a la integridad personal (artículo 5.1) y el derecho a la libertad de circulación y residencia(artículo 22.1) en relación con el artículo 1.1 de la Convención Americana</w:t>
          </w:r>
          <w:r w:rsidRPr="004E3DF7">
            <w:rPr>
              <w:rFonts w:asciiTheme="majorHAnsi" w:hAnsiTheme="majorHAnsi"/>
              <w:noProof/>
              <w:sz w:val="18"/>
              <w:szCs w:val="18"/>
              <w:lang w:val="es-US"/>
            </w:rPr>
            <w:tab/>
          </w:r>
          <w:r w:rsidRPr="004E3DF7">
            <w:rPr>
              <w:rFonts w:asciiTheme="majorHAnsi" w:hAnsiTheme="majorHAnsi"/>
              <w:noProof/>
              <w:sz w:val="18"/>
              <w:szCs w:val="18"/>
            </w:rPr>
            <w:fldChar w:fldCharType="begin"/>
          </w:r>
          <w:r w:rsidRPr="004E3DF7">
            <w:rPr>
              <w:rFonts w:asciiTheme="majorHAnsi" w:hAnsiTheme="majorHAnsi"/>
              <w:noProof/>
              <w:sz w:val="18"/>
              <w:szCs w:val="18"/>
              <w:lang w:val="es-US"/>
            </w:rPr>
            <w:instrText xml:space="preserve"> PAGEREF _Toc70437023 \h </w:instrText>
          </w:r>
          <w:r w:rsidRPr="004E3DF7">
            <w:rPr>
              <w:rFonts w:asciiTheme="majorHAnsi" w:hAnsiTheme="majorHAnsi"/>
              <w:noProof/>
              <w:sz w:val="18"/>
              <w:szCs w:val="18"/>
            </w:rPr>
          </w:r>
          <w:r w:rsidRPr="004E3DF7">
            <w:rPr>
              <w:rFonts w:asciiTheme="majorHAnsi" w:hAnsiTheme="majorHAnsi"/>
              <w:noProof/>
              <w:sz w:val="18"/>
              <w:szCs w:val="18"/>
            </w:rPr>
            <w:fldChar w:fldCharType="separate"/>
          </w:r>
          <w:r w:rsidR="005D5F07">
            <w:rPr>
              <w:rFonts w:asciiTheme="majorHAnsi" w:hAnsiTheme="majorHAnsi"/>
              <w:noProof/>
              <w:sz w:val="18"/>
              <w:szCs w:val="18"/>
              <w:lang w:val="es-US"/>
            </w:rPr>
            <w:t>16</w:t>
          </w:r>
          <w:r w:rsidRPr="004E3DF7">
            <w:rPr>
              <w:rFonts w:asciiTheme="majorHAnsi" w:hAnsiTheme="majorHAnsi"/>
              <w:noProof/>
              <w:sz w:val="18"/>
              <w:szCs w:val="18"/>
            </w:rPr>
            <w:fldChar w:fldCharType="end"/>
          </w:r>
        </w:p>
        <w:p w14:paraId="096DD384" w14:textId="61F7CC73" w:rsidR="004E3DF7" w:rsidRPr="004E3DF7" w:rsidRDefault="004E3DF7">
          <w:pPr>
            <w:pStyle w:val="TOC2"/>
            <w:rPr>
              <w:rFonts w:asciiTheme="majorHAnsi" w:eastAsiaTheme="minorEastAsia" w:hAnsiTheme="majorHAnsi" w:cstheme="minorBidi"/>
              <w:b w:val="0"/>
              <w:noProof/>
              <w:sz w:val="18"/>
              <w:szCs w:val="18"/>
              <w:bdr w:val="none" w:sz="0" w:space="0" w:color="auto"/>
              <w:lang w:val="es-US" w:eastAsia="zh-CN"/>
            </w:rPr>
          </w:pPr>
          <w:r w:rsidRPr="004E3DF7">
            <w:rPr>
              <w:rFonts w:asciiTheme="majorHAnsi" w:hAnsiTheme="majorHAnsi"/>
              <w:noProof/>
              <w:sz w:val="18"/>
              <w:szCs w:val="18"/>
              <w:lang w:val="es-ES"/>
            </w:rPr>
            <w:t>C.</w:t>
          </w:r>
          <w:r w:rsidRPr="004E3DF7">
            <w:rPr>
              <w:rFonts w:asciiTheme="majorHAnsi" w:eastAsiaTheme="minorEastAsia" w:hAnsiTheme="majorHAnsi" w:cstheme="minorBidi"/>
              <w:b w:val="0"/>
              <w:noProof/>
              <w:sz w:val="18"/>
              <w:szCs w:val="18"/>
              <w:bdr w:val="none" w:sz="0" w:space="0" w:color="auto"/>
              <w:lang w:val="es-US" w:eastAsia="zh-CN"/>
            </w:rPr>
            <w:tab/>
          </w:r>
          <w:r w:rsidRPr="004E3DF7">
            <w:rPr>
              <w:rFonts w:asciiTheme="majorHAnsi" w:hAnsiTheme="majorHAnsi"/>
              <w:noProof/>
              <w:sz w:val="18"/>
              <w:szCs w:val="18"/>
              <w:lang w:val="es-ES"/>
            </w:rPr>
            <w:t>El derecho a las garantías judiciales y la protección judicial (artículos 8 y artículo 25.1) en relación con el artículo 1.1 de la Convención Americana</w:t>
          </w:r>
          <w:r w:rsidRPr="004E3DF7">
            <w:rPr>
              <w:rFonts w:asciiTheme="majorHAnsi" w:hAnsiTheme="majorHAnsi"/>
              <w:noProof/>
              <w:sz w:val="18"/>
              <w:szCs w:val="18"/>
              <w:lang w:val="es-US"/>
            </w:rPr>
            <w:tab/>
          </w:r>
          <w:r w:rsidRPr="004E3DF7">
            <w:rPr>
              <w:rFonts w:asciiTheme="majorHAnsi" w:hAnsiTheme="majorHAnsi"/>
              <w:noProof/>
              <w:sz w:val="18"/>
              <w:szCs w:val="18"/>
            </w:rPr>
            <w:fldChar w:fldCharType="begin"/>
          </w:r>
          <w:r w:rsidRPr="004E3DF7">
            <w:rPr>
              <w:rFonts w:asciiTheme="majorHAnsi" w:hAnsiTheme="majorHAnsi"/>
              <w:noProof/>
              <w:sz w:val="18"/>
              <w:szCs w:val="18"/>
              <w:lang w:val="es-US"/>
            </w:rPr>
            <w:instrText xml:space="preserve"> PAGEREF _Toc70437024 \h </w:instrText>
          </w:r>
          <w:r w:rsidRPr="004E3DF7">
            <w:rPr>
              <w:rFonts w:asciiTheme="majorHAnsi" w:hAnsiTheme="majorHAnsi"/>
              <w:noProof/>
              <w:sz w:val="18"/>
              <w:szCs w:val="18"/>
            </w:rPr>
          </w:r>
          <w:r w:rsidRPr="004E3DF7">
            <w:rPr>
              <w:rFonts w:asciiTheme="majorHAnsi" w:hAnsiTheme="majorHAnsi"/>
              <w:noProof/>
              <w:sz w:val="18"/>
              <w:szCs w:val="18"/>
            </w:rPr>
            <w:fldChar w:fldCharType="separate"/>
          </w:r>
          <w:r w:rsidR="005D5F07">
            <w:rPr>
              <w:rFonts w:asciiTheme="majorHAnsi" w:hAnsiTheme="majorHAnsi"/>
              <w:noProof/>
              <w:sz w:val="18"/>
              <w:szCs w:val="18"/>
              <w:lang w:val="es-US"/>
            </w:rPr>
            <w:t>17</w:t>
          </w:r>
          <w:r w:rsidRPr="004E3DF7">
            <w:rPr>
              <w:rFonts w:asciiTheme="majorHAnsi" w:hAnsiTheme="majorHAnsi"/>
              <w:noProof/>
              <w:sz w:val="18"/>
              <w:szCs w:val="18"/>
            </w:rPr>
            <w:fldChar w:fldCharType="end"/>
          </w:r>
        </w:p>
        <w:p w14:paraId="55581AB6" w14:textId="7DFC44D3" w:rsidR="004E3DF7" w:rsidRPr="004E3DF7" w:rsidRDefault="004E3DF7">
          <w:pPr>
            <w:pStyle w:val="TOC3"/>
            <w:rPr>
              <w:rFonts w:asciiTheme="majorHAnsi" w:eastAsiaTheme="minorEastAsia" w:hAnsiTheme="majorHAnsi" w:cstheme="minorBidi"/>
              <w:noProof/>
              <w:sz w:val="18"/>
              <w:szCs w:val="18"/>
              <w:bdr w:val="none" w:sz="0" w:space="0" w:color="auto"/>
              <w:lang w:val="es-US" w:eastAsia="zh-CN"/>
            </w:rPr>
          </w:pPr>
          <w:r w:rsidRPr="004E3DF7">
            <w:rPr>
              <w:rFonts w:asciiTheme="majorHAnsi" w:hAnsiTheme="majorHAnsi"/>
              <w:noProof/>
              <w:sz w:val="18"/>
              <w:szCs w:val="18"/>
              <w:lang w:val="es-ES"/>
            </w:rPr>
            <w:t>1.</w:t>
          </w:r>
          <w:r w:rsidRPr="004E3DF7">
            <w:rPr>
              <w:rFonts w:asciiTheme="majorHAnsi" w:eastAsiaTheme="minorEastAsia" w:hAnsiTheme="majorHAnsi" w:cstheme="minorBidi"/>
              <w:noProof/>
              <w:sz w:val="18"/>
              <w:szCs w:val="18"/>
              <w:bdr w:val="none" w:sz="0" w:space="0" w:color="auto"/>
              <w:lang w:val="es-US" w:eastAsia="zh-CN"/>
            </w:rPr>
            <w:tab/>
          </w:r>
          <w:r w:rsidRPr="004E3DF7">
            <w:rPr>
              <w:rFonts w:asciiTheme="majorHAnsi" w:hAnsiTheme="majorHAnsi"/>
              <w:noProof/>
              <w:sz w:val="18"/>
              <w:szCs w:val="18"/>
              <w:lang w:val="es-ES"/>
            </w:rPr>
            <w:t>Estándares de debida diligencia, oficiosidad y plazo razonable en el sistema interamericano</w:t>
          </w:r>
          <w:r w:rsidRPr="004E3DF7">
            <w:rPr>
              <w:rFonts w:asciiTheme="majorHAnsi" w:hAnsiTheme="majorHAnsi"/>
              <w:noProof/>
              <w:sz w:val="18"/>
              <w:szCs w:val="18"/>
              <w:lang w:val="es-US"/>
            </w:rPr>
            <w:tab/>
          </w:r>
          <w:r w:rsidRPr="004E3DF7">
            <w:rPr>
              <w:rFonts w:asciiTheme="majorHAnsi" w:hAnsiTheme="majorHAnsi"/>
              <w:noProof/>
              <w:sz w:val="18"/>
              <w:szCs w:val="18"/>
            </w:rPr>
            <w:fldChar w:fldCharType="begin"/>
          </w:r>
          <w:r w:rsidRPr="004E3DF7">
            <w:rPr>
              <w:rFonts w:asciiTheme="majorHAnsi" w:hAnsiTheme="majorHAnsi"/>
              <w:noProof/>
              <w:sz w:val="18"/>
              <w:szCs w:val="18"/>
              <w:lang w:val="es-US"/>
            </w:rPr>
            <w:instrText xml:space="preserve"> PAGEREF _Toc70437025 \h </w:instrText>
          </w:r>
          <w:r w:rsidRPr="004E3DF7">
            <w:rPr>
              <w:rFonts w:asciiTheme="majorHAnsi" w:hAnsiTheme="majorHAnsi"/>
              <w:noProof/>
              <w:sz w:val="18"/>
              <w:szCs w:val="18"/>
            </w:rPr>
          </w:r>
          <w:r w:rsidRPr="004E3DF7">
            <w:rPr>
              <w:rFonts w:asciiTheme="majorHAnsi" w:hAnsiTheme="majorHAnsi"/>
              <w:noProof/>
              <w:sz w:val="18"/>
              <w:szCs w:val="18"/>
            </w:rPr>
            <w:fldChar w:fldCharType="separate"/>
          </w:r>
          <w:r w:rsidR="005D5F07">
            <w:rPr>
              <w:rFonts w:asciiTheme="majorHAnsi" w:hAnsiTheme="majorHAnsi"/>
              <w:noProof/>
              <w:sz w:val="18"/>
              <w:szCs w:val="18"/>
              <w:lang w:val="es-US"/>
            </w:rPr>
            <w:t>17</w:t>
          </w:r>
          <w:r w:rsidRPr="004E3DF7">
            <w:rPr>
              <w:rFonts w:asciiTheme="majorHAnsi" w:hAnsiTheme="majorHAnsi"/>
              <w:noProof/>
              <w:sz w:val="18"/>
              <w:szCs w:val="18"/>
            </w:rPr>
            <w:fldChar w:fldCharType="end"/>
          </w:r>
        </w:p>
        <w:p w14:paraId="300594F4" w14:textId="7EF9EEDB" w:rsidR="004E3DF7" w:rsidRPr="004E3DF7" w:rsidRDefault="004E3DF7">
          <w:pPr>
            <w:pStyle w:val="TOC3"/>
            <w:rPr>
              <w:rFonts w:asciiTheme="majorHAnsi" w:eastAsiaTheme="minorEastAsia" w:hAnsiTheme="majorHAnsi" w:cstheme="minorBidi"/>
              <w:noProof/>
              <w:sz w:val="18"/>
              <w:szCs w:val="18"/>
              <w:bdr w:val="none" w:sz="0" w:space="0" w:color="auto"/>
              <w:lang w:val="es-US" w:eastAsia="zh-CN"/>
            </w:rPr>
          </w:pPr>
          <w:r w:rsidRPr="004E3DF7">
            <w:rPr>
              <w:rFonts w:asciiTheme="majorHAnsi" w:hAnsiTheme="majorHAnsi"/>
              <w:noProof/>
              <w:sz w:val="18"/>
              <w:szCs w:val="18"/>
              <w:lang w:val="es-ES"/>
            </w:rPr>
            <w:t>2.</w:t>
          </w:r>
          <w:r w:rsidRPr="004E3DF7">
            <w:rPr>
              <w:rFonts w:asciiTheme="majorHAnsi" w:eastAsiaTheme="minorEastAsia" w:hAnsiTheme="majorHAnsi" w:cstheme="minorBidi"/>
              <w:noProof/>
              <w:sz w:val="18"/>
              <w:szCs w:val="18"/>
              <w:bdr w:val="none" w:sz="0" w:space="0" w:color="auto"/>
              <w:lang w:val="es-US" w:eastAsia="zh-CN"/>
            </w:rPr>
            <w:tab/>
          </w:r>
          <w:r w:rsidRPr="004E3DF7">
            <w:rPr>
              <w:rFonts w:asciiTheme="majorHAnsi" w:hAnsiTheme="majorHAnsi"/>
              <w:noProof/>
              <w:sz w:val="18"/>
              <w:szCs w:val="18"/>
              <w:lang w:val="es-ES"/>
            </w:rPr>
            <w:t>La debida diligencia en la investigación del secuestro extorsivo de Carlos Arturo Betancourt Estrada</w:t>
          </w:r>
          <w:r w:rsidRPr="004E3DF7">
            <w:rPr>
              <w:rFonts w:asciiTheme="majorHAnsi" w:hAnsiTheme="majorHAnsi"/>
              <w:noProof/>
              <w:sz w:val="18"/>
              <w:szCs w:val="18"/>
              <w:lang w:val="es-US"/>
            </w:rPr>
            <w:tab/>
          </w:r>
          <w:r w:rsidRPr="004E3DF7">
            <w:rPr>
              <w:rFonts w:asciiTheme="majorHAnsi" w:hAnsiTheme="majorHAnsi"/>
              <w:noProof/>
              <w:sz w:val="18"/>
              <w:szCs w:val="18"/>
            </w:rPr>
            <w:fldChar w:fldCharType="begin"/>
          </w:r>
          <w:r w:rsidRPr="004E3DF7">
            <w:rPr>
              <w:rFonts w:asciiTheme="majorHAnsi" w:hAnsiTheme="majorHAnsi"/>
              <w:noProof/>
              <w:sz w:val="18"/>
              <w:szCs w:val="18"/>
              <w:lang w:val="es-US"/>
            </w:rPr>
            <w:instrText xml:space="preserve"> PAGEREF _Toc70437026 \h </w:instrText>
          </w:r>
          <w:r w:rsidRPr="004E3DF7">
            <w:rPr>
              <w:rFonts w:asciiTheme="majorHAnsi" w:hAnsiTheme="majorHAnsi"/>
              <w:noProof/>
              <w:sz w:val="18"/>
              <w:szCs w:val="18"/>
            </w:rPr>
          </w:r>
          <w:r w:rsidRPr="004E3DF7">
            <w:rPr>
              <w:rFonts w:asciiTheme="majorHAnsi" w:hAnsiTheme="majorHAnsi"/>
              <w:noProof/>
              <w:sz w:val="18"/>
              <w:szCs w:val="18"/>
            </w:rPr>
            <w:fldChar w:fldCharType="separate"/>
          </w:r>
          <w:r w:rsidR="005D5F07">
            <w:rPr>
              <w:rFonts w:asciiTheme="majorHAnsi" w:hAnsiTheme="majorHAnsi"/>
              <w:noProof/>
              <w:sz w:val="18"/>
              <w:szCs w:val="18"/>
              <w:lang w:val="es-US"/>
            </w:rPr>
            <w:t>18</w:t>
          </w:r>
          <w:r w:rsidRPr="004E3DF7">
            <w:rPr>
              <w:rFonts w:asciiTheme="majorHAnsi" w:hAnsiTheme="majorHAnsi"/>
              <w:noProof/>
              <w:sz w:val="18"/>
              <w:szCs w:val="18"/>
            </w:rPr>
            <w:fldChar w:fldCharType="end"/>
          </w:r>
        </w:p>
        <w:p w14:paraId="61303080" w14:textId="0DAA997D" w:rsidR="004E3DF7" w:rsidRPr="004E3DF7" w:rsidRDefault="004E3DF7">
          <w:pPr>
            <w:pStyle w:val="TOC3"/>
            <w:rPr>
              <w:rFonts w:asciiTheme="majorHAnsi" w:eastAsiaTheme="minorEastAsia" w:hAnsiTheme="majorHAnsi" w:cstheme="minorBidi"/>
              <w:noProof/>
              <w:sz w:val="18"/>
              <w:szCs w:val="18"/>
              <w:bdr w:val="none" w:sz="0" w:space="0" w:color="auto"/>
              <w:lang w:val="es-US" w:eastAsia="zh-CN"/>
            </w:rPr>
          </w:pPr>
          <w:r w:rsidRPr="004E3DF7">
            <w:rPr>
              <w:rFonts w:asciiTheme="majorHAnsi" w:hAnsiTheme="majorHAnsi"/>
              <w:noProof/>
              <w:sz w:val="18"/>
              <w:szCs w:val="18"/>
              <w:lang w:val="es-ES"/>
            </w:rPr>
            <w:t>3.</w:t>
          </w:r>
          <w:r w:rsidRPr="004E3DF7">
            <w:rPr>
              <w:rFonts w:asciiTheme="majorHAnsi" w:eastAsiaTheme="minorEastAsia" w:hAnsiTheme="majorHAnsi" w:cstheme="minorBidi"/>
              <w:noProof/>
              <w:sz w:val="18"/>
              <w:szCs w:val="18"/>
              <w:bdr w:val="none" w:sz="0" w:space="0" w:color="auto"/>
              <w:lang w:val="es-US" w:eastAsia="zh-CN"/>
            </w:rPr>
            <w:tab/>
          </w:r>
          <w:r w:rsidRPr="004E3DF7">
            <w:rPr>
              <w:rFonts w:asciiTheme="majorHAnsi" w:hAnsiTheme="majorHAnsi"/>
              <w:noProof/>
              <w:sz w:val="18"/>
              <w:szCs w:val="18"/>
              <w:lang w:val="es-ES"/>
            </w:rPr>
            <w:t>Análisis del plazo razonable en la investigación penal del secuestro de Carlos Arturo Betancourt Estrada</w:t>
          </w:r>
          <w:r w:rsidRPr="004E3DF7">
            <w:rPr>
              <w:rFonts w:asciiTheme="majorHAnsi" w:hAnsiTheme="majorHAnsi"/>
              <w:noProof/>
              <w:sz w:val="18"/>
              <w:szCs w:val="18"/>
              <w:lang w:val="es-US"/>
            </w:rPr>
            <w:tab/>
          </w:r>
          <w:r w:rsidRPr="004E3DF7">
            <w:rPr>
              <w:rFonts w:asciiTheme="majorHAnsi" w:hAnsiTheme="majorHAnsi"/>
              <w:noProof/>
              <w:sz w:val="18"/>
              <w:szCs w:val="18"/>
            </w:rPr>
            <w:fldChar w:fldCharType="begin"/>
          </w:r>
          <w:r w:rsidRPr="004E3DF7">
            <w:rPr>
              <w:rFonts w:asciiTheme="majorHAnsi" w:hAnsiTheme="majorHAnsi"/>
              <w:noProof/>
              <w:sz w:val="18"/>
              <w:szCs w:val="18"/>
              <w:lang w:val="es-US"/>
            </w:rPr>
            <w:instrText xml:space="preserve"> PAGEREF _Toc70437027 \h </w:instrText>
          </w:r>
          <w:r w:rsidRPr="004E3DF7">
            <w:rPr>
              <w:rFonts w:asciiTheme="majorHAnsi" w:hAnsiTheme="majorHAnsi"/>
              <w:noProof/>
              <w:sz w:val="18"/>
              <w:szCs w:val="18"/>
            </w:rPr>
          </w:r>
          <w:r w:rsidRPr="004E3DF7">
            <w:rPr>
              <w:rFonts w:asciiTheme="majorHAnsi" w:hAnsiTheme="majorHAnsi"/>
              <w:noProof/>
              <w:sz w:val="18"/>
              <w:szCs w:val="18"/>
            </w:rPr>
            <w:fldChar w:fldCharType="separate"/>
          </w:r>
          <w:r w:rsidR="005D5F07">
            <w:rPr>
              <w:rFonts w:asciiTheme="majorHAnsi" w:hAnsiTheme="majorHAnsi"/>
              <w:noProof/>
              <w:sz w:val="18"/>
              <w:szCs w:val="18"/>
              <w:lang w:val="es-US"/>
            </w:rPr>
            <w:t>20</w:t>
          </w:r>
          <w:r w:rsidRPr="004E3DF7">
            <w:rPr>
              <w:rFonts w:asciiTheme="majorHAnsi" w:hAnsiTheme="majorHAnsi"/>
              <w:noProof/>
              <w:sz w:val="18"/>
              <w:szCs w:val="18"/>
            </w:rPr>
            <w:fldChar w:fldCharType="end"/>
          </w:r>
        </w:p>
        <w:p w14:paraId="10C192DE" w14:textId="75730605" w:rsidR="004E3DF7" w:rsidRPr="004E3DF7" w:rsidRDefault="004E3DF7">
          <w:pPr>
            <w:pStyle w:val="TOC3"/>
            <w:rPr>
              <w:rFonts w:asciiTheme="majorHAnsi" w:eastAsiaTheme="minorEastAsia" w:hAnsiTheme="majorHAnsi" w:cstheme="minorBidi"/>
              <w:noProof/>
              <w:sz w:val="18"/>
              <w:szCs w:val="18"/>
              <w:bdr w:val="none" w:sz="0" w:space="0" w:color="auto"/>
              <w:lang w:val="es-US" w:eastAsia="zh-CN"/>
            </w:rPr>
          </w:pPr>
          <w:r w:rsidRPr="004E3DF7">
            <w:rPr>
              <w:rFonts w:asciiTheme="majorHAnsi" w:hAnsiTheme="majorHAnsi"/>
              <w:noProof/>
              <w:sz w:val="18"/>
              <w:szCs w:val="18"/>
              <w:lang w:val="es-ES"/>
            </w:rPr>
            <w:t>4.</w:t>
          </w:r>
          <w:r w:rsidRPr="004E3DF7">
            <w:rPr>
              <w:rFonts w:asciiTheme="majorHAnsi" w:eastAsiaTheme="minorEastAsia" w:hAnsiTheme="majorHAnsi" w:cstheme="minorBidi"/>
              <w:noProof/>
              <w:sz w:val="18"/>
              <w:szCs w:val="18"/>
              <w:bdr w:val="none" w:sz="0" w:space="0" w:color="auto"/>
              <w:lang w:val="es-US" w:eastAsia="zh-CN"/>
            </w:rPr>
            <w:tab/>
          </w:r>
          <w:r w:rsidRPr="004E3DF7">
            <w:rPr>
              <w:rFonts w:asciiTheme="majorHAnsi" w:hAnsiTheme="majorHAnsi"/>
              <w:noProof/>
              <w:sz w:val="18"/>
              <w:szCs w:val="18"/>
              <w:lang w:val="es-ES"/>
            </w:rPr>
            <w:t>Conclusión</w:t>
          </w:r>
          <w:r w:rsidRPr="00706666">
            <w:rPr>
              <w:rFonts w:asciiTheme="majorHAnsi" w:hAnsiTheme="majorHAnsi"/>
              <w:noProof/>
              <w:sz w:val="18"/>
              <w:szCs w:val="18"/>
              <w:lang w:val="es-US"/>
            </w:rPr>
            <w:tab/>
          </w:r>
          <w:r w:rsidRPr="004E3DF7">
            <w:rPr>
              <w:rFonts w:asciiTheme="majorHAnsi" w:hAnsiTheme="majorHAnsi"/>
              <w:noProof/>
              <w:sz w:val="18"/>
              <w:szCs w:val="18"/>
            </w:rPr>
            <w:fldChar w:fldCharType="begin"/>
          </w:r>
          <w:r w:rsidRPr="00706666">
            <w:rPr>
              <w:rFonts w:asciiTheme="majorHAnsi" w:hAnsiTheme="majorHAnsi"/>
              <w:noProof/>
              <w:sz w:val="18"/>
              <w:szCs w:val="18"/>
              <w:lang w:val="es-US"/>
            </w:rPr>
            <w:instrText xml:space="preserve"> PAGEREF _Toc70437028 \h </w:instrText>
          </w:r>
          <w:r w:rsidRPr="004E3DF7">
            <w:rPr>
              <w:rFonts w:asciiTheme="majorHAnsi" w:hAnsiTheme="majorHAnsi"/>
              <w:noProof/>
              <w:sz w:val="18"/>
              <w:szCs w:val="18"/>
            </w:rPr>
          </w:r>
          <w:r w:rsidRPr="004E3DF7">
            <w:rPr>
              <w:rFonts w:asciiTheme="majorHAnsi" w:hAnsiTheme="majorHAnsi"/>
              <w:noProof/>
              <w:sz w:val="18"/>
              <w:szCs w:val="18"/>
            </w:rPr>
            <w:fldChar w:fldCharType="separate"/>
          </w:r>
          <w:r w:rsidR="005D5F07">
            <w:rPr>
              <w:rFonts w:asciiTheme="majorHAnsi" w:hAnsiTheme="majorHAnsi"/>
              <w:noProof/>
              <w:sz w:val="18"/>
              <w:szCs w:val="18"/>
              <w:lang w:val="es-US"/>
            </w:rPr>
            <w:t>20</w:t>
          </w:r>
          <w:r w:rsidRPr="004E3DF7">
            <w:rPr>
              <w:rFonts w:asciiTheme="majorHAnsi" w:hAnsiTheme="majorHAnsi"/>
              <w:noProof/>
              <w:sz w:val="18"/>
              <w:szCs w:val="18"/>
            </w:rPr>
            <w:fldChar w:fldCharType="end"/>
          </w:r>
        </w:p>
        <w:p w14:paraId="6D2C057E" w14:textId="16BFE230" w:rsidR="004E3DF7" w:rsidRPr="004E3DF7" w:rsidRDefault="004E3DF7">
          <w:pPr>
            <w:pStyle w:val="TOC1"/>
            <w:rPr>
              <w:rFonts w:eastAsiaTheme="minorEastAsia" w:cstheme="minorBidi"/>
              <w:b w:val="0"/>
              <w:noProof/>
              <w:sz w:val="18"/>
              <w:szCs w:val="18"/>
              <w:bdr w:val="none" w:sz="0" w:space="0" w:color="auto"/>
              <w:lang w:val="es-US" w:eastAsia="zh-CN"/>
            </w:rPr>
          </w:pPr>
          <w:r w:rsidRPr="00706666">
            <w:rPr>
              <w:noProof/>
              <w:color w:val="000000"/>
              <w:sz w:val="18"/>
              <w:szCs w:val="18"/>
              <w:lang w:val="es-US"/>
              <w14:scene3d>
                <w14:camera w14:prst="orthographicFront"/>
                <w14:lightRig w14:rig="threePt" w14:dir="t">
                  <w14:rot w14:lat="0" w14:lon="0" w14:rev="0"/>
                </w14:lightRig>
              </w14:scene3d>
            </w:rPr>
            <w:t>V.</w:t>
          </w:r>
          <w:r w:rsidRPr="004E3DF7">
            <w:rPr>
              <w:rFonts w:eastAsiaTheme="minorEastAsia" w:cstheme="minorBidi"/>
              <w:b w:val="0"/>
              <w:noProof/>
              <w:sz w:val="18"/>
              <w:szCs w:val="18"/>
              <w:bdr w:val="none" w:sz="0" w:space="0" w:color="auto"/>
              <w:lang w:val="es-US" w:eastAsia="zh-CN"/>
            </w:rPr>
            <w:tab/>
          </w:r>
          <w:r w:rsidRPr="00706666">
            <w:rPr>
              <w:noProof/>
              <w:sz w:val="18"/>
              <w:szCs w:val="18"/>
              <w:lang w:val="es-US"/>
            </w:rPr>
            <w:t>INFORME No. 108/18</w:t>
          </w:r>
          <w:r w:rsidRPr="00706666">
            <w:rPr>
              <w:noProof/>
              <w:sz w:val="18"/>
              <w:szCs w:val="18"/>
              <w:lang w:val="es-US"/>
            </w:rPr>
            <w:tab/>
          </w:r>
          <w:r w:rsidRPr="004E3DF7">
            <w:rPr>
              <w:noProof/>
              <w:sz w:val="18"/>
              <w:szCs w:val="18"/>
            </w:rPr>
            <w:fldChar w:fldCharType="begin"/>
          </w:r>
          <w:r w:rsidRPr="00706666">
            <w:rPr>
              <w:noProof/>
              <w:sz w:val="18"/>
              <w:szCs w:val="18"/>
              <w:lang w:val="es-US"/>
            </w:rPr>
            <w:instrText xml:space="preserve"> PAGEREF _Toc70437029 \h </w:instrText>
          </w:r>
          <w:r w:rsidRPr="004E3DF7">
            <w:rPr>
              <w:noProof/>
              <w:sz w:val="18"/>
              <w:szCs w:val="18"/>
            </w:rPr>
          </w:r>
          <w:r w:rsidRPr="004E3DF7">
            <w:rPr>
              <w:noProof/>
              <w:sz w:val="18"/>
              <w:szCs w:val="18"/>
            </w:rPr>
            <w:fldChar w:fldCharType="separate"/>
          </w:r>
          <w:r w:rsidR="005D5F07">
            <w:rPr>
              <w:noProof/>
              <w:sz w:val="18"/>
              <w:szCs w:val="18"/>
              <w:lang w:val="es-US"/>
            </w:rPr>
            <w:t>20</w:t>
          </w:r>
          <w:r w:rsidRPr="004E3DF7">
            <w:rPr>
              <w:noProof/>
              <w:sz w:val="18"/>
              <w:szCs w:val="18"/>
            </w:rPr>
            <w:fldChar w:fldCharType="end"/>
          </w:r>
        </w:p>
        <w:p w14:paraId="4CDBB17A" w14:textId="0D1FA204" w:rsidR="004E3DF7" w:rsidRPr="004E3DF7" w:rsidRDefault="004E3DF7">
          <w:pPr>
            <w:pStyle w:val="TOC1"/>
            <w:rPr>
              <w:rFonts w:eastAsiaTheme="minorEastAsia" w:cstheme="minorBidi"/>
              <w:b w:val="0"/>
              <w:noProof/>
              <w:sz w:val="18"/>
              <w:szCs w:val="18"/>
              <w:bdr w:val="none" w:sz="0" w:space="0" w:color="auto"/>
              <w:lang w:val="es-US" w:eastAsia="zh-CN"/>
            </w:rPr>
          </w:pPr>
          <w:r w:rsidRPr="00706666">
            <w:rPr>
              <w:noProof/>
              <w:color w:val="000000"/>
              <w:sz w:val="18"/>
              <w:szCs w:val="18"/>
              <w:lang w:val="es-US"/>
              <w14:scene3d>
                <w14:camera w14:prst="orthographicFront"/>
                <w14:lightRig w14:rig="threePt" w14:dir="t">
                  <w14:rot w14:lat="0" w14:lon="0" w14:rev="0"/>
                </w14:lightRig>
              </w14:scene3d>
            </w:rPr>
            <w:t>VI.</w:t>
          </w:r>
          <w:r w:rsidRPr="004E3DF7">
            <w:rPr>
              <w:rFonts w:eastAsiaTheme="minorEastAsia" w:cstheme="minorBidi"/>
              <w:b w:val="0"/>
              <w:noProof/>
              <w:sz w:val="18"/>
              <w:szCs w:val="18"/>
              <w:bdr w:val="none" w:sz="0" w:space="0" w:color="auto"/>
              <w:lang w:val="es-US" w:eastAsia="zh-CN"/>
            </w:rPr>
            <w:tab/>
          </w:r>
          <w:r w:rsidRPr="00706666">
            <w:rPr>
              <w:noProof/>
              <w:sz w:val="18"/>
              <w:szCs w:val="18"/>
              <w:lang w:val="es-US"/>
            </w:rPr>
            <w:t>ACTUACIONES POSTERIORES AL INFORME No. 108/18</w:t>
          </w:r>
          <w:r w:rsidRPr="00706666">
            <w:rPr>
              <w:noProof/>
              <w:sz w:val="18"/>
              <w:szCs w:val="18"/>
              <w:lang w:val="es-US"/>
            </w:rPr>
            <w:tab/>
          </w:r>
          <w:r w:rsidRPr="004E3DF7">
            <w:rPr>
              <w:noProof/>
              <w:sz w:val="18"/>
              <w:szCs w:val="18"/>
            </w:rPr>
            <w:fldChar w:fldCharType="begin"/>
          </w:r>
          <w:r w:rsidRPr="00706666">
            <w:rPr>
              <w:noProof/>
              <w:sz w:val="18"/>
              <w:szCs w:val="18"/>
              <w:lang w:val="es-US"/>
            </w:rPr>
            <w:instrText xml:space="preserve"> PAGEREF _Toc70437030 \h </w:instrText>
          </w:r>
          <w:r w:rsidRPr="004E3DF7">
            <w:rPr>
              <w:noProof/>
              <w:sz w:val="18"/>
              <w:szCs w:val="18"/>
            </w:rPr>
          </w:r>
          <w:r w:rsidRPr="004E3DF7">
            <w:rPr>
              <w:noProof/>
              <w:sz w:val="18"/>
              <w:szCs w:val="18"/>
            </w:rPr>
            <w:fldChar w:fldCharType="separate"/>
          </w:r>
          <w:r w:rsidR="005D5F07">
            <w:rPr>
              <w:noProof/>
              <w:sz w:val="18"/>
              <w:szCs w:val="18"/>
              <w:lang w:val="es-US"/>
            </w:rPr>
            <w:t>21</w:t>
          </w:r>
          <w:r w:rsidRPr="004E3DF7">
            <w:rPr>
              <w:noProof/>
              <w:sz w:val="18"/>
              <w:szCs w:val="18"/>
            </w:rPr>
            <w:fldChar w:fldCharType="end"/>
          </w:r>
        </w:p>
        <w:p w14:paraId="23347528" w14:textId="6DFCB2CC" w:rsidR="004E3DF7" w:rsidRPr="004E3DF7" w:rsidRDefault="004E3DF7">
          <w:pPr>
            <w:pStyle w:val="TOC1"/>
            <w:rPr>
              <w:rFonts w:eastAsiaTheme="minorEastAsia" w:cstheme="minorBidi"/>
              <w:b w:val="0"/>
              <w:noProof/>
              <w:sz w:val="18"/>
              <w:szCs w:val="18"/>
              <w:bdr w:val="none" w:sz="0" w:space="0" w:color="auto"/>
              <w:lang w:val="es-US" w:eastAsia="zh-CN"/>
            </w:rPr>
          </w:pPr>
          <w:r w:rsidRPr="00706666">
            <w:rPr>
              <w:noProof/>
              <w:color w:val="000000"/>
              <w:sz w:val="18"/>
              <w:szCs w:val="18"/>
              <w:lang w:val="es-US"/>
              <w14:scene3d>
                <w14:camera w14:prst="orthographicFront"/>
                <w14:lightRig w14:rig="threePt" w14:dir="t">
                  <w14:rot w14:lat="0" w14:lon="0" w14:rev="0"/>
                </w14:lightRig>
              </w14:scene3d>
            </w:rPr>
            <w:t>VII.</w:t>
          </w:r>
          <w:r w:rsidRPr="004E3DF7">
            <w:rPr>
              <w:rFonts w:eastAsiaTheme="minorEastAsia" w:cstheme="minorBidi"/>
              <w:b w:val="0"/>
              <w:noProof/>
              <w:sz w:val="18"/>
              <w:szCs w:val="18"/>
              <w:bdr w:val="none" w:sz="0" w:space="0" w:color="auto"/>
              <w:lang w:val="es-US" w:eastAsia="zh-CN"/>
            </w:rPr>
            <w:tab/>
          </w:r>
          <w:r w:rsidRPr="00706666">
            <w:rPr>
              <w:noProof/>
              <w:sz w:val="18"/>
              <w:szCs w:val="18"/>
              <w:lang w:val="es-US"/>
            </w:rPr>
            <w:t>INFORME NO 107/19 E INFORMACION SOBRE CUMPLIMIENTO</w:t>
          </w:r>
          <w:r w:rsidRPr="00706666">
            <w:rPr>
              <w:noProof/>
              <w:sz w:val="18"/>
              <w:szCs w:val="18"/>
              <w:lang w:val="es-US"/>
            </w:rPr>
            <w:tab/>
          </w:r>
          <w:r w:rsidRPr="004E3DF7">
            <w:rPr>
              <w:noProof/>
              <w:sz w:val="18"/>
              <w:szCs w:val="18"/>
            </w:rPr>
            <w:fldChar w:fldCharType="begin"/>
          </w:r>
          <w:r w:rsidRPr="00706666">
            <w:rPr>
              <w:noProof/>
              <w:sz w:val="18"/>
              <w:szCs w:val="18"/>
              <w:lang w:val="es-US"/>
            </w:rPr>
            <w:instrText xml:space="preserve"> PAGEREF _Toc70437031 \h </w:instrText>
          </w:r>
          <w:r w:rsidRPr="004E3DF7">
            <w:rPr>
              <w:noProof/>
              <w:sz w:val="18"/>
              <w:szCs w:val="18"/>
            </w:rPr>
          </w:r>
          <w:r w:rsidRPr="004E3DF7">
            <w:rPr>
              <w:noProof/>
              <w:sz w:val="18"/>
              <w:szCs w:val="18"/>
            </w:rPr>
            <w:fldChar w:fldCharType="separate"/>
          </w:r>
          <w:r w:rsidR="005D5F07">
            <w:rPr>
              <w:noProof/>
              <w:sz w:val="18"/>
              <w:szCs w:val="18"/>
              <w:lang w:val="es-US"/>
            </w:rPr>
            <w:t>21</w:t>
          </w:r>
          <w:r w:rsidRPr="004E3DF7">
            <w:rPr>
              <w:noProof/>
              <w:sz w:val="18"/>
              <w:szCs w:val="18"/>
            </w:rPr>
            <w:fldChar w:fldCharType="end"/>
          </w:r>
        </w:p>
        <w:p w14:paraId="2E7F3F39" w14:textId="25BBF0D1" w:rsidR="004E3DF7" w:rsidRPr="004E3DF7" w:rsidRDefault="004E3DF7">
          <w:pPr>
            <w:pStyle w:val="TOC1"/>
            <w:rPr>
              <w:rFonts w:eastAsiaTheme="minorEastAsia" w:cstheme="minorBidi"/>
              <w:b w:val="0"/>
              <w:noProof/>
              <w:sz w:val="18"/>
              <w:szCs w:val="18"/>
              <w:bdr w:val="none" w:sz="0" w:space="0" w:color="auto"/>
              <w:lang w:val="es-US" w:eastAsia="zh-CN"/>
            </w:rPr>
          </w:pPr>
          <w:r w:rsidRPr="00706666">
            <w:rPr>
              <w:noProof/>
              <w:color w:val="000000"/>
              <w:sz w:val="18"/>
              <w:szCs w:val="18"/>
              <w:lang w:val="es-US"/>
              <w14:scene3d>
                <w14:camera w14:prst="orthographicFront"/>
                <w14:lightRig w14:rig="threePt" w14:dir="t">
                  <w14:rot w14:lat="0" w14:lon="0" w14:rev="0"/>
                </w14:lightRig>
              </w14:scene3d>
            </w:rPr>
            <w:t>VIII.</w:t>
          </w:r>
          <w:r w:rsidRPr="004E3DF7">
            <w:rPr>
              <w:rFonts w:eastAsiaTheme="minorEastAsia" w:cstheme="minorBidi"/>
              <w:b w:val="0"/>
              <w:noProof/>
              <w:sz w:val="18"/>
              <w:szCs w:val="18"/>
              <w:bdr w:val="none" w:sz="0" w:space="0" w:color="auto"/>
              <w:lang w:val="es-US" w:eastAsia="zh-CN"/>
            </w:rPr>
            <w:tab/>
          </w:r>
          <w:r w:rsidRPr="00706666">
            <w:rPr>
              <w:noProof/>
              <w:sz w:val="18"/>
              <w:szCs w:val="18"/>
              <w:lang w:val="es-US"/>
            </w:rPr>
            <w:t>CONCLUSIONES Y RECOMENDACIONES FINALES</w:t>
          </w:r>
          <w:r w:rsidRPr="00706666">
            <w:rPr>
              <w:noProof/>
              <w:sz w:val="18"/>
              <w:szCs w:val="18"/>
              <w:lang w:val="es-US"/>
            </w:rPr>
            <w:tab/>
          </w:r>
          <w:r w:rsidRPr="004E3DF7">
            <w:rPr>
              <w:noProof/>
              <w:sz w:val="18"/>
              <w:szCs w:val="18"/>
            </w:rPr>
            <w:fldChar w:fldCharType="begin"/>
          </w:r>
          <w:r w:rsidRPr="00706666">
            <w:rPr>
              <w:noProof/>
              <w:sz w:val="18"/>
              <w:szCs w:val="18"/>
              <w:lang w:val="es-US"/>
            </w:rPr>
            <w:instrText xml:space="preserve"> PAGEREF _Toc70437032 \h </w:instrText>
          </w:r>
          <w:r w:rsidRPr="004E3DF7">
            <w:rPr>
              <w:noProof/>
              <w:sz w:val="18"/>
              <w:szCs w:val="18"/>
            </w:rPr>
          </w:r>
          <w:r w:rsidRPr="004E3DF7">
            <w:rPr>
              <w:noProof/>
              <w:sz w:val="18"/>
              <w:szCs w:val="18"/>
            </w:rPr>
            <w:fldChar w:fldCharType="separate"/>
          </w:r>
          <w:r w:rsidR="005D5F07">
            <w:rPr>
              <w:noProof/>
              <w:sz w:val="18"/>
              <w:szCs w:val="18"/>
              <w:lang w:val="es-US"/>
            </w:rPr>
            <w:t>24</w:t>
          </w:r>
          <w:r w:rsidRPr="004E3DF7">
            <w:rPr>
              <w:noProof/>
              <w:sz w:val="18"/>
              <w:szCs w:val="18"/>
            </w:rPr>
            <w:fldChar w:fldCharType="end"/>
          </w:r>
        </w:p>
        <w:p w14:paraId="62A93051" w14:textId="746F1863" w:rsidR="004E3DF7" w:rsidRPr="004E3DF7" w:rsidRDefault="004E3DF7">
          <w:pPr>
            <w:pStyle w:val="TOC1"/>
            <w:rPr>
              <w:rFonts w:eastAsiaTheme="minorEastAsia" w:cstheme="minorBidi"/>
              <w:b w:val="0"/>
              <w:noProof/>
              <w:sz w:val="18"/>
              <w:szCs w:val="18"/>
              <w:bdr w:val="none" w:sz="0" w:space="0" w:color="auto"/>
              <w:lang w:val="es-US" w:eastAsia="zh-CN"/>
            </w:rPr>
          </w:pPr>
          <w:r w:rsidRPr="004E3DF7">
            <w:rPr>
              <w:noProof/>
              <w:color w:val="000000"/>
              <w:sz w:val="18"/>
              <w:szCs w:val="18"/>
              <w14:scene3d>
                <w14:camera w14:prst="orthographicFront"/>
                <w14:lightRig w14:rig="threePt" w14:dir="t">
                  <w14:rot w14:lat="0" w14:lon="0" w14:rev="0"/>
                </w14:lightRig>
              </w14:scene3d>
            </w:rPr>
            <w:t>IX.</w:t>
          </w:r>
          <w:r w:rsidRPr="004E3DF7">
            <w:rPr>
              <w:rFonts w:eastAsiaTheme="minorEastAsia" w:cstheme="minorBidi"/>
              <w:b w:val="0"/>
              <w:noProof/>
              <w:sz w:val="18"/>
              <w:szCs w:val="18"/>
              <w:bdr w:val="none" w:sz="0" w:space="0" w:color="auto"/>
              <w:lang w:val="es-US" w:eastAsia="zh-CN"/>
            </w:rPr>
            <w:tab/>
          </w:r>
          <w:r w:rsidRPr="004E3DF7">
            <w:rPr>
              <w:noProof/>
              <w:sz w:val="18"/>
              <w:szCs w:val="18"/>
            </w:rPr>
            <w:t>NOTIFICACIÓN</w:t>
          </w:r>
          <w:r w:rsidRPr="004E3DF7">
            <w:rPr>
              <w:noProof/>
              <w:sz w:val="18"/>
              <w:szCs w:val="18"/>
            </w:rPr>
            <w:tab/>
          </w:r>
          <w:r w:rsidRPr="004E3DF7">
            <w:rPr>
              <w:noProof/>
              <w:sz w:val="18"/>
              <w:szCs w:val="18"/>
            </w:rPr>
            <w:fldChar w:fldCharType="begin"/>
          </w:r>
          <w:r w:rsidRPr="004E3DF7">
            <w:rPr>
              <w:noProof/>
              <w:sz w:val="18"/>
              <w:szCs w:val="18"/>
            </w:rPr>
            <w:instrText xml:space="preserve"> PAGEREF _Toc70437033 \h </w:instrText>
          </w:r>
          <w:r w:rsidRPr="004E3DF7">
            <w:rPr>
              <w:noProof/>
              <w:sz w:val="18"/>
              <w:szCs w:val="18"/>
            </w:rPr>
          </w:r>
          <w:r w:rsidRPr="004E3DF7">
            <w:rPr>
              <w:noProof/>
              <w:sz w:val="18"/>
              <w:szCs w:val="18"/>
            </w:rPr>
            <w:fldChar w:fldCharType="separate"/>
          </w:r>
          <w:r w:rsidR="005D5F07">
            <w:rPr>
              <w:noProof/>
              <w:sz w:val="18"/>
              <w:szCs w:val="18"/>
            </w:rPr>
            <w:t>24</w:t>
          </w:r>
          <w:r w:rsidRPr="004E3DF7">
            <w:rPr>
              <w:noProof/>
              <w:sz w:val="18"/>
              <w:szCs w:val="18"/>
            </w:rPr>
            <w:fldChar w:fldCharType="end"/>
          </w:r>
        </w:p>
        <w:p w14:paraId="0FAF7FA0" w14:textId="77777777" w:rsidR="002B1BDD" w:rsidRPr="004E3DF7" w:rsidRDefault="002B1BDD" w:rsidP="001E3EBE">
          <w:pPr>
            <w:rPr>
              <w:rFonts w:asciiTheme="majorHAnsi" w:hAnsiTheme="majorHAnsi"/>
              <w:sz w:val="18"/>
              <w:szCs w:val="18"/>
            </w:rPr>
          </w:pPr>
          <w:r w:rsidRPr="004E3DF7">
            <w:rPr>
              <w:rFonts w:asciiTheme="majorHAnsi" w:hAnsiTheme="majorHAnsi"/>
              <w:sz w:val="18"/>
              <w:szCs w:val="18"/>
            </w:rPr>
            <w:fldChar w:fldCharType="end"/>
          </w:r>
        </w:p>
      </w:sdtContent>
    </w:sdt>
    <w:p w14:paraId="5ABFDBB0" w14:textId="77777777" w:rsidR="00483337" w:rsidRDefault="00483337" w:rsidP="00191933">
      <w:pPr>
        <w:pStyle w:val="TOC1"/>
      </w:pPr>
    </w:p>
    <w:p w14:paraId="0D5BE27B" w14:textId="77777777" w:rsidR="008D768D" w:rsidRPr="007253B8" w:rsidRDefault="008D768D" w:rsidP="006125C3">
      <w:pPr>
        <w:tabs>
          <w:tab w:val="center" w:pos="5400"/>
        </w:tabs>
        <w:suppressAutoHyphens/>
        <w:spacing w:line="276" w:lineRule="auto"/>
        <w:rPr>
          <w:rFonts w:asciiTheme="majorHAnsi" w:hAnsiTheme="majorHAnsi"/>
          <w:sz w:val="20"/>
          <w:szCs w:val="20"/>
          <w:lang w:val="es-ES_tradnl"/>
        </w:rPr>
      </w:pPr>
    </w:p>
    <w:p w14:paraId="190C3F9C" w14:textId="77777777" w:rsidR="005937F1" w:rsidRPr="00240F51" w:rsidRDefault="00722C9F" w:rsidP="001E3EBE">
      <w:pPr>
        <w:rPr>
          <w:rFonts w:ascii="Cambria" w:hAnsi="Cambria" w:cs="Calibri"/>
          <w:sz w:val="20"/>
          <w:szCs w:val="20"/>
          <w:lang w:val="es-ES"/>
        </w:rPr>
      </w:pPr>
      <w:r>
        <w:rPr>
          <w:rFonts w:ascii="Cambria" w:hAnsi="Cambria" w:cs="Calibri"/>
          <w:sz w:val="20"/>
          <w:szCs w:val="20"/>
          <w:lang w:val="es-ES"/>
        </w:rPr>
        <w:br w:type="page"/>
      </w:r>
    </w:p>
    <w:p w14:paraId="05F0FC9F" w14:textId="77777777" w:rsidR="00D12193" w:rsidRPr="00341FA6" w:rsidRDefault="00AF4E4A" w:rsidP="001E3EBE">
      <w:pPr>
        <w:pStyle w:val="Heading1"/>
        <w:ind w:left="0" w:firstLine="0"/>
      </w:pPr>
      <w:bookmarkStart w:id="2" w:name="_Toc394820740"/>
      <w:bookmarkStart w:id="3" w:name="_Toc70437007"/>
      <w:r w:rsidRPr="00341FA6">
        <w:lastRenderedPageBreak/>
        <w:t>RESUMEN</w:t>
      </w:r>
      <w:bookmarkEnd w:id="2"/>
      <w:r w:rsidR="00240F51">
        <w:rPr>
          <w:rStyle w:val="FootnoteReference"/>
          <w:sz w:val="18"/>
        </w:rPr>
        <w:footnoteReference w:id="2"/>
      </w:r>
      <w:bookmarkEnd w:id="3"/>
    </w:p>
    <w:p w14:paraId="0918150A" w14:textId="77777777" w:rsidR="005C4CA5" w:rsidRDefault="005C4CA5" w:rsidP="001E3EBE">
      <w:pPr>
        <w:suppressAutoHyphens/>
        <w:rPr>
          <w:rFonts w:asciiTheme="majorHAnsi" w:hAnsiTheme="majorHAnsi"/>
          <w:b/>
          <w:sz w:val="20"/>
          <w:szCs w:val="20"/>
          <w:lang w:val="es-ES_tradnl"/>
        </w:rPr>
      </w:pPr>
    </w:p>
    <w:p w14:paraId="7BEBD9BA" w14:textId="77777777" w:rsidR="009014A4" w:rsidRDefault="005C4CA5"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color w:val="000000" w:themeColor="text1"/>
          <w:sz w:val="20"/>
          <w:szCs w:val="20"/>
          <w:lang w:val="es-VE"/>
        </w:rPr>
      </w:pPr>
      <w:r w:rsidRPr="009014A4">
        <w:rPr>
          <w:rFonts w:ascii="Cambria" w:hAnsi="Cambria"/>
          <w:color w:val="000000" w:themeColor="text1"/>
          <w:sz w:val="20"/>
          <w:szCs w:val="20"/>
          <w:lang w:val="es-VE"/>
        </w:rPr>
        <w:t xml:space="preserve">El </w:t>
      </w:r>
      <w:r w:rsidR="00AF4E4A">
        <w:rPr>
          <w:rFonts w:ascii="Cambria" w:hAnsi="Cambria"/>
          <w:color w:val="000000" w:themeColor="text1"/>
          <w:sz w:val="20"/>
          <w:szCs w:val="20"/>
          <w:lang w:val="es-VE"/>
        </w:rPr>
        <w:t>18</w:t>
      </w:r>
      <w:r w:rsidRPr="009014A4">
        <w:rPr>
          <w:rFonts w:ascii="Cambria" w:hAnsi="Cambria"/>
          <w:color w:val="000000" w:themeColor="text1"/>
          <w:sz w:val="20"/>
          <w:szCs w:val="20"/>
          <w:lang w:val="es-VE"/>
        </w:rPr>
        <w:t xml:space="preserve"> de </w:t>
      </w:r>
      <w:r w:rsidR="00AF4E4A">
        <w:rPr>
          <w:rFonts w:ascii="Cambria" w:hAnsi="Cambria"/>
          <w:color w:val="000000" w:themeColor="text1"/>
          <w:sz w:val="20"/>
          <w:szCs w:val="20"/>
          <w:lang w:val="es-VE"/>
        </w:rPr>
        <w:t>septiembre</w:t>
      </w:r>
      <w:r w:rsidRPr="009014A4">
        <w:rPr>
          <w:rFonts w:ascii="Cambria" w:hAnsi="Cambria"/>
          <w:color w:val="000000" w:themeColor="text1"/>
          <w:sz w:val="20"/>
          <w:szCs w:val="20"/>
          <w:lang w:val="es-VE"/>
        </w:rPr>
        <w:t xml:space="preserve"> de </w:t>
      </w:r>
      <w:r w:rsidR="00AF4E4A">
        <w:rPr>
          <w:rFonts w:ascii="Cambria" w:hAnsi="Cambria"/>
          <w:color w:val="000000" w:themeColor="text1"/>
          <w:sz w:val="20"/>
          <w:szCs w:val="20"/>
          <w:lang w:val="es-VE"/>
        </w:rPr>
        <w:t xml:space="preserve">2000 </w:t>
      </w:r>
      <w:r w:rsidRPr="009014A4">
        <w:rPr>
          <w:rFonts w:ascii="Cambria" w:hAnsi="Cambria"/>
          <w:color w:val="000000" w:themeColor="text1"/>
          <w:sz w:val="20"/>
          <w:szCs w:val="20"/>
          <w:lang w:val="es-VE"/>
        </w:rPr>
        <w:t xml:space="preserve">la Comisión Interamericana de Derechos Humanos (en adelante “la Comisión Interamericana”, “la Comisión” o “la CIDH”) recibió una petición presentada por </w:t>
      </w:r>
      <w:r w:rsidR="00354D73">
        <w:rPr>
          <w:rFonts w:ascii="Cambria" w:hAnsi="Cambria"/>
          <w:color w:val="000000" w:themeColor="text1"/>
          <w:sz w:val="20"/>
          <w:szCs w:val="20"/>
          <w:lang w:val="es-VE"/>
        </w:rPr>
        <w:t xml:space="preserve">el abogado </w:t>
      </w:r>
      <w:r w:rsidR="00AF4E4A">
        <w:rPr>
          <w:rFonts w:ascii="Cambria" w:hAnsi="Cambria"/>
          <w:color w:val="000000" w:themeColor="text1"/>
          <w:sz w:val="20"/>
          <w:szCs w:val="20"/>
          <w:lang w:val="es-VE"/>
        </w:rPr>
        <w:t>Javier Villegas Posada</w:t>
      </w:r>
      <w:r w:rsidRPr="009014A4">
        <w:rPr>
          <w:rFonts w:ascii="Cambria" w:hAnsi="Cambria"/>
          <w:color w:val="000000" w:themeColor="text1"/>
          <w:sz w:val="20"/>
          <w:szCs w:val="20"/>
          <w:lang w:val="es-VE"/>
        </w:rPr>
        <w:t xml:space="preserve"> (en adelante “la parte peticionaria”) en la cual se alega la responsabilidad internacional de </w:t>
      </w:r>
      <w:r w:rsidR="00AF4E4A">
        <w:rPr>
          <w:rFonts w:ascii="Cambria" w:hAnsi="Cambria"/>
          <w:color w:val="000000" w:themeColor="text1"/>
          <w:sz w:val="20"/>
          <w:szCs w:val="20"/>
          <w:lang w:val="es-VE"/>
        </w:rPr>
        <w:t>Colombia</w:t>
      </w:r>
      <w:r w:rsidRPr="009014A4">
        <w:rPr>
          <w:rFonts w:ascii="Cambria" w:hAnsi="Cambria"/>
          <w:color w:val="000000" w:themeColor="text1"/>
          <w:sz w:val="20"/>
          <w:szCs w:val="20"/>
          <w:lang w:val="es-VE"/>
        </w:rPr>
        <w:t xml:space="preserve"> (en adelante “el Estado </w:t>
      </w:r>
      <w:r w:rsidR="00AF4E4A">
        <w:rPr>
          <w:rFonts w:ascii="Cambria" w:hAnsi="Cambria"/>
          <w:color w:val="000000" w:themeColor="text1"/>
          <w:sz w:val="20"/>
          <w:szCs w:val="20"/>
          <w:lang w:val="es-VE"/>
        </w:rPr>
        <w:t>colombiano</w:t>
      </w:r>
      <w:r w:rsidRPr="009014A4">
        <w:rPr>
          <w:rFonts w:ascii="Cambria" w:hAnsi="Cambria"/>
          <w:color w:val="000000" w:themeColor="text1"/>
          <w:sz w:val="20"/>
          <w:szCs w:val="20"/>
          <w:lang w:val="es-VE"/>
        </w:rPr>
        <w:t>”, “el Estado” o “</w:t>
      </w:r>
      <w:r w:rsidR="00AF4E4A">
        <w:rPr>
          <w:rFonts w:ascii="Cambria" w:hAnsi="Cambria"/>
          <w:color w:val="000000" w:themeColor="text1"/>
          <w:sz w:val="20"/>
          <w:szCs w:val="20"/>
          <w:lang w:val="es-VE"/>
        </w:rPr>
        <w:t>Colombia</w:t>
      </w:r>
      <w:r w:rsidRPr="009014A4">
        <w:rPr>
          <w:rFonts w:ascii="Cambria" w:hAnsi="Cambria"/>
          <w:color w:val="000000" w:themeColor="text1"/>
          <w:sz w:val="20"/>
          <w:szCs w:val="20"/>
          <w:lang w:val="es-VE"/>
        </w:rPr>
        <w:t xml:space="preserve">”) en perjuicio de </w:t>
      </w:r>
      <w:r w:rsidR="002B2479">
        <w:rPr>
          <w:rFonts w:ascii="Cambria" w:hAnsi="Cambria"/>
          <w:color w:val="000000" w:themeColor="text1"/>
          <w:sz w:val="20"/>
          <w:szCs w:val="20"/>
          <w:lang w:val="es-VE"/>
        </w:rPr>
        <w:t>Carlos Arturo Betancourt Estrada</w:t>
      </w:r>
      <w:r w:rsidR="00964253">
        <w:rPr>
          <w:rFonts w:ascii="Cambria" w:hAnsi="Cambria"/>
          <w:color w:val="000000" w:themeColor="text1"/>
          <w:sz w:val="20"/>
          <w:szCs w:val="20"/>
          <w:lang w:val="es-VE"/>
        </w:rPr>
        <w:t xml:space="preserve"> (en adelante “la presunta víctima” o “el señor Betancourt”)</w:t>
      </w:r>
      <w:r w:rsidR="002B2479">
        <w:rPr>
          <w:rFonts w:ascii="Cambria" w:hAnsi="Cambria"/>
          <w:color w:val="000000" w:themeColor="text1"/>
          <w:sz w:val="20"/>
          <w:szCs w:val="20"/>
          <w:lang w:val="es-VE"/>
        </w:rPr>
        <w:t xml:space="preserve"> y </w:t>
      </w:r>
      <w:r w:rsidR="00964253">
        <w:rPr>
          <w:rFonts w:ascii="Cambria" w:hAnsi="Cambria"/>
          <w:color w:val="000000" w:themeColor="text1"/>
          <w:sz w:val="20"/>
          <w:szCs w:val="20"/>
          <w:lang w:val="es-VE"/>
        </w:rPr>
        <w:t>su familia</w:t>
      </w:r>
      <w:r w:rsidRPr="009014A4">
        <w:rPr>
          <w:rFonts w:ascii="Cambria" w:hAnsi="Cambria"/>
          <w:color w:val="000000" w:themeColor="text1"/>
          <w:sz w:val="20"/>
          <w:szCs w:val="20"/>
          <w:lang w:val="es-VE"/>
        </w:rPr>
        <w:t xml:space="preserve">. </w:t>
      </w:r>
    </w:p>
    <w:p w14:paraId="220C9E25" w14:textId="77777777" w:rsidR="009014A4" w:rsidRDefault="009014A4"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14:paraId="591BC8BB" w14:textId="77777777" w:rsidR="009014A4" w:rsidRPr="009014A4" w:rsidRDefault="009014A4"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color w:val="000000" w:themeColor="text1"/>
          <w:sz w:val="20"/>
          <w:szCs w:val="20"/>
          <w:lang w:val="es-VE"/>
        </w:rPr>
      </w:pPr>
      <w:r w:rsidRPr="009014A4">
        <w:rPr>
          <w:rFonts w:ascii="Cambria" w:hAnsi="Cambria"/>
          <w:color w:val="000000" w:themeColor="text1"/>
          <w:sz w:val="20"/>
          <w:szCs w:val="20"/>
          <w:lang w:val="es-VE"/>
        </w:rPr>
        <w:t>L</w:t>
      </w:r>
      <w:r w:rsidRPr="009014A4">
        <w:rPr>
          <w:rFonts w:ascii="Cambria" w:hAnsi="Cambria"/>
          <w:sz w:val="20"/>
          <w:szCs w:val="20"/>
          <w:lang w:val="es-ES_tradnl"/>
        </w:rPr>
        <w:t xml:space="preserve">a Comisión aprobó el informe de admisibilidad No. </w:t>
      </w:r>
      <w:r w:rsidR="002B2479">
        <w:rPr>
          <w:rFonts w:ascii="Cambria" w:hAnsi="Cambria"/>
          <w:sz w:val="20"/>
          <w:szCs w:val="20"/>
          <w:lang w:val="es-ES_tradnl"/>
        </w:rPr>
        <w:t>122</w:t>
      </w:r>
      <w:r w:rsidRPr="009014A4">
        <w:rPr>
          <w:rFonts w:ascii="Cambria" w:hAnsi="Cambria"/>
          <w:sz w:val="20"/>
          <w:szCs w:val="20"/>
          <w:lang w:val="es-ES_tradnl"/>
        </w:rPr>
        <w:t>/</w:t>
      </w:r>
      <w:r w:rsidR="002B2479">
        <w:rPr>
          <w:rFonts w:ascii="Cambria" w:hAnsi="Cambria"/>
          <w:sz w:val="20"/>
          <w:szCs w:val="20"/>
          <w:lang w:val="es-ES_tradnl"/>
        </w:rPr>
        <w:t>10</w:t>
      </w:r>
      <w:r w:rsidRPr="009014A4">
        <w:rPr>
          <w:rFonts w:ascii="Cambria" w:hAnsi="Cambria"/>
          <w:sz w:val="20"/>
          <w:szCs w:val="20"/>
          <w:lang w:val="es-ES_tradnl"/>
        </w:rPr>
        <w:t xml:space="preserve"> el </w:t>
      </w:r>
      <w:r w:rsidR="002B2479">
        <w:rPr>
          <w:rFonts w:ascii="Cambria" w:hAnsi="Cambria"/>
          <w:sz w:val="20"/>
          <w:szCs w:val="20"/>
          <w:lang w:val="es-ES_tradnl"/>
        </w:rPr>
        <w:t>23</w:t>
      </w:r>
      <w:r w:rsidRPr="009014A4">
        <w:rPr>
          <w:rFonts w:ascii="Cambria" w:hAnsi="Cambria"/>
          <w:sz w:val="20"/>
          <w:szCs w:val="20"/>
          <w:lang w:val="es-ES_tradnl"/>
        </w:rPr>
        <w:t xml:space="preserve"> de </w:t>
      </w:r>
      <w:r w:rsidR="002B2479">
        <w:rPr>
          <w:rFonts w:ascii="Cambria" w:hAnsi="Cambria"/>
          <w:sz w:val="20"/>
          <w:szCs w:val="20"/>
          <w:lang w:val="es-ES_tradnl"/>
        </w:rPr>
        <w:t>octubre</w:t>
      </w:r>
      <w:r w:rsidRPr="009014A4">
        <w:rPr>
          <w:rFonts w:ascii="Cambria" w:hAnsi="Cambria"/>
          <w:sz w:val="20"/>
          <w:szCs w:val="20"/>
          <w:lang w:val="es-ES_tradnl"/>
        </w:rPr>
        <w:t xml:space="preserve"> de </w:t>
      </w:r>
      <w:r w:rsidR="002B2479">
        <w:rPr>
          <w:rFonts w:ascii="Cambria" w:hAnsi="Cambria"/>
          <w:sz w:val="20"/>
          <w:szCs w:val="20"/>
          <w:lang w:val="es-ES_tradnl"/>
        </w:rPr>
        <w:t>2010</w:t>
      </w:r>
      <w:r w:rsidRPr="001265CE">
        <w:rPr>
          <w:rStyle w:val="FootnoteReference"/>
          <w:rFonts w:ascii="Cambria" w:hAnsi="Cambria"/>
          <w:sz w:val="20"/>
          <w:szCs w:val="20"/>
          <w:lang w:val="es-ES_tradnl"/>
        </w:rPr>
        <w:footnoteReference w:id="3"/>
      </w:r>
      <w:r w:rsidR="00AF7988">
        <w:rPr>
          <w:rFonts w:ascii="Cambria" w:hAnsi="Cambria"/>
          <w:sz w:val="20"/>
          <w:szCs w:val="20"/>
          <w:lang w:val="es-ES_tradnl"/>
        </w:rPr>
        <w:t xml:space="preserve">. </w:t>
      </w:r>
      <w:r w:rsidRPr="009014A4">
        <w:rPr>
          <w:rFonts w:ascii="Cambria" w:hAnsi="Cambria"/>
          <w:sz w:val="20"/>
          <w:szCs w:val="20"/>
          <w:lang w:val="es-ES_tradnl"/>
        </w:rPr>
        <w:t xml:space="preserve">El </w:t>
      </w:r>
      <w:r w:rsidR="00660192">
        <w:rPr>
          <w:rFonts w:ascii="Cambria" w:hAnsi="Cambria"/>
          <w:sz w:val="20"/>
          <w:szCs w:val="20"/>
          <w:lang w:val="es-ES_tradnl"/>
        </w:rPr>
        <w:t>10</w:t>
      </w:r>
      <w:r w:rsidRPr="009014A4">
        <w:rPr>
          <w:rFonts w:ascii="Cambria" w:hAnsi="Cambria"/>
          <w:sz w:val="20"/>
          <w:szCs w:val="20"/>
          <w:lang w:val="es-ES_tradnl"/>
        </w:rPr>
        <w:t xml:space="preserve"> de </w:t>
      </w:r>
      <w:r w:rsidR="00660192">
        <w:rPr>
          <w:rFonts w:ascii="Cambria" w:hAnsi="Cambria"/>
          <w:sz w:val="20"/>
          <w:szCs w:val="20"/>
          <w:lang w:val="es-ES_tradnl"/>
        </w:rPr>
        <w:t xml:space="preserve">noviembre </w:t>
      </w:r>
      <w:r w:rsidRPr="009014A4">
        <w:rPr>
          <w:rFonts w:ascii="Cambria" w:hAnsi="Cambria"/>
          <w:sz w:val="20"/>
          <w:szCs w:val="20"/>
          <w:lang w:val="es-ES_tradnl"/>
        </w:rPr>
        <w:t xml:space="preserve">de </w:t>
      </w:r>
      <w:r w:rsidR="00660192">
        <w:rPr>
          <w:rFonts w:ascii="Cambria" w:hAnsi="Cambria"/>
          <w:sz w:val="20"/>
          <w:szCs w:val="20"/>
          <w:lang w:val="es-ES_tradnl"/>
        </w:rPr>
        <w:t>2010</w:t>
      </w:r>
      <w:r w:rsidRPr="009014A4">
        <w:rPr>
          <w:rFonts w:ascii="Cambria" w:hAnsi="Cambria"/>
          <w:sz w:val="20"/>
          <w:szCs w:val="20"/>
          <w:lang w:val="es-ES_tradnl"/>
        </w:rPr>
        <w:t xml:space="preserve"> la Comisión notificó dicho informe a las partes y se puso a su disposición a fin de llegar a una solución amistosa</w:t>
      </w:r>
      <w:r w:rsidR="007D454A">
        <w:rPr>
          <w:rFonts w:ascii="Cambria" w:hAnsi="Cambria"/>
          <w:sz w:val="20"/>
          <w:szCs w:val="20"/>
          <w:lang w:val="es-ES_tradnl"/>
        </w:rPr>
        <w:t>, pero dicho procedimiento n</w:t>
      </w:r>
      <w:r w:rsidR="00E36C49">
        <w:rPr>
          <w:rFonts w:ascii="Cambria" w:hAnsi="Cambria"/>
          <w:sz w:val="20"/>
          <w:szCs w:val="20"/>
          <w:lang w:val="es-ES_tradnl"/>
        </w:rPr>
        <w:t xml:space="preserve">o se </w:t>
      </w:r>
      <w:r w:rsidR="008816B3">
        <w:rPr>
          <w:rFonts w:ascii="Cambria" w:hAnsi="Cambria"/>
          <w:sz w:val="20"/>
          <w:szCs w:val="20"/>
          <w:lang w:val="es-ES_tradnl"/>
        </w:rPr>
        <w:t>activó</w:t>
      </w:r>
      <w:r w:rsidR="00E36C49">
        <w:rPr>
          <w:rFonts w:ascii="Cambria" w:hAnsi="Cambria"/>
          <w:sz w:val="20"/>
          <w:szCs w:val="20"/>
          <w:lang w:val="es-ES_tradnl"/>
        </w:rPr>
        <w:t xml:space="preserve"> pues no se contó con el acuerdo de ambas partes</w:t>
      </w:r>
      <w:r w:rsidRPr="009014A4">
        <w:rPr>
          <w:rFonts w:ascii="Cambria" w:hAnsi="Cambria"/>
          <w:sz w:val="20"/>
          <w:szCs w:val="20"/>
          <w:lang w:val="es-ES_tradnl"/>
        </w:rPr>
        <w:t xml:space="preserve">. </w:t>
      </w:r>
      <w:r w:rsidR="005E01B4">
        <w:rPr>
          <w:rFonts w:ascii="Cambria" w:hAnsi="Cambria"/>
          <w:sz w:val="20"/>
          <w:szCs w:val="20"/>
          <w:lang w:val="es-ES_tradnl"/>
        </w:rPr>
        <w:t xml:space="preserve">La parte peticionaria y el Estado </w:t>
      </w:r>
      <w:r w:rsidRPr="009014A4">
        <w:rPr>
          <w:rFonts w:ascii="Cambria" w:hAnsi="Cambria"/>
          <w:sz w:val="20"/>
          <w:szCs w:val="20"/>
          <w:lang w:val="es-ES_tradnl"/>
        </w:rPr>
        <w:t>contaron con los plazos reglamentarios para presentar sus observaciones adicionales sobre el fondo.</w:t>
      </w:r>
      <w:r w:rsidR="00964253">
        <w:rPr>
          <w:rFonts w:ascii="Cambria" w:hAnsi="Cambria"/>
          <w:sz w:val="20"/>
          <w:szCs w:val="20"/>
          <w:lang w:val="es-ES_tradnl"/>
        </w:rPr>
        <w:t xml:space="preserve"> </w:t>
      </w:r>
      <w:r w:rsidRPr="009014A4">
        <w:rPr>
          <w:rFonts w:ascii="Cambria" w:hAnsi="Cambria"/>
          <w:sz w:val="20"/>
          <w:szCs w:val="20"/>
          <w:lang w:val="es-ES_tradnl"/>
        </w:rPr>
        <w:t xml:space="preserve">Toda la información recibida fue debidamente trasladada entre las partes. </w:t>
      </w:r>
    </w:p>
    <w:p w14:paraId="19F09F3A" w14:textId="77777777" w:rsidR="009014A4" w:rsidRDefault="009014A4"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VE"/>
        </w:rPr>
      </w:pPr>
    </w:p>
    <w:p w14:paraId="3F19401F" w14:textId="77777777" w:rsidR="005C4CA5" w:rsidRDefault="005C4CA5"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color w:val="000000" w:themeColor="text1"/>
          <w:sz w:val="20"/>
          <w:szCs w:val="20"/>
          <w:lang w:val="es-VE"/>
        </w:rPr>
      </w:pPr>
      <w:r>
        <w:rPr>
          <w:rFonts w:ascii="Cambria" w:hAnsi="Cambria"/>
          <w:color w:val="000000" w:themeColor="text1"/>
          <w:sz w:val="20"/>
          <w:szCs w:val="20"/>
          <w:lang w:val="es-VE"/>
        </w:rPr>
        <w:t>La</w:t>
      </w:r>
      <w:r w:rsidR="0022164C">
        <w:rPr>
          <w:rFonts w:ascii="Cambria" w:hAnsi="Cambria"/>
          <w:color w:val="000000" w:themeColor="text1"/>
          <w:sz w:val="20"/>
          <w:szCs w:val="20"/>
          <w:lang w:val="es-VE"/>
        </w:rPr>
        <w:t xml:space="preserve"> parte peticionaria alegó </w:t>
      </w:r>
      <w:r w:rsidR="000D2477">
        <w:rPr>
          <w:rFonts w:ascii="Cambria" w:hAnsi="Cambria"/>
          <w:color w:val="000000" w:themeColor="text1"/>
          <w:sz w:val="20"/>
          <w:szCs w:val="20"/>
          <w:lang w:val="es-VE"/>
        </w:rPr>
        <w:t>que el señor Betancourt fue secuestrado el 14 de noviembre de 1999</w:t>
      </w:r>
      <w:r w:rsidR="00BE5764">
        <w:rPr>
          <w:rFonts w:ascii="Cambria" w:hAnsi="Cambria"/>
          <w:color w:val="000000" w:themeColor="text1"/>
          <w:sz w:val="20"/>
          <w:szCs w:val="20"/>
          <w:lang w:val="es-VE"/>
        </w:rPr>
        <w:t xml:space="preserve"> por miembros de la guerrilla colombiana</w:t>
      </w:r>
      <w:r w:rsidR="00C31A5D">
        <w:rPr>
          <w:rFonts w:ascii="Cambria" w:hAnsi="Cambria"/>
          <w:color w:val="000000" w:themeColor="text1"/>
          <w:sz w:val="20"/>
          <w:szCs w:val="20"/>
          <w:lang w:val="es-VE"/>
        </w:rPr>
        <w:t xml:space="preserve"> y que t</w:t>
      </w:r>
      <w:r w:rsidR="00270024">
        <w:rPr>
          <w:rFonts w:ascii="Cambria" w:hAnsi="Cambria"/>
          <w:color w:val="000000" w:themeColor="text1"/>
          <w:sz w:val="20"/>
          <w:szCs w:val="20"/>
          <w:lang w:val="es-VE"/>
        </w:rPr>
        <w:t xml:space="preserve">ras realizar el </w:t>
      </w:r>
      <w:r w:rsidR="00BE5764">
        <w:rPr>
          <w:rFonts w:ascii="Cambria" w:hAnsi="Cambria"/>
          <w:color w:val="000000" w:themeColor="text1"/>
          <w:sz w:val="20"/>
          <w:szCs w:val="20"/>
          <w:lang w:val="es-VE"/>
        </w:rPr>
        <w:t>pago exigido</w:t>
      </w:r>
      <w:r w:rsidR="00A66B24">
        <w:rPr>
          <w:rFonts w:ascii="Cambria" w:hAnsi="Cambria"/>
          <w:color w:val="000000" w:themeColor="text1"/>
          <w:sz w:val="20"/>
          <w:szCs w:val="20"/>
          <w:lang w:val="es-VE"/>
        </w:rPr>
        <w:t xml:space="preserve"> por los secuestradores, la presunta víctima fue liberada el </w:t>
      </w:r>
      <w:r w:rsidR="000D2477">
        <w:rPr>
          <w:rFonts w:ascii="Cambria" w:hAnsi="Cambria"/>
          <w:color w:val="000000" w:themeColor="text1"/>
          <w:sz w:val="20"/>
          <w:szCs w:val="20"/>
          <w:lang w:val="es-VE"/>
        </w:rPr>
        <w:t>17 de febrero de 2000.</w:t>
      </w:r>
      <w:r w:rsidR="00A66B24">
        <w:rPr>
          <w:rFonts w:ascii="Cambria" w:hAnsi="Cambria"/>
          <w:color w:val="000000" w:themeColor="text1"/>
          <w:sz w:val="20"/>
          <w:szCs w:val="20"/>
          <w:lang w:val="es-VE"/>
        </w:rPr>
        <w:t xml:space="preserve"> Indicó que ant</w:t>
      </w:r>
      <w:r w:rsidR="00585AE3">
        <w:rPr>
          <w:rFonts w:ascii="Cambria" w:hAnsi="Cambria"/>
          <w:color w:val="000000" w:themeColor="text1"/>
          <w:sz w:val="20"/>
          <w:szCs w:val="20"/>
          <w:lang w:val="es-VE"/>
        </w:rPr>
        <w:t>es del secuestro recibió</w:t>
      </w:r>
      <w:r w:rsidR="002A779F">
        <w:rPr>
          <w:rFonts w:ascii="Cambria" w:hAnsi="Cambria"/>
          <w:color w:val="000000" w:themeColor="text1"/>
          <w:sz w:val="20"/>
          <w:szCs w:val="20"/>
          <w:lang w:val="es-VE"/>
        </w:rPr>
        <w:t xml:space="preserve"> una</w:t>
      </w:r>
      <w:r w:rsidR="00585AE3">
        <w:rPr>
          <w:rFonts w:ascii="Cambria" w:hAnsi="Cambria"/>
          <w:color w:val="000000" w:themeColor="text1"/>
          <w:sz w:val="20"/>
          <w:szCs w:val="20"/>
          <w:lang w:val="es-VE"/>
        </w:rPr>
        <w:t xml:space="preserve"> amenaza </w:t>
      </w:r>
      <w:r w:rsidR="00270024">
        <w:rPr>
          <w:rFonts w:ascii="Cambria" w:hAnsi="Cambria"/>
          <w:color w:val="000000" w:themeColor="text1"/>
          <w:sz w:val="20"/>
          <w:szCs w:val="20"/>
          <w:lang w:val="es-VE"/>
        </w:rPr>
        <w:t xml:space="preserve"> que </w:t>
      </w:r>
      <w:r w:rsidR="00585AE3">
        <w:rPr>
          <w:rFonts w:ascii="Cambria" w:hAnsi="Cambria"/>
          <w:color w:val="000000" w:themeColor="text1"/>
          <w:sz w:val="20"/>
          <w:szCs w:val="20"/>
          <w:lang w:val="es-VE"/>
        </w:rPr>
        <w:t>fue</w:t>
      </w:r>
      <w:r w:rsidR="002A779F">
        <w:rPr>
          <w:rFonts w:ascii="Cambria" w:hAnsi="Cambria"/>
          <w:color w:val="000000" w:themeColor="text1"/>
          <w:sz w:val="20"/>
          <w:szCs w:val="20"/>
          <w:lang w:val="es-VE"/>
        </w:rPr>
        <w:t xml:space="preserve"> </w:t>
      </w:r>
      <w:r w:rsidR="00585AE3">
        <w:rPr>
          <w:rFonts w:ascii="Cambria" w:hAnsi="Cambria"/>
          <w:color w:val="000000" w:themeColor="text1"/>
          <w:sz w:val="20"/>
          <w:szCs w:val="20"/>
          <w:lang w:val="es-VE"/>
        </w:rPr>
        <w:t xml:space="preserve">debidamente </w:t>
      </w:r>
      <w:r w:rsidR="00A66B24">
        <w:rPr>
          <w:rFonts w:ascii="Cambria" w:hAnsi="Cambria"/>
          <w:color w:val="000000" w:themeColor="text1"/>
          <w:sz w:val="20"/>
          <w:szCs w:val="20"/>
          <w:lang w:val="es-VE"/>
        </w:rPr>
        <w:t xml:space="preserve">denunciada, </w:t>
      </w:r>
      <w:r w:rsidR="00585AE3">
        <w:rPr>
          <w:rFonts w:ascii="Cambria" w:hAnsi="Cambria"/>
          <w:color w:val="000000" w:themeColor="text1"/>
          <w:sz w:val="20"/>
          <w:szCs w:val="20"/>
          <w:lang w:val="es-VE"/>
        </w:rPr>
        <w:t xml:space="preserve">sin lograr obtener protección del Estado </w:t>
      </w:r>
      <w:r w:rsidR="00CF2FE3">
        <w:rPr>
          <w:rFonts w:ascii="Cambria" w:hAnsi="Cambria"/>
          <w:color w:val="000000" w:themeColor="text1"/>
          <w:sz w:val="20"/>
          <w:szCs w:val="20"/>
          <w:lang w:val="es-VE"/>
        </w:rPr>
        <w:t xml:space="preserve">Agregó que </w:t>
      </w:r>
      <w:r w:rsidR="00A66B24">
        <w:rPr>
          <w:rFonts w:ascii="Cambria" w:hAnsi="Cambria"/>
          <w:color w:val="000000" w:themeColor="text1"/>
          <w:sz w:val="20"/>
          <w:szCs w:val="20"/>
          <w:lang w:val="es-VE"/>
        </w:rPr>
        <w:t xml:space="preserve">tras la liberación las amenazas continuaron, </w:t>
      </w:r>
      <w:r w:rsidR="00270024">
        <w:rPr>
          <w:rFonts w:ascii="Cambria" w:hAnsi="Cambria"/>
          <w:color w:val="000000" w:themeColor="text1"/>
          <w:sz w:val="20"/>
          <w:szCs w:val="20"/>
          <w:lang w:val="es-VE"/>
        </w:rPr>
        <w:t xml:space="preserve">por lo que </w:t>
      </w:r>
      <w:r w:rsidR="00A66B24">
        <w:rPr>
          <w:rFonts w:ascii="Cambria" w:hAnsi="Cambria"/>
          <w:color w:val="000000" w:themeColor="text1"/>
          <w:sz w:val="20"/>
          <w:szCs w:val="20"/>
          <w:lang w:val="es-VE"/>
        </w:rPr>
        <w:t xml:space="preserve">el señor Betancourt y miembros de su familia tuvieron que abandonar el país por miedo a las represalias y la falta de protección </w:t>
      </w:r>
      <w:r w:rsidR="00585AE3">
        <w:rPr>
          <w:rFonts w:ascii="Cambria" w:hAnsi="Cambria"/>
          <w:color w:val="000000" w:themeColor="text1"/>
          <w:sz w:val="20"/>
          <w:szCs w:val="20"/>
          <w:lang w:val="es-VE"/>
        </w:rPr>
        <w:t>del Estado</w:t>
      </w:r>
      <w:r w:rsidR="00037250">
        <w:rPr>
          <w:rFonts w:ascii="Cambria" w:hAnsi="Cambria"/>
          <w:color w:val="000000" w:themeColor="text1"/>
          <w:sz w:val="20"/>
          <w:szCs w:val="20"/>
          <w:lang w:val="es-VE"/>
        </w:rPr>
        <w:t xml:space="preserve">, generando la interrupción </w:t>
      </w:r>
      <w:r w:rsidR="00141677">
        <w:rPr>
          <w:rFonts w:ascii="Cambria" w:hAnsi="Cambria"/>
          <w:color w:val="000000" w:themeColor="text1"/>
          <w:sz w:val="20"/>
          <w:szCs w:val="20"/>
          <w:lang w:val="es-VE"/>
        </w:rPr>
        <w:t xml:space="preserve">de sus planes de vida, profundas aflicciones </w:t>
      </w:r>
      <w:r w:rsidR="00037250">
        <w:rPr>
          <w:rFonts w:ascii="Cambria" w:hAnsi="Cambria"/>
          <w:color w:val="000000" w:themeColor="text1"/>
          <w:sz w:val="20"/>
          <w:szCs w:val="20"/>
          <w:lang w:val="es-VE"/>
        </w:rPr>
        <w:t xml:space="preserve">y pérdidas </w:t>
      </w:r>
      <w:r w:rsidR="002C143B">
        <w:rPr>
          <w:rFonts w:ascii="Cambria" w:hAnsi="Cambria"/>
          <w:color w:val="000000" w:themeColor="text1"/>
          <w:sz w:val="20"/>
          <w:szCs w:val="20"/>
          <w:lang w:val="es-VE"/>
        </w:rPr>
        <w:t>patrimoniales</w:t>
      </w:r>
      <w:r w:rsidR="00585AE3">
        <w:rPr>
          <w:rFonts w:ascii="Cambria" w:hAnsi="Cambria"/>
          <w:color w:val="000000" w:themeColor="text1"/>
          <w:sz w:val="20"/>
          <w:szCs w:val="20"/>
          <w:lang w:val="es-VE"/>
        </w:rPr>
        <w:t xml:space="preserve">. </w:t>
      </w:r>
      <w:r w:rsidR="00AB0FFB">
        <w:rPr>
          <w:rFonts w:ascii="Cambria" w:hAnsi="Cambria"/>
          <w:color w:val="000000" w:themeColor="text1"/>
          <w:sz w:val="20"/>
          <w:szCs w:val="20"/>
          <w:lang w:val="es-VE"/>
        </w:rPr>
        <w:t>S</w:t>
      </w:r>
      <w:r w:rsidR="00037250">
        <w:rPr>
          <w:rFonts w:ascii="Cambria" w:hAnsi="Cambria"/>
          <w:color w:val="000000" w:themeColor="text1"/>
          <w:sz w:val="20"/>
          <w:szCs w:val="20"/>
          <w:lang w:val="es-VE"/>
        </w:rPr>
        <w:t>eñaló</w:t>
      </w:r>
      <w:r w:rsidR="00270024">
        <w:rPr>
          <w:rFonts w:ascii="Cambria" w:hAnsi="Cambria"/>
          <w:color w:val="000000" w:themeColor="text1"/>
          <w:sz w:val="20"/>
          <w:szCs w:val="20"/>
          <w:lang w:val="es-VE"/>
        </w:rPr>
        <w:t xml:space="preserve"> que a la fecha la investigación penal no ha logrado identificar</w:t>
      </w:r>
      <w:r w:rsidR="002C143B">
        <w:rPr>
          <w:rFonts w:ascii="Cambria" w:hAnsi="Cambria"/>
          <w:color w:val="000000" w:themeColor="text1"/>
          <w:sz w:val="20"/>
          <w:szCs w:val="20"/>
          <w:lang w:val="es-VE"/>
        </w:rPr>
        <w:t xml:space="preserve"> ni</w:t>
      </w:r>
      <w:r w:rsidR="00037250">
        <w:rPr>
          <w:rFonts w:ascii="Cambria" w:hAnsi="Cambria"/>
          <w:color w:val="000000" w:themeColor="text1"/>
          <w:sz w:val="20"/>
          <w:szCs w:val="20"/>
          <w:lang w:val="es-VE"/>
        </w:rPr>
        <w:t xml:space="preserve"> sancionar a los responsables</w:t>
      </w:r>
      <w:r w:rsidR="002C143B">
        <w:rPr>
          <w:rFonts w:ascii="Cambria" w:hAnsi="Cambria"/>
          <w:color w:val="000000" w:themeColor="text1"/>
          <w:sz w:val="20"/>
          <w:szCs w:val="20"/>
          <w:lang w:val="es-VE"/>
        </w:rPr>
        <w:t>.</w:t>
      </w:r>
    </w:p>
    <w:p w14:paraId="46BDCD1D" w14:textId="77777777" w:rsidR="005C4CA5" w:rsidRDefault="005C4CA5"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14:paraId="7A72A1EE" w14:textId="77777777" w:rsidR="005C4CA5" w:rsidRDefault="00037250"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color w:val="000000" w:themeColor="text1"/>
          <w:sz w:val="20"/>
          <w:szCs w:val="20"/>
          <w:lang w:val="es-VE"/>
        </w:rPr>
      </w:pPr>
      <w:r>
        <w:rPr>
          <w:rFonts w:ascii="Cambria" w:hAnsi="Cambria"/>
          <w:color w:val="000000" w:themeColor="text1"/>
          <w:sz w:val="20"/>
          <w:szCs w:val="20"/>
          <w:lang w:val="es-VE"/>
        </w:rPr>
        <w:t xml:space="preserve">El Estado </w:t>
      </w:r>
      <w:r w:rsidR="002C117F">
        <w:rPr>
          <w:rFonts w:ascii="Cambria" w:hAnsi="Cambria"/>
          <w:color w:val="000000" w:themeColor="text1"/>
          <w:sz w:val="20"/>
          <w:szCs w:val="20"/>
          <w:lang w:val="es-VE"/>
        </w:rPr>
        <w:t xml:space="preserve">indicó </w:t>
      </w:r>
      <w:r w:rsidR="00B844A7">
        <w:rPr>
          <w:rFonts w:ascii="Cambria" w:hAnsi="Cambria"/>
          <w:color w:val="000000" w:themeColor="text1"/>
          <w:sz w:val="20"/>
          <w:szCs w:val="20"/>
          <w:lang w:val="es-VE"/>
        </w:rPr>
        <w:t>que</w:t>
      </w:r>
      <w:r w:rsidR="002E2923">
        <w:rPr>
          <w:rFonts w:ascii="Cambria" w:hAnsi="Cambria"/>
          <w:color w:val="000000" w:themeColor="text1"/>
          <w:sz w:val="20"/>
          <w:szCs w:val="20"/>
          <w:lang w:val="es-VE"/>
        </w:rPr>
        <w:t xml:space="preserve"> </w:t>
      </w:r>
      <w:r w:rsidR="00B844A7">
        <w:rPr>
          <w:rFonts w:ascii="Cambria" w:hAnsi="Cambria"/>
          <w:color w:val="000000" w:themeColor="text1"/>
          <w:sz w:val="20"/>
          <w:szCs w:val="20"/>
          <w:lang w:val="es-VE"/>
        </w:rPr>
        <w:t xml:space="preserve">garantizó el acceso a la justicia y practicó las diligencias debidas respecto del secuestro y amenazas. </w:t>
      </w:r>
      <w:r w:rsidR="00B14533">
        <w:rPr>
          <w:rFonts w:ascii="Cambria" w:hAnsi="Cambria"/>
          <w:color w:val="000000" w:themeColor="text1"/>
          <w:sz w:val="20"/>
          <w:szCs w:val="20"/>
          <w:lang w:val="es-VE"/>
        </w:rPr>
        <w:t xml:space="preserve">En cuanto a </w:t>
      </w:r>
      <w:r w:rsidR="00B844A7">
        <w:rPr>
          <w:rFonts w:ascii="Cambria" w:hAnsi="Cambria"/>
          <w:color w:val="000000" w:themeColor="text1"/>
          <w:sz w:val="20"/>
          <w:szCs w:val="20"/>
          <w:lang w:val="es-VE"/>
        </w:rPr>
        <w:t xml:space="preserve">las amenazas del secuestro, el Estado indicó que no se informó sobre esta posible situación, por lo que su consumación no pudo ser prevenida y por lo tanto no podría atribuírsele responsabilidad internacional. </w:t>
      </w:r>
      <w:r w:rsidR="00E61E75">
        <w:rPr>
          <w:rFonts w:ascii="Cambria" w:hAnsi="Cambria"/>
          <w:color w:val="000000" w:themeColor="text1"/>
          <w:sz w:val="20"/>
          <w:szCs w:val="20"/>
          <w:lang w:val="es-VE"/>
        </w:rPr>
        <w:t xml:space="preserve">Alegó que entregó a la familia todas las herramientas disponibles para la negociación con los captores, </w:t>
      </w:r>
      <w:r w:rsidR="004B7927">
        <w:rPr>
          <w:rFonts w:ascii="Cambria" w:hAnsi="Cambria"/>
          <w:color w:val="000000" w:themeColor="text1"/>
          <w:sz w:val="20"/>
          <w:szCs w:val="20"/>
          <w:lang w:val="es-VE"/>
        </w:rPr>
        <w:t>en la medida de lo posible</w:t>
      </w:r>
      <w:r w:rsidR="00E20A97">
        <w:rPr>
          <w:rFonts w:ascii="Cambria" w:hAnsi="Cambria"/>
          <w:color w:val="000000" w:themeColor="text1"/>
          <w:sz w:val="20"/>
          <w:szCs w:val="20"/>
          <w:lang w:val="es-VE"/>
        </w:rPr>
        <w:t xml:space="preserve">. Agregó </w:t>
      </w:r>
      <w:r w:rsidR="00E61E75">
        <w:rPr>
          <w:rFonts w:ascii="Cambria" w:hAnsi="Cambria"/>
          <w:color w:val="000000" w:themeColor="text1"/>
          <w:sz w:val="20"/>
          <w:szCs w:val="20"/>
          <w:lang w:val="es-VE"/>
        </w:rPr>
        <w:t xml:space="preserve">que la demora en la práctica de las diligencias se relacionó con </w:t>
      </w:r>
      <w:r w:rsidR="006A6CEC">
        <w:rPr>
          <w:rFonts w:ascii="Cambria" w:hAnsi="Cambria"/>
          <w:color w:val="000000" w:themeColor="text1"/>
          <w:sz w:val="20"/>
          <w:szCs w:val="20"/>
          <w:lang w:val="es-VE"/>
        </w:rPr>
        <w:t>el n</w:t>
      </w:r>
      <w:r w:rsidR="00763EEF">
        <w:rPr>
          <w:rFonts w:ascii="Cambria" w:hAnsi="Cambria"/>
          <w:color w:val="000000" w:themeColor="text1"/>
          <w:sz w:val="20"/>
          <w:szCs w:val="20"/>
          <w:lang w:val="es-VE"/>
        </w:rPr>
        <w:t xml:space="preserve">ivel de participación </w:t>
      </w:r>
      <w:r w:rsidR="006A6CEC">
        <w:rPr>
          <w:rFonts w:ascii="Cambria" w:hAnsi="Cambria"/>
          <w:color w:val="000000" w:themeColor="text1"/>
          <w:sz w:val="20"/>
          <w:szCs w:val="20"/>
          <w:lang w:val="es-VE"/>
        </w:rPr>
        <w:t xml:space="preserve">de la familia </w:t>
      </w:r>
      <w:r w:rsidR="00763EEF">
        <w:rPr>
          <w:rFonts w:ascii="Cambria" w:hAnsi="Cambria"/>
          <w:color w:val="000000" w:themeColor="text1"/>
          <w:sz w:val="20"/>
          <w:szCs w:val="20"/>
          <w:lang w:val="es-VE"/>
        </w:rPr>
        <w:t xml:space="preserve">en el proceso. </w:t>
      </w:r>
    </w:p>
    <w:p w14:paraId="1ABB23D8" w14:textId="77777777" w:rsidR="005C4CA5" w:rsidRDefault="005C4CA5" w:rsidP="001E3EBE">
      <w:pPr>
        <w:pStyle w:val="ListParagraph"/>
        <w:ind w:left="0"/>
        <w:rPr>
          <w:color w:val="000000" w:themeColor="text1"/>
          <w:sz w:val="20"/>
          <w:szCs w:val="20"/>
          <w:lang w:val="es-VE"/>
        </w:rPr>
      </w:pPr>
    </w:p>
    <w:p w14:paraId="185ADD07" w14:textId="77777777" w:rsidR="00871115" w:rsidRPr="00B63F65" w:rsidRDefault="005C4CA5"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CL"/>
        </w:rPr>
      </w:pPr>
      <w:r w:rsidRPr="00B63F65">
        <w:rPr>
          <w:rFonts w:ascii="Cambria" w:hAnsi="Cambria"/>
          <w:color w:val="000000" w:themeColor="text1"/>
          <w:sz w:val="20"/>
          <w:szCs w:val="20"/>
          <w:lang w:val="es-VE"/>
        </w:rPr>
        <w:t>Con base en las determinaciones de hecho y de derecho, la Comisión Interamericana concluyó que</w:t>
      </w:r>
      <w:r w:rsidR="00A814FA" w:rsidRPr="00C9549E">
        <w:rPr>
          <w:rFonts w:ascii="Cambria" w:hAnsi="Cambria"/>
          <w:color w:val="000000" w:themeColor="text1"/>
          <w:sz w:val="20"/>
          <w:szCs w:val="20"/>
          <w:lang w:val="es-VE"/>
        </w:rPr>
        <w:t xml:space="preserve"> </w:t>
      </w:r>
      <w:r w:rsidRPr="003B3B24">
        <w:rPr>
          <w:rFonts w:ascii="Cambria" w:hAnsi="Cambria"/>
          <w:color w:val="000000" w:themeColor="text1"/>
          <w:sz w:val="20"/>
          <w:szCs w:val="20"/>
          <w:lang w:val="es-VE"/>
        </w:rPr>
        <w:t xml:space="preserve">el Estado es responsable por la violación </w:t>
      </w:r>
      <w:r w:rsidR="00616B15" w:rsidRPr="003B3B24">
        <w:rPr>
          <w:rFonts w:asciiTheme="majorHAnsi" w:hAnsiTheme="majorHAnsi"/>
          <w:sz w:val="20"/>
          <w:szCs w:val="20"/>
          <w:lang w:val="es-CL"/>
        </w:rPr>
        <w:t xml:space="preserve">de los </w:t>
      </w:r>
      <w:r w:rsidR="00871115" w:rsidRPr="00B76617">
        <w:rPr>
          <w:rFonts w:asciiTheme="majorHAnsi" w:hAnsiTheme="majorHAnsi"/>
          <w:sz w:val="20"/>
          <w:szCs w:val="20"/>
          <w:lang w:val="es-CL"/>
        </w:rPr>
        <w:t>artículos</w:t>
      </w:r>
      <w:r w:rsidR="00616B15" w:rsidRPr="00B63F65">
        <w:rPr>
          <w:rFonts w:asciiTheme="majorHAnsi" w:hAnsiTheme="majorHAnsi"/>
          <w:sz w:val="20"/>
          <w:szCs w:val="20"/>
          <w:lang w:val="es-CL"/>
        </w:rPr>
        <w:t xml:space="preserve"> 5.1 (derecho a la integridad), 7.1 (libertad y seguridad personales), 22.1 (libre circulación y residencia), </w:t>
      </w:r>
      <w:r w:rsidR="00616B15" w:rsidRPr="00B63F65">
        <w:rPr>
          <w:rFonts w:asciiTheme="majorHAnsi" w:hAnsiTheme="majorHAnsi"/>
          <w:sz w:val="20"/>
          <w:szCs w:val="20"/>
          <w:lang w:val="es-ES"/>
        </w:rPr>
        <w:t>8.1 (garantías judiciales), 25.1 (protección judicial)</w:t>
      </w:r>
      <w:r w:rsidR="00616B15" w:rsidRPr="00B63F65">
        <w:rPr>
          <w:rFonts w:asciiTheme="majorHAnsi" w:hAnsiTheme="majorHAnsi"/>
          <w:sz w:val="20"/>
          <w:szCs w:val="20"/>
          <w:lang w:val="es-CL"/>
        </w:rPr>
        <w:t xml:space="preserve"> </w:t>
      </w:r>
      <w:r w:rsidR="00871115" w:rsidRPr="00B63F65">
        <w:rPr>
          <w:rFonts w:ascii="Cambria" w:hAnsi="Cambria"/>
          <w:color w:val="000000" w:themeColor="text1"/>
          <w:sz w:val="20"/>
          <w:szCs w:val="20"/>
          <w:lang w:val="es-VE"/>
        </w:rPr>
        <w:t xml:space="preserve">de la Convención Americana sobre Derechos Humanos (en adelante  “la Convención Americana”  o “la Convención”), </w:t>
      </w:r>
      <w:r w:rsidR="00616B15" w:rsidRPr="00B63F65">
        <w:rPr>
          <w:rFonts w:asciiTheme="majorHAnsi" w:hAnsiTheme="majorHAnsi"/>
          <w:sz w:val="20"/>
          <w:szCs w:val="20"/>
          <w:lang w:val="es-CL"/>
        </w:rPr>
        <w:t xml:space="preserve">en relación con las obligaciones establecidas en el artículo 1.1 del mismo instrumento, en perjuicio de Carlos Arturo Betancourt Estrada y su familia. </w:t>
      </w:r>
      <w:r w:rsidRPr="00B63F65">
        <w:rPr>
          <w:rFonts w:ascii="Cambria" w:hAnsi="Cambria"/>
          <w:color w:val="000000" w:themeColor="text1"/>
          <w:sz w:val="20"/>
          <w:szCs w:val="20"/>
          <w:lang w:val="es-VE"/>
        </w:rPr>
        <w:t>La Comisión formuló las recomendaciones respectivas.</w:t>
      </w:r>
    </w:p>
    <w:p w14:paraId="70DE1AED" w14:textId="77777777" w:rsidR="00377746" w:rsidRDefault="00377746"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CL"/>
        </w:rPr>
      </w:pPr>
    </w:p>
    <w:p w14:paraId="13BBD795" w14:textId="77777777" w:rsidR="0008768F" w:rsidRDefault="00D12193" w:rsidP="001E3EBE">
      <w:pPr>
        <w:pStyle w:val="Heading1"/>
        <w:ind w:left="0" w:firstLine="0"/>
      </w:pPr>
      <w:bookmarkStart w:id="4" w:name="_Toc394820741"/>
      <w:bookmarkStart w:id="5" w:name="_Toc70437008"/>
      <w:r w:rsidRPr="00341FA6">
        <w:t>ALEGATOS DE LAS PARTES</w:t>
      </w:r>
      <w:bookmarkEnd w:id="4"/>
      <w:bookmarkEnd w:id="5"/>
    </w:p>
    <w:p w14:paraId="284A2EBF" w14:textId="77777777" w:rsidR="006F5690" w:rsidRPr="006F5690" w:rsidRDefault="006F5690" w:rsidP="001E3EBE"/>
    <w:p w14:paraId="40F01108" w14:textId="77777777" w:rsidR="00D12193" w:rsidRPr="00365872" w:rsidRDefault="00341FA6" w:rsidP="001E3EBE">
      <w:pPr>
        <w:pStyle w:val="Heading2"/>
        <w:ind w:firstLine="0"/>
        <w:rPr>
          <w:lang w:val="es-ES_tradnl"/>
        </w:rPr>
      </w:pPr>
      <w:bookmarkStart w:id="6" w:name="_Toc394820742"/>
      <w:bookmarkStart w:id="7" w:name="_Toc70437009"/>
      <w:r w:rsidRPr="00365872">
        <w:rPr>
          <w:lang w:val="es-ES_tradnl"/>
        </w:rPr>
        <w:t>Parte peticionaria</w:t>
      </w:r>
      <w:bookmarkEnd w:id="6"/>
      <w:bookmarkEnd w:id="7"/>
      <w:r w:rsidR="00CC63CF">
        <w:rPr>
          <w:lang w:val="es-ES_tradnl"/>
        </w:rPr>
        <w:t xml:space="preserve"> </w:t>
      </w:r>
    </w:p>
    <w:p w14:paraId="54CA29DC" w14:textId="77777777" w:rsidR="00361415" w:rsidRDefault="00361415" w:rsidP="001E3EBE">
      <w:pPr>
        <w:suppressAutoHyphens/>
        <w:rPr>
          <w:rFonts w:asciiTheme="majorHAnsi" w:hAnsiTheme="majorHAnsi"/>
          <w:sz w:val="20"/>
          <w:szCs w:val="20"/>
          <w:lang w:val="es-ES_tradnl"/>
        </w:rPr>
      </w:pPr>
    </w:p>
    <w:p w14:paraId="6AB4C179" w14:textId="77777777" w:rsidR="00390D68" w:rsidRPr="00390D68" w:rsidRDefault="00FD5A34"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color w:val="000000" w:themeColor="text1"/>
          <w:sz w:val="20"/>
          <w:szCs w:val="20"/>
          <w:lang w:val="es-VE"/>
        </w:rPr>
      </w:pPr>
      <w:r>
        <w:rPr>
          <w:rFonts w:ascii="Cambria" w:hAnsi="Cambria"/>
          <w:color w:val="000000" w:themeColor="text1"/>
          <w:sz w:val="20"/>
          <w:szCs w:val="20"/>
          <w:lang w:val="es-VE"/>
        </w:rPr>
        <w:t>Alegó que Carlos Arturo Bet</w:t>
      </w:r>
      <w:r w:rsidR="007C3216">
        <w:rPr>
          <w:rFonts w:ascii="Cambria" w:hAnsi="Cambria"/>
          <w:color w:val="000000" w:themeColor="text1"/>
          <w:sz w:val="20"/>
          <w:szCs w:val="20"/>
          <w:lang w:val="es-VE"/>
        </w:rPr>
        <w:t xml:space="preserve">ancourt Estrada fue secuestrado, en Medellín, Colombia, </w:t>
      </w:r>
      <w:r>
        <w:rPr>
          <w:rFonts w:ascii="Cambria" w:hAnsi="Cambria"/>
          <w:color w:val="000000" w:themeColor="text1"/>
          <w:sz w:val="20"/>
          <w:szCs w:val="20"/>
          <w:lang w:val="es-VE"/>
        </w:rPr>
        <w:t xml:space="preserve">el 14 de noviembre de 1999 y </w:t>
      </w:r>
      <w:r w:rsidR="004B1C98">
        <w:rPr>
          <w:rFonts w:ascii="Cambria" w:hAnsi="Cambria"/>
          <w:color w:val="000000" w:themeColor="text1"/>
          <w:sz w:val="20"/>
          <w:szCs w:val="20"/>
          <w:lang w:val="es-VE"/>
        </w:rPr>
        <w:t xml:space="preserve">que su cautiverio, ejecutado por </w:t>
      </w:r>
      <w:r w:rsidR="008670E8">
        <w:rPr>
          <w:rFonts w:ascii="Cambria" w:hAnsi="Cambria"/>
          <w:color w:val="000000" w:themeColor="text1"/>
          <w:sz w:val="20"/>
          <w:szCs w:val="20"/>
          <w:lang w:val="es-VE"/>
        </w:rPr>
        <w:t>un grupo armado ilegal</w:t>
      </w:r>
      <w:r w:rsidR="004B1C98">
        <w:rPr>
          <w:rFonts w:ascii="Cambria" w:hAnsi="Cambria"/>
          <w:color w:val="000000" w:themeColor="text1"/>
          <w:sz w:val="20"/>
          <w:szCs w:val="20"/>
          <w:lang w:val="es-VE"/>
        </w:rPr>
        <w:t xml:space="preserve">, duró hasta </w:t>
      </w:r>
      <w:r>
        <w:rPr>
          <w:rFonts w:ascii="Cambria" w:hAnsi="Cambria"/>
          <w:color w:val="000000" w:themeColor="text1"/>
          <w:sz w:val="20"/>
          <w:szCs w:val="20"/>
          <w:lang w:val="es-VE"/>
        </w:rPr>
        <w:t xml:space="preserve">el 17 de </w:t>
      </w:r>
      <w:r w:rsidR="00790828">
        <w:rPr>
          <w:rFonts w:ascii="Cambria" w:hAnsi="Cambria"/>
          <w:color w:val="000000" w:themeColor="text1"/>
          <w:sz w:val="20"/>
          <w:szCs w:val="20"/>
          <w:lang w:val="es-VE"/>
        </w:rPr>
        <w:t>febrero</w:t>
      </w:r>
      <w:r w:rsidR="00B53CFE">
        <w:rPr>
          <w:rFonts w:ascii="Cambria" w:hAnsi="Cambria"/>
          <w:color w:val="000000" w:themeColor="text1"/>
          <w:sz w:val="20"/>
          <w:szCs w:val="20"/>
          <w:lang w:val="es-VE"/>
        </w:rPr>
        <w:t xml:space="preserve"> </w:t>
      </w:r>
      <w:r>
        <w:rPr>
          <w:rFonts w:ascii="Cambria" w:hAnsi="Cambria"/>
          <w:color w:val="000000" w:themeColor="text1"/>
          <w:sz w:val="20"/>
          <w:szCs w:val="20"/>
          <w:lang w:val="es-VE"/>
        </w:rPr>
        <w:t>de 200</w:t>
      </w:r>
      <w:r w:rsidR="004B1C98">
        <w:rPr>
          <w:rFonts w:ascii="Cambria" w:hAnsi="Cambria"/>
          <w:color w:val="000000" w:themeColor="text1"/>
          <w:sz w:val="20"/>
          <w:szCs w:val="20"/>
          <w:lang w:val="es-VE"/>
        </w:rPr>
        <w:t>0</w:t>
      </w:r>
      <w:r w:rsidR="00390D68">
        <w:rPr>
          <w:rFonts w:ascii="Cambria" w:hAnsi="Cambria"/>
          <w:color w:val="000000" w:themeColor="text1"/>
          <w:sz w:val="20"/>
          <w:szCs w:val="20"/>
          <w:lang w:val="es-VE"/>
        </w:rPr>
        <w:t xml:space="preserve"> cuando la familia realizó el pago del rescate. </w:t>
      </w:r>
      <w:r w:rsidR="009D55D1">
        <w:rPr>
          <w:rFonts w:ascii="Cambria" w:hAnsi="Cambria"/>
          <w:color w:val="000000" w:themeColor="text1"/>
          <w:sz w:val="20"/>
          <w:szCs w:val="20"/>
          <w:lang w:val="es-VE"/>
        </w:rPr>
        <w:t>Señaló que e</w:t>
      </w:r>
      <w:r w:rsidR="00BC01BA" w:rsidRPr="00390D68">
        <w:rPr>
          <w:rFonts w:ascii="Cambria" w:hAnsi="Cambria"/>
          <w:color w:val="000000" w:themeColor="text1"/>
          <w:sz w:val="20"/>
          <w:szCs w:val="20"/>
          <w:lang w:val="es-VE"/>
        </w:rPr>
        <w:t xml:space="preserve">l día </w:t>
      </w:r>
      <w:r w:rsidR="00B9648D">
        <w:rPr>
          <w:rFonts w:ascii="Cambria" w:hAnsi="Cambria"/>
          <w:color w:val="000000" w:themeColor="text1"/>
          <w:sz w:val="20"/>
          <w:szCs w:val="20"/>
          <w:lang w:val="es-VE"/>
        </w:rPr>
        <w:t>anterior a</w:t>
      </w:r>
      <w:r w:rsidR="00BC01BA" w:rsidRPr="00390D68">
        <w:rPr>
          <w:rFonts w:ascii="Cambria" w:hAnsi="Cambria"/>
          <w:color w:val="000000" w:themeColor="text1"/>
          <w:sz w:val="20"/>
          <w:szCs w:val="20"/>
          <w:lang w:val="es-VE"/>
        </w:rPr>
        <w:t xml:space="preserve">l secuestro </w:t>
      </w:r>
      <w:r w:rsidR="007A50E5" w:rsidRPr="00390D68">
        <w:rPr>
          <w:rFonts w:ascii="Cambria" w:hAnsi="Cambria"/>
          <w:color w:val="000000" w:themeColor="text1"/>
          <w:sz w:val="20"/>
          <w:szCs w:val="20"/>
          <w:lang w:val="es-VE"/>
        </w:rPr>
        <w:t xml:space="preserve">la presunta víctima recibió una llamada </w:t>
      </w:r>
      <w:r w:rsidR="00915489" w:rsidRPr="00390D68">
        <w:rPr>
          <w:rFonts w:ascii="Cambria" w:hAnsi="Cambria"/>
          <w:color w:val="000000" w:themeColor="text1"/>
          <w:sz w:val="20"/>
          <w:szCs w:val="20"/>
          <w:lang w:val="es-VE"/>
        </w:rPr>
        <w:t>amenaza</w:t>
      </w:r>
      <w:r w:rsidR="00BA0155">
        <w:rPr>
          <w:rFonts w:ascii="Cambria" w:hAnsi="Cambria"/>
          <w:color w:val="000000" w:themeColor="text1"/>
          <w:sz w:val="20"/>
          <w:szCs w:val="20"/>
          <w:lang w:val="es-VE"/>
        </w:rPr>
        <w:t>nte</w:t>
      </w:r>
      <w:r w:rsidR="00915489" w:rsidRPr="00390D68">
        <w:rPr>
          <w:rFonts w:ascii="Cambria" w:hAnsi="Cambria"/>
          <w:color w:val="000000" w:themeColor="text1"/>
          <w:sz w:val="20"/>
          <w:szCs w:val="20"/>
          <w:lang w:val="es-VE"/>
        </w:rPr>
        <w:t xml:space="preserve"> anónima en la que se le dijo </w:t>
      </w:r>
      <w:r w:rsidR="007A50E5" w:rsidRPr="00390D68">
        <w:rPr>
          <w:rFonts w:ascii="Cambria" w:hAnsi="Cambria"/>
          <w:color w:val="000000" w:themeColor="text1"/>
          <w:sz w:val="20"/>
          <w:szCs w:val="20"/>
          <w:lang w:val="es-VE"/>
        </w:rPr>
        <w:t>que “</w:t>
      </w:r>
      <w:r w:rsidR="00915489" w:rsidRPr="00390D68">
        <w:rPr>
          <w:rFonts w:ascii="Cambria" w:hAnsi="Cambria"/>
          <w:color w:val="000000" w:themeColor="text1"/>
          <w:sz w:val="20"/>
          <w:szCs w:val="20"/>
          <w:lang w:val="es-VE"/>
        </w:rPr>
        <w:t xml:space="preserve">iba a ocurrir algo desagradable” lo que fue comunicado </w:t>
      </w:r>
      <w:r w:rsidR="00390D68" w:rsidRPr="00390D68">
        <w:rPr>
          <w:rFonts w:ascii="Cambria" w:hAnsi="Cambria"/>
          <w:color w:val="000000" w:themeColor="text1"/>
          <w:sz w:val="20"/>
          <w:szCs w:val="20"/>
          <w:lang w:val="es-VE"/>
        </w:rPr>
        <w:t xml:space="preserve">telefónicamente a la Policía local, </w:t>
      </w:r>
      <w:r w:rsidR="007B7E8D">
        <w:rPr>
          <w:rFonts w:ascii="Cambria" w:hAnsi="Cambria"/>
          <w:color w:val="000000" w:themeColor="text1"/>
          <w:sz w:val="20"/>
          <w:szCs w:val="20"/>
          <w:lang w:val="es-VE"/>
        </w:rPr>
        <w:t>quienes</w:t>
      </w:r>
      <w:r w:rsidR="00390D68" w:rsidRPr="00390D68">
        <w:rPr>
          <w:rFonts w:ascii="Cambria" w:hAnsi="Cambria"/>
          <w:color w:val="000000" w:themeColor="text1"/>
          <w:sz w:val="20"/>
          <w:szCs w:val="20"/>
          <w:lang w:val="es-VE"/>
        </w:rPr>
        <w:t xml:space="preserve"> le contestaron</w:t>
      </w:r>
      <w:r w:rsidR="00BA0155">
        <w:rPr>
          <w:rFonts w:ascii="Cambria" w:hAnsi="Cambria"/>
          <w:color w:val="000000" w:themeColor="text1"/>
          <w:sz w:val="20"/>
          <w:szCs w:val="20"/>
          <w:lang w:val="es-VE"/>
        </w:rPr>
        <w:t xml:space="preserve"> que</w:t>
      </w:r>
      <w:r w:rsidR="00390D68" w:rsidRPr="00390D68">
        <w:rPr>
          <w:rFonts w:ascii="Cambria" w:hAnsi="Cambria"/>
          <w:color w:val="000000" w:themeColor="text1"/>
          <w:sz w:val="20"/>
          <w:szCs w:val="20"/>
          <w:lang w:val="es-VE"/>
        </w:rPr>
        <w:t xml:space="preserve"> “cuando pasara lo que tenía que pasar ellos se harían presente”. </w:t>
      </w:r>
      <w:r w:rsidR="00F038A1">
        <w:rPr>
          <w:rFonts w:ascii="Cambria" w:hAnsi="Cambria"/>
          <w:color w:val="000000" w:themeColor="text1"/>
          <w:sz w:val="20"/>
          <w:szCs w:val="20"/>
          <w:lang w:val="es-VE"/>
        </w:rPr>
        <w:t>Agregó que d</w:t>
      </w:r>
      <w:r w:rsidR="00E47116">
        <w:rPr>
          <w:rFonts w:ascii="Cambria" w:hAnsi="Cambria"/>
          <w:color w:val="000000" w:themeColor="text1"/>
          <w:sz w:val="20"/>
          <w:szCs w:val="20"/>
          <w:lang w:val="es-VE"/>
        </w:rPr>
        <w:t>urante su secuestro la presunta víctima fue sometid</w:t>
      </w:r>
      <w:r w:rsidR="002A779F">
        <w:rPr>
          <w:rFonts w:ascii="Cambria" w:hAnsi="Cambria"/>
          <w:color w:val="000000" w:themeColor="text1"/>
          <w:sz w:val="20"/>
          <w:szCs w:val="20"/>
          <w:lang w:val="es-VE"/>
        </w:rPr>
        <w:t>a</w:t>
      </w:r>
      <w:r w:rsidR="00E47116">
        <w:rPr>
          <w:rFonts w:ascii="Cambria" w:hAnsi="Cambria"/>
          <w:color w:val="000000" w:themeColor="text1"/>
          <w:sz w:val="20"/>
          <w:szCs w:val="20"/>
          <w:lang w:val="es-VE"/>
        </w:rPr>
        <w:t xml:space="preserve"> a torturas físicas y psicológicas.</w:t>
      </w:r>
    </w:p>
    <w:p w14:paraId="336F3605" w14:textId="77777777" w:rsidR="00390D68" w:rsidRDefault="00390D68"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14:paraId="4C782958" w14:textId="77777777" w:rsidR="00166189" w:rsidRDefault="00390D68"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color w:val="000000" w:themeColor="text1"/>
          <w:sz w:val="20"/>
          <w:szCs w:val="20"/>
          <w:lang w:val="es-VE"/>
        </w:rPr>
      </w:pPr>
      <w:r>
        <w:rPr>
          <w:rFonts w:ascii="Cambria" w:hAnsi="Cambria"/>
          <w:color w:val="000000" w:themeColor="text1"/>
          <w:sz w:val="20"/>
          <w:szCs w:val="20"/>
          <w:lang w:val="es-VE"/>
        </w:rPr>
        <w:t>Indic</w:t>
      </w:r>
      <w:r w:rsidR="008670E8">
        <w:rPr>
          <w:rFonts w:ascii="Cambria" w:hAnsi="Cambria"/>
          <w:color w:val="000000" w:themeColor="text1"/>
          <w:sz w:val="20"/>
          <w:szCs w:val="20"/>
          <w:lang w:val="es-VE"/>
        </w:rPr>
        <w:t xml:space="preserve">ó que </w:t>
      </w:r>
      <w:r w:rsidR="00E47116">
        <w:rPr>
          <w:rFonts w:ascii="Cambria" w:hAnsi="Cambria"/>
          <w:color w:val="000000" w:themeColor="text1"/>
          <w:sz w:val="20"/>
          <w:szCs w:val="20"/>
          <w:lang w:val="es-VE"/>
        </w:rPr>
        <w:t xml:space="preserve">la denuncia por el secuestro fue interpuesta el 15 de noviembre de 1999 y que </w:t>
      </w:r>
      <w:r w:rsidR="00134CFB">
        <w:rPr>
          <w:rFonts w:ascii="Cambria" w:hAnsi="Cambria"/>
          <w:color w:val="000000" w:themeColor="text1"/>
          <w:sz w:val="20"/>
          <w:szCs w:val="20"/>
          <w:lang w:val="es-VE"/>
        </w:rPr>
        <w:t xml:space="preserve">desde ese momento </w:t>
      </w:r>
      <w:r w:rsidR="00E47116">
        <w:rPr>
          <w:rFonts w:ascii="Cambria" w:hAnsi="Cambria"/>
          <w:color w:val="000000" w:themeColor="text1"/>
          <w:sz w:val="20"/>
          <w:szCs w:val="20"/>
          <w:lang w:val="es-VE"/>
        </w:rPr>
        <w:t xml:space="preserve">se inició el acompañamiento </w:t>
      </w:r>
      <w:r w:rsidR="00134CFB">
        <w:rPr>
          <w:rFonts w:ascii="Cambria" w:hAnsi="Cambria"/>
          <w:color w:val="000000" w:themeColor="text1"/>
          <w:sz w:val="20"/>
          <w:szCs w:val="20"/>
          <w:lang w:val="es-VE"/>
        </w:rPr>
        <w:t xml:space="preserve">intermitente </w:t>
      </w:r>
      <w:r w:rsidR="00E47116">
        <w:rPr>
          <w:rFonts w:ascii="Cambria" w:hAnsi="Cambria"/>
          <w:color w:val="000000" w:themeColor="text1"/>
          <w:sz w:val="20"/>
          <w:szCs w:val="20"/>
          <w:lang w:val="es-VE"/>
        </w:rPr>
        <w:t xml:space="preserve">de la Dirección Antisecuestro y Antiextorsión de la Policía </w:t>
      </w:r>
      <w:r w:rsidR="00E47116">
        <w:rPr>
          <w:rFonts w:ascii="Cambria" w:hAnsi="Cambria"/>
          <w:color w:val="000000" w:themeColor="text1"/>
          <w:sz w:val="20"/>
          <w:szCs w:val="20"/>
          <w:lang w:val="es-VE"/>
        </w:rPr>
        <w:lastRenderedPageBreak/>
        <w:t xml:space="preserve">Nacional (en adelante “el GAULA”), sin embargo, en los meses que duró el cautiverio, las autoridades </w:t>
      </w:r>
      <w:r w:rsidR="00134CFB">
        <w:rPr>
          <w:rFonts w:ascii="Cambria" w:hAnsi="Cambria"/>
          <w:color w:val="000000" w:themeColor="text1"/>
          <w:sz w:val="20"/>
          <w:szCs w:val="20"/>
          <w:lang w:val="es-VE"/>
        </w:rPr>
        <w:t xml:space="preserve">no </w:t>
      </w:r>
      <w:r w:rsidR="00E47116">
        <w:rPr>
          <w:rFonts w:ascii="Cambria" w:hAnsi="Cambria"/>
          <w:color w:val="000000" w:themeColor="text1"/>
          <w:sz w:val="20"/>
          <w:szCs w:val="20"/>
          <w:lang w:val="es-VE"/>
        </w:rPr>
        <w:t xml:space="preserve">localizaron a la presunta víctima ni a sus captores. </w:t>
      </w:r>
      <w:r w:rsidR="008124FD">
        <w:rPr>
          <w:rFonts w:ascii="Cambria" w:hAnsi="Cambria"/>
          <w:color w:val="000000" w:themeColor="text1"/>
          <w:sz w:val="20"/>
          <w:szCs w:val="20"/>
          <w:lang w:val="es-VE"/>
        </w:rPr>
        <w:t>Señaló que t</w:t>
      </w:r>
      <w:r w:rsidR="00134CFB">
        <w:rPr>
          <w:rFonts w:ascii="Cambria" w:hAnsi="Cambria"/>
          <w:color w:val="000000" w:themeColor="text1"/>
          <w:sz w:val="20"/>
          <w:szCs w:val="20"/>
          <w:lang w:val="es-VE"/>
        </w:rPr>
        <w:t xml:space="preserve">ras la liberación del señor Betancourt, las amenazas y las solicitudes de dinero continuaron, por lo que la familia solicitó garantías al Ejército, la Policía Metropolitana y al GAULA, pero no obtuvieron resultados. Alegó que ante el temor por su vida, el señor Betancourt </w:t>
      </w:r>
      <w:r w:rsidR="007C3216">
        <w:rPr>
          <w:rFonts w:ascii="Cambria" w:hAnsi="Cambria"/>
          <w:color w:val="000000" w:themeColor="text1"/>
          <w:sz w:val="20"/>
          <w:szCs w:val="20"/>
          <w:lang w:val="es-VE"/>
        </w:rPr>
        <w:t>y dos de sus hijos se fueron a Estados Unidos, y su hija mayor se trasladó a Bogotá</w:t>
      </w:r>
      <w:r w:rsidR="00082E9E">
        <w:rPr>
          <w:rFonts w:ascii="Cambria" w:hAnsi="Cambria"/>
          <w:color w:val="000000" w:themeColor="text1"/>
          <w:sz w:val="20"/>
          <w:szCs w:val="20"/>
          <w:lang w:val="es-VE"/>
        </w:rPr>
        <w:t xml:space="preserve">. Agregó </w:t>
      </w:r>
      <w:r w:rsidR="007C3216">
        <w:rPr>
          <w:rFonts w:ascii="Cambria" w:hAnsi="Cambria"/>
          <w:color w:val="000000" w:themeColor="text1"/>
          <w:sz w:val="20"/>
          <w:szCs w:val="20"/>
          <w:lang w:val="es-VE"/>
        </w:rPr>
        <w:t>que esta crisis provo</w:t>
      </w:r>
      <w:r w:rsidR="00B9648D">
        <w:rPr>
          <w:rFonts w:ascii="Cambria" w:hAnsi="Cambria"/>
          <w:color w:val="000000" w:themeColor="text1"/>
          <w:sz w:val="20"/>
          <w:szCs w:val="20"/>
          <w:lang w:val="es-VE"/>
        </w:rPr>
        <w:t xml:space="preserve">có la quiebra de sus empresas, </w:t>
      </w:r>
      <w:r w:rsidR="007C3216">
        <w:rPr>
          <w:rFonts w:ascii="Cambria" w:hAnsi="Cambria"/>
          <w:color w:val="000000" w:themeColor="text1"/>
          <w:sz w:val="20"/>
          <w:szCs w:val="20"/>
          <w:lang w:val="es-VE"/>
        </w:rPr>
        <w:t xml:space="preserve">el embargo </w:t>
      </w:r>
      <w:r w:rsidR="00B9648D">
        <w:rPr>
          <w:rFonts w:ascii="Cambria" w:hAnsi="Cambria"/>
          <w:color w:val="000000" w:themeColor="text1"/>
          <w:sz w:val="20"/>
          <w:szCs w:val="20"/>
          <w:lang w:val="es-VE"/>
        </w:rPr>
        <w:t>de bienes y pérdidas patrimoniales.</w:t>
      </w:r>
    </w:p>
    <w:p w14:paraId="38D6F268" w14:textId="77777777" w:rsidR="007C3216" w:rsidRDefault="007C3216" w:rsidP="001E3EBE">
      <w:pPr>
        <w:pStyle w:val="ListParagraph"/>
        <w:ind w:left="0"/>
        <w:rPr>
          <w:color w:val="000000" w:themeColor="text1"/>
          <w:sz w:val="20"/>
          <w:szCs w:val="20"/>
          <w:lang w:val="es-VE"/>
        </w:rPr>
      </w:pPr>
    </w:p>
    <w:p w14:paraId="291E46AA" w14:textId="77777777" w:rsidR="00DA2EB5" w:rsidRPr="00821809" w:rsidRDefault="007C3216"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color w:val="000000" w:themeColor="text1"/>
          <w:sz w:val="20"/>
          <w:szCs w:val="20"/>
          <w:lang w:val="es-VE"/>
        </w:rPr>
      </w:pPr>
      <w:r>
        <w:rPr>
          <w:rFonts w:ascii="Cambria" w:hAnsi="Cambria"/>
          <w:color w:val="000000" w:themeColor="text1"/>
          <w:sz w:val="20"/>
          <w:szCs w:val="20"/>
          <w:lang w:val="es-VE"/>
        </w:rPr>
        <w:t xml:space="preserve">Alegó la vulneración del </w:t>
      </w:r>
      <w:r w:rsidRPr="007C3216">
        <w:rPr>
          <w:rFonts w:ascii="Cambria" w:hAnsi="Cambria"/>
          <w:b/>
          <w:color w:val="000000" w:themeColor="text1"/>
          <w:sz w:val="20"/>
          <w:szCs w:val="20"/>
          <w:lang w:val="es-VE"/>
        </w:rPr>
        <w:t>derecho a la libertad</w:t>
      </w:r>
      <w:r w:rsidR="00171B7E">
        <w:rPr>
          <w:rFonts w:ascii="Cambria" w:hAnsi="Cambria"/>
          <w:b/>
          <w:color w:val="000000" w:themeColor="text1"/>
          <w:sz w:val="20"/>
          <w:szCs w:val="20"/>
          <w:lang w:val="es-VE"/>
        </w:rPr>
        <w:t xml:space="preserve"> </w:t>
      </w:r>
      <w:r w:rsidR="005C6BB6">
        <w:rPr>
          <w:rFonts w:ascii="Cambria" w:hAnsi="Cambria"/>
          <w:b/>
          <w:color w:val="000000" w:themeColor="text1"/>
          <w:sz w:val="20"/>
          <w:szCs w:val="20"/>
          <w:lang w:val="es-VE"/>
        </w:rPr>
        <w:t xml:space="preserve">personal </w:t>
      </w:r>
      <w:r>
        <w:rPr>
          <w:rFonts w:ascii="Cambria" w:hAnsi="Cambria"/>
          <w:color w:val="000000" w:themeColor="text1"/>
          <w:sz w:val="20"/>
          <w:szCs w:val="20"/>
          <w:lang w:val="es-VE"/>
        </w:rPr>
        <w:t>por el secuestro</w:t>
      </w:r>
      <w:r w:rsidR="00171B7E">
        <w:rPr>
          <w:rFonts w:ascii="Cambria" w:hAnsi="Cambria"/>
          <w:color w:val="000000" w:themeColor="text1"/>
          <w:sz w:val="20"/>
          <w:szCs w:val="20"/>
          <w:lang w:val="es-VE"/>
        </w:rPr>
        <w:t xml:space="preserve"> sufrido por la presunta víctima</w:t>
      </w:r>
      <w:r>
        <w:rPr>
          <w:rFonts w:ascii="Cambria" w:hAnsi="Cambria"/>
          <w:color w:val="000000" w:themeColor="text1"/>
          <w:sz w:val="20"/>
          <w:szCs w:val="20"/>
          <w:lang w:val="es-VE"/>
        </w:rPr>
        <w:t>. Indicó que pese a la denuncia telefónica de las llamadas amenazantes, el Estado no desplegó ningún t</w:t>
      </w:r>
      <w:r w:rsidR="00DA2EB5">
        <w:rPr>
          <w:rFonts w:ascii="Cambria" w:hAnsi="Cambria"/>
          <w:color w:val="000000" w:themeColor="text1"/>
          <w:sz w:val="20"/>
          <w:szCs w:val="20"/>
          <w:lang w:val="es-VE"/>
        </w:rPr>
        <w:t>ipo de esfuerzo preventivo para evitar la abducción de</w:t>
      </w:r>
      <w:r w:rsidR="00171B7E">
        <w:rPr>
          <w:rFonts w:ascii="Cambria" w:hAnsi="Cambria"/>
          <w:color w:val="000000" w:themeColor="text1"/>
          <w:sz w:val="20"/>
          <w:szCs w:val="20"/>
          <w:lang w:val="es-VE"/>
        </w:rPr>
        <w:t>l señor Betancourt</w:t>
      </w:r>
      <w:r w:rsidR="00DA2EB5">
        <w:rPr>
          <w:rFonts w:ascii="Cambria" w:hAnsi="Cambria"/>
          <w:color w:val="000000" w:themeColor="text1"/>
          <w:sz w:val="20"/>
          <w:szCs w:val="20"/>
          <w:lang w:val="es-VE"/>
        </w:rPr>
        <w:t>.</w:t>
      </w:r>
      <w:r w:rsidR="00821809">
        <w:rPr>
          <w:rFonts w:ascii="Cambria" w:hAnsi="Cambria"/>
          <w:color w:val="000000" w:themeColor="text1"/>
          <w:sz w:val="20"/>
          <w:szCs w:val="20"/>
          <w:lang w:val="es-VE"/>
        </w:rPr>
        <w:t xml:space="preserve"> </w:t>
      </w:r>
      <w:r w:rsidR="00DA2EB5" w:rsidRPr="00821809">
        <w:rPr>
          <w:rFonts w:ascii="Cambria" w:hAnsi="Cambria"/>
          <w:color w:val="000000" w:themeColor="text1"/>
          <w:sz w:val="20"/>
          <w:szCs w:val="20"/>
          <w:lang w:val="es-VE"/>
        </w:rPr>
        <w:t xml:space="preserve">Señaló la violación del </w:t>
      </w:r>
      <w:r w:rsidR="00DA2EB5" w:rsidRPr="00821809">
        <w:rPr>
          <w:rFonts w:ascii="Cambria" w:hAnsi="Cambria"/>
          <w:b/>
          <w:color w:val="000000" w:themeColor="text1"/>
          <w:sz w:val="20"/>
          <w:szCs w:val="20"/>
          <w:lang w:val="es-VE"/>
        </w:rPr>
        <w:t xml:space="preserve">derecho a la integridad </w:t>
      </w:r>
      <w:r w:rsidR="00DA2EB5" w:rsidRPr="00821809">
        <w:rPr>
          <w:rFonts w:ascii="Cambria" w:hAnsi="Cambria"/>
          <w:color w:val="000000" w:themeColor="text1"/>
          <w:sz w:val="20"/>
          <w:szCs w:val="20"/>
          <w:lang w:val="es-VE"/>
        </w:rPr>
        <w:t>por las torturas físicas y psicológicas a las que fue sometida la presunta víctima durante el secuestro</w:t>
      </w:r>
      <w:r w:rsidR="00CF6B29" w:rsidRPr="00821809">
        <w:rPr>
          <w:rFonts w:ascii="Cambria" w:hAnsi="Cambria"/>
          <w:color w:val="000000" w:themeColor="text1"/>
          <w:sz w:val="20"/>
          <w:szCs w:val="20"/>
          <w:lang w:val="es-VE"/>
        </w:rPr>
        <w:t xml:space="preserve"> por su retención en una celda bajo tierra</w:t>
      </w:r>
      <w:r w:rsidR="00DA2EB5" w:rsidRPr="00821809">
        <w:rPr>
          <w:rFonts w:ascii="Cambria" w:hAnsi="Cambria"/>
          <w:color w:val="000000" w:themeColor="text1"/>
          <w:sz w:val="20"/>
          <w:szCs w:val="20"/>
          <w:lang w:val="es-VE"/>
        </w:rPr>
        <w:t xml:space="preserve">, así como por </w:t>
      </w:r>
      <w:r w:rsidR="000F13B5" w:rsidRPr="00821809">
        <w:rPr>
          <w:rFonts w:ascii="Cambria" w:hAnsi="Cambria"/>
          <w:color w:val="000000" w:themeColor="text1"/>
          <w:sz w:val="20"/>
          <w:szCs w:val="20"/>
          <w:lang w:val="es-VE"/>
        </w:rPr>
        <w:t xml:space="preserve">su </w:t>
      </w:r>
      <w:r w:rsidR="00DA2EB5" w:rsidRPr="00821809">
        <w:rPr>
          <w:rFonts w:ascii="Cambria" w:hAnsi="Cambria"/>
          <w:color w:val="000000" w:themeColor="text1"/>
          <w:sz w:val="20"/>
          <w:szCs w:val="20"/>
          <w:lang w:val="es-VE"/>
        </w:rPr>
        <w:t xml:space="preserve">sufrimiento y el de su familia derivado </w:t>
      </w:r>
      <w:r w:rsidR="000F13B5" w:rsidRPr="00821809">
        <w:rPr>
          <w:rFonts w:ascii="Cambria" w:hAnsi="Cambria"/>
          <w:color w:val="000000" w:themeColor="text1"/>
          <w:sz w:val="20"/>
          <w:szCs w:val="20"/>
          <w:lang w:val="es-VE"/>
        </w:rPr>
        <w:t xml:space="preserve">de la impunidad del crimen, </w:t>
      </w:r>
      <w:r w:rsidR="00DA2EB5" w:rsidRPr="00821809">
        <w:rPr>
          <w:rFonts w:ascii="Cambria" w:hAnsi="Cambria"/>
          <w:color w:val="000000" w:themeColor="text1"/>
          <w:sz w:val="20"/>
          <w:szCs w:val="20"/>
          <w:lang w:val="es-VE"/>
        </w:rPr>
        <w:t>la pér</w:t>
      </w:r>
      <w:r w:rsidR="006B7735" w:rsidRPr="00821809">
        <w:rPr>
          <w:rFonts w:ascii="Cambria" w:hAnsi="Cambria"/>
          <w:color w:val="000000" w:themeColor="text1"/>
          <w:sz w:val="20"/>
          <w:szCs w:val="20"/>
          <w:lang w:val="es-VE"/>
        </w:rPr>
        <w:t>dida de estabilidad familiar</w:t>
      </w:r>
      <w:r w:rsidR="000F13B5" w:rsidRPr="00821809">
        <w:rPr>
          <w:rFonts w:ascii="Cambria" w:hAnsi="Cambria"/>
          <w:color w:val="000000" w:themeColor="text1"/>
          <w:sz w:val="20"/>
          <w:szCs w:val="20"/>
          <w:lang w:val="es-VE"/>
        </w:rPr>
        <w:t xml:space="preserve">, </w:t>
      </w:r>
      <w:r w:rsidR="006B7735" w:rsidRPr="00821809">
        <w:rPr>
          <w:rFonts w:ascii="Cambria" w:hAnsi="Cambria"/>
          <w:color w:val="000000" w:themeColor="text1"/>
          <w:sz w:val="20"/>
          <w:szCs w:val="20"/>
          <w:lang w:val="es-VE"/>
        </w:rPr>
        <w:t>la necesidad de huida de Medellín</w:t>
      </w:r>
      <w:r w:rsidR="000F13B5" w:rsidRPr="00821809">
        <w:rPr>
          <w:rFonts w:ascii="Cambria" w:hAnsi="Cambria"/>
          <w:color w:val="000000" w:themeColor="text1"/>
          <w:sz w:val="20"/>
          <w:szCs w:val="20"/>
          <w:lang w:val="es-VE"/>
        </w:rPr>
        <w:t xml:space="preserve"> y</w:t>
      </w:r>
      <w:r w:rsidR="006B7735" w:rsidRPr="00821809">
        <w:rPr>
          <w:rFonts w:ascii="Cambria" w:hAnsi="Cambria"/>
          <w:color w:val="000000" w:themeColor="text1"/>
          <w:sz w:val="20"/>
          <w:szCs w:val="20"/>
          <w:lang w:val="es-VE"/>
        </w:rPr>
        <w:t xml:space="preserve"> a</w:t>
      </w:r>
      <w:r w:rsidR="00DA2EB5" w:rsidRPr="00821809">
        <w:rPr>
          <w:rFonts w:ascii="Cambria" w:hAnsi="Cambria"/>
          <w:color w:val="000000" w:themeColor="text1"/>
          <w:sz w:val="20"/>
          <w:szCs w:val="20"/>
          <w:lang w:val="es-VE"/>
        </w:rPr>
        <w:t xml:space="preserve"> la falta de protección </w:t>
      </w:r>
      <w:r w:rsidR="006B7735" w:rsidRPr="00821809">
        <w:rPr>
          <w:rFonts w:ascii="Cambria" w:hAnsi="Cambria"/>
          <w:color w:val="000000" w:themeColor="text1"/>
          <w:sz w:val="20"/>
          <w:szCs w:val="20"/>
          <w:lang w:val="es-VE"/>
        </w:rPr>
        <w:t xml:space="preserve">y garantías para sus vidas </w:t>
      </w:r>
      <w:r w:rsidR="00CF6B29" w:rsidRPr="00821809">
        <w:rPr>
          <w:rFonts w:ascii="Cambria" w:hAnsi="Cambria"/>
          <w:color w:val="000000" w:themeColor="text1"/>
          <w:sz w:val="20"/>
          <w:szCs w:val="20"/>
          <w:lang w:val="es-VE"/>
        </w:rPr>
        <w:t>lo que a su vez generó</w:t>
      </w:r>
      <w:r w:rsidR="000F13B5" w:rsidRPr="00821809">
        <w:rPr>
          <w:rFonts w:ascii="Cambria" w:hAnsi="Cambria"/>
          <w:color w:val="000000" w:themeColor="text1"/>
          <w:sz w:val="20"/>
          <w:szCs w:val="20"/>
          <w:lang w:val="es-VE"/>
        </w:rPr>
        <w:t xml:space="preserve"> significativas pérdidas materiales. </w:t>
      </w:r>
    </w:p>
    <w:p w14:paraId="0989BB28" w14:textId="77777777" w:rsidR="000F13B5" w:rsidRDefault="000F13B5" w:rsidP="001E3EBE">
      <w:pPr>
        <w:pStyle w:val="ListParagraph"/>
        <w:ind w:left="0"/>
        <w:rPr>
          <w:color w:val="000000" w:themeColor="text1"/>
          <w:sz w:val="20"/>
          <w:szCs w:val="20"/>
          <w:lang w:val="es-VE"/>
        </w:rPr>
      </w:pPr>
    </w:p>
    <w:p w14:paraId="03DDA761" w14:textId="77777777" w:rsidR="006F5690" w:rsidRPr="000F13B5" w:rsidRDefault="000F13B5"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0"/>
        <w:jc w:val="both"/>
        <w:rPr>
          <w:rFonts w:asciiTheme="majorHAnsi" w:hAnsiTheme="majorHAnsi"/>
          <w:color w:val="548DD4" w:themeColor="text2" w:themeTint="99"/>
          <w:sz w:val="20"/>
          <w:szCs w:val="20"/>
          <w:lang w:val="es-VE"/>
        </w:rPr>
      </w:pPr>
      <w:r w:rsidRPr="000F13B5">
        <w:rPr>
          <w:rFonts w:ascii="Cambria" w:hAnsi="Cambria"/>
          <w:color w:val="000000" w:themeColor="text1"/>
          <w:sz w:val="20"/>
          <w:szCs w:val="20"/>
          <w:lang w:val="es-VE"/>
        </w:rPr>
        <w:t xml:space="preserve">Indicó la vulneración del </w:t>
      </w:r>
      <w:r w:rsidRPr="00811F0A">
        <w:rPr>
          <w:rFonts w:ascii="Cambria" w:hAnsi="Cambria"/>
          <w:b/>
          <w:color w:val="000000" w:themeColor="text1"/>
          <w:sz w:val="20"/>
          <w:szCs w:val="20"/>
          <w:lang w:val="es-VE"/>
        </w:rPr>
        <w:t>derecho a las garantías judiciales y protección judicial</w:t>
      </w:r>
      <w:r w:rsidRPr="000F13B5">
        <w:rPr>
          <w:rFonts w:ascii="Cambria" w:hAnsi="Cambria"/>
          <w:color w:val="000000" w:themeColor="text1"/>
          <w:sz w:val="20"/>
          <w:szCs w:val="20"/>
          <w:lang w:val="es-VE"/>
        </w:rPr>
        <w:t xml:space="preserve"> </w:t>
      </w:r>
      <w:r w:rsidR="00433D53">
        <w:rPr>
          <w:rFonts w:ascii="Cambria" w:hAnsi="Cambria"/>
          <w:color w:val="000000" w:themeColor="text1"/>
          <w:sz w:val="20"/>
          <w:szCs w:val="20"/>
          <w:lang w:val="es-VE"/>
        </w:rPr>
        <w:t xml:space="preserve">dado que el proceso penal no ha </w:t>
      </w:r>
      <w:r w:rsidR="00C0713B">
        <w:rPr>
          <w:rFonts w:ascii="Cambria" w:hAnsi="Cambria"/>
          <w:color w:val="000000" w:themeColor="text1"/>
          <w:sz w:val="20"/>
          <w:szCs w:val="20"/>
          <w:lang w:val="es-VE"/>
        </w:rPr>
        <w:t xml:space="preserve">generado ningún resultado </w:t>
      </w:r>
      <w:r w:rsidR="004459FA">
        <w:rPr>
          <w:rFonts w:ascii="Cambria" w:hAnsi="Cambria"/>
          <w:color w:val="000000" w:themeColor="text1"/>
          <w:sz w:val="20"/>
          <w:szCs w:val="20"/>
          <w:lang w:val="es-VE"/>
        </w:rPr>
        <w:t xml:space="preserve">por </w:t>
      </w:r>
      <w:r w:rsidR="002A779F">
        <w:rPr>
          <w:rFonts w:ascii="Cambria" w:hAnsi="Cambria"/>
          <w:color w:val="000000" w:themeColor="text1"/>
          <w:sz w:val="20"/>
          <w:szCs w:val="20"/>
          <w:lang w:val="es-VE"/>
        </w:rPr>
        <w:t>muchos años</w:t>
      </w:r>
      <w:r w:rsidR="004459FA">
        <w:rPr>
          <w:rFonts w:ascii="Cambria" w:hAnsi="Cambria"/>
          <w:color w:val="000000" w:themeColor="text1"/>
          <w:sz w:val="20"/>
          <w:szCs w:val="20"/>
          <w:lang w:val="es-VE"/>
        </w:rPr>
        <w:t xml:space="preserve"> </w:t>
      </w:r>
      <w:r w:rsidR="00C0713B">
        <w:rPr>
          <w:rFonts w:ascii="Cambria" w:hAnsi="Cambria"/>
          <w:color w:val="000000" w:themeColor="text1"/>
          <w:sz w:val="20"/>
          <w:szCs w:val="20"/>
          <w:lang w:val="es-VE"/>
        </w:rPr>
        <w:t xml:space="preserve">y los perpetradores del secuestro no han sido sancionados. Asimismo, alegó que los recursos de protección ante las extorsiones posterior a su liberación no fueron desplegados y la actitud de las autoridades fue indiferente. </w:t>
      </w:r>
    </w:p>
    <w:p w14:paraId="696AF067" w14:textId="77777777" w:rsidR="000F13B5" w:rsidRPr="00341FA6" w:rsidRDefault="000F13B5"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color w:val="548DD4" w:themeColor="text2" w:themeTint="99"/>
          <w:sz w:val="20"/>
          <w:szCs w:val="20"/>
          <w:lang w:val="es-VE"/>
        </w:rPr>
      </w:pPr>
    </w:p>
    <w:p w14:paraId="46959A27" w14:textId="77777777" w:rsidR="00D12193" w:rsidRPr="00181F34" w:rsidRDefault="00341FA6" w:rsidP="001E3EBE">
      <w:pPr>
        <w:pStyle w:val="Heading2"/>
        <w:ind w:firstLine="0"/>
        <w:rPr>
          <w:lang w:val="es-ES_tradnl"/>
        </w:rPr>
      </w:pPr>
      <w:bookmarkStart w:id="8" w:name="_Toc394820743"/>
      <w:bookmarkStart w:id="9" w:name="_Toc70437010"/>
      <w:r w:rsidRPr="00181F34">
        <w:rPr>
          <w:lang w:val="es-ES_tradnl"/>
        </w:rPr>
        <w:t>Estado</w:t>
      </w:r>
      <w:bookmarkEnd w:id="8"/>
      <w:bookmarkEnd w:id="9"/>
      <w:r w:rsidR="00CC63CF">
        <w:rPr>
          <w:lang w:val="es-ES_tradnl"/>
        </w:rPr>
        <w:t xml:space="preserve"> </w:t>
      </w:r>
    </w:p>
    <w:p w14:paraId="744791DF" w14:textId="77777777" w:rsidR="007C756A" w:rsidRDefault="007C756A" w:rsidP="001E3EBE">
      <w:pPr>
        <w:suppressAutoHyphens/>
        <w:rPr>
          <w:rFonts w:asciiTheme="majorHAnsi" w:hAnsiTheme="majorHAnsi"/>
          <w:sz w:val="20"/>
          <w:szCs w:val="20"/>
          <w:lang w:val="es-ES_tradnl"/>
        </w:rPr>
      </w:pPr>
    </w:p>
    <w:p w14:paraId="78B411B1" w14:textId="77777777" w:rsidR="00CC63CF" w:rsidRPr="00436AF0" w:rsidRDefault="00436AF0"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color w:val="000000" w:themeColor="text1"/>
          <w:sz w:val="20"/>
          <w:szCs w:val="20"/>
          <w:lang w:val="es-VE"/>
        </w:rPr>
      </w:pPr>
      <w:r>
        <w:rPr>
          <w:rFonts w:ascii="Cambria" w:hAnsi="Cambria"/>
          <w:color w:val="000000" w:themeColor="text1"/>
          <w:sz w:val="20"/>
          <w:szCs w:val="20"/>
          <w:lang w:val="es-VE"/>
        </w:rPr>
        <w:t>A</w:t>
      </w:r>
      <w:r w:rsidR="00A216AA">
        <w:rPr>
          <w:rFonts w:ascii="Cambria" w:hAnsi="Cambria"/>
          <w:color w:val="000000" w:themeColor="text1"/>
          <w:sz w:val="20"/>
          <w:szCs w:val="20"/>
          <w:lang w:val="es-VE"/>
        </w:rPr>
        <w:t xml:space="preserve">legó que </w:t>
      </w:r>
      <w:r w:rsidR="00171B7E">
        <w:rPr>
          <w:rFonts w:ascii="Cambria" w:hAnsi="Cambria"/>
          <w:color w:val="000000" w:themeColor="text1"/>
          <w:sz w:val="20"/>
          <w:szCs w:val="20"/>
          <w:lang w:val="es-VE"/>
        </w:rPr>
        <w:t xml:space="preserve">no es responsable </w:t>
      </w:r>
      <w:r w:rsidR="009D4AAE">
        <w:rPr>
          <w:rFonts w:ascii="Cambria" w:hAnsi="Cambria"/>
          <w:color w:val="000000" w:themeColor="text1"/>
          <w:sz w:val="20"/>
          <w:szCs w:val="20"/>
          <w:lang w:val="es-VE"/>
        </w:rPr>
        <w:t>por</w:t>
      </w:r>
      <w:r w:rsidR="00171B7E">
        <w:rPr>
          <w:rFonts w:ascii="Cambria" w:hAnsi="Cambria"/>
          <w:color w:val="000000" w:themeColor="text1"/>
          <w:sz w:val="20"/>
          <w:szCs w:val="20"/>
          <w:lang w:val="es-VE"/>
        </w:rPr>
        <w:t xml:space="preserve"> la vulneración del </w:t>
      </w:r>
      <w:r w:rsidR="00171B7E" w:rsidRPr="00171B7E">
        <w:rPr>
          <w:rFonts w:ascii="Cambria" w:hAnsi="Cambria"/>
          <w:b/>
          <w:color w:val="000000" w:themeColor="text1"/>
          <w:sz w:val="20"/>
          <w:szCs w:val="20"/>
          <w:lang w:val="es-VE"/>
        </w:rPr>
        <w:t xml:space="preserve">derecho a la libertad </w:t>
      </w:r>
      <w:r w:rsidR="005C6BB6">
        <w:rPr>
          <w:rFonts w:ascii="Cambria" w:hAnsi="Cambria"/>
          <w:b/>
          <w:color w:val="000000" w:themeColor="text1"/>
          <w:sz w:val="20"/>
          <w:szCs w:val="20"/>
          <w:lang w:val="es-VE"/>
        </w:rPr>
        <w:t xml:space="preserve">personal </w:t>
      </w:r>
      <w:r w:rsidR="00171B7E">
        <w:rPr>
          <w:rFonts w:ascii="Cambria" w:hAnsi="Cambria"/>
          <w:color w:val="000000" w:themeColor="text1"/>
          <w:sz w:val="20"/>
          <w:szCs w:val="20"/>
          <w:lang w:val="es-VE"/>
        </w:rPr>
        <w:t>debido a que esta fue cometida por terceros. De modo específico</w:t>
      </w:r>
      <w:r w:rsidR="0042799C">
        <w:rPr>
          <w:rFonts w:ascii="Cambria" w:hAnsi="Cambria"/>
          <w:color w:val="000000" w:themeColor="text1"/>
          <w:sz w:val="20"/>
          <w:szCs w:val="20"/>
          <w:lang w:val="es-VE"/>
        </w:rPr>
        <w:t xml:space="preserve"> señaló</w:t>
      </w:r>
      <w:r w:rsidR="00171B7E">
        <w:rPr>
          <w:rFonts w:ascii="Cambria" w:hAnsi="Cambria"/>
          <w:color w:val="000000" w:themeColor="text1"/>
          <w:sz w:val="20"/>
          <w:szCs w:val="20"/>
          <w:lang w:val="es-VE"/>
        </w:rPr>
        <w:t xml:space="preserve"> que la supuesta amenaza </w:t>
      </w:r>
      <w:r w:rsidR="0042799C">
        <w:rPr>
          <w:rFonts w:ascii="Cambria" w:hAnsi="Cambria"/>
          <w:color w:val="000000" w:themeColor="text1"/>
          <w:sz w:val="20"/>
          <w:szCs w:val="20"/>
          <w:lang w:val="es-VE"/>
        </w:rPr>
        <w:t xml:space="preserve">previa </w:t>
      </w:r>
      <w:r w:rsidR="0023603F">
        <w:rPr>
          <w:rFonts w:ascii="Cambria" w:hAnsi="Cambria"/>
          <w:color w:val="000000" w:themeColor="text1"/>
          <w:sz w:val="20"/>
          <w:szCs w:val="20"/>
          <w:lang w:val="es-VE"/>
        </w:rPr>
        <w:t>al secuestro</w:t>
      </w:r>
      <w:r w:rsidR="00171B7E">
        <w:rPr>
          <w:rFonts w:ascii="Cambria" w:hAnsi="Cambria"/>
          <w:color w:val="000000" w:themeColor="text1"/>
          <w:sz w:val="20"/>
          <w:szCs w:val="20"/>
          <w:lang w:val="es-VE"/>
        </w:rPr>
        <w:t xml:space="preserve"> </w:t>
      </w:r>
      <w:r w:rsidR="00F0294D">
        <w:rPr>
          <w:rFonts w:ascii="Cambria" w:hAnsi="Cambria"/>
          <w:color w:val="000000" w:themeColor="text1"/>
          <w:sz w:val="20"/>
          <w:szCs w:val="20"/>
          <w:lang w:val="es-VE"/>
        </w:rPr>
        <w:t>n</w:t>
      </w:r>
      <w:r w:rsidR="0042799C">
        <w:rPr>
          <w:rFonts w:ascii="Cambria" w:hAnsi="Cambria"/>
          <w:color w:val="000000" w:themeColor="text1"/>
          <w:sz w:val="20"/>
          <w:szCs w:val="20"/>
          <w:lang w:val="es-VE"/>
        </w:rPr>
        <w:t>o</w:t>
      </w:r>
      <w:r w:rsidR="00F0294D">
        <w:rPr>
          <w:rFonts w:ascii="Cambria" w:hAnsi="Cambria"/>
          <w:color w:val="000000" w:themeColor="text1"/>
          <w:sz w:val="20"/>
          <w:szCs w:val="20"/>
          <w:lang w:val="es-VE"/>
        </w:rPr>
        <w:t xml:space="preserve"> fue denunciada y que por lo tanto el Estado no </w:t>
      </w:r>
      <w:r w:rsidR="0042799C">
        <w:rPr>
          <w:rFonts w:ascii="Cambria" w:hAnsi="Cambria"/>
          <w:color w:val="000000" w:themeColor="text1"/>
          <w:sz w:val="20"/>
          <w:szCs w:val="20"/>
          <w:lang w:val="es-VE"/>
        </w:rPr>
        <w:t>conocía</w:t>
      </w:r>
      <w:r w:rsidR="00F0294D">
        <w:rPr>
          <w:rFonts w:ascii="Cambria" w:hAnsi="Cambria"/>
          <w:color w:val="000000" w:themeColor="text1"/>
          <w:sz w:val="20"/>
          <w:szCs w:val="20"/>
          <w:lang w:val="es-VE"/>
        </w:rPr>
        <w:t xml:space="preserve"> del riesgo de </w:t>
      </w:r>
      <w:r w:rsidR="000C7251">
        <w:rPr>
          <w:rFonts w:ascii="Cambria" w:hAnsi="Cambria"/>
          <w:color w:val="000000" w:themeColor="text1"/>
          <w:sz w:val="20"/>
          <w:szCs w:val="20"/>
          <w:lang w:val="es-VE"/>
        </w:rPr>
        <w:t>secuestro</w:t>
      </w:r>
      <w:r w:rsidR="00F0294D">
        <w:rPr>
          <w:rFonts w:ascii="Cambria" w:hAnsi="Cambria"/>
          <w:color w:val="000000" w:themeColor="text1"/>
          <w:sz w:val="20"/>
          <w:szCs w:val="20"/>
          <w:lang w:val="es-VE"/>
        </w:rPr>
        <w:t xml:space="preserve"> </w:t>
      </w:r>
      <w:r w:rsidR="0042799C">
        <w:rPr>
          <w:rFonts w:ascii="Cambria" w:hAnsi="Cambria"/>
          <w:color w:val="000000" w:themeColor="text1"/>
          <w:sz w:val="20"/>
          <w:szCs w:val="20"/>
          <w:lang w:val="es-VE"/>
        </w:rPr>
        <w:t xml:space="preserve">de modo tal que pudiera </w:t>
      </w:r>
      <w:r w:rsidR="00F0294D">
        <w:rPr>
          <w:rFonts w:ascii="Cambria" w:hAnsi="Cambria"/>
          <w:color w:val="000000" w:themeColor="text1"/>
          <w:sz w:val="20"/>
          <w:szCs w:val="20"/>
          <w:lang w:val="es-VE"/>
        </w:rPr>
        <w:t xml:space="preserve">desplegar </w:t>
      </w:r>
      <w:r w:rsidR="0042799C">
        <w:rPr>
          <w:rFonts w:ascii="Cambria" w:hAnsi="Cambria"/>
          <w:color w:val="000000" w:themeColor="text1"/>
          <w:sz w:val="20"/>
          <w:szCs w:val="20"/>
          <w:lang w:val="es-VE"/>
        </w:rPr>
        <w:t>algún</w:t>
      </w:r>
      <w:r w:rsidR="00F0294D" w:rsidRPr="0042799C">
        <w:rPr>
          <w:rFonts w:ascii="Cambria" w:hAnsi="Cambria"/>
          <w:color w:val="000000" w:themeColor="text1"/>
          <w:sz w:val="20"/>
          <w:szCs w:val="20"/>
          <w:lang w:val="es-VE"/>
        </w:rPr>
        <w:t xml:space="preserve"> tipo de acción preventiva para evitar</w:t>
      </w:r>
      <w:r w:rsidR="000C7251">
        <w:rPr>
          <w:rFonts w:ascii="Cambria" w:hAnsi="Cambria"/>
          <w:color w:val="000000" w:themeColor="text1"/>
          <w:sz w:val="20"/>
          <w:szCs w:val="20"/>
          <w:lang w:val="es-VE"/>
        </w:rPr>
        <w:t>lo</w:t>
      </w:r>
      <w:r w:rsidR="00366426">
        <w:rPr>
          <w:rFonts w:ascii="Cambria" w:hAnsi="Cambria"/>
          <w:color w:val="000000" w:themeColor="text1"/>
          <w:sz w:val="20"/>
          <w:szCs w:val="20"/>
          <w:lang w:val="es-VE"/>
        </w:rPr>
        <w:t xml:space="preserve">. Enfatizó en que </w:t>
      </w:r>
      <w:r w:rsidR="00F0294D" w:rsidRPr="0042799C">
        <w:rPr>
          <w:rFonts w:ascii="Cambria" w:hAnsi="Cambria"/>
          <w:color w:val="000000" w:themeColor="text1"/>
          <w:sz w:val="20"/>
          <w:szCs w:val="20"/>
          <w:lang w:val="es-VE"/>
        </w:rPr>
        <w:t>s</w:t>
      </w:r>
      <w:r w:rsidR="00366426">
        <w:rPr>
          <w:rFonts w:ascii="Cambria" w:hAnsi="Cambria"/>
          <w:color w:val="000000" w:themeColor="text1"/>
          <w:sz w:val="20"/>
          <w:szCs w:val="20"/>
          <w:lang w:val="es-VE"/>
        </w:rPr>
        <w:t>ó</w:t>
      </w:r>
      <w:r w:rsidR="00F0294D" w:rsidRPr="0042799C">
        <w:rPr>
          <w:rFonts w:ascii="Cambria" w:hAnsi="Cambria"/>
          <w:color w:val="000000" w:themeColor="text1"/>
          <w:sz w:val="20"/>
          <w:szCs w:val="20"/>
          <w:lang w:val="es-VE"/>
        </w:rPr>
        <w:t>lo conoci</w:t>
      </w:r>
      <w:r w:rsidR="0042799C">
        <w:rPr>
          <w:rFonts w:ascii="Cambria" w:hAnsi="Cambria"/>
          <w:color w:val="000000" w:themeColor="text1"/>
          <w:sz w:val="20"/>
          <w:szCs w:val="20"/>
          <w:lang w:val="es-VE"/>
        </w:rPr>
        <w:t xml:space="preserve">ó del mismo </w:t>
      </w:r>
      <w:r w:rsidR="00F0294D" w:rsidRPr="0042799C">
        <w:rPr>
          <w:rFonts w:ascii="Cambria" w:hAnsi="Cambria"/>
          <w:color w:val="000000" w:themeColor="text1"/>
          <w:sz w:val="20"/>
          <w:szCs w:val="20"/>
          <w:lang w:val="es-VE"/>
        </w:rPr>
        <w:t>a partir del 15 de noviembre de 1999.</w:t>
      </w:r>
      <w:r>
        <w:rPr>
          <w:rFonts w:ascii="Cambria" w:hAnsi="Cambria"/>
          <w:color w:val="000000" w:themeColor="text1"/>
          <w:sz w:val="20"/>
          <w:szCs w:val="20"/>
          <w:lang w:val="es-VE"/>
        </w:rPr>
        <w:t xml:space="preserve"> </w:t>
      </w:r>
      <w:r w:rsidR="007F64E5" w:rsidRPr="00436AF0">
        <w:rPr>
          <w:rFonts w:ascii="Cambria" w:hAnsi="Cambria"/>
          <w:color w:val="000000" w:themeColor="text1"/>
          <w:sz w:val="20"/>
          <w:szCs w:val="20"/>
          <w:lang w:val="es-VE"/>
        </w:rPr>
        <w:t xml:space="preserve">Asimismo, indicó que el GAULA brindó la asesoría y se puso a disposición </w:t>
      </w:r>
      <w:r w:rsidRPr="00436AF0">
        <w:rPr>
          <w:rFonts w:ascii="Cambria" w:hAnsi="Cambria"/>
          <w:color w:val="000000" w:themeColor="text1"/>
          <w:sz w:val="20"/>
          <w:szCs w:val="20"/>
          <w:lang w:val="es-VE"/>
        </w:rPr>
        <w:t xml:space="preserve">de la familia </w:t>
      </w:r>
      <w:r>
        <w:rPr>
          <w:rFonts w:ascii="Cambria" w:hAnsi="Cambria"/>
          <w:color w:val="000000" w:themeColor="text1"/>
          <w:sz w:val="20"/>
          <w:szCs w:val="20"/>
          <w:lang w:val="es-VE"/>
        </w:rPr>
        <w:t>para la negociación con los captores, aunque dicho ofrecimiento fue rechazado por la familia</w:t>
      </w:r>
      <w:r w:rsidR="000C7251">
        <w:rPr>
          <w:rFonts w:ascii="Cambria" w:hAnsi="Cambria"/>
          <w:color w:val="000000" w:themeColor="text1"/>
          <w:sz w:val="20"/>
          <w:szCs w:val="20"/>
          <w:lang w:val="es-VE"/>
        </w:rPr>
        <w:t>, la que se opuso a cualquier operación de rescate</w:t>
      </w:r>
      <w:r>
        <w:rPr>
          <w:rFonts w:ascii="Cambria" w:hAnsi="Cambria"/>
          <w:color w:val="000000" w:themeColor="text1"/>
          <w:sz w:val="20"/>
          <w:szCs w:val="20"/>
          <w:lang w:val="es-VE"/>
        </w:rPr>
        <w:t>.</w:t>
      </w:r>
    </w:p>
    <w:p w14:paraId="2F17B2E8" w14:textId="77777777" w:rsidR="0042799C" w:rsidRDefault="0042799C"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14:paraId="3B372EA5" w14:textId="77777777" w:rsidR="005C6BB6" w:rsidRDefault="004B4EBE"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color w:val="000000" w:themeColor="text1"/>
          <w:sz w:val="20"/>
          <w:szCs w:val="20"/>
          <w:lang w:val="es-VE"/>
        </w:rPr>
      </w:pPr>
      <w:r>
        <w:rPr>
          <w:rFonts w:ascii="Cambria" w:hAnsi="Cambria"/>
          <w:color w:val="000000" w:themeColor="text1"/>
          <w:sz w:val="20"/>
          <w:szCs w:val="20"/>
          <w:lang w:val="es-VE"/>
        </w:rPr>
        <w:t xml:space="preserve">Respecto de las alegadas violaciones </w:t>
      </w:r>
      <w:r w:rsidR="005C6BB6">
        <w:rPr>
          <w:rFonts w:ascii="Cambria" w:hAnsi="Cambria"/>
          <w:color w:val="000000" w:themeColor="text1"/>
          <w:sz w:val="20"/>
          <w:szCs w:val="20"/>
          <w:lang w:val="es-VE"/>
        </w:rPr>
        <w:t xml:space="preserve">al </w:t>
      </w:r>
      <w:r w:rsidR="005C6BB6" w:rsidRPr="005C6BB6">
        <w:rPr>
          <w:rFonts w:ascii="Cambria" w:hAnsi="Cambria"/>
          <w:b/>
          <w:color w:val="000000" w:themeColor="text1"/>
          <w:sz w:val="20"/>
          <w:szCs w:val="20"/>
          <w:lang w:val="es-VE"/>
        </w:rPr>
        <w:t>derecho a la integridad</w:t>
      </w:r>
      <w:r w:rsidR="005C6BB6">
        <w:rPr>
          <w:rFonts w:ascii="Cambria" w:hAnsi="Cambria"/>
          <w:color w:val="000000" w:themeColor="text1"/>
          <w:sz w:val="20"/>
          <w:szCs w:val="20"/>
          <w:lang w:val="es-VE"/>
        </w:rPr>
        <w:t xml:space="preserve">, indicó que no es cierto que no brindó protección a las presuntas víctimas o las abandonó a su suerte. Señaló que </w:t>
      </w:r>
      <w:r w:rsidR="00F97599">
        <w:rPr>
          <w:rFonts w:ascii="Cambria" w:hAnsi="Cambria"/>
          <w:color w:val="000000" w:themeColor="text1"/>
          <w:sz w:val="20"/>
          <w:szCs w:val="20"/>
          <w:lang w:val="es-VE"/>
        </w:rPr>
        <w:t>é</w:t>
      </w:r>
      <w:r w:rsidR="005C6BB6">
        <w:rPr>
          <w:rFonts w:ascii="Cambria" w:hAnsi="Cambria"/>
          <w:color w:val="000000" w:themeColor="text1"/>
          <w:sz w:val="20"/>
          <w:szCs w:val="20"/>
          <w:lang w:val="es-VE"/>
        </w:rPr>
        <w:t>l recién tomó conocimiento de las amenazas y extorsiones posteriores a la liberación el 3 de marzo de 2000 y que</w:t>
      </w:r>
      <w:r w:rsidR="00BE705E">
        <w:rPr>
          <w:rFonts w:ascii="Cambria" w:hAnsi="Cambria"/>
          <w:color w:val="000000" w:themeColor="text1"/>
          <w:sz w:val="20"/>
          <w:szCs w:val="20"/>
          <w:lang w:val="es-VE"/>
        </w:rPr>
        <w:t xml:space="preserve"> su pronta salida de</w:t>
      </w:r>
      <w:r>
        <w:rPr>
          <w:rFonts w:ascii="Cambria" w:hAnsi="Cambria"/>
          <w:color w:val="000000" w:themeColor="text1"/>
          <w:sz w:val="20"/>
          <w:szCs w:val="20"/>
          <w:lang w:val="es-VE"/>
        </w:rPr>
        <w:t xml:space="preserve"> Colombia </w:t>
      </w:r>
      <w:r w:rsidR="00BE705E">
        <w:rPr>
          <w:rFonts w:ascii="Cambria" w:hAnsi="Cambria"/>
          <w:color w:val="000000" w:themeColor="text1"/>
          <w:sz w:val="20"/>
          <w:szCs w:val="20"/>
          <w:lang w:val="es-VE"/>
        </w:rPr>
        <w:t>no perm</w:t>
      </w:r>
      <w:r w:rsidR="00AA27F3">
        <w:rPr>
          <w:rFonts w:ascii="Cambria" w:hAnsi="Cambria"/>
          <w:color w:val="000000" w:themeColor="text1"/>
          <w:sz w:val="20"/>
          <w:szCs w:val="20"/>
          <w:lang w:val="es-VE"/>
        </w:rPr>
        <w:t xml:space="preserve">itió al GAULA el despliegue de </w:t>
      </w:r>
      <w:r>
        <w:rPr>
          <w:rFonts w:ascii="Cambria" w:hAnsi="Cambria"/>
          <w:color w:val="000000" w:themeColor="text1"/>
          <w:sz w:val="20"/>
          <w:szCs w:val="20"/>
          <w:lang w:val="es-VE"/>
        </w:rPr>
        <w:t>sus</w:t>
      </w:r>
      <w:r w:rsidR="00BE705E">
        <w:rPr>
          <w:rFonts w:ascii="Cambria" w:hAnsi="Cambria"/>
          <w:color w:val="000000" w:themeColor="text1"/>
          <w:sz w:val="20"/>
          <w:szCs w:val="20"/>
          <w:lang w:val="es-VE"/>
        </w:rPr>
        <w:t xml:space="preserve"> potencialidades de</w:t>
      </w:r>
      <w:r w:rsidR="005C4A6A">
        <w:rPr>
          <w:rFonts w:ascii="Cambria" w:hAnsi="Cambria"/>
          <w:color w:val="000000" w:themeColor="text1"/>
          <w:sz w:val="20"/>
          <w:szCs w:val="20"/>
          <w:lang w:val="es-VE"/>
        </w:rPr>
        <w:t xml:space="preserve"> protección. </w:t>
      </w:r>
    </w:p>
    <w:p w14:paraId="4F054AE7" w14:textId="77777777" w:rsidR="005C6BB6" w:rsidRDefault="005C6BB6" w:rsidP="001E3EBE">
      <w:pPr>
        <w:pStyle w:val="ListParagraph"/>
        <w:ind w:left="0"/>
        <w:rPr>
          <w:color w:val="000000" w:themeColor="text1"/>
          <w:sz w:val="20"/>
          <w:szCs w:val="20"/>
          <w:lang w:val="es-VE"/>
        </w:rPr>
      </w:pPr>
    </w:p>
    <w:p w14:paraId="19176D64" w14:textId="77777777" w:rsidR="0042799C" w:rsidRPr="0042799C" w:rsidRDefault="009D4AAE"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color w:val="000000" w:themeColor="text1"/>
          <w:sz w:val="20"/>
          <w:szCs w:val="20"/>
          <w:lang w:val="es-VE"/>
        </w:rPr>
      </w:pPr>
      <w:r>
        <w:rPr>
          <w:rFonts w:ascii="Cambria" w:hAnsi="Cambria"/>
          <w:color w:val="000000" w:themeColor="text1"/>
          <w:sz w:val="20"/>
          <w:szCs w:val="20"/>
          <w:lang w:val="es-VE"/>
        </w:rPr>
        <w:t>Señaló que no e</w:t>
      </w:r>
      <w:r w:rsidR="00697B22">
        <w:rPr>
          <w:rFonts w:ascii="Cambria" w:hAnsi="Cambria"/>
          <w:color w:val="000000" w:themeColor="text1"/>
          <w:sz w:val="20"/>
          <w:szCs w:val="20"/>
          <w:lang w:val="es-VE"/>
        </w:rPr>
        <w:t>s</w:t>
      </w:r>
      <w:r>
        <w:rPr>
          <w:rFonts w:ascii="Cambria" w:hAnsi="Cambria"/>
          <w:color w:val="000000" w:themeColor="text1"/>
          <w:sz w:val="20"/>
          <w:szCs w:val="20"/>
          <w:lang w:val="es-VE"/>
        </w:rPr>
        <w:t xml:space="preserve"> responsable por la vulneración de</w:t>
      </w:r>
      <w:r w:rsidR="0014270D">
        <w:rPr>
          <w:rFonts w:ascii="Cambria" w:hAnsi="Cambria"/>
          <w:color w:val="000000" w:themeColor="text1"/>
          <w:sz w:val="20"/>
          <w:szCs w:val="20"/>
          <w:lang w:val="es-VE"/>
        </w:rPr>
        <w:t xml:space="preserve"> </w:t>
      </w:r>
      <w:r>
        <w:rPr>
          <w:rFonts w:ascii="Cambria" w:hAnsi="Cambria"/>
          <w:color w:val="000000" w:themeColor="text1"/>
          <w:sz w:val="20"/>
          <w:szCs w:val="20"/>
          <w:lang w:val="es-VE"/>
        </w:rPr>
        <w:t>l</w:t>
      </w:r>
      <w:r w:rsidR="0014270D">
        <w:rPr>
          <w:rFonts w:ascii="Cambria" w:hAnsi="Cambria"/>
          <w:color w:val="000000" w:themeColor="text1"/>
          <w:sz w:val="20"/>
          <w:szCs w:val="20"/>
          <w:lang w:val="es-VE"/>
        </w:rPr>
        <w:t>os</w:t>
      </w:r>
      <w:r>
        <w:rPr>
          <w:rFonts w:ascii="Cambria" w:hAnsi="Cambria"/>
          <w:color w:val="000000" w:themeColor="text1"/>
          <w:sz w:val="20"/>
          <w:szCs w:val="20"/>
          <w:lang w:val="es-VE"/>
        </w:rPr>
        <w:t xml:space="preserve"> </w:t>
      </w:r>
      <w:r w:rsidRPr="009D4AAE">
        <w:rPr>
          <w:rFonts w:ascii="Cambria" w:hAnsi="Cambria"/>
          <w:b/>
          <w:color w:val="000000" w:themeColor="text1"/>
          <w:sz w:val="20"/>
          <w:szCs w:val="20"/>
          <w:lang w:val="es-VE"/>
        </w:rPr>
        <w:t>derecho</w:t>
      </w:r>
      <w:r w:rsidR="0014270D">
        <w:rPr>
          <w:rFonts w:ascii="Cambria" w:hAnsi="Cambria"/>
          <w:b/>
          <w:color w:val="000000" w:themeColor="text1"/>
          <w:sz w:val="20"/>
          <w:szCs w:val="20"/>
          <w:lang w:val="es-VE"/>
        </w:rPr>
        <w:t>s</w:t>
      </w:r>
      <w:r w:rsidRPr="009D4AAE">
        <w:rPr>
          <w:rFonts w:ascii="Cambria" w:hAnsi="Cambria"/>
          <w:b/>
          <w:color w:val="000000" w:themeColor="text1"/>
          <w:sz w:val="20"/>
          <w:szCs w:val="20"/>
          <w:lang w:val="es-VE"/>
        </w:rPr>
        <w:t xml:space="preserve"> a las garantías judiciales y la protección judicial</w:t>
      </w:r>
      <w:r>
        <w:rPr>
          <w:rFonts w:ascii="Cambria" w:hAnsi="Cambria"/>
          <w:color w:val="000000" w:themeColor="text1"/>
          <w:sz w:val="20"/>
          <w:szCs w:val="20"/>
          <w:lang w:val="es-VE"/>
        </w:rPr>
        <w:t xml:space="preserve"> ya que </w:t>
      </w:r>
      <w:r w:rsidR="00B8729C">
        <w:rPr>
          <w:rFonts w:ascii="Cambria" w:hAnsi="Cambria"/>
          <w:color w:val="000000" w:themeColor="text1"/>
          <w:sz w:val="20"/>
          <w:szCs w:val="20"/>
          <w:lang w:val="es-VE"/>
        </w:rPr>
        <w:t xml:space="preserve">las presuntas víctimas accedieron sin problemas a la jurisdicción penal y que </w:t>
      </w:r>
      <w:r>
        <w:rPr>
          <w:rFonts w:ascii="Cambria" w:hAnsi="Cambria"/>
          <w:color w:val="000000" w:themeColor="text1"/>
          <w:sz w:val="20"/>
          <w:szCs w:val="20"/>
          <w:lang w:val="es-VE"/>
        </w:rPr>
        <w:t xml:space="preserve">la obligación de investigar es de medio y no de resultado. En esta línea, indicó que </w:t>
      </w:r>
      <w:r w:rsidR="00436AF0">
        <w:rPr>
          <w:rFonts w:ascii="Cambria" w:hAnsi="Cambria"/>
          <w:color w:val="000000" w:themeColor="text1"/>
          <w:sz w:val="20"/>
          <w:szCs w:val="20"/>
          <w:lang w:val="es-VE"/>
        </w:rPr>
        <w:t xml:space="preserve">las pesquisas para la liberación iniciaron el mismo día de la denuncia, que se practicaron diligencias para el rastreo telefónico del número del que provenían las llamadas de extorsión, se entrevistó a testigos, </w:t>
      </w:r>
      <w:r w:rsidR="005C6BB6">
        <w:rPr>
          <w:rFonts w:ascii="Cambria" w:hAnsi="Cambria"/>
          <w:color w:val="000000" w:themeColor="text1"/>
          <w:sz w:val="20"/>
          <w:szCs w:val="20"/>
          <w:lang w:val="es-VE"/>
        </w:rPr>
        <w:t>entre otras labores de acompañamiento en la negociación.</w:t>
      </w:r>
      <w:r w:rsidR="00040F64">
        <w:rPr>
          <w:rFonts w:ascii="Cambria" w:hAnsi="Cambria"/>
          <w:color w:val="000000" w:themeColor="text1"/>
          <w:sz w:val="20"/>
          <w:szCs w:val="20"/>
          <w:lang w:val="es-VE"/>
        </w:rPr>
        <w:t xml:space="preserve"> </w:t>
      </w:r>
      <w:r w:rsidR="003E3FF9">
        <w:rPr>
          <w:rFonts w:ascii="Cambria" w:hAnsi="Cambria"/>
          <w:color w:val="000000" w:themeColor="text1"/>
          <w:sz w:val="20"/>
          <w:szCs w:val="20"/>
          <w:lang w:val="es-VE"/>
        </w:rPr>
        <w:t>S</w:t>
      </w:r>
      <w:r w:rsidR="00B8729C">
        <w:rPr>
          <w:rFonts w:ascii="Cambria" w:hAnsi="Cambria"/>
          <w:color w:val="000000" w:themeColor="text1"/>
          <w:sz w:val="20"/>
          <w:szCs w:val="20"/>
          <w:lang w:val="es-VE"/>
        </w:rPr>
        <w:t>eñaló que la</w:t>
      </w:r>
      <w:r w:rsidR="00040F64">
        <w:rPr>
          <w:rFonts w:ascii="Cambria" w:hAnsi="Cambria"/>
          <w:color w:val="000000" w:themeColor="text1"/>
          <w:sz w:val="20"/>
          <w:szCs w:val="20"/>
          <w:lang w:val="es-VE"/>
        </w:rPr>
        <w:t xml:space="preserve"> investigación </w:t>
      </w:r>
      <w:r w:rsidR="00B44E32">
        <w:rPr>
          <w:rFonts w:ascii="Cambria" w:hAnsi="Cambria"/>
          <w:color w:val="000000" w:themeColor="text1"/>
          <w:sz w:val="20"/>
          <w:szCs w:val="20"/>
          <w:lang w:val="es-VE"/>
        </w:rPr>
        <w:t>no se</w:t>
      </w:r>
      <w:r w:rsidR="004F2B7B">
        <w:rPr>
          <w:rFonts w:ascii="Cambria" w:hAnsi="Cambria"/>
          <w:color w:val="000000" w:themeColor="text1"/>
          <w:sz w:val="20"/>
          <w:szCs w:val="20"/>
          <w:lang w:val="es-VE"/>
        </w:rPr>
        <w:t xml:space="preserve"> ha retrasado </w:t>
      </w:r>
      <w:r w:rsidR="00B8729C">
        <w:rPr>
          <w:rFonts w:ascii="Cambria" w:hAnsi="Cambria"/>
          <w:color w:val="000000" w:themeColor="text1"/>
          <w:sz w:val="20"/>
          <w:szCs w:val="20"/>
          <w:lang w:val="es-VE"/>
        </w:rPr>
        <w:t>injustificadamente</w:t>
      </w:r>
      <w:r w:rsidR="00B44E32">
        <w:rPr>
          <w:rFonts w:ascii="Cambria" w:hAnsi="Cambria"/>
          <w:color w:val="000000" w:themeColor="text1"/>
          <w:sz w:val="20"/>
          <w:szCs w:val="20"/>
          <w:lang w:val="es-VE"/>
        </w:rPr>
        <w:t xml:space="preserve">, que los archivos provisionales ha sido susceptibles de reaperturas y que algunas diligencias </w:t>
      </w:r>
      <w:r w:rsidR="0000591E">
        <w:rPr>
          <w:rFonts w:ascii="Cambria" w:hAnsi="Cambria"/>
          <w:color w:val="000000" w:themeColor="text1"/>
          <w:sz w:val="20"/>
          <w:szCs w:val="20"/>
          <w:lang w:val="es-VE"/>
        </w:rPr>
        <w:t xml:space="preserve">que requerían la participación </w:t>
      </w:r>
      <w:r w:rsidR="007C363B">
        <w:rPr>
          <w:rFonts w:ascii="Cambria" w:hAnsi="Cambria"/>
          <w:color w:val="000000" w:themeColor="text1"/>
          <w:sz w:val="20"/>
          <w:szCs w:val="20"/>
          <w:lang w:val="es-VE"/>
        </w:rPr>
        <w:t xml:space="preserve"> </w:t>
      </w:r>
      <w:r w:rsidR="00B44E32">
        <w:rPr>
          <w:rFonts w:ascii="Cambria" w:hAnsi="Cambria"/>
          <w:color w:val="000000" w:themeColor="text1"/>
          <w:sz w:val="20"/>
          <w:szCs w:val="20"/>
          <w:lang w:val="es-VE"/>
        </w:rPr>
        <w:t xml:space="preserve">de las presuntas víctimas se vieron dilatadas por ellos mismos. </w:t>
      </w:r>
    </w:p>
    <w:p w14:paraId="32CC5744" w14:textId="77777777" w:rsidR="007F7E9A" w:rsidRDefault="007F7E9A"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14:paraId="643C9F8C" w14:textId="77777777" w:rsidR="00341FA6" w:rsidRDefault="00D12193" w:rsidP="001E3EBE">
      <w:pPr>
        <w:pStyle w:val="Heading1"/>
        <w:ind w:left="0" w:firstLine="0"/>
      </w:pPr>
      <w:bookmarkStart w:id="10" w:name="_Toc394820744"/>
      <w:bookmarkStart w:id="11" w:name="_Toc70437011"/>
      <w:r w:rsidRPr="00341FA6">
        <w:t>DETERMINACIONES DE HECHO</w:t>
      </w:r>
      <w:bookmarkEnd w:id="10"/>
      <w:bookmarkEnd w:id="11"/>
    </w:p>
    <w:p w14:paraId="04C1A185" w14:textId="77777777" w:rsidR="00341FA6" w:rsidRPr="00BB657F" w:rsidRDefault="00341FA6" w:rsidP="001E3EBE">
      <w:pPr>
        <w:rPr>
          <w:sz w:val="20"/>
        </w:rPr>
      </w:pPr>
    </w:p>
    <w:p w14:paraId="135E0EC3" w14:textId="77777777" w:rsidR="00B32F48" w:rsidRPr="00483337" w:rsidRDefault="00341FA6" w:rsidP="001E3EBE">
      <w:pPr>
        <w:pStyle w:val="Heading2"/>
        <w:numPr>
          <w:ilvl w:val="0"/>
          <w:numId w:val="58"/>
        </w:numPr>
        <w:ind w:firstLine="0"/>
        <w:rPr>
          <w:lang w:val="es-ES_tradnl"/>
        </w:rPr>
      </w:pPr>
      <w:bookmarkStart w:id="12" w:name="_Toc394820745"/>
      <w:bookmarkStart w:id="13" w:name="_Toc70437012"/>
      <w:r w:rsidRPr="006F5690">
        <w:rPr>
          <w:lang w:val="es-ES_tradnl"/>
        </w:rPr>
        <w:t>Contexto</w:t>
      </w:r>
      <w:bookmarkEnd w:id="12"/>
      <w:bookmarkEnd w:id="13"/>
    </w:p>
    <w:p w14:paraId="1A68FF19" w14:textId="77777777" w:rsidR="00815021" w:rsidRPr="00BB657F" w:rsidRDefault="00E161FC" w:rsidP="001E3EBE">
      <w:pPr>
        <w:pStyle w:val="ListParagraph"/>
        <w:ind w:left="0"/>
        <w:rPr>
          <w:rFonts w:asciiTheme="majorHAnsi" w:hAnsiTheme="majorHAnsi"/>
          <w:b/>
          <w:color w:val="auto"/>
          <w:sz w:val="20"/>
          <w:szCs w:val="20"/>
          <w:lang w:val="es-ES_tradnl"/>
        </w:rPr>
      </w:pPr>
      <w:r w:rsidRPr="00E161FC">
        <w:rPr>
          <w:rFonts w:asciiTheme="majorHAnsi" w:hAnsiTheme="majorHAnsi"/>
          <w:b/>
          <w:color w:val="auto"/>
          <w:sz w:val="20"/>
          <w:szCs w:val="20"/>
          <w:lang w:val="es-ES_tradnl"/>
        </w:rPr>
        <w:t xml:space="preserve"> </w:t>
      </w:r>
    </w:p>
    <w:p w14:paraId="490F14A9" w14:textId="77777777" w:rsidR="001B6BF1" w:rsidRDefault="002E2909"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ES_tradnl"/>
        </w:rPr>
      </w:pPr>
      <w:r>
        <w:rPr>
          <w:rFonts w:asciiTheme="majorHAnsi" w:hAnsiTheme="majorHAnsi"/>
          <w:sz w:val="20"/>
          <w:szCs w:val="20"/>
          <w:lang w:val="es-ES"/>
        </w:rPr>
        <w:t xml:space="preserve">De acuerdo con las actividades de monitoreo </w:t>
      </w:r>
      <w:r w:rsidR="008069BF" w:rsidRPr="008069BF">
        <w:rPr>
          <w:rFonts w:asciiTheme="majorHAnsi" w:hAnsiTheme="majorHAnsi"/>
          <w:sz w:val="20"/>
          <w:szCs w:val="20"/>
          <w:lang w:val="es-ES"/>
        </w:rPr>
        <w:t>re</w:t>
      </w:r>
      <w:r>
        <w:rPr>
          <w:rFonts w:asciiTheme="majorHAnsi" w:hAnsiTheme="majorHAnsi"/>
          <w:sz w:val="20"/>
          <w:szCs w:val="20"/>
          <w:lang w:val="es-ES"/>
        </w:rPr>
        <w:t xml:space="preserve">alizadas </w:t>
      </w:r>
      <w:r w:rsidR="008069BF" w:rsidRPr="008069BF">
        <w:rPr>
          <w:rFonts w:asciiTheme="majorHAnsi" w:hAnsiTheme="majorHAnsi"/>
          <w:sz w:val="20"/>
          <w:szCs w:val="20"/>
          <w:lang w:val="es-ES"/>
        </w:rPr>
        <w:t xml:space="preserve">por la Comisión en la época de los hechos, Colombia registraba la más alta tasa de secuestros del mundo, </w:t>
      </w:r>
      <w:r w:rsidR="00DE4712">
        <w:rPr>
          <w:rFonts w:asciiTheme="majorHAnsi" w:hAnsiTheme="majorHAnsi"/>
          <w:sz w:val="20"/>
          <w:szCs w:val="20"/>
          <w:lang w:val="es-ES"/>
        </w:rPr>
        <w:t>ejecutados por</w:t>
      </w:r>
      <w:r w:rsidR="008069BF" w:rsidRPr="008069BF">
        <w:rPr>
          <w:rFonts w:asciiTheme="majorHAnsi" w:hAnsiTheme="majorHAnsi"/>
          <w:sz w:val="20"/>
          <w:szCs w:val="20"/>
          <w:lang w:val="es-ES"/>
        </w:rPr>
        <w:t xml:space="preserve"> grupos armados disidentes y con el propósito de obtener el pago de un rescate</w:t>
      </w:r>
      <w:r w:rsidR="008069BF">
        <w:rPr>
          <w:rStyle w:val="FootnoteReference"/>
          <w:rFonts w:asciiTheme="majorHAnsi" w:hAnsiTheme="majorHAnsi"/>
          <w:sz w:val="20"/>
          <w:szCs w:val="20"/>
          <w:lang w:val="es-ES"/>
        </w:rPr>
        <w:footnoteReference w:id="4"/>
      </w:r>
      <w:r w:rsidR="008069BF" w:rsidRPr="008069BF">
        <w:rPr>
          <w:rFonts w:asciiTheme="majorHAnsi" w:hAnsiTheme="majorHAnsi"/>
          <w:sz w:val="20"/>
          <w:szCs w:val="20"/>
          <w:lang w:val="es-ES"/>
        </w:rPr>
        <w:t>.</w:t>
      </w:r>
      <w:r w:rsidR="008069BF" w:rsidRPr="008069BF">
        <w:rPr>
          <w:rFonts w:asciiTheme="majorHAnsi" w:hAnsiTheme="majorHAnsi"/>
          <w:sz w:val="20"/>
          <w:szCs w:val="20"/>
          <w:lang w:val="es-ES_tradnl"/>
        </w:rPr>
        <w:t xml:space="preserve"> </w:t>
      </w:r>
      <w:r w:rsidR="001B6BF1">
        <w:rPr>
          <w:rFonts w:asciiTheme="majorHAnsi" w:hAnsiTheme="majorHAnsi"/>
          <w:sz w:val="20"/>
          <w:szCs w:val="20"/>
          <w:lang w:val="es-ES_tradnl"/>
        </w:rPr>
        <w:t xml:space="preserve">Hacia el año 2010 la CIDH </w:t>
      </w:r>
      <w:r w:rsidR="00090B9E">
        <w:rPr>
          <w:rFonts w:asciiTheme="majorHAnsi" w:hAnsiTheme="majorHAnsi"/>
          <w:sz w:val="20"/>
          <w:szCs w:val="20"/>
          <w:lang w:val="es-ES_tradnl"/>
        </w:rPr>
        <w:t>reconoció</w:t>
      </w:r>
      <w:r w:rsidR="001B6BF1">
        <w:rPr>
          <w:rFonts w:asciiTheme="majorHAnsi" w:hAnsiTheme="majorHAnsi"/>
          <w:sz w:val="20"/>
          <w:szCs w:val="20"/>
          <w:lang w:val="es-ES_tradnl"/>
        </w:rPr>
        <w:t xml:space="preserve"> que </w:t>
      </w:r>
      <w:r w:rsidR="0058659B">
        <w:rPr>
          <w:rFonts w:asciiTheme="majorHAnsi" w:hAnsiTheme="majorHAnsi"/>
          <w:sz w:val="20"/>
          <w:szCs w:val="20"/>
          <w:lang w:val="es-ES_tradnl"/>
        </w:rPr>
        <w:t xml:space="preserve">seguían registrándose secuestros y extorsiones “en contra de la población por parte de las denominadas ‘estructuras emergentes o </w:t>
      </w:r>
      <w:r w:rsidR="0058659B">
        <w:rPr>
          <w:rFonts w:asciiTheme="majorHAnsi" w:hAnsiTheme="majorHAnsi"/>
          <w:sz w:val="20"/>
          <w:szCs w:val="20"/>
          <w:lang w:val="es-ES_tradnl"/>
        </w:rPr>
        <w:lastRenderedPageBreak/>
        <w:t>bandas criminales</w:t>
      </w:r>
      <w:r w:rsidR="008B34B1">
        <w:rPr>
          <w:rFonts w:asciiTheme="majorHAnsi" w:hAnsiTheme="majorHAnsi"/>
          <w:sz w:val="20"/>
          <w:szCs w:val="20"/>
          <w:lang w:val="es-ES_tradnl"/>
        </w:rPr>
        <w:t>’</w:t>
      </w:r>
      <w:r w:rsidR="0058659B">
        <w:rPr>
          <w:rFonts w:asciiTheme="majorHAnsi" w:hAnsiTheme="majorHAnsi"/>
          <w:sz w:val="20"/>
          <w:szCs w:val="20"/>
          <w:lang w:val="es-ES_tradnl"/>
        </w:rPr>
        <w:t>”</w:t>
      </w:r>
      <w:r w:rsidR="008B34B1">
        <w:rPr>
          <w:rStyle w:val="FootnoteReference"/>
          <w:rFonts w:asciiTheme="majorHAnsi" w:hAnsiTheme="majorHAnsi"/>
          <w:sz w:val="20"/>
          <w:szCs w:val="20"/>
          <w:lang w:val="es-ES_tradnl"/>
        </w:rPr>
        <w:footnoteReference w:id="5"/>
      </w:r>
      <w:r w:rsidR="00090B9E">
        <w:rPr>
          <w:rFonts w:asciiTheme="majorHAnsi" w:hAnsiTheme="majorHAnsi"/>
          <w:sz w:val="20"/>
          <w:szCs w:val="20"/>
          <w:lang w:val="es-ES_tradnl"/>
        </w:rPr>
        <w:t xml:space="preserve">. Asimismo, la CIDH </w:t>
      </w:r>
      <w:r w:rsidR="00A90011">
        <w:rPr>
          <w:rFonts w:asciiTheme="majorHAnsi" w:hAnsiTheme="majorHAnsi"/>
          <w:sz w:val="20"/>
          <w:szCs w:val="20"/>
          <w:lang w:val="es-ES_tradnl"/>
        </w:rPr>
        <w:t xml:space="preserve">ha </w:t>
      </w:r>
      <w:r w:rsidR="00090B9E">
        <w:rPr>
          <w:rFonts w:asciiTheme="majorHAnsi" w:hAnsiTheme="majorHAnsi"/>
          <w:sz w:val="20"/>
          <w:szCs w:val="20"/>
          <w:lang w:val="es-ES_tradnl"/>
        </w:rPr>
        <w:t>señal</w:t>
      </w:r>
      <w:r w:rsidR="00A90011">
        <w:rPr>
          <w:rFonts w:asciiTheme="majorHAnsi" w:hAnsiTheme="majorHAnsi"/>
          <w:sz w:val="20"/>
          <w:szCs w:val="20"/>
          <w:lang w:val="es-ES_tradnl"/>
        </w:rPr>
        <w:t>ado</w:t>
      </w:r>
      <w:r w:rsidR="006C74FE">
        <w:rPr>
          <w:rFonts w:asciiTheme="majorHAnsi" w:hAnsiTheme="majorHAnsi"/>
          <w:sz w:val="20"/>
          <w:szCs w:val="20"/>
          <w:lang w:val="es-ES_tradnl"/>
        </w:rPr>
        <w:t xml:space="preserve"> que los d</w:t>
      </w:r>
      <w:r w:rsidR="00A90011">
        <w:rPr>
          <w:rFonts w:asciiTheme="majorHAnsi" w:hAnsiTheme="majorHAnsi"/>
          <w:sz w:val="20"/>
          <w:szCs w:val="20"/>
          <w:lang w:val="es-ES_tradnl"/>
        </w:rPr>
        <w:t>elitos de plagio y secuestro extorsivo generan un enorme daño a las víctimas y familiares, por su afectación concomitante a la integridad, libertad y la amenaza para la vida</w:t>
      </w:r>
      <w:r w:rsidR="00A90011">
        <w:rPr>
          <w:rStyle w:val="FootnoteReference"/>
          <w:rFonts w:asciiTheme="majorHAnsi" w:hAnsiTheme="majorHAnsi"/>
          <w:sz w:val="20"/>
          <w:szCs w:val="20"/>
          <w:lang w:val="es-ES_tradnl"/>
        </w:rPr>
        <w:footnoteReference w:id="6"/>
      </w:r>
      <w:r w:rsidR="00A90011">
        <w:rPr>
          <w:rFonts w:asciiTheme="majorHAnsi" w:hAnsiTheme="majorHAnsi"/>
          <w:sz w:val="20"/>
          <w:szCs w:val="20"/>
          <w:lang w:val="es-ES_tradnl"/>
        </w:rPr>
        <w:t>, como se desarrollará más adelante</w:t>
      </w:r>
      <w:r w:rsidR="00A90011" w:rsidRPr="00502408">
        <w:rPr>
          <w:rFonts w:asciiTheme="majorHAnsi" w:hAnsiTheme="majorHAnsi"/>
          <w:sz w:val="20"/>
          <w:szCs w:val="20"/>
          <w:lang w:val="es-ES_tradnl"/>
        </w:rPr>
        <w:t>.</w:t>
      </w:r>
    </w:p>
    <w:p w14:paraId="6298622C" w14:textId="77777777" w:rsidR="001B6BF1" w:rsidRDefault="001B6BF1" w:rsidP="001E3EBE">
      <w:pPr>
        <w:pStyle w:val="ListParagraph"/>
        <w:ind w:left="0"/>
        <w:rPr>
          <w:rFonts w:asciiTheme="majorHAnsi" w:hAnsiTheme="majorHAnsi"/>
          <w:sz w:val="20"/>
          <w:szCs w:val="20"/>
          <w:lang w:val="es-ES_tradnl"/>
        </w:rPr>
      </w:pPr>
    </w:p>
    <w:p w14:paraId="0AFB1677" w14:textId="77777777" w:rsidR="008069BF" w:rsidRDefault="008069BF"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ES_tradnl"/>
        </w:rPr>
      </w:pPr>
      <w:r>
        <w:rPr>
          <w:rFonts w:asciiTheme="majorHAnsi" w:hAnsiTheme="majorHAnsi"/>
          <w:sz w:val="20"/>
          <w:szCs w:val="20"/>
          <w:lang w:val="es-ES_tradnl"/>
        </w:rPr>
        <w:t>Por su lado</w:t>
      </w:r>
      <w:r w:rsidR="00AD6E9E">
        <w:rPr>
          <w:rFonts w:asciiTheme="majorHAnsi" w:hAnsiTheme="majorHAnsi"/>
          <w:sz w:val="20"/>
          <w:szCs w:val="20"/>
          <w:lang w:val="es-ES_tradnl"/>
        </w:rPr>
        <w:t>,</w:t>
      </w:r>
      <w:r>
        <w:rPr>
          <w:rFonts w:asciiTheme="majorHAnsi" w:hAnsiTheme="majorHAnsi"/>
          <w:sz w:val="20"/>
          <w:szCs w:val="20"/>
          <w:lang w:val="es-ES_tradnl"/>
        </w:rPr>
        <w:t xml:space="preserve"> el</w:t>
      </w:r>
      <w:r w:rsidRPr="008069BF">
        <w:rPr>
          <w:rFonts w:asciiTheme="majorHAnsi" w:hAnsiTheme="majorHAnsi"/>
          <w:sz w:val="20"/>
          <w:szCs w:val="20"/>
          <w:lang w:val="es-ES_tradnl"/>
        </w:rPr>
        <w:t xml:space="preserve"> Centro Nacional de Memoria Hist</w:t>
      </w:r>
      <w:r>
        <w:rPr>
          <w:rFonts w:asciiTheme="majorHAnsi" w:hAnsiTheme="majorHAnsi"/>
          <w:sz w:val="20"/>
          <w:szCs w:val="20"/>
          <w:lang w:val="es-ES_tradnl"/>
        </w:rPr>
        <w:t>órica (en adelante “el CNDH”) ha reportado que el delito de secuestro</w:t>
      </w:r>
      <w:r w:rsidR="00263A09">
        <w:rPr>
          <w:rFonts w:asciiTheme="majorHAnsi" w:hAnsiTheme="majorHAnsi"/>
          <w:sz w:val="20"/>
          <w:szCs w:val="20"/>
          <w:lang w:val="es-ES_tradnl"/>
        </w:rPr>
        <w:t xml:space="preserve"> en Colombia</w:t>
      </w:r>
      <w:r>
        <w:rPr>
          <w:rFonts w:asciiTheme="majorHAnsi" w:hAnsiTheme="majorHAnsi"/>
          <w:sz w:val="20"/>
          <w:szCs w:val="20"/>
          <w:lang w:val="es-ES_tradnl"/>
        </w:rPr>
        <w:t xml:space="preserve"> alcanza </w:t>
      </w:r>
      <w:r w:rsidR="00263A09">
        <w:rPr>
          <w:rFonts w:asciiTheme="majorHAnsi" w:hAnsiTheme="majorHAnsi"/>
          <w:sz w:val="20"/>
          <w:szCs w:val="20"/>
          <w:lang w:val="es-ES_tradnl"/>
        </w:rPr>
        <w:t xml:space="preserve">a </w:t>
      </w:r>
      <w:r>
        <w:rPr>
          <w:rFonts w:asciiTheme="majorHAnsi" w:hAnsiTheme="majorHAnsi"/>
          <w:sz w:val="20"/>
          <w:szCs w:val="20"/>
          <w:lang w:val="es-ES_tradnl"/>
        </w:rPr>
        <w:t>39.058 víctimas, aunque solo 28.</w:t>
      </w:r>
      <w:r w:rsidR="00E32510">
        <w:rPr>
          <w:rFonts w:asciiTheme="majorHAnsi" w:hAnsiTheme="majorHAnsi"/>
          <w:sz w:val="20"/>
          <w:szCs w:val="20"/>
          <w:lang w:val="es-ES_tradnl"/>
        </w:rPr>
        <w:t>477 fueron denunciados al E</w:t>
      </w:r>
      <w:r>
        <w:rPr>
          <w:rFonts w:asciiTheme="majorHAnsi" w:hAnsiTheme="majorHAnsi"/>
          <w:sz w:val="20"/>
          <w:szCs w:val="20"/>
          <w:lang w:val="es-ES_tradnl"/>
        </w:rPr>
        <w:t xml:space="preserve">stado. </w:t>
      </w:r>
      <w:r w:rsidR="00D10A2D">
        <w:rPr>
          <w:rFonts w:asciiTheme="majorHAnsi" w:hAnsiTheme="majorHAnsi"/>
          <w:sz w:val="20"/>
          <w:szCs w:val="20"/>
          <w:lang w:val="es-ES_tradnl"/>
        </w:rPr>
        <w:t>Según la misma fuente, d</w:t>
      </w:r>
      <w:r>
        <w:rPr>
          <w:rFonts w:asciiTheme="majorHAnsi" w:hAnsiTheme="majorHAnsi"/>
          <w:sz w:val="20"/>
          <w:szCs w:val="20"/>
          <w:lang w:val="es-ES_tradnl"/>
        </w:rPr>
        <w:t>e este universo “la justicia realizó actuaciones conducentes a indagación en 14.715 de los casos y h</w:t>
      </w:r>
      <w:r w:rsidR="00E32510">
        <w:rPr>
          <w:rFonts w:asciiTheme="majorHAnsi" w:hAnsiTheme="majorHAnsi"/>
          <w:sz w:val="20"/>
          <w:szCs w:val="20"/>
          <w:lang w:val="es-ES_tradnl"/>
        </w:rPr>
        <w:t>a</w:t>
      </w:r>
      <w:r>
        <w:rPr>
          <w:rFonts w:asciiTheme="majorHAnsi" w:hAnsiTheme="majorHAnsi"/>
          <w:sz w:val="20"/>
          <w:szCs w:val="20"/>
          <w:lang w:val="es-ES_tradnl"/>
        </w:rPr>
        <w:t xml:space="preserve"> sido posible documentar un total de 3.114 sentencias condenatorias, cerca del 11% de lo conocido por el Estado y un 8% de los registrado en la base de datos de secuestro”</w:t>
      </w:r>
      <w:r>
        <w:rPr>
          <w:rStyle w:val="FootnoteReference"/>
          <w:rFonts w:asciiTheme="majorHAnsi" w:hAnsiTheme="majorHAnsi"/>
          <w:sz w:val="20"/>
          <w:szCs w:val="20"/>
          <w:lang w:val="es-ES_tradnl"/>
        </w:rPr>
        <w:footnoteReference w:id="7"/>
      </w:r>
      <w:r w:rsidR="008152C5">
        <w:rPr>
          <w:rFonts w:asciiTheme="majorHAnsi" w:hAnsiTheme="majorHAnsi"/>
          <w:sz w:val="20"/>
          <w:szCs w:val="20"/>
          <w:lang w:val="es-ES_tradnl"/>
        </w:rPr>
        <w:t xml:space="preserve">, También se indica que </w:t>
      </w:r>
      <w:r>
        <w:rPr>
          <w:rFonts w:asciiTheme="majorHAnsi" w:hAnsiTheme="majorHAnsi"/>
          <w:sz w:val="20"/>
          <w:szCs w:val="20"/>
          <w:lang w:val="es-ES_tradnl"/>
        </w:rPr>
        <w:t xml:space="preserve">fue entre 1996 – 2000 que se llevó el período denominado como “la masificación” del secuestro en Colombia, durante el cual más del 80% de casos, la libertad se producía tras el pago del rescate y no por la acción </w:t>
      </w:r>
      <w:r w:rsidR="00E32510">
        <w:rPr>
          <w:rFonts w:asciiTheme="majorHAnsi" w:hAnsiTheme="majorHAnsi"/>
          <w:sz w:val="20"/>
          <w:szCs w:val="20"/>
          <w:lang w:val="es-ES_tradnl"/>
        </w:rPr>
        <w:t>estatal</w:t>
      </w:r>
      <w:r>
        <w:rPr>
          <w:rStyle w:val="FootnoteReference"/>
          <w:rFonts w:asciiTheme="majorHAnsi" w:hAnsiTheme="majorHAnsi"/>
          <w:sz w:val="20"/>
          <w:szCs w:val="20"/>
          <w:lang w:val="es-ES_tradnl"/>
        </w:rPr>
        <w:footnoteReference w:id="8"/>
      </w:r>
      <w:r>
        <w:rPr>
          <w:rFonts w:asciiTheme="majorHAnsi" w:hAnsiTheme="majorHAnsi"/>
          <w:sz w:val="20"/>
          <w:szCs w:val="20"/>
          <w:lang w:val="es-ES_tradnl"/>
        </w:rPr>
        <w:t>. En estas circunstancias, el estudio del CNDH ha entendido que las cifras “permiten establecer una impunidad del 92% sobre el total del período y una del 89% si se calcula sobre los casos conocidos por las autoridades”</w:t>
      </w:r>
      <w:r>
        <w:rPr>
          <w:rStyle w:val="FootnoteReference"/>
          <w:rFonts w:asciiTheme="majorHAnsi" w:hAnsiTheme="majorHAnsi"/>
          <w:sz w:val="20"/>
          <w:szCs w:val="20"/>
          <w:lang w:val="es-ES_tradnl"/>
        </w:rPr>
        <w:footnoteReference w:id="9"/>
      </w:r>
      <w:r>
        <w:rPr>
          <w:rFonts w:asciiTheme="majorHAnsi" w:hAnsiTheme="majorHAnsi"/>
          <w:sz w:val="20"/>
          <w:szCs w:val="20"/>
          <w:lang w:val="es-ES_tradnl"/>
        </w:rPr>
        <w:t>.</w:t>
      </w:r>
      <w:r w:rsidR="00090B9E">
        <w:rPr>
          <w:rFonts w:asciiTheme="majorHAnsi" w:hAnsiTheme="majorHAnsi"/>
          <w:sz w:val="20"/>
          <w:szCs w:val="20"/>
          <w:lang w:val="es-ES_tradnl"/>
        </w:rPr>
        <w:t xml:space="preserve"> </w:t>
      </w:r>
    </w:p>
    <w:p w14:paraId="5D999CF5" w14:textId="77777777" w:rsidR="008069BF" w:rsidRDefault="008069BF"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_tradnl"/>
        </w:rPr>
      </w:pPr>
    </w:p>
    <w:p w14:paraId="69275904" w14:textId="77777777" w:rsidR="008069BF" w:rsidRDefault="008069BF"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ES_tradnl"/>
        </w:rPr>
      </w:pPr>
      <w:r>
        <w:rPr>
          <w:rFonts w:asciiTheme="majorHAnsi" w:hAnsiTheme="majorHAnsi"/>
          <w:sz w:val="20"/>
          <w:szCs w:val="20"/>
          <w:lang w:val="es-ES_tradnl"/>
        </w:rPr>
        <w:t xml:space="preserve">Asimismo, </w:t>
      </w:r>
      <w:r w:rsidR="00C53F47">
        <w:rPr>
          <w:rFonts w:asciiTheme="majorHAnsi" w:hAnsiTheme="majorHAnsi"/>
          <w:sz w:val="20"/>
          <w:szCs w:val="20"/>
          <w:lang w:val="es-ES_tradnl"/>
        </w:rPr>
        <w:t>el</w:t>
      </w:r>
      <w:r>
        <w:rPr>
          <w:rFonts w:asciiTheme="majorHAnsi" w:hAnsiTheme="majorHAnsi"/>
          <w:sz w:val="20"/>
          <w:szCs w:val="20"/>
          <w:lang w:val="es-ES_tradnl"/>
        </w:rPr>
        <w:t xml:space="preserve"> CNDH también dejó constancia de informaci</w:t>
      </w:r>
      <w:r w:rsidR="00E32510">
        <w:rPr>
          <w:rFonts w:asciiTheme="majorHAnsi" w:hAnsiTheme="majorHAnsi"/>
          <w:sz w:val="20"/>
          <w:szCs w:val="20"/>
          <w:lang w:val="es-ES_tradnl"/>
        </w:rPr>
        <w:t>ón relacionada</w:t>
      </w:r>
      <w:r w:rsidR="00E906BF">
        <w:rPr>
          <w:rFonts w:asciiTheme="majorHAnsi" w:hAnsiTheme="majorHAnsi"/>
          <w:sz w:val="20"/>
          <w:szCs w:val="20"/>
          <w:lang w:val="es-ES_tradnl"/>
        </w:rPr>
        <w:t xml:space="preserve"> con el secuestro,</w:t>
      </w:r>
      <w:r w:rsidR="00E32510">
        <w:rPr>
          <w:rFonts w:asciiTheme="majorHAnsi" w:hAnsiTheme="majorHAnsi"/>
          <w:sz w:val="20"/>
          <w:szCs w:val="20"/>
          <w:lang w:val="es-ES_tradnl"/>
        </w:rPr>
        <w:t xml:space="preserve"> según la cual,</w:t>
      </w:r>
      <w:r w:rsidR="00E906BF">
        <w:rPr>
          <w:rFonts w:asciiTheme="majorHAnsi" w:hAnsiTheme="majorHAnsi"/>
          <w:sz w:val="20"/>
          <w:szCs w:val="20"/>
          <w:lang w:val="es-ES_tradnl"/>
        </w:rPr>
        <w:t xml:space="preserve"> </w:t>
      </w:r>
      <w:r>
        <w:rPr>
          <w:rFonts w:asciiTheme="majorHAnsi" w:hAnsiTheme="majorHAnsi"/>
          <w:sz w:val="20"/>
          <w:szCs w:val="20"/>
          <w:lang w:val="es-ES_tradnl"/>
        </w:rPr>
        <w:t>“</w:t>
      </w:r>
      <w:r w:rsidR="00E906BF">
        <w:rPr>
          <w:rFonts w:asciiTheme="majorHAnsi" w:hAnsiTheme="majorHAnsi"/>
          <w:sz w:val="20"/>
          <w:szCs w:val="20"/>
          <w:lang w:val="es-ES_tradnl"/>
        </w:rPr>
        <w:t xml:space="preserve">las deficiencias </w:t>
      </w:r>
      <w:r>
        <w:rPr>
          <w:rFonts w:asciiTheme="majorHAnsi" w:hAnsiTheme="majorHAnsi"/>
          <w:sz w:val="20"/>
          <w:szCs w:val="20"/>
          <w:lang w:val="es-ES_tradnl"/>
        </w:rPr>
        <w:t>en materia de investigación y judicialización desde 1998 hasta el 2010 están relacionadas con gestión de la justicia en temas como la ausencia de indicadores de eficiencia, fallas en la capacitación de funcionarios, poca participación activa de las víctimas y carencia de una cultura de registro de información”</w:t>
      </w:r>
      <w:r>
        <w:rPr>
          <w:rStyle w:val="FootnoteReference"/>
          <w:rFonts w:asciiTheme="majorHAnsi" w:hAnsiTheme="majorHAnsi"/>
          <w:sz w:val="20"/>
          <w:szCs w:val="20"/>
          <w:lang w:val="es-ES_tradnl"/>
        </w:rPr>
        <w:footnoteReference w:id="10"/>
      </w:r>
      <w:r>
        <w:rPr>
          <w:rFonts w:asciiTheme="majorHAnsi" w:hAnsiTheme="majorHAnsi"/>
          <w:sz w:val="20"/>
          <w:szCs w:val="20"/>
          <w:lang w:val="es-ES_tradnl"/>
        </w:rPr>
        <w:t xml:space="preserve">. </w:t>
      </w:r>
    </w:p>
    <w:p w14:paraId="258ECB84" w14:textId="77777777" w:rsidR="008069BF" w:rsidRPr="008069BF" w:rsidRDefault="008069BF"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_tradnl"/>
        </w:rPr>
      </w:pPr>
    </w:p>
    <w:p w14:paraId="7222515B" w14:textId="77777777" w:rsidR="008069BF" w:rsidRDefault="008069BF"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ES_tradnl"/>
        </w:rPr>
      </w:pPr>
      <w:r>
        <w:rPr>
          <w:rFonts w:asciiTheme="majorHAnsi" w:hAnsiTheme="majorHAnsi"/>
          <w:sz w:val="20"/>
          <w:szCs w:val="20"/>
          <w:lang w:val="es-ES_tradnl"/>
        </w:rPr>
        <w:t xml:space="preserve">La información anteriormente descrita, junto con la preocupación histórica de la Comisión relativa a los secuestros en Colombia, permite identificar la existencia de un contexto </w:t>
      </w:r>
      <w:r w:rsidR="005D450A">
        <w:rPr>
          <w:rFonts w:asciiTheme="majorHAnsi" w:hAnsiTheme="majorHAnsi"/>
          <w:sz w:val="20"/>
          <w:szCs w:val="20"/>
          <w:lang w:val="es-ES_tradnl"/>
        </w:rPr>
        <w:t xml:space="preserve">de dicha práctica </w:t>
      </w:r>
      <w:r w:rsidR="007908B6">
        <w:rPr>
          <w:rFonts w:asciiTheme="majorHAnsi" w:hAnsiTheme="majorHAnsi"/>
          <w:sz w:val="20"/>
          <w:szCs w:val="20"/>
          <w:lang w:val="es-ES_tradnl"/>
        </w:rPr>
        <w:t>cometid</w:t>
      </w:r>
      <w:r w:rsidR="005D450A">
        <w:rPr>
          <w:rFonts w:asciiTheme="majorHAnsi" w:hAnsiTheme="majorHAnsi"/>
          <w:sz w:val="20"/>
          <w:szCs w:val="20"/>
          <w:lang w:val="es-ES_tradnl"/>
        </w:rPr>
        <w:t>a</w:t>
      </w:r>
      <w:r w:rsidR="007908B6">
        <w:rPr>
          <w:rFonts w:asciiTheme="majorHAnsi" w:hAnsiTheme="majorHAnsi"/>
          <w:sz w:val="20"/>
          <w:szCs w:val="20"/>
          <w:lang w:val="es-ES_tradnl"/>
        </w:rPr>
        <w:t xml:space="preserve"> por actores n</w:t>
      </w:r>
      <w:r w:rsidR="00536068">
        <w:rPr>
          <w:rFonts w:asciiTheme="majorHAnsi" w:hAnsiTheme="majorHAnsi"/>
          <w:sz w:val="20"/>
          <w:szCs w:val="20"/>
          <w:lang w:val="es-ES_tradnl"/>
        </w:rPr>
        <w:t xml:space="preserve">o estatales al margen de la ley y </w:t>
      </w:r>
      <w:r w:rsidR="00371C23">
        <w:rPr>
          <w:rFonts w:asciiTheme="majorHAnsi" w:hAnsiTheme="majorHAnsi"/>
          <w:sz w:val="20"/>
          <w:szCs w:val="20"/>
          <w:lang w:val="es-ES_tradnl"/>
        </w:rPr>
        <w:t>sobre la cual</w:t>
      </w:r>
      <w:r w:rsidR="00536068">
        <w:rPr>
          <w:rFonts w:asciiTheme="majorHAnsi" w:hAnsiTheme="majorHAnsi"/>
          <w:sz w:val="20"/>
          <w:szCs w:val="20"/>
          <w:lang w:val="es-ES_tradnl"/>
        </w:rPr>
        <w:t xml:space="preserve"> la referida entidad estatal dio cuenta de </w:t>
      </w:r>
      <w:r>
        <w:rPr>
          <w:rFonts w:asciiTheme="majorHAnsi" w:hAnsiTheme="majorHAnsi"/>
          <w:sz w:val="20"/>
          <w:szCs w:val="20"/>
          <w:lang w:val="es-ES_tradnl"/>
        </w:rPr>
        <w:t xml:space="preserve">la falta de efectividad de los mecanismos de </w:t>
      </w:r>
      <w:r w:rsidR="00536068">
        <w:rPr>
          <w:rFonts w:asciiTheme="majorHAnsi" w:hAnsiTheme="majorHAnsi"/>
          <w:sz w:val="20"/>
          <w:szCs w:val="20"/>
          <w:lang w:val="es-ES_tradnl"/>
        </w:rPr>
        <w:t xml:space="preserve">respuesta y </w:t>
      </w:r>
      <w:r>
        <w:rPr>
          <w:rFonts w:asciiTheme="majorHAnsi" w:hAnsiTheme="majorHAnsi"/>
          <w:sz w:val="20"/>
          <w:szCs w:val="20"/>
          <w:lang w:val="es-ES_tradnl"/>
        </w:rPr>
        <w:t>justicia, generando escenarios de impunidad en la sanción de</w:t>
      </w:r>
      <w:r w:rsidR="00536068">
        <w:rPr>
          <w:rFonts w:asciiTheme="majorHAnsi" w:hAnsiTheme="majorHAnsi"/>
          <w:sz w:val="20"/>
          <w:szCs w:val="20"/>
          <w:lang w:val="es-ES_tradnl"/>
        </w:rPr>
        <w:t xml:space="preserve"> dicho </w:t>
      </w:r>
      <w:r>
        <w:rPr>
          <w:rFonts w:asciiTheme="majorHAnsi" w:hAnsiTheme="majorHAnsi"/>
          <w:sz w:val="20"/>
          <w:szCs w:val="20"/>
          <w:lang w:val="es-ES_tradnl"/>
        </w:rPr>
        <w:t xml:space="preserve">crimen. </w:t>
      </w:r>
      <w:r w:rsidR="000D54E3">
        <w:rPr>
          <w:rFonts w:asciiTheme="majorHAnsi" w:hAnsiTheme="majorHAnsi"/>
          <w:sz w:val="20"/>
          <w:szCs w:val="20"/>
          <w:lang w:val="es-ES_tradnl"/>
        </w:rPr>
        <w:t xml:space="preserve">La Comisión hace notar que estas determinaciones coinciden temporalmente con los hechos del presente caso, tanto en lo relativo al secuestro </w:t>
      </w:r>
      <w:r>
        <w:rPr>
          <w:rFonts w:asciiTheme="majorHAnsi" w:hAnsiTheme="majorHAnsi"/>
          <w:sz w:val="20"/>
          <w:szCs w:val="20"/>
          <w:lang w:val="es-ES_tradnl"/>
        </w:rPr>
        <w:t>del señor Betancourt</w:t>
      </w:r>
      <w:r w:rsidR="000D54E3">
        <w:rPr>
          <w:rFonts w:asciiTheme="majorHAnsi" w:hAnsiTheme="majorHAnsi"/>
          <w:sz w:val="20"/>
          <w:szCs w:val="20"/>
          <w:lang w:val="es-ES_tradnl"/>
        </w:rPr>
        <w:t>, como en la</w:t>
      </w:r>
      <w:r w:rsidR="0043519A">
        <w:rPr>
          <w:rFonts w:asciiTheme="majorHAnsi" w:hAnsiTheme="majorHAnsi"/>
          <w:sz w:val="20"/>
          <w:szCs w:val="20"/>
          <w:lang w:val="es-ES_tradnl"/>
        </w:rPr>
        <w:t xml:space="preserve"> investigación llevada a cabo posteriormente. </w:t>
      </w:r>
    </w:p>
    <w:p w14:paraId="2997F810" w14:textId="77777777" w:rsidR="008069BF" w:rsidRDefault="008069BF" w:rsidP="001E3EBE">
      <w:pPr>
        <w:pStyle w:val="ListParagraph"/>
        <w:ind w:left="0"/>
        <w:rPr>
          <w:rFonts w:asciiTheme="majorHAnsi" w:hAnsiTheme="majorHAnsi"/>
          <w:sz w:val="20"/>
          <w:szCs w:val="20"/>
          <w:lang w:val="es-ES_tradnl"/>
        </w:rPr>
      </w:pPr>
    </w:p>
    <w:p w14:paraId="461435C9" w14:textId="77777777" w:rsidR="00D83D73" w:rsidRDefault="006F5690" w:rsidP="001E3EBE">
      <w:pPr>
        <w:pStyle w:val="Heading2"/>
        <w:ind w:firstLine="0"/>
        <w:rPr>
          <w:color w:val="FF0000"/>
          <w:lang w:val="es-ES_tradnl"/>
        </w:rPr>
      </w:pPr>
      <w:bookmarkStart w:id="14" w:name="_Toc394820746"/>
      <w:bookmarkStart w:id="15" w:name="_Toc70437013"/>
      <w:r w:rsidRPr="00F874EC">
        <w:rPr>
          <w:lang w:val="es-ES_tradnl"/>
        </w:rPr>
        <w:t>Información disponible sobre la presunta víctima y familiares</w:t>
      </w:r>
      <w:bookmarkEnd w:id="14"/>
      <w:bookmarkEnd w:id="15"/>
    </w:p>
    <w:p w14:paraId="10602DCC" w14:textId="77777777" w:rsidR="00E161FC" w:rsidRPr="005430CE" w:rsidRDefault="00E161FC" w:rsidP="001E3EBE">
      <w:pPr>
        <w:pStyle w:val="ListParagraph"/>
        <w:ind w:left="0"/>
        <w:jc w:val="both"/>
        <w:rPr>
          <w:rFonts w:asciiTheme="majorHAnsi" w:hAnsiTheme="majorHAnsi"/>
          <w:b/>
          <w:color w:val="FF0000"/>
          <w:sz w:val="20"/>
          <w:szCs w:val="20"/>
          <w:lang w:val="es-ES_tradnl"/>
        </w:rPr>
      </w:pPr>
    </w:p>
    <w:p w14:paraId="54C9B36A" w14:textId="77777777" w:rsidR="00E161FC" w:rsidRDefault="00E161FC"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ES_tradnl"/>
        </w:rPr>
      </w:pPr>
      <w:r w:rsidRPr="00B536F9">
        <w:rPr>
          <w:rFonts w:asciiTheme="majorHAnsi" w:hAnsiTheme="majorHAnsi"/>
          <w:sz w:val="20"/>
          <w:szCs w:val="20"/>
          <w:lang w:val="es-ES_tradnl"/>
        </w:rPr>
        <w:t>De acuerd</w:t>
      </w:r>
      <w:r w:rsidR="00CD4D32">
        <w:rPr>
          <w:rFonts w:asciiTheme="majorHAnsi" w:hAnsiTheme="majorHAnsi"/>
          <w:sz w:val="20"/>
          <w:szCs w:val="20"/>
          <w:lang w:val="es-ES_tradnl"/>
        </w:rPr>
        <w:t>o con la información disponible, C</w:t>
      </w:r>
      <w:r w:rsidRPr="00B536F9">
        <w:rPr>
          <w:rFonts w:asciiTheme="majorHAnsi" w:hAnsiTheme="majorHAnsi"/>
          <w:sz w:val="20"/>
          <w:szCs w:val="20"/>
          <w:lang w:val="es-ES_tradnl"/>
        </w:rPr>
        <w:t xml:space="preserve">arlos Arturo Betancourt Estrada, en la época de los hechos, era un empresario </w:t>
      </w:r>
      <w:r w:rsidR="00B536F9" w:rsidRPr="00B536F9">
        <w:rPr>
          <w:rFonts w:asciiTheme="majorHAnsi" w:hAnsiTheme="majorHAnsi"/>
          <w:sz w:val="20"/>
          <w:szCs w:val="20"/>
          <w:lang w:val="es-ES_tradnl"/>
        </w:rPr>
        <w:t>en la ciudad de Medellín</w:t>
      </w:r>
      <w:r w:rsidR="00D84C49">
        <w:rPr>
          <w:rFonts w:asciiTheme="majorHAnsi" w:hAnsiTheme="majorHAnsi"/>
          <w:sz w:val="20"/>
          <w:szCs w:val="20"/>
          <w:lang w:val="es-ES_tradnl"/>
        </w:rPr>
        <w:t xml:space="preserve"> y e</w:t>
      </w:r>
      <w:r w:rsidR="00B536F9" w:rsidRPr="00B536F9">
        <w:rPr>
          <w:rFonts w:asciiTheme="majorHAnsi" w:hAnsiTheme="majorHAnsi"/>
          <w:sz w:val="20"/>
          <w:szCs w:val="20"/>
          <w:lang w:val="es-ES_tradnl"/>
        </w:rPr>
        <w:t xml:space="preserve">staba casado con </w:t>
      </w:r>
      <w:r w:rsidR="009847B8">
        <w:rPr>
          <w:rFonts w:asciiTheme="majorHAnsi" w:hAnsiTheme="majorHAnsi"/>
          <w:sz w:val="20"/>
          <w:szCs w:val="20"/>
          <w:lang w:val="es-ES_tradnl"/>
        </w:rPr>
        <w:t>Luz Viviana Cano Pineda</w:t>
      </w:r>
      <w:r w:rsidR="00B536F9" w:rsidRPr="00B536F9">
        <w:rPr>
          <w:rFonts w:asciiTheme="majorHAnsi" w:hAnsiTheme="majorHAnsi"/>
          <w:sz w:val="20"/>
          <w:szCs w:val="20"/>
          <w:lang w:val="es-ES_tradnl"/>
        </w:rPr>
        <w:t xml:space="preserve">. </w:t>
      </w:r>
      <w:r w:rsidR="00D84C49">
        <w:rPr>
          <w:rFonts w:asciiTheme="majorHAnsi" w:hAnsiTheme="majorHAnsi"/>
          <w:sz w:val="20"/>
          <w:szCs w:val="20"/>
          <w:lang w:val="es-ES_tradnl"/>
        </w:rPr>
        <w:t xml:space="preserve">La presunta víctima </w:t>
      </w:r>
      <w:r w:rsidR="00B536F9" w:rsidRPr="00B536F9">
        <w:rPr>
          <w:rFonts w:asciiTheme="majorHAnsi" w:hAnsiTheme="majorHAnsi"/>
          <w:sz w:val="20"/>
          <w:szCs w:val="20"/>
          <w:lang w:val="es-ES_tradnl"/>
        </w:rPr>
        <w:t>e</w:t>
      </w:r>
      <w:r w:rsidR="00D84C49">
        <w:rPr>
          <w:rFonts w:asciiTheme="majorHAnsi" w:hAnsiTheme="majorHAnsi"/>
          <w:sz w:val="20"/>
          <w:szCs w:val="20"/>
          <w:lang w:val="es-ES_tradnl"/>
        </w:rPr>
        <w:t>s</w:t>
      </w:r>
      <w:r w:rsidR="00B536F9" w:rsidRPr="00B536F9">
        <w:rPr>
          <w:rFonts w:asciiTheme="majorHAnsi" w:hAnsiTheme="majorHAnsi"/>
          <w:sz w:val="20"/>
          <w:szCs w:val="20"/>
          <w:lang w:val="es-ES_tradnl"/>
        </w:rPr>
        <w:t xml:space="preserve"> padre de tres hijos (Juli Susana, Carlos David y Claudia Andrea)</w:t>
      </w:r>
      <w:r w:rsidR="00D84C49">
        <w:rPr>
          <w:rFonts w:asciiTheme="majorHAnsi" w:hAnsiTheme="majorHAnsi"/>
          <w:sz w:val="20"/>
          <w:szCs w:val="20"/>
          <w:lang w:val="es-ES_tradnl"/>
        </w:rPr>
        <w:t xml:space="preserve">, dos de los cuales </w:t>
      </w:r>
      <w:r w:rsidR="009847B8">
        <w:rPr>
          <w:rFonts w:asciiTheme="majorHAnsi" w:hAnsiTheme="majorHAnsi"/>
          <w:sz w:val="20"/>
          <w:szCs w:val="20"/>
          <w:lang w:val="es-ES_tradnl"/>
        </w:rPr>
        <w:t xml:space="preserve">huyeron con él </w:t>
      </w:r>
      <w:r w:rsidR="00FF1436">
        <w:rPr>
          <w:rFonts w:asciiTheme="majorHAnsi" w:hAnsiTheme="majorHAnsi"/>
          <w:sz w:val="20"/>
          <w:szCs w:val="20"/>
          <w:lang w:val="es-ES_tradnl"/>
        </w:rPr>
        <w:t xml:space="preserve">a </w:t>
      </w:r>
      <w:r w:rsidR="009847B8">
        <w:rPr>
          <w:rFonts w:asciiTheme="majorHAnsi" w:hAnsiTheme="majorHAnsi"/>
          <w:sz w:val="20"/>
          <w:szCs w:val="20"/>
          <w:lang w:val="es-ES_tradnl"/>
        </w:rPr>
        <w:t xml:space="preserve">Miami, Estados Unidos </w:t>
      </w:r>
      <w:r w:rsidR="003F6D16">
        <w:rPr>
          <w:rFonts w:asciiTheme="majorHAnsi" w:hAnsiTheme="majorHAnsi"/>
          <w:sz w:val="20"/>
          <w:szCs w:val="20"/>
          <w:lang w:val="es-ES_tradnl"/>
        </w:rPr>
        <w:t xml:space="preserve">poco tiempo después de su </w:t>
      </w:r>
      <w:r w:rsidR="009847B8">
        <w:rPr>
          <w:rFonts w:asciiTheme="majorHAnsi" w:hAnsiTheme="majorHAnsi"/>
          <w:sz w:val="20"/>
          <w:szCs w:val="20"/>
          <w:lang w:val="es-ES_tradnl"/>
        </w:rPr>
        <w:t>liberación</w:t>
      </w:r>
      <w:r w:rsidR="003F6D16">
        <w:rPr>
          <w:rFonts w:asciiTheme="majorHAnsi" w:hAnsiTheme="majorHAnsi"/>
          <w:sz w:val="20"/>
          <w:szCs w:val="20"/>
          <w:lang w:val="es-ES_tradnl"/>
        </w:rPr>
        <w:t>, tal como se detallará más adelante</w:t>
      </w:r>
      <w:r w:rsidR="009847B8">
        <w:rPr>
          <w:rFonts w:asciiTheme="majorHAnsi" w:hAnsiTheme="majorHAnsi"/>
          <w:sz w:val="20"/>
          <w:szCs w:val="20"/>
          <w:lang w:val="es-ES_tradnl"/>
        </w:rPr>
        <w:t xml:space="preserve">. Su hija mayor, Claudia Andrea, tuvo que </w:t>
      </w:r>
      <w:r w:rsidR="004D07B6">
        <w:rPr>
          <w:rFonts w:asciiTheme="majorHAnsi" w:hAnsiTheme="majorHAnsi"/>
          <w:sz w:val="20"/>
          <w:szCs w:val="20"/>
          <w:lang w:val="es-ES_tradnl"/>
        </w:rPr>
        <w:t xml:space="preserve">dejar sus estudios y </w:t>
      </w:r>
      <w:r w:rsidR="009847B8">
        <w:rPr>
          <w:rFonts w:asciiTheme="majorHAnsi" w:hAnsiTheme="majorHAnsi"/>
          <w:sz w:val="20"/>
          <w:szCs w:val="20"/>
          <w:lang w:val="es-ES_tradnl"/>
        </w:rPr>
        <w:t>ser reubicada en Bogot</w:t>
      </w:r>
      <w:r w:rsidR="004D07B6">
        <w:rPr>
          <w:rFonts w:asciiTheme="majorHAnsi" w:hAnsiTheme="majorHAnsi"/>
          <w:sz w:val="20"/>
          <w:szCs w:val="20"/>
          <w:lang w:val="es-ES_tradnl"/>
        </w:rPr>
        <w:t>á, dado el temor por su vida</w:t>
      </w:r>
      <w:r w:rsidR="00B540FA">
        <w:rPr>
          <w:rStyle w:val="FootnoteReference"/>
          <w:rFonts w:asciiTheme="majorHAnsi" w:hAnsiTheme="majorHAnsi"/>
          <w:sz w:val="20"/>
          <w:szCs w:val="20"/>
          <w:lang w:val="es-ES_tradnl"/>
        </w:rPr>
        <w:footnoteReference w:id="11"/>
      </w:r>
      <w:r w:rsidR="004D07B6">
        <w:rPr>
          <w:rFonts w:asciiTheme="majorHAnsi" w:hAnsiTheme="majorHAnsi"/>
          <w:sz w:val="20"/>
          <w:szCs w:val="20"/>
          <w:lang w:val="es-ES_tradnl"/>
        </w:rPr>
        <w:t>.</w:t>
      </w:r>
    </w:p>
    <w:p w14:paraId="58F4CE36" w14:textId="77777777" w:rsidR="004459FA" w:rsidRPr="00B536F9" w:rsidRDefault="004459FA"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_tradnl"/>
        </w:rPr>
      </w:pPr>
    </w:p>
    <w:p w14:paraId="4297CC40" w14:textId="77777777" w:rsidR="00D83D73" w:rsidRPr="009847B8" w:rsidRDefault="00D00D68"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ES_tradnl"/>
        </w:rPr>
      </w:pPr>
      <w:r>
        <w:rPr>
          <w:rFonts w:asciiTheme="majorHAnsi" w:hAnsiTheme="majorHAnsi"/>
          <w:sz w:val="20"/>
          <w:szCs w:val="20"/>
          <w:lang w:val="es-ES_tradnl"/>
        </w:rPr>
        <w:t>L</w:t>
      </w:r>
      <w:r w:rsidR="00650BE5">
        <w:rPr>
          <w:rFonts w:asciiTheme="majorHAnsi" w:hAnsiTheme="majorHAnsi"/>
          <w:sz w:val="20"/>
          <w:szCs w:val="20"/>
          <w:lang w:val="es-ES_tradnl"/>
        </w:rPr>
        <w:t xml:space="preserve">a parte peticionaria afirmó </w:t>
      </w:r>
      <w:r w:rsidR="009847B8" w:rsidRPr="009847B8">
        <w:rPr>
          <w:rFonts w:asciiTheme="majorHAnsi" w:hAnsiTheme="majorHAnsi"/>
          <w:sz w:val="20"/>
          <w:szCs w:val="20"/>
          <w:lang w:val="es-ES_tradnl"/>
        </w:rPr>
        <w:t>que producto de los sufrimientos</w:t>
      </w:r>
      <w:r w:rsidR="004E656B">
        <w:rPr>
          <w:rFonts w:asciiTheme="majorHAnsi" w:hAnsiTheme="majorHAnsi"/>
          <w:sz w:val="20"/>
          <w:szCs w:val="20"/>
          <w:lang w:val="es-ES_tradnl"/>
        </w:rPr>
        <w:t xml:space="preserve"> derivados</w:t>
      </w:r>
      <w:r w:rsidR="009847B8" w:rsidRPr="009847B8">
        <w:rPr>
          <w:rFonts w:asciiTheme="majorHAnsi" w:hAnsiTheme="majorHAnsi"/>
          <w:sz w:val="20"/>
          <w:szCs w:val="20"/>
          <w:lang w:val="es-ES_tradnl"/>
        </w:rPr>
        <w:t xml:space="preserve"> del secuestro y extorsiones que acarrearon graves pérdidas materiales, </w:t>
      </w:r>
      <w:r w:rsidR="00650BE5">
        <w:rPr>
          <w:rFonts w:asciiTheme="majorHAnsi" w:hAnsiTheme="majorHAnsi"/>
          <w:sz w:val="20"/>
          <w:szCs w:val="20"/>
          <w:lang w:val="es-ES_tradnl"/>
        </w:rPr>
        <w:t>el padre, la madre, hermanos, sobrinos y tíos de la presunta víctima se vi</w:t>
      </w:r>
      <w:r w:rsidR="00B540FA">
        <w:rPr>
          <w:rFonts w:asciiTheme="majorHAnsi" w:hAnsiTheme="majorHAnsi"/>
          <w:sz w:val="20"/>
          <w:szCs w:val="20"/>
          <w:lang w:val="es-ES_tradnl"/>
        </w:rPr>
        <w:t>er</w:t>
      </w:r>
      <w:r w:rsidR="00650BE5">
        <w:rPr>
          <w:rFonts w:asciiTheme="majorHAnsi" w:hAnsiTheme="majorHAnsi"/>
          <w:sz w:val="20"/>
          <w:szCs w:val="20"/>
          <w:lang w:val="es-ES_tradnl"/>
        </w:rPr>
        <w:t>o</w:t>
      </w:r>
      <w:r w:rsidR="00B540FA">
        <w:rPr>
          <w:rFonts w:asciiTheme="majorHAnsi" w:hAnsiTheme="majorHAnsi"/>
          <w:sz w:val="20"/>
          <w:szCs w:val="20"/>
          <w:lang w:val="es-ES_tradnl"/>
        </w:rPr>
        <w:t>n</w:t>
      </w:r>
      <w:r w:rsidR="00650BE5">
        <w:rPr>
          <w:rFonts w:asciiTheme="majorHAnsi" w:hAnsiTheme="majorHAnsi"/>
          <w:sz w:val="20"/>
          <w:szCs w:val="20"/>
          <w:lang w:val="es-ES_tradnl"/>
        </w:rPr>
        <w:t xml:space="preserve"> obligad</w:t>
      </w:r>
      <w:r w:rsidR="00B540FA">
        <w:rPr>
          <w:rFonts w:asciiTheme="majorHAnsi" w:hAnsiTheme="majorHAnsi"/>
          <w:sz w:val="20"/>
          <w:szCs w:val="20"/>
          <w:lang w:val="es-ES_tradnl"/>
        </w:rPr>
        <w:t>os</w:t>
      </w:r>
      <w:r w:rsidR="00650BE5">
        <w:rPr>
          <w:rFonts w:asciiTheme="majorHAnsi" w:hAnsiTheme="majorHAnsi"/>
          <w:sz w:val="20"/>
          <w:szCs w:val="20"/>
          <w:lang w:val="es-ES_tradnl"/>
        </w:rPr>
        <w:t xml:space="preserve"> a huir del país e instalarse en Costa Rica y Estados Unidos</w:t>
      </w:r>
      <w:r w:rsidR="00F35248">
        <w:rPr>
          <w:rStyle w:val="FootnoteReference"/>
          <w:rFonts w:asciiTheme="majorHAnsi" w:hAnsiTheme="majorHAnsi"/>
          <w:sz w:val="20"/>
          <w:szCs w:val="20"/>
          <w:lang w:val="es-ES_tradnl"/>
        </w:rPr>
        <w:footnoteReference w:id="12"/>
      </w:r>
      <w:r w:rsidR="00650BE5">
        <w:rPr>
          <w:rFonts w:asciiTheme="majorHAnsi" w:hAnsiTheme="majorHAnsi"/>
          <w:sz w:val="20"/>
          <w:szCs w:val="20"/>
          <w:lang w:val="es-ES_tradnl"/>
        </w:rPr>
        <w:t>.</w:t>
      </w:r>
      <w:r w:rsidR="009847B8" w:rsidRPr="009847B8">
        <w:rPr>
          <w:rFonts w:asciiTheme="majorHAnsi" w:hAnsiTheme="majorHAnsi"/>
          <w:sz w:val="20"/>
          <w:szCs w:val="20"/>
          <w:lang w:val="es-ES_tradnl"/>
        </w:rPr>
        <w:t xml:space="preserve"> </w:t>
      </w:r>
      <w:r w:rsidR="00EC60D2">
        <w:rPr>
          <w:rFonts w:asciiTheme="majorHAnsi" w:hAnsiTheme="majorHAnsi"/>
          <w:sz w:val="20"/>
          <w:szCs w:val="20"/>
          <w:lang w:val="es-ES_tradnl"/>
        </w:rPr>
        <w:t>L</w:t>
      </w:r>
      <w:r w:rsidR="00650BE5">
        <w:rPr>
          <w:rFonts w:asciiTheme="majorHAnsi" w:hAnsiTheme="majorHAnsi"/>
          <w:sz w:val="20"/>
          <w:szCs w:val="20"/>
          <w:lang w:val="es-ES_tradnl"/>
        </w:rPr>
        <w:t>a parte peticionaria indicó</w:t>
      </w:r>
      <w:r w:rsidR="009847B8" w:rsidRPr="009847B8">
        <w:rPr>
          <w:rFonts w:asciiTheme="majorHAnsi" w:hAnsiTheme="majorHAnsi"/>
          <w:sz w:val="20"/>
          <w:szCs w:val="20"/>
          <w:lang w:val="es-ES_tradnl"/>
        </w:rPr>
        <w:t xml:space="preserve"> que la madre</w:t>
      </w:r>
      <w:r w:rsidR="00650BE5">
        <w:rPr>
          <w:rFonts w:asciiTheme="majorHAnsi" w:hAnsiTheme="majorHAnsi"/>
          <w:sz w:val="20"/>
          <w:szCs w:val="20"/>
          <w:lang w:val="es-ES_tradnl"/>
        </w:rPr>
        <w:t xml:space="preserve"> del señor Betancourt</w:t>
      </w:r>
      <w:r w:rsidR="00B540FA">
        <w:rPr>
          <w:rFonts w:asciiTheme="majorHAnsi" w:hAnsiTheme="majorHAnsi"/>
          <w:sz w:val="20"/>
          <w:szCs w:val="20"/>
          <w:lang w:val="es-ES_tradnl"/>
        </w:rPr>
        <w:t>, la señora Esneda Estrada de Betancourt</w:t>
      </w:r>
      <w:r w:rsidR="00E90A90">
        <w:rPr>
          <w:rFonts w:asciiTheme="majorHAnsi" w:hAnsiTheme="majorHAnsi"/>
          <w:sz w:val="20"/>
          <w:szCs w:val="20"/>
          <w:lang w:val="es-ES_tradnl"/>
        </w:rPr>
        <w:t xml:space="preserve"> (en adelante “la señora Estrada”)</w:t>
      </w:r>
      <w:r w:rsidR="00B540FA">
        <w:rPr>
          <w:rFonts w:asciiTheme="majorHAnsi" w:hAnsiTheme="majorHAnsi"/>
          <w:sz w:val="20"/>
          <w:szCs w:val="20"/>
          <w:lang w:val="es-ES_tradnl"/>
        </w:rPr>
        <w:t>,</w:t>
      </w:r>
      <w:r w:rsidR="009847B8" w:rsidRPr="009847B8">
        <w:rPr>
          <w:rFonts w:asciiTheme="majorHAnsi" w:hAnsiTheme="majorHAnsi"/>
          <w:sz w:val="20"/>
          <w:szCs w:val="20"/>
          <w:lang w:val="es-ES_tradnl"/>
        </w:rPr>
        <w:t xml:space="preserve"> fue condenada penalmente </w:t>
      </w:r>
      <w:r w:rsidR="00B540FA">
        <w:rPr>
          <w:rFonts w:asciiTheme="majorHAnsi" w:hAnsiTheme="majorHAnsi"/>
          <w:sz w:val="20"/>
          <w:szCs w:val="20"/>
          <w:lang w:val="es-ES_tradnl"/>
        </w:rPr>
        <w:t xml:space="preserve">a cinco años de prisión </w:t>
      </w:r>
      <w:r w:rsidR="009847B8" w:rsidRPr="009847B8">
        <w:rPr>
          <w:rFonts w:asciiTheme="majorHAnsi" w:hAnsiTheme="majorHAnsi"/>
          <w:sz w:val="20"/>
          <w:szCs w:val="20"/>
          <w:lang w:val="es-ES_tradnl"/>
        </w:rPr>
        <w:t>por evasión de impuesto</w:t>
      </w:r>
      <w:r w:rsidR="00B540FA">
        <w:rPr>
          <w:rFonts w:asciiTheme="majorHAnsi" w:hAnsiTheme="majorHAnsi"/>
          <w:sz w:val="20"/>
          <w:szCs w:val="20"/>
          <w:lang w:val="es-ES_tradnl"/>
        </w:rPr>
        <w:t>s</w:t>
      </w:r>
      <w:r w:rsidR="009847B8" w:rsidRPr="009847B8">
        <w:rPr>
          <w:rFonts w:asciiTheme="majorHAnsi" w:hAnsiTheme="majorHAnsi"/>
          <w:sz w:val="20"/>
          <w:szCs w:val="20"/>
          <w:lang w:val="es-ES_tradnl"/>
        </w:rPr>
        <w:t>, dada la falta d</w:t>
      </w:r>
      <w:r w:rsidR="00650BE5">
        <w:rPr>
          <w:rFonts w:asciiTheme="majorHAnsi" w:hAnsiTheme="majorHAnsi"/>
          <w:sz w:val="20"/>
          <w:szCs w:val="20"/>
          <w:lang w:val="es-ES_tradnl"/>
        </w:rPr>
        <w:t>e pago</w:t>
      </w:r>
      <w:r w:rsidR="00870E80">
        <w:rPr>
          <w:rFonts w:asciiTheme="majorHAnsi" w:hAnsiTheme="majorHAnsi"/>
          <w:sz w:val="20"/>
          <w:szCs w:val="20"/>
          <w:lang w:val="es-ES_tradnl"/>
        </w:rPr>
        <w:t xml:space="preserve"> </w:t>
      </w:r>
      <w:r w:rsidR="00650BE5">
        <w:rPr>
          <w:rFonts w:asciiTheme="majorHAnsi" w:hAnsiTheme="majorHAnsi"/>
          <w:sz w:val="20"/>
          <w:szCs w:val="20"/>
          <w:lang w:val="es-ES_tradnl"/>
        </w:rPr>
        <w:t>por la quiebra familiar, lo que recrudeció la crisis</w:t>
      </w:r>
      <w:r w:rsidR="00F35248">
        <w:rPr>
          <w:rStyle w:val="FootnoteReference"/>
          <w:rFonts w:asciiTheme="majorHAnsi" w:hAnsiTheme="majorHAnsi"/>
          <w:sz w:val="20"/>
          <w:szCs w:val="20"/>
          <w:lang w:val="es-ES_tradnl"/>
        </w:rPr>
        <w:footnoteReference w:id="13"/>
      </w:r>
      <w:r w:rsidR="00650BE5">
        <w:rPr>
          <w:rFonts w:asciiTheme="majorHAnsi" w:hAnsiTheme="majorHAnsi"/>
          <w:sz w:val="20"/>
          <w:szCs w:val="20"/>
          <w:lang w:val="es-ES_tradnl"/>
        </w:rPr>
        <w:t xml:space="preserve">. </w:t>
      </w:r>
    </w:p>
    <w:p w14:paraId="54839CE6" w14:textId="77777777" w:rsidR="004459FA" w:rsidRPr="005430CE" w:rsidRDefault="004459FA"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color w:val="FF0000"/>
          <w:sz w:val="20"/>
          <w:szCs w:val="20"/>
          <w:lang w:val="es-ES_tradnl"/>
        </w:rPr>
      </w:pPr>
    </w:p>
    <w:p w14:paraId="582701BD" w14:textId="77777777" w:rsidR="0064632B" w:rsidRDefault="006F5690" w:rsidP="001E3EBE">
      <w:pPr>
        <w:pStyle w:val="Heading2"/>
        <w:ind w:firstLine="0"/>
        <w:rPr>
          <w:lang w:val="es-ES_tradnl"/>
        </w:rPr>
      </w:pPr>
      <w:bookmarkStart w:id="16" w:name="_Toc394820747"/>
      <w:bookmarkStart w:id="17" w:name="_Toc70437014"/>
      <w:r w:rsidRPr="00033A77">
        <w:rPr>
          <w:lang w:val="es-ES_tradnl"/>
        </w:rPr>
        <w:t>Hechos del caso</w:t>
      </w:r>
      <w:bookmarkEnd w:id="16"/>
      <w:bookmarkEnd w:id="17"/>
    </w:p>
    <w:p w14:paraId="6B7A95DC" w14:textId="77777777" w:rsidR="00033A77" w:rsidRPr="00033A77" w:rsidRDefault="00033A77" w:rsidP="001E3EBE">
      <w:pPr>
        <w:pStyle w:val="ListParagraph"/>
        <w:ind w:left="0"/>
        <w:jc w:val="both"/>
        <w:rPr>
          <w:rFonts w:asciiTheme="majorHAnsi" w:hAnsiTheme="majorHAnsi"/>
          <w:b/>
          <w:color w:val="auto"/>
          <w:sz w:val="20"/>
          <w:szCs w:val="20"/>
          <w:lang w:val="es-ES_tradnl"/>
        </w:rPr>
      </w:pPr>
    </w:p>
    <w:p w14:paraId="58D40FD5" w14:textId="77777777" w:rsidR="0064632B" w:rsidRPr="00CA62F0" w:rsidRDefault="0064632B" w:rsidP="001E3EBE">
      <w:pPr>
        <w:pStyle w:val="Heading3"/>
        <w:ind w:left="0" w:firstLine="0"/>
        <w:rPr>
          <w:lang w:val="es-ES_tradnl"/>
        </w:rPr>
      </w:pPr>
      <w:bookmarkStart w:id="18" w:name="_Toc394820748"/>
      <w:bookmarkStart w:id="19" w:name="_Toc70437015"/>
      <w:r w:rsidRPr="0064632B">
        <w:rPr>
          <w:lang w:val="es-ES_tradnl"/>
        </w:rPr>
        <w:lastRenderedPageBreak/>
        <w:t>El secuestro</w:t>
      </w:r>
      <w:r w:rsidR="0002310F">
        <w:rPr>
          <w:lang w:val="es-ES_tradnl"/>
        </w:rPr>
        <w:t xml:space="preserve"> (14 de noviembre de 1999)</w:t>
      </w:r>
      <w:r w:rsidRPr="0064632B">
        <w:rPr>
          <w:lang w:val="es-ES_tradnl"/>
        </w:rPr>
        <w:t xml:space="preserve"> y la liberación </w:t>
      </w:r>
      <w:r w:rsidR="0002310F">
        <w:rPr>
          <w:lang w:val="es-ES_tradnl"/>
        </w:rPr>
        <w:t xml:space="preserve">(17 de febrero de 2000) </w:t>
      </w:r>
      <w:r w:rsidRPr="0064632B">
        <w:rPr>
          <w:lang w:val="es-ES_tradnl"/>
        </w:rPr>
        <w:t xml:space="preserve">de </w:t>
      </w:r>
      <w:r w:rsidRPr="0064632B">
        <w:rPr>
          <w:lang w:val="es-VE"/>
        </w:rPr>
        <w:t>Carlos Arturo Betancourt Estrada</w:t>
      </w:r>
      <w:bookmarkEnd w:id="18"/>
      <w:bookmarkEnd w:id="19"/>
    </w:p>
    <w:p w14:paraId="5A704268" w14:textId="77777777" w:rsidR="00CA62F0" w:rsidRPr="0064632B" w:rsidRDefault="00CA62F0" w:rsidP="001E3EBE">
      <w:pPr>
        <w:pStyle w:val="ListParagraph"/>
        <w:ind w:left="0"/>
        <w:rPr>
          <w:rFonts w:asciiTheme="majorHAnsi" w:hAnsiTheme="majorHAnsi"/>
          <w:b/>
          <w:color w:val="auto"/>
          <w:sz w:val="20"/>
          <w:szCs w:val="20"/>
          <w:lang w:val="es-ES_tradnl"/>
        </w:rPr>
      </w:pPr>
    </w:p>
    <w:p w14:paraId="1FB07C6E" w14:textId="77777777" w:rsidR="0037748E" w:rsidRPr="00EB657D" w:rsidRDefault="00FA5D4E"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sz w:val="20"/>
          <w:szCs w:val="20"/>
          <w:lang w:val="es-ES_tradnl"/>
        </w:rPr>
      </w:pPr>
      <w:r>
        <w:rPr>
          <w:rFonts w:asciiTheme="majorHAnsi" w:hAnsiTheme="majorHAnsi"/>
          <w:sz w:val="20"/>
          <w:szCs w:val="20"/>
          <w:lang w:val="es-ES_tradnl"/>
        </w:rPr>
        <w:t>N</w:t>
      </w:r>
      <w:r w:rsidR="00CA62F0">
        <w:rPr>
          <w:rFonts w:asciiTheme="majorHAnsi" w:hAnsiTheme="majorHAnsi"/>
          <w:sz w:val="20"/>
          <w:szCs w:val="20"/>
          <w:lang w:val="es-ES_tradnl"/>
        </w:rPr>
        <w:t xml:space="preserve">o existe controversia </w:t>
      </w:r>
      <w:r w:rsidR="00CF7E1A">
        <w:rPr>
          <w:rFonts w:asciiTheme="majorHAnsi" w:hAnsiTheme="majorHAnsi"/>
          <w:sz w:val="20"/>
          <w:szCs w:val="20"/>
          <w:lang w:val="es-ES_tradnl"/>
        </w:rPr>
        <w:t xml:space="preserve">en cuanto a </w:t>
      </w:r>
      <w:r w:rsidR="00CA62F0">
        <w:rPr>
          <w:rFonts w:asciiTheme="majorHAnsi" w:hAnsiTheme="majorHAnsi"/>
          <w:sz w:val="20"/>
          <w:szCs w:val="20"/>
          <w:lang w:val="es-ES_tradnl"/>
        </w:rPr>
        <w:t xml:space="preserve">que la presunta víctima fue secuestrada y se le mantuvo </w:t>
      </w:r>
      <w:r w:rsidR="00AE2CCB">
        <w:rPr>
          <w:rFonts w:asciiTheme="majorHAnsi" w:hAnsiTheme="majorHAnsi"/>
          <w:sz w:val="20"/>
          <w:szCs w:val="20"/>
          <w:lang w:val="es-ES_tradnl"/>
        </w:rPr>
        <w:t xml:space="preserve">en cautiverio </w:t>
      </w:r>
      <w:r w:rsidR="00CA62F0">
        <w:rPr>
          <w:rFonts w:asciiTheme="majorHAnsi" w:hAnsiTheme="majorHAnsi"/>
          <w:sz w:val="20"/>
          <w:szCs w:val="20"/>
          <w:lang w:val="es-ES_tradnl"/>
        </w:rPr>
        <w:t>entre el 14 de noviembre de 1999 y el 17 de febrero del 2000</w:t>
      </w:r>
      <w:r w:rsidR="00F53FCB">
        <w:rPr>
          <w:rFonts w:asciiTheme="majorHAnsi" w:hAnsiTheme="majorHAnsi"/>
          <w:sz w:val="20"/>
          <w:szCs w:val="20"/>
          <w:lang w:val="es-ES_tradnl"/>
        </w:rPr>
        <w:t xml:space="preserve"> por acción de</w:t>
      </w:r>
      <w:r w:rsidR="00FF1436">
        <w:rPr>
          <w:rFonts w:asciiTheme="majorHAnsi" w:hAnsiTheme="majorHAnsi"/>
          <w:sz w:val="20"/>
          <w:szCs w:val="20"/>
          <w:lang w:val="es-ES_tradnl"/>
        </w:rPr>
        <w:t xml:space="preserve"> un grupo</w:t>
      </w:r>
      <w:r w:rsidR="00F53FCB">
        <w:rPr>
          <w:rFonts w:asciiTheme="majorHAnsi" w:hAnsiTheme="majorHAnsi"/>
          <w:sz w:val="20"/>
          <w:szCs w:val="20"/>
          <w:lang w:val="es-ES_tradnl"/>
        </w:rPr>
        <w:t xml:space="preserve"> armado al margen de la ley, identificado como </w:t>
      </w:r>
      <w:r w:rsidR="00AF29E2">
        <w:rPr>
          <w:rFonts w:asciiTheme="majorHAnsi" w:hAnsiTheme="majorHAnsi"/>
          <w:sz w:val="20"/>
          <w:szCs w:val="20"/>
          <w:lang w:val="es-ES_tradnl"/>
        </w:rPr>
        <w:t>una disidencia del Ejército de Liberación Nacional (en adelante “el ELN”)</w:t>
      </w:r>
      <w:r w:rsidR="00CA62F0">
        <w:rPr>
          <w:rFonts w:asciiTheme="majorHAnsi" w:hAnsiTheme="majorHAnsi"/>
          <w:sz w:val="20"/>
          <w:szCs w:val="20"/>
          <w:lang w:val="es-ES_tradnl"/>
        </w:rPr>
        <w:t xml:space="preserve">. </w:t>
      </w:r>
      <w:r w:rsidR="005D0182">
        <w:rPr>
          <w:rFonts w:asciiTheme="majorHAnsi" w:hAnsiTheme="majorHAnsi"/>
          <w:sz w:val="20"/>
          <w:szCs w:val="20"/>
          <w:lang w:val="es-ES_tradnl"/>
        </w:rPr>
        <w:t>El secuestro</w:t>
      </w:r>
      <w:r w:rsidR="0070773B">
        <w:rPr>
          <w:rFonts w:asciiTheme="majorHAnsi" w:hAnsiTheme="majorHAnsi"/>
          <w:sz w:val="20"/>
          <w:szCs w:val="20"/>
          <w:lang w:val="es-ES_tradnl"/>
        </w:rPr>
        <w:t xml:space="preserve"> del señor Betancourt se produjo en el medio de una celebración familiar, en la finca de su propiedad denominada “Normandía”</w:t>
      </w:r>
      <w:r w:rsidR="0037748E">
        <w:rPr>
          <w:rFonts w:asciiTheme="majorHAnsi" w:hAnsiTheme="majorHAnsi"/>
          <w:sz w:val="20"/>
          <w:szCs w:val="20"/>
          <w:lang w:val="es-ES_tradnl"/>
        </w:rPr>
        <w:t>. La irrup</w:t>
      </w:r>
      <w:r w:rsidR="00870E80">
        <w:rPr>
          <w:rFonts w:asciiTheme="majorHAnsi" w:hAnsiTheme="majorHAnsi"/>
          <w:sz w:val="20"/>
          <w:szCs w:val="20"/>
          <w:lang w:val="es-ES_tradnl"/>
        </w:rPr>
        <w:t xml:space="preserve">ción de los secuestradores y </w:t>
      </w:r>
      <w:r w:rsidR="005D0182">
        <w:rPr>
          <w:rFonts w:asciiTheme="majorHAnsi" w:hAnsiTheme="majorHAnsi"/>
          <w:sz w:val="20"/>
          <w:szCs w:val="20"/>
          <w:lang w:val="es-ES_tradnl"/>
        </w:rPr>
        <w:t xml:space="preserve">la abducción </w:t>
      </w:r>
      <w:r w:rsidR="0037748E">
        <w:rPr>
          <w:rFonts w:asciiTheme="majorHAnsi" w:hAnsiTheme="majorHAnsi"/>
          <w:sz w:val="20"/>
          <w:szCs w:val="20"/>
          <w:lang w:val="es-ES_tradnl"/>
        </w:rPr>
        <w:t>de la presunta víctima</w:t>
      </w:r>
      <w:r w:rsidR="00B0250B">
        <w:rPr>
          <w:rFonts w:asciiTheme="majorHAnsi" w:hAnsiTheme="majorHAnsi"/>
          <w:sz w:val="20"/>
          <w:szCs w:val="20"/>
          <w:lang w:val="es-ES_tradnl"/>
        </w:rPr>
        <w:t>, de acuerdo con la denuncia policial,</w:t>
      </w:r>
      <w:r w:rsidR="0037748E">
        <w:rPr>
          <w:rFonts w:asciiTheme="majorHAnsi" w:hAnsiTheme="majorHAnsi"/>
          <w:sz w:val="20"/>
          <w:szCs w:val="20"/>
          <w:lang w:val="es-ES_tradnl"/>
        </w:rPr>
        <w:t xml:space="preserve"> </w:t>
      </w:r>
      <w:r w:rsidR="0070773B">
        <w:rPr>
          <w:rFonts w:asciiTheme="majorHAnsi" w:hAnsiTheme="majorHAnsi"/>
          <w:sz w:val="20"/>
          <w:szCs w:val="20"/>
          <w:lang w:val="es-ES_tradnl"/>
        </w:rPr>
        <w:t xml:space="preserve">fue atestiguada por </w:t>
      </w:r>
      <w:r w:rsidR="0037748E">
        <w:rPr>
          <w:rFonts w:asciiTheme="majorHAnsi" w:hAnsiTheme="majorHAnsi"/>
          <w:sz w:val="20"/>
          <w:szCs w:val="20"/>
          <w:lang w:val="es-ES_tradnl"/>
        </w:rPr>
        <w:t>miembros de su familia, personal de servicio de la casa y amigos presente</w:t>
      </w:r>
      <w:r w:rsidR="005D0182">
        <w:rPr>
          <w:rFonts w:asciiTheme="majorHAnsi" w:hAnsiTheme="majorHAnsi"/>
          <w:sz w:val="20"/>
          <w:szCs w:val="20"/>
          <w:lang w:val="es-ES_tradnl"/>
        </w:rPr>
        <w:t>s</w:t>
      </w:r>
      <w:r w:rsidR="00B0250B">
        <w:rPr>
          <w:rFonts w:asciiTheme="majorHAnsi" w:hAnsiTheme="majorHAnsi"/>
          <w:sz w:val="20"/>
          <w:szCs w:val="20"/>
          <w:lang w:val="es-ES_tradnl"/>
        </w:rPr>
        <w:t>, a quienes les dijeron que no llamaran a la Policía ni se movieran de la finca, desinflando las llantas de los vehículo</w:t>
      </w:r>
      <w:r w:rsidR="00165F9C">
        <w:rPr>
          <w:rFonts w:asciiTheme="majorHAnsi" w:hAnsiTheme="majorHAnsi"/>
          <w:sz w:val="20"/>
          <w:szCs w:val="20"/>
          <w:lang w:val="es-ES_tradnl"/>
        </w:rPr>
        <w:t>s</w:t>
      </w:r>
      <w:r w:rsidR="00B0250B">
        <w:rPr>
          <w:rFonts w:asciiTheme="majorHAnsi" w:hAnsiTheme="majorHAnsi"/>
          <w:sz w:val="20"/>
          <w:szCs w:val="20"/>
          <w:lang w:val="es-ES_tradnl"/>
        </w:rPr>
        <w:t xml:space="preserve"> y robando el auto de Rubén Darío Echeverry Zapata (</w:t>
      </w:r>
      <w:r w:rsidR="00870E80">
        <w:rPr>
          <w:rFonts w:asciiTheme="majorHAnsi" w:hAnsiTheme="majorHAnsi"/>
          <w:sz w:val="20"/>
          <w:szCs w:val="20"/>
          <w:lang w:val="es-ES_tradnl"/>
        </w:rPr>
        <w:t xml:space="preserve">hermano </w:t>
      </w:r>
      <w:r w:rsidR="00FF1436">
        <w:rPr>
          <w:rFonts w:asciiTheme="majorHAnsi" w:hAnsiTheme="majorHAnsi"/>
          <w:sz w:val="20"/>
          <w:szCs w:val="20"/>
          <w:lang w:val="es-ES_tradnl"/>
        </w:rPr>
        <w:t xml:space="preserve">de la </w:t>
      </w:r>
      <w:r w:rsidR="00870E80">
        <w:rPr>
          <w:rFonts w:asciiTheme="majorHAnsi" w:hAnsiTheme="majorHAnsi"/>
          <w:sz w:val="20"/>
          <w:szCs w:val="20"/>
          <w:lang w:val="es-ES_tradnl"/>
        </w:rPr>
        <w:t xml:space="preserve">expareja de la </w:t>
      </w:r>
      <w:r w:rsidR="00FF1436">
        <w:rPr>
          <w:rFonts w:asciiTheme="majorHAnsi" w:hAnsiTheme="majorHAnsi"/>
          <w:sz w:val="20"/>
          <w:szCs w:val="20"/>
          <w:lang w:val="es-ES_tradnl"/>
        </w:rPr>
        <w:t xml:space="preserve">presunta víctima y </w:t>
      </w:r>
      <w:r w:rsidR="00B0250B">
        <w:rPr>
          <w:rFonts w:asciiTheme="majorHAnsi" w:hAnsiTheme="majorHAnsi"/>
          <w:sz w:val="20"/>
          <w:szCs w:val="20"/>
          <w:lang w:val="es-ES_tradnl"/>
        </w:rPr>
        <w:t>en adelante “el señor Echeverry”)</w:t>
      </w:r>
      <w:r w:rsidR="00B33DCF">
        <w:rPr>
          <w:rStyle w:val="FootnoteReference"/>
          <w:rFonts w:asciiTheme="majorHAnsi" w:hAnsiTheme="majorHAnsi"/>
          <w:sz w:val="20"/>
          <w:szCs w:val="20"/>
          <w:lang w:val="es-ES_tradnl"/>
        </w:rPr>
        <w:footnoteReference w:id="14"/>
      </w:r>
      <w:r w:rsidR="00165F9C">
        <w:rPr>
          <w:rFonts w:asciiTheme="majorHAnsi" w:hAnsiTheme="majorHAnsi"/>
          <w:sz w:val="20"/>
          <w:szCs w:val="20"/>
          <w:lang w:val="es-ES_tradnl"/>
        </w:rPr>
        <w:t>.</w:t>
      </w:r>
    </w:p>
    <w:p w14:paraId="50A249F9" w14:textId="77777777" w:rsidR="00EB657D" w:rsidRPr="00EB657D" w:rsidRDefault="00EB657D"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lang w:val="es-ES_tradnl"/>
        </w:rPr>
      </w:pPr>
    </w:p>
    <w:p w14:paraId="7CFCB044" w14:textId="77777777" w:rsidR="00CA62F0" w:rsidRPr="00DF6BAC" w:rsidRDefault="00CA62F0"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sz w:val="20"/>
          <w:szCs w:val="20"/>
          <w:lang w:val="es-ES_tradnl"/>
        </w:rPr>
      </w:pPr>
      <w:r>
        <w:rPr>
          <w:rFonts w:asciiTheme="majorHAnsi" w:hAnsiTheme="majorHAnsi"/>
          <w:sz w:val="20"/>
          <w:szCs w:val="20"/>
          <w:lang w:val="es-ES_tradnl"/>
        </w:rPr>
        <w:t xml:space="preserve">Ahora bien, la Comisión </w:t>
      </w:r>
      <w:r w:rsidR="0037748E">
        <w:rPr>
          <w:rFonts w:asciiTheme="majorHAnsi" w:hAnsiTheme="majorHAnsi"/>
          <w:sz w:val="20"/>
          <w:szCs w:val="20"/>
          <w:lang w:val="es-ES_tradnl"/>
        </w:rPr>
        <w:t>encuentra</w:t>
      </w:r>
      <w:r w:rsidR="009A6F32">
        <w:rPr>
          <w:rFonts w:asciiTheme="majorHAnsi" w:hAnsiTheme="majorHAnsi"/>
          <w:sz w:val="20"/>
          <w:szCs w:val="20"/>
          <w:lang w:val="es-ES_tradnl"/>
        </w:rPr>
        <w:t xml:space="preserve"> que</w:t>
      </w:r>
      <w:r w:rsidR="0037748E">
        <w:rPr>
          <w:rFonts w:asciiTheme="majorHAnsi" w:hAnsiTheme="majorHAnsi"/>
          <w:sz w:val="20"/>
          <w:szCs w:val="20"/>
          <w:lang w:val="es-ES_tradnl"/>
        </w:rPr>
        <w:t xml:space="preserve"> </w:t>
      </w:r>
      <w:r w:rsidR="00DA74CA">
        <w:rPr>
          <w:rFonts w:asciiTheme="majorHAnsi" w:hAnsiTheme="majorHAnsi"/>
          <w:sz w:val="20"/>
          <w:szCs w:val="20"/>
          <w:lang w:val="es-ES_tradnl"/>
        </w:rPr>
        <w:t xml:space="preserve">una de las controversias principales radica en </w:t>
      </w:r>
      <w:r w:rsidR="00DF6BAC">
        <w:rPr>
          <w:rFonts w:asciiTheme="majorHAnsi" w:hAnsiTheme="majorHAnsi"/>
          <w:sz w:val="20"/>
          <w:szCs w:val="20"/>
          <w:lang w:val="es-ES_tradnl"/>
        </w:rPr>
        <w:t>si las presuntas víctimas dieron algún tipo de aviso a las autorid</w:t>
      </w:r>
      <w:r w:rsidR="00870E80">
        <w:rPr>
          <w:rFonts w:asciiTheme="majorHAnsi" w:hAnsiTheme="majorHAnsi"/>
          <w:sz w:val="20"/>
          <w:szCs w:val="20"/>
          <w:lang w:val="es-ES_tradnl"/>
        </w:rPr>
        <w:t>ades</w:t>
      </w:r>
      <w:r w:rsidR="007D1636">
        <w:rPr>
          <w:rFonts w:asciiTheme="majorHAnsi" w:hAnsiTheme="majorHAnsi"/>
          <w:sz w:val="20"/>
          <w:szCs w:val="20"/>
          <w:lang w:val="es-ES_tradnl"/>
        </w:rPr>
        <w:t xml:space="preserve">, de manera que pudieran </w:t>
      </w:r>
      <w:r w:rsidR="00870E80">
        <w:rPr>
          <w:rFonts w:asciiTheme="majorHAnsi" w:hAnsiTheme="majorHAnsi"/>
          <w:sz w:val="20"/>
          <w:szCs w:val="20"/>
          <w:lang w:val="es-ES_tradnl"/>
        </w:rPr>
        <w:t>haber prevenido el secuestro</w:t>
      </w:r>
      <w:r>
        <w:rPr>
          <w:rFonts w:asciiTheme="majorHAnsi" w:hAnsiTheme="majorHAnsi"/>
          <w:sz w:val="20"/>
          <w:szCs w:val="20"/>
          <w:lang w:val="es-ES_tradnl"/>
        </w:rPr>
        <w:t xml:space="preserve">. </w:t>
      </w:r>
      <w:r w:rsidRPr="00DF6BAC">
        <w:rPr>
          <w:rFonts w:asciiTheme="majorHAnsi" w:hAnsiTheme="majorHAnsi"/>
          <w:sz w:val="20"/>
          <w:szCs w:val="20"/>
          <w:lang w:val="es-ES_tradnl"/>
        </w:rPr>
        <w:t>D</w:t>
      </w:r>
      <w:r w:rsidR="002332DE" w:rsidRPr="00DF6BAC">
        <w:rPr>
          <w:rFonts w:asciiTheme="majorHAnsi" w:hAnsiTheme="majorHAnsi"/>
          <w:sz w:val="20"/>
          <w:szCs w:val="20"/>
          <w:lang w:val="es-ES_tradnl"/>
        </w:rPr>
        <w:t>e acuerdo con la parte peticionaria</w:t>
      </w:r>
      <w:r w:rsidR="009E5E62">
        <w:rPr>
          <w:rFonts w:asciiTheme="majorHAnsi" w:hAnsiTheme="majorHAnsi"/>
          <w:sz w:val="20"/>
          <w:szCs w:val="20"/>
          <w:lang w:val="es-ES_tradnl"/>
        </w:rPr>
        <w:t>,</w:t>
      </w:r>
      <w:r w:rsidR="002332DE" w:rsidRPr="00DF6BAC">
        <w:rPr>
          <w:rFonts w:asciiTheme="majorHAnsi" w:hAnsiTheme="majorHAnsi"/>
          <w:sz w:val="20"/>
          <w:szCs w:val="20"/>
          <w:lang w:val="es-ES_tradnl"/>
        </w:rPr>
        <w:t xml:space="preserve"> </w:t>
      </w:r>
      <w:r w:rsidR="00F53FCB" w:rsidRPr="00DF6BAC">
        <w:rPr>
          <w:rFonts w:asciiTheme="majorHAnsi" w:hAnsiTheme="majorHAnsi"/>
          <w:sz w:val="20"/>
          <w:szCs w:val="20"/>
          <w:lang w:val="es-ES_tradnl"/>
        </w:rPr>
        <w:t>el día anterior</w:t>
      </w:r>
      <w:r w:rsidR="00140956" w:rsidRPr="00DF6BAC">
        <w:rPr>
          <w:rFonts w:asciiTheme="majorHAnsi" w:hAnsiTheme="majorHAnsi"/>
          <w:sz w:val="20"/>
          <w:szCs w:val="20"/>
          <w:lang w:val="es-ES_tradnl"/>
        </w:rPr>
        <w:t xml:space="preserve"> </w:t>
      </w:r>
      <w:r w:rsidR="00F53FCB" w:rsidRPr="00DF6BAC">
        <w:rPr>
          <w:rFonts w:asciiTheme="majorHAnsi" w:hAnsiTheme="majorHAnsi"/>
          <w:sz w:val="20"/>
          <w:szCs w:val="20"/>
          <w:lang w:val="es-ES_tradnl"/>
        </w:rPr>
        <w:t>a</w:t>
      </w:r>
      <w:r w:rsidR="00CF109F">
        <w:rPr>
          <w:rFonts w:asciiTheme="majorHAnsi" w:hAnsiTheme="majorHAnsi"/>
          <w:sz w:val="20"/>
          <w:szCs w:val="20"/>
          <w:lang w:val="es-ES_tradnl"/>
        </w:rPr>
        <w:t>l secuestro</w:t>
      </w:r>
      <w:r w:rsidR="00CC6248">
        <w:rPr>
          <w:rFonts w:asciiTheme="majorHAnsi" w:hAnsiTheme="majorHAnsi"/>
          <w:sz w:val="20"/>
          <w:szCs w:val="20"/>
          <w:lang w:val="es-ES_tradnl"/>
        </w:rPr>
        <w:t xml:space="preserve"> </w:t>
      </w:r>
      <w:r w:rsidR="00870E80">
        <w:rPr>
          <w:rFonts w:asciiTheme="majorHAnsi" w:hAnsiTheme="majorHAnsi"/>
          <w:sz w:val="20"/>
          <w:szCs w:val="20"/>
          <w:lang w:val="es-ES_tradnl"/>
        </w:rPr>
        <w:t xml:space="preserve">se </w:t>
      </w:r>
      <w:r w:rsidR="00140956" w:rsidRPr="00DF6BAC">
        <w:rPr>
          <w:rFonts w:asciiTheme="majorHAnsi" w:hAnsiTheme="majorHAnsi"/>
          <w:sz w:val="20"/>
          <w:szCs w:val="20"/>
          <w:lang w:val="es-ES_tradnl"/>
        </w:rPr>
        <w:t xml:space="preserve">recibió una llamada amenazante </w:t>
      </w:r>
      <w:r w:rsidR="00AF29E2" w:rsidRPr="00DF6BAC">
        <w:rPr>
          <w:rFonts w:asciiTheme="majorHAnsi" w:hAnsiTheme="majorHAnsi"/>
          <w:sz w:val="20"/>
          <w:szCs w:val="20"/>
          <w:lang w:val="es-ES_tradnl"/>
        </w:rPr>
        <w:t xml:space="preserve">en </w:t>
      </w:r>
      <w:r w:rsidR="00870E80">
        <w:rPr>
          <w:rFonts w:asciiTheme="majorHAnsi" w:hAnsiTheme="majorHAnsi"/>
          <w:sz w:val="20"/>
          <w:szCs w:val="20"/>
          <w:lang w:val="es-ES_tradnl"/>
        </w:rPr>
        <w:t xml:space="preserve">el </w:t>
      </w:r>
      <w:r w:rsidR="00AF29E2" w:rsidRPr="00DF6BAC">
        <w:rPr>
          <w:rFonts w:asciiTheme="majorHAnsi" w:hAnsiTheme="majorHAnsi"/>
          <w:sz w:val="20"/>
          <w:szCs w:val="20"/>
          <w:lang w:val="es-ES_tradnl"/>
        </w:rPr>
        <w:t>domicilio</w:t>
      </w:r>
      <w:r w:rsidR="00870E80">
        <w:rPr>
          <w:rFonts w:asciiTheme="majorHAnsi" w:hAnsiTheme="majorHAnsi"/>
          <w:sz w:val="20"/>
          <w:szCs w:val="20"/>
          <w:lang w:val="es-ES_tradnl"/>
        </w:rPr>
        <w:t xml:space="preserve"> de la presunta víctima</w:t>
      </w:r>
      <w:r w:rsidR="00AF29E2" w:rsidRPr="00DF6BAC">
        <w:rPr>
          <w:rFonts w:asciiTheme="majorHAnsi" w:hAnsiTheme="majorHAnsi"/>
          <w:sz w:val="20"/>
          <w:szCs w:val="20"/>
          <w:lang w:val="es-ES_tradnl"/>
        </w:rPr>
        <w:t xml:space="preserve">, en </w:t>
      </w:r>
      <w:r w:rsidR="00DF6BAC">
        <w:rPr>
          <w:rFonts w:asciiTheme="majorHAnsi" w:hAnsiTheme="majorHAnsi"/>
          <w:sz w:val="20"/>
          <w:szCs w:val="20"/>
          <w:lang w:val="es-ES_tradnl"/>
        </w:rPr>
        <w:t>su</w:t>
      </w:r>
      <w:r w:rsidR="00AF29E2" w:rsidRPr="00DF6BAC">
        <w:rPr>
          <w:rFonts w:asciiTheme="majorHAnsi" w:hAnsiTheme="majorHAnsi"/>
          <w:sz w:val="20"/>
          <w:szCs w:val="20"/>
          <w:lang w:val="es-ES_tradnl"/>
        </w:rPr>
        <w:t xml:space="preserve"> teléfono </w:t>
      </w:r>
      <w:r w:rsidR="00DF6BAC">
        <w:rPr>
          <w:rFonts w:asciiTheme="majorHAnsi" w:hAnsiTheme="majorHAnsi"/>
          <w:sz w:val="20"/>
          <w:szCs w:val="20"/>
          <w:lang w:val="es-ES_tradnl"/>
        </w:rPr>
        <w:t xml:space="preserve">de número </w:t>
      </w:r>
      <w:r w:rsidR="00AF29E2" w:rsidRPr="00DF6BAC">
        <w:rPr>
          <w:rFonts w:asciiTheme="majorHAnsi" w:hAnsiTheme="majorHAnsi"/>
          <w:sz w:val="20"/>
          <w:szCs w:val="20"/>
          <w:lang w:val="es-ES_tradnl"/>
        </w:rPr>
        <w:t xml:space="preserve">2303941, </w:t>
      </w:r>
      <w:r w:rsidR="00140956" w:rsidRPr="00DF6BAC">
        <w:rPr>
          <w:rFonts w:asciiTheme="majorHAnsi" w:hAnsiTheme="majorHAnsi"/>
          <w:sz w:val="20"/>
          <w:szCs w:val="20"/>
          <w:lang w:val="es-ES_tradnl"/>
        </w:rPr>
        <w:t>que fue comunicada</w:t>
      </w:r>
      <w:r w:rsidR="0042634E">
        <w:rPr>
          <w:rFonts w:asciiTheme="majorHAnsi" w:hAnsiTheme="majorHAnsi"/>
          <w:sz w:val="20"/>
          <w:szCs w:val="20"/>
          <w:lang w:val="es-ES_tradnl"/>
        </w:rPr>
        <w:t xml:space="preserve"> </w:t>
      </w:r>
      <w:r w:rsidR="009A6F32">
        <w:rPr>
          <w:rFonts w:asciiTheme="majorHAnsi" w:hAnsiTheme="majorHAnsi"/>
          <w:sz w:val="20"/>
          <w:szCs w:val="20"/>
          <w:lang w:val="es-ES_tradnl"/>
        </w:rPr>
        <w:t xml:space="preserve">también </w:t>
      </w:r>
      <w:r w:rsidR="00140956" w:rsidRPr="00DF6BAC">
        <w:rPr>
          <w:rFonts w:asciiTheme="majorHAnsi" w:hAnsiTheme="majorHAnsi"/>
          <w:sz w:val="20"/>
          <w:szCs w:val="20"/>
          <w:lang w:val="es-ES_tradnl"/>
        </w:rPr>
        <w:t>telefónicamente a “la policía local”</w:t>
      </w:r>
      <w:r w:rsidR="00F53FCB">
        <w:rPr>
          <w:rStyle w:val="FootnoteReference"/>
          <w:rFonts w:asciiTheme="majorHAnsi" w:hAnsiTheme="majorHAnsi"/>
          <w:sz w:val="20"/>
          <w:szCs w:val="20"/>
          <w:lang w:val="es-ES_tradnl"/>
        </w:rPr>
        <w:footnoteReference w:id="15"/>
      </w:r>
      <w:r w:rsidR="00AF29E2" w:rsidRPr="00DF6BAC">
        <w:rPr>
          <w:rFonts w:asciiTheme="majorHAnsi" w:hAnsiTheme="majorHAnsi"/>
          <w:sz w:val="20"/>
          <w:szCs w:val="20"/>
          <w:lang w:val="es-ES_tradnl"/>
        </w:rPr>
        <w:t xml:space="preserve"> entre las 7:00 p.m. – 8:30 p.m. de ese mismo día. </w:t>
      </w:r>
      <w:r w:rsidR="002978B1" w:rsidRPr="00DF6BAC">
        <w:rPr>
          <w:rFonts w:asciiTheme="majorHAnsi" w:hAnsiTheme="majorHAnsi"/>
          <w:sz w:val="20"/>
          <w:szCs w:val="20"/>
          <w:lang w:val="es-ES_tradnl"/>
        </w:rPr>
        <w:t>La parte peticionaria indicó que “en relación con la posibilidad de obtener, oficialmente, el registro de esta llamada y las grabaciones de las conversaciones de la misma, si es que existen, los peticionarios se encuentran en posición de inferioridad, pues dependerá del Estado la posibilidad de acceder o no a esta información”</w:t>
      </w:r>
      <w:r w:rsidR="002978B1">
        <w:rPr>
          <w:rStyle w:val="FootnoteReference"/>
          <w:rFonts w:asciiTheme="majorHAnsi" w:hAnsiTheme="majorHAnsi"/>
          <w:sz w:val="20"/>
          <w:szCs w:val="20"/>
          <w:lang w:val="es-ES_tradnl"/>
        </w:rPr>
        <w:footnoteReference w:id="16"/>
      </w:r>
      <w:r w:rsidR="00870E80">
        <w:rPr>
          <w:rFonts w:asciiTheme="majorHAnsi" w:hAnsiTheme="majorHAnsi"/>
          <w:sz w:val="20"/>
          <w:szCs w:val="20"/>
          <w:lang w:val="es-ES_tradnl"/>
        </w:rPr>
        <w:t>.</w:t>
      </w:r>
    </w:p>
    <w:p w14:paraId="0503269B" w14:textId="77777777" w:rsidR="002978B1" w:rsidRDefault="002978B1" w:rsidP="001E3EBE">
      <w:pPr>
        <w:pStyle w:val="ListParagraph"/>
        <w:ind w:left="0"/>
        <w:rPr>
          <w:rFonts w:asciiTheme="majorHAnsi" w:hAnsiTheme="majorHAnsi"/>
          <w:b/>
          <w:sz w:val="20"/>
          <w:szCs w:val="20"/>
          <w:lang w:val="es-ES_tradnl"/>
        </w:rPr>
      </w:pPr>
    </w:p>
    <w:p w14:paraId="64ECAC33" w14:textId="77777777" w:rsidR="002978B1" w:rsidRPr="00A448E2" w:rsidRDefault="002978B1"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sz w:val="20"/>
          <w:szCs w:val="20"/>
          <w:lang w:val="es-ES_tradnl"/>
        </w:rPr>
      </w:pPr>
      <w:r>
        <w:rPr>
          <w:rFonts w:asciiTheme="majorHAnsi" w:hAnsiTheme="majorHAnsi"/>
          <w:sz w:val="20"/>
          <w:szCs w:val="20"/>
          <w:lang w:val="es-ES_tradnl"/>
        </w:rPr>
        <w:t>Por su parte, el Estado indic</w:t>
      </w:r>
      <w:r w:rsidR="004F66FA">
        <w:rPr>
          <w:rFonts w:asciiTheme="majorHAnsi" w:hAnsiTheme="majorHAnsi"/>
          <w:sz w:val="20"/>
          <w:szCs w:val="20"/>
          <w:lang w:val="es-ES_tradnl"/>
        </w:rPr>
        <w:t>ó que los familiares proporcionaron como números telefónicos de la familia Betancourt el 4127268 y el 3610060, y en ningún momento presentaron el número señalado en el párrafo anterior. Asimismo, señaló que “tampoco existe en los registros de la Policía Nacional prueba alguna de que se haya recibido una llamada proveniente del número de teléfono 2303941 con la finalidad de advertir la situación de amenaza” indicada por la parte peticionaria</w:t>
      </w:r>
      <w:r w:rsidR="004F66FA">
        <w:rPr>
          <w:rStyle w:val="FootnoteReference"/>
          <w:rFonts w:asciiTheme="majorHAnsi" w:hAnsiTheme="majorHAnsi"/>
          <w:sz w:val="20"/>
          <w:szCs w:val="20"/>
          <w:lang w:val="es-ES_tradnl"/>
        </w:rPr>
        <w:footnoteReference w:id="17"/>
      </w:r>
      <w:r w:rsidR="004F66FA">
        <w:rPr>
          <w:rFonts w:asciiTheme="majorHAnsi" w:hAnsiTheme="majorHAnsi"/>
          <w:sz w:val="20"/>
          <w:szCs w:val="20"/>
          <w:lang w:val="es-ES_tradnl"/>
        </w:rPr>
        <w:t>.</w:t>
      </w:r>
      <w:r w:rsidR="00A448E2">
        <w:rPr>
          <w:rFonts w:asciiTheme="majorHAnsi" w:hAnsiTheme="majorHAnsi"/>
          <w:sz w:val="20"/>
          <w:szCs w:val="20"/>
          <w:lang w:val="es-ES_tradnl"/>
        </w:rPr>
        <w:t xml:space="preserve"> </w:t>
      </w:r>
      <w:r w:rsidR="00E221E0">
        <w:rPr>
          <w:rFonts w:asciiTheme="majorHAnsi" w:hAnsiTheme="majorHAnsi"/>
          <w:sz w:val="20"/>
          <w:szCs w:val="20"/>
          <w:lang w:val="es-ES_tradnl"/>
        </w:rPr>
        <w:t xml:space="preserve">Se </w:t>
      </w:r>
      <w:r w:rsidR="00A448E2">
        <w:rPr>
          <w:rFonts w:asciiTheme="majorHAnsi" w:hAnsiTheme="majorHAnsi"/>
          <w:sz w:val="20"/>
          <w:szCs w:val="20"/>
          <w:lang w:val="es-ES_tradnl"/>
        </w:rPr>
        <w:t>deja constancia</w:t>
      </w:r>
      <w:r w:rsidR="00B722D5">
        <w:rPr>
          <w:rFonts w:asciiTheme="majorHAnsi" w:hAnsiTheme="majorHAnsi"/>
          <w:sz w:val="20"/>
          <w:szCs w:val="20"/>
          <w:lang w:val="es-ES_tradnl"/>
        </w:rPr>
        <w:t xml:space="preserve"> de</w:t>
      </w:r>
      <w:r w:rsidR="00A448E2">
        <w:rPr>
          <w:rFonts w:asciiTheme="majorHAnsi" w:hAnsiTheme="majorHAnsi"/>
          <w:sz w:val="20"/>
          <w:szCs w:val="20"/>
          <w:lang w:val="es-ES_tradnl"/>
        </w:rPr>
        <w:t xml:space="preserve"> que esta afirmación del Estado provendría del documento “Comunicación Policía Nacional, Área de Derechos Humanos, Oficio No. S-2013-26000 de 19 de julio de 2013” el cual no ha sido </w:t>
      </w:r>
      <w:r w:rsidR="00E221E0">
        <w:rPr>
          <w:rFonts w:asciiTheme="majorHAnsi" w:hAnsiTheme="majorHAnsi"/>
          <w:sz w:val="20"/>
          <w:szCs w:val="20"/>
          <w:lang w:val="es-ES_tradnl"/>
        </w:rPr>
        <w:t xml:space="preserve">aportado </w:t>
      </w:r>
      <w:r w:rsidR="00A448E2">
        <w:rPr>
          <w:rFonts w:asciiTheme="majorHAnsi" w:hAnsiTheme="majorHAnsi"/>
          <w:sz w:val="20"/>
          <w:szCs w:val="20"/>
          <w:lang w:val="es-ES_tradnl"/>
        </w:rPr>
        <w:t xml:space="preserve">al expediente ante la Comisión. </w:t>
      </w:r>
      <w:r w:rsidR="00D15B3A">
        <w:rPr>
          <w:rFonts w:asciiTheme="majorHAnsi" w:hAnsiTheme="majorHAnsi"/>
          <w:sz w:val="20"/>
          <w:szCs w:val="20"/>
          <w:lang w:val="es-ES_tradnl"/>
        </w:rPr>
        <w:t>El Estad</w:t>
      </w:r>
      <w:r w:rsidR="00870E80">
        <w:rPr>
          <w:rFonts w:asciiTheme="majorHAnsi" w:hAnsiTheme="majorHAnsi"/>
          <w:sz w:val="20"/>
          <w:szCs w:val="20"/>
          <w:lang w:val="es-ES_tradnl"/>
        </w:rPr>
        <w:t>o concluyó señalando que “e</w:t>
      </w:r>
      <w:r w:rsidR="00D15B3A">
        <w:rPr>
          <w:rFonts w:asciiTheme="majorHAnsi" w:hAnsiTheme="majorHAnsi"/>
          <w:sz w:val="20"/>
          <w:szCs w:val="20"/>
          <w:lang w:val="es-ES_tradnl"/>
        </w:rPr>
        <w:t>s así como la Policía Nacional no recibió solicitud alguna en la que se diera a conocer amenazas realizadas al señor Betancourt ya sea de manera directa o indirecta, ni mucho menos solicitudes escritas de medidas de protección para él o su familiar antes del secuestro”</w:t>
      </w:r>
      <w:r w:rsidR="00D15B3A">
        <w:rPr>
          <w:rStyle w:val="FootnoteReference"/>
          <w:rFonts w:asciiTheme="majorHAnsi" w:hAnsiTheme="majorHAnsi"/>
          <w:sz w:val="20"/>
          <w:szCs w:val="20"/>
          <w:lang w:val="es-ES_tradnl"/>
        </w:rPr>
        <w:footnoteReference w:id="18"/>
      </w:r>
      <w:r w:rsidR="00621F32">
        <w:rPr>
          <w:rFonts w:asciiTheme="majorHAnsi" w:hAnsiTheme="majorHAnsi"/>
          <w:sz w:val="20"/>
          <w:szCs w:val="20"/>
          <w:lang w:val="es-ES_tradnl"/>
        </w:rPr>
        <w:t>.</w:t>
      </w:r>
    </w:p>
    <w:p w14:paraId="6696FA97" w14:textId="77777777" w:rsidR="00377746" w:rsidRPr="00240F51" w:rsidRDefault="00377746" w:rsidP="001E3EBE">
      <w:pPr>
        <w:rPr>
          <w:rFonts w:asciiTheme="majorHAnsi" w:hAnsiTheme="majorHAnsi"/>
          <w:b/>
          <w:sz w:val="20"/>
          <w:szCs w:val="20"/>
          <w:lang w:val="es-ES_tradnl"/>
        </w:rPr>
      </w:pPr>
    </w:p>
    <w:p w14:paraId="4918596F" w14:textId="77777777" w:rsidR="00DF6BAC" w:rsidRPr="00DF6BAC" w:rsidRDefault="009534CA"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sz w:val="20"/>
          <w:szCs w:val="20"/>
          <w:lang w:val="es-ES_tradnl"/>
        </w:rPr>
      </w:pPr>
      <w:r>
        <w:rPr>
          <w:rFonts w:asciiTheme="majorHAnsi" w:hAnsiTheme="majorHAnsi"/>
          <w:sz w:val="20"/>
          <w:szCs w:val="20"/>
          <w:lang w:val="es-ES_tradnl"/>
        </w:rPr>
        <w:t xml:space="preserve">Respecto del </w:t>
      </w:r>
      <w:r w:rsidR="00D15B3A">
        <w:rPr>
          <w:rFonts w:asciiTheme="majorHAnsi" w:hAnsiTheme="majorHAnsi"/>
          <w:sz w:val="20"/>
          <w:szCs w:val="20"/>
          <w:lang w:val="es-ES_tradnl"/>
        </w:rPr>
        <w:t>secuestro</w:t>
      </w:r>
      <w:r>
        <w:rPr>
          <w:rFonts w:asciiTheme="majorHAnsi" w:hAnsiTheme="majorHAnsi"/>
          <w:sz w:val="20"/>
          <w:szCs w:val="20"/>
          <w:lang w:val="es-ES_tradnl"/>
        </w:rPr>
        <w:t>,</w:t>
      </w:r>
      <w:r w:rsidR="00D15B3A">
        <w:rPr>
          <w:rFonts w:asciiTheme="majorHAnsi" w:hAnsiTheme="majorHAnsi"/>
          <w:sz w:val="20"/>
          <w:szCs w:val="20"/>
          <w:lang w:val="es-ES_tradnl"/>
        </w:rPr>
        <w:t xml:space="preserve"> la parte peticionaria indicó que su cautiverio se realizó en una celda clandestina bajo tierra. Asimismo, </w:t>
      </w:r>
      <w:r w:rsidR="00E06A61">
        <w:rPr>
          <w:rFonts w:asciiTheme="majorHAnsi" w:hAnsiTheme="majorHAnsi"/>
          <w:sz w:val="20"/>
          <w:szCs w:val="20"/>
          <w:lang w:val="es-ES_tradnl"/>
        </w:rPr>
        <w:t xml:space="preserve">señaló </w:t>
      </w:r>
      <w:r w:rsidR="00FE42D9">
        <w:rPr>
          <w:rFonts w:asciiTheme="majorHAnsi" w:hAnsiTheme="majorHAnsi"/>
          <w:sz w:val="20"/>
          <w:szCs w:val="20"/>
          <w:lang w:val="es-ES_tradnl"/>
        </w:rPr>
        <w:t xml:space="preserve">que al día siguiente del secuestro, el señor Echeverry interpuso la respectiva denuncia </w:t>
      </w:r>
      <w:r w:rsidR="00B0250B">
        <w:rPr>
          <w:rFonts w:asciiTheme="majorHAnsi" w:hAnsiTheme="majorHAnsi"/>
          <w:sz w:val="20"/>
          <w:szCs w:val="20"/>
          <w:lang w:val="es-ES_tradnl"/>
        </w:rPr>
        <w:t xml:space="preserve">(por el secuestro y el robo de su vehículo) </w:t>
      </w:r>
      <w:r w:rsidR="00FE42D9">
        <w:rPr>
          <w:rFonts w:asciiTheme="majorHAnsi" w:hAnsiTheme="majorHAnsi"/>
          <w:sz w:val="20"/>
          <w:szCs w:val="20"/>
          <w:lang w:val="es-ES_tradnl"/>
        </w:rPr>
        <w:t>y el GAULA tomó conocimiento del caso</w:t>
      </w:r>
      <w:r w:rsidR="00FE42D9">
        <w:rPr>
          <w:rStyle w:val="FootnoteReference"/>
          <w:rFonts w:asciiTheme="majorHAnsi" w:hAnsiTheme="majorHAnsi"/>
          <w:sz w:val="20"/>
          <w:szCs w:val="20"/>
          <w:lang w:val="es-ES_tradnl"/>
        </w:rPr>
        <w:footnoteReference w:id="19"/>
      </w:r>
      <w:r w:rsidR="00FE42D9">
        <w:rPr>
          <w:rFonts w:asciiTheme="majorHAnsi" w:hAnsiTheme="majorHAnsi"/>
          <w:sz w:val="20"/>
          <w:szCs w:val="20"/>
          <w:lang w:val="es-ES_tradnl"/>
        </w:rPr>
        <w:t xml:space="preserve">. </w:t>
      </w:r>
      <w:r w:rsidR="00432E0F" w:rsidRPr="00DF6BAC">
        <w:rPr>
          <w:rFonts w:asciiTheme="majorHAnsi" w:hAnsiTheme="majorHAnsi"/>
          <w:sz w:val="20"/>
          <w:szCs w:val="20"/>
          <w:lang w:val="es-ES_tradnl"/>
        </w:rPr>
        <w:t xml:space="preserve">El 18 de noviembre de 1999, el </w:t>
      </w:r>
      <w:r w:rsidR="008E301B">
        <w:rPr>
          <w:rFonts w:asciiTheme="majorHAnsi" w:hAnsiTheme="majorHAnsi"/>
          <w:sz w:val="20"/>
          <w:szCs w:val="20"/>
          <w:lang w:val="es-ES_tradnl"/>
        </w:rPr>
        <w:t>Fiscal Especializado dictó</w:t>
      </w:r>
      <w:r w:rsidR="0033536C" w:rsidRPr="00DF6BAC">
        <w:rPr>
          <w:rFonts w:asciiTheme="majorHAnsi" w:hAnsiTheme="majorHAnsi"/>
          <w:sz w:val="20"/>
          <w:szCs w:val="20"/>
          <w:lang w:val="es-ES_tradnl"/>
        </w:rPr>
        <w:t xml:space="preserve"> resolución de ape</w:t>
      </w:r>
      <w:r w:rsidR="00621F32">
        <w:rPr>
          <w:rFonts w:asciiTheme="majorHAnsi" w:hAnsiTheme="majorHAnsi"/>
          <w:sz w:val="20"/>
          <w:szCs w:val="20"/>
          <w:lang w:val="es-ES_tradnl"/>
        </w:rPr>
        <w:t>rtura de investigación y dispuso</w:t>
      </w:r>
      <w:r w:rsidR="0033536C" w:rsidRPr="00DF6BAC">
        <w:rPr>
          <w:rFonts w:asciiTheme="majorHAnsi" w:hAnsiTheme="majorHAnsi"/>
          <w:sz w:val="20"/>
          <w:szCs w:val="20"/>
          <w:lang w:val="es-ES_tradnl"/>
        </w:rPr>
        <w:t xml:space="preserve"> comisionar al GAULA para que realice las diligencias necesarias para la “plena identificación y/o individualización y ubicación de los responsables” del secuestro. Asimismo, el Fiscal dispuso el despliegue de labores de inteligencia y la toma de declaracio</w:t>
      </w:r>
      <w:r w:rsidR="00621F32">
        <w:rPr>
          <w:rFonts w:asciiTheme="majorHAnsi" w:hAnsiTheme="majorHAnsi"/>
          <w:sz w:val="20"/>
          <w:szCs w:val="20"/>
          <w:lang w:val="es-ES_tradnl"/>
        </w:rPr>
        <w:t xml:space="preserve">nes de la familia y testigos de la irrupción en la vivienda y el </w:t>
      </w:r>
      <w:r w:rsidR="0033536C" w:rsidRPr="00DF6BAC">
        <w:rPr>
          <w:rFonts w:asciiTheme="majorHAnsi" w:hAnsiTheme="majorHAnsi"/>
          <w:sz w:val="20"/>
          <w:szCs w:val="20"/>
          <w:lang w:val="es-ES_tradnl"/>
        </w:rPr>
        <w:t>secuestro</w:t>
      </w:r>
      <w:r w:rsidR="0033536C">
        <w:rPr>
          <w:rStyle w:val="FootnoteReference"/>
          <w:rFonts w:asciiTheme="majorHAnsi" w:hAnsiTheme="majorHAnsi"/>
          <w:sz w:val="20"/>
          <w:szCs w:val="20"/>
          <w:lang w:val="es-ES_tradnl"/>
        </w:rPr>
        <w:footnoteReference w:id="20"/>
      </w:r>
      <w:r w:rsidR="0033536C" w:rsidRPr="00DF6BAC">
        <w:rPr>
          <w:rFonts w:asciiTheme="majorHAnsi" w:hAnsiTheme="majorHAnsi"/>
          <w:sz w:val="20"/>
          <w:szCs w:val="20"/>
          <w:lang w:val="es-ES_tradnl"/>
        </w:rPr>
        <w:t>.</w:t>
      </w:r>
    </w:p>
    <w:p w14:paraId="462BC45A" w14:textId="77777777" w:rsidR="00DF6BAC" w:rsidRDefault="00DF6BAC" w:rsidP="001E3EBE">
      <w:pPr>
        <w:pStyle w:val="ListParagraph"/>
        <w:ind w:left="0"/>
        <w:rPr>
          <w:rFonts w:asciiTheme="majorHAnsi" w:hAnsiTheme="majorHAnsi"/>
          <w:sz w:val="20"/>
          <w:szCs w:val="20"/>
          <w:lang w:val="es-ES_tradnl"/>
        </w:rPr>
      </w:pPr>
    </w:p>
    <w:p w14:paraId="1818800C" w14:textId="77777777" w:rsidR="00705669" w:rsidRPr="00705669" w:rsidRDefault="00165F9C"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sz w:val="20"/>
          <w:szCs w:val="20"/>
          <w:lang w:val="es-ES_tradnl"/>
        </w:rPr>
      </w:pPr>
      <w:r w:rsidRPr="00705669">
        <w:rPr>
          <w:rFonts w:asciiTheme="majorHAnsi" w:hAnsiTheme="majorHAnsi"/>
          <w:sz w:val="20"/>
          <w:szCs w:val="20"/>
          <w:lang w:val="es-ES_tradnl"/>
        </w:rPr>
        <w:t>De acuerdo con el acta de</w:t>
      </w:r>
      <w:r w:rsidR="00515F5F">
        <w:rPr>
          <w:rFonts w:asciiTheme="majorHAnsi" w:hAnsiTheme="majorHAnsi"/>
          <w:sz w:val="20"/>
          <w:szCs w:val="20"/>
          <w:lang w:val="es-ES_tradnl"/>
        </w:rPr>
        <w:t xml:space="preserve"> la</w:t>
      </w:r>
      <w:r w:rsidRPr="00705669">
        <w:rPr>
          <w:rFonts w:asciiTheme="majorHAnsi" w:hAnsiTheme="majorHAnsi"/>
          <w:sz w:val="20"/>
          <w:szCs w:val="20"/>
          <w:lang w:val="es-ES_tradnl"/>
        </w:rPr>
        <w:t xml:space="preserve"> Fiscalía, el vehículo </w:t>
      </w:r>
      <w:r w:rsidR="00FA5E71">
        <w:rPr>
          <w:rFonts w:asciiTheme="majorHAnsi" w:hAnsiTheme="majorHAnsi"/>
          <w:sz w:val="20"/>
          <w:szCs w:val="20"/>
          <w:lang w:val="es-ES_tradnl"/>
        </w:rPr>
        <w:t xml:space="preserve">del señor Echeverry </w:t>
      </w:r>
      <w:r w:rsidRPr="00705669">
        <w:rPr>
          <w:rFonts w:asciiTheme="majorHAnsi" w:hAnsiTheme="majorHAnsi"/>
          <w:sz w:val="20"/>
          <w:szCs w:val="20"/>
          <w:lang w:val="es-ES_tradnl"/>
        </w:rPr>
        <w:t xml:space="preserve">fue encontrado abandonado </w:t>
      </w:r>
      <w:r w:rsidR="00705669">
        <w:rPr>
          <w:rFonts w:asciiTheme="majorHAnsi" w:hAnsiTheme="majorHAnsi"/>
          <w:sz w:val="20"/>
          <w:szCs w:val="20"/>
          <w:lang w:val="es-ES_tradnl"/>
        </w:rPr>
        <w:t xml:space="preserve">a </w:t>
      </w:r>
      <w:r w:rsidRPr="00705669">
        <w:rPr>
          <w:rFonts w:asciiTheme="majorHAnsi" w:hAnsiTheme="majorHAnsi"/>
          <w:sz w:val="20"/>
          <w:szCs w:val="20"/>
          <w:lang w:val="es-ES_tradnl"/>
        </w:rPr>
        <w:t xml:space="preserve">las 5:30 a.m. del día 15 de </w:t>
      </w:r>
      <w:r w:rsidR="00C80D1A">
        <w:rPr>
          <w:rFonts w:asciiTheme="majorHAnsi" w:hAnsiTheme="majorHAnsi"/>
          <w:sz w:val="20"/>
          <w:szCs w:val="20"/>
          <w:lang w:val="es-ES_tradnl"/>
        </w:rPr>
        <w:t>noviembre</w:t>
      </w:r>
      <w:r w:rsidRPr="00705669">
        <w:rPr>
          <w:rFonts w:asciiTheme="majorHAnsi" w:hAnsiTheme="majorHAnsi"/>
          <w:sz w:val="20"/>
          <w:szCs w:val="20"/>
          <w:lang w:val="es-ES_tradnl"/>
        </w:rPr>
        <w:t xml:space="preserve"> de 1999</w:t>
      </w:r>
      <w:r w:rsidR="00705669" w:rsidRPr="00705669">
        <w:rPr>
          <w:rFonts w:asciiTheme="majorHAnsi" w:hAnsiTheme="majorHAnsi"/>
          <w:sz w:val="20"/>
          <w:szCs w:val="20"/>
          <w:lang w:val="es-ES_tradnl"/>
        </w:rPr>
        <w:t xml:space="preserve">, sin daños </w:t>
      </w:r>
      <w:r w:rsidR="000D33EB">
        <w:rPr>
          <w:rFonts w:asciiTheme="majorHAnsi" w:hAnsiTheme="majorHAnsi"/>
          <w:sz w:val="20"/>
          <w:szCs w:val="20"/>
          <w:lang w:val="es-ES_tradnl"/>
        </w:rPr>
        <w:t>graves, aunque con objetos y dinero faltantes</w:t>
      </w:r>
      <w:r w:rsidR="00705669" w:rsidRPr="00705669">
        <w:rPr>
          <w:rFonts w:asciiTheme="majorHAnsi" w:hAnsiTheme="majorHAnsi"/>
          <w:sz w:val="20"/>
          <w:szCs w:val="20"/>
          <w:lang w:val="es-ES_tradnl"/>
        </w:rPr>
        <w:t xml:space="preserve">. De acuerdo con la mencionada acta “como el automotor fue manipulado por varias personas con posterioridad a su </w:t>
      </w:r>
      <w:r w:rsidR="00705669" w:rsidRPr="00705669">
        <w:rPr>
          <w:rFonts w:asciiTheme="majorHAnsi" w:hAnsiTheme="majorHAnsi"/>
          <w:sz w:val="20"/>
          <w:szCs w:val="20"/>
          <w:lang w:val="es-ES_tradnl"/>
        </w:rPr>
        <w:lastRenderedPageBreak/>
        <w:t>recuperación, no es procedente ordenar el análisis dactiloscópico pertinente” por lo que se entregó el vehículo sin exámenes ulteriores al señor Echeverry</w:t>
      </w:r>
      <w:r w:rsidR="00705669">
        <w:rPr>
          <w:rStyle w:val="FootnoteReference"/>
          <w:rFonts w:asciiTheme="majorHAnsi" w:hAnsiTheme="majorHAnsi"/>
          <w:sz w:val="20"/>
          <w:szCs w:val="20"/>
          <w:lang w:val="es-ES_tradnl"/>
        </w:rPr>
        <w:footnoteReference w:id="21"/>
      </w:r>
      <w:r w:rsidR="003A06C7">
        <w:rPr>
          <w:rFonts w:asciiTheme="majorHAnsi" w:hAnsiTheme="majorHAnsi"/>
          <w:sz w:val="20"/>
          <w:szCs w:val="20"/>
          <w:lang w:val="es-ES_tradnl"/>
        </w:rPr>
        <w:t>.</w:t>
      </w:r>
    </w:p>
    <w:p w14:paraId="7EF50D8B" w14:textId="77777777" w:rsidR="00705669" w:rsidRPr="00705669" w:rsidRDefault="00705669"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lang w:val="es-ES_tradnl"/>
        </w:rPr>
      </w:pPr>
    </w:p>
    <w:p w14:paraId="1A158EC0" w14:textId="77777777" w:rsidR="00705669" w:rsidRPr="00865E11" w:rsidRDefault="00D01C1E"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sz w:val="20"/>
          <w:szCs w:val="20"/>
          <w:lang w:val="es-ES_tradnl"/>
        </w:rPr>
      </w:pPr>
      <w:r>
        <w:rPr>
          <w:rFonts w:asciiTheme="majorHAnsi" w:hAnsiTheme="majorHAnsi"/>
          <w:sz w:val="20"/>
          <w:szCs w:val="20"/>
          <w:lang w:val="es-ES_tradnl"/>
        </w:rPr>
        <w:t>Posteriormente, la familia ya en coordinación con el GAULA, comenzó las tratativas con los secuestradores. La Comisión toma nota de</w:t>
      </w:r>
      <w:r w:rsidR="00EB2BD4">
        <w:rPr>
          <w:rFonts w:asciiTheme="majorHAnsi" w:hAnsiTheme="majorHAnsi"/>
          <w:sz w:val="20"/>
          <w:szCs w:val="20"/>
          <w:lang w:val="es-ES_tradnl"/>
        </w:rPr>
        <w:t xml:space="preserve"> que conforme a la descripción de la parte peticionaria, </w:t>
      </w:r>
      <w:r>
        <w:rPr>
          <w:rFonts w:asciiTheme="majorHAnsi" w:hAnsiTheme="majorHAnsi"/>
          <w:sz w:val="20"/>
          <w:szCs w:val="20"/>
          <w:lang w:val="es-ES_tradnl"/>
        </w:rPr>
        <w:t>esta ayuda fue solicitada de modo intermitente para determinadas decisiones, pero que principalmente fue la familia la que negoció directamente con los captores</w:t>
      </w:r>
      <w:r w:rsidR="004A02F4">
        <w:rPr>
          <w:rStyle w:val="FootnoteReference"/>
          <w:rFonts w:asciiTheme="majorHAnsi" w:hAnsiTheme="majorHAnsi"/>
          <w:sz w:val="20"/>
          <w:szCs w:val="20"/>
          <w:lang w:val="es-ES_tradnl"/>
        </w:rPr>
        <w:footnoteReference w:id="22"/>
      </w:r>
      <w:r>
        <w:rPr>
          <w:rFonts w:asciiTheme="majorHAnsi" w:hAnsiTheme="majorHAnsi"/>
          <w:sz w:val="20"/>
          <w:szCs w:val="20"/>
          <w:lang w:val="es-ES_tradnl"/>
        </w:rPr>
        <w:t>.</w:t>
      </w:r>
      <w:r w:rsidR="004A02F4">
        <w:rPr>
          <w:rFonts w:asciiTheme="majorHAnsi" w:hAnsiTheme="majorHAnsi"/>
          <w:sz w:val="20"/>
          <w:szCs w:val="20"/>
          <w:lang w:val="es-ES_tradnl"/>
        </w:rPr>
        <w:t xml:space="preserve"> </w:t>
      </w:r>
      <w:r w:rsidR="00751655">
        <w:rPr>
          <w:rFonts w:asciiTheme="majorHAnsi" w:hAnsiTheme="majorHAnsi"/>
          <w:sz w:val="20"/>
          <w:szCs w:val="20"/>
          <w:lang w:val="es-ES_tradnl"/>
        </w:rPr>
        <w:t>E</w:t>
      </w:r>
      <w:r w:rsidR="004A02F4">
        <w:rPr>
          <w:rFonts w:asciiTheme="majorHAnsi" w:hAnsiTheme="majorHAnsi"/>
          <w:sz w:val="20"/>
          <w:szCs w:val="20"/>
          <w:lang w:val="es-ES_tradnl"/>
        </w:rPr>
        <w:t xml:space="preserve">l Estado señaló </w:t>
      </w:r>
      <w:r w:rsidR="003A06C7">
        <w:rPr>
          <w:rFonts w:asciiTheme="majorHAnsi" w:hAnsiTheme="majorHAnsi"/>
          <w:sz w:val="20"/>
          <w:szCs w:val="20"/>
          <w:lang w:val="es-ES_tradnl"/>
        </w:rPr>
        <w:t xml:space="preserve">“que las autoridades competentes no contaron </w:t>
      </w:r>
      <w:r w:rsidR="00865E11">
        <w:rPr>
          <w:rFonts w:asciiTheme="majorHAnsi" w:hAnsiTheme="majorHAnsi"/>
          <w:sz w:val="20"/>
          <w:szCs w:val="20"/>
          <w:lang w:val="es-ES_tradnl"/>
        </w:rPr>
        <w:t>con la colaboración de la familia de la víctima con anterioridad al secuestro, como tampoco durante ni después del mismo”</w:t>
      </w:r>
      <w:r w:rsidR="00865E11">
        <w:rPr>
          <w:rStyle w:val="FootnoteReference"/>
          <w:rFonts w:asciiTheme="majorHAnsi" w:hAnsiTheme="majorHAnsi"/>
          <w:sz w:val="20"/>
          <w:szCs w:val="20"/>
          <w:lang w:val="es-ES_tradnl"/>
        </w:rPr>
        <w:footnoteReference w:id="23"/>
      </w:r>
      <w:r w:rsidR="004315CF">
        <w:rPr>
          <w:rFonts w:asciiTheme="majorHAnsi" w:hAnsiTheme="majorHAnsi"/>
          <w:sz w:val="20"/>
          <w:szCs w:val="20"/>
          <w:lang w:val="es-ES_tradnl"/>
        </w:rPr>
        <w:t xml:space="preserve">, en específico indicó que el GAULA intentó “tomar declaraciones juramentadas a otras personas que se encontraban la noche de los hechos, no </w:t>
      </w:r>
      <w:r w:rsidR="00B44007">
        <w:rPr>
          <w:rFonts w:asciiTheme="majorHAnsi" w:hAnsiTheme="majorHAnsi"/>
          <w:sz w:val="20"/>
          <w:szCs w:val="20"/>
          <w:lang w:val="es-ES_tradnl"/>
        </w:rPr>
        <w:t>obstante</w:t>
      </w:r>
      <w:r w:rsidR="004315CF">
        <w:rPr>
          <w:rFonts w:asciiTheme="majorHAnsi" w:hAnsiTheme="majorHAnsi"/>
          <w:sz w:val="20"/>
          <w:szCs w:val="20"/>
          <w:lang w:val="es-ES_tradnl"/>
        </w:rPr>
        <w:t>, éstas se negaron a hacerlas aduciendo que se encontraban muy temerosas de la situación</w:t>
      </w:r>
      <w:r w:rsidR="00B44007">
        <w:rPr>
          <w:rFonts w:asciiTheme="majorHAnsi" w:hAnsiTheme="majorHAnsi"/>
          <w:sz w:val="20"/>
          <w:szCs w:val="20"/>
          <w:lang w:val="es-ES_tradnl"/>
        </w:rPr>
        <w:t>”</w:t>
      </w:r>
      <w:r w:rsidR="00B44007">
        <w:rPr>
          <w:rStyle w:val="FootnoteReference"/>
          <w:rFonts w:asciiTheme="majorHAnsi" w:hAnsiTheme="majorHAnsi"/>
          <w:sz w:val="20"/>
          <w:szCs w:val="20"/>
          <w:lang w:val="es-ES_tradnl"/>
        </w:rPr>
        <w:footnoteReference w:id="24"/>
      </w:r>
      <w:r w:rsidR="00865E11">
        <w:rPr>
          <w:rFonts w:asciiTheme="majorHAnsi" w:hAnsiTheme="majorHAnsi"/>
          <w:sz w:val="20"/>
          <w:szCs w:val="20"/>
          <w:lang w:val="es-ES_tradnl"/>
        </w:rPr>
        <w:t xml:space="preserve">. En relación con esta falta de colaboración, la parte peticionaria indicó que el Estado no requiere del permiso de las víctimas para mantener su función de mantenimiento del orden y prevención del secuestro, y que esto resulta </w:t>
      </w:r>
      <w:r w:rsidR="00561A74">
        <w:rPr>
          <w:rFonts w:asciiTheme="majorHAnsi" w:hAnsiTheme="majorHAnsi"/>
          <w:sz w:val="20"/>
          <w:szCs w:val="20"/>
          <w:lang w:val="es-ES_tradnl"/>
        </w:rPr>
        <w:t>“</w:t>
      </w:r>
      <w:r w:rsidR="00865E11">
        <w:rPr>
          <w:rFonts w:asciiTheme="majorHAnsi" w:hAnsiTheme="majorHAnsi"/>
          <w:sz w:val="20"/>
          <w:szCs w:val="20"/>
          <w:lang w:val="es-ES_tradnl"/>
        </w:rPr>
        <w:t>cruel y revictimizante</w:t>
      </w:r>
      <w:r w:rsidR="00561A74">
        <w:rPr>
          <w:rFonts w:asciiTheme="majorHAnsi" w:hAnsiTheme="majorHAnsi"/>
          <w:sz w:val="20"/>
          <w:szCs w:val="20"/>
          <w:lang w:val="es-ES_tradnl"/>
        </w:rPr>
        <w:t>”</w:t>
      </w:r>
      <w:r w:rsidR="00865E11">
        <w:rPr>
          <w:rStyle w:val="FootnoteReference"/>
          <w:rFonts w:asciiTheme="majorHAnsi" w:hAnsiTheme="majorHAnsi"/>
          <w:sz w:val="20"/>
          <w:szCs w:val="20"/>
          <w:lang w:val="es-ES_tradnl"/>
        </w:rPr>
        <w:footnoteReference w:id="25"/>
      </w:r>
      <w:r w:rsidR="00865E11">
        <w:rPr>
          <w:rFonts w:asciiTheme="majorHAnsi" w:hAnsiTheme="majorHAnsi"/>
          <w:sz w:val="20"/>
          <w:szCs w:val="20"/>
          <w:lang w:val="es-ES_tradnl"/>
        </w:rPr>
        <w:t xml:space="preserve">. </w:t>
      </w:r>
    </w:p>
    <w:p w14:paraId="48121BF7" w14:textId="77777777" w:rsidR="00865E11" w:rsidRDefault="00865E11" w:rsidP="001E3EBE">
      <w:pPr>
        <w:pStyle w:val="ListParagraph"/>
        <w:ind w:left="0"/>
        <w:rPr>
          <w:rFonts w:asciiTheme="majorHAnsi" w:hAnsiTheme="majorHAnsi"/>
          <w:b/>
          <w:sz w:val="20"/>
          <w:szCs w:val="20"/>
          <w:lang w:val="es-ES_tradnl"/>
        </w:rPr>
      </w:pPr>
    </w:p>
    <w:p w14:paraId="79C79FC1" w14:textId="77777777" w:rsidR="00865E11" w:rsidRPr="00426604" w:rsidRDefault="00865E11"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sz w:val="20"/>
          <w:szCs w:val="20"/>
          <w:lang w:val="es-ES_tradnl"/>
        </w:rPr>
      </w:pPr>
      <w:r>
        <w:rPr>
          <w:rFonts w:asciiTheme="majorHAnsi" w:hAnsiTheme="majorHAnsi"/>
          <w:sz w:val="20"/>
          <w:szCs w:val="20"/>
          <w:lang w:val="es-ES_tradnl"/>
        </w:rPr>
        <w:t xml:space="preserve">De acuerdo con el Estado, el GAULA inició sus acciones rastreando e interviniendo los teléfonos proporcionados por las víctimas, </w:t>
      </w:r>
      <w:r w:rsidR="00083DED">
        <w:rPr>
          <w:rFonts w:asciiTheme="majorHAnsi" w:hAnsiTheme="majorHAnsi"/>
          <w:sz w:val="20"/>
          <w:szCs w:val="20"/>
          <w:lang w:val="es-ES_tradnl"/>
        </w:rPr>
        <w:t xml:space="preserve">asesoró a la familia respecto del manejo de la negociación lo que logró que el monto del rescate se redujera de la solicitud inicial de </w:t>
      </w:r>
      <w:r w:rsidR="00584B1E">
        <w:rPr>
          <w:rFonts w:asciiTheme="majorHAnsi" w:hAnsiTheme="majorHAnsi"/>
          <w:sz w:val="20"/>
          <w:szCs w:val="20"/>
          <w:lang w:val="es-ES_tradnl"/>
        </w:rPr>
        <w:t>$</w:t>
      </w:r>
      <w:r w:rsidR="00083DED">
        <w:rPr>
          <w:rFonts w:asciiTheme="majorHAnsi" w:hAnsiTheme="majorHAnsi"/>
          <w:sz w:val="20"/>
          <w:szCs w:val="20"/>
          <w:lang w:val="es-ES_tradnl"/>
        </w:rPr>
        <w:t>700.000.000</w:t>
      </w:r>
      <w:r w:rsidR="00584B1E">
        <w:rPr>
          <w:rFonts w:asciiTheme="majorHAnsi" w:hAnsiTheme="majorHAnsi"/>
          <w:sz w:val="20"/>
          <w:szCs w:val="20"/>
          <w:lang w:val="es-ES_tradnl"/>
        </w:rPr>
        <w:t xml:space="preserve"> a $80.000.000 de pesos colombianos</w:t>
      </w:r>
      <w:r w:rsidR="00584B1E">
        <w:rPr>
          <w:rStyle w:val="FootnoteReference"/>
          <w:rFonts w:asciiTheme="majorHAnsi" w:hAnsiTheme="majorHAnsi"/>
          <w:sz w:val="20"/>
          <w:szCs w:val="20"/>
          <w:lang w:val="es-ES_tradnl"/>
        </w:rPr>
        <w:footnoteReference w:id="26"/>
      </w:r>
      <w:r w:rsidR="00584B1E">
        <w:rPr>
          <w:rFonts w:asciiTheme="majorHAnsi" w:hAnsiTheme="majorHAnsi"/>
          <w:sz w:val="20"/>
          <w:szCs w:val="20"/>
          <w:lang w:val="es-ES_tradnl"/>
        </w:rPr>
        <w:t>. Asimismo, el Estado señaló que la familia rechazó tajantemente el apoyo logístico para la liberación a través de un operat</w:t>
      </w:r>
      <w:r w:rsidR="001809E7">
        <w:rPr>
          <w:rFonts w:asciiTheme="majorHAnsi" w:hAnsiTheme="majorHAnsi"/>
          <w:sz w:val="20"/>
          <w:szCs w:val="20"/>
          <w:lang w:val="es-ES_tradnl"/>
        </w:rPr>
        <w:t>ivo</w:t>
      </w:r>
      <w:r w:rsidR="00594BC0">
        <w:rPr>
          <w:rFonts w:asciiTheme="majorHAnsi" w:hAnsiTheme="majorHAnsi"/>
          <w:sz w:val="20"/>
          <w:szCs w:val="20"/>
          <w:lang w:val="es-ES_tradnl"/>
        </w:rPr>
        <w:t xml:space="preserve"> de rescate</w:t>
      </w:r>
      <w:r w:rsidR="001809E7">
        <w:rPr>
          <w:rFonts w:asciiTheme="majorHAnsi" w:hAnsiTheme="majorHAnsi"/>
          <w:sz w:val="20"/>
          <w:szCs w:val="20"/>
          <w:lang w:val="es-ES_tradnl"/>
        </w:rPr>
        <w:t>, por lo que el Estado no pu</w:t>
      </w:r>
      <w:r w:rsidR="00584B1E">
        <w:rPr>
          <w:rFonts w:asciiTheme="majorHAnsi" w:hAnsiTheme="majorHAnsi"/>
          <w:sz w:val="20"/>
          <w:szCs w:val="20"/>
          <w:lang w:val="es-ES_tradnl"/>
        </w:rPr>
        <w:t>do desplegar toda su estructura especializada para liberar al señor Betancourt</w:t>
      </w:r>
      <w:r w:rsidR="00584B1E">
        <w:rPr>
          <w:rStyle w:val="FootnoteReference"/>
          <w:rFonts w:asciiTheme="majorHAnsi" w:hAnsiTheme="majorHAnsi"/>
          <w:sz w:val="20"/>
          <w:szCs w:val="20"/>
          <w:lang w:val="es-ES_tradnl"/>
        </w:rPr>
        <w:footnoteReference w:id="27"/>
      </w:r>
      <w:r w:rsidR="00584B1E">
        <w:rPr>
          <w:rFonts w:asciiTheme="majorHAnsi" w:hAnsiTheme="majorHAnsi"/>
          <w:sz w:val="20"/>
          <w:szCs w:val="20"/>
          <w:lang w:val="es-ES_tradnl"/>
        </w:rPr>
        <w:t>.</w:t>
      </w:r>
      <w:r w:rsidR="00426604">
        <w:rPr>
          <w:rFonts w:asciiTheme="majorHAnsi" w:hAnsiTheme="majorHAnsi"/>
          <w:b/>
          <w:sz w:val="20"/>
          <w:szCs w:val="20"/>
          <w:lang w:val="es-ES_tradnl"/>
        </w:rPr>
        <w:t xml:space="preserve"> </w:t>
      </w:r>
      <w:r w:rsidR="001809E7" w:rsidRPr="00426604">
        <w:rPr>
          <w:rFonts w:asciiTheme="majorHAnsi" w:hAnsiTheme="majorHAnsi"/>
          <w:sz w:val="20"/>
          <w:szCs w:val="20"/>
          <w:lang w:val="es-ES_tradnl"/>
        </w:rPr>
        <w:t>Según el informe de diligencias del GAULA</w:t>
      </w:r>
      <w:r w:rsidR="00426604">
        <w:rPr>
          <w:rFonts w:asciiTheme="majorHAnsi" w:hAnsiTheme="majorHAnsi"/>
          <w:sz w:val="20"/>
          <w:szCs w:val="20"/>
          <w:lang w:val="es-ES_tradnl"/>
        </w:rPr>
        <w:t xml:space="preserve"> </w:t>
      </w:r>
      <w:r w:rsidR="001809E7" w:rsidRPr="00426604">
        <w:rPr>
          <w:rFonts w:asciiTheme="majorHAnsi" w:hAnsiTheme="majorHAnsi"/>
          <w:sz w:val="20"/>
          <w:szCs w:val="20"/>
          <w:lang w:val="es-ES_tradnl"/>
        </w:rPr>
        <w:t>la liberación de</w:t>
      </w:r>
      <w:r w:rsidR="00093681" w:rsidRPr="00426604">
        <w:rPr>
          <w:rFonts w:asciiTheme="majorHAnsi" w:hAnsiTheme="majorHAnsi"/>
          <w:sz w:val="20"/>
          <w:szCs w:val="20"/>
          <w:lang w:val="es-ES_tradnl"/>
        </w:rPr>
        <w:t xml:space="preserve"> la presunta víctima </w:t>
      </w:r>
      <w:r w:rsidR="00426604" w:rsidRPr="00426604">
        <w:rPr>
          <w:rFonts w:asciiTheme="majorHAnsi" w:hAnsiTheme="majorHAnsi"/>
          <w:sz w:val="20"/>
          <w:szCs w:val="20"/>
          <w:lang w:val="es-ES_tradnl"/>
        </w:rPr>
        <w:t>se efectuó dos días después de realizar el pago</w:t>
      </w:r>
      <w:r w:rsidR="00C55608">
        <w:rPr>
          <w:rStyle w:val="FootnoteReference"/>
          <w:rFonts w:asciiTheme="majorHAnsi" w:hAnsiTheme="majorHAnsi"/>
          <w:sz w:val="20"/>
          <w:szCs w:val="20"/>
          <w:lang w:val="es-ES_tradnl"/>
        </w:rPr>
        <w:footnoteReference w:id="28"/>
      </w:r>
      <w:r w:rsidR="00426604">
        <w:rPr>
          <w:rFonts w:asciiTheme="majorHAnsi" w:hAnsiTheme="majorHAnsi"/>
          <w:sz w:val="20"/>
          <w:szCs w:val="20"/>
          <w:lang w:val="es-ES_tradnl"/>
        </w:rPr>
        <w:t xml:space="preserve">. </w:t>
      </w:r>
    </w:p>
    <w:p w14:paraId="7A48A4D3" w14:textId="77777777" w:rsidR="00351B79" w:rsidRDefault="00351B79"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eastAsia="Cambria" w:hAnsiTheme="majorHAnsi" w:cs="Cambria"/>
          <w:b/>
          <w:color w:val="000000"/>
          <w:sz w:val="20"/>
          <w:szCs w:val="20"/>
          <w:u w:color="000000"/>
          <w:lang w:val="es-ES_tradnl" w:eastAsia="es-ES"/>
        </w:rPr>
      </w:pPr>
    </w:p>
    <w:p w14:paraId="4FE81A47" w14:textId="77777777" w:rsidR="0002310F" w:rsidRDefault="0064632B" w:rsidP="001E3EBE">
      <w:pPr>
        <w:pStyle w:val="Heading3"/>
        <w:ind w:left="0" w:firstLine="0"/>
        <w:rPr>
          <w:lang w:val="es-ES_tradnl"/>
        </w:rPr>
      </w:pPr>
      <w:bookmarkStart w:id="20" w:name="_Toc394820749"/>
      <w:bookmarkStart w:id="21" w:name="_Toc70437016"/>
      <w:r w:rsidRPr="00775AA2">
        <w:rPr>
          <w:lang w:val="es-ES_tradnl"/>
        </w:rPr>
        <w:t>L</w:t>
      </w:r>
      <w:r w:rsidR="00915489" w:rsidRPr="00775AA2">
        <w:rPr>
          <w:lang w:val="es-ES_tradnl"/>
        </w:rPr>
        <w:t>as amenazas</w:t>
      </w:r>
      <w:r w:rsidRPr="00775AA2">
        <w:rPr>
          <w:lang w:val="es-ES_tradnl"/>
        </w:rPr>
        <w:t xml:space="preserve"> posteriores a la liberación</w:t>
      </w:r>
      <w:r w:rsidR="00775AA2">
        <w:rPr>
          <w:lang w:val="es-ES_tradnl"/>
        </w:rPr>
        <w:t xml:space="preserve">, la </w:t>
      </w:r>
      <w:r w:rsidR="006F0A8E">
        <w:rPr>
          <w:lang w:val="es-ES_tradnl"/>
        </w:rPr>
        <w:t>salida del territorio</w:t>
      </w:r>
      <w:r w:rsidR="00775AA2">
        <w:rPr>
          <w:lang w:val="es-ES_tradnl"/>
        </w:rPr>
        <w:t xml:space="preserve"> de Colombia y los efectos </w:t>
      </w:r>
      <w:r w:rsidR="00871819">
        <w:rPr>
          <w:lang w:val="es-ES_tradnl"/>
        </w:rPr>
        <w:t xml:space="preserve">de los perjuicios </w:t>
      </w:r>
      <w:r w:rsidR="00775AA2">
        <w:rPr>
          <w:lang w:val="es-ES_tradnl"/>
        </w:rPr>
        <w:t>patrimoniales</w:t>
      </w:r>
      <w:r w:rsidR="00925E09">
        <w:rPr>
          <w:lang w:val="es-ES_tradnl"/>
        </w:rPr>
        <w:t xml:space="preserve"> </w:t>
      </w:r>
      <w:r w:rsidR="00C50D6B">
        <w:rPr>
          <w:lang w:val="es-ES_tradnl"/>
        </w:rPr>
        <w:t xml:space="preserve">en la </w:t>
      </w:r>
      <w:r w:rsidR="00871819">
        <w:rPr>
          <w:lang w:val="es-ES_tradnl"/>
        </w:rPr>
        <w:t xml:space="preserve">vida de </w:t>
      </w:r>
      <w:r w:rsidR="006F0A8E">
        <w:rPr>
          <w:lang w:val="es-ES_tradnl"/>
        </w:rPr>
        <w:t>familia</w:t>
      </w:r>
      <w:r w:rsidR="00C50D6B">
        <w:rPr>
          <w:lang w:val="es-ES_tradnl"/>
        </w:rPr>
        <w:t xml:space="preserve"> Betancourt</w:t>
      </w:r>
      <w:bookmarkEnd w:id="20"/>
      <w:bookmarkEnd w:id="21"/>
    </w:p>
    <w:p w14:paraId="1644F7BA" w14:textId="77777777" w:rsidR="00C50D6B" w:rsidRPr="00775AA2" w:rsidRDefault="00C50D6B" w:rsidP="001E3EBE">
      <w:pPr>
        <w:pStyle w:val="ListParagraph"/>
        <w:ind w:left="0"/>
        <w:rPr>
          <w:rFonts w:asciiTheme="majorHAnsi" w:hAnsiTheme="majorHAnsi"/>
          <w:b/>
          <w:color w:val="auto"/>
          <w:sz w:val="20"/>
          <w:szCs w:val="20"/>
          <w:lang w:val="es-ES_tradnl"/>
        </w:rPr>
      </w:pPr>
    </w:p>
    <w:p w14:paraId="6EE05D8E" w14:textId="77777777" w:rsidR="00B44007" w:rsidRDefault="0002310F"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ES_tradnl"/>
        </w:rPr>
      </w:pPr>
      <w:r>
        <w:rPr>
          <w:rFonts w:asciiTheme="majorHAnsi" w:hAnsiTheme="majorHAnsi"/>
          <w:sz w:val="20"/>
          <w:szCs w:val="20"/>
          <w:lang w:val="es-ES_tradnl"/>
        </w:rPr>
        <w:t>La parte peticionaria indicó que</w:t>
      </w:r>
      <w:r w:rsidR="00E90A90">
        <w:rPr>
          <w:rFonts w:asciiTheme="majorHAnsi" w:hAnsiTheme="majorHAnsi"/>
          <w:sz w:val="20"/>
          <w:szCs w:val="20"/>
          <w:lang w:val="es-ES_tradnl"/>
        </w:rPr>
        <w:t xml:space="preserve">, </w:t>
      </w:r>
      <w:r w:rsidR="00C50D6B">
        <w:rPr>
          <w:rFonts w:asciiTheme="majorHAnsi" w:hAnsiTheme="majorHAnsi"/>
          <w:sz w:val="20"/>
          <w:szCs w:val="20"/>
          <w:lang w:val="es-ES_tradnl"/>
        </w:rPr>
        <w:t>tras la liberación</w:t>
      </w:r>
      <w:r w:rsidR="00E90A90">
        <w:rPr>
          <w:rFonts w:asciiTheme="majorHAnsi" w:hAnsiTheme="majorHAnsi"/>
          <w:sz w:val="20"/>
          <w:szCs w:val="20"/>
          <w:lang w:val="es-ES_tradnl"/>
        </w:rPr>
        <w:t>,</w:t>
      </w:r>
      <w:r w:rsidR="00C50D6B">
        <w:rPr>
          <w:rFonts w:asciiTheme="majorHAnsi" w:hAnsiTheme="majorHAnsi"/>
          <w:sz w:val="20"/>
          <w:szCs w:val="20"/>
          <w:lang w:val="es-ES_tradnl"/>
        </w:rPr>
        <w:t xml:space="preserve"> la familia continuó siendo amenazada de muerte por los secuestradores quienes les exigían el pago de más dinero. Según el relato, la familia “dio oportuno aviso a las respectivas autoridades penales y de quienes se pidió la protección necesaria”</w:t>
      </w:r>
      <w:r w:rsidR="00C50D6B">
        <w:rPr>
          <w:rStyle w:val="FootnoteReference"/>
          <w:rFonts w:asciiTheme="majorHAnsi" w:hAnsiTheme="majorHAnsi"/>
          <w:sz w:val="20"/>
          <w:szCs w:val="20"/>
          <w:lang w:val="es-ES_tradnl"/>
        </w:rPr>
        <w:footnoteReference w:id="29"/>
      </w:r>
      <w:r w:rsidR="00FC6D6B">
        <w:rPr>
          <w:rFonts w:asciiTheme="majorHAnsi" w:hAnsiTheme="majorHAnsi"/>
          <w:sz w:val="20"/>
          <w:szCs w:val="20"/>
          <w:lang w:val="es-ES_tradnl"/>
        </w:rPr>
        <w:t>. Consta en el expedient</w:t>
      </w:r>
      <w:r w:rsidR="00D32386">
        <w:rPr>
          <w:rFonts w:asciiTheme="majorHAnsi" w:hAnsiTheme="majorHAnsi"/>
          <w:sz w:val="20"/>
          <w:szCs w:val="20"/>
          <w:lang w:val="es-ES_tradnl"/>
        </w:rPr>
        <w:t>e que el señor Betancourt solicitó protección al Ejército Nacional</w:t>
      </w:r>
      <w:r w:rsidR="00435007">
        <w:rPr>
          <w:rStyle w:val="FootnoteReference"/>
          <w:rFonts w:asciiTheme="majorHAnsi" w:hAnsiTheme="majorHAnsi"/>
          <w:sz w:val="20"/>
          <w:szCs w:val="20"/>
          <w:lang w:val="es-ES_tradnl"/>
        </w:rPr>
        <w:footnoteReference w:id="30"/>
      </w:r>
      <w:r w:rsidR="00D32386">
        <w:rPr>
          <w:rFonts w:asciiTheme="majorHAnsi" w:hAnsiTheme="majorHAnsi"/>
          <w:sz w:val="20"/>
          <w:szCs w:val="20"/>
          <w:lang w:val="es-ES_tradnl"/>
        </w:rPr>
        <w:t xml:space="preserve">, a la Policía </w:t>
      </w:r>
      <w:r w:rsidR="0087427D">
        <w:rPr>
          <w:rFonts w:asciiTheme="majorHAnsi" w:hAnsiTheme="majorHAnsi"/>
          <w:sz w:val="20"/>
          <w:szCs w:val="20"/>
          <w:lang w:val="es-ES_tradnl"/>
        </w:rPr>
        <w:t>Metropolitana</w:t>
      </w:r>
      <w:r w:rsidR="00435007">
        <w:rPr>
          <w:rStyle w:val="FootnoteReference"/>
          <w:rFonts w:asciiTheme="majorHAnsi" w:hAnsiTheme="majorHAnsi"/>
          <w:sz w:val="20"/>
          <w:szCs w:val="20"/>
          <w:lang w:val="es-ES_tradnl"/>
        </w:rPr>
        <w:footnoteReference w:id="31"/>
      </w:r>
      <w:r w:rsidR="00D32386">
        <w:rPr>
          <w:rFonts w:asciiTheme="majorHAnsi" w:hAnsiTheme="majorHAnsi"/>
          <w:sz w:val="20"/>
          <w:szCs w:val="20"/>
          <w:lang w:val="es-ES_tradnl"/>
        </w:rPr>
        <w:t xml:space="preserve"> y al GAULA</w:t>
      </w:r>
      <w:r w:rsidR="00435007">
        <w:rPr>
          <w:rStyle w:val="FootnoteReference"/>
          <w:rFonts w:asciiTheme="majorHAnsi" w:hAnsiTheme="majorHAnsi"/>
          <w:sz w:val="20"/>
          <w:szCs w:val="20"/>
          <w:lang w:val="es-ES_tradnl"/>
        </w:rPr>
        <w:footnoteReference w:id="32"/>
      </w:r>
      <w:r w:rsidR="00D32386">
        <w:rPr>
          <w:rFonts w:asciiTheme="majorHAnsi" w:hAnsiTheme="majorHAnsi"/>
          <w:sz w:val="20"/>
          <w:szCs w:val="20"/>
          <w:lang w:val="es-ES_tradnl"/>
        </w:rPr>
        <w:t xml:space="preserve"> el 1 de marzo de 2001</w:t>
      </w:r>
      <w:r w:rsidR="00075522">
        <w:rPr>
          <w:rStyle w:val="FootnoteReference"/>
          <w:rFonts w:asciiTheme="majorHAnsi" w:hAnsiTheme="majorHAnsi"/>
          <w:sz w:val="20"/>
          <w:szCs w:val="20"/>
          <w:lang w:val="es-ES_tradnl"/>
        </w:rPr>
        <w:footnoteReference w:id="33"/>
      </w:r>
      <w:r w:rsidR="00D32386">
        <w:rPr>
          <w:rFonts w:asciiTheme="majorHAnsi" w:hAnsiTheme="majorHAnsi"/>
          <w:sz w:val="20"/>
          <w:szCs w:val="20"/>
          <w:lang w:val="es-ES_tradnl"/>
        </w:rPr>
        <w:t xml:space="preserve">. En todas las cartas el tenor es el </w:t>
      </w:r>
      <w:r w:rsidR="00351B79">
        <w:rPr>
          <w:rFonts w:asciiTheme="majorHAnsi" w:hAnsiTheme="majorHAnsi"/>
          <w:sz w:val="20"/>
          <w:szCs w:val="20"/>
          <w:lang w:val="es-ES_tradnl"/>
        </w:rPr>
        <w:t>que sigue</w:t>
      </w:r>
      <w:r w:rsidR="00D32386">
        <w:rPr>
          <w:rFonts w:asciiTheme="majorHAnsi" w:hAnsiTheme="majorHAnsi"/>
          <w:sz w:val="20"/>
          <w:szCs w:val="20"/>
          <w:lang w:val="es-ES_tradnl"/>
        </w:rPr>
        <w:t xml:space="preserve"> “una vez logré obtener la libertad, mi familia ha venido siendo víctima de chantajes y amenazas telefónicas, hasta el punto de tener que verme obligado a salir del país, si esta caótica </w:t>
      </w:r>
      <w:r w:rsidR="00435007">
        <w:rPr>
          <w:rFonts w:asciiTheme="majorHAnsi" w:hAnsiTheme="majorHAnsi"/>
          <w:sz w:val="20"/>
          <w:szCs w:val="20"/>
          <w:lang w:val="es-ES_tradnl"/>
        </w:rPr>
        <w:t xml:space="preserve">situación por la que venimos atravesando persiste (…) por lo que le solicitamos encarecidamente LA PROTECCIÓN QUE MI FAMILIA REQUIERE, pues es la única manera que el Estado Colombiano pueda salir en defensa de nuestros intereses”. </w:t>
      </w:r>
    </w:p>
    <w:p w14:paraId="3071F943" w14:textId="77777777" w:rsidR="00B44007" w:rsidRDefault="00B44007"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_tradnl"/>
        </w:rPr>
      </w:pPr>
    </w:p>
    <w:p w14:paraId="1F744FBD" w14:textId="77777777" w:rsidR="00435007" w:rsidRDefault="00B44007"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ES_tradnl"/>
        </w:rPr>
      </w:pPr>
      <w:r>
        <w:rPr>
          <w:rFonts w:asciiTheme="majorHAnsi" w:hAnsiTheme="majorHAnsi"/>
          <w:sz w:val="20"/>
          <w:szCs w:val="20"/>
          <w:lang w:val="es-ES_tradnl"/>
        </w:rPr>
        <w:t xml:space="preserve">De acuerdo con el Estado </w:t>
      </w:r>
      <w:r w:rsidR="00FE4E04">
        <w:rPr>
          <w:rFonts w:asciiTheme="majorHAnsi" w:hAnsiTheme="majorHAnsi"/>
          <w:sz w:val="20"/>
          <w:szCs w:val="20"/>
          <w:lang w:val="es-ES_tradnl"/>
        </w:rPr>
        <w:t>fue</w:t>
      </w:r>
      <w:r>
        <w:rPr>
          <w:rFonts w:asciiTheme="majorHAnsi" w:hAnsiTheme="majorHAnsi"/>
          <w:sz w:val="20"/>
          <w:szCs w:val="20"/>
          <w:lang w:val="es-ES_tradnl"/>
        </w:rPr>
        <w:t xml:space="preserve"> recién el 3 de marzo de 2000 que tuvo conocimiento de la situación de riesgo </w:t>
      </w:r>
      <w:r w:rsidR="00FE4E04">
        <w:rPr>
          <w:rFonts w:asciiTheme="majorHAnsi" w:hAnsiTheme="majorHAnsi"/>
          <w:sz w:val="20"/>
          <w:szCs w:val="20"/>
          <w:lang w:val="es-ES_tradnl"/>
        </w:rPr>
        <w:t xml:space="preserve">del </w:t>
      </w:r>
      <w:r>
        <w:rPr>
          <w:rFonts w:asciiTheme="majorHAnsi" w:hAnsiTheme="majorHAnsi"/>
          <w:sz w:val="20"/>
          <w:szCs w:val="20"/>
          <w:lang w:val="es-ES_tradnl"/>
        </w:rPr>
        <w:t>señor Betancourt</w:t>
      </w:r>
      <w:r w:rsidR="00075522">
        <w:rPr>
          <w:rFonts w:asciiTheme="majorHAnsi" w:hAnsiTheme="majorHAnsi"/>
          <w:sz w:val="20"/>
          <w:szCs w:val="20"/>
          <w:lang w:val="es-ES_tradnl"/>
        </w:rPr>
        <w:t xml:space="preserve"> y que de acuerdo con el Oficio No. 2401 de 10 de marzo de 2000, que no ha sido adjuntado al expediente, el GAULA Regional de Medellín “informó al señor Betancourt Est</w:t>
      </w:r>
      <w:r w:rsidR="001E7E48">
        <w:rPr>
          <w:rFonts w:asciiTheme="majorHAnsi" w:hAnsiTheme="majorHAnsi"/>
          <w:sz w:val="20"/>
          <w:szCs w:val="20"/>
          <w:lang w:val="es-ES_tradnl"/>
        </w:rPr>
        <w:t>r</w:t>
      </w:r>
      <w:r w:rsidR="00075522">
        <w:rPr>
          <w:rFonts w:asciiTheme="majorHAnsi" w:hAnsiTheme="majorHAnsi"/>
          <w:sz w:val="20"/>
          <w:szCs w:val="20"/>
          <w:lang w:val="es-ES_tradnl"/>
        </w:rPr>
        <w:t xml:space="preserve">ada de las acciones </w:t>
      </w:r>
      <w:r w:rsidR="0068118C">
        <w:rPr>
          <w:rFonts w:asciiTheme="majorHAnsi" w:hAnsiTheme="majorHAnsi"/>
          <w:sz w:val="20"/>
          <w:szCs w:val="20"/>
          <w:lang w:val="es-ES_tradnl"/>
        </w:rPr>
        <w:t>adelantadas</w:t>
      </w:r>
      <w:r w:rsidR="00075522">
        <w:rPr>
          <w:rFonts w:asciiTheme="majorHAnsi" w:hAnsiTheme="majorHAnsi"/>
          <w:sz w:val="20"/>
          <w:szCs w:val="20"/>
          <w:lang w:val="es-ES_tradnl"/>
        </w:rPr>
        <w:t xml:space="preserve"> con relación a la solicitud de protección hecha por éste, no obstante, para esa fecha el señor Carlos Arturo Betancourt Estrada ya se encontraba fuera del país (…)”. Asimismo, indicó que dada su partida “cualquier actividad de control adelantada por la Policía Nacional (…) resultaría entonces inocua (…)”. </w:t>
      </w:r>
      <w:r w:rsidR="0068118C">
        <w:rPr>
          <w:rFonts w:asciiTheme="majorHAnsi" w:hAnsiTheme="majorHAnsi"/>
          <w:sz w:val="20"/>
          <w:szCs w:val="20"/>
          <w:lang w:val="es-ES_tradnl"/>
        </w:rPr>
        <w:t xml:space="preserve"> En esta </w:t>
      </w:r>
      <w:r w:rsidR="0068118C">
        <w:rPr>
          <w:rFonts w:asciiTheme="majorHAnsi" w:hAnsiTheme="majorHAnsi"/>
          <w:sz w:val="20"/>
          <w:szCs w:val="20"/>
          <w:lang w:val="es-ES_tradnl"/>
        </w:rPr>
        <w:lastRenderedPageBreak/>
        <w:t>misma línea, el Estado sostuvo que la presunta víctima “decidió voluntaria y libremente salir del país, sin esperar siquiera la[s] acciones tendientes a proporcionarle seguridad y tranquilidad por parte de la Policía Nacional”</w:t>
      </w:r>
      <w:r w:rsidR="0068118C">
        <w:rPr>
          <w:rStyle w:val="FootnoteReference"/>
          <w:rFonts w:asciiTheme="majorHAnsi" w:hAnsiTheme="majorHAnsi"/>
          <w:sz w:val="20"/>
          <w:szCs w:val="20"/>
          <w:lang w:val="es-ES_tradnl"/>
        </w:rPr>
        <w:footnoteReference w:id="34"/>
      </w:r>
      <w:r w:rsidR="0068118C">
        <w:rPr>
          <w:rFonts w:asciiTheme="majorHAnsi" w:hAnsiTheme="majorHAnsi"/>
          <w:sz w:val="20"/>
          <w:szCs w:val="20"/>
          <w:lang w:val="es-ES_tradnl"/>
        </w:rPr>
        <w:t xml:space="preserve">. </w:t>
      </w:r>
    </w:p>
    <w:p w14:paraId="4C23DBAD" w14:textId="77777777" w:rsidR="0068118C" w:rsidRDefault="0068118C" w:rsidP="001E3EBE">
      <w:pPr>
        <w:pStyle w:val="ListParagraph"/>
        <w:ind w:left="0"/>
        <w:rPr>
          <w:rFonts w:asciiTheme="majorHAnsi" w:hAnsiTheme="majorHAnsi"/>
          <w:sz w:val="20"/>
          <w:szCs w:val="20"/>
          <w:lang w:val="es-ES_tradnl"/>
        </w:rPr>
      </w:pPr>
    </w:p>
    <w:p w14:paraId="16AF69C5" w14:textId="77777777" w:rsidR="00D076A3" w:rsidRDefault="00FE4E04"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ES_tradnl"/>
        </w:rPr>
      </w:pPr>
      <w:r>
        <w:rPr>
          <w:rFonts w:asciiTheme="majorHAnsi" w:hAnsiTheme="majorHAnsi"/>
          <w:sz w:val="20"/>
          <w:szCs w:val="20"/>
          <w:lang w:val="es-ES_tradnl"/>
        </w:rPr>
        <w:t>R</w:t>
      </w:r>
      <w:r w:rsidR="006F0A8E">
        <w:rPr>
          <w:rFonts w:asciiTheme="majorHAnsi" w:hAnsiTheme="majorHAnsi"/>
          <w:sz w:val="20"/>
          <w:szCs w:val="20"/>
          <w:lang w:val="es-ES_tradnl"/>
        </w:rPr>
        <w:t xml:space="preserve">especto de su decisión de salir del territorio de Colombia, la Comisión identifica dos posiciones entre las partes. Por un lado, la parte peticionaria indicó que la salida hacia Estados Unidos y Costa Rica </w:t>
      </w:r>
      <w:r>
        <w:rPr>
          <w:rFonts w:asciiTheme="majorHAnsi" w:hAnsiTheme="majorHAnsi"/>
          <w:sz w:val="20"/>
          <w:szCs w:val="20"/>
          <w:lang w:val="es-ES_tradnl"/>
        </w:rPr>
        <w:t>fue</w:t>
      </w:r>
      <w:r w:rsidR="006F0A8E">
        <w:rPr>
          <w:rFonts w:asciiTheme="majorHAnsi" w:hAnsiTheme="majorHAnsi"/>
          <w:sz w:val="20"/>
          <w:szCs w:val="20"/>
          <w:lang w:val="es-ES_tradnl"/>
        </w:rPr>
        <w:t xml:space="preserve"> resultado de una recomendación del GAULA</w:t>
      </w:r>
      <w:r w:rsidR="006F0A8E">
        <w:rPr>
          <w:rStyle w:val="FootnoteReference"/>
          <w:rFonts w:asciiTheme="majorHAnsi" w:hAnsiTheme="majorHAnsi"/>
          <w:sz w:val="20"/>
          <w:szCs w:val="20"/>
          <w:lang w:val="es-ES_tradnl"/>
        </w:rPr>
        <w:footnoteReference w:id="35"/>
      </w:r>
      <w:r w:rsidR="00B5420C">
        <w:rPr>
          <w:rFonts w:asciiTheme="majorHAnsi" w:hAnsiTheme="majorHAnsi"/>
          <w:sz w:val="20"/>
          <w:szCs w:val="20"/>
          <w:lang w:val="es-ES_tradnl"/>
        </w:rPr>
        <w:t xml:space="preserve"> y para ello adjuntó </w:t>
      </w:r>
      <w:r w:rsidR="001E7E48">
        <w:rPr>
          <w:rFonts w:asciiTheme="majorHAnsi" w:hAnsiTheme="majorHAnsi"/>
          <w:sz w:val="20"/>
          <w:szCs w:val="20"/>
          <w:lang w:val="es-ES_tradnl"/>
        </w:rPr>
        <w:t>una</w:t>
      </w:r>
      <w:r w:rsidR="00B5420C">
        <w:rPr>
          <w:rFonts w:asciiTheme="majorHAnsi" w:hAnsiTheme="majorHAnsi"/>
          <w:sz w:val="20"/>
          <w:szCs w:val="20"/>
          <w:lang w:val="es-ES_tradnl"/>
        </w:rPr>
        <w:t xml:space="preserve"> declaración de la hermana de la presunta víctima, radicada en Costa Rica, en el que indicó que “el GAULA (…) nos aconsejó que nos fuéramos del país”</w:t>
      </w:r>
      <w:r w:rsidR="00B5420C">
        <w:rPr>
          <w:rStyle w:val="FootnoteReference"/>
          <w:rFonts w:asciiTheme="majorHAnsi" w:hAnsiTheme="majorHAnsi"/>
          <w:sz w:val="20"/>
          <w:szCs w:val="20"/>
          <w:lang w:val="es-ES_tradnl"/>
        </w:rPr>
        <w:footnoteReference w:id="36"/>
      </w:r>
      <w:r w:rsidR="006F0A8E">
        <w:rPr>
          <w:rFonts w:asciiTheme="majorHAnsi" w:hAnsiTheme="majorHAnsi"/>
          <w:sz w:val="20"/>
          <w:szCs w:val="20"/>
          <w:lang w:val="es-ES_tradnl"/>
        </w:rPr>
        <w:t>. El Estado por otro lado, indicó que existe contradicción en los argumentos de la parte peticionaria, en tanto que en un momento señal</w:t>
      </w:r>
      <w:r>
        <w:rPr>
          <w:rFonts w:asciiTheme="majorHAnsi" w:hAnsiTheme="majorHAnsi"/>
          <w:sz w:val="20"/>
          <w:szCs w:val="20"/>
          <w:lang w:val="es-ES_tradnl"/>
        </w:rPr>
        <w:t>ó</w:t>
      </w:r>
      <w:r w:rsidR="006F0A8E">
        <w:rPr>
          <w:rFonts w:asciiTheme="majorHAnsi" w:hAnsiTheme="majorHAnsi"/>
          <w:sz w:val="20"/>
          <w:szCs w:val="20"/>
          <w:lang w:val="es-ES_tradnl"/>
        </w:rPr>
        <w:t xml:space="preserve"> que la decisión de salir del país fue autónoma y</w:t>
      </w:r>
      <w:r>
        <w:rPr>
          <w:rFonts w:asciiTheme="majorHAnsi" w:hAnsiTheme="majorHAnsi"/>
          <w:sz w:val="20"/>
          <w:szCs w:val="20"/>
          <w:lang w:val="es-ES_tradnl"/>
        </w:rPr>
        <w:t>,</w:t>
      </w:r>
      <w:r w:rsidR="006F0A8E">
        <w:rPr>
          <w:rFonts w:asciiTheme="majorHAnsi" w:hAnsiTheme="majorHAnsi"/>
          <w:sz w:val="20"/>
          <w:szCs w:val="20"/>
          <w:lang w:val="es-ES_tradnl"/>
        </w:rPr>
        <w:t xml:space="preserve"> posteriormente, cambiaron su versión</w:t>
      </w:r>
      <w:r>
        <w:rPr>
          <w:rFonts w:asciiTheme="majorHAnsi" w:hAnsiTheme="majorHAnsi"/>
          <w:sz w:val="20"/>
          <w:szCs w:val="20"/>
          <w:lang w:val="es-ES_tradnl"/>
        </w:rPr>
        <w:t xml:space="preserve"> señalando </w:t>
      </w:r>
      <w:r w:rsidR="006F0A8E">
        <w:rPr>
          <w:rFonts w:asciiTheme="majorHAnsi" w:hAnsiTheme="majorHAnsi"/>
          <w:sz w:val="20"/>
          <w:szCs w:val="20"/>
          <w:lang w:val="es-ES_tradnl"/>
        </w:rPr>
        <w:t>que la salida fue recomendada por el GAULA</w:t>
      </w:r>
      <w:r w:rsidR="006F0A8E">
        <w:rPr>
          <w:rStyle w:val="FootnoteReference"/>
          <w:rFonts w:asciiTheme="majorHAnsi" w:hAnsiTheme="majorHAnsi"/>
          <w:sz w:val="20"/>
          <w:szCs w:val="20"/>
          <w:lang w:val="es-ES_tradnl"/>
        </w:rPr>
        <w:footnoteReference w:id="37"/>
      </w:r>
      <w:r w:rsidR="007C7CEE">
        <w:rPr>
          <w:rFonts w:asciiTheme="majorHAnsi" w:hAnsiTheme="majorHAnsi"/>
          <w:sz w:val="20"/>
          <w:szCs w:val="20"/>
          <w:lang w:val="es-ES_tradnl"/>
        </w:rPr>
        <w:t>. Al</w:t>
      </w:r>
      <w:r w:rsidR="006F0A8E">
        <w:rPr>
          <w:rFonts w:asciiTheme="majorHAnsi" w:hAnsiTheme="majorHAnsi"/>
          <w:sz w:val="20"/>
          <w:szCs w:val="20"/>
          <w:lang w:val="es-ES_tradnl"/>
        </w:rPr>
        <w:t xml:space="preserve"> respecto, el Estado indicó que la parte peticionaria muestra “poca claridad sobre los hechos expuestos, así como tampoco expone prueba alguna en la que las autoridades realicen dicha recomendación”. Según Colombia, “</w:t>
      </w:r>
      <w:r w:rsidR="00F33932">
        <w:rPr>
          <w:rFonts w:asciiTheme="majorHAnsi" w:hAnsiTheme="majorHAnsi"/>
          <w:sz w:val="20"/>
          <w:szCs w:val="20"/>
          <w:lang w:val="es-ES_tradnl"/>
        </w:rPr>
        <w:t>la Policía Nacional no puede adelantar acciones de protección a favor de personas que se encuentran por fuera del país”</w:t>
      </w:r>
      <w:r w:rsidR="00F33932">
        <w:rPr>
          <w:rStyle w:val="FootnoteReference"/>
          <w:rFonts w:asciiTheme="majorHAnsi" w:hAnsiTheme="majorHAnsi"/>
          <w:sz w:val="20"/>
          <w:szCs w:val="20"/>
          <w:lang w:val="es-ES_tradnl"/>
        </w:rPr>
        <w:footnoteReference w:id="38"/>
      </w:r>
      <w:r w:rsidR="00F33932">
        <w:rPr>
          <w:rFonts w:asciiTheme="majorHAnsi" w:hAnsiTheme="majorHAnsi"/>
          <w:sz w:val="20"/>
          <w:szCs w:val="20"/>
          <w:lang w:val="es-ES_tradnl"/>
        </w:rPr>
        <w:t>.</w:t>
      </w:r>
      <w:r w:rsidR="00A83159">
        <w:rPr>
          <w:rFonts w:asciiTheme="majorHAnsi" w:hAnsiTheme="majorHAnsi"/>
          <w:sz w:val="20"/>
          <w:szCs w:val="20"/>
          <w:lang w:val="es-ES_tradnl"/>
        </w:rPr>
        <w:t xml:space="preserve"> </w:t>
      </w:r>
    </w:p>
    <w:p w14:paraId="62796FF3" w14:textId="77777777" w:rsidR="00D076A3" w:rsidRDefault="00D076A3" w:rsidP="001E3EBE">
      <w:pPr>
        <w:pStyle w:val="ListParagraph"/>
        <w:ind w:left="0"/>
        <w:rPr>
          <w:rFonts w:asciiTheme="majorHAnsi" w:hAnsiTheme="majorHAnsi"/>
          <w:sz w:val="20"/>
          <w:szCs w:val="20"/>
          <w:lang w:val="es-ES_tradnl"/>
        </w:rPr>
      </w:pPr>
    </w:p>
    <w:p w14:paraId="67C89EC2" w14:textId="77777777" w:rsidR="00EC74CA" w:rsidRDefault="00A83159"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ES_tradnl"/>
        </w:rPr>
      </w:pPr>
      <w:r>
        <w:rPr>
          <w:rFonts w:asciiTheme="majorHAnsi" w:hAnsiTheme="majorHAnsi"/>
          <w:sz w:val="20"/>
          <w:szCs w:val="20"/>
          <w:lang w:val="es-ES_tradnl"/>
        </w:rPr>
        <w:t xml:space="preserve">Al respecto la parte peticionaria indicó </w:t>
      </w:r>
      <w:r w:rsidR="0044699A">
        <w:rPr>
          <w:rFonts w:asciiTheme="majorHAnsi" w:hAnsiTheme="majorHAnsi"/>
          <w:sz w:val="20"/>
          <w:szCs w:val="20"/>
          <w:lang w:val="es-ES_tradnl"/>
        </w:rPr>
        <w:t>que “con antelación al 3 de marzo de 2000, la familia Betancourt acudió al Grupo GAULA solicitando la protección que requería; los funcionarios de este grupo manifestaron a las señor[a]s Esneda y Doris Betancourt</w:t>
      </w:r>
      <w:r w:rsidR="00D076A3">
        <w:rPr>
          <w:rFonts w:asciiTheme="majorHAnsi" w:hAnsiTheme="majorHAnsi"/>
          <w:sz w:val="20"/>
          <w:szCs w:val="20"/>
          <w:lang w:val="es-ES_tradnl"/>
        </w:rPr>
        <w:t xml:space="preserve"> Estrada que no tenían los elementos para protegerlos”</w:t>
      </w:r>
      <w:r w:rsidR="00D076A3">
        <w:rPr>
          <w:rStyle w:val="FootnoteReference"/>
          <w:rFonts w:asciiTheme="majorHAnsi" w:hAnsiTheme="majorHAnsi"/>
          <w:sz w:val="20"/>
          <w:szCs w:val="20"/>
          <w:lang w:val="es-ES_tradnl"/>
        </w:rPr>
        <w:footnoteReference w:id="39"/>
      </w:r>
      <w:r w:rsidR="00D076A3">
        <w:rPr>
          <w:rFonts w:asciiTheme="majorHAnsi" w:hAnsiTheme="majorHAnsi"/>
          <w:sz w:val="20"/>
          <w:szCs w:val="20"/>
          <w:lang w:val="es-ES_tradnl"/>
        </w:rPr>
        <w:t xml:space="preserve"> y la Comisión observa que en la respuesta de</w:t>
      </w:r>
      <w:r w:rsidR="00115E84">
        <w:rPr>
          <w:rFonts w:asciiTheme="majorHAnsi" w:hAnsiTheme="majorHAnsi"/>
          <w:sz w:val="20"/>
          <w:szCs w:val="20"/>
          <w:lang w:val="es-ES_tradnl"/>
        </w:rPr>
        <w:t xml:space="preserve">l 10 de marzo de 2000 el GAULA Regional Medellín remitió carta </w:t>
      </w:r>
      <w:r w:rsidR="00EC74CA">
        <w:rPr>
          <w:rFonts w:asciiTheme="majorHAnsi" w:hAnsiTheme="majorHAnsi"/>
          <w:sz w:val="20"/>
          <w:szCs w:val="20"/>
          <w:lang w:val="es-ES_tradnl"/>
        </w:rPr>
        <w:t xml:space="preserve">a la presunta víctima </w:t>
      </w:r>
      <w:r w:rsidR="00115E84">
        <w:rPr>
          <w:rFonts w:asciiTheme="majorHAnsi" w:hAnsiTheme="majorHAnsi"/>
          <w:sz w:val="20"/>
          <w:szCs w:val="20"/>
          <w:lang w:val="es-ES_tradnl"/>
        </w:rPr>
        <w:t xml:space="preserve">indicando </w:t>
      </w:r>
      <w:r w:rsidR="00EC74CA">
        <w:rPr>
          <w:rFonts w:asciiTheme="majorHAnsi" w:hAnsiTheme="majorHAnsi"/>
          <w:sz w:val="20"/>
          <w:szCs w:val="20"/>
          <w:lang w:val="es-ES_tradnl"/>
        </w:rPr>
        <w:t xml:space="preserve">lo siguiente:  </w:t>
      </w:r>
    </w:p>
    <w:p w14:paraId="167F5E62" w14:textId="77777777" w:rsidR="00EC74CA" w:rsidRDefault="00EC74CA" w:rsidP="001E3EBE">
      <w:pPr>
        <w:pStyle w:val="ListParagraph"/>
        <w:ind w:left="0"/>
        <w:rPr>
          <w:rFonts w:asciiTheme="majorHAnsi" w:hAnsiTheme="majorHAnsi"/>
          <w:sz w:val="20"/>
          <w:szCs w:val="20"/>
          <w:lang w:val="es-ES_tradnl"/>
        </w:rPr>
      </w:pPr>
    </w:p>
    <w:p w14:paraId="2F548A47" w14:textId="77777777" w:rsidR="00A83159" w:rsidRPr="00240F51" w:rsidRDefault="00FE4E04"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2" w:right="142"/>
        <w:jc w:val="both"/>
        <w:rPr>
          <w:rFonts w:asciiTheme="majorHAnsi" w:hAnsiTheme="majorHAnsi"/>
          <w:sz w:val="18"/>
          <w:szCs w:val="20"/>
          <w:lang w:val="es-ES_tradnl"/>
        </w:rPr>
      </w:pPr>
      <w:r w:rsidRPr="00240F51">
        <w:rPr>
          <w:rFonts w:asciiTheme="majorHAnsi" w:hAnsiTheme="majorHAnsi"/>
          <w:sz w:val="18"/>
          <w:szCs w:val="20"/>
          <w:lang w:val="es-ES_tradnl"/>
        </w:rPr>
        <w:t xml:space="preserve">(…) </w:t>
      </w:r>
      <w:r w:rsidR="00115E84" w:rsidRPr="00240F51">
        <w:rPr>
          <w:rFonts w:asciiTheme="majorHAnsi" w:hAnsiTheme="majorHAnsi"/>
          <w:sz w:val="18"/>
          <w:szCs w:val="20"/>
          <w:lang w:val="es-ES_tradnl"/>
        </w:rPr>
        <w:t xml:space="preserve">su solicitud [de protección] fue tramitada ante el Comando de la Policía Metropolitana del Valle de Aburrá y ante el Departamento de Seguridad DAR, seccional </w:t>
      </w:r>
      <w:r w:rsidR="007329F5" w:rsidRPr="00240F51">
        <w:rPr>
          <w:rFonts w:asciiTheme="majorHAnsi" w:hAnsiTheme="majorHAnsi"/>
          <w:sz w:val="18"/>
          <w:szCs w:val="20"/>
          <w:lang w:val="es-ES_tradnl"/>
        </w:rPr>
        <w:t>Medellín</w:t>
      </w:r>
      <w:r w:rsidR="00115E84" w:rsidRPr="00240F51">
        <w:rPr>
          <w:rFonts w:asciiTheme="majorHAnsi" w:hAnsiTheme="majorHAnsi"/>
          <w:sz w:val="18"/>
          <w:szCs w:val="20"/>
          <w:lang w:val="es-ES_tradnl"/>
        </w:rPr>
        <w:t xml:space="preserve">, </w:t>
      </w:r>
      <w:r w:rsidR="007329F5" w:rsidRPr="00240F51">
        <w:rPr>
          <w:rFonts w:asciiTheme="majorHAnsi" w:hAnsiTheme="majorHAnsi"/>
          <w:sz w:val="18"/>
          <w:szCs w:val="20"/>
          <w:lang w:val="es-ES_tradnl"/>
        </w:rPr>
        <w:t>mediante</w:t>
      </w:r>
      <w:r w:rsidR="00115E84" w:rsidRPr="00240F51">
        <w:rPr>
          <w:rFonts w:asciiTheme="majorHAnsi" w:hAnsiTheme="majorHAnsi"/>
          <w:sz w:val="18"/>
          <w:szCs w:val="20"/>
          <w:lang w:val="es-ES_tradnl"/>
        </w:rPr>
        <w:t xml:space="preserve"> los oficios No. 0399 y 0400 del 100300, respectivamente, entidades que cuentan con una mayor infraestructura para el cumplimiento de la protección solicitada, puesto que con el número de personal con que cuenta esta unidad, es insuficiente para combatir la problemática que presenta ese Departamento en los delitos de secuestro y extorsión, especialidad para la que fue[ron] cread[os] los grupos GAULA</w:t>
      </w:r>
      <w:r w:rsidR="00EC74CA" w:rsidRPr="00240F51">
        <w:rPr>
          <w:rFonts w:asciiTheme="majorHAnsi" w:hAnsiTheme="majorHAnsi"/>
          <w:sz w:val="18"/>
          <w:szCs w:val="20"/>
          <w:lang w:val="es-ES_tradnl"/>
        </w:rPr>
        <w:t xml:space="preserve"> (…) y limitación esta que no nos permite, ofrecer una protección personal a las víctimas de estos delitos, sino la asesoría e investigación de los diferentes casos que son denunciados a diarios</w:t>
      </w:r>
      <w:r w:rsidR="00EC74CA" w:rsidRPr="00240F51">
        <w:rPr>
          <w:rStyle w:val="FootnoteReference"/>
          <w:rFonts w:asciiTheme="majorHAnsi" w:hAnsiTheme="majorHAnsi"/>
          <w:sz w:val="18"/>
          <w:szCs w:val="20"/>
          <w:lang w:val="es-ES_tradnl"/>
        </w:rPr>
        <w:footnoteReference w:id="40"/>
      </w:r>
      <w:r w:rsidR="00EC74CA" w:rsidRPr="00240F51">
        <w:rPr>
          <w:rFonts w:asciiTheme="majorHAnsi" w:hAnsiTheme="majorHAnsi"/>
          <w:sz w:val="18"/>
          <w:szCs w:val="20"/>
          <w:lang w:val="es-ES_tradnl"/>
        </w:rPr>
        <w:t xml:space="preserve">. </w:t>
      </w:r>
    </w:p>
    <w:p w14:paraId="594993DE" w14:textId="77777777" w:rsidR="00A83159" w:rsidRDefault="00A83159" w:rsidP="001E3EBE">
      <w:pPr>
        <w:pStyle w:val="ListParagraph"/>
        <w:ind w:left="0"/>
        <w:rPr>
          <w:rFonts w:asciiTheme="majorHAnsi" w:hAnsiTheme="majorHAnsi"/>
          <w:sz w:val="20"/>
          <w:szCs w:val="20"/>
          <w:lang w:val="es-ES_tradnl"/>
        </w:rPr>
      </w:pPr>
    </w:p>
    <w:p w14:paraId="76BA8FD3" w14:textId="77777777" w:rsidR="00082A17" w:rsidRDefault="00367E8B"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ES_tradnl"/>
        </w:rPr>
      </w:pPr>
      <w:r>
        <w:rPr>
          <w:rFonts w:asciiTheme="majorHAnsi" w:hAnsiTheme="majorHAnsi"/>
          <w:sz w:val="20"/>
          <w:szCs w:val="20"/>
          <w:lang w:val="es-ES_tradnl"/>
        </w:rPr>
        <w:t>L</w:t>
      </w:r>
      <w:r w:rsidR="00277F85">
        <w:rPr>
          <w:rFonts w:asciiTheme="majorHAnsi" w:hAnsiTheme="majorHAnsi"/>
          <w:sz w:val="20"/>
          <w:szCs w:val="20"/>
          <w:lang w:val="es-ES_tradnl"/>
        </w:rPr>
        <w:t>a parte peticionaria indicó que el secuestro, la salida del territorio colombiano y la omisión de protección de seguridad por parte del Estado, ocasion</w:t>
      </w:r>
      <w:r w:rsidR="00BD6EC6">
        <w:rPr>
          <w:rFonts w:asciiTheme="majorHAnsi" w:hAnsiTheme="majorHAnsi"/>
          <w:sz w:val="20"/>
          <w:szCs w:val="20"/>
          <w:lang w:val="es-ES_tradnl"/>
        </w:rPr>
        <w:t xml:space="preserve">aron perjuicios patrimoniales y sufrimiento a la familia Betancourt. </w:t>
      </w:r>
      <w:r w:rsidR="009C3986">
        <w:rPr>
          <w:rFonts w:asciiTheme="majorHAnsi" w:hAnsiTheme="majorHAnsi"/>
          <w:sz w:val="20"/>
          <w:szCs w:val="20"/>
          <w:lang w:val="es-ES_tradnl"/>
        </w:rPr>
        <w:t xml:space="preserve">En su entender </w:t>
      </w:r>
      <w:r w:rsidR="007329F5">
        <w:rPr>
          <w:rFonts w:asciiTheme="majorHAnsi" w:hAnsiTheme="majorHAnsi"/>
          <w:sz w:val="20"/>
          <w:szCs w:val="20"/>
          <w:lang w:val="es-ES_tradnl"/>
        </w:rPr>
        <w:t xml:space="preserve">por </w:t>
      </w:r>
      <w:r w:rsidR="009C3986">
        <w:rPr>
          <w:rFonts w:asciiTheme="majorHAnsi" w:hAnsiTheme="majorHAnsi"/>
          <w:sz w:val="20"/>
          <w:szCs w:val="20"/>
          <w:lang w:val="es-ES_tradnl"/>
        </w:rPr>
        <w:t xml:space="preserve">“la desprotección </w:t>
      </w:r>
      <w:r>
        <w:rPr>
          <w:rFonts w:asciiTheme="majorHAnsi" w:hAnsiTheme="majorHAnsi"/>
          <w:sz w:val="20"/>
          <w:szCs w:val="20"/>
          <w:lang w:val="es-ES_tradnl"/>
        </w:rPr>
        <w:t xml:space="preserve">(…) </w:t>
      </w:r>
      <w:r w:rsidR="009C3986">
        <w:rPr>
          <w:rFonts w:asciiTheme="majorHAnsi" w:hAnsiTheme="majorHAnsi"/>
          <w:sz w:val="20"/>
          <w:szCs w:val="20"/>
          <w:lang w:val="es-ES_tradnl"/>
        </w:rPr>
        <w:t>por parte del Estado, [la familia] tuvo que dejar su único patrimonio a la deriva”</w:t>
      </w:r>
      <w:r w:rsidR="00BD6EC6">
        <w:rPr>
          <w:rStyle w:val="FootnoteReference"/>
          <w:rFonts w:asciiTheme="majorHAnsi" w:hAnsiTheme="majorHAnsi"/>
          <w:sz w:val="20"/>
          <w:szCs w:val="20"/>
          <w:lang w:val="es-ES_tradnl"/>
        </w:rPr>
        <w:footnoteReference w:id="41"/>
      </w:r>
      <w:r w:rsidR="009C3986">
        <w:rPr>
          <w:rFonts w:asciiTheme="majorHAnsi" w:hAnsiTheme="majorHAnsi"/>
          <w:sz w:val="20"/>
          <w:szCs w:val="20"/>
          <w:lang w:val="es-ES_tradnl"/>
        </w:rPr>
        <w:t>.</w:t>
      </w:r>
      <w:r w:rsidR="00BD6EC6">
        <w:rPr>
          <w:rFonts w:asciiTheme="majorHAnsi" w:hAnsiTheme="majorHAnsi"/>
          <w:sz w:val="20"/>
          <w:szCs w:val="20"/>
          <w:lang w:val="es-ES_tradnl"/>
        </w:rPr>
        <w:t xml:space="preserve"> De acuerdo con su relato, la </w:t>
      </w:r>
      <w:r w:rsidR="007C7CEE">
        <w:rPr>
          <w:rFonts w:asciiTheme="majorHAnsi" w:hAnsiTheme="majorHAnsi"/>
          <w:sz w:val="20"/>
          <w:szCs w:val="20"/>
          <w:lang w:val="es-ES_tradnl"/>
        </w:rPr>
        <w:t>no cancelación de impuestos debido al desbalance patrimonial por</w:t>
      </w:r>
      <w:r w:rsidR="00BD6EC6">
        <w:rPr>
          <w:rFonts w:asciiTheme="majorHAnsi" w:hAnsiTheme="majorHAnsi"/>
          <w:sz w:val="20"/>
          <w:szCs w:val="20"/>
          <w:lang w:val="es-ES_tradnl"/>
        </w:rPr>
        <w:t xml:space="preserve"> </w:t>
      </w:r>
      <w:r w:rsidR="007C7CEE">
        <w:rPr>
          <w:rFonts w:asciiTheme="majorHAnsi" w:hAnsiTheme="majorHAnsi"/>
          <w:sz w:val="20"/>
          <w:szCs w:val="20"/>
          <w:lang w:val="es-ES_tradnl"/>
        </w:rPr>
        <w:t xml:space="preserve">haber </w:t>
      </w:r>
      <w:r w:rsidR="00BD6EC6">
        <w:rPr>
          <w:rFonts w:asciiTheme="majorHAnsi" w:hAnsiTheme="majorHAnsi"/>
          <w:sz w:val="20"/>
          <w:szCs w:val="20"/>
          <w:lang w:val="es-ES_tradnl"/>
        </w:rPr>
        <w:t>paga</w:t>
      </w:r>
      <w:r w:rsidR="007C7CEE">
        <w:rPr>
          <w:rFonts w:asciiTheme="majorHAnsi" w:hAnsiTheme="majorHAnsi"/>
          <w:sz w:val="20"/>
          <w:szCs w:val="20"/>
          <w:lang w:val="es-ES_tradnl"/>
        </w:rPr>
        <w:t xml:space="preserve">do </w:t>
      </w:r>
      <w:r w:rsidR="00BD6EC6">
        <w:rPr>
          <w:rFonts w:asciiTheme="majorHAnsi" w:hAnsiTheme="majorHAnsi"/>
          <w:sz w:val="20"/>
          <w:szCs w:val="20"/>
          <w:lang w:val="es-ES_tradnl"/>
        </w:rPr>
        <w:t xml:space="preserve">el rescate del señor Betancourt generó la condena penal a la señora Estrada, </w:t>
      </w:r>
      <w:r w:rsidR="007329F5">
        <w:rPr>
          <w:rFonts w:asciiTheme="majorHAnsi" w:hAnsiTheme="majorHAnsi"/>
          <w:sz w:val="20"/>
          <w:szCs w:val="20"/>
          <w:lang w:val="es-ES_tradnl"/>
        </w:rPr>
        <w:t>la liquidación y quiebra de</w:t>
      </w:r>
      <w:r w:rsidR="00241814">
        <w:rPr>
          <w:rFonts w:asciiTheme="majorHAnsi" w:hAnsiTheme="majorHAnsi"/>
          <w:sz w:val="20"/>
          <w:szCs w:val="20"/>
          <w:lang w:val="es-ES_tradnl"/>
        </w:rPr>
        <w:t xml:space="preserve"> las empresas, </w:t>
      </w:r>
      <w:r w:rsidR="007329F5">
        <w:rPr>
          <w:rFonts w:asciiTheme="majorHAnsi" w:hAnsiTheme="majorHAnsi"/>
          <w:sz w:val="20"/>
          <w:szCs w:val="20"/>
          <w:lang w:val="es-ES_tradnl"/>
        </w:rPr>
        <w:t>el embargo de inmuebles</w:t>
      </w:r>
      <w:r w:rsidR="00241814">
        <w:rPr>
          <w:rFonts w:asciiTheme="majorHAnsi" w:hAnsiTheme="majorHAnsi"/>
          <w:sz w:val="20"/>
          <w:szCs w:val="20"/>
          <w:lang w:val="es-ES_tradnl"/>
        </w:rPr>
        <w:t xml:space="preserve"> por falta de pago de hipotecas, </w:t>
      </w:r>
      <w:r w:rsidR="007329F5">
        <w:rPr>
          <w:rFonts w:asciiTheme="majorHAnsi" w:hAnsiTheme="majorHAnsi"/>
          <w:sz w:val="20"/>
          <w:szCs w:val="20"/>
          <w:lang w:val="es-ES_tradnl"/>
        </w:rPr>
        <w:t xml:space="preserve">la venta de </w:t>
      </w:r>
      <w:r w:rsidR="00241814">
        <w:rPr>
          <w:rFonts w:asciiTheme="majorHAnsi" w:hAnsiTheme="majorHAnsi"/>
          <w:sz w:val="20"/>
          <w:szCs w:val="20"/>
          <w:lang w:val="es-ES_tradnl"/>
        </w:rPr>
        <w:t>propiedades y vehículos, así como que “el señor Betancourt se vio obligado a alejarse de todas las instituciones y grupos sociales a los que pertenecía por su nueva condición económica, y la presión social, económic</w:t>
      </w:r>
      <w:r w:rsidR="00C9328B">
        <w:rPr>
          <w:rFonts w:asciiTheme="majorHAnsi" w:hAnsiTheme="majorHAnsi"/>
          <w:sz w:val="20"/>
          <w:szCs w:val="20"/>
          <w:lang w:val="es-ES_tradnl"/>
        </w:rPr>
        <w:t>a y emocional a la que ha sido s</w:t>
      </w:r>
      <w:r w:rsidR="00241814">
        <w:rPr>
          <w:rFonts w:asciiTheme="majorHAnsi" w:hAnsiTheme="majorHAnsi"/>
          <w:sz w:val="20"/>
          <w:szCs w:val="20"/>
          <w:lang w:val="es-ES_tradnl"/>
        </w:rPr>
        <w:t>ometida la familia (…) ha generado la desintegración familiar, l</w:t>
      </w:r>
      <w:r w:rsidR="00C9328B">
        <w:rPr>
          <w:rFonts w:asciiTheme="majorHAnsi" w:hAnsiTheme="majorHAnsi"/>
          <w:sz w:val="20"/>
          <w:szCs w:val="20"/>
          <w:lang w:val="es-ES_tradnl"/>
        </w:rPr>
        <w:t>levándolo hasta el divorcio, y e</w:t>
      </w:r>
      <w:r w:rsidR="00241814">
        <w:rPr>
          <w:rFonts w:asciiTheme="majorHAnsi" w:hAnsiTheme="majorHAnsi"/>
          <w:sz w:val="20"/>
          <w:szCs w:val="20"/>
          <w:lang w:val="es-ES_tradnl"/>
        </w:rPr>
        <w:t>l rechazo de sus hijos, pues por él tuvieron que suspender sus estudios y alterar su estilo de vida”</w:t>
      </w:r>
      <w:r w:rsidR="00241814">
        <w:rPr>
          <w:rStyle w:val="FootnoteReference"/>
          <w:rFonts w:asciiTheme="majorHAnsi" w:hAnsiTheme="majorHAnsi"/>
          <w:sz w:val="20"/>
          <w:szCs w:val="20"/>
          <w:lang w:val="es-ES_tradnl"/>
        </w:rPr>
        <w:footnoteReference w:id="42"/>
      </w:r>
      <w:r w:rsidR="00241814">
        <w:rPr>
          <w:rFonts w:asciiTheme="majorHAnsi" w:hAnsiTheme="majorHAnsi"/>
          <w:sz w:val="20"/>
          <w:szCs w:val="20"/>
          <w:lang w:val="es-ES_tradnl"/>
        </w:rPr>
        <w:t>.</w:t>
      </w:r>
    </w:p>
    <w:p w14:paraId="6E2C8C3C" w14:textId="77777777" w:rsidR="00082A17" w:rsidRDefault="00082A17"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_tradnl"/>
        </w:rPr>
      </w:pPr>
    </w:p>
    <w:p w14:paraId="3E0CB9EE" w14:textId="77777777" w:rsidR="00925E09" w:rsidRPr="002F74F0" w:rsidRDefault="00241814"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ES_tradnl"/>
        </w:rPr>
      </w:pPr>
      <w:r>
        <w:rPr>
          <w:rFonts w:asciiTheme="majorHAnsi" w:hAnsiTheme="majorHAnsi"/>
          <w:sz w:val="20"/>
          <w:szCs w:val="20"/>
          <w:lang w:val="es-ES_tradnl"/>
        </w:rPr>
        <w:t>L</w:t>
      </w:r>
      <w:r w:rsidR="002F74F0">
        <w:rPr>
          <w:rFonts w:asciiTheme="majorHAnsi" w:hAnsiTheme="majorHAnsi"/>
          <w:sz w:val="20"/>
          <w:szCs w:val="20"/>
          <w:lang w:val="es-ES_tradnl"/>
        </w:rPr>
        <w:t>a parte peticionaria incorporó al expediente</w:t>
      </w:r>
      <w:r>
        <w:rPr>
          <w:rFonts w:asciiTheme="majorHAnsi" w:hAnsiTheme="majorHAnsi"/>
          <w:sz w:val="20"/>
          <w:szCs w:val="20"/>
          <w:lang w:val="es-ES_tradnl"/>
        </w:rPr>
        <w:t xml:space="preserve"> varios</w:t>
      </w:r>
      <w:r w:rsidR="002F74F0">
        <w:rPr>
          <w:rFonts w:asciiTheme="majorHAnsi" w:hAnsiTheme="majorHAnsi"/>
          <w:sz w:val="20"/>
          <w:szCs w:val="20"/>
          <w:lang w:val="es-ES_tradnl"/>
        </w:rPr>
        <w:t xml:space="preserve"> documentos financieros,</w:t>
      </w:r>
      <w:r>
        <w:rPr>
          <w:rFonts w:asciiTheme="majorHAnsi" w:hAnsiTheme="majorHAnsi"/>
          <w:sz w:val="20"/>
          <w:szCs w:val="20"/>
          <w:lang w:val="es-ES_tradnl"/>
        </w:rPr>
        <w:t xml:space="preserve"> aunque</w:t>
      </w:r>
      <w:r w:rsidR="002F74F0">
        <w:rPr>
          <w:rFonts w:asciiTheme="majorHAnsi" w:hAnsiTheme="majorHAnsi"/>
          <w:sz w:val="20"/>
          <w:szCs w:val="20"/>
          <w:lang w:val="es-ES_tradnl"/>
        </w:rPr>
        <w:t xml:space="preserve"> no brindó explicación en detalle de la conexión entre dichos documentos y </w:t>
      </w:r>
      <w:r>
        <w:rPr>
          <w:rFonts w:asciiTheme="majorHAnsi" w:hAnsiTheme="majorHAnsi"/>
          <w:sz w:val="20"/>
          <w:szCs w:val="20"/>
          <w:lang w:val="es-ES_tradnl"/>
        </w:rPr>
        <w:t>los perjuicios</w:t>
      </w:r>
      <w:r w:rsidR="002F74F0">
        <w:rPr>
          <w:rFonts w:asciiTheme="majorHAnsi" w:hAnsiTheme="majorHAnsi"/>
          <w:sz w:val="20"/>
          <w:szCs w:val="20"/>
          <w:lang w:val="es-ES_tradnl"/>
        </w:rPr>
        <w:t xml:space="preserve"> alegado</w:t>
      </w:r>
      <w:r w:rsidR="00C9328B">
        <w:rPr>
          <w:rFonts w:asciiTheme="majorHAnsi" w:hAnsiTheme="majorHAnsi"/>
          <w:sz w:val="20"/>
          <w:szCs w:val="20"/>
          <w:lang w:val="es-ES_tradnl"/>
        </w:rPr>
        <w:t xml:space="preserve">s, más allá de </w:t>
      </w:r>
      <w:r w:rsidR="007C7CEE">
        <w:rPr>
          <w:rFonts w:asciiTheme="majorHAnsi" w:hAnsiTheme="majorHAnsi"/>
          <w:sz w:val="20"/>
          <w:szCs w:val="20"/>
          <w:lang w:val="es-ES_tradnl"/>
        </w:rPr>
        <w:t>l</w:t>
      </w:r>
      <w:r w:rsidR="00C9328B">
        <w:rPr>
          <w:rFonts w:asciiTheme="majorHAnsi" w:hAnsiTheme="majorHAnsi"/>
          <w:sz w:val="20"/>
          <w:szCs w:val="20"/>
          <w:lang w:val="es-ES_tradnl"/>
        </w:rPr>
        <w:t>o  referido</w:t>
      </w:r>
      <w:r>
        <w:rPr>
          <w:rFonts w:asciiTheme="majorHAnsi" w:hAnsiTheme="majorHAnsi"/>
          <w:sz w:val="20"/>
          <w:szCs w:val="20"/>
          <w:lang w:val="es-ES_tradnl"/>
        </w:rPr>
        <w:t xml:space="preserve"> en el párrafo </w:t>
      </w:r>
      <w:r w:rsidR="00C9328B">
        <w:rPr>
          <w:rFonts w:asciiTheme="majorHAnsi" w:hAnsiTheme="majorHAnsi"/>
          <w:sz w:val="20"/>
          <w:szCs w:val="20"/>
          <w:lang w:val="es-ES_tradnl"/>
        </w:rPr>
        <w:t>precedente</w:t>
      </w:r>
      <w:r w:rsidR="002F74F0">
        <w:rPr>
          <w:rFonts w:asciiTheme="majorHAnsi" w:hAnsiTheme="majorHAnsi"/>
          <w:sz w:val="20"/>
          <w:szCs w:val="20"/>
          <w:lang w:val="es-ES_tradnl"/>
        </w:rPr>
        <w:t>. Sin perjuicio de lo anterior, la CIDH deja constancia de</w:t>
      </w:r>
      <w:r w:rsidR="007F533B">
        <w:rPr>
          <w:rFonts w:asciiTheme="majorHAnsi" w:hAnsiTheme="majorHAnsi"/>
          <w:sz w:val="20"/>
          <w:szCs w:val="20"/>
          <w:lang w:val="es-ES_tradnl"/>
        </w:rPr>
        <w:t xml:space="preserve"> haber recibido dicha documentación</w:t>
      </w:r>
      <w:r w:rsidR="00D74B7B">
        <w:rPr>
          <w:rStyle w:val="FootnoteReference"/>
          <w:rFonts w:asciiTheme="majorHAnsi" w:hAnsiTheme="majorHAnsi"/>
          <w:sz w:val="20"/>
          <w:szCs w:val="20"/>
          <w:lang w:val="es-ES_tradnl"/>
        </w:rPr>
        <w:footnoteReference w:id="43"/>
      </w:r>
      <w:r w:rsidR="00D74B7B">
        <w:rPr>
          <w:rFonts w:asciiTheme="majorHAnsi" w:hAnsiTheme="majorHAnsi"/>
          <w:sz w:val="20"/>
          <w:szCs w:val="20"/>
          <w:lang w:val="es-ES_tradnl"/>
        </w:rPr>
        <w:t>.</w:t>
      </w:r>
    </w:p>
    <w:p w14:paraId="0945BB1A" w14:textId="77777777" w:rsidR="00C50D6B" w:rsidRPr="00775AA2" w:rsidRDefault="00C50D6B"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_tradnl"/>
        </w:rPr>
      </w:pPr>
    </w:p>
    <w:p w14:paraId="53278D8A" w14:textId="77777777" w:rsidR="0064632B" w:rsidRDefault="0064632B" w:rsidP="001E3EBE">
      <w:pPr>
        <w:pStyle w:val="Heading3"/>
        <w:ind w:left="0" w:firstLine="0"/>
        <w:rPr>
          <w:lang w:val="es-ES_tradnl"/>
        </w:rPr>
      </w:pPr>
      <w:bookmarkStart w:id="22" w:name="_Toc394820750"/>
      <w:bookmarkStart w:id="23" w:name="_Toc70437017"/>
      <w:r w:rsidRPr="0064632B">
        <w:rPr>
          <w:lang w:val="es-ES_tradnl"/>
        </w:rPr>
        <w:lastRenderedPageBreak/>
        <w:t xml:space="preserve">La investigación </w:t>
      </w:r>
      <w:r w:rsidR="00871819">
        <w:rPr>
          <w:lang w:val="es-ES_tradnl"/>
        </w:rPr>
        <w:t>judicial</w:t>
      </w:r>
      <w:r>
        <w:rPr>
          <w:lang w:val="es-ES_tradnl"/>
        </w:rPr>
        <w:t xml:space="preserve"> del secuestro</w:t>
      </w:r>
      <w:bookmarkEnd w:id="22"/>
      <w:bookmarkEnd w:id="23"/>
      <w:r>
        <w:rPr>
          <w:lang w:val="es-ES_tradnl"/>
        </w:rPr>
        <w:t xml:space="preserve"> </w:t>
      </w:r>
    </w:p>
    <w:p w14:paraId="2F6DD0B5" w14:textId="77777777" w:rsidR="00871819" w:rsidRPr="0064632B" w:rsidRDefault="00871819" w:rsidP="001E3EBE">
      <w:pPr>
        <w:pStyle w:val="ListParagraph"/>
        <w:ind w:left="0"/>
        <w:rPr>
          <w:rFonts w:asciiTheme="majorHAnsi" w:hAnsiTheme="majorHAnsi"/>
          <w:b/>
          <w:color w:val="auto"/>
          <w:sz w:val="20"/>
          <w:szCs w:val="20"/>
          <w:lang w:val="es-ES_tradnl"/>
        </w:rPr>
      </w:pPr>
    </w:p>
    <w:p w14:paraId="22EC86F9" w14:textId="77777777" w:rsidR="00E05243" w:rsidRDefault="002D7C86"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color w:val="FF0000"/>
          <w:sz w:val="20"/>
          <w:szCs w:val="20"/>
          <w:lang w:val="es-ES_tradnl"/>
        </w:rPr>
      </w:pPr>
      <w:r>
        <w:rPr>
          <w:rFonts w:asciiTheme="majorHAnsi" w:hAnsiTheme="majorHAnsi"/>
          <w:sz w:val="20"/>
          <w:szCs w:val="20"/>
          <w:lang w:val="es-ES_tradnl"/>
        </w:rPr>
        <w:t xml:space="preserve">Tal como se indicó en este informe, la denuncia </w:t>
      </w:r>
      <w:r w:rsidR="001E7D74">
        <w:rPr>
          <w:rFonts w:asciiTheme="majorHAnsi" w:hAnsiTheme="majorHAnsi"/>
          <w:sz w:val="20"/>
          <w:szCs w:val="20"/>
          <w:lang w:val="es-ES_tradnl"/>
        </w:rPr>
        <w:t xml:space="preserve">del secuestro </w:t>
      </w:r>
      <w:r>
        <w:rPr>
          <w:rFonts w:asciiTheme="majorHAnsi" w:hAnsiTheme="majorHAnsi"/>
          <w:sz w:val="20"/>
          <w:szCs w:val="20"/>
          <w:lang w:val="es-ES_tradnl"/>
        </w:rPr>
        <w:t>fue interpuesta el día 15 de noviembre d</w:t>
      </w:r>
      <w:r w:rsidR="00E05243">
        <w:rPr>
          <w:rFonts w:asciiTheme="majorHAnsi" w:hAnsiTheme="majorHAnsi"/>
          <w:sz w:val="20"/>
          <w:szCs w:val="20"/>
          <w:lang w:val="es-ES_tradnl"/>
        </w:rPr>
        <w:t xml:space="preserve">e 1999 por el señor Echeverry. </w:t>
      </w:r>
      <w:r w:rsidR="00E05243" w:rsidRPr="00E05243">
        <w:rPr>
          <w:rFonts w:asciiTheme="majorHAnsi" w:hAnsiTheme="majorHAnsi"/>
          <w:sz w:val="20"/>
          <w:szCs w:val="20"/>
          <w:lang w:val="es-ES_tradnl"/>
        </w:rPr>
        <w:t xml:space="preserve">De acuerdo con </w:t>
      </w:r>
      <w:r w:rsidR="00E05243">
        <w:rPr>
          <w:rFonts w:asciiTheme="majorHAnsi" w:hAnsiTheme="majorHAnsi"/>
          <w:sz w:val="20"/>
          <w:szCs w:val="20"/>
          <w:lang w:val="es-ES_tradnl"/>
        </w:rPr>
        <w:t>su declaración</w:t>
      </w:r>
      <w:r w:rsidR="00B507C1">
        <w:rPr>
          <w:rFonts w:asciiTheme="majorHAnsi" w:hAnsiTheme="majorHAnsi"/>
          <w:sz w:val="20"/>
          <w:szCs w:val="20"/>
          <w:lang w:val="es-ES_tradnl"/>
        </w:rPr>
        <w:t xml:space="preserve">, </w:t>
      </w:r>
      <w:r w:rsidR="00E05243" w:rsidRPr="00E05243">
        <w:rPr>
          <w:rFonts w:asciiTheme="majorHAnsi" w:hAnsiTheme="majorHAnsi"/>
          <w:sz w:val="20"/>
          <w:szCs w:val="20"/>
          <w:lang w:val="es-ES_tradnl"/>
        </w:rPr>
        <w:t>los hechos sucedieron</w:t>
      </w:r>
      <w:r w:rsidR="001A01DC">
        <w:rPr>
          <w:rFonts w:asciiTheme="majorHAnsi" w:hAnsiTheme="majorHAnsi"/>
          <w:sz w:val="20"/>
          <w:szCs w:val="20"/>
          <w:lang w:val="es-ES_tradnl"/>
        </w:rPr>
        <w:t xml:space="preserve"> así</w:t>
      </w:r>
      <w:r w:rsidR="00E05243" w:rsidRPr="00E05243">
        <w:rPr>
          <w:rFonts w:asciiTheme="majorHAnsi" w:hAnsiTheme="majorHAnsi"/>
          <w:sz w:val="20"/>
          <w:szCs w:val="20"/>
          <w:lang w:val="es-ES_tradnl"/>
        </w:rPr>
        <w:t xml:space="preserve">: </w:t>
      </w:r>
    </w:p>
    <w:p w14:paraId="6702C26A" w14:textId="77777777" w:rsidR="00E05243" w:rsidRDefault="00E05243"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_tradnl"/>
        </w:rPr>
      </w:pPr>
    </w:p>
    <w:p w14:paraId="6FE9530B" w14:textId="77777777" w:rsidR="00E05243" w:rsidRPr="00240F51" w:rsidRDefault="00E05243"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2" w:right="142"/>
        <w:jc w:val="both"/>
        <w:rPr>
          <w:rFonts w:asciiTheme="majorHAnsi" w:hAnsiTheme="majorHAnsi"/>
          <w:b/>
          <w:color w:val="FF0000"/>
          <w:sz w:val="18"/>
          <w:szCs w:val="20"/>
          <w:lang w:val="es-ES_tradnl"/>
        </w:rPr>
      </w:pPr>
      <w:r w:rsidRPr="00240F51">
        <w:rPr>
          <w:rFonts w:asciiTheme="majorHAnsi" w:hAnsiTheme="majorHAnsi"/>
          <w:sz w:val="18"/>
          <w:szCs w:val="20"/>
          <w:lang w:val="es-ES_tradnl"/>
        </w:rPr>
        <w:t>[nos encontrábamos] en la sala de la casa de la finca NORMANDÍA, de propiedad del secuestrado CARLOS ARTURO, (…), estaban mis hermanas y sus esposos entre ellos MARÍA, NAZARETH, GERMÁN esposo NAZARETH y LIZANDRO esposo de MARÍA. Y en ese momento salí yo de la pieza a unirme a otro grupo de amigos invitados por CARLOS ARTURO, entre ellos DARÍO y MARIO, recuerdo (…) que estaban fuera en el corredor de la misma casa (…) cuando entraron desde el camino, afuera en la manga de la finca, como dos o tres tipos, vestidos de civil con su cara tapada con pasamontañas, portando subametralladora, pistola y uno con fusil (…) y llevaban encañonado al hijo de CARLOS ARTURO, que se llama CARLOS DAVID y tiene como 16 años y no sé para donde había salido, creo que a jugar billar a la casa del mayordomo de esa finca que está como a cincuenta metros, más o menos, llegaron a pie, llegaron hasta el corredor donde nos encontrábamos y ahí mismo nos hicieron entrar a todos a la casa, allá dentro de la casa nos juntaron a todos y preguntaron que quiénes más habían y luego preguntaron que quién era el señor CARLOS ARTURO BETANC[O]UR[T] y él se presentó y salieron a dialogar (…)  de ahí nos dijeron que cerráramos todas las puertas que echáramos llave y que las llaves las enviaban con el mayordomo para que nos abriera y pidieron las llaves de algunos carros, entre ellos las llaves del taxi de mi propiedad (…), nosotros sentimos que prendieron varios carros, a unos los movieron para un lado, a otros les desinflaron las llantas y se fueron</w:t>
      </w:r>
      <w:r w:rsidRPr="00240F51">
        <w:rPr>
          <w:rStyle w:val="FootnoteReference"/>
          <w:rFonts w:asciiTheme="majorHAnsi" w:hAnsiTheme="majorHAnsi"/>
          <w:sz w:val="18"/>
          <w:szCs w:val="20"/>
          <w:lang w:val="es-ES_tradnl"/>
        </w:rPr>
        <w:footnoteReference w:id="44"/>
      </w:r>
      <w:r w:rsidR="0007527D" w:rsidRPr="00240F51">
        <w:rPr>
          <w:rFonts w:asciiTheme="majorHAnsi" w:hAnsiTheme="majorHAnsi"/>
          <w:sz w:val="18"/>
          <w:szCs w:val="20"/>
          <w:lang w:val="es-ES_tradnl"/>
        </w:rPr>
        <w:t>.</w:t>
      </w:r>
    </w:p>
    <w:p w14:paraId="6523B478" w14:textId="77777777" w:rsidR="00E05243" w:rsidRPr="00E05243" w:rsidRDefault="00E05243"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color w:val="FF0000"/>
          <w:sz w:val="20"/>
          <w:szCs w:val="20"/>
          <w:lang w:val="es-ES_tradnl"/>
        </w:rPr>
      </w:pPr>
    </w:p>
    <w:p w14:paraId="25CF59F4" w14:textId="77777777" w:rsidR="00993796" w:rsidRDefault="00993796"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color w:val="FF0000"/>
          <w:sz w:val="20"/>
          <w:szCs w:val="20"/>
          <w:lang w:val="es-ES_tradnl"/>
        </w:rPr>
      </w:pPr>
      <w:r>
        <w:rPr>
          <w:rFonts w:asciiTheme="majorHAnsi" w:hAnsiTheme="majorHAnsi"/>
          <w:sz w:val="20"/>
          <w:szCs w:val="20"/>
          <w:lang w:val="es-ES_tradnl"/>
        </w:rPr>
        <w:t xml:space="preserve">En su denuncia el señor Echeverry fue preguntado por el GAULA si </w:t>
      </w:r>
      <w:r w:rsidR="00EB2282">
        <w:rPr>
          <w:rFonts w:asciiTheme="majorHAnsi" w:hAnsiTheme="majorHAnsi"/>
          <w:sz w:val="20"/>
          <w:szCs w:val="20"/>
          <w:lang w:val="es-ES_tradnl"/>
        </w:rPr>
        <w:t xml:space="preserve">la presunta víctima había sufrido </w:t>
      </w:r>
      <w:r>
        <w:rPr>
          <w:rFonts w:asciiTheme="majorHAnsi" w:hAnsiTheme="majorHAnsi"/>
          <w:sz w:val="20"/>
          <w:szCs w:val="20"/>
          <w:lang w:val="es-ES_tradnl"/>
        </w:rPr>
        <w:t>este tipo de atentados o similares, o si se encontraba amenazado, a lo que contestó que no conocía</w:t>
      </w:r>
      <w:r>
        <w:rPr>
          <w:rStyle w:val="FootnoteReference"/>
          <w:rFonts w:asciiTheme="majorHAnsi" w:hAnsiTheme="majorHAnsi"/>
          <w:sz w:val="20"/>
          <w:szCs w:val="20"/>
          <w:lang w:val="es-ES_tradnl"/>
        </w:rPr>
        <w:footnoteReference w:id="45"/>
      </w:r>
      <w:r>
        <w:rPr>
          <w:rFonts w:asciiTheme="majorHAnsi" w:hAnsiTheme="majorHAnsi"/>
          <w:sz w:val="20"/>
          <w:szCs w:val="20"/>
          <w:lang w:val="es-ES_tradnl"/>
        </w:rPr>
        <w:t>.</w:t>
      </w:r>
    </w:p>
    <w:p w14:paraId="1EBAB0DF" w14:textId="77777777" w:rsidR="00993796" w:rsidRPr="00993796" w:rsidRDefault="00993796"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color w:val="FF0000"/>
          <w:sz w:val="20"/>
          <w:szCs w:val="20"/>
          <w:lang w:val="es-ES_tradnl"/>
        </w:rPr>
      </w:pPr>
    </w:p>
    <w:p w14:paraId="7B201C92" w14:textId="77777777" w:rsidR="009719E7" w:rsidRPr="009719E7" w:rsidRDefault="00495A85"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color w:val="FF0000"/>
          <w:sz w:val="20"/>
          <w:szCs w:val="20"/>
          <w:lang w:val="es-ES_tradnl"/>
        </w:rPr>
      </w:pPr>
      <w:r>
        <w:rPr>
          <w:rFonts w:asciiTheme="majorHAnsi" w:hAnsiTheme="majorHAnsi"/>
          <w:sz w:val="20"/>
          <w:szCs w:val="20"/>
          <w:lang w:val="es-ES_tradnl"/>
        </w:rPr>
        <w:t>E</w:t>
      </w:r>
      <w:r w:rsidR="00277FAF">
        <w:rPr>
          <w:rFonts w:asciiTheme="majorHAnsi" w:hAnsiTheme="majorHAnsi"/>
          <w:sz w:val="20"/>
          <w:szCs w:val="20"/>
          <w:lang w:val="es-ES_tradnl"/>
        </w:rPr>
        <w:t xml:space="preserve">l día 18 de </w:t>
      </w:r>
      <w:r w:rsidR="002D7C86">
        <w:rPr>
          <w:rFonts w:asciiTheme="majorHAnsi" w:hAnsiTheme="majorHAnsi"/>
          <w:sz w:val="20"/>
          <w:szCs w:val="20"/>
          <w:lang w:val="es-ES_tradnl"/>
        </w:rPr>
        <w:t xml:space="preserve">noviembre del mismo año, </w:t>
      </w:r>
      <w:r w:rsidR="00277FAF">
        <w:rPr>
          <w:rFonts w:asciiTheme="majorHAnsi" w:hAnsiTheme="majorHAnsi"/>
          <w:sz w:val="20"/>
          <w:szCs w:val="20"/>
          <w:lang w:val="es-ES_tradnl"/>
        </w:rPr>
        <w:t>la Fiscalía Delegada ante el GAULA urbano No. 2 de Medellín ordenó la apertura de investigación previa, “con el fin de iniciar o no el ejercicio de la acción penal” a raíz del secuestro de Carlos Arturo Betancourt Estada</w:t>
      </w:r>
      <w:r w:rsidR="00277FAF">
        <w:rPr>
          <w:rStyle w:val="FootnoteReference"/>
          <w:rFonts w:asciiTheme="majorHAnsi" w:hAnsiTheme="majorHAnsi"/>
          <w:sz w:val="20"/>
          <w:szCs w:val="20"/>
          <w:lang w:val="es-ES_tradnl"/>
        </w:rPr>
        <w:footnoteReference w:id="46"/>
      </w:r>
      <w:r w:rsidR="002D7C86">
        <w:rPr>
          <w:rFonts w:asciiTheme="majorHAnsi" w:hAnsiTheme="majorHAnsi"/>
          <w:sz w:val="20"/>
          <w:szCs w:val="20"/>
          <w:lang w:val="es-ES_tradnl"/>
        </w:rPr>
        <w:t xml:space="preserve"> y el robo del vehículo del señor Echeverry</w:t>
      </w:r>
      <w:r w:rsidR="002A678D">
        <w:rPr>
          <w:rFonts w:asciiTheme="majorHAnsi" w:hAnsiTheme="majorHAnsi"/>
          <w:sz w:val="20"/>
          <w:szCs w:val="20"/>
          <w:lang w:val="es-ES_tradnl"/>
        </w:rPr>
        <w:t>.</w:t>
      </w:r>
      <w:r w:rsidR="002D7C86">
        <w:rPr>
          <w:rFonts w:asciiTheme="majorHAnsi" w:hAnsiTheme="majorHAnsi"/>
          <w:sz w:val="20"/>
          <w:szCs w:val="20"/>
          <w:lang w:val="es-ES_tradnl"/>
        </w:rPr>
        <w:t xml:space="preserve"> </w:t>
      </w:r>
      <w:r w:rsidR="002A678D">
        <w:rPr>
          <w:rFonts w:asciiTheme="majorHAnsi" w:hAnsiTheme="majorHAnsi"/>
          <w:sz w:val="20"/>
          <w:szCs w:val="20"/>
          <w:lang w:val="es-ES_tradnl"/>
        </w:rPr>
        <w:t>R</w:t>
      </w:r>
      <w:r w:rsidR="002D7C86">
        <w:rPr>
          <w:rFonts w:asciiTheme="majorHAnsi" w:hAnsiTheme="majorHAnsi"/>
          <w:sz w:val="20"/>
          <w:szCs w:val="20"/>
          <w:lang w:val="es-ES_tradnl"/>
        </w:rPr>
        <w:t xml:space="preserve">especto del hallazgo del vehículo y las pruebas practicadas al mismo, la Comisión se remite a lo ya descrito </w:t>
      </w:r>
      <w:r w:rsidR="0073528A">
        <w:rPr>
          <w:rFonts w:asciiTheme="majorHAnsi" w:hAnsiTheme="majorHAnsi"/>
          <w:sz w:val="20"/>
          <w:szCs w:val="20"/>
          <w:lang w:val="es-ES_tradnl"/>
        </w:rPr>
        <w:t>en</w:t>
      </w:r>
      <w:r w:rsidR="002D7C86">
        <w:rPr>
          <w:rFonts w:asciiTheme="majorHAnsi" w:hAnsiTheme="majorHAnsi"/>
          <w:sz w:val="20"/>
          <w:szCs w:val="20"/>
          <w:lang w:val="es-ES_tradnl"/>
        </w:rPr>
        <w:t xml:space="preserve"> este informe.</w:t>
      </w:r>
      <w:r w:rsidR="00993796">
        <w:rPr>
          <w:rFonts w:asciiTheme="majorHAnsi" w:hAnsiTheme="majorHAnsi"/>
          <w:sz w:val="20"/>
          <w:szCs w:val="20"/>
          <w:lang w:val="es-ES_tradnl"/>
        </w:rPr>
        <w:t xml:space="preserve"> Asimismo, la Comisión reitera lo señalado en relación con el pedido del GAULA de investigación de los números telefónicos proporcionados por la familia del señor Betancourt. </w:t>
      </w:r>
      <w:r w:rsidR="0073528A">
        <w:rPr>
          <w:rFonts w:asciiTheme="majorHAnsi" w:hAnsiTheme="majorHAnsi"/>
          <w:sz w:val="20"/>
          <w:szCs w:val="20"/>
          <w:lang w:val="es-ES_tradnl"/>
        </w:rPr>
        <w:t>Adicionalmente, la CIDH deja constancia</w:t>
      </w:r>
      <w:r w:rsidR="005174B2">
        <w:rPr>
          <w:rFonts w:asciiTheme="majorHAnsi" w:hAnsiTheme="majorHAnsi"/>
          <w:sz w:val="20"/>
          <w:szCs w:val="20"/>
          <w:lang w:val="es-ES_tradnl"/>
        </w:rPr>
        <w:t xml:space="preserve"> de</w:t>
      </w:r>
      <w:r w:rsidR="0073528A">
        <w:rPr>
          <w:rFonts w:asciiTheme="majorHAnsi" w:hAnsiTheme="majorHAnsi"/>
          <w:sz w:val="20"/>
          <w:szCs w:val="20"/>
          <w:lang w:val="es-ES_tradnl"/>
        </w:rPr>
        <w:t xml:space="preserve"> que el </w:t>
      </w:r>
      <w:r w:rsidR="007C75D8">
        <w:rPr>
          <w:rFonts w:asciiTheme="majorHAnsi" w:hAnsiTheme="majorHAnsi"/>
          <w:sz w:val="20"/>
          <w:szCs w:val="20"/>
          <w:lang w:val="es-ES_tradnl"/>
        </w:rPr>
        <w:t>Fiscal</w:t>
      </w:r>
      <w:r w:rsidR="0073528A">
        <w:rPr>
          <w:rFonts w:asciiTheme="majorHAnsi" w:hAnsiTheme="majorHAnsi"/>
          <w:sz w:val="20"/>
          <w:szCs w:val="20"/>
          <w:lang w:val="es-ES_tradnl"/>
        </w:rPr>
        <w:t xml:space="preserve"> corrió traslado del inicio de la investigación </w:t>
      </w:r>
      <w:r w:rsidR="007C75D8">
        <w:rPr>
          <w:rFonts w:asciiTheme="majorHAnsi" w:hAnsiTheme="majorHAnsi"/>
          <w:sz w:val="20"/>
          <w:szCs w:val="20"/>
          <w:lang w:val="es-ES_tradnl"/>
        </w:rPr>
        <w:t>al Procurador Judicial</w:t>
      </w:r>
      <w:r w:rsidR="007C75D8">
        <w:rPr>
          <w:rStyle w:val="FootnoteReference"/>
          <w:rFonts w:asciiTheme="majorHAnsi" w:hAnsiTheme="majorHAnsi"/>
          <w:sz w:val="20"/>
          <w:szCs w:val="20"/>
          <w:lang w:val="es-ES_tradnl"/>
        </w:rPr>
        <w:footnoteReference w:id="47"/>
      </w:r>
      <w:r w:rsidR="007C75D8">
        <w:rPr>
          <w:rFonts w:asciiTheme="majorHAnsi" w:hAnsiTheme="majorHAnsi"/>
          <w:sz w:val="20"/>
          <w:szCs w:val="20"/>
          <w:lang w:val="es-ES_tradnl"/>
        </w:rPr>
        <w:t>, la Unidad Antiextorsión y Secuestro “CONASE”</w:t>
      </w:r>
      <w:r w:rsidR="007C75D8">
        <w:rPr>
          <w:rStyle w:val="FootnoteReference"/>
          <w:rFonts w:asciiTheme="majorHAnsi" w:hAnsiTheme="majorHAnsi"/>
          <w:sz w:val="20"/>
          <w:szCs w:val="20"/>
          <w:lang w:val="es-ES_tradnl"/>
        </w:rPr>
        <w:footnoteReference w:id="48"/>
      </w:r>
      <w:r w:rsidR="007C75D8">
        <w:rPr>
          <w:rFonts w:asciiTheme="majorHAnsi" w:hAnsiTheme="majorHAnsi"/>
          <w:sz w:val="20"/>
          <w:szCs w:val="20"/>
          <w:lang w:val="es-ES_tradnl"/>
        </w:rPr>
        <w:t>, al Programa Presidencial de Lucha contra el Secuestro</w:t>
      </w:r>
      <w:r w:rsidR="007C75D8">
        <w:rPr>
          <w:rStyle w:val="FootnoteReference"/>
          <w:rFonts w:asciiTheme="majorHAnsi" w:hAnsiTheme="majorHAnsi"/>
          <w:sz w:val="20"/>
          <w:szCs w:val="20"/>
          <w:lang w:val="es-ES_tradnl"/>
        </w:rPr>
        <w:footnoteReference w:id="49"/>
      </w:r>
      <w:r w:rsidR="007C75D8">
        <w:rPr>
          <w:rFonts w:asciiTheme="majorHAnsi" w:hAnsiTheme="majorHAnsi"/>
          <w:sz w:val="20"/>
          <w:szCs w:val="20"/>
          <w:lang w:val="es-ES_tradnl"/>
        </w:rPr>
        <w:t xml:space="preserve"> y al Coordinador de la Fiscalía Especializada</w:t>
      </w:r>
      <w:r w:rsidR="007C75D8">
        <w:rPr>
          <w:rStyle w:val="FootnoteReference"/>
          <w:rFonts w:asciiTheme="majorHAnsi" w:hAnsiTheme="majorHAnsi"/>
          <w:sz w:val="20"/>
          <w:szCs w:val="20"/>
          <w:lang w:val="es-ES_tradnl"/>
        </w:rPr>
        <w:footnoteReference w:id="50"/>
      </w:r>
      <w:r w:rsidR="007C75D8">
        <w:rPr>
          <w:rFonts w:asciiTheme="majorHAnsi" w:hAnsiTheme="majorHAnsi"/>
          <w:sz w:val="20"/>
          <w:szCs w:val="20"/>
          <w:lang w:val="es-ES_tradnl"/>
        </w:rPr>
        <w:t>.</w:t>
      </w:r>
    </w:p>
    <w:p w14:paraId="19F50AC5" w14:textId="77777777" w:rsidR="009719E7" w:rsidRDefault="009719E7" w:rsidP="001E3EBE">
      <w:pPr>
        <w:pStyle w:val="ListParagraph"/>
        <w:ind w:left="0"/>
        <w:rPr>
          <w:rFonts w:asciiTheme="majorHAnsi" w:hAnsiTheme="majorHAnsi"/>
          <w:sz w:val="20"/>
          <w:szCs w:val="20"/>
          <w:lang w:val="es-ES_tradnl"/>
        </w:rPr>
      </w:pPr>
    </w:p>
    <w:p w14:paraId="68AAF99C" w14:textId="77777777" w:rsidR="004D2720" w:rsidRPr="009719E7" w:rsidRDefault="0073528A"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color w:val="FF0000"/>
          <w:sz w:val="20"/>
          <w:szCs w:val="20"/>
          <w:lang w:val="es-ES_tradnl"/>
        </w:rPr>
      </w:pPr>
      <w:r w:rsidRPr="009719E7">
        <w:rPr>
          <w:rFonts w:asciiTheme="majorHAnsi" w:hAnsiTheme="majorHAnsi"/>
          <w:sz w:val="20"/>
          <w:szCs w:val="20"/>
          <w:lang w:val="es-ES_tradnl"/>
        </w:rPr>
        <w:t>En estos términos, entre la captura y la liberación</w:t>
      </w:r>
      <w:r w:rsidR="00993796" w:rsidRPr="009719E7">
        <w:rPr>
          <w:rFonts w:asciiTheme="majorHAnsi" w:hAnsiTheme="majorHAnsi"/>
          <w:sz w:val="20"/>
          <w:szCs w:val="20"/>
          <w:lang w:val="es-ES_tradnl"/>
        </w:rPr>
        <w:t>, tal como el Estado informó a la CIDH, las principales actuaciones investigativas corresponden a la toma de declaración al señor Echeverry, la recuperación del vehículo robado, la prestación de la asesoría en la negociación con los captores, la investigación de las líneas telefónicas ya mencionadas con anterioridad</w:t>
      </w:r>
      <w:r w:rsidR="00993796">
        <w:rPr>
          <w:rStyle w:val="FootnoteReference"/>
          <w:rFonts w:asciiTheme="majorHAnsi" w:hAnsiTheme="majorHAnsi"/>
          <w:sz w:val="20"/>
          <w:szCs w:val="20"/>
          <w:lang w:val="es-ES_tradnl"/>
        </w:rPr>
        <w:footnoteReference w:id="51"/>
      </w:r>
      <w:r w:rsidRPr="009719E7">
        <w:rPr>
          <w:rFonts w:asciiTheme="majorHAnsi" w:hAnsiTheme="majorHAnsi"/>
          <w:sz w:val="20"/>
          <w:szCs w:val="20"/>
          <w:lang w:val="es-ES_tradnl"/>
        </w:rPr>
        <w:t xml:space="preserve"> y el oficio a otros entes para la coordinación de la búsqueda reseñados en el párrafo anterior.</w:t>
      </w:r>
      <w:r w:rsidR="0047583A">
        <w:rPr>
          <w:rFonts w:asciiTheme="majorHAnsi" w:hAnsiTheme="majorHAnsi"/>
          <w:sz w:val="20"/>
          <w:szCs w:val="20"/>
          <w:lang w:val="es-ES_tradnl"/>
        </w:rPr>
        <w:t xml:space="preserve"> No se cuenta con información sobre si este último oficio dio lugar a acciones coordinadas por parte de las entidades estatales referidas. De la información disponible se desprende que la actuación </w:t>
      </w:r>
      <w:r w:rsidR="006479D7">
        <w:rPr>
          <w:rFonts w:asciiTheme="majorHAnsi" w:hAnsiTheme="majorHAnsi"/>
          <w:sz w:val="20"/>
          <w:szCs w:val="20"/>
          <w:lang w:val="es-ES_tradnl"/>
        </w:rPr>
        <w:t xml:space="preserve">estatal </w:t>
      </w:r>
      <w:r w:rsidR="0047583A">
        <w:rPr>
          <w:rFonts w:asciiTheme="majorHAnsi" w:hAnsiTheme="majorHAnsi"/>
          <w:sz w:val="20"/>
          <w:szCs w:val="20"/>
          <w:lang w:val="es-ES_tradnl"/>
        </w:rPr>
        <w:t xml:space="preserve">en este marco temporal se limitó a lo descrito. </w:t>
      </w:r>
    </w:p>
    <w:p w14:paraId="0236D1E8" w14:textId="77777777" w:rsidR="009719E7" w:rsidRDefault="009719E7" w:rsidP="001E3EBE">
      <w:pPr>
        <w:pStyle w:val="ListParagraph"/>
        <w:ind w:left="0"/>
        <w:rPr>
          <w:rFonts w:asciiTheme="majorHAnsi" w:hAnsiTheme="majorHAnsi"/>
          <w:b/>
          <w:color w:val="FF0000"/>
          <w:sz w:val="20"/>
          <w:szCs w:val="20"/>
          <w:lang w:val="es-ES_tradnl"/>
        </w:rPr>
      </w:pPr>
    </w:p>
    <w:p w14:paraId="0C1F6AE8" w14:textId="77777777" w:rsidR="009719E7" w:rsidRPr="008B3D12" w:rsidRDefault="00AE608B"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color w:val="FF0000"/>
          <w:sz w:val="20"/>
          <w:szCs w:val="20"/>
          <w:lang w:val="es-ES_tradnl"/>
        </w:rPr>
      </w:pPr>
      <w:r>
        <w:rPr>
          <w:rFonts w:asciiTheme="majorHAnsi" w:hAnsiTheme="majorHAnsi"/>
          <w:sz w:val="20"/>
          <w:szCs w:val="20"/>
          <w:lang w:val="es-ES_tradnl"/>
        </w:rPr>
        <w:t>Con fecha p</w:t>
      </w:r>
      <w:r w:rsidR="009719E7">
        <w:rPr>
          <w:rFonts w:asciiTheme="majorHAnsi" w:hAnsiTheme="majorHAnsi"/>
          <w:sz w:val="20"/>
          <w:szCs w:val="20"/>
          <w:lang w:val="es-ES_tradnl"/>
        </w:rPr>
        <w:t xml:space="preserve">osterior a la liberación de la presunta víctima, </w:t>
      </w:r>
      <w:r>
        <w:rPr>
          <w:rFonts w:asciiTheme="majorHAnsi" w:hAnsiTheme="majorHAnsi"/>
          <w:sz w:val="20"/>
          <w:szCs w:val="20"/>
          <w:lang w:val="es-ES_tradnl"/>
        </w:rPr>
        <w:t xml:space="preserve">figura otro informe </w:t>
      </w:r>
      <w:r w:rsidR="00FB4759">
        <w:rPr>
          <w:rFonts w:asciiTheme="majorHAnsi" w:hAnsiTheme="majorHAnsi"/>
          <w:sz w:val="20"/>
          <w:szCs w:val="20"/>
          <w:lang w:val="es-ES_tradnl"/>
        </w:rPr>
        <w:t xml:space="preserve">en el que se da cuenta de otras diligencias practicadas por el GAULA. La Comisión observa que el informe da cuenta de que “no se le pudo tomar declaración juramentada a los familiares que se encontraban en la finca en el momento que ocurrieron los hechos debido a que las hermanas de la víctima desconocían quienes eran exactamente” estas personas. Asimismo, la CIDH toma nota de que tampoco se pudo localizar al señor Echeverry para que </w:t>
      </w:r>
      <w:r w:rsidR="00260E5C">
        <w:rPr>
          <w:rFonts w:asciiTheme="majorHAnsi" w:hAnsiTheme="majorHAnsi"/>
          <w:sz w:val="20"/>
          <w:szCs w:val="20"/>
          <w:lang w:val="es-ES_tradnl"/>
        </w:rPr>
        <w:t xml:space="preserve">ampliara </w:t>
      </w:r>
      <w:r w:rsidR="00FB4759">
        <w:rPr>
          <w:rFonts w:asciiTheme="majorHAnsi" w:hAnsiTheme="majorHAnsi"/>
          <w:sz w:val="20"/>
          <w:szCs w:val="20"/>
          <w:lang w:val="es-ES_tradnl"/>
        </w:rPr>
        <w:t xml:space="preserve">su declaración. Seguidamente, también se da cuenta de que las labores de inteligencia realizadas </w:t>
      </w:r>
      <w:r w:rsidR="008B3D12">
        <w:rPr>
          <w:rFonts w:asciiTheme="majorHAnsi" w:hAnsiTheme="majorHAnsi"/>
          <w:sz w:val="20"/>
          <w:szCs w:val="20"/>
          <w:lang w:val="es-ES_tradnl"/>
        </w:rPr>
        <w:t>según las cuales</w:t>
      </w:r>
      <w:r w:rsidR="00FB4759">
        <w:rPr>
          <w:rFonts w:asciiTheme="majorHAnsi" w:hAnsiTheme="majorHAnsi"/>
          <w:sz w:val="20"/>
          <w:szCs w:val="20"/>
          <w:lang w:val="es-ES_tradnl"/>
        </w:rPr>
        <w:t xml:space="preserve">, </w:t>
      </w:r>
      <w:r w:rsidR="00FB4759">
        <w:rPr>
          <w:rFonts w:asciiTheme="majorHAnsi" w:hAnsiTheme="majorHAnsi"/>
          <w:sz w:val="20"/>
          <w:szCs w:val="20"/>
          <w:lang w:val="es-ES_tradnl"/>
        </w:rPr>
        <w:lastRenderedPageBreak/>
        <w:t xml:space="preserve">a partir de nombres mencionados en cartas escritas por la presunta víctima durante su </w:t>
      </w:r>
      <w:r w:rsidR="008B3D12">
        <w:rPr>
          <w:rFonts w:asciiTheme="majorHAnsi" w:hAnsiTheme="majorHAnsi"/>
          <w:sz w:val="20"/>
          <w:szCs w:val="20"/>
          <w:lang w:val="es-ES_tradnl"/>
        </w:rPr>
        <w:t>secuestro</w:t>
      </w:r>
      <w:r w:rsidR="00FB4759">
        <w:rPr>
          <w:rFonts w:asciiTheme="majorHAnsi" w:hAnsiTheme="majorHAnsi"/>
          <w:sz w:val="20"/>
          <w:szCs w:val="20"/>
          <w:lang w:val="es-ES_tradnl"/>
        </w:rPr>
        <w:t xml:space="preserve">, </w:t>
      </w:r>
      <w:r w:rsidR="008B3D12">
        <w:rPr>
          <w:rFonts w:asciiTheme="majorHAnsi" w:hAnsiTheme="majorHAnsi"/>
          <w:sz w:val="20"/>
          <w:szCs w:val="20"/>
          <w:lang w:val="es-ES_tradnl"/>
        </w:rPr>
        <w:t>el GAULA concluyó que existían dos personas más compartiendo el cautiverio con el señor Betancourt y, a partir de esta información, se informó que el grupo plagiario era “una disidencia del grupo guerrillero BERNARDO LOPEZ ARROYAVE del ELN”.</w:t>
      </w:r>
      <w:r w:rsidR="008B3D12">
        <w:rPr>
          <w:rStyle w:val="FootnoteReference"/>
          <w:rFonts w:asciiTheme="majorHAnsi" w:hAnsiTheme="majorHAnsi"/>
          <w:sz w:val="20"/>
          <w:szCs w:val="20"/>
          <w:lang w:val="es-ES_tradnl"/>
        </w:rPr>
        <w:footnoteReference w:id="52"/>
      </w:r>
      <w:r w:rsidR="008B3D12">
        <w:rPr>
          <w:rFonts w:asciiTheme="majorHAnsi" w:hAnsiTheme="majorHAnsi"/>
          <w:sz w:val="20"/>
          <w:szCs w:val="20"/>
          <w:lang w:val="es-ES_tradnl"/>
        </w:rPr>
        <w:t xml:space="preserve">. </w:t>
      </w:r>
    </w:p>
    <w:p w14:paraId="2C54ED8C" w14:textId="77777777" w:rsidR="008B3D12" w:rsidRDefault="008B3D12" w:rsidP="001E3EBE">
      <w:pPr>
        <w:pStyle w:val="ListParagraph"/>
        <w:ind w:left="0"/>
        <w:rPr>
          <w:rFonts w:asciiTheme="majorHAnsi" w:hAnsiTheme="majorHAnsi"/>
          <w:b/>
          <w:color w:val="FF0000"/>
          <w:sz w:val="20"/>
          <w:szCs w:val="20"/>
          <w:lang w:val="es-ES_tradnl"/>
        </w:rPr>
      </w:pPr>
    </w:p>
    <w:p w14:paraId="5129E539" w14:textId="77777777" w:rsidR="00D37993" w:rsidRPr="00D37993" w:rsidRDefault="00463338"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color w:val="FF0000"/>
          <w:sz w:val="20"/>
          <w:szCs w:val="20"/>
          <w:lang w:val="es-ES_tradnl"/>
        </w:rPr>
      </w:pPr>
      <w:r>
        <w:rPr>
          <w:rFonts w:asciiTheme="majorHAnsi" w:hAnsiTheme="majorHAnsi"/>
          <w:sz w:val="20"/>
          <w:szCs w:val="20"/>
          <w:lang w:val="es-ES_tradnl"/>
        </w:rPr>
        <w:t>La Comisión observa que el 16 de agosto de 2000 rindió testimonio el señor Hernán Duque Salazar</w:t>
      </w:r>
      <w:r w:rsidR="005A5B34">
        <w:rPr>
          <w:rFonts w:asciiTheme="majorHAnsi" w:hAnsiTheme="majorHAnsi"/>
          <w:sz w:val="20"/>
          <w:szCs w:val="20"/>
          <w:lang w:val="es-ES_tradnl"/>
        </w:rPr>
        <w:t xml:space="preserve"> ante el GAULA. </w:t>
      </w:r>
      <w:r w:rsidR="009B52AE">
        <w:rPr>
          <w:rFonts w:asciiTheme="majorHAnsi" w:hAnsiTheme="majorHAnsi"/>
          <w:sz w:val="20"/>
          <w:szCs w:val="20"/>
          <w:lang w:val="es-ES_tradnl"/>
        </w:rPr>
        <w:t>S</w:t>
      </w:r>
      <w:r w:rsidR="005A5B34">
        <w:rPr>
          <w:rFonts w:asciiTheme="majorHAnsi" w:hAnsiTheme="majorHAnsi"/>
          <w:sz w:val="20"/>
          <w:szCs w:val="20"/>
          <w:lang w:val="es-ES_tradnl"/>
        </w:rPr>
        <w:t>eñaló que las negociaciones de la familia con los captores se realiz</w:t>
      </w:r>
      <w:r w:rsidR="00260E5C">
        <w:rPr>
          <w:rFonts w:asciiTheme="majorHAnsi" w:hAnsiTheme="majorHAnsi"/>
          <w:sz w:val="20"/>
          <w:szCs w:val="20"/>
          <w:lang w:val="es-ES_tradnl"/>
        </w:rPr>
        <w:t>aron</w:t>
      </w:r>
      <w:r w:rsidR="005A5B34">
        <w:rPr>
          <w:rFonts w:asciiTheme="majorHAnsi" w:hAnsiTheme="majorHAnsi"/>
          <w:sz w:val="20"/>
          <w:szCs w:val="20"/>
          <w:lang w:val="es-ES_tradnl"/>
        </w:rPr>
        <w:t xml:space="preserve"> de modo muy reservado. </w:t>
      </w:r>
      <w:r w:rsidR="00CC2E97">
        <w:rPr>
          <w:rFonts w:asciiTheme="majorHAnsi" w:hAnsiTheme="majorHAnsi"/>
          <w:sz w:val="20"/>
          <w:szCs w:val="20"/>
          <w:lang w:val="es-ES_tradnl"/>
        </w:rPr>
        <w:t xml:space="preserve">Describió que su participación, a solicitud de la familia, consistió en </w:t>
      </w:r>
      <w:r w:rsidR="00516835">
        <w:rPr>
          <w:rFonts w:asciiTheme="majorHAnsi" w:hAnsiTheme="majorHAnsi"/>
          <w:sz w:val="20"/>
          <w:szCs w:val="20"/>
          <w:lang w:val="es-ES_tradnl"/>
        </w:rPr>
        <w:t xml:space="preserve">colaboración en </w:t>
      </w:r>
      <w:r w:rsidR="00CC2E97">
        <w:rPr>
          <w:rFonts w:asciiTheme="majorHAnsi" w:hAnsiTheme="majorHAnsi"/>
          <w:sz w:val="20"/>
          <w:szCs w:val="20"/>
          <w:lang w:val="es-ES_tradnl"/>
        </w:rPr>
        <w:t xml:space="preserve">las tratativas de modo presencial con los captores, por lo que el 4 de diciembre de 1999 recibió una prueba de vida del señor Betancourt (carta) situación en la que observó a dos personas una vestida de civil y otra uniformada, y a quienes describió físicamente en su testimonio. </w:t>
      </w:r>
      <w:r w:rsidR="00A43D6B">
        <w:rPr>
          <w:rFonts w:asciiTheme="majorHAnsi" w:hAnsiTheme="majorHAnsi"/>
          <w:sz w:val="20"/>
          <w:szCs w:val="20"/>
          <w:lang w:val="es-ES_tradnl"/>
        </w:rPr>
        <w:t>Agreg</w:t>
      </w:r>
      <w:r w:rsidR="00A43D6B">
        <w:rPr>
          <w:sz w:val="20"/>
          <w:szCs w:val="20"/>
          <w:lang w:val="es-ES_tradnl" w:eastAsia="ja-JP"/>
        </w:rPr>
        <w:t>ó que</w:t>
      </w:r>
      <w:r w:rsidR="000B1554">
        <w:rPr>
          <w:rFonts w:asciiTheme="majorHAnsi" w:hAnsiTheme="majorHAnsi"/>
          <w:sz w:val="20"/>
          <w:szCs w:val="20"/>
          <w:lang w:val="es-ES_tradnl"/>
        </w:rPr>
        <w:t xml:space="preserve"> realizó este tipo de encargos (traslado de documentos, entrega de medicamentos, etc.) dos veces más, en las que fue dirigido a</w:t>
      </w:r>
      <w:r w:rsidR="0071222A">
        <w:rPr>
          <w:rFonts w:asciiTheme="majorHAnsi" w:hAnsiTheme="majorHAnsi"/>
          <w:sz w:val="20"/>
          <w:szCs w:val="20"/>
          <w:lang w:val="es-ES_tradnl"/>
        </w:rPr>
        <w:t xml:space="preserve"> lugares</w:t>
      </w:r>
      <w:r w:rsidR="000B1554">
        <w:rPr>
          <w:rFonts w:asciiTheme="majorHAnsi" w:hAnsiTheme="majorHAnsi"/>
          <w:sz w:val="20"/>
          <w:szCs w:val="20"/>
          <w:lang w:val="es-ES_tradnl"/>
        </w:rPr>
        <w:t xml:space="preserve"> específic</w:t>
      </w:r>
      <w:r w:rsidR="0071222A">
        <w:rPr>
          <w:rFonts w:asciiTheme="majorHAnsi" w:hAnsiTheme="majorHAnsi"/>
          <w:sz w:val="20"/>
          <w:szCs w:val="20"/>
          <w:lang w:val="es-ES_tradnl"/>
        </w:rPr>
        <w:t>o</w:t>
      </w:r>
      <w:r w:rsidR="000B1554">
        <w:rPr>
          <w:rFonts w:asciiTheme="majorHAnsi" w:hAnsiTheme="majorHAnsi"/>
          <w:sz w:val="20"/>
          <w:szCs w:val="20"/>
          <w:lang w:val="es-ES_tradnl"/>
        </w:rPr>
        <w:t xml:space="preserve">s </w:t>
      </w:r>
      <w:r w:rsidR="00260E5C">
        <w:rPr>
          <w:rFonts w:asciiTheme="majorHAnsi" w:hAnsiTheme="majorHAnsi"/>
          <w:sz w:val="20"/>
          <w:szCs w:val="20"/>
          <w:lang w:val="es-ES_tradnl"/>
        </w:rPr>
        <w:t xml:space="preserve">donde </w:t>
      </w:r>
      <w:r w:rsidR="000B1554">
        <w:rPr>
          <w:rFonts w:asciiTheme="majorHAnsi" w:hAnsiTheme="majorHAnsi"/>
          <w:sz w:val="20"/>
          <w:szCs w:val="20"/>
          <w:lang w:val="es-ES_tradnl"/>
        </w:rPr>
        <w:t>se encontró con los captores con diferentes finalidades, siendo la última la entrega del dinero y el posterior recojo del señor Betancourt. En su testimonio, el señor Duque relató que tuvo contacto directo y hablado con los captores, un total de 10 guerrilleros fuertemente armados</w:t>
      </w:r>
      <w:r w:rsidR="00D37993">
        <w:rPr>
          <w:rStyle w:val="FootnoteReference"/>
          <w:rFonts w:asciiTheme="majorHAnsi" w:hAnsiTheme="majorHAnsi"/>
          <w:sz w:val="20"/>
          <w:szCs w:val="20"/>
          <w:lang w:val="es-ES_tradnl"/>
        </w:rPr>
        <w:footnoteReference w:id="53"/>
      </w:r>
      <w:r w:rsidR="000B1554">
        <w:rPr>
          <w:rFonts w:asciiTheme="majorHAnsi" w:hAnsiTheme="majorHAnsi"/>
          <w:sz w:val="20"/>
          <w:szCs w:val="20"/>
          <w:lang w:val="es-ES_tradnl"/>
        </w:rPr>
        <w:t xml:space="preserve"> </w:t>
      </w:r>
      <w:r w:rsidR="00D37993">
        <w:rPr>
          <w:rFonts w:asciiTheme="majorHAnsi" w:hAnsiTheme="majorHAnsi"/>
          <w:sz w:val="20"/>
          <w:szCs w:val="20"/>
          <w:lang w:val="es-ES_tradnl"/>
        </w:rPr>
        <w:t>.</w:t>
      </w:r>
    </w:p>
    <w:p w14:paraId="4F4B9057" w14:textId="77777777" w:rsidR="00D37993" w:rsidRPr="00D37993" w:rsidRDefault="00D37993"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color w:val="FF0000"/>
          <w:sz w:val="20"/>
          <w:szCs w:val="20"/>
          <w:lang w:val="es-ES_tradnl"/>
        </w:rPr>
      </w:pPr>
    </w:p>
    <w:p w14:paraId="20ED267C" w14:textId="77777777" w:rsidR="006A6C53" w:rsidRPr="006A6C53" w:rsidRDefault="00D37993"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color w:val="FF0000"/>
          <w:sz w:val="20"/>
          <w:szCs w:val="20"/>
          <w:lang w:val="es-ES_tradnl"/>
        </w:rPr>
      </w:pPr>
      <w:r>
        <w:rPr>
          <w:rFonts w:asciiTheme="majorHAnsi" w:hAnsiTheme="majorHAnsi"/>
          <w:sz w:val="20"/>
          <w:szCs w:val="20"/>
          <w:lang w:val="es-ES_tradnl"/>
        </w:rPr>
        <w:t>El 5 de septiembre de 2003, el Fiscal Jefe de las Fiscalías Especializadas resolvió suspender la investigación previa por el delito de secuestro contra Carlos Arturo Betancourt Est</w:t>
      </w:r>
      <w:r w:rsidR="00D01513">
        <w:rPr>
          <w:rFonts w:asciiTheme="majorHAnsi" w:hAnsiTheme="majorHAnsi"/>
          <w:sz w:val="20"/>
          <w:szCs w:val="20"/>
          <w:lang w:val="es-ES_tradnl"/>
        </w:rPr>
        <w:t>r</w:t>
      </w:r>
      <w:r>
        <w:rPr>
          <w:rFonts w:asciiTheme="majorHAnsi" w:hAnsiTheme="majorHAnsi"/>
          <w:sz w:val="20"/>
          <w:szCs w:val="20"/>
          <w:lang w:val="es-ES_tradnl"/>
        </w:rPr>
        <w:t>ada</w:t>
      </w:r>
      <w:r w:rsidR="00F35FDE">
        <w:rPr>
          <w:rFonts w:asciiTheme="majorHAnsi" w:hAnsiTheme="majorHAnsi"/>
          <w:sz w:val="20"/>
          <w:szCs w:val="20"/>
          <w:lang w:val="es-ES_tradnl"/>
        </w:rPr>
        <w:t xml:space="preserve"> por exceder el tiempo máximo para la investigación tras la realización de las actuaciones judiciales</w:t>
      </w:r>
      <w:r w:rsidR="00F35FDE">
        <w:rPr>
          <w:rStyle w:val="FootnoteReference"/>
          <w:rFonts w:asciiTheme="majorHAnsi" w:hAnsiTheme="majorHAnsi"/>
          <w:sz w:val="20"/>
          <w:szCs w:val="20"/>
          <w:lang w:val="es-ES_tradnl"/>
        </w:rPr>
        <w:footnoteReference w:id="54"/>
      </w:r>
      <w:r w:rsidR="00861622">
        <w:rPr>
          <w:rFonts w:asciiTheme="majorHAnsi" w:hAnsiTheme="majorHAnsi"/>
          <w:sz w:val="20"/>
          <w:szCs w:val="20"/>
          <w:lang w:val="es-ES_tradnl"/>
        </w:rPr>
        <w:t>.</w:t>
      </w:r>
    </w:p>
    <w:p w14:paraId="44EA2476" w14:textId="77777777" w:rsidR="006A6C53" w:rsidRDefault="006A6C53" w:rsidP="001E3EBE">
      <w:pPr>
        <w:pStyle w:val="ListParagraph"/>
        <w:ind w:left="0"/>
        <w:rPr>
          <w:rFonts w:asciiTheme="majorHAnsi" w:hAnsiTheme="majorHAnsi"/>
          <w:sz w:val="20"/>
          <w:szCs w:val="20"/>
          <w:lang w:val="es-ES_tradnl"/>
        </w:rPr>
      </w:pPr>
    </w:p>
    <w:p w14:paraId="65858C4C" w14:textId="77777777" w:rsidR="00A62D4D" w:rsidRPr="00455232" w:rsidRDefault="006A6C53"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color w:val="FF0000"/>
          <w:sz w:val="20"/>
          <w:szCs w:val="20"/>
          <w:lang w:val="es-ES_tradnl"/>
        </w:rPr>
      </w:pPr>
      <w:r>
        <w:rPr>
          <w:rFonts w:asciiTheme="majorHAnsi" w:hAnsiTheme="majorHAnsi"/>
          <w:sz w:val="20"/>
          <w:szCs w:val="20"/>
          <w:lang w:val="es-ES_tradnl"/>
        </w:rPr>
        <w:t xml:space="preserve">Respecto de las acciones posteriores, el Estado señaló que el caso fue “desarchivado” y que se practicaron diversas diligencias </w:t>
      </w:r>
      <w:r w:rsidR="005A0A43">
        <w:rPr>
          <w:rFonts w:asciiTheme="majorHAnsi" w:hAnsiTheme="majorHAnsi"/>
          <w:sz w:val="20"/>
          <w:szCs w:val="20"/>
          <w:lang w:val="es-ES_tradnl"/>
        </w:rPr>
        <w:t>posteriormente</w:t>
      </w:r>
      <w:r>
        <w:rPr>
          <w:rFonts w:asciiTheme="majorHAnsi" w:hAnsiTheme="majorHAnsi"/>
          <w:sz w:val="20"/>
          <w:szCs w:val="20"/>
          <w:lang w:val="es-ES_tradnl"/>
        </w:rPr>
        <w:t xml:space="preserve">. Pese a que se no se adjuntan documentos </w:t>
      </w:r>
      <w:r w:rsidR="00516835">
        <w:rPr>
          <w:rFonts w:asciiTheme="majorHAnsi" w:hAnsiTheme="majorHAnsi"/>
          <w:sz w:val="20"/>
          <w:szCs w:val="20"/>
          <w:lang w:val="es-ES_tradnl"/>
        </w:rPr>
        <w:t>probatorios, el Estado relató</w:t>
      </w:r>
      <w:r w:rsidR="00A62D4D">
        <w:rPr>
          <w:rFonts w:asciiTheme="majorHAnsi" w:hAnsiTheme="majorHAnsi"/>
          <w:sz w:val="20"/>
          <w:szCs w:val="20"/>
          <w:lang w:val="es-ES_tradnl"/>
        </w:rPr>
        <w:t xml:space="preserve"> que el 2 de octubre de 2009 se dictó “resolución retirando el expediente del archivo para reasumir la investigación previa”</w:t>
      </w:r>
      <w:r w:rsidR="00F40336">
        <w:rPr>
          <w:rStyle w:val="FootnoteReference"/>
          <w:rFonts w:asciiTheme="majorHAnsi" w:hAnsiTheme="majorHAnsi"/>
          <w:sz w:val="20"/>
          <w:szCs w:val="20"/>
          <w:lang w:val="es-ES_tradnl"/>
        </w:rPr>
        <w:footnoteReference w:id="55"/>
      </w:r>
      <w:r w:rsidR="00F40336">
        <w:rPr>
          <w:rFonts w:asciiTheme="majorHAnsi" w:hAnsiTheme="majorHAnsi"/>
          <w:sz w:val="20"/>
          <w:szCs w:val="20"/>
          <w:lang w:val="es-ES_tradnl"/>
        </w:rPr>
        <w:t xml:space="preserve"> y tratar de identificar el paradero de las víctim</w:t>
      </w:r>
      <w:r w:rsidR="00F40336" w:rsidRPr="00455232">
        <w:rPr>
          <w:rFonts w:asciiTheme="majorHAnsi" w:hAnsiTheme="majorHAnsi"/>
          <w:sz w:val="20"/>
          <w:szCs w:val="20"/>
          <w:lang w:val="es-ES_tradnl"/>
        </w:rPr>
        <w:t>as y tomar sus testimonios</w:t>
      </w:r>
      <w:r w:rsidR="00F40336">
        <w:rPr>
          <w:rStyle w:val="FootnoteReference"/>
          <w:rFonts w:asciiTheme="majorHAnsi" w:hAnsiTheme="majorHAnsi"/>
          <w:sz w:val="20"/>
          <w:szCs w:val="20"/>
          <w:lang w:val="es-ES_tradnl"/>
        </w:rPr>
        <w:footnoteReference w:id="56"/>
      </w:r>
      <w:r w:rsidR="00F40336" w:rsidRPr="00455232">
        <w:rPr>
          <w:rFonts w:asciiTheme="majorHAnsi" w:hAnsiTheme="majorHAnsi"/>
          <w:sz w:val="20"/>
          <w:szCs w:val="20"/>
          <w:lang w:val="es-ES_tradnl"/>
        </w:rPr>
        <w:t>.</w:t>
      </w:r>
      <w:r w:rsidR="00551214">
        <w:rPr>
          <w:rFonts w:asciiTheme="majorHAnsi" w:hAnsiTheme="majorHAnsi"/>
          <w:sz w:val="20"/>
          <w:szCs w:val="20"/>
          <w:lang w:val="es-ES_tradnl"/>
        </w:rPr>
        <w:t xml:space="preserve"> E</w:t>
      </w:r>
      <w:r w:rsidR="00F40336" w:rsidRPr="00455232">
        <w:rPr>
          <w:rFonts w:asciiTheme="majorHAnsi" w:hAnsiTheme="majorHAnsi"/>
          <w:sz w:val="20"/>
          <w:szCs w:val="20"/>
          <w:lang w:val="es-ES_tradnl"/>
        </w:rPr>
        <w:t xml:space="preserve">l Estado indicó también </w:t>
      </w:r>
      <w:r w:rsidR="00A62D4D" w:rsidRPr="00455232">
        <w:rPr>
          <w:rFonts w:asciiTheme="majorHAnsi" w:hAnsiTheme="majorHAnsi"/>
          <w:sz w:val="20"/>
          <w:szCs w:val="20"/>
          <w:lang w:val="es-ES_tradnl"/>
        </w:rPr>
        <w:t>que el 9 de mayo de 2011 “la Fiscalía 47 Especializada GAULA–Medellín (…) dispone impulsar la indagación preliminar”</w:t>
      </w:r>
      <w:r w:rsidR="00F40336">
        <w:rPr>
          <w:rStyle w:val="FootnoteReference"/>
          <w:rFonts w:asciiTheme="majorHAnsi" w:hAnsiTheme="majorHAnsi"/>
          <w:sz w:val="20"/>
          <w:szCs w:val="20"/>
          <w:lang w:val="es-ES_tradnl"/>
        </w:rPr>
        <w:footnoteReference w:id="57"/>
      </w:r>
      <w:r w:rsidR="00F40336" w:rsidRPr="00455232">
        <w:rPr>
          <w:rFonts w:asciiTheme="majorHAnsi" w:hAnsiTheme="majorHAnsi"/>
          <w:sz w:val="20"/>
          <w:szCs w:val="20"/>
          <w:lang w:val="es-ES_tradnl"/>
        </w:rPr>
        <w:t xml:space="preserve"> y que “finalmente, el día 9 de agosto de 2011 comparecieron los señores Carlos David Betancourt Echeverry, hijo del plagiado; Rubén Darío Echeverry Zapata, denunciante; Luis Hernán Duque Salazar (…) y Carlos Arturo Betancourt Estrada (…)</w:t>
      </w:r>
      <w:r w:rsidR="00F40336">
        <w:rPr>
          <w:rStyle w:val="FootnoteReference"/>
          <w:rFonts w:asciiTheme="majorHAnsi" w:hAnsiTheme="majorHAnsi"/>
          <w:sz w:val="20"/>
          <w:szCs w:val="20"/>
          <w:lang w:val="es-ES_tradnl"/>
        </w:rPr>
        <w:footnoteReference w:id="58"/>
      </w:r>
      <w:r w:rsidR="00F40336" w:rsidRPr="00455232">
        <w:rPr>
          <w:rFonts w:asciiTheme="majorHAnsi" w:hAnsiTheme="majorHAnsi"/>
          <w:sz w:val="20"/>
          <w:szCs w:val="20"/>
          <w:lang w:val="es-ES_tradnl"/>
        </w:rPr>
        <w:t xml:space="preserve">. </w:t>
      </w:r>
    </w:p>
    <w:p w14:paraId="4F6419BF" w14:textId="77777777" w:rsidR="00A62D4D" w:rsidRDefault="00A62D4D" w:rsidP="001E3EBE">
      <w:pPr>
        <w:pStyle w:val="ListParagraph"/>
        <w:ind w:left="0"/>
        <w:rPr>
          <w:rFonts w:asciiTheme="majorHAnsi" w:hAnsiTheme="majorHAnsi"/>
          <w:sz w:val="20"/>
          <w:szCs w:val="20"/>
          <w:lang w:val="es-ES_tradnl"/>
        </w:rPr>
      </w:pPr>
    </w:p>
    <w:p w14:paraId="4E3CA1EE" w14:textId="77777777" w:rsidR="00516835" w:rsidRPr="00B93A81" w:rsidRDefault="00F40336"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color w:val="FF0000"/>
          <w:sz w:val="20"/>
          <w:szCs w:val="20"/>
          <w:lang w:val="es-ES_tradnl"/>
        </w:rPr>
      </w:pPr>
      <w:r w:rsidRPr="00FF3475">
        <w:rPr>
          <w:rFonts w:asciiTheme="majorHAnsi" w:hAnsiTheme="majorHAnsi"/>
          <w:sz w:val="20"/>
          <w:szCs w:val="20"/>
          <w:lang w:val="es-ES_tradnl"/>
        </w:rPr>
        <w:t xml:space="preserve">De acuerdo con el relato del Estado colombiano, la Fiscalía consolidó siete testimonios </w:t>
      </w:r>
      <w:r w:rsidR="008E07F7" w:rsidRPr="00FF3475">
        <w:rPr>
          <w:rFonts w:asciiTheme="majorHAnsi" w:hAnsiTheme="majorHAnsi"/>
          <w:sz w:val="20"/>
          <w:szCs w:val="20"/>
          <w:lang w:val="es-ES_tradnl"/>
        </w:rPr>
        <w:t>adicionales, pero ninguno de los declarantes estuvo en capacidad de reconocer a los autores del delito.</w:t>
      </w:r>
      <w:r w:rsidR="006E06A9" w:rsidRPr="00FF3475">
        <w:rPr>
          <w:rFonts w:asciiTheme="majorHAnsi" w:hAnsiTheme="majorHAnsi"/>
          <w:sz w:val="20"/>
          <w:szCs w:val="20"/>
          <w:lang w:val="es-ES_tradnl"/>
        </w:rPr>
        <w:t xml:space="preserve"> </w:t>
      </w:r>
      <w:r w:rsidR="004A34A5" w:rsidRPr="00FF3475">
        <w:rPr>
          <w:rFonts w:asciiTheme="majorHAnsi" w:hAnsiTheme="majorHAnsi"/>
          <w:sz w:val="20"/>
          <w:szCs w:val="20"/>
          <w:lang w:val="es-ES_tradnl"/>
        </w:rPr>
        <w:t>La CIDH deja constancia</w:t>
      </w:r>
      <w:r w:rsidR="001E3EBE">
        <w:rPr>
          <w:rFonts w:asciiTheme="majorHAnsi" w:hAnsiTheme="majorHAnsi"/>
          <w:sz w:val="20"/>
          <w:szCs w:val="20"/>
          <w:lang w:val="es-ES_tradnl"/>
        </w:rPr>
        <w:t xml:space="preserve"> de </w:t>
      </w:r>
      <w:r w:rsidR="004A34A5" w:rsidRPr="00FF3475">
        <w:rPr>
          <w:rFonts w:asciiTheme="majorHAnsi" w:hAnsiTheme="majorHAnsi"/>
          <w:sz w:val="20"/>
          <w:szCs w:val="20"/>
          <w:lang w:val="es-ES_tradnl"/>
        </w:rPr>
        <w:t xml:space="preserve">que ninguna de las partes indicó cuál es el </w:t>
      </w:r>
      <w:r w:rsidR="00EC34E6" w:rsidRPr="00FF3475">
        <w:rPr>
          <w:rFonts w:asciiTheme="majorHAnsi" w:hAnsiTheme="majorHAnsi"/>
          <w:sz w:val="20"/>
          <w:szCs w:val="20"/>
          <w:lang w:val="es-ES_tradnl"/>
        </w:rPr>
        <w:t>e</w:t>
      </w:r>
      <w:r w:rsidR="004A34A5" w:rsidRPr="00FF3475">
        <w:rPr>
          <w:rFonts w:asciiTheme="majorHAnsi" w:hAnsiTheme="majorHAnsi"/>
          <w:sz w:val="20"/>
          <w:szCs w:val="20"/>
          <w:lang w:val="es-ES_tradnl"/>
        </w:rPr>
        <w:t>stado actual de las investigaciones.</w:t>
      </w:r>
    </w:p>
    <w:p w14:paraId="071D16BC" w14:textId="77777777" w:rsidR="00B93A81" w:rsidRDefault="00B93A81">
      <w:pPr>
        <w:rPr>
          <w:rFonts w:asciiTheme="majorHAnsi" w:eastAsia="Cambria" w:hAnsiTheme="majorHAnsi" w:cs="Cambria"/>
          <w:b/>
          <w:color w:val="FF0000"/>
          <w:sz w:val="20"/>
          <w:szCs w:val="20"/>
          <w:u w:color="000000"/>
          <w:lang w:val="es-ES_tradnl" w:eastAsia="es-ES"/>
        </w:rPr>
      </w:pPr>
      <w:r>
        <w:rPr>
          <w:rFonts w:asciiTheme="majorHAnsi" w:eastAsia="Cambria" w:hAnsiTheme="majorHAnsi" w:cs="Cambria"/>
          <w:b/>
          <w:color w:val="FF0000"/>
          <w:sz w:val="20"/>
          <w:szCs w:val="20"/>
          <w:u w:color="000000"/>
          <w:lang w:val="es-ES_tradnl" w:eastAsia="es-ES"/>
        </w:rPr>
        <w:br w:type="page"/>
      </w:r>
    </w:p>
    <w:p w14:paraId="01FDD3A9" w14:textId="77777777" w:rsidR="00B93A81" w:rsidRPr="00483337" w:rsidRDefault="00B93A81" w:rsidP="00B93A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color w:val="FF0000"/>
          <w:sz w:val="20"/>
          <w:szCs w:val="20"/>
          <w:lang w:val="es-ES_tradnl"/>
        </w:rPr>
      </w:pPr>
    </w:p>
    <w:p w14:paraId="01ADB811" w14:textId="77777777" w:rsidR="006F5690" w:rsidRPr="00FF3475" w:rsidRDefault="006F5690" w:rsidP="0048333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color w:val="FF0000"/>
          <w:sz w:val="20"/>
          <w:szCs w:val="20"/>
          <w:lang w:val="es-ES_tradnl"/>
        </w:rPr>
      </w:pPr>
    </w:p>
    <w:p w14:paraId="007B041A" w14:textId="77777777" w:rsidR="00D12193" w:rsidRDefault="00D12193" w:rsidP="001E3EBE">
      <w:pPr>
        <w:pStyle w:val="Heading1"/>
        <w:ind w:left="0" w:firstLine="0"/>
      </w:pPr>
      <w:bookmarkStart w:id="24" w:name="_Toc394820751"/>
      <w:bookmarkStart w:id="25" w:name="_Toc70437018"/>
      <w:r w:rsidRPr="00E909AA">
        <w:t>ANÁLISIS DE DERECHO</w:t>
      </w:r>
      <w:bookmarkEnd w:id="24"/>
      <w:bookmarkEnd w:id="25"/>
    </w:p>
    <w:p w14:paraId="0A590C19" w14:textId="77777777" w:rsidR="00204B61" w:rsidRDefault="00204B61" w:rsidP="001E3EBE">
      <w:pPr>
        <w:pStyle w:val="ListParagraph"/>
        <w:ind w:left="0"/>
        <w:rPr>
          <w:rFonts w:asciiTheme="majorHAnsi" w:hAnsiTheme="majorHAnsi"/>
          <w:b/>
          <w:color w:val="FF0000"/>
          <w:sz w:val="20"/>
          <w:szCs w:val="20"/>
          <w:lang w:val="es-ES_tradnl"/>
        </w:rPr>
      </w:pPr>
    </w:p>
    <w:p w14:paraId="1531BED7" w14:textId="77777777" w:rsidR="0044027F" w:rsidRPr="00483337" w:rsidRDefault="0044027F" w:rsidP="001E3EBE">
      <w:pPr>
        <w:pStyle w:val="Heading2"/>
        <w:numPr>
          <w:ilvl w:val="0"/>
          <w:numId w:val="60"/>
        </w:numPr>
        <w:ind w:firstLine="0"/>
        <w:rPr>
          <w:lang w:val="es-ES"/>
        </w:rPr>
      </w:pPr>
      <w:bookmarkStart w:id="26" w:name="_Toc394820752"/>
      <w:bookmarkStart w:id="27" w:name="_Toc70437019"/>
      <w:r w:rsidRPr="006F5690">
        <w:rPr>
          <w:lang w:val="es-ES"/>
        </w:rPr>
        <w:t>Derecho</w:t>
      </w:r>
      <w:r w:rsidR="006F797D" w:rsidRPr="006F5690">
        <w:rPr>
          <w:lang w:val="es-ES"/>
        </w:rPr>
        <w:t>s</w:t>
      </w:r>
      <w:r w:rsidR="00483337">
        <w:rPr>
          <w:lang w:val="es-ES"/>
        </w:rPr>
        <w:t xml:space="preserve"> </w:t>
      </w:r>
      <w:r w:rsidRPr="00483337">
        <w:rPr>
          <w:lang w:val="es-ES"/>
        </w:rPr>
        <w:t>a la integridad</w:t>
      </w:r>
      <w:r w:rsidR="006F797D" w:rsidRPr="00483337">
        <w:rPr>
          <w:lang w:val="es-ES"/>
        </w:rPr>
        <w:t xml:space="preserve"> personal</w:t>
      </w:r>
      <w:r w:rsidRPr="00A229E3">
        <w:rPr>
          <w:rStyle w:val="FootnoteReference"/>
          <w:rFonts w:ascii="Cambria" w:hAnsi="Cambria"/>
          <w:b w:val="0"/>
        </w:rPr>
        <w:footnoteReference w:id="59"/>
      </w:r>
      <w:r w:rsidR="006E79E5" w:rsidRPr="006F5690">
        <w:rPr>
          <w:lang w:val="es-ES"/>
        </w:rPr>
        <w:t xml:space="preserve"> (artículo 5.1), </w:t>
      </w:r>
      <w:r w:rsidRPr="00483337">
        <w:rPr>
          <w:lang w:val="es-ES"/>
        </w:rPr>
        <w:t xml:space="preserve">a la libertad </w:t>
      </w:r>
      <w:r w:rsidR="0014247B" w:rsidRPr="00483337">
        <w:rPr>
          <w:lang w:val="es-ES"/>
        </w:rPr>
        <w:t xml:space="preserve">y seguridad </w:t>
      </w:r>
      <w:r w:rsidRPr="00483337">
        <w:rPr>
          <w:lang w:val="es-ES"/>
        </w:rPr>
        <w:t>personal</w:t>
      </w:r>
      <w:r w:rsidR="0014247B" w:rsidRPr="00483337">
        <w:rPr>
          <w:lang w:val="es-ES"/>
        </w:rPr>
        <w:t>es</w:t>
      </w:r>
      <w:r w:rsidRPr="00A229E3">
        <w:rPr>
          <w:rStyle w:val="FootnoteReference"/>
          <w:rFonts w:ascii="Cambria" w:hAnsi="Cambria"/>
          <w:b w:val="0"/>
          <w:lang w:val="es-ES"/>
        </w:rPr>
        <w:footnoteReference w:id="60"/>
      </w:r>
      <w:r w:rsidRPr="006F5690">
        <w:rPr>
          <w:lang w:val="es-ES"/>
        </w:rPr>
        <w:t xml:space="preserve"> (artículo 7</w:t>
      </w:r>
      <w:r w:rsidR="00B450E6" w:rsidRPr="006F5690">
        <w:rPr>
          <w:lang w:val="es-ES"/>
        </w:rPr>
        <w:t>.1</w:t>
      </w:r>
      <w:r w:rsidRPr="00483337">
        <w:rPr>
          <w:lang w:val="es-ES"/>
        </w:rPr>
        <w:t>)</w:t>
      </w:r>
      <w:r w:rsidR="006E79E5" w:rsidRPr="00483337">
        <w:rPr>
          <w:lang w:val="es-ES"/>
        </w:rPr>
        <w:t xml:space="preserve"> y </w:t>
      </w:r>
      <w:r w:rsidR="006F797D" w:rsidRPr="00483337">
        <w:rPr>
          <w:lang w:val="es-ES"/>
        </w:rPr>
        <w:t xml:space="preserve">a la libertad de </w:t>
      </w:r>
      <w:r w:rsidR="006E79E5" w:rsidRPr="00483337">
        <w:rPr>
          <w:lang w:val="es-ES"/>
        </w:rPr>
        <w:t>derecho de circulación y residencia</w:t>
      </w:r>
      <w:r w:rsidR="006E79E5" w:rsidRPr="006E79E5">
        <w:rPr>
          <w:rStyle w:val="FootnoteReference"/>
          <w:rFonts w:ascii="Cambria" w:hAnsi="Cambria"/>
          <w:b w:val="0"/>
        </w:rPr>
        <w:footnoteReference w:id="61"/>
      </w:r>
      <w:r w:rsidR="006E79E5" w:rsidRPr="006F5690">
        <w:rPr>
          <w:rStyle w:val="FootnoteReference"/>
          <w:lang w:val="es-ES"/>
        </w:rPr>
        <w:t xml:space="preserve"> </w:t>
      </w:r>
      <w:r w:rsidR="006E79E5" w:rsidRPr="006F5690">
        <w:rPr>
          <w:lang w:val="es-ES"/>
        </w:rPr>
        <w:t>(artículo 22.1)</w:t>
      </w:r>
      <w:r w:rsidRPr="00483337">
        <w:rPr>
          <w:lang w:val="es-ES"/>
        </w:rPr>
        <w:t xml:space="preserve"> en relación con el artículo 1.1 de la Convención Americana</w:t>
      </w:r>
      <w:bookmarkEnd w:id="26"/>
      <w:bookmarkEnd w:id="27"/>
      <w:r w:rsidRPr="00483337">
        <w:rPr>
          <w:lang w:val="es-ES"/>
        </w:rPr>
        <w:t xml:space="preserve"> </w:t>
      </w:r>
    </w:p>
    <w:p w14:paraId="30730641" w14:textId="77777777" w:rsidR="00516835" w:rsidRDefault="00516835" w:rsidP="001E3EBE">
      <w:pPr>
        <w:pStyle w:val="ListParagraph"/>
        <w:ind w:left="0"/>
        <w:jc w:val="both"/>
        <w:rPr>
          <w:b/>
          <w:color w:val="auto"/>
          <w:sz w:val="20"/>
          <w:szCs w:val="20"/>
          <w:lang w:val="es-ES"/>
        </w:rPr>
      </w:pPr>
    </w:p>
    <w:p w14:paraId="47C3B322" w14:textId="77777777" w:rsidR="003A7988" w:rsidRPr="00EB53B6" w:rsidRDefault="00332AEB" w:rsidP="001E3EBE">
      <w:pPr>
        <w:pStyle w:val="Heading3"/>
        <w:numPr>
          <w:ilvl w:val="0"/>
          <w:numId w:val="61"/>
        </w:numPr>
        <w:ind w:left="0" w:firstLine="0"/>
        <w:rPr>
          <w:lang w:val="es-ES"/>
        </w:rPr>
      </w:pPr>
      <w:bookmarkStart w:id="28" w:name="_Toc394820753"/>
      <w:bookmarkStart w:id="29" w:name="_Toc70437020"/>
      <w:r w:rsidRPr="00D333AB">
        <w:rPr>
          <w:lang w:val="es-ES"/>
        </w:rPr>
        <w:t>Consideraciones</w:t>
      </w:r>
      <w:r w:rsidR="003A7988" w:rsidRPr="00CA3C93">
        <w:rPr>
          <w:lang w:val="es-ES"/>
        </w:rPr>
        <w:t xml:space="preserve"> generales sobre </w:t>
      </w:r>
      <w:r w:rsidR="001F78C0" w:rsidRPr="00EB53B6">
        <w:rPr>
          <w:lang w:val="es-ES"/>
        </w:rPr>
        <w:t>la obligación de garantía</w:t>
      </w:r>
      <w:r w:rsidR="00947E8B" w:rsidRPr="00EB53B6">
        <w:rPr>
          <w:lang w:val="es-ES"/>
        </w:rPr>
        <w:t xml:space="preserve"> en su componente de </w:t>
      </w:r>
      <w:r w:rsidR="003A7988" w:rsidRPr="00EB53B6">
        <w:rPr>
          <w:lang w:val="es-ES"/>
        </w:rPr>
        <w:t xml:space="preserve">prevención </w:t>
      </w:r>
      <w:r w:rsidR="001F78C0" w:rsidRPr="00EB53B6">
        <w:rPr>
          <w:lang w:val="es-ES"/>
        </w:rPr>
        <w:t>y protección</w:t>
      </w:r>
      <w:bookmarkEnd w:id="28"/>
      <w:bookmarkEnd w:id="29"/>
      <w:r w:rsidR="001F78C0" w:rsidRPr="00EB53B6">
        <w:rPr>
          <w:lang w:val="es-ES"/>
        </w:rPr>
        <w:t xml:space="preserve"> </w:t>
      </w:r>
    </w:p>
    <w:p w14:paraId="39BBF46F" w14:textId="77777777" w:rsidR="006E79E5" w:rsidRDefault="006E79E5"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s="Verdana"/>
          <w:sz w:val="20"/>
          <w:szCs w:val="20"/>
          <w:lang w:val="es-US"/>
        </w:rPr>
      </w:pPr>
    </w:p>
    <w:p w14:paraId="7A9D16A5" w14:textId="77777777" w:rsidR="00C82437" w:rsidRPr="00A34EE2" w:rsidRDefault="00C82437"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s="Verdana"/>
          <w:sz w:val="20"/>
          <w:szCs w:val="20"/>
          <w:lang w:val="es-US"/>
        </w:rPr>
      </w:pPr>
      <w:r w:rsidRPr="00A34EE2">
        <w:rPr>
          <w:rFonts w:asciiTheme="majorHAnsi" w:hAnsiTheme="majorHAnsi" w:cs="Verdana"/>
          <w:sz w:val="20"/>
          <w:szCs w:val="20"/>
          <w:lang w:val="es-US"/>
        </w:rPr>
        <w:t xml:space="preserve">La Comisión ha indicado que una violación de los derechos humanos </w:t>
      </w:r>
      <w:r w:rsidRPr="00A34EE2">
        <w:rPr>
          <w:rFonts w:asciiTheme="majorHAnsi" w:hAnsiTheme="majorHAnsi"/>
          <w:sz w:val="20"/>
          <w:szCs w:val="20"/>
          <w:lang w:val="es-UY"/>
        </w:rPr>
        <w:t>protegidos por la Convención puede comprometer la responsabilidad internacional de un Estado parte sea porque la violación es perpetrada por sus propios agentes o bien</w:t>
      </w:r>
      <w:r w:rsidRPr="00A34EE2">
        <w:rPr>
          <w:rFonts w:asciiTheme="majorHAnsi" w:hAnsiTheme="majorHAnsi"/>
          <w:b/>
          <w:sz w:val="20"/>
          <w:szCs w:val="20"/>
          <w:lang w:val="es-UY"/>
        </w:rPr>
        <w:t xml:space="preserve"> </w:t>
      </w:r>
      <w:r w:rsidRPr="00A34EE2">
        <w:rPr>
          <w:rFonts w:asciiTheme="majorHAnsi" w:hAnsiTheme="majorHAnsi"/>
          <w:sz w:val="20"/>
          <w:szCs w:val="20"/>
          <w:lang w:val="es-UY"/>
        </w:rPr>
        <w:t>-aunque al principio no sean directamente atribuibles al Estado por haber sido cometidas por un particular-, cuando no se haya podido determinar quién ha sido el  autor de la misma debido a la falta de diligencia del Estado para prevenir razonablemente la violación o tratarla conforme a lo que establece la Convención. Lo importante es determinar si ese acto ilícito ha contado con la participación, el apoyo o la tolerancia de agentes estatales o ha resultado del incumplimiento, por parte del Estado, de su obligación de prevenir razonablemente las violaciones de los derechos humanos, de investigar seriamente a efecto</w:t>
      </w:r>
      <w:r w:rsidR="00947E8B">
        <w:rPr>
          <w:rFonts w:asciiTheme="majorHAnsi" w:hAnsiTheme="majorHAnsi"/>
          <w:sz w:val="20"/>
          <w:szCs w:val="20"/>
          <w:lang w:val="es-UY"/>
        </w:rPr>
        <w:t>s</w:t>
      </w:r>
      <w:r w:rsidRPr="00A34EE2">
        <w:rPr>
          <w:rFonts w:asciiTheme="majorHAnsi" w:hAnsiTheme="majorHAnsi"/>
          <w:sz w:val="20"/>
          <w:szCs w:val="20"/>
          <w:lang w:val="es-UY"/>
        </w:rPr>
        <w:t xml:space="preserve"> de identificar y sancionar a los responsables y reparar adecuadamente a la víctima o sus familiares por los perjuicios causados</w:t>
      </w:r>
      <w:r w:rsidRPr="00A34EE2">
        <w:rPr>
          <w:rStyle w:val="FootnoteReference"/>
          <w:rFonts w:asciiTheme="majorHAnsi" w:hAnsiTheme="majorHAnsi"/>
          <w:sz w:val="20"/>
          <w:szCs w:val="20"/>
          <w:lang w:val="es-UY"/>
        </w:rPr>
        <w:footnoteReference w:id="62"/>
      </w:r>
      <w:r w:rsidRPr="00A34EE2">
        <w:rPr>
          <w:rFonts w:asciiTheme="majorHAnsi" w:hAnsiTheme="majorHAnsi"/>
          <w:sz w:val="20"/>
          <w:szCs w:val="20"/>
          <w:lang w:val="es-UY"/>
        </w:rPr>
        <w:t>.</w:t>
      </w:r>
    </w:p>
    <w:p w14:paraId="777AAD5A" w14:textId="77777777" w:rsidR="00A34EE2" w:rsidRDefault="00A34EE2"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s="Verdana"/>
          <w:sz w:val="20"/>
          <w:szCs w:val="20"/>
          <w:lang w:val="es-US"/>
        </w:rPr>
      </w:pPr>
    </w:p>
    <w:p w14:paraId="385947D0" w14:textId="77777777" w:rsidR="006E79E5" w:rsidRDefault="0003572A"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s="Verdana"/>
          <w:sz w:val="20"/>
          <w:szCs w:val="20"/>
          <w:lang w:val="es-US"/>
        </w:rPr>
      </w:pPr>
      <w:r>
        <w:rPr>
          <w:rFonts w:asciiTheme="majorHAnsi" w:hAnsiTheme="majorHAnsi" w:cs="Verdana"/>
          <w:sz w:val="20"/>
          <w:szCs w:val="20"/>
          <w:lang w:val="es-US"/>
        </w:rPr>
        <w:t xml:space="preserve">Respecto de </w:t>
      </w:r>
      <w:r w:rsidR="006E79E5" w:rsidRPr="00AD78EA">
        <w:rPr>
          <w:rFonts w:asciiTheme="majorHAnsi" w:hAnsiTheme="majorHAnsi" w:cs="Verdana"/>
          <w:sz w:val="20"/>
          <w:szCs w:val="20"/>
          <w:lang w:val="es-US"/>
        </w:rPr>
        <w:t>la obligación de garantía, la Corte señaló que la misma implica el deber de los Estados Partes de organizar todo el aparato gubernamental y, en general, todas las estructuras a través de las cuales se manifiesta el ejercicio del poder público, de manera tal que sean capaces de asegurar jurídicamente el libre y pleno ejercicio de los derechos humanos. Como consecuencia de esta obligación los Estados deben prevenir, investigar y sancionar toda violación de los derechos reconocidos por la Convención y procurar, además, el restablecimiento, si es posible, del derecho conculcado y, en su caso, la reparación de los daños producidos por la violación de los derechos humanos</w:t>
      </w:r>
      <w:r w:rsidR="006E79E5" w:rsidRPr="00AD78EA">
        <w:rPr>
          <w:rStyle w:val="FootnoteReference"/>
          <w:rFonts w:asciiTheme="majorHAnsi" w:hAnsiTheme="majorHAnsi"/>
          <w:sz w:val="20"/>
          <w:szCs w:val="20"/>
          <w:lang w:val="es-US"/>
        </w:rPr>
        <w:footnoteReference w:id="63"/>
      </w:r>
      <w:r w:rsidR="00CF5C9B">
        <w:rPr>
          <w:rFonts w:asciiTheme="majorHAnsi" w:hAnsiTheme="majorHAnsi" w:cs="Verdana"/>
          <w:sz w:val="20"/>
          <w:szCs w:val="20"/>
          <w:lang w:val="es-US"/>
        </w:rPr>
        <w:t>.</w:t>
      </w:r>
    </w:p>
    <w:p w14:paraId="5424C29D" w14:textId="77777777" w:rsidR="006E79E5" w:rsidRDefault="006E79E5"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s="Verdana"/>
          <w:sz w:val="20"/>
          <w:szCs w:val="20"/>
          <w:lang w:val="es-US"/>
        </w:rPr>
      </w:pPr>
    </w:p>
    <w:p w14:paraId="214AE8E3" w14:textId="77777777" w:rsidR="006E79E5" w:rsidRPr="006E79E5" w:rsidRDefault="006E79E5"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s="Verdana"/>
          <w:sz w:val="20"/>
          <w:szCs w:val="20"/>
          <w:lang w:val="es-US"/>
        </w:rPr>
      </w:pPr>
      <w:r w:rsidRPr="006E79E5">
        <w:rPr>
          <w:rFonts w:asciiTheme="majorHAnsi" w:hAnsiTheme="majorHAnsi" w:cs="Verdana"/>
          <w:sz w:val="20"/>
          <w:szCs w:val="20"/>
          <w:lang w:val="es-US"/>
        </w:rPr>
        <w:t>La Comisión ha señalado reiteradamente que estas obligaciones resultan aplicables también frente a posibles actos de actores no estatales</w:t>
      </w:r>
      <w:r w:rsidRPr="00AD78EA">
        <w:rPr>
          <w:rStyle w:val="FootnoteReference"/>
          <w:rFonts w:asciiTheme="majorHAnsi" w:hAnsiTheme="majorHAnsi" w:cs="Verdana"/>
          <w:sz w:val="20"/>
          <w:szCs w:val="20"/>
          <w:lang w:val="es-US"/>
        </w:rPr>
        <w:footnoteReference w:id="64"/>
      </w:r>
      <w:r w:rsidRPr="006E79E5">
        <w:rPr>
          <w:rFonts w:asciiTheme="majorHAnsi" w:hAnsiTheme="majorHAnsi" w:cs="Verdana"/>
          <w:sz w:val="20"/>
          <w:szCs w:val="20"/>
          <w:lang w:val="es-US"/>
        </w:rPr>
        <w:t xml:space="preserve">. Específicamente, </w:t>
      </w:r>
      <w:r w:rsidRPr="006E79E5">
        <w:rPr>
          <w:rFonts w:asciiTheme="majorHAnsi" w:hAnsiTheme="majorHAnsi" w:cs="Arial"/>
          <w:sz w:val="20"/>
          <w:szCs w:val="20"/>
          <w:lang w:val="es-PE"/>
        </w:rPr>
        <w:t>la Corte Interamericana ha indicado que “</w:t>
      </w:r>
      <w:r w:rsidRPr="006E79E5">
        <w:rPr>
          <w:rFonts w:asciiTheme="majorHAnsi" w:hAnsiTheme="majorHAnsi"/>
          <w:sz w:val="20"/>
          <w:szCs w:val="20"/>
          <w:lang w:val="es-ES"/>
        </w:rPr>
        <w:t>puede generarse</w:t>
      </w:r>
      <w:r w:rsidRPr="006E79E5">
        <w:rPr>
          <w:rFonts w:asciiTheme="majorHAnsi" w:hAnsiTheme="majorHAnsi"/>
          <w:b/>
          <w:sz w:val="20"/>
          <w:szCs w:val="20"/>
          <w:lang w:val="es-ES"/>
        </w:rPr>
        <w:t xml:space="preserve"> </w:t>
      </w:r>
      <w:r w:rsidRPr="006E79E5">
        <w:rPr>
          <w:rFonts w:asciiTheme="majorHAnsi" w:hAnsiTheme="majorHAnsi"/>
          <w:sz w:val="20"/>
          <w:szCs w:val="20"/>
          <w:lang w:val="es-ES"/>
        </w:rPr>
        <w:t>responsabilidad internacional</w:t>
      </w:r>
      <w:r w:rsidRPr="006E79E5">
        <w:rPr>
          <w:rFonts w:asciiTheme="majorHAnsi" w:hAnsiTheme="majorHAnsi"/>
          <w:b/>
          <w:sz w:val="20"/>
          <w:szCs w:val="20"/>
          <w:lang w:val="es-ES"/>
        </w:rPr>
        <w:t xml:space="preserve"> </w:t>
      </w:r>
      <w:r w:rsidRPr="006E79E5">
        <w:rPr>
          <w:rFonts w:asciiTheme="majorHAnsi" w:hAnsiTheme="majorHAnsi"/>
          <w:sz w:val="20"/>
          <w:szCs w:val="20"/>
          <w:lang w:val="es-ES"/>
        </w:rPr>
        <w:t>del Estado por atribución a éste de actos violatorios de derechos humanos</w:t>
      </w:r>
      <w:r w:rsidRPr="006E79E5">
        <w:rPr>
          <w:rFonts w:asciiTheme="majorHAnsi" w:hAnsiTheme="majorHAnsi"/>
          <w:b/>
          <w:sz w:val="20"/>
          <w:szCs w:val="20"/>
          <w:lang w:val="es-ES"/>
        </w:rPr>
        <w:t xml:space="preserve"> </w:t>
      </w:r>
      <w:r w:rsidRPr="006E79E5">
        <w:rPr>
          <w:rFonts w:asciiTheme="majorHAnsi" w:hAnsiTheme="majorHAnsi"/>
          <w:sz w:val="20"/>
          <w:szCs w:val="20"/>
          <w:lang w:val="es-ES"/>
        </w:rPr>
        <w:t>cometidos por</w:t>
      </w:r>
      <w:r w:rsidRPr="006E79E5">
        <w:rPr>
          <w:rFonts w:asciiTheme="majorHAnsi" w:hAnsiTheme="majorHAnsi"/>
          <w:b/>
          <w:sz w:val="20"/>
          <w:szCs w:val="20"/>
          <w:lang w:val="es-ES"/>
        </w:rPr>
        <w:t xml:space="preserve"> </w:t>
      </w:r>
      <w:r w:rsidRPr="006E79E5">
        <w:rPr>
          <w:rFonts w:asciiTheme="majorHAnsi" w:hAnsiTheme="majorHAnsi"/>
          <w:sz w:val="20"/>
          <w:szCs w:val="20"/>
          <w:lang w:val="es-ES"/>
        </w:rPr>
        <w:t>terceros o particulares, en el marco de las obligaciones del Estado de garantizar el respeto a esos derechos entre individuos</w:t>
      </w:r>
      <w:r w:rsidRPr="00AD78EA">
        <w:rPr>
          <w:rStyle w:val="FootnoteReference"/>
          <w:rFonts w:asciiTheme="majorHAnsi" w:hAnsiTheme="majorHAnsi"/>
          <w:sz w:val="20"/>
          <w:szCs w:val="20"/>
          <w:lang w:val="es-ES"/>
        </w:rPr>
        <w:footnoteReference w:id="65"/>
      </w:r>
      <w:r w:rsidRPr="006E79E5">
        <w:rPr>
          <w:rFonts w:asciiTheme="majorHAnsi" w:hAnsiTheme="majorHAnsi"/>
          <w:sz w:val="20"/>
          <w:szCs w:val="20"/>
          <w:lang w:val="es-ES"/>
        </w:rPr>
        <w:t xml:space="preserve"> (…) las obligaciones </w:t>
      </w:r>
      <w:r w:rsidRPr="006E79E5">
        <w:rPr>
          <w:rFonts w:asciiTheme="majorHAnsi" w:hAnsiTheme="majorHAnsi"/>
          <w:i/>
          <w:sz w:val="20"/>
          <w:szCs w:val="20"/>
          <w:lang w:val="es-ES"/>
        </w:rPr>
        <w:t>erga omnes</w:t>
      </w:r>
      <w:r w:rsidRPr="006E79E5">
        <w:rPr>
          <w:rFonts w:asciiTheme="majorHAnsi" w:hAnsiTheme="majorHAnsi"/>
          <w:sz w:val="20"/>
          <w:szCs w:val="20"/>
          <w:lang w:val="es-ES"/>
        </w:rPr>
        <w:t xml:space="preserve"> de respetar y hacer respetar las normas de protección, a cargo de los Estados Partes en la Convención, proyectan sus efectos más allá de la relación entre sus agentes y las personas sometidas a su jurisdicción, pues se manifiestan también</w:t>
      </w:r>
      <w:r w:rsidRPr="006E79E5">
        <w:rPr>
          <w:rFonts w:asciiTheme="majorHAnsi" w:hAnsiTheme="majorHAnsi"/>
          <w:b/>
          <w:sz w:val="20"/>
          <w:szCs w:val="20"/>
          <w:lang w:val="es-ES"/>
        </w:rPr>
        <w:t xml:space="preserve"> </w:t>
      </w:r>
      <w:r w:rsidRPr="006E79E5">
        <w:rPr>
          <w:rFonts w:asciiTheme="majorHAnsi" w:hAnsiTheme="majorHAnsi"/>
          <w:sz w:val="20"/>
          <w:szCs w:val="20"/>
          <w:lang w:val="es-ES"/>
        </w:rPr>
        <w:t>en la obligación positiva del Estado de adoptar las medidas necesarias para asegurar la efectiva protección de los derechos humanos en las relaciones inter – individuales”</w:t>
      </w:r>
      <w:r w:rsidRPr="00AD78EA">
        <w:rPr>
          <w:rStyle w:val="FootnoteReference"/>
          <w:rFonts w:asciiTheme="majorHAnsi" w:hAnsiTheme="majorHAnsi"/>
          <w:sz w:val="20"/>
          <w:szCs w:val="20"/>
        </w:rPr>
        <w:footnoteReference w:id="66"/>
      </w:r>
      <w:r w:rsidRPr="006E79E5">
        <w:rPr>
          <w:rFonts w:asciiTheme="majorHAnsi" w:hAnsiTheme="majorHAnsi"/>
          <w:sz w:val="20"/>
          <w:szCs w:val="20"/>
          <w:lang w:val="es-ES"/>
        </w:rPr>
        <w:t>. Dichas obligaciones incumben a todos los sujetos del Derecho Internacional y los supuestos de incumplimiento deberán determinarse en cada caso en función de las necesidades de protección, para cada caso en particular”</w:t>
      </w:r>
      <w:r w:rsidRPr="00AD78EA">
        <w:rPr>
          <w:rStyle w:val="FootnoteReference"/>
          <w:rFonts w:asciiTheme="majorHAnsi" w:hAnsiTheme="majorHAnsi"/>
          <w:sz w:val="20"/>
          <w:szCs w:val="20"/>
          <w:lang w:val="es-ES"/>
        </w:rPr>
        <w:footnoteReference w:id="67"/>
      </w:r>
      <w:r w:rsidRPr="006E79E5">
        <w:rPr>
          <w:rFonts w:asciiTheme="majorHAnsi" w:hAnsiTheme="majorHAnsi"/>
          <w:sz w:val="20"/>
          <w:szCs w:val="20"/>
          <w:lang w:val="es-ES"/>
        </w:rPr>
        <w:t>.</w:t>
      </w:r>
    </w:p>
    <w:p w14:paraId="51D51CDD" w14:textId="77777777" w:rsidR="006E79E5" w:rsidRDefault="006E79E5"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s="Verdana"/>
          <w:sz w:val="20"/>
          <w:szCs w:val="20"/>
          <w:lang w:val="es-US"/>
        </w:rPr>
      </w:pPr>
    </w:p>
    <w:p w14:paraId="77C1204D" w14:textId="77777777" w:rsidR="00B93A81" w:rsidRDefault="00B93A81"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s="Verdana"/>
          <w:sz w:val="20"/>
          <w:szCs w:val="20"/>
          <w:lang w:val="es-US"/>
        </w:rPr>
      </w:pPr>
    </w:p>
    <w:p w14:paraId="470117E4" w14:textId="77777777" w:rsidR="00B93A81" w:rsidRDefault="00B93A81"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s="Verdana"/>
          <w:sz w:val="20"/>
          <w:szCs w:val="20"/>
          <w:lang w:val="es-US"/>
        </w:rPr>
      </w:pPr>
    </w:p>
    <w:p w14:paraId="0FFE71A7" w14:textId="77777777" w:rsidR="00B93A81" w:rsidRDefault="00B93A81"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s="Verdana"/>
          <w:sz w:val="20"/>
          <w:szCs w:val="20"/>
          <w:lang w:val="es-US"/>
        </w:rPr>
      </w:pPr>
    </w:p>
    <w:p w14:paraId="2F5AD5C2" w14:textId="77777777" w:rsidR="004F7805" w:rsidRPr="00C854BB" w:rsidRDefault="006E79E5"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s="Verdana"/>
          <w:sz w:val="20"/>
          <w:szCs w:val="20"/>
          <w:lang w:val="es-US"/>
        </w:rPr>
      </w:pPr>
      <w:r w:rsidRPr="006E79E5">
        <w:rPr>
          <w:rFonts w:asciiTheme="majorHAnsi" w:hAnsiTheme="majorHAnsi"/>
          <w:sz w:val="20"/>
          <w:szCs w:val="20"/>
          <w:lang w:val="es-ES_tradnl"/>
        </w:rPr>
        <w:t xml:space="preserve">Específicamente, sobre el deber de prevenir la Corte ha indicado que “un Estado no puede ser responsable por cualquier violación de derechos humanos cometida entre particulares dentro de su jurisdicción. En efecto, el carácter </w:t>
      </w:r>
      <w:r w:rsidRPr="006E79E5">
        <w:rPr>
          <w:rFonts w:asciiTheme="majorHAnsi" w:hAnsiTheme="majorHAnsi"/>
          <w:i/>
          <w:sz w:val="20"/>
          <w:szCs w:val="20"/>
          <w:lang w:val="es-ES_tradnl"/>
        </w:rPr>
        <w:t xml:space="preserve">erga omnes </w:t>
      </w:r>
      <w:r w:rsidRPr="006E79E5">
        <w:rPr>
          <w:rFonts w:asciiTheme="majorHAnsi" w:hAnsiTheme="majorHAnsi" w:cs="Arial"/>
          <w:sz w:val="20"/>
          <w:szCs w:val="20"/>
          <w:lang w:val="es-PE"/>
        </w:rPr>
        <w:t>de</w:t>
      </w:r>
      <w:r w:rsidRPr="006E79E5">
        <w:rPr>
          <w:rFonts w:asciiTheme="majorHAnsi" w:hAnsiTheme="majorHAnsi"/>
          <w:sz w:val="20"/>
          <w:szCs w:val="20"/>
          <w:lang w:val="es-ES_tradnl"/>
        </w:rPr>
        <w:t xml:space="preserve"> las obligaciones convencionales de garantía a cargo de los Estados no implica una responsabilidad ilimitada de los Estados frente a cualquier acto o hecho de particulares</w:t>
      </w:r>
      <w:r w:rsidRPr="00AD78EA">
        <w:rPr>
          <w:rStyle w:val="FootnoteReference"/>
          <w:rFonts w:asciiTheme="majorHAnsi" w:hAnsiTheme="majorHAnsi"/>
          <w:sz w:val="20"/>
          <w:szCs w:val="20"/>
          <w:lang w:val="es-ES"/>
        </w:rPr>
        <w:footnoteReference w:id="68"/>
      </w:r>
      <w:r w:rsidRPr="006E79E5">
        <w:rPr>
          <w:rFonts w:asciiTheme="majorHAnsi" w:hAnsiTheme="majorHAnsi"/>
          <w:sz w:val="20"/>
          <w:szCs w:val="20"/>
          <w:lang w:val="es-ES_tradnl"/>
        </w:rPr>
        <w:t xml:space="preserve">, pues sus </w:t>
      </w:r>
      <w:r w:rsidRPr="009F3647">
        <w:rPr>
          <w:rFonts w:asciiTheme="majorHAnsi" w:hAnsiTheme="majorHAnsi"/>
          <w:sz w:val="20"/>
          <w:szCs w:val="20"/>
          <w:lang w:val="es-ES_tradnl"/>
        </w:rPr>
        <w:t>deberes de adoptar medidas de prevención y protección en sus relaciones entre sí</w:t>
      </w:r>
      <w:r w:rsidRPr="009F3647">
        <w:rPr>
          <w:rFonts w:asciiTheme="majorHAnsi" w:hAnsiTheme="majorHAnsi"/>
          <w:b/>
          <w:sz w:val="20"/>
          <w:szCs w:val="20"/>
          <w:lang w:val="es-ES_tradnl"/>
        </w:rPr>
        <w:t xml:space="preserve"> </w:t>
      </w:r>
      <w:r w:rsidRPr="009F3647">
        <w:rPr>
          <w:rFonts w:asciiTheme="majorHAnsi" w:hAnsiTheme="majorHAnsi"/>
          <w:sz w:val="20"/>
          <w:szCs w:val="20"/>
          <w:lang w:val="es-ES_tradnl"/>
        </w:rPr>
        <w:t>se encuentran condicionados a</w:t>
      </w:r>
      <w:r w:rsidR="006345E2">
        <w:rPr>
          <w:rFonts w:asciiTheme="majorHAnsi" w:hAnsiTheme="majorHAnsi"/>
          <w:sz w:val="20"/>
          <w:szCs w:val="20"/>
          <w:lang w:val="es-ES_tradnl"/>
        </w:rPr>
        <w:t>:</w:t>
      </w:r>
      <w:r w:rsidRPr="009F3647">
        <w:rPr>
          <w:rFonts w:asciiTheme="majorHAnsi" w:hAnsiTheme="majorHAnsi"/>
          <w:sz w:val="20"/>
          <w:szCs w:val="20"/>
          <w:lang w:val="es-ES_tradnl"/>
        </w:rPr>
        <w:t xml:space="preserve"> </w:t>
      </w:r>
      <w:r w:rsidRPr="009F3647">
        <w:rPr>
          <w:rFonts w:asciiTheme="majorHAnsi" w:hAnsiTheme="majorHAnsi"/>
          <w:sz w:val="20"/>
          <w:szCs w:val="20"/>
          <w:lang w:val="es-US"/>
        </w:rPr>
        <w:t>i) si el Estado tenía o debía tener conocimiento de una situación de riesgo; ii) si dicho riesgo era real e inmediato; y iii) si el Estado adoptó las medidas que razonablemente se esperaban para evitar que dicho riesgo se verificara</w:t>
      </w:r>
      <w:r w:rsidRPr="009F3647">
        <w:rPr>
          <w:rStyle w:val="FootnoteReference"/>
          <w:rFonts w:asciiTheme="majorHAnsi" w:hAnsiTheme="majorHAnsi" w:cs="Arial"/>
          <w:sz w:val="20"/>
          <w:szCs w:val="20"/>
          <w:lang w:val="es-CR"/>
        </w:rPr>
        <w:footnoteReference w:id="69"/>
      </w:r>
      <w:r w:rsidR="004F7805" w:rsidRPr="009F3647">
        <w:rPr>
          <w:rFonts w:asciiTheme="majorHAnsi" w:hAnsiTheme="majorHAnsi"/>
          <w:sz w:val="20"/>
          <w:szCs w:val="20"/>
          <w:lang w:val="es-US"/>
        </w:rPr>
        <w:t>.</w:t>
      </w:r>
    </w:p>
    <w:p w14:paraId="4AC72EE5" w14:textId="77777777" w:rsidR="00C854BB" w:rsidRPr="004F7805" w:rsidRDefault="00C854BB"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s="Verdana"/>
          <w:sz w:val="20"/>
          <w:szCs w:val="20"/>
          <w:lang w:val="es-US"/>
        </w:rPr>
      </w:pPr>
    </w:p>
    <w:p w14:paraId="565EE29A" w14:textId="77777777" w:rsidR="00416C0A" w:rsidRPr="00416C0A" w:rsidRDefault="004F7805"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s="Verdana"/>
          <w:sz w:val="20"/>
          <w:szCs w:val="20"/>
          <w:lang w:val="es-US"/>
        </w:rPr>
      </w:pPr>
      <w:r w:rsidRPr="004F7805">
        <w:rPr>
          <w:rFonts w:ascii="Cambria" w:hAnsi="Cambria"/>
          <w:sz w:val="20"/>
          <w:szCs w:val="20"/>
          <w:lang w:val="es-PE"/>
        </w:rPr>
        <w:t xml:space="preserve">En línea con lo anterior, la Comisión </w:t>
      </w:r>
      <w:r w:rsidR="00B547E8">
        <w:rPr>
          <w:rFonts w:ascii="Cambria" w:hAnsi="Cambria"/>
          <w:sz w:val="20"/>
          <w:szCs w:val="20"/>
          <w:lang w:val="es-PE"/>
        </w:rPr>
        <w:t>recuerda</w:t>
      </w:r>
      <w:r w:rsidR="00416C0A">
        <w:rPr>
          <w:rFonts w:ascii="Cambria" w:hAnsi="Cambria"/>
          <w:sz w:val="20"/>
          <w:szCs w:val="20"/>
          <w:lang w:val="es-PE"/>
        </w:rPr>
        <w:t xml:space="preserve"> que</w:t>
      </w:r>
      <w:r w:rsidRPr="004F7805">
        <w:rPr>
          <w:rFonts w:ascii="Cambria" w:hAnsi="Cambria"/>
          <w:sz w:val="20"/>
          <w:szCs w:val="20"/>
          <w:lang w:val="es-PE"/>
        </w:rPr>
        <w:t xml:space="preserve"> en casos relacionados con desapariciones de personas, la jurisprudencia interamericana ha sostenido que existe un vínculo inescindible entre la respuesta estatal y la protección de la vida e integridad de la persona que se denuncia desaparecida. </w:t>
      </w:r>
      <w:r w:rsidRPr="004F7805">
        <w:rPr>
          <w:rFonts w:ascii="Cambria" w:hAnsi="Cambria"/>
          <w:sz w:val="20"/>
          <w:szCs w:val="20"/>
          <w:lang w:val="es-EC"/>
        </w:rPr>
        <w:t xml:space="preserve">La naturaleza inmediata y exhaustiva de la respuesta estatal </w:t>
      </w:r>
      <w:r w:rsidR="000D2AEA">
        <w:rPr>
          <w:rFonts w:ascii="Cambria" w:hAnsi="Cambria"/>
          <w:sz w:val="20"/>
          <w:szCs w:val="20"/>
          <w:lang w:val="es-EC"/>
        </w:rPr>
        <w:t xml:space="preserve">requerida bajo la Convención, </w:t>
      </w:r>
      <w:r w:rsidRPr="004F7805">
        <w:rPr>
          <w:rFonts w:ascii="Cambria" w:hAnsi="Cambria"/>
          <w:sz w:val="20"/>
          <w:szCs w:val="20"/>
          <w:lang w:val="es-EC"/>
        </w:rPr>
        <w:t xml:space="preserve">es independiente de si se trata de una posible desaparición de manos de particulares o de manos de agentes estatales. La Comisión </w:t>
      </w:r>
      <w:r w:rsidR="00416C0A">
        <w:rPr>
          <w:rFonts w:ascii="Cambria" w:hAnsi="Cambria"/>
          <w:sz w:val="20"/>
          <w:szCs w:val="20"/>
          <w:lang w:val="es-EC"/>
        </w:rPr>
        <w:t>entiende</w:t>
      </w:r>
      <w:r w:rsidRPr="004F7805">
        <w:rPr>
          <w:rFonts w:ascii="Cambria" w:hAnsi="Cambria"/>
          <w:sz w:val="20"/>
          <w:szCs w:val="20"/>
          <w:lang w:val="es-EC"/>
        </w:rPr>
        <w:t xml:space="preserve"> que</w:t>
      </w:r>
      <w:r w:rsidR="00A43FB2">
        <w:rPr>
          <w:rFonts w:ascii="Cambria" w:hAnsi="Cambria"/>
          <w:sz w:val="20"/>
          <w:szCs w:val="20"/>
          <w:lang w:val="es-EC"/>
        </w:rPr>
        <w:t xml:space="preserve"> estas consideraciones resultan aplicables a situaciones en las cuales el Estado tiene conocimiento de un </w:t>
      </w:r>
      <w:r w:rsidRPr="004F7805">
        <w:rPr>
          <w:rFonts w:ascii="Cambria" w:hAnsi="Cambria"/>
          <w:sz w:val="20"/>
          <w:szCs w:val="20"/>
          <w:lang w:val="es-EC"/>
        </w:rPr>
        <w:t>secuestro extorsivo</w:t>
      </w:r>
      <w:r w:rsidR="00A43FB2">
        <w:rPr>
          <w:rFonts w:ascii="Cambria" w:hAnsi="Cambria"/>
          <w:sz w:val="20"/>
          <w:szCs w:val="20"/>
          <w:lang w:val="es-EC"/>
        </w:rPr>
        <w:t xml:space="preserve">, en la medida en que </w:t>
      </w:r>
      <w:r w:rsidRPr="004F7805">
        <w:rPr>
          <w:rFonts w:ascii="Cambria" w:hAnsi="Cambria"/>
          <w:sz w:val="20"/>
          <w:szCs w:val="20"/>
          <w:lang w:val="es-EC"/>
        </w:rPr>
        <w:t xml:space="preserve">existen similitudes </w:t>
      </w:r>
      <w:r w:rsidR="00416C0A">
        <w:rPr>
          <w:rFonts w:ascii="Cambria" w:hAnsi="Cambria"/>
          <w:sz w:val="20"/>
          <w:szCs w:val="20"/>
          <w:lang w:val="es-EC"/>
        </w:rPr>
        <w:t xml:space="preserve">respecto de </w:t>
      </w:r>
      <w:r w:rsidRPr="004F7805">
        <w:rPr>
          <w:rFonts w:ascii="Cambria" w:hAnsi="Cambria"/>
          <w:sz w:val="20"/>
          <w:szCs w:val="20"/>
          <w:lang w:val="es-EC"/>
        </w:rPr>
        <w:t xml:space="preserve">los derechos </w:t>
      </w:r>
      <w:r w:rsidR="00C72054">
        <w:rPr>
          <w:rFonts w:ascii="Cambria" w:hAnsi="Cambria"/>
          <w:sz w:val="20"/>
          <w:szCs w:val="20"/>
          <w:lang w:val="es-EC"/>
        </w:rPr>
        <w:t xml:space="preserve">tanto efectivamente </w:t>
      </w:r>
      <w:r w:rsidRPr="004F7805">
        <w:rPr>
          <w:rFonts w:ascii="Cambria" w:hAnsi="Cambria"/>
          <w:sz w:val="20"/>
          <w:szCs w:val="20"/>
          <w:lang w:val="es-EC"/>
        </w:rPr>
        <w:t>vulnerados</w:t>
      </w:r>
      <w:r w:rsidR="00C72054">
        <w:rPr>
          <w:rFonts w:ascii="Cambria" w:hAnsi="Cambria"/>
          <w:sz w:val="20"/>
          <w:szCs w:val="20"/>
          <w:lang w:val="es-EC"/>
        </w:rPr>
        <w:t xml:space="preserve"> como en riesgo extremo</w:t>
      </w:r>
      <w:r w:rsidRPr="004F7805">
        <w:rPr>
          <w:rFonts w:ascii="Cambria" w:hAnsi="Cambria"/>
          <w:sz w:val="20"/>
          <w:szCs w:val="20"/>
          <w:lang w:val="es-EC"/>
        </w:rPr>
        <w:t xml:space="preserve">, tal como se analizará más adelante. </w:t>
      </w:r>
    </w:p>
    <w:p w14:paraId="11281EDE" w14:textId="77777777" w:rsidR="00416C0A" w:rsidRPr="00416C0A" w:rsidRDefault="00416C0A"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s="Verdana"/>
          <w:sz w:val="20"/>
          <w:szCs w:val="20"/>
          <w:lang w:val="es-US"/>
        </w:rPr>
      </w:pPr>
    </w:p>
    <w:p w14:paraId="4B34D3DC" w14:textId="77777777" w:rsidR="004A0DB2" w:rsidRDefault="00416C0A"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CO"/>
        </w:rPr>
      </w:pPr>
      <w:r>
        <w:rPr>
          <w:rFonts w:ascii="Cambria" w:hAnsi="Cambria"/>
          <w:bCs/>
          <w:iCs/>
          <w:sz w:val="20"/>
          <w:szCs w:val="20"/>
          <w:lang w:val="es-EC"/>
        </w:rPr>
        <w:t>Así, l</w:t>
      </w:r>
      <w:r w:rsidR="004F7805" w:rsidRPr="004F7805">
        <w:rPr>
          <w:rFonts w:ascii="Cambria" w:hAnsi="Cambria"/>
          <w:bCs/>
          <w:iCs/>
          <w:sz w:val="20"/>
          <w:szCs w:val="20"/>
          <w:lang w:val="es-EC"/>
        </w:rPr>
        <w:t xml:space="preserve">a </w:t>
      </w:r>
      <w:r w:rsidR="004F7805" w:rsidRPr="004F7805">
        <w:rPr>
          <w:rFonts w:ascii="Cambria" w:hAnsi="Cambria"/>
          <w:sz w:val="20"/>
          <w:szCs w:val="20"/>
          <w:lang w:val="es-ES"/>
        </w:rPr>
        <w:t>Comisión</w:t>
      </w:r>
      <w:r w:rsidR="004F7805" w:rsidRPr="004F7805">
        <w:rPr>
          <w:rFonts w:ascii="Cambria" w:hAnsi="Cambria"/>
          <w:bCs/>
          <w:iCs/>
          <w:sz w:val="20"/>
          <w:szCs w:val="20"/>
          <w:lang w:val="es-EC"/>
        </w:rPr>
        <w:t xml:space="preserve"> </w:t>
      </w:r>
      <w:r>
        <w:rPr>
          <w:rFonts w:ascii="Cambria" w:hAnsi="Cambria"/>
          <w:bCs/>
          <w:iCs/>
          <w:sz w:val="20"/>
          <w:szCs w:val="20"/>
          <w:lang w:val="es-EC"/>
        </w:rPr>
        <w:t xml:space="preserve">encuentra </w:t>
      </w:r>
      <w:r w:rsidR="00405C21">
        <w:rPr>
          <w:rFonts w:ascii="Cambria" w:hAnsi="Cambria"/>
          <w:bCs/>
          <w:iCs/>
          <w:sz w:val="20"/>
          <w:szCs w:val="20"/>
          <w:lang w:val="es-EC"/>
        </w:rPr>
        <w:t xml:space="preserve">que, tal como en los casos en los </w:t>
      </w:r>
      <w:r w:rsidR="004F7805" w:rsidRPr="004F7805">
        <w:rPr>
          <w:rFonts w:ascii="Cambria" w:hAnsi="Cambria"/>
          <w:bCs/>
          <w:iCs/>
          <w:sz w:val="20"/>
          <w:szCs w:val="20"/>
          <w:lang w:val="es-EC"/>
        </w:rPr>
        <w:t>“</w:t>
      </w:r>
      <w:r w:rsidR="004F7805" w:rsidRPr="004F7805">
        <w:rPr>
          <w:rFonts w:ascii="Cambria" w:hAnsi="Cambria"/>
          <w:sz w:val="20"/>
          <w:szCs w:val="20"/>
          <w:lang w:val="es-CO"/>
        </w:rPr>
        <w:t xml:space="preserve">haya motivos razonables para sospechar que una persona ha sido sometida a desaparición, es imprescindible la actuación pronta e </w:t>
      </w:r>
      <w:r w:rsidR="004F7805" w:rsidRPr="004F7805">
        <w:rPr>
          <w:rFonts w:ascii="Cambria" w:hAnsi="Cambria"/>
          <w:sz w:val="20"/>
          <w:szCs w:val="20"/>
          <w:lang w:val="es-EC"/>
        </w:rPr>
        <w:t>inmediata</w:t>
      </w:r>
      <w:r w:rsidR="004F7805" w:rsidRPr="004F7805">
        <w:rPr>
          <w:rFonts w:ascii="Cambria" w:hAnsi="Cambria"/>
          <w:sz w:val="20"/>
          <w:szCs w:val="20"/>
          <w:lang w:val="es-CO"/>
        </w:rPr>
        <w:t xml:space="preserve"> de las autoridades fiscales y judiciales ordenando medidas oportunas y necesarias dirigidas a la determinación del paradero de la víctima o el lugar donde pueda encontrarse privada de libertad</w:t>
      </w:r>
      <w:bookmarkStart w:id="30" w:name="_Ref280106061"/>
      <w:r w:rsidR="004F7805" w:rsidRPr="004F7805">
        <w:rPr>
          <w:rFonts w:ascii="Cambria" w:hAnsi="Cambria"/>
          <w:sz w:val="20"/>
          <w:szCs w:val="20"/>
          <w:lang w:val="es-CO"/>
        </w:rPr>
        <w:t>”</w:t>
      </w:r>
      <w:r w:rsidR="004F7805" w:rsidRPr="007A5CCB">
        <w:rPr>
          <w:rStyle w:val="FootnoteReference"/>
          <w:rFonts w:ascii="Cambria" w:hAnsi="Cambria"/>
          <w:sz w:val="20"/>
          <w:szCs w:val="20"/>
        </w:rPr>
        <w:footnoteReference w:id="70"/>
      </w:r>
      <w:bookmarkEnd w:id="30"/>
      <w:r w:rsidR="00405C21">
        <w:rPr>
          <w:rFonts w:ascii="Cambria" w:hAnsi="Cambria"/>
          <w:sz w:val="20"/>
          <w:szCs w:val="20"/>
          <w:lang w:val="es-CO"/>
        </w:rPr>
        <w:t>, en los casos de secuestros</w:t>
      </w:r>
      <w:r w:rsidR="007C402D">
        <w:rPr>
          <w:rFonts w:ascii="Cambria" w:hAnsi="Cambria"/>
          <w:sz w:val="20"/>
          <w:szCs w:val="20"/>
          <w:lang w:val="es-CO"/>
        </w:rPr>
        <w:t xml:space="preserve"> por parte de actores no estatales</w:t>
      </w:r>
      <w:r w:rsidR="00405C21">
        <w:rPr>
          <w:rFonts w:ascii="Cambria" w:hAnsi="Cambria"/>
          <w:sz w:val="20"/>
          <w:szCs w:val="20"/>
          <w:lang w:val="es-CO"/>
        </w:rPr>
        <w:t>, el mismo estándar interamericano de protección resulta aplicable</w:t>
      </w:r>
      <w:r w:rsidR="00B61C3E">
        <w:rPr>
          <w:rFonts w:ascii="Cambria" w:hAnsi="Cambria"/>
          <w:sz w:val="20"/>
          <w:szCs w:val="20"/>
          <w:lang w:val="es-CO"/>
        </w:rPr>
        <w:t>, lo que se desprende de la naturaleza de los derechos involucrados.</w:t>
      </w:r>
      <w:r w:rsidR="00405C21">
        <w:rPr>
          <w:rFonts w:ascii="Cambria" w:hAnsi="Cambria"/>
          <w:sz w:val="20"/>
          <w:szCs w:val="20"/>
          <w:lang w:val="es-CO"/>
        </w:rPr>
        <w:t xml:space="preserve"> </w:t>
      </w:r>
      <w:r w:rsidR="007C402D">
        <w:rPr>
          <w:rFonts w:ascii="Cambria" w:hAnsi="Cambria"/>
          <w:sz w:val="20"/>
          <w:szCs w:val="20"/>
          <w:lang w:val="es-CO"/>
        </w:rPr>
        <w:t>Además, este estándar resulta reforzado en el presente caso, en la medida en que existía un contexto más general del uso de secuestro extorsivo en el marco del conflicto armado en Colombia, con serias afectaciones a los derechos d</w:t>
      </w:r>
      <w:r w:rsidR="004A0DB2">
        <w:rPr>
          <w:rFonts w:ascii="Cambria" w:hAnsi="Cambria"/>
          <w:sz w:val="20"/>
          <w:szCs w:val="20"/>
          <w:lang w:val="es-CO"/>
        </w:rPr>
        <w:t>e</w:t>
      </w:r>
      <w:r w:rsidR="007C402D">
        <w:rPr>
          <w:rFonts w:ascii="Cambria" w:hAnsi="Cambria"/>
          <w:sz w:val="20"/>
          <w:szCs w:val="20"/>
          <w:lang w:val="es-CO"/>
        </w:rPr>
        <w:t xml:space="preserve"> las víctimas, incluyendo en algunos casos, su muerte</w:t>
      </w:r>
      <w:r w:rsidR="002560BA">
        <w:rPr>
          <w:rStyle w:val="FootnoteReference"/>
          <w:rFonts w:ascii="Cambria" w:hAnsi="Cambria"/>
          <w:sz w:val="20"/>
          <w:szCs w:val="20"/>
          <w:lang w:val="es-CO"/>
        </w:rPr>
        <w:footnoteReference w:id="71"/>
      </w:r>
      <w:r w:rsidR="007C402D">
        <w:rPr>
          <w:rFonts w:ascii="Cambria" w:hAnsi="Cambria"/>
          <w:sz w:val="20"/>
          <w:szCs w:val="20"/>
          <w:lang w:val="es-CO"/>
        </w:rPr>
        <w:t xml:space="preserve">.  </w:t>
      </w:r>
    </w:p>
    <w:p w14:paraId="44B07504" w14:textId="77777777" w:rsidR="00B15353" w:rsidRPr="00416C0A" w:rsidRDefault="00B15353"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s="Verdana"/>
          <w:sz w:val="20"/>
          <w:szCs w:val="20"/>
          <w:lang w:val="es-US"/>
        </w:rPr>
      </w:pPr>
    </w:p>
    <w:p w14:paraId="4085E8FA" w14:textId="77777777" w:rsidR="008F7AC6" w:rsidRDefault="00222122" w:rsidP="001E3EBE">
      <w:pPr>
        <w:pStyle w:val="Heading3"/>
        <w:ind w:left="0" w:firstLine="0"/>
        <w:rPr>
          <w:lang w:val="es-ES"/>
        </w:rPr>
      </w:pPr>
      <w:bookmarkStart w:id="31" w:name="_Toc394820754"/>
      <w:bookmarkStart w:id="32" w:name="_Toc70437021"/>
      <w:r>
        <w:rPr>
          <w:lang w:val="es-ES"/>
        </w:rPr>
        <w:t xml:space="preserve">Consideraciones específicas sobre la obligación de garantía en el contexto de </w:t>
      </w:r>
      <w:r w:rsidR="003A7988" w:rsidRPr="00A229E3">
        <w:rPr>
          <w:lang w:val="es-ES"/>
        </w:rPr>
        <w:t>secuestro</w:t>
      </w:r>
      <w:r w:rsidR="00A93F7B">
        <w:rPr>
          <w:lang w:val="es-ES"/>
        </w:rPr>
        <w:t>s</w:t>
      </w:r>
      <w:r w:rsidR="003A7988" w:rsidRPr="00A229E3">
        <w:rPr>
          <w:lang w:val="es-ES"/>
        </w:rPr>
        <w:t xml:space="preserve"> extorsivo</w:t>
      </w:r>
      <w:r w:rsidR="00A93F7B">
        <w:rPr>
          <w:lang w:val="es-ES"/>
        </w:rPr>
        <w:t>s</w:t>
      </w:r>
      <w:r w:rsidR="003A7988" w:rsidRPr="00A229E3">
        <w:rPr>
          <w:lang w:val="es-ES"/>
        </w:rPr>
        <w:t xml:space="preserve"> com</w:t>
      </w:r>
      <w:r w:rsidR="00A93F7B">
        <w:rPr>
          <w:lang w:val="es-ES"/>
        </w:rPr>
        <w:t>etidos por actores no estatales</w:t>
      </w:r>
      <w:bookmarkEnd w:id="31"/>
      <w:bookmarkEnd w:id="32"/>
      <w:r w:rsidR="00A93F7B">
        <w:rPr>
          <w:lang w:val="es-ES"/>
        </w:rPr>
        <w:t xml:space="preserve"> </w:t>
      </w:r>
    </w:p>
    <w:p w14:paraId="6C47A672" w14:textId="77777777" w:rsidR="0022306D" w:rsidRPr="0022306D" w:rsidRDefault="0022306D" w:rsidP="001E3EBE">
      <w:pPr>
        <w:pStyle w:val="ListParagraph"/>
        <w:ind w:left="0"/>
        <w:jc w:val="both"/>
        <w:rPr>
          <w:b/>
          <w:color w:val="auto"/>
          <w:sz w:val="20"/>
          <w:szCs w:val="20"/>
          <w:lang w:val="es-ES"/>
        </w:rPr>
      </w:pPr>
    </w:p>
    <w:p w14:paraId="13C94546" w14:textId="77777777" w:rsidR="0022306D" w:rsidRPr="0022306D" w:rsidRDefault="0022306D"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s="Verdana"/>
          <w:sz w:val="20"/>
          <w:szCs w:val="20"/>
          <w:lang w:val="es-US"/>
        </w:rPr>
      </w:pPr>
      <w:r>
        <w:rPr>
          <w:rFonts w:asciiTheme="majorHAnsi" w:hAnsiTheme="majorHAnsi"/>
          <w:sz w:val="20"/>
          <w:szCs w:val="20"/>
          <w:lang w:val="es-ES"/>
        </w:rPr>
        <w:t xml:space="preserve">La CIDH </w:t>
      </w:r>
      <w:r w:rsidR="00222122">
        <w:rPr>
          <w:rFonts w:asciiTheme="majorHAnsi" w:hAnsiTheme="majorHAnsi"/>
          <w:sz w:val="20"/>
          <w:szCs w:val="20"/>
          <w:lang w:val="es-ES"/>
        </w:rPr>
        <w:t xml:space="preserve">destaca </w:t>
      </w:r>
      <w:r>
        <w:rPr>
          <w:rFonts w:asciiTheme="majorHAnsi" w:hAnsiTheme="majorHAnsi"/>
          <w:sz w:val="20"/>
          <w:szCs w:val="20"/>
          <w:lang w:val="es-ES"/>
        </w:rPr>
        <w:t>que existe un import</w:t>
      </w:r>
      <w:r w:rsidR="00C854BB">
        <w:rPr>
          <w:rFonts w:asciiTheme="majorHAnsi" w:hAnsiTheme="majorHAnsi"/>
          <w:sz w:val="20"/>
          <w:szCs w:val="20"/>
          <w:lang w:val="es-ES"/>
        </w:rPr>
        <w:t>ante consenso en los Estados M</w:t>
      </w:r>
      <w:r>
        <w:rPr>
          <w:rFonts w:asciiTheme="majorHAnsi" w:hAnsiTheme="majorHAnsi"/>
          <w:sz w:val="20"/>
          <w:szCs w:val="20"/>
          <w:lang w:val="es-ES"/>
        </w:rPr>
        <w:t xml:space="preserve">iembros de </w:t>
      </w:r>
      <w:r w:rsidRPr="006B7A7D">
        <w:rPr>
          <w:rFonts w:asciiTheme="majorHAnsi" w:hAnsiTheme="majorHAnsi"/>
          <w:sz w:val="20"/>
          <w:szCs w:val="20"/>
          <w:lang w:val="es-ES"/>
        </w:rPr>
        <w:t>la Organización de Estados Americanos (en adelante “la OEA”</w:t>
      </w:r>
      <w:r>
        <w:rPr>
          <w:rFonts w:asciiTheme="majorHAnsi" w:hAnsiTheme="majorHAnsi"/>
          <w:sz w:val="20"/>
          <w:szCs w:val="20"/>
          <w:lang w:val="es-ES"/>
        </w:rPr>
        <w:t xml:space="preserve"> o “la Organización”</w:t>
      </w:r>
      <w:r w:rsidRPr="006B7A7D">
        <w:rPr>
          <w:rFonts w:asciiTheme="majorHAnsi" w:hAnsiTheme="majorHAnsi"/>
          <w:sz w:val="20"/>
          <w:szCs w:val="20"/>
          <w:lang w:val="es-ES"/>
        </w:rPr>
        <w:t>)</w:t>
      </w:r>
      <w:r>
        <w:rPr>
          <w:rFonts w:asciiTheme="majorHAnsi" w:hAnsiTheme="majorHAnsi"/>
          <w:sz w:val="20"/>
          <w:szCs w:val="20"/>
          <w:lang w:val="es-ES"/>
        </w:rPr>
        <w:t xml:space="preserve"> en </w:t>
      </w:r>
      <w:r w:rsidR="00EA0E93">
        <w:rPr>
          <w:rFonts w:asciiTheme="majorHAnsi" w:hAnsiTheme="majorHAnsi"/>
          <w:sz w:val="20"/>
          <w:szCs w:val="20"/>
          <w:lang w:val="es-ES"/>
        </w:rPr>
        <w:t xml:space="preserve">cuanto a </w:t>
      </w:r>
      <w:r>
        <w:rPr>
          <w:rFonts w:asciiTheme="majorHAnsi" w:hAnsiTheme="majorHAnsi"/>
          <w:sz w:val="20"/>
          <w:szCs w:val="20"/>
          <w:lang w:val="es-ES"/>
        </w:rPr>
        <w:t>que la seguridad pública es un deber de los Estados, y que tiene como “finalidad salvaguardar la integridad y seguridad de las personas y proteger el disfrute de todos sus derechos”</w:t>
      </w:r>
      <w:r>
        <w:rPr>
          <w:rStyle w:val="FootnoteReference"/>
          <w:rFonts w:asciiTheme="majorHAnsi" w:hAnsiTheme="majorHAnsi"/>
          <w:sz w:val="20"/>
          <w:szCs w:val="20"/>
          <w:lang w:val="es-ES"/>
        </w:rPr>
        <w:footnoteReference w:id="72"/>
      </w:r>
      <w:r>
        <w:rPr>
          <w:rFonts w:asciiTheme="majorHAnsi" w:hAnsiTheme="majorHAnsi"/>
          <w:sz w:val="20"/>
          <w:szCs w:val="20"/>
          <w:lang w:val="es-ES"/>
        </w:rPr>
        <w:t>.</w:t>
      </w:r>
    </w:p>
    <w:p w14:paraId="2B734A99" w14:textId="77777777" w:rsidR="0022306D" w:rsidRPr="0022306D" w:rsidRDefault="0022306D"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s="Verdana"/>
          <w:sz w:val="20"/>
          <w:szCs w:val="20"/>
          <w:lang w:val="es-US"/>
        </w:rPr>
      </w:pPr>
    </w:p>
    <w:p w14:paraId="0101A3F5" w14:textId="77777777" w:rsidR="00A229E3" w:rsidRPr="0022306D" w:rsidRDefault="00EF0908"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sz w:val="20"/>
          <w:szCs w:val="20"/>
          <w:lang w:val="es-ES"/>
        </w:rPr>
      </w:pPr>
      <w:r w:rsidRPr="0022306D">
        <w:rPr>
          <w:rFonts w:asciiTheme="majorHAnsi" w:hAnsiTheme="majorHAnsi"/>
          <w:sz w:val="20"/>
          <w:szCs w:val="20"/>
          <w:lang w:val="es-ES"/>
        </w:rPr>
        <w:t xml:space="preserve">En esta línea, </w:t>
      </w:r>
      <w:r w:rsidR="008F7AC6" w:rsidRPr="0022306D">
        <w:rPr>
          <w:rFonts w:asciiTheme="majorHAnsi" w:hAnsiTheme="majorHAnsi"/>
          <w:sz w:val="20"/>
          <w:szCs w:val="20"/>
          <w:lang w:val="es-ES"/>
        </w:rPr>
        <w:t>l</w:t>
      </w:r>
      <w:r w:rsidR="003A7949" w:rsidRPr="0022306D">
        <w:rPr>
          <w:rFonts w:asciiTheme="majorHAnsi" w:hAnsiTheme="majorHAnsi"/>
          <w:sz w:val="20"/>
          <w:szCs w:val="20"/>
          <w:lang w:val="es-ES"/>
        </w:rPr>
        <w:t>a ocurrencia de secuestros extorsivos ha sido una preocupación constante en</w:t>
      </w:r>
      <w:r w:rsidRPr="0022306D">
        <w:rPr>
          <w:rFonts w:asciiTheme="majorHAnsi" w:hAnsiTheme="majorHAnsi"/>
          <w:sz w:val="20"/>
          <w:szCs w:val="20"/>
          <w:lang w:val="es-ES"/>
        </w:rPr>
        <w:t xml:space="preserve"> la Organización</w:t>
      </w:r>
      <w:r w:rsidR="003A7949" w:rsidRPr="0022306D">
        <w:rPr>
          <w:rFonts w:asciiTheme="majorHAnsi" w:hAnsiTheme="majorHAnsi"/>
          <w:sz w:val="20"/>
          <w:szCs w:val="20"/>
          <w:lang w:val="es-ES"/>
        </w:rPr>
        <w:t>. Desde de la década de los setentas es posible distinguir que este crimen</w:t>
      </w:r>
      <w:r w:rsidR="00A82BB7" w:rsidRPr="0022306D">
        <w:rPr>
          <w:rFonts w:asciiTheme="majorHAnsi" w:hAnsiTheme="majorHAnsi"/>
          <w:sz w:val="20"/>
          <w:szCs w:val="20"/>
          <w:lang w:val="es-ES"/>
        </w:rPr>
        <w:t xml:space="preserve"> </w:t>
      </w:r>
      <w:r w:rsidR="00C854BB">
        <w:rPr>
          <w:rFonts w:asciiTheme="majorHAnsi" w:hAnsiTheme="majorHAnsi"/>
          <w:sz w:val="20"/>
          <w:szCs w:val="20"/>
          <w:lang w:val="es-ES"/>
        </w:rPr>
        <w:t>ha sido calificado por lo E</w:t>
      </w:r>
      <w:r w:rsidR="00FA7B7E" w:rsidRPr="0022306D">
        <w:rPr>
          <w:rFonts w:asciiTheme="majorHAnsi" w:hAnsiTheme="majorHAnsi"/>
          <w:sz w:val="20"/>
          <w:szCs w:val="20"/>
          <w:lang w:val="es-ES"/>
        </w:rPr>
        <w:t xml:space="preserve">stados </w:t>
      </w:r>
      <w:r w:rsidR="00C854BB">
        <w:rPr>
          <w:rFonts w:asciiTheme="majorHAnsi" w:hAnsiTheme="majorHAnsi"/>
          <w:sz w:val="20"/>
          <w:szCs w:val="20"/>
          <w:lang w:val="es-ES"/>
        </w:rPr>
        <w:t>M</w:t>
      </w:r>
      <w:r w:rsidR="00FA7B7E" w:rsidRPr="0022306D">
        <w:rPr>
          <w:rFonts w:asciiTheme="majorHAnsi" w:hAnsiTheme="majorHAnsi"/>
          <w:sz w:val="20"/>
          <w:szCs w:val="20"/>
          <w:lang w:val="es-ES"/>
        </w:rPr>
        <w:t xml:space="preserve">iembros de la OEA como </w:t>
      </w:r>
      <w:r w:rsidR="00957E72" w:rsidRPr="0022306D">
        <w:rPr>
          <w:rFonts w:asciiTheme="majorHAnsi" w:hAnsiTheme="majorHAnsi"/>
          <w:sz w:val="20"/>
          <w:szCs w:val="20"/>
          <w:lang w:val="es-ES"/>
        </w:rPr>
        <w:t>configuradores de</w:t>
      </w:r>
      <w:r w:rsidR="00FA7B7E" w:rsidRPr="0022306D">
        <w:rPr>
          <w:rFonts w:asciiTheme="majorHAnsi" w:hAnsiTheme="majorHAnsi"/>
          <w:sz w:val="20"/>
          <w:szCs w:val="20"/>
          <w:lang w:val="es-ES"/>
        </w:rPr>
        <w:t xml:space="preserve"> </w:t>
      </w:r>
      <w:r w:rsidR="00957E72" w:rsidRPr="0022306D">
        <w:rPr>
          <w:rFonts w:asciiTheme="majorHAnsi" w:hAnsiTheme="majorHAnsi"/>
          <w:sz w:val="20"/>
          <w:szCs w:val="20"/>
          <w:lang w:val="es-ES"/>
        </w:rPr>
        <w:t>“</w:t>
      </w:r>
      <w:r w:rsidR="00FA7B7E" w:rsidRPr="0022306D">
        <w:rPr>
          <w:rFonts w:asciiTheme="majorHAnsi" w:hAnsiTheme="majorHAnsi"/>
          <w:sz w:val="20"/>
          <w:szCs w:val="20"/>
          <w:lang w:val="es-ES"/>
        </w:rPr>
        <w:t xml:space="preserve">serias violaciones de los derechos y libertades </w:t>
      </w:r>
      <w:r w:rsidR="00FA7B7E" w:rsidRPr="0022306D">
        <w:rPr>
          <w:rFonts w:asciiTheme="majorHAnsi" w:hAnsiTheme="majorHAnsi"/>
          <w:sz w:val="20"/>
          <w:szCs w:val="20"/>
          <w:lang w:val="es-ES"/>
        </w:rPr>
        <w:lastRenderedPageBreak/>
        <w:t>fundamentales”</w:t>
      </w:r>
      <w:r w:rsidR="00957E72" w:rsidRPr="0022306D">
        <w:rPr>
          <w:rFonts w:asciiTheme="majorHAnsi" w:hAnsiTheme="majorHAnsi"/>
          <w:sz w:val="20"/>
          <w:szCs w:val="20"/>
          <w:lang w:val="es-ES"/>
        </w:rPr>
        <w:t xml:space="preserve"> y han expresado que</w:t>
      </w:r>
      <w:r w:rsidR="002A3D4B" w:rsidRPr="0022306D">
        <w:rPr>
          <w:rFonts w:asciiTheme="majorHAnsi" w:hAnsiTheme="majorHAnsi"/>
          <w:sz w:val="20"/>
          <w:szCs w:val="20"/>
          <w:lang w:val="es-ES"/>
        </w:rPr>
        <w:t xml:space="preserve"> “</w:t>
      </w:r>
      <w:r w:rsidR="00E179D1" w:rsidRPr="0022306D">
        <w:rPr>
          <w:rFonts w:asciiTheme="majorHAnsi" w:hAnsiTheme="majorHAnsi"/>
          <w:sz w:val="20"/>
          <w:szCs w:val="20"/>
          <w:lang w:val="es-ES"/>
        </w:rPr>
        <w:t>están firmemente empeñados en evitar su repetición”</w:t>
      </w:r>
      <w:r w:rsidR="00E179D1" w:rsidRPr="006B7A7D">
        <w:rPr>
          <w:rStyle w:val="FootnoteReference"/>
          <w:rFonts w:asciiTheme="majorHAnsi" w:hAnsiTheme="majorHAnsi"/>
          <w:sz w:val="20"/>
          <w:szCs w:val="20"/>
          <w:lang w:val="es-ES"/>
        </w:rPr>
        <w:footnoteReference w:id="73"/>
      </w:r>
      <w:r w:rsidR="00E179D1" w:rsidRPr="0022306D">
        <w:rPr>
          <w:rFonts w:asciiTheme="majorHAnsi" w:hAnsiTheme="majorHAnsi"/>
          <w:sz w:val="20"/>
          <w:szCs w:val="20"/>
          <w:lang w:val="es-ES"/>
        </w:rPr>
        <w:t xml:space="preserve">. </w:t>
      </w:r>
      <w:r w:rsidR="006B7A7D" w:rsidRPr="0022306D">
        <w:rPr>
          <w:rFonts w:asciiTheme="majorHAnsi" w:hAnsiTheme="majorHAnsi"/>
          <w:sz w:val="20"/>
          <w:szCs w:val="20"/>
          <w:lang w:val="es-ES"/>
        </w:rPr>
        <w:t>La Comisión encuentra que s</w:t>
      </w:r>
      <w:r w:rsidR="00E179D1" w:rsidRPr="0022306D">
        <w:rPr>
          <w:rFonts w:asciiTheme="majorHAnsi" w:hAnsiTheme="majorHAnsi"/>
          <w:sz w:val="20"/>
          <w:szCs w:val="20"/>
          <w:lang w:val="es-ES"/>
        </w:rPr>
        <w:t xml:space="preserve">i bien la primera aproximación de la Organización respecto del secuestro extorsivo estuvo </w:t>
      </w:r>
      <w:r w:rsidR="006B7A7D" w:rsidRPr="0022306D">
        <w:rPr>
          <w:rFonts w:asciiTheme="majorHAnsi" w:hAnsiTheme="majorHAnsi"/>
          <w:sz w:val="20"/>
          <w:szCs w:val="20"/>
          <w:lang w:val="es-ES"/>
        </w:rPr>
        <w:t>centrada en su conexión con el terrorismo</w:t>
      </w:r>
      <w:r w:rsidR="008D78D6" w:rsidRPr="0022306D">
        <w:rPr>
          <w:rFonts w:asciiTheme="majorHAnsi" w:hAnsiTheme="majorHAnsi"/>
          <w:sz w:val="20"/>
          <w:szCs w:val="20"/>
          <w:lang w:val="es-ES"/>
        </w:rPr>
        <w:t xml:space="preserve"> y sus </w:t>
      </w:r>
      <w:r w:rsidR="006B7A7D" w:rsidRPr="0022306D">
        <w:rPr>
          <w:rFonts w:asciiTheme="majorHAnsi" w:hAnsiTheme="majorHAnsi"/>
          <w:sz w:val="20"/>
          <w:szCs w:val="20"/>
          <w:lang w:val="es-ES"/>
        </w:rPr>
        <w:t>motivaciones políticas e ideol</w:t>
      </w:r>
      <w:r w:rsidR="004A4841" w:rsidRPr="0022306D">
        <w:rPr>
          <w:rFonts w:asciiTheme="majorHAnsi" w:hAnsiTheme="majorHAnsi"/>
          <w:sz w:val="20"/>
          <w:szCs w:val="20"/>
          <w:lang w:val="es-ES"/>
        </w:rPr>
        <w:t xml:space="preserve">ógicas, posteriormente, debido </w:t>
      </w:r>
      <w:r w:rsidR="00A82BB7" w:rsidRPr="0022306D">
        <w:rPr>
          <w:rFonts w:asciiTheme="majorHAnsi" w:hAnsiTheme="majorHAnsi"/>
          <w:sz w:val="20"/>
          <w:szCs w:val="20"/>
          <w:lang w:val="es-ES"/>
        </w:rPr>
        <w:t>su</w:t>
      </w:r>
      <w:r w:rsidR="004A4841" w:rsidRPr="0022306D">
        <w:rPr>
          <w:rFonts w:asciiTheme="majorHAnsi" w:hAnsiTheme="majorHAnsi"/>
          <w:sz w:val="20"/>
          <w:szCs w:val="20"/>
          <w:lang w:val="es-ES"/>
        </w:rPr>
        <w:t xml:space="preserve"> </w:t>
      </w:r>
      <w:r w:rsidR="008D78D6" w:rsidRPr="0022306D">
        <w:rPr>
          <w:rFonts w:asciiTheme="majorHAnsi" w:hAnsiTheme="majorHAnsi"/>
          <w:sz w:val="20"/>
          <w:szCs w:val="20"/>
          <w:lang w:val="es-ES"/>
        </w:rPr>
        <w:t xml:space="preserve">proliferación y sus efectos en las víctimas y sus familias, </w:t>
      </w:r>
      <w:r w:rsidR="004A4841" w:rsidRPr="0022306D">
        <w:rPr>
          <w:rFonts w:asciiTheme="majorHAnsi" w:hAnsiTheme="majorHAnsi"/>
          <w:sz w:val="20"/>
          <w:szCs w:val="20"/>
          <w:lang w:val="es-ES"/>
        </w:rPr>
        <w:t xml:space="preserve">su preocupación se </w:t>
      </w:r>
      <w:r w:rsidR="008D78D6" w:rsidRPr="0022306D">
        <w:rPr>
          <w:rFonts w:asciiTheme="majorHAnsi" w:hAnsiTheme="majorHAnsi"/>
          <w:sz w:val="20"/>
          <w:szCs w:val="20"/>
          <w:lang w:val="es-ES"/>
        </w:rPr>
        <w:t>extendió a la acción de “la delincuencia común, los grupos delictivos organizados y los grupos armados al margen de la ley”</w:t>
      </w:r>
      <w:r w:rsidR="004A4841" w:rsidRPr="0022306D">
        <w:rPr>
          <w:rFonts w:asciiTheme="majorHAnsi" w:hAnsiTheme="majorHAnsi"/>
          <w:sz w:val="20"/>
          <w:szCs w:val="20"/>
          <w:lang w:val="es-ES"/>
        </w:rPr>
        <w:t xml:space="preserve"> y a la condena y rechazo enérgico del “delito de secuestro, en toda circunstancia cualquier que sea su motivo o propósito”</w:t>
      </w:r>
      <w:r w:rsidR="008E713C">
        <w:rPr>
          <w:rStyle w:val="FootnoteReference"/>
          <w:rFonts w:asciiTheme="majorHAnsi" w:hAnsiTheme="majorHAnsi"/>
          <w:sz w:val="20"/>
          <w:szCs w:val="20"/>
          <w:lang w:val="es-ES"/>
        </w:rPr>
        <w:footnoteReference w:id="74"/>
      </w:r>
      <w:r w:rsidR="004A4841" w:rsidRPr="0022306D">
        <w:rPr>
          <w:rFonts w:asciiTheme="majorHAnsi" w:hAnsiTheme="majorHAnsi"/>
          <w:sz w:val="20"/>
          <w:szCs w:val="20"/>
          <w:lang w:val="es-ES"/>
        </w:rPr>
        <w:t>.</w:t>
      </w:r>
      <w:r w:rsidR="008E713C" w:rsidRPr="0022306D">
        <w:rPr>
          <w:rFonts w:asciiTheme="majorHAnsi" w:hAnsiTheme="majorHAnsi"/>
          <w:sz w:val="20"/>
          <w:szCs w:val="20"/>
          <w:lang w:val="es-ES"/>
        </w:rPr>
        <w:t xml:space="preserve"> </w:t>
      </w:r>
      <w:r w:rsidR="00071287">
        <w:rPr>
          <w:rFonts w:asciiTheme="majorHAnsi" w:hAnsiTheme="majorHAnsi"/>
          <w:sz w:val="20"/>
          <w:szCs w:val="20"/>
          <w:lang w:val="es-ES"/>
        </w:rPr>
        <w:t>L</w:t>
      </w:r>
      <w:r w:rsidR="008E713C" w:rsidRPr="0022306D">
        <w:rPr>
          <w:rFonts w:asciiTheme="majorHAnsi" w:hAnsiTheme="majorHAnsi"/>
          <w:sz w:val="20"/>
          <w:szCs w:val="20"/>
          <w:lang w:val="es-ES"/>
        </w:rPr>
        <w:t xml:space="preserve">a Organización ha reconocido la necesidad de </w:t>
      </w:r>
      <w:r w:rsidR="00943F60">
        <w:rPr>
          <w:rFonts w:asciiTheme="majorHAnsi" w:hAnsiTheme="majorHAnsi"/>
          <w:sz w:val="20"/>
          <w:szCs w:val="20"/>
          <w:lang w:val="es-ES"/>
        </w:rPr>
        <w:t xml:space="preserve">que </w:t>
      </w:r>
      <w:r w:rsidR="00C854BB">
        <w:rPr>
          <w:rFonts w:asciiTheme="majorHAnsi" w:hAnsiTheme="majorHAnsi"/>
          <w:sz w:val="20"/>
          <w:szCs w:val="20"/>
          <w:lang w:val="es-ES"/>
        </w:rPr>
        <w:t>los E</w:t>
      </w:r>
      <w:r w:rsidR="003926D5" w:rsidRPr="0022306D">
        <w:rPr>
          <w:rFonts w:asciiTheme="majorHAnsi" w:hAnsiTheme="majorHAnsi"/>
          <w:sz w:val="20"/>
          <w:szCs w:val="20"/>
          <w:lang w:val="es-ES"/>
        </w:rPr>
        <w:t xml:space="preserve">stados </w:t>
      </w:r>
      <w:r w:rsidR="00C854BB">
        <w:rPr>
          <w:rFonts w:asciiTheme="majorHAnsi" w:hAnsiTheme="majorHAnsi"/>
          <w:sz w:val="20"/>
          <w:szCs w:val="20"/>
          <w:lang w:val="es-ES"/>
        </w:rPr>
        <w:t>M</w:t>
      </w:r>
      <w:r w:rsidR="003926D5" w:rsidRPr="0022306D">
        <w:rPr>
          <w:rFonts w:asciiTheme="majorHAnsi" w:hAnsiTheme="majorHAnsi"/>
          <w:sz w:val="20"/>
          <w:szCs w:val="20"/>
          <w:lang w:val="es-ES"/>
        </w:rPr>
        <w:t xml:space="preserve">iembros </w:t>
      </w:r>
      <w:r w:rsidR="00943F60">
        <w:rPr>
          <w:rFonts w:asciiTheme="majorHAnsi" w:hAnsiTheme="majorHAnsi"/>
          <w:sz w:val="20"/>
          <w:szCs w:val="20"/>
          <w:lang w:val="es-ES"/>
        </w:rPr>
        <w:t xml:space="preserve">adopten </w:t>
      </w:r>
      <w:r w:rsidR="008E713C" w:rsidRPr="0022306D">
        <w:rPr>
          <w:rFonts w:asciiTheme="majorHAnsi" w:hAnsiTheme="majorHAnsi"/>
          <w:sz w:val="20"/>
          <w:szCs w:val="20"/>
          <w:lang w:val="es-ES"/>
        </w:rPr>
        <w:t>lineamientos para la prevención, persecución, sanción y eliminación del delito de secuestro, así como la atención a las víctimas y</w:t>
      </w:r>
      <w:r w:rsidR="00E07D9C">
        <w:rPr>
          <w:rFonts w:asciiTheme="majorHAnsi" w:hAnsiTheme="majorHAnsi"/>
          <w:sz w:val="20"/>
          <w:szCs w:val="20"/>
          <w:lang w:val="es-ES"/>
        </w:rPr>
        <w:t xml:space="preserve"> sus</w:t>
      </w:r>
      <w:r w:rsidR="008E713C" w:rsidRPr="0022306D">
        <w:rPr>
          <w:rFonts w:asciiTheme="majorHAnsi" w:hAnsiTheme="majorHAnsi"/>
          <w:sz w:val="20"/>
          <w:szCs w:val="20"/>
          <w:lang w:val="es-ES"/>
        </w:rPr>
        <w:t xml:space="preserve"> familias</w:t>
      </w:r>
      <w:r w:rsidR="00A26467">
        <w:rPr>
          <w:rStyle w:val="FootnoteReference"/>
          <w:rFonts w:asciiTheme="majorHAnsi" w:hAnsiTheme="majorHAnsi"/>
          <w:sz w:val="20"/>
          <w:szCs w:val="20"/>
          <w:lang w:val="es-ES"/>
        </w:rPr>
        <w:footnoteReference w:id="75"/>
      </w:r>
      <w:r w:rsidR="003926D5" w:rsidRPr="0022306D">
        <w:rPr>
          <w:rFonts w:asciiTheme="majorHAnsi" w:hAnsiTheme="majorHAnsi"/>
          <w:sz w:val="20"/>
          <w:szCs w:val="20"/>
          <w:lang w:val="es-ES"/>
        </w:rPr>
        <w:t xml:space="preserve">. </w:t>
      </w:r>
      <w:r w:rsidR="008E713C" w:rsidRPr="0022306D">
        <w:rPr>
          <w:rFonts w:asciiTheme="majorHAnsi" w:hAnsiTheme="majorHAnsi"/>
          <w:sz w:val="20"/>
          <w:szCs w:val="20"/>
          <w:lang w:val="es-ES"/>
        </w:rPr>
        <w:t xml:space="preserve"> </w:t>
      </w:r>
    </w:p>
    <w:p w14:paraId="36FB8F59" w14:textId="77777777" w:rsidR="008E713C" w:rsidRPr="008E713C" w:rsidRDefault="008E713C"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lang w:val="es-ES"/>
        </w:rPr>
      </w:pPr>
    </w:p>
    <w:p w14:paraId="6BB71CA7" w14:textId="77777777" w:rsidR="0022306D" w:rsidRPr="004F7805" w:rsidRDefault="00EF0908"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sz w:val="20"/>
          <w:szCs w:val="20"/>
          <w:lang w:val="es-ES"/>
        </w:rPr>
      </w:pPr>
      <w:r>
        <w:rPr>
          <w:rFonts w:asciiTheme="majorHAnsi" w:hAnsiTheme="majorHAnsi"/>
          <w:sz w:val="20"/>
          <w:szCs w:val="20"/>
          <w:lang w:val="es-ES"/>
        </w:rPr>
        <w:t xml:space="preserve">Asimismo, la Comisión encuentra que lucha contra el secuestro </w:t>
      </w:r>
      <w:r w:rsidR="00446A6B">
        <w:rPr>
          <w:rFonts w:asciiTheme="majorHAnsi" w:hAnsiTheme="majorHAnsi"/>
          <w:sz w:val="20"/>
          <w:szCs w:val="20"/>
          <w:lang w:val="es-ES"/>
        </w:rPr>
        <w:t>en cualquier circunstancia e independientemente de su propósito,</w:t>
      </w:r>
      <w:r>
        <w:rPr>
          <w:rFonts w:asciiTheme="majorHAnsi" w:hAnsiTheme="majorHAnsi"/>
          <w:sz w:val="20"/>
          <w:szCs w:val="20"/>
          <w:lang w:val="es-ES"/>
        </w:rPr>
        <w:t xml:space="preserve"> </w:t>
      </w:r>
      <w:r w:rsidR="004C7D1C">
        <w:rPr>
          <w:rFonts w:asciiTheme="majorHAnsi" w:hAnsiTheme="majorHAnsi"/>
          <w:sz w:val="20"/>
          <w:szCs w:val="20"/>
          <w:lang w:val="es-ES"/>
        </w:rPr>
        <w:t xml:space="preserve">así como </w:t>
      </w:r>
      <w:r w:rsidR="00446A6B">
        <w:rPr>
          <w:rFonts w:asciiTheme="majorHAnsi" w:hAnsiTheme="majorHAnsi"/>
          <w:sz w:val="20"/>
          <w:szCs w:val="20"/>
          <w:lang w:val="es-ES"/>
        </w:rPr>
        <w:t>sus consecuencias respecto de los derechos humanos de las ví</w:t>
      </w:r>
      <w:r>
        <w:rPr>
          <w:rFonts w:asciiTheme="majorHAnsi" w:hAnsiTheme="majorHAnsi"/>
          <w:sz w:val="20"/>
          <w:szCs w:val="20"/>
          <w:lang w:val="es-ES"/>
        </w:rPr>
        <w:t>ctimas y sus familias</w:t>
      </w:r>
      <w:r w:rsidR="00446A6B">
        <w:rPr>
          <w:rFonts w:asciiTheme="majorHAnsi" w:hAnsiTheme="majorHAnsi"/>
          <w:sz w:val="20"/>
          <w:szCs w:val="20"/>
          <w:lang w:val="es-ES"/>
        </w:rPr>
        <w:t xml:space="preserve"> </w:t>
      </w:r>
      <w:r>
        <w:rPr>
          <w:rFonts w:asciiTheme="majorHAnsi" w:hAnsiTheme="majorHAnsi"/>
          <w:sz w:val="20"/>
          <w:szCs w:val="20"/>
          <w:lang w:val="es-ES"/>
        </w:rPr>
        <w:t xml:space="preserve">es una preocupación también presente en los sistemas y mecanismos de </w:t>
      </w:r>
      <w:r w:rsidR="00A82BB7">
        <w:rPr>
          <w:rFonts w:asciiTheme="majorHAnsi" w:hAnsiTheme="majorHAnsi"/>
          <w:sz w:val="20"/>
          <w:szCs w:val="20"/>
          <w:lang w:val="es-ES"/>
        </w:rPr>
        <w:t>la o</w:t>
      </w:r>
      <w:r w:rsidR="00446A6B">
        <w:rPr>
          <w:rFonts w:asciiTheme="majorHAnsi" w:hAnsiTheme="majorHAnsi"/>
          <w:sz w:val="20"/>
          <w:szCs w:val="20"/>
          <w:lang w:val="es-ES"/>
        </w:rPr>
        <w:t xml:space="preserve">rganización de las </w:t>
      </w:r>
      <w:r>
        <w:rPr>
          <w:rFonts w:asciiTheme="majorHAnsi" w:hAnsiTheme="majorHAnsi"/>
          <w:sz w:val="20"/>
          <w:szCs w:val="20"/>
          <w:lang w:val="es-ES"/>
        </w:rPr>
        <w:t>Naciones Unidas</w:t>
      </w:r>
      <w:r w:rsidR="00446A6B">
        <w:rPr>
          <w:rStyle w:val="FootnoteReference"/>
          <w:rFonts w:asciiTheme="majorHAnsi" w:hAnsiTheme="majorHAnsi"/>
          <w:sz w:val="20"/>
          <w:szCs w:val="20"/>
          <w:lang w:val="es-ES"/>
        </w:rPr>
        <w:footnoteReference w:id="76"/>
      </w:r>
      <w:r w:rsidRPr="00446A6B">
        <w:rPr>
          <w:rFonts w:asciiTheme="majorHAnsi" w:hAnsiTheme="majorHAnsi"/>
          <w:sz w:val="20"/>
          <w:szCs w:val="20"/>
          <w:lang w:val="es-ES"/>
        </w:rPr>
        <w:t>. En estos términos, el Consejo Económico y Social (en adelante “el ECOSOC”) definió</w:t>
      </w:r>
      <w:r w:rsidR="008269BE" w:rsidRPr="00446A6B">
        <w:rPr>
          <w:rFonts w:asciiTheme="majorHAnsi" w:hAnsiTheme="majorHAnsi"/>
          <w:sz w:val="20"/>
          <w:szCs w:val="20"/>
          <w:lang w:val="es-ES"/>
        </w:rPr>
        <w:t xml:space="preserve"> el secuestro como la practica consistente en “detener ilícitamente a una persona o personas en contra de su voluntad con la finalidad de exigir por su liberación un provecho ilícito o cualquier utilidad de tipo económica u otro beneficio de orden material o a fin de obligar a alguien a que haga o deje de hacer algo”</w:t>
      </w:r>
      <w:r w:rsidR="008269BE">
        <w:rPr>
          <w:rStyle w:val="FootnoteReference"/>
          <w:rFonts w:asciiTheme="majorHAnsi" w:hAnsiTheme="majorHAnsi"/>
          <w:sz w:val="20"/>
          <w:szCs w:val="20"/>
          <w:lang w:val="es-ES"/>
        </w:rPr>
        <w:footnoteReference w:id="77"/>
      </w:r>
      <w:r w:rsidR="0080217A">
        <w:rPr>
          <w:rFonts w:asciiTheme="majorHAnsi" w:hAnsiTheme="majorHAnsi"/>
          <w:sz w:val="20"/>
          <w:szCs w:val="20"/>
          <w:lang w:val="es-ES"/>
        </w:rPr>
        <w:t>. Est</w:t>
      </w:r>
      <w:r w:rsidR="007008FB">
        <w:rPr>
          <w:rFonts w:asciiTheme="majorHAnsi" w:hAnsiTheme="majorHAnsi"/>
          <w:sz w:val="20"/>
          <w:szCs w:val="20"/>
          <w:lang w:val="es-ES"/>
        </w:rPr>
        <w:t>a</w:t>
      </w:r>
      <w:r w:rsidR="0080217A">
        <w:rPr>
          <w:rFonts w:asciiTheme="majorHAnsi" w:hAnsiTheme="majorHAnsi"/>
          <w:sz w:val="20"/>
          <w:szCs w:val="20"/>
          <w:lang w:val="es-ES"/>
        </w:rPr>
        <w:t xml:space="preserve"> definición </w:t>
      </w:r>
      <w:r w:rsidR="007008FB">
        <w:rPr>
          <w:rFonts w:asciiTheme="majorHAnsi" w:hAnsiTheme="majorHAnsi"/>
          <w:sz w:val="20"/>
          <w:szCs w:val="20"/>
          <w:lang w:val="es-ES"/>
        </w:rPr>
        <w:t xml:space="preserve">resulta </w:t>
      </w:r>
      <w:r w:rsidR="0080217A">
        <w:rPr>
          <w:rFonts w:asciiTheme="majorHAnsi" w:hAnsiTheme="majorHAnsi"/>
          <w:sz w:val="20"/>
          <w:szCs w:val="20"/>
          <w:lang w:val="es-ES"/>
        </w:rPr>
        <w:t>consistente con los elementos del crimen del secuestro que el Secretario General de Naciones Unidas identificó como comunes</w:t>
      </w:r>
      <w:r w:rsidR="007008FB">
        <w:rPr>
          <w:rFonts w:asciiTheme="majorHAnsi" w:hAnsiTheme="majorHAnsi"/>
          <w:sz w:val="20"/>
          <w:szCs w:val="20"/>
          <w:lang w:val="es-ES"/>
        </w:rPr>
        <w:t xml:space="preserve"> en</w:t>
      </w:r>
      <w:r w:rsidR="0080217A">
        <w:rPr>
          <w:rFonts w:asciiTheme="majorHAnsi" w:hAnsiTheme="majorHAnsi"/>
          <w:sz w:val="20"/>
          <w:szCs w:val="20"/>
          <w:lang w:val="es-ES"/>
        </w:rPr>
        <w:t xml:space="preserve"> </w:t>
      </w:r>
      <w:r w:rsidR="007008FB">
        <w:rPr>
          <w:rFonts w:asciiTheme="majorHAnsi" w:hAnsiTheme="majorHAnsi"/>
          <w:sz w:val="20"/>
          <w:szCs w:val="20"/>
          <w:lang w:val="es-ES"/>
        </w:rPr>
        <w:t>un número importante de legislaciones</w:t>
      </w:r>
      <w:r w:rsidR="00BB6116">
        <w:rPr>
          <w:rFonts w:asciiTheme="majorHAnsi" w:hAnsiTheme="majorHAnsi"/>
          <w:sz w:val="20"/>
          <w:szCs w:val="20"/>
          <w:lang w:val="es-ES"/>
        </w:rPr>
        <w:t xml:space="preserve"> a nivel mundial</w:t>
      </w:r>
      <w:r w:rsidR="007008FB">
        <w:rPr>
          <w:rStyle w:val="FootnoteReference"/>
          <w:rFonts w:asciiTheme="majorHAnsi" w:hAnsiTheme="majorHAnsi"/>
          <w:sz w:val="20"/>
          <w:szCs w:val="20"/>
          <w:lang w:val="es-ES"/>
        </w:rPr>
        <w:footnoteReference w:id="78"/>
      </w:r>
      <w:r w:rsidR="007008FB">
        <w:rPr>
          <w:rFonts w:asciiTheme="majorHAnsi" w:hAnsiTheme="majorHAnsi"/>
          <w:sz w:val="20"/>
          <w:szCs w:val="20"/>
          <w:lang w:val="es-ES"/>
        </w:rPr>
        <w:t>: “a) la aprehensión ilegal, el rapto o la privación de libertad de un individuo sin su consentimiento; b) el empleo de la violencia, la amenaza de violencia y/o fraude y el engaño del delito; c)</w:t>
      </w:r>
      <w:r w:rsidR="004F7805">
        <w:rPr>
          <w:rFonts w:asciiTheme="majorHAnsi" w:hAnsiTheme="majorHAnsi"/>
          <w:sz w:val="20"/>
          <w:szCs w:val="20"/>
          <w:lang w:val="es-ES"/>
        </w:rPr>
        <w:t xml:space="preserve"> </w:t>
      </w:r>
      <w:r w:rsidR="007008FB">
        <w:rPr>
          <w:rFonts w:asciiTheme="majorHAnsi" w:hAnsiTheme="majorHAnsi"/>
          <w:sz w:val="20"/>
          <w:szCs w:val="20"/>
          <w:lang w:val="es-ES"/>
        </w:rPr>
        <w:t>la retención de la víctima en un lugar que no podía encontrarse; d) el objetivo específico de obtener beneficios económicos o financieros y/o influencia</w:t>
      </w:r>
      <w:r w:rsidR="00C75DCE">
        <w:rPr>
          <w:rFonts w:asciiTheme="majorHAnsi" w:hAnsiTheme="majorHAnsi"/>
          <w:sz w:val="20"/>
          <w:szCs w:val="20"/>
          <w:lang w:val="es-ES"/>
        </w:rPr>
        <w:t xml:space="preserve"> política o de otro tipo, inclusive mediante la práctica de la extorsión”</w:t>
      </w:r>
      <w:r w:rsidR="00C75DCE">
        <w:rPr>
          <w:rStyle w:val="FootnoteReference"/>
          <w:rFonts w:asciiTheme="majorHAnsi" w:hAnsiTheme="majorHAnsi"/>
          <w:sz w:val="20"/>
          <w:szCs w:val="20"/>
          <w:lang w:val="es-ES"/>
        </w:rPr>
        <w:footnoteReference w:id="79"/>
      </w:r>
      <w:r w:rsidR="00C75DCE">
        <w:rPr>
          <w:rFonts w:asciiTheme="majorHAnsi" w:hAnsiTheme="majorHAnsi"/>
          <w:sz w:val="20"/>
          <w:szCs w:val="20"/>
          <w:lang w:val="es-ES"/>
        </w:rPr>
        <w:t>.</w:t>
      </w:r>
    </w:p>
    <w:p w14:paraId="6AD3175F" w14:textId="77777777" w:rsidR="004F7805" w:rsidRPr="0022306D" w:rsidRDefault="004F7805"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lang w:val="es-ES"/>
        </w:rPr>
      </w:pPr>
    </w:p>
    <w:p w14:paraId="3F347626" w14:textId="77777777" w:rsidR="0022306D" w:rsidRPr="00E61F80" w:rsidRDefault="00C75DCE"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sz w:val="20"/>
          <w:szCs w:val="20"/>
          <w:lang w:val="es-ES"/>
        </w:rPr>
      </w:pPr>
      <w:r w:rsidRPr="0022306D">
        <w:rPr>
          <w:rFonts w:asciiTheme="majorHAnsi" w:hAnsiTheme="majorHAnsi"/>
          <w:sz w:val="20"/>
          <w:szCs w:val="20"/>
          <w:lang w:val="es-ES"/>
        </w:rPr>
        <w:t xml:space="preserve">Ahora bien, la Comisión reconoce que por sus características, el secuestro puede ser </w:t>
      </w:r>
      <w:r w:rsidR="00B958ED" w:rsidRPr="0022306D">
        <w:rPr>
          <w:rFonts w:asciiTheme="majorHAnsi" w:hAnsiTheme="majorHAnsi"/>
          <w:sz w:val="20"/>
          <w:szCs w:val="20"/>
          <w:lang w:val="es-ES"/>
        </w:rPr>
        <w:t>clasificado</w:t>
      </w:r>
      <w:r w:rsidRPr="0022306D">
        <w:rPr>
          <w:rFonts w:asciiTheme="majorHAnsi" w:hAnsiTheme="majorHAnsi"/>
          <w:sz w:val="20"/>
          <w:szCs w:val="20"/>
          <w:lang w:val="es-ES"/>
        </w:rPr>
        <w:t xml:space="preserve"> en diferentes tipologías</w:t>
      </w:r>
      <w:r w:rsidR="00627753">
        <w:rPr>
          <w:rFonts w:asciiTheme="majorHAnsi" w:hAnsiTheme="majorHAnsi"/>
          <w:sz w:val="20"/>
          <w:szCs w:val="20"/>
          <w:lang w:val="es-ES"/>
        </w:rPr>
        <w:t>,</w:t>
      </w:r>
      <w:r w:rsidR="00C656C7" w:rsidRPr="0022306D">
        <w:rPr>
          <w:rFonts w:asciiTheme="majorHAnsi" w:hAnsiTheme="majorHAnsi"/>
          <w:sz w:val="20"/>
          <w:szCs w:val="20"/>
          <w:lang w:val="es-ES"/>
        </w:rPr>
        <w:t xml:space="preserve"> pero, al margen de su motivación</w:t>
      </w:r>
      <w:r w:rsidR="00B958ED" w:rsidRPr="0022306D">
        <w:rPr>
          <w:rFonts w:asciiTheme="majorHAnsi" w:hAnsiTheme="majorHAnsi"/>
          <w:sz w:val="20"/>
          <w:szCs w:val="20"/>
          <w:lang w:val="es-ES"/>
        </w:rPr>
        <w:t>, tal como apunta la</w:t>
      </w:r>
      <w:r w:rsidR="00D06955" w:rsidRPr="0022306D">
        <w:rPr>
          <w:rFonts w:asciiTheme="majorHAnsi" w:hAnsiTheme="majorHAnsi"/>
          <w:sz w:val="20"/>
          <w:szCs w:val="20"/>
          <w:lang w:val="es-ES"/>
        </w:rPr>
        <w:t xml:space="preserve"> Oficina </w:t>
      </w:r>
      <w:r w:rsidR="0080217A" w:rsidRPr="0022306D">
        <w:rPr>
          <w:rFonts w:asciiTheme="majorHAnsi" w:hAnsiTheme="majorHAnsi"/>
          <w:sz w:val="20"/>
          <w:szCs w:val="20"/>
          <w:lang w:val="es-ES"/>
        </w:rPr>
        <w:t>de las Naciones Unidas contra la droga y el delito</w:t>
      </w:r>
      <w:r w:rsidRPr="0022306D">
        <w:rPr>
          <w:rFonts w:asciiTheme="majorHAnsi" w:hAnsiTheme="majorHAnsi"/>
          <w:sz w:val="20"/>
          <w:szCs w:val="20"/>
          <w:lang w:val="es-ES"/>
        </w:rPr>
        <w:t xml:space="preserve"> (en adelante “la ONUDD”)</w:t>
      </w:r>
      <w:r w:rsidR="0080217A" w:rsidRPr="0022306D">
        <w:rPr>
          <w:rFonts w:asciiTheme="majorHAnsi" w:hAnsiTheme="majorHAnsi"/>
          <w:sz w:val="20"/>
          <w:szCs w:val="20"/>
          <w:lang w:val="es-ES"/>
        </w:rPr>
        <w:t xml:space="preserve">,  </w:t>
      </w:r>
      <w:r w:rsidR="001B1296" w:rsidRPr="0022306D">
        <w:rPr>
          <w:rFonts w:asciiTheme="majorHAnsi" w:hAnsiTheme="majorHAnsi"/>
          <w:sz w:val="20"/>
          <w:szCs w:val="20"/>
          <w:lang w:val="es-ES"/>
        </w:rPr>
        <w:t>es responsabil</w:t>
      </w:r>
      <w:r w:rsidR="004074DE" w:rsidRPr="0022306D">
        <w:rPr>
          <w:rFonts w:asciiTheme="majorHAnsi" w:hAnsiTheme="majorHAnsi"/>
          <w:sz w:val="20"/>
          <w:szCs w:val="20"/>
          <w:lang w:val="es-ES"/>
        </w:rPr>
        <w:t xml:space="preserve">idad de las autoridades </w:t>
      </w:r>
      <w:r w:rsidR="001B1296" w:rsidRPr="0022306D">
        <w:rPr>
          <w:rFonts w:asciiTheme="majorHAnsi" w:hAnsiTheme="majorHAnsi"/>
          <w:sz w:val="20"/>
          <w:szCs w:val="20"/>
          <w:lang w:val="es-ES"/>
        </w:rPr>
        <w:t xml:space="preserve">determinar la estrategia más apropiada </w:t>
      </w:r>
      <w:r w:rsidR="004074DE" w:rsidRPr="0022306D">
        <w:rPr>
          <w:rFonts w:asciiTheme="majorHAnsi" w:hAnsiTheme="majorHAnsi"/>
          <w:sz w:val="20"/>
          <w:szCs w:val="20"/>
          <w:lang w:val="es-ES"/>
        </w:rPr>
        <w:t>para el cumplimiento de la ley</w:t>
      </w:r>
      <w:r w:rsidR="004074DE">
        <w:rPr>
          <w:rStyle w:val="FootnoteReference"/>
          <w:rFonts w:asciiTheme="majorHAnsi" w:hAnsiTheme="majorHAnsi"/>
          <w:sz w:val="20"/>
          <w:szCs w:val="20"/>
          <w:lang w:val="es-ES"/>
        </w:rPr>
        <w:footnoteReference w:id="80"/>
      </w:r>
      <w:r w:rsidR="00276405" w:rsidRPr="0022306D">
        <w:rPr>
          <w:rFonts w:asciiTheme="majorHAnsi" w:hAnsiTheme="majorHAnsi"/>
          <w:sz w:val="20"/>
          <w:szCs w:val="20"/>
          <w:lang w:val="es-ES"/>
        </w:rPr>
        <w:t xml:space="preserve"> y que, </w:t>
      </w:r>
      <w:r w:rsidR="0080217A" w:rsidRPr="0022306D">
        <w:rPr>
          <w:rFonts w:asciiTheme="majorHAnsi" w:hAnsiTheme="majorHAnsi"/>
          <w:sz w:val="20"/>
          <w:szCs w:val="20"/>
          <w:lang w:val="es-ES"/>
        </w:rPr>
        <w:t>p</w:t>
      </w:r>
      <w:r w:rsidR="00A0697E" w:rsidRPr="0022306D">
        <w:rPr>
          <w:rFonts w:asciiTheme="majorHAnsi" w:hAnsiTheme="majorHAnsi"/>
          <w:sz w:val="20"/>
          <w:szCs w:val="20"/>
          <w:lang w:val="es-ES"/>
        </w:rPr>
        <w:t xml:space="preserve">or el contrario, </w:t>
      </w:r>
      <w:r w:rsidR="0080217A" w:rsidRPr="0022306D">
        <w:rPr>
          <w:rFonts w:asciiTheme="majorHAnsi" w:hAnsiTheme="majorHAnsi"/>
          <w:sz w:val="20"/>
          <w:szCs w:val="20"/>
          <w:lang w:val="es-ES"/>
        </w:rPr>
        <w:t>en esc</w:t>
      </w:r>
      <w:r w:rsidR="00A0697E" w:rsidRPr="0022306D">
        <w:rPr>
          <w:rFonts w:asciiTheme="majorHAnsi" w:hAnsiTheme="majorHAnsi"/>
          <w:sz w:val="20"/>
          <w:szCs w:val="20"/>
          <w:lang w:val="es-ES"/>
        </w:rPr>
        <w:t xml:space="preserve">enarios de inestabilidad, si el riesgo de detección es bajo y la oportunidad para la corrupción es alta, se generan </w:t>
      </w:r>
      <w:r w:rsidR="00A0697E" w:rsidRPr="00E61F80">
        <w:rPr>
          <w:rFonts w:asciiTheme="majorHAnsi" w:hAnsiTheme="majorHAnsi"/>
          <w:sz w:val="20"/>
          <w:szCs w:val="20"/>
          <w:lang w:val="es-ES"/>
        </w:rPr>
        <w:t xml:space="preserve">estímulos para </w:t>
      </w:r>
      <w:r w:rsidR="004A0DB2">
        <w:rPr>
          <w:rFonts w:asciiTheme="majorHAnsi" w:hAnsiTheme="majorHAnsi"/>
          <w:sz w:val="20"/>
          <w:szCs w:val="20"/>
          <w:lang w:val="es-ES"/>
        </w:rPr>
        <w:t>el</w:t>
      </w:r>
      <w:r w:rsidR="00A0697E" w:rsidRPr="00E61F80">
        <w:rPr>
          <w:rFonts w:asciiTheme="majorHAnsi" w:hAnsiTheme="majorHAnsi"/>
          <w:sz w:val="20"/>
          <w:szCs w:val="20"/>
          <w:lang w:val="es-ES"/>
        </w:rPr>
        <w:t xml:space="preserve"> </w:t>
      </w:r>
      <w:r w:rsidR="004A0DB2" w:rsidRPr="00E61F80">
        <w:rPr>
          <w:rFonts w:asciiTheme="majorHAnsi" w:hAnsiTheme="majorHAnsi"/>
          <w:sz w:val="20"/>
          <w:szCs w:val="20"/>
          <w:lang w:val="es-ES"/>
        </w:rPr>
        <w:t>secuestr</w:t>
      </w:r>
      <w:r w:rsidR="004A0DB2">
        <w:rPr>
          <w:rFonts w:asciiTheme="majorHAnsi" w:hAnsiTheme="majorHAnsi"/>
          <w:sz w:val="20"/>
          <w:szCs w:val="20"/>
          <w:lang w:val="es-ES"/>
        </w:rPr>
        <w:t>o</w:t>
      </w:r>
      <w:r w:rsidR="00A0697E" w:rsidRPr="00E61F80">
        <w:rPr>
          <w:rStyle w:val="FootnoteReference"/>
          <w:rFonts w:asciiTheme="majorHAnsi" w:hAnsiTheme="majorHAnsi"/>
          <w:sz w:val="20"/>
          <w:szCs w:val="20"/>
          <w:lang w:val="es-ES"/>
        </w:rPr>
        <w:footnoteReference w:id="81"/>
      </w:r>
      <w:r w:rsidR="0080217A" w:rsidRPr="00E61F80">
        <w:rPr>
          <w:rFonts w:asciiTheme="majorHAnsi" w:hAnsiTheme="majorHAnsi"/>
          <w:sz w:val="20"/>
          <w:szCs w:val="20"/>
          <w:lang w:val="es-ES"/>
        </w:rPr>
        <w:t>.</w:t>
      </w:r>
    </w:p>
    <w:p w14:paraId="5AA5532A" w14:textId="77777777" w:rsidR="0022306D" w:rsidRPr="00E61F80" w:rsidRDefault="0022306D"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lang w:val="es-ES"/>
        </w:rPr>
      </w:pPr>
    </w:p>
    <w:p w14:paraId="1374576A" w14:textId="77777777" w:rsidR="0022306D" w:rsidRPr="0022306D" w:rsidRDefault="00276405"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sz w:val="20"/>
          <w:szCs w:val="20"/>
          <w:lang w:val="es-ES"/>
        </w:rPr>
      </w:pPr>
      <w:r w:rsidRPr="00E61F80">
        <w:rPr>
          <w:rFonts w:ascii="Cambria" w:hAnsi="Cambria"/>
          <w:sz w:val="20"/>
          <w:szCs w:val="20"/>
          <w:lang w:val="es-ES"/>
        </w:rPr>
        <w:t>De acuerdo con la ONUDD</w:t>
      </w:r>
      <w:r w:rsidRPr="0022306D">
        <w:rPr>
          <w:rFonts w:ascii="Cambria" w:hAnsi="Cambria"/>
          <w:sz w:val="20"/>
          <w:szCs w:val="20"/>
          <w:lang w:val="es-ES"/>
        </w:rPr>
        <w:t xml:space="preserve">, lo anterior permite establecer los siguientes objetivos de la investigación de secuestros, en orden de prioridad: i) preservación de la vida; ii) liberación inmediata y segura de la víctima, iii) suministro de protección y apoyo a la familia de la víctima; iv) protección de la seguridad pública; y v) la reunión de información, de inteligencia y de otro tipo, y de elementos probatorios que conduzcan al arresto y la condena de los delincuentes. </w:t>
      </w:r>
      <w:r w:rsidR="00B958ED" w:rsidRPr="0022306D">
        <w:rPr>
          <w:rFonts w:ascii="Cambria" w:hAnsi="Cambria"/>
          <w:sz w:val="20"/>
          <w:szCs w:val="20"/>
          <w:lang w:val="es-ES"/>
        </w:rPr>
        <w:t>Asimismo, la ONUDD considera que la prioridad es preservar la vida y no el arresto a los delincuentes, lo que “puede requerir una reconsideración de las opciones tácticas si su utilización aumenta el riesgo para la víctima. Es esencial que se realicen evaluaciones de riesgos objetivas, y que estos riesgos sean examinados y documentados durante la investigación de un secuestro”</w:t>
      </w:r>
      <w:r w:rsidR="00B958ED">
        <w:rPr>
          <w:rStyle w:val="FootnoteReference"/>
          <w:rFonts w:ascii="Cambria" w:hAnsi="Cambria"/>
          <w:sz w:val="20"/>
          <w:szCs w:val="20"/>
          <w:lang w:val="es-ES"/>
        </w:rPr>
        <w:footnoteReference w:id="82"/>
      </w:r>
      <w:r w:rsidR="00C656C7" w:rsidRPr="0022306D">
        <w:rPr>
          <w:rFonts w:ascii="Cambria" w:hAnsi="Cambria"/>
          <w:sz w:val="20"/>
          <w:szCs w:val="20"/>
          <w:lang w:val="es-ES"/>
        </w:rPr>
        <w:t>.</w:t>
      </w:r>
    </w:p>
    <w:p w14:paraId="714A3939" w14:textId="77777777" w:rsidR="0022306D" w:rsidRDefault="0022306D"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478236FE" w14:textId="77777777" w:rsidR="00184F8D" w:rsidRDefault="009C23C9"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sz w:val="20"/>
          <w:szCs w:val="20"/>
          <w:lang w:val="es-ES"/>
        </w:rPr>
      </w:pPr>
      <w:r w:rsidRPr="0022306D">
        <w:rPr>
          <w:rFonts w:ascii="Cambria" w:hAnsi="Cambria"/>
          <w:sz w:val="20"/>
          <w:szCs w:val="20"/>
          <w:lang w:val="es-ES"/>
        </w:rPr>
        <w:lastRenderedPageBreak/>
        <w:t xml:space="preserve">Asimismo, la estrategia de búsqueda y negociación, además de estar alineada con los objetivos mencionados, </w:t>
      </w:r>
      <w:r w:rsidR="00390ED8" w:rsidRPr="0022306D">
        <w:rPr>
          <w:rFonts w:ascii="Cambria" w:hAnsi="Cambria"/>
          <w:sz w:val="20"/>
          <w:szCs w:val="20"/>
          <w:lang w:val="es-ES"/>
        </w:rPr>
        <w:t>supone el despliegue de acciones concretas</w:t>
      </w:r>
      <w:r w:rsidRPr="0022306D">
        <w:rPr>
          <w:rFonts w:ascii="Cambria" w:hAnsi="Cambria"/>
          <w:sz w:val="20"/>
          <w:szCs w:val="20"/>
          <w:lang w:val="es-ES"/>
        </w:rPr>
        <w:t xml:space="preserve"> para que esta pueda ser considerada diligente, tales como, la identificación de una autoridad responsable del caso que trat</w:t>
      </w:r>
      <w:r w:rsidR="0055377F" w:rsidRPr="0022306D">
        <w:rPr>
          <w:rFonts w:ascii="Cambria" w:hAnsi="Cambria"/>
          <w:sz w:val="20"/>
          <w:szCs w:val="20"/>
          <w:lang w:val="es-ES"/>
        </w:rPr>
        <w:t>e</w:t>
      </w:r>
      <w:r w:rsidRPr="0022306D">
        <w:rPr>
          <w:rFonts w:ascii="Cambria" w:hAnsi="Cambria"/>
          <w:sz w:val="20"/>
          <w:szCs w:val="20"/>
          <w:lang w:val="es-ES"/>
        </w:rPr>
        <w:t xml:space="preserve"> directamente con la familia</w:t>
      </w:r>
      <w:r w:rsidR="0055377F" w:rsidRPr="0022306D">
        <w:rPr>
          <w:rFonts w:ascii="Cambria" w:hAnsi="Cambria"/>
          <w:sz w:val="20"/>
          <w:szCs w:val="20"/>
          <w:lang w:val="es-ES"/>
        </w:rPr>
        <w:t xml:space="preserve"> y de quien dependa el equipo de investigación e inteligencia</w:t>
      </w:r>
      <w:r w:rsidRPr="0022306D">
        <w:rPr>
          <w:rFonts w:ascii="Cambria" w:hAnsi="Cambria"/>
          <w:sz w:val="20"/>
          <w:szCs w:val="20"/>
          <w:lang w:val="es-ES"/>
        </w:rPr>
        <w:t xml:space="preserve">; </w:t>
      </w:r>
      <w:r w:rsidR="006466E6" w:rsidRPr="0022306D">
        <w:rPr>
          <w:rFonts w:ascii="Cambria" w:hAnsi="Cambria"/>
          <w:sz w:val="20"/>
          <w:szCs w:val="20"/>
          <w:lang w:val="es-ES"/>
        </w:rPr>
        <w:t>la determinación de</w:t>
      </w:r>
      <w:r w:rsidR="0055377F" w:rsidRPr="0022306D">
        <w:rPr>
          <w:rFonts w:ascii="Cambria" w:hAnsi="Cambria"/>
          <w:sz w:val="20"/>
          <w:szCs w:val="20"/>
          <w:lang w:val="es-ES"/>
        </w:rPr>
        <w:t xml:space="preserve"> las medidas de protección y de seguridad pública;</w:t>
      </w:r>
      <w:r w:rsidR="006466E6" w:rsidRPr="0022306D">
        <w:rPr>
          <w:rFonts w:ascii="Cambria" w:hAnsi="Cambria"/>
          <w:sz w:val="20"/>
          <w:szCs w:val="20"/>
          <w:lang w:val="es-ES"/>
        </w:rPr>
        <w:t xml:space="preserve"> </w:t>
      </w:r>
      <w:r w:rsidR="0016777F" w:rsidRPr="0022306D">
        <w:rPr>
          <w:rFonts w:ascii="Cambria" w:hAnsi="Cambria"/>
          <w:sz w:val="20"/>
          <w:szCs w:val="20"/>
          <w:lang w:val="es-ES"/>
        </w:rPr>
        <w:t>el establecimiento de relaciones eficaces de colaboración con el proveedor de servicios de comunicación</w:t>
      </w:r>
      <w:r w:rsidR="00390ED8" w:rsidRPr="0022306D">
        <w:rPr>
          <w:rFonts w:ascii="Cambria" w:hAnsi="Cambria"/>
          <w:sz w:val="20"/>
          <w:szCs w:val="20"/>
          <w:lang w:val="es-ES"/>
        </w:rPr>
        <w:t xml:space="preserve"> telefónica</w:t>
      </w:r>
      <w:r w:rsidR="0016777F" w:rsidRPr="0022306D">
        <w:rPr>
          <w:rFonts w:ascii="Cambria" w:hAnsi="Cambria"/>
          <w:sz w:val="20"/>
          <w:szCs w:val="20"/>
          <w:lang w:val="es-ES"/>
        </w:rPr>
        <w:t xml:space="preserve">, con las entidades financieras, con redes privadas de </w:t>
      </w:r>
      <w:r w:rsidR="00390ED8" w:rsidRPr="0022306D">
        <w:rPr>
          <w:rFonts w:ascii="Cambria" w:hAnsi="Cambria"/>
          <w:sz w:val="20"/>
          <w:szCs w:val="20"/>
          <w:lang w:val="es-ES"/>
        </w:rPr>
        <w:t xml:space="preserve">circuito cerrado y vigilancia, </w:t>
      </w:r>
      <w:r w:rsidR="0016777F" w:rsidRPr="0022306D">
        <w:rPr>
          <w:rFonts w:ascii="Cambria" w:hAnsi="Cambria"/>
          <w:sz w:val="20"/>
          <w:szCs w:val="20"/>
          <w:lang w:val="es-ES"/>
        </w:rPr>
        <w:t>as</w:t>
      </w:r>
      <w:r w:rsidR="00390ED8" w:rsidRPr="0022306D">
        <w:rPr>
          <w:rFonts w:ascii="Cambria" w:hAnsi="Cambria"/>
          <w:sz w:val="20"/>
          <w:szCs w:val="20"/>
          <w:lang w:val="es-ES"/>
        </w:rPr>
        <w:t xml:space="preserve">í como, </w:t>
      </w:r>
      <w:r w:rsidR="0016777F" w:rsidRPr="0022306D">
        <w:rPr>
          <w:rFonts w:ascii="Cambria" w:hAnsi="Cambria"/>
          <w:sz w:val="20"/>
          <w:szCs w:val="20"/>
          <w:lang w:val="es-ES"/>
        </w:rPr>
        <w:t>con los medios de comunicación cuando se determine que es necesario un embargo de información</w:t>
      </w:r>
      <w:r w:rsidR="00390ED8" w:rsidRPr="0022306D">
        <w:rPr>
          <w:rFonts w:ascii="Cambria" w:hAnsi="Cambria"/>
          <w:sz w:val="20"/>
          <w:szCs w:val="20"/>
          <w:lang w:val="es-ES"/>
        </w:rPr>
        <w:t>, entre otras</w:t>
      </w:r>
      <w:r w:rsidR="00390ED8">
        <w:rPr>
          <w:rStyle w:val="FootnoteReference"/>
          <w:rFonts w:ascii="Cambria" w:hAnsi="Cambria"/>
          <w:sz w:val="20"/>
          <w:szCs w:val="20"/>
          <w:lang w:val="es-ES"/>
        </w:rPr>
        <w:footnoteReference w:id="83"/>
      </w:r>
      <w:r w:rsidR="0016777F" w:rsidRPr="0022306D">
        <w:rPr>
          <w:rFonts w:ascii="Cambria" w:hAnsi="Cambria"/>
          <w:sz w:val="20"/>
          <w:szCs w:val="20"/>
          <w:lang w:val="es-ES"/>
        </w:rPr>
        <w:t xml:space="preserve">. </w:t>
      </w:r>
      <w:r w:rsidR="00556F75" w:rsidRPr="0022306D">
        <w:rPr>
          <w:rFonts w:ascii="Cambria" w:hAnsi="Cambria"/>
          <w:sz w:val="20"/>
          <w:szCs w:val="20"/>
          <w:lang w:val="es-ES"/>
        </w:rPr>
        <w:t>Del mismo modo</w:t>
      </w:r>
      <w:r w:rsidR="000160CB" w:rsidRPr="0022306D">
        <w:rPr>
          <w:rFonts w:ascii="Cambria" w:hAnsi="Cambria"/>
          <w:sz w:val="20"/>
          <w:szCs w:val="20"/>
          <w:lang w:val="es-ES"/>
        </w:rPr>
        <w:t xml:space="preserve">, la CIDH ha indicado que </w:t>
      </w:r>
      <w:r w:rsidR="00556F75" w:rsidRPr="0022306D">
        <w:rPr>
          <w:rFonts w:ascii="Cambria" w:hAnsi="Cambria"/>
          <w:sz w:val="20"/>
          <w:szCs w:val="20"/>
          <w:lang w:val="es-ES"/>
        </w:rPr>
        <w:t xml:space="preserve">los Estados “deben contar con los recursos humanos y técnicos que permitan una adecuada tarea de investigación </w:t>
      </w:r>
      <w:r w:rsidR="004A0DB2">
        <w:rPr>
          <w:rFonts w:ascii="Cambria" w:hAnsi="Cambria"/>
          <w:sz w:val="20"/>
          <w:szCs w:val="20"/>
          <w:lang w:val="es-ES"/>
        </w:rPr>
        <w:t xml:space="preserve">e </w:t>
      </w:r>
      <w:r w:rsidR="00556F75" w:rsidRPr="0022306D">
        <w:rPr>
          <w:rFonts w:ascii="Cambria" w:hAnsi="Cambria"/>
          <w:sz w:val="20"/>
          <w:szCs w:val="20"/>
          <w:lang w:val="es-ES"/>
        </w:rPr>
        <w:t xml:space="preserve">inteligencia policial y, cuando ello sea necesario y como último recurso, con fuerzas policiales especiales que permitan intervenciones con el mínimo riesgo para </w:t>
      </w:r>
      <w:r w:rsidR="00A82BB7" w:rsidRPr="0022306D">
        <w:rPr>
          <w:rFonts w:ascii="Cambria" w:hAnsi="Cambria"/>
          <w:sz w:val="20"/>
          <w:szCs w:val="20"/>
          <w:lang w:val="es-ES"/>
        </w:rPr>
        <w:t>l</w:t>
      </w:r>
      <w:r w:rsidR="00556F75" w:rsidRPr="0022306D">
        <w:rPr>
          <w:rFonts w:ascii="Cambria" w:hAnsi="Cambria"/>
          <w:sz w:val="20"/>
          <w:szCs w:val="20"/>
          <w:lang w:val="es-ES"/>
        </w:rPr>
        <w:t>a vida y la integridad personal de las personas secuestradas”</w:t>
      </w:r>
      <w:r w:rsidR="00556F75">
        <w:rPr>
          <w:rStyle w:val="FootnoteReference"/>
          <w:rFonts w:ascii="Cambria" w:hAnsi="Cambria"/>
          <w:sz w:val="20"/>
          <w:szCs w:val="20"/>
          <w:lang w:val="es-ES"/>
        </w:rPr>
        <w:footnoteReference w:id="84"/>
      </w:r>
      <w:r w:rsidR="00556F75" w:rsidRPr="0022306D">
        <w:rPr>
          <w:rFonts w:ascii="Cambria" w:hAnsi="Cambria"/>
          <w:sz w:val="20"/>
          <w:szCs w:val="20"/>
          <w:lang w:val="es-ES"/>
        </w:rPr>
        <w:t>.</w:t>
      </w:r>
    </w:p>
    <w:p w14:paraId="69848EB4" w14:textId="77777777" w:rsidR="0022306D" w:rsidRPr="00184F8D" w:rsidRDefault="00556F75"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lang w:val="es-ES"/>
        </w:rPr>
      </w:pPr>
      <w:r w:rsidRPr="00184F8D">
        <w:rPr>
          <w:rFonts w:ascii="Cambria" w:hAnsi="Cambria"/>
          <w:sz w:val="20"/>
          <w:szCs w:val="20"/>
          <w:lang w:val="es-ES"/>
        </w:rPr>
        <w:t xml:space="preserve"> </w:t>
      </w:r>
    </w:p>
    <w:p w14:paraId="1D6386D4" w14:textId="77777777" w:rsidR="0022306D" w:rsidRPr="004F7805" w:rsidRDefault="00EF0908"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sz w:val="20"/>
          <w:szCs w:val="20"/>
          <w:lang w:val="es-ES"/>
        </w:rPr>
      </w:pPr>
      <w:r w:rsidRPr="0022306D">
        <w:rPr>
          <w:rFonts w:ascii="Cambria" w:hAnsi="Cambria"/>
          <w:sz w:val="20"/>
          <w:szCs w:val="20"/>
          <w:lang w:val="es-ES"/>
        </w:rPr>
        <w:t xml:space="preserve">En este mismo sentido, la Comisión Interamericana ha mostrado preocupación específica en </w:t>
      </w:r>
      <w:r w:rsidR="003C28B5" w:rsidRPr="0022306D">
        <w:rPr>
          <w:rFonts w:ascii="Cambria" w:hAnsi="Cambria"/>
          <w:sz w:val="20"/>
          <w:szCs w:val="20"/>
          <w:lang w:val="es-ES"/>
        </w:rPr>
        <w:t xml:space="preserve">relación con </w:t>
      </w:r>
      <w:r w:rsidRPr="0022306D">
        <w:rPr>
          <w:rFonts w:ascii="Cambria" w:hAnsi="Cambria"/>
          <w:sz w:val="20"/>
          <w:szCs w:val="20"/>
          <w:lang w:val="es-ES"/>
        </w:rPr>
        <w:t>las vulneraciones que entraña el secuestro extorsivo y su p</w:t>
      </w:r>
      <w:r w:rsidR="00397554" w:rsidRPr="0022306D">
        <w:rPr>
          <w:rFonts w:ascii="Cambria" w:hAnsi="Cambria"/>
          <w:sz w:val="20"/>
          <w:szCs w:val="20"/>
          <w:lang w:val="es-ES"/>
        </w:rPr>
        <w:t xml:space="preserve">roliferación en Colombia y las </w:t>
      </w:r>
      <w:r w:rsidRPr="0022306D">
        <w:rPr>
          <w:rFonts w:ascii="Cambria" w:hAnsi="Cambria"/>
          <w:sz w:val="20"/>
          <w:szCs w:val="20"/>
          <w:lang w:val="es-ES"/>
        </w:rPr>
        <w:t xml:space="preserve">Américas </w:t>
      </w:r>
      <w:r w:rsidR="00397554" w:rsidRPr="0022306D">
        <w:rPr>
          <w:rFonts w:ascii="Cambria" w:hAnsi="Cambria"/>
          <w:sz w:val="20"/>
          <w:szCs w:val="20"/>
          <w:lang w:val="es-ES"/>
        </w:rPr>
        <w:t xml:space="preserve">como se mencionó ya en la sección referida al contexto. En </w:t>
      </w:r>
      <w:r w:rsidR="000160CB" w:rsidRPr="0022306D">
        <w:rPr>
          <w:rFonts w:ascii="Cambria" w:hAnsi="Cambria"/>
          <w:sz w:val="20"/>
          <w:szCs w:val="20"/>
          <w:lang w:val="es-ES"/>
        </w:rPr>
        <w:t>su</w:t>
      </w:r>
      <w:r w:rsidR="00397554" w:rsidRPr="0022306D">
        <w:rPr>
          <w:rFonts w:ascii="Cambria" w:hAnsi="Cambria"/>
          <w:sz w:val="20"/>
          <w:szCs w:val="20"/>
          <w:lang w:val="es-ES"/>
        </w:rPr>
        <w:t xml:space="preserve"> Informe sobre seguridad ciudadana y derechos humanos, la CIDH estableció que el secuestro se cuenta “entre los delitos que afectan el derecho a la libertad y seguridad personales en la región</w:t>
      </w:r>
      <w:r w:rsidR="009C3DDE" w:rsidRPr="0022306D">
        <w:rPr>
          <w:rFonts w:ascii="Cambria" w:hAnsi="Cambria"/>
          <w:sz w:val="20"/>
          <w:szCs w:val="20"/>
          <w:lang w:val="es-ES"/>
        </w:rPr>
        <w:t>”. Así, “los Estados Miembros tienen la obligación de hacer efectivas medidas legislativas y operativas –mediante acciones preventivas y de represión legítima- para que su política de seguridad ciudadana se constituya en una herramienta apta para garantizar y proteger el derecho a la libertad y la seguridad personales frente a esta clase de hechos delictivos cometidos por particulares”</w:t>
      </w:r>
      <w:r w:rsidR="009C3DDE">
        <w:rPr>
          <w:rStyle w:val="FootnoteReference"/>
          <w:rFonts w:ascii="Cambria" w:hAnsi="Cambria"/>
          <w:sz w:val="20"/>
          <w:szCs w:val="20"/>
          <w:lang w:val="es-ES"/>
        </w:rPr>
        <w:footnoteReference w:id="85"/>
      </w:r>
      <w:r w:rsidR="009C3DDE" w:rsidRPr="0022306D">
        <w:rPr>
          <w:rFonts w:ascii="Cambria" w:hAnsi="Cambria"/>
          <w:sz w:val="20"/>
          <w:szCs w:val="20"/>
          <w:lang w:val="es-ES"/>
        </w:rPr>
        <w:t xml:space="preserve">. </w:t>
      </w:r>
    </w:p>
    <w:p w14:paraId="0E383B06" w14:textId="77777777" w:rsidR="0022306D" w:rsidRDefault="0022306D"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1E3D1E03" w14:textId="77777777" w:rsidR="00377746" w:rsidRPr="00240F51" w:rsidRDefault="009C3DDE"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sz w:val="20"/>
          <w:szCs w:val="20"/>
          <w:lang w:val="es-ES"/>
        </w:rPr>
      </w:pPr>
      <w:r w:rsidRPr="0022306D">
        <w:rPr>
          <w:rFonts w:ascii="Cambria" w:hAnsi="Cambria"/>
          <w:sz w:val="20"/>
          <w:szCs w:val="20"/>
          <w:lang w:val="es-ES"/>
        </w:rPr>
        <w:t xml:space="preserve">Asimismo, la CIDH </w:t>
      </w:r>
      <w:r w:rsidR="00446CA2" w:rsidRPr="0022306D">
        <w:rPr>
          <w:rFonts w:ascii="Cambria" w:hAnsi="Cambria"/>
          <w:sz w:val="20"/>
          <w:szCs w:val="20"/>
          <w:lang w:val="es-ES"/>
        </w:rPr>
        <w:t xml:space="preserve">ha reconocido el enorme daño que el delito de secuestro </w:t>
      </w:r>
      <w:r w:rsidR="0040607F">
        <w:rPr>
          <w:rFonts w:ascii="Cambria" w:hAnsi="Cambria"/>
          <w:sz w:val="20"/>
          <w:szCs w:val="20"/>
          <w:lang w:val="es-ES"/>
        </w:rPr>
        <w:t>causa</w:t>
      </w:r>
      <w:r w:rsidR="00446CA2" w:rsidRPr="0022306D">
        <w:rPr>
          <w:rFonts w:ascii="Cambria" w:hAnsi="Cambria"/>
          <w:sz w:val="20"/>
          <w:szCs w:val="20"/>
          <w:lang w:val="es-ES"/>
        </w:rPr>
        <w:t xml:space="preserve"> a las víctimas y sus fami</w:t>
      </w:r>
      <w:r w:rsidR="00184F8D">
        <w:rPr>
          <w:rFonts w:ascii="Cambria" w:hAnsi="Cambria"/>
          <w:sz w:val="20"/>
          <w:szCs w:val="20"/>
          <w:lang w:val="es-ES"/>
        </w:rPr>
        <w:t>liares, por lo que los Estados M</w:t>
      </w:r>
      <w:r w:rsidR="00446CA2" w:rsidRPr="0022306D">
        <w:rPr>
          <w:rFonts w:ascii="Cambria" w:hAnsi="Cambria"/>
          <w:sz w:val="20"/>
          <w:szCs w:val="20"/>
          <w:lang w:val="es-ES"/>
        </w:rPr>
        <w:t>iembros deben adoptar las medida</w:t>
      </w:r>
      <w:r w:rsidR="00556F75" w:rsidRPr="0022306D">
        <w:rPr>
          <w:rFonts w:ascii="Cambria" w:hAnsi="Cambria"/>
          <w:sz w:val="20"/>
          <w:szCs w:val="20"/>
          <w:lang w:val="es-ES"/>
        </w:rPr>
        <w:t>s para prevenir este tipo de hechos criminales que ponen en serio riesgo también el derecho a la</w:t>
      </w:r>
      <w:r w:rsidR="00CD5066">
        <w:rPr>
          <w:rFonts w:ascii="Cambria" w:hAnsi="Cambria"/>
          <w:sz w:val="20"/>
          <w:szCs w:val="20"/>
          <w:lang w:val="es-ES"/>
        </w:rPr>
        <w:t xml:space="preserve"> vida y a la integridad personal</w:t>
      </w:r>
      <w:r w:rsidR="00556F75" w:rsidRPr="0022306D">
        <w:rPr>
          <w:rFonts w:ascii="Cambria" w:hAnsi="Cambria"/>
          <w:sz w:val="20"/>
          <w:szCs w:val="20"/>
          <w:lang w:val="es-ES"/>
        </w:rPr>
        <w:t xml:space="preserve"> de las víctimas</w:t>
      </w:r>
      <w:r w:rsidR="00556F75">
        <w:rPr>
          <w:rStyle w:val="FootnoteReference"/>
          <w:rFonts w:ascii="Cambria" w:hAnsi="Cambria"/>
          <w:sz w:val="20"/>
          <w:szCs w:val="20"/>
          <w:lang w:val="es-ES"/>
        </w:rPr>
        <w:footnoteReference w:id="86"/>
      </w:r>
      <w:r w:rsidR="00556F75" w:rsidRPr="0022306D">
        <w:rPr>
          <w:rFonts w:ascii="Cambria" w:hAnsi="Cambria"/>
          <w:sz w:val="20"/>
          <w:szCs w:val="20"/>
          <w:lang w:val="es-ES"/>
        </w:rPr>
        <w:t>. Sumado a lo anterior, la Comisión entiende que por su naturaleza, y tal como se identifica en la definición y elementos del mismo, el secuestro presenta un elemento de traslado físico de la víctima</w:t>
      </w:r>
      <w:r w:rsidR="00172856" w:rsidRPr="0022306D">
        <w:rPr>
          <w:rFonts w:ascii="Cambria" w:hAnsi="Cambria"/>
          <w:sz w:val="20"/>
          <w:szCs w:val="20"/>
          <w:lang w:val="es-ES"/>
        </w:rPr>
        <w:t>, contra su voluntad,</w:t>
      </w:r>
      <w:r w:rsidR="00556F75" w:rsidRPr="0022306D">
        <w:rPr>
          <w:rFonts w:ascii="Cambria" w:hAnsi="Cambria"/>
          <w:sz w:val="20"/>
          <w:szCs w:val="20"/>
          <w:lang w:val="es-ES"/>
        </w:rPr>
        <w:t xml:space="preserve"> hasta el lugar donde permanecerá bajo ca</w:t>
      </w:r>
      <w:r w:rsidR="003C28B5" w:rsidRPr="0022306D">
        <w:rPr>
          <w:rFonts w:ascii="Cambria" w:hAnsi="Cambria"/>
          <w:sz w:val="20"/>
          <w:szCs w:val="20"/>
          <w:lang w:val="es-ES"/>
        </w:rPr>
        <w:t xml:space="preserve">utiverio, lo que </w:t>
      </w:r>
      <w:r w:rsidR="003403BF">
        <w:rPr>
          <w:rFonts w:ascii="Cambria" w:hAnsi="Cambria"/>
          <w:sz w:val="20"/>
          <w:szCs w:val="20"/>
          <w:lang w:val="es-ES"/>
        </w:rPr>
        <w:t xml:space="preserve">podría </w:t>
      </w:r>
      <w:r w:rsidR="003C28B5" w:rsidRPr="0022306D">
        <w:rPr>
          <w:rFonts w:ascii="Cambria" w:hAnsi="Cambria"/>
          <w:sz w:val="20"/>
          <w:szCs w:val="20"/>
          <w:lang w:val="es-ES"/>
        </w:rPr>
        <w:t>caracteriza</w:t>
      </w:r>
      <w:r w:rsidR="003403BF">
        <w:rPr>
          <w:rFonts w:ascii="Cambria" w:hAnsi="Cambria"/>
          <w:sz w:val="20"/>
          <w:szCs w:val="20"/>
          <w:lang w:val="es-ES"/>
        </w:rPr>
        <w:t xml:space="preserve">r también </w:t>
      </w:r>
      <w:r w:rsidR="00E8721D" w:rsidRPr="0022306D">
        <w:rPr>
          <w:rFonts w:ascii="Cambria" w:hAnsi="Cambria"/>
          <w:sz w:val="20"/>
          <w:szCs w:val="20"/>
          <w:lang w:val="es-ES"/>
        </w:rPr>
        <w:t>la vulneración del derecho a la</w:t>
      </w:r>
      <w:r w:rsidR="00C4730A">
        <w:rPr>
          <w:rFonts w:ascii="Cambria" w:hAnsi="Cambria"/>
          <w:sz w:val="20"/>
          <w:szCs w:val="20"/>
          <w:lang w:val="es-ES"/>
        </w:rPr>
        <w:t xml:space="preserve"> libertad de </w:t>
      </w:r>
      <w:r w:rsidR="00E8721D" w:rsidRPr="0022306D">
        <w:rPr>
          <w:rFonts w:ascii="Cambria" w:hAnsi="Cambria"/>
          <w:sz w:val="20"/>
          <w:szCs w:val="20"/>
          <w:lang w:val="es-ES"/>
        </w:rPr>
        <w:t xml:space="preserve">circulación. </w:t>
      </w:r>
    </w:p>
    <w:p w14:paraId="29B521D9" w14:textId="77777777" w:rsidR="00377746" w:rsidRDefault="00377746"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24E0439F" w14:textId="77777777" w:rsidR="0022306D" w:rsidRPr="0022306D" w:rsidRDefault="00B978D1"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sz w:val="20"/>
          <w:szCs w:val="20"/>
          <w:lang w:val="es-ES"/>
        </w:rPr>
      </w:pPr>
      <w:r w:rsidRPr="0022306D">
        <w:rPr>
          <w:rFonts w:ascii="Cambria" w:hAnsi="Cambria"/>
          <w:sz w:val="20"/>
          <w:szCs w:val="20"/>
          <w:lang w:val="es-ES"/>
        </w:rPr>
        <w:t xml:space="preserve">Adicionalmente, </w:t>
      </w:r>
      <w:r w:rsidR="009C3DDE" w:rsidRPr="0022306D">
        <w:rPr>
          <w:rFonts w:ascii="Cambria" w:hAnsi="Cambria"/>
          <w:sz w:val="20"/>
          <w:szCs w:val="20"/>
          <w:lang w:val="es-ES"/>
        </w:rPr>
        <w:t xml:space="preserve">la CIDH ha señalado </w:t>
      </w:r>
      <w:r w:rsidRPr="0022306D">
        <w:rPr>
          <w:rFonts w:ascii="Cambria" w:hAnsi="Cambria"/>
          <w:sz w:val="20"/>
          <w:szCs w:val="20"/>
          <w:lang w:val="es-ES"/>
        </w:rPr>
        <w:t xml:space="preserve">de modo específico para los casos de secuestro </w:t>
      </w:r>
      <w:r w:rsidR="009C3DDE" w:rsidRPr="0022306D">
        <w:rPr>
          <w:rFonts w:ascii="Cambria" w:hAnsi="Cambria"/>
          <w:sz w:val="20"/>
          <w:szCs w:val="20"/>
          <w:lang w:val="es-ES"/>
        </w:rPr>
        <w:t>que no sólo resultan imputables al Estado las violaciones a los derechos reconocidos por la Convención Americana perpetradas por sus agentes</w:t>
      </w:r>
      <w:r w:rsidR="00EF1745">
        <w:rPr>
          <w:rFonts w:ascii="Cambria" w:hAnsi="Cambria"/>
          <w:sz w:val="20"/>
          <w:szCs w:val="20"/>
          <w:lang w:val="es-ES"/>
        </w:rPr>
        <w:t>,</w:t>
      </w:r>
      <w:r w:rsidR="009C3DDE" w:rsidRPr="0022306D">
        <w:rPr>
          <w:rFonts w:ascii="Cambria" w:hAnsi="Cambria"/>
          <w:sz w:val="20"/>
          <w:szCs w:val="20"/>
          <w:lang w:val="es-ES"/>
        </w:rPr>
        <w:t xml:space="preserve"> sino que su responsabilidad también puede verse comprometida por actos de particulares que actúan con su colaboración, aquiescencia o gracias a sus omisiones; por las faltas en el proceso de esclarecimiento de la violación; o por falta de debida diligencia para prevenir la violación</w:t>
      </w:r>
      <w:r w:rsidR="009C3DDE">
        <w:rPr>
          <w:rStyle w:val="FootnoteReference"/>
          <w:rFonts w:ascii="Cambria" w:hAnsi="Cambria"/>
          <w:sz w:val="20"/>
          <w:szCs w:val="20"/>
          <w:lang w:val="es-ES"/>
        </w:rPr>
        <w:footnoteReference w:id="87"/>
      </w:r>
      <w:r w:rsidR="009C3DDE" w:rsidRPr="0022306D">
        <w:rPr>
          <w:rFonts w:ascii="Cambria" w:hAnsi="Cambria"/>
          <w:sz w:val="20"/>
          <w:szCs w:val="20"/>
          <w:lang w:val="es-ES"/>
        </w:rPr>
        <w:t>.</w:t>
      </w:r>
    </w:p>
    <w:p w14:paraId="4A8EF0AB" w14:textId="77777777" w:rsidR="0022306D" w:rsidRDefault="0022306D"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68B3BC04" w14:textId="77777777" w:rsidR="00624ED0" w:rsidRPr="00624ED0" w:rsidRDefault="00BB6116"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sz w:val="20"/>
          <w:szCs w:val="20"/>
          <w:lang w:val="es-ES"/>
        </w:rPr>
      </w:pPr>
      <w:r w:rsidRPr="0022306D">
        <w:rPr>
          <w:rFonts w:ascii="Cambria" w:hAnsi="Cambria"/>
          <w:sz w:val="20"/>
          <w:szCs w:val="20"/>
          <w:lang w:val="es-ES"/>
        </w:rPr>
        <w:t>En virtud de lo anterior, tomando en consideración que la O</w:t>
      </w:r>
      <w:r w:rsidR="00EF1745">
        <w:rPr>
          <w:rFonts w:ascii="Cambria" w:hAnsi="Cambria"/>
          <w:sz w:val="20"/>
          <w:szCs w:val="20"/>
          <w:lang w:val="es-ES"/>
        </w:rPr>
        <w:t>EA</w:t>
      </w:r>
      <w:r w:rsidRPr="0022306D">
        <w:rPr>
          <w:rFonts w:ascii="Cambria" w:hAnsi="Cambria"/>
          <w:sz w:val="20"/>
          <w:szCs w:val="20"/>
          <w:lang w:val="es-ES"/>
        </w:rPr>
        <w:t xml:space="preserve"> reconoce que existe una obligación general de perseguir, combatir y eliminar el secuestro por entrañar profundas violaciones </w:t>
      </w:r>
      <w:r w:rsidR="008A3EC1" w:rsidRPr="0022306D">
        <w:rPr>
          <w:rFonts w:ascii="Cambria" w:hAnsi="Cambria"/>
          <w:sz w:val="20"/>
          <w:szCs w:val="20"/>
          <w:lang w:val="es-ES"/>
        </w:rPr>
        <w:t>de</w:t>
      </w:r>
      <w:r w:rsidRPr="0022306D">
        <w:rPr>
          <w:rFonts w:ascii="Cambria" w:hAnsi="Cambria"/>
          <w:sz w:val="20"/>
          <w:szCs w:val="20"/>
          <w:lang w:val="es-ES"/>
        </w:rPr>
        <w:t xml:space="preserve"> los derechos humanos; sumado a la definición y elementos del secuestro delineados </w:t>
      </w:r>
      <w:r w:rsidR="00A4039F" w:rsidRPr="0022306D">
        <w:rPr>
          <w:rFonts w:ascii="Cambria" w:hAnsi="Cambria"/>
          <w:sz w:val="20"/>
          <w:szCs w:val="20"/>
          <w:lang w:val="es-ES"/>
        </w:rPr>
        <w:t xml:space="preserve">a partir de los </w:t>
      </w:r>
      <w:r w:rsidR="00850F6C">
        <w:rPr>
          <w:rFonts w:ascii="Cambria" w:hAnsi="Cambria"/>
          <w:sz w:val="20"/>
          <w:szCs w:val="20"/>
          <w:lang w:val="es-ES"/>
        </w:rPr>
        <w:t>desarrollo</w:t>
      </w:r>
      <w:r w:rsidR="00C06295">
        <w:rPr>
          <w:rFonts w:ascii="Cambria" w:hAnsi="Cambria"/>
          <w:sz w:val="20"/>
          <w:szCs w:val="20"/>
          <w:lang w:val="es-ES"/>
        </w:rPr>
        <w:t>s</w:t>
      </w:r>
      <w:r w:rsidR="00850F6C">
        <w:rPr>
          <w:rFonts w:ascii="Cambria" w:hAnsi="Cambria"/>
          <w:sz w:val="20"/>
          <w:szCs w:val="20"/>
          <w:lang w:val="es-ES"/>
        </w:rPr>
        <w:t xml:space="preserve"> por parte </w:t>
      </w:r>
      <w:r w:rsidR="00A4039F" w:rsidRPr="0022306D">
        <w:rPr>
          <w:rFonts w:ascii="Cambria" w:hAnsi="Cambria"/>
          <w:sz w:val="20"/>
          <w:szCs w:val="20"/>
          <w:lang w:val="es-ES"/>
        </w:rPr>
        <w:t xml:space="preserve">de </w:t>
      </w:r>
      <w:r w:rsidRPr="0022306D">
        <w:rPr>
          <w:rFonts w:ascii="Cambria" w:hAnsi="Cambria"/>
          <w:sz w:val="20"/>
          <w:szCs w:val="20"/>
          <w:lang w:val="es-ES"/>
        </w:rPr>
        <w:t xml:space="preserve">los órganos de las Naciones Unidas; y en conjunción con las afectaciones específicas </w:t>
      </w:r>
      <w:r w:rsidR="00A4039F" w:rsidRPr="0022306D">
        <w:rPr>
          <w:rFonts w:ascii="Cambria" w:hAnsi="Cambria"/>
          <w:sz w:val="20"/>
          <w:szCs w:val="20"/>
          <w:lang w:val="es-ES"/>
        </w:rPr>
        <w:t xml:space="preserve">a la Convención Americana </w:t>
      </w:r>
      <w:r w:rsidR="00B978D1" w:rsidRPr="0022306D">
        <w:rPr>
          <w:rFonts w:ascii="Cambria" w:hAnsi="Cambria"/>
          <w:sz w:val="20"/>
          <w:szCs w:val="20"/>
          <w:lang w:val="es-ES"/>
        </w:rPr>
        <w:t>que la</w:t>
      </w:r>
      <w:r w:rsidRPr="0022306D">
        <w:rPr>
          <w:rFonts w:ascii="Cambria" w:hAnsi="Cambria"/>
          <w:sz w:val="20"/>
          <w:szCs w:val="20"/>
          <w:lang w:val="es-ES"/>
        </w:rPr>
        <w:t xml:space="preserve"> CIDH</w:t>
      </w:r>
      <w:r w:rsidR="00B978D1" w:rsidRPr="0022306D">
        <w:rPr>
          <w:rFonts w:ascii="Cambria" w:hAnsi="Cambria"/>
          <w:sz w:val="20"/>
          <w:szCs w:val="20"/>
          <w:lang w:val="es-ES"/>
        </w:rPr>
        <w:t xml:space="preserve"> ha identificado</w:t>
      </w:r>
      <w:r w:rsidR="00E026C2" w:rsidRPr="0022306D">
        <w:rPr>
          <w:rFonts w:ascii="Cambria" w:hAnsi="Cambria"/>
          <w:sz w:val="20"/>
          <w:szCs w:val="20"/>
          <w:lang w:val="es-ES"/>
        </w:rPr>
        <w:t xml:space="preserve"> </w:t>
      </w:r>
      <w:r w:rsidR="00BA37DA">
        <w:rPr>
          <w:rFonts w:ascii="Cambria" w:hAnsi="Cambria"/>
          <w:sz w:val="20"/>
          <w:szCs w:val="20"/>
          <w:lang w:val="es-ES"/>
        </w:rPr>
        <w:t xml:space="preserve">que </w:t>
      </w:r>
      <w:r w:rsidR="00A4039F" w:rsidRPr="0022306D">
        <w:rPr>
          <w:rFonts w:ascii="Cambria" w:hAnsi="Cambria"/>
          <w:sz w:val="20"/>
          <w:szCs w:val="20"/>
          <w:lang w:val="es-ES"/>
        </w:rPr>
        <w:t xml:space="preserve">es posible concluir que el secuestro extorsivo es un crimen </w:t>
      </w:r>
      <w:r w:rsidR="00920503" w:rsidRPr="0022306D">
        <w:rPr>
          <w:rFonts w:ascii="Cambria" w:hAnsi="Cambria"/>
          <w:sz w:val="20"/>
          <w:szCs w:val="20"/>
          <w:lang w:val="es-ES"/>
        </w:rPr>
        <w:t xml:space="preserve">grave </w:t>
      </w:r>
      <w:r w:rsidR="00A4039F" w:rsidRPr="0022306D">
        <w:rPr>
          <w:rFonts w:ascii="Cambria" w:hAnsi="Cambria"/>
          <w:sz w:val="20"/>
          <w:szCs w:val="20"/>
          <w:lang w:val="es-ES"/>
        </w:rPr>
        <w:t>que produce</w:t>
      </w:r>
      <w:r w:rsidR="00920503" w:rsidRPr="0022306D">
        <w:rPr>
          <w:rFonts w:ascii="Cambria" w:hAnsi="Cambria"/>
          <w:sz w:val="20"/>
          <w:szCs w:val="20"/>
          <w:lang w:val="es-ES"/>
        </w:rPr>
        <w:t xml:space="preserve"> la </w:t>
      </w:r>
      <w:r w:rsidR="00A4039F" w:rsidRPr="0022306D">
        <w:rPr>
          <w:rFonts w:ascii="Cambria" w:hAnsi="Cambria"/>
          <w:sz w:val="20"/>
          <w:szCs w:val="20"/>
          <w:lang w:val="es-ES"/>
        </w:rPr>
        <w:t>vulneración concomitante de</w:t>
      </w:r>
      <w:r w:rsidR="00431011">
        <w:rPr>
          <w:rFonts w:ascii="Cambria" w:hAnsi="Cambria"/>
          <w:sz w:val="20"/>
          <w:szCs w:val="20"/>
          <w:lang w:val="es-ES"/>
        </w:rPr>
        <w:t xml:space="preserve"> los</w:t>
      </w:r>
      <w:r w:rsidR="00A4039F" w:rsidRPr="0022306D">
        <w:rPr>
          <w:rFonts w:ascii="Cambria" w:hAnsi="Cambria"/>
          <w:sz w:val="20"/>
          <w:szCs w:val="20"/>
          <w:lang w:val="es-ES"/>
        </w:rPr>
        <w:t xml:space="preserve"> derecho</w:t>
      </w:r>
      <w:r w:rsidR="00431011">
        <w:rPr>
          <w:rFonts w:ascii="Cambria" w:hAnsi="Cambria"/>
          <w:sz w:val="20"/>
          <w:szCs w:val="20"/>
          <w:lang w:val="es-ES"/>
        </w:rPr>
        <w:t>s</w:t>
      </w:r>
      <w:r w:rsidR="00A4039F" w:rsidRPr="0022306D">
        <w:rPr>
          <w:rFonts w:ascii="Cambria" w:hAnsi="Cambria"/>
          <w:sz w:val="20"/>
          <w:szCs w:val="20"/>
          <w:lang w:val="es-ES"/>
        </w:rPr>
        <w:t xml:space="preserve"> a la integridad, </w:t>
      </w:r>
      <w:r w:rsidR="00431011">
        <w:rPr>
          <w:rFonts w:ascii="Cambria" w:hAnsi="Cambria"/>
          <w:sz w:val="20"/>
          <w:szCs w:val="20"/>
          <w:lang w:val="es-ES"/>
        </w:rPr>
        <w:t xml:space="preserve">a la </w:t>
      </w:r>
      <w:r w:rsidR="00A4039F" w:rsidRPr="0022306D">
        <w:rPr>
          <w:rFonts w:ascii="Cambria" w:hAnsi="Cambria"/>
          <w:sz w:val="20"/>
          <w:szCs w:val="20"/>
          <w:lang w:val="es-ES"/>
        </w:rPr>
        <w:t>libertad y seguridad personales,</w:t>
      </w:r>
      <w:r w:rsidR="00431011">
        <w:rPr>
          <w:rFonts w:ascii="Cambria" w:hAnsi="Cambria"/>
          <w:sz w:val="20"/>
          <w:szCs w:val="20"/>
          <w:lang w:val="es-ES"/>
        </w:rPr>
        <w:t xml:space="preserve"> a la libertad de </w:t>
      </w:r>
      <w:r w:rsidR="00A4039F" w:rsidRPr="0022306D">
        <w:rPr>
          <w:rFonts w:ascii="Cambria" w:hAnsi="Cambria"/>
          <w:sz w:val="20"/>
          <w:szCs w:val="20"/>
          <w:lang w:val="es-ES"/>
        </w:rPr>
        <w:t>circulaci</w:t>
      </w:r>
      <w:r w:rsidR="00920503" w:rsidRPr="0022306D">
        <w:rPr>
          <w:rFonts w:ascii="Cambria" w:hAnsi="Cambria"/>
          <w:sz w:val="20"/>
          <w:szCs w:val="20"/>
          <w:lang w:val="es-ES"/>
        </w:rPr>
        <w:t>ón y</w:t>
      </w:r>
      <w:r w:rsidR="00A4039F" w:rsidRPr="0022306D">
        <w:rPr>
          <w:rFonts w:ascii="Cambria" w:hAnsi="Cambria"/>
          <w:sz w:val="20"/>
          <w:szCs w:val="20"/>
          <w:lang w:val="es-ES"/>
        </w:rPr>
        <w:t xml:space="preserve"> </w:t>
      </w:r>
      <w:r w:rsidR="00920503" w:rsidRPr="0022306D">
        <w:rPr>
          <w:rFonts w:ascii="Cambria" w:hAnsi="Cambria"/>
          <w:sz w:val="20"/>
          <w:szCs w:val="20"/>
          <w:lang w:val="es-ES"/>
        </w:rPr>
        <w:t>que supone</w:t>
      </w:r>
      <w:r w:rsidR="00A4039F" w:rsidRPr="0022306D">
        <w:rPr>
          <w:rFonts w:ascii="Cambria" w:hAnsi="Cambria"/>
          <w:sz w:val="20"/>
          <w:szCs w:val="20"/>
          <w:lang w:val="es-ES"/>
        </w:rPr>
        <w:t xml:space="preserve"> una grave</w:t>
      </w:r>
      <w:r w:rsidR="00624ED0">
        <w:rPr>
          <w:rFonts w:ascii="Cambria" w:hAnsi="Cambria"/>
          <w:sz w:val="20"/>
          <w:szCs w:val="20"/>
          <w:lang w:val="es-ES"/>
        </w:rPr>
        <w:t xml:space="preserve"> amenaza del derecho a la vida</w:t>
      </w:r>
      <w:r w:rsidR="000B3F2B">
        <w:rPr>
          <w:rFonts w:ascii="Cambria" w:hAnsi="Cambria"/>
          <w:sz w:val="20"/>
          <w:szCs w:val="20"/>
          <w:lang w:val="es-ES"/>
        </w:rPr>
        <w:t>, todos ellos respecto a la persona secuestrada</w:t>
      </w:r>
      <w:r w:rsidR="00CD5066">
        <w:rPr>
          <w:rFonts w:ascii="Cambria" w:hAnsi="Cambria"/>
          <w:sz w:val="20"/>
          <w:szCs w:val="20"/>
          <w:lang w:val="es-ES"/>
        </w:rPr>
        <w:t>, y del derecho a la integridad respecto de sus familiares.</w:t>
      </w:r>
    </w:p>
    <w:p w14:paraId="5240D4DF" w14:textId="77777777" w:rsidR="00624ED0" w:rsidRDefault="00624ED0"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1C334CAD" w14:textId="77777777" w:rsidR="0022306D" w:rsidRDefault="00920503"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sz w:val="20"/>
          <w:szCs w:val="20"/>
          <w:lang w:val="es-ES"/>
        </w:rPr>
      </w:pPr>
      <w:r w:rsidRPr="0022306D">
        <w:rPr>
          <w:rFonts w:ascii="Cambria" w:hAnsi="Cambria"/>
          <w:sz w:val="20"/>
          <w:szCs w:val="20"/>
          <w:lang w:val="es-ES"/>
        </w:rPr>
        <w:t xml:space="preserve">Ahora </w:t>
      </w:r>
      <w:r w:rsidR="00341469" w:rsidRPr="0022306D">
        <w:rPr>
          <w:rFonts w:ascii="Cambria" w:hAnsi="Cambria"/>
          <w:sz w:val="20"/>
          <w:szCs w:val="20"/>
          <w:lang w:val="es-ES"/>
        </w:rPr>
        <w:t>bien</w:t>
      </w:r>
      <w:r w:rsidRPr="0022306D">
        <w:rPr>
          <w:rFonts w:ascii="Cambria" w:hAnsi="Cambria"/>
          <w:sz w:val="20"/>
          <w:szCs w:val="20"/>
          <w:lang w:val="es-ES"/>
        </w:rPr>
        <w:t>,</w:t>
      </w:r>
      <w:r w:rsidR="00341469" w:rsidRPr="0022306D">
        <w:rPr>
          <w:rFonts w:ascii="Cambria" w:hAnsi="Cambria"/>
          <w:sz w:val="20"/>
          <w:szCs w:val="20"/>
          <w:lang w:val="es-ES"/>
        </w:rPr>
        <w:t xml:space="preserve"> </w:t>
      </w:r>
      <w:r w:rsidR="008A3EC1" w:rsidRPr="0022306D">
        <w:rPr>
          <w:rFonts w:ascii="Cambria" w:hAnsi="Cambria"/>
          <w:sz w:val="20"/>
          <w:szCs w:val="20"/>
          <w:lang w:val="es-ES"/>
        </w:rPr>
        <w:t>sin perjuicio de que cu</w:t>
      </w:r>
      <w:r w:rsidR="00341469" w:rsidRPr="0022306D">
        <w:rPr>
          <w:rFonts w:ascii="Cambria" w:hAnsi="Cambria"/>
          <w:sz w:val="20"/>
          <w:szCs w:val="20"/>
          <w:lang w:val="es-ES"/>
        </w:rPr>
        <w:t xml:space="preserve">ando </w:t>
      </w:r>
      <w:r w:rsidR="008A3EC1" w:rsidRPr="0022306D">
        <w:rPr>
          <w:rFonts w:ascii="Cambria" w:hAnsi="Cambria"/>
          <w:sz w:val="20"/>
          <w:szCs w:val="20"/>
          <w:lang w:val="es-ES"/>
        </w:rPr>
        <w:t xml:space="preserve">es </w:t>
      </w:r>
      <w:r w:rsidR="00341469" w:rsidRPr="0022306D">
        <w:rPr>
          <w:rFonts w:ascii="Cambria" w:hAnsi="Cambria"/>
          <w:sz w:val="20"/>
          <w:szCs w:val="20"/>
          <w:lang w:val="es-ES"/>
        </w:rPr>
        <w:t>cometid</w:t>
      </w:r>
      <w:r w:rsidR="008A3EC1" w:rsidRPr="0022306D">
        <w:rPr>
          <w:rFonts w:ascii="Cambria" w:hAnsi="Cambria"/>
          <w:sz w:val="20"/>
          <w:szCs w:val="20"/>
          <w:lang w:val="es-ES"/>
        </w:rPr>
        <w:t>o</w:t>
      </w:r>
      <w:r w:rsidR="00341469" w:rsidRPr="0022306D">
        <w:rPr>
          <w:rFonts w:ascii="Cambria" w:hAnsi="Cambria"/>
          <w:sz w:val="20"/>
          <w:szCs w:val="20"/>
          <w:lang w:val="es-ES"/>
        </w:rPr>
        <w:t xml:space="preserve"> por actores no estatales, el secuestro extorsivo</w:t>
      </w:r>
      <w:r w:rsidR="007A4A55" w:rsidRPr="0022306D">
        <w:rPr>
          <w:rFonts w:ascii="Cambria" w:hAnsi="Cambria"/>
          <w:sz w:val="20"/>
          <w:szCs w:val="20"/>
          <w:lang w:val="es-ES"/>
        </w:rPr>
        <w:t xml:space="preserve"> no genera </w:t>
      </w:r>
      <w:r w:rsidR="00341469" w:rsidRPr="0022306D">
        <w:rPr>
          <w:rFonts w:ascii="Cambria" w:hAnsi="Cambria"/>
          <w:sz w:val="20"/>
          <w:szCs w:val="20"/>
          <w:lang w:val="es-ES"/>
        </w:rPr>
        <w:t xml:space="preserve">responsabilidad </w:t>
      </w:r>
      <w:r w:rsidR="007A4A55" w:rsidRPr="0022306D">
        <w:rPr>
          <w:rFonts w:ascii="Cambria" w:hAnsi="Cambria"/>
          <w:sz w:val="20"/>
          <w:szCs w:val="20"/>
          <w:lang w:val="es-ES"/>
        </w:rPr>
        <w:t xml:space="preserve">internacional </w:t>
      </w:r>
      <w:r w:rsidR="00AF70E2" w:rsidRPr="0022306D">
        <w:rPr>
          <w:rFonts w:ascii="Cambria" w:hAnsi="Cambria"/>
          <w:sz w:val="20"/>
          <w:szCs w:val="20"/>
          <w:lang w:val="es-ES"/>
        </w:rPr>
        <w:t>estatal</w:t>
      </w:r>
      <w:r w:rsidR="008A3EC1" w:rsidRPr="0022306D">
        <w:rPr>
          <w:rFonts w:ascii="Cambria" w:hAnsi="Cambria"/>
          <w:sz w:val="20"/>
          <w:szCs w:val="20"/>
          <w:lang w:val="es-ES"/>
        </w:rPr>
        <w:t xml:space="preserve"> </w:t>
      </w:r>
      <w:r w:rsidR="00341469" w:rsidRPr="0022306D">
        <w:rPr>
          <w:rFonts w:ascii="Cambria" w:hAnsi="Cambria"/>
          <w:sz w:val="20"/>
          <w:szCs w:val="20"/>
          <w:lang w:val="es-ES"/>
        </w:rPr>
        <w:t xml:space="preserve">en relación con su obligación de </w:t>
      </w:r>
      <w:r w:rsidR="007A4A55" w:rsidRPr="0022306D">
        <w:rPr>
          <w:rFonts w:ascii="Cambria" w:hAnsi="Cambria"/>
          <w:sz w:val="20"/>
          <w:szCs w:val="20"/>
          <w:lang w:val="es-ES"/>
        </w:rPr>
        <w:t>respeto</w:t>
      </w:r>
      <w:r w:rsidR="008A3EC1" w:rsidRPr="0022306D">
        <w:rPr>
          <w:rFonts w:ascii="Cambria" w:hAnsi="Cambria"/>
          <w:sz w:val="20"/>
          <w:szCs w:val="20"/>
          <w:lang w:val="es-ES"/>
        </w:rPr>
        <w:t>,</w:t>
      </w:r>
      <w:r w:rsidR="00341469" w:rsidRPr="0022306D">
        <w:rPr>
          <w:rFonts w:ascii="Cambria" w:hAnsi="Cambria"/>
          <w:sz w:val="20"/>
          <w:szCs w:val="20"/>
          <w:lang w:val="es-ES"/>
        </w:rPr>
        <w:t xml:space="preserve"> la Comisi</w:t>
      </w:r>
      <w:r w:rsidR="008A3EC1" w:rsidRPr="0022306D">
        <w:rPr>
          <w:rFonts w:ascii="Cambria" w:hAnsi="Cambria"/>
          <w:sz w:val="20"/>
          <w:szCs w:val="20"/>
          <w:lang w:val="es-ES"/>
        </w:rPr>
        <w:t>ón considera que</w:t>
      </w:r>
      <w:r w:rsidR="007A4A55" w:rsidRPr="0022306D">
        <w:rPr>
          <w:rFonts w:ascii="Cambria" w:hAnsi="Cambria"/>
          <w:sz w:val="20"/>
          <w:szCs w:val="20"/>
          <w:lang w:val="es-ES"/>
        </w:rPr>
        <w:t>,</w:t>
      </w:r>
      <w:r w:rsidR="008A3EC1" w:rsidRPr="0022306D">
        <w:rPr>
          <w:rFonts w:ascii="Cambria" w:hAnsi="Cambria"/>
          <w:sz w:val="20"/>
          <w:szCs w:val="20"/>
          <w:lang w:val="es-ES"/>
        </w:rPr>
        <w:t xml:space="preserve"> a luz </w:t>
      </w:r>
      <w:r w:rsidR="00C656C7" w:rsidRPr="0022306D">
        <w:rPr>
          <w:rFonts w:ascii="Cambria" w:hAnsi="Cambria"/>
          <w:sz w:val="20"/>
          <w:szCs w:val="20"/>
          <w:lang w:val="es-ES"/>
        </w:rPr>
        <w:t xml:space="preserve">del </w:t>
      </w:r>
      <w:r w:rsidR="00341469" w:rsidRPr="0022306D">
        <w:rPr>
          <w:rFonts w:ascii="Cambria" w:hAnsi="Cambria"/>
          <w:sz w:val="20"/>
          <w:szCs w:val="20"/>
          <w:lang w:val="es-ES"/>
        </w:rPr>
        <w:t>derecho internacional</w:t>
      </w:r>
      <w:r w:rsidR="00892E7B">
        <w:rPr>
          <w:rFonts w:ascii="Cambria" w:hAnsi="Cambria"/>
          <w:sz w:val="20"/>
          <w:szCs w:val="20"/>
          <w:lang w:val="es-ES"/>
        </w:rPr>
        <w:t xml:space="preserve"> de los derechos humanos</w:t>
      </w:r>
      <w:r w:rsidR="00341469" w:rsidRPr="0022306D">
        <w:rPr>
          <w:rFonts w:ascii="Cambria" w:hAnsi="Cambria"/>
          <w:sz w:val="20"/>
          <w:szCs w:val="20"/>
          <w:lang w:val="es-ES"/>
        </w:rPr>
        <w:t xml:space="preserve">, </w:t>
      </w:r>
      <w:r w:rsidR="008A3EC1" w:rsidRPr="0022306D">
        <w:rPr>
          <w:rFonts w:ascii="Cambria" w:hAnsi="Cambria"/>
          <w:sz w:val="20"/>
          <w:szCs w:val="20"/>
          <w:lang w:val="es-ES"/>
        </w:rPr>
        <w:t xml:space="preserve">sí </w:t>
      </w:r>
      <w:r w:rsidR="00341469" w:rsidRPr="0022306D">
        <w:rPr>
          <w:rFonts w:ascii="Cambria" w:hAnsi="Cambria"/>
          <w:sz w:val="20"/>
          <w:szCs w:val="20"/>
          <w:lang w:val="es-ES"/>
        </w:rPr>
        <w:t>genera obligaciones de debida de diligencia</w:t>
      </w:r>
      <w:r w:rsidR="00AF70E2" w:rsidRPr="0022306D">
        <w:rPr>
          <w:rFonts w:ascii="Cambria" w:hAnsi="Cambria"/>
          <w:sz w:val="20"/>
          <w:szCs w:val="20"/>
          <w:lang w:val="es-ES"/>
        </w:rPr>
        <w:t xml:space="preserve"> en función del deber de garantía,</w:t>
      </w:r>
      <w:r w:rsidR="00341469" w:rsidRPr="0022306D">
        <w:rPr>
          <w:rFonts w:ascii="Cambria" w:hAnsi="Cambria"/>
          <w:sz w:val="20"/>
          <w:szCs w:val="20"/>
          <w:lang w:val="es-ES"/>
        </w:rPr>
        <w:t xml:space="preserve"> en relación con la estrategia de búsqueda y liberación de la víctima, negociación con los captores, asistencia a la familia de la víctima, durante </w:t>
      </w:r>
      <w:r w:rsidR="007A4A55" w:rsidRPr="0022306D">
        <w:rPr>
          <w:rFonts w:ascii="Cambria" w:hAnsi="Cambria"/>
          <w:sz w:val="20"/>
          <w:szCs w:val="20"/>
          <w:lang w:val="es-ES"/>
        </w:rPr>
        <w:t xml:space="preserve">el tiempo </w:t>
      </w:r>
      <w:r w:rsidR="004517F2">
        <w:rPr>
          <w:rFonts w:ascii="Cambria" w:hAnsi="Cambria"/>
          <w:sz w:val="20"/>
          <w:szCs w:val="20"/>
          <w:lang w:val="es-ES"/>
        </w:rPr>
        <w:t xml:space="preserve">en que ésta </w:t>
      </w:r>
      <w:r w:rsidR="007A4A55" w:rsidRPr="0022306D">
        <w:rPr>
          <w:rFonts w:ascii="Cambria" w:hAnsi="Cambria"/>
          <w:sz w:val="20"/>
          <w:szCs w:val="20"/>
          <w:lang w:val="es-ES"/>
        </w:rPr>
        <w:t xml:space="preserve">se encuentre en cautiverio. </w:t>
      </w:r>
    </w:p>
    <w:p w14:paraId="77113E45" w14:textId="77777777" w:rsidR="0022306D" w:rsidRDefault="0022306D"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lang w:val="es-ES"/>
        </w:rPr>
      </w:pPr>
    </w:p>
    <w:p w14:paraId="6B8ECA76" w14:textId="77777777" w:rsidR="000B3F2B" w:rsidRDefault="00C75DCE"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b/>
          <w:sz w:val="20"/>
          <w:szCs w:val="20"/>
          <w:lang w:val="es-ES"/>
        </w:rPr>
      </w:pPr>
      <w:r w:rsidRPr="0022306D">
        <w:rPr>
          <w:rFonts w:ascii="Cambria" w:hAnsi="Cambria"/>
          <w:sz w:val="20"/>
          <w:szCs w:val="20"/>
          <w:lang w:val="es-ES"/>
        </w:rPr>
        <w:lastRenderedPageBreak/>
        <w:t>En función de lo anterior, la Comisión considera que las obligaciones estatales en materia de secuestro extorsivo deben ser analizadas en dos moment</w:t>
      </w:r>
      <w:r w:rsidR="00405C21">
        <w:rPr>
          <w:rFonts w:ascii="Cambria" w:hAnsi="Cambria"/>
          <w:sz w:val="20"/>
          <w:szCs w:val="20"/>
          <w:lang w:val="es-ES"/>
        </w:rPr>
        <w:t>os respecto de las obligaciones</w:t>
      </w:r>
      <w:r w:rsidRPr="0022306D">
        <w:rPr>
          <w:rFonts w:ascii="Cambria" w:hAnsi="Cambria"/>
          <w:sz w:val="20"/>
          <w:szCs w:val="20"/>
          <w:lang w:val="es-ES"/>
        </w:rPr>
        <w:t xml:space="preserve"> de prevención</w:t>
      </w:r>
      <w:r w:rsidR="00405C21">
        <w:rPr>
          <w:rFonts w:ascii="Cambria" w:hAnsi="Cambria"/>
          <w:sz w:val="20"/>
          <w:szCs w:val="20"/>
          <w:lang w:val="es-ES"/>
        </w:rPr>
        <w:t xml:space="preserve"> y protección</w:t>
      </w:r>
      <w:r w:rsidRPr="0022306D">
        <w:rPr>
          <w:rFonts w:ascii="Cambria" w:hAnsi="Cambria"/>
          <w:sz w:val="20"/>
          <w:szCs w:val="20"/>
          <w:lang w:val="es-ES"/>
        </w:rPr>
        <w:t xml:space="preserve">. En un primer momento, </w:t>
      </w:r>
      <w:r w:rsidR="002A06F0" w:rsidRPr="0022306D">
        <w:rPr>
          <w:rFonts w:ascii="Cambria" w:hAnsi="Cambria"/>
          <w:sz w:val="20"/>
          <w:szCs w:val="20"/>
          <w:lang w:val="es-ES"/>
        </w:rPr>
        <w:t xml:space="preserve">el análisis de la responsabilidad internacional respecto de la configuración del riesgo real e inminente previo al secuestro de la </w:t>
      </w:r>
      <w:r w:rsidR="002006A1">
        <w:rPr>
          <w:rFonts w:ascii="Cambria" w:hAnsi="Cambria"/>
          <w:sz w:val="20"/>
          <w:szCs w:val="20"/>
          <w:lang w:val="es-ES"/>
        </w:rPr>
        <w:t xml:space="preserve">presunta </w:t>
      </w:r>
      <w:r w:rsidR="002A06F0" w:rsidRPr="0022306D">
        <w:rPr>
          <w:rFonts w:ascii="Cambria" w:hAnsi="Cambria"/>
          <w:sz w:val="20"/>
          <w:szCs w:val="20"/>
          <w:lang w:val="es-ES"/>
        </w:rPr>
        <w:t xml:space="preserve">víctima, en los términos reseñados en este informe. El segundo momento, corresponde al análisis de las medidas </w:t>
      </w:r>
      <w:r w:rsidR="00405C21">
        <w:rPr>
          <w:rFonts w:ascii="Cambria" w:hAnsi="Cambria"/>
          <w:sz w:val="20"/>
          <w:szCs w:val="20"/>
          <w:lang w:val="es-ES"/>
        </w:rPr>
        <w:t xml:space="preserve">de protección </w:t>
      </w:r>
      <w:r w:rsidR="000B3F2B">
        <w:rPr>
          <w:rFonts w:ascii="Cambria" w:hAnsi="Cambria"/>
          <w:sz w:val="20"/>
          <w:szCs w:val="20"/>
          <w:lang w:val="es-ES"/>
        </w:rPr>
        <w:t>adoptadas por el Estado</w:t>
      </w:r>
      <w:r w:rsidR="002A06F0" w:rsidRPr="0022306D">
        <w:rPr>
          <w:rFonts w:ascii="Cambria" w:hAnsi="Cambria"/>
          <w:sz w:val="20"/>
          <w:szCs w:val="20"/>
          <w:lang w:val="es-ES"/>
        </w:rPr>
        <w:t xml:space="preserve"> una vez que conoció de la ocurrencia del secuestro hasta la liberación en relación con los siguientes elementos: a) la existencia de una estrategia </w:t>
      </w:r>
      <w:r w:rsidR="00711A10">
        <w:rPr>
          <w:rFonts w:ascii="Cambria" w:hAnsi="Cambria"/>
          <w:sz w:val="20"/>
          <w:szCs w:val="20"/>
          <w:lang w:val="es-ES"/>
        </w:rPr>
        <w:t xml:space="preserve">y despliegue de acciones concretas </w:t>
      </w:r>
      <w:r w:rsidR="002A06F0" w:rsidRPr="0022306D">
        <w:rPr>
          <w:rFonts w:ascii="Cambria" w:hAnsi="Cambria"/>
          <w:sz w:val="20"/>
          <w:szCs w:val="20"/>
          <w:lang w:val="es-ES"/>
        </w:rPr>
        <w:t>de búsqueda</w:t>
      </w:r>
      <w:r w:rsidR="00DD3283" w:rsidRPr="0022306D">
        <w:rPr>
          <w:rFonts w:ascii="Cambria" w:hAnsi="Cambria"/>
          <w:sz w:val="20"/>
          <w:szCs w:val="20"/>
          <w:lang w:val="es-ES"/>
        </w:rPr>
        <w:t xml:space="preserve">, </w:t>
      </w:r>
      <w:r w:rsidR="00BB1527" w:rsidRPr="0022306D">
        <w:rPr>
          <w:rFonts w:ascii="Cambria" w:hAnsi="Cambria"/>
          <w:sz w:val="20"/>
          <w:szCs w:val="20"/>
          <w:lang w:val="es-ES"/>
        </w:rPr>
        <w:t>negociación</w:t>
      </w:r>
      <w:r w:rsidR="00B978D1" w:rsidRPr="0022306D">
        <w:rPr>
          <w:rFonts w:ascii="Cambria" w:hAnsi="Cambria"/>
          <w:sz w:val="20"/>
          <w:szCs w:val="20"/>
          <w:lang w:val="es-ES"/>
        </w:rPr>
        <w:t xml:space="preserve"> o rescate</w:t>
      </w:r>
      <w:r w:rsidR="002A06F0" w:rsidRPr="0022306D">
        <w:rPr>
          <w:rFonts w:ascii="Cambria" w:hAnsi="Cambria"/>
          <w:sz w:val="20"/>
          <w:szCs w:val="20"/>
          <w:lang w:val="es-ES"/>
        </w:rPr>
        <w:t xml:space="preserve"> concertada con los familiares de la presunta v</w:t>
      </w:r>
      <w:r w:rsidR="00BB1527" w:rsidRPr="0022306D">
        <w:rPr>
          <w:rFonts w:ascii="Cambria" w:hAnsi="Cambria"/>
          <w:sz w:val="20"/>
          <w:szCs w:val="20"/>
          <w:lang w:val="es-ES"/>
        </w:rPr>
        <w:t>íctima</w:t>
      </w:r>
      <w:r w:rsidR="007F3154" w:rsidRPr="0022306D">
        <w:rPr>
          <w:rFonts w:ascii="Cambria" w:hAnsi="Cambria"/>
          <w:sz w:val="20"/>
          <w:szCs w:val="20"/>
          <w:lang w:val="es-ES"/>
        </w:rPr>
        <w:t xml:space="preserve"> que sea compatible con los objetivos de la investigaci</w:t>
      </w:r>
      <w:r w:rsidR="0016777F" w:rsidRPr="0022306D">
        <w:rPr>
          <w:rFonts w:ascii="Cambria" w:hAnsi="Cambria"/>
          <w:sz w:val="20"/>
          <w:szCs w:val="20"/>
          <w:lang w:val="es-ES"/>
        </w:rPr>
        <w:t xml:space="preserve">ón de secuestros; </w:t>
      </w:r>
      <w:r w:rsidR="00711A10">
        <w:rPr>
          <w:rFonts w:ascii="Cambria" w:hAnsi="Cambria"/>
          <w:sz w:val="20"/>
          <w:szCs w:val="20"/>
          <w:lang w:val="es-ES"/>
        </w:rPr>
        <w:t xml:space="preserve">y </w:t>
      </w:r>
      <w:r w:rsidR="00DD3283" w:rsidRPr="0022306D">
        <w:rPr>
          <w:rFonts w:ascii="Cambria" w:hAnsi="Cambria"/>
          <w:sz w:val="20"/>
          <w:szCs w:val="20"/>
          <w:lang w:val="es-ES"/>
        </w:rPr>
        <w:t>b</w:t>
      </w:r>
      <w:r w:rsidR="00711A10">
        <w:rPr>
          <w:rFonts w:ascii="Cambria" w:hAnsi="Cambria"/>
          <w:sz w:val="20"/>
          <w:szCs w:val="20"/>
          <w:lang w:val="es-ES"/>
        </w:rPr>
        <w:t xml:space="preserve">) </w:t>
      </w:r>
      <w:r w:rsidR="008A3EC1" w:rsidRPr="0022306D">
        <w:rPr>
          <w:rFonts w:ascii="Cambria" w:hAnsi="Cambria"/>
          <w:sz w:val="20"/>
          <w:szCs w:val="20"/>
          <w:lang w:val="es-ES"/>
        </w:rPr>
        <w:t xml:space="preserve">la asistencia y </w:t>
      </w:r>
      <w:r w:rsidR="007F3154" w:rsidRPr="0022306D">
        <w:rPr>
          <w:rFonts w:ascii="Cambria" w:hAnsi="Cambria"/>
          <w:sz w:val="20"/>
          <w:szCs w:val="20"/>
          <w:lang w:val="es-ES"/>
        </w:rPr>
        <w:t xml:space="preserve">acciones concretas de </w:t>
      </w:r>
      <w:r w:rsidR="008A3EC1" w:rsidRPr="0022306D">
        <w:rPr>
          <w:rFonts w:ascii="Cambria" w:hAnsi="Cambria"/>
          <w:sz w:val="20"/>
          <w:szCs w:val="20"/>
          <w:lang w:val="es-ES"/>
        </w:rPr>
        <w:t>protección de los familiares</w:t>
      </w:r>
      <w:r w:rsidR="007F3154" w:rsidRPr="0022306D">
        <w:rPr>
          <w:rFonts w:ascii="Cambria" w:hAnsi="Cambria"/>
          <w:sz w:val="20"/>
          <w:szCs w:val="20"/>
          <w:lang w:val="es-ES"/>
        </w:rPr>
        <w:t xml:space="preserve">. </w:t>
      </w:r>
    </w:p>
    <w:p w14:paraId="5FF9F233" w14:textId="77777777" w:rsidR="000B3F2B" w:rsidRPr="000B3F2B" w:rsidRDefault="000B3F2B"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lang w:val="es-ES"/>
        </w:rPr>
      </w:pPr>
    </w:p>
    <w:p w14:paraId="12CD6692" w14:textId="77777777" w:rsidR="00405C21" w:rsidRPr="00405C21" w:rsidRDefault="00405C21" w:rsidP="001E3EBE">
      <w:pPr>
        <w:pStyle w:val="Heading3"/>
        <w:ind w:left="0" w:firstLine="0"/>
        <w:rPr>
          <w:lang w:val="es-ES"/>
        </w:rPr>
      </w:pPr>
      <w:bookmarkStart w:id="33" w:name="_Toc394820755"/>
      <w:bookmarkStart w:id="34" w:name="_Toc70437022"/>
      <w:r w:rsidRPr="00405C21">
        <w:rPr>
          <w:lang w:val="es-ES"/>
        </w:rPr>
        <w:t xml:space="preserve">Análisis del deber de prevención </w:t>
      </w:r>
      <w:r w:rsidR="00711A10">
        <w:rPr>
          <w:lang w:val="es-ES"/>
        </w:rPr>
        <w:t xml:space="preserve">y protección </w:t>
      </w:r>
      <w:r w:rsidRPr="00405C21">
        <w:rPr>
          <w:lang w:val="es-ES"/>
        </w:rPr>
        <w:t>en el caso de Carlos Arturo Betancourt Estrada</w:t>
      </w:r>
      <w:bookmarkEnd w:id="33"/>
      <w:bookmarkEnd w:id="34"/>
    </w:p>
    <w:p w14:paraId="6CE4B2EC" w14:textId="77777777" w:rsidR="00405C21" w:rsidRPr="00405C21" w:rsidRDefault="00405C21"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lang w:val="es-ES"/>
        </w:rPr>
      </w:pPr>
    </w:p>
    <w:p w14:paraId="1CB0F74E" w14:textId="77777777" w:rsidR="00E42EE9" w:rsidRPr="006205AD" w:rsidRDefault="00405C21"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1C5B5E">
        <w:rPr>
          <w:rFonts w:asciiTheme="majorHAnsi" w:hAnsiTheme="majorHAnsi"/>
          <w:sz w:val="20"/>
          <w:szCs w:val="20"/>
          <w:lang w:val="es-ES"/>
        </w:rPr>
        <w:t>La Comisión</w:t>
      </w:r>
      <w:r w:rsidRPr="006205AD">
        <w:rPr>
          <w:rFonts w:asciiTheme="majorHAnsi" w:hAnsiTheme="majorHAnsi"/>
          <w:sz w:val="20"/>
          <w:szCs w:val="20"/>
          <w:lang w:val="es-ES"/>
        </w:rPr>
        <w:t xml:space="preserve"> advierte que existe</w:t>
      </w:r>
      <w:r w:rsidR="006205AD" w:rsidRPr="006205AD">
        <w:rPr>
          <w:rFonts w:asciiTheme="majorHAnsi" w:hAnsiTheme="majorHAnsi"/>
          <w:sz w:val="20"/>
          <w:szCs w:val="20"/>
          <w:lang w:val="es-ES"/>
        </w:rPr>
        <w:t>n</w:t>
      </w:r>
      <w:r w:rsidRPr="006205AD">
        <w:rPr>
          <w:rFonts w:asciiTheme="majorHAnsi" w:hAnsiTheme="majorHAnsi"/>
          <w:sz w:val="20"/>
          <w:szCs w:val="20"/>
          <w:lang w:val="es-ES"/>
        </w:rPr>
        <w:t xml:space="preserve"> discrepancia</w:t>
      </w:r>
      <w:r w:rsidR="006205AD" w:rsidRPr="006205AD">
        <w:rPr>
          <w:rFonts w:asciiTheme="majorHAnsi" w:hAnsiTheme="majorHAnsi"/>
          <w:sz w:val="20"/>
          <w:szCs w:val="20"/>
          <w:lang w:val="es-ES"/>
        </w:rPr>
        <w:t>s</w:t>
      </w:r>
      <w:r w:rsidRPr="006205AD">
        <w:rPr>
          <w:rFonts w:asciiTheme="majorHAnsi" w:hAnsiTheme="majorHAnsi"/>
          <w:sz w:val="20"/>
          <w:szCs w:val="20"/>
          <w:lang w:val="es-ES"/>
        </w:rPr>
        <w:t xml:space="preserve"> entre las partes respecto de si </w:t>
      </w:r>
      <w:r w:rsidR="006205AD" w:rsidRPr="006205AD">
        <w:rPr>
          <w:rFonts w:asciiTheme="majorHAnsi" w:hAnsiTheme="majorHAnsi"/>
          <w:sz w:val="20"/>
          <w:szCs w:val="20"/>
          <w:lang w:val="es-ES"/>
        </w:rPr>
        <w:t xml:space="preserve">el señor Betancourt </w:t>
      </w:r>
      <w:r w:rsidR="00E753D2">
        <w:rPr>
          <w:rFonts w:asciiTheme="majorHAnsi" w:hAnsiTheme="majorHAnsi"/>
          <w:sz w:val="20"/>
          <w:szCs w:val="20"/>
          <w:lang w:val="es-ES"/>
        </w:rPr>
        <w:t xml:space="preserve">puso en conocimiento </w:t>
      </w:r>
      <w:r w:rsidR="006205AD" w:rsidRPr="006205AD">
        <w:rPr>
          <w:rFonts w:asciiTheme="majorHAnsi" w:hAnsiTheme="majorHAnsi"/>
          <w:sz w:val="20"/>
          <w:szCs w:val="20"/>
          <w:lang w:val="es-ES"/>
        </w:rPr>
        <w:t xml:space="preserve">o no </w:t>
      </w:r>
      <w:r w:rsidRPr="006205AD">
        <w:rPr>
          <w:rFonts w:asciiTheme="majorHAnsi" w:hAnsiTheme="majorHAnsi"/>
          <w:sz w:val="20"/>
          <w:szCs w:val="20"/>
          <w:lang w:val="es-ES"/>
        </w:rPr>
        <w:t xml:space="preserve">a las autoridades </w:t>
      </w:r>
      <w:r w:rsidR="009C0531">
        <w:rPr>
          <w:rFonts w:asciiTheme="majorHAnsi" w:hAnsiTheme="majorHAnsi"/>
          <w:sz w:val="20"/>
          <w:szCs w:val="20"/>
          <w:lang w:val="es-ES"/>
        </w:rPr>
        <w:t xml:space="preserve">de </w:t>
      </w:r>
      <w:r w:rsidR="006205AD" w:rsidRPr="006205AD">
        <w:rPr>
          <w:rFonts w:asciiTheme="majorHAnsi" w:hAnsiTheme="majorHAnsi"/>
          <w:sz w:val="20"/>
          <w:szCs w:val="20"/>
          <w:lang w:val="es-ES"/>
        </w:rPr>
        <w:t>una llamada amenazante</w:t>
      </w:r>
      <w:r w:rsidRPr="006205AD">
        <w:rPr>
          <w:rFonts w:asciiTheme="majorHAnsi" w:hAnsiTheme="majorHAnsi"/>
          <w:sz w:val="20"/>
          <w:szCs w:val="20"/>
          <w:lang w:val="es-ES"/>
        </w:rPr>
        <w:t xml:space="preserve"> que </w:t>
      </w:r>
      <w:r w:rsidR="00CC6248" w:rsidRPr="006205AD">
        <w:rPr>
          <w:rFonts w:asciiTheme="majorHAnsi" w:hAnsiTheme="majorHAnsi"/>
          <w:sz w:val="20"/>
          <w:szCs w:val="20"/>
          <w:lang w:val="es-ES"/>
        </w:rPr>
        <w:t xml:space="preserve">recibió el día </w:t>
      </w:r>
      <w:r w:rsidR="006205AD" w:rsidRPr="006205AD">
        <w:rPr>
          <w:rFonts w:asciiTheme="majorHAnsi" w:hAnsiTheme="majorHAnsi"/>
          <w:sz w:val="20"/>
          <w:szCs w:val="20"/>
          <w:lang w:val="es-ES"/>
        </w:rPr>
        <w:t xml:space="preserve">anterior a su secuestro. Al respecto, </w:t>
      </w:r>
      <w:r w:rsidR="00334613">
        <w:rPr>
          <w:rFonts w:asciiTheme="majorHAnsi" w:hAnsiTheme="majorHAnsi"/>
          <w:sz w:val="20"/>
          <w:szCs w:val="20"/>
          <w:lang w:val="es-ES"/>
        </w:rPr>
        <w:t>conforme a los estánd</w:t>
      </w:r>
      <w:r w:rsidR="00D20B9E">
        <w:rPr>
          <w:rFonts w:asciiTheme="majorHAnsi" w:hAnsiTheme="majorHAnsi"/>
          <w:sz w:val="20"/>
          <w:szCs w:val="20"/>
          <w:lang w:val="es-ES"/>
        </w:rPr>
        <w:t xml:space="preserve">ares citados, </w:t>
      </w:r>
      <w:r w:rsidR="006205AD" w:rsidRPr="006205AD">
        <w:rPr>
          <w:rFonts w:asciiTheme="majorHAnsi" w:hAnsiTheme="majorHAnsi"/>
          <w:sz w:val="20"/>
          <w:szCs w:val="20"/>
          <w:lang w:val="es-ES"/>
        </w:rPr>
        <w:t>para analizar las obligac</w:t>
      </w:r>
      <w:r w:rsidR="006205AD">
        <w:rPr>
          <w:rFonts w:asciiTheme="majorHAnsi" w:hAnsiTheme="majorHAnsi"/>
          <w:sz w:val="20"/>
          <w:szCs w:val="20"/>
          <w:lang w:val="es-ES"/>
        </w:rPr>
        <w:t>iones estatales respecto del deber de prevención, la CIDH debe determinar si el Estado conoció de la existencia de un riesgo real e inmediato para la</w:t>
      </w:r>
      <w:r w:rsidR="00187411">
        <w:rPr>
          <w:rFonts w:asciiTheme="majorHAnsi" w:hAnsiTheme="majorHAnsi"/>
          <w:sz w:val="20"/>
          <w:szCs w:val="20"/>
          <w:lang w:val="es-ES"/>
        </w:rPr>
        <w:t xml:space="preserve"> presunta</w:t>
      </w:r>
      <w:r w:rsidR="006205AD">
        <w:rPr>
          <w:rFonts w:asciiTheme="majorHAnsi" w:hAnsiTheme="majorHAnsi"/>
          <w:sz w:val="20"/>
          <w:szCs w:val="20"/>
          <w:lang w:val="es-ES"/>
        </w:rPr>
        <w:t xml:space="preserve"> v</w:t>
      </w:r>
      <w:r w:rsidR="00776F3D">
        <w:rPr>
          <w:rFonts w:asciiTheme="majorHAnsi" w:hAnsiTheme="majorHAnsi"/>
          <w:sz w:val="20"/>
          <w:szCs w:val="20"/>
          <w:lang w:val="es-ES"/>
        </w:rPr>
        <w:t>íctima</w:t>
      </w:r>
      <w:r w:rsidR="006205AD">
        <w:rPr>
          <w:rFonts w:asciiTheme="majorHAnsi" w:hAnsiTheme="majorHAnsi"/>
          <w:sz w:val="20"/>
          <w:szCs w:val="20"/>
          <w:lang w:val="es-ES"/>
        </w:rPr>
        <w:t>. En este sentido, la parte peticionaria indicó que la llamada a “la policía local” se realizó el día anterior entre</w:t>
      </w:r>
      <w:r w:rsidR="004B0304">
        <w:rPr>
          <w:rFonts w:asciiTheme="majorHAnsi" w:hAnsiTheme="majorHAnsi"/>
          <w:sz w:val="20"/>
          <w:szCs w:val="20"/>
          <w:lang w:val="es-ES"/>
        </w:rPr>
        <w:t xml:space="preserve"> las 7:00 y 8:30 p.m. El Estado</w:t>
      </w:r>
      <w:r w:rsidR="006205AD">
        <w:rPr>
          <w:rFonts w:asciiTheme="majorHAnsi" w:hAnsiTheme="majorHAnsi"/>
          <w:sz w:val="20"/>
          <w:szCs w:val="20"/>
          <w:lang w:val="es-ES"/>
        </w:rPr>
        <w:t xml:space="preserve"> indicó que no figura en sus registros la recepción de dicha llamada telefónica. La Comisión, además, advierte que ninguna de las dos partes aportó prueba respecto de sus argumentos, aunque la parte peticionaria indicó que es el Estado quién tendría la carga de la prueba en estas circunstancias. </w:t>
      </w:r>
    </w:p>
    <w:p w14:paraId="4C0C30A5" w14:textId="77777777" w:rsidR="006205AD" w:rsidRPr="006205AD" w:rsidRDefault="006205AD"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0AB30475" w14:textId="77777777" w:rsidR="00DC5933" w:rsidRPr="00DC5933" w:rsidRDefault="006205AD"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Pr>
          <w:rFonts w:asciiTheme="majorHAnsi" w:hAnsiTheme="majorHAnsi"/>
          <w:sz w:val="20"/>
          <w:szCs w:val="20"/>
          <w:lang w:val="es-ES"/>
        </w:rPr>
        <w:t xml:space="preserve">Al respecto, la Comisión </w:t>
      </w:r>
      <w:r w:rsidR="00164DD9">
        <w:rPr>
          <w:rFonts w:asciiTheme="majorHAnsi" w:hAnsiTheme="majorHAnsi"/>
          <w:sz w:val="20"/>
          <w:szCs w:val="20"/>
          <w:lang w:val="es-ES"/>
        </w:rPr>
        <w:t xml:space="preserve">recuerda que si bien respecto de cierto tipo de información que sólo está en poder del Estado, puede operar una inversión en la carga probatoria, </w:t>
      </w:r>
      <w:r w:rsidR="003F5CDB">
        <w:rPr>
          <w:rFonts w:asciiTheme="majorHAnsi" w:hAnsiTheme="majorHAnsi"/>
          <w:sz w:val="20"/>
          <w:szCs w:val="20"/>
          <w:lang w:val="es-ES"/>
        </w:rPr>
        <w:t>en el presente caso la parte peticionaria no</w:t>
      </w:r>
      <w:r w:rsidR="00C06295">
        <w:rPr>
          <w:rFonts w:asciiTheme="majorHAnsi" w:hAnsiTheme="majorHAnsi"/>
          <w:sz w:val="20"/>
          <w:szCs w:val="20"/>
          <w:lang w:val="es-ES"/>
        </w:rPr>
        <w:t xml:space="preserve"> </w:t>
      </w:r>
      <w:r w:rsidR="004B0304">
        <w:rPr>
          <w:rFonts w:asciiTheme="majorHAnsi" w:hAnsiTheme="majorHAnsi"/>
          <w:sz w:val="20"/>
          <w:szCs w:val="20"/>
          <w:lang w:val="es-ES"/>
        </w:rPr>
        <w:t>explicó con suficiencia qué</w:t>
      </w:r>
      <w:r>
        <w:rPr>
          <w:rFonts w:asciiTheme="majorHAnsi" w:hAnsiTheme="majorHAnsi"/>
          <w:sz w:val="20"/>
          <w:szCs w:val="20"/>
          <w:lang w:val="es-ES"/>
        </w:rPr>
        <w:t xml:space="preserve"> impedimento encontró para que acceder a sus registros telefónicos</w:t>
      </w:r>
      <w:r w:rsidR="004B0304">
        <w:rPr>
          <w:rFonts w:asciiTheme="majorHAnsi" w:hAnsiTheme="majorHAnsi"/>
          <w:sz w:val="20"/>
          <w:szCs w:val="20"/>
          <w:lang w:val="es-ES"/>
        </w:rPr>
        <w:t xml:space="preserve"> </w:t>
      </w:r>
      <w:r w:rsidR="000C7917">
        <w:rPr>
          <w:rFonts w:asciiTheme="majorHAnsi" w:hAnsiTheme="majorHAnsi"/>
          <w:sz w:val="20"/>
          <w:szCs w:val="20"/>
          <w:lang w:val="es-ES"/>
        </w:rPr>
        <w:t xml:space="preserve">e intentar </w:t>
      </w:r>
      <w:r w:rsidR="004B0304">
        <w:rPr>
          <w:rFonts w:asciiTheme="majorHAnsi" w:hAnsiTheme="majorHAnsi"/>
          <w:sz w:val="20"/>
          <w:szCs w:val="20"/>
          <w:lang w:val="es-ES"/>
        </w:rPr>
        <w:t>probar la ocurrencia de la llamada a la “policía local” o en qué modo esta información no pudo ser accedida.</w:t>
      </w:r>
      <w:r w:rsidR="00291A85">
        <w:rPr>
          <w:rFonts w:asciiTheme="majorHAnsi" w:hAnsiTheme="majorHAnsi"/>
          <w:sz w:val="20"/>
          <w:szCs w:val="20"/>
          <w:lang w:val="es-ES"/>
        </w:rPr>
        <w:t xml:space="preserve"> Además, la parte peticionaria no aportó otra prueba testimonial o de otra naturaleza que diera cuenta de esta llamada. </w:t>
      </w:r>
      <w:r w:rsidR="004B0304">
        <w:rPr>
          <w:rFonts w:asciiTheme="majorHAnsi" w:hAnsiTheme="majorHAnsi"/>
          <w:sz w:val="20"/>
          <w:szCs w:val="20"/>
          <w:lang w:val="es-ES"/>
        </w:rPr>
        <w:t>En este sentido, la Comisión no cuenta con elementos suficientes para</w:t>
      </w:r>
      <w:r w:rsidR="00291A85">
        <w:rPr>
          <w:rFonts w:asciiTheme="majorHAnsi" w:hAnsiTheme="majorHAnsi"/>
          <w:sz w:val="20"/>
          <w:szCs w:val="20"/>
          <w:lang w:val="es-ES"/>
        </w:rPr>
        <w:t xml:space="preserve"> establecer que el Estado colombiano tuvo conocimiento del</w:t>
      </w:r>
      <w:r w:rsidR="004B0304">
        <w:rPr>
          <w:rFonts w:asciiTheme="majorHAnsi" w:hAnsiTheme="majorHAnsi"/>
          <w:sz w:val="20"/>
          <w:szCs w:val="20"/>
          <w:lang w:val="es-ES"/>
        </w:rPr>
        <w:t xml:space="preserve"> riesgo al que estuvo expuesto el señor Betancourt</w:t>
      </w:r>
      <w:r w:rsidR="00291A85">
        <w:rPr>
          <w:rFonts w:asciiTheme="majorHAnsi" w:hAnsiTheme="majorHAnsi"/>
          <w:sz w:val="20"/>
          <w:szCs w:val="20"/>
          <w:lang w:val="es-ES"/>
        </w:rPr>
        <w:t xml:space="preserve"> antes de su secuestro. En ese sentido, con la información disponible, la CIDH considera que el secuestro en sí mismo no le resulta atribuible.</w:t>
      </w:r>
    </w:p>
    <w:p w14:paraId="10BEC02B" w14:textId="77777777" w:rsidR="00711A10" w:rsidRDefault="00291A85"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r>
        <w:rPr>
          <w:rFonts w:asciiTheme="majorHAnsi" w:hAnsiTheme="majorHAnsi"/>
          <w:sz w:val="20"/>
          <w:szCs w:val="20"/>
          <w:lang w:val="es-ES"/>
        </w:rPr>
        <w:t xml:space="preserve"> </w:t>
      </w:r>
    </w:p>
    <w:p w14:paraId="00DEE5ED" w14:textId="77777777" w:rsidR="0022306D" w:rsidRPr="00711A10" w:rsidRDefault="00711A10"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711A10">
        <w:rPr>
          <w:rFonts w:asciiTheme="majorHAnsi" w:hAnsiTheme="majorHAnsi"/>
          <w:sz w:val="20"/>
          <w:szCs w:val="20"/>
          <w:lang w:val="es-ES"/>
        </w:rPr>
        <w:t>Ahora bien, una vez ocurrido el secuestro del señor Betancourt y denunciado el hecho a las autoridades</w:t>
      </w:r>
      <w:r>
        <w:rPr>
          <w:rFonts w:asciiTheme="majorHAnsi" w:hAnsiTheme="majorHAnsi"/>
          <w:sz w:val="20"/>
          <w:szCs w:val="20"/>
          <w:lang w:val="es-ES"/>
        </w:rPr>
        <w:t xml:space="preserve"> correspondientes</w:t>
      </w:r>
      <w:r w:rsidR="00FE036D">
        <w:rPr>
          <w:rFonts w:asciiTheme="majorHAnsi" w:hAnsiTheme="majorHAnsi"/>
          <w:sz w:val="20"/>
          <w:szCs w:val="20"/>
          <w:lang w:val="es-ES"/>
        </w:rPr>
        <w:t xml:space="preserve"> </w:t>
      </w:r>
      <w:r w:rsidR="00C06295">
        <w:rPr>
          <w:rFonts w:asciiTheme="majorHAnsi" w:hAnsiTheme="majorHAnsi"/>
          <w:sz w:val="20"/>
          <w:szCs w:val="20"/>
          <w:lang w:val="es-ES"/>
        </w:rPr>
        <w:t>a</w:t>
      </w:r>
      <w:r w:rsidR="00FE036D">
        <w:rPr>
          <w:rFonts w:asciiTheme="majorHAnsi" w:hAnsiTheme="majorHAnsi"/>
          <w:sz w:val="20"/>
          <w:szCs w:val="20"/>
          <w:lang w:val="es-ES"/>
        </w:rPr>
        <w:t>l día siguiente</w:t>
      </w:r>
      <w:r w:rsidRPr="00711A10">
        <w:rPr>
          <w:rFonts w:asciiTheme="majorHAnsi" w:hAnsiTheme="majorHAnsi"/>
          <w:sz w:val="20"/>
          <w:szCs w:val="20"/>
          <w:lang w:val="es-ES"/>
        </w:rPr>
        <w:t xml:space="preserve">, por las graves </w:t>
      </w:r>
      <w:r>
        <w:rPr>
          <w:rFonts w:asciiTheme="majorHAnsi" w:hAnsiTheme="majorHAnsi"/>
          <w:sz w:val="20"/>
          <w:szCs w:val="20"/>
          <w:lang w:val="es-ES"/>
        </w:rPr>
        <w:t>consecuencias</w:t>
      </w:r>
      <w:r w:rsidRPr="00711A10">
        <w:rPr>
          <w:rFonts w:asciiTheme="majorHAnsi" w:hAnsiTheme="majorHAnsi"/>
          <w:sz w:val="20"/>
          <w:szCs w:val="20"/>
          <w:lang w:val="es-ES"/>
        </w:rPr>
        <w:t xml:space="preserve"> </w:t>
      </w:r>
      <w:r>
        <w:rPr>
          <w:rFonts w:asciiTheme="majorHAnsi" w:hAnsiTheme="majorHAnsi"/>
          <w:sz w:val="20"/>
          <w:szCs w:val="20"/>
          <w:lang w:val="es-ES"/>
        </w:rPr>
        <w:t>que implica el</w:t>
      </w:r>
      <w:r w:rsidRPr="00711A10">
        <w:rPr>
          <w:rFonts w:asciiTheme="majorHAnsi" w:hAnsiTheme="majorHAnsi"/>
          <w:sz w:val="20"/>
          <w:szCs w:val="20"/>
          <w:lang w:val="es-ES"/>
        </w:rPr>
        <w:t xml:space="preserve"> secuestro </w:t>
      </w:r>
      <w:r>
        <w:rPr>
          <w:rFonts w:asciiTheme="majorHAnsi" w:hAnsiTheme="majorHAnsi"/>
          <w:sz w:val="20"/>
          <w:szCs w:val="20"/>
          <w:lang w:val="es-ES"/>
        </w:rPr>
        <w:t>para la víctima y sus familiares como ya se indicó anteriormente, se</w:t>
      </w:r>
      <w:r w:rsidR="005C14B9">
        <w:rPr>
          <w:rFonts w:asciiTheme="majorHAnsi" w:hAnsiTheme="majorHAnsi"/>
          <w:sz w:val="20"/>
          <w:szCs w:val="20"/>
          <w:lang w:val="es-ES"/>
        </w:rPr>
        <w:t xml:space="preserve"> activó un deber inmediato y reforzado de protección de los derechos a la vida, a la integridad personal, a la libertad personal y a la libertad de circulación y residencia</w:t>
      </w:r>
      <w:r w:rsidR="003D0D40">
        <w:rPr>
          <w:rFonts w:asciiTheme="majorHAnsi" w:hAnsiTheme="majorHAnsi"/>
          <w:sz w:val="20"/>
          <w:szCs w:val="20"/>
          <w:lang w:val="es-ES"/>
        </w:rPr>
        <w:t xml:space="preserve">. Como se explicó en la sección anterior, </w:t>
      </w:r>
      <w:r w:rsidR="00D76B1F">
        <w:rPr>
          <w:rFonts w:asciiTheme="majorHAnsi" w:hAnsiTheme="majorHAnsi"/>
          <w:sz w:val="20"/>
          <w:szCs w:val="20"/>
          <w:lang w:val="es-ES"/>
        </w:rPr>
        <w:t>algunos elementos mínimos de esta obligación en materia de secuestro incluyen</w:t>
      </w:r>
      <w:r w:rsidR="004D5CC2">
        <w:rPr>
          <w:rFonts w:asciiTheme="majorHAnsi" w:hAnsiTheme="majorHAnsi"/>
          <w:sz w:val="20"/>
          <w:szCs w:val="20"/>
          <w:lang w:val="es-ES"/>
        </w:rPr>
        <w:t>:</w:t>
      </w:r>
      <w:r w:rsidR="00D76B1F">
        <w:rPr>
          <w:rFonts w:asciiTheme="majorHAnsi" w:hAnsiTheme="majorHAnsi"/>
          <w:sz w:val="20"/>
          <w:szCs w:val="20"/>
          <w:lang w:val="es-ES"/>
        </w:rPr>
        <w:t xml:space="preserve"> </w:t>
      </w:r>
      <w:r>
        <w:rPr>
          <w:rFonts w:asciiTheme="majorHAnsi" w:hAnsiTheme="majorHAnsi"/>
          <w:sz w:val="20"/>
          <w:szCs w:val="20"/>
          <w:lang w:val="es-ES"/>
        </w:rPr>
        <w:t xml:space="preserve"> </w:t>
      </w:r>
      <w:r w:rsidRPr="0022306D">
        <w:rPr>
          <w:rFonts w:ascii="Cambria" w:hAnsi="Cambria"/>
          <w:sz w:val="20"/>
          <w:szCs w:val="20"/>
          <w:lang w:val="es-ES"/>
        </w:rPr>
        <w:t xml:space="preserve">a) la existencia de una estrategia </w:t>
      </w:r>
      <w:r>
        <w:rPr>
          <w:rFonts w:ascii="Cambria" w:hAnsi="Cambria"/>
          <w:sz w:val="20"/>
          <w:szCs w:val="20"/>
          <w:lang w:val="es-ES"/>
        </w:rPr>
        <w:t xml:space="preserve">y despliegue de acciones concretas </w:t>
      </w:r>
      <w:r w:rsidRPr="0022306D">
        <w:rPr>
          <w:rFonts w:ascii="Cambria" w:hAnsi="Cambria"/>
          <w:sz w:val="20"/>
          <w:szCs w:val="20"/>
          <w:lang w:val="es-ES"/>
        </w:rPr>
        <w:t xml:space="preserve">de búsqueda, negociación o rescate concertada con los familiares de la presunta víctima que sea compatible con los objetivos de la investigación de secuestros; </w:t>
      </w:r>
      <w:r>
        <w:rPr>
          <w:rFonts w:ascii="Cambria" w:hAnsi="Cambria"/>
          <w:sz w:val="20"/>
          <w:szCs w:val="20"/>
          <w:lang w:val="es-ES"/>
        </w:rPr>
        <w:t xml:space="preserve">y </w:t>
      </w:r>
      <w:r w:rsidRPr="0022306D">
        <w:rPr>
          <w:rFonts w:ascii="Cambria" w:hAnsi="Cambria"/>
          <w:sz w:val="20"/>
          <w:szCs w:val="20"/>
          <w:lang w:val="es-ES"/>
        </w:rPr>
        <w:t>b</w:t>
      </w:r>
      <w:r>
        <w:rPr>
          <w:rFonts w:ascii="Cambria" w:hAnsi="Cambria"/>
          <w:sz w:val="20"/>
          <w:szCs w:val="20"/>
          <w:lang w:val="es-ES"/>
        </w:rPr>
        <w:t xml:space="preserve">) </w:t>
      </w:r>
      <w:r w:rsidRPr="0022306D">
        <w:rPr>
          <w:rFonts w:ascii="Cambria" w:hAnsi="Cambria"/>
          <w:sz w:val="20"/>
          <w:szCs w:val="20"/>
          <w:lang w:val="es-ES"/>
        </w:rPr>
        <w:t>la asistencia y acciones concretas de protección de los familiares de la víctima del secuestro.</w:t>
      </w:r>
    </w:p>
    <w:p w14:paraId="02276056" w14:textId="77777777" w:rsidR="00711A10" w:rsidRDefault="00711A10"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3BA76F4D" w14:textId="77777777" w:rsidR="008B4254" w:rsidRDefault="00711A10"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Pr>
          <w:rFonts w:ascii="Cambria" w:hAnsi="Cambria"/>
          <w:sz w:val="20"/>
          <w:szCs w:val="20"/>
          <w:lang w:val="es-ES"/>
        </w:rPr>
        <w:t>Respecto del primer elemento, el Estado indicó a la CIDH que a través del GAULA se tomaron una serie de medidas para</w:t>
      </w:r>
      <w:r w:rsidR="008B4254">
        <w:rPr>
          <w:rFonts w:ascii="Cambria" w:hAnsi="Cambria"/>
          <w:sz w:val="20"/>
          <w:szCs w:val="20"/>
          <w:lang w:val="es-ES"/>
        </w:rPr>
        <w:t xml:space="preserve"> búsqueda del señor Betancourt. Entre ellas, destaca la intervención de los números telefónicos, la toma de las declaraciones del señor Echeverry y la asistencia y asesoría a la familia del señor Betancourt. La Comisión dejó constancia de que el Estado manifestó en vari</w:t>
      </w:r>
      <w:r w:rsidR="00776F3D">
        <w:rPr>
          <w:rFonts w:ascii="Cambria" w:hAnsi="Cambria"/>
          <w:sz w:val="20"/>
          <w:szCs w:val="20"/>
          <w:lang w:val="es-ES"/>
        </w:rPr>
        <w:t>a</w:t>
      </w:r>
      <w:r w:rsidR="008B4254">
        <w:rPr>
          <w:rFonts w:ascii="Cambria" w:hAnsi="Cambria"/>
          <w:sz w:val="20"/>
          <w:szCs w:val="20"/>
          <w:lang w:val="es-ES"/>
        </w:rPr>
        <w:t>s oportunidades que la familia no mostró su disposición de cooperar y más bien se encargó de modo privado de la negociación con los raptores. Al respecto, la parte peticionaria indicó a la Comisión que la actitud de la familia no puede configurar un obstáculo para que el Estado cumpla con sus obligaciones internacionales durante la ocurrencia de un secuestro.</w:t>
      </w:r>
    </w:p>
    <w:p w14:paraId="2165BAD2" w14:textId="77777777" w:rsidR="008B4254" w:rsidRDefault="008B4254"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56BCCD59" w14:textId="77777777" w:rsidR="00673201" w:rsidRDefault="008B4254"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Pr>
          <w:rFonts w:ascii="Cambria" w:hAnsi="Cambria"/>
          <w:sz w:val="20"/>
          <w:szCs w:val="20"/>
          <w:lang w:val="es-ES"/>
        </w:rPr>
        <w:t>Tal como se ha indicado, el complejo fenómeno del secuestro</w:t>
      </w:r>
      <w:r w:rsidR="00DB7A39">
        <w:rPr>
          <w:rFonts w:ascii="Cambria" w:hAnsi="Cambria"/>
          <w:sz w:val="20"/>
          <w:szCs w:val="20"/>
          <w:lang w:val="es-ES"/>
        </w:rPr>
        <w:t>,</w:t>
      </w:r>
      <w:r>
        <w:rPr>
          <w:rFonts w:ascii="Cambria" w:hAnsi="Cambria"/>
          <w:sz w:val="20"/>
          <w:szCs w:val="20"/>
          <w:lang w:val="es-ES"/>
        </w:rPr>
        <w:t xml:space="preserve"> requiere un análisis pormenorizado de las circunstancias y características partic</w:t>
      </w:r>
      <w:r w:rsidR="00A52937">
        <w:rPr>
          <w:rFonts w:ascii="Cambria" w:hAnsi="Cambria"/>
          <w:sz w:val="20"/>
          <w:szCs w:val="20"/>
          <w:lang w:val="es-ES"/>
        </w:rPr>
        <w:t>ulares de cada caso, que permita</w:t>
      </w:r>
      <w:r>
        <w:rPr>
          <w:rFonts w:ascii="Cambria" w:hAnsi="Cambria"/>
          <w:sz w:val="20"/>
          <w:szCs w:val="20"/>
          <w:lang w:val="es-ES"/>
        </w:rPr>
        <w:t xml:space="preserve"> elaborar una estrategia qu</w:t>
      </w:r>
      <w:r w:rsidR="00D561BC">
        <w:rPr>
          <w:rFonts w:ascii="Cambria" w:hAnsi="Cambria"/>
          <w:sz w:val="20"/>
          <w:szCs w:val="20"/>
          <w:lang w:val="es-ES"/>
        </w:rPr>
        <w:t xml:space="preserve">e tenga como objetivo principal la preservación de la vida de la persona secuestrada. En el caso del señor Betancourt, la Comisión observa que, por un lado, el Estado no mostró cual fue su estrategia para abordar </w:t>
      </w:r>
      <w:r w:rsidR="005A60BA">
        <w:rPr>
          <w:rFonts w:ascii="Cambria" w:hAnsi="Cambria"/>
          <w:sz w:val="20"/>
          <w:szCs w:val="20"/>
          <w:lang w:val="es-ES"/>
        </w:rPr>
        <w:t>su</w:t>
      </w:r>
      <w:r w:rsidR="00D561BC">
        <w:rPr>
          <w:rFonts w:ascii="Cambria" w:hAnsi="Cambria"/>
          <w:sz w:val="20"/>
          <w:szCs w:val="20"/>
          <w:lang w:val="es-ES"/>
        </w:rPr>
        <w:t xml:space="preserve"> secuestro en </w:t>
      </w:r>
      <w:r w:rsidR="00D561BC">
        <w:rPr>
          <w:rFonts w:ascii="Cambria" w:hAnsi="Cambria"/>
          <w:sz w:val="20"/>
          <w:szCs w:val="20"/>
          <w:lang w:val="es-ES"/>
        </w:rPr>
        <w:lastRenderedPageBreak/>
        <w:t xml:space="preserve">términos operativos y más </w:t>
      </w:r>
      <w:r w:rsidR="000266D9">
        <w:rPr>
          <w:rFonts w:ascii="Cambria" w:hAnsi="Cambria"/>
          <w:sz w:val="20"/>
          <w:szCs w:val="20"/>
          <w:lang w:val="es-ES"/>
        </w:rPr>
        <w:t xml:space="preserve">bien </w:t>
      </w:r>
      <w:r w:rsidR="00D561BC">
        <w:rPr>
          <w:rFonts w:ascii="Cambria" w:hAnsi="Cambria"/>
          <w:sz w:val="20"/>
          <w:szCs w:val="20"/>
          <w:lang w:val="es-ES"/>
        </w:rPr>
        <w:t>indicó que la familia</w:t>
      </w:r>
      <w:r w:rsidR="000568C0">
        <w:rPr>
          <w:rFonts w:ascii="Cambria" w:hAnsi="Cambria"/>
          <w:sz w:val="20"/>
          <w:szCs w:val="20"/>
          <w:lang w:val="es-ES"/>
        </w:rPr>
        <w:t xml:space="preserve"> se negó a un rescate y recibió apoyo esporádico del Estado en la negociación.</w:t>
      </w:r>
      <w:r w:rsidR="00D561BC">
        <w:rPr>
          <w:rFonts w:ascii="Cambria" w:hAnsi="Cambria"/>
          <w:sz w:val="20"/>
          <w:szCs w:val="20"/>
          <w:lang w:val="es-ES"/>
        </w:rPr>
        <w:t xml:space="preserve"> </w:t>
      </w:r>
      <w:r w:rsidR="000568C0">
        <w:rPr>
          <w:rFonts w:ascii="Cambria" w:hAnsi="Cambria"/>
          <w:sz w:val="20"/>
          <w:szCs w:val="20"/>
          <w:lang w:val="es-ES"/>
        </w:rPr>
        <w:t>La C</w:t>
      </w:r>
      <w:r w:rsidR="006121E7">
        <w:rPr>
          <w:rFonts w:ascii="Cambria" w:hAnsi="Cambria"/>
          <w:sz w:val="20"/>
          <w:szCs w:val="20"/>
          <w:lang w:val="es-ES"/>
        </w:rPr>
        <w:t>omisión</w:t>
      </w:r>
      <w:r w:rsidR="00D17B36">
        <w:rPr>
          <w:rFonts w:ascii="Cambria" w:hAnsi="Cambria"/>
          <w:sz w:val="20"/>
          <w:szCs w:val="20"/>
          <w:lang w:val="es-ES"/>
        </w:rPr>
        <w:t xml:space="preserve"> destaca que s</w:t>
      </w:r>
      <w:r w:rsidR="00D561BC">
        <w:rPr>
          <w:rFonts w:ascii="Cambria" w:hAnsi="Cambria"/>
          <w:sz w:val="20"/>
          <w:szCs w:val="20"/>
          <w:lang w:val="es-ES"/>
        </w:rPr>
        <w:t>i bien la participación y coordinación con la familia es un elemento fundamental en</w:t>
      </w:r>
      <w:r w:rsidR="007F07E5">
        <w:rPr>
          <w:rFonts w:ascii="Cambria" w:hAnsi="Cambria"/>
          <w:sz w:val="20"/>
          <w:szCs w:val="20"/>
          <w:lang w:val="es-ES"/>
        </w:rPr>
        <w:t xml:space="preserve"> casos de</w:t>
      </w:r>
      <w:r w:rsidR="00D561BC">
        <w:rPr>
          <w:rFonts w:ascii="Cambria" w:hAnsi="Cambria"/>
          <w:sz w:val="20"/>
          <w:szCs w:val="20"/>
          <w:lang w:val="es-ES"/>
        </w:rPr>
        <w:t xml:space="preserve"> secuestro, la responsabilidad del establecimiento de una relación de cooperación</w:t>
      </w:r>
      <w:r w:rsidR="003C532D">
        <w:rPr>
          <w:rFonts w:ascii="Cambria" w:hAnsi="Cambria"/>
          <w:sz w:val="20"/>
          <w:szCs w:val="20"/>
          <w:lang w:val="es-ES"/>
        </w:rPr>
        <w:t>, confianza y seguridad</w:t>
      </w:r>
      <w:r w:rsidR="00D561BC">
        <w:rPr>
          <w:rFonts w:ascii="Cambria" w:hAnsi="Cambria"/>
          <w:sz w:val="20"/>
          <w:szCs w:val="20"/>
          <w:lang w:val="es-ES"/>
        </w:rPr>
        <w:t xml:space="preserve"> con la familia, ante la evidente situación crítica que afrontaba la misma, recae sobre el Estado. </w:t>
      </w:r>
      <w:r w:rsidR="00005058">
        <w:rPr>
          <w:rFonts w:ascii="Cambria" w:hAnsi="Cambria"/>
          <w:sz w:val="20"/>
          <w:szCs w:val="20"/>
          <w:lang w:val="es-ES"/>
        </w:rPr>
        <w:t>Esto resulta fundamental para que las decisiones</w:t>
      </w:r>
      <w:r w:rsidR="00485D38">
        <w:rPr>
          <w:rFonts w:ascii="Cambria" w:hAnsi="Cambria"/>
          <w:sz w:val="20"/>
          <w:szCs w:val="20"/>
          <w:lang w:val="es-ES"/>
        </w:rPr>
        <w:t xml:space="preserve"> de la familia </w:t>
      </w:r>
      <w:r w:rsidR="00005058">
        <w:rPr>
          <w:rFonts w:ascii="Cambria" w:hAnsi="Cambria"/>
          <w:sz w:val="20"/>
          <w:szCs w:val="20"/>
          <w:lang w:val="es-ES"/>
        </w:rPr>
        <w:t>– por ejemplo, operativo de rescate o negociación con los captores –</w:t>
      </w:r>
      <w:r w:rsidR="00DD08F0">
        <w:rPr>
          <w:rFonts w:ascii="Cambria" w:hAnsi="Cambria"/>
          <w:sz w:val="20"/>
          <w:szCs w:val="20"/>
          <w:lang w:val="es-ES"/>
        </w:rPr>
        <w:t xml:space="preserve"> sean producto de una adecuada y especializada respuesta estatal que incluya información sobre las distintas vías a explorar, las salvaguardas</w:t>
      </w:r>
      <w:r w:rsidR="00B349BA">
        <w:rPr>
          <w:rFonts w:ascii="Cambria" w:hAnsi="Cambria"/>
          <w:sz w:val="20"/>
          <w:szCs w:val="20"/>
          <w:lang w:val="es-ES"/>
        </w:rPr>
        <w:t xml:space="preserve"> y riesgos</w:t>
      </w:r>
      <w:r w:rsidR="00DD08F0">
        <w:rPr>
          <w:rFonts w:ascii="Cambria" w:hAnsi="Cambria"/>
          <w:sz w:val="20"/>
          <w:szCs w:val="20"/>
          <w:lang w:val="es-ES"/>
        </w:rPr>
        <w:t xml:space="preserve"> en cada una de ellas, la protección a la familia, la garantía de que el resguardo de la vida será el eje principal, entre otros elementos para que tales </w:t>
      </w:r>
      <w:r w:rsidR="0012277B">
        <w:rPr>
          <w:rFonts w:ascii="Cambria" w:hAnsi="Cambria"/>
          <w:sz w:val="20"/>
          <w:szCs w:val="20"/>
          <w:lang w:val="es-ES"/>
        </w:rPr>
        <w:t>decisiones</w:t>
      </w:r>
      <w:r w:rsidR="00530B9E">
        <w:rPr>
          <w:rFonts w:ascii="Cambria" w:hAnsi="Cambria"/>
          <w:sz w:val="20"/>
          <w:szCs w:val="20"/>
          <w:lang w:val="es-ES"/>
        </w:rPr>
        <w:t xml:space="preserve"> sean informadas, lo cual no ocurrió en el presente caso. </w:t>
      </w:r>
      <w:r w:rsidR="005354F2">
        <w:rPr>
          <w:rFonts w:ascii="Cambria" w:hAnsi="Cambria"/>
          <w:sz w:val="20"/>
          <w:szCs w:val="20"/>
          <w:lang w:val="es-ES"/>
        </w:rPr>
        <w:t xml:space="preserve">Cabe mencionar que estas obligaciones </w:t>
      </w:r>
      <w:r w:rsidR="0012277B">
        <w:rPr>
          <w:rFonts w:ascii="Cambria" w:hAnsi="Cambria"/>
          <w:sz w:val="20"/>
          <w:szCs w:val="20"/>
          <w:lang w:val="es-ES"/>
        </w:rPr>
        <w:t>era</w:t>
      </w:r>
      <w:r w:rsidR="005354F2">
        <w:rPr>
          <w:rFonts w:ascii="Cambria" w:hAnsi="Cambria"/>
          <w:sz w:val="20"/>
          <w:szCs w:val="20"/>
          <w:lang w:val="es-ES"/>
        </w:rPr>
        <w:t>n</w:t>
      </w:r>
      <w:r w:rsidR="0012277B">
        <w:rPr>
          <w:rFonts w:ascii="Cambria" w:hAnsi="Cambria"/>
          <w:sz w:val="20"/>
          <w:szCs w:val="20"/>
          <w:lang w:val="es-ES"/>
        </w:rPr>
        <w:t xml:space="preserve"> aún más exigible</w:t>
      </w:r>
      <w:r w:rsidR="00E46749">
        <w:rPr>
          <w:rFonts w:ascii="Cambria" w:hAnsi="Cambria"/>
          <w:sz w:val="20"/>
          <w:szCs w:val="20"/>
          <w:lang w:val="es-ES"/>
        </w:rPr>
        <w:t>s</w:t>
      </w:r>
      <w:r w:rsidR="0012277B">
        <w:rPr>
          <w:rFonts w:ascii="Cambria" w:hAnsi="Cambria"/>
          <w:sz w:val="20"/>
          <w:szCs w:val="20"/>
          <w:lang w:val="es-ES"/>
        </w:rPr>
        <w:t xml:space="preserve"> de parte del Estado, tomando en cuenta que el secuestro</w:t>
      </w:r>
      <w:r w:rsidR="00673201">
        <w:rPr>
          <w:rFonts w:ascii="Cambria" w:hAnsi="Cambria"/>
          <w:sz w:val="20"/>
          <w:szCs w:val="20"/>
          <w:lang w:val="es-ES"/>
        </w:rPr>
        <w:t xml:space="preserve"> no constituía un hecho aislado en Colombia</w:t>
      </w:r>
      <w:r w:rsidR="00AC1ACF">
        <w:rPr>
          <w:rFonts w:ascii="Cambria" w:hAnsi="Cambria"/>
          <w:sz w:val="20"/>
          <w:szCs w:val="20"/>
          <w:lang w:val="es-ES"/>
        </w:rPr>
        <w:t>.</w:t>
      </w:r>
      <w:r w:rsidR="0012277B">
        <w:rPr>
          <w:rFonts w:ascii="Cambria" w:hAnsi="Cambria"/>
          <w:sz w:val="20"/>
          <w:szCs w:val="20"/>
          <w:lang w:val="es-ES"/>
        </w:rPr>
        <w:t xml:space="preserve"> </w:t>
      </w:r>
    </w:p>
    <w:p w14:paraId="241EBEFA" w14:textId="77777777" w:rsidR="00673201" w:rsidRDefault="00673201"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4A914906" w14:textId="77777777" w:rsidR="00BB133F" w:rsidRDefault="00D561BC"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Pr>
          <w:rFonts w:ascii="Cambria" w:hAnsi="Cambria"/>
          <w:sz w:val="20"/>
          <w:szCs w:val="20"/>
          <w:lang w:val="es-ES"/>
        </w:rPr>
        <w:t xml:space="preserve">Sobre este punto, la CIDH </w:t>
      </w:r>
      <w:r w:rsidR="007E5666">
        <w:rPr>
          <w:rFonts w:ascii="Cambria" w:hAnsi="Cambria"/>
          <w:sz w:val="20"/>
          <w:szCs w:val="20"/>
          <w:lang w:val="es-ES"/>
        </w:rPr>
        <w:t>encuentra que</w:t>
      </w:r>
      <w:r>
        <w:rPr>
          <w:rFonts w:ascii="Cambria" w:hAnsi="Cambria"/>
          <w:sz w:val="20"/>
          <w:szCs w:val="20"/>
          <w:lang w:val="es-ES"/>
        </w:rPr>
        <w:t xml:space="preserve"> </w:t>
      </w:r>
      <w:r w:rsidR="00A52937">
        <w:rPr>
          <w:rFonts w:ascii="Cambria" w:hAnsi="Cambria"/>
          <w:sz w:val="20"/>
          <w:szCs w:val="20"/>
          <w:lang w:val="es-ES"/>
        </w:rPr>
        <w:t xml:space="preserve">la familia buscó repetidamente al GAULA (para la negociación del rescate, </w:t>
      </w:r>
      <w:r w:rsidR="000266D9">
        <w:rPr>
          <w:rFonts w:ascii="Cambria" w:hAnsi="Cambria"/>
          <w:sz w:val="20"/>
          <w:szCs w:val="20"/>
          <w:lang w:val="es-ES"/>
        </w:rPr>
        <w:t xml:space="preserve">asesoría sobre </w:t>
      </w:r>
      <w:r w:rsidR="00A52937">
        <w:rPr>
          <w:rFonts w:ascii="Cambria" w:hAnsi="Cambria"/>
          <w:sz w:val="20"/>
          <w:szCs w:val="20"/>
          <w:lang w:val="es-ES"/>
        </w:rPr>
        <w:t>la mensajería y entrega de documentos</w:t>
      </w:r>
      <w:r w:rsidR="00776F3D">
        <w:rPr>
          <w:rFonts w:ascii="Cambria" w:hAnsi="Cambria"/>
          <w:sz w:val="20"/>
          <w:szCs w:val="20"/>
          <w:lang w:val="es-ES"/>
        </w:rPr>
        <w:t>, por ejemplo</w:t>
      </w:r>
      <w:r w:rsidR="00A52937">
        <w:rPr>
          <w:rFonts w:ascii="Cambria" w:hAnsi="Cambria"/>
          <w:sz w:val="20"/>
          <w:szCs w:val="20"/>
          <w:lang w:val="es-ES"/>
        </w:rPr>
        <w:t xml:space="preserve">), lo que significa que sí hubo un nivel de comunicación que hubiera permitido al GAULA </w:t>
      </w:r>
      <w:r w:rsidR="00836C6E">
        <w:rPr>
          <w:rFonts w:ascii="Cambria" w:hAnsi="Cambria"/>
          <w:sz w:val="20"/>
          <w:szCs w:val="20"/>
          <w:lang w:val="es-ES"/>
        </w:rPr>
        <w:t xml:space="preserve">o a otras autoridades competentes, </w:t>
      </w:r>
      <w:r w:rsidR="00A52937">
        <w:rPr>
          <w:rFonts w:ascii="Cambria" w:hAnsi="Cambria"/>
          <w:sz w:val="20"/>
          <w:szCs w:val="20"/>
          <w:lang w:val="es-ES"/>
        </w:rPr>
        <w:t>generar un</w:t>
      </w:r>
      <w:r w:rsidR="00CC23DE">
        <w:rPr>
          <w:rFonts w:ascii="Cambria" w:hAnsi="Cambria"/>
          <w:sz w:val="20"/>
          <w:szCs w:val="20"/>
          <w:lang w:val="es-ES"/>
        </w:rPr>
        <w:t xml:space="preserve">a relación </w:t>
      </w:r>
      <w:r w:rsidR="00BB133F">
        <w:rPr>
          <w:rFonts w:ascii="Cambria" w:hAnsi="Cambria"/>
          <w:sz w:val="20"/>
          <w:szCs w:val="20"/>
          <w:lang w:val="es-ES"/>
        </w:rPr>
        <w:t>adecuad</w:t>
      </w:r>
      <w:r w:rsidR="0056701B">
        <w:rPr>
          <w:rFonts w:ascii="Cambria" w:hAnsi="Cambria"/>
          <w:sz w:val="20"/>
          <w:szCs w:val="20"/>
          <w:lang w:val="es-ES"/>
        </w:rPr>
        <w:t>a</w:t>
      </w:r>
      <w:r w:rsidR="00BB133F">
        <w:rPr>
          <w:rFonts w:ascii="Cambria" w:hAnsi="Cambria"/>
          <w:sz w:val="20"/>
          <w:szCs w:val="20"/>
          <w:lang w:val="es-ES"/>
        </w:rPr>
        <w:t xml:space="preserve"> con la familia que permitiera un despliegue </w:t>
      </w:r>
      <w:r w:rsidR="000266D9">
        <w:rPr>
          <w:rFonts w:ascii="Cambria" w:hAnsi="Cambria"/>
          <w:sz w:val="20"/>
          <w:szCs w:val="20"/>
          <w:lang w:val="es-ES"/>
        </w:rPr>
        <w:t>apropiado</w:t>
      </w:r>
      <w:r w:rsidR="00BB133F">
        <w:rPr>
          <w:rFonts w:ascii="Cambria" w:hAnsi="Cambria"/>
          <w:sz w:val="20"/>
          <w:szCs w:val="20"/>
          <w:lang w:val="es-ES"/>
        </w:rPr>
        <w:t xml:space="preserve"> de acciones de inteligencia para la búsqueda y liberación del señor Betancourt</w:t>
      </w:r>
    </w:p>
    <w:p w14:paraId="42AB3A9B" w14:textId="77777777" w:rsidR="00BB133F" w:rsidRPr="00BB133F" w:rsidRDefault="00BB133F"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3DF41477" w14:textId="77777777" w:rsidR="001D7759" w:rsidRDefault="00BB133F"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BB133F">
        <w:rPr>
          <w:rFonts w:ascii="Cambria" w:hAnsi="Cambria"/>
          <w:sz w:val="20"/>
          <w:szCs w:val="20"/>
          <w:lang w:val="es-ES"/>
        </w:rPr>
        <w:t>Asimismo, en relación con las acciones de inteligencia e investigación en el marco de la estrategia de protección ante el secuestro del señor Betancourt, la CIDH identifica que</w:t>
      </w:r>
      <w:r>
        <w:rPr>
          <w:rFonts w:ascii="Cambria" w:hAnsi="Cambria"/>
          <w:sz w:val="20"/>
          <w:szCs w:val="20"/>
          <w:lang w:val="es-ES"/>
        </w:rPr>
        <w:t xml:space="preserve"> no existe registro de que hubieran realizado entrevistas ni toma de declaraciones</w:t>
      </w:r>
      <w:r w:rsidRPr="00BB133F">
        <w:rPr>
          <w:rFonts w:ascii="Cambria" w:hAnsi="Cambria"/>
          <w:sz w:val="20"/>
          <w:szCs w:val="20"/>
          <w:lang w:val="es-ES"/>
        </w:rPr>
        <w:t xml:space="preserve"> </w:t>
      </w:r>
      <w:r>
        <w:rPr>
          <w:rFonts w:ascii="Cambria" w:hAnsi="Cambria"/>
          <w:sz w:val="20"/>
          <w:szCs w:val="20"/>
          <w:lang w:val="es-ES"/>
        </w:rPr>
        <w:t xml:space="preserve">a las personas que presenciaron la abducción del señor Betancourt, testimonios que constituían </w:t>
      </w:r>
      <w:r w:rsidRPr="00BB133F">
        <w:rPr>
          <w:rFonts w:ascii="Cambria" w:hAnsi="Cambria"/>
          <w:sz w:val="20"/>
          <w:szCs w:val="20"/>
          <w:lang w:val="es-ES"/>
        </w:rPr>
        <w:t xml:space="preserve">una fuente información lógica </w:t>
      </w:r>
      <w:r w:rsidR="001D7759">
        <w:rPr>
          <w:rFonts w:ascii="Cambria" w:hAnsi="Cambria"/>
          <w:sz w:val="20"/>
          <w:szCs w:val="20"/>
          <w:lang w:val="es-ES"/>
        </w:rPr>
        <w:t>y fundamental en relación con el deber de prot</w:t>
      </w:r>
      <w:r w:rsidR="000E0F77">
        <w:rPr>
          <w:rFonts w:ascii="Cambria" w:hAnsi="Cambria"/>
          <w:sz w:val="20"/>
          <w:szCs w:val="20"/>
          <w:lang w:val="es-ES"/>
        </w:rPr>
        <w:t xml:space="preserve">ección en materia de secuestro. </w:t>
      </w:r>
      <w:r w:rsidR="00DF6208">
        <w:rPr>
          <w:rFonts w:ascii="Cambria" w:hAnsi="Cambria"/>
          <w:sz w:val="20"/>
          <w:szCs w:val="20"/>
          <w:lang w:val="es-ES"/>
        </w:rPr>
        <w:t xml:space="preserve">Por el contrario, el Estado se limitó a mencionar que los testigos estaban temerosos </w:t>
      </w:r>
      <w:r w:rsidR="00C06295">
        <w:rPr>
          <w:rFonts w:ascii="Cambria" w:hAnsi="Cambria"/>
          <w:sz w:val="20"/>
          <w:szCs w:val="20"/>
          <w:lang w:val="es-ES"/>
        </w:rPr>
        <w:t>d</w:t>
      </w:r>
      <w:r w:rsidR="00DF6208">
        <w:rPr>
          <w:rFonts w:ascii="Cambria" w:hAnsi="Cambria"/>
          <w:sz w:val="20"/>
          <w:szCs w:val="20"/>
          <w:lang w:val="es-ES"/>
        </w:rPr>
        <w:t xml:space="preserve">e declarar, sin que </w:t>
      </w:r>
      <w:r w:rsidR="00C26134">
        <w:rPr>
          <w:rFonts w:ascii="Cambria" w:hAnsi="Cambria"/>
          <w:sz w:val="20"/>
          <w:szCs w:val="20"/>
          <w:lang w:val="es-ES"/>
        </w:rPr>
        <w:t xml:space="preserve">se desprenda de la información aportada que el Estado hubiera ofrecido algún tipo de protección o salvaguarda de forma que pudieran declarar en condiciones de seguridad. </w:t>
      </w:r>
    </w:p>
    <w:p w14:paraId="57C1EFFF" w14:textId="77777777" w:rsidR="00377746" w:rsidRPr="00240F51" w:rsidRDefault="00377746" w:rsidP="001E3EBE">
      <w:pPr>
        <w:rPr>
          <w:sz w:val="20"/>
          <w:szCs w:val="20"/>
          <w:lang w:val="es-ES"/>
        </w:rPr>
      </w:pPr>
    </w:p>
    <w:p w14:paraId="4620F083" w14:textId="77777777" w:rsidR="00C26134" w:rsidRDefault="00C26134"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Pr>
          <w:rFonts w:ascii="Cambria" w:hAnsi="Cambria"/>
          <w:sz w:val="20"/>
          <w:szCs w:val="20"/>
          <w:lang w:val="es-ES"/>
        </w:rPr>
        <w:t>Sin perjuicio del análisis más detallado que se realizará en la sección relativa a los derechos a las garantías judiciales y protección judicial, la Comisión reitera en este punto la relación inescindible que existe entre una respuesta investigativa inmediata y exhaustiva y el cumplimiento del deber de protección de los derechos violados y en riesgo en un caso de desaparición o secuestro. La Comisión observa que en el presente caso, la actividad investigativa entre la denuncia del secuestro el 15 de noviembre de 1999 y el rescate el 17 de febrero de 2000, fue mínim</w:t>
      </w:r>
      <w:r w:rsidR="00F3492A">
        <w:rPr>
          <w:rFonts w:ascii="Cambria" w:hAnsi="Cambria"/>
          <w:sz w:val="20"/>
          <w:szCs w:val="20"/>
          <w:lang w:val="es-ES"/>
        </w:rPr>
        <w:t xml:space="preserve">a. Además de lo mencionado en el párrafo anterior, </w:t>
      </w:r>
      <w:r w:rsidR="009F65FA">
        <w:rPr>
          <w:rFonts w:ascii="Cambria" w:hAnsi="Cambria"/>
          <w:sz w:val="20"/>
          <w:szCs w:val="20"/>
          <w:lang w:val="es-ES"/>
        </w:rPr>
        <w:t>c</w:t>
      </w:r>
      <w:r w:rsidR="00F3492A">
        <w:rPr>
          <w:rFonts w:ascii="Cambria" w:hAnsi="Cambria"/>
          <w:sz w:val="20"/>
          <w:szCs w:val="20"/>
          <w:lang w:val="es-ES"/>
        </w:rPr>
        <w:t xml:space="preserve">abe mencionar que la declaración del señor Duque, quien claramente contaba con información relevante por su participación en la negociación, fue tomada recién en agosto de 2000, meses después del rescate. </w:t>
      </w:r>
    </w:p>
    <w:p w14:paraId="78B7BA7C" w14:textId="77777777" w:rsidR="00422F55" w:rsidRDefault="00422F55"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3B7A32A4" w14:textId="77777777" w:rsidR="00422F55" w:rsidRDefault="00422F55"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Pr>
          <w:rFonts w:ascii="Cambria" w:hAnsi="Cambria"/>
          <w:sz w:val="20"/>
          <w:szCs w:val="20"/>
          <w:lang w:val="es-ES"/>
        </w:rPr>
        <w:t xml:space="preserve">Sumado a lo anterior, la CIDH no identifica </w:t>
      </w:r>
      <w:r w:rsidR="00776F3D">
        <w:rPr>
          <w:rFonts w:ascii="Cambria" w:hAnsi="Cambria"/>
          <w:sz w:val="20"/>
          <w:szCs w:val="20"/>
          <w:lang w:val="es-ES"/>
        </w:rPr>
        <w:t xml:space="preserve">de la información aportada por </w:t>
      </w:r>
      <w:r w:rsidR="000266D9">
        <w:rPr>
          <w:rFonts w:ascii="Cambria" w:hAnsi="Cambria"/>
          <w:sz w:val="20"/>
          <w:szCs w:val="20"/>
          <w:lang w:val="es-ES"/>
        </w:rPr>
        <w:t>e</w:t>
      </w:r>
      <w:r w:rsidR="00776F3D">
        <w:rPr>
          <w:rFonts w:ascii="Cambria" w:hAnsi="Cambria"/>
          <w:sz w:val="20"/>
          <w:szCs w:val="20"/>
          <w:lang w:val="es-ES"/>
        </w:rPr>
        <w:t>l</w:t>
      </w:r>
      <w:r w:rsidR="000266D9">
        <w:rPr>
          <w:rFonts w:ascii="Cambria" w:hAnsi="Cambria"/>
          <w:sz w:val="20"/>
          <w:szCs w:val="20"/>
          <w:lang w:val="es-ES"/>
        </w:rPr>
        <w:t xml:space="preserve"> Estado </w:t>
      </w:r>
      <w:r>
        <w:rPr>
          <w:rFonts w:ascii="Cambria" w:hAnsi="Cambria"/>
          <w:sz w:val="20"/>
          <w:szCs w:val="20"/>
          <w:lang w:val="es-ES"/>
        </w:rPr>
        <w:t xml:space="preserve">la estructura de la estrategia del GAULA que intervino durante el secuestro del señor Betancourt. </w:t>
      </w:r>
      <w:r w:rsidR="00587E56">
        <w:rPr>
          <w:rFonts w:ascii="Cambria" w:hAnsi="Cambria"/>
          <w:sz w:val="20"/>
          <w:szCs w:val="20"/>
          <w:lang w:val="es-ES"/>
        </w:rPr>
        <w:t>N</w:t>
      </w:r>
      <w:r w:rsidR="000266D9">
        <w:rPr>
          <w:rFonts w:ascii="Cambria" w:hAnsi="Cambria"/>
          <w:sz w:val="20"/>
          <w:szCs w:val="20"/>
          <w:lang w:val="es-ES"/>
        </w:rPr>
        <w:t xml:space="preserve">o resulta claro </w:t>
      </w:r>
      <w:r w:rsidR="00587E56">
        <w:rPr>
          <w:rFonts w:ascii="Cambria" w:hAnsi="Cambria"/>
          <w:sz w:val="20"/>
          <w:szCs w:val="20"/>
          <w:lang w:val="es-ES"/>
        </w:rPr>
        <w:t xml:space="preserve">para la Comisión </w:t>
      </w:r>
      <w:r w:rsidR="000266D9">
        <w:rPr>
          <w:rFonts w:ascii="Cambria" w:hAnsi="Cambria"/>
          <w:sz w:val="20"/>
          <w:szCs w:val="20"/>
          <w:lang w:val="es-ES"/>
        </w:rPr>
        <w:t>quié</w:t>
      </w:r>
      <w:r>
        <w:rPr>
          <w:rFonts w:ascii="Cambria" w:hAnsi="Cambria"/>
          <w:sz w:val="20"/>
          <w:szCs w:val="20"/>
          <w:lang w:val="es-ES"/>
        </w:rPr>
        <w:t>n era la persona responsable encargada de la toma de decisiones, de la negociación con la familia, de la dirección de la investigación y las acciones de inteligencia</w:t>
      </w:r>
      <w:r w:rsidR="000E0F77">
        <w:rPr>
          <w:rFonts w:ascii="Cambria" w:hAnsi="Cambria"/>
          <w:sz w:val="20"/>
          <w:szCs w:val="20"/>
          <w:lang w:val="es-ES"/>
        </w:rPr>
        <w:t xml:space="preserve"> ni el nivel de iniciativa del GAULA que permita identificar en qué sentido se desplegaron acciones para la búsqueda, negociación o rescate del señor Betancourt de acuerdo con los objetivos de las investigaciones de secuestros. </w:t>
      </w:r>
    </w:p>
    <w:p w14:paraId="59F58057" w14:textId="77777777" w:rsidR="00422F55" w:rsidRDefault="00422F55"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3A495D60" w14:textId="77777777" w:rsidR="00422F55" w:rsidRDefault="00422F55"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Pr>
          <w:rFonts w:ascii="Cambria" w:hAnsi="Cambria"/>
          <w:sz w:val="20"/>
          <w:szCs w:val="20"/>
          <w:lang w:val="es-ES"/>
        </w:rPr>
        <w:t xml:space="preserve">Ahora bien, en relación con las acciones de protección respecto de la familia, la CIDH tampoco identifica la adopción y realización de medidas concretas de parte del Estado, que permitan identificar en qué medida el Estado cumplió con su obligación de proteger a la familia del señor Betancourt. </w:t>
      </w:r>
      <w:r w:rsidR="00A64FBB">
        <w:rPr>
          <w:rFonts w:ascii="Cambria" w:hAnsi="Cambria"/>
          <w:sz w:val="20"/>
          <w:szCs w:val="20"/>
          <w:lang w:val="es-ES"/>
        </w:rPr>
        <w:t>En su relato el Estado describe más bien una posición reactiva de aproximación cuando la familia lo solicitó, pero no es posible identificar que el GAULA determinó el riesgo y valoró la adopción de medidas de protección adecuadas a las circunstancias.</w:t>
      </w:r>
    </w:p>
    <w:p w14:paraId="2B900890" w14:textId="77777777" w:rsidR="006D0193" w:rsidRDefault="006D0193" w:rsidP="001E3EBE">
      <w:pPr>
        <w:pStyle w:val="ListParagraph"/>
        <w:ind w:left="0"/>
        <w:jc w:val="both"/>
        <w:rPr>
          <w:b/>
          <w:color w:val="auto"/>
          <w:sz w:val="20"/>
          <w:szCs w:val="20"/>
          <w:lang w:val="es-ES"/>
        </w:rPr>
      </w:pPr>
    </w:p>
    <w:p w14:paraId="4FA54A3D" w14:textId="77777777" w:rsidR="00987705" w:rsidRDefault="006D0193"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Pr>
          <w:rFonts w:ascii="Cambria" w:hAnsi="Cambria"/>
          <w:sz w:val="20"/>
          <w:szCs w:val="20"/>
          <w:lang w:val="es-ES"/>
        </w:rPr>
        <w:t xml:space="preserve">En virtud de las consideraciones anteriores, la Comisión encuentra que el </w:t>
      </w:r>
      <w:r w:rsidR="00D52533">
        <w:rPr>
          <w:rFonts w:ascii="Cambria" w:hAnsi="Cambria"/>
          <w:sz w:val="20"/>
          <w:szCs w:val="20"/>
          <w:lang w:val="es-ES"/>
        </w:rPr>
        <w:t xml:space="preserve">secuestro que tuvo lugar el 14 de noviembre de 1999, no le resulta atribuible al Estado colombiano. Sin embargo, la Comisión concluye que el Estado colombiano sí es responsable por la violación de los </w:t>
      </w:r>
      <w:r>
        <w:rPr>
          <w:rFonts w:ascii="Cambria" w:hAnsi="Cambria"/>
          <w:sz w:val="20"/>
          <w:szCs w:val="20"/>
          <w:lang w:val="es-ES"/>
        </w:rPr>
        <w:t>derecho</w:t>
      </w:r>
      <w:r w:rsidR="00FC400B">
        <w:rPr>
          <w:rFonts w:ascii="Cambria" w:hAnsi="Cambria"/>
          <w:sz w:val="20"/>
          <w:szCs w:val="20"/>
          <w:lang w:val="es-ES"/>
        </w:rPr>
        <w:t>s</w:t>
      </w:r>
      <w:r>
        <w:rPr>
          <w:rFonts w:ascii="Cambria" w:hAnsi="Cambria"/>
          <w:sz w:val="20"/>
          <w:szCs w:val="20"/>
          <w:lang w:val="es-ES"/>
        </w:rPr>
        <w:t xml:space="preserve"> a</w:t>
      </w:r>
      <w:r w:rsidR="00D1079B">
        <w:rPr>
          <w:rFonts w:ascii="Cambria" w:hAnsi="Cambria"/>
          <w:sz w:val="20"/>
          <w:szCs w:val="20"/>
          <w:lang w:val="es-ES"/>
        </w:rPr>
        <w:t xml:space="preserve"> la</w:t>
      </w:r>
      <w:r>
        <w:rPr>
          <w:rFonts w:ascii="Cambria" w:hAnsi="Cambria"/>
          <w:sz w:val="20"/>
          <w:szCs w:val="20"/>
          <w:lang w:val="es-ES"/>
        </w:rPr>
        <w:t xml:space="preserve"> integridad</w:t>
      </w:r>
      <w:r w:rsidR="001261F2">
        <w:rPr>
          <w:rFonts w:ascii="Cambria" w:hAnsi="Cambria"/>
          <w:sz w:val="20"/>
          <w:szCs w:val="20"/>
          <w:lang w:val="es-ES"/>
        </w:rPr>
        <w:t xml:space="preserve"> personal,</w:t>
      </w:r>
      <w:r>
        <w:rPr>
          <w:rFonts w:ascii="Cambria" w:hAnsi="Cambria"/>
          <w:sz w:val="20"/>
          <w:szCs w:val="20"/>
          <w:lang w:val="es-ES"/>
        </w:rPr>
        <w:t xml:space="preserve"> </w:t>
      </w:r>
      <w:r w:rsidR="001261F2">
        <w:rPr>
          <w:rFonts w:ascii="Cambria" w:hAnsi="Cambria"/>
          <w:sz w:val="20"/>
          <w:szCs w:val="20"/>
          <w:lang w:val="es-ES"/>
        </w:rPr>
        <w:t xml:space="preserve">a </w:t>
      </w:r>
      <w:r>
        <w:rPr>
          <w:rFonts w:ascii="Cambria" w:hAnsi="Cambria"/>
          <w:sz w:val="20"/>
          <w:szCs w:val="20"/>
          <w:lang w:val="es-ES"/>
        </w:rPr>
        <w:t>la libertad y seguridad personales</w:t>
      </w:r>
      <w:r w:rsidR="001261F2">
        <w:rPr>
          <w:rFonts w:ascii="Cambria" w:hAnsi="Cambria"/>
          <w:sz w:val="20"/>
          <w:szCs w:val="20"/>
          <w:lang w:val="es-ES"/>
        </w:rPr>
        <w:t xml:space="preserve"> y</w:t>
      </w:r>
      <w:r>
        <w:rPr>
          <w:rFonts w:ascii="Cambria" w:hAnsi="Cambria"/>
          <w:sz w:val="20"/>
          <w:szCs w:val="20"/>
          <w:lang w:val="es-ES"/>
        </w:rPr>
        <w:t xml:space="preserve"> el derecho a la</w:t>
      </w:r>
      <w:r w:rsidR="001261F2">
        <w:rPr>
          <w:rFonts w:ascii="Cambria" w:hAnsi="Cambria"/>
          <w:sz w:val="20"/>
          <w:szCs w:val="20"/>
          <w:lang w:val="es-ES"/>
        </w:rPr>
        <w:t xml:space="preserve"> libertad de</w:t>
      </w:r>
      <w:r>
        <w:rPr>
          <w:rFonts w:ascii="Cambria" w:hAnsi="Cambria"/>
          <w:sz w:val="20"/>
          <w:szCs w:val="20"/>
          <w:lang w:val="es-ES"/>
        </w:rPr>
        <w:t xml:space="preserve"> circulación y residencia, generando una amenaza para la vida, </w:t>
      </w:r>
      <w:r w:rsidR="00FA55EC">
        <w:rPr>
          <w:rFonts w:ascii="Cambria" w:hAnsi="Cambria"/>
          <w:sz w:val="20"/>
          <w:szCs w:val="20"/>
          <w:lang w:val="es-ES"/>
        </w:rPr>
        <w:t>establecidos en los artículos 5.1, 7.1 y 22.1</w:t>
      </w:r>
      <w:r w:rsidR="00711446">
        <w:rPr>
          <w:rFonts w:ascii="Cambria" w:hAnsi="Cambria"/>
          <w:sz w:val="20"/>
          <w:szCs w:val="20"/>
          <w:lang w:val="es-ES"/>
        </w:rPr>
        <w:t xml:space="preserve"> de la Convención Americana,</w:t>
      </w:r>
      <w:r w:rsidR="00FA55EC">
        <w:rPr>
          <w:rFonts w:ascii="Cambria" w:hAnsi="Cambria"/>
          <w:sz w:val="20"/>
          <w:szCs w:val="20"/>
          <w:lang w:val="es-ES"/>
        </w:rPr>
        <w:t xml:space="preserve"> </w:t>
      </w:r>
      <w:r>
        <w:rPr>
          <w:rFonts w:ascii="Cambria" w:hAnsi="Cambria"/>
          <w:sz w:val="20"/>
          <w:szCs w:val="20"/>
          <w:lang w:val="es-ES"/>
        </w:rPr>
        <w:t>en función de su deber de proteger dichos derechos</w:t>
      </w:r>
      <w:r w:rsidR="00711446">
        <w:rPr>
          <w:rFonts w:ascii="Cambria" w:hAnsi="Cambria"/>
          <w:sz w:val="20"/>
          <w:szCs w:val="20"/>
          <w:lang w:val="es-ES"/>
        </w:rPr>
        <w:t xml:space="preserve"> bajo el artículo 1.1 del mismo instrumento</w:t>
      </w:r>
      <w:r>
        <w:rPr>
          <w:rFonts w:ascii="Cambria" w:hAnsi="Cambria"/>
          <w:sz w:val="20"/>
          <w:szCs w:val="20"/>
          <w:lang w:val="es-ES"/>
        </w:rPr>
        <w:t xml:space="preserve">, durante la ocurrencia del secuestro, </w:t>
      </w:r>
      <w:r w:rsidR="000B3F2B">
        <w:rPr>
          <w:rFonts w:ascii="Cambria" w:hAnsi="Cambria"/>
          <w:sz w:val="20"/>
          <w:szCs w:val="20"/>
          <w:lang w:val="es-ES"/>
        </w:rPr>
        <w:t>en contra del señor</w:t>
      </w:r>
      <w:r w:rsidR="00471413">
        <w:rPr>
          <w:rFonts w:ascii="Cambria" w:hAnsi="Cambria"/>
          <w:sz w:val="20"/>
          <w:szCs w:val="20"/>
          <w:lang w:val="es-ES"/>
        </w:rPr>
        <w:t xml:space="preserve"> Carlos Arturo</w:t>
      </w:r>
      <w:r w:rsidR="000B3F2B">
        <w:rPr>
          <w:rFonts w:ascii="Cambria" w:hAnsi="Cambria"/>
          <w:sz w:val="20"/>
          <w:szCs w:val="20"/>
          <w:lang w:val="es-ES"/>
        </w:rPr>
        <w:t xml:space="preserve"> Betancourt, en los términos señalados en el presente informe. </w:t>
      </w:r>
    </w:p>
    <w:p w14:paraId="131DDC68" w14:textId="77777777" w:rsidR="006D0193" w:rsidRPr="006D0193" w:rsidRDefault="006D0193"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7B9D37E0" w14:textId="77777777" w:rsidR="00987705" w:rsidRPr="00987705" w:rsidRDefault="00987705" w:rsidP="001E3EBE">
      <w:pPr>
        <w:pStyle w:val="Heading2"/>
        <w:ind w:firstLine="0"/>
        <w:rPr>
          <w:lang w:val="es-ES"/>
        </w:rPr>
      </w:pPr>
      <w:bookmarkStart w:id="35" w:name="_Toc394820756"/>
      <w:bookmarkStart w:id="36" w:name="_Toc70437023"/>
      <w:r w:rsidRPr="00987705">
        <w:rPr>
          <w:lang w:val="es-ES"/>
        </w:rPr>
        <w:t>El derecho a la integridad personal (artículo 5.1)</w:t>
      </w:r>
      <w:r>
        <w:rPr>
          <w:lang w:val="es-ES"/>
        </w:rPr>
        <w:t xml:space="preserve"> y el derecho</w:t>
      </w:r>
      <w:r w:rsidR="00E86D14">
        <w:rPr>
          <w:lang w:val="es-ES"/>
        </w:rPr>
        <w:t xml:space="preserve"> a la libertad de</w:t>
      </w:r>
      <w:r>
        <w:rPr>
          <w:lang w:val="es-ES"/>
        </w:rPr>
        <w:t xml:space="preserve"> circulación y residencia</w:t>
      </w:r>
      <w:r w:rsidRPr="00394DB7">
        <w:rPr>
          <w:rStyle w:val="FootnoteReference"/>
          <w:lang w:val="es-ES"/>
        </w:rPr>
        <w:t xml:space="preserve"> </w:t>
      </w:r>
      <w:r>
        <w:rPr>
          <w:lang w:val="es-ES"/>
        </w:rPr>
        <w:t>(artículo 22.1)</w:t>
      </w:r>
      <w:r w:rsidRPr="00A229E3">
        <w:rPr>
          <w:lang w:val="es-ES"/>
        </w:rPr>
        <w:t xml:space="preserve"> en relación con el artículo 1.1 de la Convención Americana</w:t>
      </w:r>
      <w:bookmarkEnd w:id="35"/>
      <w:bookmarkEnd w:id="36"/>
    </w:p>
    <w:p w14:paraId="5975921F" w14:textId="77777777" w:rsidR="00BB250C" w:rsidRPr="00BB250C" w:rsidRDefault="00BB250C"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0E7391F2" w14:textId="77777777" w:rsidR="00BB250C" w:rsidRPr="00BB250C" w:rsidRDefault="00987705"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Pr>
          <w:rFonts w:asciiTheme="majorHAnsi" w:hAnsiTheme="majorHAnsi"/>
          <w:sz w:val="20"/>
          <w:szCs w:val="20"/>
          <w:lang w:val="es-US"/>
        </w:rPr>
        <w:t xml:space="preserve">La Comisión </w:t>
      </w:r>
      <w:r w:rsidRPr="000E0F77">
        <w:rPr>
          <w:rFonts w:asciiTheme="majorHAnsi" w:hAnsiTheme="majorHAnsi"/>
          <w:sz w:val="20"/>
          <w:szCs w:val="20"/>
          <w:lang w:val="es-US"/>
        </w:rPr>
        <w:t>ha establecido que situaciones de amenaza y hostigamiento constituyen en sí mismas afectaciones a la integridad psíquica y moral de las personas, la cual se ve agravada por la ausencia de protección por parte del Estado</w:t>
      </w:r>
      <w:r w:rsidRPr="00AD78EA">
        <w:rPr>
          <w:rStyle w:val="FootnoteReference"/>
          <w:rFonts w:asciiTheme="majorHAnsi" w:hAnsiTheme="majorHAnsi"/>
          <w:sz w:val="20"/>
          <w:szCs w:val="20"/>
          <w:lang w:val="es-US"/>
        </w:rPr>
        <w:footnoteReference w:id="88"/>
      </w:r>
      <w:r w:rsidRPr="000E0F77">
        <w:rPr>
          <w:rFonts w:asciiTheme="majorHAnsi" w:hAnsiTheme="majorHAnsi"/>
          <w:sz w:val="20"/>
          <w:szCs w:val="20"/>
          <w:lang w:val="es-US"/>
        </w:rPr>
        <w:t>. La Corte ha considerado que la ausencia de respuesta estatal ante una “campaña de amenazas, hostigamientos, vigilancia, detenciones, allanamientos y atentados contra la vida e integridad personal”, produce temor constante y angustia, constituyendo una violación a la integridad personal de las personas afectadas</w:t>
      </w:r>
      <w:r w:rsidRPr="0022306D">
        <w:rPr>
          <w:rFonts w:asciiTheme="majorHAnsi" w:hAnsiTheme="majorHAnsi"/>
          <w:sz w:val="20"/>
          <w:szCs w:val="20"/>
          <w:vertAlign w:val="superscript"/>
        </w:rPr>
        <w:footnoteReference w:id="89"/>
      </w:r>
      <w:r w:rsidRPr="00BB250C">
        <w:rPr>
          <w:rFonts w:asciiTheme="majorHAnsi" w:hAnsiTheme="majorHAnsi"/>
          <w:sz w:val="20"/>
          <w:szCs w:val="20"/>
          <w:lang w:val="es-US"/>
        </w:rPr>
        <w:t>.</w:t>
      </w:r>
    </w:p>
    <w:p w14:paraId="02B2ACDC" w14:textId="77777777" w:rsidR="00987705" w:rsidRDefault="00987705"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US"/>
        </w:rPr>
      </w:pPr>
    </w:p>
    <w:p w14:paraId="1B9E3364" w14:textId="77777777" w:rsidR="00681F34" w:rsidRPr="00681F34" w:rsidRDefault="00987705"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_tradnl"/>
        </w:rPr>
      </w:pPr>
      <w:r w:rsidRPr="00681F34">
        <w:rPr>
          <w:rFonts w:ascii="Cambria" w:hAnsi="Cambria"/>
          <w:sz w:val="20"/>
          <w:szCs w:val="20"/>
          <w:lang w:val="es-ES"/>
        </w:rPr>
        <w:t xml:space="preserve">Asimismo, la Corte ha señalado que el derecho a la circulación y residencia </w:t>
      </w:r>
      <w:r w:rsidR="00624ED0" w:rsidRPr="00681F34">
        <w:rPr>
          <w:rFonts w:ascii="Cambria" w:hAnsi="Cambria"/>
          <w:sz w:val="20"/>
          <w:szCs w:val="20"/>
          <w:lang w:val="es-ES"/>
        </w:rPr>
        <w:t xml:space="preserve">“puede ser vulnerado de manera formal o por restricciones </w:t>
      </w:r>
      <w:r w:rsidR="00624ED0" w:rsidRPr="00681F34">
        <w:rPr>
          <w:rFonts w:ascii="Cambria" w:hAnsi="Cambria"/>
          <w:i/>
          <w:sz w:val="20"/>
          <w:szCs w:val="20"/>
          <w:lang w:val="es-ES"/>
        </w:rPr>
        <w:t>de facto</w:t>
      </w:r>
      <w:r w:rsidR="00624ED0" w:rsidRPr="00681F34">
        <w:rPr>
          <w:rFonts w:ascii="Cambria" w:hAnsi="Cambria"/>
          <w:sz w:val="20"/>
          <w:szCs w:val="20"/>
          <w:lang w:val="es-ES"/>
        </w:rPr>
        <w:t xml:space="preserve"> </w:t>
      </w:r>
      <w:r w:rsidR="00624ED0" w:rsidRPr="00681F34">
        <w:rPr>
          <w:rFonts w:ascii="Cambria" w:hAnsi="Cambria"/>
          <w:sz w:val="20"/>
          <w:szCs w:val="20"/>
          <w:lang w:val="es-ES_tradnl"/>
        </w:rPr>
        <w:t>cuando el Estado no ha establecido las condiciones ni provisto los medios que permiten ejercerlo”</w:t>
      </w:r>
      <w:r w:rsidR="000B3F2B">
        <w:rPr>
          <w:rStyle w:val="FootnoteReference"/>
          <w:rFonts w:ascii="Cambria" w:hAnsi="Cambria"/>
          <w:sz w:val="20"/>
          <w:szCs w:val="20"/>
          <w:lang w:val="es-ES_tradnl"/>
        </w:rPr>
        <w:footnoteReference w:id="90"/>
      </w:r>
      <w:r w:rsidR="00624ED0" w:rsidRPr="00681F34">
        <w:rPr>
          <w:rFonts w:ascii="Cambria" w:hAnsi="Cambria"/>
          <w:sz w:val="20"/>
          <w:szCs w:val="20"/>
          <w:lang w:val="es-ES_tradnl"/>
        </w:rPr>
        <w:t>.</w:t>
      </w:r>
      <w:r w:rsidR="00681F34" w:rsidRPr="00681F34">
        <w:rPr>
          <w:rFonts w:ascii="Cambria" w:hAnsi="Cambria"/>
          <w:sz w:val="20"/>
          <w:szCs w:val="20"/>
          <w:lang w:val="es-ES_tradnl"/>
        </w:rPr>
        <w:t xml:space="preserve"> En esta línea, la Corte ha establecido una conexión entre las amenazas y hostigamientos </w:t>
      </w:r>
      <w:r w:rsidR="00681F34" w:rsidRPr="00681F34">
        <w:rPr>
          <w:rFonts w:ascii="Cambria" w:hAnsi="Cambria"/>
          <w:i/>
          <w:sz w:val="20"/>
          <w:szCs w:val="20"/>
          <w:lang w:val="es-ES_tradnl"/>
        </w:rPr>
        <w:t>de facto</w:t>
      </w:r>
      <w:r w:rsidR="00681F34" w:rsidRPr="00681F34">
        <w:rPr>
          <w:rFonts w:ascii="Cambria" w:hAnsi="Cambria"/>
          <w:sz w:val="20"/>
          <w:szCs w:val="20"/>
          <w:lang w:val="es-ES_tradnl"/>
        </w:rPr>
        <w:t xml:space="preserve"> y el desplazamiento forzado o el auto</w:t>
      </w:r>
      <w:r w:rsidR="00681F34">
        <w:rPr>
          <w:rFonts w:ascii="Cambria" w:hAnsi="Cambria"/>
          <w:sz w:val="20"/>
          <w:szCs w:val="20"/>
          <w:lang w:val="es-ES_tradnl"/>
        </w:rPr>
        <w:t>exilio cuando el “</w:t>
      </w:r>
      <w:r w:rsidR="00681F34" w:rsidRPr="00681F34">
        <w:rPr>
          <w:rFonts w:ascii="Cambria" w:hAnsi="Cambria"/>
          <w:sz w:val="20"/>
          <w:szCs w:val="20"/>
          <w:lang w:val="es-ES_tradnl"/>
        </w:rPr>
        <w:t>Estado no provee las garantías necesarias para que pueda transitar y residir libremente en el territorio de que se trate</w:t>
      </w:r>
      <w:r w:rsidR="00681F34">
        <w:rPr>
          <w:rFonts w:ascii="Cambria" w:hAnsi="Cambria"/>
          <w:sz w:val="20"/>
          <w:szCs w:val="20"/>
          <w:lang w:val="es-ES_tradnl"/>
        </w:rPr>
        <w:t>”</w:t>
      </w:r>
      <w:r w:rsidR="00681F34">
        <w:rPr>
          <w:rStyle w:val="FootnoteReference"/>
          <w:rFonts w:ascii="Cambria" w:hAnsi="Cambria"/>
          <w:sz w:val="20"/>
          <w:szCs w:val="20"/>
          <w:lang w:val="es-ES_tradnl"/>
        </w:rPr>
        <w:footnoteReference w:id="91"/>
      </w:r>
      <w:r w:rsidR="00681F34">
        <w:rPr>
          <w:rFonts w:ascii="Cambria" w:hAnsi="Cambria"/>
          <w:sz w:val="20"/>
          <w:szCs w:val="20"/>
          <w:lang w:val="es-ES_tradnl"/>
        </w:rPr>
        <w:t xml:space="preserve">. </w:t>
      </w:r>
    </w:p>
    <w:p w14:paraId="1F26310A" w14:textId="77777777" w:rsidR="00987705" w:rsidRPr="00681F34" w:rsidRDefault="00987705"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17340F79" w14:textId="77777777" w:rsidR="00681F34" w:rsidRPr="00681F34" w:rsidRDefault="00681F34"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Pr>
          <w:rFonts w:ascii="Cambria" w:hAnsi="Cambria"/>
          <w:sz w:val="20"/>
          <w:szCs w:val="20"/>
          <w:lang w:val="es-ES"/>
        </w:rPr>
        <w:t xml:space="preserve">En función de lo anterior, </w:t>
      </w:r>
      <w:r w:rsidR="00987705">
        <w:rPr>
          <w:rFonts w:ascii="Cambria" w:hAnsi="Cambria"/>
          <w:sz w:val="20"/>
          <w:szCs w:val="20"/>
          <w:lang w:val="es-ES"/>
        </w:rPr>
        <w:t>l</w:t>
      </w:r>
      <w:r w:rsidR="00987705" w:rsidRPr="000E0F77">
        <w:rPr>
          <w:rFonts w:asciiTheme="majorHAnsi" w:hAnsiTheme="majorHAnsi"/>
          <w:sz w:val="20"/>
          <w:szCs w:val="20"/>
          <w:lang w:val="es-US"/>
        </w:rPr>
        <w:t xml:space="preserve">a Comisión </w:t>
      </w:r>
      <w:r w:rsidR="00987705">
        <w:rPr>
          <w:rFonts w:asciiTheme="majorHAnsi" w:hAnsiTheme="majorHAnsi"/>
          <w:sz w:val="20"/>
          <w:szCs w:val="20"/>
          <w:lang w:val="es-US"/>
        </w:rPr>
        <w:t xml:space="preserve">encuentra que la parte peticionaria ha enfatizado que posterior a la liberación del señor Betancourt, él y su familia, solicitaron la protección del Estado dado que las amenazas contra la vida e integridad continuaron. Al respecto, la parte peticionaria indicó que debido al temor producido las víctimas tuvieron que huir del territorio colombiano, agravándose las secuelas del sufrimiento producto del secuestro y </w:t>
      </w:r>
      <w:r w:rsidR="00A217AC">
        <w:rPr>
          <w:rFonts w:asciiTheme="majorHAnsi" w:hAnsiTheme="majorHAnsi"/>
          <w:sz w:val="20"/>
          <w:szCs w:val="20"/>
          <w:lang w:val="es-US"/>
        </w:rPr>
        <w:t>recrudeciéndose</w:t>
      </w:r>
      <w:r w:rsidR="00987705">
        <w:rPr>
          <w:rFonts w:asciiTheme="majorHAnsi" w:hAnsiTheme="majorHAnsi"/>
          <w:sz w:val="20"/>
          <w:szCs w:val="20"/>
          <w:lang w:val="es-US"/>
        </w:rPr>
        <w:t xml:space="preserve"> las pérdidas patrimoniales generadas</w:t>
      </w:r>
      <w:r>
        <w:rPr>
          <w:rFonts w:asciiTheme="majorHAnsi" w:hAnsiTheme="majorHAnsi"/>
          <w:sz w:val="20"/>
          <w:szCs w:val="20"/>
          <w:lang w:val="es-US"/>
        </w:rPr>
        <w:t xml:space="preserve"> por el mismo</w:t>
      </w:r>
      <w:r w:rsidR="00987705">
        <w:rPr>
          <w:rFonts w:asciiTheme="majorHAnsi" w:hAnsiTheme="majorHAnsi"/>
          <w:sz w:val="20"/>
          <w:szCs w:val="20"/>
          <w:lang w:val="es-US"/>
        </w:rPr>
        <w:t xml:space="preserve">. </w:t>
      </w:r>
      <w:r w:rsidR="00A217AC">
        <w:rPr>
          <w:rFonts w:asciiTheme="majorHAnsi" w:hAnsiTheme="majorHAnsi"/>
          <w:sz w:val="20"/>
          <w:szCs w:val="20"/>
          <w:lang w:val="es-US"/>
        </w:rPr>
        <w:t>Por su lado</w:t>
      </w:r>
      <w:r w:rsidR="00987705">
        <w:rPr>
          <w:rFonts w:asciiTheme="majorHAnsi" w:hAnsiTheme="majorHAnsi"/>
          <w:sz w:val="20"/>
          <w:szCs w:val="20"/>
          <w:lang w:val="es-US"/>
        </w:rPr>
        <w:t>, el Estado señaló que es precisamente debido a que la familia Betancourt salió del país sin esperar los resultados de las acciones concretas de protección estatales, que el Estado no puede considerarse responsable de las consecuencias de su libre decisión de dejar el territorio colombiano.</w:t>
      </w:r>
      <w:r>
        <w:rPr>
          <w:rFonts w:asciiTheme="majorHAnsi" w:hAnsiTheme="majorHAnsi"/>
          <w:sz w:val="20"/>
          <w:szCs w:val="20"/>
          <w:lang w:val="es-US"/>
        </w:rPr>
        <w:t xml:space="preserve"> La CIDH deja constancia de que, de la información disponible, no es posible desprender con claridad el momento en que el señor Betancourt y los miembros de su familia aban</w:t>
      </w:r>
      <w:r w:rsidR="00A217AC">
        <w:rPr>
          <w:rFonts w:asciiTheme="majorHAnsi" w:hAnsiTheme="majorHAnsi"/>
          <w:sz w:val="20"/>
          <w:szCs w:val="20"/>
          <w:lang w:val="es-US"/>
        </w:rPr>
        <w:t>dona</w:t>
      </w:r>
      <w:r w:rsidR="00720CE1">
        <w:rPr>
          <w:rFonts w:asciiTheme="majorHAnsi" w:hAnsiTheme="majorHAnsi"/>
          <w:sz w:val="20"/>
          <w:szCs w:val="20"/>
          <w:lang w:val="es-US"/>
        </w:rPr>
        <w:t>ron</w:t>
      </w:r>
      <w:r w:rsidR="00A217AC">
        <w:rPr>
          <w:rFonts w:asciiTheme="majorHAnsi" w:hAnsiTheme="majorHAnsi"/>
          <w:sz w:val="20"/>
          <w:szCs w:val="20"/>
          <w:lang w:val="es-US"/>
        </w:rPr>
        <w:t xml:space="preserve"> el territorio colombiano.</w:t>
      </w:r>
      <w:r w:rsidR="001A24FD">
        <w:rPr>
          <w:rFonts w:asciiTheme="majorHAnsi" w:hAnsiTheme="majorHAnsi"/>
          <w:sz w:val="20"/>
          <w:szCs w:val="20"/>
          <w:lang w:val="es-US"/>
        </w:rPr>
        <w:t xml:space="preserve"> </w:t>
      </w:r>
    </w:p>
    <w:p w14:paraId="43424955" w14:textId="77777777" w:rsidR="00987705" w:rsidRPr="00CE558F" w:rsidRDefault="00987705"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r>
        <w:rPr>
          <w:rFonts w:asciiTheme="majorHAnsi" w:hAnsiTheme="majorHAnsi"/>
          <w:sz w:val="20"/>
          <w:szCs w:val="20"/>
          <w:lang w:val="es-US"/>
        </w:rPr>
        <w:t xml:space="preserve"> </w:t>
      </w:r>
    </w:p>
    <w:p w14:paraId="61041A71" w14:textId="77777777" w:rsidR="00815EA8" w:rsidRDefault="000F7137"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Pr>
          <w:rFonts w:ascii="Cambria" w:hAnsi="Cambria"/>
          <w:sz w:val="20"/>
          <w:szCs w:val="20"/>
          <w:lang w:val="es-ES"/>
        </w:rPr>
        <w:t xml:space="preserve">Sin embargo, </w:t>
      </w:r>
      <w:r w:rsidR="00681F34">
        <w:rPr>
          <w:rFonts w:ascii="Cambria" w:hAnsi="Cambria"/>
          <w:sz w:val="20"/>
          <w:szCs w:val="20"/>
          <w:lang w:val="es-ES"/>
        </w:rPr>
        <w:t>la CIDH</w:t>
      </w:r>
      <w:r>
        <w:rPr>
          <w:rFonts w:ascii="Cambria" w:hAnsi="Cambria"/>
          <w:sz w:val="20"/>
          <w:szCs w:val="20"/>
          <w:lang w:val="es-ES"/>
        </w:rPr>
        <w:t xml:space="preserve"> considera </w:t>
      </w:r>
      <w:r w:rsidR="00681F34">
        <w:rPr>
          <w:rFonts w:ascii="Cambria" w:hAnsi="Cambria"/>
          <w:sz w:val="20"/>
          <w:szCs w:val="20"/>
          <w:lang w:val="es-ES"/>
        </w:rPr>
        <w:t xml:space="preserve">que, al margen del momento exacto de su salida del territorio colombiano, es posible establecer una conexión entre la decisión de salir de Colombia y las amenazas y hostigamientos vividos a raíz del secuestro. Al respecto, es necesario indicar que </w:t>
      </w:r>
      <w:r w:rsidR="009A1569">
        <w:rPr>
          <w:rFonts w:ascii="Cambria" w:hAnsi="Cambria"/>
          <w:sz w:val="20"/>
          <w:szCs w:val="20"/>
          <w:lang w:val="es-ES"/>
        </w:rPr>
        <w:t xml:space="preserve">el señor Betancourt se dirigió a varias autoridades para solicitar protección por las amenazas recibidas, y que la única respuesta concreta del GAULA le indicó que debido a sus limitaciones, su protección tenía que ser tramitada en otra agencia. </w:t>
      </w:r>
      <w:r w:rsidR="00815EA8">
        <w:rPr>
          <w:rFonts w:ascii="Cambria" w:hAnsi="Cambria"/>
          <w:sz w:val="20"/>
          <w:szCs w:val="20"/>
          <w:lang w:val="es-ES"/>
        </w:rPr>
        <w:t xml:space="preserve">Esta respuesta fue ofrecida una semana después </w:t>
      </w:r>
      <w:r w:rsidR="00890840">
        <w:rPr>
          <w:rFonts w:ascii="Cambria" w:hAnsi="Cambria"/>
          <w:sz w:val="20"/>
          <w:szCs w:val="20"/>
          <w:lang w:val="es-ES"/>
        </w:rPr>
        <w:t xml:space="preserve">de la recepción de la solicitud expresa de protección y más allá de indicar que fue remitida a otras entidades, no se le ofreció una respuesta al señor Betancourt y su familia con la inmediatez requerida frente a la naturaleza de las amenazas. La Comisión considera que esta comunicación del señor Betancourt debió activar una respuesta inmediata, tomando en cuenta el grave crimen del que acababa de ser víctima. </w:t>
      </w:r>
    </w:p>
    <w:p w14:paraId="757755B6" w14:textId="77777777" w:rsidR="00815EA8" w:rsidRDefault="00815EA8" w:rsidP="001E3EBE">
      <w:pPr>
        <w:pStyle w:val="ListParagraph"/>
        <w:ind w:left="0"/>
        <w:rPr>
          <w:sz w:val="20"/>
          <w:szCs w:val="20"/>
          <w:lang w:val="es-ES"/>
        </w:rPr>
      </w:pPr>
    </w:p>
    <w:p w14:paraId="7E202033" w14:textId="77777777" w:rsidR="00B93A81" w:rsidRDefault="00B93A81" w:rsidP="001E3EBE">
      <w:pPr>
        <w:pStyle w:val="ListParagraph"/>
        <w:ind w:left="0"/>
        <w:rPr>
          <w:sz w:val="20"/>
          <w:szCs w:val="20"/>
          <w:lang w:val="es-ES"/>
        </w:rPr>
      </w:pPr>
    </w:p>
    <w:p w14:paraId="318032C0" w14:textId="77777777" w:rsidR="00B93A81" w:rsidRDefault="00B93A81" w:rsidP="001E3EBE">
      <w:pPr>
        <w:pStyle w:val="ListParagraph"/>
        <w:ind w:left="0"/>
        <w:rPr>
          <w:sz w:val="20"/>
          <w:szCs w:val="20"/>
          <w:lang w:val="es-ES"/>
        </w:rPr>
      </w:pPr>
    </w:p>
    <w:p w14:paraId="1E27AAB9" w14:textId="77777777" w:rsidR="00B93A81" w:rsidRDefault="00B93A81" w:rsidP="001E3EBE">
      <w:pPr>
        <w:pStyle w:val="ListParagraph"/>
        <w:ind w:left="0"/>
        <w:rPr>
          <w:sz w:val="20"/>
          <w:szCs w:val="20"/>
          <w:lang w:val="es-ES"/>
        </w:rPr>
      </w:pPr>
    </w:p>
    <w:p w14:paraId="72CD2CCF" w14:textId="77777777" w:rsidR="00B93A81" w:rsidRDefault="00B93A81" w:rsidP="001E3EBE">
      <w:pPr>
        <w:pStyle w:val="ListParagraph"/>
        <w:ind w:left="0"/>
        <w:rPr>
          <w:sz w:val="20"/>
          <w:szCs w:val="20"/>
          <w:lang w:val="es-ES"/>
        </w:rPr>
      </w:pPr>
    </w:p>
    <w:p w14:paraId="443CE47B" w14:textId="77777777" w:rsidR="00DD6A2A" w:rsidRDefault="007724E3"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Pr>
          <w:rFonts w:ascii="Cambria" w:hAnsi="Cambria"/>
          <w:sz w:val="20"/>
          <w:szCs w:val="20"/>
          <w:lang w:val="es-ES"/>
        </w:rPr>
        <w:lastRenderedPageBreak/>
        <w:t xml:space="preserve">En este mismo tenor, </w:t>
      </w:r>
      <w:r w:rsidR="00DD6A2A">
        <w:rPr>
          <w:rFonts w:ascii="Cambria" w:hAnsi="Cambria"/>
          <w:sz w:val="20"/>
          <w:szCs w:val="20"/>
          <w:lang w:val="es-ES"/>
        </w:rPr>
        <w:t xml:space="preserve">si bien existe divergencia entre las partes respecto de si el GAULA recomendó o no la salida del país de las víctimas, </w:t>
      </w:r>
      <w:r>
        <w:rPr>
          <w:rFonts w:ascii="Cambria" w:hAnsi="Cambria"/>
          <w:sz w:val="20"/>
          <w:szCs w:val="20"/>
          <w:lang w:val="es-ES"/>
        </w:rPr>
        <w:t xml:space="preserve">Doris Amparo Betancourt Estrada </w:t>
      </w:r>
      <w:r w:rsidR="00DD6A2A">
        <w:rPr>
          <w:rFonts w:ascii="Cambria" w:hAnsi="Cambria"/>
          <w:sz w:val="20"/>
          <w:szCs w:val="20"/>
          <w:lang w:val="es-ES"/>
        </w:rPr>
        <w:t>declaró -en el juicio por evasión tributaria contra la señora Estrada-</w:t>
      </w:r>
      <w:r>
        <w:rPr>
          <w:rFonts w:ascii="Cambria" w:hAnsi="Cambria"/>
          <w:sz w:val="20"/>
          <w:szCs w:val="20"/>
          <w:lang w:val="es-ES"/>
        </w:rPr>
        <w:t xml:space="preserve"> </w:t>
      </w:r>
      <w:r w:rsidR="00DD6A2A">
        <w:rPr>
          <w:rFonts w:ascii="Cambria" w:hAnsi="Cambria"/>
          <w:sz w:val="20"/>
          <w:szCs w:val="20"/>
          <w:lang w:val="es-ES"/>
        </w:rPr>
        <w:t>q</w:t>
      </w:r>
      <w:r>
        <w:rPr>
          <w:rFonts w:ascii="Cambria" w:hAnsi="Cambria"/>
          <w:sz w:val="20"/>
          <w:szCs w:val="20"/>
          <w:lang w:val="es-ES"/>
        </w:rPr>
        <w:t>ue el GAULA recomendó la salida del país dado que no podían ofrecerles protección debido a la cantidad de casos que des</w:t>
      </w:r>
      <w:r w:rsidR="00DD6A2A">
        <w:rPr>
          <w:rFonts w:ascii="Cambria" w:hAnsi="Cambria"/>
          <w:sz w:val="20"/>
          <w:szCs w:val="20"/>
          <w:lang w:val="es-ES"/>
        </w:rPr>
        <w:t xml:space="preserve">bordaba su capacidad operativa, lo que resulta consistente con la propia respuesta escrita que el GAULA dio al señor Betancourt. </w:t>
      </w:r>
    </w:p>
    <w:p w14:paraId="6F161015" w14:textId="77777777" w:rsidR="00DD6A2A" w:rsidRDefault="00DD6A2A" w:rsidP="001E3EBE">
      <w:pPr>
        <w:pStyle w:val="ListParagraph"/>
        <w:ind w:left="0"/>
        <w:rPr>
          <w:sz w:val="20"/>
          <w:szCs w:val="20"/>
          <w:lang w:val="es-ES"/>
        </w:rPr>
      </w:pPr>
    </w:p>
    <w:p w14:paraId="3C73E7D2" w14:textId="77777777" w:rsidR="00406B0D" w:rsidRDefault="009A1569"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BB250C">
        <w:rPr>
          <w:rFonts w:ascii="Cambria" w:hAnsi="Cambria"/>
          <w:sz w:val="20"/>
          <w:szCs w:val="20"/>
          <w:lang w:val="es-ES"/>
        </w:rPr>
        <w:t xml:space="preserve">Asimismo, tras su liberación, la CIDH </w:t>
      </w:r>
      <w:r w:rsidR="00AE6003" w:rsidRPr="00BB250C">
        <w:rPr>
          <w:rFonts w:ascii="Cambria" w:hAnsi="Cambria"/>
          <w:sz w:val="20"/>
          <w:szCs w:val="20"/>
          <w:lang w:val="es-ES"/>
        </w:rPr>
        <w:t xml:space="preserve">encuentra que el Estado </w:t>
      </w:r>
      <w:r w:rsidR="00EC2C5D" w:rsidRPr="00BB250C">
        <w:rPr>
          <w:rFonts w:ascii="Cambria" w:hAnsi="Cambria"/>
          <w:sz w:val="20"/>
          <w:szCs w:val="20"/>
          <w:lang w:val="es-ES"/>
        </w:rPr>
        <w:t>no estableció</w:t>
      </w:r>
      <w:r w:rsidR="00AE6003" w:rsidRPr="00BB250C">
        <w:rPr>
          <w:rFonts w:ascii="Cambria" w:hAnsi="Cambria"/>
          <w:sz w:val="20"/>
          <w:szCs w:val="20"/>
          <w:lang w:val="es-ES"/>
        </w:rPr>
        <w:t xml:space="preserve"> contacto</w:t>
      </w:r>
      <w:r w:rsidR="00EC2C5D" w:rsidRPr="00BB250C">
        <w:rPr>
          <w:rFonts w:ascii="Cambria" w:hAnsi="Cambria"/>
          <w:sz w:val="20"/>
          <w:szCs w:val="20"/>
          <w:lang w:val="es-ES"/>
        </w:rPr>
        <w:t xml:space="preserve"> oficiosamente</w:t>
      </w:r>
      <w:r w:rsidR="00AE6003" w:rsidRPr="00BB250C">
        <w:rPr>
          <w:rFonts w:ascii="Cambria" w:hAnsi="Cambria"/>
          <w:sz w:val="20"/>
          <w:szCs w:val="20"/>
          <w:lang w:val="es-ES"/>
        </w:rPr>
        <w:t xml:space="preserve"> con el señor Betancourt para determinar el nivel de riesgo en el que</w:t>
      </w:r>
      <w:r w:rsidR="00472441">
        <w:rPr>
          <w:rFonts w:ascii="Cambria" w:hAnsi="Cambria"/>
          <w:sz w:val="20"/>
          <w:szCs w:val="20"/>
          <w:lang w:val="es-ES"/>
        </w:rPr>
        <w:t xml:space="preserve"> tanto él como su familia se encontraban. </w:t>
      </w:r>
      <w:r w:rsidR="00AE6003" w:rsidRPr="00BB250C">
        <w:rPr>
          <w:rFonts w:ascii="Cambria" w:hAnsi="Cambria"/>
          <w:sz w:val="20"/>
          <w:szCs w:val="20"/>
          <w:lang w:val="es-ES"/>
        </w:rPr>
        <w:t>Finalmente, la Comisión observa que la familia Betancourt ha probado un arraigo importante familiar y económico con Colombia, por lo que su salida del territorio del Estado, solo se explica por una causa apremiante y grave, provocada por amenazas contra su vida e</w:t>
      </w:r>
      <w:r w:rsidR="00EC2C5D" w:rsidRPr="00BB250C">
        <w:rPr>
          <w:rFonts w:ascii="Cambria" w:hAnsi="Cambria"/>
          <w:sz w:val="20"/>
          <w:szCs w:val="20"/>
          <w:lang w:val="es-ES"/>
        </w:rPr>
        <w:t xml:space="preserve"> integridad, de tal magnitud que se vieron expuestos a </w:t>
      </w:r>
      <w:r w:rsidR="00AE6003" w:rsidRPr="00BB250C">
        <w:rPr>
          <w:rFonts w:ascii="Cambria" w:hAnsi="Cambria"/>
          <w:sz w:val="20"/>
          <w:szCs w:val="20"/>
          <w:lang w:val="es-ES"/>
        </w:rPr>
        <w:t>grandes pérdidas patrimoniales.</w:t>
      </w:r>
    </w:p>
    <w:p w14:paraId="4591363C" w14:textId="77777777" w:rsidR="00BB250C" w:rsidRDefault="00AE6003"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r w:rsidRPr="00BB250C">
        <w:rPr>
          <w:rFonts w:ascii="Cambria" w:hAnsi="Cambria"/>
          <w:sz w:val="20"/>
          <w:szCs w:val="20"/>
          <w:lang w:val="es-ES"/>
        </w:rPr>
        <w:t xml:space="preserve"> </w:t>
      </w:r>
    </w:p>
    <w:p w14:paraId="6EDA788E" w14:textId="77777777" w:rsidR="00B15353" w:rsidRPr="00240F51" w:rsidRDefault="00AE6003"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BB250C">
        <w:rPr>
          <w:rFonts w:ascii="Cambria" w:hAnsi="Cambria"/>
          <w:sz w:val="20"/>
          <w:szCs w:val="20"/>
          <w:lang w:val="es-ES"/>
        </w:rPr>
        <w:t xml:space="preserve">En virtud de las consideraciones anteriores, la Comisión encuentra </w:t>
      </w:r>
      <w:r w:rsidR="00EC2C5D" w:rsidRPr="00BB250C">
        <w:rPr>
          <w:rFonts w:ascii="Cambria" w:hAnsi="Cambria"/>
          <w:sz w:val="20"/>
          <w:szCs w:val="20"/>
          <w:lang w:val="es-ES"/>
        </w:rPr>
        <w:t xml:space="preserve">probado </w:t>
      </w:r>
      <w:r w:rsidRPr="00BB250C">
        <w:rPr>
          <w:rFonts w:ascii="Cambria" w:hAnsi="Cambria"/>
          <w:sz w:val="20"/>
          <w:szCs w:val="20"/>
          <w:lang w:val="es-ES"/>
        </w:rPr>
        <w:t>que existe conexión entre las amenazas y hostigamientos posteriores al secuestro y la salida del territorio del Estado</w:t>
      </w:r>
      <w:r w:rsidR="00BB250C">
        <w:rPr>
          <w:rFonts w:ascii="Cambria" w:hAnsi="Cambria"/>
          <w:sz w:val="20"/>
          <w:szCs w:val="20"/>
          <w:lang w:val="es-ES"/>
        </w:rPr>
        <w:t xml:space="preserve"> del señor Betancourt y su familia</w:t>
      </w:r>
      <w:r w:rsidRPr="00BB250C">
        <w:rPr>
          <w:rFonts w:ascii="Cambria" w:hAnsi="Cambria"/>
          <w:sz w:val="20"/>
          <w:szCs w:val="20"/>
          <w:lang w:val="es-ES"/>
        </w:rPr>
        <w:t>,</w:t>
      </w:r>
      <w:r w:rsidR="00EC2C5D" w:rsidRPr="00BB250C">
        <w:rPr>
          <w:rFonts w:ascii="Cambria" w:hAnsi="Cambria"/>
          <w:sz w:val="20"/>
          <w:szCs w:val="20"/>
          <w:lang w:val="es-ES"/>
        </w:rPr>
        <w:t xml:space="preserve"> lo que fue provocado</w:t>
      </w:r>
      <w:r w:rsidRPr="00BB250C">
        <w:rPr>
          <w:rFonts w:ascii="Cambria" w:hAnsi="Cambria"/>
          <w:sz w:val="20"/>
          <w:szCs w:val="20"/>
          <w:lang w:val="es-ES"/>
        </w:rPr>
        <w:t xml:space="preserve"> por la falta d</w:t>
      </w:r>
      <w:r w:rsidR="00EC2C5D" w:rsidRPr="00BB250C">
        <w:rPr>
          <w:rFonts w:ascii="Cambria" w:hAnsi="Cambria"/>
          <w:sz w:val="20"/>
          <w:szCs w:val="20"/>
          <w:lang w:val="es-ES"/>
        </w:rPr>
        <w:t>e protección estatal</w:t>
      </w:r>
      <w:r w:rsidR="00C65239">
        <w:rPr>
          <w:rFonts w:ascii="Cambria" w:hAnsi="Cambria"/>
          <w:sz w:val="20"/>
          <w:szCs w:val="20"/>
          <w:lang w:val="es-ES"/>
        </w:rPr>
        <w:t xml:space="preserve"> inmediata</w:t>
      </w:r>
      <w:r w:rsidR="00EC2C5D" w:rsidRPr="00BB250C">
        <w:rPr>
          <w:rFonts w:ascii="Cambria" w:hAnsi="Cambria"/>
          <w:sz w:val="20"/>
          <w:szCs w:val="20"/>
          <w:lang w:val="es-ES"/>
        </w:rPr>
        <w:t>, generando</w:t>
      </w:r>
      <w:r w:rsidRPr="00BB250C">
        <w:rPr>
          <w:rFonts w:ascii="Cambria" w:hAnsi="Cambria"/>
          <w:sz w:val="20"/>
          <w:szCs w:val="20"/>
          <w:lang w:val="es-ES"/>
        </w:rPr>
        <w:t xml:space="preserve"> la vulneración</w:t>
      </w:r>
      <w:r w:rsidR="006352A3">
        <w:rPr>
          <w:rFonts w:ascii="Cambria" w:hAnsi="Cambria"/>
          <w:sz w:val="20"/>
          <w:szCs w:val="20"/>
          <w:lang w:val="es-ES"/>
        </w:rPr>
        <w:t xml:space="preserve">, en perjuicio del señor Carlos Arturo Betancourt y su familia, </w:t>
      </w:r>
      <w:r w:rsidRPr="00BB250C">
        <w:rPr>
          <w:rFonts w:ascii="Cambria" w:hAnsi="Cambria"/>
          <w:sz w:val="20"/>
          <w:szCs w:val="20"/>
          <w:lang w:val="es-ES"/>
        </w:rPr>
        <w:t>de</w:t>
      </w:r>
      <w:r w:rsidR="008C179B">
        <w:rPr>
          <w:rFonts w:ascii="Cambria" w:hAnsi="Cambria"/>
          <w:sz w:val="20"/>
          <w:szCs w:val="20"/>
          <w:lang w:val="es-ES"/>
        </w:rPr>
        <w:t xml:space="preserve"> </w:t>
      </w:r>
      <w:r w:rsidRPr="00BB250C">
        <w:rPr>
          <w:rFonts w:ascii="Cambria" w:hAnsi="Cambria"/>
          <w:sz w:val="20"/>
          <w:szCs w:val="20"/>
          <w:lang w:val="es-ES"/>
        </w:rPr>
        <w:t>l</w:t>
      </w:r>
      <w:r w:rsidR="008C179B">
        <w:rPr>
          <w:rFonts w:ascii="Cambria" w:hAnsi="Cambria"/>
          <w:sz w:val="20"/>
          <w:szCs w:val="20"/>
          <w:lang w:val="es-ES"/>
        </w:rPr>
        <w:t>os</w:t>
      </w:r>
      <w:r w:rsidRPr="00BB250C">
        <w:rPr>
          <w:rFonts w:ascii="Cambria" w:hAnsi="Cambria"/>
          <w:sz w:val="20"/>
          <w:szCs w:val="20"/>
          <w:lang w:val="es-ES"/>
        </w:rPr>
        <w:t xml:space="preserve"> derecho</w:t>
      </w:r>
      <w:r w:rsidR="008C179B">
        <w:rPr>
          <w:rFonts w:ascii="Cambria" w:hAnsi="Cambria"/>
          <w:sz w:val="20"/>
          <w:szCs w:val="20"/>
          <w:lang w:val="es-ES"/>
        </w:rPr>
        <w:t xml:space="preserve">s a la </w:t>
      </w:r>
      <w:r w:rsidRPr="00BB250C">
        <w:rPr>
          <w:rFonts w:ascii="Cambria" w:hAnsi="Cambria"/>
          <w:sz w:val="20"/>
          <w:szCs w:val="20"/>
          <w:lang w:val="es-ES"/>
        </w:rPr>
        <w:t>integridad</w:t>
      </w:r>
      <w:r w:rsidR="008C179B">
        <w:rPr>
          <w:rFonts w:ascii="Cambria" w:hAnsi="Cambria"/>
          <w:sz w:val="20"/>
          <w:szCs w:val="20"/>
          <w:lang w:val="es-ES"/>
        </w:rPr>
        <w:t xml:space="preserve"> personal y a la libertad de </w:t>
      </w:r>
      <w:r w:rsidRPr="00BB250C">
        <w:rPr>
          <w:rFonts w:ascii="Cambria" w:hAnsi="Cambria"/>
          <w:sz w:val="20"/>
          <w:szCs w:val="20"/>
          <w:lang w:val="es-ES"/>
        </w:rPr>
        <w:t>circulación y residencia</w:t>
      </w:r>
      <w:r w:rsidR="006352A3">
        <w:rPr>
          <w:rFonts w:ascii="Cambria" w:hAnsi="Cambria"/>
          <w:sz w:val="20"/>
          <w:szCs w:val="20"/>
          <w:lang w:val="es-ES"/>
        </w:rPr>
        <w:t>, establecidos en los artículos 5.1 y 22.1 de la Convención Americana</w:t>
      </w:r>
      <w:r w:rsidR="000E53E8">
        <w:rPr>
          <w:rFonts w:ascii="Cambria" w:hAnsi="Cambria"/>
          <w:sz w:val="20"/>
          <w:szCs w:val="20"/>
          <w:lang w:val="es-ES"/>
        </w:rPr>
        <w:t>, en relación con el artículo 1.1 del mismo instrumento</w:t>
      </w:r>
      <w:r w:rsidR="00CA0E54">
        <w:rPr>
          <w:rFonts w:ascii="Cambria" w:hAnsi="Cambria"/>
          <w:sz w:val="20"/>
          <w:szCs w:val="20"/>
          <w:lang w:val="es-ES"/>
        </w:rPr>
        <w:t>.</w:t>
      </w:r>
    </w:p>
    <w:p w14:paraId="4E4FDAD8" w14:textId="77777777" w:rsidR="00B15353" w:rsidRPr="00987705" w:rsidRDefault="00B15353" w:rsidP="001E3EBE">
      <w:pPr>
        <w:rPr>
          <w:rFonts w:asciiTheme="majorHAnsi" w:hAnsiTheme="majorHAnsi"/>
          <w:b/>
          <w:sz w:val="20"/>
          <w:szCs w:val="20"/>
          <w:lang w:val="es-ES"/>
        </w:rPr>
      </w:pPr>
    </w:p>
    <w:p w14:paraId="688B62AA" w14:textId="77777777" w:rsidR="003A7988" w:rsidRPr="00987705" w:rsidRDefault="003A7988" w:rsidP="001E3EBE">
      <w:pPr>
        <w:pStyle w:val="Heading2"/>
        <w:ind w:firstLine="0"/>
        <w:rPr>
          <w:sz w:val="16"/>
          <w:lang w:val="es-ES"/>
        </w:rPr>
      </w:pPr>
      <w:bookmarkStart w:id="37" w:name="_Toc394820757"/>
      <w:bookmarkStart w:id="38" w:name="_Toc70437024"/>
      <w:r w:rsidRPr="00987705">
        <w:rPr>
          <w:lang w:val="es-ES"/>
        </w:rPr>
        <w:t>El derecho a las garantías judiciales</w:t>
      </w:r>
      <w:r w:rsidR="00394DB7" w:rsidRPr="00987705">
        <w:rPr>
          <w:vertAlign w:val="superscript"/>
        </w:rPr>
        <w:footnoteReference w:id="92"/>
      </w:r>
      <w:r w:rsidRPr="00987705">
        <w:rPr>
          <w:lang w:val="es-ES"/>
        </w:rPr>
        <w:t xml:space="preserve"> y la protección judicial</w:t>
      </w:r>
      <w:r w:rsidR="00394DB7" w:rsidRPr="00987705">
        <w:rPr>
          <w:vertAlign w:val="superscript"/>
        </w:rPr>
        <w:footnoteReference w:id="93"/>
      </w:r>
      <w:r w:rsidRPr="00987705">
        <w:rPr>
          <w:lang w:val="es-ES"/>
        </w:rPr>
        <w:t xml:space="preserve"> (artículos 8</w:t>
      </w:r>
      <w:r w:rsidR="00D333AB">
        <w:rPr>
          <w:lang w:val="es-ES"/>
        </w:rPr>
        <w:t xml:space="preserve"> </w:t>
      </w:r>
      <w:r w:rsidRPr="00987705">
        <w:rPr>
          <w:lang w:val="es-ES"/>
        </w:rPr>
        <w:t>y artículo 25.1) en relación con el artículo 1.1 de la Convención Americana</w:t>
      </w:r>
      <w:bookmarkEnd w:id="37"/>
      <w:bookmarkEnd w:id="38"/>
    </w:p>
    <w:p w14:paraId="4654F790" w14:textId="77777777" w:rsidR="003A7988" w:rsidRPr="00394DB7" w:rsidRDefault="003A7988" w:rsidP="001E3EBE">
      <w:pPr>
        <w:rPr>
          <w:rFonts w:ascii="Cambria" w:hAnsi="Cambria"/>
          <w:b/>
          <w:sz w:val="16"/>
          <w:szCs w:val="20"/>
          <w:lang w:val="es-MX"/>
        </w:rPr>
      </w:pPr>
    </w:p>
    <w:p w14:paraId="44AA270E" w14:textId="77777777" w:rsidR="00394DB7" w:rsidRPr="00D333AB" w:rsidRDefault="003A7988" w:rsidP="001E3EBE">
      <w:pPr>
        <w:pStyle w:val="Heading3"/>
        <w:numPr>
          <w:ilvl w:val="0"/>
          <w:numId w:val="62"/>
        </w:numPr>
        <w:ind w:left="0" w:firstLine="0"/>
        <w:rPr>
          <w:lang w:val="es-ES"/>
        </w:rPr>
      </w:pPr>
      <w:bookmarkStart w:id="39" w:name="_Toc394820758"/>
      <w:bookmarkStart w:id="40" w:name="_Toc70437025"/>
      <w:r w:rsidRPr="00D333AB">
        <w:rPr>
          <w:lang w:val="es-ES"/>
        </w:rPr>
        <w:t xml:space="preserve">Estándares de debida diligencia, oficiosidad </w:t>
      </w:r>
      <w:r w:rsidR="00A229E3" w:rsidRPr="00D333AB">
        <w:rPr>
          <w:lang w:val="es-ES"/>
        </w:rPr>
        <w:t>y plazo razonable en el sistema</w:t>
      </w:r>
      <w:r w:rsidR="00483337" w:rsidRPr="00D333AB">
        <w:rPr>
          <w:lang w:val="es-ES"/>
        </w:rPr>
        <w:t xml:space="preserve"> </w:t>
      </w:r>
      <w:r w:rsidR="00A229E3" w:rsidRPr="00D333AB">
        <w:rPr>
          <w:lang w:val="es-ES"/>
        </w:rPr>
        <w:t>interamericano</w:t>
      </w:r>
      <w:bookmarkEnd w:id="39"/>
      <w:bookmarkEnd w:id="40"/>
    </w:p>
    <w:p w14:paraId="4EA91276" w14:textId="77777777" w:rsidR="00BB250C" w:rsidRDefault="00BB250C" w:rsidP="001E3EBE">
      <w:pPr>
        <w:pStyle w:val="ListParagraph"/>
        <w:ind w:left="0"/>
        <w:jc w:val="both"/>
        <w:rPr>
          <w:b/>
          <w:color w:val="auto"/>
          <w:sz w:val="20"/>
          <w:szCs w:val="20"/>
          <w:lang w:val="es-ES"/>
        </w:rPr>
      </w:pPr>
    </w:p>
    <w:p w14:paraId="4736128E" w14:textId="77777777" w:rsidR="00F91C27" w:rsidRPr="00BB250C" w:rsidRDefault="00394DB7"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eastAsia="Cambria" w:hAnsiTheme="majorHAnsi" w:cs="Cambria"/>
          <w:b/>
          <w:color w:val="000000"/>
          <w:sz w:val="20"/>
          <w:szCs w:val="20"/>
          <w:u w:color="000000"/>
          <w:lang w:val="es-MX" w:eastAsia="es-ES"/>
        </w:rPr>
      </w:pPr>
      <w:r w:rsidRPr="00BB250C">
        <w:rPr>
          <w:rFonts w:asciiTheme="majorHAnsi" w:eastAsia="Cambria" w:hAnsiTheme="majorHAnsi" w:cs="Cambria"/>
          <w:color w:val="000000"/>
          <w:sz w:val="20"/>
          <w:szCs w:val="20"/>
          <w:u w:color="000000"/>
          <w:lang w:val="es-MX" w:eastAsia="es-ES"/>
        </w:rPr>
        <w:t>La Corte Interamericana ha establecido que “en virtud de la protección otorgada por los artículos 8 y 25 de la Convención, los Estados están obligados a suministrar recursos judiciales efectivos a las víctimas de violaciones de los derechos humanos, que deben ser sustanciados de conformidad con las reglas del debido proceso legal”</w:t>
      </w:r>
      <w:r w:rsidRPr="00BB250C">
        <w:rPr>
          <w:rFonts w:asciiTheme="majorHAnsi" w:eastAsia="Cambria" w:hAnsiTheme="majorHAnsi" w:cs="Cambria"/>
          <w:color w:val="000000"/>
          <w:sz w:val="20"/>
          <w:szCs w:val="20"/>
          <w:u w:color="000000"/>
          <w:vertAlign w:val="superscript"/>
          <w:lang w:eastAsia="es-ES"/>
        </w:rPr>
        <w:footnoteReference w:id="94"/>
      </w:r>
      <w:r w:rsidRPr="00BB250C">
        <w:rPr>
          <w:rFonts w:asciiTheme="majorHAnsi" w:eastAsia="Cambria" w:hAnsiTheme="majorHAnsi" w:cs="Cambria"/>
          <w:color w:val="000000"/>
          <w:sz w:val="20"/>
          <w:szCs w:val="20"/>
          <w:u w:color="000000"/>
          <w:lang w:val="es-MX" w:eastAsia="es-ES"/>
        </w:rPr>
        <w:t xml:space="preserve">. </w:t>
      </w:r>
    </w:p>
    <w:p w14:paraId="0072BBB0" w14:textId="77777777" w:rsidR="00F91C27" w:rsidRPr="00BB250C" w:rsidRDefault="00394DB7"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eastAsia="Cambria" w:hAnsiTheme="majorHAnsi" w:cs="Cambria"/>
          <w:b/>
          <w:color w:val="000000"/>
          <w:sz w:val="20"/>
          <w:szCs w:val="20"/>
          <w:u w:color="000000"/>
          <w:lang w:val="es-MX" w:eastAsia="es-ES"/>
        </w:rPr>
      </w:pPr>
      <w:r w:rsidRPr="00BB250C">
        <w:rPr>
          <w:rFonts w:asciiTheme="majorHAnsi" w:eastAsia="Cambria" w:hAnsiTheme="majorHAnsi" w:cs="Cambria"/>
          <w:b/>
          <w:color w:val="000000"/>
          <w:sz w:val="20"/>
          <w:szCs w:val="20"/>
          <w:u w:color="000000"/>
          <w:lang w:val="es-MX" w:eastAsia="es-ES"/>
        </w:rPr>
        <w:t xml:space="preserve"> </w:t>
      </w:r>
    </w:p>
    <w:p w14:paraId="4C970A35" w14:textId="77777777" w:rsidR="00F91C27" w:rsidRPr="00B93A81" w:rsidRDefault="00394DB7"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eastAsia="Cambria" w:hAnsiTheme="majorHAnsi" w:cs="Cambria"/>
          <w:b/>
          <w:color w:val="000000"/>
          <w:sz w:val="20"/>
          <w:szCs w:val="20"/>
          <w:u w:color="000000"/>
          <w:lang w:val="es-MX" w:eastAsia="es-ES"/>
        </w:rPr>
      </w:pPr>
      <w:r w:rsidRPr="00BB250C">
        <w:rPr>
          <w:rFonts w:asciiTheme="majorHAnsi" w:eastAsia="Cambria" w:hAnsiTheme="majorHAnsi" w:cs="Cambria"/>
          <w:color w:val="000000"/>
          <w:sz w:val="20"/>
          <w:szCs w:val="20"/>
          <w:u w:color="000000"/>
          <w:lang w:val="es-MX" w:eastAsia="es-ES"/>
        </w:rPr>
        <w:t>La jurisprudencia del sistema interamericano contempla que el Estado está obligado, una vez tenga conocimiento de una violación de derechos humanos, en particular de los derechos a la vida, integridad personal y libertad personal</w:t>
      </w:r>
      <w:r w:rsidRPr="00BB250C">
        <w:rPr>
          <w:rFonts w:asciiTheme="majorHAnsi" w:eastAsia="Cambria" w:hAnsiTheme="majorHAnsi" w:cs="Cambria"/>
          <w:color w:val="000000"/>
          <w:sz w:val="20"/>
          <w:szCs w:val="20"/>
          <w:u w:color="000000"/>
          <w:vertAlign w:val="superscript"/>
          <w:lang w:eastAsia="es-ES"/>
        </w:rPr>
        <w:footnoteReference w:id="95"/>
      </w:r>
      <w:r w:rsidRPr="00BB250C">
        <w:rPr>
          <w:rFonts w:asciiTheme="majorHAnsi" w:eastAsia="Cambria" w:hAnsiTheme="majorHAnsi" w:cs="Cambria"/>
          <w:color w:val="000000"/>
          <w:sz w:val="20"/>
          <w:szCs w:val="20"/>
          <w:u w:color="000000"/>
          <w:lang w:val="es-MX" w:eastAsia="es-ES"/>
        </w:rPr>
        <w:t xml:space="preserve">, a iniciar </w:t>
      </w:r>
      <w:r w:rsidRPr="00BB250C">
        <w:rPr>
          <w:rFonts w:asciiTheme="majorHAnsi" w:eastAsia="Cambria" w:hAnsiTheme="majorHAnsi" w:cs="Cambria"/>
          <w:i/>
          <w:color w:val="000000"/>
          <w:sz w:val="20"/>
          <w:szCs w:val="20"/>
          <w:u w:color="000000"/>
          <w:lang w:val="es-MX" w:eastAsia="es-ES"/>
        </w:rPr>
        <w:t>ex officio</w:t>
      </w:r>
      <w:r w:rsidRPr="00BB250C">
        <w:rPr>
          <w:rFonts w:asciiTheme="majorHAnsi" w:eastAsia="Cambria" w:hAnsiTheme="majorHAnsi" w:cs="Cambria"/>
          <w:color w:val="000000"/>
          <w:sz w:val="20"/>
          <w:szCs w:val="20"/>
          <w:u w:color="000000"/>
          <w:lang w:val="es-MX" w:eastAsia="es-ES"/>
        </w:rPr>
        <w:t xml:space="preserve"> y sin dilación, una investigación seria, imparcial y efectiva</w:t>
      </w:r>
      <w:r w:rsidRPr="00BB250C">
        <w:rPr>
          <w:rFonts w:asciiTheme="majorHAnsi" w:eastAsia="Cambria" w:hAnsiTheme="majorHAnsi" w:cs="Cambria"/>
          <w:color w:val="000000"/>
          <w:sz w:val="20"/>
          <w:szCs w:val="20"/>
          <w:u w:color="000000"/>
          <w:vertAlign w:val="superscript"/>
          <w:lang w:eastAsia="es-ES"/>
        </w:rPr>
        <w:footnoteReference w:id="96"/>
      </w:r>
      <w:r w:rsidRPr="00BB250C">
        <w:rPr>
          <w:rFonts w:asciiTheme="majorHAnsi" w:eastAsia="Cambria" w:hAnsiTheme="majorHAnsi" w:cs="Cambria"/>
          <w:color w:val="000000"/>
          <w:sz w:val="20"/>
          <w:szCs w:val="20"/>
          <w:u w:color="000000"/>
          <w:lang w:val="es-MX" w:eastAsia="es-ES"/>
        </w:rPr>
        <w:t>, la cual debe llevarse a cabo en un plazo razonable</w:t>
      </w:r>
      <w:r w:rsidRPr="00BB250C">
        <w:rPr>
          <w:rFonts w:asciiTheme="majorHAnsi" w:eastAsia="Cambria" w:hAnsiTheme="majorHAnsi" w:cs="Cambria"/>
          <w:color w:val="000000"/>
          <w:sz w:val="20"/>
          <w:szCs w:val="20"/>
          <w:u w:color="000000"/>
          <w:vertAlign w:val="superscript"/>
          <w:lang w:eastAsia="es-ES"/>
        </w:rPr>
        <w:footnoteReference w:id="97"/>
      </w:r>
      <w:r w:rsidRPr="00BB250C">
        <w:rPr>
          <w:rFonts w:asciiTheme="majorHAnsi" w:eastAsia="Cambria" w:hAnsiTheme="majorHAnsi" w:cs="Cambria"/>
          <w:color w:val="000000"/>
          <w:sz w:val="20"/>
          <w:szCs w:val="20"/>
          <w:u w:color="000000"/>
          <w:vertAlign w:val="superscript"/>
          <w:lang w:val="es-MX" w:eastAsia="es-ES"/>
        </w:rPr>
        <w:t>.</w:t>
      </w:r>
      <w:r w:rsidRPr="00BB250C">
        <w:rPr>
          <w:rFonts w:asciiTheme="majorHAnsi" w:eastAsia="Cambria" w:hAnsiTheme="majorHAnsi" w:cs="Cambria"/>
          <w:color w:val="000000"/>
          <w:sz w:val="20"/>
          <w:szCs w:val="20"/>
          <w:u w:color="000000"/>
          <w:lang w:val="es-MX" w:eastAsia="es-ES"/>
        </w:rPr>
        <w:t xml:space="preserve"> Esto implica el derecho de las víctimas y sus familiares a que las autoridades estatales inicien un proceso contra los presuntos responsables de estos ilícitos; en su caso, </w:t>
      </w:r>
      <w:r w:rsidRPr="00BB250C">
        <w:rPr>
          <w:rFonts w:asciiTheme="majorHAnsi" w:eastAsia="Cambria" w:hAnsiTheme="majorHAnsi" w:cs="Cambria"/>
          <w:color w:val="000000"/>
          <w:sz w:val="20"/>
          <w:szCs w:val="20"/>
          <w:u w:color="000000"/>
          <w:lang w:val="es-MX" w:eastAsia="es-ES"/>
        </w:rPr>
        <w:lastRenderedPageBreak/>
        <w:t>se les impongan las sanciones pertinentes, y se reparen los daños y perjuicios que dichos familiares hayan sufrido</w:t>
      </w:r>
      <w:r w:rsidRPr="00BB250C">
        <w:rPr>
          <w:rFonts w:asciiTheme="majorHAnsi" w:eastAsia="Cambria" w:hAnsiTheme="majorHAnsi" w:cs="Cambria"/>
          <w:color w:val="000000"/>
          <w:sz w:val="20"/>
          <w:szCs w:val="20"/>
          <w:u w:color="000000"/>
          <w:vertAlign w:val="superscript"/>
          <w:lang w:eastAsia="es-ES"/>
        </w:rPr>
        <w:footnoteReference w:id="98"/>
      </w:r>
      <w:r w:rsidRPr="00BB250C">
        <w:rPr>
          <w:rFonts w:asciiTheme="majorHAnsi" w:eastAsia="Cambria" w:hAnsiTheme="majorHAnsi" w:cs="Cambria"/>
          <w:color w:val="000000"/>
          <w:sz w:val="20"/>
          <w:szCs w:val="20"/>
          <w:u w:color="000000"/>
          <w:lang w:val="es-MX" w:eastAsia="es-ES"/>
        </w:rPr>
        <w:t>.</w:t>
      </w:r>
    </w:p>
    <w:p w14:paraId="596F60BB" w14:textId="77777777" w:rsidR="00B93A81" w:rsidRPr="001E3EBE" w:rsidRDefault="00B93A81" w:rsidP="00B93A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eastAsia="Cambria" w:hAnsiTheme="majorHAnsi" w:cs="Cambria"/>
          <w:b/>
          <w:color w:val="000000"/>
          <w:sz w:val="20"/>
          <w:szCs w:val="20"/>
          <w:u w:color="000000"/>
          <w:lang w:val="es-MX" w:eastAsia="es-ES"/>
        </w:rPr>
      </w:pPr>
    </w:p>
    <w:p w14:paraId="20DEC432" w14:textId="77777777" w:rsidR="00F91C27" w:rsidRPr="008147CF" w:rsidRDefault="00394DB7"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eastAsia="Cambria" w:hAnsiTheme="majorHAnsi" w:cs="Cambria"/>
          <w:b/>
          <w:color w:val="000000"/>
          <w:sz w:val="20"/>
          <w:szCs w:val="20"/>
          <w:u w:color="000000"/>
          <w:lang w:val="es-MX" w:eastAsia="es-ES"/>
        </w:rPr>
      </w:pPr>
      <w:r w:rsidRPr="00BB250C">
        <w:rPr>
          <w:rFonts w:asciiTheme="majorHAnsi" w:eastAsia="Cambria" w:hAnsiTheme="majorHAnsi" w:cs="Cambria"/>
          <w:color w:val="000000"/>
          <w:sz w:val="20"/>
          <w:szCs w:val="20"/>
          <w:u w:color="000000"/>
          <w:lang w:val="es-MX" w:eastAsia="es-ES"/>
        </w:rPr>
        <w:t>Con relación a la investigación de casos de amenazas, la Comisión ha señalado que el deber de prevención no se limita a proporcionar medidas materiales de protección, sino que conlleva la obligación de actuar sobre las causas estructurales que afectan la seguridad de las personas amenazadas. Para cumplir con esta obligación, el Estado debe investigar y esta investigación “debe realizarse de manera inmediata, exhaustiva, seria e imparcial para identificar de dónde provienen las amenazas y sancionar a los responsables, con el objeto de impedir que las amenazas se cumplan”</w:t>
      </w:r>
      <w:r w:rsidRPr="00BB250C">
        <w:rPr>
          <w:rStyle w:val="FootnoteReference"/>
          <w:rFonts w:asciiTheme="majorHAnsi" w:eastAsia="Cambria" w:hAnsiTheme="majorHAnsi" w:cs="Cambria"/>
          <w:color w:val="000000"/>
          <w:sz w:val="20"/>
          <w:szCs w:val="20"/>
          <w:u w:color="000000"/>
          <w:lang w:val="es-MX" w:eastAsia="es-ES"/>
        </w:rPr>
        <w:footnoteReference w:id="99"/>
      </w:r>
      <w:r w:rsidRPr="00BB250C">
        <w:rPr>
          <w:rFonts w:asciiTheme="majorHAnsi" w:eastAsia="Cambria" w:hAnsiTheme="majorHAnsi" w:cs="Cambria"/>
          <w:color w:val="000000"/>
          <w:sz w:val="20"/>
          <w:szCs w:val="20"/>
          <w:u w:color="000000"/>
          <w:lang w:val="es-MX" w:eastAsia="es-ES"/>
        </w:rPr>
        <w:t xml:space="preserve">. La Comisión también ha afirmado que de no presentarse avances en las investigaciones y en la captura de los responsables,  las personas amenazadas pueden enfrentarse a un riesgo de mayor gravedad. </w:t>
      </w:r>
    </w:p>
    <w:p w14:paraId="1D1978F9" w14:textId="77777777" w:rsidR="008147CF" w:rsidRDefault="008147CF"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eastAsia="Cambria" w:hAnsiTheme="majorHAnsi" w:cs="Cambria"/>
          <w:b/>
          <w:color w:val="000000"/>
          <w:sz w:val="20"/>
          <w:szCs w:val="20"/>
          <w:u w:color="000000"/>
          <w:lang w:val="es-MX" w:eastAsia="es-ES"/>
        </w:rPr>
      </w:pPr>
    </w:p>
    <w:p w14:paraId="7542B4E2" w14:textId="77777777" w:rsidR="00F91C27" w:rsidRPr="00BB250C" w:rsidRDefault="00394DB7"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eastAsia="Cambria" w:hAnsiTheme="majorHAnsi" w:cs="Cambria"/>
          <w:b/>
          <w:color w:val="000000"/>
          <w:sz w:val="20"/>
          <w:szCs w:val="20"/>
          <w:u w:color="000000"/>
          <w:lang w:val="es-MX" w:eastAsia="es-ES"/>
        </w:rPr>
      </w:pPr>
      <w:r w:rsidRPr="00BB250C">
        <w:rPr>
          <w:rFonts w:asciiTheme="majorHAnsi" w:eastAsia="Cambria" w:hAnsiTheme="majorHAnsi" w:cs="Cambria"/>
          <w:color w:val="000000"/>
          <w:sz w:val="20"/>
          <w:szCs w:val="20"/>
          <w:u w:color="000000"/>
          <w:lang w:val="es-MX" w:eastAsia="es-ES"/>
        </w:rPr>
        <w:t>La Corte Interamericana ha indicado que el  deber de investigar con la debida diligencia implica que las averiguaciones deben ser realizadas por todos los medios legales disponibles y deben estar orientadas a la determinación de la verdad</w:t>
      </w:r>
      <w:r w:rsidRPr="00BB250C">
        <w:rPr>
          <w:rFonts w:asciiTheme="majorHAnsi" w:eastAsia="Cambria" w:hAnsiTheme="majorHAnsi" w:cs="Cambria"/>
          <w:color w:val="000000"/>
          <w:sz w:val="20"/>
          <w:szCs w:val="20"/>
          <w:u w:color="000000"/>
          <w:vertAlign w:val="superscript"/>
          <w:lang w:eastAsia="es-ES"/>
        </w:rPr>
        <w:footnoteReference w:id="100"/>
      </w:r>
      <w:r w:rsidRPr="00BB250C">
        <w:rPr>
          <w:rFonts w:asciiTheme="majorHAnsi" w:eastAsia="Cambria" w:hAnsiTheme="majorHAnsi" w:cs="Cambria"/>
          <w:color w:val="000000"/>
          <w:sz w:val="20"/>
          <w:szCs w:val="20"/>
          <w:u w:color="000000"/>
          <w:lang w:val="es-MX" w:eastAsia="es-ES"/>
        </w:rPr>
        <w:t xml:space="preserve">.  Asimismo, la Comisión y la Corte han especificado que en casos de violaciones de derechos humanos, el Estado puede ser hallado responsable en caso de no ordenar y practicar pruebas pertinentes conforme al deber de debida diligencia y que la investigación debe estar orientada a explorar todas las </w:t>
      </w:r>
      <w:r w:rsidRPr="00BB250C">
        <w:rPr>
          <w:rFonts w:asciiTheme="majorHAnsi" w:hAnsiTheme="majorHAnsi"/>
          <w:sz w:val="20"/>
          <w:szCs w:val="20"/>
          <w:lang w:val="es-US"/>
        </w:rPr>
        <w:t>las líneas investigativas posibles, que permitan la identificación de los autores de dicha violación</w:t>
      </w:r>
      <w:r w:rsidRPr="00BB250C">
        <w:rPr>
          <w:rStyle w:val="FootnoteReference"/>
          <w:rFonts w:asciiTheme="majorHAnsi" w:hAnsiTheme="majorHAnsi"/>
          <w:sz w:val="20"/>
          <w:szCs w:val="20"/>
        </w:rPr>
        <w:footnoteReference w:id="101"/>
      </w:r>
      <w:r w:rsidRPr="00BB250C">
        <w:rPr>
          <w:rFonts w:asciiTheme="majorHAnsi" w:hAnsiTheme="majorHAnsi"/>
          <w:sz w:val="20"/>
          <w:szCs w:val="20"/>
          <w:lang w:val="es-US"/>
        </w:rPr>
        <w:t xml:space="preserve">. </w:t>
      </w:r>
      <w:r w:rsidRPr="00BB250C">
        <w:rPr>
          <w:rFonts w:asciiTheme="majorHAnsi" w:hAnsiTheme="majorHAnsi"/>
          <w:spacing w:val="-2"/>
          <w:sz w:val="20"/>
          <w:szCs w:val="20"/>
          <w:lang w:val="es-CO"/>
        </w:rPr>
        <w:t>También ha reiterado que en ciertos casos, “la obligación de investigar conlleva el deber de dirigir los esfuerzos del aparato estatal para desentrañar las estructuras que permitieron esas violaciones, sus causas, sus beneficiarios y sus consecuencias”</w:t>
      </w:r>
      <w:r w:rsidRPr="00BB250C">
        <w:rPr>
          <w:rStyle w:val="FootnoteReference"/>
          <w:rFonts w:asciiTheme="majorHAnsi" w:hAnsiTheme="majorHAnsi"/>
          <w:spacing w:val="-2"/>
          <w:sz w:val="20"/>
          <w:szCs w:val="20"/>
        </w:rPr>
        <w:footnoteReference w:id="102"/>
      </w:r>
      <w:r w:rsidRPr="00BB250C">
        <w:rPr>
          <w:rFonts w:asciiTheme="majorHAnsi" w:hAnsiTheme="majorHAnsi"/>
          <w:spacing w:val="-2"/>
          <w:sz w:val="20"/>
          <w:szCs w:val="20"/>
          <w:lang w:val="es-CO"/>
        </w:rPr>
        <w:t>.</w:t>
      </w:r>
    </w:p>
    <w:p w14:paraId="1B22266F" w14:textId="77777777" w:rsidR="00A73BA5" w:rsidRPr="00BB250C" w:rsidRDefault="00A73BA5" w:rsidP="001E3EBE">
      <w:pPr>
        <w:pStyle w:val="ListParagraph"/>
        <w:ind w:left="0"/>
        <w:rPr>
          <w:rFonts w:asciiTheme="majorHAnsi" w:hAnsiTheme="majorHAnsi"/>
          <w:b/>
          <w:sz w:val="20"/>
          <w:szCs w:val="20"/>
          <w:lang w:val="es-MX"/>
        </w:rPr>
      </w:pPr>
    </w:p>
    <w:p w14:paraId="08292C32" w14:textId="77777777" w:rsidR="00A73BA5" w:rsidRPr="00BB250C" w:rsidRDefault="00A73BA5"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BB250C">
        <w:rPr>
          <w:rFonts w:ascii="Cambria" w:hAnsi="Cambria" w:cs="Verdana"/>
          <w:sz w:val="20"/>
          <w:szCs w:val="20"/>
          <w:lang w:val="es-ES"/>
        </w:rPr>
        <w:t>Finalmente, con respecto al principio de plazo razonable contemplado en el artículo 8.1 de la Convención Americana, la Corte Interamericana ha establecido que es preciso tomar en cuenta tres elementos para determinar la razonabilidad del plazo en el que se desarrolla un proceso: a) la complejidad del asunto, b) la actividad procesal del interesado, y c) la conducta de las autoridades judiciales</w:t>
      </w:r>
      <w:r w:rsidRPr="00BB250C">
        <w:rPr>
          <w:rStyle w:val="FootnoteReference"/>
          <w:rFonts w:ascii="Cambria" w:hAnsi="Cambria" w:cs="Verdana"/>
          <w:sz w:val="20"/>
          <w:szCs w:val="20"/>
        </w:rPr>
        <w:footnoteReference w:id="103"/>
      </w:r>
      <w:r w:rsidRPr="00BB250C">
        <w:rPr>
          <w:rFonts w:ascii="Cambria" w:hAnsi="Cambria" w:cs="Verdana"/>
          <w:sz w:val="20"/>
          <w:szCs w:val="20"/>
          <w:lang w:val="es-ES"/>
        </w:rPr>
        <w:t>. Asimismo, la Comisión y la Corte han considerado que también es necesario que se tome en consideración el interés afectado</w:t>
      </w:r>
      <w:r w:rsidRPr="00BB250C">
        <w:rPr>
          <w:rStyle w:val="FootnoteReference"/>
          <w:rFonts w:ascii="Cambria" w:hAnsi="Cambria" w:cs="Verdana"/>
          <w:sz w:val="20"/>
          <w:szCs w:val="20"/>
          <w:lang w:val="es-ES"/>
        </w:rPr>
        <w:footnoteReference w:id="104"/>
      </w:r>
      <w:r w:rsidRPr="00BB250C">
        <w:rPr>
          <w:rFonts w:ascii="Cambria" w:hAnsi="Cambria" w:cs="Verdana"/>
          <w:sz w:val="20"/>
          <w:szCs w:val="20"/>
          <w:lang w:val="es-ES"/>
        </w:rPr>
        <w:t>.</w:t>
      </w:r>
    </w:p>
    <w:p w14:paraId="2E9132A9" w14:textId="77777777" w:rsidR="00F91C27" w:rsidRDefault="00F91C27" w:rsidP="00F91C2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eastAsia="Cambria" w:hAnsiTheme="majorHAnsi" w:cs="Cambria"/>
          <w:b/>
          <w:color w:val="000000"/>
          <w:sz w:val="20"/>
          <w:szCs w:val="20"/>
          <w:highlight w:val="yellow"/>
          <w:u w:color="000000"/>
          <w:lang w:val="es-MX" w:eastAsia="es-ES"/>
        </w:rPr>
      </w:pPr>
    </w:p>
    <w:p w14:paraId="13515597" w14:textId="77777777" w:rsidR="00F91C27" w:rsidRDefault="00F91C27" w:rsidP="001E3EBE">
      <w:pPr>
        <w:pStyle w:val="Heading3"/>
        <w:ind w:left="0" w:firstLine="0"/>
        <w:rPr>
          <w:lang w:val="es-ES"/>
        </w:rPr>
      </w:pPr>
      <w:bookmarkStart w:id="41" w:name="_Toc394820759"/>
      <w:bookmarkStart w:id="42" w:name="_Toc70437026"/>
      <w:r w:rsidRPr="00A229E3">
        <w:rPr>
          <w:lang w:val="es-ES"/>
        </w:rPr>
        <w:t>La debida diligencia en la investigación del secuestro extorsivo de Carlos Arturo Betancourt Estrada</w:t>
      </w:r>
      <w:bookmarkEnd w:id="41"/>
      <w:bookmarkEnd w:id="42"/>
    </w:p>
    <w:p w14:paraId="324D2D51" w14:textId="77777777" w:rsidR="00E51CC0" w:rsidRPr="00E51CC0" w:rsidRDefault="00E51CC0" w:rsidP="001E3EBE">
      <w:pPr>
        <w:jc w:val="both"/>
        <w:rPr>
          <w:b/>
          <w:sz w:val="20"/>
          <w:szCs w:val="20"/>
          <w:lang w:val="es-ES"/>
        </w:rPr>
      </w:pPr>
    </w:p>
    <w:p w14:paraId="55D03D63" w14:textId="77777777" w:rsidR="00F91C27" w:rsidRPr="00A73BA5" w:rsidRDefault="00F91C27"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eastAsia="Cambria" w:hAnsiTheme="majorHAnsi" w:cs="Cambria"/>
          <w:b/>
          <w:color w:val="000000"/>
          <w:sz w:val="20"/>
          <w:szCs w:val="20"/>
          <w:u w:color="000000"/>
          <w:lang w:val="es-MX" w:eastAsia="es-ES"/>
        </w:rPr>
      </w:pPr>
      <w:r w:rsidRPr="00A73BA5">
        <w:rPr>
          <w:rFonts w:asciiTheme="majorHAnsi" w:hAnsiTheme="majorHAnsi"/>
          <w:spacing w:val="-2"/>
          <w:sz w:val="20"/>
          <w:szCs w:val="20"/>
          <w:lang w:val="es-CO"/>
        </w:rPr>
        <w:t>A continuación la Comisión realizará el análisis respecto de la debida diligencia en las investigaciones en relación con la oficiosidad, la conformación de la prueba testimonial y pericial, la protección a los testigos, y el plazo razonable en la investigación</w:t>
      </w:r>
      <w:r w:rsidR="00511B3E" w:rsidRPr="00A73BA5">
        <w:rPr>
          <w:rFonts w:asciiTheme="majorHAnsi" w:hAnsiTheme="majorHAnsi"/>
          <w:spacing w:val="-2"/>
          <w:sz w:val="20"/>
          <w:szCs w:val="20"/>
          <w:lang w:val="es-CO"/>
        </w:rPr>
        <w:t xml:space="preserve"> para determinar el cumplimiento de las obligaciones estatales en relación con </w:t>
      </w:r>
      <w:r w:rsidR="00394D45">
        <w:rPr>
          <w:rFonts w:asciiTheme="majorHAnsi" w:hAnsiTheme="majorHAnsi"/>
          <w:spacing w:val="-2"/>
          <w:sz w:val="20"/>
          <w:szCs w:val="20"/>
          <w:lang w:val="es-CO"/>
        </w:rPr>
        <w:t xml:space="preserve">los </w:t>
      </w:r>
      <w:r w:rsidR="00511B3E" w:rsidRPr="00A73BA5">
        <w:rPr>
          <w:rFonts w:asciiTheme="majorHAnsi" w:hAnsiTheme="majorHAnsi"/>
          <w:spacing w:val="-2"/>
          <w:sz w:val="20"/>
          <w:szCs w:val="20"/>
          <w:lang w:val="es-CO"/>
        </w:rPr>
        <w:t>derecho</w:t>
      </w:r>
      <w:r w:rsidR="00394D45">
        <w:rPr>
          <w:rFonts w:asciiTheme="majorHAnsi" w:hAnsiTheme="majorHAnsi"/>
          <w:spacing w:val="-2"/>
          <w:sz w:val="20"/>
          <w:szCs w:val="20"/>
          <w:lang w:val="es-CO"/>
        </w:rPr>
        <w:t>s</w:t>
      </w:r>
      <w:r w:rsidR="00511B3E" w:rsidRPr="00A73BA5">
        <w:rPr>
          <w:rFonts w:asciiTheme="majorHAnsi" w:hAnsiTheme="majorHAnsi"/>
          <w:spacing w:val="-2"/>
          <w:sz w:val="20"/>
          <w:szCs w:val="20"/>
          <w:lang w:val="es-CO"/>
        </w:rPr>
        <w:t xml:space="preserve"> a las garantías judiciales y la protección judicial.</w:t>
      </w:r>
    </w:p>
    <w:p w14:paraId="30CFEB50" w14:textId="77777777" w:rsidR="00F91C27" w:rsidRPr="00A73BA5" w:rsidRDefault="00F91C27"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eastAsia="Cambria" w:hAnsiTheme="majorHAnsi" w:cs="Cambria"/>
          <w:b/>
          <w:color w:val="000000"/>
          <w:sz w:val="20"/>
          <w:szCs w:val="20"/>
          <w:u w:color="000000"/>
          <w:lang w:val="es-MX" w:eastAsia="es-ES"/>
        </w:rPr>
      </w:pPr>
    </w:p>
    <w:p w14:paraId="33832891" w14:textId="77777777" w:rsidR="00F91C27" w:rsidRPr="00A73BA5" w:rsidRDefault="00F91C27"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eastAsia="Cambria" w:hAnsiTheme="majorHAnsi" w:cs="Cambria"/>
          <w:b/>
          <w:color w:val="000000"/>
          <w:sz w:val="20"/>
          <w:szCs w:val="20"/>
          <w:u w:color="000000"/>
          <w:lang w:val="es-MX" w:eastAsia="es-ES"/>
        </w:rPr>
      </w:pPr>
      <w:r w:rsidRPr="007139AC">
        <w:rPr>
          <w:rFonts w:asciiTheme="majorHAnsi" w:eastAsia="Cambria" w:hAnsiTheme="majorHAnsi" w:cs="Cambria"/>
          <w:color w:val="000000"/>
          <w:sz w:val="20"/>
          <w:szCs w:val="20"/>
          <w:u w:color="000000"/>
          <w:lang w:val="es-MX" w:eastAsia="es-ES"/>
        </w:rPr>
        <w:t>En primer lugar, tal</w:t>
      </w:r>
      <w:r w:rsidRPr="00A73BA5">
        <w:rPr>
          <w:rFonts w:asciiTheme="majorHAnsi" w:eastAsia="Cambria" w:hAnsiTheme="majorHAnsi" w:cs="Cambria"/>
          <w:color w:val="000000"/>
          <w:sz w:val="20"/>
          <w:szCs w:val="20"/>
          <w:u w:color="000000"/>
          <w:lang w:val="es-MX" w:eastAsia="es-ES"/>
        </w:rPr>
        <w:t xml:space="preserve"> como se indicó en la sección anterior, existe un deber de </w:t>
      </w:r>
      <w:r w:rsidR="009B007B">
        <w:rPr>
          <w:rFonts w:asciiTheme="majorHAnsi" w:eastAsia="Cambria" w:hAnsiTheme="majorHAnsi" w:cs="Cambria"/>
          <w:color w:val="000000"/>
          <w:sz w:val="20"/>
          <w:szCs w:val="20"/>
          <w:u w:color="000000"/>
          <w:lang w:val="es-MX" w:eastAsia="es-ES"/>
        </w:rPr>
        <w:t xml:space="preserve">impulso oficioso de las investigaciones </w:t>
      </w:r>
      <w:r w:rsidR="00666CA4" w:rsidRPr="00A73BA5">
        <w:rPr>
          <w:rFonts w:asciiTheme="majorHAnsi" w:eastAsia="Cambria" w:hAnsiTheme="majorHAnsi" w:cs="Cambria"/>
          <w:color w:val="000000"/>
          <w:sz w:val="20"/>
          <w:szCs w:val="20"/>
          <w:u w:color="000000"/>
          <w:lang w:val="es-MX" w:eastAsia="es-ES"/>
        </w:rPr>
        <w:t xml:space="preserve">de violaciones de derechos humanos. En el caso concreto la Comisión observa que tras la interposición de la denuncia </w:t>
      </w:r>
      <w:r w:rsidR="009B007B">
        <w:rPr>
          <w:rFonts w:asciiTheme="majorHAnsi" w:eastAsia="Cambria" w:hAnsiTheme="majorHAnsi" w:cs="Cambria"/>
          <w:color w:val="000000"/>
          <w:sz w:val="20"/>
          <w:szCs w:val="20"/>
          <w:u w:color="000000"/>
          <w:lang w:val="es-MX" w:eastAsia="es-ES"/>
        </w:rPr>
        <w:t xml:space="preserve">el 15 de noviembre de 1999 </w:t>
      </w:r>
      <w:r w:rsidR="00BC0669">
        <w:rPr>
          <w:rFonts w:asciiTheme="majorHAnsi" w:eastAsia="Cambria" w:hAnsiTheme="majorHAnsi" w:cs="Cambria"/>
          <w:color w:val="000000"/>
          <w:sz w:val="20"/>
          <w:szCs w:val="20"/>
          <w:u w:color="000000"/>
          <w:lang w:val="es-MX" w:eastAsia="es-ES"/>
        </w:rPr>
        <w:t>las investigaciones iniciaron el mismo día</w:t>
      </w:r>
      <w:r w:rsidR="00666CA4" w:rsidRPr="00A73BA5">
        <w:rPr>
          <w:rFonts w:asciiTheme="majorHAnsi" w:eastAsia="Cambria" w:hAnsiTheme="majorHAnsi" w:cs="Cambria"/>
          <w:color w:val="000000"/>
          <w:sz w:val="20"/>
          <w:szCs w:val="20"/>
          <w:u w:color="000000"/>
          <w:lang w:val="es-MX" w:eastAsia="es-ES"/>
        </w:rPr>
        <w:t xml:space="preserve">. </w:t>
      </w:r>
      <w:r w:rsidR="0056176B">
        <w:rPr>
          <w:rFonts w:asciiTheme="majorHAnsi" w:eastAsia="Cambria" w:hAnsiTheme="majorHAnsi" w:cs="Cambria"/>
          <w:color w:val="000000"/>
          <w:sz w:val="20"/>
          <w:szCs w:val="20"/>
          <w:u w:color="000000"/>
          <w:lang w:val="es-MX" w:eastAsia="es-ES"/>
        </w:rPr>
        <w:t xml:space="preserve">Sin embargo, </w:t>
      </w:r>
      <w:r w:rsidR="00666CA4" w:rsidRPr="00A73BA5">
        <w:rPr>
          <w:rFonts w:asciiTheme="majorHAnsi" w:eastAsia="Cambria" w:hAnsiTheme="majorHAnsi" w:cs="Cambria"/>
          <w:color w:val="000000"/>
          <w:sz w:val="20"/>
          <w:szCs w:val="20"/>
          <w:u w:color="000000"/>
          <w:lang w:val="es-MX" w:eastAsia="es-ES"/>
        </w:rPr>
        <w:t xml:space="preserve">la CIDH encuentra que </w:t>
      </w:r>
      <w:r w:rsidR="00BC0669">
        <w:rPr>
          <w:rFonts w:asciiTheme="majorHAnsi" w:eastAsia="Cambria" w:hAnsiTheme="majorHAnsi" w:cs="Cambria"/>
          <w:color w:val="000000"/>
          <w:sz w:val="20"/>
          <w:szCs w:val="20"/>
          <w:u w:color="000000"/>
          <w:lang w:val="es-MX" w:eastAsia="es-ES"/>
        </w:rPr>
        <w:t xml:space="preserve">después de la liberación del señor Betancourt y su posterior salida del </w:t>
      </w:r>
      <w:r w:rsidR="00BC0669">
        <w:rPr>
          <w:rFonts w:asciiTheme="majorHAnsi" w:eastAsia="Cambria" w:hAnsiTheme="majorHAnsi" w:cs="Cambria"/>
          <w:color w:val="000000"/>
          <w:sz w:val="20"/>
          <w:szCs w:val="20"/>
          <w:u w:color="000000"/>
          <w:lang w:val="es-MX" w:eastAsia="es-ES"/>
        </w:rPr>
        <w:lastRenderedPageBreak/>
        <w:t xml:space="preserve">territorio colombiano </w:t>
      </w:r>
      <w:r w:rsidR="009B65C9">
        <w:rPr>
          <w:rFonts w:asciiTheme="majorHAnsi" w:eastAsia="Cambria" w:hAnsiTheme="majorHAnsi" w:cs="Cambria"/>
          <w:color w:val="000000"/>
          <w:sz w:val="20"/>
          <w:szCs w:val="20"/>
          <w:u w:color="000000"/>
          <w:lang w:val="es-MX" w:eastAsia="es-ES"/>
        </w:rPr>
        <w:t>con su familia</w:t>
      </w:r>
      <w:r w:rsidR="00BC0669">
        <w:rPr>
          <w:rFonts w:asciiTheme="majorHAnsi" w:eastAsia="Cambria" w:hAnsiTheme="majorHAnsi" w:cs="Cambria"/>
          <w:color w:val="000000"/>
          <w:sz w:val="20"/>
          <w:szCs w:val="20"/>
          <w:u w:color="000000"/>
          <w:lang w:val="es-MX" w:eastAsia="es-ES"/>
        </w:rPr>
        <w:t>, ocurrió un espaciamiento en la práctica de diligencias al punto del archivo del caso cuatro años después. En este sentido,</w:t>
      </w:r>
      <w:r w:rsidR="00B578FF">
        <w:rPr>
          <w:rFonts w:asciiTheme="majorHAnsi" w:eastAsia="Cambria" w:hAnsiTheme="majorHAnsi" w:cs="Cambria"/>
          <w:color w:val="000000"/>
          <w:sz w:val="20"/>
          <w:szCs w:val="20"/>
          <w:u w:color="000000"/>
          <w:lang w:val="es-MX" w:eastAsia="es-ES"/>
        </w:rPr>
        <w:t xml:space="preserve"> y sin perjuicio de lo indicado en la sección anterior, </w:t>
      </w:r>
      <w:r w:rsidR="00F22476">
        <w:rPr>
          <w:rFonts w:asciiTheme="majorHAnsi" w:eastAsia="Cambria" w:hAnsiTheme="majorHAnsi" w:cs="Cambria"/>
          <w:color w:val="000000"/>
          <w:sz w:val="20"/>
          <w:szCs w:val="20"/>
          <w:u w:color="000000"/>
          <w:lang w:val="es-MX" w:eastAsia="es-ES"/>
        </w:rPr>
        <w:t xml:space="preserve">es perceptible un impulso, aunque fuera leve, </w:t>
      </w:r>
      <w:r w:rsidR="00BC0669">
        <w:rPr>
          <w:rFonts w:asciiTheme="majorHAnsi" w:eastAsia="Cambria" w:hAnsiTheme="majorHAnsi" w:cs="Cambria"/>
          <w:color w:val="000000"/>
          <w:sz w:val="20"/>
          <w:szCs w:val="20"/>
          <w:u w:color="000000"/>
          <w:lang w:val="es-MX" w:eastAsia="es-ES"/>
        </w:rPr>
        <w:t>en la investigación</w:t>
      </w:r>
      <w:r w:rsidR="00B578FF">
        <w:rPr>
          <w:rFonts w:asciiTheme="majorHAnsi" w:eastAsia="Cambria" w:hAnsiTheme="majorHAnsi" w:cs="Cambria"/>
          <w:color w:val="000000"/>
          <w:sz w:val="20"/>
          <w:szCs w:val="20"/>
          <w:u w:color="000000"/>
          <w:lang w:val="es-MX" w:eastAsia="es-ES"/>
        </w:rPr>
        <w:t xml:space="preserve"> </w:t>
      </w:r>
      <w:r w:rsidR="00BC0669">
        <w:rPr>
          <w:rFonts w:asciiTheme="majorHAnsi" w:eastAsia="Cambria" w:hAnsiTheme="majorHAnsi" w:cs="Cambria"/>
          <w:color w:val="000000"/>
          <w:sz w:val="20"/>
          <w:szCs w:val="20"/>
          <w:u w:color="000000"/>
          <w:lang w:val="es-MX" w:eastAsia="es-ES"/>
        </w:rPr>
        <w:t>durante la duración del secuestro</w:t>
      </w:r>
      <w:r w:rsidR="00A30D03">
        <w:rPr>
          <w:rFonts w:asciiTheme="majorHAnsi" w:eastAsia="Cambria" w:hAnsiTheme="majorHAnsi" w:cs="Cambria"/>
          <w:color w:val="000000"/>
          <w:sz w:val="20"/>
          <w:szCs w:val="20"/>
          <w:u w:color="000000"/>
          <w:lang w:val="es-MX" w:eastAsia="es-ES"/>
        </w:rPr>
        <w:t>.</w:t>
      </w:r>
      <w:r w:rsidR="00BC0669">
        <w:rPr>
          <w:rFonts w:asciiTheme="majorHAnsi" w:eastAsia="Cambria" w:hAnsiTheme="majorHAnsi" w:cs="Cambria"/>
          <w:color w:val="000000"/>
          <w:sz w:val="20"/>
          <w:szCs w:val="20"/>
          <w:u w:color="000000"/>
          <w:lang w:val="es-MX" w:eastAsia="es-ES"/>
        </w:rPr>
        <w:t xml:space="preserve"> </w:t>
      </w:r>
      <w:r w:rsidR="006C2030">
        <w:rPr>
          <w:rFonts w:asciiTheme="majorHAnsi" w:eastAsia="Cambria" w:hAnsiTheme="majorHAnsi" w:cs="Cambria"/>
          <w:color w:val="000000"/>
          <w:sz w:val="20"/>
          <w:szCs w:val="20"/>
          <w:u w:color="000000"/>
          <w:lang w:val="es-MX" w:eastAsia="es-ES"/>
        </w:rPr>
        <w:t>Sin embargo, después de la salida del país de las víctimas, se produce un decaimiento en la investigación, bajo el argumento de la dificultad del rendimiento de testimonios de personas en el extranjero</w:t>
      </w:r>
      <w:r w:rsidR="0008565A">
        <w:rPr>
          <w:rFonts w:asciiTheme="majorHAnsi" w:eastAsia="Cambria" w:hAnsiTheme="majorHAnsi" w:cs="Cambria"/>
          <w:color w:val="000000"/>
          <w:sz w:val="20"/>
          <w:szCs w:val="20"/>
          <w:u w:color="000000"/>
          <w:lang w:val="es-MX" w:eastAsia="es-ES"/>
        </w:rPr>
        <w:t>, ya que solo se identifica que se tomó la declaración del señor Duque en agosto de 2000</w:t>
      </w:r>
      <w:r w:rsidR="006C2030">
        <w:rPr>
          <w:rFonts w:asciiTheme="majorHAnsi" w:eastAsia="Cambria" w:hAnsiTheme="majorHAnsi" w:cs="Cambria"/>
          <w:color w:val="000000"/>
          <w:sz w:val="20"/>
          <w:szCs w:val="20"/>
          <w:u w:color="000000"/>
          <w:lang w:val="es-MX" w:eastAsia="es-ES"/>
        </w:rPr>
        <w:t xml:space="preserve">. La Comisión no considera que exista un condicionamiento entre el lugar de residencia y la obligación estatal de recabar el acervo probatorio testimonial, más allá del tiempo razonable que puede ocupar la coordinación de la rendición de un testimonio en una jurisdicción diferente. En estos términos, dejar de practicar diligencias </w:t>
      </w:r>
      <w:r w:rsidR="00734730">
        <w:rPr>
          <w:rFonts w:asciiTheme="majorHAnsi" w:eastAsia="Cambria" w:hAnsiTheme="majorHAnsi" w:cs="Cambria"/>
          <w:color w:val="000000"/>
          <w:sz w:val="20"/>
          <w:szCs w:val="20"/>
          <w:u w:color="000000"/>
          <w:lang w:val="es-MX" w:eastAsia="es-ES"/>
        </w:rPr>
        <w:t xml:space="preserve">porque la familia tuvo que salir del país, no se condice con la obligación estatal de impulsar de oficio la investigación </w:t>
      </w:r>
      <w:r w:rsidR="009E2006">
        <w:rPr>
          <w:rFonts w:asciiTheme="majorHAnsi" w:eastAsia="Cambria" w:hAnsiTheme="majorHAnsi" w:cs="Cambria"/>
          <w:color w:val="000000"/>
          <w:sz w:val="20"/>
          <w:szCs w:val="20"/>
          <w:u w:color="000000"/>
          <w:lang w:val="es-MX" w:eastAsia="es-ES"/>
        </w:rPr>
        <w:t xml:space="preserve">en casos </w:t>
      </w:r>
      <w:r w:rsidR="00734730">
        <w:rPr>
          <w:rFonts w:asciiTheme="majorHAnsi" w:eastAsia="Cambria" w:hAnsiTheme="majorHAnsi" w:cs="Cambria"/>
          <w:color w:val="000000"/>
          <w:sz w:val="20"/>
          <w:szCs w:val="20"/>
          <w:u w:color="000000"/>
          <w:lang w:val="es-MX" w:eastAsia="es-ES"/>
        </w:rPr>
        <w:t>de violaciones de derechos humanos</w:t>
      </w:r>
      <w:r w:rsidR="009E2006">
        <w:rPr>
          <w:rFonts w:asciiTheme="majorHAnsi" w:eastAsia="Cambria" w:hAnsiTheme="majorHAnsi" w:cs="Cambria"/>
          <w:color w:val="000000"/>
          <w:sz w:val="20"/>
          <w:szCs w:val="20"/>
          <w:u w:color="000000"/>
          <w:lang w:val="es-MX" w:eastAsia="es-ES"/>
        </w:rPr>
        <w:t xml:space="preserve"> como el presente</w:t>
      </w:r>
      <w:r w:rsidR="00FA104D">
        <w:rPr>
          <w:rFonts w:asciiTheme="majorHAnsi" w:eastAsia="Cambria" w:hAnsiTheme="majorHAnsi" w:cs="Cambria"/>
          <w:color w:val="000000"/>
          <w:sz w:val="20"/>
          <w:szCs w:val="20"/>
          <w:u w:color="000000"/>
          <w:lang w:val="es-MX" w:eastAsia="es-ES"/>
        </w:rPr>
        <w:t>.</w:t>
      </w:r>
      <w:r w:rsidR="00CA3C93">
        <w:rPr>
          <w:rFonts w:asciiTheme="majorHAnsi" w:eastAsia="Cambria" w:hAnsiTheme="majorHAnsi" w:cs="Cambria"/>
          <w:color w:val="000000"/>
          <w:sz w:val="20"/>
          <w:szCs w:val="20"/>
          <w:u w:color="000000"/>
          <w:lang w:val="es-MX" w:eastAsia="es-ES"/>
        </w:rPr>
        <w:t xml:space="preserve"> </w:t>
      </w:r>
    </w:p>
    <w:p w14:paraId="49B8079C" w14:textId="77777777" w:rsidR="00666CA4" w:rsidRDefault="00666CA4"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eastAsia="Cambria" w:hAnsiTheme="majorHAnsi" w:cs="Cambria"/>
          <w:b/>
          <w:color w:val="000000"/>
          <w:sz w:val="20"/>
          <w:szCs w:val="20"/>
          <w:u w:color="000000"/>
          <w:lang w:val="es-MX" w:eastAsia="es-ES"/>
        </w:rPr>
      </w:pPr>
    </w:p>
    <w:p w14:paraId="3408C9B5" w14:textId="77777777" w:rsidR="00553251" w:rsidRPr="00A73BA5" w:rsidRDefault="00553251"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eastAsia="Cambria" w:hAnsiTheme="majorHAnsi" w:cs="Cambria"/>
          <w:b/>
          <w:color w:val="000000"/>
          <w:sz w:val="20"/>
          <w:szCs w:val="20"/>
          <w:u w:color="000000"/>
          <w:lang w:val="es-MX" w:eastAsia="es-ES"/>
        </w:rPr>
      </w:pPr>
      <w:r w:rsidRPr="00A73BA5">
        <w:rPr>
          <w:rFonts w:asciiTheme="majorHAnsi" w:eastAsia="Cambria" w:hAnsiTheme="majorHAnsi" w:cs="Cambria"/>
          <w:color w:val="000000"/>
          <w:sz w:val="20"/>
          <w:szCs w:val="20"/>
          <w:u w:color="000000"/>
          <w:lang w:val="es-MX" w:eastAsia="es-ES"/>
        </w:rPr>
        <w:t>En segundo lugar</w:t>
      </w:r>
      <w:r w:rsidR="00666CA4" w:rsidRPr="00A73BA5">
        <w:rPr>
          <w:rFonts w:asciiTheme="majorHAnsi" w:eastAsia="Cambria" w:hAnsiTheme="majorHAnsi" w:cs="Cambria"/>
          <w:color w:val="000000"/>
          <w:sz w:val="20"/>
          <w:szCs w:val="20"/>
          <w:u w:color="000000"/>
          <w:lang w:val="es-MX" w:eastAsia="es-ES"/>
        </w:rPr>
        <w:t xml:space="preserve">, en relación con la conformación de la prueba testimonial, la CIDH </w:t>
      </w:r>
      <w:r w:rsidR="00153A7C">
        <w:rPr>
          <w:rFonts w:asciiTheme="majorHAnsi" w:eastAsia="Cambria" w:hAnsiTheme="majorHAnsi" w:cs="Cambria"/>
          <w:color w:val="000000"/>
          <w:sz w:val="20"/>
          <w:szCs w:val="20"/>
          <w:u w:color="000000"/>
          <w:lang w:val="es-MX" w:eastAsia="es-ES"/>
        </w:rPr>
        <w:t>nota</w:t>
      </w:r>
      <w:r w:rsidR="00666CA4" w:rsidRPr="00A73BA5">
        <w:rPr>
          <w:rFonts w:asciiTheme="majorHAnsi" w:eastAsia="Cambria" w:hAnsiTheme="majorHAnsi" w:cs="Cambria"/>
          <w:color w:val="000000"/>
          <w:sz w:val="20"/>
          <w:szCs w:val="20"/>
          <w:u w:color="000000"/>
          <w:lang w:val="es-MX" w:eastAsia="es-ES"/>
        </w:rPr>
        <w:t xml:space="preserve"> que  más allá de las declaraci</w:t>
      </w:r>
      <w:r w:rsidR="00734730">
        <w:rPr>
          <w:rFonts w:asciiTheme="majorHAnsi" w:eastAsia="Cambria" w:hAnsiTheme="majorHAnsi" w:cs="Cambria"/>
          <w:color w:val="000000"/>
          <w:sz w:val="20"/>
          <w:szCs w:val="20"/>
          <w:u w:color="000000"/>
          <w:lang w:val="es-MX" w:eastAsia="es-ES"/>
        </w:rPr>
        <w:t>ones tomadas al señor Echeverry</w:t>
      </w:r>
      <w:r w:rsidR="00666CA4" w:rsidRPr="00A73BA5">
        <w:rPr>
          <w:rFonts w:asciiTheme="majorHAnsi" w:eastAsia="Cambria" w:hAnsiTheme="majorHAnsi" w:cs="Cambria"/>
          <w:color w:val="000000"/>
          <w:sz w:val="20"/>
          <w:szCs w:val="20"/>
          <w:u w:color="000000"/>
          <w:lang w:val="es-MX" w:eastAsia="es-ES"/>
        </w:rPr>
        <w:t>, en las horas siguientes al secuestro,</w:t>
      </w:r>
      <w:r w:rsidR="00734730">
        <w:rPr>
          <w:rFonts w:asciiTheme="majorHAnsi" w:eastAsia="Cambria" w:hAnsiTheme="majorHAnsi" w:cs="Cambria"/>
          <w:color w:val="000000"/>
          <w:sz w:val="20"/>
          <w:szCs w:val="20"/>
          <w:u w:color="000000"/>
          <w:lang w:val="es-MX" w:eastAsia="es-ES"/>
        </w:rPr>
        <w:t xml:space="preserve"> y al señor Duque, en agosto de 2000, </w:t>
      </w:r>
      <w:r w:rsidR="00666CA4" w:rsidRPr="00A73BA5">
        <w:rPr>
          <w:rFonts w:asciiTheme="majorHAnsi" w:eastAsia="Cambria" w:hAnsiTheme="majorHAnsi" w:cs="Cambria"/>
          <w:color w:val="000000"/>
          <w:sz w:val="20"/>
          <w:szCs w:val="20"/>
          <w:u w:color="000000"/>
          <w:lang w:val="es-MX" w:eastAsia="es-ES"/>
        </w:rPr>
        <w:t xml:space="preserve">la Fiscalía dejó de </w:t>
      </w:r>
      <w:r w:rsidR="00FA1F3C">
        <w:rPr>
          <w:rFonts w:asciiTheme="majorHAnsi" w:eastAsia="Cambria" w:hAnsiTheme="majorHAnsi" w:cs="Cambria"/>
          <w:color w:val="000000"/>
          <w:sz w:val="20"/>
          <w:szCs w:val="20"/>
          <w:u w:color="000000"/>
          <w:lang w:val="es-MX" w:eastAsia="es-ES"/>
        </w:rPr>
        <w:t xml:space="preserve">lado testimonios cuya necesidad resultaba lógica </w:t>
      </w:r>
      <w:r w:rsidR="00666CA4" w:rsidRPr="00A73BA5">
        <w:rPr>
          <w:rFonts w:asciiTheme="majorHAnsi" w:eastAsia="Cambria" w:hAnsiTheme="majorHAnsi" w:cs="Cambria"/>
          <w:color w:val="000000"/>
          <w:sz w:val="20"/>
          <w:szCs w:val="20"/>
          <w:u w:color="000000"/>
          <w:lang w:val="es-MX" w:eastAsia="es-ES"/>
        </w:rPr>
        <w:t xml:space="preserve">para la investigación del caso. En estos términos, no existe registro de interrogatorio alguno practicado a las personas que presenciaron </w:t>
      </w:r>
      <w:r w:rsidR="0057676C">
        <w:rPr>
          <w:rFonts w:asciiTheme="majorHAnsi" w:eastAsia="Cambria" w:hAnsiTheme="majorHAnsi" w:cs="Cambria"/>
          <w:color w:val="000000"/>
          <w:sz w:val="20"/>
          <w:szCs w:val="20"/>
          <w:u w:color="000000"/>
          <w:lang w:val="es-MX" w:eastAsia="es-ES"/>
        </w:rPr>
        <w:t>el secuestro</w:t>
      </w:r>
      <w:r w:rsidR="00666CA4" w:rsidRPr="00A73BA5">
        <w:rPr>
          <w:rFonts w:asciiTheme="majorHAnsi" w:eastAsia="Cambria" w:hAnsiTheme="majorHAnsi" w:cs="Cambria"/>
          <w:color w:val="000000"/>
          <w:sz w:val="20"/>
          <w:szCs w:val="20"/>
          <w:u w:color="000000"/>
          <w:lang w:val="es-MX" w:eastAsia="es-ES"/>
        </w:rPr>
        <w:t xml:space="preserve"> del señor Betancourt,</w:t>
      </w:r>
      <w:r w:rsidR="00FA1F3C">
        <w:rPr>
          <w:rFonts w:asciiTheme="majorHAnsi" w:eastAsia="Cambria" w:hAnsiTheme="majorHAnsi" w:cs="Cambria"/>
          <w:color w:val="000000"/>
          <w:sz w:val="20"/>
          <w:szCs w:val="20"/>
          <w:u w:color="000000"/>
          <w:lang w:val="es-MX" w:eastAsia="es-ES"/>
        </w:rPr>
        <w:t xml:space="preserve"> y </w:t>
      </w:r>
      <w:r w:rsidR="00944346">
        <w:rPr>
          <w:rFonts w:asciiTheme="majorHAnsi" w:eastAsia="Cambria" w:hAnsiTheme="majorHAnsi" w:cs="Cambria"/>
          <w:color w:val="000000"/>
          <w:sz w:val="20"/>
          <w:szCs w:val="20"/>
          <w:u w:color="000000"/>
          <w:lang w:val="es-MX" w:eastAsia="es-ES"/>
        </w:rPr>
        <w:t>fue</w:t>
      </w:r>
      <w:r w:rsidR="00FA1F3C">
        <w:rPr>
          <w:rFonts w:asciiTheme="majorHAnsi" w:eastAsia="Cambria" w:hAnsiTheme="majorHAnsi" w:cs="Cambria"/>
          <w:color w:val="000000"/>
          <w:sz w:val="20"/>
          <w:szCs w:val="20"/>
          <w:u w:color="000000"/>
          <w:lang w:val="es-MX" w:eastAsia="es-ES"/>
        </w:rPr>
        <w:t xml:space="preserve"> recién </w:t>
      </w:r>
      <w:r w:rsidR="002A136B">
        <w:rPr>
          <w:rFonts w:asciiTheme="majorHAnsi" w:eastAsia="Cambria" w:hAnsiTheme="majorHAnsi" w:cs="Cambria"/>
          <w:color w:val="000000"/>
          <w:sz w:val="20"/>
          <w:szCs w:val="20"/>
          <w:u w:color="000000"/>
          <w:lang w:val="es-MX" w:eastAsia="es-ES"/>
        </w:rPr>
        <w:t xml:space="preserve">en </w:t>
      </w:r>
      <w:r w:rsidR="00FA1F3C">
        <w:rPr>
          <w:rFonts w:asciiTheme="majorHAnsi" w:eastAsia="Cambria" w:hAnsiTheme="majorHAnsi" w:cs="Cambria"/>
          <w:color w:val="000000"/>
          <w:sz w:val="20"/>
          <w:szCs w:val="20"/>
          <w:u w:color="000000"/>
          <w:lang w:val="es-MX" w:eastAsia="es-ES"/>
        </w:rPr>
        <w:t xml:space="preserve">el año 2013 que se tomaron los testimonios del </w:t>
      </w:r>
      <w:r w:rsidR="00666CA4" w:rsidRPr="00A73BA5">
        <w:rPr>
          <w:rFonts w:asciiTheme="majorHAnsi" w:eastAsia="Cambria" w:hAnsiTheme="majorHAnsi" w:cs="Cambria"/>
          <w:color w:val="000000"/>
          <w:sz w:val="20"/>
          <w:szCs w:val="20"/>
          <w:u w:color="000000"/>
          <w:lang w:val="es-MX" w:eastAsia="es-ES"/>
        </w:rPr>
        <w:t>hijo</w:t>
      </w:r>
      <w:r w:rsidR="00FA1F3C">
        <w:rPr>
          <w:rFonts w:asciiTheme="majorHAnsi" w:eastAsia="Cambria" w:hAnsiTheme="majorHAnsi" w:cs="Cambria"/>
          <w:color w:val="000000"/>
          <w:sz w:val="20"/>
          <w:szCs w:val="20"/>
          <w:u w:color="000000"/>
          <w:lang w:val="es-MX" w:eastAsia="es-ES"/>
        </w:rPr>
        <w:t xml:space="preserve"> del señor Betancourt</w:t>
      </w:r>
      <w:r w:rsidR="00666CA4" w:rsidRPr="00A73BA5">
        <w:rPr>
          <w:rFonts w:asciiTheme="majorHAnsi" w:eastAsia="Cambria" w:hAnsiTheme="majorHAnsi" w:cs="Cambria"/>
          <w:color w:val="000000"/>
          <w:sz w:val="20"/>
          <w:szCs w:val="20"/>
          <w:u w:color="000000"/>
          <w:lang w:val="es-MX" w:eastAsia="es-ES"/>
        </w:rPr>
        <w:t xml:space="preserve"> </w:t>
      </w:r>
      <w:r w:rsidR="00FA1F3C">
        <w:rPr>
          <w:rFonts w:asciiTheme="majorHAnsi" w:eastAsia="Cambria" w:hAnsiTheme="majorHAnsi" w:cs="Cambria"/>
          <w:color w:val="000000"/>
          <w:sz w:val="20"/>
          <w:szCs w:val="20"/>
          <w:u w:color="000000"/>
          <w:lang w:val="es-MX" w:eastAsia="es-ES"/>
        </w:rPr>
        <w:t>-</w:t>
      </w:r>
      <w:r w:rsidR="00666CA4" w:rsidRPr="00A73BA5">
        <w:rPr>
          <w:rFonts w:asciiTheme="majorHAnsi" w:eastAsia="Cambria" w:hAnsiTheme="majorHAnsi" w:cs="Cambria"/>
          <w:color w:val="000000"/>
          <w:sz w:val="20"/>
          <w:szCs w:val="20"/>
          <w:u w:color="000000"/>
          <w:lang w:val="es-MX" w:eastAsia="es-ES"/>
        </w:rPr>
        <w:t>qu</w:t>
      </w:r>
      <w:r w:rsidR="00FA1F3C">
        <w:rPr>
          <w:rFonts w:asciiTheme="majorHAnsi" w:eastAsia="Cambria" w:hAnsiTheme="majorHAnsi" w:cs="Cambria"/>
          <w:color w:val="000000"/>
          <w:sz w:val="20"/>
          <w:szCs w:val="20"/>
          <w:u w:color="000000"/>
          <w:lang w:val="es-MX" w:eastAsia="es-ES"/>
        </w:rPr>
        <w:t>i</w:t>
      </w:r>
      <w:r w:rsidR="00666CA4" w:rsidRPr="00A73BA5">
        <w:rPr>
          <w:rFonts w:asciiTheme="majorHAnsi" w:eastAsia="Cambria" w:hAnsiTheme="majorHAnsi" w:cs="Cambria"/>
          <w:color w:val="000000"/>
          <w:sz w:val="20"/>
          <w:szCs w:val="20"/>
          <w:u w:color="000000"/>
          <w:lang w:val="es-MX" w:eastAsia="es-ES"/>
        </w:rPr>
        <w:t>e</w:t>
      </w:r>
      <w:r w:rsidR="00FA1F3C">
        <w:rPr>
          <w:rFonts w:asciiTheme="majorHAnsi" w:eastAsia="Cambria" w:hAnsiTheme="majorHAnsi" w:cs="Cambria"/>
          <w:color w:val="000000"/>
          <w:sz w:val="20"/>
          <w:szCs w:val="20"/>
          <w:u w:color="000000"/>
          <w:lang w:val="es-MX" w:eastAsia="es-ES"/>
        </w:rPr>
        <w:t>n</w:t>
      </w:r>
      <w:r w:rsidR="00666CA4" w:rsidRPr="00A73BA5">
        <w:rPr>
          <w:rFonts w:asciiTheme="majorHAnsi" w:eastAsia="Cambria" w:hAnsiTheme="majorHAnsi" w:cs="Cambria"/>
          <w:color w:val="000000"/>
          <w:sz w:val="20"/>
          <w:szCs w:val="20"/>
          <w:u w:color="000000"/>
          <w:lang w:val="es-MX" w:eastAsia="es-ES"/>
        </w:rPr>
        <w:t xml:space="preserve"> tuvo contacto </w:t>
      </w:r>
      <w:r w:rsidRPr="00A73BA5">
        <w:rPr>
          <w:rFonts w:asciiTheme="majorHAnsi" w:eastAsia="Cambria" w:hAnsiTheme="majorHAnsi" w:cs="Cambria"/>
          <w:color w:val="000000"/>
          <w:sz w:val="20"/>
          <w:szCs w:val="20"/>
          <w:u w:color="000000"/>
          <w:lang w:val="es-MX" w:eastAsia="es-ES"/>
        </w:rPr>
        <w:t>directo de los secuestradores</w:t>
      </w:r>
      <w:r w:rsidR="00734730">
        <w:rPr>
          <w:rFonts w:asciiTheme="majorHAnsi" w:eastAsia="Cambria" w:hAnsiTheme="majorHAnsi" w:cs="Cambria"/>
          <w:color w:val="000000"/>
          <w:sz w:val="20"/>
          <w:szCs w:val="20"/>
          <w:u w:color="000000"/>
          <w:lang w:val="es-MX" w:eastAsia="es-ES"/>
        </w:rPr>
        <w:t xml:space="preserve"> el día de la abducción</w:t>
      </w:r>
      <w:r w:rsidR="00FA1F3C">
        <w:rPr>
          <w:rFonts w:asciiTheme="majorHAnsi" w:eastAsia="Cambria" w:hAnsiTheme="majorHAnsi" w:cs="Cambria"/>
          <w:color w:val="000000"/>
          <w:sz w:val="20"/>
          <w:szCs w:val="20"/>
          <w:u w:color="000000"/>
          <w:lang w:val="es-MX" w:eastAsia="es-ES"/>
        </w:rPr>
        <w:t>-</w:t>
      </w:r>
      <w:r w:rsidRPr="00A73BA5">
        <w:rPr>
          <w:rFonts w:asciiTheme="majorHAnsi" w:eastAsia="Cambria" w:hAnsiTheme="majorHAnsi" w:cs="Cambria"/>
          <w:color w:val="000000"/>
          <w:sz w:val="20"/>
          <w:szCs w:val="20"/>
          <w:u w:color="000000"/>
          <w:lang w:val="es-MX" w:eastAsia="es-ES"/>
        </w:rPr>
        <w:t xml:space="preserve">, </w:t>
      </w:r>
      <w:r w:rsidR="00FA1F3C">
        <w:rPr>
          <w:rFonts w:asciiTheme="majorHAnsi" w:eastAsia="Cambria" w:hAnsiTheme="majorHAnsi" w:cs="Cambria"/>
          <w:color w:val="000000"/>
          <w:sz w:val="20"/>
          <w:szCs w:val="20"/>
          <w:u w:color="000000"/>
          <w:lang w:val="es-MX" w:eastAsia="es-ES"/>
        </w:rPr>
        <w:t>y de otros</w:t>
      </w:r>
      <w:r w:rsidRPr="00A73BA5">
        <w:rPr>
          <w:rFonts w:asciiTheme="majorHAnsi" w:eastAsia="Cambria" w:hAnsiTheme="majorHAnsi" w:cs="Cambria"/>
          <w:color w:val="000000"/>
          <w:sz w:val="20"/>
          <w:szCs w:val="20"/>
          <w:u w:color="000000"/>
          <w:lang w:val="es-MX" w:eastAsia="es-ES"/>
        </w:rPr>
        <w:t xml:space="preserve"> miembros de la familia que negociaron el rescate de la </w:t>
      </w:r>
      <w:r w:rsidR="00FA1F3C" w:rsidRPr="00A73BA5">
        <w:rPr>
          <w:rFonts w:asciiTheme="majorHAnsi" w:eastAsia="Cambria" w:hAnsiTheme="majorHAnsi" w:cs="Cambria"/>
          <w:color w:val="000000"/>
          <w:sz w:val="20"/>
          <w:szCs w:val="20"/>
          <w:u w:color="000000"/>
          <w:lang w:val="es-MX" w:eastAsia="es-ES"/>
        </w:rPr>
        <w:t>víctima</w:t>
      </w:r>
      <w:r w:rsidR="00FA1F3C">
        <w:rPr>
          <w:rFonts w:asciiTheme="majorHAnsi" w:eastAsia="Cambria" w:hAnsiTheme="majorHAnsi" w:cs="Cambria"/>
          <w:color w:val="000000"/>
          <w:sz w:val="20"/>
          <w:szCs w:val="20"/>
          <w:u w:color="000000"/>
          <w:lang w:val="es-MX" w:eastAsia="es-ES"/>
        </w:rPr>
        <w:t>.</w:t>
      </w:r>
      <w:r w:rsidRPr="00A73BA5">
        <w:rPr>
          <w:rFonts w:asciiTheme="majorHAnsi" w:eastAsia="Cambria" w:hAnsiTheme="majorHAnsi" w:cs="Cambria"/>
          <w:color w:val="000000"/>
          <w:sz w:val="20"/>
          <w:szCs w:val="20"/>
          <w:u w:color="000000"/>
          <w:lang w:val="es-MX" w:eastAsia="es-ES"/>
        </w:rPr>
        <w:t xml:space="preserve"> En esta misma línea, la Comisión toma nota de que de acuerdo con la información que se desprende del expediente, los secuestradores manipularon los vehículos de las </w:t>
      </w:r>
      <w:r w:rsidR="00A73BA5" w:rsidRPr="00A73BA5">
        <w:rPr>
          <w:rFonts w:asciiTheme="majorHAnsi" w:eastAsia="Cambria" w:hAnsiTheme="majorHAnsi" w:cs="Cambria"/>
          <w:color w:val="000000"/>
          <w:sz w:val="20"/>
          <w:szCs w:val="20"/>
          <w:u w:color="000000"/>
          <w:lang w:val="es-MX" w:eastAsia="es-ES"/>
        </w:rPr>
        <w:t>personas</w:t>
      </w:r>
      <w:r w:rsidRPr="00A73BA5">
        <w:rPr>
          <w:rFonts w:asciiTheme="majorHAnsi" w:eastAsia="Cambria" w:hAnsiTheme="majorHAnsi" w:cs="Cambria"/>
          <w:color w:val="000000"/>
          <w:sz w:val="20"/>
          <w:szCs w:val="20"/>
          <w:u w:color="000000"/>
          <w:lang w:val="es-MX" w:eastAsia="es-ES"/>
        </w:rPr>
        <w:t xml:space="preserve"> presentes </w:t>
      </w:r>
      <w:r w:rsidR="00FA1F3C">
        <w:rPr>
          <w:rFonts w:asciiTheme="majorHAnsi" w:eastAsia="Cambria" w:hAnsiTheme="majorHAnsi" w:cs="Cambria"/>
          <w:color w:val="000000"/>
          <w:sz w:val="20"/>
          <w:szCs w:val="20"/>
          <w:u w:color="000000"/>
          <w:lang w:val="es-MX" w:eastAsia="es-ES"/>
        </w:rPr>
        <w:t xml:space="preserve">en la finca de donde se raptó al señor Betancourt </w:t>
      </w:r>
      <w:r w:rsidRPr="00A73BA5">
        <w:rPr>
          <w:rFonts w:asciiTheme="majorHAnsi" w:eastAsia="Cambria" w:hAnsiTheme="majorHAnsi" w:cs="Cambria"/>
          <w:color w:val="000000"/>
          <w:sz w:val="20"/>
          <w:szCs w:val="20"/>
          <w:u w:color="000000"/>
          <w:lang w:val="es-MX" w:eastAsia="es-ES"/>
        </w:rPr>
        <w:t xml:space="preserve">e incluso se llevaron </w:t>
      </w:r>
      <w:r w:rsidR="00FA1F3C">
        <w:rPr>
          <w:rFonts w:asciiTheme="majorHAnsi" w:eastAsia="Cambria" w:hAnsiTheme="majorHAnsi" w:cs="Cambria"/>
          <w:color w:val="000000"/>
          <w:sz w:val="20"/>
          <w:szCs w:val="20"/>
          <w:u w:color="000000"/>
          <w:lang w:val="es-MX" w:eastAsia="es-ES"/>
        </w:rPr>
        <w:t>el vehículo del señor Echeverry</w:t>
      </w:r>
      <w:r w:rsidRPr="00A73BA5">
        <w:rPr>
          <w:rFonts w:asciiTheme="majorHAnsi" w:eastAsia="Cambria" w:hAnsiTheme="majorHAnsi" w:cs="Cambria"/>
          <w:color w:val="000000"/>
          <w:sz w:val="20"/>
          <w:szCs w:val="20"/>
          <w:u w:color="000000"/>
          <w:lang w:val="es-MX" w:eastAsia="es-ES"/>
        </w:rPr>
        <w:t>. Estos vehículos no fueron sometidos a pruebas periciales para determinar si es que de los mismos se podría haber extraído algún tipo de evidencia forense</w:t>
      </w:r>
      <w:r w:rsidR="00FA1F3C">
        <w:rPr>
          <w:rFonts w:asciiTheme="majorHAnsi" w:eastAsia="Cambria" w:hAnsiTheme="majorHAnsi" w:cs="Cambria"/>
          <w:color w:val="000000"/>
          <w:sz w:val="20"/>
          <w:szCs w:val="20"/>
          <w:u w:color="000000"/>
          <w:lang w:val="es-MX" w:eastAsia="es-ES"/>
        </w:rPr>
        <w:t xml:space="preserve"> (huellas dactilares o material genético) para la identificación de los perpetradores</w:t>
      </w:r>
      <w:r w:rsidRPr="00A73BA5">
        <w:rPr>
          <w:rFonts w:asciiTheme="majorHAnsi" w:eastAsia="Cambria" w:hAnsiTheme="majorHAnsi" w:cs="Cambria"/>
          <w:color w:val="000000"/>
          <w:sz w:val="20"/>
          <w:szCs w:val="20"/>
          <w:u w:color="000000"/>
          <w:lang w:val="es-MX" w:eastAsia="es-ES"/>
        </w:rPr>
        <w:t>.</w:t>
      </w:r>
    </w:p>
    <w:p w14:paraId="502EFD05" w14:textId="77777777" w:rsidR="00553251" w:rsidRPr="00A73BA5" w:rsidRDefault="00553251"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eastAsia="Cambria" w:hAnsiTheme="majorHAnsi" w:cs="Cambria"/>
          <w:b/>
          <w:color w:val="000000"/>
          <w:sz w:val="20"/>
          <w:szCs w:val="20"/>
          <w:u w:color="000000"/>
          <w:lang w:val="es-MX" w:eastAsia="es-ES"/>
        </w:rPr>
      </w:pPr>
    </w:p>
    <w:p w14:paraId="35AD819B" w14:textId="77777777" w:rsidR="00153A7C" w:rsidRPr="00153A7C" w:rsidRDefault="00553251"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eastAsia="Cambria" w:hAnsiTheme="majorHAnsi" w:cs="Cambria"/>
          <w:b/>
          <w:color w:val="000000"/>
          <w:sz w:val="20"/>
          <w:szCs w:val="20"/>
          <w:u w:color="000000"/>
          <w:lang w:val="es-MX" w:eastAsia="es-ES"/>
        </w:rPr>
      </w:pPr>
      <w:r w:rsidRPr="00A73BA5">
        <w:rPr>
          <w:rFonts w:asciiTheme="majorHAnsi" w:eastAsia="Cambria" w:hAnsiTheme="majorHAnsi" w:cs="Cambria"/>
          <w:color w:val="000000"/>
          <w:sz w:val="20"/>
          <w:szCs w:val="20"/>
          <w:u w:color="000000"/>
          <w:lang w:val="es-MX" w:eastAsia="es-ES"/>
        </w:rPr>
        <w:t>En tercer lugar,</w:t>
      </w:r>
      <w:r w:rsidR="00DD6A2A">
        <w:rPr>
          <w:rFonts w:asciiTheme="majorHAnsi" w:eastAsia="Cambria" w:hAnsiTheme="majorHAnsi" w:cs="Cambria"/>
          <w:color w:val="000000"/>
          <w:sz w:val="20"/>
          <w:szCs w:val="20"/>
          <w:u w:color="000000"/>
          <w:lang w:val="es-MX" w:eastAsia="es-ES"/>
        </w:rPr>
        <w:t xml:space="preserve"> y relacionado con lo anterior, la Comisión encuentra que personas que estuvieron en la casa el día del secuestro, no rindieron su testimonio ante las autoridades por encontrarse “muy temerosas por la situación”. Sobre esto, la CIDH encuentra que es responsabilidad del Estado </w:t>
      </w:r>
      <w:r w:rsidR="00215763">
        <w:rPr>
          <w:rFonts w:asciiTheme="majorHAnsi" w:eastAsia="Cambria" w:hAnsiTheme="majorHAnsi" w:cs="Cambria"/>
          <w:color w:val="000000"/>
          <w:sz w:val="20"/>
          <w:szCs w:val="20"/>
          <w:u w:color="000000"/>
          <w:lang w:val="es-MX" w:eastAsia="es-ES"/>
        </w:rPr>
        <w:t xml:space="preserve">adoptar las medidas necesarias para proteger a los testigos, </w:t>
      </w:r>
      <w:r w:rsidR="00036249">
        <w:rPr>
          <w:rFonts w:asciiTheme="majorHAnsi" w:eastAsia="Cambria" w:hAnsiTheme="majorHAnsi" w:cs="Cambria"/>
          <w:color w:val="000000"/>
          <w:sz w:val="20"/>
          <w:szCs w:val="20"/>
          <w:u w:color="000000"/>
          <w:lang w:val="es-MX" w:eastAsia="es-ES"/>
        </w:rPr>
        <w:t>por lo que la falta de declaraciones de testigos presentes el día de la abducción del señor Betancourt, por la falta de garantías para su seguridad personal es contrario a las obligaciones de debida diligencia en este tipo de investigaciones</w:t>
      </w:r>
      <w:r w:rsidR="004C41DF">
        <w:rPr>
          <w:rFonts w:asciiTheme="majorHAnsi" w:eastAsia="Cambria" w:hAnsiTheme="majorHAnsi" w:cs="Cambria"/>
          <w:color w:val="000000"/>
          <w:sz w:val="20"/>
          <w:szCs w:val="20"/>
          <w:u w:color="000000"/>
          <w:lang w:val="es-MX" w:eastAsia="es-ES"/>
        </w:rPr>
        <w:t>, además de lo ya indicado en el aná</w:t>
      </w:r>
      <w:r w:rsidR="00512D38">
        <w:rPr>
          <w:rFonts w:asciiTheme="majorHAnsi" w:eastAsia="Cambria" w:hAnsiTheme="majorHAnsi" w:cs="Cambria"/>
          <w:color w:val="000000"/>
          <w:sz w:val="20"/>
          <w:szCs w:val="20"/>
          <w:u w:color="000000"/>
          <w:lang w:val="es-MX" w:eastAsia="es-ES"/>
        </w:rPr>
        <w:t>lisis del deber de protección en el presente informe.</w:t>
      </w:r>
      <w:r w:rsidR="00036249">
        <w:rPr>
          <w:rFonts w:asciiTheme="majorHAnsi" w:eastAsia="Cambria" w:hAnsiTheme="majorHAnsi" w:cs="Cambria"/>
          <w:color w:val="000000"/>
          <w:sz w:val="20"/>
          <w:szCs w:val="20"/>
          <w:u w:color="000000"/>
          <w:lang w:val="es-MX" w:eastAsia="es-ES"/>
        </w:rPr>
        <w:t xml:space="preserve"> </w:t>
      </w:r>
    </w:p>
    <w:p w14:paraId="5C51FA83" w14:textId="77777777" w:rsidR="00153A7C" w:rsidRDefault="00153A7C" w:rsidP="001E3EBE">
      <w:pPr>
        <w:pStyle w:val="ListParagraph"/>
        <w:ind w:left="0"/>
        <w:rPr>
          <w:rFonts w:asciiTheme="majorHAnsi" w:hAnsiTheme="majorHAnsi"/>
          <w:sz w:val="20"/>
          <w:szCs w:val="20"/>
          <w:lang w:val="es-MX"/>
        </w:rPr>
      </w:pPr>
    </w:p>
    <w:p w14:paraId="5004604F" w14:textId="77777777" w:rsidR="00E64734" w:rsidRPr="00EB53B6" w:rsidRDefault="00153A7C"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eastAsia="Cambria" w:hAnsiTheme="majorHAnsi" w:cs="Cambria"/>
          <w:b/>
          <w:color w:val="000000"/>
          <w:sz w:val="20"/>
          <w:szCs w:val="20"/>
          <w:u w:color="000000"/>
          <w:lang w:val="es-MX" w:eastAsia="es-ES"/>
        </w:rPr>
      </w:pPr>
      <w:r>
        <w:rPr>
          <w:rFonts w:asciiTheme="majorHAnsi" w:eastAsia="Cambria" w:hAnsiTheme="majorHAnsi" w:cs="Cambria"/>
          <w:color w:val="000000"/>
          <w:sz w:val="20"/>
          <w:szCs w:val="20"/>
          <w:u w:color="000000"/>
          <w:lang w:val="es-MX" w:eastAsia="es-ES"/>
        </w:rPr>
        <w:t xml:space="preserve">En cuarto lugar, </w:t>
      </w:r>
      <w:r w:rsidR="00553251" w:rsidRPr="00A73BA5">
        <w:rPr>
          <w:rFonts w:asciiTheme="majorHAnsi" w:eastAsia="Cambria" w:hAnsiTheme="majorHAnsi" w:cs="Cambria"/>
          <w:color w:val="000000"/>
          <w:sz w:val="20"/>
          <w:szCs w:val="20"/>
          <w:u w:color="000000"/>
          <w:lang w:val="es-MX" w:eastAsia="es-ES"/>
        </w:rPr>
        <w:t xml:space="preserve">la Comisión encuentra que es necesario analizar estas ausencias en la investigación en el marco del contexto mencionado en este informe, según el cual la proliferación del secuestro extorsivo y la falta de persecución judicial de los perpetradores de los mismos, era una situación cuya ocurrencia ha sido documentada. En estos términos, en tanto que la situación descrita coincide con el contexto </w:t>
      </w:r>
      <w:r w:rsidR="00E64734" w:rsidRPr="00A73BA5">
        <w:rPr>
          <w:rFonts w:asciiTheme="majorHAnsi" w:eastAsia="Cambria" w:hAnsiTheme="majorHAnsi" w:cs="Cambria"/>
          <w:color w:val="000000"/>
          <w:sz w:val="20"/>
          <w:szCs w:val="20"/>
          <w:u w:color="000000"/>
          <w:lang w:val="es-MX" w:eastAsia="es-ES"/>
        </w:rPr>
        <w:t>mencionado</w:t>
      </w:r>
      <w:r w:rsidR="008E3FE4">
        <w:rPr>
          <w:rFonts w:asciiTheme="majorHAnsi" w:eastAsia="Cambria" w:hAnsiTheme="majorHAnsi" w:cs="Cambria"/>
          <w:color w:val="000000"/>
          <w:sz w:val="20"/>
          <w:szCs w:val="20"/>
          <w:u w:color="000000"/>
          <w:lang w:val="es-MX" w:eastAsia="es-ES"/>
        </w:rPr>
        <w:t xml:space="preserve"> en el cual </w:t>
      </w:r>
      <w:r w:rsidR="00E64734" w:rsidRPr="00A73BA5">
        <w:rPr>
          <w:rFonts w:asciiTheme="majorHAnsi" w:eastAsia="Cambria" w:hAnsiTheme="majorHAnsi" w:cs="Cambria"/>
          <w:color w:val="000000"/>
          <w:sz w:val="20"/>
          <w:szCs w:val="20"/>
          <w:u w:color="000000"/>
          <w:lang w:val="es-MX" w:eastAsia="es-ES"/>
        </w:rPr>
        <w:t>la falta de respuesta judicial</w:t>
      </w:r>
      <w:r w:rsidR="00D73A92">
        <w:rPr>
          <w:rFonts w:asciiTheme="majorHAnsi" w:eastAsia="Cambria" w:hAnsiTheme="majorHAnsi" w:cs="Cambria"/>
          <w:color w:val="000000"/>
          <w:sz w:val="20"/>
          <w:szCs w:val="20"/>
          <w:u w:color="000000"/>
          <w:lang w:val="es-MX" w:eastAsia="es-ES"/>
        </w:rPr>
        <w:t xml:space="preserve"> efectiva</w:t>
      </w:r>
      <w:r w:rsidR="00E64734" w:rsidRPr="00A73BA5">
        <w:rPr>
          <w:rFonts w:asciiTheme="majorHAnsi" w:eastAsia="Cambria" w:hAnsiTheme="majorHAnsi" w:cs="Cambria"/>
          <w:color w:val="000000"/>
          <w:sz w:val="20"/>
          <w:szCs w:val="20"/>
          <w:u w:color="000000"/>
          <w:lang w:val="es-MX" w:eastAsia="es-ES"/>
        </w:rPr>
        <w:t xml:space="preserve"> </w:t>
      </w:r>
      <w:r w:rsidR="00D73A92">
        <w:rPr>
          <w:rFonts w:asciiTheme="majorHAnsi" w:eastAsia="Cambria" w:hAnsiTheme="majorHAnsi" w:cs="Cambria"/>
          <w:color w:val="000000"/>
          <w:sz w:val="20"/>
          <w:szCs w:val="20"/>
          <w:u w:color="000000"/>
          <w:lang w:val="es-MX" w:eastAsia="es-ES"/>
        </w:rPr>
        <w:t>hizo parte de</w:t>
      </w:r>
      <w:r w:rsidR="0008565A">
        <w:rPr>
          <w:rFonts w:asciiTheme="majorHAnsi" w:eastAsia="Cambria" w:hAnsiTheme="majorHAnsi" w:cs="Cambria"/>
          <w:color w:val="000000"/>
          <w:sz w:val="20"/>
          <w:szCs w:val="20"/>
          <w:u w:color="000000"/>
          <w:lang w:val="es-MX" w:eastAsia="es-ES"/>
        </w:rPr>
        <w:t>l desborde operativo y de</w:t>
      </w:r>
      <w:r w:rsidR="00E64734" w:rsidRPr="00A73BA5">
        <w:rPr>
          <w:rFonts w:asciiTheme="majorHAnsi" w:eastAsia="Cambria" w:hAnsiTheme="majorHAnsi" w:cs="Cambria"/>
          <w:color w:val="000000"/>
          <w:sz w:val="20"/>
          <w:szCs w:val="20"/>
          <w:u w:color="000000"/>
          <w:lang w:val="es-MX" w:eastAsia="es-ES"/>
        </w:rPr>
        <w:t xml:space="preserve"> una situación</w:t>
      </w:r>
      <w:r w:rsidR="00C06FAD">
        <w:rPr>
          <w:rFonts w:asciiTheme="majorHAnsi" w:eastAsia="Cambria" w:hAnsiTheme="majorHAnsi" w:cs="Cambria"/>
          <w:color w:val="000000"/>
          <w:sz w:val="20"/>
          <w:szCs w:val="20"/>
          <w:u w:color="000000"/>
          <w:lang w:val="es-MX" w:eastAsia="es-ES"/>
        </w:rPr>
        <w:t xml:space="preserve"> más general</w:t>
      </w:r>
      <w:r w:rsidR="00E64734" w:rsidRPr="00A73BA5">
        <w:rPr>
          <w:rFonts w:asciiTheme="majorHAnsi" w:eastAsia="Cambria" w:hAnsiTheme="majorHAnsi" w:cs="Cambria"/>
          <w:color w:val="000000"/>
          <w:sz w:val="20"/>
          <w:szCs w:val="20"/>
          <w:u w:color="000000"/>
          <w:lang w:val="es-MX" w:eastAsia="es-ES"/>
        </w:rPr>
        <w:t xml:space="preserve"> de impunidad. </w:t>
      </w:r>
    </w:p>
    <w:p w14:paraId="52EFA60B" w14:textId="77777777" w:rsidR="00606A43" w:rsidRDefault="00606A43" w:rsidP="001E3EBE">
      <w:pPr>
        <w:pStyle w:val="ListParagraph"/>
        <w:ind w:left="0"/>
        <w:rPr>
          <w:rFonts w:asciiTheme="majorHAnsi" w:hAnsiTheme="majorHAnsi"/>
          <w:b/>
          <w:sz w:val="20"/>
          <w:szCs w:val="20"/>
          <w:lang w:val="es-MX"/>
        </w:rPr>
      </w:pPr>
    </w:p>
    <w:p w14:paraId="4EC1CAB0" w14:textId="77777777" w:rsidR="00606A43" w:rsidRPr="00EB53B6" w:rsidRDefault="00606A43"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eastAsia="Cambria" w:hAnsiTheme="majorHAnsi" w:cs="Cambria"/>
          <w:b/>
          <w:color w:val="000000"/>
          <w:sz w:val="20"/>
          <w:szCs w:val="20"/>
          <w:u w:color="000000"/>
          <w:lang w:val="es-MX" w:eastAsia="es-ES"/>
        </w:rPr>
      </w:pPr>
      <w:r>
        <w:rPr>
          <w:rFonts w:asciiTheme="majorHAnsi" w:eastAsia="Cambria" w:hAnsiTheme="majorHAnsi" w:cs="Cambria"/>
          <w:color w:val="000000"/>
          <w:sz w:val="20"/>
          <w:szCs w:val="20"/>
          <w:u w:color="000000"/>
          <w:lang w:val="es-MX" w:eastAsia="es-ES"/>
        </w:rPr>
        <w:t xml:space="preserve">En quinto lugar, la Comisión observa en ningún momento de la investigación </w:t>
      </w:r>
      <w:r w:rsidR="00A71764">
        <w:rPr>
          <w:rFonts w:asciiTheme="majorHAnsi" w:eastAsia="Cambria" w:hAnsiTheme="majorHAnsi" w:cs="Cambria"/>
          <w:color w:val="000000"/>
          <w:sz w:val="20"/>
          <w:szCs w:val="20"/>
          <w:u w:color="000000"/>
          <w:lang w:val="es-MX" w:eastAsia="es-ES"/>
        </w:rPr>
        <w:t xml:space="preserve">se dispusieron medidas concretas para procurar </w:t>
      </w:r>
      <w:r w:rsidRPr="00606A43">
        <w:rPr>
          <w:rFonts w:ascii="Cambria" w:hAnsi="Cambria"/>
          <w:sz w:val="20"/>
          <w:szCs w:val="20"/>
          <w:lang w:val="es-ES"/>
        </w:rPr>
        <w:t>el posterior rastreo y recuperación del dinero pagado en el rescate. Esto cobra especial relevancia dado que el Estado conoció el punto de entrega del dinero del rescate y hasta acompañó el mismo en cierto tramo, sin embargo, la Comisión no observa que esta información fuera utilizada en las labores de inteligencia e investigación.</w:t>
      </w:r>
    </w:p>
    <w:p w14:paraId="7B89A1D8" w14:textId="77777777" w:rsidR="00582B33" w:rsidRDefault="00582B33" w:rsidP="001E3EBE">
      <w:pPr>
        <w:pStyle w:val="ListParagraph"/>
        <w:ind w:left="0"/>
        <w:rPr>
          <w:rFonts w:asciiTheme="majorHAnsi" w:hAnsiTheme="majorHAnsi"/>
          <w:b/>
          <w:sz w:val="20"/>
          <w:szCs w:val="20"/>
          <w:lang w:val="es-MX"/>
        </w:rPr>
      </w:pPr>
    </w:p>
    <w:p w14:paraId="6A12C87D" w14:textId="77777777" w:rsidR="00606A43" w:rsidRPr="00EB53B6" w:rsidRDefault="00582B33"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eastAsia="Cambria" w:hAnsiTheme="majorHAnsi" w:cs="Cambria"/>
          <w:b/>
          <w:color w:val="000000"/>
          <w:sz w:val="20"/>
          <w:szCs w:val="20"/>
          <w:u w:color="000000"/>
          <w:lang w:val="es-MX" w:eastAsia="es-ES"/>
        </w:rPr>
      </w:pPr>
      <w:r>
        <w:rPr>
          <w:rFonts w:asciiTheme="majorHAnsi" w:eastAsia="Cambria" w:hAnsiTheme="majorHAnsi" w:cs="Cambria"/>
          <w:color w:val="000000"/>
          <w:sz w:val="20"/>
          <w:szCs w:val="20"/>
          <w:u w:color="000000"/>
          <w:lang w:val="es-MX" w:eastAsia="es-ES"/>
        </w:rPr>
        <w:t xml:space="preserve">Finalmente, la Comisión destaca que según la información aportada por el propio Estado, desde la reapertura de la </w:t>
      </w:r>
      <w:r w:rsidRPr="00CE7ED7">
        <w:rPr>
          <w:rFonts w:asciiTheme="majorHAnsi" w:eastAsia="Cambria" w:hAnsiTheme="majorHAnsi" w:cs="Cambria"/>
          <w:color w:val="000000"/>
          <w:sz w:val="20"/>
          <w:szCs w:val="20"/>
          <w:u w:color="000000"/>
          <w:lang w:val="es-MX" w:eastAsia="es-ES"/>
        </w:rPr>
        <w:t>investigaci</w:t>
      </w:r>
      <w:r w:rsidRPr="00F44F99">
        <w:rPr>
          <w:rFonts w:asciiTheme="majorHAnsi" w:eastAsia="Cambria" w:hAnsiTheme="majorHAnsi" w:cs="Cambria"/>
          <w:color w:val="000000"/>
          <w:sz w:val="20"/>
          <w:szCs w:val="20"/>
          <w:u w:color="000000"/>
          <w:lang w:val="es-MX" w:eastAsia="es-ES"/>
        </w:rPr>
        <w:t>ón en el a</w:t>
      </w:r>
      <w:r w:rsidRPr="00551D69">
        <w:rPr>
          <w:rFonts w:asciiTheme="majorHAnsi" w:eastAsia="Cambria" w:hAnsiTheme="majorHAnsi" w:cs="Cambria"/>
          <w:color w:val="000000"/>
          <w:sz w:val="20"/>
          <w:szCs w:val="20"/>
          <w:u w:color="000000"/>
          <w:lang w:val="es-MX" w:eastAsia="es-ES"/>
        </w:rPr>
        <w:t>ño 2009, no se ha acreditado una debida diligencia en la misma, pues la activida</w:t>
      </w:r>
      <w:r w:rsidRPr="00CE7ED7">
        <w:rPr>
          <w:rFonts w:asciiTheme="majorHAnsi" w:eastAsia="Cambria" w:hAnsiTheme="majorHAnsi" w:cs="Cambria"/>
          <w:color w:val="000000"/>
          <w:sz w:val="20"/>
          <w:szCs w:val="20"/>
          <w:u w:color="000000"/>
          <w:lang w:val="es-MX" w:eastAsia="es-ES"/>
        </w:rPr>
        <w:t>d reportada ha sido mínima y no se ha logrado avance alguno en el esclarecimiento de los hechos e individualización de los responsables.</w:t>
      </w:r>
      <w:r w:rsidR="003B08E7" w:rsidRPr="00CE7ED7">
        <w:rPr>
          <w:rFonts w:asciiTheme="majorHAnsi" w:eastAsia="Cambria" w:hAnsiTheme="majorHAnsi" w:cs="Cambria"/>
          <w:color w:val="000000"/>
          <w:sz w:val="20"/>
          <w:szCs w:val="20"/>
          <w:u w:color="000000"/>
          <w:lang w:val="es-MX" w:eastAsia="es-ES"/>
        </w:rPr>
        <w:t xml:space="preserve"> El impacto de esta situación en la demora en la investigación será</w:t>
      </w:r>
      <w:r w:rsidR="00127F1E" w:rsidRPr="00CE7ED7">
        <w:rPr>
          <w:rFonts w:asciiTheme="majorHAnsi" w:eastAsia="Cambria" w:hAnsiTheme="majorHAnsi" w:cs="Cambria"/>
          <w:color w:val="000000"/>
          <w:sz w:val="20"/>
          <w:szCs w:val="20"/>
          <w:u w:color="000000"/>
          <w:lang w:val="es-MX" w:eastAsia="es-ES"/>
        </w:rPr>
        <w:t xml:space="preserve"> </w:t>
      </w:r>
      <w:r w:rsidR="003B08E7" w:rsidRPr="00CE7ED7">
        <w:rPr>
          <w:rFonts w:asciiTheme="majorHAnsi" w:eastAsia="Cambria" w:hAnsiTheme="majorHAnsi" w:cs="Cambria"/>
          <w:color w:val="000000"/>
          <w:sz w:val="20"/>
          <w:szCs w:val="20"/>
          <w:u w:color="000000"/>
          <w:lang w:val="es-MX" w:eastAsia="es-ES"/>
        </w:rPr>
        <w:t>analizada tambi</w:t>
      </w:r>
      <w:r w:rsidR="003B08E7" w:rsidRPr="00EB53B6">
        <w:rPr>
          <w:rFonts w:asciiTheme="majorHAnsi" w:eastAsia="Cambria" w:hAnsiTheme="majorHAnsi"/>
          <w:color w:val="000000"/>
          <w:sz w:val="20"/>
          <w:szCs w:val="20"/>
          <w:u w:color="000000"/>
          <w:lang w:val="es-MX" w:eastAsia="ko-KR"/>
        </w:rPr>
        <w:t>é</w:t>
      </w:r>
      <w:r w:rsidR="00127F1E" w:rsidRPr="00EB53B6">
        <w:rPr>
          <w:rFonts w:asciiTheme="majorHAnsi" w:eastAsia="Cambria" w:hAnsiTheme="majorHAnsi"/>
          <w:color w:val="000000"/>
          <w:sz w:val="20"/>
          <w:szCs w:val="20"/>
          <w:u w:color="000000"/>
          <w:lang w:val="es-MX" w:eastAsia="ko-KR"/>
        </w:rPr>
        <w:t>n</w:t>
      </w:r>
      <w:r w:rsidR="003B08E7" w:rsidRPr="00EB53B6">
        <w:rPr>
          <w:rFonts w:asciiTheme="majorHAnsi" w:eastAsia="Cambria" w:hAnsiTheme="majorHAnsi"/>
          <w:color w:val="000000"/>
          <w:sz w:val="20"/>
          <w:szCs w:val="20"/>
          <w:u w:color="000000"/>
          <w:lang w:val="es-MX" w:eastAsia="ko-KR"/>
        </w:rPr>
        <w:t xml:space="preserve"> a continuación</w:t>
      </w:r>
      <w:r w:rsidR="003B08E7">
        <w:rPr>
          <w:rFonts w:eastAsia="Cambria"/>
          <w:color w:val="000000"/>
          <w:sz w:val="20"/>
          <w:szCs w:val="20"/>
          <w:u w:color="000000"/>
          <w:lang w:val="es-MX" w:eastAsia="ko-KR"/>
        </w:rPr>
        <w:t xml:space="preserve">. </w:t>
      </w:r>
      <w:r>
        <w:rPr>
          <w:rFonts w:asciiTheme="majorHAnsi" w:eastAsia="Cambria" w:hAnsiTheme="majorHAnsi" w:cs="Cambria"/>
          <w:color w:val="000000"/>
          <w:sz w:val="20"/>
          <w:szCs w:val="20"/>
          <w:u w:color="000000"/>
          <w:lang w:val="es-MX" w:eastAsia="es-ES"/>
        </w:rPr>
        <w:t xml:space="preserve"> </w:t>
      </w:r>
    </w:p>
    <w:p w14:paraId="6DA24856" w14:textId="77777777" w:rsidR="00A229E3" w:rsidRDefault="00A229E3" w:rsidP="001E3EBE">
      <w:pPr>
        <w:rPr>
          <w:b/>
          <w:sz w:val="20"/>
          <w:szCs w:val="20"/>
          <w:lang w:val="es-MX"/>
        </w:rPr>
      </w:pPr>
    </w:p>
    <w:p w14:paraId="05BDFEC9" w14:textId="77777777" w:rsidR="00B93A81" w:rsidRDefault="00B93A81" w:rsidP="001E3EBE">
      <w:pPr>
        <w:rPr>
          <w:b/>
          <w:sz w:val="20"/>
          <w:szCs w:val="20"/>
          <w:lang w:val="es-MX"/>
        </w:rPr>
      </w:pPr>
    </w:p>
    <w:p w14:paraId="64E41C17" w14:textId="77777777" w:rsidR="00B93A81" w:rsidRDefault="00B93A81" w:rsidP="001E3EBE">
      <w:pPr>
        <w:rPr>
          <w:b/>
          <w:sz w:val="20"/>
          <w:szCs w:val="20"/>
          <w:lang w:val="es-MX"/>
        </w:rPr>
      </w:pPr>
    </w:p>
    <w:p w14:paraId="1E168B9A" w14:textId="77777777" w:rsidR="00B93A81" w:rsidRDefault="00B93A81" w:rsidP="001E3EBE">
      <w:pPr>
        <w:rPr>
          <w:b/>
          <w:sz w:val="20"/>
          <w:szCs w:val="20"/>
          <w:lang w:val="es-MX"/>
        </w:rPr>
      </w:pPr>
    </w:p>
    <w:p w14:paraId="61F66657" w14:textId="77777777" w:rsidR="00B93A81" w:rsidRPr="0008565A" w:rsidRDefault="00B93A81" w:rsidP="001E3EBE">
      <w:pPr>
        <w:rPr>
          <w:b/>
          <w:sz w:val="20"/>
          <w:szCs w:val="20"/>
          <w:lang w:val="es-MX"/>
        </w:rPr>
      </w:pPr>
    </w:p>
    <w:p w14:paraId="44C0F7D0" w14:textId="77777777" w:rsidR="00A73BA5" w:rsidRDefault="00A73BA5" w:rsidP="001E3EBE">
      <w:pPr>
        <w:pStyle w:val="Heading3"/>
        <w:ind w:left="0" w:firstLine="0"/>
        <w:rPr>
          <w:lang w:val="es-ES"/>
        </w:rPr>
      </w:pPr>
      <w:bookmarkStart w:id="43" w:name="_Toc394820760"/>
      <w:bookmarkStart w:id="44" w:name="_Toc70437027"/>
      <w:r>
        <w:rPr>
          <w:lang w:val="es-ES"/>
        </w:rPr>
        <w:t>Análisis del plazo razonable en la investigación penal del secuestro de Carlos Arturo Betancourt</w:t>
      </w:r>
      <w:r w:rsidR="000377E1">
        <w:rPr>
          <w:lang w:val="es-ES"/>
        </w:rPr>
        <w:t xml:space="preserve"> Estrada</w:t>
      </w:r>
      <w:bookmarkEnd w:id="43"/>
      <w:bookmarkEnd w:id="44"/>
    </w:p>
    <w:p w14:paraId="39EFC918" w14:textId="77777777" w:rsidR="00A73BA5" w:rsidRDefault="00A73BA5" w:rsidP="001E3EBE">
      <w:pPr>
        <w:pStyle w:val="ListParagraph"/>
        <w:ind w:left="0"/>
        <w:jc w:val="both"/>
        <w:rPr>
          <w:b/>
          <w:color w:val="auto"/>
          <w:sz w:val="20"/>
          <w:szCs w:val="20"/>
          <w:lang w:val="es-ES"/>
        </w:rPr>
      </w:pPr>
    </w:p>
    <w:p w14:paraId="3F027217" w14:textId="77777777" w:rsidR="00A73BA5" w:rsidRDefault="00A73BA5"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cs="Verdana"/>
          <w:sz w:val="20"/>
          <w:szCs w:val="20"/>
          <w:lang w:val="es-ES"/>
        </w:rPr>
      </w:pPr>
      <w:r w:rsidRPr="00762271">
        <w:rPr>
          <w:rFonts w:ascii="Cambria" w:hAnsi="Cambria" w:cs="Verdana"/>
          <w:sz w:val="20"/>
          <w:szCs w:val="20"/>
          <w:lang w:val="es-ES"/>
        </w:rPr>
        <w:t xml:space="preserve">La Comisión toma nota de que la investigación se desarrolló por casi </w:t>
      </w:r>
      <w:r>
        <w:rPr>
          <w:rFonts w:ascii="Cambria" w:hAnsi="Cambria" w:cs="Verdana"/>
          <w:sz w:val="20"/>
          <w:szCs w:val="20"/>
          <w:lang w:val="es-ES"/>
        </w:rPr>
        <w:t>cuatro años (199</w:t>
      </w:r>
      <w:r w:rsidR="00771361">
        <w:rPr>
          <w:rFonts w:ascii="Cambria" w:hAnsi="Cambria" w:cs="Verdana"/>
          <w:sz w:val="20"/>
          <w:szCs w:val="20"/>
          <w:lang w:val="es-ES"/>
        </w:rPr>
        <w:t>9</w:t>
      </w:r>
      <w:r>
        <w:rPr>
          <w:rFonts w:ascii="Cambria" w:hAnsi="Cambria" w:cs="Verdana"/>
          <w:sz w:val="20"/>
          <w:szCs w:val="20"/>
          <w:lang w:val="es-ES"/>
        </w:rPr>
        <w:t xml:space="preserve"> - </w:t>
      </w:r>
      <w:r w:rsidR="00771361">
        <w:rPr>
          <w:rFonts w:ascii="Cambria" w:hAnsi="Cambria" w:cs="Verdana"/>
          <w:sz w:val="20"/>
          <w:szCs w:val="20"/>
          <w:lang w:val="es-ES"/>
        </w:rPr>
        <w:t>2003</w:t>
      </w:r>
      <w:r>
        <w:rPr>
          <w:rFonts w:ascii="Cambria" w:hAnsi="Cambria" w:cs="Verdana"/>
          <w:sz w:val="20"/>
          <w:szCs w:val="20"/>
          <w:lang w:val="es-ES"/>
        </w:rPr>
        <w:t xml:space="preserve">) </w:t>
      </w:r>
      <w:r w:rsidR="0008565A">
        <w:rPr>
          <w:rFonts w:ascii="Cambria" w:hAnsi="Cambria" w:cs="Verdana"/>
          <w:sz w:val="20"/>
          <w:szCs w:val="20"/>
          <w:lang w:val="es-ES"/>
        </w:rPr>
        <w:t xml:space="preserve">antes de su archivo y que, tras su desarchivo, </w:t>
      </w:r>
      <w:r w:rsidR="00771361">
        <w:rPr>
          <w:rFonts w:ascii="Cambria" w:hAnsi="Cambria" w:cs="Verdana"/>
          <w:sz w:val="20"/>
          <w:szCs w:val="20"/>
          <w:lang w:val="es-ES"/>
        </w:rPr>
        <w:t>se practicaron algunas diligencias a partir del año</w:t>
      </w:r>
      <w:r>
        <w:rPr>
          <w:rFonts w:ascii="Cambria" w:hAnsi="Cambria" w:cs="Verdana"/>
          <w:sz w:val="20"/>
          <w:szCs w:val="20"/>
          <w:lang w:val="es-ES"/>
        </w:rPr>
        <w:t xml:space="preserve"> 200</w:t>
      </w:r>
      <w:r w:rsidR="00771361">
        <w:rPr>
          <w:rFonts w:ascii="Cambria" w:hAnsi="Cambria" w:cs="Verdana"/>
          <w:sz w:val="20"/>
          <w:szCs w:val="20"/>
          <w:lang w:val="es-ES"/>
        </w:rPr>
        <w:t>9</w:t>
      </w:r>
      <w:r w:rsidR="00543ED7">
        <w:rPr>
          <w:rFonts w:ascii="Cambria" w:hAnsi="Cambria" w:cs="Verdana"/>
          <w:sz w:val="20"/>
          <w:szCs w:val="20"/>
          <w:lang w:val="es-ES"/>
        </w:rPr>
        <w:t xml:space="preserve">. En estos términos, la CIDH encuentra desde su inicio, las indagaciones fiscales se vienen desarrollando por más de 18 años, sin que se haya formalizado </w:t>
      </w:r>
      <w:r w:rsidR="00551D69">
        <w:rPr>
          <w:rFonts w:ascii="Cambria" w:hAnsi="Cambria" w:cs="Verdana"/>
          <w:sz w:val="20"/>
          <w:szCs w:val="20"/>
          <w:lang w:val="es-ES"/>
        </w:rPr>
        <w:t>acusación</w:t>
      </w:r>
      <w:r w:rsidR="00543ED7">
        <w:rPr>
          <w:rFonts w:ascii="Cambria" w:hAnsi="Cambria" w:cs="Verdana"/>
          <w:sz w:val="20"/>
          <w:szCs w:val="20"/>
          <w:lang w:val="es-ES"/>
        </w:rPr>
        <w:t xml:space="preserve"> contra nadie. </w:t>
      </w:r>
      <w:r w:rsidRPr="00762271">
        <w:rPr>
          <w:rFonts w:ascii="Cambria" w:hAnsi="Cambria" w:cs="Verdana"/>
          <w:sz w:val="20"/>
          <w:szCs w:val="20"/>
          <w:lang w:val="es-ES"/>
        </w:rPr>
        <w:t xml:space="preserve">En cuanto a la complejidad del asunto, la Comisión </w:t>
      </w:r>
      <w:r w:rsidR="00543ED7">
        <w:rPr>
          <w:rFonts w:ascii="Cambria" w:hAnsi="Cambria" w:cs="Verdana"/>
          <w:sz w:val="20"/>
          <w:szCs w:val="20"/>
          <w:lang w:val="es-ES"/>
        </w:rPr>
        <w:t xml:space="preserve">entiende que </w:t>
      </w:r>
      <w:r w:rsidR="00563F07">
        <w:rPr>
          <w:rFonts w:ascii="Cambria" w:hAnsi="Cambria" w:cs="Verdana"/>
          <w:sz w:val="20"/>
          <w:szCs w:val="20"/>
          <w:lang w:val="es-ES"/>
        </w:rPr>
        <w:t xml:space="preserve">si bien </w:t>
      </w:r>
      <w:r w:rsidR="00543ED7">
        <w:rPr>
          <w:rFonts w:ascii="Cambria" w:hAnsi="Cambria" w:cs="Verdana"/>
          <w:sz w:val="20"/>
          <w:szCs w:val="20"/>
          <w:lang w:val="es-ES"/>
        </w:rPr>
        <w:t xml:space="preserve">los secuestros extorsivos </w:t>
      </w:r>
      <w:r w:rsidR="00563F07">
        <w:rPr>
          <w:rFonts w:ascii="Cambria" w:hAnsi="Cambria" w:cs="Verdana"/>
          <w:sz w:val="20"/>
          <w:szCs w:val="20"/>
          <w:lang w:val="es-ES"/>
        </w:rPr>
        <w:t xml:space="preserve">pueden tener </w:t>
      </w:r>
      <w:r w:rsidR="00166201">
        <w:rPr>
          <w:rFonts w:ascii="Cambria" w:hAnsi="Cambria" w:cs="Verdana"/>
          <w:sz w:val="20"/>
          <w:szCs w:val="20"/>
          <w:lang w:val="es-ES"/>
        </w:rPr>
        <w:t>una naturaleza compleja</w:t>
      </w:r>
      <w:r w:rsidR="00FC1626">
        <w:rPr>
          <w:rFonts w:ascii="Cambria" w:hAnsi="Cambria" w:cs="Verdana"/>
          <w:sz w:val="20"/>
          <w:szCs w:val="20"/>
          <w:lang w:val="es-ES"/>
        </w:rPr>
        <w:t xml:space="preserve">, </w:t>
      </w:r>
      <w:r w:rsidR="00166201">
        <w:rPr>
          <w:rFonts w:ascii="Cambria" w:hAnsi="Cambria" w:cs="Verdana"/>
          <w:sz w:val="20"/>
          <w:szCs w:val="20"/>
          <w:lang w:val="es-ES"/>
        </w:rPr>
        <w:t>el Estado no indicó en su</w:t>
      </w:r>
      <w:r w:rsidR="00995AC0">
        <w:rPr>
          <w:rFonts w:ascii="Cambria" w:hAnsi="Cambria" w:cs="Verdana"/>
          <w:sz w:val="20"/>
          <w:szCs w:val="20"/>
          <w:lang w:val="es-ES"/>
        </w:rPr>
        <w:t xml:space="preserve">s escritos </w:t>
      </w:r>
      <w:r w:rsidR="00166201" w:rsidRPr="00361C78">
        <w:rPr>
          <w:rFonts w:asciiTheme="majorHAnsi" w:hAnsiTheme="majorHAnsi"/>
          <w:sz w:val="20"/>
          <w:szCs w:val="20"/>
          <w:lang w:val="es-ES"/>
        </w:rPr>
        <w:t xml:space="preserve">las razones </w:t>
      </w:r>
      <w:r w:rsidR="00166201">
        <w:rPr>
          <w:rFonts w:asciiTheme="majorHAnsi" w:hAnsiTheme="majorHAnsi"/>
          <w:sz w:val="20"/>
          <w:szCs w:val="20"/>
          <w:lang w:val="es-ES"/>
        </w:rPr>
        <w:t>de la complejidad</w:t>
      </w:r>
      <w:r w:rsidR="00166201" w:rsidRPr="00361C78">
        <w:rPr>
          <w:rFonts w:asciiTheme="majorHAnsi" w:hAnsiTheme="majorHAnsi"/>
          <w:sz w:val="20"/>
          <w:szCs w:val="20"/>
          <w:lang w:val="es-ES"/>
        </w:rPr>
        <w:t xml:space="preserve"> ni vinculó concreta</w:t>
      </w:r>
      <w:r w:rsidR="00166201">
        <w:rPr>
          <w:rFonts w:asciiTheme="majorHAnsi" w:hAnsiTheme="majorHAnsi"/>
          <w:sz w:val="20"/>
          <w:szCs w:val="20"/>
          <w:lang w:val="es-ES"/>
        </w:rPr>
        <w:t xml:space="preserve">mente </w:t>
      </w:r>
      <w:r w:rsidR="004D45EF">
        <w:rPr>
          <w:rFonts w:asciiTheme="majorHAnsi" w:hAnsiTheme="majorHAnsi"/>
          <w:sz w:val="20"/>
          <w:szCs w:val="20"/>
          <w:lang w:val="es-ES"/>
        </w:rPr>
        <w:t xml:space="preserve">las demoras y omisiones a </w:t>
      </w:r>
      <w:r w:rsidR="00166201">
        <w:rPr>
          <w:rFonts w:asciiTheme="majorHAnsi" w:hAnsiTheme="majorHAnsi"/>
          <w:sz w:val="20"/>
          <w:szCs w:val="20"/>
          <w:lang w:val="es-ES"/>
        </w:rPr>
        <w:t xml:space="preserve">la misma. Sin perjuicio de lo anterior, la Comisión </w:t>
      </w:r>
      <w:r w:rsidR="00181424">
        <w:rPr>
          <w:rFonts w:asciiTheme="majorHAnsi" w:hAnsiTheme="majorHAnsi"/>
          <w:sz w:val="20"/>
          <w:szCs w:val="20"/>
          <w:lang w:val="es-ES"/>
        </w:rPr>
        <w:t xml:space="preserve">identifica, </w:t>
      </w:r>
      <w:r w:rsidR="00166201">
        <w:rPr>
          <w:rFonts w:asciiTheme="majorHAnsi" w:hAnsiTheme="majorHAnsi"/>
          <w:sz w:val="20"/>
          <w:szCs w:val="20"/>
          <w:lang w:val="es-ES"/>
        </w:rPr>
        <w:t xml:space="preserve">de modo transversal a los argumentos de defensa del Estado, el hecho de que la familia no se mostró colaborativa y que con su salida del país se cortó vínculo con los </w:t>
      </w:r>
      <w:r w:rsidR="00D234E6">
        <w:rPr>
          <w:rFonts w:asciiTheme="majorHAnsi" w:hAnsiTheme="majorHAnsi"/>
          <w:sz w:val="20"/>
          <w:szCs w:val="20"/>
          <w:lang w:val="es-ES"/>
        </w:rPr>
        <w:t>agraviados.</w:t>
      </w:r>
    </w:p>
    <w:p w14:paraId="5BDFA40F" w14:textId="77777777" w:rsidR="00A73BA5" w:rsidRDefault="00A73BA5"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Verdana"/>
          <w:sz w:val="20"/>
          <w:szCs w:val="20"/>
          <w:lang w:val="es-ES"/>
        </w:rPr>
      </w:pPr>
    </w:p>
    <w:p w14:paraId="2DA5CD22" w14:textId="77777777" w:rsidR="00A73BA5" w:rsidRDefault="00A73BA5"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cs="Verdana"/>
          <w:sz w:val="20"/>
          <w:szCs w:val="20"/>
          <w:lang w:val="es-ES"/>
        </w:rPr>
      </w:pPr>
      <w:r w:rsidRPr="00A73BA5">
        <w:rPr>
          <w:rFonts w:ascii="Cambria" w:hAnsi="Cambria" w:cs="Verdana"/>
          <w:sz w:val="20"/>
          <w:szCs w:val="20"/>
          <w:lang w:val="es-ES"/>
        </w:rPr>
        <w:t>En cuanto a las actuaciones de la parte interesada, la Comisión observa que no se desprende del expediente información alguna que indique que las presuntas víctimas obstaculizaron en fo</w:t>
      </w:r>
      <w:r w:rsidR="00874333">
        <w:rPr>
          <w:rFonts w:ascii="Cambria" w:hAnsi="Cambria" w:cs="Verdana"/>
          <w:sz w:val="20"/>
          <w:szCs w:val="20"/>
          <w:lang w:val="es-ES"/>
        </w:rPr>
        <w:t>rma alguna las investigaciones judiciales. Tal como se ha señalado, el impulso procesal en este tipo de investigaciones recae sobre el Estado, por lo que no puede considerarse que la salida del país del señor Betancourt y s</w:t>
      </w:r>
      <w:r w:rsidR="009A35BA">
        <w:rPr>
          <w:rFonts w:ascii="Cambria" w:hAnsi="Cambria" w:cs="Verdana"/>
          <w:sz w:val="20"/>
          <w:szCs w:val="20"/>
          <w:lang w:val="es-ES"/>
        </w:rPr>
        <w:t>u familia pueda ser interpretada</w:t>
      </w:r>
      <w:r w:rsidR="00874333">
        <w:rPr>
          <w:rFonts w:ascii="Cambria" w:hAnsi="Cambria" w:cs="Verdana"/>
          <w:sz w:val="20"/>
          <w:szCs w:val="20"/>
          <w:lang w:val="es-ES"/>
        </w:rPr>
        <w:t xml:space="preserve"> como una conducta proces</w:t>
      </w:r>
      <w:r w:rsidR="00BC1002">
        <w:rPr>
          <w:rFonts w:ascii="Cambria" w:hAnsi="Cambria" w:cs="Verdana"/>
          <w:sz w:val="20"/>
          <w:szCs w:val="20"/>
          <w:lang w:val="es-ES"/>
        </w:rPr>
        <w:t xml:space="preserve">al </w:t>
      </w:r>
      <w:r w:rsidR="00874333">
        <w:rPr>
          <w:rFonts w:ascii="Cambria" w:hAnsi="Cambria" w:cs="Verdana"/>
          <w:sz w:val="20"/>
          <w:szCs w:val="20"/>
          <w:lang w:val="es-ES"/>
        </w:rPr>
        <w:t>obstaculizadora. La respons</w:t>
      </w:r>
      <w:r w:rsidR="00967BB5">
        <w:rPr>
          <w:rFonts w:ascii="Cambria" w:hAnsi="Cambria" w:cs="Verdana"/>
          <w:sz w:val="20"/>
          <w:szCs w:val="20"/>
          <w:lang w:val="es-ES"/>
        </w:rPr>
        <w:t xml:space="preserve">abilidad del contactar a los testigos y conformar la prueba testimonial es del Estado, obligación que no se condiciona con </w:t>
      </w:r>
      <w:r w:rsidR="00BC1002">
        <w:rPr>
          <w:rFonts w:ascii="Cambria" w:hAnsi="Cambria" w:cs="Verdana"/>
          <w:sz w:val="20"/>
          <w:szCs w:val="20"/>
          <w:lang w:val="es-ES"/>
        </w:rPr>
        <w:t>el</w:t>
      </w:r>
      <w:r w:rsidR="00967BB5">
        <w:rPr>
          <w:rFonts w:ascii="Cambria" w:hAnsi="Cambria" w:cs="Verdana"/>
          <w:sz w:val="20"/>
          <w:szCs w:val="20"/>
          <w:lang w:val="es-ES"/>
        </w:rPr>
        <w:t xml:space="preserve"> lugar de residencia de las personas declarantes.</w:t>
      </w:r>
    </w:p>
    <w:p w14:paraId="4CBB6A97" w14:textId="77777777" w:rsidR="00090EA3" w:rsidRDefault="00090EA3" w:rsidP="00090EA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Verdana"/>
          <w:sz w:val="20"/>
          <w:szCs w:val="20"/>
          <w:lang w:val="es-ES"/>
        </w:rPr>
      </w:pPr>
    </w:p>
    <w:p w14:paraId="4CF50982" w14:textId="77777777" w:rsidR="00A73BA5" w:rsidRDefault="00D234E6"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cs="Verdana"/>
          <w:sz w:val="20"/>
          <w:szCs w:val="20"/>
          <w:lang w:val="es-ES"/>
        </w:rPr>
      </w:pPr>
      <w:r w:rsidRPr="0010443A">
        <w:rPr>
          <w:rFonts w:ascii="Cambria" w:hAnsi="Cambria" w:cs="Verdana"/>
          <w:sz w:val="20"/>
          <w:szCs w:val="20"/>
          <w:lang w:val="es-ES"/>
        </w:rPr>
        <w:t xml:space="preserve">Respecto de la conducta de las autoridades estatales, la Comisión se atiene al análisis sobre el incumplimiento del deber de debida diligencia. </w:t>
      </w:r>
      <w:r w:rsidR="00BC1002">
        <w:rPr>
          <w:rFonts w:ascii="Cambria" w:hAnsi="Cambria" w:cs="Verdana"/>
          <w:sz w:val="20"/>
          <w:szCs w:val="20"/>
          <w:lang w:val="es-ES"/>
        </w:rPr>
        <w:t xml:space="preserve">Sumado a lo anterior, </w:t>
      </w:r>
      <w:r w:rsidR="00AA7197">
        <w:rPr>
          <w:rFonts w:ascii="Cambria" w:hAnsi="Cambria" w:cs="Verdana"/>
          <w:sz w:val="20"/>
          <w:szCs w:val="20"/>
          <w:lang w:val="es-ES"/>
        </w:rPr>
        <w:t xml:space="preserve">la Comisión encuentra que el caso quedó archivado por seis años, antes de que se tomen los testimonios de los directamente agraviados; y que fue recién el </w:t>
      </w:r>
      <w:r w:rsidR="00D82168">
        <w:rPr>
          <w:rFonts w:ascii="Cambria" w:hAnsi="Cambria" w:cs="Verdana"/>
          <w:sz w:val="20"/>
          <w:szCs w:val="20"/>
          <w:lang w:val="es-ES"/>
        </w:rPr>
        <w:t xml:space="preserve">2013 que, </w:t>
      </w:r>
      <w:r w:rsidR="00AA7197">
        <w:rPr>
          <w:rFonts w:ascii="Cambria" w:hAnsi="Cambria" w:cs="Verdana"/>
          <w:sz w:val="20"/>
          <w:szCs w:val="20"/>
          <w:lang w:val="es-ES"/>
        </w:rPr>
        <w:t>finalmente</w:t>
      </w:r>
      <w:r w:rsidR="00D82168">
        <w:rPr>
          <w:rFonts w:ascii="Cambria" w:hAnsi="Cambria" w:cs="Verdana"/>
          <w:sz w:val="20"/>
          <w:szCs w:val="20"/>
          <w:lang w:val="es-ES"/>
        </w:rPr>
        <w:t>,</w:t>
      </w:r>
      <w:r w:rsidR="00AA7197">
        <w:rPr>
          <w:rFonts w:ascii="Cambria" w:hAnsi="Cambria" w:cs="Verdana"/>
          <w:sz w:val="20"/>
          <w:szCs w:val="20"/>
          <w:lang w:val="es-ES"/>
        </w:rPr>
        <w:t xml:space="preserve"> se tomó sus declaraciones. </w:t>
      </w:r>
    </w:p>
    <w:p w14:paraId="6F7A9438" w14:textId="77777777" w:rsidR="00A73BA5" w:rsidRDefault="00A73BA5"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Verdana"/>
          <w:sz w:val="20"/>
          <w:szCs w:val="20"/>
          <w:lang w:val="es-ES"/>
        </w:rPr>
      </w:pPr>
    </w:p>
    <w:p w14:paraId="4C9519EF" w14:textId="77777777" w:rsidR="00A73BA5" w:rsidRPr="00A73BA5" w:rsidRDefault="00A73BA5"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cs="Verdana"/>
          <w:sz w:val="20"/>
          <w:szCs w:val="20"/>
          <w:lang w:val="es-ES"/>
        </w:rPr>
      </w:pPr>
      <w:r w:rsidRPr="00A73BA5">
        <w:rPr>
          <w:rFonts w:ascii="Cambria" w:hAnsi="Cambria" w:cs="Verdana"/>
          <w:sz w:val="20"/>
          <w:szCs w:val="20"/>
          <w:lang w:val="es-ES"/>
        </w:rPr>
        <w:t>En estos té</w:t>
      </w:r>
      <w:r w:rsidR="00240CDA">
        <w:rPr>
          <w:rFonts w:ascii="Cambria" w:hAnsi="Cambria" w:cs="Verdana"/>
          <w:sz w:val="20"/>
          <w:szCs w:val="20"/>
          <w:lang w:val="es-ES"/>
        </w:rPr>
        <w:t xml:space="preserve">rminos, la Comisión concluye </w:t>
      </w:r>
      <w:r w:rsidRPr="00A73BA5">
        <w:rPr>
          <w:rFonts w:ascii="Cambria" w:hAnsi="Cambria" w:cs="Verdana"/>
          <w:sz w:val="20"/>
          <w:szCs w:val="20"/>
          <w:lang w:val="es-ES"/>
        </w:rPr>
        <w:t xml:space="preserve">que </w:t>
      </w:r>
      <w:r w:rsidR="00240CDA">
        <w:rPr>
          <w:rFonts w:ascii="Cambria" w:hAnsi="Cambria" w:cs="Verdana"/>
          <w:sz w:val="20"/>
          <w:szCs w:val="20"/>
          <w:lang w:val="es-ES"/>
        </w:rPr>
        <w:t xml:space="preserve">la práctica de diligencias por parte del Estado se realizó de modo muy espaciado y con dilaciones, lo </w:t>
      </w:r>
      <w:r w:rsidRPr="00A73BA5">
        <w:rPr>
          <w:rFonts w:ascii="Cambria" w:hAnsi="Cambria" w:cs="Verdana"/>
          <w:sz w:val="20"/>
          <w:szCs w:val="20"/>
          <w:lang w:val="es-ES"/>
        </w:rPr>
        <w:t xml:space="preserve">que responde a la falta </w:t>
      </w:r>
      <w:r w:rsidR="00240CDA">
        <w:rPr>
          <w:rFonts w:ascii="Cambria" w:hAnsi="Cambria" w:cs="Verdana"/>
          <w:sz w:val="20"/>
          <w:szCs w:val="20"/>
          <w:lang w:val="es-ES"/>
        </w:rPr>
        <w:t xml:space="preserve">impulso de la investigación, generando la tardía </w:t>
      </w:r>
      <w:r w:rsidR="00C74F87">
        <w:rPr>
          <w:rFonts w:ascii="Cambria" w:hAnsi="Cambria" w:cs="Verdana"/>
          <w:sz w:val="20"/>
          <w:szCs w:val="20"/>
          <w:lang w:val="es-ES"/>
        </w:rPr>
        <w:t xml:space="preserve">y deficiente </w:t>
      </w:r>
      <w:r w:rsidR="00240CDA">
        <w:rPr>
          <w:rFonts w:ascii="Cambria" w:hAnsi="Cambria" w:cs="Verdana"/>
          <w:sz w:val="20"/>
          <w:szCs w:val="20"/>
          <w:lang w:val="es-ES"/>
        </w:rPr>
        <w:t>conformación del acervo probatorio testimonial lógico y necesario para la identificación y sanción de los perpetradores,</w:t>
      </w:r>
      <w:r w:rsidRPr="00A73BA5">
        <w:rPr>
          <w:rFonts w:ascii="Cambria" w:hAnsi="Cambria" w:cs="Verdana"/>
          <w:sz w:val="20"/>
          <w:szCs w:val="20"/>
          <w:lang w:val="es-ES"/>
        </w:rPr>
        <w:t xml:space="preserve"> </w:t>
      </w:r>
      <w:r w:rsidR="00D82168">
        <w:rPr>
          <w:rFonts w:ascii="Cambria" w:hAnsi="Cambria" w:cs="Verdana"/>
          <w:sz w:val="20"/>
          <w:szCs w:val="20"/>
          <w:lang w:val="es-ES"/>
        </w:rPr>
        <w:t xml:space="preserve">por lo que </w:t>
      </w:r>
      <w:r w:rsidR="00673495">
        <w:rPr>
          <w:rFonts w:ascii="Cambria" w:hAnsi="Cambria" w:cs="Verdana"/>
          <w:sz w:val="20"/>
          <w:szCs w:val="20"/>
          <w:lang w:val="es-ES"/>
        </w:rPr>
        <w:t xml:space="preserve">la </w:t>
      </w:r>
      <w:r w:rsidRPr="00A73BA5">
        <w:rPr>
          <w:rFonts w:ascii="Cambria" w:hAnsi="Cambria" w:cs="Verdana"/>
          <w:sz w:val="20"/>
          <w:szCs w:val="20"/>
          <w:lang w:val="es-ES"/>
        </w:rPr>
        <w:t>Comisión considera que se vulneró el principio del plazo</w:t>
      </w:r>
      <w:r w:rsidR="00240CDA">
        <w:rPr>
          <w:rFonts w:ascii="Cambria" w:hAnsi="Cambria" w:cs="Verdana"/>
          <w:sz w:val="20"/>
          <w:szCs w:val="20"/>
          <w:lang w:val="es-ES"/>
        </w:rPr>
        <w:t xml:space="preserve"> razonable en la investigación.</w:t>
      </w:r>
    </w:p>
    <w:p w14:paraId="0F10CDC1" w14:textId="77777777" w:rsidR="00A73BA5" w:rsidRPr="00A73BA5" w:rsidRDefault="00A73BA5" w:rsidP="001E3EBE">
      <w:pPr>
        <w:jc w:val="both"/>
        <w:rPr>
          <w:b/>
          <w:sz w:val="20"/>
          <w:szCs w:val="20"/>
          <w:lang w:val="es-ES"/>
        </w:rPr>
      </w:pPr>
    </w:p>
    <w:p w14:paraId="12B2161F" w14:textId="77777777" w:rsidR="003A7988" w:rsidRDefault="003A7988" w:rsidP="001E3EBE">
      <w:pPr>
        <w:pStyle w:val="Heading3"/>
        <w:ind w:left="0" w:firstLine="0"/>
        <w:rPr>
          <w:lang w:val="es-ES"/>
        </w:rPr>
      </w:pPr>
      <w:bookmarkStart w:id="45" w:name="_Toc394820761"/>
      <w:bookmarkStart w:id="46" w:name="_Toc70437028"/>
      <w:r w:rsidRPr="00A229E3">
        <w:rPr>
          <w:lang w:val="es-ES"/>
        </w:rPr>
        <w:t>Conclusión</w:t>
      </w:r>
      <w:bookmarkEnd w:id="45"/>
      <w:bookmarkEnd w:id="46"/>
    </w:p>
    <w:p w14:paraId="55074ECB" w14:textId="77777777" w:rsidR="00AA7197" w:rsidRPr="00AA7197" w:rsidRDefault="00AA7197" w:rsidP="001E3EBE">
      <w:pPr>
        <w:jc w:val="both"/>
        <w:rPr>
          <w:b/>
          <w:sz w:val="20"/>
          <w:szCs w:val="20"/>
          <w:lang w:val="es-ES"/>
        </w:rPr>
      </w:pPr>
    </w:p>
    <w:p w14:paraId="1466B00B" w14:textId="77777777" w:rsidR="00A73BA5" w:rsidRPr="00EB53B6" w:rsidRDefault="00A73BA5"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F73D42">
        <w:rPr>
          <w:rFonts w:ascii="Cambria" w:hAnsi="Cambria"/>
          <w:sz w:val="20"/>
          <w:szCs w:val="20"/>
          <w:lang w:val="es-ES"/>
        </w:rPr>
        <w:t xml:space="preserve">En virtud de las anteriores consideraciones, la Comisión concluye que el Estado de </w:t>
      </w:r>
      <w:r>
        <w:rPr>
          <w:rFonts w:ascii="Cambria" w:hAnsi="Cambria"/>
          <w:sz w:val="20"/>
          <w:szCs w:val="20"/>
          <w:lang w:val="es-ES"/>
        </w:rPr>
        <w:t>Colombia</w:t>
      </w:r>
      <w:r w:rsidRPr="00F73D42">
        <w:rPr>
          <w:rFonts w:ascii="Cambria" w:hAnsi="Cambria" w:cs="Verdana"/>
          <w:sz w:val="20"/>
          <w:szCs w:val="20"/>
          <w:lang w:val="es-ES"/>
        </w:rPr>
        <w:t xml:space="preserve"> violó los derechos a las garantías judiciales y a la protección judicial establecidos</w:t>
      </w:r>
      <w:r w:rsidRPr="00F73D42">
        <w:rPr>
          <w:rFonts w:ascii="Cambria" w:hAnsi="Cambria"/>
          <w:sz w:val="20"/>
          <w:szCs w:val="20"/>
          <w:lang w:val="es-ES"/>
        </w:rPr>
        <w:t xml:space="preserve"> en los artículos 8.1 y 25.1 de la Convención Americana en relación con las obligaciones consagradas en el artículo 1.1 del mismo instrumento, en perjuicio </w:t>
      </w:r>
      <w:r w:rsidR="000377E1">
        <w:rPr>
          <w:rFonts w:ascii="Cambria" w:hAnsi="Cambria"/>
          <w:sz w:val="20"/>
          <w:szCs w:val="20"/>
          <w:lang w:val="es-ES"/>
        </w:rPr>
        <w:t xml:space="preserve">Carlos Arturo Betancourt </w:t>
      </w:r>
      <w:r w:rsidR="000377E1" w:rsidRPr="00EB53B6">
        <w:rPr>
          <w:rFonts w:ascii="Cambria" w:hAnsi="Cambria"/>
          <w:sz w:val="20"/>
          <w:szCs w:val="20"/>
          <w:lang w:val="es-ES"/>
        </w:rPr>
        <w:t>Estrada</w:t>
      </w:r>
      <w:r w:rsidR="00161411" w:rsidRPr="00EB53B6">
        <w:rPr>
          <w:rFonts w:ascii="Cambria" w:hAnsi="Cambria"/>
          <w:sz w:val="20"/>
          <w:szCs w:val="20"/>
          <w:lang w:val="es-ES"/>
        </w:rPr>
        <w:t xml:space="preserve"> y su familia</w:t>
      </w:r>
      <w:r w:rsidR="00F372AC" w:rsidRPr="00EB53B6">
        <w:rPr>
          <w:rFonts w:ascii="Cambria" w:hAnsi="Cambria"/>
          <w:sz w:val="20"/>
          <w:szCs w:val="20"/>
          <w:lang w:val="es-ES"/>
        </w:rPr>
        <w:t>.</w:t>
      </w:r>
    </w:p>
    <w:p w14:paraId="427C57DC" w14:textId="77777777" w:rsidR="0044027F" w:rsidRDefault="0044027F" w:rsidP="001E3EBE">
      <w:pPr>
        <w:jc w:val="both"/>
        <w:rPr>
          <w:rFonts w:ascii="Cambria" w:hAnsi="Cambria"/>
          <w:b/>
          <w:sz w:val="20"/>
          <w:szCs w:val="20"/>
          <w:lang w:val="es-ES"/>
        </w:rPr>
      </w:pPr>
    </w:p>
    <w:p w14:paraId="37435FCD" w14:textId="77777777" w:rsidR="00240F51" w:rsidRPr="00B93A81" w:rsidRDefault="00240F51" w:rsidP="001E3EBE">
      <w:pPr>
        <w:pStyle w:val="Heading1"/>
        <w:ind w:left="0" w:firstLine="0"/>
      </w:pPr>
      <w:bookmarkStart w:id="47" w:name="_Toc70437029"/>
      <w:bookmarkStart w:id="48" w:name="_Toc394820762"/>
      <w:r w:rsidRPr="00B93A81">
        <w:t>INFORME No. 108/18</w:t>
      </w:r>
      <w:bookmarkEnd w:id="47"/>
      <w:r w:rsidRPr="00B93A81">
        <w:t xml:space="preserve"> </w:t>
      </w:r>
    </w:p>
    <w:p w14:paraId="2EBEFCE3" w14:textId="77777777" w:rsidR="005B7351" w:rsidRPr="00B93A81" w:rsidRDefault="005B7351" w:rsidP="001E3EBE">
      <w:pPr>
        <w:rPr>
          <w:lang w:val="es-VE"/>
        </w:rPr>
      </w:pPr>
    </w:p>
    <w:p w14:paraId="6FF859E4" w14:textId="77777777" w:rsidR="00240F51" w:rsidRPr="00B93A81" w:rsidRDefault="00F8657F"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ES_tradnl"/>
        </w:rPr>
      </w:pPr>
      <w:r w:rsidRPr="00B93A81">
        <w:rPr>
          <w:rFonts w:asciiTheme="majorHAnsi" w:hAnsiTheme="majorHAnsi"/>
          <w:sz w:val="20"/>
          <w:szCs w:val="20"/>
          <w:lang w:val="es-ES_tradnl"/>
        </w:rPr>
        <w:t>La Comisión adoptó el Informe de F</w:t>
      </w:r>
      <w:r w:rsidR="00240F51" w:rsidRPr="00B93A81">
        <w:rPr>
          <w:rFonts w:asciiTheme="majorHAnsi" w:hAnsiTheme="majorHAnsi"/>
          <w:sz w:val="20"/>
          <w:szCs w:val="20"/>
          <w:lang w:val="es-ES_tradnl"/>
        </w:rPr>
        <w:t xml:space="preserve">ondo No. 108/18 el 5 de octubre de 2018, el cual comprende los párrafos 1 a 93 </w:t>
      </w:r>
      <w:r w:rsidR="00240F51" w:rsidRPr="00B93A81">
        <w:rPr>
          <w:rFonts w:asciiTheme="majorHAnsi" w:hAnsiTheme="majorHAnsi"/>
          <w:i/>
          <w:sz w:val="20"/>
          <w:szCs w:val="20"/>
          <w:lang w:val="es-ES_tradnl"/>
        </w:rPr>
        <w:t>supra</w:t>
      </w:r>
      <w:r w:rsidR="00E31D8A" w:rsidRPr="00B93A81">
        <w:rPr>
          <w:rFonts w:asciiTheme="majorHAnsi" w:hAnsiTheme="majorHAnsi"/>
          <w:sz w:val="20"/>
          <w:szCs w:val="20"/>
          <w:lang w:val="es-ES_tradnl"/>
        </w:rPr>
        <w:t xml:space="preserve">. </w:t>
      </w:r>
      <w:r w:rsidR="00240F51" w:rsidRPr="00B93A81">
        <w:rPr>
          <w:rFonts w:asciiTheme="majorHAnsi" w:hAnsiTheme="majorHAnsi"/>
          <w:sz w:val="20"/>
          <w:szCs w:val="20"/>
          <w:lang w:val="es-ES_tradnl"/>
        </w:rPr>
        <w:t xml:space="preserve">En dicho informe la Comisión recomendó lo siguiente: </w:t>
      </w:r>
    </w:p>
    <w:p w14:paraId="259D8055" w14:textId="77777777" w:rsidR="00240F51" w:rsidRPr="00B93A81" w:rsidRDefault="00240F51" w:rsidP="001E3EBE">
      <w:pPr>
        <w:rPr>
          <w:lang w:val="es-VE"/>
        </w:rPr>
      </w:pPr>
    </w:p>
    <w:p w14:paraId="26510423" w14:textId="77777777" w:rsidR="000C5BAC" w:rsidRPr="00B93A81" w:rsidRDefault="000C5BAC" w:rsidP="001E3EB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eastAsia="Times New Roman" w:cs="Tahoma"/>
          <w:sz w:val="20"/>
          <w:szCs w:val="20"/>
          <w:bdr w:val="none" w:sz="0" w:space="0" w:color="auto"/>
          <w:lang w:val="es-ES"/>
        </w:rPr>
      </w:pPr>
      <w:r w:rsidRPr="00B93A81">
        <w:rPr>
          <w:rFonts w:eastAsia="Times New Roman" w:cs="Tahoma"/>
          <w:sz w:val="20"/>
          <w:szCs w:val="20"/>
          <w:bdr w:val="none" w:sz="0" w:space="0" w:color="auto"/>
          <w:lang w:val="es-ES"/>
        </w:rPr>
        <w:t xml:space="preserve">Reparar integralmente las violaciones de derechos humanos declaradas en el presente informe tanto en el aspecto material como inmaterial. El Estado deberá adoptar las medidas de compensación económica y satisfacción a favor de las víctimas. </w:t>
      </w:r>
    </w:p>
    <w:p w14:paraId="0D188298" w14:textId="77777777" w:rsidR="000C5BAC" w:rsidRPr="00B93A81" w:rsidRDefault="000C5BAC" w:rsidP="001E3EBE">
      <w:pPr>
        <w:pStyle w:val="ListParagraph"/>
        <w:ind w:left="0"/>
        <w:rPr>
          <w:rFonts w:eastAsia="Times New Roman" w:cs="Tahoma"/>
          <w:sz w:val="20"/>
          <w:szCs w:val="20"/>
          <w:bdr w:val="none" w:sz="0" w:space="0" w:color="auto"/>
          <w:lang w:val="es-ES"/>
        </w:rPr>
      </w:pPr>
    </w:p>
    <w:p w14:paraId="0056A676" w14:textId="77777777" w:rsidR="000C5BAC" w:rsidRPr="00B93A81" w:rsidRDefault="000C5BAC" w:rsidP="001E3EB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eastAsia="Times New Roman"/>
          <w:sz w:val="14"/>
          <w:szCs w:val="14"/>
          <w:bdr w:val="none" w:sz="0" w:space="0" w:color="auto"/>
          <w:lang w:val="es-ES"/>
        </w:rPr>
      </w:pPr>
      <w:r w:rsidRPr="00B93A81">
        <w:rPr>
          <w:rFonts w:eastAsia="Times New Roman" w:cs="Tahoma"/>
          <w:sz w:val="20"/>
          <w:szCs w:val="20"/>
          <w:bdr w:val="none" w:sz="0" w:space="0" w:color="auto"/>
          <w:lang w:val="es-ES"/>
        </w:rPr>
        <w:t>Disponer las medidas de atención en salud mental necesarias para la rehabilitación de Carlos Arturo Betancourt Estrada y los miembros de su familia, de ser su voluntad y de manera concertada.</w:t>
      </w:r>
    </w:p>
    <w:p w14:paraId="173CBAE9" w14:textId="77777777" w:rsidR="000C5BAC" w:rsidRPr="00B93A81" w:rsidRDefault="000C5BAC" w:rsidP="001E3EBE">
      <w:pPr>
        <w:pStyle w:val="ListParagraph"/>
        <w:ind w:left="0"/>
        <w:rPr>
          <w:sz w:val="20"/>
          <w:szCs w:val="20"/>
          <w:lang w:val="es-ES"/>
        </w:rPr>
      </w:pPr>
    </w:p>
    <w:p w14:paraId="0FDB3F69" w14:textId="77777777" w:rsidR="000C5BAC" w:rsidRPr="00B93A81" w:rsidRDefault="000C5BAC" w:rsidP="001E3EB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eastAsia="Times New Roman"/>
          <w:sz w:val="14"/>
          <w:szCs w:val="14"/>
          <w:bdr w:val="none" w:sz="0" w:space="0" w:color="auto"/>
          <w:lang w:val="es-ES"/>
        </w:rPr>
      </w:pPr>
      <w:r w:rsidRPr="00B93A81">
        <w:rPr>
          <w:rFonts w:eastAsia="Times New Roman" w:cs="Tahoma"/>
          <w:color w:val="auto"/>
          <w:sz w:val="20"/>
          <w:szCs w:val="20"/>
          <w:bdr w:val="none" w:sz="0" w:space="0" w:color="auto"/>
          <w:lang w:val="es-AR"/>
        </w:rPr>
        <w:t xml:space="preserve">Continuar </w:t>
      </w:r>
      <w:r w:rsidRPr="00B93A81">
        <w:rPr>
          <w:rFonts w:eastAsia="Times New Roman" w:cs="Tahoma"/>
          <w:sz w:val="20"/>
          <w:szCs w:val="20"/>
          <w:bdr w:val="none" w:sz="0" w:space="0" w:color="auto"/>
          <w:lang w:val="es-AR"/>
        </w:rPr>
        <w:t xml:space="preserve">la investigación penal de manera diligente, efectiva y dentro de un plazo razonable con el objeto de esclarecer los hechos en forma completa, identificar todas las posibles responsabilidades e imponer </w:t>
      </w:r>
      <w:r w:rsidRPr="00B93A81">
        <w:rPr>
          <w:rFonts w:eastAsia="Times New Roman" w:cs="Tahoma"/>
          <w:sz w:val="20"/>
          <w:szCs w:val="20"/>
          <w:bdr w:val="none" w:sz="0" w:space="0" w:color="auto"/>
          <w:lang w:val="es-AR"/>
        </w:rPr>
        <w:lastRenderedPageBreak/>
        <w:t xml:space="preserve">las sanciones que correspondan respecto de las violaciones de derechos humanos declaradas en el presente informe. </w:t>
      </w:r>
    </w:p>
    <w:p w14:paraId="691C5AEB" w14:textId="77777777" w:rsidR="00E31D8A" w:rsidRPr="00B93A81" w:rsidRDefault="00E31D8A" w:rsidP="00E31D8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eastAsia="Times New Roman"/>
          <w:sz w:val="14"/>
          <w:szCs w:val="14"/>
          <w:bdr w:val="none" w:sz="0" w:space="0" w:color="auto"/>
          <w:lang w:val="es-ES"/>
        </w:rPr>
      </w:pPr>
    </w:p>
    <w:p w14:paraId="7FD8C91B" w14:textId="77777777" w:rsidR="00E31D8A" w:rsidRPr="00B93A81" w:rsidRDefault="00E31D8A" w:rsidP="00E31D8A">
      <w:pPr>
        <w:pStyle w:val="ListParagraph"/>
        <w:rPr>
          <w:rFonts w:eastAsia="Times New Roman"/>
          <w:sz w:val="14"/>
          <w:szCs w:val="14"/>
          <w:bdr w:val="none" w:sz="0" w:space="0" w:color="auto"/>
          <w:lang w:val="es-ES"/>
        </w:rPr>
      </w:pPr>
    </w:p>
    <w:p w14:paraId="3AA81E20" w14:textId="77777777" w:rsidR="00E31D8A" w:rsidRPr="00B93A81" w:rsidRDefault="00E31D8A" w:rsidP="00E31D8A">
      <w:pPr>
        <w:pStyle w:val="Heading1"/>
        <w:ind w:left="0" w:firstLine="0"/>
      </w:pPr>
      <w:bookmarkStart w:id="49" w:name="_Toc399152688"/>
      <w:bookmarkStart w:id="50" w:name="_Toc529892274"/>
      <w:bookmarkStart w:id="51" w:name="_Toc70437030"/>
      <w:r w:rsidRPr="00B93A81">
        <w:t>ACTUACIONES POSTERIORES AL INFORME No. 108/1</w:t>
      </w:r>
      <w:bookmarkEnd w:id="49"/>
      <w:bookmarkEnd w:id="50"/>
      <w:r w:rsidRPr="00B93A81">
        <w:t>8</w:t>
      </w:r>
      <w:bookmarkEnd w:id="51"/>
    </w:p>
    <w:p w14:paraId="5E987B47" w14:textId="77777777" w:rsidR="00E31D8A" w:rsidRPr="00B93A81" w:rsidRDefault="00E31D8A" w:rsidP="00E31D8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eastAsia="Times New Roman"/>
          <w:sz w:val="14"/>
          <w:szCs w:val="14"/>
          <w:bdr w:val="none" w:sz="0" w:space="0" w:color="auto"/>
          <w:lang w:val="es-ES_tradnl"/>
        </w:rPr>
      </w:pPr>
    </w:p>
    <w:p w14:paraId="1ABE41D7" w14:textId="77777777" w:rsidR="005B7351" w:rsidRPr="00B93A81" w:rsidRDefault="005B7351" w:rsidP="001E3EB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eastAsia="Times New Roman"/>
          <w:sz w:val="14"/>
          <w:szCs w:val="14"/>
          <w:bdr w:val="none" w:sz="0" w:space="0" w:color="auto"/>
          <w:lang w:val="es-ES"/>
        </w:rPr>
      </w:pPr>
    </w:p>
    <w:p w14:paraId="0FF08FED" w14:textId="77777777" w:rsidR="00E31D8A" w:rsidRPr="00B93A81" w:rsidRDefault="00E31D8A"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 w:val="left" w:pos="1440"/>
        </w:tabs>
        <w:ind w:left="0" w:firstLine="0"/>
        <w:jc w:val="both"/>
        <w:rPr>
          <w:rFonts w:asciiTheme="majorHAnsi" w:hAnsiTheme="majorHAnsi"/>
          <w:sz w:val="20"/>
          <w:szCs w:val="20"/>
          <w:lang w:val="es-ES"/>
        </w:rPr>
      </w:pPr>
      <w:r w:rsidRPr="00B93A81">
        <w:rPr>
          <w:rFonts w:asciiTheme="majorHAnsi" w:hAnsiTheme="majorHAnsi"/>
          <w:sz w:val="20"/>
          <w:szCs w:val="20"/>
          <w:lang w:val="es-ES"/>
        </w:rPr>
        <w:t>El 5 de diciembre de 2018 la Comisión transmitió el informe al Estado con un plazo de dos meses para que informara sobre las medidas adoptadas para dar cumplimiento a las recomendaciones allí contenidas</w:t>
      </w:r>
      <w:r w:rsidR="00DB0515" w:rsidRPr="00B93A81">
        <w:rPr>
          <w:rFonts w:asciiTheme="majorHAnsi" w:hAnsiTheme="majorHAnsi"/>
          <w:sz w:val="20"/>
          <w:szCs w:val="20"/>
          <w:lang w:val="es-ES"/>
        </w:rPr>
        <w:t>.</w:t>
      </w:r>
      <w:r w:rsidRPr="00B93A81">
        <w:rPr>
          <w:rFonts w:asciiTheme="majorHAnsi" w:hAnsiTheme="majorHAnsi"/>
          <w:sz w:val="20"/>
          <w:szCs w:val="20"/>
          <w:lang w:val="es-ES"/>
        </w:rPr>
        <w:t xml:space="preserve"> </w:t>
      </w:r>
    </w:p>
    <w:p w14:paraId="1ACE4121" w14:textId="77777777" w:rsidR="00E31D8A" w:rsidRPr="00B93A81" w:rsidRDefault="00E31D8A" w:rsidP="00E31D8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14:paraId="75A55425" w14:textId="77777777" w:rsidR="000C5BAC" w:rsidRPr="00B93A81" w:rsidRDefault="000C5BAC" w:rsidP="00E31D8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 w:val="left" w:pos="1440"/>
        </w:tabs>
        <w:ind w:left="0" w:firstLine="0"/>
        <w:jc w:val="both"/>
        <w:rPr>
          <w:rFonts w:asciiTheme="majorHAnsi" w:hAnsiTheme="majorHAnsi"/>
          <w:sz w:val="20"/>
          <w:szCs w:val="20"/>
          <w:lang w:val="es-ES"/>
        </w:rPr>
      </w:pPr>
      <w:r w:rsidRPr="00B93A81">
        <w:rPr>
          <w:rFonts w:ascii="Cambria" w:hAnsi="Cambria" w:cs="Verdana"/>
          <w:sz w:val="20"/>
          <w:szCs w:val="20"/>
          <w:lang w:val="es-ES" w:bidi="en-US"/>
        </w:rPr>
        <w:t>En el trámite seguido con posterioridad a la notificación del informe de fondo, la Comisión recibió varias comunicaciones de las partes sobre el cumplimiento de las recomendaciones establecidas por la CIDH y, en particular, sobre la firma de</w:t>
      </w:r>
      <w:r w:rsidR="00DB0515" w:rsidRPr="00B93A81">
        <w:rPr>
          <w:rFonts w:ascii="Cambria" w:hAnsi="Cambria" w:cs="Verdana"/>
          <w:sz w:val="20"/>
          <w:szCs w:val="20"/>
          <w:lang w:val="es-ES" w:bidi="en-US"/>
        </w:rPr>
        <w:t>l</w:t>
      </w:r>
      <w:r w:rsidRPr="00B93A81">
        <w:rPr>
          <w:rFonts w:ascii="Cambria" w:hAnsi="Cambria" w:cs="Verdana"/>
          <w:sz w:val="20"/>
          <w:szCs w:val="20"/>
          <w:lang w:val="es-ES" w:bidi="en-US"/>
        </w:rPr>
        <w:t xml:space="preserve"> “ACUERDO PARA EL CUMP</w:t>
      </w:r>
      <w:r w:rsidR="003B2038" w:rsidRPr="00B93A81">
        <w:rPr>
          <w:rFonts w:ascii="Cambria" w:hAnsi="Cambria" w:cs="Verdana"/>
          <w:sz w:val="20"/>
          <w:szCs w:val="20"/>
          <w:lang w:val="es-ES" w:bidi="en-US"/>
        </w:rPr>
        <w:t>L</w:t>
      </w:r>
      <w:r w:rsidRPr="00B93A81">
        <w:rPr>
          <w:rFonts w:ascii="Cambria" w:hAnsi="Cambria" w:cs="Verdana"/>
          <w:sz w:val="20"/>
          <w:szCs w:val="20"/>
          <w:lang w:val="es-ES" w:bidi="en-US"/>
        </w:rPr>
        <w:t xml:space="preserve">IMIENTO DE LAS RECOMENDACIONES EMITIDAS POR LA COMISIÓN INTERAMERICANA DE DERECHOS HUMANOS EN EL INFORME DE FONDO NO. 108-18 EN EL CASO 12.780 CARLOS BETANCOURT ESTRADA Y FAMILIA” (en adelante “el Acuerdo de Cumplimiento”) suscrito el 29 de mayo de 2019. Durante este periodo la Comisión otorgó una prórroga al Estado para la suspensión del plazo previsto en el </w:t>
      </w:r>
      <w:r w:rsidRPr="00B93A81">
        <w:rPr>
          <w:rFonts w:asciiTheme="majorHAnsi" w:hAnsiTheme="majorHAnsi" w:cs="Verdana"/>
          <w:sz w:val="20"/>
          <w:szCs w:val="20"/>
          <w:lang w:val="es-ES" w:bidi="en-US"/>
        </w:rPr>
        <w:t xml:space="preserve">artículo 51 de la Convención Americana. El Estado renunció expresamente a interponer excepciones preliminares por incumplimiento del referido plazo en la eventualidad de que el caso fuera sometido a la Corte Interamericana. </w:t>
      </w:r>
    </w:p>
    <w:p w14:paraId="629A0261" w14:textId="77777777" w:rsidR="000C5BAC" w:rsidRPr="00B93A81" w:rsidRDefault="000C5BAC"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lang w:val="es-VE"/>
        </w:rPr>
      </w:pPr>
    </w:p>
    <w:p w14:paraId="495A35A7" w14:textId="77777777" w:rsidR="005B7351" w:rsidRPr="00B93A81" w:rsidRDefault="005B7351"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 w:val="left" w:pos="1440"/>
        </w:tabs>
        <w:ind w:left="0" w:firstLine="0"/>
        <w:jc w:val="both"/>
        <w:rPr>
          <w:rFonts w:asciiTheme="majorHAnsi" w:hAnsiTheme="majorHAnsi"/>
          <w:sz w:val="20"/>
          <w:szCs w:val="20"/>
          <w:lang w:val="es-ES"/>
        </w:rPr>
      </w:pPr>
      <w:r w:rsidRPr="00B93A81">
        <w:rPr>
          <w:rFonts w:asciiTheme="majorHAnsi" w:hAnsiTheme="majorHAnsi" w:cs="Verdana"/>
          <w:sz w:val="20"/>
          <w:szCs w:val="20"/>
          <w:lang w:val="es-ES" w:bidi="en-US"/>
        </w:rPr>
        <w:t xml:space="preserve">A continuación, la CIDH destaca los principales puntos del Acuerdo de Cumplimiento de 29 de mayo de 2019:  </w:t>
      </w:r>
    </w:p>
    <w:p w14:paraId="24C92F85" w14:textId="77777777" w:rsidR="005B7351" w:rsidRPr="00B93A81" w:rsidRDefault="005B7351" w:rsidP="000C5BA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lang w:val="es-VE"/>
        </w:rPr>
      </w:pPr>
    </w:p>
    <w:p w14:paraId="5530D1B7" w14:textId="77777777" w:rsidR="005B7351" w:rsidRPr="00B93A81" w:rsidRDefault="005B7351"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2" w:right="142"/>
        <w:jc w:val="both"/>
        <w:rPr>
          <w:rFonts w:asciiTheme="majorHAnsi" w:hAnsiTheme="majorHAnsi"/>
          <w:sz w:val="18"/>
          <w:lang w:val="es-ES_tradnl"/>
        </w:rPr>
      </w:pPr>
      <w:r w:rsidRPr="00B93A81">
        <w:rPr>
          <w:rFonts w:asciiTheme="majorHAnsi" w:hAnsiTheme="majorHAnsi"/>
          <w:sz w:val="18"/>
          <w:lang w:val="es-ES_tradnl"/>
        </w:rPr>
        <w:t>PRIMERO: (…) Reparación pecuniaria: (…) se reconocerán los perjuicios morales y materiales que lleguen a probarse una vez se expida la resolución de Ley 288 de 1996. La Agencia Nacional de Defensa Jurídica del Estado realizará, previa a la audiencia de conciliación, reuniones de trabajo con los representantes de las víctimas con el fin de discutir preliminarmente los montos de indemnización de conformidad con las pruebas aportadas y los criterios de la jurisprudencia nacional vigente</w:t>
      </w:r>
      <w:r w:rsidR="00866A13" w:rsidRPr="00B93A81">
        <w:rPr>
          <w:rFonts w:asciiTheme="majorHAnsi" w:hAnsiTheme="majorHAnsi"/>
          <w:sz w:val="18"/>
          <w:lang w:val="es-ES_tradnl"/>
        </w:rPr>
        <w:t>.</w:t>
      </w:r>
    </w:p>
    <w:p w14:paraId="4CEA2F7F" w14:textId="77777777" w:rsidR="005B7351" w:rsidRPr="00B93A81" w:rsidRDefault="005B7351"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2" w:right="142"/>
        <w:jc w:val="both"/>
        <w:rPr>
          <w:rFonts w:asciiTheme="majorHAnsi" w:hAnsiTheme="majorHAnsi"/>
          <w:sz w:val="18"/>
          <w:lang w:val="es-ES_tradnl"/>
        </w:rPr>
      </w:pPr>
    </w:p>
    <w:p w14:paraId="4F2D090E" w14:textId="77777777" w:rsidR="005B7351" w:rsidRPr="00B93A81" w:rsidRDefault="005B7351"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2" w:right="142"/>
        <w:jc w:val="both"/>
        <w:rPr>
          <w:rFonts w:asciiTheme="majorHAnsi" w:hAnsiTheme="majorHAnsi"/>
          <w:sz w:val="18"/>
          <w:lang w:val="es-ES_tradnl"/>
        </w:rPr>
      </w:pPr>
      <w:r w:rsidRPr="00B93A81">
        <w:rPr>
          <w:rFonts w:asciiTheme="majorHAnsi" w:hAnsiTheme="majorHAnsi"/>
          <w:sz w:val="18"/>
          <w:lang w:val="es-ES_tradnl"/>
        </w:rPr>
        <w:t>SEGUNDO: (…) El Ministerio de Salud y Protección Social implementará las medidas de rehabilitación en salud constitutivas de una atención médica, psicológica y psicosocial a través del Sistema General de Seguridad Social en Salud y del programa de Atención Psicosocial y Salud Integral para las Víctimas (…)</w:t>
      </w:r>
    </w:p>
    <w:p w14:paraId="0DC149D6" w14:textId="77777777" w:rsidR="005B7351" w:rsidRPr="00B93A81" w:rsidRDefault="005B7351"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2" w:right="142"/>
        <w:jc w:val="both"/>
        <w:rPr>
          <w:rFonts w:asciiTheme="majorHAnsi" w:hAnsiTheme="majorHAnsi"/>
          <w:sz w:val="18"/>
          <w:lang w:val="es-ES_tradnl"/>
        </w:rPr>
      </w:pPr>
    </w:p>
    <w:p w14:paraId="4B3A51DC" w14:textId="77777777" w:rsidR="005B7351" w:rsidRPr="00B93A81" w:rsidRDefault="005B7351"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2" w:right="142"/>
        <w:jc w:val="both"/>
        <w:rPr>
          <w:rFonts w:asciiTheme="majorHAnsi" w:hAnsiTheme="majorHAnsi"/>
          <w:sz w:val="18"/>
          <w:lang w:val="es-ES_tradnl"/>
        </w:rPr>
      </w:pPr>
      <w:r w:rsidRPr="00B93A81">
        <w:rPr>
          <w:rFonts w:asciiTheme="majorHAnsi" w:hAnsiTheme="majorHAnsi"/>
          <w:sz w:val="18"/>
          <w:lang w:val="es-ES_tradnl"/>
        </w:rPr>
        <w:t>TERCERO: (…) Estado continuará la investigación penal, de conformidad con los términos y procedimientos legales internos.</w:t>
      </w:r>
    </w:p>
    <w:p w14:paraId="17634AD4" w14:textId="77777777" w:rsidR="005B7351" w:rsidRPr="00B93A81" w:rsidRDefault="005B7351"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2" w:right="142"/>
        <w:jc w:val="both"/>
        <w:rPr>
          <w:rFonts w:asciiTheme="majorHAnsi" w:hAnsiTheme="majorHAnsi"/>
          <w:sz w:val="18"/>
          <w:lang w:val="es-ES_tradnl"/>
        </w:rPr>
      </w:pPr>
    </w:p>
    <w:p w14:paraId="573A5BB0" w14:textId="77777777" w:rsidR="005B7351" w:rsidRPr="00B93A81" w:rsidRDefault="005B7351"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2" w:right="142"/>
        <w:jc w:val="both"/>
        <w:rPr>
          <w:rFonts w:asciiTheme="majorHAnsi" w:hAnsiTheme="majorHAnsi"/>
          <w:sz w:val="18"/>
          <w:lang w:val="es-ES_tradnl"/>
        </w:rPr>
      </w:pPr>
      <w:r w:rsidRPr="00B93A81">
        <w:rPr>
          <w:rFonts w:asciiTheme="majorHAnsi" w:hAnsiTheme="majorHAnsi"/>
          <w:sz w:val="18"/>
          <w:lang w:val="es-ES_tradnl"/>
        </w:rPr>
        <w:t xml:space="preserve">CUARTO: (…) </w:t>
      </w:r>
      <w:r w:rsidR="001E3EBE" w:rsidRPr="00B93A81">
        <w:rPr>
          <w:rFonts w:asciiTheme="majorHAnsi" w:hAnsiTheme="majorHAnsi"/>
          <w:sz w:val="18"/>
          <w:lang w:val="es-ES_tradnl"/>
        </w:rPr>
        <w:t>[las partes] acuerdan que el mecanismo de verificación de cumplimiento al presente Acuerdo, se lleve a cabo a través de la [CIDH]. (…)</w:t>
      </w:r>
    </w:p>
    <w:p w14:paraId="74DC6360" w14:textId="77777777" w:rsidR="005B7351" w:rsidRPr="00B93A81" w:rsidRDefault="005B7351" w:rsidP="005B73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lang w:val="es-ES_tradnl"/>
        </w:rPr>
      </w:pPr>
    </w:p>
    <w:p w14:paraId="45DD3E0E" w14:textId="77777777" w:rsidR="00FB360B" w:rsidRPr="00B93A81" w:rsidRDefault="00FB360B" w:rsidP="00B20F9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Cambria" w:hAnsi="Cambria" w:cs="Verdana"/>
          <w:sz w:val="20"/>
          <w:szCs w:val="20"/>
          <w:lang w:val="es-ES" w:bidi="en-US"/>
        </w:rPr>
      </w:pPr>
      <w:r w:rsidRPr="00B93A81">
        <w:rPr>
          <w:rFonts w:ascii="Cambria" w:hAnsi="Cambria" w:cs="Verdana"/>
          <w:sz w:val="20"/>
          <w:szCs w:val="20"/>
          <w:lang w:val="es-ES" w:bidi="en-US"/>
        </w:rPr>
        <w:t>El 5 de marzo de 2019 t</w:t>
      </w:r>
      <w:r w:rsidR="001E3EBE" w:rsidRPr="00B93A81">
        <w:rPr>
          <w:rFonts w:ascii="Cambria" w:hAnsi="Cambria" w:cs="Verdana"/>
          <w:sz w:val="20"/>
          <w:szCs w:val="20"/>
          <w:lang w:val="es-ES" w:bidi="en-US"/>
        </w:rPr>
        <w:t>ras evaluar la información disponible y tomando en cuenta la voluntad entre las partes, quienes indicaron expresamente en el Acuerdo de Cumplimiento que se proceda a la emisión del Informe de Fondo conforme al artículo 51 de la</w:t>
      </w:r>
      <w:r w:rsidRPr="00B93A81">
        <w:rPr>
          <w:rFonts w:ascii="Cambria" w:hAnsi="Cambria" w:cs="Verdana"/>
          <w:sz w:val="20"/>
          <w:szCs w:val="20"/>
          <w:lang w:val="es-ES" w:bidi="en-US"/>
        </w:rPr>
        <w:t xml:space="preserve"> Convención, la CIDH decidió</w:t>
      </w:r>
      <w:r w:rsidR="001E3EBE" w:rsidRPr="00B93A81">
        <w:rPr>
          <w:rFonts w:ascii="Cambria" w:hAnsi="Cambria" w:cs="Verdana"/>
          <w:sz w:val="20"/>
          <w:szCs w:val="20"/>
          <w:lang w:val="es-ES" w:bidi="en-US"/>
        </w:rPr>
        <w:t xml:space="preserve"> por mayoría absoluta no enviar el caso a la Corte Interamericana y proceder hacia la publicación del Informe de Fondo. </w:t>
      </w:r>
    </w:p>
    <w:p w14:paraId="53A27361" w14:textId="77777777" w:rsidR="00B20F9C" w:rsidRPr="00B93A81" w:rsidRDefault="00B20F9C" w:rsidP="00B20F9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Verdana"/>
          <w:sz w:val="20"/>
          <w:szCs w:val="20"/>
          <w:lang w:val="es-ES" w:bidi="en-US"/>
        </w:rPr>
      </w:pPr>
    </w:p>
    <w:p w14:paraId="1A313758" w14:textId="77777777" w:rsidR="00FB360B" w:rsidRPr="00B93A81" w:rsidRDefault="007C52EF" w:rsidP="00FB360B">
      <w:pPr>
        <w:pStyle w:val="Heading1"/>
        <w:ind w:left="0" w:firstLine="0"/>
      </w:pPr>
      <w:bookmarkStart w:id="52" w:name="_Toc70437031"/>
      <w:r w:rsidRPr="00B93A81">
        <w:t>INFORME NO 1</w:t>
      </w:r>
      <w:r w:rsidR="00FB360B" w:rsidRPr="00B93A81">
        <w:t>0</w:t>
      </w:r>
      <w:r w:rsidRPr="00B93A81">
        <w:t>7/19</w:t>
      </w:r>
      <w:r w:rsidR="00FB360B" w:rsidRPr="00B93A81">
        <w:t xml:space="preserve"> E </w:t>
      </w:r>
      <w:r w:rsidR="00706666" w:rsidRPr="00B93A81">
        <w:t>INFORMACIÓN</w:t>
      </w:r>
      <w:r w:rsidR="00FB360B" w:rsidRPr="00B93A81">
        <w:t xml:space="preserve"> SOBRE CUMPLIMIENTO</w:t>
      </w:r>
      <w:bookmarkEnd w:id="52"/>
    </w:p>
    <w:p w14:paraId="6D24DC0B" w14:textId="77777777" w:rsidR="00FB360B" w:rsidRPr="00B93A81" w:rsidRDefault="00FB360B" w:rsidP="009C5C1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Verdana"/>
          <w:sz w:val="20"/>
          <w:szCs w:val="20"/>
          <w:lang w:val="es-ES" w:bidi="en-US"/>
        </w:rPr>
      </w:pPr>
    </w:p>
    <w:p w14:paraId="3A1A913A" w14:textId="77777777" w:rsidR="0036453B" w:rsidRPr="00B93A81" w:rsidRDefault="00135338" w:rsidP="00866A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Cambria" w:hAnsi="Cambria" w:cs="Verdana"/>
          <w:sz w:val="20"/>
          <w:szCs w:val="20"/>
          <w:lang w:val="es-ES" w:bidi="en-US"/>
        </w:rPr>
      </w:pPr>
      <w:r w:rsidRPr="00B93A81">
        <w:rPr>
          <w:rFonts w:ascii="Cambria" w:hAnsi="Cambria" w:cs="Verdana"/>
          <w:sz w:val="20"/>
          <w:szCs w:val="20"/>
          <w:lang w:val="es-ES" w:bidi="en-US"/>
        </w:rPr>
        <w:t>El 7</w:t>
      </w:r>
      <w:r w:rsidR="009C5C1F" w:rsidRPr="00B93A81">
        <w:rPr>
          <w:rFonts w:ascii="Cambria" w:hAnsi="Cambria" w:cs="Verdana"/>
          <w:sz w:val="20"/>
          <w:szCs w:val="20"/>
          <w:lang w:val="es-ES" w:bidi="en-US"/>
        </w:rPr>
        <w:t xml:space="preserve"> de </w:t>
      </w:r>
      <w:r w:rsidRPr="00B93A81">
        <w:rPr>
          <w:rFonts w:ascii="Cambria" w:hAnsi="Cambria" w:cs="Verdana"/>
          <w:sz w:val="20"/>
          <w:szCs w:val="20"/>
          <w:lang w:val="es-ES" w:bidi="en-US"/>
        </w:rPr>
        <w:t>agosto de 2019</w:t>
      </w:r>
      <w:r w:rsidR="009C5C1F" w:rsidRPr="00B93A81">
        <w:rPr>
          <w:rFonts w:ascii="Cambria" w:hAnsi="Cambria" w:cs="Verdana"/>
          <w:sz w:val="20"/>
          <w:szCs w:val="20"/>
          <w:lang w:val="es-ES" w:bidi="en-US"/>
        </w:rPr>
        <w:t xml:space="preserve"> la Comisión transmitió al Esta</w:t>
      </w:r>
      <w:r w:rsidRPr="00B93A81">
        <w:rPr>
          <w:rFonts w:ascii="Cambria" w:hAnsi="Cambria" w:cs="Verdana"/>
          <w:sz w:val="20"/>
          <w:szCs w:val="20"/>
          <w:lang w:val="es-ES" w:bidi="en-US"/>
        </w:rPr>
        <w:t>do el Informe de Fondo Final 107/19</w:t>
      </w:r>
      <w:r w:rsidR="009C5C1F" w:rsidRPr="00B93A81">
        <w:rPr>
          <w:rFonts w:ascii="Cambria" w:hAnsi="Cambria" w:cs="Verdana"/>
          <w:sz w:val="20"/>
          <w:szCs w:val="20"/>
          <w:lang w:val="es-ES" w:bidi="en-US"/>
        </w:rPr>
        <w:t xml:space="preserve"> y le concedió un plazo de un mes para que informara sobre las medidas adoptadas para dar cumplimiento a las recomendaciones allí contenidas.</w:t>
      </w:r>
      <w:r w:rsidR="00866A13" w:rsidRPr="00B93A81">
        <w:rPr>
          <w:rFonts w:ascii="Cambria" w:hAnsi="Cambria" w:cs="Verdana"/>
          <w:sz w:val="20"/>
          <w:szCs w:val="20"/>
          <w:lang w:val="es-ES" w:bidi="en-US"/>
        </w:rPr>
        <w:t xml:space="preserve"> </w:t>
      </w:r>
      <w:r w:rsidR="00D32AD4" w:rsidRPr="00B93A81">
        <w:rPr>
          <w:rFonts w:ascii="Cambria" w:hAnsi="Cambria" w:cs="Verdana"/>
          <w:sz w:val="20"/>
          <w:szCs w:val="20"/>
          <w:lang w:val="es-ES" w:bidi="en-US"/>
        </w:rPr>
        <w:t xml:space="preserve">El </w:t>
      </w:r>
      <w:r w:rsidR="007C52EF" w:rsidRPr="00B93A81">
        <w:rPr>
          <w:rFonts w:ascii="Cambria" w:hAnsi="Cambria" w:cs="Verdana"/>
          <w:sz w:val="20"/>
          <w:szCs w:val="20"/>
          <w:lang w:val="es-ES" w:bidi="en-US"/>
        </w:rPr>
        <w:t xml:space="preserve">16 de septiembre de 2019 y </w:t>
      </w:r>
      <w:r w:rsidR="00D32AD4" w:rsidRPr="00B93A81">
        <w:rPr>
          <w:rFonts w:ascii="Cambria" w:hAnsi="Cambria" w:cs="Verdana"/>
          <w:sz w:val="20"/>
          <w:szCs w:val="20"/>
          <w:lang w:val="es-ES" w:bidi="en-US"/>
        </w:rPr>
        <w:t xml:space="preserve">9 de octubre de 2019 el Estado presentó </w:t>
      </w:r>
      <w:r w:rsidR="007C52EF" w:rsidRPr="00B93A81">
        <w:rPr>
          <w:rFonts w:ascii="Cambria" w:hAnsi="Cambria" w:cs="Verdana"/>
          <w:sz w:val="20"/>
          <w:szCs w:val="20"/>
          <w:lang w:val="es-ES" w:bidi="en-US"/>
        </w:rPr>
        <w:t xml:space="preserve">informes sobre las acciones emprendidas para dar cumplimiento a las recomendaciones del informe de fondo. </w:t>
      </w:r>
    </w:p>
    <w:p w14:paraId="28422208" w14:textId="77777777" w:rsidR="00512036" w:rsidRPr="00B93A81" w:rsidRDefault="00512036" w:rsidP="00512036">
      <w:pPr>
        <w:pStyle w:val="ListParagraph"/>
        <w:rPr>
          <w:rFonts w:cs="Verdana"/>
          <w:sz w:val="20"/>
          <w:szCs w:val="20"/>
          <w:lang w:val="es-ES" w:bidi="en-US"/>
        </w:rPr>
      </w:pPr>
    </w:p>
    <w:p w14:paraId="0C205D15" w14:textId="77777777" w:rsidR="00512036" w:rsidRPr="00B93A81" w:rsidRDefault="00512036" w:rsidP="009C5C1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Cambria" w:hAnsi="Cambria" w:cs="Verdana"/>
          <w:sz w:val="20"/>
          <w:szCs w:val="20"/>
          <w:lang w:val="es-ES" w:bidi="en-US"/>
        </w:rPr>
      </w:pPr>
      <w:r w:rsidRPr="00B93A81">
        <w:rPr>
          <w:rFonts w:ascii="Cambria" w:hAnsi="Cambria" w:cs="Verdana"/>
          <w:sz w:val="20"/>
          <w:szCs w:val="20"/>
          <w:lang w:val="es-ES" w:bidi="en-US"/>
        </w:rPr>
        <w:t xml:space="preserve">En cuanto a la </w:t>
      </w:r>
      <w:r w:rsidRPr="00B93A81">
        <w:rPr>
          <w:rFonts w:ascii="Cambria" w:hAnsi="Cambria" w:cs="Verdana"/>
          <w:b/>
          <w:sz w:val="20"/>
          <w:szCs w:val="20"/>
          <w:lang w:val="es-ES" w:bidi="en-US"/>
        </w:rPr>
        <w:t>primera recomendación</w:t>
      </w:r>
      <w:r w:rsidRPr="00B93A81">
        <w:rPr>
          <w:rFonts w:ascii="Cambria" w:hAnsi="Cambria" w:cs="Verdana"/>
          <w:sz w:val="20"/>
          <w:szCs w:val="20"/>
          <w:lang w:val="es-ES" w:bidi="en-US"/>
        </w:rPr>
        <w:t xml:space="preserve"> relacionada con reparaciones integrales, el Estado </w:t>
      </w:r>
      <w:r w:rsidR="00312F43" w:rsidRPr="00B93A81">
        <w:rPr>
          <w:rFonts w:ascii="Cambria" w:hAnsi="Cambria" w:cs="Verdana"/>
          <w:sz w:val="20"/>
          <w:szCs w:val="20"/>
          <w:lang w:val="es-ES" w:bidi="en-US"/>
        </w:rPr>
        <w:t>no presentó información</w:t>
      </w:r>
      <w:r w:rsidR="00DB0515" w:rsidRPr="00B93A81">
        <w:rPr>
          <w:rFonts w:ascii="Cambria" w:hAnsi="Cambria" w:cs="Verdana"/>
          <w:sz w:val="20"/>
          <w:szCs w:val="20"/>
          <w:lang w:val="es-ES" w:bidi="en-US"/>
        </w:rPr>
        <w:t xml:space="preserve"> actualizada</w:t>
      </w:r>
      <w:r w:rsidR="00312F43" w:rsidRPr="00B93A81">
        <w:rPr>
          <w:rFonts w:ascii="Cambria" w:hAnsi="Cambria" w:cs="Verdana"/>
          <w:sz w:val="20"/>
          <w:szCs w:val="20"/>
          <w:lang w:val="es-ES" w:bidi="en-US"/>
        </w:rPr>
        <w:t xml:space="preserve"> sobre este aspecto durante el periodo de seguimiento, sin embargo en el acuerdo suscrito por las partes</w:t>
      </w:r>
      <w:r w:rsidR="007A36E9" w:rsidRPr="00B93A81">
        <w:rPr>
          <w:rFonts w:ascii="Cambria" w:hAnsi="Cambria" w:cs="Verdana"/>
          <w:sz w:val="20"/>
          <w:szCs w:val="20"/>
          <w:lang w:val="es-ES" w:bidi="en-US"/>
        </w:rPr>
        <w:t xml:space="preserve"> el 29 de mayo de 2019</w:t>
      </w:r>
      <w:r w:rsidR="00312F43" w:rsidRPr="00B93A81">
        <w:rPr>
          <w:rFonts w:ascii="Cambria" w:hAnsi="Cambria" w:cs="Verdana"/>
          <w:sz w:val="20"/>
          <w:szCs w:val="20"/>
          <w:lang w:val="es-ES" w:bidi="en-US"/>
        </w:rPr>
        <w:t>, se indica que “se reconocerán los perjuicios morales y materiales que lleguen a probarse una vez se expida la resolución de Ley 288 de 1996”</w:t>
      </w:r>
    </w:p>
    <w:p w14:paraId="509FAFBE" w14:textId="77777777" w:rsidR="00312F43" w:rsidRPr="00B93A81" w:rsidRDefault="00312F43" w:rsidP="00312F43">
      <w:pPr>
        <w:pStyle w:val="ListParagraph"/>
        <w:rPr>
          <w:rFonts w:cs="Verdana"/>
          <w:sz w:val="20"/>
          <w:szCs w:val="20"/>
          <w:lang w:val="es-ES" w:bidi="en-US"/>
        </w:rPr>
      </w:pPr>
    </w:p>
    <w:p w14:paraId="1925DFF2" w14:textId="77777777" w:rsidR="007A36E9" w:rsidRPr="00B93A81" w:rsidRDefault="00312F43" w:rsidP="0091034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Cambria" w:hAnsi="Cambria" w:cs="Verdana"/>
          <w:sz w:val="20"/>
          <w:szCs w:val="20"/>
          <w:lang w:val="es-ES" w:bidi="en-US"/>
        </w:rPr>
      </w:pPr>
      <w:r w:rsidRPr="00B93A81">
        <w:rPr>
          <w:rFonts w:ascii="Cambria" w:hAnsi="Cambria" w:cs="Verdana"/>
          <w:sz w:val="20"/>
          <w:szCs w:val="20"/>
          <w:lang w:val="es-ES" w:bidi="en-US"/>
        </w:rPr>
        <w:lastRenderedPageBreak/>
        <w:t>Por otra parte se indica que “la Agencia Nacional de Defensa Jurídica del Estado realizará, previa a la a</w:t>
      </w:r>
      <w:r w:rsidR="007A36E9" w:rsidRPr="00B93A81">
        <w:rPr>
          <w:rFonts w:ascii="Cambria" w:hAnsi="Cambria" w:cs="Verdana"/>
          <w:sz w:val="20"/>
          <w:szCs w:val="20"/>
          <w:lang w:val="es-ES" w:bidi="en-US"/>
        </w:rPr>
        <w:t xml:space="preserve"> la audiencia de conciliación, reuniones de trabajo con los representantes de las víctimas, con el fin de discutir preliminarmente los montos de indemnización de conformidad con las pruebas aportadas y los criterios de la jurisprudencia vigente”.</w:t>
      </w:r>
    </w:p>
    <w:p w14:paraId="5D0D0B2C" w14:textId="77777777" w:rsidR="001F0773" w:rsidRPr="00B93A81" w:rsidRDefault="001F0773" w:rsidP="001F07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Verdana"/>
          <w:sz w:val="20"/>
          <w:szCs w:val="20"/>
          <w:lang w:val="es-ES" w:bidi="en-US"/>
        </w:rPr>
      </w:pPr>
    </w:p>
    <w:p w14:paraId="58728308" w14:textId="77777777" w:rsidR="007A36E9" w:rsidRPr="00B93A81" w:rsidRDefault="00AC4828" w:rsidP="009C5C1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Cambria" w:hAnsi="Cambria" w:cs="Verdana"/>
          <w:sz w:val="20"/>
          <w:szCs w:val="20"/>
          <w:lang w:val="es-ES" w:bidi="en-US"/>
        </w:rPr>
      </w:pPr>
      <w:r w:rsidRPr="00B93A81">
        <w:rPr>
          <w:rFonts w:ascii="Cambria" w:hAnsi="Cambria" w:cs="Verdana"/>
          <w:sz w:val="20"/>
          <w:szCs w:val="20"/>
          <w:lang w:val="es-ES" w:bidi="en-US"/>
        </w:rPr>
        <w:t xml:space="preserve">La Comisión considera indispensable recibir información sobre los avances respecto del cumplimiento de esta recomendación, en particular si ya se han llevado a cabo reuniones para determinar los montos de indemnización o cuando se tiene previsto llevarlas a cabo, así como la fecha en que se tiene previsto efectuar el pago de las indemnizaciones por daños materiales e inmateriales. </w:t>
      </w:r>
    </w:p>
    <w:p w14:paraId="3C19A0E6" w14:textId="77777777" w:rsidR="000C1B4A" w:rsidRPr="00B93A81" w:rsidRDefault="000C1B4A" w:rsidP="000C1B4A">
      <w:pPr>
        <w:pStyle w:val="ListParagraph"/>
        <w:rPr>
          <w:rFonts w:cs="Verdana"/>
          <w:sz w:val="20"/>
          <w:szCs w:val="20"/>
          <w:lang w:val="es-ES" w:bidi="en-US"/>
        </w:rPr>
      </w:pPr>
    </w:p>
    <w:p w14:paraId="3E3E6CF9" w14:textId="77777777" w:rsidR="000C1B4A" w:rsidRPr="00B93A81" w:rsidRDefault="000C1B4A" w:rsidP="009C5C1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Cambria" w:hAnsi="Cambria" w:cs="Verdana"/>
          <w:sz w:val="20"/>
          <w:szCs w:val="20"/>
          <w:lang w:val="es-ES" w:bidi="en-US"/>
        </w:rPr>
      </w:pPr>
      <w:r w:rsidRPr="00B93A81">
        <w:rPr>
          <w:rFonts w:ascii="Cambria" w:hAnsi="Cambria" w:cs="Verdana"/>
          <w:sz w:val="20"/>
          <w:szCs w:val="20"/>
          <w:lang w:val="es-ES" w:bidi="en-US"/>
        </w:rPr>
        <w:t xml:space="preserve">Igualmente, la CIDH recuerda que </w:t>
      </w:r>
      <w:r w:rsidR="00471B0E" w:rsidRPr="00B93A81">
        <w:rPr>
          <w:rFonts w:ascii="Cambria" w:hAnsi="Cambria" w:cs="Verdana"/>
          <w:sz w:val="20"/>
          <w:szCs w:val="20"/>
          <w:lang w:val="es-ES" w:bidi="en-US"/>
        </w:rPr>
        <w:t>en el Informe de Fondo</w:t>
      </w:r>
      <w:r w:rsidR="00CA42DB" w:rsidRPr="00B93A81">
        <w:rPr>
          <w:rFonts w:ascii="Cambria" w:hAnsi="Cambria" w:cs="Verdana"/>
          <w:sz w:val="20"/>
          <w:szCs w:val="20"/>
          <w:lang w:val="es-ES" w:bidi="en-US"/>
        </w:rPr>
        <w:t>,</w:t>
      </w:r>
      <w:r w:rsidR="00F444A3" w:rsidRPr="00B93A81">
        <w:rPr>
          <w:rFonts w:ascii="Cambria" w:hAnsi="Cambria" w:cs="Verdana"/>
          <w:sz w:val="20"/>
          <w:szCs w:val="20"/>
          <w:lang w:val="es-ES" w:bidi="en-US"/>
        </w:rPr>
        <w:t xml:space="preserve"> la CIDH recomendó al Estado reparar integralmente las violaciones de derechos humanos declaradas en dicha decisión tanto en su aspecto material como inmaterial y adoptar las medidas de compensación económica y satisfacción a favor de las v</w:t>
      </w:r>
      <w:r w:rsidR="00CA42DB" w:rsidRPr="00B93A81">
        <w:rPr>
          <w:rFonts w:ascii="Cambria" w:hAnsi="Cambria" w:cs="Verdana"/>
          <w:sz w:val="20"/>
          <w:szCs w:val="20"/>
          <w:lang w:val="es-ES" w:bidi="en-US"/>
        </w:rPr>
        <w:t xml:space="preserve">íctimas por lo que corresponde es que el Estado en conjunto con las víctimas determinen las formas y montos de las reparaciones correspondientes. </w:t>
      </w:r>
    </w:p>
    <w:p w14:paraId="7BE768FD" w14:textId="77777777" w:rsidR="00CA42DB" w:rsidRPr="00B93A81" w:rsidRDefault="00CA42DB" w:rsidP="00CA42DB">
      <w:pPr>
        <w:pStyle w:val="ListParagraph"/>
        <w:rPr>
          <w:rFonts w:cs="Verdana"/>
          <w:sz w:val="20"/>
          <w:szCs w:val="20"/>
          <w:lang w:val="es-ES" w:bidi="en-US"/>
        </w:rPr>
      </w:pPr>
    </w:p>
    <w:p w14:paraId="77B3BE9F" w14:textId="77777777" w:rsidR="00247794" w:rsidRPr="00B93A81" w:rsidRDefault="00CA42DB" w:rsidP="00D9037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Cambria" w:hAnsi="Cambria" w:cs="Verdana"/>
          <w:sz w:val="20"/>
          <w:szCs w:val="20"/>
          <w:lang w:val="es-ES" w:bidi="en-US"/>
        </w:rPr>
      </w:pPr>
      <w:r w:rsidRPr="00B93A81">
        <w:rPr>
          <w:rFonts w:ascii="Cambria" w:hAnsi="Cambria" w:cs="Verdana"/>
          <w:sz w:val="20"/>
          <w:szCs w:val="20"/>
          <w:lang w:val="es-ES" w:bidi="en-US"/>
        </w:rPr>
        <w:t xml:space="preserve">La CIDH recuerda que en virtud del carácter independiente que tienen las reparaciones internacionales, dictadas tanto por la Corte Interamericana como por la Comisión, no corresponde a los organismos del sistema interamericano sujetar dicha reparación a la acreditación de violaciones a derechos convencionales o nacionales a través de instrumentos de carácter interno del Estado. </w:t>
      </w:r>
      <w:r w:rsidR="00247794" w:rsidRPr="00B93A81">
        <w:rPr>
          <w:rFonts w:ascii="Cambria" w:hAnsi="Cambria" w:cs="Verdana"/>
          <w:sz w:val="20"/>
          <w:szCs w:val="20"/>
          <w:lang w:val="es-ES" w:bidi="en-US"/>
        </w:rPr>
        <w:t xml:space="preserve"> </w:t>
      </w:r>
      <w:r w:rsidR="00D90379" w:rsidRPr="00B93A81">
        <w:rPr>
          <w:rFonts w:ascii="Cambria" w:hAnsi="Cambria" w:cs="Verdana"/>
          <w:sz w:val="20"/>
          <w:szCs w:val="20"/>
          <w:lang w:val="es-ES" w:bidi="en-US"/>
        </w:rPr>
        <w:t>A ese respe3cto, l</w:t>
      </w:r>
      <w:r w:rsidR="00247794" w:rsidRPr="00B93A81">
        <w:rPr>
          <w:rFonts w:ascii="Cambria" w:hAnsi="Cambria" w:cs="Verdana"/>
          <w:sz w:val="20"/>
          <w:szCs w:val="20"/>
          <w:lang w:val="es-ES" w:bidi="en-US"/>
        </w:rPr>
        <w:t>a Comisión recuerda en cuanto a la relación entre la reparación internacional y los mecanismos internos de reparación previstos en los Estados, la Corte Interamericana desde la primera de sus decisiones precisó respecto del artículo 63.1 de la Convención que:</w:t>
      </w:r>
    </w:p>
    <w:p w14:paraId="45A4DEC2" w14:textId="77777777" w:rsidR="00247794" w:rsidRPr="00B93A81" w:rsidRDefault="00247794" w:rsidP="00866A13">
      <w:pPr>
        <w:ind w:right="360"/>
        <w:jc w:val="both"/>
        <w:rPr>
          <w:rFonts w:ascii="Cambria" w:hAnsi="Cambria" w:cs="Verdana"/>
          <w:sz w:val="18"/>
          <w:szCs w:val="18"/>
          <w:lang w:val="es-ES" w:bidi="en-US"/>
        </w:rPr>
      </w:pPr>
    </w:p>
    <w:p w14:paraId="6102A233" w14:textId="77777777" w:rsidR="00AC4828" w:rsidRPr="00B93A81" w:rsidRDefault="00247794" w:rsidP="00866A13">
      <w:pPr>
        <w:ind w:left="720" w:right="360"/>
        <w:jc w:val="both"/>
        <w:rPr>
          <w:rFonts w:ascii="Cambria" w:hAnsi="Cambria" w:cs="Verdana"/>
          <w:sz w:val="18"/>
          <w:szCs w:val="18"/>
          <w:lang w:val="es-ES" w:bidi="en-US"/>
        </w:rPr>
      </w:pPr>
      <w:r w:rsidRPr="00B93A81">
        <w:rPr>
          <w:rFonts w:ascii="Cambria" w:hAnsi="Cambria" w:cs="Verdana"/>
          <w:sz w:val="18"/>
          <w:szCs w:val="18"/>
          <w:lang w:val="es-ES" w:bidi="en-US"/>
        </w:rPr>
        <w:t>Ninguna parte de este artículo hace mención ni condiciona las disposiciones de la Corte a la eficacia de los instrumentos de reparación existentes en el derecho interno del Estado Parte responsable de la infracción, de manera que aquélla no se establece en función de los defectos, imperfecciones o insuficiencias del derecho nacional, sino con independencia del mismo</w:t>
      </w:r>
      <w:r w:rsidRPr="00B93A81">
        <w:rPr>
          <w:rFonts w:ascii="Cambria" w:hAnsi="Cambria" w:cs="Verdana"/>
          <w:sz w:val="18"/>
          <w:szCs w:val="18"/>
          <w:vertAlign w:val="superscript"/>
          <w:lang w:bidi="en-US"/>
        </w:rPr>
        <w:footnoteReference w:id="105"/>
      </w:r>
      <w:r w:rsidRPr="00B93A81">
        <w:rPr>
          <w:rFonts w:ascii="Cambria" w:hAnsi="Cambria" w:cs="Verdana"/>
          <w:sz w:val="18"/>
          <w:szCs w:val="18"/>
          <w:lang w:val="es-ES" w:bidi="en-US"/>
        </w:rPr>
        <w:t>.</w:t>
      </w:r>
    </w:p>
    <w:p w14:paraId="3D1563AE" w14:textId="77777777" w:rsidR="00AC4828" w:rsidRPr="00B93A81" w:rsidRDefault="00AC4828" w:rsidP="00247794">
      <w:pPr>
        <w:pStyle w:val="ListParagraph"/>
        <w:rPr>
          <w:rFonts w:cs="Verdana"/>
          <w:sz w:val="20"/>
          <w:szCs w:val="20"/>
          <w:lang w:val="es-ES" w:bidi="en-US"/>
        </w:rPr>
      </w:pPr>
    </w:p>
    <w:p w14:paraId="789DEC4A" w14:textId="77777777" w:rsidR="00512036" w:rsidRPr="00B93A81" w:rsidRDefault="00512036" w:rsidP="00007FC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Cambria" w:hAnsi="Cambria" w:cs="Verdana"/>
          <w:sz w:val="20"/>
          <w:szCs w:val="20"/>
          <w:lang w:val="es-ES" w:bidi="en-US"/>
        </w:rPr>
      </w:pPr>
      <w:r w:rsidRPr="00B93A81">
        <w:rPr>
          <w:rFonts w:ascii="Cambria" w:hAnsi="Cambria" w:cs="Verdana"/>
          <w:sz w:val="20"/>
          <w:szCs w:val="20"/>
          <w:lang w:val="es-ES" w:bidi="en-US"/>
        </w:rPr>
        <w:t xml:space="preserve">Con respecto a la </w:t>
      </w:r>
      <w:r w:rsidRPr="00B93A81">
        <w:rPr>
          <w:rFonts w:ascii="Cambria" w:hAnsi="Cambria" w:cs="Verdana"/>
          <w:b/>
          <w:sz w:val="20"/>
          <w:szCs w:val="20"/>
          <w:lang w:val="es-ES" w:bidi="en-US"/>
        </w:rPr>
        <w:t>segunda recomendación</w:t>
      </w:r>
      <w:r w:rsidRPr="00B93A81">
        <w:rPr>
          <w:rFonts w:ascii="Cambria" w:hAnsi="Cambria" w:cs="Verdana"/>
          <w:sz w:val="20"/>
          <w:szCs w:val="20"/>
          <w:lang w:val="es-ES" w:bidi="en-US"/>
        </w:rPr>
        <w:t xml:space="preserve"> relacionada con atención en salud para Carlos Arturo Betancourt Estrada y su familia, el Estado informó que </w:t>
      </w:r>
      <w:r w:rsidR="00271E0D" w:rsidRPr="00B93A81">
        <w:rPr>
          <w:rFonts w:ascii="Cambria" w:hAnsi="Cambria" w:cs="Verdana"/>
          <w:sz w:val="20"/>
          <w:szCs w:val="20"/>
          <w:lang w:val="es-ES" w:bidi="en-US"/>
        </w:rPr>
        <w:t xml:space="preserve">la implementación de esta medida corresponde al Ministerio de Salud y Protección Social, y presentó </w:t>
      </w:r>
      <w:r w:rsidR="00A65503" w:rsidRPr="00B93A81">
        <w:rPr>
          <w:rFonts w:ascii="Cambria" w:hAnsi="Cambria" w:cs="Verdana"/>
          <w:sz w:val="20"/>
          <w:szCs w:val="20"/>
          <w:lang w:val="es-ES" w:bidi="en-US"/>
        </w:rPr>
        <w:t xml:space="preserve">información proporcionada por dicho Ministerio </w:t>
      </w:r>
      <w:r w:rsidR="00271E0D" w:rsidRPr="00B93A81">
        <w:rPr>
          <w:rFonts w:ascii="Cambria" w:hAnsi="Cambria" w:cs="Verdana"/>
          <w:sz w:val="20"/>
          <w:szCs w:val="20"/>
          <w:lang w:val="es-ES" w:bidi="en-US"/>
        </w:rPr>
        <w:t>según la cual las siguientes personas</w:t>
      </w:r>
      <w:r w:rsidR="00324A8A" w:rsidRPr="00B93A81">
        <w:rPr>
          <w:rFonts w:ascii="Cambria" w:hAnsi="Cambria" w:cs="Verdana"/>
          <w:sz w:val="20"/>
          <w:szCs w:val="20"/>
          <w:lang w:val="es-ES" w:bidi="en-US"/>
        </w:rPr>
        <w:t xml:space="preserve"> y víctimas del presente caso</w:t>
      </w:r>
      <w:r w:rsidR="00271E0D" w:rsidRPr="00B93A81">
        <w:rPr>
          <w:rFonts w:ascii="Cambria" w:hAnsi="Cambria" w:cs="Verdana"/>
          <w:sz w:val="20"/>
          <w:szCs w:val="20"/>
          <w:lang w:val="es-ES" w:bidi="en-US"/>
        </w:rPr>
        <w:t xml:space="preserve"> se encuentran aseguradas en materia de salud bajo el Sistema General de Seguridad Social en Salud con distintos tipos de afiliación: 1) Carlos Betancourt Estrada; 2) Carlos David Betancourt; 3) Susana Betancourt; 4) Claudia Betancourt; 5) Esmeda Estrada de Betancourt; 6) Rosa Esmeda Betancourt Estrada; 7) Doris Amparo Betancourt Estrada; 8) Hector Jar Betancourt Estrada; 9) Jaime Horacio</w:t>
      </w:r>
      <w:r w:rsidR="00324A8A" w:rsidRPr="00B93A81">
        <w:rPr>
          <w:rFonts w:ascii="Cambria" w:hAnsi="Cambria" w:cs="Verdana"/>
          <w:sz w:val="20"/>
          <w:szCs w:val="20"/>
          <w:lang w:val="es-ES" w:bidi="en-US"/>
        </w:rPr>
        <w:t xml:space="preserve"> </w:t>
      </w:r>
      <w:r w:rsidR="0076600A" w:rsidRPr="00B93A81">
        <w:rPr>
          <w:rFonts w:ascii="Cambria" w:hAnsi="Cambria" w:cs="Verdana"/>
          <w:sz w:val="20"/>
          <w:szCs w:val="20"/>
          <w:lang w:val="es-ES" w:bidi="en-US"/>
        </w:rPr>
        <w:t xml:space="preserve">Betancourt Estrada. Por otra parte, indicó que no cuenta con </w:t>
      </w:r>
      <w:r w:rsidR="00007FC3" w:rsidRPr="00B93A81">
        <w:rPr>
          <w:rFonts w:ascii="Cambria" w:hAnsi="Cambria" w:cs="Verdana"/>
          <w:sz w:val="20"/>
          <w:szCs w:val="20"/>
          <w:lang w:val="es-ES" w:bidi="en-US"/>
        </w:rPr>
        <w:t>información respecto del régimen de aseguramiento de: 1</w:t>
      </w:r>
      <w:r w:rsidR="00886B36" w:rsidRPr="00B93A81">
        <w:rPr>
          <w:rFonts w:ascii="Cambria" w:hAnsi="Cambria" w:cs="Verdana"/>
          <w:sz w:val="20"/>
          <w:szCs w:val="20"/>
          <w:lang w:val="es-ES" w:bidi="en-US"/>
        </w:rPr>
        <w:t>) C</w:t>
      </w:r>
      <w:r w:rsidR="00007FC3" w:rsidRPr="00B93A81">
        <w:rPr>
          <w:rFonts w:ascii="Cambria" w:hAnsi="Cambria" w:cs="Verdana"/>
          <w:sz w:val="20"/>
          <w:szCs w:val="20"/>
          <w:lang w:val="es-ES" w:bidi="en-US"/>
        </w:rPr>
        <w:t>atalina Echeverri Betancourt; 2</w:t>
      </w:r>
      <w:r w:rsidR="00886B36" w:rsidRPr="00B93A81">
        <w:rPr>
          <w:rFonts w:ascii="Cambria" w:hAnsi="Cambria" w:cs="Verdana"/>
          <w:sz w:val="20"/>
          <w:szCs w:val="20"/>
          <w:lang w:val="es-ES" w:bidi="en-US"/>
        </w:rPr>
        <w:t>) Manuela Estefania Osp</w:t>
      </w:r>
      <w:r w:rsidR="00A65503" w:rsidRPr="00B93A81">
        <w:rPr>
          <w:rFonts w:ascii="Cambria" w:hAnsi="Cambria" w:cs="Verdana"/>
          <w:sz w:val="20"/>
          <w:szCs w:val="20"/>
          <w:lang w:val="es-ES" w:bidi="en-US"/>
        </w:rPr>
        <w:t>ina Betancourt y</w:t>
      </w:r>
      <w:r w:rsidR="00007FC3" w:rsidRPr="00B93A81">
        <w:rPr>
          <w:rFonts w:ascii="Cambria" w:hAnsi="Cambria" w:cs="Verdana"/>
          <w:sz w:val="20"/>
          <w:szCs w:val="20"/>
          <w:lang w:val="es-ES" w:bidi="en-US"/>
        </w:rPr>
        <w:t xml:space="preserve"> 3</w:t>
      </w:r>
      <w:r w:rsidR="00886B36" w:rsidRPr="00B93A81">
        <w:rPr>
          <w:rFonts w:ascii="Cambria" w:hAnsi="Cambria" w:cs="Verdana"/>
          <w:sz w:val="20"/>
          <w:szCs w:val="20"/>
          <w:lang w:val="es-ES" w:bidi="en-US"/>
        </w:rPr>
        <w:t>) Jhon Mario L</w:t>
      </w:r>
      <w:r w:rsidR="00A65503" w:rsidRPr="00B93A81">
        <w:rPr>
          <w:rFonts w:ascii="Cambria" w:hAnsi="Cambria" w:cs="Verdana"/>
          <w:sz w:val="20"/>
          <w:szCs w:val="20"/>
          <w:lang w:val="es-ES" w:bidi="en-US"/>
        </w:rPr>
        <w:t xml:space="preserve">ópez por lo que es posible que no estén asegurados. </w:t>
      </w:r>
    </w:p>
    <w:p w14:paraId="5D7ECA2B" w14:textId="77777777" w:rsidR="00886B36" w:rsidRPr="00B93A81" w:rsidRDefault="00886B36" w:rsidP="00886B36">
      <w:pPr>
        <w:pStyle w:val="ListParagraph"/>
        <w:rPr>
          <w:rFonts w:cs="Verdana"/>
          <w:sz w:val="20"/>
          <w:szCs w:val="20"/>
          <w:lang w:val="es-ES" w:bidi="en-US"/>
        </w:rPr>
      </w:pPr>
    </w:p>
    <w:p w14:paraId="641EB40D" w14:textId="77777777" w:rsidR="00886B36" w:rsidRPr="00B93A81" w:rsidRDefault="00886B36" w:rsidP="006A4B5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Cambria" w:hAnsi="Cambria" w:cs="Verdana"/>
          <w:sz w:val="20"/>
          <w:szCs w:val="20"/>
          <w:lang w:val="es-ES" w:bidi="en-US"/>
        </w:rPr>
      </w:pPr>
      <w:r w:rsidRPr="00B93A81">
        <w:rPr>
          <w:rFonts w:ascii="Cambria" w:hAnsi="Cambria" w:cs="Verdana"/>
          <w:sz w:val="20"/>
          <w:szCs w:val="20"/>
          <w:lang w:val="es-ES" w:bidi="en-US"/>
        </w:rPr>
        <w:t xml:space="preserve"> </w:t>
      </w:r>
      <w:r w:rsidR="00A65503" w:rsidRPr="00B93A81">
        <w:rPr>
          <w:rFonts w:ascii="Cambria" w:hAnsi="Cambria" w:cs="Verdana"/>
          <w:sz w:val="20"/>
          <w:szCs w:val="20"/>
          <w:lang w:val="es-ES" w:bidi="en-US"/>
        </w:rPr>
        <w:t xml:space="preserve">El Ministerio de Salud informó </w:t>
      </w:r>
      <w:r w:rsidRPr="00B93A81">
        <w:rPr>
          <w:rFonts w:ascii="Cambria" w:hAnsi="Cambria" w:cs="Verdana"/>
          <w:sz w:val="20"/>
          <w:szCs w:val="20"/>
          <w:lang w:val="es-ES" w:bidi="en-US"/>
        </w:rPr>
        <w:t xml:space="preserve">que desde mayo de 2019 solicitó a la Agencia Nacional de Defensa Jurídica del Estado los datos de contacto de las personas que solicitaron atención integral con énfasis en atención psicológica con el objeto de vincularlas al </w:t>
      </w:r>
      <w:r w:rsidR="0076600A" w:rsidRPr="00B93A81">
        <w:rPr>
          <w:rFonts w:ascii="Cambria" w:hAnsi="Cambria" w:cs="Verdana"/>
          <w:sz w:val="20"/>
          <w:szCs w:val="20"/>
          <w:lang w:val="es-ES" w:bidi="en-US"/>
        </w:rPr>
        <w:t xml:space="preserve">Programa de Atención Psicosocial y Salud Integral a Víctimas, sin embargo a la fecha no ha recibido respuesta. </w:t>
      </w:r>
      <w:r w:rsidR="00A65503" w:rsidRPr="00B93A81">
        <w:rPr>
          <w:rFonts w:ascii="Cambria" w:hAnsi="Cambria" w:cs="Verdana"/>
          <w:sz w:val="20"/>
          <w:szCs w:val="20"/>
          <w:lang w:val="es-ES" w:bidi="en-US"/>
        </w:rPr>
        <w:t xml:space="preserve">Resaltó que obtener dicha información es particularmente relevante </w:t>
      </w:r>
      <w:r w:rsidR="006A4B5C" w:rsidRPr="00B93A81">
        <w:rPr>
          <w:rFonts w:ascii="Cambria" w:hAnsi="Cambria" w:cs="Verdana"/>
          <w:sz w:val="20"/>
          <w:szCs w:val="20"/>
          <w:lang w:val="es-ES" w:bidi="en-US"/>
        </w:rPr>
        <w:t>respecto de las personas sobre las cuales no cuenta con información de aseguramiento que se indican en el párrafo anterior. Dicho Ministerio insistió en “la necesidad de contar con los datos de contactabilidad de las víctimas, a fin de suministrar la información del operador y dar inicio a la implementación de la medida”.</w:t>
      </w:r>
    </w:p>
    <w:p w14:paraId="08EE4E29" w14:textId="77777777" w:rsidR="00747C9E" w:rsidRPr="00B93A81" w:rsidRDefault="00747C9E" w:rsidP="00747C9E">
      <w:pPr>
        <w:pStyle w:val="ListParagraph"/>
        <w:rPr>
          <w:rFonts w:cs="Verdana"/>
          <w:sz w:val="20"/>
          <w:szCs w:val="20"/>
          <w:lang w:val="es-ES" w:bidi="en-US"/>
        </w:rPr>
      </w:pPr>
    </w:p>
    <w:p w14:paraId="393942E7" w14:textId="77777777" w:rsidR="00747C9E" w:rsidRPr="00B93A81" w:rsidRDefault="00747C9E" w:rsidP="006A4B5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Cambria" w:hAnsi="Cambria" w:cs="Verdana"/>
          <w:sz w:val="20"/>
          <w:szCs w:val="20"/>
          <w:lang w:val="es-ES" w:bidi="en-US"/>
        </w:rPr>
      </w:pPr>
      <w:r w:rsidRPr="00B93A81">
        <w:rPr>
          <w:rFonts w:ascii="Cambria" w:hAnsi="Cambria" w:cs="Verdana"/>
          <w:sz w:val="20"/>
          <w:szCs w:val="20"/>
          <w:lang w:val="es-ES" w:bidi="en-US"/>
        </w:rPr>
        <w:t xml:space="preserve">La Comisión toma nota de la información aportada y </w:t>
      </w:r>
      <w:r w:rsidR="00D90379" w:rsidRPr="00B93A81">
        <w:rPr>
          <w:rFonts w:ascii="Cambria" w:hAnsi="Cambria" w:cs="Verdana"/>
          <w:sz w:val="20"/>
          <w:szCs w:val="20"/>
          <w:lang w:val="es-ES" w:bidi="en-US"/>
        </w:rPr>
        <w:t xml:space="preserve">observa la importancia de </w:t>
      </w:r>
      <w:r w:rsidRPr="00B93A81">
        <w:rPr>
          <w:rFonts w:ascii="Cambria" w:hAnsi="Cambria" w:cs="Verdana"/>
          <w:sz w:val="20"/>
          <w:szCs w:val="20"/>
          <w:lang w:val="es-ES" w:bidi="en-US"/>
        </w:rPr>
        <w:t xml:space="preserve">que el Estado adopte las medidas necesarias de coordinación institucional con el objeto de brindar la atención en salud mental </w:t>
      </w:r>
      <w:r w:rsidRPr="00B93A81">
        <w:rPr>
          <w:rFonts w:ascii="Cambria" w:hAnsi="Cambria" w:cs="Verdana"/>
          <w:sz w:val="20"/>
          <w:szCs w:val="20"/>
          <w:lang w:val="es-ES" w:bidi="en-US"/>
        </w:rPr>
        <w:lastRenderedPageBreak/>
        <w:t>necesaria a Carlos Arturo Betancourt Estrada y los miembros de su familia, de ser su voluntad y de manera concertada.</w:t>
      </w:r>
    </w:p>
    <w:p w14:paraId="64C860BF" w14:textId="77777777" w:rsidR="00747C9E" w:rsidRPr="00B93A81" w:rsidRDefault="00747C9E" w:rsidP="00747C9E">
      <w:pPr>
        <w:pStyle w:val="ListParagraph"/>
        <w:rPr>
          <w:rFonts w:cs="Verdana"/>
          <w:sz w:val="20"/>
          <w:szCs w:val="20"/>
          <w:lang w:val="es-ES" w:bidi="en-US"/>
        </w:rPr>
      </w:pPr>
    </w:p>
    <w:p w14:paraId="76346E81" w14:textId="77777777" w:rsidR="00747C9E" w:rsidRPr="00B93A81" w:rsidRDefault="00CB3E8D" w:rsidP="006A4B5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Cambria" w:hAnsi="Cambria" w:cs="Verdana"/>
          <w:sz w:val="20"/>
          <w:szCs w:val="20"/>
          <w:lang w:val="es-ES" w:bidi="en-US"/>
        </w:rPr>
      </w:pPr>
      <w:r w:rsidRPr="00B93A81">
        <w:rPr>
          <w:rFonts w:ascii="Cambria" w:hAnsi="Cambria" w:cs="Verdana"/>
          <w:sz w:val="20"/>
          <w:szCs w:val="20"/>
          <w:lang w:val="es-ES" w:bidi="en-US"/>
        </w:rPr>
        <w:t xml:space="preserve">Por otra parte, la CIDH recuerda que en el marco de una serie de casos respecto de Colombia en etapa de supervisión ante la Corte Interamericana, la Comisión ha identificado </w:t>
      </w:r>
      <w:r w:rsidR="00D90379" w:rsidRPr="00B93A81">
        <w:rPr>
          <w:rFonts w:ascii="Cambria" w:hAnsi="Cambria" w:cs="Verdana"/>
          <w:sz w:val="20"/>
          <w:szCs w:val="20"/>
          <w:lang w:val="es-ES" w:bidi="en-US"/>
        </w:rPr>
        <w:t xml:space="preserve">algunas dificultades </w:t>
      </w:r>
      <w:r w:rsidRPr="00B93A81">
        <w:rPr>
          <w:rFonts w:ascii="Cambria" w:hAnsi="Cambria" w:cs="Verdana"/>
          <w:sz w:val="20"/>
          <w:szCs w:val="20"/>
          <w:lang w:val="es-ES" w:bidi="en-US"/>
        </w:rPr>
        <w:t>estructurales respecto de las medidas de reparación relacionadas con salud integral que se relacionan con la falta d</w:t>
      </w:r>
      <w:r w:rsidR="00324A8A" w:rsidRPr="00B93A81">
        <w:rPr>
          <w:rFonts w:ascii="Cambria" w:hAnsi="Cambria" w:cs="Verdana"/>
          <w:sz w:val="20"/>
          <w:szCs w:val="20"/>
          <w:lang w:val="es-ES" w:bidi="en-US"/>
        </w:rPr>
        <w:t xml:space="preserve">e oportunidad </w:t>
      </w:r>
      <w:r w:rsidRPr="00B93A81">
        <w:rPr>
          <w:rFonts w:ascii="Cambria" w:hAnsi="Cambria" w:cs="Verdana"/>
          <w:sz w:val="20"/>
          <w:szCs w:val="20"/>
          <w:lang w:val="es-ES" w:bidi="en-US"/>
        </w:rPr>
        <w:t>y gratuidad de esta medida tomando en cuenta el diseño normativo colombiano</w:t>
      </w:r>
      <w:r w:rsidR="000538E2" w:rsidRPr="00B93A81">
        <w:rPr>
          <w:rStyle w:val="FootnoteReference"/>
          <w:rFonts w:ascii="Cambria" w:hAnsi="Cambria" w:cs="Verdana"/>
          <w:sz w:val="20"/>
          <w:szCs w:val="20"/>
          <w:lang w:val="es-ES" w:bidi="en-US"/>
        </w:rPr>
        <w:footnoteReference w:id="106"/>
      </w:r>
      <w:r w:rsidRPr="00B93A81">
        <w:rPr>
          <w:rFonts w:ascii="Cambria" w:hAnsi="Cambria" w:cs="Verdana"/>
          <w:sz w:val="20"/>
          <w:szCs w:val="20"/>
          <w:lang w:val="es-ES" w:bidi="en-US"/>
        </w:rPr>
        <w:t>.</w:t>
      </w:r>
    </w:p>
    <w:p w14:paraId="54803303" w14:textId="77777777" w:rsidR="00CB3E8D" w:rsidRPr="00B93A81" w:rsidRDefault="00CB3E8D" w:rsidP="00CB3E8D">
      <w:pPr>
        <w:pStyle w:val="ListParagraph"/>
        <w:rPr>
          <w:rFonts w:cs="Verdana"/>
          <w:sz w:val="20"/>
          <w:szCs w:val="20"/>
          <w:lang w:val="es-ES" w:bidi="en-US"/>
        </w:rPr>
      </w:pPr>
    </w:p>
    <w:p w14:paraId="5531E683" w14:textId="77777777" w:rsidR="00747C9E" w:rsidRPr="00B93A81" w:rsidRDefault="00CB3E8D" w:rsidP="006A4B5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Cambria" w:hAnsi="Cambria" w:cs="Verdana"/>
          <w:sz w:val="20"/>
          <w:szCs w:val="20"/>
          <w:lang w:val="es-ES" w:bidi="en-US"/>
        </w:rPr>
      </w:pPr>
      <w:r w:rsidRPr="00B93A81">
        <w:rPr>
          <w:rFonts w:ascii="Cambria" w:hAnsi="Cambria" w:cs="Verdana"/>
          <w:sz w:val="20"/>
          <w:szCs w:val="20"/>
          <w:lang w:val="es-ES" w:bidi="en-US"/>
        </w:rPr>
        <w:t xml:space="preserve">Ante este escenario, </w:t>
      </w:r>
      <w:r w:rsidR="00324A8A" w:rsidRPr="00B93A81">
        <w:rPr>
          <w:rFonts w:ascii="Cambria" w:hAnsi="Cambria" w:cs="Verdana"/>
          <w:sz w:val="20"/>
          <w:szCs w:val="20"/>
          <w:lang w:val="es-ES" w:bidi="en-US"/>
        </w:rPr>
        <w:t>l</w:t>
      </w:r>
      <w:r w:rsidRPr="00B93A81">
        <w:rPr>
          <w:rFonts w:ascii="Cambria" w:hAnsi="Cambria" w:cs="Verdana"/>
          <w:sz w:val="20"/>
          <w:szCs w:val="20"/>
          <w:lang w:val="es-ES" w:bidi="en-US"/>
        </w:rPr>
        <w:t xml:space="preserve">a Comisión </w:t>
      </w:r>
      <w:r w:rsidR="00D90379" w:rsidRPr="00B93A81">
        <w:rPr>
          <w:rFonts w:ascii="Cambria" w:hAnsi="Cambria" w:cs="Verdana"/>
          <w:sz w:val="20"/>
          <w:szCs w:val="20"/>
          <w:lang w:val="es-ES" w:bidi="en-US"/>
        </w:rPr>
        <w:t xml:space="preserve">estima conveniente </w:t>
      </w:r>
      <w:r w:rsidRPr="00B93A81">
        <w:rPr>
          <w:rFonts w:ascii="Cambria" w:hAnsi="Cambria" w:cs="Verdana"/>
          <w:sz w:val="20"/>
          <w:szCs w:val="20"/>
          <w:lang w:val="es-ES" w:bidi="en-US"/>
        </w:rPr>
        <w:t xml:space="preserve">que el Estado </w:t>
      </w:r>
      <w:r w:rsidR="00D90379" w:rsidRPr="00B93A81">
        <w:rPr>
          <w:rFonts w:ascii="Cambria" w:hAnsi="Cambria" w:cs="Verdana"/>
          <w:sz w:val="20"/>
          <w:szCs w:val="20"/>
          <w:lang w:val="es-ES" w:bidi="en-US"/>
        </w:rPr>
        <w:t xml:space="preserve">realice los mejores esfuerzos </w:t>
      </w:r>
      <w:r w:rsidRPr="00B93A81">
        <w:rPr>
          <w:rFonts w:ascii="Cambria" w:hAnsi="Cambria" w:cs="Verdana"/>
          <w:sz w:val="20"/>
          <w:szCs w:val="20"/>
          <w:lang w:val="es-ES" w:bidi="en-US"/>
        </w:rPr>
        <w:t xml:space="preserve">para que </w:t>
      </w:r>
      <w:r w:rsidR="00D90379" w:rsidRPr="00B93A81">
        <w:rPr>
          <w:rFonts w:ascii="Cambria" w:hAnsi="Cambria" w:cs="Verdana"/>
          <w:sz w:val="20"/>
          <w:szCs w:val="20"/>
          <w:lang w:val="es-ES" w:bidi="en-US"/>
        </w:rPr>
        <w:t xml:space="preserve">garantizar que </w:t>
      </w:r>
      <w:r w:rsidRPr="00B93A81">
        <w:rPr>
          <w:rFonts w:ascii="Cambria" w:hAnsi="Cambria" w:cs="Verdana"/>
          <w:sz w:val="20"/>
          <w:szCs w:val="20"/>
          <w:lang w:val="es-ES" w:bidi="en-US"/>
        </w:rPr>
        <w:t xml:space="preserve">la atención en salud sea prestada de manera oportuna. </w:t>
      </w:r>
      <w:r w:rsidR="000538E2" w:rsidRPr="00B93A81">
        <w:rPr>
          <w:rFonts w:ascii="Cambria" w:hAnsi="Cambria" w:cs="Verdana"/>
          <w:sz w:val="20"/>
          <w:szCs w:val="20"/>
          <w:lang w:val="es-ES" w:bidi="en-US"/>
        </w:rPr>
        <w:t xml:space="preserve">La CIDH también recuerda que un corolario de las reparaciones dictadas por la Comisión es su gratuidad por lo que no se debería exigir ningún tipo de erogación, a las personas a las que se les brinda atención en salud como una reparación internacional. </w:t>
      </w:r>
    </w:p>
    <w:p w14:paraId="7665030F" w14:textId="77777777" w:rsidR="00747C9E" w:rsidRPr="00B93A81" w:rsidRDefault="00747C9E" w:rsidP="006A4B5C">
      <w:pPr>
        <w:rPr>
          <w:rFonts w:cs="Verdana"/>
          <w:sz w:val="20"/>
          <w:szCs w:val="20"/>
          <w:lang w:val="es-ES" w:bidi="en-US"/>
        </w:rPr>
      </w:pPr>
    </w:p>
    <w:p w14:paraId="1C333DA1" w14:textId="77777777" w:rsidR="00512036" w:rsidRPr="00B93A81" w:rsidRDefault="00512036" w:rsidP="009C5C1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Cambria" w:hAnsi="Cambria" w:cs="Verdana"/>
          <w:sz w:val="20"/>
          <w:szCs w:val="20"/>
          <w:lang w:val="es-ES" w:bidi="en-US"/>
        </w:rPr>
      </w:pPr>
      <w:r w:rsidRPr="00B93A81">
        <w:rPr>
          <w:rFonts w:ascii="Cambria" w:hAnsi="Cambria" w:cs="Verdana"/>
          <w:sz w:val="20"/>
          <w:szCs w:val="20"/>
          <w:lang w:val="es-ES" w:bidi="en-US"/>
        </w:rPr>
        <w:t xml:space="preserve">Finalmente, respecto de la </w:t>
      </w:r>
      <w:r w:rsidRPr="00B93A81">
        <w:rPr>
          <w:rFonts w:ascii="Cambria" w:hAnsi="Cambria" w:cs="Verdana"/>
          <w:b/>
          <w:sz w:val="20"/>
          <w:szCs w:val="20"/>
          <w:lang w:val="es-ES" w:bidi="en-US"/>
        </w:rPr>
        <w:t>tercera recomendación</w:t>
      </w:r>
      <w:r w:rsidRPr="00B93A81">
        <w:rPr>
          <w:rFonts w:ascii="Cambria" w:hAnsi="Cambria" w:cs="Verdana"/>
          <w:sz w:val="20"/>
          <w:szCs w:val="20"/>
          <w:lang w:val="es-ES" w:bidi="en-US"/>
        </w:rPr>
        <w:t xml:space="preserve"> referida a llevar a cabo una investigación penal, </w:t>
      </w:r>
      <w:r w:rsidR="006A4B5C" w:rsidRPr="00B93A81">
        <w:rPr>
          <w:rFonts w:ascii="Cambria" w:hAnsi="Cambria" w:cs="Verdana"/>
          <w:sz w:val="20"/>
          <w:szCs w:val="20"/>
          <w:lang w:val="es-ES" w:bidi="en-US"/>
        </w:rPr>
        <w:t xml:space="preserve">el Estado proporcionó información presentada por la Fiscalía General de la Nación, según la cual, se adelanta la investigación previa en contra de sindicados desconocidos por los delitos de secuestro extorsivo agravado y otros </w:t>
      </w:r>
      <w:r w:rsidR="0056111D" w:rsidRPr="00B93A81">
        <w:rPr>
          <w:rFonts w:ascii="Cambria" w:hAnsi="Cambria" w:cs="Verdana"/>
          <w:sz w:val="20"/>
          <w:szCs w:val="20"/>
          <w:lang w:val="es-ES" w:bidi="en-US"/>
        </w:rPr>
        <w:t>en perjuicio de Carlos Arturo Betancourt ocurridos el 11 de noviembre de 1999. Dicho informe refiere que</w:t>
      </w:r>
      <w:r w:rsidR="00654AD9" w:rsidRPr="00B93A81">
        <w:rPr>
          <w:rFonts w:ascii="Cambria" w:hAnsi="Cambria" w:cs="Verdana"/>
          <w:sz w:val="20"/>
          <w:szCs w:val="20"/>
          <w:lang w:val="es-ES" w:bidi="en-US"/>
        </w:rPr>
        <w:t xml:space="preserve"> se han realizado una serie de diligencias, </w:t>
      </w:r>
      <w:r w:rsidR="00D739B5" w:rsidRPr="00B93A81">
        <w:rPr>
          <w:rFonts w:ascii="Cambria" w:hAnsi="Cambria" w:cs="Verdana"/>
          <w:sz w:val="20"/>
          <w:szCs w:val="20"/>
          <w:lang w:val="es-ES" w:bidi="en-US"/>
        </w:rPr>
        <w:t xml:space="preserve">e indica que </w:t>
      </w:r>
      <w:r w:rsidR="0056111D" w:rsidRPr="00B93A81">
        <w:rPr>
          <w:rFonts w:ascii="Cambria" w:hAnsi="Cambria" w:cs="Verdana"/>
          <w:sz w:val="20"/>
          <w:szCs w:val="20"/>
          <w:lang w:val="es-ES" w:bidi="en-US"/>
        </w:rPr>
        <w:t xml:space="preserve">la víctima indicó no estar en posibilidad de reconocer a ninguno de los autores o participes de su secuestro por múltiples razones, dentro de las cuales se encuentra que permanecieron mucho tiempo con capucha y el temor que siente en recordar aspectos relacionados con su secuestro, por lo que eventualmente podría emitirse una resolución inhibitoria en el caso. </w:t>
      </w:r>
    </w:p>
    <w:p w14:paraId="74D0019B" w14:textId="77777777" w:rsidR="00654AD9" w:rsidRPr="00B93A81" w:rsidRDefault="00654AD9" w:rsidP="00654AD9">
      <w:pPr>
        <w:pStyle w:val="ListParagraph"/>
        <w:rPr>
          <w:rFonts w:cs="Verdana"/>
          <w:sz w:val="20"/>
          <w:szCs w:val="20"/>
          <w:lang w:val="es-ES" w:bidi="en-US"/>
        </w:rPr>
      </w:pPr>
    </w:p>
    <w:p w14:paraId="6ADA9962" w14:textId="77777777" w:rsidR="00654AD9" w:rsidRPr="00B93A81" w:rsidRDefault="00654AD9" w:rsidP="009C5C1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Cambria" w:hAnsi="Cambria" w:cs="Verdana"/>
          <w:sz w:val="20"/>
          <w:szCs w:val="20"/>
          <w:lang w:val="es-ES" w:bidi="en-US"/>
        </w:rPr>
      </w:pPr>
      <w:r w:rsidRPr="00B93A81">
        <w:rPr>
          <w:rFonts w:ascii="Cambria" w:hAnsi="Cambria" w:cs="Verdana"/>
          <w:sz w:val="20"/>
          <w:szCs w:val="20"/>
          <w:lang w:val="es-ES" w:bidi="en-US"/>
        </w:rPr>
        <w:t>La Comisión tambi</w:t>
      </w:r>
      <w:r w:rsidR="00F14347" w:rsidRPr="00B93A81">
        <w:rPr>
          <w:rFonts w:ascii="Cambria" w:hAnsi="Cambria" w:cs="Verdana"/>
          <w:sz w:val="20"/>
          <w:szCs w:val="20"/>
          <w:lang w:val="es-ES" w:bidi="en-US"/>
        </w:rPr>
        <w:t>én observa que en el Resumen Ejecutivo del Fiscal se enunciaron una serie de obstáculos que han afectado el avance de la investigación</w:t>
      </w:r>
      <w:r w:rsidR="008F7C57" w:rsidRPr="00B93A81">
        <w:rPr>
          <w:rFonts w:ascii="Cambria" w:hAnsi="Cambria" w:cs="Verdana"/>
          <w:sz w:val="20"/>
          <w:szCs w:val="20"/>
          <w:lang w:val="es-ES" w:bidi="en-US"/>
        </w:rPr>
        <w:t xml:space="preserve">. En particular se indica que: 1) no se cuenta con un servidor de policía judicial asignado a la Fiscalía 54 Especializada de Medellín que ha adelantado el caso; 2) la Fiscalía se mantuvo aproximadamente 10 meses sin contar con Asistente de Fiscal que realizara las tareas que se iban ordenando en cada caso; 3) nunca se ha contado con un Fiscal de Apoyo para la averiguación penal y las tareas u órdenes de trabajo se han ido agotando de manera intermitente; 4) </w:t>
      </w:r>
      <w:r w:rsidR="00D30E77" w:rsidRPr="00B93A81">
        <w:rPr>
          <w:rFonts w:ascii="Cambria" w:hAnsi="Cambria" w:cs="Verdana"/>
          <w:sz w:val="20"/>
          <w:szCs w:val="20"/>
          <w:lang w:val="es-ES" w:bidi="en-US"/>
        </w:rPr>
        <w:t xml:space="preserve">no se cuenta con un investigador judicial propio o asignado a la Fiscalía 54 Especializada; 5) Apenas el 15 de septiembre de 2019 se les designó por la Dirección Seccional de Fiscalías de Medellín un apoyo real en materia de personal de Secretaría o Asistentes. </w:t>
      </w:r>
    </w:p>
    <w:p w14:paraId="5F3B2B07" w14:textId="77777777" w:rsidR="00D30E77" w:rsidRPr="00B93A81" w:rsidRDefault="00D30E77" w:rsidP="00D30E77">
      <w:pPr>
        <w:pStyle w:val="ListParagraph"/>
        <w:rPr>
          <w:rFonts w:cs="Verdana"/>
          <w:sz w:val="20"/>
          <w:szCs w:val="20"/>
          <w:lang w:val="es-ES" w:bidi="en-US"/>
        </w:rPr>
      </w:pPr>
    </w:p>
    <w:p w14:paraId="7BEE9111" w14:textId="77777777" w:rsidR="00D30E77" w:rsidRPr="00B93A81" w:rsidRDefault="00D30E77" w:rsidP="009C5C1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Cambria" w:hAnsi="Cambria" w:cs="Verdana"/>
          <w:sz w:val="20"/>
          <w:szCs w:val="20"/>
          <w:lang w:val="es-ES" w:bidi="en-US"/>
        </w:rPr>
      </w:pPr>
      <w:r w:rsidRPr="00B93A81">
        <w:rPr>
          <w:rFonts w:ascii="Cambria" w:hAnsi="Cambria" w:cs="Verdana"/>
          <w:sz w:val="20"/>
          <w:szCs w:val="20"/>
          <w:lang w:val="es-ES" w:bidi="en-US"/>
        </w:rPr>
        <w:t xml:space="preserve">El Fiscal solicitó que se asigne un servidor de policía judicial a la Fiscalía 54 Especializada con la finalidad de que delante de manera exclusiva las labores investigativas </w:t>
      </w:r>
      <w:r w:rsidR="00C554E8" w:rsidRPr="00B93A81">
        <w:rPr>
          <w:rFonts w:ascii="Cambria" w:hAnsi="Cambria" w:cs="Verdana"/>
          <w:sz w:val="20"/>
          <w:szCs w:val="20"/>
          <w:lang w:val="es-ES" w:bidi="en-US"/>
        </w:rPr>
        <w:t xml:space="preserve">que ya se han ordenado en la investigación penal, pues si bien la Servidora de Policía Judicial que labora en ese despacho realizó algunas de las tareas prescritas, sus restantes casos no le permiten tener una dedicación exclusiva al presente caso. </w:t>
      </w:r>
    </w:p>
    <w:p w14:paraId="0A403E1A" w14:textId="77777777" w:rsidR="0014553A" w:rsidRPr="00B93A81" w:rsidRDefault="0014553A" w:rsidP="0014553A">
      <w:pPr>
        <w:pStyle w:val="ListParagraph"/>
        <w:rPr>
          <w:rFonts w:cs="Verdana"/>
          <w:sz w:val="20"/>
          <w:szCs w:val="20"/>
          <w:lang w:val="es-ES" w:bidi="en-US"/>
        </w:rPr>
      </w:pPr>
    </w:p>
    <w:p w14:paraId="5D9B27E9" w14:textId="77777777" w:rsidR="0014553A" w:rsidRPr="00B93A81" w:rsidRDefault="000E2E0A" w:rsidP="00324A8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Cambria" w:hAnsi="Cambria" w:cs="Verdana"/>
          <w:sz w:val="20"/>
          <w:szCs w:val="20"/>
          <w:lang w:val="es-ES" w:bidi="en-US"/>
        </w:rPr>
      </w:pPr>
      <w:r w:rsidRPr="00B93A81">
        <w:rPr>
          <w:rFonts w:ascii="Cambria" w:hAnsi="Cambria" w:cs="Verdana"/>
          <w:sz w:val="20"/>
          <w:szCs w:val="20"/>
          <w:lang w:val="es-ES" w:bidi="en-US"/>
        </w:rPr>
        <w:t>La CIDH toma nota de la información aportada</w:t>
      </w:r>
      <w:r w:rsidR="00516D83" w:rsidRPr="00B93A81">
        <w:rPr>
          <w:rFonts w:ascii="Cambria" w:hAnsi="Cambria" w:cs="Verdana"/>
          <w:sz w:val="20"/>
          <w:szCs w:val="20"/>
          <w:lang w:val="es-ES" w:bidi="en-US"/>
        </w:rPr>
        <w:t xml:space="preserve"> por la Fiscalía la cual demuestra </w:t>
      </w:r>
      <w:r w:rsidR="00D739B5" w:rsidRPr="00B93A81">
        <w:rPr>
          <w:rFonts w:ascii="Cambria" w:hAnsi="Cambria" w:cs="Verdana"/>
          <w:sz w:val="20"/>
          <w:szCs w:val="20"/>
          <w:lang w:val="es-ES" w:bidi="en-US"/>
        </w:rPr>
        <w:t xml:space="preserve">la persistencia de </w:t>
      </w:r>
      <w:r w:rsidR="00516D83" w:rsidRPr="00B93A81">
        <w:rPr>
          <w:rFonts w:ascii="Cambria" w:hAnsi="Cambria" w:cs="Verdana"/>
          <w:sz w:val="20"/>
          <w:szCs w:val="20"/>
          <w:lang w:val="es-ES" w:bidi="en-US"/>
        </w:rPr>
        <w:t xml:space="preserve">una serie de </w:t>
      </w:r>
      <w:r w:rsidR="00D739B5" w:rsidRPr="00B93A81">
        <w:rPr>
          <w:rFonts w:ascii="Cambria" w:hAnsi="Cambria" w:cs="Verdana"/>
          <w:sz w:val="20"/>
          <w:szCs w:val="20"/>
          <w:lang w:val="es-ES" w:bidi="en-US"/>
        </w:rPr>
        <w:t xml:space="preserve">desafíos </w:t>
      </w:r>
      <w:r w:rsidR="00516D83" w:rsidRPr="00B93A81">
        <w:rPr>
          <w:rFonts w:ascii="Cambria" w:hAnsi="Cambria" w:cs="Verdana"/>
          <w:sz w:val="20"/>
          <w:szCs w:val="20"/>
          <w:lang w:val="es-ES" w:bidi="en-US"/>
        </w:rPr>
        <w:t xml:space="preserve">para llevar a cabo la investigación penal de manera </w:t>
      </w:r>
      <w:r w:rsidR="00D739B5" w:rsidRPr="00B93A81">
        <w:rPr>
          <w:rFonts w:ascii="Cambria" w:hAnsi="Cambria" w:cs="Verdana"/>
          <w:sz w:val="20"/>
          <w:szCs w:val="20"/>
          <w:lang w:val="es-ES" w:bidi="en-US"/>
        </w:rPr>
        <w:t>adecuada. Por lo tanto</w:t>
      </w:r>
      <w:r w:rsidR="00516D83" w:rsidRPr="00B93A81">
        <w:rPr>
          <w:rFonts w:ascii="Cambria" w:hAnsi="Cambria" w:cs="Verdana"/>
          <w:sz w:val="20"/>
          <w:szCs w:val="20"/>
          <w:lang w:val="es-ES" w:bidi="en-US"/>
        </w:rPr>
        <w:t xml:space="preserve">, </w:t>
      </w:r>
      <w:r w:rsidRPr="00B93A81">
        <w:rPr>
          <w:rFonts w:ascii="Cambria" w:hAnsi="Cambria" w:cs="Verdana"/>
          <w:sz w:val="20"/>
          <w:szCs w:val="20"/>
          <w:lang w:val="es-ES" w:bidi="en-US"/>
        </w:rPr>
        <w:t xml:space="preserve">insta al Estado a reforzar los recursos humanos y materiales de la Fiscalía a cargo de la investigación penal del presente caso, de forma que pueda llevar a cabo la investigación con debida diligencia, agotando todas las acciones planificadas y las líneas de investigación que ya se han determinado o que se determinen en el futuro. </w:t>
      </w:r>
      <w:r w:rsidR="00324A8A" w:rsidRPr="00B93A81">
        <w:rPr>
          <w:rFonts w:ascii="Cambria" w:hAnsi="Cambria" w:cs="Verdana"/>
          <w:sz w:val="20"/>
          <w:szCs w:val="20"/>
          <w:lang w:val="es-ES" w:bidi="en-US"/>
        </w:rPr>
        <w:t xml:space="preserve"> </w:t>
      </w:r>
      <w:r w:rsidR="0014553A" w:rsidRPr="00B93A81">
        <w:rPr>
          <w:rFonts w:ascii="Cambria" w:hAnsi="Cambria" w:cs="Verdana"/>
          <w:sz w:val="20"/>
          <w:szCs w:val="20"/>
          <w:lang w:val="es-ES" w:bidi="en-US"/>
        </w:rPr>
        <w:t>La C</w:t>
      </w:r>
      <w:r w:rsidRPr="00B93A81">
        <w:rPr>
          <w:rFonts w:ascii="Cambria" w:hAnsi="Cambria" w:cs="Verdana"/>
          <w:sz w:val="20"/>
          <w:szCs w:val="20"/>
          <w:lang w:val="es-ES" w:bidi="en-US"/>
        </w:rPr>
        <w:t>omisión</w:t>
      </w:r>
      <w:r w:rsidR="0014553A" w:rsidRPr="00B93A81">
        <w:rPr>
          <w:rFonts w:ascii="Cambria" w:hAnsi="Cambria" w:cs="Verdana"/>
          <w:sz w:val="20"/>
          <w:szCs w:val="20"/>
          <w:lang w:val="es-ES" w:bidi="en-US"/>
        </w:rPr>
        <w:t xml:space="preserve"> recuerda que si bien el deber de investigar es uno de medio y no de resultado, ello no significa que la investigación pueda ser emprendida como una simple formalidad condenada de antemano a ser infructuosa y es responsabilidad de las autoridades estatales realizar una investigación seria, imparcial y efectiva por todos los medios legales disponibles que debe estar orientada a la determinación de la verdad y al eventual enjuiciamiento y en su caso castigo de los autores de los hechos. En particular, el Estado debe utilizar todos los medios disponibles, para llevar a cabo, dentro de un plazo razonable, todas aquellas actuaciones y averiguaciones que sean necesarias con el fin de intentar obtener el resultado que se persigue</w:t>
      </w:r>
      <w:r w:rsidR="0014553A" w:rsidRPr="00B93A81">
        <w:rPr>
          <w:rStyle w:val="FootnoteReference"/>
          <w:rFonts w:ascii="Cambria" w:hAnsi="Cambria" w:cs="Verdana"/>
          <w:sz w:val="20"/>
          <w:szCs w:val="20"/>
          <w:lang w:val="es-ES" w:bidi="en-US"/>
        </w:rPr>
        <w:footnoteReference w:id="107"/>
      </w:r>
      <w:r w:rsidR="0014553A" w:rsidRPr="00B93A81">
        <w:rPr>
          <w:rFonts w:ascii="Cambria" w:hAnsi="Cambria" w:cs="Verdana"/>
          <w:sz w:val="20"/>
          <w:szCs w:val="20"/>
          <w:lang w:val="es-ES" w:bidi="en-US"/>
        </w:rPr>
        <w:t xml:space="preserve">. </w:t>
      </w:r>
    </w:p>
    <w:p w14:paraId="245705E4" w14:textId="77777777" w:rsidR="00FB360B" w:rsidRPr="00B93A81" w:rsidRDefault="00FB360B"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lang w:val="es-VE"/>
        </w:rPr>
      </w:pPr>
    </w:p>
    <w:p w14:paraId="3989B30D" w14:textId="77777777" w:rsidR="000C5BAC" w:rsidRPr="00B93A81" w:rsidRDefault="00D12193" w:rsidP="001E3EBE">
      <w:pPr>
        <w:pStyle w:val="Heading1"/>
        <w:ind w:left="0" w:firstLine="0"/>
      </w:pPr>
      <w:bookmarkStart w:id="53" w:name="_Toc70437032"/>
      <w:r w:rsidRPr="00B93A81">
        <w:lastRenderedPageBreak/>
        <w:t>CONCLUSIONES Y RECOMENDACIONES</w:t>
      </w:r>
      <w:bookmarkEnd w:id="48"/>
      <w:r w:rsidRPr="00B93A81">
        <w:t xml:space="preserve"> </w:t>
      </w:r>
      <w:r w:rsidR="00240F51" w:rsidRPr="00B93A81">
        <w:t>FINALE</w:t>
      </w:r>
      <w:r w:rsidR="000C5BAC" w:rsidRPr="00B93A81">
        <w:t>S</w:t>
      </w:r>
      <w:bookmarkEnd w:id="53"/>
    </w:p>
    <w:p w14:paraId="72A6CE8A" w14:textId="77777777" w:rsidR="000C5BAC" w:rsidRPr="00B93A81" w:rsidRDefault="000C5BAC" w:rsidP="001E3EBE"/>
    <w:p w14:paraId="044E75A7" w14:textId="77777777" w:rsidR="000C5BAC" w:rsidRPr="00B93A81" w:rsidRDefault="000C5BAC" w:rsidP="001E3E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CL"/>
        </w:rPr>
      </w:pPr>
      <w:r w:rsidRPr="00B93A81">
        <w:rPr>
          <w:rFonts w:ascii="Cambria" w:hAnsi="Cambria"/>
          <w:color w:val="000000" w:themeColor="text1"/>
          <w:sz w:val="20"/>
          <w:szCs w:val="20"/>
          <w:lang w:val="es-VE"/>
        </w:rPr>
        <w:t xml:space="preserve">Con base en las determinaciones de hecho y de derecho, la Comisión Interamericana concluye que el Estado es responsable por la violación de los artículos </w:t>
      </w:r>
      <w:r w:rsidRPr="00B93A81">
        <w:rPr>
          <w:rFonts w:asciiTheme="majorHAnsi" w:hAnsiTheme="majorHAnsi"/>
          <w:sz w:val="20"/>
          <w:szCs w:val="20"/>
          <w:lang w:val="es-CL"/>
        </w:rPr>
        <w:t xml:space="preserve">5.1 (derecho a la integridad), 7.1 (libertad y seguridad personales), 22.1 (libre circulación y residencia), </w:t>
      </w:r>
      <w:r w:rsidRPr="00B93A81">
        <w:rPr>
          <w:rFonts w:asciiTheme="majorHAnsi" w:hAnsiTheme="majorHAnsi"/>
          <w:sz w:val="20"/>
          <w:szCs w:val="20"/>
          <w:lang w:val="es-ES"/>
        </w:rPr>
        <w:t>8.1 (garantías judiciales), 25.1 (protección judicial)</w:t>
      </w:r>
      <w:r w:rsidRPr="00B93A81">
        <w:rPr>
          <w:rFonts w:asciiTheme="majorHAnsi" w:hAnsiTheme="majorHAnsi"/>
          <w:sz w:val="20"/>
          <w:szCs w:val="20"/>
          <w:lang w:val="es-CL"/>
        </w:rPr>
        <w:t xml:space="preserve"> establecidos en de la Convención Americana en relación con las obligaciones establecidas en el artículo 1.1 del mismo instrumento, en perjuicio de Carlos Arturo Betancourt Estrada y su familia.</w:t>
      </w:r>
    </w:p>
    <w:p w14:paraId="51044256" w14:textId="77777777" w:rsidR="005B7351" w:rsidRPr="00B93A81" w:rsidRDefault="005B7351"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Verdana"/>
          <w:sz w:val="20"/>
          <w:szCs w:val="20"/>
          <w:lang w:val="es-ES" w:bidi="en-US"/>
        </w:rPr>
      </w:pPr>
    </w:p>
    <w:p w14:paraId="2B71BFB3" w14:textId="77777777" w:rsidR="005B7351" w:rsidRPr="00B93A81" w:rsidRDefault="005B7351" w:rsidP="001E3EBE">
      <w:pPr>
        <w:ind w:firstLine="720"/>
        <w:jc w:val="both"/>
        <w:rPr>
          <w:rFonts w:ascii="Cambria" w:hAnsi="Cambria"/>
          <w:b/>
          <w:sz w:val="20"/>
          <w:szCs w:val="20"/>
          <w:lang w:val="es-ES_tradnl"/>
        </w:rPr>
      </w:pPr>
      <w:r w:rsidRPr="00B93A81">
        <w:rPr>
          <w:rFonts w:ascii="Cambria" w:hAnsi="Cambria"/>
          <w:b/>
          <w:sz w:val="20"/>
          <w:szCs w:val="20"/>
          <w:lang w:val="es-ES_tradnl"/>
        </w:rPr>
        <w:t xml:space="preserve">LA COMISIÓN INTERAMERICANA DE DERECHOS HUMANOS, REITERA AL ESTADO DE </w:t>
      </w:r>
      <w:r w:rsidR="009551D4" w:rsidRPr="00B93A81">
        <w:rPr>
          <w:rFonts w:ascii="Cambria" w:hAnsi="Cambria"/>
          <w:b/>
          <w:sz w:val="20"/>
          <w:szCs w:val="20"/>
          <w:lang w:val="es-ES_tradnl"/>
        </w:rPr>
        <w:t>COLOMBIA LAS SIGUIENTES RECOMENDACIONES, CON MIRAS A SU CUMPLIMIENTO TOTAL Y EFECTIVO:</w:t>
      </w:r>
    </w:p>
    <w:p w14:paraId="45D4036E" w14:textId="77777777" w:rsidR="005B7351" w:rsidRPr="00B93A81" w:rsidRDefault="005B7351" w:rsidP="001E3E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Verdana"/>
          <w:sz w:val="20"/>
          <w:szCs w:val="20"/>
          <w:lang w:val="es-ES" w:bidi="en-US"/>
        </w:rPr>
      </w:pPr>
    </w:p>
    <w:p w14:paraId="71945EC9" w14:textId="77777777" w:rsidR="005B7351" w:rsidRPr="00B93A81" w:rsidRDefault="005B7351" w:rsidP="001E3EB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eastAsia="Times New Roman" w:cs="Tahoma"/>
          <w:sz w:val="20"/>
          <w:szCs w:val="20"/>
          <w:bdr w:val="none" w:sz="0" w:space="0" w:color="auto"/>
          <w:lang w:val="es-ES"/>
        </w:rPr>
      </w:pPr>
      <w:r w:rsidRPr="00B93A81">
        <w:rPr>
          <w:rFonts w:eastAsia="Times New Roman" w:cs="Tahoma"/>
          <w:sz w:val="20"/>
          <w:szCs w:val="20"/>
          <w:bdr w:val="none" w:sz="0" w:space="0" w:color="auto"/>
          <w:lang w:val="es-ES"/>
        </w:rPr>
        <w:t xml:space="preserve">Reparar integralmente las violaciones de derechos humanos declaradas en el presente informe tanto en el aspecto material como inmaterial. El Estado deberá adoptar las medidas de compensación económica y satisfacción a favor de las víctimas. </w:t>
      </w:r>
    </w:p>
    <w:p w14:paraId="64053E54" w14:textId="77777777" w:rsidR="005B7351" w:rsidRPr="00B93A81" w:rsidRDefault="005B7351" w:rsidP="001E3EBE">
      <w:pPr>
        <w:pStyle w:val="ListParagraph"/>
        <w:ind w:left="0"/>
        <w:rPr>
          <w:rFonts w:eastAsia="Times New Roman" w:cs="Tahoma"/>
          <w:sz w:val="20"/>
          <w:szCs w:val="20"/>
          <w:bdr w:val="none" w:sz="0" w:space="0" w:color="auto"/>
          <w:lang w:val="es-ES"/>
        </w:rPr>
      </w:pPr>
    </w:p>
    <w:p w14:paraId="3834F95A" w14:textId="77777777" w:rsidR="005B7351" w:rsidRPr="00B93A81" w:rsidRDefault="005B7351" w:rsidP="001E3EB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eastAsia="Times New Roman"/>
          <w:sz w:val="14"/>
          <w:szCs w:val="14"/>
          <w:bdr w:val="none" w:sz="0" w:space="0" w:color="auto"/>
          <w:lang w:val="es-ES"/>
        </w:rPr>
      </w:pPr>
      <w:r w:rsidRPr="00B93A81">
        <w:rPr>
          <w:rFonts w:eastAsia="Times New Roman" w:cs="Tahoma"/>
          <w:sz w:val="20"/>
          <w:szCs w:val="20"/>
          <w:bdr w:val="none" w:sz="0" w:space="0" w:color="auto"/>
          <w:lang w:val="es-ES"/>
        </w:rPr>
        <w:t>Disponer las medidas de atención en salud mental necesarias para la rehabilitación de Carlos Arturo Betancourt Estrada y los miembros de su familia, de ser su voluntad y de manera concertada.</w:t>
      </w:r>
    </w:p>
    <w:p w14:paraId="634ECD8E" w14:textId="77777777" w:rsidR="005B7351" w:rsidRPr="00B93A81" w:rsidRDefault="005B7351" w:rsidP="001E3EBE">
      <w:pPr>
        <w:pStyle w:val="ListParagraph"/>
        <w:ind w:left="0"/>
        <w:rPr>
          <w:sz w:val="20"/>
          <w:szCs w:val="20"/>
          <w:lang w:val="es-ES"/>
        </w:rPr>
      </w:pPr>
    </w:p>
    <w:p w14:paraId="6130B4F3" w14:textId="77777777" w:rsidR="000C5BAC" w:rsidRPr="00B93A81" w:rsidRDefault="005B7351" w:rsidP="001E3EB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eastAsia="Times New Roman"/>
          <w:sz w:val="14"/>
          <w:szCs w:val="14"/>
          <w:bdr w:val="none" w:sz="0" w:space="0" w:color="auto"/>
          <w:lang w:val="es-ES"/>
        </w:rPr>
      </w:pPr>
      <w:r w:rsidRPr="00B93A81">
        <w:rPr>
          <w:rFonts w:eastAsia="Times New Roman" w:cs="Tahoma"/>
          <w:color w:val="auto"/>
          <w:sz w:val="20"/>
          <w:szCs w:val="20"/>
          <w:bdr w:val="none" w:sz="0" w:space="0" w:color="auto"/>
          <w:lang w:val="es-AR"/>
        </w:rPr>
        <w:t xml:space="preserve">Continuar </w:t>
      </w:r>
      <w:r w:rsidRPr="00B93A81">
        <w:rPr>
          <w:rFonts w:eastAsia="Times New Roman" w:cs="Tahoma"/>
          <w:sz w:val="20"/>
          <w:szCs w:val="20"/>
          <w:bdr w:val="none" w:sz="0" w:space="0" w:color="auto"/>
          <w:lang w:val="es-AR"/>
        </w:rPr>
        <w:t xml:space="preserve">la investigación penal de manera diligente, efectiva y dentro de un plazo razonable con el objeto de esclarecer los hechos en forma completa, identificar todas las posibles responsabilidades e imponer las sanciones que correspondan respecto de las violaciones de derechos humanos declaradas en el presente informe. </w:t>
      </w:r>
    </w:p>
    <w:p w14:paraId="249AAB7D" w14:textId="77777777" w:rsidR="00FB360B" w:rsidRPr="00B93A81" w:rsidRDefault="00FB360B" w:rsidP="009551D4">
      <w:pPr>
        <w:pStyle w:val="ListParagraph"/>
        <w:rPr>
          <w:rFonts w:eastAsia="Times New Roman"/>
          <w:sz w:val="14"/>
          <w:szCs w:val="14"/>
          <w:bdr w:val="none" w:sz="0" w:space="0" w:color="auto"/>
          <w:lang w:val="es-ES"/>
        </w:rPr>
      </w:pPr>
    </w:p>
    <w:p w14:paraId="5CB1B2C0" w14:textId="77777777" w:rsidR="00FB360B" w:rsidRPr="00B93A81" w:rsidRDefault="00FB360B" w:rsidP="00FB360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eastAsia="Times New Roman"/>
          <w:sz w:val="14"/>
          <w:szCs w:val="14"/>
          <w:bdr w:val="none" w:sz="0" w:space="0" w:color="auto"/>
          <w:lang w:val="es-ES"/>
        </w:rPr>
      </w:pPr>
    </w:p>
    <w:p w14:paraId="28234F83" w14:textId="77777777" w:rsidR="000C5BAC" w:rsidRPr="00B93A81" w:rsidRDefault="000C5BAC" w:rsidP="001E3EBE">
      <w:pPr>
        <w:pStyle w:val="Heading1"/>
        <w:ind w:left="0" w:firstLine="0"/>
      </w:pPr>
      <w:bookmarkStart w:id="54" w:name="_Toc70437033"/>
      <w:r w:rsidRPr="00B93A81">
        <w:t>NOTIFICACIÓN</w:t>
      </w:r>
      <w:bookmarkEnd w:id="54"/>
    </w:p>
    <w:p w14:paraId="6DAE0D4F" w14:textId="77777777" w:rsidR="000C5BAC" w:rsidRPr="00B93A81" w:rsidRDefault="000C5BAC" w:rsidP="001E3EBE">
      <w:pPr>
        <w:jc w:val="both"/>
        <w:outlineLvl w:val="0"/>
        <w:rPr>
          <w:rFonts w:asciiTheme="majorHAnsi" w:hAnsiTheme="majorHAnsi" w:cs="Arial"/>
          <w:b/>
          <w:sz w:val="20"/>
          <w:szCs w:val="20"/>
          <w:lang w:val="es-ES_tradnl"/>
        </w:rPr>
      </w:pPr>
    </w:p>
    <w:p w14:paraId="49417CCB" w14:textId="77777777" w:rsidR="006C3B7B" w:rsidRPr="00B93A81" w:rsidRDefault="000C5BAC" w:rsidP="006C3B7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eastAsia="Times New Roman" w:cs="Tahoma"/>
          <w:sz w:val="20"/>
          <w:szCs w:val="20"/>
          <w:bdr w:val="none" w:sz="0" w:space="0" w:color="auto"/>
          <w:lang w:val="es-CL"/>
        </w:rPr>
      </w:pPr>
      <w:r w:rsidRPr="00B93A81">
        <w:rPr>
          <w:rFonts w:ascii="Cambria" w:eastAsia="Cambria" w:hAnsi="Cambria" w:cs="Cambria"/>
          <w:color w:val="000000"/>
          <w:sz w:val="20"/>
          <w:u w:color="000000"/>
          <w:lang w:val="es-VE" w:eastAsia="es-ES"/>
        </w:rPr>
        <w:t>De acuerdo con lo señalado y de conformidad con lo dispuesto en el artículo 51</w:t>
      </w:r>
      <w:r w:rsidR="009551D4" w:rsidRPr="00B93A81">
        <w:rPr>
          <w:rFonts w:ascii="Cambria" w:eastAsia="Cambria" w:hAnsi="Cambria" w:cs="Cambria"/>
          <w:color w:val="000000"/>
          <w:sz w:val="20"/>
          <w:u w:color="000000"/>
          <w:lang w:val="es-VE" w:eastAsia="es-ES"/>
        </w:rPr>
        <w:t>.3</w:t>
      </w:r>
      <w:r w:rsidRPr="00B93A81">
        <w:rPr>
          <w:rFonts w:ascii="Cambria" w:eastAsia="Cambria" w:hAnsi="Cambria" w:cs="Cambria"/>
          <w:color w:val="000000"/>
          <w:sz w:val="20"/>
          <w:u w:color="000000"/>
          <w:lang w:val="es-VE" w:eastAsia="es-ES"/>
        </w:rPr>
        <w:t xml:space="preserve"> de la Convención Americana, </w:t>
      </w:r>
      <w:r w:rsidR="009551D4" w:rsidRPr="00B93A81">
        <w:rPr>
          <w:rFonts w:ascii="Cambria" w:eastAsia="Cambria" w:hAnsi="Cambria" w:cs="Cambria"/>
          <w:color w:val="000000"/>
          <w:sz w:val="20"/>
          <w:u w:color="000000"/>
          <w:lang w:val="es-VE" w:eastAsia="es-ES"/>
        </w:rPr>
        <w:t xml:space="preserve">Y 47.3 de su Reglamento </w:t>
      </w:r>
      <w:r w:rsidRPr="00B93A81">
        <w:rPr>
          <w:rFonts w:ascii="Cambria" w:eastAsia="Cambria" w:hAnsi="Cambria" w:cs="Cambria"/>
          <w:color w:val="000000"/>
          <w:sz w:val="20"/>
          <w:u w:color="000000"/>
          <w:lang w:val="es-VE" w:eastAsia="es-ES"/>
        </w:rPr>
        <w:t xml:space="preserve">la Comisión Interamericana de Derechos Humanos </w:t>
      </w:r>
      <w:r w:rsidR="006C3B7B" w:rsidRPr="00B93A81">
        <w:rPr>
          <w:rFonts w:asciiTheme="majorHAnsi" w:eastAsia="MS Mincho" w:hAnsiTheme="majorHAnsi"/>
          <w:sz w:val="20"/>
          <w:szCs w:val="20"/>
          <w:bdr w:val="none" w:sz="0" w:space="0" w:color="auto"/>
          <w:lang w:val="es-ES" w:eastAsia="ar-SA"/>
        </w:rPr>
        <w:t>decide publicar este informe e incluirlo en su Informe Anual a la Asamblea General de la Organización de Estados Americanos. La Comisión Interamericana, de acuerdo a las normas establecidas en los instrumentos que regulan su mandato, continuará evaluando las medidas adoptadas por el Estado colombiano respecto de las recomendaciones arriba señaladas, hasta que determine que se ha dado un total cumplimiento de las mismas.</w:t>
      </w:r>
    </w:p>
    <w:p w14:paraId="705D6391" w14:textId="77777777" w:rsidR="009B6F5E" w:rsidRPr="00353DF0" w:rsidRDefault="009B6F5E" w:rsidP="009B6F5E">
      <w:pPr>
        <w:pStyle w:val="ListParagraph"/>
        <w:rPr>
          <w:rFonts w:eastAsia="Times New Roman"/>
          <w:sz w:val="14"/>
          <w:szCs w:val="14"/>
          <w:lang w:val="es-ES"/>
        </w:rPr>
      </w:pPr>
    </w:p>
    <w:p w14:paraId="49C19A20" w14:textId="77777777" w:rsidR="009B6F5E" w:rsidRDefault="009B6F5E" w:rsidP="009B6F5E">
      <w:pPr>
        <w:ind w:firstLine="720"/>
        <w:jc w:val="both"/>
        <w:rPr>
          <w:rFonts w:ascii="Cambria" w:hAnsi="Cambria"/>
          <w:spacing w:val="-2"/>
          <w:sz w:val="20"/>
          <w:szCs w:val="20"/>
          <w:lang w:val="es-CL"/>
        </w:rPr>
      </w:pPr>
      <w:r>
        <w:rPr>
          <w:rFonts w:ascii="Cambria" w:hAnsi="Cambria"/>
          <w:spacing w:val="-2"/>
          <w:sz w:val="20"/>
          <w:szCs w:val="20"/>
          <w:lang w:val="es-CL"/>
        </w:rPr>
        <w:t>Aprobado por la Comisión Interamericana de Derechos Humanos a los 22 días del mes de abril de 2020.  (Firmado):</w:t>
      </w:r>
      <w:r w:rsidRPr="00E02D8D">
        <w:rPr>
          <w:rFonts w:ascii="Cambria" w:hAnsi="Cambria"/>
          <w:spacing w:val="-2"/>
          <w:sz w:val="20"/>
          <w:szCs w:val="20"/>
          <w:lang w:val="es-CL"/>
        </w:rPr>
        <w:t xml:space="preserve"> </w:t>
      </w:r>
      <w:r>
        <w:rPr>
          <w:rFonts w:ascii="Cambria" w:hAnsi="Cambria"/>
          <w:spacing w:val="-2"/>
          <w:sz w:val="20"/>
          <w:szCs w:val="20"/>
          <w:lang w:val="es-CL"/>
        </w:rPr>
        <w:t xml:space="preserve">Joel Hernández García, Presidente; Antonia Urrejola Noguera, Primera Vicepresidenta; </w:t>
      </w:r>
      <w:r w:rsidRPr="00E02D8D">
        <w:rPr>
          <w:rFonts w:ascii="Cambria" w:hAnsi="Cambria"/>
          <w:spacing w:val="-2"/>
          <w:sz w:val="20"/>
          <w:lang w:val="es-US"/>
        </w:rPr>
        <w:t>Flávia Piovesan</w:t>
      </w:r>
      <w:r>
        <w:rPr>
          <w:rFonts w:ascii="Cambria" w:hAnsi="Cambria"/>
          <w:spacing w:val="-2"/>
          <w:sz w:val="20"/>
          <w:lang w:val="es-US"/>
        </w:rPr>
        <w:t>,</w:t>
      </w:r>
      <w:r>
        <w:rPr>
          <w:rFonts w:ascii="Cambria" w:hAnsi="Cambria"/>
          <w:spacing w:val="-2"/>
          <w:sz w:val="20"/>
          <w:szCs w:val="20"/>
          <w:lang w:val="es-CL"/>
        </w:rPr>
        <w:t xml:space="preserve"> Segunda Vicepresidenta; Margarette May Macaulay, Esmeralda Arosemena de Troitiño </w:t>
      </w:r>
      <w:r>
        <w:rPr>
          <w:rFonts w:ascii="Cambria" w:hAnsi="Cambria"/>
          <w:spacing w:val="-2"/>
          <w:sz w:val="20"/>
          <w:lang w:val="es-US"/>
        </w:rPr>
        <w:t>y</w:t>
      </w:r>
      <w:r w:rsidRPr="00E02D8D">
        <w:rPr>
          <w:rFonts w:ascii="Cambria" w:hAnsi="Cambria"/>
          <w:spacing w:val="-2"/>
          <w:sz w:val="20"/>
          <w:lang w:val="es-US"/>
        </w:rPr>
        <w:t xml:space="preserve"> Julissa Mantilla Falcón</w:t>
      </w:r>
      <w:r>
        <w:rPr>
          <w:rFonts w:ascii="Cambria" w:hAnsi="Cambria"/>
          <w:spacing w:val="-2"/>
          <w:sz w:val="20"/>
          <w:lang w:val="es-US"/>
        </w:rPr>
        <w:t>,</w:t>
      </w:r>
      <w:r>
        <w:rPr>
          <w:rFonts w:ascii="Cambria" w:hAnsi="Cambria"/>
          <w:spacing w:val="-2"/>
          <w:sz w:val="20"/>
          <w:szCs w:val="20"/>
          <w:lang w:val="es-CL"/>
        </w:rPr>
        <w:t xml:space="preserve"> Miembros de la Comisión.</w:t>
      </w:r>
      <w:r>
        <w:rPr>
          <w:rFonts w:ascii="Cambria" w:hAnsi="Cambria"/>
          <w:sz w:val="20"/>
          <w:szCs w:val="20"/>
          <w:lang w:val="es-CL"/>
        </w:rPr>
        <w:t xml:space="preserve"> </w:t>
      </w:r>
    </w:p>
    <w:p w14:paraId="23429F8F" w14:textId="77777777" w:rsidR="009B6F5E" w:rsidRPr="00353DF0" w:rsidRDefault="009B6F5E" w:rsidP="009B6F5E">
      <w:pPr>
        <w:ind w:firstLine="720"/>
        <w:jc w:val="both"/>
        <w:rPr>
          <w:rFonts w:ascii="Cambria" w:hAnsi="Cambria"/>
          <w:spacing w:val="-2"/>
          <w:sz w:val="14"/>
          <w:szCs w:val="14"/>
          <w:lang w:val="es-CL"/>
        </w:rPr>
      </w:pPr>
    </w:p>
    <w:p w14:paraId="4DEFF3EF" w14:textId="77777777" w:rsidR="006C3B7B" w:rsidRPr="006C3B7B" w:rsidRDefault="006C3B7B" w:rsidP="006C3B7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eastAsia="Times New Roman" w:cs="Tahoma"/>
          <w:sz w:val="20"/>
          <w:szCs w:val="20"/>
          <w:bdr w:val="none" w:sz="0" w:space="0" w:color="auto"/>
          <w:lang w:val="es-VE"/>
        </w:rPr>
      </w:pPr>
    </w:p>
    <w:sectPr w:rsidR="006C3B7B" w:rsidRPr="006C3B7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97004" w14:textId="77777777" w:rsidR="00746A6C" w:rsidRDefault="00746A6C">
      <w:r>
        <w:separator/>
      </w:r>
    </w:p>
  </w:endnote>
  <w:endnote w:type="continuationSeparator" w:id="0">
    <w:p w14:paraId="19909943" w14:textId="77777777" w:rsidR="00746A6C" w:rsidRDefault="0074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Theme Body)">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09CFFF90" w14:textId="77777777" w:rsidR="00B93A81" w:rsidRPr="00934A2C" w:rsidRDefault="00B93A8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538D6">
          <w:rPr>
            <w:noProof/>
            <w:sz w:val="16"/>
            <w:szCs w:val="22"/>
          </w:rPr>
          <w:t>20</w:t>
        </w:r>
        <w:r w:rsidRPr="00934A2C">
          <w:rPr>
            <w:noProof/>
            <w:sz w:val="16"/>
            <w:szCs w:val="22"/>
          </w:rPr>
          <w:fldChar w:fldCharType="end"/>
        </w:r>
      </w:p>
    </w:sdtContent>
  </w:sdt>
  <w:p w14:paraId="0B8BEE3D" w14:textId="77777777" w:rsidR="00B93A81" w:rsidRDefault="00B93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0E73" w14:textId="77777777" w:rsidR="00B93A81" w:rsidRPr="00934A2C" w:rsidRDefault="00B93A81">
    <w:pPr>
      <w:pStyle w:val="Footer"/>
      <w:jc w:val="center"/>
      <w:rPr>
        <w:sz w:val="16"/>
        <w:szCs w:val="22"/>
      </w:rPr>
    </w:pPr>
  </w:p>
  <w:p w14:paraId="738B0ADF" w14:textId="77777777" w:rsidR="00B93A81" w:rsidRDefault="00B93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61F9" w14:textId="77777777" w:rsidR="00746A6C" w:rsidRPr="000F35ED" w:rsidRDefault="00746A6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D8E8553" w14:textId="77777777" w:rsidR="00746A6C" w:rsidRPr="000F35ED" w:rsidRDefault="00746A6C" w:rsidP="000F35ED">
      <w:pPr>
        <w:rPr>
          <w:rFonts w:asciiTheme="majorHAnsi" w:hAnsiTheme="majorHAnsi"/>
          <w:sz w:val="16"/>
          <w:szCs w:val="16"/>
        </w:rPr>
      </w:pPr>
      <w:r w:rsidRPr="000F35ED">
        <w:rPr>
          <w:rFonts w:asciiTheme="majorHAnsi" w:hAnsiTheme="majorHAnsi"/>
          <w:sz w:val="16"/>
          <w:szCs w:val="16"/>
        </w:rPr>
        <w:separator/>
      </w:r>
    </w:p>
    <w:p w14:paraId="3F9DA1E3" w14:textId="77777777" w:rsidR="00746A6C" w:rsidRPr="000F35ED" w:rsidRDefault="00746A6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ED0D23E" w14:textId="77777777" w:rsidR="00746A6C" w:rsidRPr="000F35ED" w:rsidRDefault="00746A6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5257E8D" w14:textId="77777777" w:rsidR="00B93A81" w:rsidRPr="000C04B8" w:rsidRDefault="00B93A81" w:rsidP="00240F51">
      <w:pPr>
        <w:pStyle w:val="FootnoteText"/>
        <w:jc w:val="both"/>
        <w:rPr>
          <w:rFonts w:asciiTheme="majorHAnsi" w:hAnsiTheme="majorHAnsi"/>
          <w:szCs w:val="16"/>
          <w:lang w:val="es-ES_tradnl"/>
        </w:rPr>
      </w:pPr>
      <w:r w:rsidRPr="000C04B8">
        <w:rPr>
          <w:rStyle w:val="FootnoteReference"/>
          <w:rFonts w:asciiTheme="majorHAnsi" w:hAnsiTheme="majorHAnsi"/>
          <w:szCs w:val="16"/>
          <w:lang w:val="es-ES_tradnl"/>
        </w:rPr>
        <w:footnoteRef/>
      </w:r>
      <w:r w:rsidRPr="000C04B8">
        <w:rPr>
          <w:rFonts w:asciiTheme="majorHAnsi" w:hAnsiTheme="majorHAnsi"/>
          <w:szCs w:val="16"/>
          <w:lang w:val="es-ES_tradnl"/>
        </w:rPr>
        <w:t xml:space="preserve"> Conforme a lo dispuesto en el artículo 17.2 del Reglamento de la Comisión, el Comisionado Luis Ernesto Vargas Silva, de nacionalidad colombiana, no participó en el debate ni en la decisión del presente cas</w:t>
      </w:r>
      <w:r w:rsidRPr="000C04B8">
        <w:rPr>
          <w:rFonts w:asciiTheme="majorHAnsi" w:hAnsiTheme="majorHAnsi"/>
          <w:color w:val="auto"/>
          <w:szCs w:val="16"/>
          <w:lang w:val="es-ES_tradnl"/>
        </w:rPr>
        <w:t xml:space="preserve">o. </w:t>
      </w:r>
    </w:p>
  </w:footnote>
  <w:footnote w:id="3">
    <w:p w14:paraId="0A7496E1" w14:textId="77777777" w:rsidR="00B93A81" w:rsidRPr="000C04B8" w:rsidRDefault="00B93A81" w:rsidP="000C04B8">
      <w:pPr>
        <w:pStyle w:val="FootnoteText"/>
        <w:jc w:val="both"/>
        <w:rPr>
          <w:szCs w:val="16"/>
          <w:lang w:val="es-ES_tradnl"/>
        </w:rPr>
      </w:pPr>
      <w:r w:rsidRPr="000C04B8">
        <w:rPr>
          <w:rStyle w:val="FootnoteReference"/>
          <w:szCs w:val="16"/>
          <w:lang w:val="es-ES_tradnl"/>
        </w:rPr>
        <w:footnoteRef/>
      </w:r>
      <w:r w:rsidRPr="000C04B8">
        <w:rPr>
          <w:szCs w:val="16"/>
          <w:lang w:val="es-ES_tradnl"/>
        </w:rPr>
        <w:t xml:space="preserve"> </w:t>
      </w:r>
      <w:r w:rsidRPr="000C04B8">
        <w:rPr>
          <w:color w:val="auto"/>
          <w:szCs w:val="16"/>
          <w:lang w:val="es-ES_tradnl"/>
        </w:rPr>
        <w:t xml:space="preserve">CIDH. Informe No. 122/10. Caso 12.780.  Carlos Arturo Betancourt Estrada y otros (Colombia). 23 de octubre de 2010. La Comisión se reconoció incompetente </w:t>
      </w:r>
      <w:r w:rsidRPr="000C04B8">
        <w:rPr>
          <w:i/>
          <w:color w:val="auto"/>
          <w:szCs w:val="16"/>
          <w:lang w:val="es-ES_tradnl"/>
        </w:rPr>
        <w:t>ratione materia</w:t>
      </w:r>
      <w:r w:rsidRPr="000C04B8">
        <w:rPr>
          <w:color w:val="auto"/>
          <w:szCs w:val="16"/>
          <w:lang w:val="es-ES_tradnl"/>
        </w:rPr>
        <w:t xml:space="preserve"> para conocer los alegatos relacionados con personas jurídicas indicados por la parte peticionaria. </w:t>
      </w:r>
    </w:p>
  </w:footnote>
  <w:footnote w:id="4">
    <w:p w14:paraId="35CCFD4C" w14:textId="77777777" w:rsidR="00B93A81" w:rsidRPr="000C04B8" w:rsidRDefault="00B93A81" w:rsidP="00A213F2">
      <w:pPr>
        <w:pStyle w:val="FootnoteText"/>
        <w:ind w:right="-270"/>
        <w:jc w:val="both"/>
        <w:rPr>
          <w:lang w:val="es-ES_tradnl"/>
        </w:rPr>
      </w:pPr>
      <w:r w:rsidRPr="000C04B8">
        <w:rPr>
          <w:rStyle w:val="FootnoteReference"/>
          <w:lang w:val="es-ES_tradnl"/>
        </w:rPr>
        <w:footnoteRef/>
      </w:r>
      <w:r w:rsidRPr="000C04B8">
        <w:rPr>
          <w:lang w:val="es-ES_tradnl"/>
        </w:rPr>
        <w:t xml:space="preserve"> CIDH. Tercer informe sobre la situación de los derechos humanos en Colombia. OEA/Ser.L/V/II.102. Doc. 9 rev. 1. 26 febrero 1999. Párr. 55.</w:t>
      </w:r>
    </w:p>
  </w:footnote>
  <w:footnote w:id="5">
    <w:p w14:paraId="141E11FF"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CIDH. Informe anual de la CIDH 2010.  OEA/Ser.L/V/II.Doc. 5 corr. 17 marzo 2011. p.48</w:t>
      </w:r>
    </w:p>
  </w:footnote>
  <w:footnote w:id="6">
    <w:p w14:paraId="60A51EC1"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CIDH. Informe sobre seguridad ciudadana y derechos humanos. OEA/Ser.L/V/II. Doc. 57, 31 diciembre 2009. p. 136 y 137.</w:t>
      </w:r>
    </w:p>
  </w:footnote>
  <w:footnote w:id="7">
    <w:p w14:paraId="3999B804"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CNDH. </w:t>
      </w:r>
      <w:r w:rsidRPr="000C04B8">
        <w:rPr>
          <w:i/>
          <w:lang w:val="es-ES_tradnl"/>
        </w:rPr>
        <w:t>Una sociedad secuestrada</w:t>
      </w:r>
      <w:r w:rsidRPr="000C04B8">
        <w:rPr>
          <w:lang w:val="es-ES_tradnl"/>
        </w:rPr>
        <w:t xml:space="preserve">. Bogotá: Imprenta Nacional, 2013. P. 121. </w:t>
      </w:r>
    </w:p>
  </w:footnote>
  <w:footnote w:id="8">
    <w:p w14:paraId="59354C7D"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CNDH. </w:t>
      </w:r>
      <w:r w:rsidRPr="000C04B8">
        <w:rPr>
          <w:i/>
          <w:lang w:val="es-ES_tradnl"/>
        </w:rPr>
        <w:t>Una sociedad secuestrada</w:t>
      </w:r>
      <w:r w:rsidRPr="000C04B8">
        <w:rPr>
          <w:lang w:val="es-ES_tradnl"/>
        </w:rPr>
        <w:t>. Bogotá: Imprenta Nacional, 2013. P. 135.</w:t>
      </w:r>
    </w:p>
  </w:footnote>
  <w:footnote w:id="9">
    <w:p w14:paraId="6CC44BD9"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CNDH. </w:t>
      </w:r>
      <w:r w:rsidRPr="000C04B8">
        <w:rPr>
          <w:i/>
          <w:lang w:val="es-ES_tradnl"/>
        </w:rPr>
        <w:t>Una sociedad secuestrada</w:t>
      </w:r>
      <w:r w:rsidRPr="000C04B8">
        <w:rPr>
          <w:lang w:val="es-ES_tradnl"/>
        </w:rPr>
        <w:t xml:space="preserve">. Bogotá: Imprenta Nacional, 2013. P. 155. </w:t>
      </w:r>
    </w:p>
  </w:footnote>
  <w:footnote w:id="10">
    <w:p w14:paraId="419EA803"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CNDH. </w:t>
      </w:r>
      <w:r w:rsidRPr="000C04B8">
        <w:rPr>
          <w:i/>
          <w:lang w:val="es-ES_tradnl"/>
        </w:rPr>
        <w:t>Una sociedad secuestrada</w:t>
      </w:r>
      <w:r w:rsidRPr="000C04B8">
        <w:rPr>
          <w:lang w:val="es-ES_tradnl"/>
        </w:rPr>
        <w:t>. Bogotá: Imprenta Nacional, 2013. P. 151.</w:t>
      </w:r>
    </w:p>
  </w:footnote>
  <w:footnote w:id="11">
    <w:p w14:paraId="7EA04F61"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Anexo </w:t>
      </w:r>
      <w:r>
        <w:rPr>
          <w:lang w:val="es-ES_tradnl"/>
        </w:rPr>
        <w:t>1</w:t>
      </w:r>
      <w:r w:rsidRPr="000C04B8">
        <w:rPr>
          <w:lang w:val="es-ES_tradnl"/>
        </w:rPr>
        <w:t>. Petición inicial de18 de septiembre de 2000.</w:t>
      </w:r>
    </w:p>
  </w:footnote>
  <w:footnote w:id="12">
    <w:p w14:paraId="671249B3"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2</w:t>
      </w:r>
      <w:r w:rsidRPr="000C04B8">
        <w:rPr>
          <w:lang w:val="es-ES_tradnl"/>
        </w:rPr>
        <w:t xml:space="preserve">. Escrito de la parte peticionaria de 11 de julio de 2008. </w:t>
      </w:r>
    </w:p>
  </w:footnote>
  <w:footnote w:id="13">
    <w:p w14:paraId="43A255D5"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3</w:t>
      </w:r>
      <w:r w:rsidRPr="000C04B8">
        <w:rPr>
          <w:lang w:val="es-ES_tradnl"/>
        </w:rPr>
        <w:t>. Sentencia ordinaria No. 018, radicado 2005-0050 emitida por el Juzgado 24 Penal del Circuito, Medellín, 12 de abril de 2005. Anexo al escrito de la parte pe</w:t>
      </w:r>
      <w:r>
        <w:rPr>
          <w:lang w:val="es-ES_tradnl"/>
        </w:rPr>
        <w:t>ticionaria de 11 julio de 2008.</w:t>
      </w:r>
    </w:p>
  </w:footnote>
  <w:footnote w:id="14">
    <w:p w14:paraId="45C3A53E"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4</w:t>
      </w:r>
      <w:r w:rsidRPr="000C04B8">
        <w:rPr>
          <w:lang w:val="es-ES_tradnl"/>
        </w:rPr>
        <w:t>. Denuncia ante la Policía Nacional de 15 de noviembre de 1999. Anexo al escrito del peticionario de 16 septiembre de 2008.</w:t>
      </w:r>
    </w:p>
  </w:footnote>
  <w:footnote w:id="15">
    <w:p w14:paraId="7DA725B2"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1</w:t>
      </w:r>
      <w:r w:rsidRPr="000C04B8">
        <w:rPr>
          <w:lang w:val="es-ES_tradnl"/>
        </w:rPr>
        <w:t>. Petición inicial de18 de septiembre de 2000.</w:t>
      </w:r>
    </w:p>
  </w:footnote>
  <w:footnote w:id="16">
    <w:p w14:paraId="105E0644"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5</w:t>
      </w:r>
      <w:r w:rsidRPr="000C04B8">
        <w:rPr>
          <w:lang w:val="es-ES_tradnl"/>
        </w:rPr>
        <w:t>. Escrito de la parte peticionaria del 18 de abril de 2013.</w:t>
      </w:r>
    </w:p>
  </w:footnote>
  <w:footnote w:id="17">
    <w:p w14:paraId="02232810"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6</w:t>
      </w:r>
      <w:r w:rsidRPr="000C04B8">
        <w:rPr>
          <w:lang w:val="es-ES_tradnl"/>
        </w:rPr>
        <w:t>. Escrito del Estado de 16 de abril de 2014.</w:t>
      </w:r>
    </w:p>
  </w:footnote>
  <w:footnote w:id="18">
    <w:p w14:paraId="19C49A9F"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6</w:t>
      </w:r>
      <w:r w:rsidRPr="000C04B8">
        <w:rPr>
          <w:lang w:val="es-ES_tradnl"/>
        </w:rPr>
        <w:t>. Escrito del Estado de 16 de abril de 2014.</w:t>
      </w:r>
    </w:p>
  </w:footnote>
  <w:footnote w:id="19">
    <w:p w14:paraId="266C9112"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7</w:t>
      </w:r>
      <w:r w:rsidRPr="000C04B8">
        <w:rPr>
          <w:lang w:val="es-ES_tradnl"/>
        </w:rPr>
        <w:t>. Certificado de la denuncia del 15 de noviembre de 1999 emitido por el GAULA el 28 de febrero de 2000. Anexo a la petición inicial de</w:t>
      </w:r>
      <w:r>
        <w:rPr>
          <w:lang w:val="es-ES_tradnl"/>
        </w:rPr>
        <w:t xml:space="preserve"> </w:t>
      </w:r>
      <w:r w:rsidRPr="000C04B8">
        <w:rPr>
          <w:lang w:val="es-ES_tradnl"/>
        </w:rPr>
        <w:t>18 de septiembre de 2000.</w:t>
      </w:r>
    </w:p>
  </w:footnote>
  <w:footnote w:id="20">
    <w:p w14:paraId="2E0618B6"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8</w:t>
      </w:r>
      <w:r w:rsidRPr="000C04B8">
        <w:rPr>
          <w:lang w:val="es-ES_tradnl"/>
        </w:rPr>
        <w:t>. Resolución Fiscal de apertura de investigación de 18 de noviembre de 1999. Anexo al escrito de la parte peticionaria de 11 julio de 2008.</w:t>
      </w:r>
    </w:p>
  </w:footnote>
  <w:footnote w:id="21">
    <w:p w14:paraId="3AEEC84C"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9</w:t>
      </w:r>
      <w:r w:rsidRPr="000C04B8">
        <w:rPr>
          <w:lang w:val="es-ES_tradnl"/>
        </w:rPr>
        <w:t>. Resolución Fiscal Cod. 264, GAULA No. 2 de entrega de vehículo de 19 de noviembre de 1999. Anexo al escrito de la parte peticionaria de 11 julio de 2008.</w:t>
      </w:r>
    </w:p>
  </w:footnote>
  <w:footnote w:id="22">
    <w:p w14:paraId="7586DEB4"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5</w:t>
      </w:r>
      <w:r w:rsidRPr="000C04B8">
        <w:rPr>
          <w:lang w:val="es-ES_tradnl"/>
        </w:rPr>
        <w:t xml:space="preserve">. Escrito de la parte peticionaria de 18 de abril de 2013. </w:t>
      </w:r>
    </w:p>
  </w:footnote>
  <w:footnote w:id="23">
    <w:p w14:paraId="521A8A16"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6</w:t>
      </w:r>
      <w:r w:rsidRPr="000C04B8">
        <w:rPr>
          <w:lang w:val="es-ES_tradnl"/>
        </w:rPr>
        <w:t>. Escrito del Estado de 16 de abril de 2014.</w:t>
      </w:r>
    </w:p>
  </w:footnote>
  <w:footnote w:id="24">
    <w:p w14:paraId="5F306101"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10</w:t>
      </w:r>
      <w:r w:rsidRPr="000C04B8">
        <w:rPr>
          <w:lang w:val="es-ES_tradnl"/>
        </w:rPr>
        <w:t>. Escrito del Estado de 28 de febrero de 2013.</w:t>
      </w:r>
    </w:p>
  </w:footnote>
  <w:footnote w:id="25">
    <w:p w14:paraId="5E065C99"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5</w:t>
      </w:r>
      <w:r w:rsidRPr="000C04B8">
        <w:rPr>
          <w:lang w:val="es-ES_tradnl"/>
        </w:rPr>
        <w:t>. Escrito de la parte peticionaria de 18 de abril de 2013.</w:t>
      </w:r>
    </w:p>
  </w:footnote>
  <w:footnote w:id="26">
    <w:p w14:paraId="351B2F60"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11</w:t>
      </w:r>
      <w:r w:rsidRPr="000C04B8">
        <w:rPr>
          <w:lang w:val="es-ES_tradnl"/>
        </w:rPr>
        <w:t>. Informe del GAULA orden de trabajo No. 75 de 15 de agosto de 2000.  Anexo al escrito de la parte peticionaria de 11 julio de 2008.</w:t>
      </w:r>
    </w:p>
  </w:footnote>
  <w:footnote w:id="27">
    <w:p w14:paraId="6EF54EE3"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Anexo </w:t>
      </w:r>
      <w:r>
        <w:rPr>
          <w:lang w:val="es-ES_tradnl"/>
        </w:rPr>
        <w:t>6</w:t>
      </w:r>
      <w:r w:rsidRPr="000C04B8">
        <w:rPr>
          <w:lang w:val="es-ES_tradnl"/>
        </w:rPr>
        <w:t>. Escrito del Estado de 16 de abril de 2014.</w:t>
      </w:r>
    </w:p>
  </w:footnote>
  <w:footnote w:id="28">
    <w:p w14:paraId="53E05293"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11</w:t>
      </w:r>
      <w:r w:rsidRPr="000C04B8">
        <w:rPr>
          <w:lang w:val="es-ES_tradnl"/>
        </w:rPr>
        <w:t>. Informe del GAULA de Orden de Trabajo No. 75 de 15 de agosto de 2000.  Anexo al escrito de la parte peticionaria de 11 julio de 2008.</w:t>
      </w:r>
    </w:p>
  </w:footnote>
  <w:footnote w:id="29">
    <w:p w14:paraId="5FCCB1D5"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w:t>
      </w:r>
      <w:r>
        <w:rPr>
          <w:lang w:val="es-ES_tradnl"/>
        </w:rPr>
        <w:t xml:space="preserve">Anexo 1. </w:t>
      </w:r>
      <w:r w:rsidRPr="000C04B8">
        <w:rPr>
          <w:lang w:val="es-ES_tradnl"/>
        </w:rPr>
        <w:t>Petición inicial de</w:t>
      </w:r>
      <w:r>
        <w:rPr>
          <w:lang w:val="es-ES_tradnl"/>
        </w:rPr>
        <w:t xml:space="preserve"> </w:t>
      </w:r>
      <w:r w:rsidRPr="000C04B8">
        <w:rPr>
          <w:lang w:val="es-ES_tradnl"/>
        </w:rPr>
        <w:t>18 de septiembre de 2000.</w:t>
      </w:r>
    </w:p>
  </w:footnote>
  <w:footnote w:id="30">
    <w:p w14:paraId="4ACF2FD0"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Anexo </w:t>
      </w:r>
      <w:r>
        <w:rPr>
          <w:lang w:val="es-ES_tradnl"/>
        </w:rPr>
        <w:t>12. Solicitud de protección</w:t>
      </w:r>
      <w:r w:rsidRPr="000C04B8">
        <w:rPr>
          <w:lang w:val="es-ES_tradnl"/>
        </w:rPr>
        <w:t xml:space="preserve"> al Ejército Nacional de 1 de marzo de 2000. Anexo a la petición inicial de18 de septiembre de 2000.</w:t>
      </w:r>
    </w:p>
  </w:footnote>
  <w:footnote w:id="31">
    <w:p w14:paraId="096A2CEF"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An</w:t>
      </w:r>
      <w:r>
        <w:rPr>
          <w:lang w:val="es-ES_tradnl"/>
        </w:rPr>
        <w:t xml:space="preserve">exo 13. Solicitud de protección </w:t>
      </w:r>
      <w:r w:rsidRPr="000C04B8">
        <w:rPr>
          <w:lang w:val="es-ES_tradnl"/>
        </w:rPr>
        <w:t>a la Policía Nacional de 1 de marzo de 2000. Anexo a la petición inicial de18 de septiembre de 2000.</w:t>
      </w:r>
    </w:p>
  </w:footnote>
  <w:footnote w:id="32">
    <w:p w14:paraId="494A95A7"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An</w:t>
      </w:r>
      <w:r>
        <w:rPr>
          <w:lang w:val="es-ES_tradnl"/>
        </w:rPr>
        <w:t xml:space="preserve">exo 14. Solicitud de protección </w:t>
      </w:r>
      <w:r w:rsidRPr="000C04B8">
        <w:rPr>
          <w:lang w:val="es-ES_tradnl"/>
        </w:rPr>
        <w:t>al GAULA de 1 de marzo de 2000. Anexo a la petición inicial de18 de septiembre de 2000.</w:t>
      </w:r>
    </w:p>
  </w:footnote>
  <w:footnote w:id="33">
    <w:p w14:paraId="4D5C16C9"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Se deja constancia de que estas cartas presentan sello de recepción de 3 de marzo de 2000.</w:t>
      </w:r>
    </w:p>
  </w:footnote>
  <w:footnote w:id="34">
    <w:p w14:paraId="60E3052B"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10</w:t>
      </w:r>
      <w:r w:rsidRPr="000C04B8">
        <w:rPr>
          <w:lang w:val="es-ES_tradnl"/>
        </w:rPr>
        <w:t>. Escrito del Estado de 28 de febrero de 2013.</w:t>
      </w:r>
    </w:p>
  </w:footnote>
  <w:footnote w:id="35">
    <w:p w14:paraId="004A2EE6"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5</w:t>
      </w:r>
      <w:r w:rsidRPr="000C04B8">
        <w:rPr>
          <w:lang w:val="es-ES_tradnl"/>
        </w:rPr>
        <w:t>. Escrito de la parte peticionaria del 18 de abril de 2013.</w:t>
      </w:r>
    </w:p>
  </w:footnote>
  <w:footnote w:id="36">
    <w:p w14:paraId="38F5CCBA"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15</w:t>
      </w:r>
      <w:r w:rsidRPr="000C04B8">
        <w:rPr>
          <w:lang w:val="es-ES_tradnl"/>
        </w:rPr>
        <w:t>. Declaración de Doris Amparo Betancourt Estrada ante el Juzgado 24 Penal de Circuito de 17 de marzo de 2005. Anexo al escrito de la parte peticionaria de 18 de abril de 2013.</w:t>
      </w:r>
    </w:p>
  </w:footnote>
  <w:footnote w:id="37">
    <w:p w14:paraId="48BBC4A0"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6</w:t>
      </w:r>
      <w:r w:rsidRPr="000C04B8">
        <w:rPr>
          <w:lang w:val="es-ES_tradnl"/>
        </w:rPr>
        <w:t>. Escrito del Estado de 16 de abril de 2014.</w:t>
      </w:r>
    </w:p>
  </w:footnote>
  <w:footnote w:id="38">
    <w:p w14:paraId="66731A2B"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6</w:t>
      </w:r>
      <w:r w:rsidRPr="000C04B8">
        <w:rPr>
          <w:lang w:val="es-ES_tradnl"/>
        </w:rPr>
        <w:t>. Escrito del Estado de 16 de abril de 2014.</w:t>
      </w:r>
    </w:p>
  </w:footnote>
  <w:footnote w:id="39">
    <w:p w14:paraId="68BFE0F9"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5</w:t>
      </w:r>
      <w:r w:rsidRPr="000C04B8">
        <w:rPr>
          <w:lang w:val="es-ES_tradnl"/>
        </w:rPr>
        <w:t>. Escrito de la parte peticionaria del 18 de abril de 2013.</w:t>
      </w:r>
    </w:p>
  </w:footnote>
  <w:footnote w:id="40">
    <w:p w14:paraId="2426AC3E"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16</w:t>
      </w:r>
      <w:r w:rsidRPr="000C04B8">
        <w:rPr>
          <w:lang w:val="es-ES_tradnl"/>
        </w:rPr>
        <w:t>. Carta Jefe GAULA Regional Medellín de 10 de marzo de 2000. Anexo a la petición inicial de18 de septiembre de 2000.</w:t>
      </w:r>
    </w:p>
  </w:footnote>
  <w:footnote w:id="41">
    <w:p w14:paraId="7AAA7CB1"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17</w:t>
      </w:r>
      <w:r w:rsidRPr="000C04B8">
        <w:rPr>
          <w:lang w:val="es-ES_tradnl"/>
        </w:rPr>
        <w:t>. Escrito de la parte peticionaria de 14 agosto de 2009.</w:t>
      </w:r>
    </w:p>
  </w:footnote>
  <w:footnote w:id="42">
    <w:p w14:paraId="797E9F03"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Anexo </w:t>
      </w:r>
      <w:r>
        <w:rPr>
          <w:lang w:val="es-ES_tradnl"/>
        </w:rPr>
        <w:t>2</w:t>
      </w:r>
      <w:r w:rsidRPr="000C04B8">
        <w:rPr>
          <w:lang w:val="es-ES_tradnl"/>
        </w:rPr>
        <w:t>. Escrito de la parte peticionaria de 11 de julio de 2008.</w:t>
      </w:r>
    </w:p>
  </w:footnote>
  <w:footnote w:id="43">
    <w:p w14:paraId="09A73B17"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18</w:t>
      </w:r>
      <w:r w:rsidRPr="000C04B8">
        <w:rPr>
          <w:lang w:val="es-ES_tradnl"/>
        </w:rPr>
        <w:t>. Documentos financieros variados. Anexo a la petición inicial de</w:t>
      </w:r>
      <w:r>
        <w:rPr>
          <w:lang w:val="es-ES_tradnl"/>
        </w:rPr>
        <w:t xml:space="preserve"> </w:t>
      </w:r>
      <w:r w:rsidRPr="000C04B8">
        <w:rPr>
          <w:lang w:val="es-ES_tradnl"/>
        </w:rPr>
        <w:t>1</w:t>
      </w:r>
      <w:r>
        <w:rPr>
          <w:lang w:val="es-ES_tradnl"/>
        </w:rPr>
        <w:t>8 de septiembre de 2000; Anexo 19</w:t>
      </w:r>
      <w:r w:rsidRPr="000C04B8">
        <w:rPr>
          <w:lang w:val="es-ES_tradnl"/>
        </w:rPr>
        <w:t>. Documentos financieros variados. Anexo al escrito de la parte peticionaria de 11 julio de 2008.</w:t>
      </w:r>
    </w:p>
  </w:footnote>
  <w:footnote w:id="44">
    <w:p w14:paraId="6F92A4B7"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20</w:t>
      </w:r>
      <w:r w:rsidRPr="000C04B8">
        <w:rPr>
          <w:lang w:val="es-ES_tradnl"/>
        </w:rPr>
        <w:t xml:space="preserve">. No. 083/GAULA-UIPJ Diligencia de denuncia penal de 15 de noviembre de 1999. Anexo al escrito de la parte peticionaria de 11 julio de 2008.  </w:t>
      </w:r>
    </w:p>
  </w:footnote>
  <w:footnote w:id="45">
    <w:p w14:paraId="67C5E5A2"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Anexo </w:t>
      </w:r>
      <w:r>
        <w:rPr>
          <w:lang w:val="es-ES_tradnl"/>
        </w:rPr>
        <w:t>20</w:t>
      </w:r>
      <w:r w:rsidRPr="000C04B8">
        <w:rPr>
          <w:lang w:val="es-ES_tradnl"/>
        </w:rPr>
        <w:t xml:space="preserve">. No. 083/GAULA-UIPJ Diligencia de denuncia penal de 15 de noviembre de 1999. Anexo al escrito de la parte peticionaria de 11 julio de 2008.  </w:t>
      </w:r>
    </w:p>
  </w:footnote>
  <w:footnote w:id="46">
    <w:p w14:paraId="2E075A15"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Anexo </w:t>
      </w:r>
      <w:r>
        <w:rPr>
          <w:lang w:val="es-ES_tradnl"/>
        </w:rPr>
        <w:t>8</w:t>
      </w:r>
      <w:r w:rsidRPr="000C04B8">
        <w:rPr>
          <w:lang w:val="es-ES_tradnl"/>
        </w:rPr>
        <w:t>. Resolución Fiscal de apertura de investigación de 18 de noviembre de 1999. Anexo al escrito de la parte peticionaria de 11 julio de 2008.</w:t>
      </w:r>
    </w:p>
  </w:footnote>
  <w:footnote w:id="47">
    <w:p w14:paraId="6B17B67C"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Anexo </w:t>
      </w:r>
      <w:r>
        <w:rPr>
          <w:lang w:val="es-ES_tradnl"/>
        </w:rPr>
        <w:t>21</w:t>
      </w:r>
      <w:r w:rsidRPr="000C04B8">
        <w:rPr>
          <w:lang w:val="es-ES_tradnl"/>
        </w:rPr>
        <w:t>. Oficio No. 1750 de 18 de noviembre de 1999. Anexo al escrito de la parte peticionaria de 11 julio de 2008.</w:t>
      </w:r>
    </w:p>
  </w:footnote>
  <w:footnote w:id="48">
    <w:p w14:paraId="07C0B19B"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22</w:t>
      </w:r>
      <w:r w:rsidRPr="000C04B8">
        <w:rPr>
          <w:lang w:val="es-ES_tradnl"/>
        </w:rPr>
        <w:t>. Oficio No. 1752 de 18 de noviembre de 1999. Anexo al escrito de la parte peticionaria de 11 julio de 2008.</w:t>
      </w:r>
    </w:p>
  </w:footnote>
  <w:footnote w:id="49">
    <w:p w14:paraId="066A32D9"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23</w:t>
      </w:r>
      <w:r w:rsidRPr="000C04B8">
        <w:rPr>
          <w:lang w:val="es-ES_tradnl"/>
        </w:rPr>
        <w:t>. Oficio No. 1754 de 18 de noviembre de 1999. Anexo al escrito de la parte peticionaria de 11 julio de 2008.</w:t>
      </w:r>
    </w:p>
  </w:footnote>
  <w:footnote w:id="50">
    <w:p w14:paraId="332D5067"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24</w:t>
      </w:r>
      <w:r w:rsidRPr="000C04B8">
        <w:rPr>
          <w:lang w:val="es-ES_tradnl"/>
        </w:rPr>
        <w:t>. Oficio No. 1756 de 18 de noviembre de 1999. Anexo al escrito de la parte peticionaria de 11 julio de 2008.</w:t>
      </w:r>
    </w:p>
  </w:footnote>
  <w:footnote w:id="51">
    <w:p w14:paraId="6C724147"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Anexo </w:t>
      </w:r>
      <w:r>
        <w:rPr>
          <w:lang w:val="es-ES_tradnl"/>
        </w:rPr>
        <w:t>10</w:t>
      </w:r>
      <w:r w:rsidRPr="000C04B8">
        <w:rPr>
          <w:lang w:val="es-ES_tradnl"/>
        </w:rPr>
        <w:t>. Escrito del Estado de 28 de febrero de 2013.</w:t>
      </w:r>
    </w:p>
  </w:footnote>
  <w:footnote w:id="52">
    <w:p w14:paraId="763F3408"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Anexo </w:t>
      </w:r>
      <w:r>
        <w:rPr>
          <w:lang w:val="es-ES_tradnl"/>
        </w:rPr>
        <w:t>25</w:t>
      </w:r>
      <w:r w:rsidRPr="000C04B8">
        <w:rPr>
          <w:lang w:val="es-ES_tradnl"/>
        </w:rPr>
        <w:t>. Informe del GAULA “Previa No. 1029” de 15 de agosto de 2000.  Anexo al escrito de la parte peticionaria de 11 julio de 2008.</w:t>
      </w:r>
    </w:p>
  </w:footnote>
  <w:footnote w:id="53">
    <w:p w14:paraId="71BBFED4"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26</w:t>
      </w:r>
      <w:r w:rsidRPr="000C04B8">
        <w:rPr>
          <w:lang w:val="es-ES_tradnl"/>
        </w:rPr>
        <w:t xml:space="preserve">. Diligencia de declaración juramentada del señor Duque de 16 de agosto de 2000. Anexo al escrito de la parte peticionaria de 11 julio de 2008. </w:t>
      </w:r>
    </w:p>
  </w:footnote>
  <w:footnote w:id="54">
    <w:p w14:paraId="542C08D2"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27</w:t>
      </w:r>
      <w:r w:rsidRPr="000C04B8">
        <w:rPr>
          <w:lang w:val="es-ES_tradnl"/>
        </w:rPr>
        <w:t>. Resolución Fiscal de suspensión de investigación, radicado 333855-1029 de 05 de septiembre de 2003. Anexo al escrito de la parte peticionaria de 11 julio de 2008.</w:t>
      </w:r>
    </w:p>
  </w:footnote>
  <w:footnote w:id="55">
    <w:p w14:paraId="385B393B"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10</w:t>
      </w:r>
      <w:r w:rsidRPr="000C04B8">
        <w:rPr>
          <w:lang w:val="es-ES_tradnl"/>
        </w:rPr>
        <w:t>. Escrito del Estado de 28 de febrero de 2013.</w:t>
      </w:r>
    </w:p>
  </w:footnote>
  <w:footnote w:id="56">
    <w:p w14:paraId="1EAF5737"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6</w:t>
      </w:r>
      <w:r w:rsidRPr="000C04B8">
        <w:rPr>
          <w:lang w:val="es-ES_tradnl"/>
        </w:rPr>
        <w:t>. Escrito del Estado de 16 de abril de 2014.</w:t>
      </w:r>
    </w:p>
  </w:footnote>
  <w:footnote w:id="57">
    <w:p w14:paraId="47B19719" w14:textId="77777777" w:rsidR="00B93A81" w:rsidRPr="000C04B8" w:rsidRDefault="00B93A81" w:rsidP="000C04B8">
      <w:pPr>
        <w:pStyle w:val="FootnoteText"/>
        <w:tabs>
          <w:tab w:val="center" w:pos="4680"/>
        </w:tabs>
        <w:jc w:val="both"/>
        <w:rPr>
          <w:lang w:val="es-ES_tradnl"/>
        </w:rPr>
      </w:pPr>
      <w:r w:rsidRPr="000C04B8">
        <w:rPr>
          <w:rStyle w:val="FootnoteReference"/>
          <w:lang w:val="es-ES_tradnl"/>
        </w:rPr>
        <w:footnoteRef/>
      </w:r>
      <w:r>
        <w:rPr>
          <w:lang w:val="es-ES_tradnl"/>
        </w:rPr>
        <w:t xml:space="preserve"> Anexo 10</w:t>
      </w:r>
      <w:r w:rsidRPr="000C04B8">
        <w:rPr>
          <w:lang w:val="es-ES_tradnl"/>
        </w:rPr>
        <w:t>. Escrito del Estado de 28 de febrero de 2013.</w:t>
      </w:r>
      <w:r w:rsidRPr="000C04B8">
        <w:rPr>
          <w:lang w:val="es-ES_tradnl"/>
        </w:rPr>
        <w:tab/>
      </w:r>
    </w:p>
  </w:footnote>
  <w:footnote w:id="58">
    <w:p w14:paraId="02FE63D1" w14:textId="77777777" w:rsidR="00B93A81" w:rsidRPr="000C04B8" w:rsidRDefault="00B93A81" w:rsidP="000C04B8">
      <w:pPr>
        <w:pStyle w:val="FootnoteText"/>
        <w:jc w:val="both"/>
        <w:rPr>
          <w:lang w:val="es-ES_tradnl"/>
        </w:rPr>
      </w:pPr>
      <w:r w:rsidRPr="000C04B8">
        <w:rPr>
          <w:rStyle w:val="FootnoteReference"/>
          <w:lang w:val="es-ES_tradnl"/>
        </w:rPr>
        <w:footnoteRef/>
      </w:r>
      <w:r>
        <w:rPr>
          <w:lang w:val="es-ES_tradnl"/>
        </w:rPr>
        <w:t xml:space="preserve"> Anexo 6</w:t>
      </w:r>
      <w:r w:rsidRPr="000C04B8">
        <w:rPr>
          <w:lang w:val="es-ES_tradnl"/>
        </w:rPr>
        <w:t>. Escrito del Estado de 16 de abril de 2014.</w:t>
      </w:r>
    </w:p>
  </w:footnote>
  <w:footnote w:id="59">
    <w:p w14:paraId="7447F235" w14:textId="77777777" w:rsidR="00B93A81" w:rsidRPr="000C04B8" w:rsidRDefault="00B93A81" w:rsidP="000C04B8">
      <w:pPr>
        <w:pStyle w:val="FootnoteText"/>
        <w:jc w:val="both"/>
        <w:rPr>
          <w:lang w:val="es-ES_tradnl"/>
        </w:rPr>
      </w:pPr>
      <w:r w:rsidRPr="000C04B8">
        <w:rPr>
          <w:rStyle w:val="FootnoteReference"/>
          <w:szCs w:val="16"/>
          <w:lang w:val="es-ES_tradnl"/>
        </w:rPr>
        <w:footnoteRef/>
      </w:r>
      <w:r w:rsidRPr="000C04B8">
        <w:rPr>
          <w:lang w:val="es-ES_tradnl"/>
        </w:rPr>
        <w:t xml:space="preserve"> El artículo 5.1 de la Convención Americana establece en lo pertinente lo siguiente: 1. Toda persona tiene derecho a que se respete su integridad física, psíquica y moral.</w:t>
      </w:r>
    </w:p>
  </w:footnote>
  <w:footnote w:id="60">
    <w:p w14:paraId="0723DEAF"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El artículo 7.1 de la Convención Americana establece en lo pertinente lo siguiente: 1. Toda persona tiene derecho a la libertad y a la seguridad personales</w:t>
      </w:r>
    </w:p>
  </w:footnote>
  <w:footnote w:id="61">
    <w:p w14:paraId="06229AB2" w14:textId="77777777" w:rsidR="00B93A81" w:rsidRPr="000C04B8" w:rsidRDefault="00B93A81" w:rsidP="000C04B8">
      <w:pPr>
        <w:jc w:val="both"/>
        <w:rPr>
          <w:rFonts w:ascii="Cambria" w:eastAsia="Cambria" w:hAnsi="Cambria" w:cs="Cambria"/>
          <w:sz w:val="16"/>
          <w:szCs w:val="16"/>
          <w:lang w:val="es-ES_tradnl"/>
        </w:rPr>
      </w:pPr>
      <w:r w:rsidRPr="000C04B8">
        <w:rPr>
          <w:rFonts w:ascii="Cambria" w:hAnsi="Cambria"/>
          <w:sz w:val="16"/>
          <w:szCs w:val="16"/>
          <w:vertAlign w:val="superscript"/>
          <w:lang w:val="es-ES_tradnl"/>
        </w:rPr>
        <w:footnoteRef/>
      </w:r>
      <w:r w:rsidRPr="000C04B8">
        <w:rPr>
          <w:rFonts w:ascii="Cambria" w:eastAsia="Calibri" w:hAnsi="Cambria" w:cs="Calibri"/>
          <w:color w:val="000000"/>
          <w:sz w:val="16"/>
          <w:szCs w:val="16"/>
          <w:lang w:val="es-ES_tradnl"/>
        </w:rPr>
        <w:t xml:space="preserve"> </w:t>
      </w:r>
      <w:r w:rsidRPr="000C04B8">
        <w:rPr>
          <w:rFonts w:ascii="Cambria" w:eastAsia="Cambria" w:hAnsi="Cambria" w:cs="Cambria"/>
          <w:color w:val="000000"/>
          <w:sz w:val="16"/>
          <w:szCs w:val="16"/>
          <w:lang w:val="es-ES_tradnl"/>
        </w:rPr>
        <w:t>El artículo 22.1  de la Convención Americana establece: “[t]oda persona que se halle legalmente en el territorio de un Estado tiene derecho a circular por el mismo y, a residir en él con sujeción a las disposiciones legales.</w:t>
      </w:r>
    </w:p>
  </w:footnote>
  <w:footnote w:id="62">
    <w:p w14:paraId="78955E33" w14:textId="77777777" w:rsidR="00B93A81" w:rsidRPr="000C04B8" w:rsidRDefault="00B93A81" w:rsidP="000C04B8">
      <w:pPr>
        <w:pStyle w:val="FootnoteText"/>
        <w:jc w:val="both"/>
        <w:rPr>
          <w:color w:val="000000" w:themeColor="text1"/>
          <w:szCs w:val="16"/>
          <w:lang w:val="es-ES_tradnl"/>
        </w:rPr>
      </w:pPr>
      <w:r w:rsidRPr="000C04B8">
        <w:rPr>
          <w:rStyle w:val="FootnoteReference"/>
          <w:color w:val="000000" w:themeColor="text1"/>
          <w:szCs w:val="16"/>
          <w:lang w:val="es-ES_tradnl"/>
        </w:rPr>
        <w:footnoteRef/>
      </w:r>
      <w:r w:rsidRPr="000C04B8">
        <w:rPr>
          <w:color w:val="000000" w:themeColor="text1"/>
          <w:szCs w:val="16"/>
          <w:lang w:val="es-ES_tradnl"/>
        </w:rPr>
        <w:t xml:space="preserve"> CIDH, Informe No 65/01. Caso 11.073. Fondo. Juan Humberto Sánchez. Honduras. 6 de marzo de 2001, parr.88.   </w:t>
      </w:r>
    </w:p>
  </w:footnote>
  <w:footnote w:id="63">
    <w:p w14:paraId="154BCBEE" w14:textId="77777777" w:rsidR="00B93A81" w:rsidRPr="000C04B8" w:rsidRDefault="00B93A81" w:rsidP="000C04B8">
      <w:pPr>
        <w:ind w:right="11"/>
        <w:jc w:val="both"/>
        <w:rPr>
          <w:rFonts w:ascii="Cambria" w:hAnsi="Cambria"/>
          <w:color w:val="000000" w:themeColor="text1"/>
          <w:sz w:val="16"/>
          <w:szCs w:val="16"/>
          <w:lang w:val="es-ES_tradnl"/>
        </w:rPr>
      </w:pPr>
      <w:r w:rsidRPr="000C04B8">
        <w:rPr>
          <w:rStyle w:val="FootnoteReference"/>
          <w:rFonts w:ascii="Cambria" w:hAnsi="Cambria"/>
          <w:color w:val="000000" w:themeColor="text1"/>
          <w:sz w:val="16"/>
          <w:szCs w:val="16"/>
          <w:lang w:val="es-ES_tradnl"/>
        </w:rPr>
        <w:footnoteRef/>
      </w:r>
      <w:r w:rsidRPr="000C04B8">
        <w:rPr>
          <w:rFonts w:ascii="Cambria" w:hAnsi="Cambria"/>
          <w:color w:val="000000" w:themeColor="text1"/>
          <w:sz w:val="16"/>
          <w:szCs w:val="16"/>
          <w:lang w:val="es-ES_tradnl"/>
        </w:rPr>
        <w:t xml:space="preserve"> Corte IDH. Caso Velásquez Rodríguez Vs. Honduras. </w:t>
      </w:r>
      <w:r w:rsidRPr="000C04B8">
        <w:rPr>
          <w:rFonts w:ascii="Cambria" w:hAnsi="Cambria" w:cs="Arial"/>
          <w:sz w:val="16"/>
          <w:szCs w:val="16"/>
          <w:shd w:val="clear" w:color="auto" w:fill="FFFFFF"/>
          <w:lang w:val="es-ES_tradnl"/>
        </w:rPr>
        <w:t>Fondo. Sentencia de 29 de julio de 1988. Serie C No. 4</w:t>
      </w:r>
      <w:r w:rsidRPr="000C04B8">
        <w:rPr>
          <w:rStyle w:val="Hyperlink"/>
          <w:rFonts w:ascii="Cambria" w:hAnsi="Cambria" w:cs="Arial"/>
          <w:color w:val="000000" w:themeColor="text1"/>
          <w:sz w:val="16"/>
          <w:szCs w:val="16"/>
          <w:u w:val="none"/>
          <w:shd w:val="clear" w:color="auto" w:fill="FFFFFF"/>
          <w:lang w:val="es-ES_tradnl"/>
        </w:rPr>
        <w:t xml:space="preserve">. Párr. 166. </w:t>
      </w:r>
    </w:p>
  </w:footnote>
  <w:footnote w:id="64">
    <w:p w14:paraId="17DB379D" w14:textId="77777777" w:rsidR="00B93A81" w:rsidRPr="000C04B8" w:rsidRDefault="00B93A81" w:rsidP="000C04B8">
      <w:pPr>
        <w:pStyle w:val="FootnoteText"/>
        <w:jc w:val="both"/>
        <w:rPr>
          <w:color w:val="000000" w:themeColor="text1"/>
          <w:szCs w:val="16"/>
          <w:lang w:val="es-ES_tradnl"/>
        </w:rPr>
      </w:pPr>
      <w:r w:rsidRPr="000C04B8">
        <w:rPr>
          <w:rStyle w:val="FootnoteReference"/>
          <w:color w:val="000000" w:themeColor="text1"/>
          <w:szCs w:val="16"/>
          <w:lang w:val="es-ES_tradnl"/>
        </w:rPr>
        <w:footnoteRef/>
      </w:r>
      <w:r w:rsidRPr="000C04B8">
        <w:rPr>
          <w:color w:val="000000" w:themeColor="text1"/>
          <w:szCs w:val="16"/>
          <w:lang w:val="es-ES_tradnl"/>
        </w:rPr>
        <w:t xml:space="preserve"> CIDH. Informe 80/11. Caso 12.626. Fondo. Jessica Lehanan (Gonzales) y otros. Estados Unidos. 21 de julio de 2011. Párr. 119.   </w:t>
      </w:r>
    </w:p>
  </w:footnote>
  <w:footnote w:id="65">
    <w:p w14:paraId="4FF146D2" w14:textId="77777777" w:rsidR="00B93A81" w:rsidRPr="000C04B8" w:rsidRDefault="00B93A81" w:rsidP="000C04B8">
      <w:pPr>
        <w:jc w:val="both"/>
        <w:rPr>
          <w:rFonts w:ascii="Cambria" w:hAnsi="Cambria"/>
          <w:color w:val="000000" w:themeColor="text1"/>
          <w:sz w:val="16"/>
          <w:szCs w:val="16"/>
          <w:lang w:val="es-ES_tradnl"/>
        </w:rPr>
      </w:pPr>
      <w:r w:rsidRPr="000C04B8">
        <w:rPr>
          <w:rStyle w:val="FootnoteReference"/>
          <w:rFonts w:ascii="Cambria" w:hAnsi="Cambria"/>
          <w:color w:val="000000" w:themeColor="text1"/>
          <w:sz w:val="16"/>
          <w:szCs w:val="16"/>
          <w:lang w:val="es-ES_tradnl"/>
        </w:rPr>
        <w:footnoteRef/>
      </w:r>
      <w:r w:rsidRPr="000C04B8">
        <w:rPr>
          <w:rFonts w:ascii="Cambria" w:hAnsi="Cambria"/>
          <w:color w:val="000000" w:themeColor="text1"/>
          <w:sz w:val="16"/>
          <w:szCs w:val="16"/>
          <w:lang w:val="es-ES_tradnl"/>
        </w:rPr>
        <w:t xml:space="preserve"> Corte IDH. </w:t>
      </w:r>
      <w:r w:rsidRPr="000C04B8">
        <w:rPr>
          <w:rFonts w:ascii="Cambria" w:hAnsi="Cambria"/>
          <w:iCs/>
          <w:color w:val="000000" w:themeColor="text1"/>
          <w:sz w:val="16"/>
          <w:szCs w:val="16"/>
          <w:lang w:val="es-ES_tradnl"/>
        </w:rPr>
        <w:t>Caso</w:t>
      </w:r>
      <w:r w:rsidRPr="000C04B8">
        <w:rPr>
          <w:rFonts w:ascii="Cambria" w:hAnsi="Cambria"/>
          <w:color w:val="000000" w:themeColor="text1"/>
          <w:sz w:val="16"/>
          <w:szCs w:val="16"/>
          <w:lang w:val="es-ES_tradnl"/>
        </w:rPr>
        <w:t xml:space="preserve"> </w:t>
      </w:r>
      <w:r w:rsidRPr="000C04B8">
        <w:rPr>
          <w:rFonts w:ascii="Cambria" w:hAnsi="Cambria"/>
          <w:iCs/>
          <w:color w:val="000000" w:themeColor="text1"/>
          <w:sz w:val="16"/>
          <w:szCs w:val="16"/>
          <w:lang w:val="es-ES_tradnl"/>
        </w:rPr>
        <w:t>de la Masacre de Pueblo Bello</w:t>
      </w:r>
      <w:r w:rsidRPr="000C04B8">
        <w:rPr>
          <w:rFonts w:ascii="Cambria" w:hAnsi="Cambria"/>
          <w:color w:val="000000" w:themeColor="text1"/>
          <w:sz w:val="16"/>
          <w:szCs w:val="16"/>
          <w:lang w:val="es-ES_tradnl"/>
        </w:rPr>
        <w:t>. Sentencia de 31 de enero de 2006. Serie C No. 140. Párr. 113.</w:t>
      </w:r>
    </w:p>
  </w:footnote>
  <w:footnote w:id="66">
    <w:p w14:paraId="7636B662" w14:textId="77777777" w:rsidR="00B93A81" w:rsidRPr="000C04B8" w:rsidRDefault="00B93A81" w:rsidP="000C04B8">
      <w:pPr>
        <w:pStyle w:val="FootnoteText"/>
        <w:tabs>
          <w:tab w:val="left" w:pos="720"/>
        </w:tabs>
        <w:jc w:val="both"/>
        <w:rPr>
          <w:szCs w:val="16"/>
          <w:lang w:val="es-ES_tradnl"/>
        </w:rPr>
      </w:pPr>
      <w:r w:rsidRPr="000C04B8">
        <w:rPr>
          <w:rStyle w:val="FootnoteReference"/>
          <w:color w:val="000000" w:themeColor="text1"/>
          <w:szCs w:val="16"/>
          <w:lang w:val="es-ES_tradnl"/>
        </w:rPr>
        <w:footnoteRef/>
      </w:r>
      <w:r w:rsidRPr="000C04B8">
        <w:rPr>
          <w:color w:val="000000" w:themeColor="text1"/>
          <w:szCs w:val="16"/>
          <w:lang w:val="es-ES_tradnl"/>
        </w:rPr>
        <w:t xml:space="preserve"> Corte IDH, </w:t>
      </w:r>
      <w:r w:rsidRPr="000C04B8">
        <w:rPr>
          <w:iCs/>
          <w:color w:val="000000" w:themeColor="text1"/>
          <w:szCs w:val="16"/>
          <w:lang w:val="es-ES_tradnl"/>
        </w:rPr>
        <w:t>Caso de la “Masacre de Mapiripán”</w:t>
      </w:r>
      <w:r w:rsidRPr="000C04B8">
        <w:rPr>
          <w:color w:val="000000" w:themeColor="text1"/>
          <w:szCs w:val="16"/>
          <w:lang w:val="es-ES_tradnl"/>
        </w:rPr>
        <w:t xml:space="preserve">. Sentencia de 15 de septiembre </w:t>
      </w:r>
      <w:r w:rsidRPr="000C04B8">
        <w:rPr>
          <w:szCs w:val="16"/>
          <w:lang w:val="es-ES_tradnl"/>
        </w:rPr>
        <w:t>de 2005. Serie C No. 134. párr. 111.</w:t>
      </w:r>
    </w:p>
  </w:footnote>
  <w:footnote w:id="67">
    <w:p w14:paraId="2BFFD479" w14:textId="77777777" w:rsidR="00B93A81" w:rsidRPr="000C04B8" w:rsidRDefault="00B93A81" w:rsidP="000C04B8">
      <w:pPr>
        <w:pStyle w:val="FootnoteText"/>
        <w:tabs>
          <w:tab w:val="left" w:pos="720"/>
        </w:tabs>
        <w:jc w:val="both"/>
        <w:rPr>
          <w:szCs w:val="16"/>
          <w:lang w:val="es-ES_tradnl"/>
        </w:rPr>
      </w:pPr>
      <w:r w:rsidRPr="000C04B8">
        <w:rPr>
          <w:rStyle w:val="FootnoteReference"/>
          <w:szCs w:val="16"/>
          <w:lang w:val="es-ES_tradnl"/>
        </w:rPr>
        <w:footnoteRef/>
      </w:r>
      <w:r w:rsidRPr="000C04B8">
        <w:rPr>
          <w:szCs w:val="16"/>
          <w:lang w:val="es-ES_tradnl"/>
        </w:rPr>
        <w:t xml:space="preserve"> Corte IDH, </w:t>
      </w:r>
      <w:r w:rsidRPr="000C04B8">
        <w:rPr>
          <w:iCs/>
          <w:szCs w:val="16"/>
          <w:lang w:val="es-ES_tradnl"/>
        </w:rPr>
        <w:t>Caso</w:t>
      </w:r>
      <w:r w:rsidRPr="000C04B8">
        <w:rPr>
          <w:szCs w:val="16"/>
          <w:lang w:val="es-ES_tradnl"/>
        </w:rPr>
        <w:t xml:space="preserve"> </w:t>
      </w:r>
      <w:r w:rsidRPr="000C04B8">
        <w:rPr>
          <w:iCs/>
          <w:szCs w:val="16"/>
          <w:lang w:val="es-ES_tradnl"/>
        </w:rPr>
        <w:t>de la Masacre de Pueblo Bello</w:t>
      </w:r>
      <w:r w:rsidRPr="000C04B8">
        <w:rPr>
          <w:szCs w:val="16"/>
          <w:lang w:val="es-ES_tradnl"/>
        </w:rPr>
        <w:t>. Párr. 117.</w:t>
      </w:r>
    </w:p>
  </w:footnote>
  <w:footnote w:id="68">
    <w:p w14:paraId="1086FE00" w14:textId="77777777" w:rsidR="00B93A81" w:rsidRPr="000C04B8" w:rsidRDefault="00B93A81" w:rsidP="000C04B8">
      <w:pPr>
        <w:pStyle w:val="FootnoteText"/>
        <w:tabs>
          <w:tab w:val="left" w:pos="720"/>
        </w:tabs>
        <w:jc w:val="both"/>
        <w:rPr>
          <w:szCs w:val="16"/>
          <w:lang w:val="es-ES_tradnl"/>
        </w:rPr>
      </w:pPr>
      <w:r w:rsidRPr="000C04B8">
        <w:rPr>
          <w:rStyle w:val="FootnoteReference"/>
          <w:szCs w:val="16"/>
          <w:lang w:val="es-ES_tradnl"/>
        </w:rPr>
        <w:footnoteRef/>
      </w:r>
      <w:r w:rsidRPr="000C04B8">
        <w:rPr>
          <w:szCs w:val="16"/>
          <w:lang w:val="es-ES_tradnl"/>
        </w:rPr>
        <w:t xml:space="preserve"> Corte IDH. </w:t>
      </w:r>
      <w:r w:rsidRPr="000C04B8">
        <w:rPr>
          <w:iCs/>
          <w:szCs w:val="16"/>
          <w:lang w:val="es-ES_tradnl"/>
        </w:rPr>
        <w:t>Caso</w:t>
      </w:r>
      <w:r w:rsidRPr="000C04B8">
        <w:rPr>
          <w:szCs w:val="16"/>
          <w:lang w:val="es-ES_tradnl"/>
        </w:rPr>
        <w:t xml:space="preserve"> </w:t>
      </w:r>
      <w:r w:rsidRPr="000C04B8">
        <w:rPr>
          <w:iCs/>
          <w:szCs w:val="16"/>
          <w:lang w:val="es-ES_tradnl"/>
        </w:rPr>
        <w:t>de la Masacre de Pueblo Bello</w:t>
      </w:r>
      <w:r w:rsidRPr="000C04B8">
        <w:rPr>
          <w:szCs w:val="16"/>
          <w:lang w:val="es-ES_tradnl"/>
        </w:rPr>
        <w:t>. Párr. 117.</w:t>
      </w:r>
    </w:p>
  </w:footnote>
  <w:footnote w:id="69">
    <w:p w14:paraId="25CB09E3" w14:textId="77777777" w:rsidR="00B93A81" w:rsidRPr="000C04B8" w:rsidRDefault="00B93A81" w:rsidP="000C04B8">
      <w:pPr>
        <w:jc w:val="both"/>
        <w:rPr>
          <w:rFonts w:ascii="Cambria" w:eastAsia="Times New Roman" w:hAnsi="Cambria"/>
          <w:sz w:val="16"/>
          <w:szCs w:val="16"/>
          <w:lang w:val="es-ES_tradnl"/>
        </w:rPr>
      </w:pPr>
      <w:r w:rsidRPr="000C04B8">
        <w:rPr>
          <w:rStyle w:val="FootnoteReference"/>
          <w:rFonts w:ascii="Cambria" w:hAnsi="Cambria"/>
          <w:sz w:val="16"/>
          <w:szCs w:val="16"/>
          <w:lang w:val="es-ES_tradnl"/>
        </w:rPr>
        <w:footnoteRef/>
      </w:r>
      <w:r w:rsidRPr="000C04B8">
        <w:rPr>
          <w:rFonts w:ascii="Cambria" w:hAnsi="Cambria" w:cs="Arial"/>
          <w:sz w:val="16"/>
          <w:szCs w:val="16"/>
          <w:lang w:val="es-ES_tradnl"/>
        </w:rPr>
        <w:t xml:space="preserve">La jurisprudencia de la Corte Europea respecto de los elementos señalando en el deber de prevención ha sido retomada por la Corte Interamericana en varias de sus sentencias. En este sentido ver: </w:t>
      </w:r>
      <w:r w:rsidRPr="000C04B8">
        <w:rPr>
          <w:rFonts w:ascii="Cambria" w:eastAsia="Times New Roman" w:hAnsi="Cambria"/>
          <w:bCs/>
          <w:color w:val="000000"/>
          <w:sz w:val="16"/>
          <w:szCs w:val="16"/>
          <w:shd w:val="clear" w:color="auto" w:fill="FFFFFF"/>
          <w:lang w:val="es-ES_tradnl"/>
        </w:rPr>
        <w:t>Corte IDH. Caso de la Masacre de Pueblo Bello Vs. Colombia. Sentencia de 31 de enero de 2006. Serie C No. 140, párr. 124; Corte IDH. Caso González y otras (“Campo Algodonero”) Vs. México. Excepción Preliminar, Fondo, Reparaciones y Costas. Sentencia de 16 de noviembre de 2009. Serie C No.205, párr. 284; Corte IDH. Caso Luna López Vs. Honduras. Fondo, Reparaciones y Costas. Sentencia de 10 de octubre de 2013. Serie C No. 269, párr. 124.</w:t>
      </w:r>
    </w:p>
  </w:footnote>
  <w:footnote w:id="70">
    <w:p w14:paraId="794712AB" w14:textId="77777777" w:rsidR="00B93A81" w:rsidRPr="000C04B8" w:rsidRDefault="00B93A81" w:rsidP="000C04B8">
      <w:pPr>
        <w:tabs>
          <w:tab w:val="left" w:pos="900"/>
          <w:tab w:val="left" w:pos="1080"/>
        </w:tabs>
        <w:autoSpaceDE w:val="0"/>
        <w:autoSpaceDN w:val="0"/>
        <w:adjustRightInd w:val="0"/>
        <w:jc w:val="both"/>
        <w:rPr>
          <w:rFonts w:asciiTheme="majorHAnsi" w:hAnsiTheme="majorHAnsi"/>
          <w:sz w:val="16"/>
          <w:szCs w:val="16"/>
          <w:lang w:val="es-ES_tradnl"/>
        </w:rPr>
      </w:pPr>
      <w:r w:rsidRPr="000C04B8">
        <w:rPr>
          <w:rStyle w:val="FootnoteReference"/>
          <w:rFonts w:ascii="Cambria" w:hAnsi="Cambria"/>
          <w:sz w:val="16"/>
          <w:szCs w:val="16"/>
          <w:lang w:val="es-ES_tradnl"/>
        </w:rPr>
        <w:footnoteRef/>
      </w:r>
      <w:r w:rsidRPr="000C04B8">
        <w:rPr>
          <w:rFonts w:ascii="Cambria" w:hAnsi="Cambria"/>
          <w:sz w:val="16"/>
          <w:szCs w:val="16"/>
          <w:lang w:val="es-ES_tradnl"/>
        </w:rPr>
        <w:t xml:space="preserve"> Corte IDH. </w:t>
      </w:r>
      <w:r w:rsidRPr="000C04B8">
        <w:rPr>
          <w:rFonts w:ascii="Cambria" w:hAnsi="Cambria"/>
          <w:i/>
          <w:sz w:val="16"/>
          <w:szCs w:val="16"/>
          <w:lang w:val="es-ES_tradnl"/>
        </w:rPr>
        <w:t xml:space="preserve">Caso Anzualdo Castro Vs. Perú. Excepción Preliminar, Fondo, Reparaciones y Costas. </w:t>
      </w:r>
      <w:r w:rsidRPr="000C04B8">
        <w:rPr>
          <w:rFonts w:ascii="Cambria" w:hAnsi="Cambria"/>
          <w:sz w:val="16"/>
          <w:szCs w:val="16"/>
          <w:lang w:val="es-ES_tradnl"/>
        </w:rPr>
        <w:t xml:space="preserve">Sentencia de 22 de Septiembre de 2009. Serie C No. 202, párr. 134; </w:t>
      </w:r>
      <w:r w:rsidRPr="000C04B8">
        <w:rPr>
          <w:rFonts w:ascii="Cambria" w:hAnsi="Cambria"/>
          <w:bCs/>
          <w:i/>
          <w:sz w:val="16"/>
          <w:szCs w:val="16"/>
          <w:lang w:val="es-ES_tradnl"/>
        </w:rPr>
        <w:t>Caso Radilla Pacheco Vs. México.</w:t>
      </w:r>
      <w:r w:rsidRPr="000C04B8">
        <w:rPr>
          <w:rFonts w:ascii="Cambria" w:hAnsi="Cambria"/>
          <w:b/>
          <w:bCs/>
          <w:sz w:val="16"/>
          <w:szCs w:val="16"/>
          <w:lang w:val="es-ES_tradnl"/>
        </w:rPr>
        <w:t xml:space="preserve"> </w:t>
      </w:r>
      <w:r w:rsidRPr="000C04B8">
        <w:rPr>
          <w:rFonts w:ascii="Cambria" w:hAnsi="Cambria"/>
          <w:sz w:val="16"/>
          <w:szCs w:val="16"/>
          <w:lang w:val="es-ES_tradnl"/>
        </w:rPr>
        <w:t>Excepciones Preliminares, Fondo, Reparaciones y Costas. Sentencia de 23 de Noviembre de 2009. Serie C No. 209, párr. 221, y</w:t>
      </w:r>
      <w:r w:rsidRPr="000C04B8">
        <w:rPr>
          <w:rFonts w:ascii="Cambria" w:hAnsi="Cambria"/>
          <w:bCs/>
          <w:i/>
          <w:sz w:val="16"/>
          <w:szCs w:val="16"/>
          <w:lang w:val="es-ES_tradnl"/>
        </w:rPr>
        <w:t xml:space="preserve"> Caso Ibsen Cárdenas e Ibsen Peña Vs. Bolivia.</w:t>
      </w:r>
      <w:r w:rsidRPr="000C04B8">
        <w:rPr>
          <w:rFonts w:ascii="Cambria" w:hAnsi="Cambria"/>
          <w:b/>
          <w:bCs/>
          <w:sz w:val="16"/>
          <w:szCs w:val="16"/>
          <w:lang w:val="es-ES_tradnl"/>
        </w:rPr>
        <w:t xml:space="preserve"> </w:t>
      </w:r>
      <w:r w:rsidRPr="000C04B8">
        <w:rPr>
          <w:rFonts w:ascii="Cambria" w:hAnsi="Cambria"/>
          <w:sz w:val="16"/>
          <w:szCs w:val="16"/>
          <w:lang w:val="es-ES_tradnl"/>
        </w:rPr>
        <w:t xml:space="preserve">Fondo, Reparaciones y Costas. Sentencia de 1 de septiembre de 2010. Serie C No. 217, párr. 167. Ver también </w:t>
      </w:r>
      <w:r w:rsidRPr="000C04B8">
        <w:rPr>
          <w:rFonts w:ascii="Cambria" w:hAnsi="Cambria"/>
          <w:i/>
          <w:sz w:val="16"/>
          <w:szCs w:val="16"/>
          <w:lang w:val="es-ES_tradnl"/>
        </w:rPr>
        <w:t xml:space="preserve">Asunto Natera Balboa. </w:t>
      </w:r>
      <w:r w:rsidRPr="000C04B8">
        <w:rPr>
          <w:rFonts w:ascii="Cambria" w:hAnsi="Cambria"/>
          <w:sz w:val="16"/>
          <w:szCs w:val="16"/>
          <w:lang w:val="es-ES_tradnl"/>
        </w:rPr>
        <w:t>Medida Provisionales respecto de Venezuela. Resolución de la Corte de 1 de febrero de 2010,</w:t>
      </w:r>
      <w:r w:rsidRPr="000C04B8">
        <w:rPr>
          <w:rFonts w:ascii="Cambria" w:hAnsi="Cambria"/>
          <w:i/>
          <w:sz w:val="16"/>
          <w:szCs w:val="16"/>
          <w:lang w:val="es-ES_tradnl"/>
        </w:rPr>
        <w:t xml:space="preserve"> </w:t>
      </w:r>
      <w:r w:rsidRPr="000C04B8">
        <w:rPr>
          <w:rFonts w:ascii="Cambria" w:hAnsi="Cambria"/>
          <w:sz w:val="16"/>
          <w:szCs w:val="16"/>
          <w:lang w:val="es-ES_tradnl"/>
        </w:rPr>
        <w:t xml:space="preserve">Considerando decimotercero. </w:t>
      </w:r>
    </w:p>
  </w:footnote>
  <w:footnote w:id="71">
    <w:p w14:paraId="36A415B8" w14:textId="77777777" w:rsidR="00B93A81" w:rsidRPr="000C04B8" w:rsidRDefault="00B93A81" w:rsidP="000C04B8">
      <w:pPr>
        <w:jc w:val="both"/>
        <w:rPr>
          <w:rFonts w:asciiTheme="majorHAnsi" w:hAnsiTheme="majorHAnsi"/>
          <w:b/>
          <w:sz w:val="16"/>
          <w:szCs w:val="16"/>
          <w:lang w:val="es-ES_tradnl"/>
        </w:rPr>
      </w:pPr>
      <w:r w:rsidRPr="000C04B8">
        <w:rPr>
          <w:rStyle w:val="FootnoteReference"/>
          <w:rFonts w:asciiTheme="majorHAnsi" w:hAnsiTheme="majorHAnsi"/>
          <w:sz w:val="16"/>
          <w:szCs w:val="16"/>
          <w:lang w:val="es-ES_tradnl"/>
        </w:rPr>
        <w:footnoteRef/>
      </w:r>
      <w:r w:rsidRPr="00F22476">
        <w:rPr>
          <w:rFonts w:asciiTheme="majorHAnsi" w:hAnsiTheme="majorHAnsi"/>
          <w:sz w:val="16"/>
          <w:szCs w:val="16"/>
          <w:lang w:val="pt-BR"/>
        </w:rPr>
        <w:t xml:space="preserve"> Ver, </w:t>
      </w:r>
      <w:r w:rsidRPr="00F22476">
        <w:rPr>
          <w:rFonts w:asciiTheme="majorHAnsi" w:hAnsiTheme="majorHAnsi"/>
          <w:i/>
          <w:sz w:val="16"/>
          <w:szCs w:val="16"/>
          <w:lang w:val="pt-BR"/>
        </w:rPr>
        <w:t xml:space="preserve">mutatis mutandis, </w:t>
      </w:r>
      <w:r w:rsidRPr="00F22476">
        <w:rPr>
          <w:rStyle w:val="Strong"/>
          <w:rFonts w:asciiTheme="majorHAnsi" w:hAnsiTheme="majorHAnsi"/>
          <w:b w:val="0"/>
          <w:sz w:val="16"/>
          <w:szCs w:val="16"/>
          <w:lang w:val="pt-BR"/>
        </w:rPr>
        <w:t xml:space="preserve">Corte IDH. </w:t>
      </w:r>
      <w:r w:rsidRPr="000C04B8">
        <w:rPr>
          <w:rStyle w:val="Strong"/>
          <w:rFonts w:asciiTheme="majorHAnsi" w:hAnsiTheme="majorHAnsi"/>
          <w:b w:val="0"/>
          <w:sz w:val="16"/>
          <w:szCs w:val="16"/>
          <w:lang w:val="es-ES_tradnl"/>
        </w:rPr>
        <w:t>Caso González y otras (“Campo Algodonero”) Vs. México. Excepción Preliminar, Fondo, Reparaciones y Costas. Sentencia de 16 de noviembre de 2009. Serie C No. 205. Párr. 283.</w:t>
      </w:r>
    </w:p>
  </w:footnote>
  <w:footnote w:id="72">
    <w:p w14:paraId="4FE20763" w14:textId="77777777" w:rsidR="00B93A81" w:rsidRPr="00E45821"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OEA. Compromiso por la seguridad pública en las Américas.  OEA/Ser.K/XLIX. 1 MISPA/doc. 7/08 rev. 4. Primera Reunión de Ministros en materia de seguridad pública de las Américas. México D.F., México, 29 octubre 2008. En este mismo sentido: OEA. Consenso de Santo Domingo sobre Seguridad Pública. OEA/Ser.K/XLIX. 1 MISPA II/doc. 8/09 rev. 2. Segunda Reunión de Ministros en materia de seguridad pública de las Américas. </w:t>
      </w:r>
      <w:r w:rsidRPr="00F31981">
        <w:rPr>
          <w:lang w:val="es-ES"/>
        </w:rPr>
        <w:t xml:space="preserve">Santo Domingo, República Dominicana, 5 noviembre 2009. </w:t>
      </w:r>
    </w:p>
  </w:footnote>
  <w:footnote w:id="73">
    <w:p w14:paraId="2D424F1C"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OEA. Acción y política general de la Organización respecto de los actos de terrorismo y, en especial, el secuestro de personas y la extorsión conexa con este delito. AG/RES. 4 (I-E/70). Resolución aprobada en la sexta sesión plenaria celebrada el 30 de junio de 1970.</w:t>
      </w:r>
    </w:p>
  </w:footnote>
  <w:footnote w:id="74">
    <w:p w14:paraId="63E1BF75"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OEA. Cooperación hemisférica contra el delito de secuestro y asistencia a las víctimas. AG/RES. 2574 (XL-O/10). Aprobada en la cuarta sesión plenaria, celebrada el 8 de junio de 2010.</w:t>
      </w:r>
    </w:p>
  </w:footnote>
  <w:footnote w:id="75">
    <w:p w14:paraId="667AE6FC"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OEA. Cooperación hemisférica contra el delito de secuestro y asistencia a las víctimas. AG/RES. 2574 (XL-O/10). Aprobada en la cuarta sesión plenaria, celebrada el 8 de junio de 2010.</w:t>
      </w:r>
    </w:p>
  </w:footnote>
  <w:footnote w:id="76">
    <w:p w14:paraId="13FC3894" w14:textId="77777777" w:rsidR="00B93A81" w:rsidRPr="00F22476" w:rsidRDefault="00B93A81" w:rsidP="000C04B8">
      <w:pPr>
        <w:pStyle w:val="FootnoteText"/>
        <w:jc w:val="both"/>
      </w:pPr>
      <w:r w:rsidRPr="000C04B8">
        <w:rPr>
          <w:rStyle w:val="FootnoteReference"/>
          <w:lang w:val="es-ES_tradnl"/>
        </w:rPr>
        <w:footnoteRef/>
      </w:r>
      <w:r w:rsidRPr="000C04B8">
        <w:rPr>
          <w:lang w:val="es-ES_tradnl"/>
        </w:rPr>
        <w:t xml:space="preserve"> UN. Cooperación internacional para prevenir, combatir y eliminar el secuestro y prestar asistencia a las víctimas. A/RES/59/154. Resolución aprobada por la Asamblea General en el 59º período de sesiones.74ª sesión plenaria. 20 de diciembre de 2004. En el mismo sentido: UN. Cooperación internacional para prevenir, combatir y eliminar el secuestro y prestar asistencia a las víctimas. A/RES/61/179. Resolución aprobada por la Asamblea General en el 61º período de sesiones.82ª sesión plenaria. </w:t>
      </w:r>
      <w:r w:rsidRPr="00F22476">
        <w:t>20 de diciembre de 2006.</w:t>
      </w:r>
    </w:p>
  </w:footnote>
  <w:footnote w:id="77">
    <w:p w14:paraId="4E132FE0" w14:textId="77777777" w:rsidR="00B93A81" w:rsidRPr="000C04B8" w:rsidRDefault="00B93A81" w:rsidP="000C04B8">
      <w:pPr>
        <w:pStyle w:val="FootnoteText"/>
        <w:jc w:val="both"/>
        <w:rPr>
          <w:lang w:val="es-ES_tradnl"/>
        </w:rPr>
      </w:pPr>
      <w:r w:rsidRPr="000C04B8">
        <w:rPr>
          <w:rStyle w:val="FootnoteReference"/>
          <w:lang w:val="es-ES_tradnl"/>
        </w:rPr>
        <w:footnoteRef/>
      </w:r>
      <w:r w:rsidRPr="00F22476">
        <w:t xml:space="preserve"> ECOSOC. International cooperation in the prevention, combating and elimination of kidnapping and in providing assistance for the victims. </w:t>
      </w:r>
      <w:r w:rsidRPr="000C04B8">
        <w:rPr>
          <w:lang w:val="es-ES_tradnl"/>
        </w:rPr>
        <w:t>ECOSOC Resolution 2002/16. 37</w:t>
      </w:r>
      <w:r w:rsidRPr="000C04B8">
        <w:rPr>
          <w:vertAlign w:val="superscript"/>
          <w:lang w:val="es-ES_tradnl"/>
        </w:rPr>
        <w:t>th</w:t>
      </w:r>
      <w:r w:rsidRPr="000C04B8">
        <w:rPr>
          <w:lang w:val="es-ES_tradnl"/>
        </w:rPr>
        <w:t xml:space="preserve"> plenary meeting, 24 July 2002. 59º período de sesiones.74ª sesión plenaria. </w:t>
      </w:r>
    </w:p>
  </w:footnote>
  <w:footnote w:id="78">
    <w:p w14:paraId="5120815C"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El estudio abarca alrededor de 65 legislaciones en el mundo. </w:t>
      </w:r>
    </w:p>
  </w:footnote>
  <w:footnote w:id="79">
    <w:p w14:paraId="670F9038"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ECOSOC. Cooperación internacional en prevenir, combatir y eliminar el secuestro y en prestar asistencia a las víctimas. Informe del Secretario General. E/CN.15/2003/7. 5 de marzo de 2003. p.3. </w:t>
      </w:r>
    </w:p>
  </w:footnote>
  <w:footnote w:id="80">
    <w:p w14:paraId="5B1CA077"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UN. Manual de lucha contra el secuestro. Oficina contra la droga y el delito. Viena: enero, 2006. p. 5.</w:t>
      </w:r>
    </w:p>
  </w:footnote>
  <w:footnote w:id="81">
    <w:p w14:paraId="7444D330"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UN. Manual de lucha contra el secuestro. Oficina contra la droga y el delito. Viena: enero, 2006. p. 17.</w:t>
      </w:r>
    </w:p>
  </w:footnote>
  <w:footnote w:id="82">
    <w:p w14:paraId="0F66D01A"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UN. Manual de lucha contra el secuestro. Oficina contra la droga y el delito. Viena: enero, 2006. p. 24.</w:t>
      </w:r>
    </w:p>
  </w:footnote>
  <w:footnote w:id="83">
    <w:p w14:paraId="764A2C11"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UN. Manual de lucha contra el secuestro. Oficina contra la droga y el delito. Viena: enero, 2006. p. 25 y ss. </w:t>
      </w:r>
    </w:p>
  </w:footnote>
  <w:footnote w:id="84">
    <w:p w14:paraId="168971FA"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CIDH. Informe sobre seguridad ciudadana y derechos humanos. OEA/Ser.L/V/II. Doc. 57, 31 diciembre 2009. p. 136 y 137.</w:t>
      </w:r>
    </w:p>
  </w:footnote>
  <w:footnote w:id="85">
    <w:p w14:paraId="31E64994"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CIDH. Informe sobre seguridad ciudadana y derechos humanos. OEA/Ser.L/V/II. Doc. 57, 31 diciembre 2009. p. 136 y 137.</w:t>
      </w:r>
    </w:p>
  </w:footnote>
  <w:footnote w:id="86">
    <w:p w14:paraId="6AA190B9"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CIDH. Informe sobre seguridad ciudadana y derechos humanos. OEA/Ser.L/V/II. Doc. 57, 31 diciembre 2009. p. 136 y 137.  </w:t>
      </w:r>
    </w:p>
  </w:footnote>
  <w:footnote w:id="87">
    <w:p w14:paraId="533A00DE"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CIDH. Informe sobre seguridad ciudadana y derechos humanos. OEA/Ser.L/V/II. Doc. 57, 31 diciembre 2009. p. 136 y 137.</w:t>
      </w:r>
    </w:p>
  </w:footnote>
  <w:footnote w:id="88">
    <w:p w14:paraId="7340218F" w14:textId="77777777" w:rsidR="00B93A81" w:rsidRPr="000C04B8" w:rsidRDefault="00B93A81" w:rsidP="000C04B8">
      <w:pPr>
        <w:pStyle w:val="ListParagraph"/>
        <w:ind w:left="0"/>
        <w:jc w:val="both"/>
        <w:rPr>
          <w:rFonts w:cs="Tahoma"/>
          <w:sz w:val="16"/>
          <w:szCs w:val="16"/>
          <w:lang w:val="es-ES_tradnl"/>
        </w:rPr>
      </w:pPr>
      <w:r w:rsidRPr="000C04B8">
        <w:rPr>
          <w:rStyle w:val="FootnoteReference"/>
          <w:sz w:val="16"/>
          <w:szCs w:val="16"/>
          <w:lang w:val="es-ES_tradnl"/>
        </w:rPr>
        <w:footnoteRef/>
      </w:r>
      <w:r w:rsidRPr="000C04B8">
        <w:rPr>
          <w:sz w:val="16"/>
          <w:szCs w:val="16"/>
          <w:lang w:val="es-ES_tradnl"/>
        </w:rPr>
        <w:t xml:space="preserve"> </w:t>
      </w:r>
      <w:r w:rsidRPr="000C04B8">
        <w:rPr>
          <w:rFonts w:cs="Tahoma"/>
          <w:sz w:val="16"/>
          <w:szCs w:val="16"/>
          <w:lang w:val="es-ES_tradnl"/>
        </w:rPr>
        <w:t xml:space="preserve">CIDH. Informe No. 45/17. Caso 10.455. Fondo (Publicación). Valentín Basto Calderón y otros. Colombia. 25 de mayo de 2017. Párr. 139.  </w:t>
      </w:r>
    </w:p>
  </w:footnote>
  <w:footnote w:id="89">
    <w:p w14:paraId="7E544DC7" w14:textId="77777777" w:rsidR="00B93A81" w:rsidRPr="000C04B8" w:rsidRDefault="00B93A81" w:rsidP="000C04B8">
      <w:pPr>
        <w:pStyle w:val="FootnoteText"/>
        <w:jc w:val="both"/>
        <w:rPr>
          <w:rFonts w:cs="Arial"/>
          <w:szCs w:val="16"/>
          <w:lang w:val="es-ES_tradnl"/>
        </w:rPr>
      </w:pPr>
      <w:r w:rsidRPr="000C04B8">
        <w:rPr>
          <w:rStyle w:val="FootnoteReference"/>
          <w:rFonts w:cs="Arial"/>
          <w:color w:val="auto"/>
          <w:szCs w:val="16"/>
          <w:lang w:val="es-ES_tradnl"/>
        </w:rPr>
        <w:footnoteRef/>
      </w:r>
      <w:r w:rsidRPr="000C04B8">
        <w:rPr>
          <w:rFonts w:cs="Arial"/>
          <w:szCs w:val="16"/>
          <w:lang w:val="es-ES_tradnl"/>
        </w:rPr>
        <w:t xml:space="preserve"> </w:t>
      </w:r>
      <w:r w:rsidRPr="000C04B8">
        <w:rPr>
          <w:szCs w:val="16"/>
          <w:lang w:val="es-ES_tradnl"/>
        </w:rPr>
        <w:t xml:space="preserve">Corte IDH, </w:t>
      </w:r>
      <w:r w:rsidRPr="000C04B8">
        <w:rPr>
          <w:bCs/>
          <w:szCs w:val="16"/>
          <w:lang w:val="es-ES_tradnl"/>
        </w:rPr>
        <w:t xml:space="preserve">Caso Gutiérrez Soler Vs. Colombia. </w:t>
      </w:r>
      <w:r w:rsidRPr="000C04B8">
        <w:rPr>
          <w:szCs w:val="16"/>
          <w:lang w:val="es-ES_tradnl"/>
        </w:rPr>
        <w:t>Fondo, Reparaciones y Costas. Sentencia de 12 de septiembre de 2005. Serie C No. 132, párrs. 56-57</w:t>
      </w:r>
      <w:r w:rsidRPr="000C04B8">
        <w:rPr>
          <w:rFonts w:cs="Arial"/>
          <w:szCs w:val="16"/>
          <w:lang w:val="es-ES_tradnl"/>
        </w:rPr>
        <w:t xml:space="preserve">, </w:t>
      </w:r>
      <w:r w:rsidRPr="000C04B8">
        <w:rPr>
          <w:rFonts w:cs="Arial"/>
          <w:bCs/>
          <w:szCs w:val="16"/>
          <w:lang w:val="es-ES_tradnl"/>
        </w:rPr>
        <w:t xml:space="preserve">Caso Tibi Vs. Ecuador. </w:t>
      </w:r>
      <w:r w:rsidRPr="000C04B8">
        <w:rPr>
          <w:rFonts w:cs="Arial"/>
          <w:szCs w:val="16"/>
          <w:lang w:val="es-ES_tradnl"/>
        </w:rPr>
        <w:t xml:space="preserve">Excepciones Preliminares, Fondo, Reparaciones y Costas. Sentencia de 7 de septiembre de 2004. Serie C No. 114, párr. 147. Véase también </w:t>
      </w:r>
      <w:r w:rsidRPr="000C04B8">
        <w:rPr>
          <w:szCs w:val="16"/>
          <w:lang w:val="es-ES_tradnl"/>
        </w:rPr>
        <w:t>CIDH, Segundo Informe sobre la situación de las defensoras y los defensores de derechos humanos en las Américas, OEA/ser.L/V/II.Doc.66, 31 de diciembre de 2011.</w:t>
      </w:r>
    </w:p>
  </w:footnote>
  <w:footnote w:id="90">
    <w:p w14:paraId="0338BB9D"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Corte IDH. </w:t>
      </w:r>
      <w:r w:rsidRPr="000C04B8">
        <w:rPr>
          <w:bCs/>
          <w:lang w:val="es-ES_tradnl"/>
        </w:rPr>
        <w:t xml:space="preserve">Caso Vélez Restrepo y familiares Vs. Colombia. Excepción Preliminar, Fondo, Reparaciones y Costas. Sentencia de 3 de septiembre de 2012. Serie C No. 248, párr. 220; </w:t>
      </w:r>
      <w:r w:rsidRPr="000C04B8">
        <w:rPr>
          <w:lang w:val="es-ES_tradnl"/>
        </w:rPr>
        <w:t>Cfr</w:t>
      </w:r>
      <w:r w:rsidRPr="000C04B8">
        <w:rPr>
          <w:bCs/>
          <w:lang w:val="es-ES_tradnl"/>
        </w:rPr>
        <w:t xml:space="preserve">. </w:t>
      </w:r>
      <w:r w:rsidRPr="000C04B8">
        <w:rPr>
          <w:lang w:val="es-ES_tradnl"/>
        </w:rPr>
        <w:t>Caso de la Comunidad Moiwana Vs. Surinam. Excepciones Preliminares, Fondo, Reparaciones y Costas. Sentencia de 15 de junio de 2005. Serie C No. 124, párrs. 119 y 120, y Caso Manuel Cepeda Vargas Vs. Colombia. Excepciones Preliminares, Fondo, Reparaciones y Costas, párr. 197.</w:t>
      </w:r>
    </w:p>
  </w:footnote>
  <w:footnote w:id="91">
    <w:p w14:paraId="3282344D" w14:textId="77777777" w:rsidR="00B93A81" w:rsidRPr="000C04B8" w:rsidRDefault="00B93A81" w:rsidP="000C04B8">
      <w:pPr>
        <w:pStyle w:val="FootnoteText"/>
        <w:jc w:val="both"/>
        <w:rPr>
          <w:lang w:val="es-ES_tradnl"/>
        </w:rPr>
      </w:pPr>
      <w:r w:rsidRPr="000C04B8">
        <w:rPr>
          <w:rStyle w:val="FootnoteReference"/>
          <w:lang w:val="es-ES_tradnl"/>
        </w:rPr>
        <w:footnoteRef/>
      </w:r>
      <w:r w:rsidRPr="000C04B8">
        <w:rPr>
          <w:lang w:val="es-ES_tradnl"/>
        </w:rPr>
        <w:t xml:space="preserve"> Corte IDH. </w:t>
      </w:r>
      <w:r w:rsidRPr="000C04B8">
        <w:rPr>
          <w:bCs/>
          <w:lang w:val="es-ES_tradnl"/>
        </w:rPr>
        <w:t xml:space="preserve">Caso Vélez Restrepo y familiares Vs. Colombia. Excepción Preliminar, Fondo, Reparaciones y Costas. Sentencia de 3 de septiembre de 2012. Serie C No. 248, párr. 220; </w:t>
      </w:r>
      <w:r w:rsidRPr="000C04B8">
        <w:rPr>
          <w:lang w:val="es-ES_tradnl"/>
        </w:rPr>
        <w:t>Cfr. Caso Valle Jaramillo y otros Vs. Colombia. Fondo, Reparaciones y Costas, párr. 139, y Caso Manuel Cepeda Vargas Vs. Colombia. Excepciones Preliminares, Fondo, Reparaciones y Costas, párr. 197.</w:t>
      </w:r>
    </w:p>
  </w:footnote>
  <w:footnote w:id="92">
    <w:p w14:paraId="481D45A4" w14:textId="77777777" w:rsidR="00B93A81" w:rsidRPr="000C04B8" w:rsidRDefault="00B93A81" w:rsidP="000C04B8">
      <w:pPr>
        <w:pStyle w:val="FootnoteText"/>
        <w:jc w:val="both"/>
        <w:rPr>
          <w:szCs w:val="16"/>
          <w:lang w:val="es-ES_tradnl"/>
        </w:rPr>
      </w:pPr>
      <w:r w:rsidRPr="000C04B8">
        <w:rPr>
          <w:rStyle w:val="FootnoteReference"/>
          <w:szCs w:val="16"/>
          <w:lang w:val="es-ES_tradnl"/>
        </w:rPr>
        <w:footnoteRef/>
      </w:r>
      <w:r w:rsidRPr="000C04B8">
        <w:rPr>
          <w:szCs w:val="16"/>
          <w:lang w:val="es-ES_tradnl"/>
        </w:rPr>
        <w:t xml:space="preserve"> El artículo 8 de la Convención Americana consagra en lo pertinente: </w:t>
      </w:r>
      <w:r w:rsidRPr="000C04B8">
        <w:rPr>
          <w:szCs w:val="16"/>
          <w:lang w:val="es-ES_tradnl" w:bidi="en-US"/>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r w:rsidRPr="000C04B8">
        <w:rPr>
          <w:szCs w:val="16"/>
          <w:lang w:val="es-ES_tradnl"/>
        </w:rPr>
        <w:t xml:space="preserve"> </w:t>
      </w:r>
    </w:p>
  </w:footnote>
  <w:footnote w:id="93">
    <w:p w14:paraId="260582FD" w14:textId="77777777" w:rsidR="00B93A81" w:rsidRPr="000C04B8" w:rsidRDefault="00B93A81" w:rsidP="000C04B8">
      <w:pPr>
        <w:pStyle w:val="FootnoteText"/>
        <w:jc w:val="both"/>
        <w:rPr>
          <w:szCs w:val="16"/>
          <w:lang w:val="es-ES_tradnl"/>
        </w:rPr>
      </w:pPr>
      <w:r w:rsidRPr="000C04B8">
        <w:rPr>
          <w:rStyle w:val="FootnoteReference"/>
          <w:szCs w:val="16"/>
          <w:lang w:val="es-ES_tradnl"/>
        </w:rPr>
        <w:footnoteRef/>
      </w:r>
      <w:r w:rsidRPr="000C04B8">
        <w:rPr>
          <w:szCs w:val="16"/>
          <w:lang w:val="es-ES_tradnl"/>
        </w:rPr>
        <w:t xml:space="preserve"> El artículo 25 de la Convención Americana señala en lo pertinente que: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94">
    <w:p w14:paraId="3C7EF8A8" w14:textId="77777777" w:rsidR="00B93A81" w:rsidRPr="000C04B8" w:rsidRDefault="00B93A81" w:rsidP="000C04B8">
      <w:pPr>
        <w:tabs>
          <w:tab w:val="left" w:pos="360"/>
          <w:tab w:val="left" w:pos="900"/>
          <w:tab w:val="left" w:pos="1080"/>
        </w:tabs>
        <w:jc w:val="both"/>
        <w:rPr>
          <w:rFonts w:ascii="Cambria" w:eastAsia="Cambria" w:hAnsi="Cambria" w:cs="Cambria"/>
          <w:sz w:val="16"/>
          <w:szCs w:val="16"/>
          <w:lang w:val="es-ES_tradnl"/>
        </w:rPr>
      </w:pPr>
      <w:r w:rsidRPr="000C04B8">
        <w:rPr>
          <w:rFonts w:ascii="Cambria" w:hAnsi="Cambria"/>
          <w:sz w:val="16"/>
          <w:szCs w:val="16"/>
          <w:vertAlign w:val="superscript"/>
          <w:lang w:val="es-ES_tradnl"/>
        </w:rPr>
        <w:footnoteRef/>
      </w:r>
      <w:r w:rsidRPr="000C04B8">
        <w:rPr>
          <w:rFonts w:ascii="Cambria" w:eastAsia="Cambria" w:hAnsi="Cambria" w:cs="Cambria"/>
          <w:sz w:val="16"/>
          <w:szCs w:val="16"/>
          <w:lang w:val="es-ES_tradnl"/>
        </w:rPr>
        <w:t xml:space="preserve"> Corte IDH., Caso Cantoral Huamaní y García Santa Cruz. Excepción Preliminar, Fondo, Reparaciones y Costas. Sentencia de 10 de julio de 2007. Serie C No. 167. Párr. 124; Corte IDH., Caso de la Masacre de la Rochela.  Sentencia de 11 de mayo de 2007.  Serie C. No. 163. Párr. 145; Corte IDH., Caso del Penal Miguel Castro Castro. Sentencia de 25 de noviembre de 2006. Serie C No. 160. Párr. 381; y Corte IDH.., Caso Trabajadores Cesados del Congreso (Aguado Alfaro y otros). Sentencia de 24 de noviembre de 2006. Serie C No. 158, Párr. 106.</w:t>
      </w:r>
    </w:p>
  </w:footnote>
  <w:footnote w:id="95">
    <w:p w14:paraId="6E160937" w14:textId="77777777" w:rsidR="00B93A81" w:rsidRPr="000C04B8" w:rsidRDefault="00B93A81" w:rsidP="000C04B8">
      <w:pPr>
        <w:tabs>
          <w:tab w:val="left" w:pos="360"/>
          <w:tab w:val="left" w:pos="720"/>
          <w:tab w:val="left" w:pos="900"/>
          <w:tab w:val="left" w:pos="1080"/>
        </w:tabs>
        <w:jc w:val="both"/>
        <w:rPr>
          <w:rFonts w:ascii="Cambria" w:eastAsia="Cambria" w:hAnsi="Cambria" w:cs="Cambria"/>
          <w:sz w:val="16"/>
          <w:szCs w:val="16"/>
          <w:lang w:val="es-ES_tradnl"/>
        </w:rPr>
      </w:pPr>
      <w:r w:rsidRPr="000C04B8">
        <w:rPr>
          <w:rFonts w:ascii="Cambria" w:hAnsi="Cambria"/>
          <w:sz w:val="16"/>
          <w:szCs w:val="16"/>
          <w:vertAlign w:val="superscript"/>
          <w:lang w:val="es-ES_tradnl"/>
        </w:rPr>
        <w:footnoteRef/>
      </w:r>
      <w:r w:rsidRPr="000C04B8">
        <w:rPr>
          <w:rFonts w:ascii="Cambria" w:eastAsia="Cambria" w:hAnsi="Cambria" w:cs="Cambria"/>
          <w:color w:val="000000"/>
          <w:sz w:val="16"/>
          <w:szCs w:val="16"/>
          <w:lang w:val="es-ES_tradnl"/>
        </w:rPr>
        <w:t xml:space="preserve"> Corte IDH., Caso Cantoral Huamaní y García Santa Cruz. Excepción Preliminar, Fondo, Reparaciones y Costas. Sentencia de 10 de julio de 2007. Serie C No. 167. Párr. 100.</w:t>
      </w:r>
    </w:p>
  </w:footnote>
  <w:footnote w:id="96">
    <w:p w14:paraId="5E6C680F" w14:textId="77777777" w:rsidR="00B93A81" w:rsidRPr="000C04B8" w:rsidRDefault="00B93A81" w:rsidP="000C04B8">
      <w:pPr>
        <w:tabs>
          <w:tab w:val="left" w:pos="360"/>
          <w:tab w:val="left" w:pos="720"/>
          <w:tab w:val="left" w:pos="900"/>
          <w:tab w:val="left" w:pos="1080"/>
        </w:tabs>
        <w:jc w:val="both"/>
        <w:rPr>
          <w:rFonts w:ascii="Cambria" w:eastAsia="Cambria" w:hAnsi="Cambria" w:cs="Cambria"/>
          <w:sz w:val="16"/>
          <w:szCs w:val="16"/>
          <w:lang w:val="es-ES_tradnl"/>
        </w:rPr>
      </w:pPr>
      <w:r w:rsidRPr="000C04B8">
        <w:rPr>
          <w:rFonts w:ascii="Cambria" w:hAnsi="Cambria"/>
          <w:sz w:val="16"/>
          <w:szCs w:val="16"/>
          <w:vertAlign w:val="superscript"/>
          <w:lang w:val="es-ES_tradnl"/>
        </w:rPr>
        <w:footnoteRef/>
      </w:r>
      <w:r w:rsidRPr="000C04B8">
        <w:rPr>
          <w:rFonts w:ascii="Cambria" w:eastAsia="Cambria" w:hAnsi="Cambria" w:cs="Cambria"/>
          <w:sz w:val="16"/>
          <w:szCs w:val="16"/>
          <w:lang w:val="es-ES_tradnl"/>
        </w:rPr>
        <w:t xml:space="preserve"> Corte IDH., Caso García Prieto y otros. Excepción Preliminar, Fondo, Reparaciones y Costas. Sentencia de 20 de noviembre de 2007. Serie C No. 168. Párr. 101; Corte IDH., Caso de los Hermanos Gómez Paquiyauri. Sentencia de 8 de julio de 2004. Serie C No. 110. Párr. 146; Corte IDH., Caso Cantoral Huamaní y García Santa Cruz, Excepción Preliminar, Fondo, Reparaciones y Costas. Sentencia de 10 de julio de 2007. Serie C No. 167. Párr. 130. </w:t>
      </w:r>
      <w:r w:rsidRPr="000C04B8">
        <w:rPr>
          <w:rFonts w:ascii="Cambria" w:eastAsia="Cambria" w:hAnsi="Cambria" w:cs="Cambria"/>
          <w:i/>
          <w:sz w:val="16"/>
          <w:szCs w:val="16"/>
          <w:lang w:val="es-ES_tradnl"/>
        </w:rPr>
        <w:t xml:space="preserve"> </w:t>
      </w:r>
    </w:p>
  </w:footnote>
  <w:footnote w:id="97">
    <w:p w14:paraId="7FE0E2A2" w14:textId="77777777" w:rsidR="00B93A81" w:rsidRPr="000C04B8" w:rsidRDefault="00B93A81" w:rsidP="000C04B8">
      <w:pPr>
        <w:tabs>
          <w:tab w:val="left" w:pos="360"/>
          <w:tab w:val="left" w:pos="900"/>
          <w:tab w:val="left" w:pos="1080"/>
        </w:tabs>
        <w:jc w:val="both"/>
        <w:rPr>
          <w:rFonts w:ascii="Cambria" w:eastAsia="Cambria" w:hAnsi="Cambria" w:cs="Cambria"/>
          <w:sz w:val="16"/>
          <w:szCs w:val="16"/>
          <w:lang w:val="es-ES_tradnl"/>
        </w:rPr>
      </w:pPr>
      <w:r w:rsidRPr="000C04B8">
        <w:rPr>
          <w:rFonts w:ascii="Cambria" w:hAnsi="Cambria"/>
          <w:sz w:val="16"/>
          <w:szCs w:val="16"/>
          <w:vertAlign w:val="superscript"/>
          <w:lang w:val="es-ES_tradnl"/>
        </w:rPr>
        <w:footnoteRef/>
      </w:r>
      <w:r w:rsidRPr="000C04B8">
        <w:rPr>
          <w:rFonts w:ascii="Cambria" w:eastAsia="Cambria" w:hAnsi="Cambria" w:cs="Cambria"/>
          <w:sz w:val="16"/>
          <w:szCs w:val="16"/>
          <w:lang w:val="es-ES_tradnl"/>
        </w:rPr>
        <w:t xml:space="preserve"> Cfr. Corte IDH., Caso Bulacio. Sentencia de 18 de septiembre de 2003. Serie C No. 100. Párr. 114; Corte IDH., Caso de la Masacre de la Rochela.  Sentencia de 11 de mayo de 2007.  Serie C. No. 163.Párr. 146; Corte IDH., Caso del Penal Miguel Castro Castro. Sentencia de 25 de noviembre de 2006. Serie C No. 160. Párr. 382.</w:t>
      </w:r>
    </w:p>
  </w:footnote>
  <w:footnote w:id="98">
    <w:p w14:paraId="71636339" w14:textId="77777777" w:rsidR="00B93A81" w:rsidRPr="000C04B8" w:rsidRDefault="00B93A81" w:rsidP="000C04B8">
      <w:pPr>
        <w:tabs>
          <w:tab w:val="left" w:pos="360"/>
          <w:tab w:val="left" w:pos="720"/>
          <w:tab w:val="left" w:pos="900"/>
          <w:tab w:val="left" w:pos="1080"/>
        </w:tabs>
        <w:jc w:val="both"/>
        <w:rPr>
          <w:rFonts w:ascii="Cambria" w:eastAsia="Cambria" w:hAnsi="Cambria" w:cs="Cambria"/>
          <w:sz w:val="16"/>
          <w:szCs w:val="16"/>
          <w:lang w:val="es-ES_tradnl"/>
        </w:rPr>
      </w:pPr>
      <w:r w:rsidRPr="000C04B8">
        <w:rPr>
          <w:rFonts w:ascii="Cambria" w:hAnsi="Cambria"/>
          <w:sz w:val="16"/>
          <w:szCs w:val="16"/>
          <w:vertAlign w:val="superscript"/>
          <w:lang w:val="es-ES_tradnl"/>
        </w:rPr>
        <w:footnoteRef/>
      </w:r>
      <w:r w:rsidRPr="000C04B8">
        <w:rPr>
          <w:rFonts w:ascii="Cambria" w:eastAsia="Cambria" w:hAnsi="Cambria" w:cs="Cambria"/>
          <w:sz w:val="16"/>
          <w:szCs w:val="16"/>
          <w:lang w:val="es-ES_tradnl"/>
        </w:rPr>
        <w:t xml:space="preserve"> Cfr. Corte IDH., Caso García Prieto y otros. Excepción Preliminar, Fondo, Reparaciones y Costas. Sentencia de 20 de noviembre de 2007. Serie C No. 168. Párr. 103; Corte IDH., Caso Bulacio. Excepciones Preliminares, Fondo, Reparaciones y Costas. Sentencia de 18 de Septiembre de 2003. Serie C No. 100, Párr. 114; y Corte IDH., Caso del Penal Miguel Castro Castro. Sentencia de 25 de noviembre de 2006. Serie C No. 160. Párr. 382.</w:t>
      </w:r>
    </w:p>
  </w:footnote>
  <w:footnote w:id="99">
    <w:p w14:paraId="0CE28403" w14:textId="77777777" w:rsidR="00B93A81" w:rsidRPr="000C04B8" w:rsidRDefault="00B93A81" w:rsidP="000C04B8">
      <w:pPr>
        <w:pStyle w:val="FootnoteText"/>
        <w:jc w:val="both"/>
        <w:rPr>
          <w:szCs w:val="16"/>
          <w:lang w:val="es-ES_tradnl"/>
        </w:rPr>
      </w:pPr>
      <w:r w:rsidRPr="000C04B8">
        <w:rPr>
          <w:rStyle w:val="FootnoteReference"/>
          <w:szCs w:val="16"/>
          <w:lang w:val="es-ES_tradnl"/>
        </w:rPr>
        <w:footnoteRef/>
      </w:r>
      <w:r w:rsidRPr="000C04B8">
        <w:rPr>
          <w:szCs w:val="16"/>
          <w:lang w:val="es-ES_tradnl"/>
        </w:rPr>
        <w:t xml:space="preserve"> CIDH. Informe sobre la Situación de Defensores y Defensoras de los Derechos Humanos en las Américas, párr. 47. </w:t>
      </w:r>
    </w:p>
  </w:footnote>
  <w:footnote w:id="100">
    <w:p w14:paraId="68EF15C5" w14:textId="77777777" w:rsidR="00B93A81" w:rsidRPr="000C04B8" w:rsidRDefault="00B93A81" w:rsidP="000C04B8">
      <w:pPr>
        <w:tabs>
          <w:tab w:val="left" w:pos="360"/>
          <w:tab w:val="left" w:pos="720"/>
          <w:tab w:val="left" w:pos="900"/>
          <w:tab w:val="left" w:pos="1080"/>
        </w:tabs>
        <w:jc w:val="both"/>
        <w:rPr>
          <w:rFonts w:ascii="Cambria" w:eastAsia="Cambria" w:hAnsi="Cambria" w:cs="Cambria"/>
          <w:sz w:val="16"/>
          <w:szCs w:val="16"/>
          <w:lang w:val="es-ES_tradnl"/>
        </w:rPr>
      </w:pPr>
      <w:r w:rsidRPr="000C04B8">
        <w:rPr>
          <w:rFonts w:ascii="Cambria" w:hAnsi="Cambria"/>
          <w:sz w:val="16"/>
          <w:szCs w:val="16"/>
          <w:vertAlign w:val="superscript"/>
          <w:lang w:val="es-ES_tradnl"/>
        </w:rPr>
        <w:footnoteRef/>
      </w:r>
      <w:r w:rsidRPr="000C04B8">
        <w:rPr>
          <w:rFonts w:ascii="Cambria" w:eastAsia="Cambria" w:hAnsi="Cambria" w:cs="Cambria"/>
          <w:sz w:val="16"/>
          <w:szCs w:val="16"/>
          <w:lang w:val="es-ES_tradnl"/>
        </w:rPr>
        <w:t xml:space="preserve"> Cfr. Corte IDH. Caso García Prieto y otros. Excepción Preliminar, Fondo, Reparaciones y Costas. Sentencia de 20 de noviembre de 2007. Serie C No. 168. Párr. 101.  </w:t>
      </w:r>
    </w:p>
  </w:footnote>
  <w:footnote w:id="101">
    <w:p w14:paraId="372306A0" w14:textId="77777777" w:rsidR="00B93A81" w:rsidRPr="000C04B8" w:rsidRDefault="00B93A81" w:rsidP="000C04B8">
      <w:pPr>
        <w:pStyle w:val="FootnoteText"/>
        <w:jc w:val="both"/>
        <w:rPr>
          <w:szCs w:val="16"/>
          <w:lang w:val="es-ES_tradnl"/>
        </w:rPr>
      </w:pPr>
      <w:r w:rsidRPr="000C04B8">
        <w:rPr>
          <w:rStyle w:val="FootnoteReference"/>
          <w:szCs w:val="16"/>
          <w:lang w:val="es-ES_tradnl"/>
        </w:rPr>
        <w:footnoteRef/>
      </w:r>
      <w:r w:rsidRPr="000C04B8">
        <w:rPr>
          <w:szCs w:val="16"/>
          <w:lang w:val="es-ES_tradnl"/>
        </w:rPr>
        <w:t xml:space="preserve"> CIDH. Informe No. 25/09 Fondo (Sebastião Camargo Filho) Brasil, 19 de marzo de 2009, párr. 109; </w:t>
      </w:r>
      <w:r w:rsidRPr="000C04B8">
        <w:rPr>
          <w:rFonts w:cs="Arial"/>
          <w:szCs w:val="16"/>
          <w:lang w:val="es-ES_tradnl"/>
        </w:rPr>
        <w:t xml:space="preserve">Corte IDH, </w:t>
      </w:r>
      <w:r w:rsidRPr="000C04B8">
        <w:rPr>
          <w:rFonts w:cs="Arial"/>
          <w:iCs/>
          <w:szCs w:val="16"/>
          <w:lang w:val="es-ES_tradnl"/>
        </w:rPr>
        <w:t>Caso de los “Niños de la Calle” (Villagrán Morales y otros).</w:t>
      </w:r>
      <w:r w:rsidRPr="000C04B8">
        <w:rPr>
          <w:rFonts w:cs="Arial"/>
          <w:szCs w:val="16"/>
          <w:lang w:val="es-ES_tradnl"/>
        </w:rPr>
        <w:t xml:space="preserve"> Sentencia de 19 de noviembre de 1999. Serie C No. 63, párr. 230;</w:t>
      </w:r>
      <w:r w:rsidRPr="000C04B8">
        <w:rPr>
          <w:spacing w:val="-4"/>
          <w:szCs w:val="16"/>
          <w:lang w:val="es-ES_tradnl"/>
        </w:rPr>
        <w:t xml:space="preserve"> </w:t>
      </w:r>
      <w:r w:rsidRPr="000C04B8">
        <w:rPr>
          <w:szCs w:val="16"/>
          <w:lang w:val="es-ES_tradnl"/>
        </w:rPr>
        <w:t xml:space="preserve">Corte IDH, Caso J. vs. Perú. Excepción preliminar, Fondo, Reparaciones y Costas. Sentencia de 27 de noviembre de 2013. Serie C No. 275, párr. </w:t>
      </w:r>
      <w:r w:rsidRPr="000C04B8">
        <w:rPr>
          <w:spacing w:val="-4"/>
          <w:szCs w:val="16"/>
          <w:lang w:val="es-ES_tradnl"/>
        </w:rPr>
        <w:t>344, citando Corte IDH., Juan Humberto Sánchez vs. Honduras. Excepción Preliminar, Fondo, Reparaciones y Costas. Sentencia de 7 de junio de 2003. Serie C No. 99, párr. 128.</w:t>
      </w:r>
    </w:p>
  </w:footnote>
  <w:footnote w:id="102">
    <w:p w14:paraId="55C1FCB8" w14:textId="77777777" w:rsidR="00B93A81" w:rsidRPr="000C04B8" w:rsidRDefault="00B93A81" w:rsidP="000C04B8">
      <w:pPr>
        <w:pStyle w:val="FootnoteText"/>
        <w:jc w:val="both"/>
        <w:rPr>
          <w:szCs w:val="16"/>
          <w:lang w:val="es-ES_tradnl"/>
        </w:rPr>
      </w:pPr>
      <w:r w:rsidRPr="000C04B8">
        <w:rPr>
          <w:rStyle w:val="FootnoteReference"/>
          <w:szCs w:val="16"/>
          <w:lang w:val="es-ES_tradnl"/>
        </w:rPr>
        <w:footnoteRef/>
      </w:r>
      <w:r w:rsidRPr="000C04B8">
        <w:rPr>
          <w:szCs w:val="16"/>
          <w:lang w:val="es-ES_tradnl"/>
        </w:rPr>
        <w:t xml:space="preserve"> Corte IDH. Caso Rodríguez Vera (Desaparecidos del Palacio de Justicia) y otros Vs. Colombia</w:t>
      </w:r>
      <w:r w:rsidRPr="000C04B8">
        <w:rPr>
          <w:bCs/>
          <w:spacing w:val="-4"/>
          <w:szCs w:val="16"/>
          <w:lang w:val="es-ES_tradnl"/>
        </w:rPr>
        <w:t xml:space="preserve">. </w:t>
      </w:r>
      <w:r w:rsidRPr="000C04B8">
        <w:rPr>
          <w:rFonts w:cs="Verdana"/>
          <w:bCs/>
          <w:iCs/>
          <w:snapToGrid w:val="0"/>
          <w:spacing w:val="-2"/>
          <w:szCs w:val="16"/>
          <w:lang w:val="es-ES_tradnl"/>
        </w:rPr>
        <w:t xml:space="preserve">Sentencia de 14 de noviembre de 2014. </w:t>
      </w:r>
      <w:r w:rsidRPr="000C04B8">
        <w:rPr>
          <w:szCs w:val="16"/>
          <w:lang w:val="es-ES_tradnl"/>
        </w:rPr>
        <w:t>Párrafo 500.</w:t>
      </w:r>
    </w:p>
  </w:footnote>
  <w:footnote w:id="103">
    <w:p w14:paraId="0E08FB75" w14:textId="77777777" w:rsidR="00B93A81" w:rsidRPr="000C04B8" w:rsidRDefault="00B93A81" w:rsidP="000C04B8">
      <w:pPr>
        <w:pStyle w:val="FootnoteText"/>
        <w:jc w:val="both"/>
        <w:rPr>
          <w:lang w:val="es-ES_tradnl"/>
        </w:rPr>
      </w:pPr>
      <w:r w:rsidRPr="000C04B8">
        <w:rPr>
          <w:rStyle w:val="FootnoteReference"/>
          <w:szCs w:val="16"/>
          <w:lang w:val="es-ES_tradnl"/>
        </w:rPr>
        <w:footnoteRef/>
      </w:r>
      <w:r w:rsidRPr="000C04B8">
        <w:rPr>
          <w:lang w:val="es-ES_tradnl"/>
        </w:rPr>
        <w:t xml:space="preserve"> Corte IDH. Caso Vargas Areco Vs. Paraguay. Sentencia de 26 de septiembre de 2006. Serie C No. 155, </w:t>
      </w:r>
      <w:r w:rsidRPr="000C04B8">
        <w:rPr>
          <w:rStyle w:val="FootnoteTextChar"/>
          <w:szCs w:val="16"/>
          <w:lang w:val="es-ES_tradnl"/>
        </w:rPr>
        <w:t>párr. 196; Caso de las Masacres de Ituango Vs. Colombia. Sentencia de 1 de julio de 2006 Serie C No. 148, párr. 289; y Corte IDH. Caso Baldeón García Vs. Perú. Fondo, Reparaciones y Costas. Sentencia de 6 de abril de 2006. Serie C No. 147, párr. 151.</w:t>
      </w:r>
    </w:p>
  </w:footnote>
  <w:footnote w:id="104">
    <w:p w14:paraId="09A37E77" w14:textId="77777777" w:rsidR="00B93A81" w:rsidRPr="000C04B8" w:rsidRDefault="00B93A81" w:rsidP="000C04B8">
      <w:pPr>
        <w:pStyle w:val="FootnoteText"/>
        <w:jc w:val="both"/>
        <w:rPr>
          <w:lang w:val="es-ES_tradnl"/>
        </w:rPr>
      </w:pPr>
      <w:r w:rsidRPr="000C04B8">
        <w:rPr>
          <w:rStyle w:val="FootnoteReference"/>
          <w:szCs w:val="16"/>
          <w:lang w:val="es-ES_tradnl"/>
        </w:rPr>
        <w:footnoteRef/>
      </w:r>
      <w:r w:rsidRPr="000C04B8">
        <w:rPr>
          <w:lang w:val="es-ES_tradnl"/>
        </w:rPr>
        <w:t xml:space="preserve"> </w:t>
      </w:r>
      <w:r w:rsidRPr="000C04B8">
        <w:rPr>
          <w:noProof/>
          <w:lang w:val="es-ES_tradnl"/>
        </w:rPr>
        <w:t xml:space="preserve">Corte IDH. </w:t>
      </w:r>
      <w:r w:rsidRPr="000C04B8">
        <w:rPr>
          <w:i/>
          <w:noProof/>
          <w:lang w:val="es-ES_tradnl"/>
        </w:rPr>
        <w:t>Caso Valle Jaramillo y otros Vs. Colombia</w:t>
      </w:r>
      <w:r w:rsidRPr="000C04B8">
        <w:rPr>
          <w:noProof/>
          <w:lang w:val="es-ES_tradnl"/>
        </w:rPr>
        <w:t xml:space="preserve">. Fondo, Reparaciones y Costas. Sentencia de 27 de noviembre de 2008. Serie C No. 192, párr. 155.  </w:t>
      </w:r>
    </w:p>
  </w:footnote>
  <w:footnote w:id="105">
    <w:p w14:paraId="60374F3B" w14:textId="77777777" w:rsidR="00B93A81" w:rsidRPr="000538E2" w:rsidRDefault="00B93A81" w:rsidP="00247794">
      <w:pPr>
        <w:jc w:val="both"/>
        <w:rPr>
          <w:rFonts w:asciiTheme="majorHAnsi" w:hAnsiTheme="majorHAnsi"/>
          <w:sz w:val="16"/>
          <w:szCs w:val="16"/>
          <w:lang w:val="es-VE"/>
        </w:rPr>
      </w:pPr>
      <w:r w:rsidRPr="00866A13">
        <w:rPr>
          <w:rStyle w:val="FootnoteReference"/>
          <w:rFonts w:asciiTheme="majorHAnsi" w:hAnsiTheme="majorHAnsi"/>
          <w:sz w:val="16"/>
          <w:szCs w:val="16"/>
        </w:rPr>
        <w:footnoteRef/>
      </w:r>
      <w:r w:rsidRPr="00866A13">
        <w:rPr>
          <w:rFonts w:asciiTheme="majorHAnsi" w:hAnsiTheme="majorHAnsi"/>
          <w:sz w:val="16"/>
          <w:szCs w:val="16"/>
          <w:lang w:val="es-VE"/>
        </w:rPr>
        <w:t xml:space="preserve"> Corte IDH, </w:t>
      </w:r>
      <w:r w:rsidRPr="00866A13">
        <w:rPr>
          <w:rFonts w:asciiTheme="majorHAnsi" w:hAnsiTheme="majorHAnsi"/>
          <w:i/>
          <w:sz w:val="16"/>
          <w:szCs w:val="16"/>
          <w:lang w:val="es-VE"/>
        </w:rPr>
        <w:t>Caso Velásquez Rodríguez Vs. Honduras. Indemnización Compensatoria</w:t>
      </w:r>
      <w:r w:rsidRPr="00866A13">
        <w:rPr>
          <w:rFonts w:asciiTheme="majorHAnsi" w:hAnsiTheme="majorHAnsi"/>
          <w:sz w:val="16"/>
          <w:szCs w:val="16"/>
          <w:lang w:val="es-VE"/>
        </w:rPr>
        <w:t xml:space="preserve"> (art. 63.1 Convención Americana sobre Derechos Humanos). Sentencia de 21 de julio de 1989. Serie C No. 7, párr. 30. En el mismo sentido, Corte I.D.H., </w:t>
      </w:r>
      <w:r w:rsidRPr="00866A13">
        <w:rPr>
          <w:rFonts w:asciiTheme="majorHAnsi" w:hAnsiTheme="majorHAnsi"/>
          <w:i/>
          <w:sz w:val="16"/>
          <w:szCs w:val="16"/>
          <w:lang w:val="es-VE"/>
        </w:rPr>
        <w:t>Caso Aloeboetoe y otros Vs. Surinam. Reparaciones</w:t>
      </w:r>
      <w:r w:rsidRPr="00866A13">
        <w:rPr>
          <w:rFonts w:asciiTheme="majorHAnsi" w:hAnsiTheme="majorHAnsi"/>
          <w:sz w:val="16"/>
          <w:szCs w:val="16"/>
          <w:lang w:val="es-VE"/>
        </w:rPr>
        <w:t xml:space="preserve"> (art. 63.1 Convención Americana sobre Derechos Humanos). Sentencia de 10 de septiembre de 1993. </w:t>
      </w:r>
      <w:r w:rsidRPr="000538E2">
        <w:rPr>
          <w:rFonts w:asciiTheme="majorHAnsi" w:hAnsiTheme="majorHAnsi"/>
          <w:sz w:val="16"/>
          <w:szCs w:val="16"/>
          <w:lang w:val="es-VE"/>
        </w:rPr>
        <w:t>Serie C No. 15, párr. 44.</w:t>
      </w:r>
    </w:p>
    <w:p w14:paraId="44E76685" w14:textId="77777777" w:rsidR="00B93A81" w:rsidRPr="000643AB" w:rsidRDefault="00B93A81" w:rsidP="00247794">
      <w:pPr>
        <w:pStyle w:val="FootnoteText"/>
        <w:jc w:val="both"/>
        <w:rPr>
          <w:rFonts w:ascii="Univers" w:hAnsi="Univers"/>
          <w:szCs w:val="16"/>
          <w:lang w:val="es-MX"/>
        </w:rPr>
      </w:pPr>
    </w:p>
  </w:footnote>
  <w:footnote w:id="106">
    <w:p w14:paraId="7C54DF38" w14:textId="77777777" w:rsidR="00B93A81" w:rsidRPr="000538E2" w:rsidRDefault="00B93A81">
      <w:pPr>
        <w:pStyle w:val="FootnoteText"/>
        <w:rPr>
          <w:lang w:val="es-VE"/>
        </w:rPr>
      </w:pPr>
      <w:r>
        <w:rPr>
          <w:rStyle w:val="FootnoteReference"/>
        </w:rPr>
        <w:footnoteRef/>
      </w:r>
      <w:r w:rsidRPr="000538E2">
        <w:rPr>
          <w:lang w:val="es-VE"/>
        </w:rPr>
        <w:t xml:space="preserve"> </w:t>
      </w:r>
      <w:r>
        <w:rPr>
          <w:lang w:val="es-VE"/>
        </w:rPr>
        <w:t xml:space="preserve">Tratamiento médico y psicológico, 9 casos Colombia. </w:t>
      </w:r>
    </w:p>
  </w:footnote>
  <w:footnote w:id="107">
    <w:p w14:paraId="5F045E8E" w14:textId="77777777" w:rsidR="00B93A81" w:rsidRPr="0014553A" w:rsidRDefault="00B93A81">
      <w:pPr>
        <w:pStyle w:val="FootnoteText"/>
        <w:rPr>
          <w:lang w:val="es-VE"/>
        </w:rPr>
      </w:pPr>
      <w:r>
        <w:rPr>
          <w:rStyle w:val="FootnoteReference"/>
        </w:rPr>
        <w:footnoteRef/>
      </w:r>
      <w:r w:rsidRPr="00531D40">
        <w:rPr>
          <w:lang w:val="es-VE"/>
        </w:rPr>
        <w:t xml:space="preserve"> </w:t>
      </w:r>
      <w:r>
        <w:rPr>
          <w:lang w:val="es-VE"/>
        </w:rPr>
        <w:t>Corte IDH. Caso de las Comunidades Afrodescendientes Desplazadas de la Cuenca del Rio Cacarica (Operación Génesis) vs. Colombia. Excepciones Preliminares, Fondo, Reparaciones y Costas. Sentencia de 20 de noviembre de 2013. Serie C No. 270,  párr. 371-372.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2391" w14:textId="77777777" w:rsidR="00B93A81" w:rsidRDefault="00B93A81" w:rsidP="004F557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A814E70" w14:textId="77777777" w:rsidR="00B93A81" w:rsidRDefault="00B93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6D40" w14:textId="77777777" w:rsidR="00B93A81" w:rsidRDefault="00B93A81" w:rsidP="00A50FCF">
    <w:pPr>
      <w:pStyle w:val="Header"/>
      <w:tabs>
        <w:tab w:val="clear" w:pos="4320"/>
        <w:tab w:val="clear" w:pos="8640"/>
      </w:tabs>
      <w:jc w:val="center"/>
      <w:rPr>
        <w:sz w:val="22"/>
        <w:szCs w:val="22"/>
      </w:rPr>
    </w:pPr>
    <w:r>
      <w:rPr>
        <w:noProof/>
        <w:sz w:val="22"/>
        <w:szCs w:val="22"/>
      </w:rPr>
      <w:drawing>
        <wp:inline distT="0" distB="0" distL="0" distR="0" wp14:anchorId="0BF07CF4" wp14:editId="23F64255">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1F0D17" w14:textId="77777777" w:rsidR="00B93A81" w:rsidRPr="00EC7D62" w:rsidRDefault="005D5F07" w:rsidP="00A50FCF">
    <w:pPr>
      <w:pStyle w:val="Header"/>
      <w:tabs>
        <w:tab w:val="clear" w:pos="4320"/>
        <w:tab w:val="clear" w:pos="8640"/>
      </w:tabs>
      <w:jc w:val="center"/>
      <w:rPr>
        <w:sz w:val="22"/>
        <w:szCs w:val="22"/>
      </w:rPr>
    </w:pPr>
    <w:r>
      <w:rPr>
        <w:noProof/>
        <w:sz w:val="22"/>
        <w:szCs w:val="22"/>
        <w:bdr w:val="nil"/>
      </w:rPr>
      <w:pict w14:anchorId="395B785E">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0D3DAE"/>
    <w:multiLevelType w:val="hybridMultilevel"/>
    <w:tmpl w:val="F17818D6"/>
    <w:lvl w:ilvl="0" w:tplc="0FBC0CC4">
      <w:start w:val="1"/>
      <w:numFmt w:val="decimal"/>
      <w:lvlText w:val="%1."/>
      <w:lvlJc w:val="left"/>
      <w:pPr>
        <w:tabs>
          <w:tab w:val="num" w:pos="1260"/>
        </w:tabs>
        <w:ind w:left="1260" w:hanging="360"/>
      </w:pPr>
      <w:rPr>
        <w:rFonts w:ascii="Cambria" w:hAnsi="Cambria"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8743E1"/>
    <w:multiLevelType w:val="hybridMultilevel"/>
    <w:tmpl w:val="10249C6C"/>
    <w:lvl w:ilvl="0" w:tplc="7E982978">
      <w:start w:val="1"/>
      <w:numFmt w:val="decimal"/>
      <w:lvlText w:val="%1."/>
      <w:lvlJc w:val="left"/>
      <w:pPr>
        <w:ind w:left="900" w:hanging="360"/>
      </w:pPr>
      <w:rPr>
        <w:rFonts w:ascii="Cambria" w:hAnsi="Cambria" w:hint="default"/>
        <w:b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DC61D90"/>
    <w:multiLevelType w:val="hybridMultilevel"/>
    <w:tmpl w:val="66880BA0"/>
    <w:lvl w:ilvl="0" w:tplc="5460635A">
      <w:start w:val="1"/>
      <w:numFmt w:val="decimal"/>
      <w:lvlText w:val="%1."/>
      <w:lvlJc w:val="left"/>
      <w:pPr>
        <w:tabs>
          <w:tab w:val="num" w:pos="1080"/>
        </w:tabs>
        <w:ind w:left="1080" w:hanging="360"/>
      </w:pPr>
      <w:rPr>
        <w:rFonts w:ascii="Cambria" w:hAnsi="Cambria" w:cs="Times New Roman" w:hint="default"/>
        <w:b w:val="0"/>
        <w:i w:val="0"/>
        <w:color w:val="auto"/>
        <w:sz w:val="20"/>
        <w:szCs w:val="20"/>
        <w:lang w:val="es-V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D4DC3"/>
    <w:multiLevelType w:val="hybridMultilevel"/>
    <w:tmpl w:val="C4AE0300"/>
    <w:lvl w:ilvl="0" w:tplc="686A2502">
      <w:start w:val="1"/>
      <w:numFmt w:val="upperLetter"/>
      <w:pStyle w:val="Heading2"/>
      <w:lvlText w:val="%1."/>
      <w:lvlJc w:val="left"/>
      <w:pPr>
        <w:ind w:left="0" w:firstLine="1066"/>
      </w:pPr>
      <w:rPr>
        <w:rFonts w:ascii="Cambria (Theme Body)" w:hAnsi="Cambria (Theme Body)" w:hint="default"/>
        <w:b/>
        <w:bCs/>
        <w:i w:val="0"/>
        <w:iCs w:val="0"/>
        <w:color w:val="auto"/>
        <w:sz w:val="20"/>
        <w:szCs w:val="20"/>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D7D4B9D"/>
    <w:multiLevelType w:val="hybridMultilevel"/>
    <w:tmpl w:val="8E58423E"/>
    <w:lvl w:ilvl="0" w:tplc="2A0EB2AC">
      <w:start w:val="1"/>
      <w:numFmt w:val="decimal"/>
      <w:lvlText w:val="%1."/>
      <w:lvlJc w:val="left"/>
      <w:pPr>
        <w:ind w:left="900" w:hanging="360"/>
      </w:pPr>
      <w:rPr>
        <w:rFonts w:ascii="Cambria" w:hAnsi="Cambria" w:hint="default"/>
        <w:b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582AF4"/>
    <w:multiLevelType w:val="hybridMultilevel"/>
    <w:tmpl w:val="D2EC2224"/>
    <w:lvl w:ilvl="0" w:tplc="0254CEB8">
      <w:start w:val="1"/>
      <w:numFmt w:val="decimal"/>
      <w:pStyle w:val="Heading3"/>
      <w:lvlText w:val="%1."/>
      <w:lvlJc w:val="left"/>
      <w:pPr>
        <w:ind w:left="720" w:firstLine="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0561B8E"/>
    <w:multiLevelType w:val="hybridMultilevel"/>
    <w:tmpl w:val="86A2813E"/>
    <w:lvl w:ilvl="0" w:tplc="71B23924">
      <w:start w:val="1"/>
      <w:numFmt w:val="decimal"/>
      <w:lvlText w:val="%1."/>
      <w:lvlJc w:val="left"/>
      <w:pPr>
        <w:tabs>
          <w:tab w:val="num" w:pos="1429"/>
        </w:tabs>
        <w:ind w:left="1429" w:hanging="720"/>
      </w:pPr>
      <w:rPr>
        <w:rFonts w:ascii="Cambria" w:hAnsi="Cambria" w:cs="Times New Roman" w:hint="default"/>
        <w:b w:val="0"/>
        <w:color w:val="auto"/>
        <w:sz w:val="20"/>
        <w:szCs w:val="20"/>
      </w:rPr>
    </w:lvl>
    <w:lvl w:ilvl="1" w:tplc="04090019">
      <w:start w:val="1"/>
      <w:numFmt w:val="lowerLetter"/>
      <w:lvlText w:val="%2."/>
      <w:lvlJc w:val="left"/>
      <w:pPr>
        <w:tabs>
          <w:tab w:val="num" w:pos="1800"/>
        </w:tabs>
        <w:ind w:left="1800" w:hanging="360"/>
      </w:pPr>
      <w:rPr>
        <w:rFonts w:cs="Times New Roman"/>
      </w:rPr>
    </w:lvl>
    <w:lvl w:ilvl="2" w:tplc="3CA6FEDA">
      <w:start w:val="5"/>
      <w:numFmt w:val="upperRoman"/>
      <w:lvlText w:val="%3."/>
      <w:lvlJc w:val="left"/>
      <w:pPr>
        <w:tabs>
          <w:tab w:val="num" w:pos="3060"/>
        </w:tabs>
        <w:ind w:left="3060" w:hanging="720"/>
      </w:pPr>
      <w:rPr>
        <w:rFonts w:cs="Times New Roman" w:hint="default"/>
      </w:rPr>
    </w:lvl>
    <w:lvl w:ilvl="3" w:tplc="04090015">
      <w:start w:val="1"/>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6A101BB"/>
    <w:multiLevelType w:val="hybridMultilevel"/>
    <w:tmpl w:val="35C8B98A"/>
    <w:lvl w:ilvl="0" w:tplc="74066F1E">
      <w:start w:val="1"/>
      <w:numFmt w:val="upperRoman"/>
      <w:lvlText w:val="%1."/>
      <w:lvlJc w:val="left"/>
      <w:pPr>
        <w:tabs>
          <w:tab w:val="num" w:pos="1440"/>
        </w:tabs>
        <w:ind w:left="1440" w:hanging="720"/>
      </w:pPr>
      <w:rPr>
        <w:rFonts w:cs="Times New Roman" w:hint="default"/>
        <w:b/>
        <w:color w:val="auto"/>
        <w:sz w:val="20"/>
        <w:szCs w:val="20"/>
      </w:rPr>
    </w:lvl>
    <w:lvl w:ilvl="1" w:tplc="2A1CF73E">
      <w:start w:val="1"/>
      <w:numFmt w:val="decimal"/>
      <w:lvlText w:val="%2."/>
      <w:lvlJc w:val="left"/>
      <w:pPr>
        <w:tabs>
          <w:tab w:val="num" w:pos="1800"/>
        </w:tabs>
        <w:ind w:left="1800" w:hanging="360"/>
      </w:pPr>
      <w:rPr>
        <w:rFonts w:asciiTheme="majorHAnsi" w:hAnsiTheme="majorHAnsi" w:cs="Times New Roman" w:hint="default"/>
        <w:b/>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25E2985E"/>
    <w:lvl w:ilvl="0" w:tplc="D310B3F0">
      <w:start w:val="1"/>
      <w:numFmt w:val="upperRoman"/>
      <w:pStyle w:val="Heading1"/>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5C41EFD"/>
    <w:multiLevelType w:val="hybridMultilevel"/>
    <w:tmpl w:val="D2BACC68"/>
    <w:lvl w:ilvl="0" w:tplc="97123116">
      <w:start w:val="1"/>
      <w:numFmt w:val="decimal"/>
      <w:lvlText w:val="%1."/>
      <w:lvlJc w:val="left"/>
      <w:pPr>
        <w:tabs>
          <w:tab w:val="num" w:pos="720"/>
        </w:tabs>
        <w:ind w:left="720" w:hanging="360"/>
      </w:pPr>
      <w:rPr>
        <w:rFonts w:hint="default"/>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7"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8"/>
  </w:num>
  <w:num w:numId="4">
    <w:abstractNumId w:val="21"/>
  </w:num>
  <w:num w:numId="5">
    <w:abstractNumId w:val="50"/>
  </w:num>
  <w:num w:numId="6">
    <w:abstractNumId w:val="26"/>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5"/>
  </w:num>
  <w:num w:numId="31">
    <w:abstractNumId w:val="27"/>
  </w:num>
  <w:num w:numId="32">
    <w:abstractNumId w:val="29"/>
  </w:num>
  <w:num w:numId="33">
    <w:abstractNumId w:val="30"/>
  </w:num>
  <w:num w:numId="34">
    <w:abstractNumId w:val="31"/>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9"/>
  </w:num>
  <w:num w:numId="42">
    <w:abstractNumId w:val="52"/>
  </w:num>
  <w:num w:numId="43">
    <w:abstractNumId w:val="53"/>
  </w:num>
  <w:num w:numId="44">
    <w:abstractNumId w:val="55"/>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20"/>
  </w:num>
  <w:num w:numId="52">
    <w:abstractNumId w:val="41"/>
  </w:num>
  <w:num w:numId="53">
    <w:abstractNumId w:val="54"/>
  </w:num>
  <w:num w:numId="54">
    <w:abstractNumId w:val="45"/>
  </w:num>
  <w:num w:numId="55">
    <w:abstractNumId w:val="46"/>
  </w:num>
  <w:num w:numId="56">
    <w:abstractNumId w:val="43"/>
  </w:num>
  <w:num w:numId="57">
    <w:abstractNumId w:val="32"/>
  </w:num>
  <w:num w:numId="58">
    <w:abstractNumId w:val="32"/>
    <w:lvlOverride w:ilvl="0">
      <w:startOverride w:val="1"/>
    </w:lvlOverride>
  </w:num>
  <w:num w:numId="59">
    <w:abstractNumId w:val="47"/>
  </w:num>
  <w:num w:numId="60">
    <w:abstractNumId w:val="32"/>
    <w:lvlOverride w:ilvl="0">
      <w:startOverride w:val="1"/>
    </w:lvlOverride>
  </w:num>
  <w:num w:numId="61">
    <w:abstractNumId w:val="47"/>
    <w:lvlOverride w:ilvl="0">
      <w:startOverride w:val="1"/>
    </w:lvlOverride>
  </w:num>
  <w:num w:numId="62">
    <w:abstractNumId w:val="47"/>
    <w:lvlOverride w:ilvl="0">
      <w:startOverride w:val="1"/>
    </w:lvlOverride>
  </w:num>
  <w:num w:numId="63">
    <w:abstractNumId w:val="4"/>
  </w:num>
  <w:num w:numId="64">
    <w:abstractNumId w:val="54"/>
    <w:lvlOverride w:ilvl="0">
      <w:startOverride w:val="1"/>
    </w:lvlOverride>
  </w:num>
  <w:num w:numId="65">
    <w:abstractNumId w:val="48"/>
  </w:num>
  <w:num w:numId="66">
    <w:abstractNumId w:val="19"/>
  </w:num>
  <w:num w:numId="67">
    <w:abstractNumId w:val="51"/>
  </w:num>
  <w:num w:numId="68">
    <w:abstractNumId w:val="54"/>
  </w:num>
  <w:num w:numId="69">
    <w:abstractNumId w:val="54"/>
  </w:num>
  <w:num w:numId="70">
    <w:abstractNumId w:val="54"/>
  </w:num>
  <w:num w:numId="71">
    <w:abstractNumId w:val="28"/>
  </w:num>
  <w:num w:numId="72">
    <w:abstractNumId w:val="5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3B99"/>
    <w:rsid w:val="00005058"/>
    <w:rsid w:val="0000591E"/>
    <w:rsid w:val="00006252"/>
    <w:rsid w:val="00006896"/>
    <w:rsid w:val="00006E1F"/>
    <w:rsid w:val="000070D7"/>
    <w:rsid w:val="00007FC3"/>
    <w:rsid w:val="00010F61"/>
    <w:rsid w:val="000158FD"/>
    <w:rsid w:val="000160CB"/>
    <w:rsid w:val="000168C3"/>
    <w:rsid w:val="0001788C"/>
    <w:rsid w:val="0002310F"/>
    <w:rsid w:val="000266D9"/>
    <w:rsid w:val="00031C85"/>
    <w:rsid w:val="000330FD"/>
    <w:rsid w:val="00033A77"/>
    <w:rsid w:val="00034DD3"/>
    <w:rsid w:val="0003572A"/>
    <w:rsid w:val="00036249"/>
    <w:rsid w:val="00037250"/>
    <w:rsid w:val="000377E1"/>
    <w:rsid w:val="00040C3A"/>
    <w:rsid w:val="00040F64"/>
    <w:rsid w:val="000538D6"/>
    <w:rsid w:val="000538E2"/>
    <w:rsid w:val="000568C0"/>
    <w:rsid w:val="00062F92"/>
    <w:rsid w:val="00063024"/>
    <w:rsid w:val="00067A5D"/>
    <w:rsid w:val="00071287"/>
    <w:rsid w:val="000716C5"/>
    <w:rsid w:val="0007527D"/>
    <w:rsid w:val="00075522"/>
    <w:rsid w:val="00075E23"/>
    <w:rsid w:val="00082A17"/>
    <w:rsid w:val="00082A4B"/>
    <w:rsid w:val="00082E9E"/>
    <w:rsid w:val="00083DED"/>
    <w:rsid w:val="000846D0"/>
    <w:rsid w:val="00084E16"/>
    <w:rsid w:val="0008565A"/>
    <w:rsid w:val="0008768F"/>
    <w:rsid w:val="00090B9E"/>
    <w:rsid w:val="00090EA3"/>
    <w:rsid w:val="0009344A"/>
    <w:rsid w:val="00093681"/>
    <w:rsid w:val="00094AD2"/>
    <w:rsid w:val="00095BC5"/>
    <w:rsid w:val="000A16DA"/>
    <w:rsid w:val="000A392E"/>
    <w:rsid w:val="000A4A92"/>
    <w:rsid w:val="000A4B44"/>
    <w:rsid w:val="000A558A"/>
    <w:rsid w:val="000A575F"/>
    <w:rsid w:val="000A576A"/>
    <w:rsid w:val="000A78C9"/>
    <w:rsid w:val="000B1554"/>
    <w:rsid w:val="000B172F"/>
    <w:rsid w:val="000B341C"/>
    <w:rsid w:val="000B3F2B"/>
    <w:rsid w:val="000B45CF"/>
    <w:rsid w:val="000B6D87"/>
    <w:rsid w:val="000B7A1D"/>
    <w:rsid w:val="000C04B8"/>
    <w:rsid w:val="000C1730"/>
    <w:rsid w:val="000C1B4A"/>
    <w:rsid w:val="000C3A20"/>
    <w:rsid w:val="000C5BAC"/>
    <w:rsid w:val="000C7251"/>
    <w:rsid w:val="000C7917"/>
    <w:rsid w:val="000D075E"/>
    <w:rsid w:val="000D0A45"/>
    <w:rsid w:val="000D10DB"/>
    <w:rsid w:val="000D2477"/>
    <w:rsid w:val="000D2743"/>
    <w:rsid w:val="000D2AEA"/>
    <w:rsid w:val="000D33EB"/>
    <w:rsid w:val="000D54E3"/>
    <w:rsid w:val="000E0F77"/>
    <w:rsid w:val="000E2E0A"/>
    <w:rsid w:val="000E53E8"/>
    <w:rsid w:val="000E5EB5"/>
    <w:rsid w:val="000E6151"/>
    <w:rsid w:val="000E7A8A"/>
    <w:rsid w:val="000F13B5"/>
    <w:rsid w:val="000F35ED"/>
    <w:rsid w:val="000F3AFA"/>
    <w:rsid w:val="000F3BE0"/>
    <w:rsid w:val="000F4E6D"/>
    <w:rsid w:val="000F7137"/>
    <w:rsid w:val="00100286"/>
    <w:rsid w:val="001025DF"/>
    <w:rsid w:val="00107131"/>
    <w:rsid w:val="0010736F"/>
    <w:rsid w:val="00113F73"/>
    <w:rsid w:val="00114F40"/>
    <w:rsid w:val="00115AF3"/>
    <w:rsid w:val="00115E84"/>
    <w:rsid w:val="00116015"/>
    <w:rsid w:val="00121CC2"/>
    <w:rsid w:val="0012277B"/>
    <w:rsid w:val="001261F2"/>
    <w:rsid w:val="0012646F"/>
    <w:rsid w:val="00127F1E"/>
    <w:rsid w:val="00133EE5"/>
    <w:rsid w:val="00134CFB"/>
    <w:rsid w:val="00135338"/>
    <w:rsid w:val="00140956"/>
    <w:rsid w:val="00141677"/>
    <w:rsid w:val="0014247B"/>
    <w:rsid w:val="0014270D"/>
    <w:rsid w:val="0014553A"/>
    <w:rsid w:val="00153A7C"/>
    <w:rsid w:val="00153ED8"/>
    <w:rsid w:val="00156829"/>
    <w:rsid w:val="00157119"/>
    <w:rsid w:val="00161411"/>
    <w:rsid w:val="00164DD9"/>
    <w:rsid w:val="00165F9C"/>
    <w:rsid w:val="00166189"/>
    <w:rsid w:val="00166201"/>
    <w:rsid w:val="0016777F"/>
    <w:rsid w:val="00167A34"/>
    <w:rsid w:val="00171B7E"/>
    <w:rsid w:val="00172468"/>
    <w:rsid w:val="00172856"/>
    <w:rsid w:val="00175C7E"/>
    <w:rsid w:val="001765D7"/>
    <w:rsid w:val="001804CC"/>
    <w:rsid w:val="001809E7"/>
    <w:rsid w:val="00181424"/>
    <w:rsid w:val="00181F34"/>
    <w:rsid w:val="00184EA6"/>
    <w:rsid w:val="00184F8D"/>
    <w:rsid w:val="0018697E"/>
    <w:rsid w:val="00187411"/>
    <w:rsid w:val="00191933"/>
    <w:rsid w:val="00193A91"/>
    <w:rsid w:val="00194188"/>
    <w:rsid w:val="00194BA1"/>
    <w:rsid w:val="001963EB"/>
    <w:rsid w:val="001A01DC"/>
    <w:rsid w:val="001A24FD"/>
    <w:rsid w:val="001A7870"/>
    <w:rsid w:val="001B1296"/>
    <w:rsid w:val="001B2533"/>
    <w:rsid w:val="001B6A51"/>
    <w:rsid w:val="001B6BF1"/>
    <w:rsid w:val="001B786A"/>
    <w:rsid w:val="001C103F"/>
    <w:rsid w:val="001C1B41"/>
    <w:rsid w:val="001C5242"/>
    <w:rsid w:val="001C5B5E"/>
    <w:rsid w:val="001D18C7"/>
    <w:rsid w:val="001D1F79"/>
    <w:rsid w:val="001D4053"/>
    <w:rsid w:val="001D65EF"/>
    <w:rsid w:val="001D7759"/>
    <w:rsid w:val="001E15B6"/>
    <w:rsid w:val="001E1781"/>
    <w:rsid w:val="001E3EBE"/>
    <w:rsid w:val="001E3F38"/>
    <w:rsid w:val="001E3FD1"/>
    <w:rsid w:val="001E7D74"/>
    <w:rsid w:val="001E7E48"/>
    <w:rsid w:val="001F0773"/>
    <w:rsid w:val="001F4743"/>
    <w:rsid w:val="001F78C0"/>
    <w:rsid w:val="001F7EE7"/>
    <w:rsid w:val="002006A1"/>
    <w:rsid w:val="002023FB"/>
    <w:rsid w:val="00204B61"/>
    <w:rsid w:val="00215763"/>
    <w:rsid w:val="00220036"/>
    <w:rsid w:val="002205E7"/>
    <w:rsid w:val="00221021"/>
    <w:rsid w:val="0022164C"/>
    <w:rsid w:val="00222122"/>
    <w:rsid w:val="002229F6"/>
    <w:rsid w:val="0022306D"/>
    <w:rsid w:val="002250A3"/>
    <w:rsid w:val="0022641F"/>
    <w:rsid w:val="00226D5C"/>
    <w:rsid w:val="00231251"/>
    <w:rsid w:val="002332DE"/>
    <w:rsid w:val="00235217"/>
    <w:rsid w:val="00235AA3"/>
    <w:rsid w:val="0023603F"/>
    <w:rsid w:val="002400FA"/>
    <w:rsid w:val="00240CDA"/>
    <w:rsid w:val="00240F51"/>
    <w:rsid w:val="00241814"/>
    <w:rsid w:val="002464DA"/>
    <w:rsid w:val="00246D1F"/>
    <w:rsid w:val="00247403"/>
    <w:rsid w:val="00247542"/>
    <w:rsid w:val="00247794"/>
    <w:rsid w:val="002560BA"/>
    <w:rsid w:val="002572E5"/>
    <w:rsid w:val="00260E5C"/>
    <w:rsid w:val="00263A09"/>
    <w:rsid w:val="002667FC"/>
    <w:rsid w:val="00266B61"/>
    <w:rsid w:val="0026712A"/>
    <w:rsid w:val="00270024"/>
    <w:rsid w:val="002704DB"/>
    <w:rsid w:val="00271784"/>
    <w:rsid w:val="00271E0D"/>
    <w:rsid w:val="00272F28"/>
    <w:rsid w:val="00276405"/>
    <w:rsid w:val="00276DF8"/>
    <w:rsid w:val="00277EF9"/>
    <w:rsid w:val="00277F85"/>
    <w:rsid w:val="00277FAF"/>
    <w:rsid w:val="002827DD"/>
    <w:rsid w:val="00286267"/>
    <w:rsid w:val="0028642E"/>
    <w:rsid w:val="0029030E"/>
    <w:rsid w:val="0029155C"/>
    <w:rsid w:val="00291A85"/>
    <w:rsid w:val="00295E57"/>
    <w:rsid w:val="00296567"/>
    <w:rsid w:val="002978B1"/>
    <w:rsid w:val="002A06F0"/>
    <w:rsid w:val="002A0AAE"/>
    <w:rsid w:val="002A136B"/>
    <w:rsid w:val="002A28A0"/>
    <w:rsid w:val="002A3D4B"/>
    <w:rsid w:val="002A4182"/>
    <w:rsid w:val="002A5820"/>
    <w:rsid w:val="002A678D"/>
    <w:rsid w:val="002A779F"/>
    <w:rsid w:val="002A7E5E"/>
    <w:rsid w:val="002B00C4"/>
    <w:rsid w:val="002B1BDD"/>
    <w:rsid w:val="002B2479"/>
    <w:rsid w:val="002B33C7"/>
    <w:rsid w:val="002B421C"/>
    <w:rsid w:val="002B5A5C"/>
    <w:rsid w:val="002C0460"/>
    <w:rsid w:val="002C117F"/>
    <w:rsid w:val="002C143B"/>
    <w:rsid w:val="002C5B13"/>
    <w:rsid w:val="002D2B26"/>
    <w:rsid w:val="002D572D"/>
    <w:rsid w:val="002D57ED"/>
    <w:rsid w:val="002D7C86"/>
    <w:rsid w:val="002D7EA2"/>
    <w:rsid w:val="002E187C"/>
    <w:rsid w:val="002E2909"/>
    <w:rsid w:val="002E2923"/>
    <w:rsid w:val="002E2FA1"/>
    <w:rsid w:val="002E4AEA"/>
    <w:rsid w:val="002E622D"/>
    <w:rsid w:val="002E7648"/>
    <w:rsid w:val="002F74F0"/>
    <w:rsid w:val="00300717"/>
    <w:rsid w:val="003017AE"/>
    <w:rsid w:val="00302733"/>
    <w:rsid w:val="00303D52"/>
    <w:rsid w:val="00303ECB"/>
    <w:rsid w:val="00304268"/>
    <w:rsid w:val="00307ABC"/>
    <w:rsid w:val="00310D1D"/>
    <w:rsid w:val="00311260"/>
    <w:rsid w:val="00312F43"/>
    <w:rsid w:val="00314078"/>
    <w:rsid w:val="0031535D"/>
    <w:rsid w:val="00324A8A"/>
    <w:rsid w:val="00326FFE"/>
    <w:rsid w:val="0033028D"/>
    <w:rsid w:val="0033169F"/>
    <w:rsid w:val="00332AEB"/>
    <w:rsid w:val="00334613"/>
    <w:rsid w:val="00335311"/>
    <w:rsid w:val="0033536C"/>
    <w:rsid w:val="00337EC0"/>
    <w:rsid w:val="003403BF"/>
    <w:rsid w:val="00341469"/>
    <w:rsid w:val="00341FA6"/>
    <w:rsid w:val="003457D5"/>
    <w:rsid w:val="00346C95"/>
    <w:rsid w:val="00350D8F"/>
    <w:rsid w:val="00351B79"/>
    <w:rsid w:val="0035368B"/>
    <w:rsid w:val="00354D73"/>
    <w:rsid w:val="00356185"/>
    <w:rsid w:val="00356D7E"/>
    <w:rsid w:val="00357E11"/>
    <w:rsid w:val="00360380"/>
    <w:rsid w:val="00361415"/>
    <w:rsid w:val="0036453B"/>
    <w:rsid w:val="00365872"/>
    <w:rsid w:val="00366426"/>
    <w:rsid w:val="00367E8B"/>
    <w:rsid w:val="00371C23"/>
    <w:rsid w:val="00372912"/>
    <w:rsid w:val="0037519E"/>
    <w:rsid w:val="0037528C"/>
    <w:rsid w:val="0037748E"/>
    <w:rsid w:val="00377746"/>
    <w:rsid w:val="0038298A"/>
    <w:rsid w:val="00383B4A"/>
    <w:rsid w:val="00384050"/>
    <w:rsid w:val="003851F8"/>
    <w:rsid w:val="00386CF0"/>
    <w:rsid w:val="00387985"/>
    <w:rsid w:val="00390D68"/>
    <w:rsid w:val="00390ED8"/>
    <w:rsid w:val="003926D5"/>
    <w:rsid w:val="00393DA1"/>
    <w:rsid w:val="00393F3D"/>
    <w:rsid w:val="003945A2"/>
    <w:rsid w:val="00394D45"/>
    <w:rsid w:val="00394D5E"/>
    <w:rsid w:val="00394DB7"/>
    <w:rsid w:val="00397554"/>
    <w:rsid w:val="00397A56"/>
    <w:rsid w:val="003A06C7"/>
    <w:rsid w:val="003A084A"/>
    <w:rsid w:val="003A775D"/>
    <w:rsid w:val="003A7949"/>
    <w:rsid w:val="003A7988"/>
    <w:rsid w:val="003B08E7"/>
    <w:rsid w:val="003B2038"/>
    <w:rsid w:val="003B3B24"/>
    <w:rsid w:val="003B491A"/>
    <w:rsid w:val="003B5EBE"/>
    <w:rsid w:val="003C0F5B"/>
    <w:rsid w:val="003C28B5"/>
    <w:rsid w:val="003C291D"/>
    <w:rsid w:val="003C532D"/>
    <w:rsid w:val="003C676B"/>
    <w:rsid w:val="003D0D40"/>
    <w:rsid w:val="003D0EEF"/>
    <w:rsid w:val="003D3BC2"/>
    <w:rsid w:val="003D573B"/>
    <w:rsid w:val="003D5E58"/>
    <w:rsid w:val="003D67C7"/>
    <w:rsid w:val="003D7C03"/>
    <w:rsid w:val="003E039E"/>
    <w:rsid w:val="003E0843"/>
    <w:rsid w:val="003E0BED"/>
    <w:rsid w:val="003E3FF9"/>
    <w:rsid w:val="003E432F"/>
    <w:rsid w:val="003E6CA1"/>
    <w:rsid w:val="003F50AA"/>
    <w:rsid w:val="003F5CDB"/>
    <w:rsid w:val="003F6D16"/>
    <w:rsid w:val="003F7591"/>
    <w:rsid w:val="00400BBA"/>
    <w:rsid w:val="004028C7"/>
    <w:rsid w:val="00405C21"/>
    <w:rsid w:val="0040607F"/>
    <w:rsid w:val="00406B0D"/>
    <w:rsid w:val="004074DE"/>
    <w:rsid w:val="00410F28"/>
    <w:rsid w:val="00412937"/>
    <w:rsid w:val="004165C2"/>
    <w:rsid w:val="004167D0"/>
    <w:rsid w:val="00416C0A"/>
    <w:rsid w:val="004203EE"/>
    <w:rsid w:val="00422354"/>
    <w:rsid w:val="00422F55"/>
    <w:rsid w:val="00426114"/>
    <w:rsid w:val="0042634E"/>
    <w:rsid w:val="00426604"/>
    <w:rsid w:val="00426A6D"/>
    <w:rsid w:val="0042799C"/>
    <w:rsid w:val="00431011"/>
    <w:rsid w:val="0043121A"/>
    <w:rsid w:val="004315CF"/>
    <w:rsid w:val="00432E0F"/>
    <w:rsid w:val="00433D53"/>
    <w:rsid w:val="00434DA4"/>
    <w:rsid w:val="00435007"/>
    <w:rsid w:val="0043519A"/>
    <w:rsid w:val="004364B3"/>
    <w:rsid w:val="00436AF0"/>
    <w:rsid w:val="00437116"/>
    <w:rsid w:val="00437531"/>
    <w:rsid w:val="00437655"/>
    <w:rsid w:val="0044020E"/>
    <w:rsid w:val="0044027F"/>
    <w:rsid w:val="00441ECB"/>
    <w:rsid w:val="00444241"/>
    <w:rsid w:val="004459FA"/>
    <w:rsid w:val="00445F9C"/>
    <w:rsid w:val="0044699A"/>
    <w:rsid w:val="00446A6B"/>
    <w:rsid w:val="00446CA2"/>
    <w:rsid w:val="004517F2"/>
    <w:rsid w:val="00451C68"/>
    <w:rsid w:val="00455232"/>
    <w:rsid w:val="004559F3"/>
    <w:rsid w:val="0045621A"/>
    <w:rsid w:val="00457555"/>
    <w:rsid w:val="00463338"/>
    <w:rsid w:val="00464055"/>
    <w:rsid w:val="00467B7E"/>
    <w:rsid w:val="00471413"/>
    <w:rsid w:val="00471B0E"/>
    <w:rsid w:val="00472441"/>
    <w:rsid w:val="00473F6A"/>
    <w:rsid w:val="0047535B"/>
    <w:rsid w:val="0047583A"/>
    <w:rsid w:val="00477592"/>
    <w:rsid w:val="00481A4B"/>
    <w:rsid w:val="00481F97"/>
    <w:rsid w:val="00482EC8"/>
    <w:rsid w:val="00483337"/>
    <w:rsid w:val="00485D38"/>
    <w:rsid w:val="00486F1C"/>
    <w:rsid w:val="00491B8A"/>
    <w:rsid w:val="004938B1"/>
    <w:rsid w:val="0049419D"/>
    <w:rsid w:val="00494810"/>
    <w:rsid w:val="004953C8"/>
    <w:rsid w:val="00495A85"/>
    <w:rsid w:val="004A02F4"/>
    <w:rsid w:val="004A0DB2"/>
    <w:rsid w:val="004A34A5"/>
    <w:rsid w:val="004A4841"/>
    <w:rsid w:val="004A63D4"/>
    <w:rsid w:val="004B0304"/>
    <w:rsid w:val="004B0C74"/>
    <w:rsid w:val="004B1C98"/>
    <w:rsid w:val="004B46A5"/>
    <w:rsid w:val="004B4EBE"/>
    <w:rsid w:val="004B6CCB"/>
    <w:rsid w:val="004B7927"/>
    <w:rsid w:val="004C20D2"/>
    <w:rsid w:val="004C41DF"/>
    <w:rsid w:val="004C4B62"/>
    <w:rsid w:val="004C54C9"/>
    <w:rsid w:val="004C568A"/>
    <w:rsid w:val="004C7860"/>
    <w:rsid w:val="004C790D"/>
    <w:rsid w:val="004C7D1C"/>
    <w:rsid w:val="004D07B6"/>
    <w:rsid w:val="004D195F"/>
    <w:rsid w:val="004D2720"/>
    <w:rsid w:val="004D45EF"/>
    <w:rsid w:val="004D5CC2"/>
    <w:rsid w:val="004D6025"/>
    <w:rsid w:val="004D6618"/>
    <w:rsid w:val="004E11B7"/>
    <w:rsid w:val="004E2649"/>
    <w:rsid w:val="004E3DF7"/>
    <w:rsid w:val="004E5533"/>
    <w:rsid w:val="004E581B"/>
    <w:rsid w:val="004E656B"/>
    <w:rsid w:val="004F2B7B"/>
    <w:rsid w:val="004F47A6"/>
    <w:rsid w:val="004F557A"/>
    <w:rsid w:val="004F627D"/>
    <w:rsid w:val="004F66FA"/>
    <w:rsid w:val="004F7805"/>
    <w:rsid w:val="00501399"/>
    <w:rsid w:val="00502408"/>
    <w:rsid w:val="005047BF"/>
    <w:rsid w:val="0050633D"/>
    <w:rsid w:val="00506A62"/>
    <w:rsid w:val="00507BC4"/>
    <w:rsid w:val="00511B3E"/>
    <w:rsid w:val="00512036"/>
    <w:rsid w:val="005128E4"/>
    <w:rsid w:val="00512D38"/>
    <w:rsid w:val="005133DB"/>
    <w:rsid w:val="00515F5F"/>
    <w:rsid w:val="00516835"/>
    <w:rsid w:val="00516D83"/>
    <w:rsid w:val="005174B2"/>
    <w:rsid w:val="0051796A"/>
    <w:rsid w:val="00521EF3"/>
    <w:rsid w:val="00525560"/>
    <w:rsid w:val="005273C7"/>
    <w:rsid w:val="00530B9E"/>
    <w:rsid w:val="00530CDB"/>
    <w:rsid w:val="00531D40"/>
    <w:rsid w:val="005354F2"/>
    <w:rsid w:val="005354F3"/>
    <w:rsid w:val="00536068"/>
    <w:rsid w:val="00536923"/>
    <w:rsid w:val="00537AFE"/>
    <w:rsid w:val="0054072A"/>
    <w:rsid w:val="005428BE"/>
    <w:rsid w:val="005430CE"/>
    <w:rsid w:val="00543ED7"/>
    <w:rsid w:val="00544C49"/>
    <w:rsid w:val="00547540"/>
    <w:rsid w:val="00551214"/>
    <w:rsid w:val="005516A1"/>
    <w:rsid w:val="00551D69"/>
    <w:rsid w:val="00553251"/>
    <w:rsid w:val="0055377F"/>
    <w:rsid w:val="00556F75"/>
    <w:rsid w:val="0056111D"/>
    <w:rsid w:val="0056176B"/>
    <w:rsid w:val="00561A74"/>
    <w:rsid w:val="005627C5"/>
    <w:rsid w:val="00563F07"/>
    <w:rsid w:val="00565744"/>
    <w:rsid w:val="00565C0C"/>
    <w:rsid w:val="00566515"/>
    <w:rsid w:val="0056701B"/>
    <w:rsid w:val="00567B37"/>
    <w:rsid w:val="005728B5"/>
    <w:rsid w:val="0057402A"/>
    <w:rsid w:val="0057509E"/>
    <w:rsid w:val="00575169"/>
    <w:rsid w:val="0057676C"/>
    <w:rsid w:val="005771D0"/>
    <w:rsid w:val="00582B33"/>
    <w:rsid w:val="00583A3A"/>
    <w:rsid w:val="00584B1E"/>
    <w:rsid w:val="00585AE3"/>
    <w:rsid w:val="0058659B"/>
    <w:rsid w:val="00587E56"/>
    <w:rsid w:val="00591109"/>
    <w:rsid w:val="0059191A"/>
    <w:rsid w:val="005921FF"/>
    <w:rsid w:val="005937F1"/>
    <w:rsid w:val="005945CA"/>
    <w:rsid w:val="00594BC0"/>
    <w:rsid w:val="00595C1D"/>
    <w:rsid w:val="00597A93"/>
    <w:rsid w:val="005A0A43"/>
    <w:rsid w:val="005A1A26"/>
    <w:rsid w:val="005A21DC"/>
    <w:rsid w:val="005A4E37"/>
    <w:rsid w:val="005A5B34"/>
    <w:rsid w:val="005A60BA"/>
    <w:rsid w:val="005A6D0E"/>
    <w:rsid w:val="005B1DC1"/>
    <w:rsid w:val="005B417A"/>
    <w:rsid w:val="005B443F"/>
    <w:rsid w:val="005B52B0"/>
    <w:rsid w:val="005B6806"/>
    <w:rsid w:val="005B7351"/>
    <w:rsid w:val="005C14B9"/>
    <w:rsid w:val="005C4225"/>
    <w:rsid w:val="005C4A6A"/>
    <w:rsid w:val="005C4CA5"/>
    <w:rsid w:val="005C6BB6"/>
    <w:rsid w:val="005D0182"/>
    <w:rsid w:val="005D0DB1"/>
    <w:rsid w:val="005D286F"/>
    <w:rsid w:val="005D32D6"/>
    <w:rsid w:val="005D450A"/>
    <w:rsid w:val="005D5F07"/>
    <w:rsid w:val="005E01B4"/>
    <w:rsid w:val="005E15D2"/>
    <w:rsid w:val="005F0DAD"/>
    <w:rsid w:val="005F0F33"/>
    <w:rsid w:val="005F309E"/>
    <w:rsid w:val="005F5230"/>
    <w:rsid w:val="00600DEB"/>
    <w:rsid w:val="00606A43"/>
    <w:rsid w:val="00610AC9"/>
    <w:rsid w:val="006121E7"/>
    <w:rsid w:val="006125C3"/>
    <w:rsid w:val="006169D3"/>
    <w:rsid w:val="00616B15"/>
    <w:rsid w:val="006205AD"/>
    <w:rsid w:val="00621F32"/>
    <w:rsid w:val="00624ED0"/>
    <w:rsid w:val="00626ED4"/>
    <w:rsid w:val="00627753"/>
    <w:rsid w:val="00627C9F"/>
    <w:rsid w:val="006311E9"/>
    <w:rsid w:val="00631843"/>
    <w:rsid w:val="00632354"/>
    <w:rsid w:val="0063276F"/>
    <w:rsid w:val="006345E2"/>
    <w:rsid w:val="006352A3"/>
    <w:rsid w:val="00636646"/>
    <w:rsid w:val="00637FFB"/>
    <w:rsid w:val="00642810"/>
    <w:rsid w:val="0064632B"/>
    <w:rsid w:val="006466E6"/>
    <w:rsid w:val="006479D7"/>
    <w:rsid w:val="00647AF4"/>
    <w:rsid w:val="00650BE5"/>
    <w:rsid w:val="00652333"/>
    <w:rsid w:val="00654199"/>
    <w:rsid w:val="00654AD9"/>
    <w:rsid w:val="00660192"/>
    <w:rsid w:val="00664D20"/>
    <w:rsid w:val="00665591"/>
    <w:rsid w:val="00665690"/>
    <w:rsid w:val="00666CA4"/>
    <w:rsid w:val="00671DEF"/>
    <w:rsid w:val="00673201"/>
    <w:rsid w:val="00673495"/>
    <w:rsid w:val="0068009E"/>
    <w:rsid w:val="0068102B"/>
    <w:rsid w:val="0068118C"/>
    <w:rsid w:val="00681F34"/>
    <w:rsid w:val="006841EF"/>
    <w:rsid w:val="00685F39"/>
    <w:rsid w:val="00692219"/>
    <w:rsid w:val="00697B22"/>
    <w:rsid w:val="006A17D2"/>
    <w:rsid w:val="006A4B39"/>
    <w:rsid w:val="006A4B5C"/>
    <w:rsid w:val="006A5699"/>
    <w:rsid w:val="006A56DB"/>
    <w:rsid w:val="006A5BB9"/>
    <w:rsid w:val="006A6C53"/>
    <w:rsid w:val="006A6CEC"/>
    <w:rsid w:val="006A73E6"/>
    <w:rsid w:val="006B2D5C"/>
    <w:rsid w:val="006B3FCB"/>
    <w:rsid w:val="006B4D40"/>
    <w:rsid w:val="006B510B"/>
    <w:rsid w:val="006B7720"/>
    <w:rsid w:val="006B7735"/>
    <w:rsid w:val="006B7A7D"/>
    <w:rsid w:val="006C1A20"/>
    <w:rsid w:val="006C2030"/>
    <w:rsid w:val="006C3B7B"/>
    <w:rsid w:val="006C4EB1"/>
    <w:rsid w:val="006C51FF"/>
    <w:rsid w:val="006C74FE"/>
    <w:rsid w:val="006D0193"/>
    <w:rsid w:val="006D290C"/>
    <w:rsid w:val="006E0166"/>
    <w:rsid w:val="006E06A9"/>
    <w:rsid w:val="006E171E"/>
    <w:rsid w:val="006E5E88"/>
    <w:rsid w:val="006E79E5"/>
    <w:rsid w:val="006E7B34"/>
    <w:rsid w:val="006F0A8E"/>
    <w:rsid w:val="006F47A9"/>
    <w:rsid w:val="006F5690"/>
    <w:rsid w:val="006F5F06"/>
    <w:rsid w:val="006F797D"/>
    <w:rsid w:val="007008FB"/>
    <w:rsid w:val="0070276B"/>
    <w:rsid w:val="00703211"/>
    <w:rsid w:val="00704119"/>
    <w:rsid w:val="00705669"/>
    <w:rsid w:val="00705FE5"/>
    <w:rsid w:val="00706666"/>
    <w:rsid w:val="0070697F"/>
    <w:rsid w:val="0070773B"/>
    <w:rsid w:val="00711446"/>
    <w:rsid w:val="00711A10"/>
    <w:rsid w:val="00711FC1"/>
    <w:rsid w:val="0071222A"/>
    <w:rsid w:val="007139AC"/>
    <w:rsid w:val="007150CE"/>
    <w:rsid w:val="0071520D"/>
    <w:rsid w:val="00720CE1"/>
    <w:rsid w:val="0072199C"/>
    <w:rsid w:val="00722C9F"/>
    <w:rsid w:val="00724049"/>
    <w:rsid w:val="007253B8"/>
    <w:rsid w:val="00731C72"/>
    <w:rsid w:val="007329F5"/>
    <w:rsid w:val="00734730"/>
    <w:rsid w:val="0073528A"/>
    <w:rsid w:val="0073631B"/>
    <w:rsid w:val="0073741F"/>
    <w:rsid w:val="007424CE"/>
    <w:rsid w:val="00742576"/>
    <w:rsid w:val="00746A45"/>
    <w:rsid w:val="00746A6C"/>
    <w:rsid w:val="00747C9E"/>
    <w:rsid w:val="007515A5"/>
    <w:rsid w:val="00751655"/>
    <w:rsid w:val="0075169F"/>
    <w:rsid w:val="00752383"/>
    <w:rsid w:val="007527F3"/>
    <w:rsid w:val="00757767"/>
    <w:rsid w:val="007606B7"/>
    <w:rsid w:val="00761CD5"/>
    <w:rsid w:val="00763EEF"/>
    <w:rsid w:val="007658D7"/>
    <w:rsid w:val="0076600A"/>
    <w:rsid w:val="0076643F"/>
    <w:rsid w:val="00771361"/>
    <w:rsid w:val="00771A82"/>
    <w:rsid w:val="007724E3"/>
    <w:rsid w:val="00775AA2"/>
    <w:rsid w:val="00776F3D"/>
    <w:rsid w:val="00777F63"/>
    <w:rsid w:val="00784A4E"/>
    <w:rsid w:val="00787DA0"/>
    <w:rsid w:val="00790828"/>
    <w:rsid w:val="007908B6"/>
    <w:rsid w:val="007927A3"/>
    <w:rsid w:val="007954F7"/>
    <w:rsid w:val="00796D53"/>
    <w:rsid w:val="00797F9E"/>
    <w:rsid w:val="007A36E9"/>
    <w:rsid w:val="007A4A55"/>
    <w:rsid w:val="007A50E5"/>
    <w:rsid w:val="007A5817"/>
    <w:rsid w:val="007B60E9"/>
    <w:rsid w:val="007B6B8A"/>
    <w:rsid w:val="007B6CC3"/>
    <w:rsid w:val="007B7411"/>
    <w:rsid w:val="007B7545"/>
    <w:rsid w:val="007B7E8D"/>
    <w:rsid w:val="007C3216"/>
    <w:rsid w:val="007C3334"/>
    <w:rsid w:val="007C363B"/>
    <w:rsid w:val="007C402D"/>
    <w:rsid w:val="007C5187"/>
    <w:rsid w:val="007C52EF"/>
    <w:rsid w:val="007C747D"/>
    <w:rsid w:val="007C756A"/>
    <w:rsid w:val="007C75D8"/>
    <w:rsid w:val="007C7CEE"/>
    <w:rsid w:val="007D1636"/>
    <w:rsid w:val="007D2B98"/>
    <w:rsid w:val="007D3FE7"/>
    <w:rsid w:val="007D454A"/>
    <w:rsid w:val="007D4CF7"/>
    <w:rsid w:val="007D691D"/>
    <w:rsid w:val="007D749D"/>
    <w:rsid w:val="007E21BC"/>
    <w:rsid w:val="007E5666"/>
    <w:rsid w:val="007F07E5"/>
    <w:rsid w:val="007F3154"/>
    <w:rsid w:val="007F3B6A"/>
    <w:rsid w:val="007F4478"/>
    <w:rsid w:val="007F533B"/>
    <w:rsid w:val="007F6137"/>
    <w:rsid w:val="007F64E5"/>
    <w:rsid w:val="007F7E9A"/>
    <w:rsid w:val="0080217A"/>
    <w:rsid w:val="00803F1C"/>
    <w:rsid w:val="0080600E"/>
    <w:rsid w:val="0080650E"/>
    <w:rsid w:val="008069BF"/>
    <w:rsid w:val="00811F0A"/>
    <w:rsid w:val="008121B1"/>
    <w:rsid w:val="008124FD"/>
    <w:rsid w:val="008126DF"/>
    <w:rsid w:val="008147CF"/>
    <w:rsid w:val="00815021"/>
    <w:rsid w:val="008152C5"/>
    <w:rsid w:val="00815EA8"/>
    <w:rsid w:val="00817612"/>
    <w:rsid w:val="008217E6"/>
    <w:rsid w:val="00821809"/>
    <w:rsid w:val="008266A7"/>
    <w:rsid w:val="008269BE"/>
    <w:rsid w:val="008338A4"/>
    <w:rsid w:val="00836353"/>
    <w:rsid w:val="00836C6E"/>
    <w:rsid w:val="00837C45"/>
    <w:rsid w:val="00840284"/>
    <w:rsid w:val="0084163A"/>
    <w:rsid w:val="0084385A"/>
    <w:rsid w:val="00844715"/>
    <w:rsid w:val="00844730"/>
    <w:rsid w:val="008450F2"/>
    <w:rsid w:val="008457C2"/>
    <w:rsid w:val="00846AD9"/>
    <w:rsid w:val="00850F6C"/>
    <w:rsid w:val="00851E4F"/>
    <w:rsid w:val="00857A82"/>
    <w:rsid w:val="00861622"/>
    <w:rsid w:val="008640FE"/>
    <w:rsid w:val="00864155"/>
    <w:rsid w:val="00865E11"/>
    <w:rsid w:val="00866A13"/>
    <w:rsid w:val="008670E8"/>
    <w:rsid w:val="0087009B"/>
    <w:rsid w:val="00870E80"/>
    <w:rsid w:val="00871115"/>
    <w:rsid w:val="0087162D"/>
    <w:rsid w:val="008716D1"/>
    <w:rsid w:val="00871819"/>
    <w:rsid w:val="00873836"/>
    <w:rsid w:val="0087427D"/>
    <w:rsid w:val="00874333"/>
    <w:rsid w:val="00874DEA"/>
    <w:rsid w:val="008816B3"/>
    <w:rsid w:val="008848F3"/>
    <w:rsid w:val="00885737"/>
    <w:rsid w:val="00886132"/>
    <w:rsid w:val="00886B36"/>
    <w:rsid w:val="00890650"/>
    <w:rsid w:val="00890840"/>
    <w:rsid w:val="00892556"/>
    <w:rsid w:val="00892E7B"/>
    <w:rsid w:val="00892FB5"/>
    <w:rsid w:val="0089412D"/>
    <w:rsid w:val="00895FA9"/>
    <w:rsid w:val="00897E12"/>
    <w:rsid w:val="008A3EC1"/>
    <w:rsid w:val="008A5AF5"/>
    <w:rsid w:val="008A7E0F"/>
    <w:rsid w:val="008B12F5"/>
    <w:rsid w:val="008B1EBE"/>
    <w:rsid w:val="008B26C0"/>
    <w:rsid w:val="008B34B1"/>
    <w:rsid w:val="008B3D12"/>
    <w:rsid w:val="008B4254"/>
    <w:rsid w:val="008B5B22"/>
    <w:rsid w:val="008B5E68"/>
    <w:rsid w:val="008B5FA3"/>
    <w:rsid w:val="008C15B0"/>
    <w:rsid w:val="008C179B"/>
    <w:rsid w:val="008C3098"/>
    <w:rsid w:val="008C4515"/>
    <w:rsid w:val="008D768D"/>
    <w:rsid w:val="008D78D6"/>
    <w:rsid w:val="008E07F7"/>
    <w:rsid w:val="008E301B"/>
    <w:rsid w:val="008E3759"/>
    <w:rsid w:val="008E3FE4"/>
    <w:rsid w:val="008E46FF"/>
    <w:rsid w:val="008E6210"/>
    <w:rsid w:val="008E713C"/>
    <w:rsid w:val="008F1912"/>
    <w:rsid w:val="008F1B28"/>
    <w:rsid w:val="008F3B00"/>
    <w:rsid w:val="008F604B"/>
    <w:rsid w:val="008F68EA"/>
    <w:rsid w:val="008F7AC6"/>
    <w:rsid w:val="008F7C57"/>
    <w:rsid w:val="009014A4"/>
    <w:rsid w:val="0090270B"/>
    <w:rsid w:val="00902C36"/>
    <w:rsid w:val="00903CD1"/>
    <w:rsid w:val="009041DC"/>
    <w:rsid w:val="00910342"/>
    <w:rsid w:val="00910BF4"/>
    <w:rsid w:val="0091117F"/>
    <w:rsid w:val="00915489"/>
    <w:rsid w:val="00917590"/>
    <w:rsid w:val="0091792A"/>
    <w:rsid w:val="00917B5A"/>
    <w:rsid w:val="00920503"/>
    <w:rsid w:val="00920A58"/>
    <w:rsid w:val="00920A8C"/>
    <w:rsid w:val="0092111F"/>
    <w:rsid w:val="00922874"/>
    <w:rsid w:val="00925E09"/>
    <w:rsid w:val="00926261"/>
    <w:rsid w:val="00926A0F"/>
    <w:rsid w:val="009301D3"/>
    <w:rsid w:val="0093045F"/>
    <w:rsid w:val="00932817"/>
    <w:rsid w:val="00934A2C"/>
    <w:rsid w:val="00940015"/>
    <w:rsid w:val="00943F60"/>
    <w:rsid w:val="00944346"/>
    <w:rsid w:val="00945816"/>
    <w:rsid w:val="00947E8B"/>
    <w:rsid w:val="00951CBC"/>
    <w:rsid w:val="009534CA"/>
    <w:rsid w:val="009539E0"/>
    <w:rsid w:val="009551D4"/>
    <w:rsid w:val="00955A5D"/>
    <w:rsid w:val="00957E72"/>
    <w:rsid w:val="00964253"/>
    <w:rsid w:val="00966C72"/>
    <w:rsid w:val="0096706E"/>
    <w:rsid w:val="00967BB5"/>
    <w:rsid w:val="00967D08"/>
    <w:rsid w:val="009719E7"/>
    <w:rsid w:val="00972A9D"/>
    <w:rsid w:val="00974136"/>
    <w:rsid w:val="00975C4E"/>
    <w:rsid w:val="00981FBA"/>
    <w:rsid w:val="009847B8"/>
    <w:rsid w:val="00985A9B"/>
    <w:rsid w:val="0098665E"/>
    <w:rsid w:val="00987705"/>
    <w:rsid w:val="009903BB"/>
    <w:rsid w:val="00993796"/>
    <w:rsid w:val="00995AC0"/>
    <w:rsid w:val="00996453"/>
    <w:rsid w:val="00997BC5"/>
    <w:rsid w:val="009A0BE3"/>
    <w:rsid w:val="009A1569"/>
    <w:rsid w:val="009A35BA"/>
    <w:rsid w:val="009A4BD8"/>
    <w:rsid w:val="009A4F41"/>
    <w:rsid w:val="009A5A94"/>
    <w:rsid w:val="009A68D9"/>
    <w:rsid w:val="009A6F32"/>
    <w:rsid w:val="009A7C38"/>
    <w:rsid w:val="009B007B"/>
    <w:rsid w:val="009B1E17"/>
    <w:rsid w:val="009B381B"/>
    <w:rsid w:val="009B52AE"/>
    <w:rsid w:val="009B538A"/>
    <w:rsid w:val="009B65C9"/>
    <w:rsid w:val="009B6F5E"/>
    <w:rsid w:val="009C0531"/>
    <w:rsid w:val="009C23C9"/>
    <w:rsid w:val="009C3986"/>
    <w:rsid w:val="009C3DDE"/>
    <w:rsid w:val="009C4EAA"/>
    <w:rsid w:val="009C5C1F"/>
    <w:rsid w:val="009C60CB"/>
    <w:rsid w:val="009D1753"/>
    <w:rsid w:val="009D4AAE"/>
    <w:rsid w:val="009D55D1"/>
    <w:rsid w:val="009D7611"/>
    <w:rsid w:val="009E0B61"/>
    <w:rsid w:val="009E2006"/>
    <w:rsid w:val="009E4549"/>
    <w:rsid w:val="009E53DE"/>
    <w:rsid w:val="009E5E62"/>
    <w:rsid w:val="009E7337"/>
    <w:rsid w:val="009F0FC8"/>
    <w:rsid w:val="009F3647"/>
    <w:rsid w:val="009F556E"/>
    <w:rsid w:val="009F65FA"/>
    <w:rsid w:val="009F6F09"/>
    <w:rsid w:val="00A04398"/>
    <w:rsid w:val="00A058BA"/>
    <w:rsid w:val="00A0697E"/>
    <w:rsid w:val="00A10834"/>
    <w:rsid w:val="00A110CE"/>
    <w:rsid w:val="00A20A29"/>
    <w:rsid w:val="00A213F2"/>
    <w:rsid w:val="00A216AA"/>
    <w:rsid w:val="00A217AC"/>
    <w:rsid w:val="00A21ABF"/>
    <w:rsid w:val="00A229E3"/>
    <w:rsid w:val="00A23FCA"/>
    <w:rsid w:val="00A242CC"/>
    <w:rsid w:val="00A25104"/>
    <w:rsid w:val="00A2598E"/>
    <w:rsid w:val="00A26467"/>
    <w:rsid w:val="00A30D03"/>
    <w:rsid w:val="00A313A3"/>
    <w:rsid w:val="00A328B3"/>
    <w:rsid w:val="00A33B1E"/>
    <w:rsid w:val="00A34EE2"/>
    <w:rsid w:val="00A4039F"/>
    <w:rsid w:val="00A42FEB"/>
    <w:rsid w:val="00A43D6B"/>
    <w:rsid w:val="00A43FB2"/>
    <w:rsid w:val="00A448E2"/>
    <w:rsid w:val="00A4536B"/>
    <w:rsid w:val="00A46229"/>
    <w:rsid w:val="00A46DD1"/>
    <w:rsid w:val="00A4734C"/>
    <w:rsid w:val="00A50FCF"/>
    <w:rsid w:val="00A528D1"/>
    <w:rsid w:val="00A52937"/>
    <w:rsid w:val="00A555B7"/>
    <w:rsid w:val="00A55871"/>
    <w:rsid w:val="00A57400"/>
    <w:rsid w:val="00A610CD"/>
    <w:rsid w:val="00A62D4D"/>
    <w:rsid w:val="00A63769"/>
    <w:rsid w:val="00A64FBB"/>
    <w:rsid w:val="00A65503"/>
    <w:rsid w:val="00A66B24"/>
    <w:rsid w:val="00A71764"/>
    <w:rsid w:val="00A71ED1"/>
    <w:rsid w:val="00A72B93"/>
    <w:rsid w:val="00A72BEE"/>
    <w:rsid w:val="00A731D5"/>
    <w:rsid w:val="00A73BA5"/>
    <w:rsid w:val="00A75E63"/>
    <w:rsid w:val="00A77AE9"/>
    <w:rsid w:val="00A8130B"/>
    <w:rsid w:val="00A814FA"/>
    <w:rsid w:val="00A82BB7"/>
    <w:rsid w:val="00A82DC9"/>
    <w:rsid w:val="00A83159"/>
    <w:rsid w:val="00A8628E"/>
    <w:rsid w:val="00A874B8"/>
    <w:rsid w:val="00A90011"/>
    <w:rsid w:val="00A910C1"/>
    <w:rsid w:val="00A918B9"/>
    <w:rsid w:val="00A93F7B"/>
    <w:rsid w:val="00AA0405"/>
    <w:rsid w:val="00AA09A2"/>
    <w:rsid w:val="00AA18AD"/>
    <w:rsid w:val="00AA27F3"/>
    <w:rsid w:val="00AA44DF"/>
    <w:rsid w:val="00AA7197"/>
    <w:rsid w:val="00AA7996"/>
    <w:rsid w:val="00AB0FFB"/>
    <w:rsid w:val="00AC0839"/>
    <w:rsid w:val="00AC19CB"/>
    <w:rsid w:val="00AC1ACF"/>
    <w:rsid w:val="00AC4828"/>
    <w:rsid w:val="00AC55D4"/>
    <w:rsid w:val="00AD0688"/>
    <w:rsid w:val="00AD6E9E"/>
    <w:rsid w:val="00AE2CCB"/>
    <w:rsid w:val="00AE5488"/>
    <w:rsid w:val="00AE6003"/>
    <w:rsid w:val="00AE608B"/>
    <w:rsid w:val="00AE6F91"/>
    <w:rsid w:val="00AF29E2"/>
    <w:rsid w:val="00AF340B"/>
    <w:rsid w:val="00AF3F02"/>
    <w:rsid w:val="00AF4E4A"/>
    <w:rsid w:val="00AF5571"/>
    <w:rsid w:val="00AF70E2"/>
    <w:rsid w:val="00AF7988"/>
    <w:rsid w:val="00B0232B"/>
    <w:rsid w:val="00B0250B"/>
    <w:rsid w:val="00B03975"/>
    <w:rsid w:val="00B03CD7"/>
    <w:rsid w:val="00B06D7A"/>
    <w:rsid w:val="00B07184"/>
    <w:rsid w:val="00B07341"/>
    <w:rsid w:val="00B14533"/>
    <w:rsid w:val="00B15353"/>
    <w:rsid w:val="00B20F9C"/>
    <w:rsid w:val="00B27971"/>
    <w:rsid w:val="00B30539"/>
    <w:rsid w:val="00B314DB"/>
    <w:rsid w:val="00B32F48"/>
    <w:rsid w:val="00B33322"/>
    <w:rsid w:val="00B33C83"/>
    <w:rsid w:val="00B33DCF"/>
    <w:rsid w:val="00B349BA"/>
    <w:rsid w:val="00B34CE7"/>
    <w:rsid w:val="00B361F2"/>
    <w:rsid w:val="00B36956"/>
    <w:rsid w:val="00B3718B"/>
    <w:rsid w:val="00B372AC"/>
    <w:rsid w:val="00B405AB"/>
    <w:rsid w:val="00B40D44"/>
    <w:rsid w:val="00B40DF5"/>
    <w:rsid w:val="00B44007"/>
    <w:rsid w:val="00B44E32"/>
    <w:rsid w:val="00B450E6"/>
    <w:rsid w:val="00B4632A"/>
    <w:rsid w:val="00B47023"/>
    <w:rsid w:val="00B507C1"/>
    <w:rsid w:val="00B513B1"/>
    <w:rsid w:val="00B530F1"/>
    <w:rsid w:val="00B536F9"/>
    <w:rsid w:val="00B53CFE"/>
    <w:rsid w:val="00B540FA"/>
    <w:rsid w:val="00B5420C"/>
    <w:rsid w:val="00B547E8"/>
    <w:rsid w:val="00B54A0C"/>
    <w:rsid w:val="00B578FF"/>
    <w:rsid w:val="00B61C3E"/>
    <w:rsid w:val="00B632D6"/>
    <w:rsid w:val="00B63F65"/>
    <w:rsid w:val="00B710E7"/>
    <w:rsid w:val="00B72201"/>
    <w:rsid w:val="00B722D5"/>
    <w:rsid w:val="00B76617"/>
    <w:rsid w:val="00B76B0B"/>
    <w:rsid w:val="00B77916"/>
    <w:rsid w:val="00B8140B"/>
    <w:rsid w:val="00B81A52"/>
    <w:rsid w:val="00B82685"/>
    <w:rsid w:val="00B844A7"/>
    <w:rsid w:val="00B85B8B"/>
    <w:rsid w:val="00B8729C"/>
    <w:rsid w:val="00B93A81"/>
    <w:rsid w:val="00B958ED"/>
    <w:rsid w:val="00B95EFB"/>
    <w:rsid w:val="00B9648D"/>
    <w:rsid w:val="00B978D1"/>
    <w:rsid w:val="00BA0155"/>
    <w:rsid w:val="00BA276C"/>
    <w:rsid w:val="00BA37DA"/>
    <w:rsid w:val="00BA39FB"/>
    <w:rsid w:val="00BA461E"/>
    <w:rsid w:val="00BA643A"/>
    <w:rsid w:val="00BB0138"/>
    <w:rsid w:val="00BB133F"/>
    <w:rsid w:val="00BB1527"/>
    <w:rsid w:val="00BB1942"/>
    <w:rsid w:val="00BB250C"/>
    <w:rsid w:val="00BB306F"/>
    <w:rsid w:val="00BB6116"/>
    <w:rsid w:val="00BB657F"/>
    <w:rsid w:val="00BC01BA"/>
    <w:rsid w:val="00BC0669"/>
    <w:rsid w:val="00BC1002"/>
    <w:rsid w:val="00BC1180"/>
    <w:rsid w:val="00BC194C"/>
    <w:rsid w:val="00BC40E2"/>
    <w:rsid w:val="00BC4489"/>
    <w:rsid w:val="00BD4B89"/>
    <w:rsid w:val="00BD6EC6"/>
    <w:rsid w:val="00BD6F3E"/>
    <w:rsid w:val="00BE5764"/>
    <w:rsid w:val="00BE705E"/>
    <w:rsid w:val="00BF02CB"/>
    <w:rsid w:val="00BF11D3"/>
    <w:rsid w:val="00BF23F2"/>
    <w:rsid w:val="00BF6FD8"/>
    <w:rsid w:val="00C00307"/>
    <w:rsid w:val="00C03680"/>
    <w:rsid w:val="00C054DF"/>
    <w:rsid w:val="00C06295"/>
    <w:rsid w:val="00C06FAD"/>
    <w:rsid w:val="00C0713B"/>
    <w:rsid w:val="00C11611"/>
    <w:rsid w:val="00C1264A"/>
    <w:rsid w:val="00C13C5B"/>
    <w:rsid w:val="00C17C06"/>
    <w:rsid w:val="00C21762"/>
    <w:rsid w:val="00C24543"/>
    <w:rsid w:val="00C256A2"/>
    <w:rsid w:val="00C26134"/>
    <w:rsid w:val="00C3156B"/>
    <w:rsid w:val="00C31A5D"/>
    <w:rsid w:val="00C33E48"/>
    <w:rsid w:val="00C3584E"/>
    <w:rsid w:val="00C37831"/>
    <w:rsid w:val="00C40789"/>
    <w:rsid w:val="00C4228F"/>
    <w:rsid w:val="00C439AC"/>
    <w:rsid w:val="00C460E4"/>
    <w:rsid w:val="00C46EE5"/>
    <w:rsid w:val="00C4730A"/>
    <w:rsid w:val="00C50D6B"/>
    <w:rsid w:val="00C51515"/>
    <w:rsid w:val="00C53CC6"/>
    <w:rsid w:val="00C53F47"/>
    <w:rsid w:val="00C544A9"/>
    <w:rsid w:val="00C554E8"/>
    <w:rsid w:val="00C55608"/>
    <w:rsid w:val="00C5660B"/>
    <w:rsid w:val="00C57B7A"/>
    <w:rsid w:val="00C62A75"/>
    <w:rsid w:val="00C65239"/>
    <w:rsid w:val="00C656C7"/>
    <w:rsid w:val="00C666D0"/>
    <w:rsid w:val="00C66B72"/>
    <w:rsid w:val="00C72054"/>
    <w:rsid w:val="00C7353D"/>
    <w:rsid w:val="00C74F87"/>
    <w:rsid w:val="00C75DCE"/>
    <w:rsid w:val="00C80D1A"/>
    <w:rsid w:val="00C810D8"/>
    <w:rsid w:val="00C82437"/>
    <w:rsid w:val="00C835EB"/>
    <w:rsid w:val="00C854BB"/>
    <w:rsid w:val="00C87C69"/>
    <w:rsid w:val="00C9142E"/>
    <w:rsid w:val="00C9328B"/>
    <w:rsid w:val="00C936B2"/>
    <w:rsid w:val="00C9549E"/>
    <w:rsid w:val="00C9567A"/>
    <w:rsid w:val="00C97129"/>
    <w:rsid w:val="00CA0AF9"/>
    <w:rsid w:val="00CA0E54"/>
    <w:rsid w:val="00CA3C93"/>
    <w:rsid w:val="00CA42DB"/>
    <w:rsid w:val="00CA5C59"/>
    <w:rsid w:val="00CA62F0"/>
    <w:rsid w:val="00CB212D"/>
    <w:rsid w:val="00CB2583"/>
    <w:rsid w:val="00CB2660"/>
    <w:rsid w:val="00CB3E8D"/>
    <w:rsid w:val="00CC23DE"/>
    <w:rsid w:val="00CC2B5F"/>
    <w:rsid w:val="00CC2E97"/>
    <w:rsid w:val="00CC5E90"/>
    <w:rsid w:val="00CC6248"/>
    <w:rsid w:val="00CC63CF"/>
    <w:rsid w:val="00CD046C"/>
    <w:rsid w:val="00CD4D32"/>
    <w:rsid w:val="00CD5066"/>
    <w:rsid w:val="00CD6E56"/>
    <w:rsid w:val="00CE076C"/>
    <w:rsid w:val="00CE43E2"/>
    <w:rsid w:val="00CE5199"/>
    <w:rsid w:val="00CE558F"/>
    <w:rsid w:val="00CE66D5"/>
    <w:rsid w:val="00CE7ED7"/>
    <w:rsid w:val="00CF08FF"/>
    <w:rsid w:val="00CF109F"/>
    <w:rsid w:val="00CF2FE3"/>
    <w:rsid w:val="00CF5C9B"/>
    <w:rsid w:val="00CF6090"/>
    <w:rsid w:val="00CF637A"/>
    <w:rsid w:val="00CF6B29"/>
    <w:rsid w:val="00CF7E1A"/>
    <w:rsid w:val="00D00D68"/>
    <w:rsid w:val="00D01513"/>
    <w:rsid w:val="00D01C1E"/>
    <w:rsid w:val="00D03933"/>
    <w:rsid w:val="00D03C1D"/>
    <w:rsid w:val="00D043A5"/>
    <w:rsid w:val="00D0530C"/>
    <w:rsid w:val="00D059DE"/>
    <w:rsid w:val="00D061A9"/>
    <w:rsid w:val="00D0668C"/>
    <w:rsid w:val="00D06955"/>
    <w:rsid w:val="00D076A3"/>
    <w:rsid w:val="00D07BCE"/>
    <w:rsid w:val="00D1079B"/>
    <w:rsid w:val="00D10A2D"/>
    <w:rsid w:val="00D12193"/>
    <w:rsid w:val="00D13C36"/>
    <w:rsid w:val="00D13FCE"/>
    <w:rsid w:val="00D15B3A"/>
    <w:rsid w:val="00D17B36"/>
    <w:rsid w:val="00D20B9E"/>
    <w:rsid w:val="00D21374"/>
    <w:rsid w:val="00D234E6"/>
    <w:rsid w:val="00D306D1"/>
    <w:rsid w:val="00D30C0C"/>
    <w:rsid w:val="00D30E77"/>
    <w:rsid w:val="00D31208"/>
    <w:rsid w:val="00D32386"/>
    <w:rsid w:val="00D32AD4"/>
    <w:rsid w:val="00D333AB"/>
    <w:rsid w:val="00D337A6"/>
    <w:rsid w:val="00D34786"/>
    <w:rsid w:val="00D363BD"/>
    <w:rsid w:val="00D37005"/>
    <w:rsid w:val="00D37993"/>
    <w:rsid w:val="00D37BFC"/>
    <w:rsid w:val="00D40145"/>
    <w:rsid w:val="00D42AC1"/>
    <w:rsid w:val="00D47A8E"/>
    <w:rsid w:val="00D52533"/>
    <w:rsid w:val="00D52D14"/>
    <w:rsid w:val="00D5535A"/>
    <w:rsid w:val="00D561BC"/>
    <w:rsid w:val="00D567CC"/>
    <w:rsid w:val="00D712D3"/>
    <w:rsid w:val="00D71422"/>
    <w:rsid w:val="00D72DC6"/>
    <w:rsid w:val="00D739B5"/>
    <w:rsid w:val="00D73A92"/>
    <w:rsid w:val="00D74B7B"/>
    <w:rsid w:val="00D7558D"/>
    <w:rsid w:val="00D76B1F"/>
    <w:rsid w:val="00D812E8"/>
    <w:rsid w:val="00D81D92"/>
    <w:rsid w:val="00D82168"/>
    <w:rsid w:val="00D8353A"/>
    <w:rsid w:val="00D83D73"/>
    <w:rsid w:val="00D84C49"/>
    <w:rsid w:val="00D90379"/>
    <w:rsid w:val="00D96E66"/>
    <w:rsid w:val="00DA10E9"/>
    <w:rsid w:val="00DA2EB5"/>
    <w:rsid w:val="00DA3544"/>
    <w:rsid w:val="00DA6421"/>
    <w:rsid w:val="00DA6D87"/>
    <w:rsid w:val="00DA74CA"/>
    <w:rsid w:val="00DA7B5F"/>
    <w:rsid w:val="00DB0515"/>
    <w:rsid w:val="00DB13F8"/>
    <w:rsid w:val="00DB5CCA"/>
    <w:rsid w:val="00DB5FA3"/>
    <w:rsid w:val="00DB68BC"/>
    <w:rsid w:val="00DB7A39"/>
    <w:rsid w:val="00DC0C61"/>
    <w:rsid w:val="00DC11E7"/>
    <w:rsid w:val="00DC3142"/>
    <w:rsid w:val="00DC5933"/>
    <w:rsid w:val="00DC7023"/>
    <w:rsid w:val="00DC769A"/>
    <w:rsid w:val="00DD08F0"/>
    <w:rsid w:val="00DD3283"/>
    <w:rsid w:val="00DD35FF"/>
    <w:rsid w:val="00DD3D86"/>
    <w:rsid w:val="00DD685D"/>
    <w:rsid w:val="00DD6A2A"/>
    <w:rsid w:val="00DE2DEF"/>
    <w:rsid w:val="00DE4712"/>
    <w:rsid w:val="00DE58F7"/>
    <w:rsid w:val="00DE743D"/>
    <w:rsid w:val="00DF1EC4"/>
    <w:rsid w:val="00DF3C8F"/>
    <w:rsid w:val="00DF6208"/>
    <w:rsid w:val="00DF6BAC"/>
    <w:rsid w:val="00E026C2"/>
    <w:rsid w:val="00E0340B"/>
    <w:rsid w:val="00E04A90"/>
    <w:rsid w:val="00E05243"/>
    <w:rsid w:val="00E0589E"/>
    <w:rsid w:val="00E06A61"/>
    <w:rsid w:val="00E06B18"/>
    <w:rsid w:val="00E07D9C"/>
    <w:rsid w:val="00E13498"/>
    <w:rsid w:val="00E161FC"/>
    <w:rsid w:val="00E179D1"/>
    <w:rsid w:val="00E20A97"/>
    <w:rsid w:val="00E20C02"/>
    <w:rsid w:val="00E216CA"/>
    <w:rsid w:val="00E219C7"/>
    <w:rsid w:val="00E221E0"/>
    <w:rsid w:val="00E25E03"/>
    <w:rsid w:val="00E31D8A"/>
    <w:rsid w:val="00E32510"/>
    <w:rsid w:val="00E332A2"/>
    <w:rsid w:val="00E335BF"/>
    <w:rsid w:val="00E354CC"/>
    <w:rsid w:val="00E36C49"/>
    <w:rsid w:val="00E427B5"/>
    <w:rsid w:val="00E42EE9"/>
    <w:rsid w:val="00E43157"/>
    <w:rsid w:val="00E4345A"/>
    <w:rsid w:val="00E456E8"/>
    <w:rsid w:val="00E45821"/>
    <w:rsid w:val="00E461CE"/>
    <w:rsid w:val="00E46749"/>
    <w:rsid w:val="00E46C6A"/>
    <w:rsid w:val="00E47116"/>
    <w:rsid w:val="00E47516"/>
    <w:rsid w:val="00E47B73"/>
    <w:rsid w:val="00E51974"/>
    <w:rsid w:val="00E51CC0"/>
    <w:rsid w:val="00E53799"/>
    <w:rsid w:val="00E53984"/>
    <w:rsid w:val="00E60810"/>
    <w:rsid w:val="00E61E75"/>
    <w:rsid w:val="00E61F80"/>
    <w:rsid w:val="00E64734"/>
    <w:rsid w:val="00E64764"/>
    <w:rsid w:val="00E720CA"/>
    <w:rsid w:val="00E73481"/>
    <w:rsid w:val="00E74C45"/>
    <w:rsid w:val="00E753D2"/>
    <w:rsid w:val="00E76DF1"/>
    <w:rsid w:val="00E807FC"/>
    <w:rsid w:val="00E810C3"/>
    <w:rsid w:val="00E81843"/>
    <w:rsid w:val="00E81AF2"/>
    <w:rsid w:val="00E81C49"/>
    <w:rsid w:val="00E84EB5"/>
    <w:rsid w:val="00E85662"/>
    <w:rsid w:val="00E86245"/>
    <w:rsid w:val="00E86D14"/>
    <w:rsid w:val="00E8721D"/>
    <w:rsid w:val="00E8789F"/>
    <w:rsid w:val="00E906BF"/>
    <w:rsid w:val="00E909AA"/>
    <w:rsid w:val="00E90A90"/>
    <w:rsid w:val="00E91A88"/>
    <w:rsid w:val="00E953B2"/>
    <w:rsid w:val="00E97B71"/>
    <w:rsid w:val="00EA0E93"/>
    <w:rsid w:val="00EA3D34"/>
    <w:rsid w:val="00EA4489"/>
    <w:rsid w:val="00EA4856"/>
    <w:rsid w:val="00EA6CB3"/>
    <w:rsid w:val="00EB1DD2"/>
    <w:rsid w:val="00EB1F78"/>
    <w:rsid w:val="00EB2282"/>
    <w:rsid w:val="00EB2BD4"/>
    <w:rsid w:val="00EB454D"/>
    <w:rsid w:val="00EB53B6"/>
    <w:rsid w:val="00EB657D"/>
    <w:rsid w:val="00EB660C"/>
    <w:rsid w:val="00EC2C5D"/>
    <w:rsid w:val="00EC34E6"/>
    <w:rsid w:val="00EC4E6F"/>
    <w:rsid w:val="00EC60D2"/>
    <w:rsid w:val="00EC74CA"/>
    <w:rsid w:val="00ED2279"/>
    <w:rsid w:val="00ED4CA8"/>
    <w:rsid w:val="00ED76BE"/>
    <w:rsid w:val="00EE47B2"/>
    <w:rsid w:val="00EE488F"/>
    <w:rsid w:val="00EF03C6"/>
    <w:rsid w:val="00EF0908"/>
    <w:rsid w:val="00EF1745"/>
    <w:rsid w:val="00EF3C42"/>
    <w:rsid w:val="00EF619B"/>
    <w:rsid w:val="00F00B55"/>
    <w:rsid w:val="00F00B5B"/>
    <w:rsid w:val="00F0294D"/>
    <w:rsid w:val="00F02AD1"/>
    <w:rsid w:val="00F038A1"/>
    <w:rsid w:val="00F0427E"/>
    <w:rsid w:val="00F13389"/>
    <w:rsid w:val="00F14347"/>
    <w:rsid w:val="00F165B5"/>
    <w:rsid w:val="00F22476"/>
    <w:rsid w:val="00F234F1"/>
    <w:rsid w:val="00F253CC"/>
    <w:rsid w:val="00F27CF4"/>
    <w:rsid w:val="00F31981"/>
    <w:rsid w:val="00F32891"/>
    <w:rsid w:val="00F32DCA"/>
    <w:rsid w:val="00F33932"/>
    <w:rsid w:val="00F3492A"/>
    <w:rsid w:val="00F35248"/>
    <w:rsid w:val="00F355E5"/>
    <w:rsid w:val="00F35FDE"/>
    <w:rsid w:val="00F36123"/>
    <w:rsid w:val="00F37106"/>
    <w:rsid w:val="00F372AC"/>
    <w:rsid w:val="00F40336"/>
    <w:rsid w:val="00F40EB9"/>
    <w:rsid w:val="00F444A3"/>
    <w:rsid w:val="00F44F99"/>
    <w:rsid w:val="00F519CF"/>
    <w:rsid w:val="00F52A25"/>
    <w:rsid w:val="00F53FCB"/>
    <w:rsid w:val="00F56BA5"/>
    <w:rsid w:val="00F60E22"/>
    <w:rsid w:val="00F66EFB"/>
    <w:rsid w:val="00F73104"/>
    <w:rsid w:val="00F73415"/>
    <w:rsid w:val="00F76AE4"/>
    <w:rsid w:val="00F805FB"/>
    <w:rsid w:val="00F81395"/>
    <w:rsid w:val="00F84038"/>
    <w:rsid w:val="00F8657F"/>
    <w:rsid w:val="00F874EC"/>
    <w:rsid w:val="00F902EB"/>
    <w:rsid w:val="00F9111A"/>
    <w:rsid w:val="00F91371"/>
    <w:rsid w:val="00F917D1"/>
    <w:rsid w:val="00F91C27"/>
    <w:rsid w:val="00F94243"/>
    <w:rsid w:val="00F9653B"/>
    <w:rsid w:val="00F97599"/>
    <w:rsid w:val="00FA104D"/>
    <w:rsid w:val="00FA1F3C"/>
    <w:rsid w:val="00FA51B2"/>
    <w:rsid w:val="00FA55EC"/>
    <w:rsid w:val="00FA5D4E"/>
    <w:rsid w:val="00FA5E71"/>
    <w:rsid w:val="00FA7B7E"/>
    <w:rsid w:val="00FB360B"/>
    <w:rsid w:val="00FB4759"/>
    <w:rsid w:val="00FB62CF"/>
    <w:rsid w:val="00FC1626"/>
    <w:rsid w:val="00FC3A5B"/>
    <w:rsid w:val="00FC400B"/>
    <w:rsid w:val="00FC6D6B"/>
    <w:rsid w:val="00FC744B"/>
    <w:rsid w:val="00FD0DE5"/>
    <w:rsid w:val="00FD3C3B"/>
    <w:rsid w:val="00FD5A34"/>
    <w:rsid w:val="00FD5A99"/>
    <w:rsid w:val="00FE036D"/>
    <w:rsid w:val="00FE07DD"/>
    <w:rsid w:val="00FE42D9"/>
    <w:rsid w:val="00FE4E04"/>
    <w:rsid w:val="00FE6B45"/>
    <w:rsid w:val="00FE79E9"/>
    <w:rsid w:val="00FE7EFB"/>
    <w:rsid w:val="00FF1436"/>
    <w:rsid w:val="00FF3475"/>
    <w:rsid w:val="00FF55F3"/>
    <w:rsid w:val="00FF5851"/>
    <w:rsid w:val="00FF5A5A"/>
    <w:rsid w:val="00FF6F2D"/>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0BB5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2B1BDD"/>
    <w:pPr>
      <w:keepNext/>
      <w:keepLines/>
      <w:numPr>
        <w:numId w:val="53"/>
      </w:numPr>
      <w:outlineLvl w:val="0"/>
    </w:pPr>
    <w:rPr>
      <w:rFonts w:asciiTheme="majorHAnsi" w:eastAsiaTheme="majorEastAsia" w:hAnsiTheme="majorHAnsi" w:cstheme="majorBidi"/>
      <w:b/>
      <w:bCs/>
      <w:sz w:val="20"/>
      <w:szCs w:val="20"/>
      <w:lang w:val="es-ES_tradnl"/>
    </w:rPr>
  </w:style>
  <w:style w:type="paragraph" w:styleId="Heading2">
    <w:name w:val="heading 2"/>
    <w:basedOn w:val="Normal"/>
    <w:next w:val="Normal"/>
    <w:link w:val="Heading2Char"/>
    <w:autoRedefine/>
    <w:qFormat/>
    <w:rsid w:val="00483337"/>
    <w:pPr>
      <w:keepNext/>
      <w:numPr>
        <w:numId w:val="57"/>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asciiTheme="majorHAnsi" w:eastAsia="Times New Roman" w:hAnsiTheme="majorHAnsi" w:cs="Arial"/>
      <w:b/>
      <w:bCs/>
      <w:sz w:val="20"/>
      <w:szCs w:val="20"/>
      <w:bdr w:val="none" w:sz="0" w:space="0" w:color="auto"/>
    </w:rPr>
  </w:style>
  <w:style w:type="paragraph" w:styleId="Heading3">
    <w:name w:val="heading 3"/>
    <w:basedOn w:val="Normal"/>
    <w:next w:val="Normal"/>
    <w:link w:val="Heading3Char"/>
    <w:autoRedefine/>
    <w:qFormat/>
    <w:rsid w:val="00D333AB"/>
    <w:pPr>
      <w:keepNext/>
      <w:numPr>
        <w:numId w:val="59"/>
      </w:numPr>
      <w:pBdr>
        <w:top w:val="none" w:sz="0" w:space="0" w:color="auto"/>
        <w:left w:val="none" w:sz="0" w:space="0" w:color="auto"/>
        <w:bottom w:val="none" w:sz="0" w:space="0" w:color="auto"/>
        <w:right w:val="none" w:sz="0" w:space="0" w:color="auto"/>
        <w:between w:val="none" w:sz="0" w:space="0" w:color="auto"/>
        <w:bar w:val="none" w:sz="0" w:color="auto"/>
      </w:pBdr>
      <w:ind w:left="1418" w:hanging="338"/>
      <w:jc w:val="both"/>
      <w:outlineLvl w:val="2"/>
    </w:pPr>
    <w:rPr>
      <w:rFonts w:asciiTheme="majorHAnsi" w:eastAsia="Times New Roman" w:hAnsiTheme="majorHAnsi" w:cs="Arial"/>
      <w:b/>
      <w:bCs/>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8069BF"/>
    <w:rPr>
      <w:rFonts w:ascii="Cambria" w:eastAsia="Calibri" w:hAnsi="Cambria" w:cs="Calibri"/>
      <w:color w:val="000000"/>
      <w:sz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2B1BDD"/>
    <w:rPr>
      <w:rFonts w:asciiTheme="majorHAnsi" w:eastAsiaTheme="majorEastAsia" w:hAnsiTheme="majorHAnsi" w:cstheme="majorBidi"/>
      <w:b/>
      <w:bCs/>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191933"/>
    <w:pPr>
      <w:tabs>
        <w:tab w:val="left" w:pos="720"/>
        <w:tab w:val="right" w:leader="dot" w:pos="9350"/>
      </w:tabs>
      <w:ind w:left="720" w:hanging="720"/>
    </w:pPr>
    <w:rPr>
      <w:rFonts w:asciiTheme="minorHAnsi" w:hAnsiTheme="minorHAnsi"/>
      <w:b/>
      <w:sz w:val="22"/>
      <w:szCs w:val="22"/>
    </w:rPr>
  </w:style>
  <w:style w:type="paragraph" w:styleId="TOC1">
    <w:name w:val="toc 1"/>
    <w:basedOn w:val="Normal"/>
    <w:next w:val="Normal"/>
    <w:autoRedefine/>
    <w:uiPriority w:val="39"/>
    <w:unhideWhenUsed/>
    <w:rsid w:val="00191933"/>
    <w:pPr>
      <w:tabs>
        <w:tab w:val="left" w:pos="720"/>
        <w:tab w:val="right" w:leader="dot" w:pos="9350"/>
      </w:tabs>
      <w:spacing w:before="120"/>
    </w:pPr>
    <w:rPr>
      <w:rFonts w:asciiTheme="majorHAnsi" w:hAnsiTheme="majorHAnsi"/>
      <w:b/>
      <w:sz w:val="20"/>
    </w:rPr>
  </w:style>
  <w:style w:type="paragraph" w:styleId="TOC3">
    <w:name w:val="toc 3"/>
    <w:basedOn w:val="Normal"/>
    <w:next w:val="Normal"/>
    <w:autoRedefine/>
    <w:uiPriority w:val="39"/>
    <w:unhideWhenUsed/>
    <w:rsid w:val="00BB657F"/>
    <w:pPr>
      <w:tabs>
        <w:tab w:val="left" w:pos="426"/>
        <w:tab w:val="right" w:leader="dot" w:pos="9350"/>
      </w:tabs>
    </w:pPr>
    <w:rPr>
      <w:rFonts w:asciiTheme="minorHAnsi" w:hAnsiTheme="minorHAnsi"/>
      <w:sz w:val="22"/>
      <w:szCs w:val="22"/>
    </w:rPr>
  </w:style>
  <w:style w:type="paragraph" w:styleId="TOC4">
    <w:name w:val="toc 4"/>
    <w:basedOn w:val="Normal"/>
    <w:next w:val="Normal"/>
    <w:autoRedefine/>
    <w:uiPriority w:val="39"/>
    <w:unhideWhenUsed/>
    <w:rsid w:val="005C4225"/>
    <w:pPr>
      <w:ind w:left="720"/>
    </w:pPr>
    <w:rPr>
      <w:rFonts w:asciiTheme="minorHAnsi" w:hAnsiTheme="minorHAnsi"/>
      <w:sz w:val="20"/>
      <w:szCs w:val="20"/>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8069BF"/>
    <w:rPr>
      <w:rFonts w:ascii="Cambria" w:eastAsia="Calibri" w:hAnsi="Cambria" w:cs="Calibri"/>
      <w:color w:val="000000"/>
      <w:sz w:val="16"/>
      <w:u w:color="000000"/>
      <w:lang w:val="en-US"/>
    </w:rPr>
  </w:style>
  <w:style w:type="character" w:customStyle="1" w:styleId="Heading2Char">
    <w:name w:val="Heading 2 Char"/>
    <w:basedOn w:val="DefaultParagraphFont"/>
    <w:link w:val="Heading2"/>
    <w:rsid w:val="00483337"/>
    <w:rPr>
      <w:rFonts w:asciiTheme="majorHAnsi" w:eastAsia="Times New Roman" w:hAnsiTheme="majorHAnsi" w:cs="Arial"/>
      <w:b/>
      <w:bCs/>
      <w:bdr w:val="none" w:sz="0" w:space="0" w:color="auto"/>
      <w:lang w:val="en-US" w:eastAsia="en-US"/>
    </w:rPr>
  </w:style>
  <w:style w:type="character" w:customStyle="1" w:styleId="Heading3Char">
    <w:name w:val="Heading 3 Char"/>
    <w:basedOn w:val="DefaultParagraphFont"/>
    <w:link w:val="Heading3"/>
    <w:rsid w:val="00D333AB"/>
    <w:rPr>
      <w:rFonts w:asciiTheme="majorHAnsi" w:eastAsia="Times New Roman" w:hAnsiTheme="majorHAnsi" w:cs="Arial"/>
      <w:b/>
      <w:bCs/>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2E4AEA"/>
    <w:rPr>
      <w:rFonts w:ascii="Cambria" w:eastAsia="Cambria" w:hAnsi="Cambria" w:cs="Cambria"/>
      <w:color w:val="000000"/>
      <w:sz w:val="24"/>
      <w:szCs w:val="24"/>
      <w:u w:color="000000"/>
      <w:lang w:val="en-US"/>
    </w:rPr>
  </w:style>
  <w:style w:type="paragraph" w:styleId="List2">
    <w:name w:val="List 2"/>
    <w:basedOn w:val="Normal"/>
    <w:uiPriority w:val="99"/>
    <w:unhideWhenUsed/>
    <w:rsid w:val="0058659B"/>
    <w:pPr>
      <w:ind w:left="720" w:hanging="360"/>
      <w:contextualSpacing/>
    </w:pPr>
  </w:style>
  <w:style w:type="paragraph" w:styleId="List3">
    <w:name w:val="List 3"/>
    <w:basedOn w:val="Normal"/>
    <w:uiPriority w:val="99"/>
    <w:unhideWhenUsed/>
    <w:rsid w:val="0058659B"/>
    <w:pPr>
      <w:ind w:left="1080" w:hanging="360"/>
      <w:contextualSpacing/>
    </w:pPr>
  </w:style>
  <w:style w:type="paragraph" w:styleId="Title">
    <w:name w:val="Title"/>
    <w:basedOn w:val="Normal"/>
    <w:next w:val="Normal"/>
    <w:link w:val="TitleChar"/>
    <w:uiPriority w:val="10"/>
    <w:qFormat/>
    <w:rsid w:val="005865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659B"/>
    <w:rPr>
      <w:rFonts w:asciiTheme="majorHAnsi" w:eastAsiaTheme="majorEastAsia" w:hAnsiTheme="majorHAnsi" w:cstheme="majorBidi"/>
      <w:color w:val="17365D" w:themeColor="text2" w:themeShade="BF"/>
      <w:spacing w:val="5"/>
      <w:kern w:val="28"/>
      <w:sz w:val="52"/>
      <w:szCs w:val="52"/>
      <w:lang w:val="en-US" w:eastAsia="en-US"/>
    </w:rPr>
  </w:style>
  <w:style w:type="paragraph" w:styleId="Subtitle">
    <w:name w:val="Subtitle"/>
    <w:basedOn w:val="Normal"/>
    <w:next w:val="Normal"/>
    <w:link w:val="SubtitleChar"/>
    <w:uiPriority w:val="11"/>
    <w:qFormat/>
    <w:rsid w:val="0058659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8659B"/>
    <w:rPr>
      <w:rFonts w:asciiTheme="majorHAnsi" w:eastAsiaTheme="majorEastAsia" w:hAnsiTheme="majorHAnsi" w:cstheme="majorBidi"/>
      <w:i/>
      <w:iCs/>
      <w:color w:val="4F81BD" w:themeColor="accent1"/>
      <w:spacing w:val="15"/>
      <w:sz w:val="24"/>
      <w:szCs w:val="24"/>
      <w:lang w:val="en-US" w:eastAsia="en-US"/>
    </w:rPr>
  </w:style>
  <w:style w:type="paragraph" w:styleId="BodyTextFirstIndent">
    <w:name w:val="Body Text First Indent"/>
    <w:basedOn w:val="BodyText"/>
    <w:link w:val="BodyTextFirstIndentChar"/>
    <w:uiPriority w:val="99"/>
    <w:unhideWhenUsed/>
    <w:rsid w:val="0058659B"/>
    <w:pPr>
      <w:spacing w:after="0"/>
      <w:ind w:firstLine="360"/>
    </w:pPr>
  </w:style>
  <w:style w:type="character" w:customStyle="1" w:styleId="BodyTextFirstIndentChar">
    <w:name w:val="Body Text First Indent Char"/>
    <w:basedOn w:val="BodyTextChar"/>
    <w:link w:val="BodyTextFirstIndent"/>
    <w:uiPriority w:val="99"/>
    <w:rsid w:val="0058659B"/>
    <w:rPr>
      <w:sz w:val="24"/>
      <w:szCs w:val="24"/>
      <w:lang w:val="en-US" w:eastAsia="en-US"/>
    </w:rPr>
  </w:style>
  <w:style w:type="paragraph" w:styleId="BodyTextFirstIndent2">
    <w:name w:val="Body Text First Indent 2"/>
    <w:basedOn w:val="BodyTextIndent"/>
    <w:link w:val="BodyTextFirstIndent2Char"/>
    <w:uiPriority w:val="99"/>
    <w:unhideWhenUsed/>
    <w:rsid w:val="0058659B"/>
    <w:pPr>
      <w:ind w:left="360" w:firstLine="360"/>
    </w:pPr>
    <w:rPr>
      <w:rFonts w:eastAsia="Arial Unicode MS"/>
      <w:color w:val="auto"/>
      <w:lang w:val="en-US" w:eastAsia="en-US"/>
    </w:rPr>
  </w:style>
  <w:style w:type="character" w:customStyle="1" w:styleId="BodyTextIndentChar">
    <w:name w:val="Body Text Indent Char"/>
    <w:basedOn w:val="DefaultParagraphFont"/>
    <w:link w:val="BodyTextIndent"/>
    <w:rsid w:val="0058659B"/>
    <w:rPr>
      <w:rFonts w:eastAsia="Times New Roman"/>
      <w:color w:val="000000"/>
      <w:sz w:val="24"/>
      <w:szCs w:val="24"/>
      <w:u w:color="000000"/>
      <w:lang w:val="es-ES_tradnl"/>
    </w:rPr>
  </w:style>
  <w:style w:type="character" w:customStyle="1" w:styleId="BodyTextFirstIndent2Char">
    <w:name w:val="Body Text First Indent 2 Char"/>
    <w:basedOn w:val="BodyTextIndentChar"/>
    <w:link w:val="BodyTextFirstIndent2"/>
    <w:uiPriority w:val="99"/>
    <w:rsid w:val="0058659B"/>
    <w:rPr>
      <w:rFonts w:eastAsia="Times New Roman"/>
      <w:color w:val="000000"/>
      <w:sz w:val="24"/>
      <w:szCs w:val="24"/>
      <w:u w:color="000000"/>
      <w:lang w:val="en-US" w:eastAsia="en-US"/>
    </w:rPr>
  </w:style>
  <w:style w:type="character" w:styleId="CommentReference">
    <w:name w:val="annotation reference"/>
    <w:basedOn w:val="DefaultParagraphFont"/>
    <w:uiPriority w:val="99"/>
    <w:semiHidden/>
    <w:unhideWhenUsed/>
    <w:rsid w:val="00F9111A"/>
    <w:rPr>
      <w:sz w:val="16"/>
      <w:szCs w:val="16"/>
    </w:rPr>
  </w:style>
  <w:style w:type="paragraph" w:styleId="CommentText">
    <w:name w:val="annotation text"/>
    <w:basedOn w:val="Normal"/>
    <w:link w:val="CommentTextChar"/>
    <w:uiPriority w:val="99"/>
    <w:semiHidden/>
    <w:unhideWhenUsed/>
    <w:rsid w:val="00F9111A"/>
    <w:rPr>
      <w:sz w:val="20"/>
      <w:szCs w:val="20"/>
    </w:rPr>
  </w:style>
  <w:style w:type="character" w:customStyle="1" w:styleId="CommentTextChar">
    <w:name w:val="Comment Text Char"/>
    <w:basedOn w:val="DefaultParagraphFont"/>
    <w:link w:val="CommentText"/>
    <w:uiPriority w:val="99"/>
    <w:semiHidden/>
    <w:rsid w:val="00F9111A"/>
    <w:rPr>
      <w:lang w:val="en-US" w:eastAsia="en-US"/>
    </w:rPr>
  </w:style>
  <w:style w:type="paragraph" w:styleId="CommentSubject">
    <w:name w:val="annotation subject"/>
    <w:basedOn w:val="CommentText"/>
    <w:next w:val="CommentText"/>
    <w:link w:val="CommentSubjectChar"/>
    <w:uiPriority w:val="99"/>
    <w:semiHidden/>
    <w:unhideWhenUsed/>
    <w:rsid w:val="00F9111A"/>
    <w:rPr>
      <w:b/>
      <w:bCs/>
    </w:rPr>
  </w:style>
  <w:style w:type="character" w:customStyle="1" w:styleId="CommentSubjectChar">
    <w:name w:val="Comment Subject Char"/>
    <w:basedOn w:val="CommentTextChar"/>
    <w:link w:val="CommentSubject"/>
    <w:uiPriority w:val="99"/>
    <w:semiHidden/>
    <w:rsid w:val="00F9111A"/>
    <w:rPr>
      <w:b/>
      <w:bCs/>
      <w:lang w:val="en-US" w:eastAsia="en-US"/>
    </w:rPr>
  </w:style>
  <w:style w:type="character" w:styleId="Strong">
    <w:name w:val="Strong"/>
    <w:uiPriority w:val="22"/>
    <w:qFormat/>
    <w:rsid w:val="004B46A5"/>
    <w:rPr>
      <w:b/>
      <w:bCs/>
    </w:rPr>
  </w:style>
  <w:style w:type="paragraph" w:styleId="TOCHeading">
    <w:name w:val="TOC Heading"/>
    <w:basedOn w:val="Heading1"/>
    <w:next w:val="Normal"/>
    <w:uiPriority w:val="39"/>
    <w:unhideWhenUsed/>
    <w:qFormat/>
    <w:rsid w:val="00483337"/>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color w:val="365F91" w:themeColor="accent1" w:themeShade="BF"/>
      <w:sz w:val="28"/>
      <w:szCs w:val="28"/>
      <w:bdr w:val="none" w:sz="0" w:space="0" w:color="auto"/>
      <w:lang w:val="en-US"/>
    </w:rPr>
  </w:style>
  <w:style w:type="paragraph" w:styleId="TOC5">
    <w:name w:val="toc 5"/>
    <w:basedOn w:val="Normal"/>
    <w:next w:val="Normal"/>
    <w:autoRedefine/>
    <w:uiPriority w:val="39"/>
    <w:unhideWhenUsed/>
    <w:rsid w:val="00483337"/>
    <w:pPr>
      <w:ind w:left="960"/>
    </w:pPr>
    <w:rPr>
      <w:rFonts w:asciiTheme="minorHAnsi" w:hAnsiTheme="minorHAnsi"/>
      <w:sz w:val="20"/>
      <w:szCs w:val="20"/>
    </w:rPr>
  </w:style>
  <w:style w:type="paragraph" w:styleId="TOC6">
    <w:name w:val="toc 6"/>
    <w:basedOn w:val="Normal"/>
    <w:next w:val="Normal"/>
    <w:autoRedefine/>
    <w:uiPriority w:val="39"/>
    <w:unhideWhenUsed/>
    <w:rsid w:val="00483337"/>
    <w:pPr>
      <w:ind w:left="1200"/>
    </w:pPr>
    <w:rPr>
      <w:rFonts w:asciiTheme="minorHAnsi" w:hAnsiTheme="minorHAnsi"/>
      <w:sz w:val="20"/>
      <w:szCs w:val="20"/>
    </w:rPr>
  </w:style>
  <w:style w:type="paragraph" w:styleId="TOC7">
    <w:name w:val="toc 7"/>
    <w:basedOn w:val="Normal"/>
    <w:next w:val="Normal"/>
    <w:autoRedefine/>
    <w:uiPriority w:val="39"/>
    <w:unhideWhenUsed/>
    <w:rsid w:val="00483337"/>
    <w:pPr>
      <w:ind w:left="1440"/>
    </w:pPr>
    <w:rPr>
      <w:rFonts w:asciiTheme="minorHAnsi" w:hAnsiTheme="minorHAnsi"/>
      <w:sz w:val="20"/>
      <w:szCs w:val="20"/>
    </w:rPr>
  </w:style>
  <w:style w:type="paragraph" w:styleId="TOC8">
    <w:name w:val="toc 8"/>
    <w:basedOn w:val="Normal"/>
    <w:next w:val="Normal"/>
    <w:autoRedefine/>
    <w:uiPriority w:val="39"/>
    <w:unhideWhenUsed/>
    <w:rsid w:val="00483337"/>
    <w:pPr>
      <w:ind w:left="1680"/>
    </w:pPr>
    <w:rPr>
      <w:rFonts w:asciiTheme="minorHAnsi" w:hAnsiTheme="minorHAnsi"/>
      <w:sz w:val="20"/>
      <w:szCs w:val="20"/>
    </w:rPr>
  </w:style>
  <w:style w:type="paragraph" w:styleId="TOC9">
    <w:name w:val="toc 9"/>
    <w:basedOn w:val="Normal"/>
    <w:next w:val="Normal"/>
    <w:autoRedefine/>
    <w:uiPriority w:val="39"/>
    <w:unhideWhenUsed/>
    <w:rsid w:val="00483337"/>
    <w:pPr>
      <w:ind w:left="1920"/>
    </w:pPr>
    <w:rPr>
      <w:rFonts w:asciiTheme="minorHAnsi" w:hAnsiTheme="minorHAnsi"/>
      <w:sz w:val="20"/>
      <w:szCs w:val="20"/>
    </w:rPr>
  </w:style>
  <w:style w:type="paragraph" w:styleId="BodyTextIndent3">
    <w:name w:val="Body Text Indent 3"/>
    <w:basedOn w:val="Normal"/>
    <w:link w:val="BodyTextIndent3Char"/>
    <w:uiPriority w:val="99"/>
    <w:semiHidden/>
    <w:unhideWhenUsed/>
    <w:rsid w:val="0037774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77746"/>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1411">
      <w:bodyDiv w:val="1"/>
      <w:marLeft w:val="0"/>
      <w:marRight w:val="0"/>
      <w:marTop w:val="0"/>
      <w:marBottom w:val="0"/>
      <w:divBdr>
        <w:top w:val="none" w:sz="0" w:space="0" w:color="auto"/>
        <w:left w:val="none" w:sz="0" w:space="0" w:color="auto"/>
        <w:bottom w:val="none" w:sz="0" w:space="0" w:color="auto"/>
        <w:right w:val="none" w:sz="0" w:space="0" w:color="auto"/>
      </w:divBdr>
    </w:div>
    <w:div w:id="88505127">
      <w:bodyDiv w:val="1"/>
      <w:marLeft w:val="0"/>
      <w:marRight w:val="0"/>
      <w:marTop w:val="0"/>
      <w:marBottom w:val="0"/>
      <w:divBdr>
        <w:top w:val="none" w:sz="0" w:space="0" w:color="auto"/>
        <w:left w:val="none" w:sz="0" w:space="0" w:color="auto"/>
        <w:bottom w:val="none" w:sz="0" w:space="0" w:color="auto"/>
        <w:right w:val="none" w:sz="0" w:space="0" w:color="auto"/>
      </w:divBdr>
    </w:div>
    <w:div w:id="260381134">
      <w:bodyDiv w:val="1"/>
      <w:marLeft w:val="0"/>
      <w:marRight w:val="0"/>
      <w:marTop w:val="0"/>
      <w:marBottom w:val="0"/>
      <w:divBdr>
        <w:top w:val="none" w:sz="0" w:space="0" w:color="auto"/>
        <w:left w:val="none" w:sz="0" w:space="0" w:color="auto"/>
        <w:bottom w:val="none" w:sz="0" w:space="0" w:color="auto"/>
        <w:right w:val="none" w:sz="0" w:space="0" w:color="auto"/>
      </w:divBdr>
    </w:div>
    <w:div w:id="301814326">
      <w:bodyDiv w:val="1"/>
      <w:marLeft w:val="0"/>
      <w:marRight w:val="0"/>
      <w:marTop w:val="0"/>
      <w:marBottom w:val="0"/>
      <w:divBdr>
        <w:top w:val="none" w:sz="0" w:space="0" w:color="auto"/>
        <w:left w:val="none" w:sz="0" w:space="0" w:color="auto"/>
        <w:bottom w:val="none" w:sz="0" w:space="0" w:color="auto"/>
        <w:right w:val="none" w:sz="0" w:space="0" w:color="auto"/>
      </w:divBdr>
    </w:div>
    <w:div w:id="356350814">
      <w:bodyDiv w:val="1"/>
      <w:marLeft w:val="0"/>
      <w:marRight w:val="0"/>
      <w:marTop w:val="0"/>
      <w:marBottom w:val="0"/>
      <w:divBdr>
        <w:top w:val="none" w:sz="0" w:space="0" w:color="auto"/>
        <w:left w:val="none" w:sz="0" w:space="0" w:color="auto"/>
        <w:bottom w:val="none" w:sz="0" w:space="0" w:color="auto"/>
        <w:right w:val="none" w:sz="0" w:space="0" w:color="auto"/>
      </w:divBdr>
    </w:div>
    <w:div w:id="518588605">
      <w:bodyDiv w:val="1"/>
      <w:marLeft w:val="0"/>
      <w:marRight w:val="0"/>
      <w:marTop w:val="0"/>
      <w:marBottom w:val="0"/>
      <w:divBdr>
        <w:top w:val="none" w:sz="0" w:space="0" w:color="auto"/>
        <w:left w:val="none" w:sz="0" w:space="0" w:color="auto"/>
        <w:bottom w:val="none" w:sz="0" w:space="0" w:color="auto"/>
        <w:right w:val="none" w:sz="0" w:space="0" w:color="auto"/>
      </w:divBdr>
    </w:div>
    <w:div w:id="757097408">
      <w:bodyDiv w:val="1"/>
      <w:marLeft w:val="0"/>
      <w:marRight w:val="0"/>
      <w:marTop w:val="0"/>
      <w:marBottom w:val="0"/>
      <w:divBdr>
        <w:top w:val="none" w:sz="0" w:space="0" w:color="auto"/>
        <w:left w:val="none" w:sz="0" w:space="0" w:color="auto"/>
        <w:bottom w:val="none" w:sz="0" w:space="0" w:color="auto"/>
        <w:right w:val="none" w:sz="0" w:space="0" w:color="auto"/>
      </w:divBdr>
    </w:div>
    <w:div w:id="825897802">
      <w:bodyDiv w:val="1"/>
      <w:marLeft w:val="0"/>
      <w:marRight w:val="0"/>
      <w:marTop w:val="0"/>
      <w:marBottom w:val="0"/>
      <w:divBdr>
        <w:top w:val="none" w:sz="0" w:space="0" w:color="auto"/>
        <w:left w:val="none" w:sz="0" w:space="0" w:color="auto"/>
        <w:bottom w:val="none" w:sz="0" w:space="0" w:color="auto"/>
        <w:right w:val="none" w:sz="0" w:space="0" w:color="auto"/>
      </w:divBdr>
    </w:div>
    <w:div w:id="1039667234">
      <w:bodyDiv w:val="1"/>
      <w:marLeft w:val="0"/>
      <w:marRight w:val="0"/>
      <w:marTop w:val="0"/>
      <w:marBottom w:val="0"/>
      <w:divBdr>
        <w:top w:val="none" w:sz="0" w:space="0" w:color="auto"/>
        <w:left w:val="none" w:sz="0" w:space="0" w:color="auto"/>
        <w:bottom w:val="none" w:sz="0" w:space="0" w:color="auto"/>
        <w:right w:val="none" w:sz="0" w:space="0" w:color="auto"/>
      </w:divBdr>
    </w:div>
    <w:div w:id="1073360190">
      <w:bodyDiv w:val="1"/>
      <w:marLeft w:val="0"/>
      <w:marRight w:val="0"/>
      <w:marTop w:val="0"/>
      <w:marBottom w:val="0"/>
      <w:divBdr>
        <w:top w:val="none" w:sz="0" w:space="0" w:color="auto"/>
        <w:left w:val="none" w:sz="0" w:space="0" w:color="auto"/>
        <w:bottom w:val="none" w:sz="0" w:space="0" w:color="auto"/>
        <w:right w:val="none" w:sz="0" w:space="0" w:color="auto"/>
      </w:divBdr>
    </w:div>
    <w:div w:id="1199661911">
      <w:bodyDiv w:val="1"/>
      <w:marLeft w:val="0"/>
      <w:marRight w:val="0"/>
      <w:marTop w:val="0"/>
      <w:marBottom w:val="0"/>
      <w:divBdr>
        <w:top w:val="none" w:sz="0" w:space="0" w:color="auto"/>
        <w:left w:val="none" w:sz="0" w:space="0" w:color="auto"/>
        <w:bottom w:val="none" w:sz="0" w:space="0" w:color="auto"/>
        <w:right w:val="none" w:sz="0" w:space="0" w:color="auto"/>
      </w:divBdr>
    </w:div>
    <w:div w:id="1269237408">
      <w:bodyDiv w:val="1"/>
      <w:marLeft w:val="0"/>
      <w:marRight w:val="0"/>
      <w:marTop w:val="0"/>
      <w:marBottom w:val="0"/>
      <w:divBdr>
        <w:top w:val="none" w:sz="0" w:space="0" w:color="auto"/>
        <w:left w:val="none" w:sz="0" w:space="0" w:color="auto"/>
        <w:bottom w:val="none" w:sz="0" w:space="0" w:color="auto"/>
        <w:right w:val="none" w:sz="0" w:space="0" w:color="auto"/>
      </w:divBdr>
    </w:div>
    <w:div w:id="1306159383">
      <w:bodyDiv w:val="1"/>
      <w:marLeft w:val="0"/>
      <w:marRight w:val="0"/>
      <w:marTop w:val="0"/>
      <w:marBottom w:val="0"/>
      <w:divBdr>
        <w:top w:val="none" w:sz="0" w:space="0" w:color="auto"/>
        <w:left w:val="none" w:sz="0" w:space="0" w:color="auto"/>
        <w:bottom w:val="none" w:sz="0" w:space="0" w:color="auto"/>
        <w:right w:val="none" w:sz="0" w:space="0" w:color="auto"/>
      </w:divBdr>
    </w:div>
    <w:div w:id="1389567914">
      <w:bodyDiv w:val="1"/>
      <w:marLeft w:val="0"/>
      <w:marRight w:val="0"/>
      <w:marTop w:val="0"/>
      <w:marBottom w:val="0"/>
      <w:divBdr>
        <w:top w:val="none" w:sz="0" w:space="0" w:color="auto"/>
        <w:left w:val="none" w:sz="0" w:space="0" w:color="auto"/>
        <w:bottom w:val="none" w:sz="0" w:space="0" w:color="auto"/>
        <w:right w:val="none" w:sz="0" w:space="0" w:color="auto"/>
      </w:divBdr>
    </w:div>
    <w:div w:id="1608081689">
      <w:bodyDiv w:val="1"/>
      <w:marLeft w:val="0"/>
      <w:marRight w:val="0"/>
      <w:marTop w:val="0"/>
      <w:marBottom w:val="0"/>
      <w:divBdr>
        <w:top w:val="none" w:sz="0" w:space="0" w:color="auto"/>
        <w:left w:val="none" w:sz="0" w:space="0" w:color="auto"/>
        <w:bottom w:val="none" w:sz="0" w:space="0" w:color="auto"/>
        <w:right w:val="none" w:sz="0" w:space="0" w:color="auto"/>
      </w:divBdr>
    </w:div>
    <w:div w:id="1642733135">
      <w:bodyDiv w:val="1"/>
      <w:marLeft w:val="0"/>
      <w:marRight w:val="0"/>
      <w:marTop w:val="0"/>
      <w:marBottom w:val="0"/>
      <w:divBdr>
        <w:top w:val="none" w:sz="0" w:space="0" w:color="auto"/>
        <w:left w:val="none" w:sz="0" w:space="0" w:color="auto"/>
        <w:bottom w:val="none" w:sz="0" w:space="0" w:color="auto"/>
        <w:right w:val="none" w:sz="0" w:space="0" w:color="auto"/>
      </w:divBdr>
    </w:div>
    <w:div w:id="175420589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35679962">
      <w:bodyDiv w:val="1"/>
      <w:marLeft w:val="0"/>
      <w:marRight w:val="0"/>
      <w:marTop w:val="0"/>
      <w:marBottom w:val="0"/>
      <w:divBdr>
        <w:top w:val="none" w:sz="0" w:space="0" w:color="auto"/>
        <w:left w:val="none" w:sz="0" w:space="0" w:color="auto"/>
        <w:bottom w:val="none" w:sz="0" w:space="0" w:color="auto"/>
        <w:right w:val="none" w:sz="0" w:space="0" w:color="auto"/>
      </w:divBdr>
    </w:div>
    <w:div w:id="1873572177">
      <w:bodyDiv w:val="1"/>
      <w:marLeft w:val="0"/>
      <w:marRight w:val="0"/>
      <w:marTop w:val="0"/>
      <w:marBottom w:val="0"/>
      <w:divBdr>
        <w:top w:val="none" w:sz="0" w:space="0" w:color="auto"/>
        <w:left w:val="none" w:sz="0" w:space="0" w:color="auto"/>
        <w:bottom w:val="none" w:sz="0" w:space="0" w:color="auto"/>
        <w:right w:val="none" w:sz="0" w:space="0" w:color="auto"/>
      </w:divBdr>
    </w:div>
    <w:div w:id="2102557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887E3-F619-D546-8F5F-8C689691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13401</Words>
  <Characters>76388</Characters>
  <Application>Microsoft Office Word</Application>
  <DocSecurity>0</DocSecurity>
  <Lines>636</Lines>
  <Paragraphs>179</Paragraphs>
  <ScaleCrop>false</ScaleCrop>
  <Company/>
  <LinksUpToDate>false</LinksUpToDate>
  <CharactersWithSpaces>89610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2021-04-28T14:25:00Z</dcterms:created>
  <dcterms:modified xsi:type="dcterms:W3CDTF">2021-04-28T14:25:00Z</dcterms:modified>
</cp:coreProperties>
</file>