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4236DEA4"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rsidR="00040C3A" w:rsidRPr="0090270B" w:rsidRDefault="00040C3A" w:rsidP="00040C3A">
      <w:pPr>
        <w:tabs>
          <w:tab w:val="center" w:pos="5400"/>
        </w:tabs>
        <w:suppressAutoHyphens/>
        <w:jc w:val="both"/>
        <w:rPr>
          <w:rFonts w:asciiTheme="majorHAnsi" w:hAnsiTheme="majorHAnsi"/>
          <w:sz w:val="22"/>
          <w:szCs w:val="22"/>
          <w:lang w:val="es-ES"/>
        </w:rPr>
      </w:pPr>
    </w:p>
    <w:p w:rsidR="00040C3A" w:rsidRPr="0090270B" w:rsidRDefault="00040C3A" w:rsidP="00040C3A">
      <w:pPr>
        <w:tabs>
          <w:tab w:val="center" w:pos="5400"/>
        </w:tabs>
        <w:suppressAutoHyphens/>
        <w:jc w:val="both"/>
        <w:rPr>
          <w:rFonts w:asciiTheme="majorHAnsi" w:hAnsiTheme="majorHAnsi"/>
          <w:sz w:val="22"/>
          <w:szCs w:val="22"/>
          <w:lang w:val="es-ES"/>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bookmarkStart w:id="0" w:name="_GoBack"/>
      <w:bookmarkEnd w:id="0"/>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F459AB">
                              <w:rPr>
                                <w:rFonts w:asciiTheme="majorHAnsi" w:hAnsiTheme="majorHAnsi" w:cs="Arial"/>
                                <w:b/>
                                <w:bCs/>
                                <w:color w:val="0D0D0D" w:themeColor="text1" w:themeTint="F2"/>
                                <w:sz w:val="36"/>
                                <w:szCs w:val="22"/>
                                <w:lang w:val="es-ES_tradnl"/>
                              </w:rPr>
                              <w:t>409</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20</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142AA">
                              <w:rPr>
                                <w:rFonts w:asciiTheme="majorHAnsi" w:hAnsiTheme="majorHAnsi" w:cs="Arial"/>
                                <w:b/>
                                <w:color w:val="0D0D0D" w:themeColor="text1" w:themeTint="F2"/>
                                <w:sz w:val="36"/>
                                <w:szCs w:val="22"/>
                                <w:lang w:val="es-ES_tradnl"/>
                              </w:rPr>
                              <w:t>1550-11</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5B52B0" w:rsidRDefault="001142AA"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RAFAEL ÁNGEL CALDERÓN FOURNIER</w:t>
                            </w:r>
                            <w:bookmarkEnd w:id="1"/>
                          </w:p>
                          <w:p w:rsidR="001142AA" w:rsidRPr="001142AA" w:rsidRDefault="001142AA"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COSTA RICA</w:t>
                            </w:r>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F459AB">
                        <w:rPr>
                          <w:rFonts w:asciiTheme="majorHAnsi" w:hAnsiTheme="majorHAnsi" w:cs="Arial"/>
                          <w:b/>
                          <w:bCs/>
                          <w:color w:val="0D0D0D" w:themeColor="text1" w:themeTint="F2"/>
                          <w:sz w:val="36"/>
                          <w:szCs w:val="22"/>
                          <w:lang w:val="es-ES_tradnl"/>
                        </w:rPr>
                        <w:t>409</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20</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142AA">
                        <w:rPr>
                          <w:rFonts w:asciiTheme="majorHAnsi" w:hAnsiTheme="majorHAnsi" w:cs="Arial"/>
                          <w:b/>
                          <w:color w:val="0D0D0D" w:themeColor="text1" w:themeTint="F2"/>
                          <w:sz w:val="36"/>
                          <w:szCs w:val="22"/>
                          <w:lang w:val="es-ES_tradnl"/>
                        </w:rPr>
                        <w:t>1550-11</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2" w:name="_ftnref1"/>
                    </w:p>
                    <w:p w:rsidR="005B52B0" w:rsidRDefault="001142AA"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RAFAEL ÁNGEL CALDERÓN FOURNIER</w:t>
                      </w:r>
                      <w:bookmarkEnd w:id="2"/>
                    </w:p>
                    <w:p w:rsidR="001142AA" w:rsidRPr="001142AA" w:rsidRDefault="001142AA"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COSTA RICA</w:t>
                      </w:r>
                    </w:p>
                    <w:p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5640C5" w:rsidRDefault="005640C5" w:rsidP="007A5817">
                            <w:pPr>
                              <w:spacing w:line="276" w:lineRule="auto"/>
                              <w:jc w:val="right"/>
                              <w:rPr>
                                <w:rFonts w:asciiTheme="minorHAnsi" w:hAnsiTheme="minorHAnsi"/>
                                <w:color w:val="FFFFFF" w:themeColor="background1"/>
                                <w:sz w:val="22"/>
                                <w:lang w:val="es-419"/>
                              </w:rPr>
                            </w:pPr>
                            <w:r w:rsidRPr="005640C5">
                              <w:rPr>
                                <w:rFonts w:asciiTheme="minorHAnsi" w:hAnsiTheme="minorHAnsi"/>
                                <w:color w:val="FFFFFF" w:themeColor="background1"/>
                                <w:sz w:val="22"/>
                                <w:lang w:val="es-419"/>
                              </w:rPr>
                              <w:t>OEA/</w:t>
                            </w:r>
                            <w:proofErr w:type="spellStart"/>
                            <w:r w:rsidRPr="005640C5">
                              <w:rPr>
                                <w:rFonts w:asciiTheme="minorHAnsi" w:hAnsiTheme="minorHAnsi"/>
                                <w:color w:val="FFFFFF" w:themeColor="background1"/>
                                <w:sz w:val="22"/>
                                <w:lang w:val="es-419"/>
                              </w:rPr>
                              <w:t>Ser.L</w:t>
                            </w:r>
                            <w:proofErr w:type="spellEnd"/>
                            <w:r w:rsidRPr="005640C5">
                              <w:rPr>
                                <w:rFonts w:asciiTheme="minorHAnsi" w:hAnsiTheme="minorHAnsi"/>
                                <w:color w:val="FFFFFF" w:themeColor="background1"/>
                                <w:sz w:val="22"/>
                                <w:lang w:val="es-419"/>
                              </w:rPr>
                              <w:t>/V/II</w:t>
                            </w:r>
                          </w:p>
                          <w:p w:rsidR="00627C9F" w:rsidRPr="005640C5" w:rsidRDefault="00F459AB" w:rsidP="007A5817">
                            <w:pPr>
                              <w:spacing w:line="276" w:lineRule="auto"/>
                              <w:jc w:val="right"/>
                              <w:rPr>
                                <w:rFonts w:asciiTheme="minorHAnsi" w:hAnsiTheme="minorHAnsi"/>
                                <w:color w:val="FFFFFF" w:themeColor="background1"/>
                                <w:sz w:val="22"/>
                                <w:lang w:val="es-419"/>
                              </w:rPr>
                            </w:pPr>
                            <w:r>
                              <w:rPr>
                                <w:rFonts w:asciiTheme="minorHAnsi" w:hAnsiTheme="minorHAnsi"/>
                                <w:color w:val="FFFFFF" w:themeColor="background1"/>
                                <w:sz w:val="22"/>
                                <w:lang w:val="es-419"/>
                              </w:rPr>
                              <w:t>Doc. 42</w:t>
                            </w:r>
                            <w:r w:rsidR="005640C5" w:rsidRPr="005640C5">
                              <w:rPr>
                                <w:rFonts w:asciiTheme="minorHAnsi" w:hAnsiTheme="minorHAnsi"/>
                                <w:color w:val="FFFFFF" w:themeColor="background1"/>
                                <w:sz w:val="22"/>
                                <w:lang w:val="es-419"/>
                              </w:rPr>
                              <w:t>7</w:t>
                            </w:r>
                          </w:p>
                          <w:p w:rsidR="00627C9F" w:rsidRPr="00C25ADB" w:rsidRDefault="005640C5"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24 noviembre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20</w:t>
                            </w:r>
                          </w:p>
                          <w:p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5640C5" w:rsidRDefault="005640C5" w:rsidP="007A5817">
                      <w:pPr>
                        <w:spacing w:line="276" w:lineRule="auto"/>
                        <w:jc w:val="right"/>
                        <w:rPr>
                          <w:rFonts w:asciiTheme="minorHAnsi" w:hAnsiTheme="minorHAnsi"/>
                          <w:color w:val="FFFFFF" w:themeColor="background1"/>
                          <w:sz w:val="22"/>
                          <w:lang w:val="es-419"/>
                        </w:rPr>
                      </w:pPr>
                      <w:r w:rsidRPr="005640C5">
                        <w:rPr>
                          <w:rFonts w:asciiTheme="minorHAnsi" w:hAnsiTheme="minorHAnsi"/>
                          <w:color w:val="FFFFFF" w:themeColor="background1"/>
                          <w:sz w:val="22"/>
                          <w:lang w:val="es-419"/>
                        </w:rPr>
                        <w:t>OEA/</w:t>
                      </w:r>
                      <w:proofErr w:type="spellStart"/>
                      <w:r w:rsidRPr="005640C5">
                        <w:rPr>
                          <w:rFonts w:asciiTheme="minorHAnsi" w:hAnsiTheme="minorHAnsi"/>
                          <w:color w:val="FFFFFF" w:themeColor="background1"/>
                          <w:sz w:val="22"/>
                          <w:lang w:val="es-419"/>
                        </w:rPr>
                        <w:t>Ser.L</w:t>
                      </w:r>
                      <w:proofErr w:type="spellEnd"/>
                      <w:r w:rsidRPr="005640C5">
                        <w:rPr>
                          <w:rFonts w:asciiTheme="minorHAnsi" w:hAnsiTheme="minorHAnsi"/>
                          <w:color w:val="FFFFFF" w:themeColor="background1"/>
                          <w:sz w:val="22"/>
                          <w:lang w:val="es-419"/>
                        </w:rPr>
                        <w:t>/V/II</w:t>
                      </w:r>
                    </w:p>
                    <w:p w:rsidR="00627C9F" w:rsidRPr="005640C5" w:rsidRDefault="00F459AB" w:rsidP="007A5817">
                      <w:pPr>
                        <w:spacing w:line="276" w:lineRule="auto"/>
                        <w:jc w:val="right"/>
                        <w:rPr>
                          <w:rFonts w:asciiTheme="minorHAnsi" w:hAnsiTheme="minorHAnsi"/>
                          <w:color w:val="FFFFFF" w:themeColor="background1"/>
                          <w:sz w:val="22"/>
                          <w:lang w:val="es-419"/>
                        </w:rPr>
                      </w:pPr>
                      <w:r>
                        <w:rPr>
                          <w:rFonts w:asciiTheme="minorHAnsi" w:hAnsiTheme="minorHAnsi"/>
                          <w:color w:val="FFFFFF" w:themeColor="background1"/>
                          <w:sz w:val="22"/>
                          <w:lang w:val="es-419"/>
                        </w:rPr>
                        <w:t>Doc. 42</w:t>
                      </w:r>
                      <w:r w:rsidR="005640C5" w:rsidRPr="005640C5">
                        <w:rPr>
                          <w:rFonts w:asciiTheme="minorHAnsi" w:hAnsiTheme="minorHAnsi"/>
                          <w:color w:val="FFFFFF" w:themeColor="background1"/>
                          <w:sz w:val="22"/>
                          <w:lang w:val="es-419"/>
                        </w:rPr>
                        <w:t>7</w:t>
                      </w:r>
                    </w:p>
                    <w:p w:rsidR="00627C9F" w:rsidRPr="00C25ADB" w:rsidRDefault="005640C5"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24 noviembre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20</w:t>
                      </w:r>
                    </w:p>
                    <w:p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cs="Arial"/>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5640C5">
                              <w:rPr>
                                <w:rFonts w:asciiTheme="majorHAnsi" w:hAnsiTheme="majorHAnsi"/>
                                <w:color w:val="0D0D0D" w:themeColor="text1" w:themeTint="F2"/>
                                <w:sz w:val="18"/>
                                <w:szCs w:val="22"/>
                                <w:lang w:val="es-ES"/>
                              </w:rPr>
                              <w:t>24</w:t>
                            </w:r>
                            <w:r w:rsidRPr="00890650">
                              <w:rPr>
                                <w:rFonts w:asciiTheme="majorHAnsi" w:hAnsiTheme="majorHAnsi"/>
                                <w:color w:val="0D0D0D" w:themeColor="text1" w:themeTint="F2"/>
                                <w:sz w:val="18"/>
                                <w:szCs w:val="22"/>
                                <w:lang w:val="es-ES"/>
                              </w:rPr>
                              <w:t xml:space="preserve"> de </w:t>
                            </w:r>
                            <w:r w:rsidR="005640C5">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20</w:t>
                            </w:r>
                            <w:r w:rsidR="001D3B64">
                              <w:rPr>
                                <w:rFonts w:asciiTheme="majorHAnsi" w:hAnsiTheme="majorHAnsi"/>
                                <w:color w:val="0D0D0D" w:themeColor="text1" w:themeTint="F2"/>
                                <w:sz w:val="18"/>
                                <w:szCs w:val="22"/>
                                <w:lang w:val="es-ES"/>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5640C5">
                        <w:rPr>
                          <w:rFonts w:asciiTheme="majorHAnsi" w:hAnsiTheme="majorHAnsi"/>
                          <w:color w:val="0D0D0D" w:themeColor="text1" w:themeTint="F2"/>
                          <w:sz w:val="18"/>
                          <w:szCs w:val="22"/>
                          <w:lang w:val="es-ES"/>
                        </w:rPr>
                        <w:t>24</w:t>
                      </w:r>
                      <w:r w:rsidRPr="00890650">
                        <w:rPr>
                          <w:rFonts w:asciiTheme="majorHAnsi" w:hAnsiTheme="majorHAnsi"/>
                          <w:color w:val="0D0D0D" w:themeColor="text1" w:themeTint="F2"/>
                          <w:sz w:val="18"/>
                          <w:szCs w:val="22"/>
                          <w:lang w:val="es-ES"/>
                        </w:rPr>
                        <w:t xml:space="preserve"> de </w:t>
                      </w:r>
                      <w:r w:rsidR="005640C5">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20</w:t>
                      </w:r>
                      <w:r w:rsidR="001D3B64">
                        <w:rPr>
                          <w:rFonts w:asciiTheme="majorHAnsi" w:hAnsiTheme="majorHAnsi"/>
                          <w:color w:val="0D0D0D" w:themeColor="text1" w:themeTint="F2"/>
                          <w:sz w:val="18"/>
                          <w:szCs w:val="22"/>
                          <w:lang w:val="es-ES"/>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E5628">
                              <w:rPr>
                                <w:rFonts w:asciiTheme="majorHAnsi" w:hAnsiTheme="majorHAnsi"/>
                                <w:color w:val="595959" w:themeColor="text1" w:themeTint="A6"/>
                                <w:sz w:val="18"/>
                                <w:szCs w:val="18"/>
                                <w:lang w:val="pt-BR"/>
                              </w:rPr>
                              <w:t>390</w:t>
                            </w:r>
                            <w:r w:rsidR="007B05C4" w:rsidRPr="005640C5">
                              <w:rPr>
                                <w:rFonts w:asciiTheme="majorHAnsi" w:hAnsiTheme="majorHAnsi"/>
                                <w:color w:val="595959" w:themeColor="text1" w:themeTint="A6"/>
                                <w:sz w:val="18"/>
                                <w:szCs w:val="18"/>
                                <w:lang w:val="pt-BR"/>
                              </w:rPr>
                              <w:t>/</w:t>
                            </w:r>
                            <w:r w:rsidR="005640C5" w:rsidRPr="005640C5">
                              <w:rPr>
                                <w:rFonts w:asciiTheme="majorHAnsi" w:hAnsiTheme="majorHAnsi"/>
                                <w:color w:val="595959" w:themeColor="text1" w:themeTint="A6"/>
                                <w:sz w:val="18"/>
                                <w:szCs w:val="18"/>
                                <w:lang w:val="pt-BR"/>
                              </w:rPr>
                              <w:t>20</w:t>
                            </w:r>
                            <w:r w:rsidRPr="005640C5">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5640C5">
                              <w:rPr>
                                <w:rFonts w:asciiTheme="majorHAnsi" w:hAnsiTheme="majorHAnsi"/>
                                <w:color w:val="595959" w:themeColor="text1" w:themeTint="A6"/>
                                <w:sz w:val="18"/>
                                <w:szCs w:val="18"/>
                                <w:lang w:val="es-ES"/>
                              </w:rPr>
                              <w:t>1550</w:t>
                            </w:r>
                            <w:r w:rsidR="000433C9">
                              <w:rPr>
                                <w:rFonts w:asciiTheme="majorHAnsi" w:hAnsiTheme="majorHAnsi"/>
                                <w:color w:val="595959" w:themeColor="text1" w:themeTint="A6"/>
                                <w:sz w:val="18"/>
                                <w:szCs w:val="18"/>
                                <w:lang w:val="es-ES"/>
                              </w:rPr>
                              <w:t>-</w:t>
                            </w:r>
                            <w:r w:rsidR="005640C5">
                              <w:rPr>
                                <w:rFonts w:asciiTheme="majorHAnsi" w:hAnsiTheme="majorHAnsi"/>
                                <w:color w:val="595959" w:themeColor="text1" w:themeTint="A6"/>
                                <w:sz w:val="18"/>
                                <w:szCs w:val="18"/>
                                <w:lang w:val="es-ES"/>
                              </w:rPr>
                              <w:t>11</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r w:rsidR="005640C5">
                              <w:rPr>
                                <w:rFonts w:asciiTheme="majorHAnsi" w:hAnsiTheme="majorHAnsi"/>
                                <w:color w:val="595959" w:themeColor="text1" w:themeTint="A6"/>
                                <w:sz w:val="18"/>
                                <w:szCs w:val="18"/>
                                <w:lang w:val="es-ES_tradnl"/>
                              </w:rPr>
                              <w:t xml:space="preserve">Rafael Ángel Calderón </w:t>
                            </w:r>
                            <w:proofErr w:type="spellStart"/>
                            <w:r w:rsidR="005640C5">
                              <w:rPr>
                                <w:rFonts w:asciiTheme="majorHAnsi" w:hAnsiTheme="majorHAnsi"/>
                                <w:color w:val="595959" w:themeColor="text1" w:themeTint="A6"/>
                                <w:sz w:val="18"/>
                                <w:szCs w:val="18"/>
                                <w:lang w:val="es-ES_tradnl"/>
                              </w:rPr>
                              <w:t>Fournier</w:t>
                            </w:r>
                            <w:proofErr w:type="spellEnd"/>
                            <w:r w:rsidRPr="00890650">
                              <w:rPr>
                                <w:rFonts w:asciiTheme="majorHAnsi" w:hAnsiTheme="majorHAnsi"/>
                                <w:color w:val="595959" w:themeColor="text1" w:themeTint="A6"/>
                                <w:sz w:val="18"/>
                                <w:szCs w:val="18"/>
                                <w:lang w:val="es-ES_tradnl"/>
                              </w:rPr>
                              <w:t xml:space="preserve">. </w:t>
                            </w:r>
                            <w:r w:rsidR="005640C5">
                              <w:rPr>
                                <w:rFonts w:asciiTheme="majorHAnsi" w:hAnsiTheme="majorHAnsi"/>
                                <w:color w:val="595959" w:themeColor="text1" w:themeTint="A6"/>
                                <w:sz w:val="18"/>
                                <w:szCs w:val="18"/>
                                <w:lang w:val="es-ES_tradnl"/>
                              </w:rPr>
                              <w:t>Costa Rica</w:t>
                            </w:r>
                            <w:r w:rsidRPr="00890650">
                              <w:rPr>
                                <w:rFonts w:asciiTheme="majorHAnsi" w:hAnsiTheme="majorHAnsi"/>
                                <w:color w:val="595959" w:themeColor="text1" w:themeTint="A6"/>
                                <w:sz w:val="18"/>
                                <w:szCs w:val="18"/>
                                <w:lang w:val="es-ES_tradnl"/>
                              </w:rPr>
                              <w:t xml:space="preserve">. </w:t>
                            </w:r>
                            <w:r w:rsidR="005640C5">
                              <w:rPr>
                                <w:rFonts w:asciiTheme="majorHAnsi" w:hAnsiTheme="majorHAnsi"/>
                                <w:color w:val="595959" w:themeColor="text1" w:themeTint="A6"/>
                                <w:sz w:val="18"/>
                                <w:szCs w:val="18"/>
                                <w:lang w:val="es-ES"/>
                              </w:rPr>
                              <w:t>24 de noviembre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E5628">
                        <w:rPr>
                          <w:rFonts w:asciiTheme="majorHAnsi" w:hAnsiTheme="majorHAnsi"/>
                          <w:color w:val="595959" w:themeColor="text1" w:themeTint="A6"/>
                          <w:sz w:val="18"/>
                          <w:szCs w:val="18"/>
                          <w:lang w:val="pt-BR"/>
                        </w:rPr>
                        <w:t>390</w:t>
                      </w:r>
                      <w:bookmarkStart w:id="3" w:name="_GoBack"/>
                      <w:bookmarkEnd w:id="3"/>
                      <w:r w:rsidR="007B05C4" w:rsidRPr="005640C5">
                        <w:rPr>
                          <w:rFonts w:asciiTheme="majorHAnsi" w:hAnsiTheme="majorHAnsi"/>
                          <w:color w:val="595959" w:themeColor="text1" w:themeTint="A6"/>
                          <w:sz w:val="18"/>
                          <w:szCs w:val="18"/>
                          <w:lang w:val="pt-BR"/>
                        </w:rPr>
                        <w:t>/</w:t>
                      </w:r>
                      <w:r w:rsidR="005640C5" w:rsidRPr="005640C5">
                        <w:rPr>
                          <w:rFonts w:asciiTheme="majorHAnsi" w:hAnsiTheme="majorHAnsi"/>
                          <w:color w:val="595959" w:themeColor="text1" w:themeTint="A6"/>
                          <w:sz w:val="18"/>
                          <w:szCs w:val="18"/>
                          <w:lang w:val="pt-BR"/>
                        </w:rPr>
                        <w:t>20</w:t>
                      </w:r>
                      <w:r w:rsidRPr="005640C5">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5640C5">
                        <w:rPr>
                          <w:rFonts w:asciiTheme="majorHAnsi" w:hAnsiTheme="majorHAnsi"/>
                          <w:color w:val="595959" w:themeColor="text1" w:themeTint="A6"/>
                          <w:sz w:val="18"/>
                          <w:szCs w:val="18"/>
                          <w:lang w:val="es-ES"/>
                        </w:rPr>
                        <w:t>1550</w:t>
                      </w:r>
                      <w:r w:rsidR="000433C9">
                        <w:rPr>
                          <w:rFonts w:asciiTheme="majorHAnsi" w:hAnsiTheme="majorHAnsi"/>
                          <w:color w:val="595959" w:themeColor="text1" w:themeTint="A6"/>
                          <w:sz w:val="18"/>
                          <w:szCs w:val="18"/>
                          <w:lang w:val="es-ES"/>
                        </w:rPr>
                        <w:t>-</w:t>
                      </w:r>
                      <w:r w:rsidR="005640C5">
                        <w:rPr>
                          <w:rFonts w:asciiTheme="majorHAnsi" w:hAnsiTheme="majorHAnsi"/>
                          <w:color w:val="595959" w:themeColor="text1" w:themeTint="A6"/>
                          <w:sz w:val="18"/>
                          <w:szCs w:val="18"/>
                          <w:lang w:val="es-ES"/>
                        </w:rPr>
                        <w:t>11</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r w:rsidR="005640C5">
                        <w:rPr>
                          <w:rFonts w:asciiTheme="majorHAnsi" w:hAnsiTheme="majorHAnsi"/>
                          <w:color w:val="595959" w:themeColor="text1" w:themeTint="A6"/>
                          <w:sz w:val="18"/>
                          <w:szCs w:val="18"/>
                          <w:lang w:val="es-ES_tradnl"/>
                        </w:rPr>
                        <w:t xml:space="preserve">Rafael Ángel Calderón </w:t>
                      </w:r>
                      <w:proofErr w:type="spellStart"/>
                      <w:r w:rsidR="005640C5">
                        <w:rPr>
                          <w:rFonts w:asciiTheme="majorHAnsi" w:hAnsiTheme="majorHAnsi"/>
                          <w:color w:val="595959" w:themeColor="text1" w:themeTint="A6"/>
                          <w:sz w:val="18"/>
                          <w:szCs w:val="18"/>
                          <w:lang w:val="es-ES_tradnl"/>
                        </w:rPr>
                        <w:t>Fournier</w:t>
                      </w:r>
                      <w:proofErr w:type="spellEnd"/>
                      <w:r w:rsidRPr="00890650">
                        <w:rPr>
                          <w:rFonts w:asciiTheme="majorHAnsi" w:hAnsiTheme="majorHAnsi"/>
                          <w:color w:val="595959" w:themeColor="text1" w:themeTint="A6"/>
                          <w:sz w:val="18"/>
                          <w:szCs w:val="18"/>
                          <w:lang w:val="es-ES_tradnl"/>
                        </w:rPr>
                        <w:t xml:space="preserve">. </w:t>
                      </w:r>
                      <w:r w:rsidR="005640C5">
                        <w:rPr>
                          <w:rFonts w:asciiTheme="majorHAnsi" w:hAnsiTheme="majorHAnsi"/>
                          <w:color w:val="595959" w:themeColor="text1" w:themeTint="A6"/>
                          <w:sz w:val="18"/>
                          <w:szCs w:val="18"/>
                          <w:lang w:val="es-ES_tradnl"/>
                        </w:rPr>
                        <w:t>Costa Rica</w:t>
                      </w:r>
                      <w:r w:rsidRPr="00890650">
                        <w:rPr>
                          <w:rFonts w:asciiTheme="majorHAnsi" w:hAnsiTheme="majorHAnsi"/>
                          <w:color w:val="595959" w:themeColor="text1" w:themeTint="A6"/>
                          <w:sz w:val="18"/>
                          <w:szCs w:val="18"/>
                          <w:lang w:val="es-ES_tradnl"/>
                        </w:rPr>
                        <w:t xml:space="preserve">. </w:t>
                      </w:r>
                      <w:r w:rsidR="005640C5">
                        <w:rPr>
                          <w:rFonts w:asciiTheme="majorHAnsi" w:hAnsiTheme="majorHAnsi"/>
                          <w:color w:val="595959" w:themeColor="text1" w:themeTint="A6"/>
                          <w:sz w:val="18"/>
                          <w:szCs w:val="18"/>
                          <w:lang w:val="es-ES"/>
                        </w:rPr>
                        <w:t>24 de noviembre de 2020</w:t>
                      </w:r>
                      <w:r w:rsidRPr="007B05C4">
                        <w:rPr>
                          <w:rFonts w:asciiTheme="majorHAnsi" w:hAnsiTheme="majorHAnsi"/>
                          <w:color w:val="595959" w:themeColor="text1" w:themeTint="A6"/>
                          <w:sz w:val="18"/>
                          <w:szCs w:val="18"/>
                          <w:lang w:val="es-ES"/>
                        </w:rPr>
                        <w:t>.</w:t>
                      </w: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1D3B64" w:rsidP="00F02AD1">
                            <w:pPr>
                              <w:rPr>
                                <w:color w:val="FFFFFF" w:themeColor="background1"/>
                                <w14:textFill>
                                  <w14:noFill/>
                                </w14:textFill>
                              </w:rPr>
                            </w:pPr>
                            <w:r>
                              <w:rPr>
                                <w:noProof/>
                                <w:color w:val="FFFFFF" w:themeColor="background1"/>
                              </w:rPr>
                              <w:drawing>
                                <wp:inline distT="0" distB="0" distL="0" distR="0">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1D3B64" w:rsidP="00F02AD1">
                      <w:pPr>
                        <w:rPr>
                          <w:color w:val="FFFFFF" w:themeColor="background1"/>
                          <w14:textFill>
                            <w14:noFill/>
                          </w14:textFill>
                        </w:rPr>
                      </w:pPr>
                      <w:r>
                        <w:rPr>
                          <w:noProof/>
                          <w:color w:val="FFFFFF" w:themeColor="background1"/>
                        </w:rPr>
                        <w:drawing>
                          <wp:inline distT="0" distB="0" distL="0" distR="0">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Tr="004A6A54">
        <w:tc>
          <w:tcPr>
            <w:tcW w:w="3600" w:type="dxa"/>
            <w:tcBorders>
              <w:top w:val="single" w:sz="4" w:space="0" w:color="auto"/>
              <w:bottom w:val="single" w:sz="6" w:space="0" w:color="auto"/>
            </w:tcBorders>
            <w:shd w:val="clear" w:color="auto" w:fill="386294"/>
            <w:vAlign w:val="center"/>
          </w:tcPr>
          <w:p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Parte </w:t>
            </w:r>
            <w:proofErr w:type="spellStart"/>
            <w:r w:rsidRPr="000D05CB">
              <w:rPr>
                <w:rFonts w:ascii="Cambria" w:hAnsi="Cambria"/>
                <w:b/>
                <w:bCs/>
                <w:color w:val="FFFFFF" w:themeColor="background1"/>
                <w:sz w:val="20"/>
                <w:szCs w:val="20"/>
              </w:rPr>
              <w:t>peticionaria</w:t>
            </w:r>
            <w:proofErr w:type="spellEnd"/>
            <w:r w:rsidRPr="000D05CB">
              <w:rPr>
                <w:rFonts w:ascii="Cambria" w:hAnsi="Cambria"/>
                <w:b/>
                <w:bCs/>
                <w:color w:val="FFFFFF" w:themeColor="background1"/>
                <w:sz w:val="20"/>
                <w:szCs w:val="20"/>
              </w:rPr>
              <w:t>:</w:t>
            </w:r>
          </w:p>
        </w:tc>
        <w:tc>
          <w:tcPr>
            <w:tcW w:w="5760" w:type="dxa"/>
            <w:vAlign w:val="center"/>
          </w:tcPr>
          <w:p w:rsidR="003239B8" w:rsidRPr="000D05CB" w:rsidRDefault="001142AA" w:rsidP="008D2290">
            <w:pPr>
              <w:jc w:val="both"/>
              <w:rPr>
                <w:rFonts w:ascii="Cambria" w:hAnsi="Cambria"/>
                <w:bCs/>
                <w:sz w:val="20"/>
                <w:szCs w:val="20"/>
              </w:rPr>
            </w:pPr>
            <w:r>
              <w:rPr>
                <w:rFonts w:ascii="Cambria" w:hAnsi="Cambria"/>
                <w:bCs/>
                <w:sz w:val="20"/>
                <w:szCs w:val="20"/>
              </w:rPr>
              <w:t xml:space="preserve">Hugo Santamaria </w:t>
            </w:r>
            <w:proofErr w:type="spellStart"/>
            <w:r>
              <w:rPr>
                <w:rFonts w:ascii="Cambria" w:hAnsi="Cambria"/>
                <w:bCs/>
                <w:sz w:val="20"/>
                <w:szCs w:val="20"/>
              </w:rPr>
              <w:t>Lamicq</w:t>
            </w:r>
            <w:proofErr w:type="spellEnd"/>
          </w:p>
        </w:tc>
      </w:tr>
      <w:tr w:rsidR="003239B8" w:rsidRPr="001E49E7" w:rsidTr="004A6A54">
        <w:tc>
          <w:tcPr>
            <w:tcW w:w="3600" w:type="dxa"/>
            <w:tcBorders>
              <w:top w:val="single" w:sz="6" w:space="0" w:color="auto"/>
              <w:bottom w:val="single" w:sz="6" w:space="0" w:color="auto"/>
            </w:tcBorders>
            <w:shd w:val="clear" w:color="auto" w:fill="386294"/>
            <w:vAlign w:val="center"/>
          </w:tcPr>
          <w:p w:rsidR="003239B8" w:rsidRPr="000D05CB" w:rsidRDefault="00197A90"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rsidR="003239B8" w:rsidRPr="000D05CB" w:rsidRDefault="001142AA" w:rsidP="008D2290">
            <w:pPr>
              <w:jc w:val="both"/>
              <w:rPr>
                <w:rFonts w:ascii="Cambria" w:hAnsi="Cambria"/>
                <w:bCs/>
                <w:sz w:val="20"/>
                <w:szCs w:val="20"/>
                <w:lang w:val="es-ES"/>
              </w:rPr>
            </w:pPr>
            <w:r>
              <w:rPr>
                <w:rFonts w:ascii="Cambria" w:hAnsi="Cambria"/>
                <w:bCs/>
                <w:sz w:val="20"/>
                <w:szCs w:val="20"/>
                <w:lang w:val="es-ES"/>
              </w:rPr>
              <w:t xml:space="preserve">Rafael Ángel Calderón </w:t>
            </w:r>
            <w:proofErr w:type="spellStart"/>
            <w:r>
              <w:rPr>
                <w:rFonts w:ascii="Cambria" w:hAnsi="Cambria"/>
                <w:bCs/>
                <w:sz w:val="20"/>
                <w:szCs w:val="20"/>
                <w:lang w:val="es-ES"/>
              </w:rPr>
              <w:t>Fournier</w:t>
            </w:r>
            <w:proofErr w:type="spellEnd"/>
          </w:p>
        </w:tc>
      </w:tr>
      <w:tr w:rsidR="003239B8" w:rsidTr="004A6A54">
        <w:tc>
          <w:tcPr>
            <w:tcW w:w="3600" w:type="dxa"/>
            <w:tcBorders>
              <w:top w:val="single" w:sz="6" w:space="0" w:color="auto"/>
              <w:bottom w:val="single" w:sz="6" w:space="0" w:color="auto"/>
            </w:tcBorders>
            <w:shd w:val="clear" w:color="auto" w:fill="386294"/>
            <w:vAlign w:val="center"/>
          </w:tcPr>
          <w:p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Estado </w:t>
            </w:r>
            <w:proofErr w:type="spellStart"/>
            <w:r w:rsidRPr="000D05CB">
              <w:rPr>
                <w:rFonts w:ascii="Cambria" w:hAnsi="Cambria"/>
                <w:b/>
                <w:bCs/>
                <w:color w:val="FFFFFF" w:themeColor="background1"/>
                <w:sz w:val="20"/>
                <w:szCs w:val="20"/>
              </w:rPr>
              <w:t>denunciado</w:t>
            </w:r>
            <w:proofErr w:type="spellEnd"/>
            <w:r w:rsidRPr="000D05CB">
              <w:rPr>
                <w:rFonts w:ascii="Cambria" w:hAnsi="Cambria"/>
                <w:b/>
                <w:bCs/>
                <w:color w:val="FFFFFF" w:themeColor="background1"/>
                <w:sz w:val="20"/>
                <w:szCs w:val="20"/>
              </w:rPr>
              <w:t>:</w:t>
            </w:r>
          </w:p>
        </w:tc>
        <w:tc>
          <w:tcPr>
            <w:tcW w:w="5760" w:type="dxa"/>
            <w:vAlign w:val="center"/>
          </w:tcPr>
          <w:p w:rsidR="003239B8" w:rsidRPr="000D05CB" w:rsidRDefault="001142AA" w:rsidP="001142AA">
            <w:pPr>
              <w:jc w:val="both"/>
              <w:rPr>
                <w:rFonts w:ascii="Cambria" w:hAnsi="Cambria"/>
                <w:bCs/>
                <w:sz w:val="20"/>
                <w:szCs w:val="20"/>
              </w:rPr>
            </w:pPr>
            <w:r>
              <w:rPr>
                <w:rFonts w:ascii="Cambria" w:hAnsi="Cambria"/>
                <w:bCs/>
                <w:sz w:val="20"/>
                <w:szCs w:val="20"/>
              </w:rPr>
              <w:t>Costa Rica</w:t>
            </w:r>
          </w:p>
        </w:tc>
      </w:tr>
      <w:tr w:rsidR="00223A29" w:rsidRPr="001D3B64" w:rsidTr="004A6A54">
        <w:tc>
          <w:tcPr>
            <w:tcW w:w="3600" w:type="dxa"/>
            <w:tcBorders>
              <w:top w:val="single" w:sz="6" w:space="0" w:color="auto"/>
              <w:bottom w:val="single" w:sz="6" w:space="0" w:color="auto"/>
            </w:tcBorders>
            <w:shd w:val="clear" w:color="auto" w:fill="386294"/>
            <w:vAlign w:val="center"/>
          </w:tcPr>
          <w:p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proofErr w:type="spellStart"/>
            <w:r w:rsidR="00E4118C" w:rsidRPr="000D05CB">
              <w:rPr>
                <w:rFonts w:ascii="Cambria" w:hAnsi="Cambria"/>
                <w:b/>
                <w:bCs/>
                <w:color w:val="FFFFFF" w:themeColor="background1"/>
                <w:sz w:val="20"/>
                <w:szCs w:val="20"/>
              </w:rPr>
              <w:t>invocados</w:t>
            </w:r>
            <w:proofErr w:type="spellEnd"/>
            <w:r w:rsidRPr="000D05CB">
              <w:rPr>
                <w:rFonts w:ascii="Cambria" w:hAnsi="Cambria"/>
                <w:b/>
                <w:bCs/>
                <w:color w:val="FFFFFF" w:themeColor="background1"/>
                <w:sz w:val="20"/>
                <w:szCs w:val="20"/>
              </w:rPr>
              <w:t>:</w:t>
            </w:r>
          </w:p>
        </w:tc>
        <w:tc>
          <w:tcPr>
            <w:tcW w:w="5760" w:type="dxa"/>
            <w:vAlign w:val="center"/>
          </w:tcPr>
          <w:p w:rsidR="00223A29" w:rsidRPr="00A176A5" w:rsidRDefault="00A176A5" w:rsidP="008D2290">
            <w:pPr>
              <w:jc w:val="both"/>
              <w:rPr>
                <w:rFonts w:ascii="Cambria" w:hAnsi="Cambria"/>
                <w:bCs/>
                <w:sz w:val="20"/>
                <w:szCs w:val="20"/>
                <w:lang w:val="es-ES"/>
              </w:rPr>
            </w:pPr>
            <w:r>
              <w:rPr>
                <w:rFonts w:ascii="Cambria" w:hAnsi="Cambria"/>
                <w:bCs/>
                <w:sz w:val="20"/>
                <w:szCs w:val="20"/>
                <w:lang w:val="es-ES"/>
              </w:rPr>
              <w:t xml:space="preserve">Artículos 4 (vida), 5 (integridad personal), 8 (garantías judiciales), 9 (principio de legalidad y retroactividad), 11 (protección de la honra y la dignidad), 13 (libertad de expresión) y 25 (protección judicial) </w:t>
            </w:r>
            <w:r w:rsidRPr="00A176A5">
              <w:rPr>
                <w:rFonts w:ascii="Cambria" w:hAnsi="Cambria"/>
                <w:bCs/>
                <w:sz w:val="20"/>
                <w:szCs w:val="20"/>
                <w:lang w:val="es-ES"/>
              </w:rPr>
              <w:t>de la Convención A</w:t>
            </w:r>
            <w:r>
              <w:rPr>
                <w:rFonts w:ascii="Cambria" w:hAnsi="Cambria"/>
                <w:bCs/>
                <w:sz w:val="20"/>
                <w:szCs w:val="20"/>
                <w:lang w:val="es-ES"/>
              </w:rPr>
              <w:t>mericana sobre Derechos Humanos</w:t>
            </w:r>
            <w:r w:rsidR="008E3632">
              <w:rPr>
                <w:rStyle w:val="FootnoteReference"/>
                <w:rFonts w:ascii="Cambria" w:hAnsi="Cambria"/>
                <w:bCs/>
                <w:sz w:val="20"/>
                <w:szCs w:val="20"/>
                <w:lang w:val="es-ES"/>
              </w:rPr>
              <w:footnoteReference w:id="2"/>
            </w:r>
            <w:r w:rsidRPr="00A176A5">
              <w:rPr>
                <w:rFonts w:ascii="Cambria" w:hAnsi="Cambria"/>
                <w:bCs/>
                <w:sz w:val="20"/>
                <w:szCs w:val="20"/>
                <w:lang w:val="es-ES"/>
              </w:rPr>
              <w:t>, en relación con su</w:t>
            </w:r>
            <w:r>
              <w:rPr>
                <w:rFonts w:ascii="Cambria" w:hAnsi="Cambria"/>
                <w:bCs/>
                <w:sz w:val="20"/>
                <w:szCs w:val="20"/>
                <w:lang w:val="es-ES"/>
              </w:rPr>
              <w:t>s</w:t>
            </w:r>
            <w:r w:rsidRPr="00A176A5">
              <w:rPr>
                <w:rFonts w:ascii="Cambria" w:hAnsi="Cambria"/>
                <w:bCs/>
                <w:sz w:val="20"/>
                <w:szCs w:val="20"/>
                <w:lang w:val="es-ES"/>
              </w:rPr>
              <w:t xml:space="preserve"> artículo</w:t>
            </w:r>
            <w:r>
              <w:rPr>
                <w:rFonts w:ascii="Cambria" w:hAnsi="Cambria"/>
                <w:bCs/>
                <w:sz w:val="20"/>
                <w:szCs w:val="20"/>
                <w:lang w:val="es-ES"/>
              </w:rPr>
              <w:t>s</w:t>
            </w:r>
            <w:r w:rsidRPr="00A176A5">
              <w:rPr>
                <w:rFonts w:ascii="Cambria" w:hAnsi="Cambria"/>
                <w:bCs/>
                <w:sz w:val="20"/>
                <w:szCs w:val="20"/>
                <w:lang w:val="es-ES"/>
              </w:rPr>
              <w:t xml:space="preserve"> 1.1 (obligación de respetar los derechos</w:t>
            </w:r>
            <w:r>
              <w:rPr>
                <w:rFonts w:ascii="Cambria" w:hAnsi="Cambria"/>
                <w:bCs/>
                <w:sz w:val="20"/>
                <w:szCs w:val="20"/>
                <w:lang w:val="es-ES"/>
              </w:rPr>
              <w:t>) y 2 (deber de adoptar dis</w:t>
            </w:r>
            <w:r w:rsidR="005847A6">
              <w:rPr>
                <w:rFonts w:ascii="Cambria" w:hAnsi="Cambria"/>
                <w:bCs/>
                <w:sz w:val="20"/>
                <w:szCs w:val="20"/>
                <w:lang w:val="es-ES"/>
              </w:rPr>
              <w:t>posiciones de derecho interno)</w:t>
            </w:r>
          </w:p>
        </w:tc>
      </w:tr>
    </w:tbl>
    <w:p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A176A5" w:rsidTr="004A6A54">
        <w:tc>
          <w:tcPr>
            <w:tcW w:w="3600" w:type="dxa"/>
            <w:tcBorders>
              <w:top w:val="single" w:sz="6" w:space="0" w:color="auto"/>
              <w:bottom w:val="single" w:sz="6" w:space="0" w:color="auto"/>
            </w:tcBorders>
            <w:shd w:val="clear" w:color="auto" w:fill="386294"/>
            <w:vAlign w:val="center"/>
          </w:tcPr>
          <w:p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rsidR="004C2312" w:rsidRPr="003239B8" w:rsidRDefault="001142AA" w:rsidP="002625EA">
            <w:pPr>
              <w:jc w:val="both"/>
              <w:rPr>
                <w:rFonts w:ascii="Cambria" w:hAnsi="Cambria"/>
                <w:bCs/>
                <w:sz w:val="20"/>
                <w:szCs w:val="20"/>
                <w:lang w:val="es-ES"/>
              </w:rPr>
            </w:pPr>
            <w:r>
              <w:rPr>
                <w:rFonts w:ascii="Cambria" w:hAnsi="Cambria"/>
                <w:bCs/>
                <w:sz w:val="20"/>
                <w:szCs w:val="20"/>
                <w:lang w:val="es-ES"/>
              </w:rPr>
              <w:t>6 de junio de 2011</w:t>
            </w:r>
          </w:p>
        </w:tc>
      </w:tr>
      <w:tr w:rsidR="00131425" w:rsidRPr="001D3B64" w:rsidTr="004A6A54">
        <w:tc>
          <w:tcPr>
            <w:tcW w:w="3600" w:type="dxa"/>
            <w:tcBorders>
              <w:top w:val="single" w:sz="6" w:space="0" w:color="auto"/>
              <w:bottom w:val="single" w:sz="6" w:space="0" w:color="auto"/>
            </w:tcBorders>
            <w:shd w:val="clear" w:color="auto" w:fill="386294"/>
            <w:vAlign w:val="center"/>
          </w:tcPr>
          <w:p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rsidR="00131425" w:rsidRPr="003239B8" w:rsidRDefault="00CA3091" w:rsidP="002625EA">
            <w:pPr>
              <w:jc w:val="both"/>
              <w:rPr>
                <w:rFonts w:ascii="Cambria" w:hAnsi="Cambria"/>
                <w:bCs/>
                <w:sz w:val="20"/>
                <w:szCs w:val="20"/>
                <w:lang w:val="es-ES"/>
              </w:rPr>
            </w:pPr>
            <w:r>
              <w:rPr>
                <w:rFonts w:ascii="Cambria" w:hAnsi="Cambria"/>
                <w:bCs/>
                <w:sz w:val="20"/>
                <w:szCs w:val="20"/>
                <w:lang w:val="es-ES"/>
              </w:rPr>
              <w:t>4 de noviembre de 2011, 13 de marzo de 2012, 13 de noviembre de 2012, 11 de diciembre de 2014,</w:t>
            </w:r>
            <w:r w:rsidR="001142AA">
              <w:rPr>
                <w:rFonts w:ascii="Cambria" w:hAnsi="Cambria"/>
                <w:bCs/>
                <w:sz w:val="20"/>
                <w:szCs w:val="20"/>
                <w:lang w:val="es-ES"/>
              </w:rPr>
              <w:t xml:space="preserve"> </w:t>
            </w:r>
            <w:r>
              <w:rPr>
                <w:rFonts w:ascii="Cambria" w:hAnsi="Cambria"/>
                <w:bCs/>
                <w:sz w:val="20"/>
                <w:szCs w:val="20"/>
                <w:lang w:val="es-ES"/>
              </w:rPr>
              <w:t>16 de septiembre de 2016,</w:t>
            </w:r>
            <w:r w:rsidR="00D943A9">
              <w:rPr>
                <w:rFonts w:ascii="Cambria" w:hAnsi="Cambria"/>
                <w:bCs/>
                <w:sz w:val="20"/>
                <w:szCs w:val="20"/>
                <w:lang w:val="es-ES"/>
              </w:rPr>
              <w:t xml:space="preserve"> 28 de septiembre </w:t>
            </w:r>
            <w:r>
              <w:rPr>
                <w:rFonts w:ascii="Cambria" w:hAnsi="Cambria"/>
                <w:bCs/>
                <w:sz w:val="20"/>
                <w:szCs w:val="20"/>
                <w:lang w:val="es-ES"/>
              </w:rPr>
              <w:t>de 2016 y 10 de octubre de 2017</w:t>
            </w:r>
          </w:p>
        </w:tc>
      </w:tr>
      <w:tr w:rsidR="004C2312" w:rsidRPr="001142AA" w:rsidTr="004A6A54">
        <w:tc>
          <w:tcPr>
            <w:tcW w:w="3600" w:type="dxa"/>
            <w:tcBorders>
              <w:top w:val="single" w:sz="6" w:space="0" w:color="auto"/>
              <w:bottom w:val="single" w:sz="6" w:space="0" w:color="auto"/>
            </w:tcBorders>
            <w:shd w:val="clear" w:color="auto" w:fill="386294"/>
            <w:vAlign w:val="center"/>
          </w:tcPr>
          <w:p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rsidR="004C2312" w:rsidRPr="003239B8" w:rsidRDefault="00D943A9" w:rsidP="008D2290">
            <w:pPr>
              <w:jc w:val="both"/>
              <w:rPr>
                <w:rFonts w:ascii="Cambria" w:hAnsi="Cambria"/>
                <w:bCs/>
                <w:sz w:val="20"/>
                <w:szCs w:val="20"/>
                <w:lang w:val="es-ES"/>
              </w:rPr>
            </w:pPr>
            <w:r>
              <w:rPr>
                <w:rFonts w:ascii="Cambria" w:hAnsi="Cambria"/>
                <w:bCs/>
                <w:sz w:val="20"/>
                <w:szCs w:val="20"/>
                <w:lang w:val="es-ES"/>
              </w:rPr>
              <w:t>6 de agosto de 2018</w:t>
            </w:r>
          </w:p>
        </w:tc>
      </w:tr>
      <w:tr w:rsidR="004C2312" w:rsidRPr="004A6A54" w:rsidTr="004A6A54">
        <w:tc>
          <w:tcPr>
            <w:tcW w:w="3600" w:type="dxa"/>
            <w:tcBorders>
              <w:top w:val="single" w:sz="6" w:space="0" w:color="auto"/>
              <w:bottom w:val="single" w:sz="6" w:space="0" w:color="auto"/>
            </w:tcBorders>
            <w:shd w:val="clear" w:color="auto" w:fill="386294"/>
            <w:vAlign w:val="center"/>
          </w:tcPr>
          <w:p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rsidR="004C2312" w:rsidRPr="003239B8" w:rsidRDefault="00D943A9" w:rsidP="008D2290">
            <w:pPr>
              <w:jc w:val="both"/>
              <w:rPr>
                <w:rFonts w:ascii="Cambria" w:hAnsi="Cambria"/>
                <w:bCs/>
                <w:sz w:val="20"/>
                <w:szCs w:val="20"/>
                <w:lang w:val="es-ES"/>
              </w:rPr>
            </w:pPr>
            <w:r>
              <w:rPr>
                <w:rFonts w:ascii="Cambria" w:hAnsi="Cambria"/>
                <w:bCs/>
                <w:sz w:val="20"/>
                <w:szCs w:val="20"/>
                <w:lang w:val="es-ES"/>
              </w:rPr>
              <w:t>6 de noviembre de 2018</w:t>
            </w:r>
          </w:p>
        </w:tc>
      </w:tr>
      <w:tr w:rsidR="004C2312" w:rsidRPr="001142AA" w:rsidTr="004A6A54">
        <w:tc>
          <w:tcPr>
            <w:tcW w:w="3600" w:type="dxa"/>
            <w:tcBorders>
              <w:top w:val="single" w:sz="6" w:space="0" w:color="auto"/>
              <w:bottom w:val="single" w:sz="6" w:space="0" w:color="auto"/>
            </w:tcBorders>
            <w:shd w:val="clear" w:color="auto" w:fill="386294"/>
            <w:vAlign w:val="center"/>
          </w:tcPr>
          <w:p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rsidR="004C2312" w:rsidRPr="003239B8" w:rsidRDefault="00D943A9" w:rsidP="008D2290">
            <w:pPr>
              <w:jc w:val="both"/>
              <w:rPr>
                <w:rFonts w:ascii="Cambria" w:hAnsi="Cambria"/>
                <w:bCs/>
                <w:sz w:val="20"/>
                <w:szCs w:val="20"/>
                <w:lang w:val="es-ES"/>
              </w:rPr>
            </w:pPr>
            <w:r>
              <w:rPr>
                <w:rFonts w:ascii="Cambria" w:hAnsi="Cambria"/>
                <w:bCs/>
                <w:sz w:val="20"/>
                <w:szCs w:val="20"/>
                <w:lang w:val="es-ES"/>
              </w:rPr>
              <w:t>20 de septiembre de 2019</w:t>
            </w:r>
          </w:p>
        </w:tc>
      </w:tr>
      <w:tr w:rsidR="004C2312" w:rsidRPr="009111EC" w:rsidTr="004A6A54">
        <w:tc>
          <w:tcPr>
            <w:tcW w:w="3600" w:type="dxa"/>
            <w:tcBorders>
              <w:top w:val="single" w:sz="6" w:space="0" w:color="auto"/>
              <w:bottom w:val="single" w:sz="6" w:space="0" w:color="auto"/>
            </w:tcBorders>
            <w:shd w:val="clear" w:color="auto" w:fill="386294"/>
            <w:vAlign w:val="center"/>
          </w:tcPr>
          <w:p w:rsidR="004C2312" w:rsidRPr="00706824" w:rsidRDefault="004C2312" w:rsidP="008E3BFE">
            <w:pPr>
              <w:jc w:val="center"/>
              <w:rPr>
                <w:rFonts w:ascii="Cambria" w:hAnsi="Cambria"/>
                <w:b/>
                <w:bCs/>
                <w:color w:val="FFFFFF" w:themeColor="background1"/>
                <w:sz w:val="20"/>
                <w:szCs w:val="20"/>
              </w:rPr>
            </w:pPr>
            <w:proofErr w:type="spellStart"/>
            <w:r w:rsidRPr="00706824">
              <w:rPr>
                <w:rFonts w:ascii="Cambria" w:hAnsi="Cambria"/>
                <w:b/>
                <w:bCs/>
                <w:color w:val="FFFFFF" w:themeColor="background1"/>
                <w:sz w:val="20"/>
                <w:szCs w:val="20"/>
              </w:rPr>
              <w:t>Observaciones</w:t>
            </w:r>
            <w:proofErr w:type="spellEnd"/>
            <w:r w:rsidRPr="00706824">
              <w:rPr>
                <w:rFonts w:ascii="Cambria" w:hAnsi="Cambria"/>
                <w:b/>
                <w:bCs/>
                <w:color w:val="FFFFFF" w:themeColor="background1"/>
                <w:sz w:val="20"/>
                <w:szCs w:val="20"/>
              </w:rPr>
              <w:t xml:space="preserve"> </w:t>
            </w:r>
            <w:proofErr w:type="spellStart"/>
            <w:r w:rsidRPr="00706824">
              <w:rPr>
                <w:rFonts w:ascii="Cambria" w:hAnsi="Cambria"/>
                <w:b/>
                <w:bCs/>
                <w:color w:val="FFFFFF" w:themeColor="background1"/>
                <w:sz w:val="20"/>
                <w:szCs w:val="20"/>
              </w:rPr>
              <w:t>adicionales</w:t>
            </w:r>
            <w:proofErr w:type="spellEnd"/>
            <w:r w:rsidRPr="00706824">
              <w:rPr>
                <w:rFonts w:ascii="Cambria" w:hAnsi="Cambria"/>
                <w:b/>
                <w:bCs/>
                <w:color w:val="FFFFFF" w:themeColor="background1"/>
                <w:sz w:val="20"/>
                <w:szCs w:val="20"/>
              </w:rPr>
              <w:t xml:space="preserve"> del Estado:</w:t>
            </w:r>
          </w:p>
        </w:tc>
        <w:tc>
          <w:tcPr>
            <w:tcW w:w="5760" w:type="dxa"/>
            <w:vAlign w:val="center"/>
          </w:tcPr>
          <w:p w:rsidR="004C2312" w:rsidRPr="009111EC" w:rsidRDefault="00D943A9" w:rsidP="008D2290">
            <w:pPr>
              <w:jc w:val="both"/>
              <w:rPr>
                <w:rFonts w:ascii="Cambria" w:hAnsi="Cambria"/>
                <w:bCs/>
                <w:sz w:val="20"/>
                <w:szCs w:val="20"/>
              </w:rPr>
            </w:pPr>
            <w:r>
              <w:rPr>
                <w:rFonts w:ascii="Cambria" w:hAnsi="Cambria"/>
                <w:bCs/>
                <w:sz w:val="20"/>
                <w:szCs w:val="20"/>
              </w:rPr>
              <w:t xml:space="preserve">25 de </w:t>
            </w:r>
            <w:proofErr w:type="spellStart"/>
            <w:r>
              <w:rPr>
                <w:rFonts w:ascii="Cambria" w:hAnsi="Cambria"/>
                <w:bCs/>
                <w:sz w:val="20"/>
                <w:szCs w:val="20"/>
              </w:rPr>
              <w:t>agosto</w:t>
            </w:r>
            <w:proofErr w:type="spellEnd"/>
            <w:r>
              <w:rPr>
                <w:rFonts w:ascii="Cambria" w:hAnsi="Cambria"/>
                <w:bCs/>
                <w:sz w:val="20"/>
                <w:szCs w:val="20"/>
              </w:rPr>
              <w:t xml:space="preserve"> de 2010</w:t>
            </w:r>
          </w:p>
        </w:tc>
      </w:tr>
    </w:tbl>
    <w:p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rsidTr="004A6A54">
        <w:trPr>
          <w:cantSplit/>
        </w:trPr>
        <w:tc>
          <w:tcPr>
            <w:tcW w:w="3600" w:type="dxa"/>
            <w:tcBorders>
              <w:top w:val="single" w:sz="4" w:space="0" w:color="auto"/>
              <w:bottom w:val="single" w:sz="6" w:space="0" w:color="auto"/>
            </w:tcBorders>
            <w:shd w:val="clear" w:color="auto" w:fill="386294"/>
            <w:vAlign w:val="center"/>
          </w:tcPr>
          <w:p w:rsidR="003239B8" w:rsidRPr="00B3745F" w:rsidRDefault="003239B8" w:rsidP="008D2290">
            <w:pPr>
              <w:jc w:val="center"/>
              <w:rPr>
                <w:rFonts w:ascii="Cambria" w:hAnsi="Cambria"/>
                <w:b/>
                <w:bCs/>
                <w:i/>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personae:</w:t>
            </w:r>
          </w:p>
        </w:tc>
        <w:tc>
          <w:tcPr>
            <w:tcW w:w="5760" w:type="dxa"/>
            <w:vAlign w:val="center"/>
          </w:tcPr>
          <w:p w:rsidR="003239B8" w:rsidRPr="00B3745F" w:rsidRDefault="00D943A9"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rsidTr="004A6A54">
        <w:trPr>
          <w:cantSplit/>
        </w:trPr>
        <w:tc>
          <w:tcPr>
            <w:tcW w:w="3600" w:type="dxa"/>
            <w:tcBorders>
              <w:top w:val="single" w:sz="6" w:space="0" w:color="auto"/>
              <w:bottom w:val="single" w:sz="6" w:space="0" w:color="auto"/>
            </w:tcBorders>
            <w:shd w:val="clear" w:color="auto" w:fill="386294"/>
            <w:vAlign w:val="center"/>
          </w:tcPr>
          <w:p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loci</w:t>
            </w:r>
            <w:r w:rsidRPr="00B3745F">
              <w:rPr>
                <w:rFonts w:ascii="Cambria" w:hAnsi="Cambria"/>
                <w:b/>
                <w:bCs/>
                <w:color w:val="FFFFFF" w:themeColor="background1"/>
                <w:sz w:val="20"/>
                <w:szCs w:val="20"/>
              </w:rPr>
              <w:t>:</w:t>
            </w:r>
          </w:p>
        </w:tc>
        <w:tc>
          <w:tcPr>
            <w:tcW w:w="5760" w:type="dxa"/>
            <w:vAlign w:val="center"/>
          </w:tcPr>
          <w:p w:rsidR="003239B8" w:rsidRPr="00B3745F" w:rsidRDefault="00D943A9"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rsidTr="004A6A54">
        <w:trPr>
          <w:cantSplit/>
        </w:trPr>
        <w:tc>
          <w:tcPr>
            <w:tcW w:w="3600" w:type="dxa"/>
            <w:tcBorders>
              <w:top w:val="single" w:sz="6" w:space="0" w:color="auto"/>
              <w:bottom w:val="single" w:sz="6" w:space="0" w:color="auto"/>
            </w:tcBorders>
            <w:shd w:val="clear" w:color="auto" w:fill="386294"/>
            <w:vAlign w:val="center"/>
          </w:tcPr>
          <w:p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temporis</w:t>
            </w:r>
            <w:proofErr w:type="spellEnd"/>
            <w:r w:rsidRPr="00B3745F">
              <w:rPr>
                <w:rFonts w:ascii="Cambria" w:hAnsi="Cambria"/>
                <w:b/>
                <w:bCs/>
                <w:color w:val="FFFFFF" w:themeColor="background1"/>
                <w:sz w:val="20"/>
                <w:szCs w:val="20"/>
              </w:rPr>
              <w:t>:</w:t>
            </w:r>
          </w:p>
        </w:tc>
        <w:tc>
          <w:tcPr>
            <w:tcW w:w="5760" w:type="dxa"/>
            <w:vAlign w:val="center"/>
          </w:tcPr>
          <w:p w:rsidR="003239B8" w:rsidRPr="00B3745F" w:rsidRDefault="00D943A9"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1D3B64" w:rsidTr="004A6A54">
        <w:trPr>
          <w:cantSplit/>
        </w:trPr>
        <w:tc>
          <w:tcPr>
            <w:tcW w:w="3600" w:type="dxa"/>
            <w:tcBorders>
              <w:top w:val="single" w:sz="6" w:space="0" w:color="auto"/>
              <w:bottom w:val="single" w:sz="6" w:space="0" w:color="auto"/>
            </w:tcBorders>
            <w:shd w:val="clear" w:color="auto" w:fill="386294"/>
            <w:vAlign w:val="center"/>
          </w:tcPr>
          <w:p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materia</w:t>
            </w:r>
            <w:r w:rsidR="00EE00E9" w:rsidRPr="00B3745F">
              <w:rPr>
                <w:rFonts w:ascii="Cambria" w:hAnsi="Cambria"/>
                <w:b/>
                <w:bCs/>
                <w:i/>
                <w:color w:val="FFFFFF" w:themeColor="background1"/>
                <w:sz w:val="20"/>
                <w:szCs w:val="20"/>
              </w:rPr>
              <w:t>e</w:t>
            </w:r>
            <w:proofErr w:type="spellEnd"/>
            <w:r w:rsidRPr="00B3745F">
              <w:rPr>
                <w:rFonts w:ascii="Cambria" w:hAnsi="Cambria"/>
                <w:b/>
                <w:bCs/>
                <w:color w:val="FFFFFF" w:themeColor="background1"/>
                <w:sz w:val="20"/>
                <w:szCs w:val="20"/>
              </w:rPr>
              <w:t>:</w:t>
            </w:r>
          </w:p>
        </w:tc>
        <w:tc>
          <w:tcPr>
            <w:tcW w:w="5760" w:type="dxa"/>
            <w:vAlign w:val="center"/>
          </w:tcPr>
          <w:p w:rsidR="003239B8" w:rsidRPr="00B3745F" w:rsidRDefault="00D943A9" w:rsidP="00D943A9">
            <w:pPr>
              <w:jc w:val="both"/>
              <w:rPr>
                <w:rFonts w:ascii="Cambria" w:hAnsi="Cambria"/>
                <w:bCs/>
                <w:sz w:val="20"/>
                <w:szCs w:val="20"/>
                <w:lang w:val="es-ES"/>
              </w:rPr>
            </w:pPr>
            <w:r>
              <w:rPr>
                <w:rFonts w:ascii="Cambria" w:hAnsi="Cambria"/>
                <w:bCs/>
                <w:sz w:val="20"/>
                <w:szCs w:val="20"/>
                <w:lang w:val="es-ES"/>
              </w:rPr>
              <w:t xml:space="preserve">Sí, </w:t>
            </w:r>
            <w:r w:rsidRPr="00F13576">
              <w:rPr>
                <w:rFonts w:ascii="Cambria" w:hAnsi="Cambria"/>
                <w:bCs/>
                <w:sz w:val="20"/>
                <w:szCs w:val="20"/>
                <w:lang w:val="es-ES"/>
              </w:rPr>
              <w:t xml:space="preserve">Convención Americana (depósito del instrumento de ratificación realizado el </w:t>
            </w:r>
            <w:r>
              <w:rPr>
                <w:rFonts w:ascii="Cambria" w:hAnsi="Cambria"/>
                <w:bCs/>
                <w:sz w:val="20"/>
                <w:szCs w:val="20"/>
                <w:lang w:val="es-ES"/>
              </w:rPr>
              <w:t>8</w:t>
            </w:r>
            <w:r w:rsidRPr="00F13576">
              <w:rPr>
                <w:rFonts w:ascii="Cambria" w:hAnsi="Cambria"/>
                <w:bCs/>
                <w:sz w:val="20"/>
                <w:szCs w:val="20"/>
                <w:lang w:val="es-ES"/>
              </w:rPr>
              <w:t xml:space="preserve"> de </w:t>
            </w:r>
            <w:r>
              <w:rPr>
                <w:rFonts w:ascii="Cambria" w:hAnsi="Cambria"/>
                <w:bCs/>
                <w:sz w:val="20"/>
                <w:szCs w:val="20"/>
                <w:lang w:val="es-ES"/>
              </w:rPr>
              <w:t>abril</w:t>
            </w:r>
            <w:r w:rsidRPr="00F13576">
              <w:rPr>
                <w:rFonts w:ascii="Cambria" w:hAnsi="Cambria"/>
                <w:bCs/>
                <w:sz w:val="20"/>
                <w:szCs w:val="20"/>
                <w:lang w:val="es-ES"/>
              </w:rPr>
              <w:t xml:space="preserve"> de 197</w:t>
            </w:r>
            <w:r w:rsidR="00CA3091">
              <w:rPr>
                <w:rFonts w:ascii="Cambria" w:hAnsi="Cambria"/>
                <w:bCs/>
                <w:sz w:val="20"/>
                <w:szCs w:val="20"/>
                <w:lang w:val="es-ES"/>
              </w:rPr>
              <w:t>0)</w:t>
            </w:r>
          </w:p>
        </w:tc>
      </w:tr>
    </w:tbl>
    <w:p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A176A5" w:rsidTr="004A6A54">
        <w:trPr>
          <w:cantSplit/>
        </w:trPr>
        <w:tc>
          <w:tcPr>
            <w:tcW w:w="3600" w:type="dxa"/>
            <w:tcBorders>
              <w:top w:val="single" w:sz="4" w:space="0" w:color="auto"/>
              <w:bottom w:val="single" w:sz="6" w:space="0" w:color="auto"/>
            </w:tcBorders>
            <w:shd w:val="clear" w:color="auto" w:fill="386294"/>
            <w:vAlign w:val="center"/>
          </w:tcPr>
          <w:p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rsidR="00EE00E9" w:rsidRPr="00DC24E3" w:rsidRDefault="00A7070F" w:rsidP="008D2290">
            <w:pPr>
              <w:jc w:val="both"/>
              <w:rPr>
                <w:rFonts w:ascii="Cambria" w:hAnsi="Cambria"/>
                <w:bCs/>
                <w:sz w:val="20"/>
                <w:szCs w:val="20"/>
                <w:lang w:val="es-ES"/>
              </w:rPr>
            </w:pPr>
            <w:r>
              <w:rPr>
                <w:rFonts w:ascii="Cambria" w:hAnsi="Cambria"/>
                <w:bCs/>
                <w:sz w:val="20"/>
                <w:szCs w:val="20"/>
                <w:lang w:val="es-ES"/>
              </w:rPr>
              <w:t>No</w:t>
            </w:r>
          </w:p>
        </w:tc>
      </w:tr>
      <w:tr w:rsidR="003239B8" w:rsidRPr="002021CE" w:rsidTr="004A6A54">
        <w:trPr>
          <w:cantSplit/>
        </w:trPr>
        <w:tc>
          <w:tcPr>
            <w:tcW w:w="3600" w:type="dxa"/>
            <w:tcBorders>
              <w:top w:val="single" w:sz="4" w:space="0" w:color="auto"/>
              <w:bottom w:val="single" w:sz="6" w:space="0" w:color="auto"/>
            </w:tcBorders>
            <w:shd w:val="clear" w:color="auto" w:fill="386294"/>
            <w:vAlign w:val="center"/>
          </w:tcPr>
          <w:p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 xml:space="preserve">Derechos </w:t>
            </w:r>
            <w:proofErr w:type="spellStart"/>
            <w:r w:rsidRPr="00DC24E3">
              <w:rPr>
                <w:rFonts w:ascii="Cambria" w:hAnsi="Cambria"/>
                <w:b/>
                <w:bCs/>
                <w:color w:val="FFFFFF" w:themeColor="background1"/>
                <w:sz w:val="20"/>
                <w:szCs w:val="20"/>
              </w:rPr>
              <w:t>declarados</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admisibles</w:t>
            </w:r>
            <w:proofErr w:type="spellEnd"/>
            <w:r w:rsidRPr="00DC24E3">
              <w:rPr>
                <w:rFonts w:ascii="Cambria" w:hAnsi="Cambria"/>
                <w:b/>
                <w:bCs/>
                <w:i/>
                <w:color w:val="FFFFFF" w:themeColor="background1"/>
                <w:sz w:val="20"/>
                <w:szCs w:val="20"/>
              </w:rPr>
              <w:t>:</w:t>
            </w:r>
          </w:p>
        </w:tc>
        <w:tc>
          <w:tcPr>
            <w:tcW w:w="5760" w:type="dxa"/>
            <w:vAlign w:val="center"/>
          </w:tcPr>
          <w:p w:rsidR="003239B8" w:rsidRPr="00730DDC" w:rsidRDefault="00846503" w:rsidP="008D2290">
            <w:pPr>
              <w:jc w:val="both"/>
              <w:rPr>
                <w:rFonts w:ascii="Cambria" w:hAnsi="Cambria"/>
                <w:bCs/>
                <w:sz w:val="20"/>
                <w:szCs w:val="20"/>
                <w:lang w:val="es-PE"/>
              </w:rPr>
            </w:pPr>
            <w:r w:rsidRPr="00730DDC">
              <w:rPr>
                <w:rFonts w:ascii="Cambria" w:hAnsi="Cambria"/>
                <w:bCs/>
                <w:sz w:val="20"/>
                <w:szCs w:val="20"/>
                <w:lang w:val="es-PE"/>
              </w:rPr>
              <w:t>Ninguno</w:t>
            </w:r>
          </w:p>
        </w:tc>
      </w:tr>
      <w:tr w:rsidR="003239B8" w:rsidRPr="001D3B64" w:rsidTr="004A6A54">
        <w:trPr>
          <w:cantSplit/>
        </w:trPr>
        <w:tc>
          <w:tcPr>
            <w:tcW w:w="3600" w:type="dxa"/>
            <w:tcBorders>
              <w:top w:val="single" w:sz="6" w:space="0" w:color="auto"/>
              <w:bottom w:val="single" w:sz="6" w:space="0" w:color="auto"/>
            </w:tcBorders>
            <w:shd w:val="clear" w:color="auto" w:fill="386294"/>
            <w:vAlign w:val="center"/>
          </w:tcPr>
          <w:p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rsidR="003239B8" w:rsidRPr="00DC24E3" w:rsidRDefault="00846503" w:rsidP="008D2290">
            <w:pPr>
              <w:rPr>
                <w:rFonts w:ascii="Cambria" w:hAnsi="Cambria"/>
                <w:bCs/>
                <w:sz w:val="20"/>
                <w:szCs w:val="20"/>
                <w:lang w:val="es-ES"/>
              </w:rPr>
            </w:pPr>
            <w:r>
              <w:rPr>
                <w:rFonts w:ascii="Cambria" w:hAnsi="Cambria"/>
                <w:bCs/>
                <w:sz w:val="20"/>
                <w:szCs w:val="20"/>
                <w:lang w:val="es-ES"/>
              </w:rPr>
              <w:t xml:space="preserve">No, en </w:t>
            </w:r>
            <w:r w:rsidR="00CA3091">
              <w:rPr>
                <w:rFonts w:ascii="Cambria" w:hAnsi="Cambria"/>
                <w:bCs/>
                <w:sz w:val="20"/>
                <w:szCs w:val="20"/>
                <w:lang w:val="es-ES"/>
              </w:rPr>
              <w:t>los términos de la sección VI</w:t>
            </w:r>
          </w:p>
        </w:tc>
      </w:tr>
      <w:tr w:rsidR="003239B8" w:rsidRPr="001D3B64" w:rsidTr="004A6A54">
        <w:trPr>
          <w:cantSplit/>
        </w:trPr>
        <w:tc>
          <w:tcPr>
            <w:tcW w:w="3600" w:type="dxa"/>
            <w:tcBorders>
              <w:top w:val="single" w:sz="6" w:space="0" w:color="auto"/>
              <w:bottom w:val="single" w:sz="6" w:space="0" w:color="auto"/>
            </w:tcBorders>
            <w:shd w:val="clear" w:color="auto" w:fill="386294"/>
            <w:vAlign w:val="center"/>
          </w:tcPr>
          <w:p w:rsidR="003239B8" w:rsidRPr="00DC24E3" w:rsidRDefault="003239B8" w:rsidP="008D2290">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dentro</w:t>
            </w:r>
            <w:proofErr w:type="spellEnd"/>
            <w:r w:rsidRPr="00DC24E3">
              <w:rPr>
                <w:rFonts w:ascii="Cambria" w:hAnsi="Cambria"/>
                <w:b/>
                <w:bCs/>
                <w:color w:val="FFFFFF" w:themeColor="background1"/>
                <w:sz w:val="20"/>
                <w:szCs w:val="20"/>
              </w:rPr>
              <w:t xml:space="preserve">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60" w:type="dxa"/>
            <w:vAlign w:val="center"/>
          </w:tcPr>
          <w:p w:rsidR="003239B8" w:rsidRPr="00846503" w:rsidRDefault="00846503" w:rsidP="008D2290">
            <w:pPr>
              <w:rPr>
                <w:rFonts w:ascii="Cambria" w:hAnsi="Cambria"/>
                <w:bCs/>
                <w:sz w:val="20"/>
                <w:szCs w:val="20"/>
                <w:lang w:val="es-ES"/>
              </w:rPr>
            </w:pPr>
            <w:r w:rsidRPr="00846503">
              <w:rPr>
                <w:rFonts w:ascii="Cambria" w:hAnsi="Cambria"/>
                <w:bCs/>
                <w:sz w:val="20"/>
                <w:szCs w:val="20"/>
                <w:lang w:val="es-ES"/>
              </w:rPr>
              <w:t xml:space="preserve">No, en los términos de la </w:t>
            </w:r>
            <w:r w:rsidR="00CA3091">
              <w:rPr>
                <w:rFonts w:ascii="Cambria" w:hAnsi="Cambria"/>
                <w:bCs/>
                <w:sz w:val="20"/>
                <w:szCs w:val="20"/>
                <w:lang w:val="es-ES"/>
              </w:rPr>
              <w:t>sección VI</w:t>
            </w:r>
          </w:p>
        </w:tc>
      </w:tr>
    </w:tbl>
    <w:p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rsidR="008C5E2D" w:rsidRPr="00E64C3D" w:rsidRDefault="00056AC0"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 xml:space="preserve">El peticionario denuncia que el Estado violó los derechos del señor Rafael Calderón </w:t>
      </w:r>
      <w:proofErr w:type="spellStart"/>
      <w:r>
        <w:rPr>
          <w:rFonts w:ascii="Cambria" w:hAnsi="Cambria"/>
          <w:sz w:val="20"/>
          <w:szCs w:val="20"/>
          <w:lang w:val="es-AR"/>
        </w:rPr>
        <w:t>Fournier</w:t>
      </w:r>
      <w:proofErr w:type="spellEnd"/>
      <w:r>
        <w:rPr>
          <w:rFonts w:ascii="Cambria" w:hAnsi="Cambria"/>
          <w:sz w:val="20"/>
          <w:szCs w:val="20"/>
          <w:lang w:val="es-AR"/>
        </w:rPr>
        <w:t xml:space="preserve"> al </w:t>
      </w:r>
      <w:r>
        <w:rPr>
          <w:rFonts w:ascii="Cambria" w:hAnsi="Cambria"/>
          <w:sz w:val="20"/>
          <w:szCs w:val="20"/>
          <w:lang w:val="es-ES"/>
        </w:rPr>
        <w:t>condenarlo</w:t>
      </w:r>
      <w:r w:rsidRPr="00F13576">
        <w:rPr>
          <w:rFonts w:ascii="Cambria" w:hAnsi="Cambria"/>
          <w:sz w:val="20"/>
          <w:szCs w:val="20"/>
          <w:lang w:val="es-ES"/>
        </w:rPr>
        <w:t xml:space="preserve"> penalmente por el delito de</w:t>
      </w:r>
      <w:r>
        <w:rPr>
          <w:rFonts w:ascii="Cambria" w:hAnsi="Cambria"/>
          <w:sz w:val="20"/>
          <w:szCs w:val="20"/>
          <w:lang w:val="es-ES"/>
        </w:rPr>
        <w:t xml:space="preserve"> peculado</w:t>
      </w:r>
      <w:r w:rsidRPr="00F13576">
        <w:rPr>
          <w:rFonts w:ascii="Cambria" w:hAnsi="Cambria"/>
          <w:sz w:val="20"/>
          <w:szCs w:val="20"/>
          <w:lang w:val="es-ES"/>
        </w:rPr>
        <w:t xml:space="preserve">, </w:t>
      </w:r>
      <w:r>
        <w:rPr>
          <w:rFonts w:ascii="Cambria" w:hAnsi="Cambria"/>
          <w:sz w:val="20"/>
          <w:szCs w:val="20"/>
          <w:lang w:val="es-ES"/>
        </w:rPr>
        <w:t>mediante un proceso que</w:t>
      </w:r>
      <w:r w:rsidR="008E3632">
        <w:rPr>
          <w:rFonts w:ascii="Cambria" w:hAnsi="Cambria"/>
          <w:sz w:val="20"/>
          <w:szCs w:val="20"/>
          <w:lang w:val="es-ES"/>
        </w:rPr>
        <w:t>, a su juicio,</w:t>
      </w:r>
      <w:r w:rsidRPr="00F13576">
        <w:rPr>
          <w:rFonts w:ascii="Cambria" w:hAnsi="Cambria"/>
          <w:sz w:val="20"/>
          <w:szCs w:val="20"/>
          <w:lang w:val="es-ES"/>
        </w:rPr>
        <w:t xml:space="preserve"> </w:t>
      </w:r>
      <w:r>
        <w:rPr>
          <w:rFonts w:ascii="Cambria" w:hAnsi="Cambria"/>
          <w:sz w:val="20"/>
          <w:szCs w:val="20"/>
          <w:lang w:val="es-ES"/>
        </w:rPr>
        <w:t xml:space="preserve">no contó con las debidas </w:t>
      </w:r>
      <w:r w:rsidRPr="00F13576">
        <w:rPr>
          <w:rFonts w:ascii="Cambria" w:hAnsi="Cambria"/>
          <w:sz w:val="20"/>
          <w:szCs w:val="20"/>
          <w:lang w:val="es-ES"/>
        </w:rPr>
        <w:t>garantías judiciales</w:t>
      </w:r>
      <w:r w:rsidR="008E3632">
        <w:rPr>
          <w:rFonts w:ascii="Cambria" w:hAnsi="Cambria"/>
          <w:sz w:val="20"/>
          <w:szCs w:val="20"/>
          <w:lang w:val="es-ES"/>
        </w:rPr>
        <w:t>;</w:t>
      </w:r>
      <w:r>
        <w:rPr>
          <w:rFonts w:ascii="Cambria" w:hAnsi="Cambria"/>
          <w:sz w:val="20"/>
          <w:szCs w:val="20"/>
          <w:lang w:val="es-ES"/>
        </w:rPr>
        <w:t xml:space="preserve"> y por no bri</w:t>
      </w:r>
      <w:r w:rsidR="004332FB">
        <w:rPr>
          <w:rFonts w:ascii="Cambria" w:hAnsi="Cambria"/>
          <w:sz w:val="20"/>
          <w:szCs w:val="20"/>
          <w:lang w:val="es-ES"/>
        </w:rPr>
        <w:t xml:space="preserve">ndarle un trato </w:t>
      </w:r>
      <w:r w:rsidR="008E3632">
        <w:rPr>
          <w:rFonts w:ascii="Cambria" w:hAnsi="Cambria"/>
          <w:sz w:val="20"/>
          <w:szCs w:val="20"/>
          <w:lang w:val="es-ES"/>
        </w:rPr>
        <w:t xml:space="preserve">no </w:t>
      </w:r>
      <w:r w:rsidR="004332FB">
        <w:rPr>
          <w:rFonts w:ascii="Cambria" w:hAnsi="Cambria"/>
          <w:sz w:val="20"/>
          <w:szCs w:val="20"/>
          <w:lang w:val="es-ES"/>
        </w:rPr>
        <w:t>respetuoso de su</w:t>
      </w:r>
      <w:r>
        <w:rPr>
          <w:rFonts w:ascii="Cambria" w:hAnsi="Cambria"/>
          <w:sz w:val="20"/>
          <w:szCs w:val="20"/>
          <w:lang w:val="es-ES"/>
        </w:rPr>
        <w:t xml:space="preserve"> integridad personal y </w:t>
      </w:r>
      <w:r w:rsidR="004332FB">
        <w:rPr>
          <w:rFonts w:ascii="Cambria" w:hAnsi="Cambria"/>
          <w:sz w:val="20"/>
          <w:szCs w:val="20"/>
          <w:lang w:val="es-ES"/>
        </w:rPr>
        <w:t xml:space="preserve">su </w:t>
      </w:r>
      <w:r>
        <w:rPr>
          <w:rFonts w:ascii="Cambria" w:hAnsi="Cambria"/>
          <w:sz w:val="20"/>
          <w:szCs w:val="20"/>
          <w:lang w:val="es-ES"/>
        </w:rPr>
        <w:t xml:space="preserve">salud. </w:t>
      </w:r>
    </w:p>
    <w:p w:rsidR="000F47C9" w:rsidRDefault="001B3CC1" w:rsidP="000F47C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lastRenderedPageBreak/>
        <w:t>El peticionario i</w:t>
      </w:r>
      <w:r w:rsidR="00837240">
        <w:rPr>
          <w:rFonts w:ascii="Cambria" w:hAnsi="Cambria"/>
          <w:sz w:val="20"/>
          <w:szCs w:val="20"/>
          <w:lang w:val="es-AR"/>
        </w:rPr>
        <w:t>ndica que la presunta víctima fue Presidente de la República de Costa Rica de 1990 a 1994</w:t>
      </w:r>
      <w:r>
        <w:rPr>
          <w:rFonts w:ascii="Cambria" w:hAnsi="Cambria"/>
          <w:sz w:val="20"/>
          <w:szCs w:val="20"/>
          <w:lang w:val="es-AR"/>
        </w:rPr>
        <w:t>; y que</w:t>
      </w:r>
      <w:r w:rsidR="00837240">
        <w:rPr>
          <w:rFonts w:ascii="Cambria" w:hAnsi="Cambria"/>
          <w:sz w:val="20"/>
          <w:szCs w:val="20"/>
          <w:lang w:val="es-AR"/>
        </w:rPr>
        <w:t xml:space="preserve"> en 2001, cuando ya no </w:t>
      </w:r>
      <w:r w:rsidR="005A74A9">
        <w:rPr>
          <w:rFonts w:ascii="Cambria" w:hAnsi="Cambria"/>
          <w:sz w:val="20"/>
          <w:szCs w:val="20"/>
          <w:lang w:val="es-AR"/>
        </w:rPr>
        <w:t>ejercía ese cargo</w:t>
      </w:r>
      <w:r w:rsidR="00837240">
        <w:rPr>
          <w:rFonts w:ascii="Cambria" w:hAnsi="Cambria"/>
          <w:sz w:val="20"/>
          <w:szCs w:val="20"/>
          <w:lang w:val="es-AR"/>
        </w:rPr>
        <w:t xml:space="preserve">, </w:t>
      </w:r>
      <w:r w:rsidR="00837240" w:rsidRPr="00837240">
        <w:rPr>
          <w:rFonts w:ascii="Cambria" w:hAnsi="Cambria"/>
          <w:sz w:val="20"/>
          <w:szCs w:val="20"/>
          <w:lang w:val="es-AR"/>
        </w:rPr>
        <w:t xml:space="preserve">prestó una asesoría política y jurídica </w:t>
      </w:r>
      <w:r w:rsidR="005A74A9">
        <w:rPr>
          <w:rFonts w:ascii="Cambria" w:hAnsi="Cambria"/>
          <w:sz w:val="20"/>
          <w:szCs w:val="20"/>
          <w:lang w:val="es-AR"/>
        </w:rPr>
        <w:t>a</w:t>
      </w:r>
      <w:r w:rsidR="00837240" w:rsidRPr="00837240">
        <w:rPr>
          <w:rFonts w:ascii="Cambria" w:hAnsi="Cambria"/>
          <w:sz w:val="20"/>
          <w:szCs w:val="20"/>
          <w:lang w:val="es-AR"/>
        </w:rPr>
        <w:t xml:space="preserve"> la </w:t>
      </w:r>
      <w:r w:rsidR="00837240">
        <w:rPr>
          <w:rFonts w:ascii="Cambria" w:hAnsi="Cambria"/>
          <w:sz w:val="20"/>
          <w:szCs w:val="20"/>
          <w:lang w:val="es-AR"/>
        </w:rPr>
        <w:t>“</w:t>
      </w:r>
      <w:r w:rsidR="00837240" w:rsidRPr="00837240">
        <w:rPr>
          <w:rFonts w:ascii="Cambria" w:hAnsi="Cambria"/>
          <w:sz w:val="20"/>
          <w:szCs w:val="20"/>
          <w:lang w:val="es-AR"/>
        </w:rPr>
        <w:t xml:space="preserve">Corporación </w:t>
      </w:r>
      <w:proofErr w:type="spellStart"/>
      <w:r w:rsidR="00837240" w:rsidRPr="00837240">
        <w:rPr>
          <w:rFonts w:ascii="Cambria" w:hAnsi="Cambria"/>
          <w:sz w:val="20"/>
          <w:szCs w:val="20"/>
          <w:lang w:val="es-AR"/>
        </w:rPr>
        <w:t>Fischel</w:t>
      </w:r>
      <w:proofErr w:type="spellEnd"/>
      <w:r w:rsidR="00837240">
        <w:rPr>
          <w:rFonts w:ascii="Cambria" w:hAnsi="Cambria"/>
          <w:sz w:val="20"/>
          <w:szCs w:val="20"/>
          <w:lang w:val="es-AR"/>
        </w:rPr>
        <w:t>”</w:t>
      </w:r>
      <w:r w:rsidR="000F47C9">
        <w:rPr>
          <w:rFonts w:ascii="Cambria" w:hAnsi="Cambria"/>
          <w:sz w:val="20"/>
          <w:szCs w:val="20"/>
          <w:lang w:val="es-AR"/>
        </w:rPr>
        <w:t xml:space="preserve"> para la implementación de un proyecto que consistía en la entrega de 32 millones de dólares por parte de Finlandia </w:t>
      </w:r>
      <w:r w:rsidR="00C10215">
        <w:rPr>
          <w:rFonts w:ascii="Cambria" w:hAnsi="Cambria"/>
          <w:sz w:val="20"/>
          <w:szCs w:val="20"/>
          <w:lang w:val="es-AR"/>
        </w:rPr>
        <w:t xml:space="preserve">al gobierno de Costa Rica </w:t>
      </w:r>
      <w:r w:rsidR="000F47C9">
        <w:rPr>
          <w:rFonts w:ascii="Cambria" w:hAnsi="Cambria"/>
          <w:sz w:val="20"/>
          <w:szCs w:val="20"/>
          <w:lang w:val="es-AR"/>
        </w:rPr>
        <w:t xml:space="preserve">para </w:t>
      </w:r>
      <w:r>
        <w:rPr>
          <w:rFonts w:ascii="Cambria" w:hAnsi="Cambria"/>
          <w:sz w:val="20"/>
          <w:szCs w:val="20"/>
          <w:lang w:val="es-AR"/>
        </w:rPr>
        <w:t>la adquisición de</w:t>
      </w:r>
      <w:r w:rsidR="000F47C9">
        <w:rPr>
          <w:rFonts w:ascii="Cambria" w:hAnsi="Cambria"/>
          <w:sz w:val="20"/>
          <w:szCs w:val="20"/>
          <w:lang w:val="es-AR"/>
        </w:rPr>
        <w:t xml:space="preserve"> equipos médicos. </w:t>
      </w:r>
      <w:r w:rsidR="005A74A9">
        <w:rPr>
          <w:rFonts w:ascii="Cambria" w:hAnsi="Cambria"/>
          <w:sz w:val="20"/>
          <w:szCs w:val="20"/>
          <w:lang w:val="es-AR"/>
        </w:rPr>
        <w:t>El peticionario señala que</w:t>
      </w:r>
      <w:r w:rsidR="00BC19C3">
        <w:rPr>
          <w:rFonts w:ascii="Cambria" w:hAnsi="Cambria"/>
          <w:sz w:val="20"/>
          <w:szCs w:val="20"/>
          <w:lang w:val="es-AR"/>
        </w:rPr>
        <w:t>,</w:t>
      </w:r>
      <w:r w:rsidR="005A74A9">
        <w:rPr>
          <w:rFonts w:ascii="Cambria" w:hAnsi="Cambria"/>
          <w:sz w:val="20"/>
          <w:szCs w:val="20"/>
          <w:lang w:val="es-AR"/>
        </w:rPr>
        <w:t xml:space="preserve"> como resultado de esta transacción</w:t>
      </w:r>
      <w:r w:rsidR="00BC19C3">
        <w:rPr>
          <w:rFonts w:ascii="Cambria" w:hAnsi="Cambria"/>
          <w:sz w:val="20"/>
          <w:szCs w:val="20"/>
          <w:lang w:val="es-AR"/>
        </w:rPr>
        <w:t>,</w:t>
      </w:r>
      <w:r w:rsidR="005A74A9">
        <w:rPr>
          <w:rFonts w:ascii="Cambria" w:hAnsi="Cambria"/>
          <w:sz w:val="20"/>
          <w:szCs w:val="20"/>
          <w:lang w:val="es-AR"/>
        </w:rPr>
        <w:t xml:space="preserve"> un fiscal </w:t>
      </w:r>
      <w:r w:rsidR="000F47C9">
        <w:rPr>
          <w:rFonts w:ascii="Cambria" w:hAnsi="Cambria"/>
          <w:sz w:val="20"/>
          <w:szCs w:val="20"/>
          <w:lang w:val="es-AR"/>
        </w:rPr>
        <w:t xml:space="preserve">comenzó </w:t>
      </w:r>
      <w:r w:rsidR="005A74A9">
        <w:rPr>
          <w:rFonts w:ascii="Cambria" w:hAnsi="Cambria"/>
          <w:sz w:val="20"/>
          <w:szCs w:val="20"/>
          <w:lang w:val="es-AR"/>
        </w:rPr>
        <w:t xml:space="preserve">en 2005 </w:t>
      </w:r>
      <w:r w:rsidR="000F47C9">
        <w:rPr>
          <w:rFonts w:ascii="Cambria" w:hAnsi="Cambria"/>
          <w:sz w:val="20"/>
          <w:szCs w:val="20"/>
          <w:lang w:val="es-AR"/>
        </w:rPr>
        <w:t>una persecución política contra l</w:t>
      </w:r>
      <w:r w:rsidR="00C10215">
        <w:rPr>
          <w:rFonts w:ascii="Cambria" w:hAnsi="Cambria"/>
          <w:sz w:val="20"/>
          <w:szCs w:val="20"/>
          <w:lang w:val="es-AR"/>
        </w:rPr>
        <w:t xml:space="preserve">a presunta víctima y su familia, </w:t>
      </w:r>
      <w:r w:rsidR="00BC19C3">
        <w:rPr>
          <w:rFonts w:ascii="Cambria" w:hAnsi="Cambria"/>
          <w:sz w:val="20"/>
          <w:szCs w:val="20"/>
          <w:lang w:val="es-AR"/>
        </w:rPr>
        <w:t xml:space="preserve">y le </w:t>
      </w:r>
      <w:r w:rsidR="00C10215">
        <w:rPr>
          <w:rFonts w:ascii="Cambria" w:hAnsi="Cambria"/>
          <w:sz w:val="20"/>
          <w:szCs w:val="20"/>
          <w:lang w:val="es-AR"/>
        </w:rPr>
        <w:t>imput</w:t>
      </w:r>
      <w:r w:rsidR="00BC19C3">
        <w:rPr>
          <w:rFonts w:ascii="Cambria" w:hAnsi="Cambria"/>
          <w:sz w:val="20"/>
          <w:szCs w:val="20"/>
          <w:lang w:val="es-AR"/>
        </w:rPr>
        <w:t>ó</w:t>
      </w:r>
      <w:r w:rsidR="00C10215">
        <w:rPr>
          <w:rFonts w:ascii="Cambria" w:hAnsi="Cambria"/>
          <w:sz w:val="20"/>
          <w:szCs w:val="20"/>
          <w:lang w:val="es-AR"/>
        </w:rPr>
        <w:t xml:space="preserve"> diversos delitos de corrupción. Sostiene que </w:t>
      </w:r>
      <w:r w:rsidR="005A74A9">
        <w:rPr>
          <w:rFonts w:ascii="Cambria" w:hAnsi="Cambria"/>
          <w:sz w:val="20"/>
          <w:szCs w:val="20"/>
          <w:lang w:val="es-AR"/>
        </w:rPr>
        <w:t>tal</w:t>
      </w:r>
      <w:r w:rsidR="00C10215">
        <w:rPr>
          <w:rFonts w:ascii="Cambria" w:hAnsi="Cambria"/>
          <w:sz w:val="20"/>
          <w:szCs w:val="20"/>
          <w:lang w:val="es-AR"/>
        </w:rPr>
        <w:t xml:space="preserve"> accionar tuvo como propósito </w:t>
      </w:r>
      <w:r w:rsidR="00B25477">
        <w:rPr>
          <w:rFonts w:ascii="Cambria" w:hAnsi="Cambria"/>
          <w:sz w:val="20"/>
          <w:szCs w:val="20"/>
          <w:lang w:val="es-AR"/>
        </w:rPr>
        <w:t xml:space="preserve">evitar que </w:t>
      </w:r>
      <w:r w:rsidR="004332FB">
        <w:rPr>
          <w:rFonts w:ascii="Cambria" w:hAnsi="Cambria"/>
          <w:sz w:val="20"/>
          <w:szCs w:val="20"/>
          <w:lang w:val="es-AR"/>
        </w:rPr>
        <w:t xml:space="preserve">el señor Calderón </w:t>
      </w:r>
      <w:proofErr w:type="spellStart"/>
      <w:r w:rsidR="004332FB">
        <w:rPr>
          <w:rFonts w:ascii="Cambria" w:hAnsi="Cambria"/>
          <w:sz w:val="20"/>
          <w:szCs w:val="20"/>
          <w:lang w:val="es-AR"/>
        </w:rPr>
        <w:t>Fournier</w:t>
      </w:r>
      <w:proofErr w:type="spellEnd"/>
      <w:r w:rsidR="00B25477">
        <w:rPr>
          <w:rFonts w:ascii="Cambria" w:hAnsi="Cambria"/>
          <w:sz w:val="20"/>
          <w:szCs w:val="20"/>
          <w:lang w:val="es-AR"/>
        </w:rPr>
        <w:t xml:space="preserve"> </w:t>
      </w:r>
      <w:r w:rsidR="005A74A9">
        <w:rPr>
          <w:rFonts w:ascii="Cambria" w:hAnsi="Cambria"/>
          <w:sz w:val="20"/>
          <w:szCs w:val="20"/>
          <w:lang w:val="es-AR"/>
        </w:rPr>
        <w:t xml:space="preserve">volviese a postularse al </w:t>
      </w:r>
      <w:r w:rsidR="00B25477">
        <w:rPr>
          <w:rFonts w:ascii="Cambria" w:hAnsi="Cambria"/>
          <w:sz w:val="20"/>
          <w:szCs w:val="20"/>
          <w:lang w:val="es-AR"/>
        </w:rPr>
        <w:t xml:space="preserve">cargo de Presidente de la República. </w:t>
      </w:r>
    </w:p>
    <w:p w:rsidR="00636F0A" w:rsidRDefault="00A47C90" w:rsidP="000F47C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El 13 de octubre de 2004</w:t>
      </w:r>
      <w:r w:rsidR="00B25477">
        <w:rPr>
          <w:rFonts w:ascii="Cambria" w:hAnsi="Cambria"/>
          <w:sz w:val="20"/>
          <w:szCs w:val="20"/>
          <w:lang w:val="es-AR"/>
        </w:rPr>
        <w:t xml:space="preserve"> la Fiscalía de Delitos Económicos del Primer Circuito Judicial citó al señor Calderón </w:t>
      </w:r>
      <w:proofErr w:type="spellStart"/>
      <w:r w:rsidR="00B25477">
        <w:rPr>
          <w:rFonts w:ascii="Cambria" w:hAnsi="Cambria"/>
          <w:sz w:val="20"/>
          <w:szCs w:val="20"/>
          <w:lang w:val="es-AR"/>
        </w:rPr>
        <w:t>Fournier</w:t>
      </w:r>
      <w:proofErr w:type="spellEnd"/>
      <w:r w:rsidR="00B25477">
        <w:rPr>
          <w:rFonts w:ascii="Cambria" w:hAnsi="Cambria"/>
          <w:sz w:val="20"/>
          <w:szCs w:val="20"/>
          <w:lang w:val="es-AR"/>
        </w:rPr>
        <w:t xml:space="preserve"> a rendir declaración indagatoria. </w:t>
      </w:r>
      <w:r w:rsidR="00056AC0">
        <w:rPr>
          <w:rFonts w:ascii="Cambria" w:hAnsi="Cambria"/>
          <w:sz w:val="20"/>
          <w:szCs w:val="20"/>
          <w:lang w:val="es-AR"/>
        </w:rPr>
        <w:t>El peticionario</w:t>
      </w:r>
      <w:r w:rsidR="00B25477">
        <w:rPr>
          <w:rFonts w:ascii="Cambria" w:hAnsi="Cambria"/>
          <w:sz w:val="20"/>
          <w:szCs w:val="20"/>
          <w:lang w:val="es-AR"/>
        </w:rPr>
        <w:t xml:space="preserve"> arguye que dicha notificación no especificó bajo qué delito la presunta víctima estaba siendo</w:t>
      </w:r>
      <w:r w:rsidR="004332FB">
        <w:rPr>
          <w:rFonts w:ascii="Cambria" w:hAnsi="Cambria"/>
          <w:sz w:val="20"/>
          <w:szCs w:val="20"/>
          <w:lang w:val="es-AR"/>
        </w:rPr>
        <w:t xml:space="preserve"> investigada, ni tampoco detalló</w:t>
      </w:r>
      <w:r w:rsidR="00B25477">
        <w:rPr>
          <w:rFonts w:ascii="Cambria" w:hAnsi="Cambria"/>
          <w:sz w:val="20"/>
          <w:szCs w:val="20"/>
          <w:lang w:val="es-AR"/>
        </w:rPr>
        <w:t xml:space="preserve"> la prueba existente, limitándose a señalar que debía comparecer en calidad de imputado en la causa penal número 04-005356-042-PE. Alude que</w:t>
      </w:r>
      <w:r w:rsidR="006A07DE">
        <w:rPr>
          <w:rFonts w:ascii="Cambria" w:hAnsi="Cambria"/>
          <w:sz w:val="20"/>
          <w:szCs w:val="20"/>
          <w:lang w:val="es-AR"/>
        </w:rPr>
        <w:t xml:space="preserve"> </w:t>
      </w:r>
      <w:r w:rsidR="004332FB">
        <w:rPr>
          <w:rFonts w:ascii="Cambria" w:hAnsi="Cambria"/>
          <w:sz w:val="20"/>
          <w:szCs w:val="20"/>
          <w:lang w:val="es-AR"/>
        </w:rPr>
        <w:t xml:space="preserve">el </w:t>
      </w:r>
      <w:r w:rsidR="006A07DE">
        <w:rPr>
          <w:rFonts w:ascii="Cambria" w:hAnsi="Cambria"/>
          <w:sz w:val="20"/>
          <w:szCs w:val="20"/>
          <w:lang w:val="es-AR"/>
        </w:rPr>
        <w:t xml:space="preserve">21 de octubre de 2004 el señor Calderón </w:t>
      </w:r>
      <w:proofErr w:type="spellStart"/>
      <w:r w:rsidR="006A07DE">
        <w:rPr>
          <w:rFonts w:ascii="Cambria" w:hAnsi="Cambria"/>
          <w:sz w:val="20"/>
          <w:szCs w:val="20"/>
          <w:lang w:val="es-AR"/>
        </w:rPr>
        <w:t>Fournier</w:t>
      </w:r>
      <w:proofErr w:type="spellEnd"/>
      <w:r w:rsidR="006A07DE">
        <w:rPr>
          <w:rFonts w:ascii="Cambria" w:hAnsi="Cambria"/>
          <w:sz w:val="20"/>
          <w:szCs w:val="20"/>
          <w:lang w:val="es-AR"/>
        </w:rPr>
        <w:t xml:space="preserve"> acudió a </w:t>
      </w:r>
      <w:r>
        <w:rPr>
          <w:rFonts w:ascii="Cambria" w:hAnsi="Cambria"/>
          <w:sz w:val="20"/>
          <w:szCs w:val="20"/>
          <w:lang w:val="es-AR"/>
        </w:rPr>
        <w:t>las instalaciones de la citada f</w:t>
      </w:r>
      <w:r w:rsidR="006A07DE">
        <w:rPr>
          <w:rFonts w:ascii="Cambria" w:hAnsi="Cambria"/>
          <w:sz w:val="20"/>
          <w:szCs w:val="20"/>
          <w:lang w:val="es-AR"/>
        </w:rPr>
        <w:t>iscalía, donde tras brindar sus declaraciones fue detenido y conducido a las celdas del Organismo de Investigación Judicial de San José.</w:t>
      </w:r>
      <w:r w:rsidR="00636F0A">
        <w:rPr>
          <w:rFonts w:ascii="Cambria" w:hAnsi="Cambria"/>
          <w:sz w:val="20"/>
          <w:szCs w:val="20"/>
          <w:lang w:val="es-AR"/>
        </w:rPr>
        <w:t xml:space="preserve"> Denuncia que </w:t>
      </w:r>
      <w:r w:rsidR="004332FB">
        <w:rPr>
          <w:rFonts w:ascii="Cambria" w:hAnsi="Cambria"/>
          <w:sz w:val="20"/>
          <w:szCs w:val="20"/>
          <w:lang w:val="es-AR"/>
        </w:rPr>
        <w:t xml:space="preserve">la </w:t>
      </w:r>
      <w:r w:rsidR="00636F0A">
        <w:rPr>
          <w:rFonts w:ascii="Cambria" w:hAnsi="Cambria"/>
          <w:sz w:val="20"/>
          <w:szCs w:val="20"/>
          <w:lang w:val="es-AR"/>
        </w:rPr>
        <w:t>presunta víctima sufrió golpes durante su traslado debido a la velocidad y falta de medidas de seguridad d</w:t>
      </w:r>
      <w:r w:rsidR="004332FB">
        <w:rPr>
          <w:rFonts w:ascii="Cambria" w:hAnsi="Cambria"/>
          <w:sz w:val="20"/>
          <w:szCs w:val="20"/>
          <w:lang w:val="es-AR"/>
        </w:rPr>
        <w:t>el</w:t>
      </w:r>
      <w:r w:rsidR="00636F0A">
        <w:rPr>
          <w:rFonts w:ascii="Cambria" w:hAnsi="Cambria"/>
          <w:sz w:val="20"/>
          <w:szCs w:val="20"/>
          <w:lang w:val="es-AR"/>
        </w:rPr>
        <w:t xml:space="preserve"> vehículo que lo transportaba. </w:t>
      </w:r>
    </w:p>
    <w:p w:rsidR="00636F0A" w:rsidRDefault="00636F0A" w:rsidP="00985C4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 xml:space="preserve">Sostiene </w:t>
      </w:r>
      <w:r w:rsidR="00DA3F4E">
        <w:rPr>
          <w:rFonts w:ascii="Cambria" w:hAnsi="Cambria"/>
          <w:sz w:val="20"/>
          <w:szCs w:val="20"/>
          <w:lang w:val="es-AR"/>
        </w:rPr>
        <w:t xml:space="preserve">el peticionario </w:t>
      </w:r>
      <w:r>
        <w:rPr>
          <w:rFonts w:ascii="Cambria" w:hAnsi="Cambria"/>
          <w:sz w:val="20"/>
          <w:szCs w:val="20"/>
          <w:lang w:val="es-AR"/>
        </w:rPr>
        <w:t xml:space="preserve">que el 22 de octubre de 2004 la Jueza de Garantías decretó la prisión preventiva del señor Calderón </w:t>
      </w:r>
      <w:proofErr w:type="spellStart"/>
      <w:r>
        <w:rPr>
          <w:rFonts w:ascii="Cambria" w:hAnsi="Cambria"/>
          <w:sz w:val="20"/>
          <w:szCs w:val="20"/>
          <w:lang w:val="es-AR"/>
        </w:rPr>
        <w:t>Fournier</w:t>
      </w:r>
      <w:proofErr w:type="spellEnd"/>
      <w:r>
        <w:rPr>
          <w:rFonts w:ascii="Cambria" w:hAnsi="Cambria"/>
          <w:sz w:val="20"/>
          <w:szCs w:val="20"/>
          <w:lang w:val="es-AR"/>
        </w:rPr>
        <w:t xml:space="preserve"> por nueve meses. Tal decisión argumentó que existía riesgo de fuga, toda vez que la presunta víctima tenía recursos económicos </w:t>
      </w:r>
      <w:r w:rsidR="00985C43">
        <w:rPr>
          <w:rFonts w:ascii="Cambria" w:hAnsi="Cambria"/>
          <w:sz w:val="20"/>
          <w:szCs w:val="20"/>
          <w:lang w:val="es-AR"/>
        </w:rPr>
        <w:t xml:space="preserve">y </w:t>
      </w:r>
      <w:r>
        <w:rPr>
          <w:rFonts w:ascii="Cambria" w:hAnsi="Cambria"/>
          <w:sz w:val="20"/>
          <w:szCs w:val="20"/>
          <w:lang w:val="es-AR"/>
        </w:rPr>
        <w:t xml:space="preserve">la facilidad de movilizarse a Nicaragua por haber nacido en dicho país. </w:t>
      </w:r>
      <w:r w:rsidR="00C714B6">
        <w:rPr>
          <w:rFonts w:ascii="Cambria" w:hAnsi="Cambria"/>
          <w:sz w:val="20"/>
          <w:szCs w:val="20"/>
          <w:lang w:val="es-AR"/>
        </w:rPr>
        <w:t>El</w:t>
      </w:r>
      <w:r>
        <w:rPr>
          <w:rFonts w:ascii="Cambria" w:hAnsi="Cambria"/>
          <w:sz w:val="20"/>
          <w:szCs w:val="20"/>
          <w:lang w:val="es-AR"/>
        </w:rPr>
        <w:t xml:space="preserve"> </w:t>
      </w:r>
      <w:r w:rsidR="00985C43">
        <w:rPr>
          <w:rFonts w:ascii="Cambria" w:hAnsi="Cambria"/>
          <w:sz w:val="20"/>
          <w:szCs w:val="20"/>
          <w:lang w:val="es-AR"/>
        </w:rPr>
        <w:t>27 de octubr</w:t>
      </w:r>
      <w:r>
        <w:rPr>
          <w:rFonts w:ascii="Cambria" w:hAnsi="Cambria"/>
          <w:sz w:val="20"/>
          <w:szCs w:val="20"/>
          <w:lang w:val="es-AR"/>
        </w:rPr>
        <w:t xml:space="preserve">e de 2004 la defensa del señor Calderón </w:t>
      </w:r>
      <w:proofErr w:type="spellStart"/>
      <w:r>
        <w:rPr>
          <w:rFonts w:ascii="Cambria" w:hAnsi="Cambria"/>
          <w:sz w:val="20"/>
          <w:szCs w:val="20"/>
          <w:lang w:val="es-AR"/>
        </w:rPr>
        <w:t>Fournier</w:t>
      </w:r>
      <w:proofErr w:type="spellEnd"/>
      <w:r>
        <w:rPr>
          <w:rFonts w:ascii="Cambria" w:hAnsi="Cambria"/>
          <w:sz w:val="20"/>
          <w:szCs w:val="20"/>
          <w:lang w:val="es-AR"/>
        </w:rPr>
        <w:t xml:space="preserve"> apeló la referida resolución y el 8 de noviembre de 2004 el Tribunal de Juicio redujo a dos meses </w:t>
      </w:r>
      <w:r w:rsidR="00985C43">
        <w:rPr>
          <w:rFonts w:ascii="Cambria" w:hAnsi="Cambria"/>
          <w:sz w:val="20"/>
          <w:szCs w:val="20"/>
          <w:lang w:val="es-AR"/>
        </w:rPr>
        <w:t>l</w:t>
      </w:r>
      <w:r>
        <w:rPr>
          <w:rFonts w:ascii="Cambria" w:hAnsi="Cambria"/>
          <w:sz w:val="20"/>
          <w:szCs w:val="20"/>
          <w:lang w:val="es-AR"/>
        </w:rPr>
        <w:t xml:space="preserve">a prisión preventiva. </w:t>
      </w:r>
      <w:r w:rsidR="00056AC0">
        <w:rPr>
          <w:rFonts w:ascii="Cambria" w:hAnsi="Cambria"/>
          <w:sz w:val="20"/>
          <w:szCs w:val="20"/>
          <w:lang w:val="es-AR"/>
        </w:rPr>
        <w:t>El peticionario</w:t>
      </w:r>
      <w:r w:rsidR="00985C43" w:rsidRPr="00985C43">
        <w:rPr>
          <w:rFonts w:ascii="Cambria" w:hAnsi="Cambria"/>
          <w:sz w:val="20"/>
          <w:szCs w:val="20"/>
          <w:lang w:val="es-AR"/>
        </w:rPr>
        <w:t xml:space="preserve"> alega que</w:t>
      </w:r>
      <w:r w:rsidR="00BC19C3">
        <w:rPr>
          <w:rFonts w:ascii="Cambria" w:hAnsi="Cambria"/>
          <w:sz w:val="20"/>
          <w:szCs w:val="20"/>
          <w:lang w:val="es-AR"/>
        </w:rPr>
        <w:t>,</w:t>
      </w:r>
      <w:r w:rsidRPr="00985C43">
        <w:rPr>
          <w:rFonts w:ascii="Cambria" w:hAnsi="Cambria"/>
          <w:sz w:val="20"/>
          <w:szCs w:val="20"/>
          <w:lang w:val="es-AR"/>
        </w:rPr>
        <w:t xml:space="preserve"> ven</w:t>
      </w:r>
      <w:r w:rsidR="00DA3F4E">
        <w:rPr>
          <w:rFonts w:ascii="Cambria" w:hAnsi="Cambria"/>
          <w:sz w:val="20"/>
          <w:szCs w:val="20"/>
          <w:lang w:val="es-AR"/>
        </w:rPr>
        <w:t>cido dicho plazo</w:t>
      </w:r>
      <w:r w:rsidR="00BC19C3">
        <w:rPr>
          <w:rFonts w:ascii="Cambria" w:hAnsi="Cambria"/>
          <w:sz w:val="20"/>
          <w:szCs w:val="20"/>
          <w:lang w:val="es-AR"/>
        </w:rPr>
        <w:t>,</w:t>
      </w:r>
      <w:r w:rsidRPr="00985C43">
        <w:rPr>
          <w:rFonts w:ascii="Cambria" w:hAnsi="Cambria"/>
          <w:sz w:val="20"/>
          <w:szCs w:val="20"/>
          <w:lang w:val="es-AR"/>
        </w:rPr>
        <w:t xml:space="preserve"> el Ministerio Público solicitó que se prorrogara </w:t>
      </w:r>
      <w:r w:rsidR="004332FB">
        <w:rPr>
          <w:rFonts w:ascii="Cambria" w:hAnsi="Cambria"/>
          <w:sz w:val="20"/>
          <w:szCs w:val="20"/>
          <w:lang w:val="es-AR"/>
        </w:rPr>
        <w:t>tal medida</w:t>
      </w:r>
      <w:r w:rsidRPr="00985C43">
        <w:rPr>
          <w:rFonts w:ascii="Cambria" w:hAnsi="Cambria"/>
          <w:sz w:val="20"/>
          <w:szCs w:val="20"/>
          <w:lang w:val="es-AR"/>
        </w:rPr>
        <w:t xml:space="preserve"> por siete meses m</w:t>
      </w:r>
      <w:r w:rsidR="00985C43" w:rsidRPr="00985C43">
        <w:rPr>
          <w:rFonts w:ascii="Cambria" w:hAnsi="Cambria"/>
          <w:sz w:val="20"/>
          <w:szCs w:val="20"/>
          <w:lang w:val="es-AR"/>
        </w:rPr>
        <w:t xml:space="preserve">ás, </w:t>
      </w:r>
      <w:r w:rsidR="00BC19C3">
        <w:rPr>
          <w:rFonts w:ascii="Cambria" w:hAnsi="Cambria"/>
          <w:sz w:val="20"/>
          <w:szCs w:val="20"/>
          <w:lang w:val="es-AR"/>
        </w:rPr>
        <w:t>por lo</w:t>
      </w:r>
      <w:r w:rsidR="00BC19C3" w:rsidRPr="00985C43">
        <w:rPr>
          <w:rFonts w:ascii="Cambria" w:hAnsi="Cambria"/>
          <w:sz w:val="20"/>
          <w:szCs w:val="20"/>
          <w:lang w:val="es-AR"/>
        </w:rPr>
        <w:t xml:space="preserve"> </w:t>
      </w:r>
      <w:r w:rsidR="00985C43" w:rsidRPr="00985C43">
        <w:rPr>
          <w:rFonts w:ascii="Cambria" w:hAnsi="Cambria"/>
          <w:sz w:val="20"/>
          <w:szCs w:val="20"/>
          <w:lang w:val="es-AR"/>
        </w:rPr>
        <w:t xml:space="preserve">que </w:t>
      </w:r>
      <w:r w:rsidRPr="00985C43">
        <w:rPr>
          <w:rFonts w:ascii="Cambria" w:hAnsi="Cambria"/>
          <w:sz w:val="20"/>
          <w:szCs w:val="20"/>
          <w:lang w:val="es-AR"/>
        </w:rPr>
        <w:t>el 21 de diciembre de 2004 el Juez de Garantías acept</w:t>
      </w:r>
      <w:r w:rsidR="00BC19C3">
        <w:rPr>
          <w:rFonts w:ascii="Cambria" w:hAnsi="Cambria"/>
          <w:sz w:val="20"/>
          <w:szCs w:val="20"/>
          <w:lang w:val="es-AR"/>
        </w:rPr>
        <w:t>ó</w:t>
      </w:r>
      <w:r w:rsidR="00985C43" w:rsidRPr="00985C43">
        <w:rPr>
          <w:rFonts w:ascii="Cambria" w:hAnsi="Cambria"/>
          <w:sz w:val="20"/>
          <w:szCs w:val="20"/>
          <w:lang w:val="es-AR"/>
        </w:rPr>
        <w:t xml:space="preserve"> tal solicitud y </w:t>
      </w:r>
      <w:r w:rsidR="000D1C54" w:rsidRPr="00985C43">
        <w:rPr>
          <w:rFonts w:ascii="Cambria" w:hAnsi="Cambria"/>
          <w:sz w:val="20"/>
          <w:szCs w:val="20"/>
          <w:lang w:val="es-AR"/>
        </w:rPr>
        <w:t>mantu</w:t>
      </w:r>
      <w:r w:rsidR="000D1C54">
        <w:rPr>
          <w:rFonts w:ascii="Cambria" w:hAnsi="Cambria"/>
          <w:sz w:val="20"/>
          <w:szCs w:val="20"/>
          <w:lang w:val="es-AR"/>
        </w:rPr>
        <w:t>vo</w:t>
      </w:r>
      <w:r w:rsidRPr="00985C43">
        <w:rPr>
          <w:rFonts w:ascii="Cambria" w:hAnsi="Cambria"/>
          <w:sz w:val="20"/>
          <w:szCs w:val="20"/>
          <w:lang w:val="es-AR"/>
        </w:rPr>
        <w:t xml:space="preserve"> la prisión preventiva. </w:t>
      </w:r>
      <w:r w:rsidR="00985C43" w:rsidRPr="00985C43">
        <w:rPr>
          <w:rFonts w:ascii="Cambria" w:hAnsi="Cambria"/>
          <w:sz w:val="20"/>
          <w:szCs w:val="20"/>
          <w:lang w:val="es-AR"/>
        </w:rPr>
        <w:t>Detalla que</w:t>
      </w:r>
      <w:r w:rsidR="00985C43">
        <w:rPr>
          <w:rFonts w:ascii="Cambria" w:hAnsi="Cambria"/>
          <w:sz w:val="20"/>
          <w:szCs w:val="20"/>
          <w:lang w:val="es-AR"/>
        </w:rPr>
        <w:t xml:space="preserve"> el</w:t>
      </w:r>
      <w:r w:rsidR="00985C43" w:rsidRPr="00985C43">
        <w:rPr>
          <w:rFonts w:ascii="Cambria" w:hAnsi="Cambria"/>
          <w:sz w:val="20"/>
          <w:szCs w:val="20"/>
          <w:lang w:val="es-AR"/>
        </w:rPr>
        <w:t xml:space="preserve"> 22 de diciembre de 2004 la defensa de la presunta víctima interpuso un recurso de apelación en contra dicha resolución</w:t>
      </w:r>
      <w:r w:rsidR="00DA3F4E">
        <w:rPr>
          <w:rFonts w:ascii="Cambria" w:hAnsi="Cambria"/>
          <w:sz w:val="20"/>
          <w:szCs w:val="20"/>
          <w:lang w:val="es-AR"/>
        </w:rPr>
        <w:t>,</w:t>
      </w:r>
      <w:r w:rsidR="00985C43" w:rsidRPr="00985C43">
        <w:rPr>
          <w:rFonts w:ascii="Cambria" w:hAnsi="Cambria"/>
          <w:sz w:val="20"/>
          <w:szCs w:val="20"/>
          <w:lang w:val="es-AR"/>
        </w:rPr>
        <w:t xml:space="preserve"> y el 30 de diciembre de 2004 la Jueza Superior de Garantías resolvió rebajar la prisión preventiva a tres meses. </w:t>
      </w:r>
      <w:r w:rsidR="00985C43">
        <w:rPr>
          <w:rFonts w:ascii="Cambria" w:hAnsi="Cambria"/>
          <w:sz w:val="20"/>
          <w:szCs w:val="20"/>
          <w:lang w:val="es-AR"/>
        </w:rPr>
        <w:t xml:space="preserve">Especifica que el señor Calderón </w:t>
      </w:r>
      <w:proofErr w:type="spellStart"/>
      <w:r w:rsidR="00985C43">
        <w:rPr>
          <w:rFonts w:ascii="Cambria" w:hAnsi="Cambria"/>
          <w:sz w:val="20"/>
          <w:szCs w:val="20"/>
          <w:lang w:val="es-AR"/>
        </w:rPr>
        <w:t>Fournier</w:t>
      </w:r>
      <w:proofErr w:type="spellEnd"/>
      <w:r w:rsidR="00985C43">
        <w:rPr>
          <w:rFonts w:ascii="Cambria" w:hAnsi="Cambria"/>
          <w:sz w:val="20"/>
          <w:szCs w:val="20"/>
          <w:lang w:val="es-AR"/>
        </w:rPr>
        <w:t xml:space="preserve"> interpuso una acción de hábeas corpus contra tal decisión, pero que el 2 de febrero de 2005 tal recurso fue rechazado.</w:t>
      </w:r>
    </w:p>
    <w:p w:rsidR="00985C43" w:rsidRPr="00985C43" w:rsidRDefault="00DA3F4E" w:rsidP="00985C4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El 17 de marzo de 2005</w:t>
      </w:r>
      <w:r w:rsidR="00985C43">
        <w:rPr>
          <w:rFonts w:ascii="Cambria" w:hAnsi="Cambria"/>
          <w:sz w:val="20"/>
          <w:szCs w:val="20"/>
          <w:lang w:val="es-AR"/>
        </w:rPr>
        <w:t xml:space="preserve"> el Juzgado Penal ordenó a ambas partes del proceso presentar argumentos en relación con el vencimiento del plazo de prisión preventiva</w:t>
      </w:r>
      <w:r w:rsidR="00BC19C3">
        <w:rPr>
          <w:rFonts w:ascii="Cambria" w:hAnsi="Cambria"/>
          <w:sz w:val="20"/>
          <w:szCs w:val="20"/>
          <w:lang w:val="es-AR"/>
        </w:rPr>
        <w:t>,</w:t>
      </w:r>
      <w:r w:rsidR="00402C5F">
        <w:rPr>
          <w:rFonts w:ascii="Cambria" w:hAnsi="Cambria"/>
          <w:sz w:val="20"/>
          <w:szCs w:val="20"/>
          <w:lang w:val="es-AR"/>
        </w:rPr>
        <w:t xml:space="preserve"> y</w:t>
      </w:r>
      <w:r w:rsidR="00985C43">
        <w:rPr>
          <w:rFonts w:ascii="Cambria" w:hAnsi="Cambria"/>
          <w:sz w:val="20"/>
          <w:szCs w:val="20"/>
          <w:lang w:val="es-AR"/>
        </w:rPr>
        <w:t xml:space="preserve"> el 18 de marzo de 2005 resolvió mantener y prorrogar por tres meses más tal medida cautelar. </w:t>
      </w:r>
      <w:r w:rsidR="00056AC0">
        <w:rPr>
          <w:rFonts w:ascii="Cambria" w:hAnsi="Cambria"/>
          <w:sz w:val="20"/>
          <w:szCs w:val="20"/>
          <w:lang w:val="es-AR"/>
        </w:rPr>
        <w:t>El peticionario</w:t>
      </w:r>
      <w:r w:rsidR="00985C43">
        <w:rPr>
          <w:rFonts w:ascii="Cambria" w:hAnsi="Cambria"/>
          <w:sz w:val="20"/>
          <w:szCs w:val="20"/>
          <w:lang w:val="es-AR"/>
        </w:rPr>
        <w:t xml:space="preserve"> </w:t>
      </w:r>
      <w:r w:rsidR="00402C5F">
        <w:rPr>
          <w:rFonts w:ascii="Cambria" w:hAnsi="Cambria"/>
          <w:sz w:val="20"/>
          <w:szCs w:val="20"/>
          <w:lang w:val="es-AR"/>
        </w:rPr>
        <w:t>arguye</w:t>
      </w:r>
      <w:r w:rsidR="00222476">
        <w:rPr>
          <w:rFonts w:ascii="Cambria" w:hAnsi="Cambria"/>
          <w:sz w:val="20"/>
          <w:szCs w:val="20"/>
          <w:lang w:val="es-AR"/>
        </w:rPr>
        <w:t xml:space="preserve"> que</w:t>
      </w:r>
      <w:r w:rsidR="00402C5F">
        <w:rPr>
          <w:rFonts w:ascii="Cambria" w:hAnsi="Cambria"/>
          <w:sz w:val="20"/>
          <w:szCs w:val="20"/>
          <w:lang w:val="es-AR"/>
        </w:rPr>
        <w:t xml:space="preserve"> el juez que a</w:t>
      </w:r>
      <w:r w:rsidR="00222476">
        <w:rPr>
          <w:rFonts w:ascii="Cambria" w:hAnsi="Cambria"/>
          <w:sz w:val="20"/>
          <w:szCs w:val="20"/>
          <w:lang w:val="es-AR"/>
        </w:rPr>
        <w:t>doptó tal resolución era interino</w:t>
      </w:r>
      <w:r w:rsidR="00402C5F">
        <w:rPr>
          <w:rFonts w:ascii="Cambria" w:hAnsi="Cambria"/>
          <w:sz w:val="20"/>
          <w:szCs w:val="20"/>
          <w:lang w:val="es-AR"/>
        </w:rPr>
        <w:t xml:space="preserve"> y </w:t>
      </w:r>
      <w:r w:rsidR="00BC19C3">
        <w:rPr>
          <w:rFonts w:ascii="Cambria" w:hAnsi="Cambria"/>
          <w:sz w:val="20"/>
          <w:szCs w:val="20"/>
          <w:lang w:val="es-AR"/>
        </w:rPr>
        <w:t xml:space="preserve">que </w:t>
      </w:r>
      <w:r w:rsidR="00402C5F">
        <w:rPr>
          <w:rFonts w:ascii="Cambria" w:hAnsi="Cambria"/>
          <w:sz w:val="20"/>
          <w:szCs w:val="20"/>
          <w:lang w:val="es-AR"/>
        </w:rPr>
        <w:t xml:space="preserve">solo ocupó tal cargo del 9 de marzo de 2005 al 18 de marzo del mismo año. Argumenta que </w:t>
      </w:r>
      <w:r w:rsidR="00985C43">
        <w:rPr>
          <w:rFonts w:ascii="Cambria" w:hAnsi="Cambria"/>
          <w:sz w:val="20"/>
          <w:szCs w:val="20"/>
          <w:lang w:val="es-AR"/>
        </w:rPr>
        <w:t xml:space="preserve">el 21 de marzo de 2005 la defensa de la presunta víctima interpuso un recurso de apelación contra tal decisión y </w:t>
      </w:r>
      <w:r w:rsidR="00BC19C3">
        <w:rPr>
          <w:rFonts w:ascii="Cambria" w:hAnsi="Cambria"/>
          <w:sz w:val="20"/>
          <w:szCs w:val="20"/>
          <w:lang w:val="es-AR"/>
        </w:rPr>
        <w:t xml:space="preserve">que </w:t>
      </w:r>
      <w:r w:rsidR="00985C43">
        <w:rPr>
          <w:rFonts w:ascii="Cambria" w:hAnsi="Cambria"/>
          <w:sz w:val="20"/>
          <w:szCs w:val="20"/>
          <w:lang w:val="es-AR"/>
        </w:rPr>
        <w:t>el 23 de marzo de 2005 el Tribunal Superior Penal modificó la prisión preventiva por una medida de arresto domiciliario y una fianza de 200</w:t>
      </w:r>
      <w:r w:rsidR="00402C5F">
        <w:rPr>
          <w:rFonts w:ascii="Cambria" w:hAnsi="Cambria"/>
          <w:sz w:val="20"/>
          <w:szCs w:val="20"/>
          <w:lang w:val="es-AR"/>
        </w:rPr>
        <w:t xml:space="preserve"> millones de colon</w:t>
      </w:r>
      <w:r w:rsidR="00BC19C3">
        <w:rPr>
          <w:rFonts w:ascii="Cambria" w:hAnsi="Cambria"/>
          <w:sz w:val="20"/>
          <w:szCs w:val="20"/>
          <w:lang w:val="es-AR"/>
        </w:rPr>
        <w:t>es</w:t>
      </w:r>
      <w:r w:rsidR="00402C5F">
        <w:rPr>
          <w:rFonts w:ascii="Cambria" w:hAnsi="Cambria"/>
          <w:sz w:val="20"/>
          <w:szCs w:val="20"/>
          <w:lang w:val="es-AR"/>
        </w:rPr>
        <w:t xml:space="preserve"> (329,000.00 dólares americanos, aproximadamente). </w:t>
      </w:r>
    </w:p>
    <w:p w:rsidR="00C952DF" w:rsidRDefault="00F0505A" w:rsidP="000F47C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E</w:t>
      </w:r>
      <w:r w:rsidR="00C952DF">
        <w:rPr>
          <w:rFonts w:ascii="Cambria" w:hAnsi="Cambria"/>
          <w:sz w:val="20"/>
          <w:szCs w:val="20"/>
          <w:lang w:val="es-AR"/>
        </w:rPr>
        <w:t xml:space="preserve">l 20 de abril de 2005 la defensa del señor Calderón </w:t>
      </w:r>
      <w:proofErr w:type="spellStart"/>
      <w:r w:rsidR="00C952DF">
        <w:rPr>
          <w:rFonts w:ascii="Cambria" w:hAnsi="Cambria"/>
          <w:sz w:val="20"/>
          <w:szCs w:val="20"/>
          <w:lang w:val="es-AR"/>
        </w:rPr>
        <w:t>Fournier</w:t>
      </w:r>
      <w:proofErr w:type="spellEnd"/>
      <w:r w:rsidR="00C952DF">
        <w:rPr>
          <w:rFonts w:ascii="Cambria" w:hAnsi="Cambria"/>
          <w:sz w:val="20"/>
          <w:szCs w:val="20"/>
          <w:lang w:val="es-AR"/>
        </w:rPr>
        <w:t xml:space="preserve"> interpuso una acción de protesta por actividad procesal defectuosa, </w:t>
      </w:r>
      <w:r w:rsidR="00BC19C3">
        <w:rPr>
          <w:rFonts w:ascii="Cambria" w:hAnsi="Cambria"/>
          <w:sz w:val="20"/>
          <w:szCs w:val="20"/>
          <w:lang w:val="es-AR"/>
        </w:rPr>
        <w:t xml:space="preserve">en que </w:t>
      </w:r>
      <w:r w:rsidR="00C952DF">
        <w:rPr>
          <w:rFonts w:ascii="Cambria" w:hAnsi="Cambria"/>
          <w:sz w:val="20"/>
          <w:szCs w:val="20"/>
          <w:lang w:val="es-AR"/>
        </w:rPr>
        <w:t>aleg</w:t>
      </w:r>
      <w:r w:rsidR="00BC19C3">
        <w:rPr>
          <w:rFonts w:ascii="Cambria" w:hAnsi="Cambria"/>
          <w:sz w:val="20"/>
          <w:szCs w:val="20"/>
          <w:lang w:val="es-AR"/>
        </w:rPr>
        <w:t>ó</w:t>
      </w:r>
      <w:r w:rsidR="00C952DF">
        <w:rPr>
          <w:rFonts w:ascii="Cambria" w:hAnsi="Cambria"/>
          <w:sz w:val="20"/>
          <w:szCs w:val="20"/>
          <w:lang w:val="es-AR"/>
        </w:rPr>
        <w:t xml:space="preserve"> que la intimación no se</w:t>
      </w:r>
      <w:r w:rsidR="00D22937">
        <w:rPr>
          <w:rFonts w:ascii="Cambria" w:hAnsi="Cambria"/>
          <w:sz w:val="20"/>
          <w:szCs w:val="20"/>
          <w:lang w:val="es-AR"/>
        </w:rPr>
        <w:t xml:space="preserve"> realizó debidamente, toda vez que no se</w:t>
      </w:r>
      <w:r w:rsidR="00C952DF">
        <w:rPr>
          <w:rFonts w:ascii="Cambria" w:hAnsi="Cambria"/>
          <w:sz w:val="20"/>
          <w:szCs w:val="20"/>
          <w:lang w:val="es-AR"/>
        </w:rPr>
        <w:t xml:space="preserve"> le comunicó los hechos </w:t>
      </w:r>
      <w:r w:rsidR="004604F5">
        <w:rPr>
          <w:rFonts w:ascii="Cambria" w:hAnsi="Cambria"/>
          <w:sz w:val="20"/>
          <w:szCs w:val="20"/>
          <w:lang w:val="es-AR"/>
        </w:rPr>
        <w:t>ni</w:t>
      </w:r>
      <w:r w:rsidR="00C952DF">
        <w:rPr>
          <w:rFonts w:ascii="Cambria" w:hAnsi="Cambria"/>
          <w:sz w:val="20"/>
          <w:szCs w:val="20"/>
          <w:lang w:val="es-AR"/>
        </w:rPr>
        <w:t xml:space="preserve"> los delitos por los que fue llamado a declarar. No obstante, el 20 de junio de 2005 la autoridad judicial resolvió sin lugar la acción y la declaró inapelable. </w:t>
      </w:r>
      <w:r w:rsidR="00F87640">
        <w:rPr>
          <w:rFonts w:ascii="Cambria" w:hAnsi="Cambria"/>
          <w:sz w:val="20"/>
          <w:szCs w:val="20"/>
          <w:lang w:val="es-AR"/>
        </w:rPr>
        <w:t>Tras ello, la presunta víc</w:t>
      </w:r>
      <w:r w:rsidR="005751E3">
        <w:rPr>
          <w:rFonts w:ascii="Cambria" w:hAnsi="Cambria"/>
          <w:sz w:val="20"/>
          <w:szCs w:val="20"/>
          <w:lang w:val="es-AR"/>
        </w:rPr>
        <w:t>t</w:t>
      </w:r>
      <w:r w:rsidR="00F87640">
        <w:rPr>
          <w:rFonts w:ascii="Cambria" w:hAnsi="Cambria"/>
          <w:sz w:val="20"/>
          <w:szCs w:val="20"/>
          <w:lang w:val="es-AR"/>
        </w:rPr>
        <w:t>i</w:t>
      </w:r>
      <w:r w:rsidR="005751E3">
        <w:rPr>
          <w:rFonts w:ascii="Cambria" w:hAnsi="Cambria"/>
          <w:sz w:val="20"/>
          <w:szCs w:val="20"/>
          <w:lang w:val="es-AR"/>
        </w:rPr>
        <w:t>ma presentó una acción de hábeas corpus, pero el 12 de julio de 2005</w:t>
      </w:r>
      <w:r w:rsidR="00222476">
        <w:rPr>
          <w:rFonts w:ascii="Cambria" w:hAnsi="Cambria"/>
          <w:sz w:val="20"/>
          <w:szCs w:val="20"/>
          <w:lang w:val="es-AR"/>
        </w:rPr>
        <w:t xml:space="preserve"> tal recurso fue rechazado.</w:t>
      </w:r>
      <w:r w:rsidR="005751E3">
        <w:rPr>
          <w:rFonts w:ascii="Cambria" w:hAnsi="Cambria"/>
          <w:sz w:val="20"/>
          <w:szCs w:val="20"/>
          <w:lang w:val="es-AR"/>
        </w:rPr>
        <w:t xml:space="preserve"> </w:t>
      </w:r>
      <w:r w:rsidR="00C952DF">
        <w:rPr>
          <w:rFonts w:ascii="Cambria" w:hAnsi="Cambria"/>
          <w:sz w:val="20"/>
          <w:szCs w:val="20"/>
          <w:lang w:val="es-AR"/>
        </w:rPr>
        <w:t>Adicionalmente, se</w:t>
      </w:r>
      <w:r w:rsidR="008774CE">
        <w:rPr>
          <w:rFonts w:ascii="Cambria" w:hAnsi="Cambria"/>
          <w:sz w:val="20"/>
          <w:szCs w:val="20"/>
          <w:lang w:val="es-AR"/>
        </w:rPr>
        <w:t>ñala que el 21 de junio de 2001</w:t>
      </w:r>
      <w:r w:rsidR="00C952DF">
        <w:rPr>
          <w:rFonts w:ascii="Cambria" w:hAnsi="Cambria"/>
          <w:sz w:val="20"/>
          <w:szCs w:val="20"/>
          <w:lang w:val="es-AR"/>
        </w:rPr>
        <w:t xml:space="preserve"> el Tribunal Penal prorrogó la medida cautelar de arresto domiciliario por tres meses. El 24 de junio de 2005 la defensa de la presunta víctima apeló tal resolución, pero el 12 de julio de 2005 el Tribunal Penal del Segundo Circuito rechazó </w:t>
      </w:r>
      <w:r w:rsidR="00222476">
        <w:rPr>
          <w:rFonts w:ascii="Cambria" w:hAnsi="Cambria"/>
          <w:sz w:val="20"/>
          <w:szCs w:val="20"/>
          <w:lang w:val="es-AR"/>
        </w:rPr>
        <w:t>la demanda</w:t>
      </w:r>
      <w:r w:rsidR="00D22937">
        <w:rPr>
          <w:rFonts w:ascii="Cambria" w:hAnsi="Cambria"/>
          <w:sz w:val="20"/>
          <w:szCs w:val="20"/>
          <w:lang w:val="es-AR"/>
        </w:rPr>
        <w:t xml:space="preserve">. </w:t>
      </w:r>
    </w:p>
    <w:p w:rsidR="004362A7" w:rsidRPr="00810DA4" w:rsidRDefault="005906E2" w:rsidP="00810DA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El</w:t>
      </w:r>
      <w:r w:rsidR="008B470E">
        <w:rPr>
          <w:rFonts w:ascii="Cambria" w:hAnsi="Cambria"/>
          <w:sz w:val="20"/>
          <w:szCs w:val="20"/>
          <w:lang w:val="es-AR"/>
        </w:rPr>
        <w:t xml:space="preserve"> 16 de marzo de 2007 la Fiscalía presentó acu</w:t>
      </w:r>
      <w:r>
        <w:rPr>
          <w:rFonts w:ascii="Cambria" w:hAnsi="Cambria"/>
          <w:sz w:val="20"/>
          <w:szCs w:val="20"/>
          <w:lang w:val="es-AR"/>
        </w:rPr>
        <w:t>sación y apertura a juicio. El 5 de octubre de 2009</w:t>
      </w:r>
      <w:r w:rsidR="00222476">
        <w:rPr>
          <w:rFonts w:ascii="Cambria" w:hAnsi="Cambria"/>
          <w:sz w:val="20"/>
          <w:szCs w:val="20"/>
          <w:lang w:val="es-AR"/>
        </w:rPr>
        <w:t xml:space="preserve"> </w:t>
      </w:r>
      <w:r w:rsidR="008B470E">
        <w:rPr>
          <w:rFonts w:ascii="Cambria" w:hAnsi="Cambria"/>
          <w:sz w:val="20"/>
          <w:szCs w:val="20"/>
          <w:lang w:val="es-AR"/>
        </w:rPr>
        <w:t xml:space="preserve">el Tribunal Penal de Hacienda del Segundo Circuito Judicial de San José condenó al señor Calderón </w:t>
      </w:r>
      <w:proofErr w:type="spellStart"/>
      <w:r w:rsidR="008B470E">
        <w:rPr>
          <w:rFonts w:ascii="Cambria" w:hAnsi="Cambria"/>
          <w:sz w:val="20"/>
          <w:szCs w:val="20"/>
          <w:lang w:val="es-AR"/>
        </w:rPr>
        <w:t>Fournier</w:t>
      </w:r>
      <w:proofErr w:type="spellEnd"/>
      <w:r w:rsidR="008B470E">
        <w:rPr>
          <w:rFonts w:ascii="Cambria" w:hAnsi="Cambria"/>
          <w:sz w:val="20"/>
          <w:szCs w:val="20"/>
          <w:lang w:val="es-AR"/>
        </w:rPr>
        <w:t xml:space="preserve"> por </w:t>
      </w:r>
      <w:r w:rsidR="00810DA4">
        <w:rPr>
          <w:rFonts w:ascii="Cambria" w:hAnsi="Cambria"/>
          <w:sz w:val="20"/>
          <w:szCs w:val="20"/>
          <w:lang w:val="es-AR"/>
        </w:rPr>
        <w:t xml:space="preserve">dos delitos de peculado en modalidad de delito continuado a cinco años de prisión y el comiso de 520,000.00 dólares. Precisa que la defensa de la presunta víctima presentó un recurso de apelación y un recurso de casación contra </w:t>
      </w:r>
      <w:r w:rsidR="00222476">
        <w:rPr>
          <w:rFonts w:ascii="Cambria" w:hAnsi="Cambria"/>
          <w:sz w:val="20"/>
          <w:szCs w:val="20"/>
          <w:lang w:val="es-AR"/>
        </w:rPr>
        <w:t>la citada sentencia</w:t>
      </w:r>
      <w:r w:rsidR="00810DA4">
        <w:rPr>
          <w:rFonts w:ascii="Cambria" w:hAnsi="Cambria"/>
          <w:sz w:val="20"/>
          <w:szCs w:val="20"/>
          <w:lang w:val="es-AR"/>
        </w:rPr>
        <w:t xml:space="preserve">. No obstante, el 24 de marzo de 2010 la Sala Tercera de la Corte Suprema de Justicia concedió audiencia para conocer únicamente el recurso de casación. Alega que tal decisión fue cuestionada mediante diversos recursos judiciales, pero todos fueron desestimados. Finalmente, sostiene que el 11 de mayo de 2011 la Sala Tercera de la </w:t>
      </w:r>
      <w:r w:rsidR="00015D72">
        <w:rPr>
          <w:rFonts w:ascii="Cambria" w:hAnsi="Cambria"/>
          <w:sz w:val="20"/>
          <w:szCs w:val="20"/>
          <w:lang w:val="es-AR"/>
        </w:rPr>
        <w:t>Corte Suprema de Justicia limit</w:t>
      </w:r>
      <w:r w:rsidR="00401D9F">
        <w:rPr>
          <w:rFonts w:ascii="Cambria" w:hAnsi="Cambria"/>
          <w:sz w:val="20"/>
          <w:szCs w:val="20"/>
          <w:lang w:val="es-AR"/>
        </w:rPr>
        <w:t>ó</w:t>
      </w:r>
      <w:r w:rsidR="00810DA4">
        <w:rPr>
          <w:rFonts w:ascii="Cambria" w:hAnsi="Cambria"/>
          <w:sz w:val="20"/>
          <w:szCs w:val="20"/>
          <w:lang w:val="es-AR"/>
        </w:rPr>
        <w:t xml:space="preserve"> la condena del señor Calderón </w:t>
      </w:r>
      <w:proofErr w:type="spellStart"/>
      <w:r w:rsidR="00810DA4">
        <w:rPr>
          <w:rFonts w:ascii="Cambria" w:hAnsi="Cambria"/>
          <w:sz w:val="20"/>
          <w:szCs w:val="20"/>
          <w:lang w:val="es-AR"/>
        </w:rPr>
        <w:lastRenderedPageBreak/>
        <w:t>Fournier</w:t>
      </w:r>
      <w:proofErr w:type="spellEnd"/>
      <w:r w:rsidR="00015D72">
        <w:rPr>
          <w:rFonts w:ascii="Cambria" w:hAnsi="Cambria"/>
          <w:sz w:val="20"/>
          <w:szCs w:val="20"/>
          <w:lang w:val="es-AR"/>
        </w:rPr>
        <w:t xml:space="preserve"> a un solo delito de peculado, </w:t>
      </w:r>
      <w:r w:rsidR="00401D9F">
        <w:rPr>
          <w:rFonts w:ascii="Cambria" w:hAnsi="Cambria"/>
          <w:sz w:val="20"/>
          <w:szCs w:val="20"/>
          <w:lang w:val="es-AR"/>
        </w:rPr>
        <w:t>disminuyó</w:t>
      </w:r>
      <w:r w:rsidR="00810DA4">
        <w:rPr>
          <w:rFonts w:ascii="Cambria" w:hAnsi="Cambria"/>
          <w:sz w:val="20"/>
          <w:szCs w:val="20"/>
          <w:lang w:val="es-AR"/>
        </w:rPr>
        <w:t xml:space="preserve"> </w:t>
      </w:r>
      <w:r w:rsidR="00015D72">
        <w:rPr>
          <w:rFonts w:ascii="Cambria" w:hAnsi="Cambria"/>
          <w:sz w:val="20"/>
          <w:szCs w:val="20"/>
          <w:lang w:val="es-AR"/>
        </w:rPr>
        <w:t>la pena a tres años de prisión</w:t>
      </w:r>
      <w:r w:rsidR="004604F5">
        <w:rPr>
          <w:rFonts w:ascii="Cambria" w:hAnsi="Cambria"/>
          <w:sz w:val="20"/>
          <w:szCs w:val="20"/>
          <w:lang w:val="es-AR"/>
        </w:rPr>
        <w:t>,</w:t>
      </w:r>
      <w:r w:rsidR="00015D72">
        <w:rPr>
          <w:rFonts w:ascii="Cambria" w:hAnsi="Cambria"/>
          <w:sz w:val="20"/>
          <w:szCs w:val="20"/>
          <w:lang w:val="es-AR"/>
        </w:rPr>
        <w:t xml:space="preserve"> y </w:t>
      </w:r>
      <w:r w:rsidR="004604F5">
        <w:rPr>
          <w:rFonts w:ascii="Cambria" w:hAnsi="Cambria"/>
          <w:sz w:val="20"/>
          <w:szCs w:val="20"/>
          <w:lang w:val="es-AR"/>
        </w:rPr>
        <w:t xml:space="preserve">le </w:t>
      </w:r>
      <w:r w:rsidR="00015D72">
        <w:rPr>
          <w:rFonts w:ascii="Cambria" w:hAnsi="Cambria"/>
          <w:sz w:val="20"/>
          <w:szCs w:val="20"/>
          <w:lang w:val="es-AR"/>
        </w:rPr>
        <w:t>otorg</w:t>
      </w:r>
      <w:r w:rsidR="00401D9F">
        <w:rPr>
          <w:rFonts w:ascii="Cambria" w:hAnsi="Cambria"/>
          <w:sz w:val="20"/>
          <w:szCs w:val="20"/>
          <w:lang w:val="es-AR"/>
        </w:rPr>
        <w:t>ó</w:t>
      </w:r>
      <w:r w:rsidR="00015D72">
        <w:rPr>
          <w:rFonts w:ascii="Cambria" w:hAnsi="Cambria"/>
          <w:sz w:val="20"/>
          <w:szCs w:val="20"/>
          <w:lang w:val="es-AR"/>
        </w:rPr>
        <w:t xml:space="preserve"> el beneficio de ejecución condicional de la pena.  </w:t>
      </w:r>
    </w:p>
    <w:p w:rsidR="00222476" w:rsidRDefault="00056AC0" w:rsidP="0022247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 xml:space="preserve">El peticionario </w:t>
      </w:r>
      <w:r w:rsidR="00432241">
        <w:rPr>
          <w:rFonts w:ascii="Cambria" w:hAnsi="Cambria"/>
          <w:sz w:val="20"/>
          <w:szCs w:val="20"/>
          <w:lang w:val="es-AR"/>
        </w:rPr>
        <w:t>argumenta</w:t>
      </w:r>
      <w:r w:rsidR="00AA6140">
        <w:rPr>
          <w:rFonts w:ascii="Cambria" w:hAnsi="Cambria"/>
          <w:sz w:val="20"/>
          <w:szCs w:val="20"/>
          <w:lang w:val="es-AR"/>
        </w:rPr>
        <w:t xml:space="preserve"> que el proceso penal vulneró los derechos de la presunta víctima, </w:t>
      </w:r>
      <w:r w:rsidR="004604F5">
        <w:rPr>
          <w:rFonts w:ascii="Cambria" w:hAnsi="Cambria"/>
          <w:sz w:val="20"/>
          <w:szCs w:val="20"/>
          <w:lang w:val="es-AR"/>
        </w:rPr>
        <w:t>con base en</w:t>
      </w:r>
      <w:r w:rsidR="00432241">
        <w:rPr>
          <w:rFonts w:ascii="Cambria" w:hAnsi="Cambria"/>
          <w:sz w:val="20"/>
          <w:szCs w:val="20"/>
          <w:lang w:val="es-AR"/>
        </w:rPr>
        <w:t xml:space="preserve"> los siguientes alegatos</w:t>
      </w:r>
      <w:r w:rsidR="00AA6140">
        <w:rPr>
          <w:rFonts w:ascii="Cambria" w:hAnsi="Cambria"/>
          <w:sz w:val="20"/>
          <w:szCs w:val="20"/>
          <w:lang w:val="es-AR"/>
        </w:rPr>
        <w:t>: i) su defensa no tuvo acceso al expediente completo; ii) la notificación del proceso no le informó el tipo penal por el que estaba siendo investigado; iii) un juez interino, sin garantías de estabilidad</w:t>
      </w:r>
      <w:r w:rsidR="00222476">
        <w:rPr>
          <w:rFonts w:ascii="Cambria" w:hAnsi="Cambria"/>
          <w:sz w:val="20"/>
          <w:szCs w:val="20"/>
          <w:lang w:val="es-AR"/>
        </w:rPr>
        <w:t xml:space="preserve"> y que ocupaba al mismo tiempo el cargo de fiscal</w:t>
      </w:r>
      <w:r w:rsidR="00AA6140">
        <w:rPr>
          <w:rFonts w:ascii="Cambria" w:hAnsi="Cambria"/>
          <w:sz w:val="20"/>
          <w:szCs w:val="20"/>
          <w:lang w:val="es-AR"/>
        </w:rPr>
        <w:t xml:space="preserve">, decidió la prórroga de la </w:t>
      </w:r>
      <w:r w:rsidR="00222476">
        <w:rPr>
          <w:rFonts w:ascii="Cambria" w:hAnsi="Cambria"/>
          <w:sz w:val="20"/>
          <w:szCs w:val="20"/>
          <w:lang w:val="es-AR"/>
        </w:rPr>
        <w:t>prisión preventiva en su contra</w:t>
      </w:r>
      <w:r w:rsidR="00401D9F">
        <w:rPr>
          <w:rFonts w:ascii="Cambria" w:hAnsi="Cambria"/>
          <w:sz w:val="20"/>
          <w:szCs w:val="20"/>
          <w:lang w:val="es-AR"/>
        </w:rPr>
        <w:t xml:space="preserve">; </w:t>
      </w:r>
      <w:r w:rsidR="00AA6140">
        <w:rPr>
          <w:rFonts w:ascii="Cambria" w:hAnsi="Cambria"/>
          <w:sz w:val="20"/>
          <w:szCs w:val="20"/>
          <w:lang w:val="es-AR"/>
        </w:rPr>
        <w:t>v) fue condenado por una conducta atípica;</w:t>
      </w:r>
      <w:r w:rsidR="00401D9F">
        <w:rPr>
          <w:rFonts w:ascii="Cambria" w:hAnsi="Cambria"/>
          <w:sz w:val="20"/>
          <w:szCs w:val="20"/>
          <w:lang w:val="es-AR"/>
        </w:rPr>
        <w:t xml:space="preserve"> </w:t>
      </w:r>
      <w:r w:rsidR="00401D9F" w:rsidRPr="00222476">
        <w:rPr>
          <w:rFonts w:ascii="Cambria" w:hAnsi="Cambria"/>
          <w:sz w:val="20"/>
          <w:szCs w:val="20"/>
          <w:lang w:val="es-AR"/>
        </w:rPr>
        <w:t>vi)</w:t>
      </w:r>
      <w:r w:rsidR="00222476">
        <w:rPr>
          <w:rFonts w:ascii="Cambria" w:hAnsi="Cambria"/>
          <w:sz w:val="20"/>
          <w:szCs w:val="20"/>
          <w:lang w:val="es-AR"/>
        </w:rPr>
        <w:t xml:space="preserve"> se afectó la garantía del </w:t>
      </w:r>
      <w:r w:rsidR="00222476" w:rsidRPr="00222476">
        <w:rPr>
          <w:rFonts w:ascii="Cambria" w:hAnsi="Cambria"/>
          <w:i/>
          <w:sz w:val="20"/>
          <w:szCs w:val="20"/>
          <w:lang w:val="es-AR"/>
        </w:rPr>
        <w:t xml:space="preserve">non bis </w:t>
      </w:r>
      <w:r w:rsidR="004604F5">
        <w:rPr>
          <w:rFonts w:ascii="Cambria" w:hAnsi="Cambria"/>
          <w:i/>
          <w:sz w:val="20"/>
          <w:szCs w:val="20"/>
          <w:lang w:val="es-AR"/>
        </w:rPr>
        <w:t>i</w:t>
      </w:r>
      <w:r w:rsidR="00222476" w:rsidRPr="00222476">
        <w:rPr>
          <w:rFonts w:ascii="Cambria" w:hAnsi="Cambria"/>
          <w:i/>
          <w:sz w:val="20"/>
          <w:szCs w:val="20"/>
          <w:lang w:val="es-AR"/>
        </w:rPr>
        <w:t>n ídem</w:t>
      </w:r>
      <w:r w:rsidR="00401D9F">
        <w:rPr>
          <w:rFonts w:ascii="Cambria" w:hAnsi="Cambria"/>
          <w:sz w:val="20"/>
          <w:szCs w:val="20"/>
          <w:lang w:val="es-AR"/>
        </w:rPr>
        <w:t>;</w:t>
      </w:r>
      <w:r w:rsidR="00AA6140">
        <w:rPr>
          <w:rFonts w:ascii="Cambria" w:hAnsi="Cambria"/>
          <w:sz w:val="20"/>
          <w:szCs w:val="20"/>
          <w:lang w:val="es-AR"/>
        </w:rPr>
        <w:t xml:space="preserve"> v</w:t>
      </w:r>
      <w:r w:rsidR="00401D9F">
        <w:rPr>
          <w:rFonts w:ascii="Cambria" w:hAnsi="Cambria"/>
          <w:sz w:val="20"/>
          <w:szCs w:val="20"/>
          <w:lang w:val="es-AR"/>
        </w:rPr>
        <w:t>ii</w:t>
      </w:r>
      <w:r w:rsidR="00AA6140">
        <w:rPr>
          <w:rFonts w:ascii="Cambria" w:hAnsi="Cambria"/>
          <w:sz w:val="20"/>
          <w:szCs w:val="20"/>
          <w:lang w:val="es-AR"/>
        </w:rPr>
        <w:t>) no tuvo acceso a un recurso que satisfaga el estándar del artículo 8.2</w:t>
      </w:r>
      <w:r w:rsidR="004604F5">
        <w:rPr>
          <w:rFonts w:ascii="Cambria" w:hAnsi="Cambria"/>
          <w:sz w:val="20"/>
          <w:szCs w:val="20"/>
          <w:lang w:val="es-AR"/>
        </w:rPr>
        <w:t>.</w:t>
      </w:r>
      <w:r w:rsidR="00AA6140">
        <w:rPr>
          <w:rFonts w:ascii="Cambria" w:hAnsi="Cambria"/>
          <w:sz w:val="20"/>
          <w:szCs w:val="20"/>
          <w:lang w:val="es-AR"/>
        </w:rPr>
        <w:t>h de la Convención Americana</w:t>
      </w:r>
      <w:r w:rsidR="00401D9F">
        <w:rPr>
          <w:rFonts w:ascii="Cambria" w:hAnsi="Cambria"/>
          <w:sz w:val="20"/>
          <w:szCs w:val="20"/>
          <w:lang w:val="es-AR"/>
        </w:rPr>
        <w:t xml:space="preserve">; y viii) </w:t>
      </w:r>
      <w:r w:rsidR="00222476">
        <w:rPr>
          <w:rFonts w:ascii="Cambria" w:hAnsi="Cambria"/>
          <w:sz w:val="20"/>
          <w:szCs w:val="20"/>
          <w:lang w:val="es-AR"/>
        </w:rPr>
        <w:t xml:space="preserve">su reputación fue mermada producto de la información divulgada a la prensa. </w:t>
      </w:r>
    </w:p>
    <w:p w:rsidR="00222476" w:rsidRPr="00E46F57" w:rsidRDefault="00222476" w:rsidP="00E46F5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 xml:space="preserve">Por último, el peticionario </w:t>
      </w:r>
      <w:r w:rsidR="00223E62">
        <w:rPr>
          <w:rFonts w:ascii="Cambria" w:hAnsi="Cambria"/>
          <w:sz w:val="20"/>
          <w:szCs w:val="20"/>
          <w:lang w:val="es-AR"/>
        </w:rPr>
        <w:t>aduce</w:t>
      </w:r>
      <w:r>
        <w:rPr>
          <w:rFonts w:ascii="Cambria" w:hAnsi="Cambria"/>
          <w:sz w:val="20"/>
          <w:szCs w:val="20"/>
          <w:lang w:val="es-AR"/>
        </w:rPr>
        <w:t xml:space="preserve"> que</w:t>
      </w:r>
      <w:r w:rsidR="00E46F57">
        <w:rPr>
          <w:rFonts w:ascii="Cambria" w:hAnsi="Cambria"/>
          <w:sz w:val="20"/>
          <w:szCs w:val="20"/>
          <w:lang w:val="es-AR"/>
        </w:rPr>
        <w:t xml:space="preserve"> las autoridades</w:t>
      </w:r>
      <w:r>
        <w:rPr>
          <w:rFonts w:ascii="Cambria" w:hAnsi="Cambria"/>
          <w:sz w:val="20"/>
          <w:szCs w:val="20"/>
          <w:lang w:val="es-AR"/>
        </w:rPr>
        <w:t xml:space="preserve"> colocaron en riesgo la</w:t>
      </w:r>
      <w:r w:rsidR="00E46F57">
        <w:rPr>
          <w:rFonts w:ascii="Cambria" w:hAnsi="Cambria"/>
          <w:sz w:val="20"/>
          <w:szCs w:val="20"/>
          <w:lang w:val="es-AR"/>
        </w:rPr>
        <w:t xml:space="preserve"> integridad personal y</w:t>
      </w:r>
      <w:r>
        <w:rPr>
          <w:rFonts w:ascii="Cambria" w:hAnsi="Cambria"/>
          <w:sz w:val="20"/>
          <w:szCs w:val="20"/>
          <w:lang w:val="es-AR"/>
        </w:rPr>
        <w:t xml:space="preserve"> salud de la presunta </w:t>
      </w:r>
      <w:r w:rsidR="00730DDC">
        <w:rPr>
          <w:rFonts w:ascii="Cambria" w:hAnsi="Cambria"/>
          <w:sz w:val="20"/>
          <w:szCs w:val="20"/>
          <w:lang w:val="es-AR"/>
        </w:rPr>
        <w:t>víctima</w:t>
      </w:r>
      <w:r w:rsidR="00223E62">
        <w:rPr>
          <w:rFonts w:ascii="Cambria" w:hAnsi="Cambria"/>
          <w:sz w:val="20"/>
          <w:szCs w:val="20"/>
          <w:lang w:val="es-AR"/>
        </w:rPr>
        <w:t>. Relata que en septiembre de 2005</w:t>
      </w:r>
      <w:r>
        <w:rPr>
          <w:rFonts w:ascii="Cambria" w:hAnsi="Cambria"/>
          <w:sz w:val="20"/>
          <w:szCs w:val="20"/>
          <w:lang w:val="es-AR"/>
        </w:rPr>
        <w:t xml:space="preserve"> </w:t>
      </w:r>
      <w:r w:rsidR="004604F5">
        <w:rPr>
          <w:rFonts w:ascii="Cambria" w:hAnsi="Cambria"/>
          <w:sz w:val="20"/>
          <w:szCs w:val="20"/>
          <w:lang w:val="es-AR"/>
        </w:rPr>
        <w:t xml:space="preserve">la presunta víctima </w:t>
      </w:r>
      <w:r>
        <w:rPr>
          <w:rFonts w:ascii="Cambria" w:hAnsi="Cambria"/>
          <w:sz w:val="20"/>
          <w:szCs w:val="20"/>
          <w:lang w:val="es-AR"/>
        </w:rPr>
        <w:t xml:space="preserve">solicitó autorización para la realización de una operación ambulatoria de carcinoma </w:t>
      </w:r>
      <w:proofErr w:type="spellStart"/>
      <w:r>
        <w:rPr>
          <w:rFonts w:ascii="Cambria" w:hAnsi="Cambria"/>
          <w:sz w:val="20"/>
          <w:szCs w:val="20"/>
          <w:lang w:val="es-AR"/>
        </w:rPr>
        <w:t>basocelular</w:t>
      </w:r>
      <w:proofErr w:type="spellEnd"/>
      <w:r>
        <w:rPr>
          <w:rFonts w:ascii="Cambria" w:hAnsi="Cambria"/>
          <w:sz w:val="20"/>
          <w:szCs w:val="20"/>
          <w:lang w:val="es-AR"/>
        </w:rPr>
        <w:t xml:space="preserve"> en un centro hospitalario. Alega que, si bien el tribunal autorizó tal operación, dispuso </w:t>
      </w:r>
      <w:r w:rsidRPr="00D22937">
        <w:rPr>
          <w:rFonts w:ascii="Cambria" w:hAnsi="Cambria"/>
          <w:sz w:val="20"/>
          <w:szCs w:val="20"/>
          <w:lang w:val="es-AR"/>
        </w:rPr>
        <w:t>que la presunta víctima sea trasladada por el vehículo de las autoridades y que los agentes de la polic</w:t>
      </w:r>
      <w:r>
        <w:rPr>
          <w:rFonts w:ascii="Cambria" w:hAnsi="Cambria"/>
          <w:sz w:val="20"/>
          <w:szCs w:val="20"/>
          <w:lang w:val="es-AR"/>
        </w:rPr>
        <w:t xml:space="preserve">ía judicial estén presentes en el quirófano. Alega que el médico personal </w:t>
      </w:r>
      <w:r w:rsidR="004604F5">
        <w:rPr>
          <w:rFonts w:ascii="Cambria" w:hAnsi="Cambria"/>
          <w:sz w:val="20"/>
          <w:szCs w:val="20"/>
          <w:lang w:val="es-AR"/>
        </w:rPr>
        <w:t>de la presunta víctima</w:t>
      </w:r>
      <w:r>
        <w:rPr>
          <w:rFonts w:ascii="Cambria" w:hAnsi="Cambria"/>
          <w:sz w:val="20"/>
          <w:szCs w:val="20"/>
          <w:lang w:val="es-AR"/>
        </w:rPr>
        <w:t xml:space="preserve"> rechazó tales c</w:t>
      </w:r>
      <w:r w:rsidR="00E46F57">
        <w:rPr>
          <w:rFonts w:ascii="Cambria" w:hAnsi="Cambria"/>
          <w:sz w:val="20"/>
          <w:szCs w:val="20"/>
          <w:lang w:val="es-AR"/>
        </w:rPr>
        <w:t>ondiciones por razones sanitaria</w:t>
      </w:r>
      <w:r>
        <w:rPr>
          <w:rFonts w:ascii="Cambria" w:hAnsi="Cambria"/>
          <w:sz w:val="20"/>
          <w:szCs w:val="20"/>
          <w:lang w:val="es-AR"/>
        </w:rPr>
        <w:t>s, genera</w:t>
      </w:r>
      <w:r w:rsidR="00E46F57">
        <w:rPr>
          <w:rFonts w:ascii="Cambria" w:hAnsi="Cambria"/>
          <w:sz w:val="20"/>
          <w:szCs w:val="20"/>
          <w:lang w:val="es-AR"/>
        </w:rPr>
        <w:t xml:space="preserve">ndo que la operación se realice, de forma riesgosa, </w:t>
      </w:r>
      <w:r>
        <w:rPr>
          <w:rFonts w:ascii="Cambria" w:hAnsi="Cambria"/>
          <w:sz w:val="20"/>
          <w:szCs w:val="20"/>
          <w:lang w:val="es-AR"/>
        </w:rPr>
        <w:t>en el domicilio de l</w:t>
      </w:r>
      <w:r w:rsidR="00E46F57">
        <w:rPr>
          <w:rFonts w:ascii="Cambria" w:hAnsi="Cambria"/>
          <w:sz w:val="20"/>
          <w:szCs w:val="20"/>
          <w:lang w:val="es-AR"/>
        </w:rPr>
        <w:t>a presunta víctima. Asimismo, enfatiza que la presunta víctima sufrió golpes de consideración en su traslado a la a las celdas del Organismo de Investigación Judicial de San José debido a la velocidad del vehículo.</w:t>
      </w:r>
    </w:p>
    <w:p w:rsidR="00B25477" w:rsidRDefault="00815281" w:rsidP="0081528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El Estado, por su parte</w:t>
      </w:r>
      <w:r w:rsidR="00015D72" w:rsidRPr="00815281">
        <w:rPr>
          <w:rFonts w:ascii="Cambria" w:hAnsi="Cambria"/>
          <w:sz w:val="20"/>
          <w:szCs w:val="20"/>
          <w:lang w:val="es-AR"/>
        </w:rPr>
        <w:t xml:space="preserve">, sostiene que existe una falta de agotamiento </w:t>
      </w:r>
      <w:r w:rsidR="00D0604C" w:rsidRPr="00815281">
        <w:rPr>
          <w:rFonts w:ascii="Cambria" w:hAnsi="Cambria"/>
          <w:sz w:val="20"/>
          <w:szCs w:val="20"/>
          <w:lang w:val="es-AR"/>
        </w:rPr>
        <w:t xml:space="preserve">de la jurisdicción interna respecto a diversos alegatos. </w:t>
      </w:r>
      <w:r w:rsidR="008E4A0B">
        <w:rPr>
          <w:rFonts w:ascii="Cambria" w:hAnsi="Cambria"/>
          <w:sz w:val="20"/>
          <w:szCs w:val="20"/>
          <w:lang w:val="es-AR"/>
        </w:rPr>
        <w:t>A</w:t>
      </w:r>
      <w:r w:rsidR="00D0604C" w:rsidRPr="00815281">
        <w:rPr>
          <w:rFonts w:ascii="Cambria" w:hAnsi="Cambria"/>
          <w:sz w:val="20"/>
          <w:szCs w:val="20"/>
          <w:lang w:val="es-AR"/>
        </w:rPr>
        <w:t xml:space="preserve">rgumenta que la presunta víctima no presentó: i) </w:t>
      </w:r>
      <w:r w:rsidR="0086057C">
        <w:rPr>
          <w:rFonts w:ascii="Cambria" w:hAnsi="Cambria"/>
          <w:sz w:val="20"/>
          <w:szCs w:val="20"/>
          <w:lang w:val="es-AR"/>
        </w:rPr>
        <w:t>un recurso</w:t>
      </w:r>
      <w:r w:rsidR="00015D72" w:rsidRPr="00815281">
        <w:rPr>
          <w:rFonts w:ascii="Cambria" w:hAnsi="Cambria"/>
          <w:sz w:val="20"/>
          <w:szCs w:val="20"/>
          <w:lang w:val="es-AR"/>
        </w:rPr>
        <w:t xml:space="preserve"> de revisión (artículo 408.g del Código Procesal Penal) ni un procedimiento especial revisión</w:t>
      </w:r>
      <w:r w:rsidR="003531EE" w:rsidRPr="00815281">
        <w:rPr>
          <w:rFonts w:ascii="Cambria" w:hAnsi="Cambria"/>
          <w:sz w:val="20"/>
          <w:szCs w:val="20"/>
          <w:lang w:val="es-AR"/>
        </w:rPr>
        <w:t xml:space="preserve"> (Ley N° 8837)</w:t>
      </w:r>
      <w:r w:rsidR="00015D72" w:rsidRPr="00815281">
        <w:rPr>
          <w:rFonts w:ascii="Cambria" w:hAnsi="Cambria"/>
          <w:sz w:val="20"/>
          <w:szCs w:val="20"/>
          <w:lang w:val="es-AR"/>
        </w:rPr>
        <w:t xml:space="preserve"> contra la sentencia que confirm</w:t>
      </w:r>
      <w:r w:rsidR="00D0604C" w:rsidRPr="00815281">
        <w:rPr>
          <w:rFonts w:ascii="Cambria" w:hAnsi="Cambria"/>
          <w:sz w:val="20"/>
          <w:szCs w:val="20"/>
          <w:lang w:val="es-AR"/>
        </w:rPr>
        <w:t xml:space="preserve">ó su condena penal; ii) </w:t>
      </w:r>
      <w:r w:rsidR="003531EE" w:rsidRPr="00815281">
        <w:rPr>
          <w:rFonts w:ascii="Cambria" w:hAnsi="Cambria"/>
          <w:sz w:val="20"/>
          <w:szCs w:val="20"/>
          <w:lang w:val="es-AR"/>
        </w:rPr>
        <w:t>una denuncia por prevaricato</w:t>
      </w:r>
      <w:r w:rsidR="002A6ABE" w:rsidRPr="00815281">
        <w:rPr>
          <w:rFonts w:ascii="Cambria" w:hAnsi="Cambria"/>
          <w:sz w:val="20"/>
          <w:szCs w:val="20"/>
          <w:lang w:val="es-AR"/>
        </w:rPr>
        <w:t xml:space="preserve">, </w:t>
      </w:r>
      <w:r w:rsidR="0086057C">
        <w:rPr>
          <w:rFonts w:ascii="Cambria" w:hAnsi="Cambria"/>
          <w:sz w:val="20"/>
          <w:szCs w:val="20"/>
          <w:lang w:val="es-AR"/>
        </w:rPr>
        <w:t xml:space="preserve">recurso de </w:t>
      </w:r>
      <w:r w:rsidR="002A6ABE" w:rsidRPr="00815281">
        <w:rPr>
          <w:rFonts w:ascii="Cambria" w:hAnsi="Cambria"/>
          <w:sz w:val="20"/>
          <w:szCs w:val="20"/>
          <w:lang w:val="es-AR"/>
        </w:rPr>
        <w:t xml:space="preserve">recusación </w:t>
      </w:r>
      <w:r w:rsidR="003531EE" w:rsidRPr="00815281">
        <w:rPr>
          <w:rFonts w:ascii="Cambria" w:hAnsi="Cambria"/>
          <w:sz w:val="20"/>
          <w:szCs w:val="20"/>
          <w:lang w:val="es-AR"/>
        </w:rPr>
        <w:t xml:space="preserve">o queja ante la Inspección Judicial por la presunta falta de imparcialidad </w:t>
      </w:r>
      <w:r w:rsidR="00D0604C" w:rsidRPr="00815281">
        <w:rPr>
          <w:rFonts w:ascii="Cambria" w:hAnsi="Cambria"/>
          <w:sz w:val="20"/>
          <w:szCs w:val="20"/>
          <w:lang w:val="es-AR"/>
        </w:rPr>
        <w:t xml:space="preserve">o independencia </w:t>
      </w:r>
      <w:r w:rsidR="002A6ABE" w:rsidRPr="00815281">
        <w:rPr>
          <w:rFonts w:ascii="Cambria" w:hAnsi="Cambria"/>
          <w:sz w:val="20"/>
          <w:szCs w:val="20"/>
          <w:lang w:val="es-AR"/>
        </w:rPr>
        <w:t>de los fiscales y/o juzgadores que analizaron su caso</w:t>
      </w:r>
      <w:r w:rsidR="00D0604C" w:rsidRPr="00815281">
        <w:rPr>
          <w:rFonts w:ascii="Cambria" w:hAnsi="Cambria"/>
          <w:sz w:val="20"/>
          <w:szCs w:val="20"/>
          <w:lang w:val="es-AR"/>
        </w:rPr>
        <w:t xml:space="preserve">; iii) </w:t>
      </w:r>
      <w:r w:rsidR="00136E19" w:rsidRPr="00815281">
        <w:rPr>
          <w:rFonts w:ascii="Cambria" w:hAnsi="Cambria"/>
          <w:sz w:val="20"/>
          <w:szCs w:val="20"/>
          <w:lang w:val="es-AR"/>
        </w:rPr>
        <w:t>una queja ante la Inspección judicial o un recurso de amparo por las alegadas afectaciones a su integridad personal producto de su traslado al Organismo de Investigación Judicial de San José; iv)</w:t>
      </w:r>
      <w:r w:rsidR="007C4343" w:rsidRPr="00815281">
        <w:rPr>
          <w:rFonts w:ascii="Cambria" w:hAnsi="Cambria"/>
          <w:sz w:val="20"/>
          <w:szCs w:val="20"/>
          <w:lang w:val="es-AR"/>
        </w:rPr>
        <w:t xml:space="preserve"> un recurso de amparo por la presunta afectación a su derecho a la salud mientras estuvo detenido y por las limitaciones establecidas para su operación ambulatoria;</w:t>
      </w:r>
      <w:r w:rsidR="002A6ABE" w:rsidRPr="00815281">
        <w:rPr>
          <w:rFonts w:ascii="Cambria" w:hAnsi="Cambria"/>
          <w:sz w:val="20"/>
          <w:szCs w:val="20"/>
          <w:lang w:val="es-AR"/>
        </w:rPr>
        <w:t xml:space="preserve"> y</w:t>
      </w:r>
      <w:r w:rsidR="00E46F57">
        <w:rPr>
          <w:rFonts w:ascii="Cambria" w:hAnsi="Cambria"/>
          <w:sz w:val="20"/>
          <w:szCs w:val="20"/>
          <w:lang w:val="es-AR"/>
        </w:rPr>
        <w:t xml:space="preserve"> tampoco</w:t>
      </w:r>
      <w:r w:rsidR="007C4343" w:rsidRPr="00815281">
        <w:rPr>
          <w:rFonts w:ascii="Cambria" w:hAnsi="Cambria"/>
          <w:sz w:val="20"/>
          <w:szCs w:val="20"/>
          <w:lang w:val="es-AR"/>
        </w:rPr>
        <w:t xml:space="preserve"> v)</w:t>
      </w:r>
      <w:r w:rsidR="002A6ABE" w:rsidRPr="00815281">
        <w:rPr>
          <w:rFonts w:ascii="Cambria" w:hAnsi="Cambria"/>
          <w:sz w:val="20"/>
          <w:szCs w:val="20"/>
          <w:lang w:val="es-AR"/>
        </w:rPr>
        <w:t xml:space="preserve"> una querella por las presuntas afectaciones a su derecho al honor y privacidad. </w:t>
      </w:r>
    </w:p>
    <w:p w:rsidR="00815281" w:rsidRPr="005751E3" w:rsidRDefault="00815281" w:rsidP="005751E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 xml:space="preserve">Adicionalmente, </w:t>
      </w:r>
      <w:r w:rsidR="006816F4">
        <w:rPr>
          <w:rFonts w:ascii="Cambria" w:hAnsi="Cambria"/>
          <w:sz w:val="20"/>
          <w:szCs w:val="20"/>
          <w:lang w:val="es-AR"/>
        </w:rPr>
        <w:t xml:space="preserve">aduce </w:t>
      </w:r>
      <w:r>
        <w:rPr>
          <w:rFonts w:ascii="Cambria" w:hAnsi="Cambria"/>
          <w:sz w:val="20"/>
          <w:szCs w:val="20"/>
          <w:lang w:val="es-AR"/>
        </w:rPr>
        <w:t xml:space="preserve">que los alegatos referidos a la inadecuada notificación de los cargos, imposición de prisión preventiva y presunta afectación a la integridad personal fueron presentados extemporáneamente. </w:t>
      </w:r>
      <w:r w:rsidR="005751E3">
        <w:rPr>
          <w:rFonts w:ascii="Cambria" w:hAnsi="Cambria"/>
          <w:sz w:val="20"/>
          <w:szCs w:val="20"/>
          <w:lang w:val="es-AR"/>
        </w:rPr>
        <w:t xml:space="preserve">Explica </w:t>
      </w:r>
      <w:r>
        <w:rPr>
          <w:rFonts w:ascii="Cambria" w:hAnsi="Cambria"/>
          <w:sz w:val="20"/>
          <w:szCs w:val="20"/>
          <w:lang w:val="es-AR"/>
        </w:rPr>
        <w:t>que la presunta víctima cuestionó los dos primeros</w:t>
      </w:r>
      <w:r w:rsidR="005751E3">
        <w:rPr>
          <w:rFonts w:ascii="Cambria" w:hAnsi="Cambria"/>
          <w:sz w:val="20"/>
          <w:szCs w:val="20"/>
          <w:lang w:val="es-AR"/>
        </w:rPr>
        <w:t xml:space="preserve"> asuntos mediante procesos de</w:t>
      </w:r>
      <w:r>
        <w:rPr>
          <w:rFonts w:ascii="Cambria" w:hAnsi="Cambria"/>
          <w:sz w:val="20"/>
          <w:szCs w:val="20"/>
          <w:lang w:val="es-AR"/>
        </w:rPr>
        <w:t xml:space="preserve"> h</w:t>
      </w:r>
      <w:r w:rsidR="005751E3">
        <w:rPr>
          <w:rFonts w:ascii="Cambria" w:hAnsi="Cambria"/>
          <w:sz w:val="20"/>
          <w:szCs w:val="20"/>
          <w:lang w:val="es-AR"/>
        </w:rPr>
        <w:t>ábeas corpus que f</w:t>
      </w:r>
      <w:r w:rsidR="0086057C">
        <w:rPr>
          <w:rFonts w:ascii="Cambria" w:hAnsi="Cambria"/>
          <w:sz w:val="20"/>
          <w:szCs w:val="20"/>
          <w:lang w:val="es-AR"/>
        </w:rPr>
        <w:t>ueron resueltos en 2005. Dado que la petición</w:t>
      </w:r>
      <w:r w:rsidR="005751E3">
        <w:rPr>
          <w:rFonts w:ascii="Cambria" w:hAnsi="Cambria"/>
          <w:sz w:val="20"/>
          <w:szCs w:val="20"/>
          <w:lang w:val="es-AR"/>
        </w:rPr>
        <w:t xml:space="preserve"> fue presentada el 6 de junio de 2011, </w:t>
      </w:r>
      <w:r w:rsidR="0086057C">
        <w:rPr>
          <w:rFonts w:ascii="Cambria" w:hAnsi="Cambria"/>
          <w:sz w:val="20"/>
          <w:szCs w:val="20"/>
          <w:lang w:val="es-AR"/>
        </w:rPr>
        <w:t>considera que</w:t>
      </w:r>
      <w:r w:rsidR="005751E3">
        <w:rPr>
          <w:rFonts w:ascii="Cambria" w:hAnsi="Cambria"/>
          <w:sz w:val="20"/>
          <w:szCs w:val="20"/>
          <w:lang w:val="es-AR"/>
        </w:rPr>
        <w:t xml:space="preserve"> existe una demora de seis años en la presentación de tales alegatos. Por otro lado, sostiene que </w:t>
      </w:r>
      <w:r w:rsidR="0086057C">
        <w:rPr>
          <w:rFonts w:ascii="Cambria" w:hAnsi="Cambria"/>
          <w:sz w:val="20"/>
          <w:szCs w:val="20"/>
          <w:lang w:val="es-AR"/>
        </w:rPr>
        <w:t>las alegadas afectaciones generadas por su traslado y condiciones de detención ocurrieron en 2004, por lo que este extremo de la petición tampoco cumple con el requisito establecido en el artículo 46.1.b</w:t>
      </w:r>
      <w:r w:rsidR="008E4A0B">
        <w:rPr>
          <w:rFonts w:ascii="Cambria" w:hAnsi="Cambria"/>
          <w:sz w:val="20"/>
          <w:szCs w:val="20"/>
          <w:lang w:val="es-AR"/>
        </w:rPr>
        <w:t>)</w:t>
      </w:r>
      <w:r w:rsidR="0086057C">
        <w:rPr>
          <w:rFonts w:ascii="Cambria" w:hAnsi="Cambria"/>
          <w:sz w:val="20"/>
          <w:szCs w:val="20"/>
          <w:lang w:val="es-AR"/>
        </w:rPr>
        <w:t xml:space="preserve"> de la Convención Americana. </w:t>
      </w:r>
    </w:p>
    <w:p w:rsidR="00DA0FFF" w:rsidRPr="00DA0FFF" w:rsidRDefault="002A6ABE" w:rsidP="00D85E5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bdr w:val="none" w:sz="0" w:space="0" w:color="auto"/>
          <w:lang w:val="es-PE"/>
        </w:rPr>
      </w:pPr>
      <w:r w:rsidRPr="00D85E53">
        <w:rPr>
          <w:rFonts w:ascii="Cambria" w:hAnsi="Cambria"/>
          <w:sz w:val="20"/>
          <w:szCs w:val="20"/>
          <w:lang w:val="es-PE"/>
        </w:rPr>
        <w:t xml:space="preserve">Finalmente, el Estado </w:t>
      </w:r>
      <w:r w:rsidR="004604F5">
        <w:rPr>
          <w:rFonts w:ascii="Cambria" w:hAnsi="Cambria"/>
          <w:sz w:val="20"/>
          <w:szCs w:val="20"/>
          <w:lang w:val="es-PE"/>
        </w:rPr>
        <w:t>alega</w:t>
      </w:r>
      <w:r w:rsidRPr="00D85E53">
        <w:rPr>
          <w:rFonts w:ascii="Cambria" w:hAnsi="Cambria"/>
          <w:sz w:val="20"/>
          <w:szCs w:val="20"/>
          <w:lang w:val="es-PE"/>
        </w:rPr>
        <w:t xml:space="preserve"> que los hechos denunciados no caracterizan violaciones de derechos humanos. </w:t>
      </w:r>
      <w:r w:rsidR="00D85E53">
        <w:rPr>
          <w:rFonts w:ascii="Cambria" w:hAnsi="Cambria"/>
          <w:sz w:val="20"/>
          <w:szCs w:val="20"/>
          <w:lang w:val="es-PE"/>
        </w:rPr>
        <w:t xml:space="preserve">Sostiene que la Fiscalía le comunicó oportunamente al señor Calderón </w:t>
      </w:r>
      <w:proofErr w:type="spellStart"/>
      <w:r w:rsidR="00D85E53">
        <w:rPr>
          <w:rFonts w:ascii="Cambria" w:hAnsi="Cambria"/>
          <w:sz w:val="20"/>
          <w:szCs w:val="20"/>
          <w:lang w:val="es-PE"/>
        </w:rPr>
        <w:t>Fournier</w:t>
      </w:r>
      <w:proofErr w:type="spellEnd"/>
      <w:r w:rsidR="00D85E53">
        <w:rPr>
          <w:rFonts w:ascii="Cambria" w:hAnsi="Cambria"/>
          <w:sz w:val="20"/>
          <w:szCs w:val="20"/>
          <w:lang w:val="es-PE"/>
        </w:rPr>
        <w:t xml:space="preserve"> los hechos por los que estaba siendo investigado</w:t>
      </w:r>
      <w:r w:rsidR="00D85E53">
        <w:rPr>
          <w:rFonts w:ascii="Cambria" w:hAnsi="Cambria"/>
          <w:sz w:val="20"/>
          <w:szCs w:val="20"/>
          <w:bdr w:val="none" w:sz="0" w:space="0" w:color="auto"/>
          <w:lang w:val="es-PE"/>
        </w:rPr>
        <w:t xml:space="preserve"> </w:t>
      </w:r>
      <w:r w:rsidR="00D85E53" w:rsidRPr="00D85E53">
        <w:rPr>
          <w:rFonts w:ascii="Cambria" w:hAnsi="Cambria"/>
          <w:sz w:val="20"/>
          <w:szCs w:val="20"/>
          <w:lang w:val="es-PE"/>
        </w:rPr>
        <w:t xml:space="preserve">y que su defensa particular tuvo acceso </w:t>
      </w:r>
      <w:r w:rsidR="009426AA">
        <w:rPr>
          <w:rFonts w:ascii="Cambria" w:hAnsi="Cambria"/>
          <w:sz w:val="20"/>
          <w:szCs w:val="20"/>
          <w:lang w:val="es-PE"/>
        </w:rPr>
        <w:t>irrestricto al expediente</w:t>
      </w:r>
      <w:r w:rsidR="00E46F57">
        <w:rPr>
          <w:rFonts w:ascii="Cambria" w:hAnsi="Cambria"/>
          <w:sz w:val="20"/>
          <w:szCs w:val="20"/>
          <w:lang w:val="es-PE"/>
        </w:rPr>
        <w:t xml:space="preserve"> desde el inicio de las investigaciones</w:t>
      </w:r>
      <w:r w:rsidR="009426AA">
        <w:rPr>
          <w:rFonts w:ascii="Cambria" w:hAnsi="Cambria"/>
          <w:sz w:val="20"/>
          <w:szCs w:val="20"/>
          <w:lang w:val="es-PE"/>
        </w:rPr>
        <w:t xml:space="preserve">. En esa línea, enfatiza que la falta de determinación de la conducta ilícita (el tipo penal) al momento de la detención no constituye una violación al derecho a la defensa. Por otro lado, señala que las designaciones y sustituciones de las autoridades judiciales que analizaron el </w:t>
      </w:r>
      <w:r w:rsidR="000D1C54">
        <w:rPr>
          <w:rFonts w:ascii="Cambria" w:hAnsi="Cambria"/>
          <w:sz w:val="20"/>
          <w:szCs w:val="20"/>
          <w:lang w:val="es-PE"/>
        </w:rPr>
        <w:t>caso se</w:t>
      </w:r>
      <w:r w:rsidR="009426AA">
        <w:rPr>
          <w:rFonts w:ascii="Cambria" w:hAnsi="Cambria"/>
          <w:sz w:val="20"/>
          <w:szCs w:val="20"/>
          <w:lang w:val="es-PE"/>
        </w:rPr>
        <w:t xml:space="preserve"> realizaron conforme a las pautas establecidas legalmente para tales supuestos, sin que exista una desviación de poder o trato desigual. </w:t>
      </w:r>
      <w:r w:rsidR="00DA0FFF">
        <w:rPr>
          <w:rFonts w:ascii="Cambria" w:hAnsi="Cambria"/>
          <w:sz w:val="20"/>
          <w:szCs w:val="20"/>
          <w:lang w:val="es-PE"/>
        </w:rPr>
        <w:t>En esa línea,</w:t>
      </w:r>
      <w:r w:rsidR="009426AA">
        <w:rPr>
          <w:rFonts w:ascii="Cambria" w:hAnsi="Cambria"/>
          <w:sz w:val="20"/>
          <w:szCs w:val="20"/>
          <w:lang w:val="es-PE"/>
        </w:rPr>
        <w:t xml:space="preserve"> destaca que ningún juzgador actúo al mismo ti</w:t>
      </w:r>
      <w:r w:rsidR="00E46F57">
        <w:rPr>
          <w:rFonts w:ascii="Cambria" w:hAnsi="Cambria"/>
          <w:sz w:val="20"/>
          <w:szCs w:val="20"/>
          <w:lang w:val="es-PE"/>
        </w:rPr>
        <w:t xml:space="preserve">empo como fiscal en el proceso. </w:t>
      </w:r>
    </w:p>
    <w:p w:rsidR="00E46F57" w:rsidRPr="00E46F57" w:rsidRDefault="00DA0FFF" w:rsidP="00D85E5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bdr w:val="none" w:sz="0" w:space="0" w:color="auto"/>
          <w:lang w:val="es-PE"/>
        </w:rPr>
      </w:pPr>
      <w:r>
        <w:rPr>
          <w:rFonts w:ascii="Cambria" w:hAnsi="Cambria"/>
          <w:sz w:val="20"/>
          <w:szCs w:val="20"/>
          <w:lang w:val="es-PE"/>
        </w:rPr>
        <w:t xml:space="preserve">Adicionalmente, </w:t>
      </w:r>
      <w:r w:rsidR="006816F4">
        <w:rPr>
          <w:rFonts w:ascii="Cambria" w:hAnsi="Cambria"/>
          <w:sz w:val="20"/>
          <w:szCs w:val="20"/>
          <w:lang w:val="es-PE"/>
        </w:rPr>
        <w:t>sostiene</w:t>
      </w:r>
      <w:r>
        <w:rPr>
          <w:rFonts w:ascii="Cambria" w:hAnsi="Cambria"/>
          <w:sz w:val="20"/>
          <w:szCs w:val="20"/>
          <w:lang w:val="es-PE"/>
        </w:rPr>
        <w:t xml:space="preserve"> que tanto las medidas cautelares como la sanción impuesta a la presunta víctima estuvieron adecuadamente motivadas en base a la legislación penal aplicable para dicho momento, sin que exista vulneración al principio </w:t>
      </w:r>
      <w:r>
        <w:rPr>
          <w:rFonts w:ascii="Cambria" w:hAnsi="Cambria"/>
          <w:i/>
          <w:sz w:val="20"/>
          <w:szCs w:val="20"/>
          <w:lang w:val="es-PE"/>
        </w:rPr>
        <w:t xml:space="preserve">non bis in ídem </w:t>
      </w:r>
      <w:r>
        <w:rPr>
          <w:rFonts w:ascii="Cambria" w:hAnsi="Cambria"/>
          <w:sz w:val="20"/>
          <w:szCs w:val="20"/>
          <w:lang w:val="es-PE"/>
        </w:rPr>
        <w:t>o al principio de legalidad</w:t>
      </w:r>
      <w:r w:rsidR="004604F5">
        <w:rPr>
          <w:rFonts w:ascii="Cambria" w:hAnsi="Cambria"/>
          <w:sz w:val="20"/>
          <w:szCs w:val="20"/>
          <w:lang w:val="es-PE"/>
        </w:rPr>
        <w:t>;</w:t>
      </w:r>
      <w:r>
        <w:rPr>
          <w:rFonts w:ascii="Cambria" w:hAnsi="Cambria"/>
          <w:sz w:val="20"/>
          <w:szCs w:val="20"/>
          <w:lang w:val="es-PE"/>
        </w:rPr>
        <w:t xml:space="preserve"> </w:t>
      </w:r>
      <w:r w:rsidR="00FA618D">
        <w:rPr>
          <w:rFonts w:ascii="Cambria" w:hAnsi="Cambria"/>
          <w:sz w:val="20"/>
          <w:szCs w:val="20"/>
          <w:lang w:val="es-PE"/>
        </w:rPr>
        <w:t>y</w:t>
      </w:r>
      <w:r>
        <w:rPr>
          <w:rFonts w:ascii="Cambria" w:hAnsi="Cambria"/>
          <w:sz w:val="20"/>
          <w:szCs w:val="20"/>
          <w:lang w:val="es-PE"/>
        </w:rPr>
        <w:t xml:space="preserve"> que tales decisiones se dictaron tras un proceso que garantizó los derechos de la presunta víctima a la prueba y a la defensa, sin que </w:t>
      </w:r>
      <w:r w:rsidR="00E46F57">
        <w:rPr>
          <w:rFonts w:ascii="Cambria" w:hAnsi="Cambria"/>
          <w:sz w:val="20"/>
          <w:szCs w:val="20"/>
          <w:lang w:val="es-PE"/>
        </w:rPr>
        <w:t>se hayan producido restricciones</w:t>
      </w:r>
      <w:r>
        <w:rPr>
          <w:rFonts w:ascii="Cambria" w:hAnsi="Cambria"/>
          <w:sz w:val="20"/>
          <w:szCs w:val="20"/>
          <w:lang w:val="es-PE"/>
        </w:rPr>
        <w:t xml:space="preserve"> indebidas a tales derechos. </w:t>
      </w:r>
    </w:p>
    <w:p w:rsidR="00C10215" w:rsidRPr="00401D9F" w:rsidRDefault="00DA0FFF" w:rsidP="00D85E5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bdr w:val="none" w:sz="0" w:space="0" w:color="auto"/>
          <w:lang w:val="es-PE"/>
        </w:rPr>
      </w:pPr>
      <w:r>
        <w:rPr>
          <w:rFonts w:ascii="Cambria" w:hAnsi="Cambria"/>
          <w:sz w:val="20"/>
          <w:szCs w:val="20"/>
          <w:lang w:val="es-PE"/>
        </w:rPr>
        <w:lastRenderedPageBreak/>
        <w:t xml:space="preserve">Finalmente, argumenta que el señor Calderón </w:t>
      </w:r>
      <w:proofErr w:type="spellStart"/>
      <w:r>
        <w:rPr>
          <w:rFonts w:ascii="Cambria" w:hAnsi="Cambria"/>
          <w:sz w:val="20"/>
          <w:szCs w:val="20"/>
          <w:lang w:val="es-PE"/>
        </w:rPr>
        <w:t>Fournier</w:t>
      </w:r>
      <w:proofErr w:type="spellEnd"/>
      <w:r>
        <w:rPr>
          <w:rFonts w:ascii="Cambria" w:hAnsi="Cambria"/>
          <w:sz w:val="20"/>
          <w:szCs w:val="20"/>
          <w:lang w:val="es-PE"/>
        </w:rPr>
        <w:t xml:space="preserve"> tuvo acceso a un recurso acorde </w:t>
      </w:r>
      <w:r w:rsidR="00401D9F">
        <w:rPr>
          <w:rFonts w:ascii="Cambria" w:hAnsi="Cambria"/>
          <w:sz w:val="20"/>
          <w:szCs w:val="20"/>
          <w:lang w:val="es-PE"/>
        </w:rPr>
        <w:t>con</w:t>
      </w:r>
      <w:r>
        <w:rPr>
          <w:rFonts w:ascii="Cambria" w:hAnsi="Cambria"/>
          <w:sz w:val="20"/>
          <w:szCs w:val="20"/>
          <w:lang w:val="es-PE"/>
        </w:rPr>
        <w:t xml:space="preserve"> el artículo 8.2.h de la Convención Americana. </w:t>
      </w:r>
      <w:r w:rsidR="00FA618D">
        <w:rPr>
          <w:rFonts w:ascii="Cambria" w:hAnsi="Cambria"/>
          <w:sz w:val="20"/>
          <w:szCs w:val="20"/>
          <w:lang w:val="es-PE"/>
        </w:rPr>
        <w:t>Que a pesar de su nomenclatura</w:t>
      </w:r>
      <w:r>
        <w:rPr>
          <w:rFonts w:ascii="Cambria" w:hAnsi="Cambria"/>
          <w:sz w:val="20"/>
          <w:szCs w:val="20"/>
          <w:lang w:val="es-PE"/>
        </w:rPr>
        <w:t xml:space="preserve"> el recurso de casación permite una revisión integral del fallo, y que la Corte Interamericana de Derechos Humanos, en la sentencia del caso </w:t>
      </w:r>
      <w:proofErr w:type="spellStart"/>
      <w:r>
        <w:rPr>
          <w:rFonts w:ascii="Cambria" w:hAnsi="Cambria"/>
          <w:i/>
          <w:sz w:val="20"/>
          <w:szCs w:val="20"/>
          <w:lang w:val="es-PE"/>
        </w:rPr>
        <w:t>Amrhein</w:t>
      </w:r>
      <w:proofErr w:type="spellEnd"/>
      <w:r>
        <w:rPr>
          <w:rFonts w:ascii="Cambria" w:hAnsi="Cambria"/>
          <w:i/>
          <w:sz w:val="20"/>
          <w:szCs w:val="20"/>
          <w:lang w:val="es-PE"/>
        </w:rPr>
        <w:t xml:space="preserve"> y otros vs. Costa Rica,</w:t>
      </w:r>
      <w:r>
        <w:rPr>
          <w:rFonts w:ascii="Cambria" w:hAnsi="Cambria"/>
          <w:sz w:val="20"/>
          <w:szCs w:val="20"/>
          <w:lang w:val="es-PE"/>
        </w:rPr>
        <w:t xml:space="preserve"> </w:t>
      </w:r>
      <w:r w:rsidR="00401D9F">
        <w:rPr>
          <w:rFonts w:ascii="Cambria" w:hAnsi="Cambria"/>
          <w:sz w:val="20"/>
          <w:szCs w:val="20"/>
          <w:lang w:val="es-PE"/>
        </w:rPr>
        <w:t xml:space="preserve">confirmó que el sistema recursivo de Costa Rica había sido adecuado a los estándares del sistema interamericano. </w:t>
      </w:r>
      <w:r w:rsidR="00D85E53" w:rsidRPr="00401D9F">
        <w:rPr>
          <w:rFonts w:ascii="Cambria" w:hAnsi="Cambria"/>
          <w:sz w:val="20"/>
          <w:szCs w:val="20"/>
          <w:bdr w:val="none" w:sz="0" w:space="0" w:color="auto"/>
          <w:lang w:val="es-PE"/>
        </w:rPr>
        <w:t>Por tales razones, solicita que la petición sea declarada inadmisible con fundamento en el artículo 47(b) de la Convención Americana, toda vez que considera que la pretensión de la peticionaria es que la Comisión actúe como un tribunal de alzada, en contradicción de su naturaleza complementaria.</w:t>
      </w:r>
    </w:p>
    <w:p w:rsidR="003239B8" w:rsidRPr="00E64C3D" w:rsidRDefault="00C10215" w:rsidP="00C1021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lang w:val="es-UY"/>
        </w:rPr>
      </w:pPr>
      <w:r w:rsidRPr="00E64C3D">
        <w:rPr>
          <w:rFonts w:asciiTheme="majorHAnsi" w:eastAsia="Cambria" w:hAnsiTheme="majorHAnsi" w:cs="Cambria"/>
          <w:b/>
          <w:bCs/>
          <w:color w:val="000000"/>
          <w:sz w:val="20"/>
          <w:szCs w:val="20"/>
          <w:u w:color="000000"/>
          <w:lang w:val="es-ES" w:eastAsia="es-ES"/>
        </w:rPr>
        <w:t xml:space="preserve"> </w:t>
      </w:r>
      <w:r w:rsidR="003239B8" w:rsidRPr="00E64C3D">
        <w:rPr>
          <w:rFonts w:asciiTheme="majorHAnsi" w:eastAsia="Cambria" w:hAnsiTheme="majorHAnsi" w:cs="Cambria"/>
          <w:b/>
          <w:bCs/>
          <w:color w:val="000000"/>
          <w:sz w:val="20"/>
          <w:szCs w:val="20"/>
          <w:u w:color="000000"/>
          <w:lang w:val="es-ES" w:eastAsia="es-ES"/>
        </w:rPr>
        <w:t>VI.</w:t>
      </w:r>
      <w:r w:rsidR="003239B8" w:rsidRPr="00E64C3D">
        <w:rPr>
          <w:rFonts w:asciiTheme="majorHAnsi" w:eastAsia="Cambria" w:hAnsiTheme="majorHAnsi" w:cs="Cambria"/>
          <w:b/>
          <w:bCs/>
          <w:color w:val="000000"/>
          <w:sz w:val="20"/>
          <w:szCs w:val="20"/>
          <w:u w:color="000000"/>
          <w:lang w:val="es-ES" w:eastAsia="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sz w:val="20"/>
          <w:szCs w:val="20"/>
          <w:lang w:val="es-ES"/>
        </w:rPr>
        <w:t>AGOTAMIENTO DE LOS RECURSOS INTERNOS Y PLAZO DE PRESENTACIÓN</w:t>
      </w:r>
      <w:r w:rsidR="00C21FEF" w:rsidRPr="00E64C3D">
        <w:rPr>
          <w:rFonts w:asciiTheme="majorHAnsi" w:eastAsia="Cambria" w:hAnsiTheme="majorHAnsi" w:cs="Cambria"/>
          <w:b/>
          <w:bCs/>
          <w:color w:val="000000"/>
          <w:sz w:val="20"/>
          <w:szCs w:val="20"/>
          <w:u w:color="000000"/>
          <w:lang w:val="es-ES" w:eastAsia="es-ES"/>
        </w:rPr>
        <w:t xml:space="preserve"> </w:t>
      </w:r>
    </w:p>
    <w:p w:rsidR="00846503" w:rsidRDefault="00280993"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La parte peticionaria sostiene que los recursos internos fueron agotados </w:t>
      </w:r>
      <w:r w:rsidR="00D11AE3">
        <w:rPr>
          <w:rFonts w:ascii="Cambria" w:hAnsi="Cambria"/>
          <w:sz w:val="20"/>
          <w:szCs w:val="20"/>
          <w:lang w:val="es-ES"/>
        </w:rPr>
        <w:t xml:space="preserve">con el fallo de casación de </w:t>
      </w:r>
      <w:r w:rsidR="00D11AE3">
        <w:rPr>
          <w:rFonts w:ascii="Cambria" w:hAnsi="Cambria"/>
          <w:sz w:val="20"/>
          <w:szCs w:val="20"/>
          <w:lang w:val="es-AR"/>
        </w:rPr>
        <w:t>la Sala Tercera de la Corte Suprema de Justicia</w:t>
      </w:r>
      <w:r>
        <w:rPr>
          <w:rFonts w:ascii="Cambria" w:hAnsi="Cambria"/>
          <w:sz w:val="20"/>
          <w:szCs w:val="20"/>
          <w:lang w:val="es-ES"/>
        </w:rPr>
        <w:t xml:space="preserve"> </w:t>
      </w:r>
      <w:r w:rsidR="00D11AE3">
        <w:rPr>
          <w:rFonts w:ascii="Cambria" w:hAnsi="Cambria"/>
          <w:sz w:val="20"/>
          <w:szCs w:val="20"/>
          <w:lang w:val="es-ES"/>
        </w:rPr>
        <w:t xml:space="preserve">del </w:t>
      </w:r>
      <w:r w:rsidR="00D11AE3">
        <w:rPr>
          <w:rFonts w:ascii="Cambria" w:hAnsi="Cambria"/>
          <w:sz w:val="20"/>
          <w:szCs w:val="20"/>
          <w:lang w:val="es-AR"/>
        </w:rPr>
        <w:t xml:space="preserve">11 de mayo de 2011. Por su parte, el Estado replica que existe una falta de agotamiento de los recursos internos y que los alegatos referidos a la inadecuada notificación de los cargos, imposición de prisión preventiva y presunta afectación a la integridad personal fueron presentados extemporáneamente </w:t>
      </w:r>
    </w:p>
    <w:p w:rsidR="00D11AE3" w:rsidRPr="004E030B" w:rsidRDefault="00D11AE3" w:rsidP="00D73AE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846503">
        <w:rPr>
          <w:rFonts w:ascii="Cambria" w:hAnsi="Cambria"/>
          <w:sz w:val="20"/>
          <w:szCs w:val="20"/>
          <w:lang w:val="es-ES"/>
        </w:rPr>
        <w:t>Al respecto, la Comisión reitera que el requisito de agotamiento de los recursos internos no implica que las presuntas víctimas tengan la obligación de agotar todos los recursos posibles a su disposición. En este sentido, la CIDH ha mantenido que “si la presunta víctima planteó la cuestión por alguna de las alternativas válidas y adecuadas según el ordenamiento jurídico interno y el Estado tuvo la oportunidad de remediar la cuestión en su jurisdicción, la finalidad de la norma internacional está cumplid</w:t>
      </w:r>
      <w:r>
        <w:rPr>
          <w:rFonts w:ascii="Cambria" w:hAnsi="Cambria"/>
          <w:sz w:val="20"/>
          <w:szCs w:val="20"/>
          <w:lang w:val="es-ES"/>
        </w:rPr>
        <w:t>a”</w:t>
      </w:r>
      <w:r w:rsidR="00D73AEA">
        <w:rPr>
          <w:rStyle w:val="FootnoteReference"/>
          <w:rFonts w:ascii="Cambria" w:hAnsi="Cambria"/>
          <w:sz w:val="20"/>
          <w:szCs w:val="20"/>
          <w:lang w:val="es-ES"/>
        </w:rPr>
        <w:footnoteReference w:id="4"/>
      </w:r>
      <w:r w:rsidRPr="00846503">
        <w:rPr>
          <w:rFonts w:ascii="Cambria" w:hAnsi="Cambria"/>
          <w:sz w:val="20"/>
          <w:szCs w:val="20"/>
          <w:lang w:val="es-ES"/>
        </w:rPr>
        <w:t>.</w:t>
      </w:r>
      <w:r w:rsidR="004E030B">
        <w:rPr>
          <w:rFonts w:ascii="Cambria" w:hAnsi="Cambria"/>
          <w:sz w:val="20"/>
          <w:szCs w:val="20"/>
          <w:lang w:val="es-ES"/>
        </w:rPr>
        <w:t xml:space="preserve"> En base a ello, l</w:t>
      </w:r>
      <w:r w:rsidR="004E030B" w:rsidRPr="00846503">
        <w:rPr>
          <w:rFonts w:ascii="Cambria" w:hAnsi="Cambria"/>
          <w:sz w:val="20"/>
          <w:szCs w:val="20"/>
          <w:lang w:val="es-ES"/>
        </w:rPr>
        <w:t xml:space="preserve">a Comisión </w:t>
      </w:r>
      <w:r w:rsidR="004E030B">
        <w:rPr>
          <w:rFonts w:ascii="Cambria" w:hAnsi="Cambria"/>
          <w:sz w:val="20"/>
          <w:szCs w:val="20"/>
          <w:lang w:val="es-ES"/>
        </w:rPr>
        <w:t>considera que</w:t>
      </w:r>
      <w:r w:rsidR="004604F5">
        <w:rPr>
          <w:rFonts w:ascii="Cambria" w:hAnsi="Cambria"/>
          <w:sz w:val="20"/>
          <w:szCs w:val="20"/>
          <w:lang w:val="es-ES"/>
        </w:rPr>
        <w:t>,</w:t>
      </w:r>
      <w:r w:rsidR="004E030B">
        <w:rPr>
          <w:rFonts w:ascii="Cambria" w:hAnsi="Cambria"/>
          <w:sz w:val="20"/>
          <w:szCs w:val="20"/>
          <w:lang w:val="es-ES"/>
        </w:rPr>
        <w:t xml:space="preserve"> en el presente caso,</w:t>
      </w:r>
      <w:r w:rsidR="004E030B" w:rsidRPr="00846503">
        <w:rPr>
          <w:rFonts w:ascii="Cambria" w:hAnsi="Cambria"/>
          <w:sz w:val="20"/>
          <w:szCs w:val="20"/>
          <w:lang w:val="es-ES"/>
        </w:rPr>
        <w:t xml:space="preserve"> la presunta víctima </w:t>
      </w:r>
      <w:r w:rsidR="004E030B">
        <w:rPr>
          <w:rFonts w:ascii="Cambria" w:hAnsi="Cambria"/>
          <w:sz w:val="20"/>
          <w:szCs w:val="20"/>
          <w:lang w:val="es-ES"/>
        </w:rPr>
        <w:t xml:space="preserve">utilizó las vías ordinarias y adecuadas para cuestionar tanto el proceso penal como las medidas de prisión preventiva y arresto domiciliario en su contra, por lo que la petición </w:t>
      </w:r>
      <w:r w:rsidR="004E030B" w:rsidRPr="004E030B">
        <w:rPr>
          <w:rFonts w:ascii="Cambria" w:hAnsi="Cambria"/>
          <w:sz w:val="20"/>
          <w:szCs w:val="20"/>
          <w:lang w:val="es-ES"/>
        </w:rPr>
        <w:t>cumple el requisito establecido en el artículo 46.1.a</w:t>
      </w:r>
      <w:r w:rsidR="00E75A57">
        <w:rPr>
          <w:rFonts w:ascii="Cambria" w:hAnsi="Cambria"/>
          <w:sz w:val="20"/>
          <w:szCs w:val="20"/>
          <w:lang w:val="es-ES"/>
        </w:rPr>
        <w:t>)</w:t>
      </w:r>
      <w:r w:rsidR="004E030B" w:rsidRPr="004E030B">
        <w:rPr>
          <w:rFonts w:ascii="Cambria" w:hAnsi="Cambria"/>
          <w:sz w:val="20"/>
          <w:szCs w:val="20"/>
          <w:lang w:val="es-ES"/>
        </w:rPr>
        <w:t xml:space="preserve"> de la Convención. Asimismo,</w:t>
      </w:r>
      <w:r w:rsidR="004E030B">
        <w:rPr>
          <w:rFonts w:ascii="Cambria" w:hAnsi="Cambria"/>
          <w:sz w:val="20"/>
          <w:szCs w:val="20"/>
          <w:lang w:val="es-ES"/>
        </w:rPr>
        <w:t xml:space="preserve"> estima razonable entender que el fallo de casación de 11 de mayo de 2011, en tanto representa la finalización del proceso principal, acredita que la petición fue </w:t>
      </w:r>
      <w:r w:rsidR="004E030B" w:rsidRPr="004E030B">
        <w:rPr>
          <w:rFonts w:ascii="Cambria" w:hAnsi="Cambria"/>
          <w:sz w:val="20"/>
          <w:szCs w:val="20"/>
          <w:lang w:val="es-ES"/>
        </w:rPr>
        <w:t>presenta</w:t>
      </w:r>
      <w:r w:rsidR="004E030B">
        <w:rPr>
          <w:rFonts w:ascii="Cambria" w:hAnsi="Cambria"/>
          <w:sz w:val="20"/>
          <w:szCs w:val="20"/>
          <w:lang w:val="es-ES"/>
        </w:rPr>
        <w:t>da</w:t>
      </w:r>
      <w:r w:rsidR="004E030B" w:rsidRPr="004E030B">
        <w:rPr>
          <w:rFonts w:ascii="Cambria" w:hAnsi="Cambria"/>
          <w:sz w:val="20"/>
          <w:szCs w:val="20"/>
          <w:lang w:val="es-ES"/>
        </w:rPr>
        <w:t xml:space="preserve"> dentro del plazo de seis meses</w:t>
      </w:r>
      <w:r w:rsidR="004E030B">
        <w:rPr>
          <w:rFonts w:ascii="Cambria" w:hAnsi="Cambria"/>
          <w:sz w:val="20"/>
          <w:szCs w:val="20"/>
          <w:lang w:val="es-ES"/>
        </w:rPr>
        <w:t xml:space="preserve"> </w:t>
      </w:r>
      <w:r w:rsidR="004E030B" w:rsidRPr="004E030B">
        <w:rPr>
          <w:rFonts w:ascii="Cambria" w:hAnsi="Cambria"/>
          <w:sz w:val="20"/>
          <w:szCs w:val="20"/>
          <w:lang w:val="es-ES"/>
        </w:rPr>
        <w:t>en cumplimiento del requisito establecido en el artículo 46.1.b</w:t>
      </w:r>
      <w:r w:rsidR="00E75A57">
        <w:rPr>
          <w:rFonts w:ascii="Cambria" w:hAnsi="Cambria"/>
          <w:sz w:val="20"/>
          <w:szCs w:val="20"/>
          <w:lang w:val="es-ES"/>
        </w:rPr>
        <w:t>)</w:t>
      </w:r>
      <w:r w:rsidR="004E030B" w:rsidRPr="004E030B">
        <w:rPr>
          <w:rFonts w:ascii="Cambria" w:hAnsi="Cambria"/>
          <w:sz w:val="20"/>
          <w:szCs w:val="20"/>
          <w:lang w:val="es-ES"/>
        </w:rPr>
        <w:t xml:space="preserve"> de la Convención.</w:t>
      </w:r>
    </w:p>
    <w:p w:rsidR="0060313B" w:rsidRPr="00870DD0" w:rsidRDefault="004E030B" w:rsidP="00870DD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Por otro lado</w:t>
      </w:r>
      <w:r w:rsidR="0060313B">
        <w:rPr>
          <w:rFonts w:ascii="Cambria" w:hAnsi="Cambria"/>
          <w:sz w:val="20"/>
          <w:szCs w:val="20"/>
          <w:lang w:val="es-ES"/>
        </w:rPr>
        <w:t xml:space="preserve">, </w:t>
      </w:r>
      <w:r w:rsidR="00D11AE3" w:rsidRPr="0060313B">
        <w:rPr>
          <w:rFonts w:ascii="Cambria" w:hAnsi="Cambria"/>
          <w:sz w:val="20"/>
          <w:szCs w:val="20"/>
          <w:lang w:val="es-ES"/>
        </w:rPr>
        <w:t>respecto a la alegada afectación a la integridad y salud de la presunta víctima,</w:t>
      </w:r>
      <w:r w:rsidRPr="0060313B">
        <w:rPr>
          <w:rFonts w:ascii="Cambria" w:hAnsi="Cambria"/>
          <w:sz w:val="20"/>
          <w:szCs w:val="20"/>
          <w:lang w:val="es-ES"/>
        </w:rPr>
        <w:t xml:space="preserve"> la parte peticionaria </w:t>
      </w:r>
      <w:r w:rsidR="0060313B" w:rsidRPr="0060313B">
        <w:rPr>
          <w:rFonts w:ascii="Cambria" w:hAnsi="Cambria"/>
          <w:sz w:val="20"/>
          <w:szCs w:val="20"/>
          <w:lang w:val="es-ES"/>
        </w:rPr>
        <w:t>no ha aportado información sobre alguna acción interpuesta para reclamar por tales presuntas afectaciones, ni ha denunciado la falta de recursos efectivos a tal efecto, o que hubiera sido impedido o disuadido de agotarlos.</w:t>
      </w:r>
      <w:r w:rsidR="0060313B">
        <w:rPr>
          <w:rFonts w:ascii="Cambria" w:hAnsi="Cambria"/>
          <w:sz w:val="20"/>
          <w:szCs w:val="20"/>
          <w:lang w:val="es-ES"/>
        </w:rPr>
        <w:t xml:space="preserve"> </w:t>
      </w:r>
      <w:r w:rsidR="0060313B" w:rsidRPr="0060313B">
        <w:rPr>
          <w:rFonts w:ascii="Cambria" w:hAnsi="Cambria"/>
          <w:sz w:val="20"/>
          <w:szCs w:val="20"/>
          <w:lang w:val="es-ES"/>
        </w:rPr>
        <w:t>Por dichas razones, la Comisión considera que este aspecto de la petición resulta</w:t>
      </w:r>
      <w:r w:rsidR="0060313B">
        <w:rPr>
          <w:rFonts w:ascii="Cambria" w:hAnsi="Cambria"/>
          <w:sz w:val="20"/>
          <w:szCs w:val="20"/>
          <w:lang w:val="es-ES"/>
        </w:rPr>
        <w:t xml:space="preserve"> </w:t>
      </w:r>
      <w:r w:rsidR="0060313B" w:rsidRPr="0060313B">
        <w:rPr>
          <w:rFonts w:ascii="Cambria" w:hAnsi="Cambria"/>
          <w:sz w:val="20"/>
          <w:szCs w:val="20"/>
          <w:lang w:val="es-ES"/>
        </w:rPr>
        <w:t>inadmisible por no cumplir con los requisitos del artículo 46.1</w:t>
      </w:r>
      <w:r w:rsidR="008A59E3">
        <w:rPr>
          <w:rFonts w:ascii="Cambria" w:hAnsi="Cambria"/>
          <w:sz w:val="20"/>
          <w:szCs w:val="20"/>
          <w:lang w:val="es-ES"/>
        </w:rPr>
        <w:t>.</w:t>
      </w:r>
      <w:r w:rsidR="00870DD0">
        <w:rPr>
          <w:rFonts w:ascii="Cambria" w:hAnsi="Cambria"/>
          <w:sz w:val="20"/>
          <w:szCs w:val="20"/>
          <w:lang w:val="es-ES"/>
        </w:rPr>
        <w:t>a</w:t>
      </w:r>
      <w:r w:rsidR="00E75A57">
        <w:rPr>
          <w:rFonts w:ascii="Cambria" w:hAnsi="Cambria"/>
          <w:sz w:val="20"/>
          <w:szCs w:val="20"/>
          <w:lang w:val="es-ES"/>
        </w:rPr>
        <w:t>)</w:t>
      </w:r>
      <w:r w:rsidR="00870DD0">
        <w:rPr>
          <w:rFonts w:ascii="Cambria" w:hAnsi="Cambria"/>
          <w:sz w:val="20"/>
          <w:szCs w:val="20"/>
          <w:lang w:val="es-ES"/>
        </w:rPr>
        <w:t xml:space="preserve"> de la Convención Americana. L</w:t>
      </w:r>
      <w:r w:rsidR="0060313B" w:rsidRPr="00870DD0">
        <w:rPr>
          <w:rFonts w:ascii="Cambria" w:hAnsi="Cambria"/>
          <w:sz w:val="20"/>
          <w:szCs w:val="20"/>
          <w:lang w:val="es-ES"/>
        </w:rPr>
        <w:t xml:space="preserve">a parte peticionaria </w:t>
      </w:r>
      <w:r w:rsidR="00870DD0">
        <w:rPr>
          <w:rFonts w:ascii="Cambria" w:hAnsi="Cambria"/>
          <w:sz w:val="20"/>
          <w:szCs w:val="20"/>
          <w:lang w:val="es-ES"/>
        </w:rPr>
        <w:t>tampoco</w:t>
      </w:r>
      <w:r w:rsidR="0060313B" w:rsidRPr="00870DD0">
        <w:rPr>
          <w:rFonts w:ascii="Cambria" w:hAnsi="Cambria"/>
          <w:sz w:val="20"/>
          <w:szCs w:val="20"/>
          <w:lang w:val="es-ES"/>
        </w:rPr>
        <w:t xml:space="preserve"> ha aportado información sobre algún recurso interpuesto para reclamar por las posibles violaciones a la garantía del juez independiente e imparcial, ya sea mediante un recurso de recusación u otra vía judicial. En consecuencia, la Comisión considera que en este extremo la petición tampoco resulta admisible por no cumplir con l</w:t>
      </w:r>
      <w:r w:rsidR="00870DD0">
        <w:rPr>
          <w:rFonts w:ascii="Cambria" w:hAnsi="Cambria"/>
          <w:sz w:val="20"/>
          <w:szCs w:val="20"/>
          <w:lang w:val="es-ES"/>
        </w:rPr>
        <w:t>os requisitos del artículo 46.1.</w:t>
      </w:r>
      <w:r w:rsidR="00E75A57">
        <w:rPr>
          <w:rFonts w:ascii="Cambria" w:hAnsi="Cambria"/>
          <w:sz w:val="20"/>
          <w:szCs w:val="20"/>
          <w:lang w:val="es-ES"/>
        </w:rPr>
        <w:t xml:space="preserve">a) </w:t>
      </w:r>
      <w:r w:rsidR="0060313B" w:rsidRPr="00870DD0">
        <w:rPr>
          <w:rFonts w:ascii="Cambria" w:hAnsi="Cambria"/>
          <w:sz w:val="20"/>
          <w:szCs w:val="20"/>
          <w:lang w:val="es-ES"/>
        </w:rPr>
        <w:t>de la Convención Americana.</w:t>
      </w:r>
    </w:p>
    <w:p w:rsidR="003239B8" w:rsidRPr="00E64C3D" w:rsidRDefault="003239B8" w:rsidP="003239B8">
      <w:pPr>
        <w:pStyle w:val="ListParagraph"/>
        <w:spacing w:before="240" w:after="240"/>
        <w:jc w:val="both"/>
        <w:rPr>
          <w:rFonts w:asciiTheme="majorHAnsi" w:hAnsiTheme="majorHAnsi"/>
          <w:b/>
          <w:sz w:val="20"/>
          <w:szCs w:val="20"/>
          <w:lang w:val="es-ES"/>
        </w:rPr>
      </w:pPr>
      <w:r w:rsidRPr="00E64C3D">
        <w:rPr>
          <w:rFonts w:asciiTheme="majorHAnsi" w:hAnsiTheme="majorHAnsi"/>
          <w:b/>
          <w:bCs/>
          <w:sz w:val="20"/>
          <w:szCs w:val="20"/>
          <w:lang w:val="es-ES"/>
        </w:rPr>
        <w:t>VII.</w:t>
      </w:r>
      <w:r w:rsidRPr="00E64C3D">
        <w:rPr>
          <w:rFonts w:asciiTheme="majorHAnsi" w:hAnsiTheme="majorHAnsi"/>
          <w:b/>
          <w:bCs/>
          <w:sz w:val="20"/>
          <w:szCs w:val="20"/>
          <w:lang w:val="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bCs/>
          <w:sz w:val="20"/>
          <w:szCs w:val="20"/>
          <w:lang w:val="es-ES"/>
        </w:rPr>
        <w:t xml:space="preserve">CARACTERIZACIÓN </w:t>
      </w:r>
      <w:r w:rsidR="00C21FEF" w:rsidRPr="00E64C3D">
        <w:rPr>
          <w:rFonts w:asciiTheme="majorHAnsi" w:hAnsiTheme="majorHAnsi"/>
          <w:b/>
          <w:bCs/>
          <w:sz w:val="20"/>
          <w:szCs w:val="20"/>
          <w:lang w:val="es-UY"/>
        </w:rPr>
        <w:t>DE LOS HECHOS ALEGADOS</w:t>
      </w:r>
    </w:p>
    <w:p w:rsidR="00E64C3D" w:rsidRPr="00E64C3D" w:rsidRDefault="00381C5F" w:rsidP="00E64C3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La parte peticionaria denuncia</w:t>
      </w:r>
      <w:r w:rsidR="00730DDC">
        <w:rPr>
          <w:rFonts w:ascii="Cambria" w:hAnsi="Cambria"/>
          <w:sz w:val="20"/>
          <w:szCs w:val="20"/>
          <w:lang w:val="es-ES"/>
        </w:rPr>
        <w:t xml:space="preserve"> que</w:t>
      </w:r>
      <w:r w:rsidR="00AC3BC9">
        <w:rPr>
          <w:rFonts w:ascii="Cambria" w:hAnsi="Cambria"/>
          <w:sz w:val="20"/>
          <w:szCs w:val="20"/>
          <w:lang w:val="es-ES"/>
        </w:rPr>
        <w:t xml:space="preserve"> </w:t>
      </w:r>
      <w:r w:rsidR="004604F5">
        <w:rPr>
          <w:rFonts w:ascii="Cambria" w:hAnsi="Cambria"/>
          <w:sz w:val="20"/>
          <w:szCs w:val="20"/>
          <w:lang w:val="es-ES"/>
        </w:rPr>
        <w:t>la presunta víctima</w:t>
      </w:r>
      <w:r>
        <w:rPr>
          <w:rFonts w:ascii="Cambria" w:hAnsi="Cambria"/>
          <w:sz w:val="20"/>
          <w:szCs w:val="20"/>
          <w:lang w:val="es-ES"/>
        </w:rPr>
        <w:t xml:space="preserve"> </w:t>
      </w:r>
      <w:r w:rsidR="00730DDC">
        <w:rPr>
          <w:rFonts w:ascii="Cambria" w:hAnsi="Cambria"/>
          <w:sz w:val="20"/>
          <w:szCs w:val="20"/>
          <w:lang w:val="es-ES"/>
        </w:rPr>
        <w:t>fue condenad</w:t>
      </w:r>
      <w:r w:rsidR="004604F5">
        <w:rPr>
          <w:rFonts w:ascii="Cambria" w:hAnsi="Cambria"/>
          <w:sz w:val="20"/>
          <w:szCs w:val="20"/>
          <w:lang w:val="es-ES"/>
        </w:rPr>
        <w:t>a</w:t>
      </w:r>
      <w:r>
        <w:rPr>
          <w:rFonts w:ascii="Cambria" w:hAnsi="Cambria"/>
          <w:sz w:val="20"/>
          <w:szCs w:val="20"/>
          <w:lang w:val="es-ES"/>
        </w:rPr>
        <w:t xml:space="preserve"> tras un proceso penal que no contó con las debidas garantías judiciales</w:t>
      </w:r>
      <w:r w:rsidR="00E64C3D" w:rsidRPr="00E64C3D">
        <w:rPr>
          <w:rFonts w:ascii="Cambria" w:hAnsi="Cambria"/>
          <w:sz w:val="20"/>
          <w:szCs w:val="20"/>
          <w:lang w:val="es-ES"/>
        </w:rPr>
        <w:t>.</w:t>
      </w:r>
      <w:r>
        <w:rPr>
          <w:rFonts w:ascii="Cambria" w:hAnsi="Cambria"/>
          <w:sz w:val="20"/>
          <w:szCs w:val="20"/>
          <w:lang w:val="es-ES"/>
        </w:rPr>
        <w:t xml:space="preserve"> El Estado, por su parte, controvierte esta afirmación y argumenta que la sentencia estuvo adecuada</w:t>
      </w:r>
      <w:r w:rsidR="00AC3BC9">
        <w:rPr>
          <w:rFonts w:ascii="Cambria" w:hAnsi="Cambria"/>
          <w:sz w:val="20"/>
          <w:szCs w:val="20"/>
          <w:lang w:val="es-ES"/>
        </w:rPr>
        <w:t xml:space="preserve">mente motivada y que fue producto de un proceso penal respetuoso de los derechos de la presunta víctima. </w:t>
      </w:r>
    </w:p>
    <w:p w:rsidR="00AE0EBB" w:rsidRDefault="000B7932" w:rsidP="00AE0EB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Tomando en cuenta estas consideraciones</w:t>
      </w:r>
      <w:r w:rsidR="00951BE2">
        <w:rPr>
          <w:rFonts w:ascii="Cambria" w:hAnsi="Cambria"/>
          <w:sz w:val="20"/>
          <w:szCs w:val="20"/>
          <w:lang w:val="es-ES"/>
        </w:rPr>
        <w:t xml:space="preserve">, </w:t>
      </w:r>
      <w:r>
        <w:rPr>
          <w:rFonts w:ascii="Cambria" w:hAnsi="Cambria"/>
          <w:sz w:val="20"/>
          <w:szCs w:val="20"/>
          <w:lang w:val="es-ES"/>
        </w:rPr>
        <w:t xml:space="preserve">y </w:t>
      </w:r>
      <w:r w:rsidR="00951BE2">
        <w:rPr>
          <w:rFonts w:ascii="Cambria" w:hAnsi="Cambria"/>
          <w:sz w:val="20"/>
          <w:szCs w:val="20"/>
          <w:lang w:val="es-ES"/>
        </w:rPr>
        <w:t xml:space="preserve">a partir del análisis detallado de la información aportada por las partes, </w:t>
      </w:r>
      <w:r w:rsidR="00AE0EBB">
        <w:rPr>
          <w:rFonts w:ascii="Cambria" w:hAnsi="Cambria"/>
          <w:sz w:val="20"/>
          <w:szCs w:val="20"/>
          <w:lang w:val="es-ES"/>
        </w:rPr>
        <w:t>la CIDH</w:t>
      </w:r>
      <w:r w:rsidR="00951BE2">
        <w:rPr>
          <w:rFonts w:ascii="Cambria" w:hAnsi="Cambria"/>
          <w:sz w:val="20"/>
          <w:szCs w:val="20"/>
          <w:lang w:val="es-ES"/>
        </w:rPr>
        <w:t xml:space="preserve"> observa, e</w:t>
      </w:r>
      <w:r w:rsidR="00AE0EBB">
        <w:rPr>
          <w:rFonts w:ascii="Cambria" w:hAnsi="Cambria"/>
          <w:sz w:val="20"/>
          <w:szCs w:val="20"/>
          <w:lang w:val="es-ES"/>
        </w:rPr>
        <w:t xml:space="preserve">n primer lugar, </w:t>
      </w:r>
      <w:r w:rsidR="00AC3BC9" w:rsidRPr="00AE0EBB">
        <w:rPr>
          <w:rFonts w:ascii="Cambria" w:hAnsi="Cambria"/>
          <w:sz w:val="20"/>
          <w:szCs w:val="20"/>
          <w:lang w:val="es-ES"/>
        </w:rPr>
        <w:t>que la presunta víctima tuvo conocimiento de forma oportuna sobre los hechos por los que estaba siendo investigad</w:t>
      </w:r>
      <w:r w:rsidR="004604F5">
        <w:rPr>
          <w:rFonts w:ascii="Cambria" w:hAnsi="Cambria"/>
          <w:sz w:val="20"/>
          <w:szCs w:val="20"/>
          <w:lang w:val="es-ES"/>
        </w:rPr>
        <w:t>a</w:t>
      </w:r>
      <w:r w:rsidR="00AC3BC9" w:rsidRPr="00AE0EBB">
        <w:rPr>
          <w:rFonts w:ascii="Cambria" w:hAnsi="Cambria"/>
          <w:sz w:val="20"/>
          <w:szCs w:val="20"/>
          <w:lang w:val="es-ES"/>
        </w:rPr>
        <w:t xml:space="preserve"> y por los cu</w:t>
      </w:r>
      <w:r w:rsidR="004604F5">
        <w:rPr>
          <w:rFonts w:ascii="Cambria" w:hAnsi="Cambria"/>
          <w:sz w:val="20"/>
          <w:szCs w:val="20"/>
          <w:lang w:val="es-ES"/>
        </w:rPr>
        <w:t>a</w:t>
      </w:r>
      <w:r w:rsidR="00AE0EBB">
        <w:rPr>
          <w:rFonts w:ascii="Cambria" w:hAnsi="Cambria"/>
          <w:sz w:val="20"/>
          <w:szCs w:val="20"/>
          <w:lang w:val="es-ES"/>
        </w:rPr>
        <w:t>les se le impuso un régimen</w:t>
      </w:r>
      <w:r w:rsidR="00AC3BC9" w:rsidRPr="00AE0EBB">
        <w:rPr>
          <w:rFonts w:ascii="Cambria" w:hAnsi="Cambria"/>
          <w:sz w:val="20"/>
          <w:szCs w:val="20"/>
          <w:lang w:val="es-ES"/>
        </w:rPr>
        <w:t xml:space="preserve"> de prisión preventiva. Asimismo, </w:t>
      </w:r>
      <w:r>
        <w:rPr>
          <w:rFonts w:ascii="Cambria" w:hAnsi="Cambria"/>
          <w:sz w:val="20"/>
          <w:szCs w:val="20"/>
          <w:lang w:val="es-ES"/>
        </w:rPr>
        <w:t xml:space="preserve">que </w:t>
      </w:r>
      <w:r w:rsidR="00AC3BC9" w:rsidRPr="00AE0EBB">
        <w:rPr>
          <w:rFonts w:ascii="Cambria" w:hAnsi="Cambria"/>
          <w:sz w:val="20"/>
          <w:szCs w:val="20"/>
          <w:lang w:val="es-ES"/>
        </w:rPr>
        <w:t xml:space="preserve">las autoridades fundamentaron tal medida cautelar </w:t>
      </w:r>
      <w:r w:rsidR="00AE0EBB">
        <w:rPr>
          <w:rFonts w:ascii="Cambria" w:hAnsi="Cambria"/>
          <w:sz w:val="20"/>
          <w:szCs w:val="20"/>
          <w:lang w:val="es-ES"/>
        </w:rPr>
        <w:t xml:space="preserve">bajo la </w:t>
      </w:r>
      <w:r w:rsidR="00730DDC">
        <w:rPr>
          <w:rFonts w:ascii="Cambria" w:hAnsi="Cambria"/>
          <w:sz w:val="20"/>
          <w:szCs w:val="20"/>
          <w:lang w:val="es-ES"/>
        </w:rPr>
        <w:t>causal</w:t>
      </w:r>
      <w:r w:rsidR="00AE0EBB">
        <w:rPr>
          <w:rFonts w:ascii="Cambria" w:hAnsi="Cambria"/>
          <w:sz w:val="20"/>
          <w:szCs w:val="20"/>
          <w:lang w:val="es-ES"/>
        </w:rPr>
        <w:t xml:space="preserve"> válida de </w:t>
      </w:r>
      <w:r w:rsidR="00AE0EBB">
        <w:rPr>
          <w:rFonts w:ascii="Cambria" w:hAnsi="Cambria"/>
          <w:sz w:val="20"/>
          <w:szCs w:val="20"/>
          <w:lang w:val="es-ES"/>
        </w:rPr>
        <w:lastRenderedPageBreak/>
        <w:t>peligro de fuga</w:t>
      </w:r>
      <w:r w:rsidR="00AC3BC9" w:rsidRPr="00AE0EBB">
        <w:rPr>
          <w:rFonts w:ascii="Cambria" w:hAnsi="Cambria"/>
          <w:sz w:val="20"/>
          <w:szCs w:val="20"/>
          <w:lang w:val="es-ES"/>
        </w:rPr>
        <w:t xml:space="preserve">, y </w:t>
      </w:r>
      <w:r>
        <w:rPr>
          <w:rFonts w:ascii="Cambria" w:hAnsi="Cambria"/>
          <w:sz w:val="20"/>
          <w:szCs w:val="20"/>
          <w:lang w:val="es-ES"/>
        </w:rPr>
        <w:t xml:space="preserve">que </w:t>
      </w:r>
      <w:r w:rsidR="00AC3BC9" w:rsidRPr="00AE0EBB">
        <w:rPr>
          <w:rFonts w:ascii="Cambria" w:hAnsi="Cambria"/>
          <w:sz w:val="20"/>
          <w:szCs w:val="20"/>
          <w:lang w:val="es-ES"/>
        </w:rPr>
        <w:t>únicamente</w:t>
      </w:r>
      <w:r>
        <w:rPr>
          <w:rFonts w:ascii="Cambria" w:hAnsi="Cambria"/>
          <w:sz w:val="20"/>
          <w:szCs w:val="20"/>
          <w:lang w:val="es-ES"/>
        </w:rPr>
        <w:t xml:space="preserve"> la</w:t>
      </w:r>
      <w:r w:rsidR="00AC3BC9" w:rsidRPr="00AE0EBB">
        <w:rPr>
          <w:rFonts w:ascii="Cambria" w:hAnsi="Cambria"/>
          <w:sz w:val="20"/>
          <w:szCs w:val="20"/>
          <w:lang w:val="es-ES"/>
        </w:rPr>
        <w:t xml:space="preserve"> man</w:t>
      </w:r>
      <w:r w:rsidR="00AE0EBB">
        <w:rPr>
          <w:rFonts w:ascii="Cambria" w:hAnsi="Cambria"/>
          <w:sz w:val="20"/>
          <w:szCs w:val="20"/>
          <w:lang w:val="es-ES"/>
        </w:rPr>
        <w:t xml:space="preserve">tuvieron </w:t>
      </w:r>
      <w:r>
        <w:rPr>
          <w:rFonts w:ascii="Cambria" w:hAnsi="Cambria"/>
          <w:sz w:val="20"/>
          <w:szCs w:val="20"/>
          <w:lang w:val="es-ES"/>
        </w:rPr>
        <w:t>por un plazo de aproximadamente</w:t>
      </w:r>
      <w:r w:rsidR="00AE0EBB">
        <w:rPr>
          <w:rFonts w:ascii="Cambria" w:hAnsi="Cambria"/>
          <w:sz w:val="20"/>
          <w:szCs w:val="20"/>
          <w:lang w:val="es-ES"/>
        </w:rPr>
        <w:t xml:space="preserve"> </w:t>
      </w:r>
      <w:r w:rsidR="00AC3BC9" w:rsidRPr="00AE0EBB">
        <w:rPr>
          <w:rFonts w:ascii="Cambria" w:hAnsi="Cambria"/>
          <w:sz w:val="20"/>
          <w:szCs w:val="20"/>
          <w:lang w:val="es-ES"/>
        </w:rPr>
        <w:t>cinco meses</w:t>
      </w:r>
      <w:r w:rsidR="00AE0EBB">
        <w:rPr>
          <w:rFonts w:ascii="Cambria" w:hAnsi="Cambria"/>
          <w:sz w:val="20"/>
          <w:szCs w:val="20"/>
          <w:lang w:val="es-ES"/>
        </w:rPr>
        <w:t xml:space="preserve">. </w:t>
      </w:r>
      <w:r>
        <w:rPr>
          <w:rFonts w:ascii="Cambria" w:hAnsi="Cambria"/>
          <w:sz w:val="20"/>
          <w:szCs w:val="20"/>
          <w:lang w:val="es-ES"/>
        </w:rPr>
        <w:t xml:space="preserve">Por lo tanto, la Comisión no observa </w:t>
      </w:r>
      <w:r w:rsidRPr="000B7932">
        <w:rPr>
          <w:rFonts w:ascii="Cambria" w:hAnsi="Cambria"/>
          <w:i/>
          <w:sz w:val="20"/>
          <w:szCs w:val="20"/>
          <w:lang w:val="es-ES"/>
        </w:rPr>
        <w:t>prima facie</w:t>
      </w:r>
      <w:r>
        <w:rPr>
          <w:rFonts w:ascii="Cambria" w:hAnsi="Cambria"/>
          <w:sz w:val="20"/>
          <w:szCs w:val="20"/>
          <w:lang w:val="es-ES"/>
        </w:rPr>
        <w:t xml:space="preserve"> elementos que constituyan violaciones a la Convención al respecto.</w:t>
      </w:r>
    </w:p>
    <w:p w:rsidR="008C5E2D" w:rsidRPr="00AE0EBB" w:rsidRDefault="00AE0EBB" w:rsidP="00AE0EB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Por otro lado, la CIDH </w:t>
      </w:r>
      <w:r w:rsidR="00AC3BC9" w:rsidRPr="00AE0EBB">
        <w:rPr>
          <w:rFonts w:ascii="Cambria" w:hAnsi="Cambria"/>
          <w:sz w:val="20"/>
          <w:szCs w:val="20"/>
          <w:lang w:val="es-ES"/>
        </w:rPr>
        <w:t xml:space="preserve">no </w:t>
      </w:r>
      <w:r>
        <w:rPr>
          <w:rFonts w:ascii="Cambria" w:hAnsi="Cambria"/>
          <w:sz w:val="20"/>
          <w:szCs w:val="20"/>
          <w:lang w:val="es-ES"/>
        </w:rPr>
        <w:t xml:space="preserve">encuentra indicios </w:t>
      </w:r>
      <w:r w:rsidR="000B7932">
        <w:rPr>
          <w:rFonts w:ascii="Cambria" w:hAnsi="Cambria"/>
          <w:sz w:val="20"/>
          <w:szCs w:val="20"/>
          <w:lang w:val="es-ES"/>
        </w:rPr>
        <w:t xml:space="preserve">de </w:t>
      </w:r>
      <w:r>
        <w:rPr>
          <w:rFonts w:ascii="Cambria" w:hAnsi="Cambria"/>
          <w:sz w:val="20"/>
          <w:szCs w:val="20"/>
          <w:lang w:val="es-ES"/>
        </w:rPr>
        <w:t xml:space="preserve">que la presunta víctima </w:t>
      </w:r>
      <w:r w:rsidR="00B15502">
        <w:rPr>
          <w:rFonts w:ascii="Cambria" w:hAnsi="Cambria"/>
          <w:sz w:val="20"/>
          <w:szCs w:val="20"/>
          <w:lang w:val="es-ES"/>
        </w:rPr>
        <w:t>hubiera</w:t>
      </w:r>
      <w:r>
        <w:rPr>
          <w:rFonts w:ascii="Cambria" w:hAnsi="Cambria"/>
          <w:sz w:val="20"/>
          <w:szCs w:val="20"/>
          <w:lang w:val="es-ES"/>
        </w:rPr>
        <w:t xml:space="preserve"> sufrido la violación a su derecho a las garantías judiciales. </w:t>
      </w:r>
      <w:r w:rsidR="000B7932">
        <w:rPr>
          <w:rFonts w:ascii="Cambria" w:hAnsi="Cambria"/>
          <w:sz w:val="20"/>
          <w:szCs w:val="20"/>
          <w:lang w:val="es-ES"/>
        </w:rPr>
        <w:t>E</w:t>
      </w:r>
      <w:r>
        <w:rPr>
          <w:rFonts w:ascii="Cambria" w:hAnsi="Cambria"/>
          <w:sz w:val="20"/>
          <w:szCs w:val="20"/>
          <w:lang w:val="es-ES"/>
        </w:rPr>
        <w:t xml:space="preserve">l señor Calderón </w:t>
      </w:r>
      <w:proofErr w:type="spellStart"/>
      <w:r>
        <w:rPr>
          <w:rFonts w:ascii="Cambria" w:hAnsi="Cambria"/>
          <w:sz w:val="20"/>
          <w:szCs w:val="20"/>
          <w:lang w:val="es-ES"/>
        </w:rPr>
        <w:t>Fournier</w:t>
      </w:r>
      <w:proofErr w:type="spellEnd"/>
      <w:r>
        <w:rPr>
          <w:rFonts w:ascii="Cambria" w:hAnsi="Cambria"/>
          <w:sz w:val="20"/>
          <w:szCs w:val="20"/>
          <w:lang w:val="es-ES"/>
        </w:rPr>
        <w:t xml:space="preserve"> no enfrentó más de un proceso penal por los mismos hechos y fundamentos, contó con la posibilidad de defenderse en todas las instancias judiciales, </w:t>
      </w:r>
      <w:r w:rsidR="00B15502">
        <w:rPr>
          <w:rFonts w:ascii="Cambria" w:hAnsi="Cambria"/>
          <w:sz w:val="20"/>
          <w:szCs w:val="20"/>
          <w:lang w:val="es-ES"/>
        </w:rPr>
        <w:t>y fue</w:t>
      </w:r>
      <w:r>
        <w:rPr>
          <w:rFonts w:ascii="Cambria" w:hAnsi="Cambria"/>
          <w:sz w:val="20"/>
          <w:szCs w:val="20"/>
          <w:lang w:val="es-ES"/>
        </w:rPr>
        <w:t xml:space="preserve"> condenado finalmente mediante</w:t>
      </w:r>
      <w:r w:rsidR="00730DDC">
        <w:rPr>
          <w:rFonts w:ascii="Cambria" w:hAnsi="Cambria"/>
          <w:sz w:val="20"/>
          <w:szCs w:val="20"/>
          <w:lang w:val="es-ES"/>
        </w:rPr>
        <w:t xml:space="preserve"> dos decisiones que contaron con una</w:t>
      </w:r>
      <w:r>
        <w:rPr>
          <w:rFonts w:ascii="Cambria" w:hAnsi="Cambria"/>
          <w:sz w:val="20"/>
          <w:szCs w:val="20"/>
          <w:lang w:val="es-ES"/>
        </w:rPr>
        <w:t xml:space="preserve"> adecuada motivación. </w:t>
      </w:r>
      <w:r w:rsidR="00381C5F" w:rsidRPr="00AE0EBB">
        <w:rPr>
          <w:rFonts w:ascii="Cambria" w:hAnsi="Cambria"/>
          <w:sz w:val="20"/>
          <w:szCs w:val="20"/>
          <w:lang w:val="es-ES"/>
        </w:rPr>
        <w:t xml:space="preserve">Finalmente, </w:t>
      </w:r>
      <w:r w:rsidR="00B15502">
        <w:rPr>
          <w:rFonts w:ascii="Cambria" w:hAnsi="Cambria"/>
          <w:sz w:val="20"/>
          <w:szCs w:val="20"/>
          <w:lang w:val="es-ES"/>
        </w:rPr>
        <w:t>con base en</w:t>
      </w:r>
      <w:r w:rsidR="00381C5F" w:rsidRPr="00AE0EBB">
        <w:rPr>
          <w:rFonts w:ascii="Cambria" w:hAnsi="Cambria"/>
          <w:sz w:val="20"/>
          <w:szCs w:val="20"/>
          <w:lang w:val="es-ES"/>
        </w:rPr>
        <w:t xml:space="preserve"> lo establecido por la Corte Interamericana en el caso </w:t>
      </w:r>
      <w:proofErr w:type="spellStart"/>
      <w:r w:rsidR="00381C5F" w:rsidRPr="00AE0EBB">
        <w:rPr>
          <w:rFonts w:ascii="Cambria" w:hAnsi="Cambria"/>
          <w:i/>
          <w:sz w:val="20"/>
          <w:szCs w:val="20"/>
          <w:lang w:val="es-PE"/>
        </w:rPr>
        <w:t>Amrhein</w:t>
      </w:r>
      <w:proofErr w:type="spellEnd"/>
      <w:r w:rsidR="00381C5F" w:rsidRPr="00AE0EBB">
        <w:rPr>
          <w:rFonts w:ascii="Cambria" w:hAnsi="Cambria"/>
          <w:i/>
          <w:sz w:val="20"/>
          <w:szCs w:val="20"/>
          <w:lang w:val="es-PE"/>
        </w:rPr>
        <w:t xml:space="preserve"> y otros vs. Costa Rica, </w:t>
      </w:r>
      <w:r w:rsidR="00381C5F" w:rsidRPr="00AE0EBB">
        <w:rPr>
          <w:rFonts w:ascii="Cambria" w:hAnsi="Cambria"/>
          <w:sz w:val="20"/>
          <w:szCs w:val="20"/>
          <w:lang w:val="es-PE"/>
        </w:rPr>
        <w:t>la CIDH considera que en el presente caso la presunta víctima tuvo acceso a un recurso de casación que, a pesar de su nomenclatura, permitió</w:t>
      </w:r>
      <w:r w:rsidR="00F0578D">
        <w:rPr>
          <w:rFonts w:ascii="Cambria" w:hAnsi="Cambria"/>
          <w:sz w:val="20"/>
          <w:szCs w:val="20"/>
          <w:lang w:val="es-PE"/>
        </w:rPr>
        <w:t xml:space="preserve"> en la práctica</w:t>
      </w:r>
      <w:r w:rsidR="00381C5F" w:rsidRPr="00AE0EBB">
        <w:rPr>
          <w:rFonts w:ascii="Cambria" w:hAnsi="Cambria"/>
          <w:sz w:val="20"/>
          <w:szCs w:val="20"/>
          <w:lang w:val="es-PE"/>
        </w:rPr>
        <w:t xml:space="preserve"> la revisión integral de su condena</w:t>
      </w:r>
      <w:r w:rsidR="00730DDC">
        <w:rPr>
          <w:rFonts w:ascii="Cambria" w:hAnsi="Cambria"/>
          <w:sz w:val="20"/>
          <w:szCs w:val="20"/>
          <w:lang w:val="es-PE"/>
        </w:rPr>
        <w:t xml:space="preserve"> de primera instancia</w:t>
      </w:r>
      <w:r w:rsidR="00381C5F">
        <w:rPr>
          <w:rStyle w:val="FootnoteReference"/>
          <w:rFonts w:ascii="Cambria" w:hAnsi="Cambria"/>
          <w:sz w:val="20"/>
          <w:szCs w:val="20"/>
          <w:lang w:val="es-PE"/>
        </w:rPr>
        <w:footnoteReference w:id="5"/>
      </w:r>
      <w:r w:rsidR="00381C5F" w:rsidRPr="00AE0EBB">
        <w:rPr>
          <w:rFonts w:ascii="Cambria" w:hAnsi="Cambria"/>
          <w:sz w:val="20"/>
          <w:szCs w:val="20"/>
          <w:lang w:val="es-PE"/>
        </w:rPr>
        <w:t xml:space="preserve">. </w:t>
      </w:r>
    </w:p>
    <w:p w:rsidR="00381C5F" w:rsidRPr="00CA3091" w:rsidRDefault="00381C5F" w:rsidP="00381C5F">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0"/>
          <w:szCs w:val="20"/>
          <w:bdr w:val="none" w:sz="0" w:space="0" w:color="auto"/>
          <w:lang w:val="es-US"/>
        </w:rPr>
      </w:pPr>
      <w:r>
        <w:rPr>
          <w:sz w:val="20"/>
          <w:szCs w:val="20"/>
          <w:lang w:val="es-PE"/>
        </w:rPr>
        <w:t>Por las razones expuestas,</w:t>
      </w:r>
      <w:r w:rsidRPr="00381C5F">
        <w:rPr>
          <w:rFonts w:eastAsia="Times New Roman"/>
          <w:sz w:val="20"/>
          <w:szCs w:val="20"/>
          <w:bdr w:val="none" w:sz="0" w:space="0" w:color="auto"/>
          <w:lang w:val="es-ES"/>
        </w:rPr>
        <w:t xml:space="preserve"> la Comisión concluye que la petición resulta inadmisible con fundamento en el artículo 47(b) de la Convención Americana, toda vez que de los hechos expuestos no se desprenden, ni siquiera </w:t>
      </w:r>
      <w:r w:rsidRPr="00730DDC">
        <w:rPr>
          <w:rFonts w:eastAsia="Times New Roman"/>
          <w:i/>
          <w:sz w:val="20"/>
          <w:szCs w:val="20"/>
          <w:bdr w:val="none" w:sz="0" w:space="0" w:color="auto"/>
          <w:lang w:val="es-ES"/>
        </w:rPr>
        <w:t>prima facie</w:t>
      </w:r>
      <w:r w:rsidRPr="00381C5F">
        <w:rPr>
          <w:rFonts w:eastAsia="Times New Roman"/>
          <w:sz w:val="20"/>
          <w:szCs w:val="20"/>
          <w:bdr w:val="none" w:sz="0" w:space="0" w:color="auto"/>
          <w:lang w:val="es-ES"/>
        </w:rPr>
        <w:t>, posibles violaciones a dicho instrumento.</w:t>
      </w:r>
    </w:p>
    <w:p w:rsidR="003239B8" w:rsidRPr="0078770A" w:rsidRDefault="003239B8" w:rsidP="003239B8">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rsidR="000419AD" w:rsidRDefault="000419AD" w:rsidP="000419AD">
      <w:pPr>
        <w:pStyle w:val="ListParagraph"/>
        <w:numPr>
          <w:ilvl w:val="0"/>
          <w:numId w:val="109"/>
        </w:numPr>
        <w:rPr>
          <w:rFonts w:eastAsia="Arial Unicode MS" w:cs="Times New Roman"/>
          <w:color w:val="auto"/>
          <w:sz w:val="20"/>
          <w:szCs w:val="20"/>
          <w:lang w:val="es-ES" w:eastAsia="en-US"/>
        </w:rPr>
      </w:pPr>
      <w:r w:rsidRPr="000419AD">
        <w:rPr>
          <w:rFonts w:eastAsia="Arial Unicode MS" w:cs="Times New Roman"/>
          <w:color w:val="auto"/>
          <w:sz w:val="20"/>
          <w:szCs w:val="20"/>
          <w:lang w:val="es-ES" w:eastAsia="en-US"/>
        </w:rPr>
        <w:t xml:space="preserve">Declarar </w:t>
      </w:r>
      <w:r w:rsidRPr="000B7932">
        <w:rPr>
          <w:rFonts w:eastAsia="Arial Unicode MS" w:cs="Times New Roman"/>
          <w:color w:val="auto"/>
          <w:sz w:val="20"/>
          <w:szCs w:val="20"/>
          <w:lang w:val="es-ES" w:eastAsia="en-US"/>
        </w:rPr>
        <w:t xml:space="preserve">inadmisible </w:t>
      </w:r>
      <w:r w:rsidRPr="000419AD">
        <w:rPr>
          <w:rFonts w:eastAsia="Arial Unicode MS" w:cs="Times New Roman"/>
          <w:color w:val="auto"/>
          <w:sz w:val="20"/>
          <w:szCs w:val="20"/>
          <w:lang w:val="es-ES" w:eastAsia="en-US"/>
        </w:rPr>
        <w:t>la prese</w:t>
      </w:r>
      <w:r w:rsidR="000B7932">
        <w:rPr>
          <w:rFonts w:eastAsia="Arial Unicode MS" w:cs="Times New Roman"/>
          <w:color w:val="auto"/>
          <w:sz w:val="20"/>
          <w:szCs w:val="20"/>
          <w:lang w:val="es-ES" w:eastAsia="en-US"/>
        </w:rPr>
        <w:t>nte petición</w:t>
      </w:r>
      <w:r w:rsidR="00A758AA">
        <w:rPr>
          <w:rFonts w:eastAsia="Arial Unicode MS" w:cs="Times New Roman"/>
          <w:color w:val="auto"/>
          <w:sz w:val="20"/>
          <w:szCs w:val="20"/>
          <w:lang w:val="es-ES" w:eastAsia="en-US"/>
        </w:rPr>
        <w:t>;</w:t>
      </w:r>
      <w:r w:rsidR="004A6A54">
        <w:rPr>
          <w:rFonts w:eastAsia="Arial Unicode MS" w:cs="Times New Roman"/>
          <w:color w:val="auto"/>
          <w:sz w:val="20"/>
          <w:szCs w:val="20"/>
          <w:lang w:val="es-ES" w:eastAsia="en-US"/>
        </w:rPr>
        <w:t xml:space="preserve"> </w:t>
      </w:r>
    </w:p>
    <w:p w:rsidR="000419AD" w:rsidRPr="000419AD" w:rsidRDefault="000419AD" w:rsidP="000419AD">
      <w:pPr>
        <w:pStyle w:val="ListParagraph"/>
        <w:rPr>
          <w:rFonts w:eastAsia="Arial Unicode MS" w:cs="Times New Roman"/>
          <w:color w:val="auto"/>
          <w:sz w:val="20"/>
          <w:szCs w:val="20"/>
          <w:lang w:val="es-ES" w:eastAsia="en-US"/>
        </w:rPr>
      </w:pPr>
    </w:p>
    <w:p w:rsidR="004A6A54" w:rsidRPr="009B7794"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B7794">
        <w:rPr>
          <w:rFonts w:asciiTheme="majorHAnsi" w:hAnsiTheme="majorHAnsi"/>
          <w:sz w:val="20"/>
          <w:szCs w:val="20"/>
          <w:lang w:val="es-ES"/>
        </w:rPr>
        <w:t>Notificar a las partes la presente decisión; y publicar esta decisión e incluirla en su Informe Anual a la Asamblea General de la Organización de los Estados Americanos.</w:t>
      </w:r>
    </w:p>
    <w:p w:rsidR="005640C5" w:rsidRPr="00A37B82" w:rsidRDefault="005640C5" w:rsidP="005640C5">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24</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noviembre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Antonia Urrejola,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Julissa Mantilla Falcón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rsidR="005640C5" w:rsidRPr="00A37B82" w:rsidRDefault="005640C5" w:rsidP="005640C5">
      <w:pPr>
        <w:suppressAutoHyphens/>
        <w:ind w:firstLine="720"/>
        <w:jc w:val="both"/>
        <w:rPr>
          <w:rFonts w:asciiTheme="majorHAnsi" w:hAnsiTheme="majorHAnsi" w:cs="Arial"/>
          <w:noProof/>
          <w:spacing w:val="-2"/>
          <w:sz w:val="20"/>
          <w:szCs w:val="20"/>
          <w:lang w:val="es-CL"/>
        </w:rPr>
      </w:pPr>
    </w:p>
    <w:sectPr w:rsidR="005640C5"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A90" w:rsidRDefault="00197A90">
      <w:r>
        <w:separator/>
      </w:r>
    </w:p>
  </w:endnote>
  <w:endnote w:type="continuationSeparator" w:id="0">
    <w:p w:rsidR="00197A90" w:rsidRDefault="00197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5A4" w:rsidRDefault="00C745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604ACC">
          <w:rPr>
            <w:noProof/>
            <w:sz w:val="16"/>
            <w:szCs w:val="22"/>
          </w:rPr>
          <w:t>1</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A90" w:rsidRPr="000F35ED" w:rsidRDefault="00197A90">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197A90" w:rsidRPr="000F35ED" w:rsidRDefault="00197A90" w:rsidP="000F35ED">
      <w:pPr>
        <w:rPr>
          <w:rFonts w:asciiTheme="majorHAnsi" w:hAnsiTheme="majorHAnsi"/>
          <w:sz w:val="16"/>
          <w:szCs w:val="16"/>
        </w:rPr>
      </w:pPr>
      <w:r w:rsidRPr="000F35ED">
        <w:rPr>
          <w:rFonts w:asciiTheme="majorHAnsi" w:hAnsiTheme="majorHAnsi"/>
          <w:sz w:val="16"/>
          <w:szCs w:val="16"/>
        </w:rPr>
        <w:separator/>
      </w:r>
    </w:p>
    <w:p w:rsidR="00197A90" w:rsidRPr="000F35ED" w:rsidRDefault="00197A90"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197A90" w:rsidRPr="000F35ED" w:rsidRDefault="00197A90"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8E3632" w:rsidRPr="008E3632" w:rsidRDefault="008E3632" w:rsidP="008E3632">
      <w:pPr>
        <w:pStyle w:val="FootnoteText"/>
        <w:ind w:firstLine="720"/>
        <w:jc w:val="both"/>
        <w:rPr>
          <w:rFonts w:asciiTheme="majorHAnsi" w:hAnsiTheme="majorHAnsi"/>
          <w:sz w:val="16"/>
          <w:szCs w:val="16"/>
          <w:lang w:val="es-US"/>
        </w:rPr>
      </w:pPr>
      <w:r w:rsidRPr="008E3632">
        <w:rPr>
          <w:rStyle w:val="FootnoteReference"/>
          <w:rFonts w:asciiTheme="majorHAnsi" w:hAnsiTheme="majorHAnsi"/>
          <w:sz w:val="16"/>
          <w:szCs w:val="16"/>
        </w:rPr>
        <w:footnoteRef/>
      </w:r>
      <w:r w:rsidRPr="008E3632">
        <w:rPr>
          <w:rFonts w:asciiTheme="majorHAnsi" w:hAnsiTheme="majorHAnsi"/>
          <w:sz w:val="16"/>
          <w:szCs w:val="16"/>
          <w:lang w:val="es-US"/>
        </w:rPr>
        <w:t xml:space="preserve"> En adelante “la Convención Americana” o “la Convención”.</w:t>
      </w:r>
    </w:p>
  </w:footnote>
  <w:footnote w:id="3">
    <w:p w:rsidR="008E3BFE" w:rsidRPr="008E3632" w:rsidRDefault="008E3BFE" w:rsidP="008E3632">
      <w:pPr>
        <w:pStyle w:val="FootnoteText"/>
        <w:ind w:firstLine="720"/>
        <w:jc w:val="both"/>
        <w:rPr>
          <w:rFonts w:asciiTheme="majorHAnsi" w:hAnsiTheme="majorHAnsi"/>
          <w:sz w:val="16"/>
          <w:szCs w:val="16"/>
          <w:lang w:val="es-ES"/>
        </w:rPr>
      </w:pPr>
      <w:r w:rsidRPr="008E3632">
        <w:rPr>
          <w:rStyle w:val="FootnoteReference"/>
          <w:rFonts w:asciiTheme="majorHAnsi" w:hAnsiTheme="majorHAnsi"/>
          <w:sz w:val="16"/>
          <w:szCs w:val="16"/>
        </w:rPr>
        <w:footnoteRef/>
      </w:r>
      <w:r w:rsidRPr="008E3632">
        <w:rPr>
          <w:rFonts w:asciiTheme="majorHAnsi" w:hAnsiTheme="majorHAnsi"/>
          <w:sz w:val="16"/>
          <w:szCs w:val="16"/>
          <w:lang w:val="es-ES"/>
        </w:rPr>
        <w:t xml:space="preserve"> Las observaciones de cada parte fueron debidamente trasladadas a la parte contraria.</w:t>
      </w:r>
    </w:p>
  </w:footnote>
  <w:footnote w:id="4">
    <w:p w:rsidR="00D73AEA" w:rsidRPr="008E3632" w:rsidRDefault="00D73AEA" w:rsidP="008E3632">
      <w:pPr>
        <w:pStyle w:val="FootnoteText"/>
        <w:ind w:firstLine="720"/>
        <w:jc w:val="both"/>
        <w:rPr>
          <w:rFonts w:asciiTheme="majorHAnsi" w:hAnsiTheme="majorHAnsi"/>
          <w:sz w:val="16"/>
          <w:szCs w:val="16"/>
          <w:lang w:val="es-ES"/>
        </w:rPr>
      </w:pPr>
      <w:r w:rsidRPr="008E3632">
        <w:rPr>
          <w:rStyle w:val="FootnoteReference"/>
          <w:rFonts w:asciiTheme="majorHAnsi" w:hAnsiTheme="majorHAnsi"/>
          <w:sz w:val="16"/>
          <w:szCs w:val="16"/>
        </w:rPr>
        <w:footnoteRef/>
      </w:r>
      <w:r w:rsidRPr="008E3632">
        <w:rPr>
          <w:rFonts w:asciiTheme="majorHAnsi" w:hAnsiTheme="majorHAnsi"/>
          <w:sz w:val="16"/>
          <w:szCs w:val="16"/>
          <w:lang w:val="es-ES"/>
        </w:rPr>
        <w:t xml:space="preserve"> CIDH, Informe No. 70/04, Petición 667/01, Admisibilidad, Jesús Manuel Naranjo Cárdenas y otros, Jubilados de la empresa venezolana de aviación VIASA. Venezuela, 15 de octubre de 2004, párr. 52.</w:t>
      </w:r>
    </w:p>
  </w:footnote>
  <w:footnote w:id="5">
    <w:p w:rsidR="00381C5F" w:rsidRPr="008E3632" w:rsidRDefault="00381C5F" w:rsidP="008E3632">
      <w:pPr>
        <w:pStyle w:val="FootnoteText"/>
        <w:ind w:firstLine="720"/>
        <w:jc w:val="both"/>
        <w:rPr>
          <w:rFonts w:asciiTheme="majorHAnsi" w:hAnsiTheme="majorHAnsi"/>
          <w:sz w:val="16"/>
          <w:szCs w:val="16"/>
          <w:lang w:val="es-ES"/>
        </w:rPr>
      </w:pPr>
      <w:r w:rsidRPr="008E3632">
        <w:rPr>
          <w:rStyle w:val="FootnoteReference"/>
          <w:rFonts w:asciiTheme="majorHAnsi" w:hAnsiTheme="majorHAnsi"/>
          <w:sz w:val="16"/>
          <w:szCs w:val="16"/>
        </w:rPr>
        <w:footnoteRef/>
      </w:r>
      <w:r w:rsidRPr="008E3632">
        <w:rPr>
          <w:rFonts w:asciiTheme="majorHAnsi" w:hAnsiTheme="majorHAnsi"/>
          <w:sz w:val="16"/>
          <w:szCs w:val="16"/>
          <w:lang w:val="es-ES"/>
        </w:rPr>
        <w:t xml:space="preserve"> Corte IDH. </w:t>
      </w:r>
      <w:r w:rsidRPr="008E3632">
        <w:rPr>
          <w:rFonts w:asciiTheme="majorHAnsi" w:hAnsiTheme="majorHAnsi"/>
          <w:i/>
          <w:sz w:val="16"/>
          <w:szCs w:val="16"/>
          <w:lang w:val="es-ES"/>
        </w:rPr>
        <w:t xml:space="preserve">Caso </w:t>
      </w:r>
      <w:proofErr w:type="spellStart"/>
      <w:r w:rsidRPr="008E3632">
        <w:rPr>
          <w:rFonts w:asciiTheme="majorHAnsi" w:hAnsiTheme="majorHAnsi"/>
          <w:i/>
          <w:sz w:val="16"/>
          <w:szCs w:val="16"/>
          <w:lang w:val="es-ES"/>
        </w:rPr>
        <w:t>Amrhein</w:t>
      </w:r>
      <w:proofErr w:type="spellEnd"/>
      <w:r w:rsidRPr="008E3632">
        <w:rPr>
          <w:rFonts w:asciiTheme="majorHAnsi" w:hAnsiTheme="majorHAnsi"/>
          <w:i/>
          <w:sz w:val="16"/>
          <w:szCs w:val="16"/>
          <w:lang w:val="es-ES"/>
        </w:rPr>
        <w:t xml:space="preserve"> y otros vs. Costa Rica. </w:t>
      </w:r>
      <w:r w:rsidRPr="008E3632">
        <w:rPr>
          <w:rFonts w:asciiTheme="majorHAnsi" w:hAnsiTheme="majorHAnsi"/>
          <w:sz w:val="16"/>
          <w:szCs w:val="16"/>
          <w:lang w:val="es-ES"/>
        </w:rPr>
        <w:t xml:space="preserve">Sentencia de 25 de abril de 2018. Excepciones preliminares, Fondo, Reparaciones y Costas, </w:t>
      </w:r>
      <w:proofErr w:type="spellStart"/>
      <w:r w:rsidRPr="008E3632">
        <w:rPr>
          <w:rFonts w:asciiTheme="majorHAnsi" w:hAnsiTheme="majorHAnsi"/>
          <w:sz w:val="16"/>
          <w:szCs w:val="16"/>
          <w:lang w:val="es-ES"/>
        </w:rPr>
        <w:t>párrs</w:t>
      </w:r>
      <w:proofErr w:type="spellEnd"/>
      <w:r w:rsidRPr="008E3632">
        <w:rPr>
          <w:rFonts w:asciiTheme="majorHAnsi" w:hAnsiTheme="majorHAnsi"/>
          <w:sz w:val="16"/>
          <w:szCs w:val="16"/>
          <w:lang w:val="es-ES"/>
        </w:rPr>
        <w:t xml:space="preserve">. 264 y 265.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197A90"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5A4" w:rsidRDefault="00C745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5D72"/>
    <w:rsid w:val="0001788C"/>
    <w:rsid w:val="000337EF"/>
    <w:rsid w:val="00040C3A"/>
    <w:rsid w:val="000419AD"/>
    <w:rsid w:val="000433C9"/>
    <w:rsid w:val="00056AC0"/>
    <w:rsid w:val="000716C5"/>
    <w:rsid w:val="00075E23"/>
    <w:rsid w:val="0009344A"/>
    <w:rsid w:val="000A392E"/>
    <w:rsid w:val="000A575F"/>
    <w:rsid w:val="000B7932"/>
    <w:rsid w:val="000D05CB"/>
    <w:rsid w:val="000D10DB"/>
    <w:rsid w:val="000D1C54"/>
    <w:rsid w:val="000E5EB5"/>
    <w:rsid w:val="000F35ED"/>
    <w:rsid w:val="000F47C9"/>
    <w:rsid w:val="00107131"/>
    <w:rsid w:val="0010736F"/>
    <w:rsid w:val="00113F73"/>
    <w:rsid w:val="001142AA"/>
    <w:rsid w:val="00121CC2"/>
    <w:rsid w:val="00122F5E"/>
    <w:rsid w:val="00131425"/>
    <w:rsid w:val="00133EE5"/>
    <w:rsid w:val="00136E19"/>
    <w:rsid w:val="0015540F"/>
    <w:rsid w:val="00167A34"/>
    <w:rsid w:val="00197A90"/>
    <w:rsid w:val="001A7870"/>
    <w:rsid w:val="001B3A00"/>
    <w:rsid w:val="001B3CC1"/>
    <w:rsid w:val="001C1B41"/>
    <w:rsid w:val="001D3495"/>
    <w:rsid w:val="001D3B64"/>
    <w:rsid w:val="001D65EF"/>
    <w:rsid w:val="001E49E7"/>
    <w:rsid w:val="001F7201"/>
    <w:rsid w:val="00222476"/>
    <w:rsid w:val="00223A29"/>
    <w:rsid w:val="00223E62"/>
    <w:rsid w:val="002250A3"/>
    <w:rsid w:val="00235217"/>
    <w:rsid w:val="00246D1F"/>
    <w:rsid w:val="00247403"/>
    <w:rsid w:val="00247542"/>
    <w:rsid w:val="00266B61"/>
    <w:rsid w:val="0026712A"/>
    <w:rsid w:val="002704DB"/>
    <w:rsid w:val="00280993"/>
    <w:rsid w:val="00295502"/>
    <w:rsid w:val="002A0AAE"/>
    <w:rsid w:val="002A5820"/>
    <w:rsid w:val="002A6ABE"/>
    <w:rsid w:val="002D2B26"/>
    <w:rsid w:val="002D7EA2"/>
    <w:rsid w:val="002E187C"/>
    <w:rsid w:val="00301670"/>
    <w:rsid w:val="00302733"/>
    <w:rsid w:val="003078E7"/>
    <w:rsid w:val="00314078"/>
    <w:rsid w:val="0031535D"/>
    <w:rsid w:val="003239B8"/>
    <w:rsid w:val="0033169F"/>
    <w:rsid w:val="00333CCD"/>
    <w:rsid w:val="00344977"/>
    <w:rsid w:val="00346C95"/>
    <w:rsid w:val="003531EE"/>
    <w:rsid w:val="00356185"/>
    <w:rsid w:val="00360380"/>
    <w:rsid w:val="0037519E"/>
    <w:rsid w:val="003763AC"/>
    <w:rsid w:val="00381C5F"/>
    <w:rsid w:val="00386CF0"/>
    <w:rsid w:val="003B70FB"/>
    <w:rsid w:val="003C676B"/>
    <w:rsid w:val="003D3BC2"/>
    <w:rsid w:val="003E6CA1"/>
    <w:rsid w:val="00401D9F"/>
    <w:rsid w:val="00402C5F"/>
    <w:rsid w:val="00405F9C"/>
    <w:rsid w:val="004065A8"/>
    <w:rsid w:val="004165C2"/>
    <w:rsid w:val="00432241"/>
    <w:rsid w:val="004332FB"/>
    <w:rsid w:val="004362A7"/>
    <w:rsid w:val="00441ECB"/>
    <w:rsid w:val="00445193"/>
    <w:rsid w:val="004604F5"/>
    <w:rsid w:val="00462C1B"/>
    <w:rsid w:val="00467B7E"/>
    <w:rsid w:val="00473BB4"/>
    <w:rsid w:val="00477592"/>
    <w:rsid w:val="00486F1C"/>
    <w:rsid w:val="0049419D"/>
    <w:rsid w:val="004A6A54"/>
    <w:rsid w:val="004C20D2"/>
    <w:rsid w:val="004C2312"/>
    <w:rsid w:val="004C4B62"/>
    <w:rsid w:val="004C54C9"/>
    <w:rsid w:val="004D4ABA"/>
    <w:rsid w:val="004D6025"/>
    <w:rsid w:val="004E030B"/>
    <w:rsid w:val="004E2649"/>
    <w:rsid w:val="004E5628"/>
    <w:rsid w:val="004F626F"/>
    <w:rsid w:val="00501399"/>
    <w:rsid w:val="0050633D"/>
    <w:rsid w:val="00507BC4"/>
    <w:rsid w:val="005128E4"/>
    <w:rsid w:val="005133DB"/>
    <w:rsid w:val="00514504"/>
    <w:rsid w:val="00525560"/>
    <w:rsid w:val="00544C49"/>
    <w:rsid w:val="005516A1"/>
    <w:rsid w:val="005559EF"/>
    <w:rsid w:val="00563557"/>
    <w:rsid w:val="005640C5"/>
    <w:rsid w:val="0057402A"/>
    <w:rsid w:val="005751E3"/>
    <w:rsid w:val="005771D0"/>
    <w:rsid w:val="005847A6"/>
    <w:rsid w:val="005906E2"/>
    <w:rsid w:val="0059191A"/>
    <w:rsid w:val="005921FF"/>
    <w:rsid w:val="005A24ED"/>
    <w:rsid w:val="005A6D0E"/>
    <w:rsid w:val="005A74A9"/>
    <w:rsid w:val="005B52B0"/>
    <w:rsid w:val="005B6806"/>
    <w:rsid w:val="005C4225"/>
    <w:rsid w:val="005D248E"/>
    <w:rsid w:val="005D38F9"/>
    <w:rsid w:val="005F0DAD"/>
    <w:rsid w:val="005F0F33"/>
    <w:rsid w:val="00600DEB"/>
    <w:rsid w:val="0060313B"/>
    <w:rsid w:val="00604ACC"/>
    <w:rsid w:val="00627C9F"/>
    <w:rsid w:val="006311E9"/>
    <w:rsid w:val="00632354"/>
    <w:rsid w:val="00635421"/>
    <w:rsid w:val="00636F0A"/>
    <w:rsid w:val="00642810"/>
    <w:rsid w:val="00652333"/>
    <w:rsid w:val="00663F48"/>
    <w:rsid w:val="0068009E"/>
    <w:rsid w:val="006816F4"/>
    <w:rsid w:val="00692219"/>
    <w:rsid w:val="006A07DE"/>
    <w:rsid w:val="006A17D2"/>
    <w:rsid w:val="006A73E6"/>
    <w:rsid w:val="006A7F07"/>
    <w:rsid w:val="006B2D5C"/>
    <w:rsid w:val="006C4EB1"/>
    <w:rsid w:val="006E0166"/>
    <w:rsid w:val="006E2FFB"/>
    <w:rsid w:val="006E7B34"/>
    <w:rsid w:val="0070697F"/>
    <w:rsid w:val="007121F3"/>
    <w:rsid w:val="0072199C"/>
    <w:rsid w:val="00722C9F"/>
    <w:rsid w:val="007253B8"/>
    <w:rsid w:val="00730DDC"/>
    <w:rsid w:val="0073741F"/>
    <w:rsid w:val="0074580A"/>
    <w:rsid w:val="0076643F"/>
    <w:rsid w:val="00777F63"/>
    <w:rsid w:val="007A2649"/>
    <w:rsid w:val="007A5817"/>
    <w:rsid w:val="007B05C4"/>
    <w:rsid w:val="007B60E9"/>
    <w:rsid w:val="007B6CC3"/>
    <w:rsid w:val="007B76D3"/>
    <w:rsid w:val="007C3334"/>
    <w:rsid w:val="007C4343"/>
    <w:rsid w:val="007D2B98"/>
    <w:rsid w:val="007D415C"/>
    <w:rsid w:val="007E21BC"/>
    <w:rsid w:val="007E7C82"/>
    <w:rsid w:val="007F228D"/>
    <w:rsid w:val="007F2AA1"/>
    <w:rsid w:val="007F588D"/>
    <w:rsid w:val="00803F1C"/>
    <w:rsid w:val="0080600E"/>
    <w:rsid w:val="00810DA4"/>
    <w:rsid w:val="00814688"/>
    <w:rsid w:val="00815281"/>
    <w:rsid w:val="00817612"/>
    <w:rsid w:val="008338A4"/>
    <w:rsid w:val="00834D49"/>
    <w:rsid w:val="00837240"/>
    <w:rsid w:val="00837C45"/>
    <w:rsid w:val="00844730"/>
    <w:rsid w:val="008457C2"/>
    <w:rsid w:val="00846503"/>
    <w:rsid w:val="00857A82"/>
    <w:rsid w:val="0086057C"/>
    <w:rsid w:val="00870DD0"/>
    <w:rsid w:val="00873836"/>
    <w:rsid w:val="008774CE"/>
    <w:rsid w:val="00880337"/>
    <w:rsid w:val="00885737"/>
    <w:rsid w:val="00890650"/>
    <w:rsid w:val="00897E12"/>
    <w:rsid w:val="008A3F8C"/>
    <w:rsid w:val="008A59E3"/>
    <w:rsid w:val="008A7E0F"/>
    <w:rsid w:val="008B12F5"/>
    <w:rsid w:val="008B470E"/>
    <w:rsid w:val="008C5E2D"/>
    <w:rsid w:val="008D3EFC"/>
    <w:rsid w:val="008D768D"/>
    <w:rsid w:val="008E3512"/>
    <w:rsid w:val="008E3632"/>
    <w:rsid w:val="008E3759"/>
    <w:rsid w:val="008E3BFE"/>
    <w:rsid w:val="008E4A0B"/>
    <w:rsid w:val="008F1912"/>
    <w:rsid w:val="0090270B"/>
    <w:rsid w:val="00902F82"/>
    <w:rsid w:val="009041DC"/>
    <w:rsid w:val="00917B5A"/>
    <w:rsid w:val="00920A58"/>
    <w:rsid w:val="00920A8C"/>
    <w:rsid w:val="00934A2C"/>
    <w:rsid w:val="009426AA"/>
    <w:rsid w:val="00951BE2"/>
    <w:rsid w:val="0096706E"/>
    <w:rsid w:val="00974491"/>
    <w:rsid w:val="00975C4E"/>
    <w:rsid w:val="00981FBA"/>
    <w:rsid w:val="00985C43"/>
    <w:rsid w:val="00997BC5"/>
    <w:rsid w:val="009A4F41"/>
    <w:rsid w:val="009B381B"/>
    <w:rsid w:val="009D1753"/>
    <w:rsid w:val="009D7611"/>
    <w:rsid w:val="009E0B61"/>
    <w:rsid w:val="009E53DE"/>
    <w:rsid w:val="009F3713"/>
    <w:rsid w:val="00A11212"/>
    <w:rsid w:val="00A11E44"/>
    <w:rsid w:val="00A176A5"/>
    <w:rsid w:val="00A2633C"/>
    <w:rsid w:val="00A30100"/>
    <w:rsid w:val="00A328B3"/>
    <w:rsid w:val="00A47C90"/>
    <w:rsid w:val="00A50FCF"/>
    <w:rsid w:val="00A528D1"/>
    <w:rsid w:val="00A610CD"/>
    <w:rsid w:val="00A7070F"/>
    <w:rsid w:val="00A758AA"/>
    <w:rsid w:val="00AA09A2"/>
    <w:rsid w:val="00AA307A"/>
    <w:rsid w:val="00AA6140"/>
    <w:rsid w:val="00AA7996"/>
    <w:rsid w:val="00AC19CB"/>
    <w:rsid w:val="00AC3BC9"/>
    <w:rsid w:val="00AE0EBB"/>
    <w:rsid w:val="00AE5488"/>
    <w:rsid w:val="00AE6F91"/>
    <w:rsid w:val="00AF5571"/>
    <w:rsid w:val="00B07341"/>
    <w:rsid w:val="00B15502"/>
    <w:rsid w:val="00B25477"/>
    <w:rsid w:val="00B30539"/>
    <w:rsid w:val="00B314DB"/>
    <w:rsid w:val="00B361F2"/>
    <w:rsid w:val="00B36304"/>
    <w:rsid w:val="00B3718B"/>
    <w:rsid w:val="00B3745F"/>
    <w:rsid w:val="00B4632A"/>
    <w:rsid w:val="00B530F1"/>
    <w:rsid w:val="00BA276C"/>
    <w:rsid w:val="00BB306F"/>
    <w:rsid w:val="00BC19C3"/>
    <w:rsid w:val="00BD4B89"/>
    <w:rsid w:val="00BD5922"/>
    <w:rsid w:val="00BF02CB"/>
    <w:rsid w:val="00BF6186"/>
    <w:rsid w:val="00BF6FD8"/>
    <w:rsid w:val="00C012C0"/>
    <w:rsid w:val="00C03680"/>
    <w:rsid w:val="00C054DF"/>
    <w:rsid w:val="00C10215"/>
    <w:rsid w:val="00C21762"/>
    <w:rsid w:val="00C21FEF"/>
    <w:rsid w:val="00C23BA4"/>
    <w:rsid w:val="00C24543"/>
    <w:rsid w:val="00C256A2"/>
    <w:rsid w:val="00C25ADB"/>
    <w:rsid w:val="00C5060A"/>
    <w:rsid w:val="00C51515"/>
    <w:rsid w:val="00C5660B"/>
    <w:rsid w:val="00C66B72"/>
    <w:rsid w:val="00C714B6"/>
    <w:rsid w:val="00C745A4"/>
    <w:rsid w:val="00C87AC4"/>
    <w:rsid w:val="00C952DF"/>
    <w:rsid w:val="00C9567A"/>
    <w:rsid w:val="00CA3091"/>
    <w:rsid w:val="00CB212D"/>
    <w:rsid w:val="00CB2660"/>
    <w:rsid w:val="00CC5E90"/>
    <w:rsid w:val="00CD046C"/>
    <w:rsid w:val="00CE076C"/>
    <w:rsid w:val="00CE5199"/>
    <w:rsid w:val="00CE66D5"/>
    <w:rsid w:val="00CF637A"/>
    <w:rsid w:val="00D059DE"/>
    <w:rsid w:val="00D05ABD"/>
    <w:rsid w:val="00D0604C"/>
    <w:rsid w:val="00D11AE3"/>
    <w:rsid w:val="00D13FCE"/>
    <w:rsid w:val="00D22937"/>
    <w:rsid w:val="00D2687F"/>
    <w:rsid w:val="00D306D1"/>
    <w:rsid w:val="00D30800"/>
    <w:rsid w:val="00D34786"/>
    <w:rsid w:val="00D37BFC"/>
    <w:rsid w:val="00D47A8E"/>
    <w:rsid w:val="00D52D14"/>
    <w:rsid w:val="00D712D3"/>
    <w:rsid w:val="00D71422"/>
    <w:rsid w:val="00D72DC6"/>
    <w:rsid w:val="00D73AEA"/>
    <w:rsid w:val="00D7558D"/>
    <w:rsid w:val="00D81D92"/>
    <w:rsid w:val="00D8332B"/>
    <w:rsid w:val="00D8481E"/>
    <w:rsid w:val="00D85E53"/>
    <w:rsid w:val="00D876F9"/>
    <w:rsid w:val="00D943A9"/>
    <w:rsid w:val="00D974EC"/>
    <w:rsid w:val="00DA0FFF"/>
    <w:rsid w:val="00DA3F4E"/>
    <w:rsid w:val="00DA7B5F"/>
    <w:rsid w:val="00DC11E7"/>
    <w:rsid w:val="00DC24E3"/>
    <w:rsid w:val="00DC7023"/>
    <w:rsid w:val="00DC769A"/>
    <w:rsid w:val="00DD3D86"/>
    <w:rsid w:val="00DD4AD2"/>
    <w:rsid w:val="00DF1EC4"/>
    <w:rsid w:val="00E0340B"/>
    <w:rsid w:val="00E04A90"/>
    <w:rsid w:val="00E0551F"/>
    <w:rsid w:val="00E219C7"/>
    <w:rsid w:val="00E4118C"/>
    <w:rsid w:val="00E43157"/>
    <w:rsid w:val="00E461CE"/>
    <w:rsid w:val="00E46F57"/>
    <w:rsid w:val="00E573E4"/>
    <w:rsid w:val="00E64C3D"/>
    <w:rsid w:val="00E720CA"/>
    <w:rsid w:val="00E75A57"/>
    <w:rsid w:val="00E84EB5"/>
    <w:rsid w:val="00E85662"/>
    <w:rsid w:val="00E8789F"/>
    <w:rsid w:val="00E97B71"/>
    <w:rsid w:val="00EA3D34"/>
    <w:rsid w:val="00EB454D"/>
    <w:rsid w:val="00ED549D"/>
    <w:rsid w:val="00ED76BE"/>
    <w:rsid w:val="00EE00E9"/>
    <w:rsid w:val="00EF1AAA"/>
    <w:rsid w:val="00EF619B"/>
    <w:rsid w:val="00F00B55"/>
    <w:rsid w:val="00F012B3"/>
    <w:rsid w:val="00F02AD1"/>
    <w:rsid w:val="00F0505A"/>
    <w:rsid w:val="00F0578D"/>
    <w:rsid w:val="00F253CC"/>
    <w:rsid w:val="00F37106"/>
    <w:rsid w:val="00F44E25"/>
    <w:rsid w:val="00F459AB"/>
    <w:rsid w:val="00F519CF"/>
    <w:rsid w:val="00F56BA5"/>
    <w:rsid w:val="00F60E22"/>
    <w:rsid w:val="00F6738D"/>
    <w:rsid w:val="00F80BF8"/>
    <w:rsid w:val="00F81395"/>
    <w:rsid w:val="00F81BB8"/>
    <w:rsid w:val="00F87640"/>
    <w:rsid w:val="00F90C64"/>
    <w:rsid w:val="00F917D1"/>
    <w:rsid w:val="00F9653B"/>
    <w:rsid w:val="00FA618D"/>
    <w:rsid w:val="00FB62CF"/>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200821"/>
    <w:rsid w:val="0025245B"/>
    <w:rsid w:val="002751BB"/>
    <w:rsid w:val="002A3923"/>
    <w:rsid w:val="002E338B"/>
    <w:rsid w:val="00361C2B"/>
    <w:rsid w:val="00394049"/>
    <w:rsid w:val="003E33E6"/>
    <w:rsid w:val="004B5BBB"/>
    <w:rsid w:val="004F2DF8"/>
    <w:rsid w:val="004F4DDC"/>
    <w:rsid w:val="00512A6B"/>
    <w:rsid w:val="006F24A1"/>
    <w:rsid w:val="007E3AAF"/>
    <w:rsid w:val="009A261B"/>
    <w:rsid w:val="009B048E"/>
    <w:rsid w:val="00A0340F"/>
    <w:rsid w:val="00A93FDA"/>
    <w:rsid w:val="00AA2E17"/>
    <w:rsid w:val="00AC15A4"/>
    <w:rsid w:val="00AD291B"/>
    <w:rsid w:val="00B0336C"/>
    <w:rsid w:val="00B449BF"/>
    <w:rsid w:val="00D241E9"/>
    <w:rsid w:val="00D7750D"/>
    <w:rsid w:val="00E400F7"/>
    <w:rsid w:val="00F00D2F"/>
    <w:rsid w:val="00F128DF"/>
    <w:rsid w:val="00FA7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69246-6FA8-4C97-B887-6D906FE11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2888</Words>
  <Characters>15339</Characters>
  <Application>Microsoft Office Word</Application>
  <DocSecurity>0</DocSecurity>
  <Lines>326</Lines>
  <Paragraphs>102</Paragraphs>
  <ScaleCrop>false</ScaleCrop>
  <HeadingPairs>
    <vt:vector size="2" baseType="variant">
      <vt:variant>
        <vt:lpstr>Title</vt:lpstr>
      </vt:variant>
      <vt:variant>
        <vt:i4>1</vt:i4>
      </vt:variant>
    </vt:vector>
  </HeadingPairs>
  <TitlesOfParts>
    <vt:vector size="1" baseType="lpstr">
      <vt:lpstr>Informe No. 390/20</vt:lpstr>
    </vt:vector>
  </TitlesOfParts>
  <Company/>
  <LinksUpToDate>false</LinksUpToDate>
  <CharactersWithSpaces>18125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409/20</dc:title>
  <dc:creator/>
  <cp:lastModifiedBy/>
  <cp:revision>1</cp:revision>
  <dcterms:created xsi:type="dcterms:W3CDTF">2021-02-22T16:13:00Z</dcterms:created>
  <dcterms:modified xsi:type="dcterms:W3CDTF">2021-02-22T16:16:00Z</dcterms:modified>
</cp:coreProperties>
</file>