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E784F" w:rsidRPr="0021378C" w:rsidRDefault="0025642E" w:rsidP="00627C9F">
      <w:pPr>
        <w:pBdr>
          <w:top w:val="none" w:sz="0" w:space="0" w:color="auto"/>
          <w:left w:val="none" w:sz="0" w:space="0" w:color="auto"/>
          <w:bottom w:val="none" w:sz="0" w:space="0" w:color="auto"/>
          <w:right w:val="none" w:sz="0" w:space="0" w:color="auto"/>
          <w:bar w:val="none" w:sz="0" w:color="auto"/>
        </w:pBdr>
        <w:jc w:val="both"/>
        <w:rPr>
          <w:rFonts w:ascii="Cambria" w:hAnsi="Cambria" w:cs="Univers"/>
          <w:b/>
          <w:bCs/>
          <w:sz w:val="20"/>
          <w:szCs w:val="20"/>
          <w:lang w:val="es-ES"/>
        </w:rPr>
      </w:pPr>
      <w:r>
        <w:rPr>
          <w:noProof/>
        </w:rPr>
        <mc:AlternateContent>
          <mc:Choice Requires="wps">
            <w:drawing>
              <wp:anchor distT="0" distB="0" distL="114300" distR="114300" simplePos="0" relativeHeight="251654144" behindDoc="0" locked="0" layoutInCell="1" allowOverlap="1">
                <wp:simplePos x="0" y="0"/>
                <wp:positionH relativeFrom="column">
                  <wp:posOffset>-415925</wp:posOffset>
                </wp:positionH>
                <wp:positionV relativeFrom="paragraph">
                  <wp:posOffset>-439420</wp:posOffset>
                </wp:positionV>
                <wp:extent cx="1543050" cy="9096375"/>
                <wp:effectExtent l="0" t="0" r="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2477A0E" id="Rectangle 1" o:spid="_x0000_s1026" style="position:absolute;margin-left:-32.75pt;margin-top:-34.6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er7ogIAAJ8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" fillcolor="#4a7194" stroked="f" strokeweight="2pt">
                <v:path arrowok="t"/>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784F" w:rsidRDefault="0025642E"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extent cx="2628900" cy="504825"/>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504825"/>
                                          </a:xfrm>
                                          <a:prstGeom prst="rect">
                                            <a:avLst/>
                                          </a:prstGeom>
                                          <a:noFill/>
                                          <a:ln>
                                            <a:noFill/>
                                          </a:ln>
                                        </pic:spPr>
                                      </pic:pic>
                                    </a:graphicData>
                                  </a:graphic>
                                </wp:inline>
                              </w:drawing>
                            </w:r>
                            <w:r w:rsidR="001E784F">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" filled="f" stroked="f" strokeweight=".5pt">
                <v:path arrowok="t"/>
                <v:textbox>
                  <w:txbxContent>
                    <w:p w:rsidR="001E784F" w:rsidRDefault="0025642E"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extent cx="2628900" cy="504825"/>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504825"/>
                                    </a:xfrm>
                                    <a:prstGeom prst="rect">
                                      <a:avLst/>
                                    </a:prstGeom>
                                    <a:noFill/>
                                    <a:ln>
                                      <a:noFill/>
                                    </a:ln>
                                  </pic:spPr>
                                </pic:pic>
                              </a:graphicData>
                            </a:graphic>
                          </wp:inline>
                        </w:drawing>
                      </w:r>
                      <w:r w:rsidR="001E784F">
                        <w:tab/>
                        <w:t xml:space="preserve">                              </w:t>
                      </w:r>
                    </w:p>
                  </w:txbxContent>
                </v:textbox>
              </v:shape>
            </w:pict>
          </mc:Fallback>
        </mc:AlternateContent>
      </w:r>
    </w:p>
    <w:p w:rsidR="001E784F" w:rsidRPr="0021378C" w:rsidRDefault="001E784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0"/>
          <w:szCs w:val="20"/>
          <w:lang w:val="es-ES"/>
        </w:rPr>
      </w:pPr>
    </w:p>
    <w:p w:rsidR="001E784F" w:rsidRPr="0021378C" w:rsidRDefault="001E784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0"/>
          <w:szCs w:val="20"/>
          <w:lang w:val="es-ES"/>
        </w:rPr>
      </w:pPr>
    </w:p>
    <w:p w:rsidR="001E784F" w:rsidRPr="0021378C" w:rsidRDefault="001E784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0"/>
          <w:szCs w:val="20"/>
          <w:lang w:val="es-ES"/>
        </w:rPr>
      </w:pPr>
    </w:p>
    <w:p w:rsidR="001E784F" w:rsidRPr="0021378C" w:rsidRDefault="001E784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0"/>
          <w:szCs w:val="20"/>
          <w:lang w:val="es-ES"/>
        </w:rPr>
      </w:pPr>
    </w:p>
    <w:p w:rsidR="001E784F" w:rsidRPr="0021378C" w:rsidRDefault="001E784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0"/>
          <w:szCs w:val="20"/>
          <w:lang w:val="es-ES"/>
        </w:rPr>
      </w:pPr>
    </w:p>
    <w:p w:rsidR="001E784F" w:rsidRPr="0021378C" w:rsidRDefault="001E784F"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
        </w:rPr>
      </w:pPr>
    </w:p>
    <w:p w:rsidR="001E784F" w:rsidRPr="0021378C" w:rsidRDefault="001E784F"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
        </w:rPr>
      </w:pPr>
    </w:p>
    <w:p w:rsidR="001E784F" w:rsidRPr="0021378C" w:rsidRDefault="001E784F"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
        </w:rPr>
      </w:pPr>
    </w:p>
    <w:p w:rsidR="001E784F" w:rsidRPr="0021378C" w:rsidRDefault="001E784F"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
        </w:rPr>
      </w:pPr>
    </w:p>
    <w:p w:rsidR="001E784F" w:rsidRPr="0021378C" w:rsidRDefault="001E784F"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
        </w:rPr>
      </w:pPr>
    </w:p>
    <w:p w:rsidR="001E784F" w:rsidRPr="0021378C" w:rsidRDefault="001E784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
        </w:rPr>
      </w:pPr>
    </w:p>
    <w:p w:rsidR="001E784F" w:rsidRPr="0021378C" w:rsidRDefault="001E784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
        </w:rPr>
      </w:pPr>
    </w:p>
    <w:p w:rsidR="001E784F" w:rsidRPr="0021378C" w:rsidRDefault="0025642E"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
        </w:rPr>
      </w:pPr>
      <w:r>
        <w:rPr>
          <w:noProof/>
        </w:rPr>
        <mc:AlternateContent>
          <mc:Choice Requires="wps">
            <w:drawing>
              <wp:anchor distT="0" distB="0" distL="114300" distR="114300" simplePos="0" relativeHeight="251655168" behindDoc="0" locked="0" layoutInCell="1" allowOverlap="1">
                <wp:simplePos x="0" y="0"/>
                <wp:positionH relativeFrom="column">
                  <wp:posOffset>1352550</wp:posOffset>
                </wp:positionH>
                <wp:positionV relativeFrom="paragraph">
                  <wp:posOffset>107315</wp:posOffset>
                </wp:positionV>
                <wp:extent cx="4441190" cy="218122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784F" w:rsidRPr="003450BB" w:rsidRDefault="001E784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3450BB">
                              <w:rPr>
                                <w:rFonts w:ascii="Cambria" w:hAnsi="Cambria" w:cs="Arial"/>
                                <w:b/>
                                <w:bCs/>
                                <w:color w:val="0D0D0D"/>
                                <w:sz w:val="36"/>
                                <w:szCs w:val="22"/>
                                <w:lang w:val="es-ES_tradnl"/>
                              </w:rPr>
                              <w:t xml:space="preserve">INFORME </w:t>
                            </w:r>
                            <w:r w:rsidRPr="003450BB">
                              <w:rPr>
                                <w:rFonts w:ascii="Cambria" w:hAnsi="Cambria" w:cs="Arial"/>
                                <w:b/>
                                <w:bCs/>
                                <w:color w:val="0D0D0D"/>
                                <w:sz w:val="36"/>
                                <w:szCs w:val="40"/>
                                <w:lang w:val="es-ES_tradnl"/>
                              </w:rPr>
                              <w:t>No.</w:t>
                            </w:r>
                            <w:r w:rsidR="003A398D">
                              <w:rPr>
                                <w:rFonts w:ascii="Cambria" w:hAnsi="Cambria" w:cs="Arial"/>
                                <w:b/>
                                <w:bCs/>
                                <w:color w:val="0D0D0D"/>
                                <w:sz w:val="36"/>
                                <w:szCs w:val="22"/>
                                <w:lang w:val="es-ES_tradnl"/>
                              </w:rPr>
                              <w:t xml:space="preserve"> 75</w:t>
                            </w:r>
                            <w:r w:rsidRPr="003450BB">
                              <w:rPr>
                                <w:rFonts w:ascii="Cambria" w:hAnsi="Cambria" w:cs="Arial"/>
                                <w:b/>
                                <w:bCs/>
                                <w:color w:val="0D0D0D"/>
                                <w:sz w:val="36"/>
                                <w:szCs w:val="22"/>
                                <w:lang w:val="es-ES_tradnl"/>
                              </w:rPr>
                              <w:t>/20</w:t>
                            </w:r>
                          </w:p>
                          <w:p w:rsidR="001E784F" w:rsidRPr="003450BB" w:rsidRDefault="001E784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3450BB">
                              <w:rPr>
                                <w:rFonts w:ascii="Cambria" w:hAnsi="Cambria" w:cs="Arial"/>
                                <w:b/>
                                <w:color w:val="0D0D0D"/>
                                <w:sz w:val="36"/>
                                <w:szCs w:val="22"/>
                                <w:lang w:val="es-ES_tradnl"/>
                              </w:rPr>
                              <w:t xml:space="preserve">PETICIÓN 1011-11 </w:t>
                            </w:r>
                          </w:p>
                          <w:p w:rsidR="001E784F" w:rsidRPr="003450BB" w:rsidRDefault="001E784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3450BB">
                              <w:rPr>
                                <w:rFonts w:ascii="Cambria" w:hAnsi="Cambria" w:cs="Arial"/>
                                <w:color w:val="0D0D0D"/>
                                <w:szCs w:val="22"/>
                                <w:lang w:val="es-ES_tradnl"/>
                              </w:rPr>
                              <w:t xml:space="preserve">INFORME DE ADMISIBILIDAD </w:t>
                            </w:r>
                          </w:p>
                          <w:p w:rsidR="001E784F" w:rsidRPr="003450BB" w:rsidRDefault="001E784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bookmarkEnd w:id="1"/>
                          <w:p w:rsidR="001E784F" w:rsidRPr="003450BB" w:rsidRDefault="001E784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3450BB">
                              <w:rPr>
                                <w:rFonts w:ascii="Cambria" w:hAnsi="Cambria" w:cs="Arial"/>
                                <w:color w:val="0D0D0D"/>
                                <w:szCs w:val="22"/>
                                <w:lang w:val="es-ES_tradnl"/>
                              </w:rPr>
                              <w:t xml:space="preserve">GABRIEL </w:t>
                            </w:r>
                            <w:r w:rsidR="00821F00">
                              <w:rPr>
                                <w:rFonts w:ascii="Cambria" w:hAnsi="Cambria" w:cs="Arial"/>
                                <w:color w:val="0D0D0D"/>
                                <w:szCs w:val="22"/>
                                <w:lang w:val="es-ES_tradnl"/>
                              </w:rPr>
                              <w:t>ALEJANDRO VASCO TOAPANTA Y OTROS</w:t>
                            </w:r>
                          </w:p>
                          <w:p w:rsidR="001E784F" w:rsidRPr="003450BB" w:rsidRDefault="001E784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3450BB">
                              <w:rPr>
                                <w:rFonts w:ascii="Cambria" w:hAnsi="Cambria" w:cs="Arial"/>
                                <w:color w:val="0D0D0D"/>
                                <w:szCs w:val="22"/>
                                <w:lang w:val="es-ES_tradnl"/>
                              </w:rPr>
                              <w:t>ECUADOR</w:t>
                            </w:r>
                          </w:p>
                          <w:p w:rsidR="001E784F" w:rsidRPr="003450BB" w:rsidRDefault="001E784F" w:rsidP="007A5817">
                            <w:pPr>
                              <w:pBdr>
                                <w:top w:val="none" w:sz="0" w:space="0" w:color="auto"/>
                                <w:left w:val="none" w:sz="0" w:space="0" w:color="auto"/>
                                <w:bottom w:val="none" w:sz="0" w:space="0" w:color="auto"/>
                                <w:right w:val="none" w:sz="0" w:space="0" w:color="auto"/>
                                <w:bar w:val="none" w:sz="0" w:color="auto"/>
                              </w:pBd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5" o:spid="_x0000_s1027"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" filled="f" stroked="f" strokeweight=".5pt">
                <v:path arrowok="t"/>
                <v:textbox>
                  <w:txbxContent>
                    <w:p w:rsidR="001E784F" w:rsidRPr="003450BB" w:rsidRDefault="001E784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3450BB">
                        <w:rPr>
                          <w:rFonts w:ascii="Cambria" w:hAnsi="Cambria" w:cs="Arial"/>
                          <w:b/>
                          <w:bCs/>
                          <w:color w:val="0D0D0D"/>
                          <w:sz w:val="36"/>
                          <w:szCs w:val="22"/>
                          <w:lang w:val="es-ES_tradnl"/>
                        </w:rPr>
                        <w:t xml:space="preserve">INFORME </w:t>
                      </w:r>
                      <w:r w:rsidRPr="003450BB">
                        <w:rPr>
                          <w:rFonts w:ascii="Cambria" w:hAnsi="Cambria" w:cs="Arial"/>
                          <w:b/>
                          <w:bCs/>
                          <w:color w:val="0D0D0D"/>
                          <w:sz w:val="36"/>
                          <w:szCs w:val="40"/>
                          <w:lang w:val="es-ES_tradnl"/>
                        </w:rPr>
                        <w:t>No.</w:t>
                      </w:r>
                      <w:r w:rsidR="003A398D">
                        <w:rPr>
                          <w:rFonts w:ascii="Cambria" w:hAnsi="Cambria" w:cs="Arial"/>
                          <w:b/>
                          <w:bCs/>
                          <w:color w:val="0D0D0D"/>
                          <w:sz w:val="36"/>
                          <w:szCs w:val="22"/>
                          <w:lang w:val="es-ES_tradnl"/>
                        </w:rPr>
                        <w:t xml:space="preserve"> 75</w:t>
                      </w:r>
                      <w:r w:rsidRPr="003450BB">
                        <w:rPr>
                          <w:rFonts w:ascii="Cambria" w:hAnsi="Cambria" w:cs="Arial"/>
                          <w:b/>
                          <w:bCs/>
                          <w:color w:val="0D0D0D"/>
                          <w:sz w:val="36"/>
                          <w:szCs w:val="22"/>
                          <w:lang w:val="es-ES_tradnl"/>
                        </w:rPr>
                        <w:t>/20</w:t>
                      </w:r>
                    </w:p>
                    <w:p w:rsidR="001E784F" w:rsidRPr="003450BB" w:rsidRDefault="001E784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3450BB">
                        <w:rPr>
                          <w:rFonts w:ascii="Cambria" w:hAnsi="Cambria" w:cs="Arial"/>
                          <w:b/>
                          <w:color w:val="0D0D0D"/>
                          <w:sz w:val="36"/>
                          <w:szCs w:val="22"/>
                          <w:lang w:val="es-ES_tradnl"/>
                        </w:rPr>
                        <w:t xml:space="preserve">PETICIÓN 1011-11 </w:t>
                      </w:r>
                    </w:p>
                    <w:p w:rsidR="001E784F" w:rsidRPr="003450BB" w:rsidRDefault="001E784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3450BB">
                        <w:rPr>
                          <w:rFonts w:ascii="Cambria" w:hAnsi="Cambria" w:cs="Arial"/>
                          <w:color w:val="0D0D0D"/>
                          <w:szCs w:val="22"/>
                          <w:lang w:val="es-ES_tradnl"/>
                        </w:rPr>
                        <w:t xml:space="preserve">INFORME DE ADMISIBILIDAD </w:t>
                      </w:r>
                    </w:p>
                    <w:p w:rsidR="001E784F" w:rsidRPr="003450BB" w:rsidRDefault="001E784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2" w:name="_ftnref1"/>
                    </w:p>
                    <w:bookmarkEnd w:id="2"/>
                    <w:p w:rsidR="001E784F" w:rsidRPr="003450BB" w:rsidRDefault="001E784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3450BB">
                        <w:rPr>
                          <w:rFonts w:ascii="Cambria" w:hAnsi="Cambria" w:cs="Arial"/>
                          <w:color w:val="0D0D0D"/>
                          <w:szCs w:val="22"/>
                          <w:lang w:val="es-ES_tradnl"/>
                        </w:rPr>
                        <w:t xml:space="preserve">GABRIEL </w:t>
                      </w:r>
                      <w:r w:rsidR="00821F00">
                        <w:rPr>
                          <w:rFonts w:ascii="Cambria" w:hAnsi="Cambria" w:cs="Arial"/>
                          <w:color w:val="0D0D0D"/>
                          <w:szCs w:val="22"/>
                          <w:lang w:val="es-ES_tradnl"/>
                        </w:rPr>
                        <w:t xml:space="preserve">ALEJANDRO VASCO TOAPANTA Y </w:t>
                      </w:r>
                      <w:r w:rsidR="00821F00">
                        <w:rPr>
                          <w:rFonts w:ascii="Cambria" w:hAnsi="Cambria" w:cs="Arial"/>
                          <w:color w:val="0D0D0D"/>
                          <w:szCs w:val="22"/>
                          <w:lang w:val="es-ES_tradnl"/>
                        </w:rPr>
                        <w:t>OTROS</w:t>
                      </w:r>
                      <w:bookmarkStart w:id="3" w:name="_GoBack"/>
                      <w:bookmarkEnd w:id="3"/>
                    </w:p>
                    <w:p w:rsidR="001E784F" w:rsidRPr="003450BB" w:rsidRDefault="001E784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3450BB">
                        <w:rPr>
                          <w:rFonts w:ascii="Cambria" w:hAnsi="Cambria" w:cs="Arial"/>
                          <w:color w:val="0D0D0D"/>
                          <w:szCs w:val="22"/>
                          <w:lang w:val="es-ES_tradnl"/>
                        </w:rPr>
                        <w:t>ECUADOR</w:t>
                      </w:r>
                    </w:p>
                    <w:p w:rsidR="001E784F" w:rsidRPr="003450BB" w:rsidRDefault="001E784F" w:rsidP="007A5817">
                      <w:pPr>
                        <w:pBdr>
                          <w:top w:val="none" w:sz="0" w:space="0" w:color="auto"/>
                          <w:left w:val="none" w:sz="0" w:space="0" w:color="auto"/>
                          <w:bottom w:val="none" w:sz="0" w:space="0" w:color="auto"/>
                          <w:right w:val="none" w:sz="0" w:space="0" w:color="auto"/>
                          <w:bar w:val="none" w:sz="0" w:color="auto"/>
                        </w:pBdr>
                        <w:rPr>
                          <w:color w:val="0D0D0D"/>
                          <w:lang w:val="es-ES_tradnl"/>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784F" w:rsidRPr="003450BB" w:rsidRDefault="001E784F"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sidRPr="003450BB">
                              <w:rPr>
                                <w:rFonts w:ascii="Calibri" w:hAnsi="Calibri"/>
                                <w:color w:val="FFFFFF"/>
                                <w:sz w:val="22"/>
                                <w:lang w:val="pt-BR"/>
                              </w:rPr>
                              <w:t>OEA/Ser.L/V/II.</w:t>
                            </w:r>
                          </w:p>
                          <w:p w:rsidR="001E784F" w:rsidRPr="003450BB" w:rsidRDefault="003A398D"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Pr>
                                <w:rFonts w:ascii="Calibri" w:hAnsi="Calibri"/>
                                <w:color w:val="FFFFFF"/>
                                <w:sz w:val="22"/>
                                <w:lang w:val="pt-BR"/>
                              </w:rPr>
                              <w:t>Doc. 85</w:t>
                            </w:r>
                          </w:p>
                          <w:p w:rsidR="001E784F" w:rsidRPr="003450BB" w:rsidRDefault="003A398D"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ES"/>
                              </w:rPr>
                            </w:pPr>
                            <w:r>
                              <w:rPr>
                                <w:rFonts w:ascii="Calibri" w:hAnsi="Calibri"/>
                                <w:color w:val="FFFFFF"/>
                                <w:sz w:val="22"/>
                                <w:lang w:val="es-ES"/>
                              </w:rPr>
                              <w:t>24 abril</w:t>
                            </w:r>
                            <w:r w:rsidR="001E784F" w:rsidRPr="003450BB">
                              <w:rPr>
                                <w:rFonts w:ascii="Calibri" w:hAnsi="Calibri"/>
                                <w:color w:val="FFFFFF"/>
                                <w:sz w:val="22"/>
                                <w:lang w:val="es-ES"/>
                              </w:rPr>
                              <w:t xml:space="preserve"> 20</w:t>
                            </w:r>
                            <w:r>
                              <w:rPr>
                                <w:rFonts w:ascii="Calibri" w:hAnsi="Calibri"/>
                                <w:color w:val="FFFFFF"/>
                                <w:sz w:val="22"/>
                                <w:lang w:val="es-ES"/>
                              </w:rPr>
                              <w:t>20</w:t>
                            </w:r>
                          </w:p>
                          <w:p w:rsidR="001E784F" w:rsidRPr="003450BB" w:rsidRDefault="001E784F"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ES"/>
                              </w:rPr>
                            </w:pPr>
                            <w:r w:rsidRPr="003450BB">
                              <w:rPr>
                                <w:rFonts w:ascii="Calibri" w:hAnsi="Calibri"/>
                                <w:color w:val="FFFFFF"/>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DMuYo6jAIAAIMFAAAOAAAAAAAAAAAAAAAAAC4CAABkcnMvZTJvRG9jLnhtbFBLAQIt&#10;ABQABgAIAAAAIQDcgcxX4AAAAAoBAAAPAAAAAAAAAAAAAAAAAOYEAABkcnMvZG93bnJldi54bWxQ&#10;SwUGAAAAAAQABADzAAAA8wUAAAAA&#10;" filled="f" stroked="f" strokeweight=".5pt">
                <v:path arrowok="t"/>
                <v:textbox>
                  <w:txbxContent>
                    <w:p w:rsidR="001E784F" w:rsidRPr="003450BB" w:rsidRDefault="001E784F"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sidRPr="003450BB">
                        <w:rPr>
                          <w:rFonts w:ascii="Calibri" w:hAnsi="Calibri"/>
                          <w:color w:val="FFFFFF"/>
                          <w:sz w:val="22"/>
                          <w:lang w:val="pt-BR"/>
                        </w:rPr>
                        <w:t>OEA/Ser.L/V/II.</w:t>
                      </w:r>
                    </w:p>
                    <w:p w:rsidR="001E784F" w:rsidRPr="003450BB" w:rsidRDefault="003A398D"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Pr>
                          <w:rFonts w:ascii="Calibri" w:hAnsi="Calibri"/>
                          <w:color w:val="FFFFFF"/>
                          <w:sz w:val="22"/>
                          <w:lang w:val="pt-BR"/>
                        </w:rPr>
                        <w:t>Doc. 85</w:t>
                      </w:r>
                    </w:p>
                    <w:p w:rsidR="001E784F" w:rsidRPr="003450BB" w:rsidRDefault="003A398D"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ES"/>
                        </w:rPr>
                      </w:pPr>
                      <w:r>
                        <w:rPr>
                          <w:rFonts w:ascii="Calibri" w:hAnsi="Calibri"/>
                          <w:color w:val="FFFFFF"/>
                          <w:sz w:val="22"/>
                          <w:lang w:val="es-ES"/>
                        </w:rPr>
                        <w:t>24 abril</w:t>
                      </w:r>
                      <w:r w:rsidR="001E784F" w:rsidRPr="003450BB">
                        <w:rPr>
                          <w:rFonts w:ascii="Calibri" w:hAnsi="Calibri"/>
                          <w:color w:val="FFFFFF"/>
                          <w:sz w:val="22"/>
                          <w:lang w:val="es-ES"/>
                        </w:rPr>
                        <w:t xml:space="preserve"> 20</w:t>
                      </w:r>
                      <w:r>
                        <w:rPr>
                          <w:rFonts w:ascii="Calibri" w:hAnsi="Calibri"/>
                          <w:color w:val="FFFFFF"/>
                          <w:sz w:val="22"/>
                          <w:lang w:val="es-ES"/>
                        </w:rPr>
                        <w:t>20</w:t>
                      </w:r>
                    </w:p>
                    <w:p w:rsidR="001E784F" w:rsidRPr="003450BB" w:rsidRDefault="001E784F"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ES"/>
                        </w:rPr>
                      </w:pPr>
                      <w:r w:rsidRPr="003450BB">
                        <w:rPr>
                          <w:rFonts w:ascii="Calibri" w:hAnsi="Calibri"/>
                          <w:color w:val="FFFFFF"/>
                          <w:sz w:val="22"/>
                          <w:lang w:val="es-ES"/>
                        </w:rPr>
                        <w:t>Original: español</w:t>
                      </w:r>
                    </w:p>
                  </w:txbxContent>
                </v:textbox>
              </v:shape>
            </w:pict>
          </mc:Fallback>
        </mc:AlternateContent>
      </w:r>
    </w:p>
    <w:p w:rsidR="001E784F" w:rsidRPr="0021378C" w:rsidRDefault="001E784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
        </w:rPr>
      </w:pPr>
    </w:p>
    <w:p w:rsidR="001E784F" w:rsidRPr="0021378C" w:rsidRDefault="001E784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
        </w:rPr>
      </w:pPr>
    </w:p>
    <w:p w:rsidR="001E784F" w:rsidRPr="0021378C" w:rsidRDefault="001E784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cs="Arial"/>
          <w:sz w:val="20"/>
          <w:szCs w:val="20"/>
          <w:lang w:val="es-ES"/>
        </w:rPr>
      </w:pPr>
    </w:p>
    <w:p w:rsidR="001E784F" w:rsidRPr="0021378C" w:rsidRDefault="001E784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
        </w:rPr>
      </w:pPr>
    </w:p>
    <w:p w:rsidR="001E784F" w:rsidRPr="0021378C" w:rsidRDefault="001E784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
        </w:rPr>
      </w:pPr>
    </w:p>
    <w:p w:rsidR="001E784F" w:rsidRPr="0021378C" w:rsidRDefault="001E784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
        </w:rPr>
      </w:pPr>
    </w:p>
    <w:p w:rsidR="001E784F" w:rsidRPr="0021378C" w:rsidRDefault="001E784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
        </w:rPr>
      </w:pPr>
    </w:p>
    <w:p w:rsidR="001E784F" w:rsidRPr="0021378C" w:rsidRDefault="001E784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
        </w:rPr>
      </w:pPr>
    </w:p>
    <w:p w:rsidR="001E784F" w:rsidRPr="0021378C" w:rsidRDefault="001E784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
        </w:rPr>
      </w:pPr>
    </w:p>
    <w:p w:rsidR="001E784F" w:rsidRPr="0021378C" w:rsidRDefault="001E784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
        </w:rPr>
      </w:pPr>
    </w:p>
    <w:p w:rsidR="001E784F" w:rsidRPr="0021378C" w:rsidRDefault="001E784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
        </w:rPr>
      </w:pPr>
    </w:p>
    <w:p w:rsidR="001E784F" w:rsidRPr="0021378C" w:rsidRDefault="001E784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
        </w:rPr>
      </w:pPr>
    </w:p>
    <w:p w:rsidR="001E784F" w:rsidRPr="0021378C" w:rsidRDefault="001E784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
        </w:rPr>
      </w:pPr>
    </w:p>
    <w:p w:rsidR="001E784F" w:rsidRPr="0021378C" w:rsidRDefault="001E784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
        </w:rPr>
      </w:pPr>
    </w:p>
    <w:p w:rsidR="001E784F" w:rsidRPr="0021378C" w:rsidRDefault="001E784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
        </w:rPr>
      </w:pPr>
    </w:p>
    <w:p w:rsidR="001E784F" w:rsidRPr="0021378C" w:rsidRDefault="001E784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
        </w:rPr>
      </w:pPr>
    </w:p>
    <w:p w:rsidR="001E784F" w:rsidRPr="0021378C" w:rsidRDefault="001E784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
        </w:rPr>
      </w:pPr>
    </w:p>
    <w:p w:rsidR="001E784F" w:rsidRPr="0021378C" w:rsidRDefault="001E784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
        </w:rPr>
      </w:pPr>
    </w:p>
    <w:p w:rsidR="001E784F" w:rsidRPr="0021378C" w:rsidRDefault="001E784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
        </w:rPr>
      </w:pPr>
    </w:p>
    <w:p w:rsidR="001E784F" w:rsidRPr="0021378C" w:rsidRDefault="001E784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
        </w:rPr>
      </w:pPr>
    </w:p>
    <w:p w:rsidR="001E784F" w:rsidRPr="0021378C" w:rsidRDefault="001E784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
        </w:rPr>
      </w:pPr>
    </w:p>
    <w:p w:rsidR="001E784F" w:rsidRPr="0021378C" w:rsidRDefault="001E784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
        </w:rPr>
      </w:pPr>
    </w:p>
    <w:p w:rsidR="001E784F" w:rsidRPr="0021378C" w:rsidRDefault="001E784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
        </w:rPr>
      </w:pPr>
    </w:p>
    <w:p w:rsidR="001E784F" w:rsidRPr="0021378C" w:rsidRDefault="001E784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
        </w:rPr>
      </w:pPr>
    </w:p>
    <w:p w:rsidR="001E784F" w:rsidRPr="0021378C" w:rsidRDefault="001E784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
        </w:rPr>
      </w:pPr>
    </w:p>
    <w:p w:rsidR="001E784F" w:rsidRPr="0021378C" w:rsidRDefault="001E784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
        </w:rPr>
      </w:pPr>
    </w:p>
    <w:p w:rsidR="001E784F" w:rsidRPr="0021378C" w:rsidRDefault="001E784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
        </w:rPr>
      </w:pPr>
    </w:p>
    <w:p w:rsidR="001E784F" w:rsidRPr="0021378C" w:rsidRDefault="001E784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
        </w:rPr>
      </w:pPr>
    </w:p>
    <w:p w:rsidR="001E784F" w:rsidRPr="0021378C" w:rsidRDefault="0025642E"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
        </w:rPr>
      </w:pPr>
      <w:r>
        <w:rPr>
          <w:noProof/>
        </w:rPr>
        <mc:AlternateContent>
          <mc:Choice Requires="wps">
            <w:drawing>
              <wp:anchor distT="0" distB="0" distL="114300" distR="114300" simplePos="0" relativeHeight="251656192" behindDoc="0" locked="0" layoutInCell="1" allowOverlap="1">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784F" w:rsidRPr="003450BB" w:rsidRDefault="001E784F" w:rsidP="00DD3D86">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lang w:val="es-ES"/>
                              </w:rPr>
                            </w:pPr>
                            <w:r w:rsidRPr="003450BB">
                              <w:rPr>
                                <w:rFonts w:ascii="Cambria" w:hAnsi="Cambria"/>
                                <w:color w:val="0D0D0D"/>
                                <w:sz w:val="18"/>
                                <w:szCs w:val="22"/>
                                <w:lang w:val="es-ES"/>
                              </w:rPr>
                              <w:t xml:space="preserve">Aprobado </w:t>
                            </w:r>
                            <w:proofErr w:type="spellStart"/>
                            <w:r w:rsidRPr="003450BB">
                              <w:rPr>
                                <w:rFonts w:ascii="Cambria" w:hAnsi="Cambria"/>
                                <w:color w:val="0D0D0D"/>
                                <w:sz w:val="18"/>
                                <w:szCs w:val="22"/>
                                <w:lang w:val="es-ES"/>
                              </w:rPr>
                              <w:t>electr</w:t>
                            </w:r>
                            <w:r w:rsidRPr="003450BB">
                              <w:rPr>
                                <w:rFonts w:ascii="Cambria" w:hAnsi="Cambria"/>
                                <w:color w:val="0D0D0D"/>
                                <w:sz w:val="18"/>
                                <w:szCs w:val="22"/>
                                <w:lang w:val="es-ES_tradnl"/>
                              </w:rPr>
                              <w:t>ónicamente</w:t>
                            </w:r>
                            <w:proofErr w:type="spellEnd"/>
                            <w:r w:rsidR="003A398D">
                              <w:rPr>
                                <w:rFonts w:ascii="Cambria" w:hAnsi="Cambria"/>
                                <w:color w:val="0D0D0D"/>
                                <w:sz w:val="18"/>
                                <w:szCs w:val="22"/>
                                <w:lang w:val="es-ES"/>
                              </w:rPr>
                              <w:t xml:space="preserve"> por la Comisión el 24</w:t>
                            </w:r>
                            <w:r w:rsidRPr="003450BB">
                              <w:rPr>
                                <w:rFonts w:ascii="Cambria" w:hAnsi="Cambria"/>
                                <w:color w:val="0D0D0D"/>
                                <w:sz w:val="18"/>
                                <w:szCs w:val="22"/>
                                <w:lang w:val="es-ES"/>
                              </w:rPr>
                              <w:t xml:space="preserve"> de </w:t>
                            </w:r>
                            <w:r w:rsidR="003A398D">
                              <w:rPr>
                                <w:rFonts w:ascii="Cambria" w:hAnsi="Cambria"/>
                                <w:color w:val="0D0D0D"/>
                                <w:sz w:val="18"/>
                                <w:szCs w:val="22"/>
                                <w:lang w:val="es-ES"/>
                              </w:rPr>
                              <w:t>abril</w:t>
                            </w:r>
                            <w:r w:rsidRPr="003450BB">
                              <w:rPr>
                                <w:rFonts w:ascii="Cambria" w:hAnsi="Cambria"/>
                                <w:color w:val="0D0D0D"/>
                                <w:sz w:val="18"/>
                                <w:szCs w:val="22"/>
                                <w:lang w:val="es-ES"/>
                              </w:rPr>
                              <w:t xml:space="preserve"> de 2020</w:t>
                            </w:r>
                            <w:r w:rsidR="00565165">
                              <w:rPr>
                                <w:rFonts w:ascii="Cambria" w:hAnsi="Cambria"/>
                                <w:color w:val="0D0D0D"/>
                                <w:sz w:val="18"/>
                                <w:szCs w:val="22"/>
                                <w:lang w:val="es-ES"/>
                              </w:rPr>
                              <w:t>.</w:t>
                            </w:r>
                          </w:p>
                          <w:p w:rsidR="001E784F" w:rsidRPr="003450BB" w:rsidRDefault="001E784F"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rsidR="001E784F" w:rsidRPr="003450BB" w:rsidRDefault="001E784F"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rsidR="001E784F" w:rsidRPr="003450BB" w:rsidRDefault="001E784F" w:rsidP="00DD3D86">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lang w:val="es-ES"/>
                        </w:rPr>
                      </w:pPr>
                      <w:r w:rsidRPr="003450BB">
                        <w:rPr>
                          <w:rFonts w:ascii="Cambria" w:hAnsi="Cambria"/>
                          <w:color w:val="0D0D0D"/>
                          <w:sz w:val="18"/>
                          <w:szCs w:val="22"/>
                          <w:lang w:val="es-ES"/>
                        </w:rPr>
                        <w:t xml:space="preserve">Aprobado </w:t>
                      </w:r>
                      <w:proofErr w:type="spellStart"/>
                      <w:r w:rsidRPr="003450BB">
                        <w:rPr>
                          <w:rFonts w:ascii="Cambria" w:hAnsi="Cambria"/>
                          <w:color w:val="0D0D0D"/>
                          <w:sz w:val="18"/>
                          <w:szCs w:val="22"/>
                          <w:lang w:val="es-ES"/>
                        </w:rPr>
                        <w:t>electr</w:t>
                      </w:r>
                      <w:r w:rsidRPr="003450BB">
                        <w:rPr>
                          <w:rFonts w:ascii="Cambria" w:hAnsi="Cambria"/>
                          <w:color w:val="0D0D0D"/>
                          <w:sz w:val="18"/>
                          <w:szCs w:val="22"/>
                          <w:lang w:val="es-ES_tradnl"/>
                        </w:rPr>
                        <w:t>ónicamente</w:t>
                      </w:r>
                      <w:proofErr w:type="spellEnd"/>
                      <w:r w:rsidR="003A398D">
                        <w:rPr>
                          <w:rFonts w:ascii="Cambria" w:hAnsi="Cambria"/>
                          <w:color w:val="0D0D0D"/>
                          <w:sz w:val="18"/>
                          <w:szCs w:val="22"/>
                          <w:lang w:val="es-ES"/>
                        </w:rPr>
                        <w:t xml:space="preserve"> por la Comisión el 24</w:t>
                      </w:r>
                      <w:r w:rsidRPr="003450BB">
                        <w:rPr>
                          <w:rFonts w:ascii="Cambria" w:hAnsi="Cambria"/>
                          <w:color w:val="0D0D0D"/>
                          <w:sz w:val="18"/>
                          <w:szCs w:val="22"/>
                          <w:lang w:val="es-ES"/>
                        </w:rPr>
                        <w:t xml:space="preserve"> de </w:t>
                      </w:r>
                      <w:r w:rsidR="003A398D">
                        <w:rPr>
                          <w:rFonts w:ascii="Cambria" w:hAnsi="Cambria"/>
                          <w:color w:val="0D0D0D"/>
                          <w:sz w:val="18"/>
                          <w:szCs w:val="22"/>
                          <w:lang w:val="es-ES"/>
                        </w:rPr>
                        <w:t>abril</w:t>
                      </w:r>
                      <w:r w:rsidRPr="003450BB">
                        <w:rPr>
                          <w:rFonts w:ascii="Cambria" w:hAnsi="Cambria"/>
                          <w:color w:val="0D0D0D"/>
                          <w:sz w:val="18"/>
                          <w:szCs w:val="22"/>
                          <w:lang w:val="es-ES"/>
                        </w:rPr>
                        <w:t xml:space="preserve"> de 2020</w:t>
                      </w:r>
                      <w:r w:rsidR="00565165">
                        <w:rPr>
                          <w:rFonts w:ascii="Cambria" w:hAnsi="Cambria"/>
                          <w:color w:val="0D0D0D"/>
                          <w:sz w:val="18"/>
                          <w:szCs w:val="22"/>
                          <w:lang w:val="es-ES"/>
                        </w:rPr>
                        <w:t>.</w:t>
                      </w:r>
                    </w:p>
                    <w:p w:rsidR="001E784F" w:rsidRPr="003450BB" w:rsidRDefault="001E784F"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rsidR="001E784F" w:rsidRPr="003450BB" w:rsidRDefault="001E784F"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v:textbox>
              </v:shape>
            </w:pict>
          </mc:Fallback>
        </mc:AlternateContent>
      </w:r>
    </w:p>
    <w:p w:rsidR="001E784F" w:rsidRPr="0021378C" w:rsidRDefault="001E784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
        </w:rPr>
      </w:pPr>
    </w:p>
    <w:p w:rsidR="001E784F" w:rsidRPr="0021378C" w:rsidRDefault="001E784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
        </w:rPr>
      </w:pPr>
    </w:p>
    <w:p w:rsidR="001E784F" w:rsidRPr="0021378C" w:rsidRDefault="001E784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
        </w:rPr>
      </w:pPr>
    </w:p>
    <w:p w:rsidR="001E784F" w:rsidRPr="0021378C" w:rsidRDefault="001E784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
        </w:rPr>
      </w:pPr>
    </w:p>
    <w:p w:rsidR="001E784F" w:rsidRPr="0021378C" w:rsidRDefault="0025642E"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
        </w:rPr>
      </w:pPr>
      <w:r>
        <w:rPr>
          <w:noProof/>
        </w:rPr>
        <mc:AlternateContent>
          <mc:Choice Requires="wps">
            <w:drawing>
              <wp:anchor distT="0" distB="0" distL="114300" distR="114300" simplePos="0" relativeHeight="251659264" behindDoc="0" locked="0" layoutInCell="1" allowOverlap="1">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784F" w:rsidRPr="003450BB" w:rsidRDefault="001E784F"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3450BB">
                              <w:rPr>
                                <w:rFonts w:ascii="Cambria" w:hAnsi="Cambria"/>
                                <w:b/>
                                <w:color w:val="595959"/>
                                <w:sz w:val="18"/>
                                <w:szCs w:val="18"/>
                                <w:lang w:val="pt-BR"/>
                              </w:rPr>
                              <w:t>Citar como:</w:t>
                            </w:r>
                            <w:r w:rsidRPr="003450BB">
                              <w:rPr>
                                <w:rFonts w:ascii="Cambria" w:hAnsi="Cambria"/>
                                <w:color w:val="595959"/>
                                <w:sz w:val="18"/>
                                <w:szCs w:val="18"/>
                                <w:lang w:val="pt-BR"/>
                              </w:rPr>
                              <w:t xml:space="preserve"> CIDH, Informe No.</w:t>
                            </w:r>
                            <w:r w:rsidR="003A398D">
                              <w:rPr>
                                <w:rFonts w:ascii="Cambria" w:hAnsi="Cambria"/>
                                <w:color w:val="595959"/>
                                <w:sz w:val="18"/>
                                <w:szCs w:val="18"/>
                                <w:lang w:val="pt-BR"/>
                              </w:rPr>
                              <w:t xml:space="preserve"> </w:t>
                            </w:r>
                            <w:r w:rsidR="003A398D">
                              <w:rPr>
                                <w:rFonts w:ascii="Cambria" w:hAnsi="Cambria"/>
                                <w:color w:val="595959"/>
                                <w:sz w:val="18"/>
                                <w:szCs w:val="18"/>
                                <w:lang w:val="pt-BR"/>
                              </w:rPr>
                              <w:t>75/20</w:t>
                            </w:r>
                            <w:r w:rsidRPr="003450BB">
                              <w:rPr>
                                <w:rFonts w:ascii="Cambria" w:hAnsi="Cambria"/>
                                <w:color w:val="595959"/>
                                <w:sz w:val="18"/>
                                <w:szCs w:val="18"/>
                                <w:lang w:val="pt-BR"/>
                              </w:rPr>
                              <w:t xml:space="preserve">. </w:t>
                            </w:r>
                            <w:r w:rsidR="00565165">
                              <w:rPr>
                                <w:rFonts w:ascii="Cambria" w:hAnsi="Cambria"/>
                                <w:color w:val="595959"/>
                                <w:sz w:val="18"/>
                                <w:szCs w:val="18"/>
                                <w:lang w:val="pt-BR"/>
                              </w:rPr>
                              <w:t xml:space="preserve"> </w:t>
                            </w:r>
                            <w:r w:rsidR="00565165">
                              <w:rPr>
                                <w:rFonts w:ascii="Cambria" w:hAnsi="Cambria"/>
                                <w:color w:val="595959"/>
                                <w:sz w:val="18"/>
                                <w:szCs w:val="18"/>
                                <w:lang w:val="pt-BR"/>
                              </w:rPr>
                              <w:t xml:space="preserve">Petición 1011-11. </w:t>
                            </w:r>
                            <w:r w:rsidRPr="003450BB">
                              <w:rPr>
                                <w:rFonts w:ascii="Cambria" w:hAnsi="Cambria"/>
                                <w:color w:val="595959"/>
                                <w:sz w:val="18"/>
                                <w:szCs w:val="18"/>
                                <w:lang w:val="es-ES_tradnl"/>
                              </w:rPr>
                              <w:t xml:space="preserve">Admisibilidad. Gabriel Alejandro Vasco </w:t>
                            </w:r>
                            <w:proofErr w:type="spellStart"/>
                            <w:r w:rsidRPr="003450BB">
                              <w:rPr>
                                <w:rFonts w:ascii="Cambria" w:hAnsi="Cambria"/>
                                <w:color w:val="595959"/>
                                <w:sz w:val="18"/>
                                <w:szCs w:val="18"/>
                                <w:lang w:val="es-ES_tradnl"/>
                              </w:rPr>
                              <w:t>Toapanta</w:t>
                            </w:r>
                            <w:proofErr w:type="spellEnd"/>
                            <w:r w:rsidRPr="003450BB">
                              <w:rPr>
                                <w:rFonts w:ascii="Cambria" w:hAnsi="Cambria"/>
                                <w:color w:val="595959"/>
                                <w:sz w:val="18"/>
                                <w:szCs w:val="18"/>
                                <w:lang w:val="es-ES_tradnl"/>
                              </w:rPr>
                              <w:t xml:space="preserve"> y otros. Ecuador. </w:t>
                            </w:r>
                            <w:r w:rsidR="003A398D">
                              <w:rPr>
                                <w:rFonts w:ascii="Cambria" w:hAnsi="Cambria"/>
                                <w:color w:val="595959"/>
                                <w:sz w:val="18"/>
                                <w:szCs w:val="18"/>
                                <w:lang w:val="es-ES"/>
                              </w:rPr>
                              <w:t>24 de abril de 2020</w:t>
                            </w:r>
                            <w:r w:rsidRPr="003450BB">
                              <w:rPr>
                                <w:rFonts w:ascii="Cambria" w:hAnsi="Cambria"/>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rsidR="001E784F" w:rsidRPr="003450BB" w:rsidRDefault="001E784F"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3450BB">
                        <w:rPr>
                          <w:rFonts w:ascii="Cambria" w:hAnsi="Cambria"/>
                          <w:b/>
                          <w:color w:val="595959"/>
                          <w:sz w:val="18"/>
                          <w:szCs w:val="18"/>
                          <w:lang w:val="pt-BR"/>
                        </w:rPr>
                        <w:t>Citar como:</w:t>
                      </w:r>
                      <w:r w:rsidRPr="003450BB">
                        <w:rPr>
                          <w:rFonts w:ascii="Cambria" w:hAnsi="Cambria"/>
                          <w:color w:val="595959"/>
                          <w:sz w:val="18"/>
                          <w:szCs w:val="18"/>
                          <w:lang w:val="pt-BR"/>
                        </w:rPr>
                        <w:t xml:space="preserve"> CIDH, Informe No.</w:t>
                      </w:r>
                      <w:r w:rsidR="003A398D">
                        <w:rPr>
                          <w:rFonts w:ascii="Cambria" w:hAnsi="Cambria"/>
                          <w:color w:val="595959"/>
                          <w:sz w:val="18"/>
                          <w:szCs w:val="18"/>
                          <w:lang w:val="pt-BR"/>
                        </w:rPr>
                        <w:t xml:space="preserve"> </w:t>
                      </w:r>
                      <w:r w:rsidR="003A398D">
                        <w:rPr>
                          <w:rFonts w:ascii="Cambria" w:hAnsi="Cambria"/>
                          <w:color w:val="595959"/>
                          <w:sz w:val="18"/>
                          <w:szCs w:val="18"/>
                          <w:lang w:val="pt-BR"/>
                        </w:rPr>
                        <w:t>75/20</w:t>
                      </w:r>
                      <w:r w:rsidRPr="003450BB">
                        <w:rPr>
                          <w:rFonts w:ascii="Cambria" w:hAnsi="Cambria"/>
                          <w:color w:val="595959"/>
                          <w:sz w:val="18"/>
                          <w:szCs w:val="18"/>
                          <w:lang w:val="pt-BR"/>
                        </w:rPr>
                        <w:t xml:space="preserve">. </w:t>
                      </w:r>
                      <w:r w:rsidR="00565165">
                        <w:rPr>
                          <w:rFonts w:ascii="Cambria" w:hAnsi="Cambria"/>
                          <w:color w:val="595959"/>
                          <w:sz w:val="18"/>
                          <w:szCs w:val="18"/>
                          <w:lang w:val="pt-BR"/>
                        </w:rPr>
                        <w:t xml:space="preserve"> </w:t>
                      </w:r>
                      <w:r w:rsidR="00565165">
                        <w:rPr>
                          <w:rFonts w:ascii="Cambria" w:hAnsi="Cambria"/>
                          <w:color w:val="595959"/>
                          <w:sz w:val="18"/>
                          <w:szCs w:val="18"/>
                          <w:lang w:val="pt-BR"/>
                        </w:rPr>
                        <w:t xml:space="preserve">Petición 1011-11. </w:t>
                      </w:r>
                      <w:r w:rsidRPr="003450BB">
                        <w:rPr>
                          <w:rFonts w:ascii="Cambria" w:hAnsi="Cambria"/>
                          <w:color w:val="595959"/>
                          <w:sz w:val="18"/>
                          <w:szCs w:val="18"/>
                          <w:lang w:val="es-ES_tradnl"/>
                        </w:rPr>
                        <w:t xml:space="preserve">Admisibilidad. Gabriel Alejandro Vasco </w:t>
                      </w:r>
                      <w:proofErr w:type="spellStart"/>
                      <w:r w:rsidRPr="003450BB">
                        <w:rPr>
                          <w:rFonts w:ascii="Cambria" w:hAnsi="Cambria"/>
                          <w:color w:val="595959"/>
                          <w:sz w:val="18"/>
                          <w:szCs w:val="18"/>
                          <w:lang w:val="es-ES_tradnl"/>
                        </w:rPr>
                        <w:t>Toapanta</w:t>
                      </w:r>
                      <w:proofErr w:type="spellEnd"/>
                      <w:r w:rsidRPr="003450BB">
                        <w:rPr>
                          <w:rFonts w:ascii="Cambria" w:hAnsi="Cambria"/>
                          <w:color w:val="595959"/>
                          <w:sz w:val="18"/>
                          <w:szCs w:val="18"/>
                          <w:lang w:val="es-ES_tradnl"/>
                        </w:rPr>
                        <w:t xml:space="preserve"> y otros. Ecuador. </w:t>
                      </w:r>
                      <w:r w:rsidR="003A398D">
                        <w:rPr>
                          <w:rFonts w:ascii="Cambria" w:hAnsi="Cambria"/>
                          <w:color w:val="595959"/>
                          <w:sz w:val="18"/>
                          <w:szCs w:val="18"/>
                          <w:lang w:val="es-ES"/>
                        </w:rPr>
                        <w:t>24 de abril de 2020</w:t>
                      </w:r>
                      <w:r w:rsidRPr="003450BB">
                        <w:rPr>
                          <w:rFonts w:ascii="Cambria" w:hAnsi="Cambria"/>
                          <w:color w:val="595959"/>
                          <w:sz w:val="18"/>
                          <w:szCs w:val="18"/>
                          <w:lang w:val="es-ES"/>
                        </w:rPr>
                        <w:t>.</w:t>
                      </w:r>
                    </w:p>
                  </w:txbxContent>
                </v:textbox>
              </v:shape>
            </w:pict>
          </mc:Fallback>
        </mc:AlternateContent>
      </w:r>
    </w:p>
    <w:p w:rsidR="001E784F" w:rsidRPr="0021378C" w:rsidRDefault="001E784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
        </w:rPr>
      </w:pPr>
    </w:p>
    <w:p w:rsidR="001E784F" w:rsidRPr="0021378C" w:rsidRDefault="0025642E"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szCs w:val="20"/>
          <w:lang w:val="es-ES"/>
        </w:rPr>
      </w:pPr>
      <w:r>
        <w:rPr>
          <w:noProof/>
        </w:rPr>
        <mc:AlternateContent>
          <mc:Choice Requires="wps">
            <w:drawing>
              <wp:anchor distT="0" distB="0" distL="114300" distR="114300" simplePos="0" relativeHeight="251660288" behindDoc="0" locked="0" layoutInCell="1" allowOverlap="1">
                <wp:simplePos x="0" y="0"/>
                <wp:positionH relativeFrom="column">
                  <wp:posOffset>1329690</wp:posOffset>
                </wp:positionH>
                <wp:positionV relativeFrom="paragraph">
                  <wp:posOffset>638810</wp:posOffset>
                </wp:positionV>
                <wp:extent cx="4096385" cy="567055"/>
                <wp:effectExtent l="0" t="0" r="3175" b="444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6385" cy="5670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E784F" w:rsidRPr="003450BB" w:rsidRDefault="0025642E" w:rsidP="00F02AD1">
                            <w:pPr>
                              <w:pBdr>
                                <w:top w:val="none" w:sz="0" w:space="0" w:color="auto"/>
                                <w:left w:val="none" w:sz="0" w:space="0" w:color="auto"/>
                                <w:bottom w:val="none" w:sz="0" w:space="0" w:color="auto"/>
                                <w:right w:val="none" w:sz="0" w:space="0" w:color="auto"/>
                                <w:bar w:val="none" w:sz="0" w:color="auto"/>
                              </w:pBdr>
                              <w:rPr>
                                <w:color w:val="FFFFFF"/>
                              </w:rPr>
                            </w:pPr>
                            <w:r>
                              <w:rPr>
                                <w:noProof/>
                                <w:color w:val="FFFFFF"/>
                              </w:rPr>
                              <w:drawing>
                                <wp:inline distT="0" distB="0" distL="0" distR="0">
                                  <wp:extent cx="1895475" cy="495300"/>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475" cy="495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9" o:spid="_x0000_s1031" type="#_x0000_t202" style="position:absolute;left:0;text-align:left;margin-left:104.7pt;margin-top:50.3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ZqHhQIAABY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" stroked="f" strokeweight=".5pt">
                <v:textbox>
                  <w:txbxContent>
                    <w:p w:rsidR="001E784F" w:rsidRPr="003450BB" w:rsidRDefault="0025642E" w:rsidP="00F02AD1">
                      <w:pPr>
                        <w:pBdr>
                          <w:top w:val="none" w:sz="0" w:space="0" w:color="auto"/>
                          <w:left w:val="none" w:sz="0" w:space="0" w:color="auto"/>
                          <w:bottom w:val="none" w:sz="0" w:space="0" w:color="auto"/>
                          <w:right w:val="none" w:sz="0" w:space="0" w:color="auto"/>
                          <w:bar w:val="none" w:sz="0" w:color="auto"/>
                        </w:pBdr>
                        <w:rPr>
                          <w:color w:val="FFFFFF"/>
                        </w:rPr>
                      </w:pPr>
                      <w:r>
                        <w:rPr>
                          <w:noProof/>
                          <w:color w:val="FFFFFF"/>
                        </w:rPr>
                        <w:drawing>
                          <wp:inline distT="0" distB="0" distL="0" distR="0">
                            <wp:extent cx="1895475" cy="495300"/>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5475" cy="4953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-272415</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784F" w:rsidRPr="003450BB" w:rsidRDefault="001E784F"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3450BB">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4" o:spid="_x0000_s1032" type="#_x0000_t202" style="position:absolute;left:0;text-align:left;margin-left:-21.45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dDjA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" filled="f" stroked="f" strokeweight=".5pt">
                <v:path arrowok="t"/>
                <v:textbox>
                  <w:txbxContent>
                    <w:p w:rsidR="001E784F" w:rsidRPr="003450BB" w:rsidRDefault="001E784F"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3450BB">
                        <w:rPr>
                          <w:rFonts w:ascii="Calibri" w:hAnsi="Calibri"/>
                          <w:b/>
                          <w:color w:val="FFFFFF"/>
                          <w:lang w:val="pt-BR"/>
                        </w:rPr>
                        <w:t>www.cidh.org</w:t>
                      </w:r>
                    </w:p>
                  </w:txbxContent>
                </v:textbox>
              </v:shape>
            </w:pict>
          </mc:Fallback>
        </mc:AlternateContent>
      </w:r>
    </w:p>
    <w:p w:rsidR="001E784F" w:rsidRPr="0021378C" w:rsidRDefault="001E784F"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szCs w:val="20"/>
          <w:lang w:val="es-ES"/>
        </w:rPr>
        <w:sectPr w:rsidR="001E784F" w:rsidRPr="0021378C"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rtlGutter/>
          <w:docGrid w:linePitch="326"/>
        </w:sectPr>
      </w:pPr>
      <w:r w:rsidRPr="0021378C">
        <w:rPr>
          <w:rFonts w:ascii="Cambria" w:hAnsi="Cambria"/>
          <w:b/>
          <w:sz w:val="20"/>
          <w:szCs w:val="20"/>
          <w:lang w:val="es-ES"/>
        </w:rPr>
        <w:tab/>
      </w:r>
    </w:p>
    <w:p w:rsidR="001E784F" w:rsidRPr="0021378C" w:rsidRDefault="001E784F" w:rsidP="007C402A">
      <w:pPr>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b/>
          <w:bCs/>
          <w:sz w:val="20"/>
          <w:szCs w:val="20"/>
          <w:lang w:val="es-ES"/>
        </w:rPr>
      </w:pPr>
      <w:r w:rsidRPr="0021378C">
        <w:rPr>
          <w:rFonts w:ascii="Cambria" w:hAnsi="Cambria"/>
          <w:b/>
          <w:bCs/>
          <w:sz w:val="20"/>
          <w:szCs w:val="20"/>
          <w:lang w:val="es-ES"/>
        </w:rPr>
        <w:lastRenderedPageBreak/>
        <w:t>I.</w:t>
      </w:r>
      <w:r w:rsidRPr="0021378C">
        <w:rPr>
          <w:rFonts w:ascii="Cambria" w:hAnsi="Cambria"/>
          <w:b/>
          <w:bCs/>
          <w:sz w:val="20"/>
          <w:szCs w:val="20"/>
          <w:lang w:val="es-ES"/>
        </w:rPr>
        <w:tab/>
        <w:t xml:space="preserve">DATOS DE LA PETICIÓN </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90"/>
        <w:gridCol w:w="6570"/>
      </w:tblGrid>
      <w:tr w:rsidR="001E784F" w:rsidRPr="00A31D9B" w:rsidTr="003450BB">
        <w:tc>
          <w:tcPr>
            <w:tcW w:w="2790" w:type="dxa"/>
            <w:tcBorders>
              <w:top w:val="single" w:sz="4" w:space="0" w:color="auto"/>
            </w:tcBorders>
            <w:shd w:val="clear" w:color="auto" w:fill="386294"/>
            <w:vAlign w:val="center"/>
          </w:tcPr>
          <w:p w:rsidR="001E784F" w:rsidRPr="003450BB" w:rsidRDefault="001E784F" w:rsidP="003450BB">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20"/>
                <w:szCs w:val="20"/>
                <w:lang w:val="es-ES"/>
              </w:rPr>
            </w:pPr>
            <w:r w:rsidRPr="003450BB">
              <w:rPr>
                <w:rFonts w:ascii="Cambria" w:hAnsi="Cambria"/>
                <w:bCs/>
                <w:color w:val="FFFFFF"/>
                <w:sz w:val="20"/>
                <w:szCs w:val="20"/>
                <w:lang w:val="es-ES"/>
              </w:rPr>
              <w:t>Parte peticionaria</w:t>
            </w:r>
          </w:p>
        </w:tc>
        <w:tc>
          <w:tcPr>
            <w:tcW w:w="6570" w:type="dxa"/>
            <w:tcBorders>
              <w:top w:val="single" w:sz="4" w:space="0" w:color="auto"/>
            </w:tcBorders>
            <w:vAlign w:val="center"/>
          </w:tcPr>
          <w:p w:rsidR="001E784F" w:rsidRPr="003450BB" w:rsidRDefault="001E784F" w:rsidP="003450BB">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3450BB">
              <w:rPr>
                <w:rFonts w:ascii="Cambria" w:hAnsi="Cambria"/>
                <w:bCs/>
                <w:sz w:val="20"/>
                <w:szCs w:val="20"/>
                <w:lang w:val="es-ES"/>
              </w:rPr>
              <w:t>Santiago Vasco Morales,</w:t>
            </w:r>
            <w:r w:rsidRPr="003450BB">
              <w:rPr>
                <w:lang w:val="es-AR"/>
              </w:rPr>
              <w:t xml:space="preserve"> </w:t>
            </w:r>
            <w:r w:rsidRPr="003450BB">
              <w:rPr>
                <w:rFonts w:ascii="Cambria" w:hAnsi="Cambria"/>
                <w:bCs/>
                <w:sz w:val="20"/>
                <w:szCs w:val="20"/>
                <w:lang w:val="es-ES"/>
              </w:rPr>
              <w:t xml:space="preserve">Christian Oswaldo </w:t>
            </w:r>
            <w:proofErr w:type="spellStart"/>
            <w:r w:rsidRPr="003450BB">
              <w:rPr>
                <w:rFonts w:ascii="Cambria" w:hAnsi="Cambria"/>
                <w:bCs/>
                <w:sz w:val="20"/>
                <w:szCs w:val="20"/>
                <w:lang w:val="es-ES"/>
              </w:rPr>
              <w:t>Asanza</w:t>
            </w:r>
            <w:proofErr w:type="spellEnd"/>
            <w:r w:rsidRPr="003450BB">
              <w:rPr>
                <w:rFonts w:ascii="Cambria" w:hAnsi="Cambria"/>
                <w:bCs/>
                <w:sz w:val="20"/>
                <w:szCs w:val="20"/>
                <w:lang w:val="es-ES"/>
              </w:rPr>
              <w:t xml:space="preserve"> Reyes, Juan Pablo Albán </w:t>
            </w:r>
            <w:proofErr w:type="spellStart"/>
            <w:r w:rsidRPr="003450BB">
              <w:rPr>
                <w:rFonts w:ascii="Cambria" w:hAnsi="Cambria"/>
                <w:bCs/>
                <w:sz w:val="20"/>
                <w:szCs w:val="20"/>
                <w:lang w:val="es-ES"/>
              </w:rPr>
              <w:t>Alencastro</w:t>
            </w:r>
            <w:proofErr w:type="spellEnd"/>
            <w:r w:rsidRPr="003450BB">
              <w:rPr>
                <w:rFonts w:ascii="Cambria" w:hAnsi="Cambria"/>
                <w:bCs/>
                <w:sz w:val="20"/>
                <w:szCs w:val="20"/>
                <w:lang w:val="es-ES"/>
              </w:rPr>
              <w:t xml:space="preserve">, Beatriz </w:t>
            </w:r>
            <w:proofErr w:type="spellStart"/>
            <w:r w:rsidRPr="003450BB">
              <w:rPr>
                <w:rFonts w:ascii="Cambria" w:hAnsi="Cambria"/>
                <w:bCs/>
                <w:sz w:val="20"/>
                <w:szCs w:val="20"/>
                <w:lang w:val="es-ES"/>
              </w:rPr>
              <w:t>Meythaler</w:t>
            </w:r>
            <w:proofErr w:type="spellEnd"/>
            <w:r w:rsidRPr="003450BB">
              <w:rPr>
                <w:rFonts w:ascii="Cambria" w:hAnsi="Cambria"/>
                <w:bCs/>
                <w:sz w:val="20"/>
                <w:szCs w:val="20"/>
                <w:lang w:val="es-ES"/>
              </w:rPr>
              <w:t xml:space="preserve"> y Gabriela Flores</w:t>
            </w:r>
          </w:p>
        </w:tc>
      </w:tr>
      <w:tr w:rsidR="001E784F" w:rsidRPr="00A31D9B" w:rsidTr="003450BB">
        <w:tc>
          <w:tcPr>
            <w:tcW w:w="2790" w:type="dxa"/>
            <w:shd w:val="clear" w:color="auto" w:fill="386294"/>
            <w:vAlign w:val="center"/>
          </w:tcPr>
          <w:p w:rsidR="001E784F" w:rsidRPr="003450BB" w:rsidRDefault="001E784F" w:rsidP="003450BB">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20"/>
                <w:szCs w:val="20"/>
                <w:lang w:val="es-ES"/>
              </w:rPr>
            </w:pPr>
            <w:r w:rsidRPr="003450BB">
              <w:rPr>
                <w:rFonts w:ascii="Cambria" w:hAnsi="Cambria"/>
                <w:bCs/>
                <w:color w:val="FFFFFF"/>
                <w:sz w:val="20"/>
                <w:szCs w:val="20"/>
                <w:lang w:val="es-ES"/>
              </w:rPr>
              <w:t>Presunta víctima</w:t>
            </w:r>
          </w:p>
        </w:tc>
        <w:tc>
          <w:tcPr>
            <w:tcW w:w="6570" w:type="dxa"/>
            <w:vAlign w:val="center"/>
          </w:tcPr>
          <w:p w:rsidR="001E784F" w:rsidRPr="003450BB" w:rsidRDefault="001E784F" w:rsidP="003450BB">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3450BB">
              <w:rPr>
                <w:rFonts w:ascii="Cambria" w:hAnsi="Cambria"/>
                <w:bCs/>
                <w:sz w:val="20"/>
                <w:szCs w:val="20"/>
                <w:lang w:val="es-ES"/>
              </w:rPr>
              <w:t xml:space="preserve">Gabriel Alejandro Vasco </w:t>
            </w:r>
            <w:proofErr w:type="spellStart"/>
            <w:r w:rsidRPr="003450BB">
              <w:rPr>
                <w:rFonts w:ascii="Cambria" w:hAnsi="Cambria"/>
                <w:bCs/>
                <w:sz w:val="20"/>
                <w:szCs w:val="20"/>
                <w:lang w:val="es-ES"/>
              </w:rPr>
              <w:t>Toapanta</w:t>
            </w:r>
            <w:proofErr w:type="spellEnd"/>
            <w:r w:rsidRPr="003450BB">
              <w:rPr>
                <w:rFonts w:ascii="Cambria" w:hAnsi="Cambria"/>
                <w:bCs/>
                <w:sz w:val="20"/>
                <w:szCs w:val="20"/>
                <w:lang w:val="es-ES"/>
              </w:rPr>
              <w:t xml:space="preserve"> y otros</w:t>
            </w:r>
            <w:r w:rsidRPr="003450BB">
              <w:rPr>
                <w:rStyle w:val="FootnoteReference"/>
                <w:rFonts w:ascii="Cambria" w:hAnsi="Cambria"/>
                <w:sz w:val="20"/>
                <w:szCs w:val="20"/>
                <w:lang w:val="es-ES"/>
              </w:rPr>
              <w:footnoteReference w:id="2"/>
            </w:r>
          </w:p>
        </w:tc>
      </w:tr>
      <w:tr w:rsidR="001E784F" w:rsidRPr="0021378C" w:rsidTr="003450BB">
        <w:tc>
          <w:tcPr>
            <w:tcW w:w="2790" w:type="dxa"/>
            <w:shd w:val="clear" w:color="auto" w:fill="386294"/>
            <w:vAlign w:val="center"/>
          </w:tcPr>
          <w:p w:rsidR="001E784F" w:rsidRPr="003450BB" w:rsidRDefault="001E784F" w:rsidP="003450BB">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20"/>
                <w:szCs w:val="20"/>
                <w:lang w:val="es-ES"/>
              </w:rPr>
            </w:pPr>
            <w:r w:rsidRPr="003450BB">
              <w:rPr>
                <w:rFonts w:ascii="Cambria" w:hAnsi="Cambria"/>
                <w:bCs/>
                <w:color w:val="FFFFFF"/>
                <w:sz w:val="20"/>
                <w:szCs w:val="20"/>
                <w:lang w:val="es-ES"/>
              </w:rPr>
              <w:t>Estado denunciado</w:t>
            </w:r>
          </w:p>
        </w:tc>
        <w:tc>
          <w:tcPr>
            <w:tcW w:w="6570" w:type="dxa"/>
            <w:vAlign w:val="center"/>
          </w:tcPr>
          <w:p w:rsidR="001E784F" w:rsidRPr="003450BB" w:rsidRDefault="001E784F" w:rsidP="003450BB">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3450BB">
              <w:rPr>
                <w:rFonts w:ascii="Cambria" w:hAnsi="Cambria"/>
                <w:bCs/>
                <w:sz w:val="20"/>
                <w:szCs w:val="20"/>
                <w:lang w:val="es-ES"/>
              </w:rPr>
              <w:t>Ecuador</w:t>
            </w:r>
          </w:p>
        </w:tc>
      </w:tr>
      <w:tr w:rsidR="001E784F" w:rsidRPr="00A31D9B" w:rsidTr="003450BB">
        <w:tc>
          <w:tcPr>
            <w:tcW w:w="2790" w:type="dxa"/>
            <w:tcBorders>
              <w:bottom w:val="single" w:sz="4" w:space="0" w:color="auto"/>
            </w:tcBorders>
            <w:shd w:val="clear" w:color="auto" w:fill="386294"/>
            <w:vAlign w:val="center"/>
          </w:tcPr>
          <w:p w:rsidR="001E784F" w:rsidRPr="003450BB" w:rsidRDefault="001E784F" w:rsidP="003450BB">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20"/>
                <w:szCs w:val="20"/>
                <w:lang w:val="es-ES"/>
              </w:rPr>
            </w:pPr>
            <w:r w:rsidRPr="003450BB">
              <w:rPr>
                <w:rFonts w:ascii="Cambria" w:hAnsi="Cambria"/>
                <w:bCs/>
                <w:color w:val="FFFFFF"/>
                <w:sz w:val="20"/>
                <w:szCs w:val="20"/>
                <w:lang w:val="es-ES"/>
              </w:rPr>
              <w:t>Derechos invocados</w:t>
            </w:r>
          </w:p>
        </w:tc>
        <w:tc>
          <w:tcPr>
            <w:tcW w:w="6570" w:type="dxa"/>
            <w:tcBorders>
              <w:bottom w:val="single" w:sz="4" w:space="0" w:color="auto"/>
            </w:tcBorders>
            <w:vAlign w:val="center"/>
          </w:tcPr>
          <w:p w:rsidR="001E784F" w:rsidRPr="003450BB" w:rsidRDefault="001E784F" w:rsidP="003450BB">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3450BB">
              <w:rPr>
                <w:rFonts w:ascii="Cambria" w:hAnsi="Cambria"/>
                <w:bCs/>
                <w:sz w:val="20"/>
                <w:szCs w:val="20"/>
                <w:lang w:val="es-ES"/>
              </w:rPr>
              <w:t>Artículos 4 (derecho a la vida), 5 (integridad personal), 8 (garantías judiciales), 19 (derechos del niño) y 25 (protección judicial) de la Convención Americana sobre Derechos Humanos</w:t>
            </w:r>
            <w:r w:rsidRPr="003450BB">
              <w:rPr>
                <w:rStyle w:val="FootnoteReference"/>
                <w:rFonts w:ascii="Cambria" w:hAnsi="Cambria"/>
                <w:bCs/>
                <w:sz w:val="20"/>
                <w:szCs w:val="20"/>
                <w:lang w:val="es-ES"/>
              </w:rPr>
              <w:footnoteReference w:id="3"/>
            </w:r>
            <w:r w:rsidRPr="003450BB">
              <w:rPr>
                <w:rFonts w:ascii="Cambria" w:hAnsi="Cambria"/>
                <w:bCs/>
                <w:sz w:val="20"/>
                <w:szCs w:val="20"/>
                <w:lang w:val="es-ES"/>
              </w:rPr>
              <w:t>; VI (constitución y protección de la familia), XI (preservación de la salud y bienestar), XXIV (petición) de la Declaración Americana de los Derechos y Deberes del Hombre</w:t>
            </w:r>
            <w:r w:rsidRPr="003450BB">
              <w:rPr>
                <w:rStyle w:val="FootnoteReference"/>
                <w:rFonts w:ascii="Cambria" w:hAnsi="Cambria"/>
                <w:bCs/>
                <w:sz w:val="20"/>
                <w:szCs w:val="20"/>
                <w:lang w:val="es-ES"/>
              </w:rPr>
              <w:footnoteReference w:id="4"/>
            </w:r>
            <w:r w:rsidRPr="003450BB">
              <w:rPr>
                <w:rFonts w:ascii="Cambria" w:hAnsi="Cambria"/>
                <w:bCs/>
                <w:sz w:val="20"/>
                <w:szCs w:val="20"/>
                <w:lang w:val="es-ES"/>
              </w:rPr>
              <w:t>: y otros tratados internacionales</w:t>
            </w:r>
            <w:r w:rsidRPr="003450BB">
              <w:rPr>
                <w:rStyle w:val="FootnoteReference"/>
                <w:rFonts w:ascii="Cambria" w:hAnsi="Cambria"/>
                <w:bCs/>
                <w:sz w:val="20"/>
                <w:szCs w:val="20"/>
                <w:lang w:val="es-ES"/>
              </w:rPr>
              <w:footnoteReference w:id="5"/>
            </w:r>
          </w:p>
        </w:tc>
      </w:tr>
    </w:tbl>
    <w:p w:rsidR="001E784F" w:rsidRPr="0021378C" w:rsidRDefault="001E784F" w:rsidP="007C402A">
      <w:pPr>
        <w:pBdr>
          <w:top w:val="none" w:sz="0" w:space="0" w:color="auto"/>
          <w:left w:val="none" w:sz="0" w:space="0" w:color="auto"/>
          <w:bottom w:val="none" w:sz="0" w:space="0" w:color="auto"/>
          <w:right w:val="none" w:sz="0" w:space="0" w:color="auto"/>
          <w:bar w:val="none" w:sz="0" w:color="auto"/>
        </w:pBdr>
        <w:spacing w:before="120" w:after="120"/>
        <w:ind w:firstLine="720"/>
        <w:jc w:val="both"/>
        <w:rPr>
          <w:rFonts w:ascii="Cambria" w:hAnsi="Cambria"/>
          <w:b/>
          <w:bCs/>
          <w:sz w:val="20"/>
          <w:szCs w:val="20"/>
          <w:lang w:val="es-ES"/>
        </w:rPr>
      </w:pPr>
      <w:r w:rsidRPr="0021378C">
        <w:rPr>
          <w:rFonts w:ascii="Cambria" w:hAnsi="Cambria"/>
          <w:b/>
          <w:bCs/>
          <w:sz w:val="20"/>
          <w:szCs w:val="20"/>
          <w:lang w:val="es-ES"/>
        </w:rPr>
        <w:t>II.</w:t>
      </w:r>
      <w:r w:rsidRPr="0021378C">
        <w:rPr>
          <w:rFonts w:ascii="Cambria" w:hAnsi="Cambria"/>
          <w:b/>
          <w:bCs/>
          <w:sz w:val="20"/>
          <w:szCs w:val="20"/>
          <w:lang w:val="es-ES"/>
        </w:rPr>
        <w:tab/>
        <w:t>TRÁMITE ANTE LA CIDH</w:t>
      </w:r>
      <w:r w:rsidRPr="0021378C">
        <w:rPr>
          <w:rStyle w:val="FootnoteReference"/>
          <w:rFonts w:ascii="Cambria" w:hAnsi="Cambria"/>
          <w:b/>
          <w:sz w:val="20"/>
          <w:szCs w:val="20"/>
          <w:lang w:val="es-ES"/>
        </w:rPr>
        <w:footnoteReference w:id="6"/>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90"/>
        <w:gridCol w:w="6570"/>
      </w:tblGrid>
      <w:tr w:rsidR="001E784F" w:rsidRPr="0021378C" w:rsidTr="003450BB">
        <w:tc>
          <w:tcPr>
            <w:tcW w:w="2790" w:type="dxa"/>
            <w:tcBorders>
              <w:top w:val="single" w:sz="4" w:space="0" w:color="auto"/>
            </w:tcBorders>
            <w:shd w:val="clear" w:color="auto" w:fill="386294"/>
            <w:vAlign w:val="center"/>
          </w:tcPr>
          <w:p w:rsidR="001E784F" w:rsidRPr="003450BB" w:rsidRDefault="001E784F" w:rsidP="003450BB">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20"/>
                <w:szCs w:val="20"/>
                <w:lang w:val="es-ES"/>
              </w:rPr>
            </w:pPr>
            <w:r w:rsidRPr="003450BB">
              <w:rPr>
                <w:rFonts w:ascii="Cambria" w:hAnsi="Cambria"/>
                <w:bCs/>
                <w:color w:val="FFFFFF"/>
                <w:sz w:val="20"/>
                <w:szCs w:val="20"/>
                <w:lang w:val="es-ES"/>
              </w:rPr>
              <w:t>Recepción de la petición</w:t>
            </w:r>
          </w:p>
        </w:tc>
        <w:tc>
          <w:tcPr>
            <w:tcW w:w="6570" w:type="dxa"/>
            <w:tcBorders>
              <w:top w:val="single" w:sz="4" w:space="0" w:color="auto"/>
            </w:tcBorders>
            <w:vAlign w:val="center"/>
          </w:tcPr>
          <w:p w:rsidR="001E784F" w:rsidRPr="003450BB" w:rsidRDefault="001E784F" w:rsidP="003450BB">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3450BB">
              <w:rPr>
                <w:rFonts w:ascii="Cambria" w:hAnsi="Cambria"/>
                <w:bCs/>
                <w:sz w:val="20"/>
                <w:szCs w:val="20"/>
                <w:lang w:val="es-ES"/>
              </w:rPr>
              <w:t>27 de julio de 2011</w:t>
            </w:r>
          </w:p>
        </w:tc>
      </w:tr>
      <w:tr w:rsidR="001E784F" w:rsidRPr="0021378C" w:rsidTr="003450BB">
        <w:tc>
          <w:tcPr>
            <w:tcW w:w="2790" w:type="dxa"/>
            <w:shd w:val="clear" w:color="auto" w:fill="386294"/>
            <w:vAlign w:val="center"/>
          </w:tcPr>
          <w:p w:rsidR="001E784F" w:rsidRPr="003450BB" w:rsidRDefault="001E784F" w:rsidP="003450BB">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20"/>
                <w:szCs w:val="20"/>
                <w:lang w:val="es-ES"/>
              </w:rPr>
            </w:pPr>
            <w:r w:rsidRPr="003450BB">
              <w:rPr>
                <w:rFonts w:ascii="Cambria" w:hAnsi="Cambria"/>
                <w:bCs/>
                <w:color w:val="FFFFFF"/>
                <w:sz w:val="20"/>
                <w:szCs w:val="20"/>
                <w:lang w:val="es-ES"/>
              </w:rPr>
              <w:t>Información adicional recibida en la etapa de estudio</w:t>
            </w:r>
          </w:p>
        </w:tc>
        <w:tc>
          <w:tcPr>
            <w:tcW w:w="6570" w:type="dxa"/>
            <w:vAlign w:val="center"/>
          </w:tcPr>
          <w:p w:rsidR="001E784F" w:rsidRPr="003450BB" w:rsidRDefault="001E784F" w:rsidP="003450BB">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3450BB">
              <w:rPr>
                <w:rFonts w:ascii="Cambria" w:hAnsi="Cambria"/>
                <w:bCs/>
                <w:sz w:val="20"/>
                <w:szCs w:val="20"/>
                <w:lang w:val="es-ES"/>
              </w:rPr>
              <w:t>15 y 17 de agosto de 2011</w:t>
            </w:r>
          </w:p>
        </w:tc>
      </w:tr>
      <w:tr w:rsidR="001E784F" w:rsidRPr="0021378C" w:rsidTr="003450BB">
        <w:tc>
          <w:tcPr>
            <w:tcW w:w="2790" w:type="dxa"/>
            <w:shd w:val="clear" w:color="auto" w:fill="386294"/>
            <w:vAlign w:val="center"/>
          </w:tcPr>
          <w:p w:rsidR="001E784F" w:rsidRPr="003450BB" w:rsidRDefault="001E784F" w:rsidP="003450BB">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20"/>
                <w:szCs w:val="20"/>
                <w:lang w:val="es-ES"/>
              </w:rPr>
            </w:pPr>
            <w:r w:rsidRPr="003450BB">
              <w:rPr>
                <w:rFonts w:ascii="Cambria" w:hAnsi="Cambria"/>
                <w:color w:val="FFFFFF"/>
                <w:sz w:val="20"/>
                <w:szCs w:val="20"/>
                <w:lang w:val="es-ES"/>
              </w:rPr>
              <w:t>Notificación de la petición</w:t>
            </w:r>
          </w:p>
        </w:tc>
        <w:tc>
          <w:tcPr>
            <w:tcW w:w="6570" w:type="dxa"/>
            <w:vAlign w:val="center"/>
          </w:tcPr>
          <w:p w:rsidR="001E784F" w:rsidRPr="003450BB" w:rsidRDefault="001E784F" w:rsidP="003450BB">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3450BB">
              <w:rPr>
                <w:rFonts w:ascii="Cambria" w:hAnsi="Cambria"/>
                <w:bCs/>
                <w:sz w:val="20"/>
                <w:szCs w:val="20"/>
                <w:lang w:val="es-ES"/>
              </w:rPr>
              <w:t>11 de marzo de 2014</w:t>
            </w:r>
          </w:p>
        </w:tc>
      </w:tr>
      <w:tr w:rsidR="001E784F" w:rsidRPr="0021378C" w:rsidTr="003450BB">
        <w:tc>
          <w:tcPr>
            <w:tcW w:w="2790" w:type="dxa"/>
            <w:shd w:val="clear" w:color="auto" w:fill="386294"/>
            <w:vAlign w:val="center"/>
          </w:tcPr>
          <w:p w:rsidR="001E784F" w:rsidRPr="003450BB" w:rsidRDefault="001E784F" w:rsidP="003450BB">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20"/>
                <w:szCs w:val="20"/>
                <w:lang w:val="es-ES"/>
              </w:rPr>
            </w:pPr>
            <w:r w:rsidRPr="003450BB">
              <w:rPr>
                <w:rFonts w:ascii="Cambria" w:hAnsi="Cambria"/>
                <w:color w:val="FFFFFF"/>
                <w:sz w:val="20"/>
                <w:szCs w:val="20"/>
                <w:lang w:val="es-ES"/>
              </w:rPr>
              <w:t>Primera respuesta del Estado</w:t>
            </w:r>
          </w:p>
        </w:tc>
        <w:tc>
          <w:tcPr>
            <w:tcW w:w="6570" w:type="dxa"/>
            <w:vAlign w:val="center"/>
          </w:tcPr>
          <w:p w:rsidR="001E784F" w:rsidRPr="003450BB" w:rsidRDefault="001E784F" w:rsidP="003450BB">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3450BB">
              <w:rPr>
                <w:rFonts w:ascii="Cambria" w:hAnsi="Cambria"/>
                <w:bCs/>
                <w:sz w:val="20"/>
                <w:szCs w:val="20"/>
                <w:lang w:val="es-ES"/>
              </w:rPr>
              <w:t>4 de noviembre de 2014</w:t>
            </w:r>
          </w:p>
        </w:tc>
      </w:tr>
      <w:tr w:rsidR="001E784F" w:rsidRPr="00A31D9B" w:rsidTr="003450BB">
        <w:tc>
          <w:tcPr>
            <w:tcW w:w="2790" w:type="dxa"/>
            <w:shd w:val="clear" w:color="auto" w:fill="386294"/>
            <w:vAlign w:val="center"/>
          </w:tcPr>
          <w:p w:rsidR="001E784F" w:rsidRPr="003450BB" w:rsidRDefault="001E784F" w:rsidP="003450BB">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20"/>
                <w:szCs w:val="20"/>
                <w:lang w:val="es-ES"/>
              </w:rPr>
            </w:pPr>
            <w:r w:rsidRPr="003450BB">
              <w:rPr>
                <w:rFonts w:ascii="Cambria" w:hAnsi="Cambria"/>
                <w:bCs/>
                <w:color w:val="FFFFFF"/>
                <w:sz w:val="20"/>
                <w:szCs w:val="20"/>
                <w:lang w:val="es-ES"/>
              </w:rPr>
              <w:t>Observaciones adicionales de la parte peticionaria</w:t>
            </w:r>
          </w:p>
        </w:tc>
        <w:tc>
          <w:tcPr>
            <w:tcW w:w="6570" w:type="dxa"/>
            <w:vAlign w:val="center"/>
          </w:tcPr>
          <w:p w:rsidR="001E784F" w:rsidRPr="003450BB" w:rsidRDefault="001E784F" w:rsidP="003450BB">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3450BB">
              <w:rPr>
                <w:rFonts w:ascii="Cambria" w:hAnsi="Cambria"/>
                <w:bCs/>
                <w:sz w:val="20"/>
                <w:szCs w:val="20"/>
                <w:lang w:val="es-ES"/>
              </w:rPr>
              <w:t>11 y 14 de diciembre de 2014; 11 de marzo y 28 de diciembre de 2015; 21 de junio de 2016; 22 de mayo , 29 de junio  20 de septiembre de 2017; y 6 de noviembre de 2018</w:t>
            </w:r>
          </w:p>
        </w:tc>
      </w:tr>
      <w:tr w:rsidR="001E784F" w:rsidRPr="00A31D9B" w:rsidTr="003450BB">
        <w:tc>
          <w:tcPr>
            <w:tcW w:w="2790" w:type="dxa"/>
            <w:tcBorders>
              <w:bottom w:val="single" w:sz="4" w:space="0" w:color="auto"/>
            </w:tcBorders>
            <w:shd w:val="clear" w:color="auto" w:fill="386294"/>
            <w:vAlign w:val="center"/>
          </w:tcPr>
          <w:p w:rsidR="001E784F" w:rsidRPr="003450BB" w:rsidRDefault="001E784F" w:rsidP="003450BB">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20"/>
                <w:szCs w:val="20"/>
                <w:lang w:val="es-ES"/>
              </w:rPr>
            </w:pPr>
            <w:r w:rsidRPr="003450BB">
              <w:rPr>
                <w:rFonts w:ascii="Cambria" w:hAnsi="Cambria"/>
                <w:bCs/>
                <w:color w:val="FFFFFF"/>
                <w:sz w:val="20"/>
                <w:szCs w:val="20"/>
                <w:lang w:val="es-ES"/>
              </w:rPr>
              <w:t>Observaciones adicionales del Estado</w:t>
            </w:r>
          </w:p>
        </w:tc>
        <w:tc>
          <w:tcPr>
            <w:tcW w:w="6570" w:type="dxa"/>
            <w:tcBorders>
              <w:bottom w:val="single" w:sz="4" w:space="0" w:color="auto"/>
            </w:tcBorders>
            <w:vAlign w:val="center"/>
          </w:tcPr>
          <w:p w:rsidR="001E784F" w:rsidRPr="003450BB" w:rsidRDefault="001E784F" w:rsidP="003450BB">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3450BB">
              <w:rPr>
                <w:rFonts w:ascii="Cambria" w:hAnsi="Cambria"/>
                <w:bCs/>
                <w:sz w:val="20"/>
                <w:szCs w:val="20"/>
                <w:lang w:val="es-ES"/>
              </w:rPr>
              <w:t xml:space="preserve">14 de mayo 2015; 27 de enero y 11 de septiembre de 2017; 29 de abril  y 20 de julio de 2019 </w:t>
            </w:r>
          </w:p>
        </w:tc>
      </w:tr>
    </w:tbl>
    <w:p w:rsidR="001E784F" w:rsidRPr="0021378C" w:rsidRDefault="001E784F" w:rsidP="007C402A">
      <w:pPr>
        <w:pBdr>
          <w:top w:val="none" w:sz="0" w:space="0" w:color="auto"/>
          <w:left w:val="none" w:sz="0" w:space="0" w:color="auto"/>
          <w:bottom w:val="none" w:sz="0" w:space="0" w:color="auto"/>
          <w:right w:val="none" w:sz="0" w:space="0" w:color="auto"/>
          <w:bar w:val="none" w:sz="0" w:color="auto"/>
        </w:pBdr>
        <w:spacing w:before="120" w:after="120"/>
        <w:ind w:firstLine="720"/>
        <w:jc w:val="both"/>
        <w:rPr>
          <w:rFonts w:ascii="Cambria" w:hAnsi="Cambria"/>
          <w:b/>
          <w:bCs/>
          <w:sz w:val="20"/>
          <w:szCs w:val="20"/>
          <w:lang w:val="es-ES"/>
        </w:rPr>
      </w:pPr>
      <w:r w:rsidRPr="0021378C">
        <w:rPr>
          <w:rFonts w:ascii="Cambria" w:hAnsi="Cambria"/>
          <w:b/>
          <w:bCs/>
          <w:sz w:val="20"/>
          <w:szCs w:val="20"/>
          <w:lang w:val="es-ES"/>
        </w:rPr>
        <w:t xml:space="preserve">III. </w:t>
      </w:r>
      <w:r w:rsidRPr="0021378C">
        <w:rPr>
          <w:rFonts w:ascii="Cambria" w:hAnsi="Cambria"/>
          <w:b/>
          <w:bCs/>
          <w:sz w:val="20"/>
          <w:szCs w:val="20"/>
          <w:lang w:val="es-ES"/>
        </w:rPr>
        <w:tab/>
        <w:t xml:space="preserve">COMPETENCIA </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63"/>
        <w:gridCol w:w="6479"/>
      </w:tblGrid>
      <w:tr w:rsidR="001E784F" w:rsidRPr="0021378C" w:rsidTr="003450BB">
        <w:trPr>
          <w:cantSplit/>
        </w:trPr>
        <w:tc>
          <w:tcPr>
            <w:tcW w:w="2790" w:type="dxa"/>
            <w:tcBorders>
              <w:top w:val="single" w:sz="4" w:space="0" w:color="auto"/>
            </w:tcBorders>
            <w:shd w:val="clear" w:color="auto" w:fill="386294"/>
            <w:vAlign w:val="center"/>
          </w:tcPr>
          <w:p w:rsidR="001E784F" w:rsidRPr="003450BB" w:rsidRDefault="001E784F" w:rsidP="003450BB">
            <w:pPr>
              <w:pBdr>
                <w:top w:val="none" w:sz="0" w:space="0" w:color="auto"/>
                <w:left w:val="none" w:sz="0" w:space="0" w:color="auto"/>
                <w:bottom w:val="none" w:sz="0" w:space="0" w:color="auto"/>
                <w:right w:val="none" w:sz="0" w:space="0" w:color="auto"/>
                <w:bar w:val="none" w:sz="0" w:color="auto"/>
              </w:pBdr>
              <w:jc w:val="center"/>
              <w:rPr>
                <w:rFonts w:ascii="Cambria" w:hAnsi="Cambria"/>
                <w:bCs/>
                <w:i/>
                <w:color w:val="FFFFFF"/>
                <w:sz w:val="20"/>
                <w:szCs w:val="20"/>
                <w:lang w:val="es-ES"/>
              </w:rPr>
            </w:pPr>
            <w:proofErr w:type="spellStart"/>
            <w:r w:rsidRPr="003450BB">
              <w:rPr>
                <w:rFonts w:ascii="Cambria" w:hAnsi="Cambria"/>
                <w:bCs/>
                <w:i/>
                <w:color w:val="FFFFFF"/>
                <w:sz w:val="20"/>
                <w:szCs w:val="20"/>
                <w:lang w:val="es-ES"/>
              </w:rPr>
              <w:t>Ratione</w:t>
            </w:r>
            <w:proofErr w:type="spellEnd"/>
            <w:r w:rsidRPr="003450BB">
              <w:rPr>
                <w:rFonts w:ascii="Cambria" w:hAnsi="Cambria"/>
                <w:bCs/>
                <w:i/>
                <w:color w:val="FFFFFF"/>
                <w:sz w:val="20"/>
                <w:szCs w:val="20"/>
                <w:lang w:val="es-ES"/>
              </w:rPr>
              <w:t xml:space="preserve"> </w:t>
            </w:r>
            <w:proofErr w:type="spellStart"/>
            <w:r w:rsidRPr="003450BB">
              <w:rPr>
                <w:rFonts w:ascii="Cambria" w:hAnsi="Cambria"/>
                <w:bCs/>
                <w:i/>
                <w:color w:val="FFFFFF"/>
                <w:sz w:val="20"/>
                <w:szCs w:val="20"/>
                <w:lang w:val="es-ES"/>
              </w:rPr>
              <w:t>personae</w:t>
            </w:r>
            <w:proofErr w:type="spellEnd"/>
          </w:p>
        </w:tc>
        <w:tc>
          <w:tcPr>
            <w:tcW w:w="6570" w:type="dxa"/>
            <w:tcBorders>
              <w:top w:val="single" w:sz="4" w:space="0" w:color="auto"/>
            </w:tcBorders>
            <w:vAlign w:val="center"/>
          </w:tcPr>
          <w:p w:rsidR="001E784F" w:rsidRPr="003450BB" w:rsidRDefault="001E784F" w:rsidP="00C42E77">
            <w:pPr>
              <w:pBdr>
                <w:top w:val="none" w:sz="0" w:space="0" w:color="auto"/>
                <w:left w:val="none" w:sz="0" w:space="0" w:color="auto"/>
                <w:bottom w:val="none" w:sz="0" w:space="0" w:color="auto"/>
                <w:right w:val="none" w:sz="0" w:space="0" w:color="auto"/>
                <w:bar w:val="none" w:sz="0" w:color="auto"/>
              </w:pBdr>
              <w:rPr>
                <w:rFonts w:ascii="Cambria" w:hAnsi="Cambria"/>
                <w:bCs/>
                <w:sz w:val="20"/>
                <w:szCs w:val="20"/>
                <w:lang w:val="es-ES"/>
              </w:rPr>
            </w:pPr>
            <w:r w:rsidRPr="003450BB">
              <w:rPr>
                <w:rFonts w:ascii="Cambria" w:hAnsi="Cambria"/>
                <w:bCs/>
                <w:sz w:val="20"/>
                <w:szCs w:val="20"/>
                <w:lang w:val="es-ES"/>
              </w:rPr>
              <w:t>Sí</w:t>
            </w:r>
          </w:p>
        </w:tc>
      </w:tr>
      <w:tr w:rsidR="001E784F" w:rsidRPr="0021378C" w:rsidTr="003450BB">
        <w:trPr>
          <w:cantSplit/>
        </w:trPr>
        <w:tc>
          <w:tcPr>
            <w:tcW w:w="2790" w:type="dxa"/>
            <w:shd w:val="clear" w:color="auto" w:fill="386294"/>
            <w:vAlign w:val="center"/>
          </w:tcPr>
          <w:p w:rsidR="001E784F" w:rsidRPr="003450BB" w:rsidRDefault="001E784F" w:rsidP="003450BB">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20"/>
                <w:szCs w:val="20"/>
                <w:lang w:val="es-ES"/>
              </w:rPr>
            </w:pPr>
            <w:proofErr w:type="spellStart"/>
            <w:r w:rsidRPr="003450BB">
              <w:rPr>
                <w:rFonts w:ascii="Cambria" w:hAnsi="Cambria"/>
                <w:bCs/>
                <w:i/>
                <w:color w:val="FFFFFF"/>
                <w:sz w:val="20"/>
                <w:szCs w:val="20"/>
                <w:lang w:val="es-ES"/>
              </w:rPr>
              <w:t>Ratione</w:t>
            </w:r>
            <w:proofErr w:type="spellEnd"/>
            <w:r w:rsidRPr="003450BB">
              <w:rPr>
                <w:rFonts w:ascii="Cambria" w:hAnsi="Cambria"/>
                <w:bCs/>
                <w:i/>
                <w:color w:val="FFFFFF"/>
                <w:sz w:val="20"/>
                <w:szCs w:val="20"/>
                <w:lang w:val="es-ES"/>
              </w:rPr>
              <w:t xml:space="preserve"> </w:t>
            </w:r>
            <w:proofErr w:type="spellStart"/>
            <w:r w:rsidRPr="003450BB">
              <w:rPr>
                <w:rFonts w:ascii="Cambria" w:hAnsi="Cambria"/>
                <w:bCs/>
                <w:i/>
                <w:color w:val="FFFFFF"/>
                <w:sz w:val="20"/>
                <w:szCs w:val="20"/>
                <w:lang w:val="es-ES"/>
              </w:rPr>
              <w:t>loci</w:t>
            </w:r>
            <w:proofErr w:type="spellEnd"/>
          </w:p>
        </w:tc>
        <w:tc>
          <w:tcPr>
            <w:tcW w:w="6570" w:type="dxa"/>
            <w:vAlign w:val="center"/>
          </w:tcPr>
          <w:p w:rsidR="001E784F" w:rsidRPr="003450BB" w:rsidRDefault="001E784F" w:rsidP="00C42E77">
            <w:pPr>
              <w:pBdr>
                <w:top w:val="none" w:sz="0" w:space="0" w:color="auto"/>
                <w:left w:val="none" w:sz="0" w:space="0" w:color="auto"/>
                <w:bottom w:val="none" w:sz="0" w:space="0" w:color="auto"/>
                <w:right w:val="none" w:sz="0" w:space="0" w:color="auto"/>
                <w:bar w:val="none" w:sz="0" w:color="auto"/>
              </w:pBdr>
              <w:rPr>
                <w:rFonts w:ascii="Cambria" w:hAnsi="Cambria"/>
                <w:bCs/>
                <w:sz w:val="20"/>
                <w:szCs w:val="20"/>
                <w:lang w:val="es-ES"/>
              </w:rPr>
            </w:pPr>
            <w:r w:rsidRPr="003450BB">
              <w:rPr>
                <w:rFonts w:ascii="Cambria" w:hAnsi="Cambria"/>
                <w:bCs/>
                <w:sz w:val="20"/>
                <w:szCs w:val="20"/>
                <w:lang w:val="es-ES"/>
              </w:rPr>
              <w:t>Sí</w:t>
            </w:r>
          </w:p>
        </w:tc>
      </w:tr>
      <w:tr w:rsidR="001E784F" w:rsidRPr="0021378C" w:rsidTr="003450BB">
        <w:trPr>
          <w:cantSplit/>
        </w:trPr>
        <w:tc>
          <w:tcPr>
            <w:tcW w:w="2790" w:type="dxa"/>
            <w:shd w:val="clear" w:color="auto" w:fill="386294"/>
            <w:vAlign w:val="center"/>
          </w:tcPr>
          <w:p w:rsidR="001E784F" w:rsidRPr="003450BB" w:rsidRDefault="001E784F" w:rsidP="003450BB">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20"/>
                <w:szCs w:val="20"/>
                <w:lang w:val="es-ES"/>
              </w:rPr>
            </w:pPr>
            <w:proofErr w:type="spellStart"/>
            <w:r w:rsidRPr="003450BB">
              <w:rPr>
                <w:rFonts w:ascii="Cambria" w:hAnsi="Cambria"/>
                <w:bCs/>
                <w:i/>
                <w:color w:val="FFFFFF"/>
                <w:sz w:val="20"/>
                <w:szCs w:val="20"/>
                <w:lang w:val="es-ES"/>
              </w:rPr>
              <w:t>Ratione</w:t>
            </w:r>
            <w:proofErr w:type="spellEnd"/>
            <w:r w:rsidRPr="003450BB">
              <w:rPr>
                <w:rFonts w:ascii="Cambria" w:hAnsi="Cambria"/>
                <w:bCs/>
                <w:i/>
                <w:color w:val="FFFFFF"/>
                <w:sz w:val="20"/>
                <w:szCs w:val="20"/>
                <w:lang w:val="es-ES"/>
              </w:rPr>
              <w:t xml:space="preserve"> </w:t>
            </w:r>
            <w:proofErr w:type="spellStart"/>
            <w:r w:rsidRPr="003450BB">
              <w:rPr>
                <w:rFonts w:ascii="Cambria" w:hAnsi="Cambria"/>
                <w:bCs/>
                <w:i/>
                <w:color w:val="FFFFFF"/>
                <w:sz w:val="20"/>
                <w:szCs w:val="20"/>
                <w:lang w:val="es-ES"/>
              </w:rPr>
              <w:t>temporis</w:t>
            </w:r>
            <w:proofErr w:type="spellEnd"/>
          </w:p>
        </w:tc>
        <w:tc>
          <w:tcPr>
            <w:tcW w:w="6570" w:type="dxa"/>
            <w:vAlign w:val="center"/>
          </w:tcPr>
          <w:p w:rsidR="001E784F" w:rsidRPr="003450BB" w:rsidRDefault="001E784F" w:rsidP="00C42E77">
            <w:pPr>
              <w:pBdr>
                <w:top w:val="none" w:sz="0" w:space="0" w:color="auto"/>
                <w:left w:val="none" w:sz="0" w:space="0" w:color="auto"/>
                <w:bottom w:val="none" w:sz="0" w:space="0" w:color="auto"/>
                <w:right w:val="none" w:sz="0" w:space="0" w:color="auto"/>
                <w:bar w:val="none" w:sz="0" w:color="auto"/>
              </w:pBdr>
              <w:rPr>
                <w:rFonts w:ascii="Cambria" w:hAnsi="Cambria"/>
                <w:bCs/>
                <w:sz w:val="20"/>
                <w:szCs w:val="20"/>
                <w:lang w:val="es-ES"/>
              </w:rPr>
            </w:pPr>
            <w:r w:rsidRPr="003450BB">
              <w:rPr>
                <w:rFonts w:ascii="Cambria" w:hAnsi="Cambria"/>
                <w:bCs/>
                <w:sz w:val="20"/>
                <w:szCs w:val="20"/>
                <w:lang w:val="es-ES"/>
              </w:rPr>
              <w:t>Sí</w:t>
            </w:r>
          </w:p>
        </w:tc>
      </w:tr>
      <w:tr w:rsidR="001E784F" w:rsidRPr="0021378C" w:rsidTr="003450BB">
        <w:trPr>
          <w:cantSplit/>
        </w:trPr>
        <w:tc>
          <w:tcPr>
            <w:tcW w:w="2790" w:type="dxa"/>
            <w:tcBorders>
              <w:bottom w:val="single" w:sz="4" w:space="0" w:color="auto"/>
            </w:tcBorders>
            <w:shd w:val="clear" w:color="auto" w:fill="386294"/>
            <w:vAlign w:val="center"/>
          </w:tcPr>
          <w:p w:rsidR="001E784F" w:rsidRPr="003450BB" w:rsidRDefault="001E784F" w:rsidP="003450BB">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20"/>
                <w:szCs w:val="20"/>
                <w:lang w:val="es-ES"/>
              </w:rPr>
            </w:pPr>
            <w:proofErr w:type="spellStart"/>
            <w:r w:rsidRPr="003450BB">
              <w:rPr>
                <w:rFonts w:ascii="Cambria" w:hAnsi="Cambria"/>
                <w:bCs/>
                <w:i/>
                <w:color w:val="FFFFFF"/>
                <w:sz w:val="20"/>
                <w:szCs w:val="20"/>
                <w:lang w:val="es-ES"/>
              </w:rPr>
              <w:t>Ratione</w:t>
            </w:r>
            <w:proofErr w:type="spellEnd"/>
            <w:r w:rsidRPr="003450BB">
              <w:rPr>
                <w:rFonts w:ascii="Cambria" w:hAnsi="Cambria"/>
                <w:bCs/>
                <w:i/>
                <w:color w:val="FFFFFF"/>
                <w:sz w:val="20"/>
                <w:szCs w:val="20"/>
                <w:lang w:val="es-ES"/>
              </w:rPr>
              <w:t xml:space="preserve"> </w:t>
            </w:r>
            <w:proofErr w:type="spellStart"/>
            <w:r w:rsidRPr="003450BB">
              <w:rPr>
                <w:rFonts w:ascii="Cambria" w:hAnsi="Cambria"/>
                <w:bCs/>
                <w:i/>
                <w:color w:val="FFFFFF"/>
                <w:sz w:val="20"/>
                <w:szCs w:val="20"/>
                <w:lang w:val="es-ES"/>
              </w:rPr>
              <w:t>materiae</w:t>
            </w:r>
            <w:proofErr w:type="spellEnd"/>
          </w:p>
        </w:tc>
        <w:tc>
          <w:tcPr>
            <w:tcW w:w="6570" w:type="dxa"/>
            <w:tcBorders>
              <w:bottom w:val="single" w:sz="4" w:space="0" w:color="auto"/>
            </w:tcBorders>
            <w:vAlign w:val="center"/>
          </w:tcPr>
          <w:p w:rsidR="001E784F" w:rsidRPr="003450BB" w:rsidRDefault="001E784F" w:rsidP="003450BB">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3450BB">
              <w:rPr>
                <w:rFonts w:ascii="Cambria" w:hAnsi="Cambria"/>
                <w:bCs/>
                <w:sz w:val="20"/>
                <w:szCs w:val="20"/>
                <w:lang w:val="es-ES"/>
              </w:rPr>
              <w:t>Sí</w:t>
            </w:r>
          </w:p>
        </w:tc>
      </w:tr>
    </w:tbl>
    <w:p w:rsidR="001E784F" w:rsidRPr="0021378C" w:rsidRDefault="001E784F" w:rsidP="007C402A">
      <w:pPr>
        <w:pBdr>
          <w:top w:val="none" w:sz="0" w:space="0" w:color="auto"/>
          <w:left w:val="none" w:sz="0" w:space="0" w:color="auto"/>
          <w:bottom w:val="none" w:sz="0" w:space="0" w:color="auto"/>
          <w:right w:val="none" w:sz="0" w:space="0" w:color="auto"/>
          <w:bar w:val="none" w:sz="0" w:color="auto"/>
        </w:pBdr>
        <w:spacing w:before="120" w:after="120"/>
        <w:ind w:firstLine="720"/>
        <w:jc w:val="both"/>
        <w:rPr>
          <w:rFonts w:ascii="Cambria" w:hAnsi="Cambria"/>
          <w:b/>
          <w:bCs/>
          <w:sz w:val="20"/>
          <w:szCs w:val="20"/>
          <w:lang w:val="es-ES"/>
        </w:rPr>
      </w:pPr>
      <w:r w:rsidRPr="0021378C">
        <w:rPr>
          <w:rFonts w:ascii="Cambria" w:hAnsi="Cambria"/>
          <w:b/>
          <w:bCs/>
          <w:sz w:val="20"/>
          <w:szCs w:val="20"/>
          <w:lang w:val="es-ES"/>
        </w:rPr>
        <w:t xml:space="preserve">IV. </w:t>
      </w:r>
      <w:r w:rsidRPr="0021378C">
        <w:rPr>
          <w:rFonts w:ascii="Cambria" w:hAnsi="Cambria"/>
          <w:b/>
          <w:bCs/>
          <w:sz w:val="20"/>
          <w:szCs w:val="20"/>
          <w:lang w:val="es-ES"/>
        </w:rPr>
        <w:tab/>
        <w:t>DUPLICACIÓN</w:t>
      </w:r>
      <w:r w:rsidRPr="0021378C">
        <w:rPr>
          <w:rFonts w:ascii="Cambria" w:hAnsi="Cambria"/>
          <w:b/>
          <w:bCs/>
          <w:color w:val="FFFFFF"/>
          <w:sz w:val="20"/>
          <w:szCs w:val="20"/>
          <w:lang w:val="es-ES"/>
        </w:rPr>
        <w:t xml:space="preserve"> </w:t>
      </w:r>
      <w:r w:rsidRPr="0021378C">
        <w:rPr>
          <w:rFonts w:ascii="Cambria" w:hAnsi="Cambria"/>
          <w:b/>
          <w:bCs/>
          <w:sz w:val="20"/>
          <w:szCs w:val="20"/>
          <w:lang w:val="es-ES"/>
        </w:rPr>
        <w:t>DE PROCEDIMIENTOS Y COSA JUZGADA</w:t>
      </w:r>
      <w:r w:rsidRPr="0021378C">
        <w:rPr>
          <w:rFonts w:ascii="Cambria" w:hAnsi="Cambria"/>
          <w:b/>
          <w:bCs/>
          <w:i/>
          <w:sz w:val="20"/>
          <w:szCs w:val="20"/>
          <w:lang w:val="es-ES"/>
        </w:rPr>
        <w:t xml:space="preserve"> </w:t>
      </w:r>
      <w:r w:rsidRPr="0021378C">
        <w:rPr>
          <w:rFonts w:ascii="Cambria" w:hAnsi="Cambria"/>
          <w:b/>
          <w:bCs/>
          <w:sz w:val="20"/>
          <w:szCs w:val="20"/>
          <w:lang w:val="es-ES"/>
        </w:rPr>
        <w:t xml:space="preserve">INTERNACIONAL, CARACTERIZACIÓN, </w:t>
      </w:r>
      <w:r w:rsidRPr="0021378C">
        <w:rPr>
          <w:rFonts w:ascii="Cambria" w:hAnsi="Cambria"/>
          <w:b/>
          <w:sz w:val="20"/>
          <w:szCs w:val="20"/>
          <w:lang w:val="es-ES"/>
        </w:rPr>
        <w:t>AGOTAMIENTO DE LOS RECURSOS INTERNOS Y PLAZO DE PRESENTACIÓN</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64"/>
        <w:gridCol w:w="6478"/>
      </w:tblGrid>
      <w:tr w:rsidR="001E784F" w:rsidRPr="0021378C" w:rsidTr="003450BB">
        <w:trPr>
          <w:cantSplit/>
        </w:trPr>
        <w:tc>
          <w:tcPr>
            <w:tcW w:w="2790" w:type="dxa"/>
            <w:tcBorders>
              <w:top w:val="single" w:sz="4" w:space="0" w:color="auto"/>
            </w:tcBorders>
            <w:shd w:val="clear" w:color="auto" w:fill="386294"/>
            <w:vAlign w:val="center"/>
          </w:tcPr>
          <w:p w:rsidR="001E784F" w:rsidRPr="003450BB" w:rsidRDefault="001E784F" w:rsidP="003450BB">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20"/>
                <w:szCs w:val="20"/>
                <w:lang w:val="es-ES"/>
              </w:rPr>
            </w:pPr>
            <w:r w:rsidRPr="003450BB">
              <w:rPr>
                <w:rFonts w:ascii="Cambria" w:hAnsi="Cambria"/>
                <w:bCs/>
                <w:color w:val="FFFFFF"/>
                <w:sz w:val="20"/>
                <w:szCs w:val="20"/>
                <w:lang w:val="es-ES"/>
              </w:rPr>
              <w:t>Duplicación y cosa juzgada internacional</w:t>
            </w:r>
          </w:p>
        </w:tc>
        <w:tc>
          <w:tcPr>
            <w:tcW w:w="6570" w:type="dxa"/>
            <w:tcBorders>
              <w:top w:val="single" w:sz="4" w:space="0" w:color="auto"/>
            </w:tcBorders>
            <w:vAlign w:val="center"/>
          </w:tcPr>
          <w:p w:rsidR="001E784F" w:rsidRPr="003450BB" w:rsidRDefault="001E784F" w:rsidP="003450BB">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3450BB">
              <w:rPr>
                <w:rFonts w:ascii="Cambria" w:hAnsi="Cambria"/>
                <w:bCs/>
                <w:sz w:val="20"/>
                <w:szCs w:val="20"/>
                <w:lang w:val="es-ES"/>
              </w:rPr>
              <w:t>No</w:t>
            </w:r>
          </w:p>
        </w:tc>
      </w:tr>
      <w:tr w:rsidR="001E784F" w:rsidRPr="00A31D9B" w:rsidTr="003450BB">
        <w:trPr>
          <w:cantSplit/>
        </w:trPr>
        <w:tc>
          <w:tcPr>
            <w:tcW w:w="2790" w:type="dxa"/>
            <w:tcBorders>
              <w:top w:val="single" w:sz="4" w:space="0" w:color="auto"/>
            </w:tcBorders>
            <w:shd w:val="clear" w:color="auto" w:fill="386294"/>
            <w:vAlign w:val="center"/>
          </w:tcPr>
          <w:p w:rsidR="001E784F" w:rsidRPr="003450BB" w:rsidRDefault="001E784F" w:rsidP="003450BB">
            <w:pPr>
              <w:pBdr>
                <w:top w:val="none" w:sz="0" w:space="0" w:color="auto"/>
                <w:left w:val="none" w:sz="0" w:space="0" w:color="auto"/>
                <w:bottom w:val="none" w:sz="0" w:space="0" w:color="auto"/>
                <w:right w:val="none" w:sz="0" w:space="0" w:color="auto"/>
                <w:bar w:val="none" w:sz="0" w:color="auto"/>
              </w:pBdr>
              <w:jc w:val="center"/>
              <w:rPr>
                <w:rFonts w:ascii="Cambria" w:hAnsi="Cambria"/>
                <w:bCs/>
                <w:i/>
                <w:color w:val="FFFFFF"/>
                <w:sz w:val="20"/>
                <w:szCs w:val="20"/>
                <w:lang w:val="es-ES"/>
              </w:rPr>
            </w:pPr>
            <w:r w:rsidRPr="003450BB">
              <w:rPr>
                <w:rFonts w:ascii="Cambria" w:hAnsi="Cambria"/>
                <w:bCs/>
                <w:color w:val="FFFFFF"/>
                <w:sz w:val="20"/>
                <w:szCs w:val="20"/>
                <w:lang w:val="es-ES"/>
              </w:rPr>
              <w:t>Derechos admitidos</w:t>
            </w:r>
          </w:p>
        </w:tc>
        <w:tc>
          <w:tcPr>
            <w:tcW w:w="6570" w:type="dxa"/>
            <w:vAlign w:val="center"/>
          </w:tcPr>
          <w:p w:rsidR="001E784F" w:rsidRPr="003450BB" w:rsidRDefault="001E784F" w:rsidP="003450BB">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3450BB">
              <w:rPr>
                <w:rFonts w:ascii="Cambria" w:hAnsi="Cambria"/>
                <w:bCs/>
                <w:sz w:val="20"/>
                <w:szCs w:val="20"/>
                <w:lang w:val="es-ES"/>
              </w:rPr>
              <w:t xml:space="preserve">Artículos 4 (derecho a la vida), 5 (integridad personal), 8 (garantías judiciales), 19 (derechos del niño), 24 (igualdad ante la ley), 25 (protección judicial) y 26 (derechos económicos sociales y culturales) de la Convención Americana, en relación con sus artículos 1.1. (obligación de respetar los derechos) y 2 (deber de adoptar disposiciones de derecho interno); artículo XI (preservación de la salud y bienestar) de la Declaración Americana </w:t>
            </w:r>
          </w:p>
        </w:tc>
      </w:tr>
      <w:tr w:rsidR="001E784F" w:rsidRPr="00A31D9B" w:rsidTr="003450BB">
        <w:trPr>
          <w:cantSplit/>
        </w:trPr>
        <w:tc>
          <w:tcPr>
            <w:tcW w:w="2790" w:type="dxa"/>
            <w:shd w:val="clear" w:color="auto" w:fill="386294"/>
            <w:vAlign w:val="center"/>
          </w:tcPr>
          <w:p w:rsidR="001E784F" w:rsidRPr="003450BB" w:rsidRDefault="001E784F" w:rsidP="003450BB">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20"/>
                <w:szCs w:val="20"/>
                <w:lang w:val="es-ES"/>
              </w:rPr>
            </w:pPr>
            <w:r w:rsidRPr="003450BB">
              <w:rPr>
                <w:rFonts w:ascii="Cambria" w:hAnsi="Cambria"/>
                <w:bCs/>
                <w:color w:val="FFFFFF"/>
                <w:sz w:val="20"/>
                <w:szCs w:val="20"/>
                <w:lang w:val="es-ES"/>
              </w:rPr>
              <w:lastRenderedPageBreak/>
              <w:t>Agotamiento de recursos o procedencia de una excepción</w:t>
            </w:r>
          </w:p>
        </w:tc>
        <w:tc>
          <w:tcPr>
            <w:tcW w:w="6570" w:type="dxa"/>
            <w:vAlign w:val="center"/>
          </w:tcPr>
          <w:p w:rsidR="001E784F" w:rsidRPr="003450BB" w:rsidRDefault="001E784F" w:rsidP="00204E38">
            <w:pPr>
              <w:pBdr>
                <w:top w:val="none" w:sz="0" w:space="0" w:color="auto"/>
                <w:left w:val="none" w:sz="0" w:space="0" w:color="auto"/>
                <w:bottom w:val="none" w:sz="0" w:space="0" w:color="auto"/>
                <w:right w:val="none" w:sz="0" w:space="0" w:color="auto"/>
                <w:bar w:val="none" w:sz="0" w:color="auto"/>
              </w:pBdr>
              <w:rPr>
                <w:rFonts w:ascii="Cambria" w:hAnsi="Cambria"/>
                <w:bCs/>
                <w:sz w:val="20"/>
                <w:szCs w:val="20"/>
                <w:lang w:val="es-ES"/>
              </w:rPr>
            </w:pPr>
            <w:r w:rsidRPr="003450BB">
              <w:rPr>
                <w:rFonts w:ascii="Cambria" w:hAnsi="Cambria"/>
                <w:bCs/>
                <w:sz w:val="20"/>
                <w:szCs w:val="20"/>
                <w:lang w:val="es-ES"/>
              </w:rPr>
              <w:t>Sí, en los términos de la sección VI</w:t>
            </w:r>
          </w:p>
        </w:tc>
      </w:tr>
      <w:tr w:rsidR="001E784F" w:rsidRPr="00A31D9B" w:rsidTr="003450BB">
        <w:trPr>
          <w:cantSplit/>
        </w:trPr>
        <w:tc>
          <w:tcPr>
            <w:tcW w:w="2790" w:type="dxa"/>
            <w:tcBorders>
              <w:bottom w:val="single" w:sz="4" w:space="0" w:color="auto"/>
            </w:tcBorders>
            <w:shd w:val="clear" w:color="auto" w:fill="386294"/>
            <w:vAlign w:val="center"/>
          </w:tcPr>
          <w:p w:rsidR="001E784F" w:rsidRPr="003450BB" w:rsidRDefault="001E784F" w:rsidP="003450BB">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20"/>
                <w:szCs w:val="20"/>
                <w:lang w:val="es-ES"/>
              </w:rPr>
            </w:pPr>
            <w:r w:rsidRPr="003450BB">
              <w:rPr>
                <w:rFonts w:ascii="Cambria" w:hAnsi="Cambria"/>
                <w:bCs/>
                <w:color w:val="FFFFFF"/>
                <w:sz w:val="20"/>
                <w:szCs w:val="20"/>
                <w:lang w:val="es-ES"/>
              </w:rPr>
              <w:t>Presentación dentro de plazo</w:t>
            </w:r>
          </w:p>
        </w:tc>
        <w:tc>
          <w:tcPr>
            <w:tcW w:w="6570" w:type="dxa"/>
            <w:tcBorders>
              <w:bottom w:val="single" w:sz="4" w:space="0" w:color="auto"/>
            </w:tcBorders>
            <w:vAlign w:val="center"/>
          </w:tcPr>
          <w:p w:rsidR="001E784F" w:rsidRPr="003450BB" w:rsidRDefault="001E784F" w:rsidP="001B22C5">
            <w:pPr>
              <w:pBdr>
                <w:top w:val="none" w:sz="0" w:space="0" w:color="auto"/>
                <w:left w:val="none" w:sz="0" w:space="0" w:color="auto"/>
                <w:bottom w:val="none" w:sz="0" w:space="0" w:color="auto"/>
                <w:right w:val="none" w:sz="0" w:space="0" w:color="auto"/>
                <w:bar w:val="none" w:sz="0" w:color="auto"/>
              </w:pBdr>
              <w:rPr>
                <w:rFonts w:ascii="Cambria" w:hAnsi="Cambria"/>
                <w:bCs/>
                <w:sz w:val="20"/>
                <w:szCs w:val="20"/>
                <w:lang w:val="es-ES"/>
              </w:rPr>
            </w:pPr>
            <w:r w:rsidRPr="003450BB">
              <w:rPr>
                <w:rFonts w:ascii="Cambria" w:hAnsi="Cambria"/>
                <w:bCs/>
                <w:sz w:val="20"/>
                <w:szCs w:val="20"/>
                <w:lang w:val="es-ES"/>
              </w:rPr>
              <w:t>Sí, en los términos de la Sección VI</w:t>
            </w:r>
          </w:p>
        </w:tc>
      </w:tr>
    </w:tbl>
    <w:p w:rsidR="001E784F" w:rsidRPr="0021378C" w:rsidRDefault="001E784F" w:rsidP="00647756">
      <w:pPr>
        <w:pBdr>
          <w:top w:val="none" w:sz="0" w:space="0" w:color="auto"/>
          <w:left w:val="none" w:sz="0" w:space="0" w:color="auto"/>
          <w:bottom w:val="none" w:sz="0" w:space="0" w:color="auto"/>
          <w:right w:val="none" w:sz="0" w:space="0" w:color="auto"/>
          <w:bar w:val="none" w:sz="0" w:color="auto"/>
        </w:pBdr>
        <w:spacing w:before="120" w:after="120"/>
        <w:ind w:firstLine="720"/>
        <w:jc w:val="both"/>
        <w:rPr>
          <w:rFonts w:ascii="Cambria" w:hAnsi="Cambria"/>
          <w:b/>
          <w:sz w:val="20"/>
          <w:szCs w:val="20"/>
          <w:lang w:val="es-ES"/>
        </w:rPr>
      </w:pPr>
      <w:r w:rsidRPr="0021378C">
        <w:rPr>
          <w:rFonts w:ascii="Cambria" w:hAnsi="Cambria"/>
          <w:b/>
          <w:sz w:val="20"/>
          <w:szCs w:val="20"/>
          <w:lang w:val="es-ES"/>
        </w:rPr>
        <w:t xml:space="preserve">V. </w:t>
      </w:r>
      <w:r w:rsidRPr="0021378C">
        <w:rPr>
          <w:rFonts w:ascii="Cambria" w:hAnsi="Cambria"/>
          <w:b/>
          <w:sz w:val="20"/>
          <w:szCs w:val="20"/>
          <w:lang w:val="es-ES"/>
        </w:rPr>
        <w:tab/>
        <w:t>RESUMEN DE LOS HECHOS ALEGADOS</w:t>
      </w:r>
    </w:p>
    <w:p w:rsidR="001E784F" w:rsidRPr="00C771A4" w:rsidRDefault="001E784F" w:rsidP="00B876F9">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lang w:val="es-ES"/>
        </w:rPr>
      </w:pPr>
      <w:r w:rsidRPr="00C771A4">
        <w:rPr>
          <w:rFonts w:ascii="Cambria" w:hAnsi="Cambria"/>
          <w:sz w:val="20"/>
          <w:szCs w:val="20"/>
          <w:lang w:val="es-ES"/>
        </w:rPr>
        <w:t>La parte peticionaria denuncia presuntas violaciones a los derechos humanos de Gabr</w:t>
      </w:r>
      <w:r>
        <w:rPr>
          <w:rFonts w:ascii="Cambria" w:hAnsi="Cambria"/>
          <w:sz w:val="20"/>
          <w:szCs w:val="20"/>
          <w:lang w:val="es-ES"/>
        </w:rPr>
        <w:t xml:space="preserve">iel Alejandro Vasco </w:t>
      </w:r>
      <w:proofErr w:type="spellStart"/>
      <w:r>
        <w:rPr>
          <w:rFonts w:ascii="Cambria" w:hAnsi="Cambria"/>
          <w:sz w:val="20"/>
          <w:szCs w:val="20"/>
          <w:lang w:val="es-ES"/>
        </w:rPr>
        <w:t>Toapanta</w:t>
      </w:r>
      <w:proofErr w:type="spellEnd"/>
      <w:r>
        <w:rPr>
          <w:rFonts w:ascii="Cambria" w:hAnsi="Cambria"/>
          <w:sz w:val="20"/>
          <w:szCs w:val="20"/>
          <w:lang w:val="es-ES"/>
        </w:rPr>
        <w:t xml:space="preserve"> y </w:t>
      </w:r>
      <w:r w:rsidRPr="003F10DE">
        <w:rPr>
          <w:rFonts w:ascii="Cambria" w:hAnsi="Cambria"/>
          <w:sz w:val="20"/>
          <w:szCs w:val="20"/>
          <w:lang w:val="es-ES"/>
        </w:rPr>
        <w:t xml:space="preserve">“aproximadamente” </w:t>
      </w:r>
      <w:r w:rsidRPr="00C771A4">
        <w:rPr>
          <w:rFonts w:ascii="Cambria" w:hAnsi="Cambria"/>
          <w:sz w:val="20"/>
          <w:szCs w:val="20"/>
          <w:lang w:val="es-ES"/>
        </w:rPr>
        <w:t xml:space="preserve">de 30 niños y niñas </w:t>
      </w:r>
      <w:r>
        <w:rPr>
          <w:rFonts w:ascii="Cambria" w:hAnsi="Cambria"/>
          <w:sz w:val="20"/>
          <w:szCs w:val="20"/>
          <w:lang w:val="es-ES"/>
        </w:rPr>
        <w:t xml:space="preserve">con Síndrome de </w:t>
      </w:r>
      <w:proofErr w:type="spellStart"/>
      <w:r>
        <w:rPr>
          <w:rFonts w:ascii="Cambria" w:hAnsi="Cambria"/>
          <w:sz w:val="20"/>
          <w:szCs w:val="20"/>
          <w:lang w:val="es-ES"/>
        </w:rPr>
        <w:t>Laron</w:t>
      </w:r>
      <w:proofErr w:type="spellEnd"/>
      <w:r w:rsidRPr="00C771A4">
        <w:rPr>
          <w:rFonts w:ascii="Cambria" w:hAnsi="Cambria"/>
          <w:sz w:val="20"/>
          <w:szCs w:val="20"/>
          <w:lang w:val="es-ES"/>
        </w:rPr>
        <w:t xml:space="preserve"> (en adel</w:t>
      </w:r>
      <w:r>
        <w:rPr>
          <w:rFonts w:ascii="Cambria" w:hAnsi="Cambria"/>
          <w:sz w:val="20"/>
          <w:szCs w:val="20"/>
          <w:lang w:val="es-ES"/>
        </w:rPr>
        <w:t xml:space="preserve">ante “las presuntas víctimas “). </w:t>
      </w:r>
      <w:r w:rsidRPr="00C771A4">
        <w:rPr>
          <w:rFonts w:ascii="Cambria" w:hAnsi="Cambria"/>
          <w:sz w:val="20"/>
          <w:szCs w:val="20"/>
          <w:lang w:val="es-ES"/>
        </w:rPr>
        <w:t xml:space="preserve">Indica que esta enfermedad normalmente previene el crecimiento de quienes la padecen causándoles una discapacidad, pero que existe una droga que puede prevenir estas consecuencias si es </w:t>
      </w:r>
      <w:r>
        <w:rPr>
          <w:rFonts w:ascii="Cambria" w:hAnsi="Cambria"/>
          <w:sz w:val="20"/>
          <w:szCs w:val="20"/>
          <w:lang w:val="es-ES"/>
        </w:rPr>
        <w:t>suministrada</w:t>
      </w:r>
      <w:r w:rsidRPr="00C771A4">
        <w:rPr>
          <w:rFonts w:ascii="Cambria" w:hAnsi="Cambria"/>
          <w:sz w:val="20"/>
          <w:szCs w:val="20"/>
          <w:lang w:val="es-ES"/>
        </w:rPr>
        <w:t xml:space="preserve"> a</w:t>
      </w:r>
      <w:r>
        <w:rPr>
          <w:rFonts w:ascii="Cambria" w:hAnsi="Cambria"/>
          <w:sz w:val="20"/>
          <w:szCs w:val="20"/>
          <w:lang w:val="es-ES"/>
        </w:rPr>
        <w:t>l paciente antes de que alcance</w:t>
      </w:r>
      <w:r w:rsidRPr="00C771A4">
        <w:rPr>
          <w:rFonts w:ascii="Cambria" w:hAnsi="Cambria"/>
          <w:sz w:val="20"/>
          <w:szCs w:val="20"/>
          <w:lang w:val="es-ES"/>
        </w:rPr>
        <w:t xml:space="preserve"> la pubertad. Alega que esta droga no está disponible en Ecuador por no contar con registro sanitario y que el Estado no ha cumplido con sus obligaciones de adoptar medidas para permitir que los niños y niñas afectados accedan al tratamiento; pese a existir dos sentencias judiciales de tribunales domésticos exigiendo el cumplimiento de éstas obligaciones. Sostiene que a algunas de las presuntas víctimas se les ha causado un daño irreparable</w:t>
      </w:r>
      <w:r>
        <w:rPr>
          <w:rFonts w:ascii="Cambria" w:hAnsi="Cambria"/>
          <w:sz w:val="20"/>
          <w:szCs w:val="20"/>
          <w:lang w:val="es-ES"/>
        </w:rPr>
        <w:t>,</w:t>
      </w:r>
      <w:r w:rsidRPr="00C771A4">
        <w:rPr>
          <w:rFonts w:ascii="Cambria" w:hAnsi="Cambria"/>
          <w:sz w:val="20"/>
          <w:szCs w:val="20"/>
          <w:lang w:val="es-ES"/>
        </w:rPr>
        <w:t xml:space="preserve"> pues alcanzaron la pubertad sin haber recibido el tratamiento.   </w:t>
      </w:r>
    </w:p>
    <w:p w:rsidR="001E784F" w:rsidRPr="00C771A4" w:rsidRDefault="001E784F" w:rsidP="00B876F9">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lang w:val="es-ES"/>
        </w:rPr>
      </w:pPr>
      <w:r w:rsidRPr="00C771A4">
        <w:rPr>
          <w:rFonts w:ascii="Cambria" w:hAnsi="Cambria"/>
          <w:sz w:val="20"/>
          <w:szCs w:val="20"/>
          <w:lang w:val="es-ES"/>
        </w:rPr>
        <w:t xml:space="preserve">La parte peticionaria indica que el Síndrome de </w:t>
      </w:r>
      <w:proofErr w:type="spellStart"/>
      <w:r w:rsidRPr="00C771A4">
        <w:rPr>
          <w:rFonts w:ascii="Cambria" w:hAnsi="Cambria"/>
          <w:sz w:val="20"/>
          <w:szCs w:val="20"/>
          <w:lang w:val="es-ES"/>
        </w:rPr>
        <w:t>Laron</w:t>
      </w:r>
      <w:proofErr w:type="spellEnd"/>
      <w:r w:rsidRPr="00C771A4">
        <w:rPr>
          <w:rFonts w:ascii="Cambria" w:hAnsi="Cambria"/>
          <w:sz w:val="20"/>
          <w:szCs w:val="20"/>
          <w:lang w:val="es-ES"/>
        </w:rPr>
        <w:t xml:space="preserve"> es una enfermedad congénita causada por una anomalía en el gen que codifica el receptor de la ho</w:t>
      </w:r>
      <w:r>
        <w:rPr>
          <w:rFonts w:ascii="Cambria" w:hAnsi="Cambria"/>
          <w:sz w:val="20"/>
          <w:szCs w:val="20"/>
          <w:lang w:val="es-ES"/>
        </w:rPr>
        <w:t xml:space="preserve">rmona de crecimiento (GHR), la </w:t>
      </w:r>
      <w:r w:rsidRPr="00C771A4">
        <w:rPr>
          <w:rFonts w:ascii="Cambria" w:hAnsi="Cambria"/>
          <w:sz w:val="20"/>
          <w:szCs w:val="20"/>
          <w:lang w:val="es-ES"/>
        </w:rPr>
        <w:t>que ocasiona a quienes la padecen un profundo déficit de estatura</w:t>
      </w:r>
      <w:r>
        <w:rPr>
          <w:rFonts w:ascii="Cambria" w:hAnsi="Cambria"/>
          <w:sz w:val="20"/>
          <w:szCs w:val="20"/>
          <w:lang w:val="es-ES"/>
        </w:rPr>
        <w:t xml:space="preserve"> (</w:t>
      </w:r>
      <w:r w:rsidRPr="001B22C5">
        <w:rPr>
          <w:rFonts w:ascii="Cambria" w:hAnsi="Cambria"/>
          <w:sz w:val="20"/>
          <w:szCs w:val="20"/>
          <w:lang w:val="es-PA"/>
        </w:rPr>
        <w:t>“entre -4 y -11.5 por debajo de la media”</w:t>
      </w:r>
      <w:r>
        <w:rPr>
          <w:rFonts w:ascii="Cambria" w:hAnsi="Cambria"/>
          <w:sz w:val="16"/>
          <w:szCs w:val="16"/>
          <w:lang w:val="es-PA"/>
        </w:rPr>
        <w:t>)</w:t>
      </w:r>
      <w:r w:rsidRPr="00C771A4">
        <w:rPr>
          <w:rFonts w:ascii="Cambria" w:hAnsi="Cambria"/>
          <w:sz w:val="20"/>
          <w:szCs w:val="20"/>
          <w:lang w:val="es-ES"/>
        </w:rPr>
        <w:t xml:space="preserve"> y </w:t>
      </w:r>
      <w:proofErr w:type="spellStart"/>
      <w:r w:rsidRPr="00C771A4">
        <w:rPr>
          <w:rFonts w:ascii="Cambria" w:hAnsi="Cambria"/>
          <w:sz w:val="20"/>
          <w:szCs w:val="20"/>
          <w:lang w:val="es-ES"/>
        </w:rPr>
        <w:t>dismorfia</w:t>
      </w:r>
      <w:proofErr w:type="spellEnd"/>
      <w:r w:rsidRPr="00C771A4">
        <w:rPr>
          <w:rFonts w:ascii="Cambria" w:hAnsi="Cambria"/>
          <w:sz w:val="20"/>
          <w:szCs w:val="20"/>
          <w:lang w:val="es-ES"/>
        </w:rPr>
        <w:t xml:space="preserve"> facial. Alega que </w:t>
      </w:r>
      <w:r>
        <w:rPr>
          <w:rFonts w:ascii="Cambria" w:hAnsi="Cambria"/>
          <w:sz w:val="20"/>
          <w:szCs w:val="20"/>
          <w:lang w:val="es-ES"/>
        </w:rPr>
        <w:t>esto trae consecuencias tales como que</w:t>
      </w:r>
      <w:r w:rsidRPr="00C771A4">
        <w:rPr>
          <w:rFonts w:ascii="Cambria" w:hAnsi="Cambria"/>
          <w:sz w:val="20"/>
          <w:szCs w:val="20"/>
          <w:lang w:val="es-ES"/>
        </w:rPr>
        <w:t xml:space="preserve"> las actividades más comunes puedan representar riesgos para sus vidas, además de otras consecuencias tales como retraso para caminar, extensibilidad limitada de las articulaciones, hipoglucemia, aumento de colesterol, obesidad, displasia en la cadera y retraso en el desarrollo motor. </w:t>
      </w:r>
      <w:r w:rsidRPr="009639F9">
        <w:rPr>
          <w:rFonts w:ascii="Cambria" w:hAnsi="Cambria"/>
          <w:sz w:val="20"/>
          <w:szCs w:val="20"/>
          <w:lang w:val="es-ES"/>
        </w:rPr>
        <w:t xml:space="preserve">Sostiene que, aunque esta enfermedad es extremadamente rara a nivel mundial, en el Ecuador se encuentra un tercio de la población mundial afectada. </w:t>
      </w:r>
      <w:r>
        <w:rPr>
          <w:rFonts w:ascii="Cambria" w:hAnsi="Cambria"/>
          <w:sz w:val="20"/>
          <w:szCs w:val="20"/>
          <w:lang w:val="es-ES"/>
        </w:rPr>
        <w:t>Alega</w:t>
      </w:r>
      <w:r w:rsidRPr="00C771A4">
        <w:rPr>
          <w:rFonts w:ascii="Cambria" w:hAnsi="Cambria"/>
          <w:sz w:val="20"/>
          <w:szCs w:val="20"/>
          <w:lang w:val="es-ES"/>
        </w:rPr>
        <w:t xml:space="preserve"> que el Estado reconoce al </w:t>
      </w:r>
      <w:proofErr w:type="spellStart"/>
      <w:r w:rsidRPr="00C771A4">
        <w:rPr>
          <w:rFonts w:ascii="Cambria" w:hAnsi="Cambria"/>
          <w:sz w:val="20"/>
          <w:szCs w:val="20"/>
          <w:lang w:val="es-ES"/>
        </w:rPr>
        <w:t>Sindrome</w:t>
      </w:r>
      <w:proofErr w:type="spellEnd"/>
      <w:r w:rsidRPr="00C771A4">
        <w:rPr>
          <w:rFonts w:ascii="Cambria" w:hAnsi="Cambria"/>
          <w:sz w:val="20"/>
          <w:szCs w:val="20"/>
          <w:lang w:val="es-ES"/>
        </w:rPr>
        <w:t xml:space="preserve"> de </w:t>
      </w:r>
      <w:proofErr w:type="spellStart"/>
      <w:r w:rsidRPr="00C771A4">
        <w:rPr>
          <w:rFonts w:ascii="Cambria" w:hAnsi="Cambria"/>
          <w:sz w:val="20"/>
          <w:szCs w:val="20"/>
          <w:lang w:val="es-ES"/>
        </w:rPr>
        <w:t>Laron</w:t>
      </w:r>
      <w:proofErr w:type="spellEnd"/>
      <w:r w:rsidRPr="00C771A4">
        <w:rPr>
          <w:rFonts w:ascii="Cambria" w:hAnsi="Cambria"/>
          <w:sz w:val="20"/>
          <w:szCs w:val="20"/>
          <w:lang w:val="es-ES"/>
        </w:rPr>
        <w:t xml:space="preserve"> como u</w:t>
      </w:r>
      <w:r>
        <w:rPr>
          <w:rFonts w:ascii="Cambria" w:hAnsi="Cambria"/>
          <w:sz w:val="20"/>
          <w:szCs w:val="20"/>
          <w:lang w:val="es-ES"/>
        </w:rPr>
        <w:t xml:space="preserve">na enfermedad “catastrófica” de </w:t>
      </w:r>
      <w:r w:rsidRPr="00C771A4">
        <w:rPr>
          <w:rFonts w:ascii="Cambria" w:hAnsi="Cambria"/>
          <w:sz w:val="20"/>
          <w:szCs w:val="20"/>
          <w:lang w:val="es-ES"/>
        </w:rPr>
        <w:t xml:space="preserve">conformidad con la Ley Orgánica de Salud y que </w:t>
      </w:r>
      <w:r>
        <w:rPr>
          <w:rFonts w:ascii="Cambria" w:hAnsi="Cambria"/>
          <w:sz w:val="20"/>
          <w:szCs w:val="20"/>
          <w:lang w:val="es-ES"/>
        </w:rPr>
        <w:t>emite certificados de discapacidad a las personas que la padecen</w:t>
      </w:r>
      <w:r w:rsidRPr="00C771A4">
        <w:rPr>
          <w:rFonts w:ascii="Cambria" w:hAnsi="Cambria"/>
          <w:sz w:val="20"/>
          <w:szCs w:val="20"/>
          <w:lang w:val="es-ES"/>
        </w:rPr>
        <w:t xml:space="preserve">.  </w:t>
      </w:r>
    </w:p>
    <w:p w:rsidR="001E784F" w:rsidRPr="00C771A4" w:rsidRDefault="001E784F" w:rsidP="00B876F9">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lang w:val="es-ES"/>
        </w:rPr>
      </w:pPr>
      <w:r w:rsidRPr="00C771A4">
        <w:rPr>
          <w:rFonts w:ascii="Cambria" w:hAnsi="Cambria"/>
          <w:sz w:val="20"/>
          <w:szCs w:val="20"/>
          <w:lang w:val="es-ES"/>
        </w:rPr>
        <w:t xml:space="preserve">Alega que no existe cura para el referido síndrome y que el único tratamiento que se ha desarrollado es un medicamento que tiene como componente la </w:t>
      </w:r>
      <w:proofErr w:type="spellStart"/>
      <w:r w:rsidRPr="00C771A4">
        <w:rPr>
          <w:rFonts w:ascii="Cambria" w:hAnsi="Cambria"/>
          <w:sz w:val="20"/>
          <w:szCs w:val="20"/>
          <w:lang w:val="es-ES"/>
        </w:rPr>
        <w:t>mecasermina</w:t>
      </w:r>
      <w:proofErr w:type="spellEnd"/>
      <w:r w:rsidRPr="00C771A4">
        <w:rPr>
          <w:rFonts w:ascii="Cambria" w:hAnsi="Cambria"/>
          <w:sz w:val="20"/>
          <w:szCs w:val="20"/>
          <w:lang w:val="es-ES"/>
        </w:rPr>
        <w:t>; el que, cuando es administrado oportunamente antes de la pubertad, puede permitir a las personas afectadas crecer hasta una talla que no les cause discapacidad</w:t>
      </w:r>
      <w:r>
        <w:rPr>
          <w:rFonts w:ascii="Cambria" w:hAnsi="Cambria"/>
          <w:sz w:val="20"/>
          <w:szCs w:val="20"/>
          <w:lang w:val="es-ES"/>
        </w:rPr>
        <w:t xml:space="preserve"> (</w:t>
      </w:r>
      <w:r w:rsidRPr="0053492C">
        <w:rPr>
          <w:rFonts w:ascii="Cambria" w:hAnsi="Cambria"/>
          <w:sz w:val="20"/>
          <w:szCs w:val="20"/>
          <w:lang w:val="es-PA"/>
        </w:rPr>
        <w:t xml:space="preserve">Indica que la velocidad de crecimiento promedio de las personas con </w:t>
      </w:r>
      <w:r>
        <w:rPr>
          <w:rFonts w:ascii="Cambria" w:hAnsi="Cambria"/>
          <w:sz w:val="20"/>
          <w:szCs w:val="20"/>
          <w:lang w:val="es-PA"/>
        </w:rPr>
        <w:t>el síndrome</w:t>
      </w:r>
      <w:r w:rsidRPr="0053492C">
        <w:rPr>
          <w:rFonts w:ascii="Cambria" w:hAnsi="Cambria"/>
          <w:sz w:val="20"/>
          <w:szCs w:val="20"/>
          <w:lang w:val="es-PA"/>
        </w:rPr>
        <w:t xml:space="preserve"> es 2-</w:t>
      </w:r>
      <w:smartTag w:uri="urn:schemas-microsoft-com:office:smarttags" w:element="metricconverter">
        <w:smartTagPr>
          <w:attr w:name="ProductID" w:val="3 cm"/>
        </w:smartTagPr>
        <w:r w:rsidRPr="0053492C">
          <w:rPr>
            <w:rFonts w:ascii="Cambria" w:hAnsi="Cambria"/>
            <w:sz w:val="20"/>
            <w:szCs w:val="20"/>
            <w:lang w:val="es-PA"/>
          </w:rPr>
          <w:t>3 cm</w:t>
        </w:r>
      </w:smartTag>
      <w:r w:rsidRPr="0053492C">
        <w:rPr>
          <w:rFonts w:ascii="Cambria" w:hAnsi="Cambria"/>
          <w:sz w:val="20"/>
          <w:szCs w:val="20"/>
          <w:lang w:val="es-PA"/>
        </w:rPr>
        <w:t xml:space="preserve"> por año</w:t>
      </w:r>
      <w:r>
        <w:rPr>
          <w:rFonts w:ascii="Cambria" w:hAnsi="Cambria"/>
          <w:sz w:val="20"/>
          <w:szCs w:val="20"/>
          <w:lang w:val="es-PA"/>
        </w:rPr>
        <w:t xml:space="preserve"> pero</w:t>
      </w:r>
      <w:r w:rsidRPr="0053492C">
        <w:rPr>
          <w:rFonts w:ascii="Cambria" w:hAnsi="Cambria"/>
          <w:sz w:val="20"/>
          <w:szCs w:val="20"/>
          <w:lang w:val="es-PA"/>
        </w:rPr>
        <w:t xml:space="preserve"> el medicamento puede incrementar</w:t>
      </w:r>
      <w:r>
        <w:rPr>
          <w:rFonts w:ascii="Cambria" w:hAnsi="Cambria"/>
          <w:sz w:val="20"/>
          <w:szCs w:val="20"/>
          <w:lang w:val="es-PA"/>
        </w:rPr>
        <w:t>la a</w:t>
      </w:r>
      <w:r w:rsidRPr="0053492C">
        <w:rPr>
          <w:rFonts w:ascii="Cambria" w:hAnsi="Cambria"/>
          <w:sz w:val="20"/>
          <w:szCs w:val="20"/>
          <w:lang w:val="es-PA"/>
        </w:rPr>
        <w:t xml:space="preserve"> </w:t>
      </w:r>
      <w:smartTag w:uri="urn:schemas-microsoft-com:office:smarttags" w:element="metricconverter">
        <w:smartTagPr>
          <w:attr w:name="ProductID" w:val="9.3 cm"/>
        </w:smartTagPr>
        <w:r w:rsidRPr="0053492C">
          <w:rPr>
            <w:rFonts w:ascii="Cambria" w:hAnsi="Cambria"/>
            <w:sz w:val="20"/>
            <w:szCs w:val="20"/>
            <w:lang w:val="es-PA"/>
          </w:rPr>
          <w:t>9.3 cm</w:t>
        </w:r>
      </w:smartTag>
      <w:r w:rsidRPr="0053492C">
        <w:rPr>
          <w:rFonts w:ascii="Cambria" w:hAnsi="Cambria"/>
          <w:sz w:val="20"/>
          <w:szCs w:val="20"/>
          <w:lang w:val="es-PA"/>
        </w:rPr>
        <w:t xml:space="preserve"> por año</w:t>
      </w:r>
      <w:r>
        <w:rPr>
          <w:rFonts w:ascii="Cambria" w:hAnsi="Cambria"/>
          <w:sz w:val="16"/>
          <w:szCs w:val="16"/>
          <w:lang w:val="es-PA"/>
        </w:rPr>
        <w:t>)</w:t>
      </w:r>
      <w:r w:rsidRPr="00C771A4">
        <w:rPr>
          <w:rFonts w:ascii="Cambria" w:hAnsi="Cambria"/>
          <w:sz w:val="20"/>
          <w:szCs w:val="20"/>
          <w:lang w:val="es-ES"/>
        </w:rPr>
        <w:t xml:space="preserve">. </w:t>
      </w:r>
      <w:r>
        <w:rPr>
          <w:rFonts w:ascii="Cambria" w:hAnsi="Cambria"/>
          <w:sz w:val="20"/>
          <w:szCs w:val="20"/>
          <w:lang w:val="es-ES"/>
        </w:rPr>
        <w:t>Señala</w:t>
      </w:r>
      <w:r w:rsidRPr="00C771A4">
        <w:rPr>
          <w:rFonts w:ascii="Cambria" w:hAnsi="Cambria"/>
          <w:sz w:val="20"/>
          <w:szCs w:val="20"/>
          <w:lang w:val="es-ES"/>
        </w:rPr>
        <w:t xml:space="preserve"> que este medicamento es comercializado bajo el nombre “INCRELEX”, que ha sido aprobado por la </w:t>
      </w:r>
      <w:proofErr w:type="spellStart"/>
      <w:r w:rsidRPr="00C771A4">
        <w:rPr>
          <w:rFonts w:ascii="Cambria" w:hAnsi="Cambria"/>
          <w:sz w:val="20"/>
          <w:szCs w:val="20"/>
          <w:lang w:val="es-ES"/>
        </w:rPr>
        <w:t>Food</w:t>
      </w:r>
      <w:proofErr w:type="spellEnd"/>
      <w:r w:rsidRPr="00C771A4">
        <w:rPr>
          <w:rFonts w:ascii="Cambria" w:hAnsi="Cambria"/>
          <w:sz w:val="20"/>
          <w:szCs w:val="20"/>
          <w:lang w:val="es-ES"/>
        </w:rPr>
        <w:t xml:space="preserve"> and </w:t>
      </w:r>
      <w:proofErr w:type="spellStart"/>
      <w:r w:rsidRPr="00C771A4">
        <w:rPr>
          <w:rFonts w:ascii="Cambria" w:hAnsi="Cambria"/>
          <w:sz w:val="20"/>
          <w:szCs w:val="20"/>
          <w:lang w:val="es-ES"/>
        </w:rPr>
        <w:t>Drug</w:t>
      </w:r>
      <w:proofErr w:type="spellEnd"/>
      <w:r w:rsidRPr="00C771A4">
        <w:rPr>
          <w:rFonts w:ascii="Cambria" w:hAnsi="Cambria"/>
          <w:sz w:val="20"/>
          <w:szCs w:val="20"/>
          <w:lang w:val="es-ES"/>
        </w:rPr>
        <w:t xml:space="preserve"> </w:t>
      </w:r>
      <w:proofErr w:type="spellStart"/>
      <w:r w:rsidRPr="00C771A4">
        <w:rPr>
          <w:rFonts w:ascii="Cambria" w:hAnsi="Cambria"/>
          <w:sz w:val="20"/>
          <w:szCs w:val="20"/>
          <w:lang w:val="es-ES"/>
        </w:rPr>
        <w:t>Administration</w:t>
      </w:r>
      <w:proofErr w:type="spellEnd"/>
      <w:r w:rsidRPr="00C771A4">
        <w:rPr>
          <w:rFonts w:ascii="Cambria" w:hAnsi="Cambria"/>
          <w:sz w:val="20"/>
          <w:szCs w:val="20"/>
          <w:lang w:val="es-ES"/>
        </w:rPr>
        <w:t xml:space="preserve"> de los Estados Unidos y la </w:t>
      </w:r>
      <w:proofErr w:type="spellStart"/>
      <w:r w:rsidRPr="00C771A4">
        <w:rPr>
          <w:rFonts w:ascii="Cambria" w:hAnsi="Cambria"/>
          <w:sz w:val="20"/>
          <w:szCs w:val="20"/>
          <w:lang w:val="es-ES"/>
        </w:rPr>
        <w:t>European</w:t>
      </w:r>
      <w:proofErr w:type="spellEnd"/>
      <w:r w:rsidRPr="00C771A4">
        <w:rPr>
          <w:rFonts w:ascii="Cambria" w:hAnsi="Cambria"/>
          <w:sz w:val="20"/>
          <w:szCs w:val="20"/>
          <w:lang w:val="es-ES"/>
        </w:rPr>
        <w:t xml:space="preserve"> Medicines Agency, y que el único laboratorio que lo produce se encuentra en Francia. Señala que el medicamento no cuenta con registro sanitario para su distribución en Ecuador y que es una “droga huérfana” que no tiene proyección en el mercado por ser aplicable únicamente al Síndrome de </w:t>
      </w:r>
      <w:proofErr w:type="spellStart"/>
      <w:r w:rsidRPr="00C771A4">
        <w:rPr>
          <w:rFonts w:ascii="Cambria" w:hAnsi="Cambria"/>
          <w:sz w:val="20"/>
          <w:szCs w:val="20"/>
          <w:lang w:val="es-ES"/>
        </w:rPr>
        <w:t>Laron</w:t>
      </w:r>
      <w:proofErr w:type="spellEnd"/>
      <w:r w:rsidRPr="00C771A4">
        <w:rPr>
          <w:rFonts w:ascii="Cambria" w:hAnsi="Cambria"/>
          <w:sz w:val="20"/>
          <w:szCs w:val="20"/>
          <w:lang w:val="es-ES"/>
        </w:rPr>
        <w:t xml:space="preserve">, enfermedad extremadamente rara; por lo que los actores privados de Ecuador no han tenido interés en obtener registro sanitario para ella. Agrega que la droga tiene un elevado costo (el tratamiento para un paciente de </w:t>
      </w:r>
      <w:smartTag w:uri="urn:schemas-microsoft-com:office:smarttags" w:element="metricconverter">
        <w:smartTagPr>
          <w:attr w:name="ProductID" w:val="18 kg"/>
        </w:smartTagPr>
        <w:r w:rsidRPr="00C771A4">
          <w:rPr>
            <w:rFonts w:ascii="Cambria" w:hAnsi="Cambria"/>
            <w:sz w:val="20"/>
            <w:szCs w:val="20"/>
            <w:lang w:val="es-ES"/>
          </w:rPr>
          <w:t>18 kg</w:t>
        </w:r>
      </w:smartTag>
      <w:r w:rsidRPr="00C771A4">
        <w:rPr>
          <w:rFonts w:ascii="Cambria" w:hAnsi="Cambria"/>
          <w:sz w:val="20"/>
          <w:szCs w:val="20"/>
          <w:lang w:val="es-ES"/>
        </w:rPr>
        <w:t xml:space="preserve"> costaría aproximadamente US$2</w:t>
      </w:r>
      <w:r>
        <w:rPr>
          <w:rFonts w:ascii="Cambria" w:hAnsi="Cambria"/>
          <w:sz w:val="20"/>
          <w:szCs w:val="20"/>
          <w:lang w:val="es-ES"/>
        </w:rPr>
        <w:t>,</w:t>
      </w:r>
      <w:r w:rsidRPr="00C771A4">
        <w:rPr>
          <w:rFonts w:ascii="Cambria" w:hAnsi="Cambria"/>
          <w:sz w:val="20"/>
          <w:szCs w:val="20"/>
          <w:lang w:val="es-ES"/>
        </w:rPr>
        <w:t xml:space="preserve">400.00 mensuales) lo que imposibilita que un particular pueda </w:t>
      </w:r>
      <w:r>
        <w:rPr>
          <w:rFonts w:ascii="Cambria" w:hAnsi="Cambria"/>
          <w:sz w:val="20"/>
          <w:szCs w:val="20"/>
          <w:lang w:val="es-ES"/>
        </w:rPr>
        <w:t>sufragar</w:t>
      </w:r>
      <w:r w:rsidRPr="00C771A4">
        <w:rPr>
          <w:rFonts w:ascii="Cambria" w:hAnsi="Cambria"/>
          <w:sz w:val="20"/>
          <w:szCs w:val="20"/>
          <w:lang w:val="es-ES"/>
        </w:rPr>
        <w:t xml:space="preserve"> el proceso de registro e importación de la misma.   </w:t>
      </w:r>
    </w:p>
    <w:p w:rsidR="001E784F" w:rsidRPr="00C771A4" w:rsidRDefault="001E784F" w:rsidP="00B876F9">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lang w:val="es-ES"/>
        </w:rPr>
      </w:pPr>
      <w:r w:rsidRPr="00C771A4">
        <w:rPr>
          <w:rFonts w:ascii="Cambria" w:hAnsi="Cambria"/>
          <w:sz w:val="20"/>
          <w:szCs w:val="20"/>
          <w:lang w:val="es-ES"/>
        </w:rPr>
        <w:t>Relata que desde el 2007 se han estado presentando solicitudes e intentado acercamientos con diversas instituciones estatales para que estas proporcionen ayuda para que las presuntas víctimas puedan acceder al tratamiento, sin que el Estado haya proporcionado ninguna ayuda. El 20 de septiembre de 2010 un grupo de padres y madres</w:t>
      </w:r>
      <w:r w:rsidRPr="00C771A4">
        <w:rPr>
          <w:rStyle w:val="FootnoteReference"/>
          <w:rFonts w:ascii="Cambria" w:hAnsi="Cambria"/>
          <w:sz w:val="20"/>
          <w:szCs w:val="20"/>
          <w:lang w:val="es-ES"/>
        </w:rPr>
        <w:footnoteReference w:id="7"/>
      </w:r>
      <w:r w:rsidRPr="00C771A4">
        <w:rPr>
          <w:rFonts w:ascii="Cambria" w:hAnsi="Cambria"/>
          <w:sz w:val="20"/>
          <w:szCs w:val="20"/>
          <w:lang w:val="es-ES"/>
        </w:rPr>
        <w:t xml:space="preserve"> presentaron una acción de protección constitucional contra el Ministro de Salud solicitando que se les concediera a las personas afectadas por esta enfermedad atención especializada y gratuita a todos los niveles y que se permitiera la importación de la droga INCRELEX a Ecuador. El 2 de diciembre de 2010 el Tribunal S</w:t>
      </w:r>
      <w:r>
        <w:rPr>
          <w:rFonts w:ascii="Cambria" w:hAnsi="Cambria"/>
          <w:sz w:val="20"/>
          <w:szCs w:val="20"/>
          <w:lang w:val="es-ES"/>
        </w:rPr>
        <w:t>egundo de Garantía</w:t>
      </w:r>
      <w:r w:rsidRPr="00C771A4">
        <w:rPr>
          <w:rFonts w:ascii="Cambria" w:hAnsi="Cambria"/>
          <w:sz w:val="20"/>
          <w:szCs w:val="20"/>
          <w:lang w:val="es-ES"/>
        </w:rPr>
        <w:t xml:space="preserve">s Penales de Pichincha concedió la acción de protección  y ordenó: que se conformara una comisión bipartita integrada por los accionantes, un médico e investigador experto en el Síndrome de </w:t>
      </w:r>
      <w:proofErr w:type="spellStart"/>
      <w:r w:rsidRPr="00C771A4">
        <w:rPr>
          <w:rFonts w:ascii="Cambria" w:hAnsi="Cambria"/>
          <w:sz w:val="20"/>
          <w:szCs w:val="20"/>
          <w:lang w:val="es-ES"/>
        </w:rPr>
        <w:t>Laron</w:t>
      </w:r>
      <w:proofErr w:type="spellEnd"/>
      <w:r w:rsidRPr="00C771A4">
        <w:rPr>
          <w:rFonts w:ascii="Cambria" w:hAnsi="Cambria"/>
          <w:sz w:val="20"/>
          <w:szCs w:val="20"/>
          <w:lang w:val="es-ES"/>
        </w:rPr>
        <w:t xml:space="preserve">, y representantes del Ministerio de Salud Pública; que los accionantes presentaran al Ministerio de Salud dentro de un plazo de 30 días un protocolo de lineamientos técnicos sobre </w:t>
      </w:r>
      <w:r w:rsidRPr="00C771A4">
        <w:rPr>
          <w:rFonts w:ascii="Cambria" w:hAnsi="Cambria"/>
          <w:sz w:val="20"/>
          <w:szCs w:val="20"/>
          <w:lang w:val="es-ES"/>
        </w:rPr>
        <w:lastRenderedPageBreak/>
        <w:t xml:space="preserve">el Síndrome de </w:t>
      </w:r>
      <w:proofErr w:type="spellStart"/>
      <w:r w:rsidRPr="00C771A4">
        <w:rPr>
          <w:rFonts w:ascii="Cambria" w:hAnsi="Cambria"/>
          <w:sz w:val="20"/>
          <w:szCs w:val="20"/>
          <w:lang w:val="es-ES"/>
        </w:rPr>
        <w:t>Laron</w:t>
      </w:r>
      <w:proofErr w:type="spellEnd"/>
      <w:r w:rsidRPr="00C771A4">
        <w:rPr>
          <w:rFonts w:ascii="Cambria" w:hAnsi="Cambria"/>
          <w:sz w:val="20"/>
          <w:szCs w:val="20"/>
          <w:lang w:val="es-ES"/>
        </w:rPr>
        <w:t>; y que</w:t>
      </w:r>
      <w:r>
        <w:rPr>
          <w:rFonts w:ascii="Cambria" w:hAnsi="Cambria"/>
          <w:sz w:val="20"/>
          <w:szCs w:val="20"/>
          <w:lang w:val="es-ES"/>
        </w:rPr>
        <w:t xml:space="preserve"> el</w:t>
      </w:r>
      <w:r w:rsidRPr="00C771A4">
        <w:rPr>
          <w:rFonts w:ascii="Cambria" w:hAnsi="Cambria"/>
          <w:sz w:val="20"/>
          <w:szCs w:val="20"/>
          <w:lang w:val="es-ES"/>
        </w:rPr>
        <w:t xml:space="preserve"> Min</w:t>
      </w:r>
      <w:r>
        <w:rPr>
          <w:rFonts w:ascii="Cambria" w:hAnsi="Cambria"/>
          <w:sz w:val="20"/>
          <w:szCs w:val="20"/>
          <w:lang w:val="es-ES"/>
        </w:rPr>
        <w:t>i</w:t>
      </w:r>
      <w:r w:rsidRPr="00C771A4">
        <w:rPr>
          <w:rFonts w:ascii="Cambria" w:hAnsi="Cambria"/>
          <w:sz w:val="20"/>
          <w:szCs w:val="20"/>
          <w:lang w:val="es-ES"/>
        </w:rPr>
        <w:t>sterio</w:t>
      </w:r>
      <w:r>
        <w:rPr>
          <w:rFonts w:ascii="Cambria" w:hAnsi="Cambria"/>
          <w:sz w:val="20"/>
          <w:szCs w:val="20"/>
          <w:lang w:val="es-ES"/>
        </w:rPr>
        <w:t xml:space="preserve"> de Salud</w:t>
      </w:r>
      <w:r w:rsidRPr="00C771A4">
        <w:rPr>
          <w:rFonts w:ascii="Cambria" w:hAnsi="Cambria"/>
          <w:sz w:val="20"/>
          <w:szCs w:val="20"/>
          <w:lang w:val="es-ES"/>
        </w:rPr>
        <w:t xml:space="preserve">, una vez recibido el protocolo, “gestione a su vez, en forma efectiva, expedita, y en un plazo razonable, el apoyo </w:t>
      </w:r>
      <w:r>
        <w:rPr>
          <w:rFonts w:ascii="Cambria" w:hAnsi="Cambria"/>
          <w:sz w:val="20"/>
          <w:szCs w:val="20"/>
          <w:lang w:val="es-ES"/>
        </w:rPr>
        <w:t>médico para el tratamiento del S</w:t>
      </w:r>
      <w:r w:rsidRPr="00C771A4">
        <w:rPr>
          <w:rFonts w:ascii="Cambria" w:hAnsi="Cambria"/>
          <w:sz w:val="20"/>
          <w:szCs w:val="20"/>
          <w:lang w:val="es-ES"/>
        </w:rPr>
        <w:t xml:space="preserve">índrome de </w:t>
      </w:r>
      <w:proofErr w:type="spellStart"/>
      <w:r w:rsidRPr="00C771A4">
        <w:rPr>
          <w:rFonts w:ascii="Cambria" w:hAnsi="Cambria"/>
          <w:sz w:val="20"/>
          <w:szCs w:val="20"/>
          <w:lang w:val="es-ES"/>
        </w:rPr>
        <w:t>Laron</w:t>
      </w:r>
      <w:proofErr w:type="spellEnd"/>
      <w:r w:rsidRPr="00C771A4">
        <w:rPr>
          <w:rFonts w:ascii="Cambria" w:hAnsi="Cambria"/>
          <w:sz w:val="20"/>
          <w:szCs w:val="20"/>
          <w:lang w:val="es-ES"/>
        </w:rPr>
        <w:t xml:space="preserve"> en beneficio de la población ecuatoriana afectada por este mal” ante la Secretaría Nacional de Educación Superior Ciencia y Tecnología (SENESCYT). Continúa relatando que la parte accionante cumplió con la entrega del protocolo el 16 de diciembre de 2010</w:t>
      </w:r>
      <w:r>
        <w:rPr>
          <w:rFonts w:ascii="Cambria" w:hAnsi="Cambria"/>
          <w:sz w:val="20"/>
          <w:szCs w:val="20"/>
          <w:lang w:val="es-ES"/>
        </w:rPr>
        <w:t>,</w:t>
      </w:r>
      <w:r w:rsidRPr="00C771A4">
        <w:rPr>
          <w:rFonts w:ascii="Cambria" w:hAnsi="Cambria"/>
          <w:sz w:val="20"/>
          <w:szCs w:val="20"/>
          <w:lang w:val="es-ES"/>
        </w:rPr>
        <w:t xml:space="preserve"> pero el Ministerio de Salud no ha cumplido con la sentencia.</w:t>
      </w:r>
      <w:r>
        <w:rPr>
          <w:rFonts w:ascii="Cambria" w:hAnsi="Cambria"/>
          <w:sz w:val="20"/>
          <w:szCs w:val="20"/>
          <w:lang w:val="es-ES"/>
        </w:rPr>
        <w:t xml:space="preserve"> Señala</w:t>
      </w:r>
      <w:r w:rsidRPr="00662BBF">
        <w:rPr>
          <w:rFonts w:ascii="Cambria" w:hAnsi="Cambria"/>
          <w:sz w:val="20"/>
          <w:szCs w:val="20"/>
          <w:lang w:val="es-PA"/>
        </w:rPr>
        <w:t xml:space="preserve"> que, aunque se estableció la Comisión bipartita ésta no se reunía regularmente y que, aunque el Ministerio de Salud presentó un proyecto a la Secretaría, ésta lo rechazó por no cumplir con sus requisitos, luego de lo que el Ministerio no presentó un proyecto que cumpliera con los requisitos.</w:t>
      </w:r>
      <w:r w:rsidRPr="00662BBF">
        <w:rPr>
          <w:rFonts w:ascii="Cambria" w:hAnsi="Cambria"/>
          <w:sz w:val="20"/>
          <w:szCs w:val="20"/>
          <w:lang w:val="es-ES"/>
        </w:rPr>
        <w:t xml:space="preserve"> </w:t>
      </w:r>
    </w:p>
    <w:p w:rsidR="001E784F" w:rsidRDefault="001E784F" w:rsidP="00B876F9">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lang w:val="es-ES"/>
        </w:rPr>
      </w:pPr>
      <w:r w:rsidRPr="00C771A4">
        <w:rPr>
          <w:rFonts w:ascii="Cambria" w:hAnsi="Cambria"/>
          <w:sz w:val="20"/>
          <w:szCs w:val="20"/>
          <w:lang w:val="es-ES"/>
        </w:rPr>
        <w:t xml:space="preserve">Indica que el incumplimiento de la sentencia fue denunciado ante el tribunal que la había emitido, resultando en que éste emitiera el 23 de diciembre de 2010 y 15 de marzo y 20 de mayo de 2011 providencias instando al Ministro de Salud que cumpliera con la </w:t>
      </w:r>
      <w:r>
        <w:rPr>
          <w:rFonts w:ascii="Cambria" w:hAnsi="Cambria"/>
          <w:sz w:val="20"/>
          <w:szCs w:val="20"/>
          <w:lang w:val="es-ES"/>
        </w:rPr>
        <w:t>decisión</w:t>
      </w:r>
      <w:r w:rsidRPr="00C771A4">
        <w:rPr>
          <w:rFonts w:ascii="Cambria" w:hAnsi="Cambria"/>
          <w:sz w:val="20"/>
          <w:szCs w:val="20"/>
          <w:lang w:val="es-ES"/>
        </w:rPr>
        <w:t>.</w:t>
      </w:r>
      <w:r>
        <w:rPr>
          <w:rFonts w:ascii="Cambria" w:hAnsi="Cambria"/>
          <w:sz w:val="20"/>
          <w:szCs w:val="20"/>
          <w:lang w:val="es-ES"/>
        </w:rPr>
        <w:t xml:space="preserve"> </w:t>
      </w:r>
      <w:r w:rsidRPr="00662BBF">
        <w:rPr>
          <w:rFonts w:ascii="Cambria" w:hAnsi="Cambria"/>
          <w:sz w:val="20"/>
          <w:szCs w:val="20"/>
          <w:lang w:val="es-ES"/>
        </w:rPr>
        <w:t>Agrega que el incumplimiento también fue denunciado el 4 de marzo de 2011 ante la Defensoría del Pueblo y el 27 de junio de 2011 mediante carta dirigida al presidente del país.</w:t>
      </w:r>
      <w:r w:rsidRPr="00C771A4">
        <w:rPr>
          <w:rFonts w:ascii="Cambria" w:hAnsi="Cambria"/>
          <w:sz w:val="20"/>
          <w:szCs w:val="20"/>
          <w:lang w:val="es-ES"/>
        </w:rPr>
        <w:t xml:space="preserve"> Señala que el 17 de febrero de 2014 se presentó una acción de incumplimiento con respecto a la sentencia que permanecía incumplida habiendo transcurrido más de 3 años desde su emisión. Considera que el tiempo transcurrido entre la emisión de la sentencia y la interposición de la acción de incumplimiento no debe ser invocado por el Estado para justificar s</w:t>
      </w:r>
      <w:r>
        <w:rPr>
          <w:rFonts w:ascii="Cambria" w:hAnsi="Cambria"/>
          <w:sz w:val="20"/>
          <w:szCs w:val="20"/>
          <w:lang w:val="es-ES"/>
        </w:rPr>
        <w:t xml:space="preserve">u demora en el cumplimiento, </w:t>
      </w:r>
      <w:r w:rsidRPr="00C771A4">
        <w:rPr>
          <w:rFonts w:ascii="Cambria" w:hAnsi="Cambria"/>
          <w:sz w:val="20"/>
          <w:szCs w:val="20"/>
          <w:lang w:val="es-ES"/>
        </w:rPr>
        <w:t xml:space="preserve">pues la norma debe ser que las sentencias judiciales se cumplan por lo que la acción de incumplimiento debe entenderse como un recurso extraordinario. El 28 de febrero de 2014 el Tribunal Segundo de Garantías Penales de Pichincha declaró el incumplimiento de la sentencia y remitió el expediente a la Corte Constitucional. Denuncia que la acción de incumplimiento, la que por su naturaleza requiere de una decisión rápida, no fue resuelta en plazo razonable; emitiéndose la sentencia el 12 de diciembre de 2016 cuando la normativa interna vista en su conjunto requería que la Corte Constitucional decidiera en alrededor de 50 días. </w:t>
      </w:r>
    </w:p>
    <w:p w:rsidR="001E784F" w:rsidRPr="00662BBF" w:rsidRDefault="001E784F" w:rsidP="00662BBF">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lang w:val="es-ES"/>
        </w:rPr>
      </w:pPr>
      <w:r w:rsidRPr="00C771A4">
        <w:rPr>
          <w:rFonts w:ascii="Cambria" w:hAnsi="Cambria"/>
          <w:sz w:val="20"/>
          <w:szCs w:val="20"/>
          <w:lang w:val="es-ES"/>
        </w:rPr>
        <w:t>Señala que la sentencia de la Corte Constitucional dictó una serie de medidas favorables a las presuntas víctimas tales como que el Ministerio de Salud iniciara dentro de un término de 60 días los trámites para que el medicamento INCRELEX o</w:t>
      </w:r>
      <w:r>
        <w:rPr>
          <w:rFonts w:ascii="Cambria" w:hAnsi="Cambria"/>
          <w:sz w:val="20"/>
          <w:szCs w:val="20"/>
          <w:lang w:val="es-ES"/>
        </w:rPr>
        <w:t>btuviera registro sanitario y “e</w:t>
      </w:r>
      <w:r w:rsidRPr="00C771A4">
        <w:rPr>
          <w:rFonts w:ascii="Cambria" w:hAnsi="Cambria"/>
          <w:sz w:val="20"/>
          <w:szCs w:val="20"/>
          <w:lang w:val="es-ES"/>
        </w:rPr>
        <w:t xml:space="preserve">n razón del efecto </w:t>
      </w:r>
      <w:r w:rsidRPr="00C771A4">
        <w:rPr>
          <w:rFonts w:ascii="Cambria" w:hAnsi="Cambria"/>
          <w:i/>
          <w:sz w:val="20"/>
          <w:szCs w:val="20"/>
          <w:lang w:val="es-ES"/>
        </w:rPr>
        <w:t xml:space="preserve">inter </w:t>
      </w:r>
      <w:proofErr w:type="spellStart"/>
      <w:r w:rsidRPr="00C771A4">
        <w:rPr>
          <w:rFonts w:ascii="Cambria" w:hAnsi="Cambria"/>
          <w:i/>
          <w:sz w:val="20"/>
          <w:szCs w:val="20"/>
          <w:lang w:val="es-ES"/>
        </w:rPr>
        <w:t>comunis</w:t>
      </w:r>
      <w:proofErr w:type="spellEnd"/>
      <w:r w:rsidRPr="00C771A4">
        <w:rPr>
          <w:rFonts w:ascii="Cambria" w:hAnsi="Cambria"/>
          <w:sz w:val="20"/>
          <w:szCs w:val="20"/>
          <w:lang w:val="es-ES"/>
        </w:rPr>
        <w:t xml:space="preserve"> de la presente sentencia el representante del Ministerio de Salud Pública, una vez iniciado el trámite de registro sanitario del medicamento INCRELEX, proceda con el suministro del mismo a los niños y niñas que cuenten con el consentimiento informado de sus representantes legales y que previa certificación del Ministerio de Salud Pública acrediten el padecimiento de la enfermedad denominada ‘Síndrome de </w:t>
      </w:r>
      <w:proofErr w:type="spellStart"/>
      <w:r w:rsidRPr="00C771A4">
        <w:rPr>
          <w:rFonts w:ascii="Cambria" w:hAnsi="Cambria"/>
          <w:sz w:val="20"/>
          <w:szCs w:val="20"/>
          <w:lang w:val="es-ES"/>
        </w:rPr>
        <w:t>Laron</w:t>
      </w:r>
      <w:proofErr w:type="spellEnd"/>
      <w:r w:rsidRPr="00C771A4">
        <w:rPr>
          <w:rFonts w:ascii="Cambria" w:hAnsi="Cambria"/>
          <w:sz w:val="20"/>
          <w:szCs w:val="20"/>
          <w:lang w:val="es-ES"/>
        </w:rPr>
        <w:t xml:space="preserve">’”; así como ordenar al Ministerio de Finanzas asignar los recursos necesarios para la adquisición continua del medicamento INCRELEX. Aduce que esta segunda decisión judicial favorable tampoco ha sido cumplida. </w:t>
      </w:r>
      <w:r>
        <w:rPr>
          <w:rFonts w:ascii="Cambria" w:hAnsi="Cambria"/>
          <w:sz w:val="20"/>
          <w:szCs w:val="20"/>
          <w:lang w:val="es-ES"/>
        </w:rPr>
        <w:t>En este sentido denuncia que</w:t>
      </w:r>
      <w:r w:rsidRPr="00662BBF">
        <w:rPr>
          <w:rFonts w:ascii="Cambria" w:hAnsi="Cambria"/>
          <w:sz w:val="20"/>
          <w:szCs w:val="20"/>
          <w:lang w:val="es-ES"/>
        </w:rPr>
        <w:t xml:space="preserve"> la Corte Constitucional no adoptó medidas para exigir el cump</w:t>
      </w:r>
      <w:r>
        <w:rPr>
          <w:rFonts w:ascii="Cambria" w:hAnsi="Cambria"/>
          <w:sz w:val="20"/>
          <w:szCs w:val="20"/>
          <w:lang w:val="es-ES"/>
        </w:rPr>
        <w:t>limiento de su sentencia</w:t>
      </w:r>
      <w:r w:rsidRPr="00662BBF">
        <w:rPr>
          <w:rFonts w:ascii="Cambria" w:hAnsi="Cambria"/>
          <w:sz w:val="20"/>
          <w:szCs w:val="20"/>
          <w:lang w:val="es-ES"/>
        </w:rPr>
        <w:t xml:space="preserve">, pese a que la ley la facultaba para ello. </w:t>
      </w:r>
    </w:p>
    <w:p w:rsidR="001E784F" w:rsidRPr="00C771A4" w:rsidRDefault="001E784F" w:rsidP="00B876F9">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lang w:val="es-ES"/>
        </w:rPr>
      </w:pPr>
      <w:r w:rsidRPr="00C771A4">
        <w:rPr>
          <w:rFonts w:ascii="Cambria" w:hAnsi="Cambria"/>
          <w:sz w:val="20"/>
          <w:szCs w:val="20"/>
          <w:lang w:val="es-ES"/>
        </w:rPr>
        <w:t>Considera que el incumplimiento por parte de las autoridades estatales de dos sentencias judiciales favorables evidencia falta de tutela judicial efectiva. Destaca que la empresa francesa que produce INCRELEX ha mostrado disposición para facilitar la disponibilidad del medicamento en Ecuador, e incluso proporcionarlo gratuitamente en ciertos casos especiales; pese a lo que el Estado ha impedido de todas formas obtener el registro sanitario de la medicina y rechazado cualquier posibilidad de acuerdo con la empresa, impidiendo incluso que los padres traigan el medicamento del extranjero bajo su propia responsabilidad. Alega que las acciones del Estado han impedido a las personas afectadas el acceso a condiciones que les garanticen una existencia digna, en violación del artículo</w:t>
      </w:r>
      <w:r>
        <w:rPr>
          <w:rFonts w:ascii="Cambria" w:hAnsi="Cambria"/>
          <w:sz w:val="20"/>
          <w:szCs w:val="20"/>
          <w:lang w:val="es-ES"/>
        </w:rPr>
        <w:t xml:space="preserve"> 4 de la Convención Americana. </w:t>
      </w:r>
      <w:r w:rsidRPr="00C771A4">
        <w:rPr>
          <w:rFonts w:ascii="Cambria" w:hAnsi="Cambria"/>
          <w:sz w:val="20"/>
          <w:szCs w:val="20"/>
          <w:lang w:val="es-ES"/>
        </w:rPr>
        <w:t xml:space="preserve">También sostiene que el Estado ha incumplido sus obligaciones para con las personas con discapacidad y causado un daño irreparable a algunas de las presuntas víctimas que ya no podrían beneficiarse del tratamiento por haber alcanzado el pleno desarrollo óseo. </w:t>
      </w:r>
    </w:p>
    <w:p w:rsidR="001E784F" w:rsidRPr="00C771A4" w:rsidRDefault="001E784F" w:rsidP="00B876F9">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lang w:val="es-ES"/>
        </w:rPr>
      </w:pPr>
      <w:r w:rsidRPr="00C771A4">
        <w:rPr>
          <w:rFonts w:ascii="Cambria" w:hAnsi="Cambria"/>
          <w:sz w:val="20"/>
          <w:szCs w:val="20"/>
          <w:lang w:val="es-ES"/>
        </w:rPr>
        <w:t>El Estado, por su parte, indicó en sus primeros escritos que la petición debía ser inadmitida por falta de agotamiento de los recursos internos pues se encontraba pendiente de decisión de una acción de incumplimiento, siendo esta un recurso idóneo para remediar los agravios planteados por la parte peticionaria en sede internacional. Resaltó que la acción de incumplimiento fue interpuesta más de 3 años</w:t>
      </w:r>
      <w:r>
        <w:rPr>
          <w:rFonts w:ascii="Cambria" w:hAnsi="Cambria"/>
          <w:sz w:val="20"/>
          <w:szCs w:val="20"/>
          <w:lang w:val="es-ES"/>
        </w:rPr>
        <w:t xml:space="preserve"> luego de emitida la sentencia </w:t>
      </w:r>
      <w:r w:rsidRPr="00C771A4">
        <w:rPr>
          <w:rFonts w:ascii="Cambria" w:hAnsi="Cambria"/>
          <w:sz w:val="20"/>
          <w:szCs w:val="20"/>
          <w:lang w:val="es-ES"/>
        </w:rPr>
        <w:t xml:space="preserve">de protección cuyo incumplimiento se reclama, considerando que esto reflejaba falta de motivación </w:t>
      </w:r>
      <w:r w:rsidRPr="00C771A4">
        <w:rPr>
          <w:rFonts w:ascii="Cambria" w:hAnsi="Cambria"/>
          <w:sz w:val="20"/>
          <w:szCs w:val="20"/>
          <w:lang w:val="es-ES"/>
        </w:rPr>
        <w:lastRenderedPageBreak/>
        <w:t xml:space="preserve">por parte de la parte peticionaria y alegando que esto eximía la responsabilidad del Estado. De igual manera, alegó que la parte peticionaria pretendía que la Comisión Interamericana se pronunciara sobre el derecho a la salud, respecto al cual no tiene competencia </w:t>
      </w:r>
      <w:proofErr w:type="spellStart"/>
      <w:r w:rsidRPr="00662BBF">
        <w:rPr>
          <w:rFonts w:ascii="Cambria" w:hAnsi="Cambria"/>
          <w:i/>
          <w:sz w:val="20"/>
          <w:szCs w:val="20"/>
          <w:lang w:val="es-ES"/>
        </w:rPr>
        <w:t>ratione</w:t>
      </w:r>
      <w:proofErr w:type="spellEnd"/>
      <w:r w:rsidRPr="00662BBF">
        <w:rPr>
          <w:rFonts w:ascii="Cambria" w:hAnsi="Cambria"/>
          <w:i/>
          <w:sz w:val="20"/>
          <w:szCs w:val="20"/>
          <w:lang w:val="es-ES"/>
        </w:rPr>
        <w:t xml:space="preserve"> </w:t>
      </w:r>
      <w:proofErr w:type="spellStart"/>
      <w:r w:rsidRPr="00662BBF">
        <w:rPr>
          <w:rFonts w:ascii="Cambria" w:hAnsi="Cambria"/>
          <w:i/>
          <w:sz w:val="20"/>
          <w:szCs w:val="20"/>
          <w:lang w:val="es-ES"/>
        </w:rPr>
        <w:t>materiae</w:t>
      </w:r>
      <w:proofErr w:type="spellEnd"/>
      <w:r w:rsidRPr="00C771A4">
        <w:rPr>
          <w:rFonts w:ascii="Cambria" w:hAnsi="Cambria"/>
          <w:sz w:val="20"/>
          <w:szCs w:val="20"/>
          <w:lang w:val="es-ES"/>
        </w:rPr>
        <w:t xml:space="preserve">. También argumentó que no estaba demostrado que las personas que padecen el Síndrome de </w:t>
      </w:r>
      <w:proofErr w:type="spellStart"/>
      <w:r w:rsidRPr="00C771A4">
        <w:rPr>
          <w:rFonts w:ascii="Cambria" w:hAnsi="Cambria"/>
          <w:sz w:val="20"/>
          <w:szCs w:val="20"/>
          <w:lang w:val="es-ES"/>
        </w:rPr>
        <w:t>Laron</w:t>
      </w:r>
      <w:proofErr w:type="spellEnd"/>
      <w:r w:rsidRPr="00C771A4">
        <w:rPr>
          <w:rFonts w:ascii="Cambria" w:hAnsi="Cambria"/>
          <w:sz w:val="20"/>
          <w:szCs w:val="20"/>
          <w:lang w:val="es-ES"/>
        </w:rPr>
        <w:t xml:space="preserve"> sufrieran una disminución en su calidad de vida y destacó que INCRELEX era un medicamento experimental que no contaba con registro sanitario y tenía varios efectos adversos para quienes lo utilizaran.</w:t>
      </w:r>
    </w:p>
    <w:p w:rsidR="001E784F" w:rsidRPr="00B876F9" w:rsidRDefault="001E784F" w:rsidP="00B876F9">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lang w:val="es-ES"/>
        </w:rPr>
      </w:pPr>
      <w:r w:rsidRPr="00C771A4">
        <w:rPr>
          <w:rFonts w:ascii="Cambria" w:hAnsi="Cambria"/>
          <w:sz w:val="20"/>
          <w:szCs w:val="20"/>
          <w:lang w:val="es-ES"/>
        </w:rPr>
        <w:t xml:space="preserve">En su escrito de 29 de abril de 2019 informó que, en cumplimiento a la sentencia de la Corte Constitucional de 12 de diciembre de 2016, INCRELEX ya contaba con registro sanitario y que el 20 de diciembre de 2018 se aprobó una resolución fijando un precio techo para el mismo, la que fue publicada el 8 de febrero de 2019.  También indico que el Ministerio de Salud había atendido integralmente a personas con síndrome de </w:t>
      </w:r>
      <w:proofErr w:type="spellStart"/>
      <w:r w:rsidRPr="00C771A4">
        <w:rPr>
          <w:rFonts w:ascii="Cambria" w:hAnsi="Cambria"/>
          <w:sz w:val="20"/>
          <w:szCs w:val="20"/>
          <w:lang w:val="es-ES"/>
        </w:rPr>
        <w:t>Laron</w:t>
      </w:r>
      <w:proofErr w:type="spellEnd"/>
      <w:r w:rsidRPr="00C771A4">
        <w:rPr>
          <w:rFonts w:ascii="Cambria" w:hAnsi="Cambria"/>
          <w:sz w:val="20"/>
          <w:szCs w:val="20"/>
          <w:lang w:val="es-ES"/>
        </w:rPr>
        <w:t xml:space="preserve"> y ha seguido identifica</w:t>
      </w:r>
      <w:r>
        <w:rPr>
          <w:rFonts w:ascii="Cambria" w:hAnsi="Cambria"/>
          <w:sz w:val="20"/>
          <w:szCs w:val="20"/>
          <w:lang w:val="es-ES"/>
        </w:rPr>
        <w:t>n</w:t>
      </w:r>
      <w:r w:rsidRPr="00C771A4">
        <w:rPr>
          <w:rFonts w:ascii="Cambria" w:hAnsi="Cambria"/>
          <w:sz w:val="20"/>
          <w:szCs w:val="20"/>
          <w:lang w:val="es-ES"/>
        </w:rPr>
        <w:t xml:space="preserve">do pacientes. En su último escrito de 20 de junio de 2019 indicó que la Subsecretaria Nacional de Provisión de Servicios de Salud, solicitó a la Secretaria Nacional de Gobernanza de la Salud se remitiera el Protocolo de Tratamiento para pacientes con Síndrome de </w:t>
      </w:r>
      <w:proofErr w:type="spellStart"/>
      <w:r w:rsidRPr="00C771A4">
        <w:rPr>
          <w:rFonts w:ascii="Cambria" w:hAnsi="Cambria"/>
          <w:sz w:val="20"/>
          <w:szCs w:val="20"/>
          <w:lang w:val="es-ES"/>
        </w:rPr>
        <w:t>Laron</w:t>
      </w:r>
      <w:proofErr w:type="spellEnd"/>
      <w:r w:rsidRPr="00C771A4">
        <w:rPr>
          <w:rFonts w:ascii="Cambria" w:hAnsi="Cambria"/>
          <w:sz w:val="20"/>
          <w:szCs w:val="20"/>
          <w:lang w:val="es-ES"/>
        </w:rPr>
        <w:t>, así co</w:t>
      </w:r>
      <w:r>
        <w:rPr>
          <w:rFonts w:ascii="Cambria" w:hAnsi="Cambria"/>
          <w:sz w:val="20"/>
          <w:szCs w:val="20"/>
          <w:lang w:val="es-ES"/>
        </w:rPr>
        <w:t xml:space="preserve">mo el consentimiento informado </w:t>
      </w:r>
      <w:r w:rsidRPr="00C771A4">
        <w:rPr>
          <w:rFonts w:ascii="Cambria" w:hAnsi="Cambria"/>
          <w:sz w:val="20"/>
          <w:szCs w:val="20"/>
          <w:lang w:val="es-ES"/>
        </w:rPr>
        <w:t xml:space="preserve">que firmarán los representantes legales de la población beneficiaria con el objetivo de definir el listado total de pacientes idóneos para la administración del medicamento. Adicionalmente, que dicha Subsecretaria solicitó realizar las acciones correspondientes a fin de definir la idoneidad de los pacientes para la administración de la medicación conforme parámetros internacionales y dispuso la realización de varios exámenes médicos en pacientes con Síndrome de </w:t>
      </w:r>
      <w:proofErr w:type="spellStart"/>
      <w:r w:rsidRPr="00C771A4">
        <w:rPr>
          <w:rFonts w:ascii="Cambria" w:hAnsi="Cambria"/>
          <w:sz w:val="20"/>
          <w:szCs w:val="20"/>
          <w:lang w:val="es-ES"/>
        </w:rPr>
        <w:t>Laron</w:t>
      </w:r>
      <w:proofErr w:type="spellEnd"/>
      <w:r w:rsidRPr="00C771A4">
        <w:rPr>
          <w:rFonts w:ascii="Cambria" w:hAnsi="Cambria"/>
          <w:sz w:val="20"/>
          <w:szCs w:val="20"/>
          <w:lang w:val="es-ES"/>
        </w:rPr>
        <w:t xml:space="preserve">. También indicó que el Ministerio de Salud Pública había elaborado documentos preliminares tales como un flujo de atención para pacientes con Síndrome de </w:t>
      </w:r>
      <w:proofErr w:type="spellStart"/>
      <w:r w:rsidRPr="00C771A4">
        <w:rPr>
          <w:rFonts w:ascii="Cambria" w:hAnsi="Cambria"/>
          <w:sz w:val="20"/>
          <w:szCs w:val="20"/>
          <w:lang w:val="es-ES"/>
        </w:rPr>
        <w:t>Laron</w:t>
      </w:r>
      <w:proofErr w:type="spellEnd"/>
      <w:r w:rsidRPr="00C771A4">
        <w:rPr>
          <w:rFonts w:ascii="Cambria" w:hAnsi="Cambria"/>
          <w:sz w:val="20"/>
          <w:szCs w:val="20"/>
          <w:lang w:val="es-ES"/>
        </w:rPr>
        <w:t xml:space="preserve"> y que este Ministerio continúa informando a la Corte Constitucional </w:t>
      </w:r>
      <w:r>
        <w:rPr>
          <w:rFonts w:ascii="Cambria" w:hAnsi="Cambria"/>
          <w:sz w:val="20"/>
          <w:szCs w:val="20"/>
          <w:lang w:val="es-ES"/>
        </w:rPr>
        <w:t>respecto a los avances alcanzado</w:t>
      </w:r>
      <w:r w:rsidRPr="00C771A4">
        <w:rPr>
          <w:rFonts w:ascii="Cambria" w:hAnsi="Cambria"/>
          <w:sz w:val="20"/>
          <w:szCs w:val="20"/>
          <w:lang w:val="es-ES"/>
        </w:rPr>
        <w:t>s en el cumplimento de citada sentencia.</w:t>
      </w:r>
    </w:p>
    <w:p w:rsidR="001E784F" w:rsidRPr="0021378C" w:rsidRDefault="001E784F" w:rsidP="00647756">
      <w:pPr>
        <w:pStyle w:val="ListParagraph"/>
        <w:pBdr>
          <w:top w:val="none" w:sz="0" w:space="0" w:color="auto"/>
          <w:left w:val="none" w:sz="0" w:space="0" w:color="auto"/>
          <w:bottom w:val="none" w:sz="0" w:space="0" w:color="auto"/>
          <w:right w:val="none" w:sz="0" w:space="0" w:color="auto"/>
          <w:bar w:val="none" w:sz="0" w:color="auto"/>
        </w:pBdr>
        <w:spacing w:before="120" w:after="120"/>
        <w:jc w:val="both"/>
        <w:rPr>
          <w:b/>
          <w:bCs/>
          <w:sz w:val="20"/>
          <w:szCs w:val="20"/>
          <w:lang w:val="es-ES"/>
        </w:rPr>
      </w:pPr>
      <w:r w:rsidRPr="0021378C">
        <w:rPr>
          <w:b/>
          <w:bCs/>
          <w:sz w:val="20"/>
          <w:szCs w:val="20"/>
          <w:lang w:val="es-ES"/>
        </w:rPr>
        <w:t xml:space="preserve">VI. </w:t>
      </w:r>
      <w:r w:rsidRPr="0021378C">
        <w:rPr>
          <w:b/>
          <w:bCs/>
          <w:sz w:val="20"/>
          <w:szCs w:val="20"/>
          <w:lang w:val="es-ES"/>
        </w:rPr>
        <w:tab/>
        <w:t xml:space="preserve">AGOTAMIENTO DE LOS RECURSOS </w:t>
      </w:r>
      <w:r>
        <w:rPr>
          <w:b/>
          <w:bCs/>
          <w:sz w:val="20"/>
          <w:szCs w:val="20"/>
          <w:lang w:val="es-ES"/>
        </w:rPr>
        <w:t>INTERNOS y</w:t>
      </w:r>
      <w:r w:rsidRPr="0021378C">
        <w:rPr>
          <w:b/>
          <w:bCs/>
          <w:sz w:val="20"/>
          <w:szCs w:val="20"/>
          <w:lang w:val="es-ES"/>
        </w:rPr>
        <w:t xml:space="preserve"> PLAZO DE PRESENTACIÓN</w:t>
      </w:r>
      <w:r>
        <w:rPr>
          <w:b/>
          <w:bCs/>
          <w:sz w:val="20"/>
          <w:szCs w:val="20"/>
          <w:lang w:val="es-ES"/>
        </w:rPr>
        <w:t xml:space="preserve"> </w:t>
      </w:r>
    </w:p>
    <w:p w:rsidR="001E784F" w:rsidRPr="00C771A4" w:rsidRDefault="001E784F" w:rsidP="00B876F9">
      <w:pPr>
        <w:pBdr>
          <w:top w:val="none" w:sz="0" w:space="0" w:color="auto"/>
          <w:left w:val="none" w:sz="0" w:space="0" w:color="auto"/>
          <w:bottom w:val="none" w:sz="0" w:space="0" w:color="auto"/>
          <w:right w:val="none" w:sz="0" w:space="0" w:color="auto"/>
          <w:bar w:val="none" w:sz="0" w:color="auto"/>
        </w:pBdr>
        <w:suppressAutoHyphens/>
        <w:ind w:left="720"/>
        <w:jc w:val="both"/>
        <w:rPr>
          <w:rFonts w:ascii="Cambria" w:hAnsi="Cambria"/>
          <w:sz w:val="20"/>
          <w:szCs w:val="20"/>
          <w:lang w:val="es-ES"/>
        </w:rPr>
      </w:pPr>
    </w:p>
    <w:p w:rsidR="001E784F" w:rsidRPr="00A47368" w:rsidRDefault="001E784F" w:rsidP="00B876F9">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color w:val="000000"/>
          <w:sz w:val="20"/>
          <w:szCs w:val="20"/>
          <w:lang w:val="es-ES"/>
        </w:rPr>
      </w:pPr>
      <w:r w:rsidRPr="00A47368">
        <w:rPr>
          <w:rFonts w:ascii="Cambria" w:hAnsi="Cambria"/>
          <w:color w:val="000000"/>
          <w:sz w:val="20"/>
          <w:szCs w:val="20"/>
          <w:lang w:val="es-ES"/>
        </w:rPr>
        <w:t xml:space="preserve">La Comisión observa que la parte peticionaria </w:t>
      </w:r>
      <w:r>
        <w:rPr>
          <w:rFonts w:ascii="Cambria" w:hAnsi="Cambria"/>
          <w:color w:val="000000"/>
          <w:sz w:val="20"/>
          <w:szCs w:val="20"/>
          <w:lang w:val="es-ES"/>
        </w:rPr>
        <w:t>considera que los recursos internos se agotaron con la decisión de</w:t>
      </w:r>
      <w:r w:rsidRPr="00A47368">
        <w:rPr>
          <w:rFonts w:ascii="Cambria" w:hAnsi="Cambria"/>
          <w:sz w:val="20"/>
          <w:szCs w:val="20"/>
          <w:lang w:val="es-ES"/>
        </w:rPr>
        <w:t xml:space="preserve"> </w:t>
      </w:r>
      <w:r w:rsidRPr="00C771A4">
        <w:rPr>
          <w:rFonts w:ascii="Cambria" w:hAnsi="Cambria"/>
          <w:sz w:val="20"/>
          <w:szCs w:val="20"/>
          <w:lang w:val="es-ES"/>
        </w:rPr>
        <w:t>2 de diciembre de 2010</w:t>
      </w:r>
      <w:r>
        <w:rPr>
          <w:rFonts w:ascii="Cambria" w:hAnsi="Cambria"/>
          <w:sz w:val="20"/>
          <w:szCs w:val="20"/>
          <w:lang w:val="es-ES"/>
        </w:rPr>
        <w:t xml:space="preserve"> que concedió la acción de protección interpuesta a favor de los niños y niñas afectado por el Síndrome de </w:t>
      </w:r>
      <w:proofErr w:type="spellStart"/>
      <w:r>
        <w:rPr>
          <w:rFonts w:ascii="Cambria" w:hAnsi="Cambria"/>
          <w:sz w:val="20"/>
          <w:szCs w:val="20"/>
          <w:lang w:val="es-ES"/>
        </w:rPr>
        <w:t>Laron</w:t>
      </w:r>
      <w:proofErr w:type="spellEnd"/>
      <w:r>
        <w:rPr>
          <w:rFonts w:ascii="Cambria" w:hAnsi="Cambria"/>
          <w:sz w:val="20"/>
          <w:szCs w:val="20"/>
          <w:lang w:val="es-ES"/>
        </w:rPr>
        <w:t>. De igual manera toma nota que el Estado en su momento argumentó que los recursos internos no se encontraban agotados mientras todavía estaba pendiente la decisión de una acción de incumplimiento.</w:t>
      </w:r>
    </w:p>
    <w:p w:rsidR="001E784F" w:rsidRPr="003F10DE" w:rsidRDefault="001E784F" w:rsidP="008F6FDD">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lang w:val="es-ES"/>
        </w:rPr>
      </w:pPr>
      <w:r w:rsidRPr="003F10DE">
        <w:rPr>
          <w:rFonts w:ascii="Cambria" w:hAnsi="Cambria"/>
          <w:sz w:val="20"/>
          <w:szCs w:val="20"/>
          <w:lang w:val="es-ES"/>
        </w:rPr>
        <w:t>En la presente petición se alega el incumplimiento de una sentencia judicial más de 9 años luego de que fue dictada. La Comisión observa que el 28 de febrero de 2014 se reconoció formalmente el incumplimiento conllevando a que el 12 de diciembre de 2016 la Corte Constitucional emitiera una sentencia ordenando medidas de cumplimiento. Sin embargo, de la información en expediente se desprende que el proceso de seguimiento al cumplimiento de estas medidas por parte de la Corte Constitucional permanecería abierto más de 3 años después de emitida la sentencia. Ante estas circunstancias, la Comisión concluye como ha hecho en otros casos en que se alega una demora injustificada en el cumplimiento de una sentencia judicial, que resulta procedente la aplicación de la excepción al agotamiento de los recursos internos contemplada en el artículo 46.2.c de la Convención Americana.</w:t>
      </w:r>
      <w:r w:rsidRPr="003F10DE">
        <w:rPr>
          <w:rStyle w:val="FootnoteReference"/>
          <w:rFonts w:ascii="Cambria" w:hAnsi="Cambria"/>
          <w:sz w:val="20"/>
          <w:szCs w:val="20"/>
          <w:lang w:val="es-ES"/>
        </w:rPr>
        <w:footnoteReference w:id="8"/>
      </w:r>
      <w:r w:rsidRPr="003F10DE">
        <w:rPr>
          <w:rFonts w:ascii="Cambria" w:hAnsi="Cambria"/>
          <w:sz w:val="20"/>
          <w:szCs w:val="20"/>
          <w:lang w:val="es-ES"/>
        </w:rPr>
        <w:t xml:space="preserve"> Dado que la petición se presentó estando vigentes los alegados agravios que dan lugar a la misma y valorando las alegaciones con respecto a las consecuencias que pudiera acarrear para las presuntas víctimas el no recibir el medicamento INCRELEX en tiempo oportuno, la Comisión concluye que la petición fue presentada dentro de plazo razonable en los términos del artículo 32.2 de su reglamento. </w:t>
      </w:r>
    </w:p>
    <w:p w:rsidR="001E784F" w:rsidRPr="003F10DE" w:rsidRDefault="001E784F" w:rsidP="008F6FDD">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lang w:val="es-ES"/>
        </w:rPr>
      </w:pPr>
      <w:r w:rsidRPr="003F10DE">
        <w:rPr>
          <w:rFonts w:ascii="Cambria" w:hAnsi="Cambria"/>
          <w:sz w:val="20"/>
          <w:szCs w:val="20"/>
          <w:lang w:val="es-ES"/>
        </w:rPr>
        <w:t xml:space="preserve">Adicionalmente, la Comisión valora que, aunque las acciones judiciales fueron interpuestas sólo por ocho padres y madres de niños y niñas que presuntamente padecen el Síndrome de </w:t>
      </w:r>
      <w:proofErr w:type="spellStart"/>
      <w:r w:rsidRPr="003F10DE">
        <w:rPr>
          <w:rFonts w:ascii="Cambria" w:hAnsi="Cambria"/>
          <w:sz w:val="20"/>
          <w:szCs w:val="20"/>
          <w:lang w:val="es-ES"/>
        </w:rPr>
        <w:t>Laron</w:t>
      </w:r>
      <w:proofErr w:type="spellEnd"/>
      <w:r w:rsidRPr="003F10DE">
        <w:rPr>
          <w:rFonts w:ascii="Cambria" w:hAnsi="Cambria"/>
          <w:sz w:val="20"/>
          <w:szCs w:val="20"/>
          <w:lang w:val="es-ES"/>
        </w:rPr>
        <w:t>, las decisiones judiciales que se denuncian como incumplidas beneficiaban en general a los niños y niñas afectadas por el síndrome. Por ésta razón, la Comisión estima que los recursos internos se encuentran agotados con respecto a la totalidad de las presuntas víctimas.</w:t>
      </w:r>
    </w:p>
    <w:p w:rsidR="001E784F" w:rsidRPr="0021378C" w:rsidRDefault="001E784F" w:rsidP="00647756">
      <w:pPr>
        <w:pStyle w:val="ListParagraph"/>
        <w:pBdr>
          <w:top w:val="none" w:sz="0" w:space="0" w:color="auto"/>
          <w:left w:val="none" w:sz="0" w:space="0" w:color="auto"/>
          <w:bottom w:val="none" w:sz="0" w:space="0" w:color="auto"/>
          <w:right w:val="none" w:sz="0" w:space="0" w:color="auto"/>
          <w:bar w:val="none" w:sz="0" w:color="auto"/>
        </w:pBdr>
        <w:spacing w:before="120" w:after="120"/>
        <w:jc w:val="both"/>
        <w:rPr>
          <w:b/>
          <w:bCs/>
          <w:sz w:val="20"/>
          <w:szCs w:val="20"/>
          <w:lang w:val="es-ES"/>
        </w:rPr>
      </w:pPr>
      <w:r w:rsidRPr="0021378C">
        <w:rPr>
          <w:b/>
          <w:bCs/>
          <w:sz w:val="20"/>
          <w:szCs w:val="20"/>
          <w:lang w:val="es-ES"/>
        </w:rPr>
        <w:lastRenderedPageBreak/>
        <w:t xml:space="preserve">VII. </w:t>
      </w:r>
      <w:r w:rsidRPr="0021378C">
        <w:rPr>
          <w:b/>
          <w:bCs/>
          <w:sz w:val="20"/>
          <w:szCs w:val="20"/>
          <w:lang w:val="es-ES"/>
        </w:rPr>
        <w:tab/>
        <w:t>CARACTERIZACIÓN</w:t>
      </w:r>
    </w:p>
    <w:p w:rsidR="001E784F" w:rsidRPr="003F10DE" w:rsidRDefault="001E784F" w:rsidP="006346C7">
      <w:pPr>
        <w:numPr>
          <w:ilvl w:val="0"/>
          <w:numId w:val="55"/>
        </w:num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lang w:val="es-ES"/>
        </w:rPr>
      </w:pPr>
      <w:r w:rsidRPr="003F10DE">
        <w:rPr>
          <w:rFonts w:ascii="Cambria" w:hAnsi="Cambria"/>
          <w:sz w:val="20"/>
          <w:szCs w:val="20"/>
          <w:lang w:val="es-ES"/>
        </w:rPr>
        <w:t xml:space="preserve">La Comisión observa que, si bien la parte peticionaria ha hecho referencia a “aproximadamente” 30 niños y niñas que estarían padeciendo el síndrome de </w:t>
      </w:r>
      <w:proofErr w:type="spellStart"/>
      <w:r w:rsidRPr="003F10DE">
        <w:rPr>
          <w:rFonts w:ascii="Cambria" w:hAnsi="Cambria"/>
          <w:sz w:val="20"/>
          <w:szCs w:val="20"/>
          <w:lang w:val="es-ES"/>
        </w:rPr>
        <w:t>Laron</w:t>
      </w:r>
      <w:proofErr w:type="spellEnd"/>
      <w:r w:rsidRPr="003F10DE">
        <w:rPr>
          <w:rFonts w:ascii="Cambria" w:hAnsi="Cambria"/>
          <w:sz w:val="20"/>
          <w:szCs w:val="20"/>
          <w:lang w:val="es-ES"/>
        </w:rPr>
        <w:t xml:space="preserve">, sólo ha identificado a 8. Al respecto, la Comisión recuerda que ya ha determinado que la Convención Americana </w:t>
      </w:r>
      <w:r w:rsidRPr="003F10DE">
        <w:rPr>
          <w:rFonts w:ascii="Cambria" w:hAnsi="Cambria" w:cs="Calibri"/>
          <w:sz w:val="20"/>
          <w:szCs w:val="20"/>
          <w:lang w:val="es-ES_tradnl"/>
        </w:rPr>
        <w:t>no contiene limitaciones de competencia en términos de la identificación “plena y total” de las personas afectadas por la violación, sino que permite el examen de violaciones a los derechos humanos que –por sus características– pueden afectar a una persona o grupo de personas determinadas pero que no necesariamente se encuentran plenamente identificadas</w:t>
      </w:r>
      <w:r w:rsidRPr="003F10DE">
        <w:rPr>
          <w:rStyle w:val="FootnoteReference"/>
          <w:rFonts w:ascii="Cambria" w:hAnsi="Cambria" w:cs="Calibri"/>
          <w:sz w:val="20"/>
          <w:szCs w:val="20"/>
          <w:lang w:val="es-ES_tradnl"/>
        </w:rPr>
        <w:footnoteReference w:id="9"/>
      </w:r>
      <w:r w:rsidRPr="003F10DE">
        <w:rPr>
          <w:rFonts w:ascii="Cambria" w:hAnsi="Cambria" w:cs="Calibri"/>
          <w:sz w:val="20"/>
          <w:szCs w:val="20"/>
          <w:lang w:val="es-ES_tradnl"/>
        </w:rPr>
        <w:t>. En el presente caso, la Comisión no considera que el derecho a la defensa del Estado se haya visto menoscabado</w:t>
      </w:r>
      <w:r>
        <w:rPr>
          <w:rFonts w:ascii="Cambria" w:hAnsi="Cambria" w:cs="Calibri"/>
          <w:sz w:val="20"/>
          <w:szCs w:val="20"/>
          <w:lang w:val="es-ES_tradnl"/>
        </w:rPr>
        <w:t xml:space="preserve"> por</w:t>
      </w:r>
      <w:r w:rsidRPr="003F10DE">
        <w:rPr>
          <w:rFonts w:ascii="Cambria" w:hAnsi="Cambria" w:cs="Calibri"/>
          <w:sz w:val="20"/>
          <w:szCs w:val="20"/>
          <w:lang w:val="es-ES_tradnl"/>
        </w:rPr>
        <w:t xml:space="preserve"> la falta de identificación plena de todas las presuntas víctimas y el Estado tampoco ha argumentado que haya sido así.  Por estas razones y en atención a la naturaleza del presente caso, la Comisión considera, como ha hecho en otros casos, que la identificación plena de la totalidad de las víctimas debe ser determinada con la prueba aportada por las partes en la etapa de fondo</w:t>
      </w:r>
      <w:r w:rsidRPr="003F10DE">
        <w:rPr>
          <w:rStyle w:val="FootnoteReference"/>
          <w:rFonts w:ascii="Cambria" w:hAnsi="Cambria" w:cs="Calibri"/>
          <w:sz w:val="20"/>
          <w:szCs w:val="20"/>
          <w:lang w:val="es-ES_tradnl"/>
        </w:rPr>
        <w:footnoteReference w:id="10"/>
      </w:r>
      <w:r w:rsidRPr="003F10DE">
        <w:rPr>
          <w:rFonts w:ascii="Cambria" w:hAnsi="Cambria" w:cs="Calibri"/>
          <w:sz w:val="20"/>
          <w:szCs w:val="20"/>
          <w:lang w:val="es-ES_tradnl"/>
        </w:rPr>
        <w:t xml:space="preserve">. </w:t>
      </w:r>
    </w:p>
    <w:p w:rsidR="001E784F" w:rsidRPr="006346C7" w:rsidRDefault="001E784F" w:rsidP="006346C7">
      <w:pPr>
        <w:pBdr>
          <w:top w:val="none" w:sz="0" w:space="0" w:color="auto"/>
          <w:left w:val="none" w:sz="0" w:space="0" w:color="auto"/>
          <w:bottom w:val="none" w:sz="0" w:space="0" w:color="auto"/>
          <w:right w:val="none" w:sz="0" w:space="0" w:color="auto"/>
          <w:bar w:val="none" w:sz="0" w:color="auto"/>
        </w:pBdr>
        <w:suppressAutoHyphens/>
        <w:ind w:left="720"/>
        <w:jc w:val="both"/>
        <w:rPr>
          <w:rFonts w:ascii="Cambria" w:hAnsi="Cambria"/>
          <w:color w:val="FF0000"/>
          <w:sz w:val="20"/>
          <w:szCs w:val="20"/>
          <w:lang w:val="es-ES"/>
        </w:rPr>
      </w:pPr>
    </w:p>
    <w:p w:rsidR="001E784F" w:rsidRPr="00C42E77" w:rsidRDefault="001E784F" w:rsidP="00B876F9">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La Comisión observa que la presente petición incluye alegaciones con respecto a que: </w:t>
      </w:r>
      <w:r w:rsidRPr="00C42E77">
        <w:rPr>
          <w:rFonts w:ascii="Cambria" w:hAnsi="Cambria"/>
          <w:sz w:val="20"/>
          <w:szCs w:val="20"/>
          <w:lang w:val="es-ES"/>
        </w:rPr>
        <w:t>el Estado omitió injustificadamente adoptar medidas que estaban a su alcance y que eran necesaria</w:t>
      </w:r>
      <w:r>
        <w:rPr>
          <w:rFonts w:ascii="Cambria" w:hAnsi="Cambria"/>
          <w:sz w:val="20"/>
          <w:szCs w:val="20"/>
          <w:lang w:val="es-ES"/>
        </w:rPr>
        <w:t>s</w:t>
      </w:r>
      <w:r w:rsidRPr="00C42E77">
        <w:rPr>
          <w:rFonts w:ascii="Cambria" w:hAnsi="Cambria"/>
          <w:sz w:val="20"/>
          <w:szCs w:val="20"/>
          <w:lang w:val="es-ES"/>
        </w:rPr>
        <w:t xml:space="preserve"> para garantizar los derechos humanos de niños y niñas con Síndrome de </w:t>
      </w:r>
      <w:proofErr w:type="spellStart"/>
      <w:r w:rsidRPr="00C42E77">
        <w:rPr>
          <w:rFonts w:ascii="Cambria" w:hAnsi="Cambria"/>
          <w:sz w:val="20"/>
          <w:szCs w:val="20"/>
          <w:lang w:val="es-ES"/>
        </w:rPr>
        <w:t>Laron</w:t>
      </w:r>
      <w:proofErr w:type="spellEnd"/>
      <w:r w:rsidRPr="00C42E77">
        <w:rPr>
          <w:rFonts w:ascii="Cambria" w:hAnsi="Cambria"/>
          <w:sz w:val="20"/>
          <w:szCs w:val="20"/>
          <w:lang w:val="es-ES"/>
        </w:rPr>
        <w:t>; las autoridades judiciales v</w:t>
      </w:r>
      <w:r>
        <w:rPr>
          <w:rFonts w:ascii="Cambria" w:hAnsi="Cambria"/>
          <w:sz w:val="20"/>
          <w:szCs w:val="20"/>
          <w:lang w:val="es-ES"/>
        </w:rPr>
        <w:t xml:space="preserve">iolaron el debido proceso y el </w:t>
      </w:r>
      <w:r w:rsidRPr="00C42E77">
        <w:rPr>
          <w:rFonts w:ascii="Cambria" w:hAnsi="Cambria"/>
          <w:sz w:val="20"/>
          <w:szCs w:val="20"/>
          <w:lang w:val="es-ES"/>
        </w:rPr>
        <w:t>plazo razonable en materia judicial; una sentencia de judicial no ha sido plenamente ejecutada habiendo transcurrido más de 8 años desde su emisión y más de 2 años luego de que se resolviera una acción de cumplimiento; y</w:t>
      </w:r>
      <w:r>
        <w:rPr>
          <w:rFonts w:ascii="Cambria" w:hAnsi="Cambria"/>
          <w:sz w:val="20"/>
          <w:szCs w:val="20"/>
          <w:lang w:val="es-ES"/>
        </w:rPr>
        <w:t xml:space="preserve"> a que</w:t>
      </w:r>
      <w:r w:rsidRPr="00C42E77">
        <w:rPr>
          <w:rFonts w:ascii="Cambria" w:hAnsi="Cambria"/>
          <w:sz w:val="20"/>
          <w:szCs w:val="20"/>
          <w:lang w:val="es-ES"/>
        </w:rPr>
        <w:t xml:space="preserve"> la demora en el cumplimiento de las sentencias ha causado daños irreparables a al</w:t>
      </w:r>
      <w:r>
        <w:rPr>
          <w:rFonts w:ascii="Cambria" w:hAnsi="Cambria"/>
          <w:sz w:val="20"/>
          <w:szCs w:val="20"/>
          <w:lang w:val="es-ES"/>
        </w:rPr>
        <w:t>gunas de las presuntas víctimas.</w:t>
      </w:r>
    </w:p>
    <w:p w:rsidR="001E784F" w:rsidRPr="00164A4A" w:rsidRDefault="001E784F" w:rsidP="00E673AB">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lang w:val="es-ES"/>
        </w:rPr>
      </w:pPr>
      <w:r w:rsidRPr="00164A4A">
        <w:rPr>
          <w:rFonts w:ascii="Cambria" w:hAnsi="Cambria"/>
          <w:sz w:val="20"/>
          <w:szCs w:val="20"/>
          <w:lang w:val="es-ES"/>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w:t>
      </w:r>
      <w:r w:rsidRPr="00164A4A">
        <w:rPr>
          <w:rFonts w:ascii="Cambria" w:hAnsi="Cambria"/>
          <w:bCs/>
          <w:sz w:val="20"/>
          <w:szCs w:val="20"/>
          <w:lang w:val="es-ES"/>
        </w:rPr>
        <w:t>4 (derecho a la vida), 5 (integridad personal), 8 (garantías judiciales), 19 (derechos del niño), 24 (igualdad ante la ley), 25 (protección judicial) y 26 (derechos económicos sociales y culturales) de la Convención Americana en relación con sus artículos 1.1. (obligación de respetar los derechos) y 2 (deber de adoptar disposiciones de derecho interno).</w:t>
      </w:r>
    </w:p>
    <w:p w:rsidR="001E784F" w:rsidRPr="00C42E77" w:rsidRDefault="001E784F" w:rsidP="00B876F9">
      <w:pPr>
        <w:pStyle w:val="ListParagraph"/>
        <w:numPr>
          <w:ilvl w:val="0"/>
          <w:numId w:val="55"/>
        </w:numPr>
        <w:pBdr>
          <w:top w:val="none" w:sz="0" w:space="0" w:color="auto"/>
          <w:left w:val="none" w:sz="0" w:space="0" w:color="auto"/>
          <w:bottom w:val="none" w:sz="0" w:space="0" w:color="auto"/>
          <w:right w:val="none" w:sz="0" w:space="0" w:color="auto"/>
          <w:bar w:val="none" w:sz="0" w:color="auto"/>
        </w:pBdr>
        <w:ind w:left="0"/>
        <w:jc w:val="both"/>
        <w:rPr>
          <w:rFonts w:ascii="Times New Roman" w:hAnsi="Times New Roman" w:cs="Times New Roman"/>
          <w:sz w:val="20"/>
          <w:szCs w:val="20"/>
          <w:lang w:val="es-PE"/>
        </w:rPr>
      </w:pPr>
      <w:r w:rsidRPr="001D4DF2">
        <w:rPr>
          <w:color w:val="auto"/>
          <w:sz w:val="20"/>
          <w:szCs w:val="20"/>
          <w:lang w:val="es-ES"/>
        </w:rPr>
        <w:t>En cuanto a las alegadas violaciones al artículo</w:t>
      </w:r>
      <w:r w:rsidRPr="001D4DF2">
        <w:rPr>
          <w:bCs/>
          <w:color w:val="auto"/>
          <w:sz w:val="20"/>
          <w:szCs w:val="20"/>
          <w:lang w:val="es-ES"/>
        </w:rPr>
        <w:t xml:space="preserve"> XXIV (petición</w:t>
      </w:r>
      <w:r w:rsidRPr="00164A4A">
        <w:rPr>
          <w:bCs/>
          <w:color w:val="auto"/>
          <w:sz w:val="20"/>
          <w:szCs w:val="20"/>
          <w:lang w:val="es-ES"/>
        </w:rPr>
        <w:t>)</w:t>
      </w:r>
      <w:r w:rsidRPr="00AF7313">
        <w:rPr>
          <w:bCs/>
          <w:color w:val="FF0000"/>
          <w:sz w:val="20"/>
          <w:szCs w:val="20"/>
          <w:lang w:val="es-ES"/>
        </w:rPr>
        <w:t xml:space="preserve"> </w:t>
      </w:r>
      <w:r w:rsidRPr="00C42E77">
        <w:rPr>
          <w:bCs/>
          <w:sz w:val="20"/>
          <w:szCs w:val="20"/>
          <w:lang w:val="es-ES"/>
        </w:rPr>
        <w:t xml:space="preserve">de la Declaración Americana, la </w:t>
      </w:r>
      <w:r w:rsidRPr="00C42E77">
        <w:rPr>
          <w:rFonts w:cs="Calibri"/>
          <w:sz w:val="20"/>
          <w:szCs w:val="20"/>
          <w:lang w:val="es-ES"/>
        </w:rPr>
        <w:t>esta Comisión ha establecido con anterioridad que, una vez que la Convención Americana entra en vigor en relación con un Estado, ésta y no la Declaración pasa a ser la fuente primaria de derecho aplicable por la Comisión, siempre que la petición se refiera a la presunta violación de derechos idénticos en ambos instrumentos y no se trate de una situación de violación continuada. En este caso las alegadas violaciones a estos artículos encajan dentro del ámbito de protección de los artículos 8 y 25 de la Convención Americana. Por lo tanto</w:t>
      </w:r>
      <w:r>
        <w:rPr>
          <w:rFonts w:cs="Calibri"/>
          <w:sz w:val="20"/>
          <w:szCs w:val="20"/>
          <w:lang w:val="es-ES"/>
        </w:rPr>
        <w:t>,</w:t>
      </w:r>
      <w:r w:rsidRPr="00C42E77">
        <w:rPr>
          <w:rFonts w:cs="Calibri"/>
          <w:sz w:val="20"/>
          <w:szCs w:val="20"/>
          <w:lang w:val="es-ES"/>
        </w:rPr>
        <w:t xml:space="preserve"> la Comisión examinará estos alegatos a la luz de la Convención Americana. </w:t>
      </w:r>
      <w:r w:rsidRPr="005D73C6">
        <w:rPr>
          <w:rFonts w:cs="Times New Roman"/>
          <w:color w:val="auto"/>
          <w:sz w:val="20"/>
          <w:szCs w:val="20"/>
          <w:lang w:val="es-PE"/>
        </w:rPr>
        <w:t xml:space="preserve">En </w:t>
      </w:r>
      <w:r>
        <w:rPr>
          <w:rFonts w:cs="Times New Roman"/>
          <w:color w:val="auto"/>
          <w:sz w:val="20"/>
          <w:szCs w:val="20"/>
          <w:lang w:val="es-PE"/>
        </w:rPr>
        <w:t>lo referente</w:t>
      </w:r>
      <w:r w:rsidRPr="005D73C6">
        <w:rPr>
          <w:rFonts w:cs="Times New Roman"/>
          <w:color w:val="auto"/>
          <w:sz w:val="20"/>
          <w:szCs w:val="20"/>
          <w:lang w:val="es-PE"/>
        </w:rPr>
        <w:t xml:space="preserve"> a la alegada violación al </w:t>
      </w:r>
      <w:r>
        <w:rPr>
          <w:rFonts w:cs="Times New Roman"/>
          <w:color w:val="auto"/>
          <w:sz w:val="20"/>
          <w:szCs w:val="20"/>
          <w:lang w:val="es-PE"/>
        </w:rPr>
        <w:t>artículo VI (</w:t>
      </w:r>
      <w:r w:rsidRPr="005D73C6">
        <w:rPr>
          <w:rFonts w:cs="Times New Roman"/>
          <w:color w:val="auto"/>
          <w:sz w:val="20"/>
          <w:szCs w:val="20"/>
          <w:lang w:val="es-PE"/>
        </w:rPr>
        <w:t>protección y constitución de la familia</w:t>
      </w:r>
      <w:r>
        <w:rPr>
          <w:rFonts w:cs="Times New Roman"/>
          <w:color w:val="auto"/>
          <w:sz w:val="20"/>
          <w:szCs w:val="20"/>
          <w:lang w:val="es-PE"/>
        </w:rPr>
        <w:t>) de la Declaración Americana</w:t>
      </w:r>
      <w:r w:rsidRPr="005D73C6">
        <w:rPr>
          <w:rFonts w:cs="Times New Roman"/>
          <w:color w:val="auto"/>
          <w:sz w:val="20"/>
          <w:szCs w:val="20"/>
          <w:lang w:val="es-PE"/>
        </w:rPr>
        <w:t xml:space="preserve">, la Comisión estima que la parte peticionaria no ha aportado elementos o sustento suficiente que le permitan concluir, </w:t>
      </w:r>
      <w:r w:rsidRPr="005D73C6">
        <w:rPr>
          <w:rFonts w:cs="Times New Roman"/>
          <w:i/>
          <w:color w:val="auto"/>
          <w:sz w:val="20"/>
          <w:szCs w:val="20"/>
          <w:lang w:val="es-PE"/>
        </w:rPr>
        <w:t>prima facie</w:t>
      </w:r>
      <w:r w:rsidRPr="005D73C6">
        <w:rPr>
          <w:rFonts w:cs="Times New Roman"/>
          <w:color w:val="auto"/>
          <w:sz w:val="20"/>
          <w:szCs w:val="20"/>
          <w:lang w:val="es-PE"/>
        </w:rPr>
        <w:t xml:space="preserve">, la posibilidad de que el Estado haya vulnerado este </w:t>
      </w:r>
      <w:r>
        <w:rPr>
          <w:rFonts w:cs="Times New Roman"/>
          <w:color w:val="auto"/>
          <w:sz w:val="20"/>
          <w:szCs w:val="20"/>
          <w:lang w:val="es-PE"/>
        </w:rPr>
        <w:t>artículo</w:t>
      </w:r>
      <w:r w:rsidRPr="005D73C6">
        <w:rPr>
          <w:rFonts w:cs="Times New Roman"/>
          <w:color w:val="auto"/>
          <w:sz w:val="20"/>
          <w:szCs w:val="20"/>
          <w:lang w:val="es-PE"/>
        </w:rPr>
        <w:t xml:space="preserve"> en perjuicio de las presuntas víctimas.</w:t>
      </w:r>
    </w:p>
    <w:p w:rsidR="001E784F" w:rsidRPr="00C42E77" w:rsidRDefault="001E784F" w:rsidP="00B876F9">
      <w:pPr>
        <w:pStyle w:val="ListParagraph"/>
        <w:pBdr>
          <w:top w:val="none" w:sz="0" w:space="0" w:color="auto"/>
          <w:left w:val="none" w:sz="0" w:space="0" w:color="auto"/>
          <w:bottom w:val="none" w:sz="0" w:space="0" w:color="auto"/>
          <w:right w:val="none" w:sz="0" w:space="0" w:color="auto"/>
          <w:bar w:val="none" w:sz="0" w:color="auto"/>
        </w:pBdr>
        <w:jc w:val="both"/>
        <w:rPr>
          <w:rFonts w:cs="Times New Roman"/>
          <w:sz w:val="20"/>
          <w:szCs w:val="20"/>
          <w:lang w:val="es-PE"/>
        </w:rPr>
      </w:pPr>
    </w:p>
    <w:p w:rsidR="001E784F" w:rsidRPr="005D73C6" w:rsidRDefault="001E784F" w:rsidP="005D73C6">
      <w:pPr>
        <w:pStyle w:val="ListParagraph"/>
        <w:numPr>
          <w:ilvl w:val="0"/>
          <w:numId w:val="55"/>
        </w:numPr>
        <w:pBdr>
          <w:top w:val="none" w:sz="0" w:space="0" w:color="auto"/>
          <w:left w:val="none" w:sz="0" w:space="0" w:color="auto"/>
          <w:bottom w:val="none" w:sz="0" w:space="0" w:color="auto"/>
          <w:right w:val="none" w:sz="0" w:space="0" w:color="auto"/>
          <w:bar w:val="none" w:sz="0" w:color="auto"/>
        </w:pBdr>
        <w:ind w:left="0"/>
        <w:jc w:val="both"/>
        <w:rPr>
          <w:rFonts w:cs="Times New Roman"/>
          <w:color w:val="auto"/>
          <w:sz w:val="20"/>
          <w:szCs w:val="20"/>
          <w:lang w:val="es-PE"/>
        </w:rPr>
      </w:pPr>
      <w:r w:rsidRPr="00C42E77">
        <w:rPr>
          <w:sz w:val="20"/>
          <w:szCs w:val="20"/>
          <w:lang w:val="es-ES"/>
        </w:rPr>
        <w:t xml:space="preserve">Respecto a la alegada violación al artículo </w:t>
      </w:r>
      <w:r w:rsidRPr="00C42E77">
        <w:rPr>
          <w:bCs/>
          <w:sz w:val="20"/>
          <w:szCs w:val="20"/>
          <w:lang w:val="es-ES"/>
        </w:rPr>
        <w:t xml:space="preserve">XI (derecho a la preservación de la salud y al bienestar) de la Declaración Americana </w:t>
      </w:r>
      <w:r w:rsidRPr="00C42E77">
        <w:rPr>
          <w:rFonts w:cs="Calibri"/>
          <w:color w:val="auto"/>
          <w:sz w:val="20"/>
          <w:szCs w:val="20"/>
          <w:lang w:val="es-ES"/>
        </w:rPr>
        <w:t>la Comisión considera que los hechos expuestos, pudieran, de corroborarse como ciertos, caracterizar violaciones a éste artículo</w:t>
      </w:r>
      <w:r w:rsidRPr="00C42E77">
        <w:rPr>
          <w:rFonts w:cs="Calibri"/>
          <w:sz w:val="20"/>
          <w:szCs w:val="20"/>
          <w:lang w:val="es-ES"/>
        </w:rPr>
        <w:t xml:space="preserve">. </w:t>
      </w:r>
      <w:r>
        <w:rPr>
          <w:rFonts w:cs="Calibri"/>
          <w:sz w:val="20"/>
          <w:szCs w:val="20"/>
          <w:lang w:val="es-ES"/>
        </w:rPr>
        <w:t xml:space="preserve">Teniendo </w:t>
      </w:r>
      <w:r w:rsidRPr="00C42E77">
        <w:rPr>
          <w:rFonts w:cs="Calibri"/>
          <w:color w:val="auto"/>
          <w:sz w:val="20"/>
          <w:szCs w:val="20"/>
          <w:lang w:val="es-AR"/>
        </w:rPr>
        <w:t>en cuenta que el artículo 26 de la Convención hace una referencia general a los derechos económicos, sociales y culturales, y que estos deben ser determinados en conexión con la Carta de la OEA e instrumentos aplicables, la Comisión considera que en casos donde se alegue alguna violación específica de la Declaración relacionada con el contenido general del artículo 26 antes referido, el análisis de su correspondencia e identidad es propia de la etapa de fondo.</w:t>
      </w:r>
      <w:r>
        <w:rPr>
          <w:rFonts w:cs="Calibri"/>
          <w:color w:val="auto"/>
          <w:sz w:val="20"/>
          <w:szCs w:val="20"/>
          <w:lang w:val="es-AR"/>
        </w:rPr>
        <w:t xml:space="preserve"> </w:t>
      </w:r>
    </w:p>
    <w:p w:rsidR="001E784F" w:rsidRPr="00C42E77" w:rsidRDefault="001E784F" w:rsidP="00B876F9">
      <w:pPr>
        <w:pStyle w:val="ListParagraph"/>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0"/>
          <w:szCs w:val="20"/>
          <w:lang w:val="es-PE"/>
        </w:rPr>
      </w:pPr>
    </w:p>
    <w:p w:rsidR="001E784F" w:rsidRPr="0058367F" w:rsidRDefault="001E784F" w:rsidP="00B876F9">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lang w:val="es-ES"/>
        </w:rPr>
      </w:pPr>
      <w:r w:rsidRPr="00C42E77">
        <w:rPr>
          <w:sz w:val="20"/>
          <w:szCs w:val="20"/>
          <w:lang w:val="es-ES"/>
        </w:rPr>
        <w:t xml:space="preserve"> </w:t>
      </w:r>
      <w:r w:rsidRPr="00C42E77">
        <w:rPr>
          <w:rFonts w:ascii="Cambria" w:hAnsi="Cambria"/>
          <w:sz w:val="20"/>
          <w:szCs w:val="20"/>
          <w:lang w:val="es-ES"/>
        </w:rPr>
        <w:t xml:space="preserve">La Comisión Interamericana carece de competencia </w:t>
      </w:r>
      <w:proofErr w:type="spellStart"/>
      <w:r w:rsidRPr="00C42E77">
        <w:rPr>
          <w:rFonts w:ascii="Cambria" w:hAnsi="Cambria"/>
          <w:i/>
          <w:sz w:val="20"/>
          <w:szCs w:val="20"/>
          <w:lang w:val="es-ES"/>
        </w:rPr>
        <w:t>ratione</w:t>
      </w:r>
      <w:proofErr w:type="spellEnd"/>
      <w:r w:rsidRPr="00C42E77">
        <w:rPr>
          <w:rFonts w:ascii="Cambria" w:hAnsi="Cambria"/>
          <w:i/>
          <w:sz w:val="20"/>
          <w:szCs w:val="20"/>
          <w:lang w:val="es-ES"/>
        </w:rPr>
        <w:t xml:space="preserve"> </w:t>
      </w:r>
      <w:proofErr w:type="spellStart"/>
      <w:r w:rsidRPr="00C42E77">
        <w:rPr>
          <w:rFonts w:ascii="Cambria" w:hAnsi="Cambria"/>
          <w:i/>
          <w:sz w:val="20"/>
          <w:szCs w:val="20"/>
          <w:lang w:val="es-ES"/>
        </w:rPr>
        <w:t>materiae</w:t>
      </w:r>
      <w:proofErr w:type="spellEnd"/>
      <w:r>
        <w:rPr>
          <w:rFonts w:ascii="Cambria" w:hAnsi="Cambria"/>
          <w:sz w:val="20"/>
          <w:szCs w:val="20"/>
          <w:lang w:val="es-ES"/>
        </w:rPr>
        <w:t xml:space="preserve"> para pronunciarse </w:t>
      </w:r>
      <w:r w:rsidRPr="00C42E77">
        <w:rPr>
          <w:rFonts w:ascii="Cambria" w:hAnsi="Cambria"/>
          <w:sz w:val="20"/>
          <w:szCs w:val="20"/>
          <w:lang w:val="es-ES"/>
        </w:rPr>
        <w:t>dentro de su procedimiento de peticiones con respecto a posibles violaciones a la Convención Interamericana para la Eliminación de Todas las Formas de Discriminación Contra las Personas con Discapacidad y al Pacto Internacional de Derechos Ec</w:t>
      </w:r>
      <w:r>
        <w:rPr>
          <w:rFonts w:ascii="Cambria" w:hAnsi="Cambria"/>
          <w:sz w:val="20"/>
          <w:szCs w:val="20"/>
          <w:lang w:val="es-ES"/>
        </w:rPr>
        <w:t>onómicos Sociales y Culturales.</w:t>
      </w:r>
      <w:r w:rsidRPr="00C42E77">
        <w:rPr>
          <w:rFonts w:ascii="Cambria" w:hAnsi="Cambria"/>
          <w:sz w:val="20"/>
          <w:szCs w:val="20"/>
          <w:lang w:val="es-ES"/>
        </w:rPr>
        <w:t xml:space="preserve"> Sin embargo, </w:t>
      </w:r>
      <w:r w:rsidRPr="00C42E77">
        <w:rPr>
          <w:rFonts w:ascii="Cambria" w:hAnsi="Cambria" w:cs="Calibri"/>
          <w:sz w:val="20"/>
          <w:szCs w:val="20"/>
          <w:lang w:val="es-ES"/>
        </w:rPr>
        <w:t xml:space="preserve">de conformidad con el artículo 29 de la Convención Americana, la Comisión puede tomar este tratado en cuenta para interpretar y aplicar la Convención </w:t>
      </w:r>
      <w:r w:rsidRPr="0058367F">
        <w:rPr>
          <w:rFonts w:ascii="Cambria" w:hAnsi="Cambria" w:cs="Calibri"/>
          <w:sz w:val="20"/>
          <w:szCs w:val="20"/>
          <w:lang w:val="es-ES"/>
        </w:rPr>
        <w:t>Americana y otros instrumentos aplicables</w:t>
      </w:r>
      <w:r w:rsidRPr="0058367F">
        <w:rPr>
          <w:rFonts w:ascii="Cambria" w:hAnsi="Cambria"/>
          <w:sz w:val="20"/>
          <w:szCs w:val="20"/>
          <w:lang w:val="es-ES"/>
        </w:rPr>
        <w:t>.</w:t>
      </w:r>
    </w:p>
    <w:p w:rsidR="001E784F" w:rsidRPr="0058367F" w:rsidRDefault="001E784F" w:rsidP="006346C7">
      <w:pPr>
        <w:pStyle w:val="ListParagraph"/>
        <w:pBdr>
          <w:top w:val="none" w:sz="0" w:space="0" w:color="auto"/>
          <w:left w:val="none" w:sz="0" w:space="0" w:color="auto"/>
          <w:bottom w:val="none" w:sz="0" w:space="0" w:color="auto"/>
          <w:right w:val="none" w:sz="0" w:space="0" w:color="auto"/>
          <w:bar w:val="none" w:sz="0" w:color="auto"/>
        </w:pBdr>
        <w:rPr>
          <w:sz w:val="20"/>
          <w:szCs w:val="20"/>
          <w:lang w:val="es-ES"/>
        </w:rPr>
      </w:pPr>
    </w:p>
    <w:p w:rsidR="001E784F" w:rsidRPr="0058367F" w:rsidRDefault="001E784F" w:rsidP="006346C7">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lang w:val="es-ES"/>
        </w:rPr>
      </w:pPr>
      <w:r w:rsidRPr="0058367F">
        <w:rPr>
          <w:rFonts w:ascii="Cambria" w:hAnsi="Cambria"/>
          <w:sz w:val="20"/>
          <w:szCs w:val="20"/>
          <w:lang w:val="es-ES"/>
        </w:rPr>
        <w:t xml:space="preserve">La Comisión toma nota que el Estado ha aportado, posteriormente al último escrito recibido por parte de la parte peticionaria, información respecto a avances que según indica se habrían alcanzado con respecto al cumplimiento de la sentencia de la Corte Constitucional. La Comisión ha examinado esta información pero también valora que la petición alega que el incumplimiento prolongado de la sentencia ha causado daños irreparables a algunas de las presuntas víctimas y que de la información que obra en expediente no se desprende que la Corte Constitucional haya concluido el proceso de seguimiento dando la sentencia por cumplida. Por estas razones, la Comisión considera </w:t>
      </w:r>
      <w:r>
        <w:rPr>
          <w:rFonts w:ascii="Cambria" w:hAnsi="Cambria"/>
          <w:sz w:val="20"/>
          <w:szCs w:val="20"/>
          <w:lang w:val="es-ES"/>
        </w:rPr>
        <w:t xml:space="preserve">que </w:t>
      </w:r>
      <w:r w:rsidRPr="0058367F">
        <w:rPr>
          <w:rFonts w:ascii="Cambria" w:hAnsi="Cambria"/>
          <w:sz w:val="20"/>
          <w:szCs w:val="20"/>
          <w:lang w:val="es-ES"/>
        </w:rPr>
        <w:t>la información aportada por el Estado resulta insuficiente para concluir que los agravios planteados por la parte peticionaria han sido efectivamente remediados; por lo que un examen de fondo continúa siendo necesario. Esto, sin perjuicio de que la información aportada por el Estado con respecto a los referidos avances sea valorada en la etapa de fondo.</w:t>
      </w:r>
    </w:p>
    <w:p w:rsidR="001E784F" w:rsidRPr="0021378C" w:rsidRDefault="001E784F" w:rsidP="008C5751">
      <w:pPr>
        <w:pBdr>
          <w:top w:val="none" w:sz="0" w:space="0" w:color="auto"/>
          <w:left w:val="none" w:sz="0" w:space="0" w:color="auto"/>
          <w:bottom w:val="none" w:sz="0" w:space="0" w:color="auto"/>
          <w:right w:val="none" w:sz="0" w:space="0" w:color="auto"/>
          <w:bar w:val="none" w:sz="0" w:color="auto"/>
        </w:pBdr>
        <w:suppressAutoHyphens/>
        <w:spacing w:after="120"/>
        <w:ind w:left="720"/>
        <w:jc w:val="both"/>
        <w:rPr>
          <w:rFonts w:ascii="Cambria" w:hAnsi="Cambria"/>
          <w:b/>
          <w:bCs/>
          <w:sz w:val="20"/>
          <w:szCs w:val="20"/>
          <w:lang w:val="es-ES"/>
        </w:rPr>
      </w:pPr>
      <w:r w:rsidRPr="0021378C">
        <w:rPr>
          <w:rFonts w:ascii="Cambria" w:hAnsi="Cambria"/>
          <w:b/>
          <w:bCs/>
          <w:sz w:val="20"/>
          <w:szCs w:val="20"/>
          <w:lang w:val="es-ES"/>
        </w:rPr>
        <w:t xml:space="preserve">VIII. </w:t>
      </w:r>
      <w:r w:rsidRPr="0021378C">
        <w:rPr>
          <w:rFonts w:ascii="Cambria" w:hAnsi="Cambria"/>
          <w:b/>
          <w:bCs/>
          <w:sz w:val="20"/>
          <w:szCs w:val="20"/>
          <w:lang w:val="es-ES"/>
        </w:rPr>
        <w:tab/>
        <w:t>DECISIÓN</w:t>
      </w:r>
    </w:p>
    <w:p w:rsidR="001E784F" w:rsidRDefault="001E784F" w:rsidP="00176BB3">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lang w:val="es-ES"/>
        </w:rPr>
      </w:pPr>
      <w:r w:rsidRPr="00A41F01">
        <w:rPr>
          <w:rFonts w:ascii="Cambria" w:hAnsi="Cambria"/>
          <w:sz w:val="20"/>
          <w:szCs w:val="20"/>
          <w:lang w:val="es-ES"/>
        </w:rPr>
        <w:t xml:space="preserve">Declarar admisible la presente petición en relación con los </w:t>
      </w:r>
      <w:r w:rsidRPr="00A41F01">
        <w:rPr>
          <w:rFonts w:ascii="Cambria" w:hAnsi="Cambria"/>
          <w:bCs/>
          <w:sz w:val="20"/>
          <w:szCs w:val="20"/>
          <w:lang w:val="es-ES"/>
        </w:rPr>
        <w:t xml:space="preserve">artículos </w:t>
      </w:r>
      <w:r>
        <w:rPr>
          <w:rFonts w:ascii="Cambria" w:hAnsi="Cambria"/>
          <w:bCs/>
          <w:sz w:val="20"/>
          <w:szCs w:val="20"/>
          <w:lang w:val="es-ES"/>
        </w:rPr>
        <w:t>4</w:t>
      </w:r>
      <w:r w:rsidRPr="00A41F01">
        <w:rPr>
          <w:rFonts w:ascii="Cambria" w:hAnsi="Cambria"/>
          <w:bCs/>
          <w:sz w:val="20"/>
          <w:szCs w:val="20"/>
          <w:lang w:val="es-ES"/>
        </w:rPr>
        <w:t xml:space="preserve">, 5, </w:t>
      </w:r>
      <w:r>
        <w:rPr>
          <w:rFonts w:ascii="Cambria" w:hAnsi="Cambria"/>
          <w:bCs/>
          <w:sz w:val="20"/>
          <w:szCs w:val="20"/>
          <w:lang w:val="es-ES"/>
        </w:rPr>
        <w:t xml:space="preserve">8, </w:t>
      </w:r>
      <w:r w:rsidRPr="00A41F01">
        <w:rPr>
          <w:rFonts w:ascii="Cambria" w:hAnsi="Cambria"/>
          <w:bCs/>
          <w:sz w:val="20"/>
          <w:szCs w:val="20"/>
          <w:lang w:val="es-ES"/>
        </w:rPr>
        <w:t>19,</w:t>
      </w:r>
      <w:r>
        <w:rPr>
          <w:rFonts w:ascii="Cambria" w:hAnsi="Cambria"/>
          <w:bCs/>
          <w:sz w:val="20"/>
          <w:szCs w:val="20"/>
          <w:lang w:val="es-ES"/>
        </w:rPr>
        <w:t xml:space="preserve"> 24,</w:t>
      </w:r>
      <w:r w:rsidRPr="00A41F01">
        <w:rPr>
          <w:rFonts w:ascii="Cambria" w:hAnsi="Cambria"/>
          <w:bCs/>
          <w:sz w:val="20"/>
          <w:szCs w:val="20"/>
          <w:lang w:val="es-ES"/>
        </w:rPr>
        <w:t xml:space="preserve"> </w:t>
      </w:r>
      <w:r>
        <w:rPr>
          <w:rFonts w:ascii="Cambria" w:hAnsi="Cambria"/>
          <w:bCs/>
          <w:sz w:val="20"/>
          <w:szCs w:val="20"/>
          <w:lang w:val="es-ES"/>
        </w:rPr>
        <w:t xml:space="preserve">25 y </w:t>
      </w:r>
      <w:r w:rsidRPr="00A41F01">
        <w:rPr>
          <w:rFonts w:ascii="Cambria" w:hAnsi="Cambria"/>
          <w:bCs/>
          <w:sz w:val="20"/>
          <w:szCs w:val="20"/>
          <w:lang w:val="es-ES"/>
        </w:rPr>
        <w:t>26 de la Convención Americana sobre Derechos Humanos</w:t>
      </w:r>
      <w:r>
        <w:rPr>
          <w:rFonts w:ascii="Cambria" w:hAnsi="Cambria"/>
          <w:bCs/>
          <w:sz w:val="20"/>
          <w:szCs w:val="20"/>
          <w:lang w:val="es-ES"/>
        </w:rPr>
        <w:t xml:space="preserve"> y </w:t>
      </w:r>
      <w:r w:rsidR="00A31D9B">
        <w:rPr>
          <w:rFonts w:ascii="Cambria" w:hAnsi="Cambria"/>
          <w:bCs/>
          <w:sz w:val="20"/>
          <w:szCs w:val="20"/>
          <w:lang w:val="es-ES"/>
        </w:rPr>
        <w:t>a</w:t>
      </w:r>
      <w:r>
        <w:rPr>
          <w:rFonts w:ascii="Cambria" w:hAnsi="Cambria"/>
          <w:bCs/>
          <w:sz w:val="20"/>
          <w:szCs w:val="20"/>
          <w:lang w:val="es-ES"/>
        </w:rPr>
        <w:t>rtículo XI de la Declaración Americana</w:t>
      </w:r>
      <w:r w:rsidRPr="00A41F01">
        <w:rPr>
          <w:rFonts w:ascii="Cambria" w:hAnsi="Cambria"/>
          <w:sz w:val="20"/>
          <w:szCs w:val="20"/>
          <w:lang w:val="es-ES"/>
        </w:rPr>
        <w:t>;</w:t>
      </w:r>
    </w:p>
    <w:p w:rsidR="001E784F" w:rsidRPr="00847C16" w:rsidRDefault="001E784F" w:rsidP="00176BB3">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lang w:val="es-ES"/>
        </w:rPr>
      </w:pPr>
      <w:r w:rsidRPr="00847C16">
        <w:rPr>
          <w:rFonts w:ascii="Cambria" w:hAnsi="Cambria"/>
          <w:sz w:val="20"/>
          <w:szCs w:val="20"/>
          <w:lang w:val="es-ES"/>
        </w:rPr>
        <w:t xml:space="preserve">Declarar inadmisible la presente petición en relación </w:t>
      </w:r>
      <w:r>
        <w:rPr>
          <w:rFonts w:ascii="Cambria" w:hAnsi="Cambria"/>
          <w:sz w:val="20"/>
          <w:szCs w:val="20"/>
          <w:lang w:val="es-ES"/>
        </w:rPr>
        <w:t>con el artículo VI de la Declaración Americana.</w:t>
      </w:r>
    </w:p>
    <w:p w:rsidR="003A398D" w:rsidRPr="003A398D" w:rsidRDefault="001E784F" w:rsidP="009F171C">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Theme="majorHAnsi" w:hAnsiTheme="majorHAnsi" w:cs="Arial"/>
          <w:noProof/>
          <w:spacing w:val="-2"/>
          <w:sz w:val="20"/>
          <w:szCs w:val="20"/>
          <w:lang w:val="es-CL"/>
        </w:rPr>
      </w:pPr>
      <w:r w:rsidRPr="003A398D">
        <w:rPr>
          <w:rFonts w:ascii="Cambria" w:hAnsi="Cambria"/>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E97985" w:rsidRDefault="003A398D" w:rsidP="00E97985">
      <w:pPr>
        <w:pBdr>
          <w:top w:val="none" w:sz="0" w:space="0" w:color="auto"/>
          <w:left w:val="none" w:sz="0" w:space="0" w:color="auto"/>
          <w:bottom w:val="none" w:sz="0" w:space="0" w:color="auto"/>
          <w:right w:val="none" w:sz="0" w:space="0" w:color="auto"/>
          <w:bar w:val="none" w:sz="0" w:color="auto"/>
        </w:pBdr>
        <w:suppressAutoHyphens/>
        <w:spacing w:after="120"/>
        <w:ind w:firstLine="720"/>
        <w:jc w:val="both"/>
        <w:rPr>
          <w:rFonts w:asciiTheme="majorHAnsi" w:hAnsiTheme="majorHAnsi" w:cs="Arial"/>
          <w:noProof/>
          <w:sz w:val="20"/>
          <w:szCs w:val="20"/>
          <w:lang w:val="es-CL"/>
        </w:rPr>
      </w:pPr>
      <w:r w:rsidRPr="003A398D">
        <w:rPr>
          <w:rFonts w:asciiTheme="majorHAnsi" w:hAnsiTheme="majorHAnsi" w:cs="Arial"/>
          <w:noProof/>
          <w:spacing w:val="-2"/>
          <w:sz w:val="20"/>
          <w:szCs w:val="20"/>
          <w:lang w:val="es-CL"/>
        </w:rPr>
        <w:t xml:space="preserve">Aprobado por la Comisión Interamericana de Derechos Humanos  a los </w:t>
      </w:r>
      <w:r>
        <w:rPr>
          <w:rFonts w:asciiTheme="majorHAnsi" w:hAnsiTheme="majorHAnsi" w:cs="Arial"/>
          <w:noProof/>
          <w:spacing w:val="-2"/>
          <w:sz w:val="20"/>
          <w:szCs w:val="20"/>
          <w:lang w:val="es-CL"/>
        </w:rPr>
        <w:t>24</w:t>
      </w:r>
      <w:r w:rsidRPr="003A398D">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abril</w:t>
      </w:r>
      <w:r w:rsidRPr="003A398D">
        <w:rPr>
          <w:rFonts w:asciiTheme="majorHAnsi" w:hAnsiTheme="majorHAnsi" w:cs="Arial"/>
          <w:noProof/>
          <w:spacing w:val="-2"/>
          <w:sz w:val="20"/>
          <w:szCs w:val="20"/>
          <w:lang w:val="es-CL"/>
        </w:rPr>
        <w:t xml:space="preserve"> de 2020.  (Firmado): Joel Hernández, Presidente; Antonia Urrejola, Primera Vicepresidenta; Flávia Piovesan, Segunda Vicepresidenta; Margarette May Macaulay, Esmeralda E. Arosemena Bernal de Troitiño, Julissa Mantilla Falcón, y Stuardo Ralón Orellana, Miembros de la Comisión.</w:t>
      </w:r>
      <w:r w:rsidRPr="003A398D">
        <w:rPr>
          <w:rFonts w:asciiTheme="majorHAnsi" w:hAnsiTheme="majorHAnsi" w:cs="Arial"/>
          <w:noProof/>
          <w:sz w:val="20"/>
          <w:szCs w:val="20"/>
          <w:lang w:val="es-CL"/>
        </w:rPr>
        <w:t xml:space="preserve"> </w:t>
      </w:r>
    </w:p>
    <w:p w:rsidR="001E784F" w:rsidRDefault="001E784F" w:rsidP="00C42E77">
      <w:p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lang w:val="es-ES"/>
        </w:rPr>
      </w:pPr>
    </w:p>
    <w:p w:rsidR="001E784F" w:rsidRDefault="003A398D" w:rsidP="003A398D">
      <w:pPr>
        <w:pBdr>
          <w:top w:val="none" w:sz="0" w:space="0" w:color="auto"/>
          <w:left w:val="none" w:sz="0" w:space="0" w:color="auto"/>
          <w:bottom w:val="none" w:sz="0" w:space="0" w:color="auto"/>
          <w:right w:val="none" w:sz="0" w:space="0" w:color="auto"/>
          <w:bar w:val="none" w:sz="0" w:color="auto"/>
        </w:pBdr>
        <w:jc w:val="center"/>
        <w:rPr>
          <w:rFonts w:ascii="Cambria" w:hAnsi="Cambria"/>
          <w:b/>
          <w:sz w:val="20"/>
          <w:szCs w:val="20"/>
          <w:lang w:val="es-ES"/>
        </w:rPr>
      </w:pPr>
      <w:r>
        <w:rPr>
          <w:rFonts w:ascii="Cambria" w:hAnsi="Cambria"/>
          <w:b/>
          <w:sz w:val="20"/>
          <w:szCs w:val="20"/>
          <w:lang w:val="es-ES"/>
        </w:rPr>
        <w:br w:type="page"/>
      </w:r>
      <w:r w:rsidR="001E784F">
        <w:rPr>
          <w:rFonts w:ascii="Cambria" w:hAnsi="Cambria"/>
          <w:b/>
          <w:sz w:val="20"/>
          <w:szCs w:val="20"/>
          <w:lang w:val="es-ES"/>
        </w:rPr>
        <w:lastRenderedPageBreak/>
        <w:t>Lista de Presuntas Víctimas Identificadas</w:t>
      </w:r>
    </w:p>
    <w:p w:rsidR="001E784F" w:rsidRDefault="001E784F" w:rsidP="00C42E77">
      <w:p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b/>
          <w:sz w:val="20"/>
          <w:szCs w:val="20"/>
          <w:lang w:val="es-ES"/>
        </w:rPr>
      </w:pPr>
    </w:p>
    <w:p w:rsidR="001E784F" w:rsidRDefault="001E784F" w:rsidP="00E77AEE">
      <w:p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u w:val="single"/>
          <w:lang w:val="es-ES"/>
        </w:rPr>
      </w:pPr>
      <w:r>
        <w:rPr>
          <w:rFonts w:ascii="Cambria" w:hAnsi="Cambria"/>
          <w:sz w:val="20"/>
          <w:szCs w:val="20"/>
          <w:u w:val="single"/>
          <w:lang w:val="es-ES"/>
        </w:rPr>
        <w:t>Niños y Niñas</w:t>
      </w:r>
    </w:p>
    <w:p w:rsidR="001E784F" w:rsidRDefault="001E784F" w:rsidP="00E77AEE">
      <w:p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lang w:val="es-ES"/>
        </w:rPr>
      </w:pPr>
    </w:p>
    <w:p w:rsidR="001E784F" w:rsidRDefault="001E784F" w:rsidP="00E77AEE">
      <w:pPr>
        <w:pStyle w:val="ListParagraph"/>
        <w:numPr>
          <w:ilvl w:val="0"/>
          <w:numId w:val="62"/>
        </w:numPr>
        <w:pBdr>
          <w:top w:val="none" w:sz="0" w:space="0" w:color="auto"/>
          <w:left w:val="none" w:sz="0" w:space="0" w:color="auto"/>
          <w:bottom w:val="none" w:sz="0" w:space="0" w:color="auto"/>
          <w:right w:val="none" w:sz="0" w:space="0" w:color="auto"/>
          <w:bar w:val="none" w:sz="0" w:color="auto"/>
        </w:pBdr>
        <w:suppressAutoHyphens/>
        <w:spacing w:after="120"/>
        <w:jc w:val="both"/>
        <w:rPr>
          <w:sz w:val="20"/>
          <w:szCs w:val="20"/>
          <w:lang w:val="es-ES"/>
        </w:rPr>
      </w:pPr>
      <w:r>
        <w:rPr>
          <w:sz w:val="20"/>
          <w:szCs w:val="20"/>
          <w:lang w:val="es-ES"/>
        </w:rPr>
        <w:t xml:space="preserve">Gabriel Alejandro Vasco </w:t>
      </w:r>
      <w:proofErr w:type="spellStart"/>
      <w:r>
        <w:rPr>
          <w:sz w:val="20"/>
          <w:szCs w:val="20"/>
          <w:lang w:val="es-ES"/>
        </w:rPr>
        <w:t>Toapanta</w:t>
      </w:r>
      <w:proofErr w:type="spellEnd"/>
    </w:p>
    <w:p w:rsidR="001E784F" w:rsidRDefault="001E784F" w:rsidP="00E77AEE">
      <w:pPr>
        <w:pStyle w:val="ListParagraph"/>
        <w:numPr>
          <w:ilvl w:val="0"/>
          <w:numId w:val="62"/>
        </w:numPr>
        <w:pBdr>
          <w:top w:val="none" w:sz="0" w:space="0" w:color="auto"/>
          <w:left w:val="none" w:sz="0" w:space="0" w:color="auto"/>
          <w:bottom w:val="none" w:sz="0" w:space="0" w:color="auto"/>
          <w:right w:val="none" w:sz="0" w:space="0" w:color="auto"/>
          <w:bar w:val="none" w:sz="0" w:color="auto"/>
        </w:pBdr>
        <w:suppressAutoHyphens/>
        <w:spacing w:after="120"/>
        <w:jc w:val="both"/>
        <w:rPr>
          <w:sz w:val="20"/>
          <w:szCs w:val="20"/>
          <w:lang w:val="es-ES"/>
        </w:rPr>
      </w:pPr>
      <w:r>
        <w:rPr>
          <w:sz w:val="20"/>
          <w:szCs w:val="20"/>
          <w:lang w:val="es-ES"/>
        </w:rPr>
        <w:t xml:space="preserve">Jefferson </w:t>
      </w:r>
      <w:proofErr w:type="spellStart"/>
      <w:r>
        <w:rPr>
          <w:sz w:val="20"/>
          <w:szCs w:val="20"/>
          <w:lang w:val="es-ES"/>
        </w:rPr>
        <w:t>Steeven</w:t>
      </w:r>
      <w:proofErr w:type="spellEnd"/>
      <w:r>
        <w:rPr>
          <w:sz w:val="20"/>
          <w:szCs w:val="20"/>
          <w:lang w:val="es-ES"/>
        </w:rPr>
        <w:t xml:space="preserve"> Reyes Zambrano</w:t>
      </w:r>
    </w:p>
    <w:p w:rsidR="001E784F" w:rsidRDefault="001E784F" w:rsidP="00E77AEE">
      <w:pPr>
        <w:pStyle w:val="ListParagraph"/>
        <w:numPr>
          <w:ilvl w:val="0"/>
          <w:numId w:val="62"/>
        </w:numPr>
        <w:pBdr>
          <w:top w:val="none" w:sz="0" w:space="0" w:color="auto"/>
          <w:left w:val="none" w:sz="0" w:space="0" w:color="auto"/>
          <w:bottom w:val="none" w:sz="0" w:space="0" w:color="auto"/>
          <w:right w:val="none" w:sz="0" w:space="0" w:color="auto"/>
          <w:bar w:val="none" w:sz="0" w:color="auto"/>
        </w:pBdr>
        <w:suppressAutoHyphens/>
        <w:spacing w:after="120"/>
        <w:jc w:val="both"/>
        <w:rPr>
          <w:sz w:val="20"/>
          <w:szCs w:val="20"/>
          <w:lang w:val="es-ES"/>
        </w:rPr>
      </w:pPr>
      <w:proofErr w:type="spellStart"/>
      <w:r>
        <w:rPr>
          <w:sz w:val="20"/>
          <w:szCs w:val="20"/>
          <w:lang w:val="es-ES"/>
        </w:rPr>
        <w:t>Mathyan</w:t>
      </w:r>
      <w:proofErr w:type="spellEnd"/>
      <w:r>
        <w:rPr>
          <w:sz w:val="20"/>
          <w:szCs w:val="20"/>
          <w:lang w:val="es-ES"/>
        </w:rPr>
        <w:t xml:space="preserve"> Adrian </w:t>
      </w:r>
      <w:proofErr w:type="spellStart"/>
      <w:r>
        <w:rPr>
          <w:sz w:val="20"/>
          <w:szCs w:val="20"/>
          <w:lang w:val="es-ES"/>
        </w:rPr>
        <w:t>Asanza</w:t>
      </w:r>
      <w:proofErr w:type="spellEnd"/>
      <w:r>
        <w:rPr>
          <w:sz w:val="20"/>
          <w:szCs w:val="20"/>
          <w:lang w:val="es-ES"/>
        </w:rPr>
        <w:t xml:space="preserve"> </w:t>
      </w:r>
      <w:proofErr w:type="spellStart"/>
      <w:r>
        <w:rPr>
          <w:sz w:val="20"/>
          <w:szCs w:val="20"/>
          <w:lang w:val="es-ES"/>
        </w:rPr>
        <w:t>Asanza</w:t>
      </w:r>
      <w:proofErr w:type="spellEnd"/>
    </w:p>
    <w:p w:rsidR="001E784F" w:rsidRDefault="001E784F" w:rsidP="00E77AEE">
      <w:pPr>
        <w:pStyle w:val="ListParagraph"/>
        <w:numPr>
          <w:ilvl w:val="0"/>
          <w:numId w:val="62"/>
        </w:numPr>
        <w:pBdr>
          <w:top w:val="none" w:sz="0" w:space="0" w:color="auto"/>
          <w:left w:val="none" w:sz="0" w:space="0" w:color="auto"/>
          <w:bottom w:val="none" w:sz="0" w:space="0" w:color="auto"/>
          <w:right w:val="none" w:sz="0" w:space="0" w:color="auto"/>
          <w:bar w:val="none" w:sz="0" w:color="auto"/>
        </w:pBdr>
        <w:suppressAutoHyphens/>
        <w:spacing w:after="120"/>
        <w:jc w:val="both"/>
        <w:rPr>
          <w:sz w:val="20"/>
          <w:szCs w:val="20"/>
          <w:lang w:val="es-ES"/>
        </w:rPr>
      </w:pPr>
      <w:proofErr w:type="spellStart"/>
      <w:r>
        <w:rPr>
          <w:sz w:val="20"/>
          <w:szCs w:val="20"/>
          <w:lang w:val="es-ES"/>
        </w:rPr>
        <w:t>Jannick</w:t>
      </w:r>
      <w:proofErr w:type="spellEnd"/>
      <w:r>
        <w:rPr>
          <w:sz w:val="20"/>
          <w:szCs w:val="20"/>
          <w:lang w:val="es-ES"/>
        </w:rPr>
        <w:t xml:space="preserve"> Miguel Castillo </w:t>
      </w:r>
      <w:proofErr w:type="spellStart"/>
      <w:r>
        <w:rPr>
          <w:sz w:val="20"/>
          <w:szCs w:val="20"/>
          <w:lang w:val="es-ES"/>
        </w:rPr>
        <w:t>Castillo</w:t>
      </w:r>
      <w:proofErr w:type="spellEnd"/>
    </w:p>
    <w:p w:rsidR="001E784F" w:rsidRDefault="001E784F" w:rsidP="00E77AEE">
      <w:pPr>
        <w:pStyle w:val="ListParagraph"/>
        <w:numPr>
          <w:ilvl w:val="0"/>
          <w:numId w:val="62"/>
        </w:numPr>
        <w:pBdr>
          <w:top w:val="none" w:sz="0" w:space="0" w:color="auto"/>
          <w:left w:val="none" w:sz="0" w:space="0" w:color="auto"/>
          <w:bottom w:val="none" w:sz="0" w:space="0" w:color="auto"/>
          <w:right w:val="none" w:sz="0" w:space="0" w:color="auto"/>
          <w:bar w:val="none" w:sz="0" w:color="auto"/>
        </w:pBdr>
        <w:suppressAutoHyphens/>
        <w:spacing w:after="120"/>
        <w:jc w:val="both"/>
        <w:rPr>
          <w:sz w:val="20"/>
          <w:szCs w:val="20"/>
          <w:lang w:val="es-ES"/>
        </w:rPr>
      </w:pPr>
      <w:r>
        <w:rPr>
          <w:sz w:val="20"/>
          <w:szCs w:val="20"/>
          <w:lang w:val="es-ES"/>
        </w:rPr>
        <w:t>Jorge Luis Romero Campoverde</w:t>
      </w:r>
    </w:p>
    <w:p w:rsidR="001E784F" w:rsidRDefault="001E784F" w:rsidP="00E77AEE">
      <w:pPr>
        <w:pStyle w:val="ListParagraph"/>
        <w:numPr>
          <w:ilvl w:val="0"/>
          <w:numId w:val="62"/>
        </w:numPr>
        <w:pBdr>
          <w:top w:val="none" w:sz="0" w:space="0" w:color="auto"/>
          <w:left w:val="none" w:sz="0" w:space="0" w:color="auto"/>
          <w:bottom w:val="none" w:sz="0" w:space="0" w:color="auto"/>
          <w:right w:val="none" w:sz="0" w:space="0" w:color="auto"/>
          <w:bar w:val="none" w:sz="0" w:color="auto"/>
        </w:pBdr>
        <w:suppressAutoHyphens/>
        <w:spacing w:after="120"/>
        <w:jc w:val="both"/>
        <w:rPr>
          <w:sz w:val="20"/>
          <w:szCs w:val="20"/>
          <w:lang w:val="es-ES"/>
        </w:rPr>
      </w:pPr>
      <w:proofErr w:type="spellStart"/>
      <w:r>
        <w:rPr>
          <w:sz w:val="20"/>
          <w:szCs w:val="20"/>
          <w:lang w:val="es-ES"/>
        </w:rPr>
        <w:t>Katheryn</w:t>
      </w:r>
      <w:proofErr w:type="spellEnd"/>
      <w:r>
        <w:rPr>
          <w:sz w:val="20"/>
          <w:szCs w:val="20"/>
          <w:lang w:val="es-ES"/>
        </w:rPr>
        <w:t xml:space="preserve"> Mireya Ochoa Cedeño</w:t>
      </w:r>
    </w:p>
    <w:p w:rsidR="001E784F" w:rsidRDefault="001E784F" w:rsidP="00E77AEE">
      <w:pPr>
        <w:pStyle w:val="ListParagraph"/>
        <w:numPr>
          <w:ilvl w:val="0"/>
          <w:numId w:val="62"/>
        </w:numPr>
        <w:pBdr>
          <w:top w:val="none" w:sz="0" w:space="0" w:color="auto"/>
          <w:left w:val="none" w:sz="0" w:space="0" w:color="auto"/>
          <w:bottom w:val="none" w:sz="0" w:space="0" w:color="auto"/>
          <w:right w:val="none" w:sz="0" w:space="0" w:color="auto"/>
          <w:bar w:val="none" w:sz="0" w:color="auto"/>
        </w:pBdr>
        <w:suppressAutoHyphens/>
        <w:spacing w:after="120"/>
        <w:jc w:val="both"/>
        <w:rPr>
          <w:sz w:val="20"/>
          <w:szCs w:val="20"/>
          <w:lang w:val="es-ES"/>
        </w:rPr>
      </w:pPr>
      <w:proofErr w:type="spellStart"/>
      <w:r>
        <w:rPr>
          <w:sz w:val="20"/>
          <w:szCs w:val="20"/>
          <w:lang w:val="es-ES"/>
        </w:rPr>
        <w:t>Jonely</w:t>
      </w:r>
      <w:proofErr w:type="spellEnd"/>
      <w:r>
        <w:rPr>
          <w:sz w:val="20"/>
          <w:szCs w:val="20"/>
          <w:lang w:val="es-ES"/>
        </w:rPr>
        <w:t xml:space="preserve"> Soledad Romero Loayza</w:t>
      </w:r>
    </w:p>
    <w:p w:rsidR="001E784F" w:rsidRDefault="001E784F" w:rsidP="00E77AEE">
      <w:pPr>
        <w:pStyle w:val="ListParagraph"/>
        <w:numPr>
          <w:ilvl w:val="0"/>
          <w:numId w:val="62"/>
        </w:numPr>
        <w:pBdr>
          <w:top w:val="none" w:sz="0" w:space="0" w:color="auto"/>
          <w:left w:val="none" w:sz="0" w:space="0" w:color="auto"/>
          <w:bottom w:val="none" w:sz="0" w:space="0" w:color="auto"/>
          <w:right w:val="none" w:sz="0" w:space="0" w:color="auto"/>
          <w:bar w:val="none" w:sz="0" w:color="auto"/>
        </w:pBdr>
        <w:suppressAutoHyphens/>
        <w:spacing w:after="120"/>
        <w:jc w:val="both"/>
        <w:rPr>
          <w:sz w:val="20"/>
          <w:szCs w:val="20"/>
          <w:lang w:val="es-ES"/>
        </w:rPr>
      </w:pPr>
      <w:r>
        <w:rPr>
          <w:sz w:val="20"/>
          <w:szCs w:val="20"/>
          <w:lang w:val="es-ES"/>
        </w:rPr>
        <w:t xml:space="preserve">María José </w:t>
      </w:r>
      <w:proofErr w:type="spellStart"/>
      <w:r>
        <w:rPr>
          <w:sz w:val="20"/>
          <w:szCs w:val="20"/>
          <w:lang w:val="es-ES"/>
        </w:rPr>
        <w:t>Asanza</w:t>
      </w:r>
      <w:proofErr w:type="spellEnd"/>
      <w:r>
        <w:rPr>
          <w:sz w:val="20"/>
          <w:szCs w:val="20"/>
          <w:lang w:val="es-ES"/>
        </w:rPr>
        <w:t xml:space="preserve"> Torres</w:t>
      </w:r>
    </w:p>
    <w:p w:rsidR="001E784F" w:rsidRDefault="001E784F" w:rsidP="00B85E88">
      <w:p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u w:val="single"/>
          <w:lang w:val="es-ES"/>
        </w:rPr>
      </w:pPr>
      <w:r>
        <w:rPr>
          <w:rFonts w:ascii="Cambria" w:hAnsi="Cambria"/>
          <w:sz w:val="20"/>
          <w:szCs w:val="20"/>
          <w:u w:val="single"/>
          <w:lang w:val="es-ES"/>
        </w:rPr>
        <w:t>Padres y Madres</w:t>
      </w:r>
    </w:p>
    <w:p w:rsidR="001E784F" w:rsidRPr="00B85E88" w:rsidRDefault="001E784F" w:rsidP="00B85E88">
      <w:pPr>
        <w:pStyle w:val="ListParagraph"/>
        <w:numPr>
          <w:ilvl w:val="0"/>
          <w:numId w:val="63"/>
        </w:numPr>
        <w:pBdr>
          <w:top w:val="none" w:sz="0" w:space="0" w:color="auto"/>
          <w:left w:val="none" w:sz="0" w:space="0" w:color="auto"/>
          <w:bottom w:val="none" w:sz="0" w:space="0" w:color="auto"/>
          <w:right w:val="none" w:sz="0" w:space="0" w:color="auto"/>
          <w:bar w:val="none" w:sz="0" w:color="auto"/>
        </w:pBdr>
        <w:suppressAutoHyphens/>
        <w:spacing w:after="120"/>
        <w:jc w:val="both"/>
        <w:rPr>
          <w:sz w:val="20"/>
          <w:szCs w:val="20"/>
          <w:u w:val="single"/>
          <w:lang w:val="es-ES"/>
        </w:rPr>
      </w:pPr>
      <w:r>
        <w:rPr>
          <w:sz w:val="20"/>
          <w:szCs w:val="20"/>
          <w:lang w:val="es-ES"/>
        </w:rPr>
        <w:t xml:space="preserve">Santiago </w:t>
      </w:r>
      <w:proofErr w:type="spellStart"/>
      <w:r>
        <w:rPr>
          <w:sz w:val="20"/>
          <w:szCs w:val="20"/>
          <w:lang w:val="es-ES"/>
        </w:rPr>
        <w:t>Noe</w:t>
      </w:r>
      <w:proofErr w:type="spellEnd"/>
      <w:r>
        <w:rPr>
          <w:sz w:val="20"/>
          <w:szCs w:val="20"/>
          <w:lang w:val="es-ES"/>
        </w:rPr>
        <w:t xml:space="preserve"> Vasco Morales</w:t>
      </w:r>
    </w:p>
    <w:p w:rsidR="001E784F" w:rsidRPr="00B85E88" w:rsidRDefault="001E784F" w:rsidP="00B85E88">
      <w:pPr>
        <w:pStyle w:val="ListParagraph"/>
        <w:numPr>
          <w:ilvl w:val="0"/>
          <w:numId w:val="63"/>
        </w:numPr>
        <w:pBdr>
          <w:top w:val="none" w:sz="0" w:space="0" w:color="auto"/>
          <w:left w:val="none" w:sz="0" w:space="0" w:color="auto"/>
          <w:bottom w:val="none" w:sz="0" w:space="0" w:color="auto"/>
          <w:right w:val="none" w:sz="0" w:space="0" w:color="auto"/>
          <w:bar w:val="none" w:sz="0" w:color="auto"/>
        </w:pBdr>
        <w:suppressAutoHyphens/>
        <w:spacing w:after="120"/>
        <w:jc w:val="both"/>
        <w:rPr>
          <w:sz w:val="20"/>
          <w:szCs w:val="20"/>
          <w:u w:val="single"/>
          <w:lang w:val="es-ES"/>
        </w:rPr>
      </w:pPr>
      <w:r>
        <w:rPr>
          <w:sz w:val="20"/>
          <w:szCs w:val="20"/>
          <w:lang w:val="es-ES"/>
        </w:rPr>
        <w:t>Irma Angelita Zambrano Torres</w:t>
      </w:r>
    </w:p>
    <w:p w:rsidR="001E784F" w:rsidRPr="00B85E88" w:rsidRDefault="001E784F" w:rsidP="00B85E88">
      <w:pPr>
        <w:pStyle w:val="ListParagraph"/>
        <w:numPr>
          <w:ilvl w:val="0"/>
          <w:numId w:val="63"/>
        </w:numPr>
        <w:pBdr>
          <w:top w:val="none" w:sz="0" w:space="0" w:color="auto"/>
          <w:left w:val="none" w:sz="0" w:space="0" w:color="auto"/>
          <w:bottom w:val="none" w:sz="0" w:space="0" w:color="auto"/>
          <w:right w:val="none" w:sz="0" w:space="0" w:color="auto"/>
          <w:bar w:val="none" w:sz="0" w:color="auto"/>
        </w:pBdr>
        <w:suppressAutoHyphens/>
        <w:spacing w:after="120"/>
        <w:jc w:val="both"/>
        <w:rPr>
          <w:sz w:val="20"/>
          <w:szCs w:val="20"/>
          <w:u w:val="single"/>
          <w:lang w:val="es-ES"/>
        </w:rPr>
      </w:pPr>
      <w:r>
        <w:rPr>
          <w:sz w:val="20"/>
          <w:szCs w:val="20"/>
          <w:lang w:val="es-ES"/>
        </w:rPr>
        <w:t xml:space="preserve">Christian Oswaldo </w:t>
      </w:r>
      <w:proofErr w:type="spellStart"/>
      <w:r>
        <w:rPr>
          <w:sz w:val="20"/>
          <w:szCs w:val="20"/>
          <w:lang w:val="es-ES"/>
        </w:rPr>
        <w:t>Asanza</w:t>
      </w:r>
      <w:proofErr w:type="spellEnd"/>
      <w:r>
        <w:rPr>
          <w:sz w:val="20"/>
          <w:szCs w:val="20"/>
          <w:lang w:val="es-ES"/>
        </w:rPr>
        <w:t xml:space="preserve"> Reyes</w:t>
      </w:r>
    </w:p>
    <w:p w:rsidR="001E784F" w:rsidRPr="00C57FE9" w:rsidRDefault="001E784F" w:rsidP="00B85E88">
      <w:pPr>
        <w:pStyle w:val="ListParagraph"/>
        <w:numPr>
          <w:ilvl w:val="0"/>
          <w:numId w:val="63"/>
        </w:numPr>
        <w:pBdr>
          <w:top w:val="none" w:sz="0" w:space="0" w:color="auto"/>
          <w:left w:val="none" w:sz="0" w:space="0" w:color="auto"/>
          <w:bottom w:val="none" w:sz="0" w:space="0" w:color="auto"/>
          <w:right w:val="none" w:sz="0" w:space="0" w:color="auto"/>
          <w:bar w:val="none" w:sz="0" w:color="auto"/>
        </w:pBdr>
        <w:suppressAutoHyphens/>
        <w:spacing w:after="120"/>
        <w:jc w:val="both"/>
        <w:rPr>
          <w:sz w:val="20"/>
          <w:szCs w:val="20"/>
          <w:u w:val="single"/>
          <w:lang w:val="es-ES"/>
        </w:rPr>
      </w:pPr>
      <w:r>
        <w:rPr>
          <w:sz w:val="20"/>
          <w:szCs w:val="20"/>
          <w:lang w:val="es-ES"/>
        </w:rPr>
        <w:t>Rocío María Castillo Castro</w:t>
      </w:r>
    </w:p>
    <w:p w:rsidR="001E784F" w:rsidRPr="00C57FE9" w:rsidRDefault="001E784F" w:rsidP="00B85E88">
      <w:pPr>
        <w:pStyle w:val="ListParagraph"/>
        <w:numPr>
          <w:ilvl w:val="0"/>
          <w:numId w:val="63"/>
        </w:numPr>
        <w:pBdr>
          <w:top w:val="none" w:sz="0" w:space="0" w:color="auto"/>
          <w:left w:val="none" w:sz="0" w:space="0" w:color="auto"/>
          <w:bottom w:val="none" w:sz="0" w:space="0" w:color="auto"/>
          <w:right w:val="none" w:sz="0" w:space="0" w:color="auto"/>
          <w:bar w:val="none" w:sz="0" w:color="auto"/>
        </w:pBdr>
        <w:suppressAutoHyphens/>
        <w:spacing w:after="120"/>
        <w:jc w:val="both"/>
        <w:rPr>
          <w:sz w:val="20"/>
          <w:szCs w:val="20"/>
          <w:u w:val="single"/>
          <w:lang w:val="es-ES"/>
        </w:rPr>
      </w:pPr>
      <w:r>
        <w:rPr>
          <w:sz w:val="20"/>
          <w:szCs w:val="20"/>
          <w:lang w:val="es-ES"/>
        </w:rPr>
        <w:t xml:space="preserve">Magali del Carmen Campoverde </w:t>
      </w:r>
      <w:proofErr w:type="spellStart"/>
      <w:r>
        <w:rPr>
          <w:sz w:val="20"/>
          <w:szCs w:val="20"/>
          <w:lang w:val="es-ES"/>
        </w:rPr>
        <w:t>Añazco</w:t>
      </w:r>
      <w:proofErr w:type="spellEnd"/>
    </w:p>
    <w:p w:rsidR="001E784F" w:rsidRPr="00C57FE9" w:rsidRDefault="001E784F" w:rsidP="00B85E88">
      <w:pPr>
        <w:pStyle w:val="ListParagraph"/>
        <w:numPr>
          <w:ilvl w:val="0"/>
          <w:numId w:val="63"/>
        </w:numPr>
        <w:pBdr>
          <w:top w:val="none" w:sz="0" w:space="0" w:color="auto"/>
          <w:left w:val="none" w:sz="0" w:space="0" w:color="auto"/>
          <w:bottom w:val="none" w:sz="0" w:space="0" w:color="auto"/>
          <w:right w:val="none" w:sz="0" w:space="0" w:color="auto"/>
          <w:bar w:val="none" w:sz="0" w:color="auto"/>
        </w:pBdr>
        <w:suppressAutoHyphens/>
        <w:spacing w:after="120"/>
        <w:jc w:val="both"/>
        <w:rPr>
          <w:sz w:val="20"/>
          <w:szCs w:val="20"/>
          <w:u w:val="single"/>
          <w:lang w:val="es-ES"/>
        </w:rPr>
      </w:pPr>
      <w:proofErr w:type="spellStart"/>
      <w:r>
        <w:rPr>
          <w:sz w:val="20"/>
          <w:szCs w:val="20"/>
          <w:lang w:val="es-ES"/>
        </w:rPr>
        <w:t>Joahana</w:t>
      </w:r>
      <w:proofErr w:type="spellEnd"/>
      <w:r>
        <w:rPr>
          <w:sz w:val="20"/>
          <w:szCs w:val="20"/>
          <w:lang w:val="es-ES"/>
        </w:rPr>
        <w:t xml:space="preserve"> Vanessa Cedeño Campoverde</w:t>
      </w:r>
    </w:p>
    <w:p w:rsidR="001E784F" w:rsidRPr="00C57FE9" w:rsidRDefault="001E784F" w:rsidP="00C57FE9">
      <w:pPr>
        <w:pStyle w:val="ListParagraph"/>
        <w:numPr>
          <w:ilvl w:val="0"/>
          <w:numId w:val="63"/>
        </w:numPr>
        <w:pBdr>
          <w:top w:val="none" w:sz="0" w:space="0" w:color="auto"/>
          <w:left w:val="none" w:sz="0" w:space="0" w:color="auto"/>
          <w:bottom w:val="none" w:sz="0" w:space="0" w:color="auto"/>
          <w:right w:val="none" w:sz="0" w:space="0" w:color="auto"/>
          <w:bar w:val="none" w:sz="0" w:color="auto"/>
        </w:pBdr>
        <w:suppressAutoHyphens/>
        <w:spacing w:after="120"/>
        <w:jc w:val="both"/>
        <w:rPr>
          <w:sz w:val="20"/>
          <w:szCs w:val="20"/>
          <w:u w:val="single"/>
          <w:lang w:val="es-ES"/>
        </w:rPr>
      </w:pPr>
      <w:proofErr w:type="spellStart"/>
      <w:r>
        <w:rPr>
          <w:sz w:val="20"/>
          <w:szCs w:val="20"/>
          <w:lang w:val="es-ES"/>
        </w:rPr>
        <w:t>Narciza</w:t>
      </w:r>
      <w:proofErr w:type="spellEnd"/>
      <w:r>
        <w:rPr>
          <w:sz w:val="20"/>
          <w:szCs w:val="20"/>
          <w:lang w:val="es-ES"/>
        </w:rPr>
        <w:t xml:space="preserve"> Angelina Loayza Ayala</w:t>
      </w:r>
    </w:p>
    <w:p w:rsidR="001E784F" w:rsidRPr="00C57FE9" w:rsidRDefault="001E784F" w:rsidP="00C57FE9">
      <w:pPr>
        <w:pStyle w:val="ListParagraph"/>
        <w:numPr>
          <w:ilvl w:val="0"/>
          <w:numId w:val="63"/>
        </w:numPr>
        <w:pBdr>
          <w:top w:val="none" w:sz="0" w:space="0" w:color="auto"/>
          <w:left w:val="none" w:sz="0" w:space="0" w:color="auto"/>
          <w:bottom w:val="none" w:sz="0" w:space="0" w:color="auto"/>
          <w:right w:val="none" w:sz="0" w:space="0" w:color="auto"/>
          <w:bar w:val="none" w:sz="0" w:color="auto"/>
        </w:pBdr>
        <w:suppressAutoHyphens/>
        <w:spacing w:after="120"/>
        <w:jc w:val="both"/>
        <w:rPr>
          <w:sz w:val="20"/>
          <w:szCs w:val="20"/>
          <w:u w:val="single"/>
          <w:lang w:val="es-ES"/>
        </w:rPr>
      </w:pPr>
      <w:r>
        <w:rPr>
          <w:sz w:val="20"/>
          <w:szCs w:val="20"/>
          <w:lang w:val="es-ES"/>
        </w:rPr>
        <w:t>Irma Angelita Zambrano Torres</w:t>
      </w:r>
    </w:p>
    <w:p w:rsidR="001E784F" w:rsidRPr="00E77AEE" w:rsidRDefault="001E784F" w:rsidP="00C42E77">
      <w:p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lang w:val="es-ES"/>
        </w:rPr>
      </w:pPr>
    </w:p>
    <w:sectPr w:rsidR="001E784F" w:rsidRPr="00E77AEE" w:rsidSect="00934A2C">
      <w:type w:val="oddPage"/>
      <w:pgSz w:w="12240" w:h="15840"/>
      <w:pgMar w:top="1440" w:right="1440" w:bottom="1440" w:left="1440" w:header="720" w:footer="720" w:gutter="0"/>
      <w:pgNumType w:start="1"/>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C38" w:rsidRDefault="009B7C38">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9B7C38" w:rsidRDefault="009B7C38">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73D" w:rsidRDefault="00D277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84F" w:rsidRPr="00D2773D" w:rsidRDefault="001E784F" w:rsidP="00D277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84F" w:rsidRPr="00D2773D" w:rsidRDefault="001E784F" w:rsidP="00D277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C38" w:rsidRPr="000F35ED" w:rsidRDefault="009B7C38">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footnote>
  <w:footnote w:type="continuationSeparator" w:id="0">
    <w:p w:rsidR="009B7C38" w:rsidRPr="000F35ED" w:rsidRDefault="009B7C38" w:rsidP="000F35ED">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p w:rsidR="009B7C38" w:rsidRPr="000F35ED" w:rsidRDefault="009B7C38" w:rsidP="000F35ED">
      <w:pPr>
        <w:pStyle w:val="Footer"/>
        <w:pBdr>
          <w:top w:val="none" w:sz="0" w:space="0" w:color="auto"/>
          <w:left w:val="none" w:sz="0" w:space="0" w:color="auto"/>
          <w:bottom w:val="none" w:sz="0" w:space="0" w:color="auto"/>
          <w:right w:val="none" w:sz="0" w:space="0" w:color="auto"/>
          <w:bar w:val="none" w:sz="0" w:color="auto"/>
        </w:pBdr>
        <w:rPr>
          <w:sz w:val="16"/>
          <w:szCs w:val="16"/>
        </w:rPr>
      </w:pPr>
      <w:r>
        <w:rPr>
          <w:sz w:val="16"/>
          <w:szCs w:val="16"/>
        </w:rPr>
        <w:t xml:space="preserve">[… </w:t>
      </w:r>
      <w:proofErr w:type="spellStart"/>
      <w:proofErr w:type="gramStart"/>
      <w:r>
        <w:rPr>
          <w:sz w:val="16"/>
          <w:szCs w:val="16"/>
        </w:rPr>
        <w:t>c</w:t>
      </w:r>
      <w:r w:rsidRPr="000F35ED">
        <w:rPr>
          <w:sz w:val="16"/>
          <w:szCs w:val="16"/>
        </w:rPr>
        <w:t>ontinuación</w:t>
      </w:r>
      <w:proofErr w:type="spellEnd"/>
      <w:proofErr w:type="gramEnd"/>
      <w:r>
        <w:rPr>
          <w:sz w:val="16"/>
          <w:szCs w:val="16"/>
        </w:rPr>
        <w:t>]</w:t>
      </w:r>
    </w:p>
  </w:footnote>
  <w:footnote w:type="continuationNotice" w:id="1">
    <w:p w:rsidR="009B7C38" w:rsidRPr="000F35ED" w:rsidRDefault="009B7C38" w:rsidP="000F35ED">
      <w:pPr>
        <w:pBdr>
          <w:top w:val="none" w:sz="0" w:space="0" w:color="auto"/>
          <w:left w:val="none" w:sz="0" w:space="0" w:color="auto"/>
          <w:bottom w:val="none" w:sz="0" w:space="0" w:color="auto"/>
          <w:right w:val="none" w:sz="0" w:space="0" w:color="auto"/>
          <w:bar w:val="none" w:sz="0" w:color="auto"/>
        </w:pBdr>
        <w:jc w:val="right"/>
        <w:rPr>
          <w:rFonts w:ascii="Cambria" w:hAnsi="Cambria"/>
          <w:sz w:val="16"/>
          <w:szCs w:val="16"/>
          <w:lang w:val="es-ES"/>
        </w:rPr>
      </w:pPr>
      <w:r>
        <w:rPr>
          <w:rFonts w:ascii="Cambria" w:hAnsi="Cambria"/>
          <w:sz w:val="16"/>
          <w:szCs w:val="16"/>
          <w:lang w:val="es-ES"/>
        </w:rPr>
        <w:t>[c</w:t>
      </w:r>
      <w:r w:rsidRPr="000F35ED">
        <w:rPr>
          <w:rFonts w:ascii="Cambria" w:hAnsi="Cambria"/>
          <w:sz w:val="16"/>
          <w:szCs w:val="16"/>
          <w:lang w:val="es-ES"/>
        </w:rPr>
        <w:t>ontinúa…</w:t>
      </w:r>
      <w:r>
        <w:rPr>
          <w:rFonts w:ascii="Cambria" w:hAnsi="Cambria"/>
          <w:sz w:val="16"/>
          <w:szCs w:val="16"/>
          <w:lang w:val="es-ES"/>
        </w:rPr>
        <w:t>]</w:t>
      </w:r>
    </w:p>
  </w:footnote>
  <w:footnote w:id="2">
    <w:p w:rsidR="001E784F" w:rsidRPr="0025642E" w:rsidRDefault="001E784F" w:rsidP="004B2B71">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PA"/>
        </w:rPr>
      </w:pPr>
      <w:r w:rsidRPr="00DD376A">
        <w:rPr>
          <w:rStyle w:val="FootnoteReference"/>
          <w:rFonts w:ascii="Cambria" w:hAnsi="Cambria"/>
          <w:sz w:val="16"/>
          <w:szCs w:val="16"/>
        </w:rPr>
        <w:footnoteRef/>
      </w:r>
      <w:r w:rsidRPr="00DD376A">
        <w:rPr>
          <w:rFonts w:ascii="Cambria" w:hAnsi="Cambria"/>
          <w:sz w:val="16"/>
          <w:szCs w:val="16"/>
          <w:lang w:val="es-AR"/>
        </w:rPr>
        <w:t xml:space="preserve"> </w:t>
      </w:r>
      <w:r>
        <w:rPr>
          <w:rFonts w:ascii="Cambria" w:hAnsi="Cambria"/>
          <w:sz w:val="16"/>
          <w:szCs w:val="16"/>
          <w:lang w:val="es-AR"/>
        </w:rPr>
        <w:t xml:space="preserve">La petición hace referencia a </w:t>
      </w:r>
      <w:r w:rsidRPr="003F10DE">
        <w:rPr>
          <w:rFonts w:ascii="Cambria" w:hAnsi="Cambria"/>
          <w:color w:val="auto"/>
          <w:sz w:val="16"/>
          <w:szCs w:val="16"/>
          <w:lang w:val="es-AR"/>
        </w:rPr>
        <w:t xml:space="preserve">“aproximadamente” </w:t>
      </w:r>
      <w:r>
        <w:rPr>
          <w:rFonts w:ascii="Cambria" w:hAnsi="Cambria"/>
          <w:sz w:val="16"/>
          <w:szCs w:val="16"/>
          <w:lang w:val="es-AR"/>
        </w:rPr>
        <w:t xml:space="preserve">30 niños o niñas que estarían padeciendo el Síndrome de </w:t>
      </w:r>
      <w:proofErr w:type="spellStart"/>
      <w:r>
        <w:rPr>
          <w:rFonts w:ascii="Cambria" w:hAnsi="Cambria"/>
          <w:sz w:val="16"/>
          <w:szCs w:val="16"/>
          <w:lang w:val="es-AR"/>
        </w:rPr>
        <w:t>Laron</w:t>
      </w:r>
      <w:proofErr w:type="spellEnd"/>
      <w:r>
        <w:rPr>
          <w:rFonts w:ascii="Cambria" w:hAnsi="Cambria"/>
          <w:sz w:val="16"/>
          <w:szCs w:val="16"/>
          <w:lang w:val="es-AR"/>
        </w:rPr>
        <w:t xml:space="preserve"> de los cuales identifica a 8 y también expone hechos que pudieran caracterizar violaciones a los derechos humanos de sus padres y madres de quienes también se identifica a 8. Las presuntas víctimas que se encuentran identificadas son listadas en documento anexo a este informe. </w:t>
      </w:r>
    </w:p>
  </w:footnote>
  <w:footnote w:id="3">
    <w:p w:rsidR="001E784F" w:rsidRPr="0025642E" w:rsidRDefault="001E784F" w:rsidP="004B2B71">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PA"/>
        </w:rPr>
      </w:pPr>
      <w:r w:rsidRPr="00DD376A">
        <w:rPr>
          <w:rStyle w:val="FootnoteReference"/>
          <w:rFonts w:ascii="Cambria" w:hAnsi="Cambria"/>
          <w:sz w:val="16"/>
          <w:szCs w:val="16"/>
        </w:rPr>
        <w:footnoteRef/>
      </w:r>
      <w:r w:rsidRPr="00DD376A">
        <w:rPr>
          <w:rFonts w:ascii="Cambria" w:hAnsi="Cambria"/>
          <w:sz w:val="16"/>
          <w:szCs w:val="16"/>
          <w:lang w:val="es-ES"/>
        </w:rPr>
        <w:t xml:space="preserve"> En adela</w:t>
      </w:r>
      <w:r>
        <w:rPr>
          <w:rFonts w:ascii="Cambria" w:hAnsi="Cambria"/>
          <w:sz w:val="16"/>
          <w:szCs w:val="16"/>
          <w:lang w:val="es-ES"/>
        </w:rPr>
        <w:t xml:space="preserve">nte “la Convención Americana”. </w:t>
      </w:r>
    </w:p>
  </w:footnote>
  <w:footnote w:id="4">
    <w:p w:rsidR="001E784F" w:rsidRPr="0025642E" w:rsidRDefault="001E784F" w:rsidP="004B2B71">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PA"/>
        </w:rPr>
      </w:pPr>
      <w:r w:rsidRPr="004B2B71">
        <w:rPr>
          <w:rStyle w:val="FootnoteReference"/>
          <w:rFonts w:ascii="Cambria" w:hAnsi="Cambria"/>
          <w:sz w:val="16"/>
          <w:szCs w:val="16"/>
        </w:rPr>
        <w:footnoteRef/>
      </w:r>
      <w:r>
        <w:rPr>
          <w:rFonts w:ascii="Cambria" w:hAnsi="Cambria"/>
          <w:sz w:val="16"/>
          <w:szCs w:val="16"/>
          <w:lang w:val="es-PA"/>
        </w:rPr>
        <w:t xml:space="preserve"> </w:t>
      </w:r>
      <w:r w:rsidRPr="004B2B71">
        <w:rPr>
          <w:rFonts w:ascii="Cambria" w:hAnsi="Cambria"/>
          <w:sz w:val="16"/>
          <w:szCs w:val="16"/>
          <w:lang w:val="es-PA"/>
        </w:rPr>
        <w:t>En adelante “la Declaración Americana”</w:t>
      </w:r>
      <w:r>
        <w:rPr>
          <w:rFonts w:ascii="Cambria" w:hAnsi="Cambria"/>
          <w:sz w:val="16"/>
          <w:szCs w:val="16"/>
          <w:lang w:val="es-PA"/>
        </w:rPr>
        <w:t>.</w:t>
      </w:r>
    </w:p>
  </w:footnote>
  <w:footnote w:id="5">
    <w:p w:rsidR="001E784F" w:rsidRPr="0025642E" w:rsidRDefault="001E784F" w:rsidP="000043A4">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PA"/>
        </w:rPr>
      </w:pPr>
      <w:r>
        <w:rPr>
          <w:rStyle w:val="FootnoteReference"/>
        </w:rPr>
        <w:footnoteRef/>
      </w:r>
      <w:r w:rsidRPr="000043A4">
        <w:rPr>
          <w:lang w:val="es-PA"/>
        </w:rPr>
        <w:t xml:space="preserve"> </w:t>
      </w:r>
      <w:r>
        <w:rPr>
          <w:rFonts w:ascii="Cambria" w:hAnsi="Cambria"/>
          <w:bCs/>
          <w:sz w:val="16"/>
          <w:szCs w:val="16"/>
          <w:lang w:val="es-ES"/>
        </w:rPr>
        <w:t>Artículos I, III</w:t>
      </w:r>
      <w:r w:rsidRPr="000043A4">
        <w:rPr>
          <w:rFonts w:ascii="Cambria" w:hAnsi="Cambria"/>
          <w:bCs/>
          <w:sz w:val="16"/>
          <w:szCs w:val="16"/>
          <w:lang w:val="es-ES"/>
        </w:rPr>
        <w:t xml:space="preserve"> y IV de la Convención Interamericana para la Eliminación de Toda</w:t>
      </w:r>
      <w:r>
        <w:rPr>
          <w:rFonts w:ascii="Cambria" w:hAnsi="Cambria"/>
          <w:bCs/>
          <w:sz w:val="16"/>
          <w:szCs w:val="16"/>
          <w:lang w:val="es-ES"/>
        </w:rPr>
        <w:t>s las Formas de Discriminación c</w:t>
      </w:r>
      <w:r w:rsidRPr="000043A4">
        <w:rPr>
          <w:rFonts w:ascii="Cambria" w:hAnsi="Cambria"/>
          <w:bCs/>
          <w:sz w:val="16"/>
          <w:szCs w:val="16"/>
          <w:lang w:val="es-ES"/>
        </w:rPr>
        <w:t>ontra las Personas con Discapacidad;</w:t>
      </w:r>
      <w:r>
        <w:rPr>
          <w:rFonts w:ascii="Cambria" w:hAnsi="Cambria"/>
          <w:bCs/>
          <w:sz w:val="16"/>
          <w:szCs w:val="16"/>
          <w:lang w:val="es-ES"/>
        </w:rPr>
        <w:t xml:space="preserve"> y</w:t>
      </w:r>
      <w:r w:rsidRPr="000043A4">
        <w:rPr>
          <w:rFonts w:ascii="Cambria" w:hAnsi="Cambria"/>
          <w:bCs/>
          <w:sz w:val="16"/>
          <w:szCs w:val="16"/>
          <w:lang w:val="es-ES"/>
        </w:rPr>
        <w:t xml:space="preserve"> Artículo 12 del Pacto Internacional de Derechos Económicos Sociales y Culturales.</w:t>
      </w:r>
    </w:p>
  </w:footnote>
  <w:footnote w:id="6">
    <w:p w:rsidR="001E784F" w:rsidRPr="0025642E" w:rsidRDefault="001E784F" w:rsidP="004B2B71">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PA"/>
        </w:rPr>
      </w:pPr>
      <w:r w:rsidRPr="00DD376A">
        <w:rPr>
          <w:rStyle w:val="FootnoteReference"/>
          <w:rFonts w:ascii="Cambria" w:hAnsi="Cambria"/>
          <w:sz w:val="16"/>
          <w:szCs w:val="16"/>
        </w:rPr>
        <w:footnoteRef/>
      </w:r>
      <w:r w:rsidRPr="00DD376A">
        <w:rPr>
          <w:rFonts w:ascii="Cambria" w:hAnsi="Cambria"/>
          <w:sz w:val="16"/>
          <w:szCs w:val="16"/>
          <w:lang w:val="es-ES"/>
        </w:rPr>
        <w:t xml:space="preserve"> Las observaciones de cada parte fueron debidamente trasladadas a la parte contraria.</w:t>
      </w:r>
    </w:p>
  </w:footnote>
  <w:footnote w:id="7">
    <w:p w:rsidR="001E784F" w:rsidRPr="0025642E" w:rsidRDefault="001E784F" w:rsidP="00B876F9">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PA"/>
        </w:rPr>
      </w:pPr>
      <w:r>
        <w:rPr>
          <w:rStyle w:val="FootnoteReference"/>
        </w:rPr>
        <w:footnoteRef/>
      </w:r>
      <w:r w:rsidRPr="00B25080">
        <w:rPr>
          <w:lang w:val="es-PA"/>
        </w:rPr>
        <w:t xml:space="preserve"> </w:t>
      </w:r>
      <w:r>
        <w:rPr>
          <w:rFonts w:ascii="Cambria" w:hAnsi="Cambria"/>
          <w:sz w:val="16"/>
          <w:szCs w:val="16"/>
          <w:lang w:val="es-PA"/>
        </w:rPr>
        <w:t>Corresponden a las ocho personas que se listan en el documento anexo a este informe.</w:t>
      </w:r>
    </w:p>
  </w:footnote>
  <w:footnote w:id="8">
    <w:p w:rsidR="001E784F" w:rsidRPr="0025642E" w:rsidRDefault="001E784F" w:rsidP="00C47B47">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PA"/>
        </w:rPr>
      </w:pPr>
      <w:r w:rsidRPr="00C1707A">
        <w:rPr>
          <w:rStyle w:val="FootnoteReference"/>
          <w:rFonts w:ascii="Cambria" w:hAnsi="Cambria"/>
          <w:sz w:val="16"/>
          <w:szCs w:val="16"/>
        </w:rPr>
        <w:footnoteRef/>
      </w:r>
      <w:r w:rsidRPr="00C1707A">
        <w:rPr>
          <w:rFonts w:ascii="Cambria" w:hAnsi="Cambria"/>
          <w:sz w:val="16"/>
          <w:szCs w:val="16"/>
          <w:lang w:val="es-PA"/>
        </w:rPr>
        <w:t xml:space="preserve"> </w:t>
      </w:r>
      <w:r w:rsidRPr="006132CC">
        <w:rPr>
          <w:rFonts w:ascii="Cambria" w:hAnsi="Cambria"/>
          <w:sz w:val="16"/>
          <w:szCs w:val="16"/>
          <w:lang w:val="es-ES"/>
        </w:rPr>
        <w:t>CIDH, Informe No. 18/17</w:t>
      </w:r>
      <w:r>
        <w:rPr>
          <w:rFonts w:ascii="Cambria" w:hAnsi="Cambria"/>
          <w:sz w:val="16"/>
          <w:szCs w:val="16"/>
          <w:lang w:val="es-ES"/>
        </w:rPr>
        <w:t>, Petición 267-07</w:t>
      </w:r>
      <w:r w:rsidRPr="006132CC">
        <w:rPr>
          <w:rFonts w:ascii="Cambria" w:hAnsi="Cambria"/>
          <w:sz w:val="16"/>
          <w:szCs w:val="16"/>
          <w:lang w:val="es-ES"/>
        </w:rPr>
        <w:t xml:space="preserve">. Admisibilidad. Ana Luisa Ontiveros López. México. 27 de enero de 2017, </w:t>
      </w:r>
      <w:proofErr w:type="spellStart"/>
      <w:r w:rsidRPr="006132CC">
        <w:rPr>
          <w:rFonts w:ascii="Cambria" w:hAnsi="Cambria"/>
          <w:sz w:val="16"/>
          <w:szCs w:val="16"/>
          <w:lang w:val="es-ES"/>
        </w:rPr>
        <w:t>párrs</w:t>
      </w:r>
      <w:proofErr w:type="spellEnd"/>
      <w:r w:rsidRPr="006132CC">
        <w:rPr>
          <w:rFonts w:ascii="Cambria" w:hAnsi="Cambria"/>
          <w:sz w:val="16"/>
          <w:szCs w:val="16"/>
          <w:lang w:val="es-ES"/>
        </w:rPr>
        <w:t>. 6 y 7.</w:t>
      </w:r>
    </w:p>
  </w:footnote>
  <w:footnote w:id="9">
    <w:p w:rsidR="001E784F" w:rsidRPr="003A398D" w:rsidRDefault="001E784F" w:rsidP="006346C7">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419"/>
        </w:rPr>
      </w:pPr>
      <w:r w:rsidRPr="003C4119">
        <w:rPr>
          <w:rStyle w:val="FootnoteReference"/>
          <w:rFonts w:ascii="Cambria" w:hAnsi="Cambria"/>
          <w:sz w:val="16"/>
          <w:szCs w:val="16"/>
        </w:rPr>
        <w:footnoteRef/>
      </w:r>
      <w:r w:rsidRPr="003C4119">
        <w:rPr>
          <w:rFonts w:ascii="Cambria" w:hAnsi="Cambria"/>
          <w:sz w:val="16"/>
          <w:szCs w:val="16"/>
          <w:lang w:val="es-PA"/>
        </w:rPr>
        <w:t xml:space="preserve"> </w:t>
      </w:r>
      <w:r w:rsidRPr="003C4119">
        <w:rPr>
          <w:rFonts w:ascii="Cambria" w:hAnsi="Cambria"/>
          <w:sz w:val="16"/>
          <w:szCs w:val="16"/>
          <w:lang w:val="es-ES"/>
        </w:rPr>
        <w:t>CIDH, Informe No. 61/16, Petición 12.325. Admisibilidad. Comunidad de Paz San José de Apartadó. Colombia. 6</w:t>
      </w:r>
      <w:r>
        <w:rPr>
          <w:rFonts w:ascii="Cambria" w:hAnsi="Cambria"/>
          <w:sz w:val="16"/>
          <w:szCs w:val="16"/>
          <w:lang w:val="es-ES"/>
        </w:rPr>
        <w:t xml:space="preserve"> de diciembre de 2016, párr. 62; Ver también </w:t>
      </w:r>
      <w:r w:rsidRPr="006132CC">
        <w:rPr>
          <w:rFonts w:ascii="Cambria" w:hAnsi="Cambria"/>
          <w:sz w:val="16"/>
          <w:szCs w:val="16"/>
          <w:lang w:val="es-ES"/>
        </w:rPr>
        <w:t>CIDH, Informe No. 64/15</w:t>
      </w:r>
      <w:r>
        <w:rPr>
          <w:rFonts w:ascii="Cambria" w:hAnsi="Cambria"/>
          <w:sz w:val="16"/>
          <w:szCs w:val="16"/>
          <w:lang w:val="es-ES"/>
        </w:rPr>
        <w:t>, Petición 633-04.</w:t>
      </w:r>
      <w:r w:rsidRPr="006132CC">
        <w:rPr>
          <w:rFonts w:ascii="Cambria" w:hAnsi="Cambria"/>
          <w:sz w:val="16"/>
          <w:szCs w:val="16"/>
          <w:lang w:val="es-ES"/>
        </w:rPr>
        <w:t xml:space="preserve"> Admisibilidad. Pueblos Mayas y miembros de las comunidades de Cristo Rey, </w:t>
      </w:r>
      <w:proofErr w:type="spellStart"/>
      <w:r w:rsidRPr="006132CC">
        <w:rPr>
          <w:rFonts w:ascii="Cambria" w:hAnsi="Cambria"/>
          <w:sz w:val="16"/>
          <w:szCs w:val="16"/>
          <w:lang w:val="es-ES"/>
        </w:rPr>
        <w:t>Belluet</w:t>
      </w:r>
      <w:proofErr w:type="spellEnd"/>
      <w:r w:rsidRPr="006132CC">
        <w:rPr>
          <w:rFonts w:ascii="Cambria" w:hAnsi="Cambria"/>
          <w:sz w:val="16"/>
          <w:szCs w:val="16"/>
          <w:lang w:val="es-ES"/>
        </w:rPr>
        <w:t xml:space="preserve"> </w:t>
      </w:r>
      <w:proofErr w:type="spellStart"/>
      <w:r w:rsidRPr="006132CC">
        <w:rPr>
          <w:rFonts w:ascii="Cambria" w:hAnsi="Cambria"/>
          <w:sz w:val="16"/>
          <w:szCs w:val="16"/>
          <w:lang w:val="es-ES"/>
        </w:rPr>
        <w:t>Tree</w:t>
      </w:r>
      <w:proofErr w:type="spellEnd"/>
      <w:r w:rsidRPr="006132CC">
        <w:rPr>
          <w:rFonts w:ascii="Cambria" w:hAnsi="Cambria"/>
          <w:sz w:val="16"/>
          <w:szCs w:val="16"/>
          <w:lang w:val="es-ES"/>
        </w:rPr>
        <w:t>, San Ignacio, Santa Elena y Santa Familia. Belice. 27 de octubre de 2015, párr. 27.</w:t>
      </w:r>
    </w:p>
  </w:footnote>
  <w:footnote w:id="10">
    <w:p w:rsidR="001E784F" w:rsidRDefault="001E784F" w:rsidP="006346C7">
      <w:pPr>
        <w:pStyle w:val="FootnoteText"/>
        <w:pBdr>
          <w:top w:val="none" w:sz="0" w:space="0" w:color="auto"/>
          <w:left w:val="none" w:sz="0" w:space="0" w:color="auto"/>
          <w:bottom w:val="none" w:sz="0" w:space="0" w:color="auto"/>
          <w:right w:val="none" w:sz="0" w:space="0" w:color="auto"/>
          <w:bar w:val="none" w:sz="0" w:color="auto"/>
        </w:pBdr>
        <w:ind w:firstLine="720"/>
        <w:jc w:val="both"/>
      </w:pPr>
      <w:r>
        <w:rPr>
          <w:rStyle w:val="FootnoteReference"/>
        </w:rPr>
        <w:footnoteRef/>
      </w:r>
      <w:r w:rsidRPr="001B2436">
        <w:rPr>
          <w:lang w:val="es-PA"/>
        </w:rPr>
        <w:t xml:space="preserve"> </w:t>
      </w:r>
      <w:r w:rsidRPr="001B2436">
        <w:rPr>
          <w:rFonts w:ascii="Cambria" w:hAnsi="Cambria"/>
          <w:sz w:val="16"/>
          <w:szCs w:val="16"/>
          <w:lang w:val="es-PA"/>
        </w:rPr>
        <w:t xml:space="preserve">Ver </w:t>
      </w:r>
      <w:r w:rsidRPr="001B2436">
        <w:rPr>
          <w:rFonts w:ascii="Cambria" w:hAnsi="Cambria"/>
          <w:sz w:val="16"/>
          <w:szCs w:val="16"/>
          <w:lang w:val="es-ES"/>
        </w:rPr>
        <w:t>CIDH, Informe No. 61/16, Petición 12.325. Admisibilidad. Comunidad de Paz San José de Apartadó. Colombia. 6 de diciembre de 2016, párr. 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84F" w:rsidRPr="00D2773D" w:rsidRDefault="001E784F" w:rsidP="00D277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84F" w:rsidRPr="00D2773D" w:rsidRDefault="001E784F" w:rsidP="00D277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73D" w:rsidRDefault="00D277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firstLine="72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2BA2819"/>
    <w:multiLevelType w:val="multilevel"/>
    <w:tmpl w:val="DE3EA646"/>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decimal"/>
      <w:lvlText w:val="%1.%2."/>
      <w:lvlJc w:val="left"/>
      <w:pPr>
        <w:tabs>
          <w:tab w:val="num" w:pos="690"/>
        </w:tabs>
        <w:ind w:left="690" w:hanging="330"/>
      </w:pPr>
      <w:rPr>
        <w:rFonts w:ascii="Calibri" w:eastAsia="Times New Roman" w:hAnsi="Calibri" w:cs="Calibri"/>
        <w:b/>
        <w:bCs/>
        <w:color w:val="000000"/>
        <w:position w:val="0"/>
        <w:sz w:val="22"/>
        <w:szCs w:val="22"/>
        <w:u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color="000000"/>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1CB6708"/>
    <w:multiLevelType w:val="multilevel"/>
    <w:tmpl w:val="B6544A0C"/>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0" w15:restartNumberingAfterBreak="0">
    <w:nsid w:val="42DF19D7"/>
    <w:multiLevelType w:val="multilevel"/>
    <w:tmpl w:val="E7265BB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bullet"/>
      <w:lvlText w:val="•"/>
      <w:lvlJc w:val="left"/>
      <w:pPr>
        <w:tabs>
          <w:tab w:val="num" w:pos="1740"/>
        </w:tabs>
        <w:ind w:left="1740" w:hanging="660"/>
      </w:pPr>
      <w:rPr>
        <w:rFonts w:ascii="Calibri" w:eastAsia="Times New Roman" w:hAnsi="Calibri"/>
        <w:color w:val="000000"/>
        <w:position w:val="0"/>
        <w:sz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5" w15:restartNumberingAfterBreak="0">
    <w:nsid w:val="492723E7"/>
    <w:multiLevelType w:val="multilevel"/>
    <w:tmpl w:val="0CF8CC3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770"/>
        </w:tabs>
        <w:ind w:left="177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495"/>
        </w:tabs>
        <w:ind w:left="249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3210"/>
        </w:tabs>
        <w:ind w:left="321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930"/>
        </w:tabs>
        <w:ind w:left="393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655"/>
        </w:tabs>
        <w:ind w:left="465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370"/>
        </w:tabs>
        <w:ind w:left="537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6090"/>
        </w:tabs>
        <w:ind w:left="609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815"/>
        </w:tabs>
        <w:ind w:left="6815" w:hanging="271"/>
      </w:pPr>
      <w:rPr>
        <w:rFonts w:ascii="Calibri" w:eastAsia="Times New Roman" w:hAnsi="Calibri" w:cs="Calibri"/>
        <w:b/>
        <w:bCs/>
        <w:color w:val="000000"/>
        <w:position w:val="0"/>
        <w:sz w:val="22"/>
        <w:szCs w:val="22"/>
        <w:u w:val="single" w:color="000000"/>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4" w15:restartNumberingAfterBreak="0">
    <w:nsid w:val="5BA75203"/>
    <w:multiLevelType w:val="hybridMultilevel"/>
    <w:tmpl w:val="A9128E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7" w15:restartNumberingAfterBreak="0">
    <w:nsid w:val="65483F42"/>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cs="Calibri"/>
        <w:b/>
        <w:bCs/>
        <w:color w:val="000000"/>
        <w:position w:val="0"/>
        <w:sz w:val="22"/>
        <w:szCs w:val="22"/>
        <w:u w:val="single" w:color="000000"/>
      </w:rPr>
    </w:lvl>
    <w:lvl w:ilvl="1">
      <w:start w:val="2"/>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1" w15:restartNumberingAfterBreak="0">
    <w:nsid w:val="6FF0297D"/>
    <w:multiLevelType w:val="hybridMultilevel"/>
    <w:tmpl w:val="717E6E0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4" w15:restartNumberingAfterBreak="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b/>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b/>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b/>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b/>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b/>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b/>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b/>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b/>
        <w:color w:val="000000"/>
        <w:position w:val="0"/>
        <w:sz w:val="22"/>
        <w:u w:color="000000"/>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0" w15:restartNumberingAfterBreak="0">
    <w:nsid w:val="7EC64B12"/>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7EE61FA2"/>
    <w:multiLevelType w:val="hybridMultilevel"/>
    <w:tmpl w:val="091CF1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num w:numId="1">
    <w:abstractNumId w:val="4"/>
  </w:num>
  <w:num w:numId="2">
    <w:abstractNumId w:val="6"/>
  </w:num>
  <w:num w:numId="3">
    <w:abstractNumId w:val="55"/>
  </w:num>
  <w:num w:numId="4">
    <w:abstractNumId w:val="22"/>
  </w:num>
  <w:num w:numId="5">
    <w:abstractNumId w:val="48"/>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6"/>
  </w:num>
  <w:num w:numId="42">
    <w:abstractNumId w:val="49"/>
  </w:num>
  <w:num w:numId="43">
    <w:abstractNumId w:val="50"/>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2"/>
  </w:num>
  <w:num w:numId="51">
    <w:abstractNumId w:val="21"/>
  </w:num>
  <w:num w:numId="52">
    <w:abstractNumId w:val="40"/>
  </w:num>
  <w:num w:numId="53">
    <w:abstractNumId w:val="52"/>
  </w:num>
  <w:num w:numId="54">
    <w:abstractNumId w:val="45"/>
  </w:num>
  <w:num w:numId="55">
    <w:abstractNumId w:val="5"/>
  </w:num>
  <w:num w:numId="56">
    <w:abstractNumId w:val="42"/>
  </w:num>
  <w:num w:numId="57">
    <w:abstractNumId w:val="60"/>
  </w:num>
  <w:num w:numId="58">
    <w:abstractNumId w:val="20"/>
  </w:num>
  <w:num w:numId="59">
    <w:abstractNumId w:val="3"/>
  </w:num>
  <w:num w:numId="60">
    <w:abstractNumId w:val="47"/>
  </w:num>
  <w:num w:numId="61">
    <w:abstractNumId w:val="44"/>
  </w:num>
  <w:num w:numId="62">
    <w:abstractNumId w:val="61"/>
  </w:num>
  <w:num w:numId="63">
    <w:abstractNumId w:val="5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43A4"/>
    <w:rsid w:val="000065D0"/>
    <w:rsid w:val="00006B74"/>
    <w:rsid w:val="00006E1F"/>
    <w:rsid w:val="000070D7"/>
    <w:rsid w:val="00007DEE"/>
    <w:rsid w:val="000104F5"/>
    <w:rsid w:val="00015701"/>
    <w:rsid w:val="0001788C"/>
    <w:rsid w:val="0002186F"/>
    <w:rsid w:val="000337EF"/>
    <w:rsid w:val="00033CF0"/>
    <w:rsid w:val="00040C3A"/>
    <w:rsid w:val="000419AD"/>
    <w:rsid w:val="000478C9"/>
    <w:rsid w:val="000716C5"/>
    <w:rsid w:val="00075E23"/>
    <w:rsid w:val="0009006E"/>
    <w:rsid w:val="0009344A"/>
    <w:rsid w:val="000A19F8"/>
    <w:rsid w:val="000A3254"/>
    <w:rsid w:val="000A392E"/>
    <w:rsid w:val="000A4591"/>
    <w:rsid w:val="000A575F"/>
    <w:rsid w:val="000A63D0"/>
    <w:rsid w:val="000A7087"/>
    <w:rsid w:val="000B0579"/>
    <w:rsid w:val="000C1C69"/>
    <w:rsid w:val="000C3A31"/>
    <w:rsid w:val="000D10DB"/>
    <w:rsid w:val="000D169F"/>
    <w:rsid w:val="000E2789"/>
    <w:rsid w:val="000E5EB5"/>
    <w:rsid w:val="000F35ED"/>
    <w:rsid w:val="00107131"/>
    <w:rsid w:val="0010736F"/>
    <w:rsid w:val="00111A8A"/>
    <w:rsid w:val="00113F73"/>
    <w:rsid w:val="00121CC2"/>
    <w:rsid w:val="00131D8B"/>
    <w:rsid w:val="00133EE5"/>
    <w:rsid w:val="00136E3D"/>
    <w:rsid w:val="00143EFE"/>
    <w:rsid w:val="001479C0"/>
    <w:rsid w:val="0015330B"/>
    <w:rsid w:val="00164A4A"/>
    <w:rsid w:val="00167A34"/>
    <w:rsid w:val="00174BCC"/>
    <w:rsid w:val="00176BB3"/>
    <w:rsid w:val="00177021"/>
    <w:rsid w:val="00177EEF"/>
    <w:rsid w:val="00181729"/>
    <w:rsid w:val="00191459"/>
    <w:rsid w:val="001A7870"/>
    <w:rsid w:val="001B22C5"/>
    <w:rsid w:val="001B2436"/>
    <w:rsid w:val="001B3A00"/>
    <w:rsid w:val="001B4C00"/>
    <w:rsid w:val="001C1B41"/>
    <w:rsid w:val="001D20D2"/>
    <w:rsid w:val="001D4DF2"/>
    <w:rsid w:val="001D65EF"/>
    <w:rsid w:val="001E49E7"/>
    <w:rsid w:val="001E6912"/>
    <w:rsid w:val="001E784F"/>
    <w:rsid w:val="001F271B"/>
    <w:rsid w:val="001F7201"/>
    <w:rsid w:val="00204931"/>
    <w:rsid w:val="00204E38"/>
    <w:rsid w:val="0021378C"/>
    <w:rsid w:val="0021390D"/>
    <w:rsid w:val="00223A29"/>
    <w:rsid w:val="0022493D"/>
    <w:rsid w:val="002250A3"/>
    <w:rsid w:val="00231294"/>
    <w:rsid w:val="00232146"/>
    <w:rsid w:val="00235217"/>
    <w:rsid w:val="002355A9"/>
    <w:rsid w:val="002411C6"/>
    <w:rsid w:val="00246D1F"/>
    <w:rsid w:val="00247403"/>
    <w:rsid w:val="00247542"/>
    <w:rsid w:val="00254E33"/>
    <w:rsid w:val="0025642E"/>
    <w:rsid w:val="00266B61"/>
    <w:rsid w:val="0026712A"/>
    <w:rsid w:val="002704DB"/>
    <w:rsid w:val="00272761"/>
    <w:rsid w:val="00274B21"/>
    <w:rsid w:val="002759DA"/>
    <w:rsid w:val="00277BDA"/>
    <w:rsid w:val="0029575A"/>
    <w:rsid w:val="002A0AAE"/>
    <w:rsid w:val="002A5820"/>
    <w:rsid w:val="002C3350"/>
    <w:rsid w:val="002D2B26"/>
    <w:rsid w:val="002D2D8E"/>
    <w:rsid w:val="002D7EA2"/>
    <w:rsid w:val="002E187C"/>
    <w:rsid w:val="002E7512"/>
    <w:rsid w:val="002F3724"/>
    <w:rsid w:val="00302733"/>
    <w:rsid w:val="003121D5"/>
    <w:rsid w:val="00314078"/>
    <w:rsid w:val="0031535D"/>
    <w:rsid w:val="003160CA"/>
    <w:rsid w:val="003239B8"/>
    <w:rsid w:val="0033169F"/>
    <w:rsid w:val="0034224A"/>
    <w:rsid w:val="00343438"/>
    <w:rsid w:val="00344977"/>
    <w:rsid w:val="003450BB"/>
    <w:rsid w:val="00346C95"/>
    <w:rsid w:val="00351155"/>
    <w:rsid w:val="00356185"/>
    <w:rsid w:val="00360380"/>
    <w:rsid w:val="00370388"/>
    <w:rsid w:val="003743F1"/>
    <w:rsid w:val="0037519E"/>
    <w:rsid w:val="00386C6C"/>
    <w:rsid w:val="00386CF0"/>
    <w:rsid w:val="00386F6F"/>
    <w:rsid w:val="003942EC"/>
    <w:rsid w:val="003A398D"/>
    <w:rsid w:val="003A6337"/>
    <w:rsid w:val="003B4FF6"/>
    <w:rsid w:val="003B70FB"/>
    <w:rsid w:val="003C4119"/>
    <w:rsid w:val="003C6112"/>
    <w:rsid w:val="003C676B"/>
    <w:rsid w:val="003D0A55"/>
    <w:rsid w:val="003D3BC2"/>
    <w:rsid w:val="003E1C07"/>
    <w:rsid w:val="003E614F"/>
    <w:rsid w:val="003E6CA1"/>
    <w:rsid w:val="003F10DE"/>
    <w:rsid w:val="0040310E"/>
    <w:rsid w:val="004065A8"/>
    <w:rsid w:val="004153F5"/>
    <w:rsid w:val="004165C2"/>
    <w:rsid w:val="004304AD"/>
    <w:rsid w:val="004365D2"/>
    <w:rsid w:val="00441ECB"/>
    <w:rsid w:val="00445193"/>
    <w:rsid w:val="00447CCF"/>
    <w:rsid w:val="004565BA"/>
    <w:rsid w:val="00462C1B"/>
    <w:rsid w:val="00467B7E"/>
    <w:rsid w:val="0047080D"/>
    <w:rsid w:val="00473BB4"/>
    <w:rsid w:val="00476211"/>
    <w:rsid w:val="00477592"/>
    <w:rsid w:val="00486F1C"/>
    <w:rsid w:val="0049419D"/>
    <w:rsid w:val="004A59CC"/>
    <w:rsid w:val="004A6A54"/>
    <w:rsid w:val="004B2B71"/>
    <w:rsid w:val="004C20D2"/>
    <w:rsid w:val="004C2312"/>
    <w:rsid w:val="004C4B62"/>
    <w:rsid w:val="004C54C9"/>
    <w:rsid w:val="004C616A"/>
    <w:rsid w:val="004D4ABA"/>
    <w:rsid w:val="004D6025"/>
    <w:rsid w:val="004E19B1"/>
    <w:rsid w:val="004E2649"/>
    <w:rsid w:val="00501399"/>
    <w:rsid w:val="00501652"/>
    <w:rsid w:val="0050633D"/>
    <w:rsid w:val="00507BC4"/>
    <w:rsid w:val="005124ED"/>
    <w:rsid w:val="005128E4"/>
    <w:rsid w:val="005133DB"/>
    <w:rsid w:val="005152A1"/>
    <w:rsid w:val="00521431"/>
    <w:rsid w:val="00525560"/>
    <w:rsid w:val="0053492C"/>
    <w:rsid w:val="00540617"/>
    <w:rsid w:val="005415E6"/>
    <w:rsid w:val="00544216"/>
    <w:rsid w:val="00544C49"/>
    <w:rsid w:val="005516A1"/>
    <w:rsid w:val="00561EA9"/>
    <w:rsid w:val="00563557"/>
    <w:rsid w:val="00565165"/>
    <w:rsid w:val="0057402A"/>
    <w:rsid w:val="00574CB7"/>
    <w:rsid w:val="005771D0"/>
    <w:rsid w:val="0058367F"/>
    <w:rsid w:val="0059191A"/>
    <w:rsid w:val="005921FF"/>
    <w:rsid w:val="00594707"/>
    <w:rsid w:val="005A24ED"/>
    <w:rsid w:val="005A6D0E"/>
    <w:rsid w:val="005B1F5C"/>
    <w:rsid w:val="005B37CC"/>
    <w:rsid w:val="005B52B0"/>
    <w:rsid w:val="005B6806"/>
    <w:rsid w:val="005B6D22"/>
    <w:rsid w:val="005C261A"/>
    <w:rsid w:val="005C2A72"/>
    <w:rsid w:val="005C4225"/>
    <w:rsid w:val="005C7989"/>
    <w:rsid w:val="005D00D8"/>
    <w:rsid w:val="005D66AD"/>
    <w:rsid w:val="005D73C6"/>
    <w:rsid w:val="005E0B65"/>
    <w:rsid w:val="005E11B2"/>
    <w:rsid w:val="005F0DAD"/>
    <w:rsid w:val="005F0F33"/>
    <w:rsid w:val="005F1EA5"/>
    <w:rsid w:val="00600DEB"/>
    <w:rsid w:val="006068B7"/>
    <w:rsid w:val="006132CC"/>
    <w:rsid w:val="006277DE"/>
    <w:rsid w:val="00627C9F"/>
    <w:rsid w:val="006311E9"/>
    <w:rsid w:val="00632354"/>
    <w:rsid w:val="006346C7"/>
    <w:rsid w:val="00636046"/>
    <w:rsid w:val="00642810"/>
    <w:rsid w:val="006437C7"/>
    <w:rsid w:val="00647756"/>
    <w:rsid w:val="006509DA"/>
    <w:rsid w:val="00652333"/>
    <w:rsid w:val="00662BBF"/>
    <w:rsid w:val="006771FF"/>
    <w:rsid w:val="006775AB"/>
    <w:rsid w:val="0068009E"/>
    <w:rsid w:val="006819E9"/>
    <w:rsid w:val="00686471"/>
    <w:rsid w:val="0068794B"/>
    <w:rsid w:val="00691BBE"/>
    <w:rsid w:val="00692219"/>
    <w:rsid w:val="0069402E"/>
    <w:rsid w:val="006A05DF"/>
    <w:rsid w:val="006A17D2"/>
    <w:rsid w:val="006A5818"/>
    <w:rsid w:val="006A73E6"/>
    <w:rsid w:val="006A7CD4"/>
    <w:rsid w:val="006B0B2B"/>
    <w:rsid w:val="006B2D5C"/>
    <w:rsid w:val="006B2EE8"/>
    <w:rsid w:val="006B6E4E"/>
    <w:rsid w:val="006C4EB1"/>
    <w:rsid w:val="006E0166"/>
    <w:rsid w:val="006E772A"/>
    <w:rsid w:val="006E7B34"/>
    <w:rsid w:val="006F23D7"/>
    <w:rsid w:val="0070697F"/>
    <w:rsid w:val="00707F40"/>
    <w:rsid w:val="0072199C"/>
    <w:rsid w:val="00722C9F"/>
    <w:rsid w:val="007253B8"/>
    <w:rsid w:val="00727B0E"/>
    <w:rsid w:val="0073598C"/>
    <w:rsid w:val="0073741F"/>
    <w:rsid w:val="00737444"/>
    <w:rsid w:val="007448F7"/>
    <w:rsid w:val="0076643F"/>
    <w:rsid w:val="00777F63"/>
    <w:rsid w:val="007852B5"/>
    <w:rsid w:val="00796A37"/>
    <w:rsid w:val="007A02F6"/>
    <w:rsid w:val="007A5817"/>
    <w:rsid w:val="007B05C4"/>
    <w:rsid w:val="007B60E9"/>
    <w:rsid w:val="007B6CC3"/>
    <w:rsid w:val="007C3334"/>
    <w:rsid w:val="007C402A"/>
    <w:rsid w:val="007D2B98"/>
    <w:rsid w:val="007D7C02"/>
    <w:rsid w:val="007E21BC"/>
    <w:rsid w:val="007E58FE"/>
    <w:rsid w:val="007E7C82"/>
    <w:rsid w:val="007F1C08"/>
    <w:rsid w:val="007F588D"/>
    <w:rsid w:val="00802748"/>
    <w:rsid w:val="00803F1C"/>
    <w:rsid w:val="008048F1"/>
    <w:rsid w:val="00805CE1"/>
    <w:rsid w:val="0080600E"/>
    <w:rsid w:val="00817612"/>
    <w:rsid w:val="008200DB"/>
    <w:rsid w:val="00821F00"/>
    <w:rsid w:val="00824853"/>
    <w:rsid w:val="00825A59"/>
    <w:rsid w:val="00831427"/>
    <w:rsid w:val="00832894"/>
    <w:rsid w:val="008338A4"/>
    <w:rsid w:val="00834D49"/>
    <w:rsid w:val="00837C45"/>
    <w:rsid w:val="008411F0"/>
    <w:rsid w:val="008439BC"/>
    <w:rsid w:val="00844730"/>
    <w:rsid w:val="008457C2"/>
    <w:rsid w:val="00847C16"/>
    <w:rsid w:val="00857A82"/>
    <w:rsid w:val="00871526"/>
    <w:rsid w:val="00873836"/>
    <w:rsid w:val="00875668"/>
    <w:rsid w:val="00885737"/>
    <w:rsid w:val="00887EC5"/>
    <w:rsid w:val="00890650"/>
    <w:rsid w:val="00897E12"/>
    <w:rsid w:val="008A0F81"/>
    <w:rsid w:val="008A310C"/>
    <w:rsid w:val="008A7E0F"/>
    <w:rsid w:val="008B12F5"/>
    <w:rsid w:val="008B5932"/>
    <w:rsid w:val="008C5751"/>
    <w:rsid w:val="008C5DD5"/>
    <w:rsid w:val="008D768D"/>
    <w:rsid w:val="008E0FD8"/>
    <w:rsid w:val="008E328A"/>
    <w:rsid w:val="008E3759"/>
    <w:rsid w:val="008E3BFE"/>
    <w:rsid w:val="008E7900"/>
    <w:rsid w:val="008F1912"/>
    <w:rsid w:val="008F6FDD"/>
    <w:rsid w:val="0090270B"/>
    <w:rsid w:val="009041DC"/>
    <w:rsid w:val="00917B5A"/>
    <w:rsid w:val="00920A58"/>
    <w:rsid w:val="00920A8C"/>
    <w:rsid w:val="00934A2C"/>
    <w:rsid w:val="00935F06"/>
    <w:rsid w:val="00937B3A"/>
    <w:rsid w:val="00944C16"/>
    <w:rsid w:val="00944FFC"/>
    <w:rsid w:val="00954B82"/>
    <w:rsid w:val="0095558E"/>
    <w:rsid w:val="00956A53"/>
    <w:rsid w:val="00957000"/>
    <w:rsid w:val="00957A78"/>
    <w:rsid w:val="00962436"/>
    <w:rsid w:val="009639F9"/>
    <w:rsid w:val="0096706E"/>
    <w:rsid w:val="00974491"/>
    <w:rsid w:val="00975C4E"/>
    <w:rsid w:val="00981FBA"/>
    <w:rsid w:val="00990763"/>
    <w:rsid w:val="00997BC5"/>
    <w:rsid w:val="009A4F41"/>
    <w:rsid w:val="009B381B"/>
    <w:rsid w:val="009B7C38"/>
    <w:rsid w:val="009C2FC5"/>
    <w:rsid w:val="009D1753"/>
    <w:rsid w:val="009D6502"/>
    <w:rsid w:val="009D7611"/>
    <w:rsid w:val="009D78A5"/>
    <w:rsid w:val="009E08DD"/>
    <w:rsid w:val="009E0B61"/>
    <w:rsid w:val="009E53DE"/>
    <w:rsid w:val="009E7C00"/>
    <w:rsid w:val="00A0691C"/>
    <w:rsid w:val="00A11E44"/>
    <w:rsid w:val="00A154C8"/>
    <w:rsid w:val="00A177D7"/>
    <w:rsid w:val="00A22397"/>
    <w:rsid w:val="00A30B53"/>
    <w:rsid w:val="00A31D9B"/>
    <w:rsid w:val="00A32313"/>
    <w:rsid w:val="00A328B3"/>
    <w:rsid w:val="00A41EA2"/>
    <w:rsid w:val="00A41F01"/>
    <w:rsid w:val="00A47368"/>
    <w:rsid w:val="00A50FCF"/>
    <w:rsid w:val="00A528D1"/>
    <w:rsid w:val="00A610CD"/>
    <w:rsid w:val="00A625E0"/>
    <w:rsid w:val="00A74947"/>
    <w:rsid w:val="00A758AA"/>
    <w:rsid w:val="00A87781"/>
    <w:rsid w:val="00A92093"/>
    <w:rsid w:val="00AA09A2"/>
    <w:rsid w:val="00AA4D05"/>
    <w:rsid w:val="00AA7996"/>
    <w:rsid w:val="00AB291A"/>
    <w:rsid w:val="00AC19CB"/>
    <w:rsid w:val="00AD1886"/>
    <w:rsid w:val="00AD3B11"/>
    <w:rsid w:val="00AD3C53"/>
    <w:rsid w:val="00AD7279"/>
    <w:rsid w:val="00AE5488"/>
    <w:rsid w:val="00AE6F91"/>
    <w:rsid w:val="00AF5571"/>
    <w:rsid w:val="00AF7313"/>
    <w:rsid w:val="00B06B4E"/>
    <w:rsid w:val="00B07341"/>
    <w:rsid w:val="00B202B5"/>
    <w:rsid w:val="00B22720"/>
    <w:rsid w:val="00B25080"/>
    <w:rsid w:val="00B30539"/>
    <w:rsid w:val="00B314DB"/>
    <w:rsid w:val="00B361F2"/>
    <w:rsid w:val="00B3718B"/>
    <w:rsid w:val="00B4632A"/>
    <w:rsid w:val="00B5067D"/>
    <w:rsid w:val="00B530F1"/>
    <w:rsid w:val="00B57297"/>
    <w:rsid w:val="00B736AF"/>
    <w:rsid w:val="00B742BE"/>
    <w:rsid w:val="00B83840"/>
    <w:rsid w:val="00B85E88"/>
    <w:rsid w:val="00B87359"/>
    <w:rsid w:val="00B876F9"/>
    <w:rsid w:val="00B903C5"/>
    <w:rsid w:val="00B97946"/>
    <w:rsid w:val="00BA276C"/>
    <w:rsid w:val="00BA5544"/>
    <w:rsid w:val="00BB306F"/>
    <w:rsid w:val="00BB3FBD"/>
    <w:rsid w:val="00BC0EA5"/>
    <w:rsid w:val="00BC1982"/>
    <w:rsid w:val="00BC6CD0"/>
    <w:rsid w:val="00BD14D0"/>
    <w:rsid w:val="00BD4B89"/>
    <w:rsid w:val="00BD5922"/>
    <w:rsid w:val="00BD76D9"/>
    <w:rsid w:val="00BF02CB"/>
    <w:rsid w:val="00BF514A"/>
    <w:rsid w:val="00BF6FD8"/>
    <w:rsid w:val="00BF775D"/>
    <w:rsid w:val="00C03680"/>
    <w:rsid w:val="00C054DF"/>
    <w:rsid w:val="00C10AFC"/>
    <w:rsid w:val="00C12F1F"/>
    <w:rsid w:val="00C16A05"/>
    <w:rsid w:val="00C1707A"/>
    <w:rsid w:val="00C21562"/>
    <w:rsid w:val="00C21762"/>
    <w:rsid w:val="00C21FEF"/>
    <w:rsid w:val="00C24543"/>
    <w:rsid w:val="00C256A2"/>
    <w:rsid w:val="00C35A26"/>
    <w:rsid w:val="00C42E77"/>
    <w:rsid w:val="00C4301E"/>
    <w:rsid w:val="00C47B47"/>
    <w:rsid w:val="00C51515"/>
    <w:rsid w:val="00C53910"/>
    <w:rsid w:val="00C53C90"/>
    <w:rsid w:val="00C5660B"/>
    <w:rsid w:val="00C56854"/>
    <w:rsid w:val="00C5788A"/>
    <w:rsid w:val="00C57FE9"/>
    <w:rsid w:val="00C66B72"/>
    <w:rsid w:val="00C771A4"/>
    <w:rsid w:val="00C86B24"/>
    <w:rsid w:val="00C87AC4"/>
    <w:rsid w:val="00C90F77"/>
    <w:rsid w:val="00C9567A"/>
    <w:rsid w:val="00CA48A3"/>
    <w:rsid w:val="00CB212D"/>
    <w:rsid w:val="00CB2660"/>
    <w:rsid w:val="00CC34B6"/>
    <w:rsid w:val="00CC5E90"/>
    <w:rsid w:val="00CC6B62"/>
    <w:rsid w:val="00CD046C"/>
    <w:rsid w:val="00CD186A"/>
    <w:rsid w:val="00CE076C"/>
    <w:rsid w:val="00CE2A6F"/>
    <w:rsid w:val="00CE5199"/>
    <w:rsid w:val="00CE66D5"/>
    <w:rsid w:val="00CF637A"/>
    <w:rsid w:val="00D01205"/>
    <w:rsid w:val="00D059DE"/>
    <w:rsid w:val="00D05ABD"/>
    <w:rsid w:val="00D07D02"/>
    <w:rsid w:val="00D13FCE"/>
    <w:rsid w:val="00D17E8C"/>
    <w:rsid w:val="00D24F29"/>
    <w:rsid w:val="00D2773D"/>
    <w:rsid w:val="00D306D1"/>
    <w:rsid w:val="00D30800"/>
    <w:rsid w:val="00D34786"/>
    <w:rsid w:val="00D37BFC"/>
    <w:rsid w:val="00D42822"/>
    <w:rsid w:val="00D47A8E"/>
    <w:rsid w:val="00D52D14"/>
    <w:rsid w:val="00D55256"/>
    <w:rsid w:val="00D55A1E"/>
    <w:rsid w:val="00D56D93"/>
    <w:rsid w:val="00D6399A"/>
    <w:rsid w:val="00D712D3"/>
    <w:rsid w:val="00D71422"/>
    <w:rsid w:val="00D72DC6"/>
    <w:rsid w:val="00D73F5E"/>
    <w:rsid w:val="00D7558D"/>
    <w:rsid w:val="00D77503"/>
    <w:rsid w:val="00D81D92"/>
    <w:rsid w:val="00D876F9"/>
    <w:rsid w:val="00D877B6"/>
    <w:rsid w:val="00D93A90"/>
    <w:rsid w:val="00D96F9C"/>
    <w:rsid w:val="00DA7B5F"/>
    <w:rsid w:val="00DC11E7"/>
    <w:rsid w:val="00DC7023"/>
    <w:rsid w:val="00DC769A"/>
    <w:rsid w:val="00DD061E"/>
    <w:rsid w:val="00DD1CA9"/>
    <w:rsid w:val="00DD376A"/>
    <w:rsid w:val="00DD3D86"/>
    <w:rsid w:val="00DE12F0"/>
    <w:rsid w:val="00DE3611"/>
    <w:rsid w:val="00DF1EC4"/>
    <w:rsid w:val="00DF51E9"/>
    <w:rsid w:val="00DF7A7C"/>
    <w:rsid w:val="00E00D52"/>
    <w:rsid w:val="00E01943"/>
    <w:rsid w:val="00E0204E"/>
    <w:rsid w:val="00E0340B"/>
    <w:rsid w:val="00E04A90"/>
    <w:rsid w:val="00E0551F"/>
    <w:rsid w:val="00E219C7"/>
    <w:rsid w:val="00E25149"/>
    <w:rsid w:val="00E26CCA"/>
    <w:rsid w:val="00E27F56"/>
    <w:rsid w:val="00E4118C"/>
    <w:rsid w:val="00E43157"/>
    <w:rsid w:val="00E443F6"/>
    <w:rsid w:val="00E449CD"/>
    <w:rsid w:val="00E461CE"/>
    <w:rsid w:val="00E574D1"/>
    <w:rsid w:val="00E673AB"/>
    <w:rsid w:val="00E720CA"/>
    <w:rsid w:val="00E74CB0"/>
    <w:rsid w:val="00E77AEE"/>
    <w:rsid w:val="00E8042E"/>
    <w:rsid w:val="00E84EB5"/>
    <w:rsid w:val="00E85662"/>
    <w:rsid w:val="00E8789F"/>
    <w:rsid w:val="00E92747"/>
    <w:rsid w:val="00E97985"/>
    <w:rsid w:val="00E97B71"/>
    <w:rsid w:val="00EA3D34"/>
    <w:rsid w:val="00EA41FF"/>
    <w:rsid w:val="00EA5160"/>
    <w:rsid w:val="00EA6E6A"/>
    <w:rsid w:val="00EB0B87"/>
    <w:rsid w:val="00EB454D"/>
    <w:rsid w:val="00EB7DBB"/>
    <w:rsid w:val="00EC26E9"/>
    <w:rsid w:val="00EC72AB"/>
    <w:rsid w:val="00EC7D62"/>
    <w:rsid w:val="00ED075D"/>
    <w:rsid w:val="00ED2F03"/>
    <w:rsid w:val="00ED549D"/>
    <w:rsid w:val="00ED76BE"/>
    <w:rsid w:val="00ED7F05"/>
    <w:rsid w:val="00EE00E9"/>
    <w:rsid w:val="00EE014D"/>
    <w:rsid w:val="00EE502C"/>
    <w:rsid w:val="00EF35AB"/>
    <w:rsid w:val="00EF4C44"/>
    <w:rsid w:val="00EF5EC2"/>
    <w:rsid w:val="00EF619B"/>
    <w:rsid w:val="00F00B55"/>
    <w:rsid w:val="00F02AD1"/>
    <w:rsid w:val="00F04591"/>
    <w:rsid w:val="00F06354"/>
    <w:rsid w:val="00F253CC"/>
    <w:rsid w:val="00F332EF"/>
    <w:rsid w:val="00F350E9"/>
    <w:rsid w:val="00F37106"/>
    <w:rsid w:val="00F467D1"/>
    <w:rsid w:val="00F519CF"/>
    <w:rsid w:val="00F53168"/>
    <w:rsid w:val="00F55C59"/>
    <w:rsid w:val="00F56BA5"/>
    <w:rsid w:val="00F60E22"/>
    <w:rsid w:val="00F63B39"/>
    <w:rsid w:val="00F81395"/>
    <w:rsid w:val="00F81887"/>
    <w:rsid w:val="00F81BB8"/>
    <w:rsid w:val="00F8491D"/>
    <w:rsid w:val="00F917D1"/>
    <w:rsid w:val="00F9342C"/>
    <w:rsid w:val="00F94EB6"/>
    <w:rsid w:val="00F9653B"/>
    <w:rsid w:val="00FA13B7"/>
    <w:rsid w:val="00FA56EA"/>
    <w:rsid w:val="00FB4C22"/>
    <w:rsid w:val="00FB62CF"/>
    <w:rsid w:val="00FC0F4A"/>
    <w:rsid w:val="00FC23D5"/>
    <w:rsid w:val="00FC2691"/>
    <w:rsid w:val="00FC3330"/>
    <w:rsid w:val="00FD0087"/>
    <w:rsid w:val="00FD3C3B"/>
    <w:rsid w:val="00FD4AC1"/>
    <w:rsid w:val="00FE07DD"/>
    <w:rsid w:val="00FE6B45"/>
    <w:rsid w:val="00FE7F8A"/>
    <w:rsid w:val="00FF55F3"/>
    <w:rsid w:val="00FF5851"/>
    <w:rsid w:val="00FF61E6"/>
    <w:rsid w:val="00FF7268"/>
    <w:rsid w:val="00FF7B79"/>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2"/>
        <w:szCs w:val="22"/>
        <w:lang w:val="es-PA" w:eastAsia="es-P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10E"/>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paragraph" w:styleId="Heading1">
    <w:name w:val="heading 1"/>
    <w:basedOn w:val="Normal"/>
    <w:next w:val="Normal"/>
    <w:link w:val="Heading1Char"/>
    <w:uiPriority w:val="99"/>
    <w:qFormat/>
    <w:rsid w:val="00D81D92"/>
    <w:pPr>
      <w:keepNext/>
      <w:keepLines/>
      <w:numPr>
        <w:numId w:val="53"/>
      </w:numPr>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D92"/>
    <w:rPr>
      <w:rFonts w:ascii="Cambria" w:eastAsia="MS Gothic"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locked/>
    <w:rsid w:val="00DF1EC4"/>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locked/>
    <w:rsid w:val="00DF1EC4"/>
    <w:rPr>
      <w:rFonts w:ascii="Arial" w:hAnsi="Arial" w:cs="Arial"/>
      <w:b/>
      <w:bCs/>
      <w:sz w:val="26"/>
      <w:szCs w:val="26"/>
      <w:lang w:val="en-US" w:eastAsia="en-US"/>
    </w:rPr>
  </w:style>
  <w:style w:type="character" w:styleId="Hyperlink">
    <w:name w:val="Hyperlink"/>
    <w:basedOn w:val="DefaultParagraphFont"/>
    <w:uiPriority w:val="99"/>
    <w:rsid w:val="0040310E"/>
    <w:rPr>
      <w:rFonts w:cs="Times New Roman"/>
      <w:u w:val="single"/>
    </w:rPr>
  </w:style>
  <w:style w:type="paragraph" w:customStyle="1" w:styleId="Cabeceraypie">
    <w:name w:val="Cabecera y pie"/>
    <w:uiPriority w:val="99"/>
    <w:rsid w:val="0040310E"/>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s-ES" w:eastAsia="es-ES"/>
    </w:rPr>
  </w:style>
  <w:style w:type="paragraph" w:styleId="Footer">
    <w:name w:val="footer"/>
    <w:basedOn w:val="Normal"/>
    <w:link w:val="FooterChar"/>
    <w:uiPriority w:val="99"/>
    <w:rsid w:val="0040310E"/>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A50FCF"/>
    <w:rPr>
      <w:rFonts w:ascii="Cambria" w:eastAsia="Times New Roman" w:hAnsi="Cambria" w:cs="Cambria"/>
      <w:color w:val="000000"/>
      <w:sz w:val="24"/>
      <w:szCs w:val="24"/>
      <w:u w:color="000000"/>
      <w:lang w:val="en-US" w:eastAsia="es-ES" w:bidi="ar-SA"/>
    </w:rPr>
  </w:style>
  <w:style w:type="paragraph" w:customStyle="1" w:styleId="Cuerpo">
    <w:name w:val="Cuerpo"/>
    <w:uiPriority w:val="99"/>
    <w:rsid w:val="0040310E"/>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40310E"/>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rsid w:val="00055F8F"/>
    <w:rPr>
      <w:sz w:val="24"/>
      <w:szCs w:val="24"/>
      <w:lang w:val="en-US" w:eastAsia="en-US"/>
    </w:rPr>
  </w:style>
  <w:style w:type="paragraph" w:styleId="ListParagraph">
    <w:name w:val="List Paragraph"/>
    <w:basedOn w:val="Normal"/>
    <w:uiPriority w:val="99"/>
    <w:qFormat/>
    <w:rsid w:val="0040310E"/>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
    <w:basedOn w:val="Normal"/>
    <w:link w:val="FootnoteTextChar"/>
    <w:uiPriority w:val="99"/>
    <w:rsid w:val="0040310E"/>
    <w:rPr>
      <w:rFonts w:ascii="Calibri" w:hAnsi="Calibri"/>
      <w:color w:val="000000"/>
      <w:sz w:val="20"/>
      <w:szCs w:val="20"/>
      <w:u w:color="000000"/>
      <w:lang w:eastAsia="es-PA"/>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uiPriority w:val="99"/>
    <w:locked/>
    <w:rsid w:val="0031535D"/>
    <w:rPr>
      <w:rFonts w:ascii="Calibri" w:eastAsia="Times New Roman" w:hAnsi="Calibri"/>
      <w:color w:val="000000"/>
      <w:u w:color="000000"/>
      <w:lang w:val="en-US"/>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99"/>
    <w:rsid w:val="005C4225"/>
    <w:pPr>
      <w:tabs>
        <w:tab w:val="left" w:pos="1440"/>
        <w:tab w:val="right" w:leader="dot" w:pos="9350"/>
      </w:tabs>
      <w:spacing w:after="100"/>
      <w:ind w:left="1440" w:hanging="720"/>
    </w:pPr>
  </w:style>
  <w:style w:type="paragraph" w:styleId="TOC1">
    <w:name w:val="toc 1"/>
    <w:basedOn w:val="Normal"/>
    <w:next w:val="Normal"/>
    <w:autoRedefine/>
    <w:uiPriority w:val="99"/>
    <w:rsid w:val="005C4225"/>
    <w:pPr>
      <w:spacing w:after="100"/>
    </w:pPr>
    <w:rPr>
      <w:rFonts w:ascii="Calibri" w:hAnsi="Calibri"/>
      <w:sz w:val="22"/>
    </w:rPr>
  </w:style>
  <w:style w:type="paragraph" w:styleId="TOC3">
    <w:name w:val="toc 3"/>
    <w:basedOn w:val="Normal"/>
    <w:next w:val="Normal"/>
    <w:autoRedefine/>
    <w:uiPriority w:val="9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basedOn w:val="DefaultParagraphFont"/>
    <w:uiPriority w:val="99"/>
    <w:rsid w:val="00040C3A"/>
    <w:rPr>
      <w:rFonts w:cs="Times New Roman"/>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rsid w:val="000F35ED"/>
    <w:rPr>
      <w:rFonts w:cs="Times New Roman"/>
      <w:vertAlign w:val="superscript"/>
    </w:rPr>
  </w:style>
  <w:style w:type="paragraph" w:styleId="BodyTextIndent2">
    <w:name w:val="Body Text Indent 2"/>
    <w:basedOn w:val="Normal"/>
    <w:link w:val="BodyTextIndent2Char"/>
    <w:uiPriority w:val="99"/>
    <w:semiHidden/>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0F35ED"/>
    <w:rPr>
      <w:rFonts w:cs="Times New Roman"/>
      <w:sz w:val="24"/>
      <w:szCs w:val="24"/>
      <w:lang w:val="en-US" w:eastAsia="en-US"/>
    </w:rPr>
  </w:style>
  <w:style w:type="paragraph" w:styleId="BodyText">
    <w:name w:val="Body Text"/>
    <w:basedOn w:val="Normal"/>
    <w:link w:val="BodyTextChar"/>
    <w:uiPriority w:val="99"/>
    <w:semiHidden/>
    <w:rsid w:val="0031535D"/>
    <w:pPr>
      <w:spacing w:after="120"/>
    </w:pPr>
  </w:style>
  <w:style w:type="character" w:customStyle="1" w:styleId="BodyTextChar">
    <w:name w:val="Body Text Char"/>
    <w:basedOn w:val="DefaultParagraphFont"/>
    <w:link w:val="BodyText"/>
    <w:uiPriority w:val="99"/>
    <w:semiHidden/>
    <w:locked/>
    <w:rsid w:val="0031535D"/>
    <w:rPr>
      <w:rFonts w:cs="Times New Roman"/>
      <w:sz w:val="24"/>
      <w:szCs w:val="24"/>
      <w:lang w:val="en-US" w:eastAsia="en-US"/>
    </w:rPr>
  </w:style>
  <w:style w:type="paragraph" w:customStyle="1" w:styleId="Default">
    <w:name w:val="Default"/>
    <w:link w:val="DefaultChar"/>
    <w:uiPriority w:val="99"/>
    <w:rsid w:val="00DF1EC4"/>
    <w:pPr>
      <w:pBdr>
        <w:top w:val="none" w:sz="96" w:space="31" w:color="FFFFFF" w:frame="1"/>
        <w:left w:val="none" w:sz="96" w:space="31" w:color="FFFFFF" w:frame="1"/>
        <w:bottom w:val="none" w:sz="96" w:space="31" w:color="FFFFFF" w:frame="1"/>
        <w:right w:val="none" w:sz="96" w:space="31" w:color="FFFFFF" w:frame="1"/>
        <w:bar w:val="none" w:sz="0" w:color="000000"/>
      </w:pBdr>
      <w:autoSpaceDE w:val="0"/>
      <w:autoSpaceDN w:val="0"/>
      <w:adjustRightInd w:val="0"/>
    </w:pPr>
    <w:rPr>
      <w:rFonts w:eastAsia="Times New Roman"/>
      <w:color w:val="000000"/>
      <w:sz w:val="24"/>
      <w:szCs w:val="24"/>
      <w:lang w:val="en-US" w:eastAsia="en-US"/>
    </w:rPr>
  </w:style>
  <w:style w:type="paragraph" w:styleId="EndnoteText">
    <w:name w:val="endnote text"/>
    <w:basedOn w:val="Normal"/>
    <w:link w:val="EndnoteTextChar"/>
    <w:uiPriority w:val="99"/>
    <w:rsid w:val="00DF1EC4"/>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rPr>
  </w:style>
  <w:style w:type="character" w:customStyle="1" w:styleId="EndnoteTextChar">
    <w:name w:val="Endnote Text Char"/>
    <w:basedOn w:val="DefaultParagraphFont"/>
    <w:link w:val="EndnoteText"/>
    <w:uiPriority w:val="99"/>
    <w:locked/>
    <w:rsid w:val="00DF1EC4"/>
    <w:rPr>
      <w:rFonts w:eastAsia="Times New Roman" w:cs="Times New Roman"/>
      <w:sz w:val="24"/>
      <w:szCs w:val="24"/>
      <w:lang w:val="en-US" w:eastAsia="en-US"/>
    </w:rPr>
  </w:style>
  <w:style w:type="character" w:customStyle="1" w:styleId="DefaultChar">
    <w:name w:val="Default Char"/>
    <w:link w:val="Default"/>
    <w:uiPriority w:val="99"/>
    <w:locked/>
    <w:rsid w:val="00DF1EC4"/>
    <w:rPr>
      <w:rFonts w:eastAsia="Times New Roman"/>
      <w:color w:val="000000"/>
      <w:sz w:val="24"/>
      <w:lang w:val="en-US" w:eastAsia="en-US"/>
    </w:rPr>
  </w:style>
  <w:style w:type="table" w:styleId="TableGrid">
    <w:name w:val="Table Grid"/>
    <w:basedOn w:val="TableNormal"/>
    <w:uiPriority w:val="99"/>
    <w:rsid w:val="003239B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B6D22"/>
    <w:rPr>
      <w:rFonts w:cs="Times New Roman"/>
      <w:sz w:val="16"/>
      <w:szCs w:val="16"/>
    </w:rPr>
  </w:style>
  <w:style w:type="paragraph" w:styleId="CommentText">
    <w:name w:val="annotation text"/>
    <w:basedOn w:val="Normal"/>
    <w:link w:val="CommentTextChar"/>
    <w:uiPriority w:val="99"/>
    <w:semiHidden/>
    <w:rsid w:val="005B6D22"/>
    <w:rPr>
      <w:sz w:val="20"/>
      <w:szCs w:val="20"/>
    </w:rPr>
  </w:style>
  <w:style w:type="character" w:customStyle="1" w:styleId="CommentTextChar">
    <w:name w:val="Comment Text Char"/>
    <w:basedOn w:val="DefaultParagraphFont"/>
    <w:link w:val="CommentText"/>
    <w:uiPriority w:val="99"/>
    <w:semiHidden/>
    <w:locked/>
    <w:rsid w:val="005B6D22"/>
    <w:rPr>
      <w:rFonts w:cs="Times New Roman"/>
      <w:lang w:val="en-US" w:eastAsia="en-US"/>
    </w:rPr>
  </w:style>
  <w:style w:type="paragraph" w:styleId="CommentSubject">
    <w:name w:val="annotation subject"/>
    <w:basedOn w:val="CommentText"/>
    <w:next w:val="CommentText"/>
    <w:link w:val="CommentSubjectChar"/>
    <w:uiPriority w:val="99"/>
    <w:semiHidden/>
    <w:rsid w:val="005B6D22"/>
    <w:rPr>
      <w:b/>
      <w:bCs/>
    </w:rPr>
  </w:style>
  <w:style w:type="character" w:customStyle="1" w:styleId="CommentSubjectChar">
    <w:name w:val="Comment Subject Char"/>
    <w:basedOn w:val="CommentTextChar"/>
    <w:link w:val="CommentSubject"/>
    <w:uiPriority w:val="99"/>
    <w:semiHidden/>
    <w:locked/>
    <w:rsid w:val="005B6D22"/>
    <w:rPr>
      <w:rFonts w:cs="Times New Roman"/>
      <w:b/>
      <w:bCs/>
      <w:lang w:val="en-US" w:eastAsia="en-US"/>
    </w:rPr>
  </w:style>
  <w:style w:type="paragraph" w:styleId="Revision">
    <w:name w:val="Revision"/>
    <w:hidden/>
    <w:uiPriority w:val="99"/>
    <w:semiHidden/>
    <w:rsid w:val="005B6D22"/>
    <w:rPr>
      <w:sz w:val="24"/>
      <w:szCs w:val="24"/>
      <w:lang w:val="en-US" w:eastAsia="en-US"/>
    </w:rPr>
  </w:style>
  <w:style w:type="numbering" w:customStyle="1" w:styleId="List16">
    <w:name w:val="List 16"/>
    <w:rsid w:val="00055F8F"/>
    <w:pPr>
      <w:numPr>
        <w:numId w:val="10"/>
      </w:numPr>
    </w:pPr>
  </w:style>
  <w:style w:type="numbering" w:customStyle="1" w:styleId="List36">
    <w:name w:val="List 36"/>
    <w:rsid w:val="00055F8F"/>
    <w:pPr>
      <w:numPr>
        <w:numId w:val="14"/>
      </w:numPr>
    </w:pPr>
  </w:style>
  <w:style w:type="numbering" w:customStyle="1" w:styleId="List25">
    <w:name w:val="List 25"/>
    <w:rsid w:val="00055F8F"/>
    <w:pPr>
      <w:numPr>
        <w:numId w:val="15"/>
      </w:numPr>
    </w:pPr>
  </w:style>
  <w:style w:type="numbering" w:customStyle="1" w:styleId="List1">
    <w:name w:val="List 1"/>
    <w:rsid w:val="00055F8F"/>
    <w:pPr>
      <w:numPr>
        <w:numId w:val="1"/>
      </w:numPr>
    </w:pPr>
  </w:style>
  <w:style w:type="numbering" w:customStyle="1" w:styleId="List11">
    <w:name w:val="List 11"/>
    <w:rsid w:val="00055F8F"/>
    <w:pPr>
      <w:numPr>
        <w:numId w:val="7"/>
      </w:numPr>
    </w:pPr>
  </w:style>
  <w:style w:type="numbering" w:customStyle="1" w:styleId="List15">
    <w:name w:val="List 15"/>
    <w:rsid w:val="00055F8F"/>
    <w:pPr>
      <w:numPr>
        <w:numId w:val="16"/>
      </w:numPr>
    </w:pPr>
  </w:style>
  <w:style w:type="numbering" w:customStyle="1" w:styleId="List14">
    <w:name w:val="List 14"/>
    <w:rsid w:val="00055F8F"/>
    <w:pPr>
      <w:numPr>
        <w:numId w:val="17"/>
      </w:numPr>
    </w:pPr>
  </w:style>
  <w:style w:type="numbering" w:customStyle="1" w:styleId="List23">
    <w:name w:val="List 23"/>
    <w:rsid w:val="00055F8F"/>
    <w:pPr>
      <w:numPr>
        <w:numId w:val="18"/>
      </w:numPr>
    </w:pPr>
  </w:style>
  <w:style w:type="numbering" w:customStyle="1" w:styleId="List19">
    <w:name w:val="List 19"/>
    <w:rsid w:val="00055F8F"/>
    <w:pPr>
      <w:numPr>
        <w:numId w:val="19"/>
      </w:numPr>
    </w:pPr>
  </w:style>
  <w:style w:type="numbering" w:customStyle="1" w:styleId="List45">
    <w:name w:val="List 45"/>
    <w:rsid w:val="00055F8F"/>
    <w:pPr>
      <w:numPr>
        <w:numId w:val="20"/>
      </w:numPr>
    </w:pPr>
  </w:style>
  <w:style w:type="numbering" w:customStyle="1" w:styleId="List40">
    <w:name w:val="List 40"/>
    <w:rsid w:val="00055F8F"/>
    <w:pPr>
      <w:numPr>
        <w:numId w:val="21"/>
      </w:numPr>
    </w:pPr>
  </w:style>
  <w:style w:type="numbering" w:customStyle="1" w:styleId="List9">
    <w:name w:val="List 9"/>
    <w:rsid w:val="00055F8F"/>
    <w:pPr>
      <w:numPr>
        <w:numId w:val="22"/>
      </w:numPr>
    </w:pPr>
  </w:style>
  <w:style w:type="numbering" w:customStyle="1" w:styleId="List43">
    <w:name w:val="List 43"/>
    <w:rsid w:val="00055F8F"/>
    <w:pPr>
      <w:numPr>
        <w:numId w:val="23"/>
      </w:numPr>
    </w:pPr>
  </w:style>
  <w:style w:type="numbering" w:customStyle="1" w:styleId="List46">
    <w:name w:val="List 46"/>
    <w:rsid w:val="00055F8F"/>
    <w:pPr>
      <w:numPr>
        <w:numId w:val="24"/>
      </w:numPr>
    </w:pPr>
  </w:style>
  <w:style w:type="numbering" w:customStyle="1" w:styleId="List35">
    <w:name w:val="List 35"/>
    <w:rsid w:val="00055F8F"/>
    <w:pPr>
      <w:numPr>
        <w:numId w:val="8"/>
      </w:numPr>
    </w:pPr>
  </w:style>
  <w:style w:type="numbering" w:customStyle="1" w:styleId="List17">
    <w:name w:val="List 17"/>
    <w:rsid w:val="00055F8F"/>
    <w:pPr>
      <w:numPr>
        <w:numId w:val="25"/>
      </w:numPr>
    </w:pPr>
  </w:style>
  <w:style w:type="numbering" w:customStyle="1" w:styleId="List33">
    <w:name w:val="List 33"/>
    <w:rsid w:val="00055F8F"/>
    <w:pPr>
      <w:numPr>
        <w:numId w:val="26"/>
      </w:numPr>
    </w:pPr>
  </w:style>
  <w:style w:type="numbering" w:customStyle="1" w:styleId="List7">
    <w:name w:val="List 7"/>
    <w:rsid w:val="00055F8F"/>
    <w:pPr>
      <w:numPr>
        <w:numId w:val="4"/>
      </w:numPr>
    </w:pPr>
  </w:style>
  <w:style w:type="numbering" w:customStyle="1" w:styleId="List18">
    <w:name w:val="List 18"/>
    <w:rsid w:val="00055F8F"/>
    <w:pPr>
      <w:numPr>
        <w:numId w:val="27"/>
      </w:numPr>
    </w:pPr>
  </w:style>
  <w:style w:type="numbering" w:customStyle="1" w:styleId="List22">
    <w:name w:val="List 22"/>
    <w:rsid w:val="00055F8F"/>
    <w:pPr>
      <w:numPr>
        <w:numId w:val="28"/>
      </w:numPr>
    </w:pPr>
  </w:style>
  <w:style w:type="numbering" w:customStyle="1" w:styleId="List47">
    <w:name w:val="List 47"/>
    <w:rsid w:val="00055F8F"/>
    <w:pPr>
      <w:numPr>
        <w:numId w:val="29"/>
      </w:numPr>
    </w:pPr>
  </w:style>
  <w:style w:type="numbering" w:customStyle="1" w:styleId="List28">
    <w:name w:val="List 28"/>
    <w:rsid w:val="00055F8F"/>
    <w:pPr>
      <w:numPr>
        <w:numId w:val="30"/>
      </w:numPr>
    </w:pPr>
  </w:style>
  <w:style w:type="numbering" w:customStyle="1" w:styleId="List10">
    <w:name w:val="List 10"/>
    <w:rsid w:val="00055F8F"/>
    <w:pPr>
      <w:numPr>
        <w:numId w:val="6"/>
      </w:numPr>
    </w:pPr>
  </w:style>
  <w:style w:type="numbering" w:customStyle="1" w:styleId="List0">
    <w:name w:val="List 0"/>
    <w:rsid w:val="00055F8F"/>
    <w:pPr>
      <w:numPr>
        <w:numId w:val="31"/>
      </w:numPr>
    </w:pPr>
  </w:style>
  <w:style w:type="numbering" w:customStyle="1" w:styleId="List30">
    <w:name w:val="List 30"/>
    <w:rsid w:val="00055F8F"/>
    <w:pPr>
      <w:numPr>
        <w:numId w:val="32"/>
      </w:numPr>
    </w:pPr>
  </w:style>
  <w:style w:type="numbering" w:customStyle="1" w:styleId="List29">
    <w:name w:val="List 29"/>
    <w:rsid w:val="00055F8F"/>
    <w:pPr>
      <w:numPr>
        <w:numId w:val="34"/>
      </w:numPr>
    </w:pPr>
  </w:style>
  <w:style w:type="numbering" w:customStyle="1" w:styleId="List38">
    <w:name w:val="List 38"/>
    <w:rsid w:val="00055F8F"/>
    <w:pPr>
      <w:numPr>
        <w:numId w:val="35"/>
      </w:numPr>
    </w:pPr>
  </w:style>
  <w:style w:type="numbering" w:customStyle="1" w:styleId="List12">
    <w:name w:val="List 12"/>
    <w:rsid w:val="00055F8F"/>
    <w:pPr>
      <w:numPr>
        <w:numId w:val="36"/>
      </w:numPr>
    </w:pPr>
  </w:style>
  <w:style w:type="numbering" w:customStyle="1" w:styleId="List50">
    <w:name w:val="List 50"/>
    <w:rsid w:val="00055F8F"/>
    <w:pPr>
      <w:numPr>
        <w:numId w:val="37"/>
      </w:numPr>
    </w:pPr>
  </w:style>
  <w:style w:type="numbering" w:customStyle="1" w:styleId="List34">
    <w:name w:val="List 34"/>
    <w:rsid w:val="00055F8F"/>
    <w:pPr>
      <w:numPr>
        <w:numId w:val="11"/>
      </w:numPr>
    </w:pPr>
  </w:style>
  <w:style w:type="numbering" w:customStyle="1" w:styleId="List42">
    <w:name w:val="List 42"/>
    <w:rsid w:val="00055F8F"/>
    <w:pPr>
      <w:numPr>
        <w:numId w:val="12"/>
      </w:numPr>
    </w:pPr>
  </w:style>
  <w:style w:type="numbering" w:customStyle="1" w:styleId="List49">
    <w:name w:val="List 49"/>
    <w:rsid w:val="00055F8F"/>
    <w:pPr>
      <w:numPr>
        <w:numId w:val="39"/>
      </w:numPr>
    </w:pPr>
  </w:style>
  <w:style w:type="numbering" w:customStyle="1" w:styleId="List44">
    <w:name w:val="List 44"/>
    <w:rsid w:val="00055F8F"/>
    <w:pPr>
      <w:numPr>
        <w:numId w:val="40"/>
      </w:numPr>
    </w:pPr>
  </w:style>
  <w:style w:type="numbering" w:customStyle="1" w:styleId="List21">
    <w:name w:val="List 21"/>
    <w:rsid w:val="00055F8F"/>
    <w:pPr>
      <w:numPr>
        <w:numId w:val="52"/>
      </w:numPr>
    </w:pPr>
  </w:style>
  <w:style w:type="numbering" w:customStyle="1" w:styleId="List52">
    <w:name w:val="List 52"/>
    <w:rsid w:val="00055F8F"/>
    <w:pPr>
      <w:numPr>
        <w:numId w:val="9"/>
      </w:numPr>
    </w:pPr>
  </w:style>
  <w:style w:type="numbering" w:customStyle="1" w:styleId="List24">
    <w:name w:val="List 24"/>
    <w:rsid w:val="00055F8F"/>
    <w:pPr>
      <w:numPr>
        <w:numId w:val="13"/>
      </w:numPr>
    </w:pPr>
  </w:style>
  <w:style w:type="numbering" w:customStyle="1" w:styleId="List51">
    <w:name w:val="List 51"/>
    <w:rsid w:val="00055F8F"/>
    <w:pPr>
      <w:numPr>
        <w:numId w:val="54"/>
      </w:numPr>
    </w:pPr>
  </w:style>
  <w:style w:type="numbering" w:customStyle="1" w:styleId="List27">
    <w:name w:val="List 27"/>
    <w:rsid w:val="00055F8F"/>
    <w:pPr>
      <w:numPr>
        <w:numId w:val="41"/>
      </w:numPr>
    </w:pPr>
  </w:style>
  <w:style w:type="numbering" w:customStyle="1" w:styleId="List8">
    <w:name w:val="List 8"/>
    <w:rsid w:val="00055F8F"/>
    <w:pPr>
      <w:numPr>
        <w:numId w:val="5"/>
      </w:numPr>
    </w:pPr>
  </w:style>
  <w:style w:type="numbering" w:customStyle="1" w:styleId="List13">
    <w:name w:val="List 13"/>
    <w:rsid w:val="00055F8F"/>
    <w:pPr>
      <w:numPr>
        <w:numId w:val="42"/>
      </w:numPr>
    </w:pPr>
  </w:style>
  <w:style w:type="numbering" w:customStyle="1" w:styleId="List20">
    <w:name w:val="List 20"/>
    <w:rsid w:val="00055F8F"/>
    <w:pPr>
      <w:numPr>
        <w:numId w:val="43"/>
      </w:numPr>
    </w:pPr>
  </w:style>
  <w:style w:type="numbering" w:customStyle="1" w:styleId="List41">
    <w:name w:val="List 41"/>
    <w:rsid w:val="00055F8F"/>
    <w:pPr>
      <w:numPr>
        <w:numId w:val="44"/>
      </w:numPr>
    </w:pPr>
  </w:style>
  <w:style w:type="numbering" w:customStyle="1" w:styleId="List31">
    <w:name w:val="List 31"/>
    <w:rsid w:val="00055F8F"/>
    <w:pPr>
      <w:numPr>
        <w:numId w:val="45"/>
      </w:numPr>
    </w:pPr>
  </w:style>
  <w:style w:type="numbering" w:customStyle="1" w:styleId="List6">
    <w:name w:val="List 6"/>
    <w:rsid w:val="00055F8F"/>
    <w:pPr>
      <w:numPr>
        <w:numId w:val="3"/>
      </w:numPr>
    </w:pPr>
  </w:style>
  <w:style w:type="numbering" w:customStyle="1" w:styleId="List39">
    <w:name w:val="List 39"/>
    <w:rsid w:val="00055F8F"/>
    <w:pPr>
      <w:numPr>
        <w:numId w:val="46"/>
      </w:numPr>
    </w:pPr>
  </w:style>
  <w:style w:type="numbering" w:customStyle="1" w:styleId="List37">
    <w:name w:val="List 37"/>
    <w:rsid w:val="00055F8F"/>
    <w:pPr>
      <w:numPr>
        <w:numId w:val="47"/>
      </w:numPr>
    </w:pPr>
  </w:style>
  <w:style w:type="numbering" w:customStyle="1" w:styleId="List32">
    <w:name w:val="List 32"/>
    <w:rsid w:val="00055F8F"/>
    <w:pPr>
      <w:numPr>
        <w:numId w:val="48"/>
      </w:numPr>
    </w:pPr>
  </w:style>
  <w:style w:type="numbering" w:customStyle="1" w:styleId="List26">
    <w:name w:val="List 26"/>
    <w:rsid w:val="00055F8F"/>
    <w:pPr>
      <w:numPr>
        <w:numId w:val="49"/>
      </w:numPr>
    </w:pPr>
  </w:style>
  <w:style w:type="numbering" w:customStyle="1" w:styleId="List48">
    <w:name w:val="List 48"/>
    <w:rsid w:val="00055F8F"/>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885050">
      <w:marLeft w:val="0"/>
      <w:marRight w:val="0"/>
      <w:marTop w:val="0"/>
      <w:marBottom w:val="0"/>
      <w:divBdr>
        <w:top w:val="none" w:sz="0" w:space="0" w:color="auto"/>
        <w:left w:val="none" w:sz="0" w:space="0" w:color="auto"/>
        <w:bottom w:val="none" w:sz="0" w:space="0" w:color="auto"/>
        <w:right w:val="none" w:sz="0" w:space="0" w:color="auto"/>
      </w:divBdr>
    </w:div>
    <w:div w:id="872885051">
      <w:marLeft w:val="0"/>
      <w:marRight w:val="0"/>
      <w:marTop w:val="0"/>
      <w:marBottom w:val="0"/>
      <w:divBdr>
        <w:top w:val="none" w:sz="0" w:space="0" w:color="auto"/>
        <w:left w:val="none" w:sz="0" w:space="0" w:color="auto"/>
        <w:bottom w:val="none" w:sz="0" w:space="0" w:color="auto"/>
        <w:right w:val="none" w:sz="0" w:space="0" w:color="auto"/>
      </w:divBdr>
    </w:div>
    <w:div w:id="872885052">
      <w:marLeft w:val="0"/>
      <w:marRight w:val="0"/>
      <w:marTop w:val="0"/>
      <w:marBottom w:val="0"/>
      <w:divBdr>
        <w:top w:val="none" w:sz="0" w:space="0" w:color="auto"/>
        <w:left w:val="none" w:sz="0" w:space="0" w:color="auto"/>
        <w:bottom w:val="none" w:sz="0" w:space="0" w:color="auto"/>
        <w:right w:val="none" w:sz="0" w:space="0" w:color="auto"/>
      </w:divBdr>
    </w:div>
    <w:div w:id="8728850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3799</Words>
  <Characters>19528</Characters>
  <Application>Microsoft Office Word</Application>
  <DocSecurity>0</DocSecurity>
  <Lines>361</Lines>
  <Paragraphs>104</Paragraphs>
  <ScaleCrop>false</ScaleCrop>
  <Company/>
  <LinksUpToDate>false</LinksUpToDate>
  <CharactersWithSpaces>23223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75/20</dc:title>
  <dc:subject/>
  <dc:creator/>
  <cp:keywords/>
  <dc:description/>
  <cp:lastModifiedBy/>
  <cp:revision>1</cp:revision>
  <dcterms:created xsi:type="dcterms:W3CDTF">2020-06-17T14:20:00Z</dcterms:created>
  <dcterms:modified xsi:type="dcterms:W3CDTF">2020-06-17T14:20:00Z</dcterms:modified>
</cp:coreProperties>
</file>