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71A6" w14:textId="77777777" w:rsidR="0053292A" w:rsidRPr="00030A24" w:rsidRDefault="0053292A" w:rsidP="00030A24">
      <w:pPr>
        <w:spacing w:after="0" w:line="240" w:lineRule="auto"/>
        <w:rPr>
          <w:rFonts w:ascii="Cambria" w:hAnsi="Cambria"/>
          <w:lang w:val="es-CO"/>
        </w:rPr>
      </w:pPr>
    </w:p>
    <w:p w14:paraId="4460DC80"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 xml:space="preserve">FICHA TÉCNICA INFORMATIVA </w:t>
      </w:r>
    </w:p>
    <w:p w14:paraId="52F7E341"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CASO 11.443 WASHINGTON AYORA RODRIGUEZ</w:t>
      </w:r>
    </w:p>
    <w:p w14:paraId="0AD61CC4"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INFORME DE SOLUCIÓN AMISTOSA Nº 105/01</w:t>
      </w:r>
    </w:p>
    <w:p w14:paraId="531A511C"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33A68B12" w14:textId="67FB193A"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1731FA99" w14:textId="77777777" w:rsidR="0053292A" w:rsidRPr="00030A24" w:rsidRDefault="0053292A" w:rsidP="00030A24">
      <w:pPr>
        <w:pStyle w:val="Cuadrculamedia21"/>
        <w:ind w:left="-270" w:right="-270"/>
        <w:jc w:val="center"/>
        <w:rPr>
          <w:rFonts w:ascii="Cambria" w:hAnsi="Cambria"/>
          <w:b/>
          <w:color w:val="000000"/>
          <w:lang w:val="es-CO"/>
        </w:rPr>
      </w:pPr>
    </w:p>
    <w:p w14:paraId="736776E0" w14:textId="77777777" w:rsidR="0053292A" w:rsidRPr="00030A24" w:rsidRDefault="0053292A" w:rsidP="00030A24">
      <w:pPr>
        <w:pStyle w:val="Cuadrculamedia21"/>
        <w:numPr>
          <w:ilvl w:val="0"/>
          <w:numId w:val="11"/>
        </w:numPr>
        <w:ind w:left="0" w:right="-270" w:firstLine="720"/>
        <w:rPr>
          <w:rFonts w:ascii="Cambria" w:hAnsi="Cambria"/>
          <w:b/>
          <w:color w:val="000000"/>
          <w:lang w:val="es-CO"/>
        </w:rPr>
      </w:pPr>
      <w:r w:rsidRPr="00030A24">
        <w:rPr>
          <w:rFonts w:ascii="Cambria" w:hAnsi="Cambria"/>
          <w:b/>
          <w:color w:val="000000"/>
          <w:lang w:val="es-CO"/>
        </w:rPr>
        <w:t xml:space="preserve">RESUMEN DEL CASO </w:t>
      </w:r>
    </w:p>
    <w:p w14:paraId="63487186"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387D1D" w14:paraId="1DF51F71" w14:textId="77777777" w:rsidTr="00550EB8">
        <w:trPr>
          <w:jc w:val="center"/>
        </w:trPr>
        <w:tc>
          <w:tcPr>
            <w:tcW w:w="9576" w:type="dxa"/>
            <w:shd w:val="clear" w:color="auto" w:fill="F2F2F2"/>
          </w:tcPr>
          <w:p w14:paraId="6D380F26"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Washington Ayora Rodríguez</w:t>
            </w:r>
          </w:p>
          <w:p w14:paraId="1AAA0D1C"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08C598A8"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1F7E2253"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19 de octubre de 1999</w:t>
            </w:r>
            <w:r w:rsidRPr="00030A24">
              <w:rPr>
                <w:rFonts w:ascii="Cambria" w:hAnsi="Cambria"/>
                <w:color w:val="FF0000"/>
                <w:lang w:val="es-CO"/>
              </w:rPr>
              <w:t xml:space="preserve"> </w:t>
            </w:r>
          </w:p>
          <w:p w14:paraId="44F793F5"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15 de agosto de 2001</w:t>
            </w:r>
          </w:p>
          <w:p w14:paraId="68F3F49E"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105/01</w:t>
              </w:r>
            </w:hyperlink>
            <w:r w:rsidRPr="00030A24">
              <w:rPr>
                <w:rFonts w:ascii="Cambria" w:hAnsi="Cambria"/>
                <w:color w:val="000000"/>
                <w:lang w:val="es-CO"/>
              </w:rPr>
              <w:t>, publicado el 11 de octubre de 2001</w:t>
            </w:r>
          </w:p>
          <w:p w14:paraId="71FC50B3" w14:textId="77777777" w:rsidR="0053292A" w:rsidRPr="00030A24" w:rsidRDefault="0053292A" w:rsidP="00030A24">
            <w:pPr>
              <w:spacing w:after="0" w:line="240" w:lineRule="auto"/>
              <w:rPr>
                <w:rFonts w:ascii="Cambria" w:hAnsi="Cambria"/>
                <w:b/>
                <w:lang w:val="es-CO"/>
              </w:rPr>
            </w:pPr>
            <w:r w:rsidRPr="00030A24">
              <w:rPr>
                <w:rFonts w:ascii="Cambria" w:hAnsi="Cambria"/>
                <w:b/>
                <w:color w:val="000000"/>
                <w:lang w:val="es-CO"/>
              </w:rPr>
              <w:t xml:space="preserve">Duración estimada de la fase de negociación: </w:t>
            </w:r>
            <w:r w:rsidRPr="00030A24">
              <w:rPr>
                <w:rFonts w:ascii="Cambria" w:hAnsi="Cambria"/>
                <w:lang w:val="es-CO"/>
              </w:rPr>
              <w:t>2 años</w:t>
            </w:r>
          </w:p>
          <w:p w14:paraId="77B0D42A"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55C85A40"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detención/Condiciones de detención/Comisarías/Cuidado y Custodia/Investigación/ Sistema Penitenciario/</w:t>
            </w:r>
            <w:r w:rsidRPr="00030A24">
              <w:rPr>
                <w:rFonts w:ascii="Cambria" w:hAnsi="Cambria"/>
                <w:b/>
                <w:color w:val="000000"/>
                <w:lang w:val="es-CO"/>
              </w:rPr>
              <w:t xml:space="preserve"> </w:t>
            </w:r>
            <w:r w:rsidRPr="00030A24">
              <w:rPr>
                <w:rFonts w:ascii="Cambria" w:hAnsi="Cambria"/>
                <w:color w:val="000000"/>
                <w:lang w:val="es-CO"/>
              </w:rPr>
              <w:t>Tortura/ Tratos o penas crueles, inhumanos y/o degradantes</w:t>
            </w:r>
            <w:r w:rsidRPr="00030A24">
              <w:rPr>
                <w:rFonts w:ascii="Cambria" w:hAnsi="Cambria"/>
                <w:b/>
                <w:color w:val="000000"/>
                <w:lang w:val="es-CO"/>
              </w:rPr>
              <w:t>/</w:t>
            </w:r>
            <w:r w:rsidRPr="00030A24">
              <w:rPr>
                <w:rFonts w:ascii="Cambria" w:hAnsi="Cambria"/>
                <w:color w:val="000000"/>
                <w:lang w:val="es-CO"/>
              </w:rPr>
              <w:t xml:space="preserve"> Detención arbitraria o ilegal/ Investigación</w:t>
            </w:r>
          </w:p>
          <w:p w14:paraId="023B20FF" w14:textId="77777777" w:rsidR="0053292A" w:rsidRPr="00030A24" w:rsidRDefault="0053292A" w:rsidP="00030A24">
            <w:pPr>
              <w:pStyle w:val="Cuadrculamedia21"/>
              <w:tabs>
                <w:tab w:val="left" w:pos="9270"/>
              </w:tabs>
              <w:jc w:val="both"/>
              <w:rPr>
                <w:rFonts w:ascii="Cambria" w:hAnsi="Cambria"/>
                <w:color w:val="000000"/>
                <w:lang w:val="es-CO"/>
              </w:rPr>
            </w:pPr>
          </w:p>
          <w:p w14:paraId="316D7EA6"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Washington Ayora fue condenado en 1989, mediante sentencia, por un delito de hurto. Según lo alegado en la petición, desde esa fecha Washington Ayora se había sentido asediado por los policías nacionales, quienes en múltiples oportunidades lo habían detenido con el pretexto de “investigarlo”, situación que hizo que viviera en constante estado de inseguridad y miedo. El 14 de febrero de 1994, a las 16:30 horas, Washington Ayora se encontraba en la Ciudadela del Maestro en la Ciudad de Loja, cuando fue detenido por elementos de la policía, quienes le manifestaron que tenían una boleta de captura [la que nunca le mostraron al detenido] y lo condujeron a los calabozos de la policía en donde permaneció incomunicado hasta el día 18 de febrero, fecha en la que fue trasladado al Centro de Rehabilitación Social de Loja para ser investigado. En los calabozos del Cuartel de Policía fue torturado, lo cual se comprobó con el acta y el informe de reconocimiento médico practicado al detenido. El 21 de febrero de 1994, el Comisario Nacional Primero de Cantón Loja extiende la boleta de excarcelación a favor de Washington Ayora, por considerar que no existían méritos suficientes para mantenerlo detenido.</w:t>
            </w:r>
          </w:p>
          <w:p w14:paraId="50A07FFF" w14:textId="77777777" w:rsidR="0053292A" w:rsidRPr="00030A24" w:rsidRDefault="0053292A" w:rsidP="00030A24">
            <w:pPr>
              <w:pStyle w:val="Cuadrculamedia21"/>
              <w:tabs>
                <w:tab w:val="left" w:pos="9270"/>
              </w:tabs>
              <w:jc w:val="both"/>
              <w:rPr>
                <w:rFonts w:ascii="Cambria" w:hAnsi="Cambria"/>
                <w:color w:val="000000"/>
                <w:lang w:val="es-CO"/>
              </w:rPr>
            </w:pPr>
          </w:p>
          <w:p w14:paraId="385B3460"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vida (artículo 4), derecho a la integridad personal (artículo 5), derecho a la libertad personal (artículo 7), garantías judiciales (artículo 8) y derecho a la protección judicial (artículo 25), de la Convención Americana de Derechos Humanos (CADH), todo en contravención de las obligaciones que figuran en el artículo 1(1) del mismo instrumento, en perjuicio del señor Washington Ayora Rodríguez. </w:t>
            </w:r>
          </w:p>
        </w:tc>
      </w:tr>
    </w:tbl>
    <w:p w14:paraId="5FC40059" w14:textId="77777777" w:rsidR="0053292A" w:rsidRPr="00030A24" w:rsidRDefault="0053292A" w:rsidP="00030A24">
      <w:pPr>
        <w:pStyle w:val="Listavistosa-nfasis11"/>
        <w:spacing w:after="0" w:line="240" w:lineRule="auto"/>
        <w:jc w:val="both"/>
        <w:rPr>
          <w:rFonts w:ascii="Cambria" w:hAnsi="Cambria"/>
          <w:b/>
          <w:color w:val="000000"/>
          <w:lang w:val="es-CO"/>
        </w:rPr>
      </w:pPr>
    </w:p>
    <w:p w14:paraId="7D4E4F6A" w14:textId="77777777" w:rsidR="0053292A" w:rsidRPr="00030A24" w:rsidRDefault="0053292A" w:rsidP="00030A24">
      <w:pPr>
        <w:pStyle w:val="Listavistosa-nfasis11"/>
        <w:numPr>
          <w:ilvl w:val="0"/>
          <w:numId w:val="11"/>
        </w:numPr>
        <w:tabs>
          <w:tab w:val="left" w:pos="720"/>
          <w:tab w:val="left" w:pos="1440"/>
        </w:tabs>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404983BA" w14:textId="77777777" w:rsidR="0053292A" w:rsidRPr="00030A24" w:rsidRDefault="0053292A" w:rsidP="00030A24">
      <w:pPr>
        <w:pStyle w:val="Listavistosa-nfasis11"/>
        <w:tabs>
          <w:tab w:val="left" w:pos="720"/>
        </w:tabs>
        <w:spacing w:after="0" w:line="240" w:lineRule="auto"/>
        <w:ind w:left="0" w:firstLine="720"/>
        <w:jc w:val="both"/>
        <w:rPr>
          <w:rFonts w:ascii="Cambria" w:hAnsi="Cambria"/>
          <w:b/>
          <w:color w:val="000000"/>
          <w:lang w:val="es-CO"/>
        </w:rPr>
      </w:pPr>
    </w:p>
    <w:p w14:paraId="5F4F57E7" w14:textId="4BB9FB3C" w:rsidR="0053292A" w:rsidRPr="00030A24" w:rsidRDefault="0053292A" w:rsidP="00030A24">
      <w:pPr>
        <w:numPr>
          <w:ilvl w:val="3"/>
          <w:numId w:val="8"/>
        </w:numPr>
        <w:tabs>
          <w:tab w:val="left" w:pos="720"/>
        </w:tabs>
        <w:spacing w:after="0" w:line="240" w:lineRule="auto"/>
        <w:ind w:left="0" w:firstLine="720"/>
        <w:jc w:val="both"/>
        <w:rPr>
          <w:rFonts w:ascii="Cambria" w:hAnsi="Cambria"/>
          <w:color w:val="000000"/>
          <w:lang w:val="es-CO"/>
        </w:rPr>
      </w:pPr>
      <w:r w:rsidRPr="00030A24">
        <w:rPr>
          <w:rFonts w:ascii="Cambria" w:hAnsi="Cambria"/>
          <w:color w:val="000000"/>
          <w:lang w:val="es-CO"/>
        </w:rPr>
        <w:t>El 15 de agosto de 2001</w:t>
      </w:r>
      <w:r w:rsidR="00042C83"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01EC10E3" w14:textId="77777777" w:rsidR="0053292A" w:rsidRPr="00030A24" w:rsidRDefault="0053292A" w:rsidP="00030A24">
      <w:pPr>
        <w:tabs>
          <w:tab w:val="left" w:pos="720"/>
        </w:tabs>
        <w:spacing w:after="0" w:line="240" w:lineRule="auto"/>
        <w:ind w:firstLine="720"/>
        <w:jc w:val="both"/>
        <w:rPr>
          <w:rFonts w:ascii="Cambria" w:hAnsi="Cambria"/>
          <w:color w:val="000000"/>
          <w:lang w:val="es-CO"/>
        </w:rPr>
      </w:pPr>
    </w:p>
    <w:p w14:paraId="58509161" w14:textId="77777777" w:rsidR="0053292A" w:rsidRPr="00030A24" w:rsidRDefault="0053292A" w:rsidP="00030A24">
      <w:pPr>
        <w:numPr>
          <w:ilvl w:val="3"/>
          <w:numId w:val="8"/>
        </w:numPr>
        <w:tabs>
          <w:tab w:val="left" w:pos="720"/>
        </w:tabs>
        <w:spacing w:after="0" w:line="240" w:lineRule="auto"/>
        <w:ind w:left="0" w:firstLine="720"/>
        <w:jc w:val="both"/>
        <w:rPr>
          <w:rFonts w:ascii="Cambria" w:hAnsi="Cambria"/>
          <w:color w:val="000000"/>
          <w:lang w:val="es-CO"/>
        </w:rPr>
      </w:pPr>
      <w:r w:rsidRPr="00030A24">
        <w:rPr>
          <w:rFonts w:ascii="Cambria" w:hAnsi="Cambria"/>
          <w:color w:val="000000"/>
          <w:lang w:val="es-CO"/>
        </w:rPr>
        <w:t>El 11 de octubre de 2001, la Comisión aprobó el acuerdo de solución amistosa, mediante informe No. 105/01.</w:t>
      </w:r>
    </w:p>
    <w:p w14:paraId="25E629EF" w14:textId="77777777" w:rsidR="0053292A" w:rsidRPr="00030A24" w:rsidRDefault="0053292A" w:rsidP="00030A24">
      <w:pPr>
        <w:pStyle w:val="Listavistosa-nfasis11"/>
        <w:numPr>
          <w:ilvl w:val="0"/>
          <w:numId w:val="11"/>
        </w:numPr>
        <w:spacing w:after="0" w:line="240" w:lineRule="auto"/>
        <w:ind w:left="0" w:firstLine="720"/>
        <w:jc w:val="both"/>
        <w:rPr>
          <w:rFonts w:ascii="Cambria" w:hAnsi="Cambria"/>
          <w:b/>
          <w:color w:val="000000"/>
          <w:lang w:val="es-CO"/>
        </w:rPr>
      </w:pPr>
      <w:r w:rsidRPr="00030A24">
        <w:rPr>
          <w:rFonts w:ascii="Cambria" w:hAnsi="Cambria"/>
          <w:b/>
          <w:color w:val="000000"/>
          <w:lang w:val="es-CO"/>
        </w:rPr>
        <w:lastRenderedPageBreak/>
        <w:t>ANÁLISIS DEL CUMPLIMIENTO DE LAS CLÁUSULAS DEL ACUERDO DE SOLUCIÓN AMISTOSA</w:t>
      </w:r>
    </w:p>
    <w:p w14:paraId="09E36B54" w14:textId="77777777" w:rsidR="0053292A" w:rsidRPr="00030A24" w:rsidRDefault="0053292A" w:rsidP="00030A24">
      <w:pPr>
        <w:spacing w:after="0" w:line="240" w:lineRule="auto"/>
        <w:jc w:val="both"/>
        <w:rPr>
          <w:rFonts w:ascii="Cambria" w:hAnsi="Cambria"/>
          <w:color w:val="000000"/>
          <w:lang w:val="es-CO"/>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5"/>
        <w:gridCol w:w="236"/>
        <w:gridCol w:w="2497"/>
      </w:tblGrid>
      <w:tr w:rsidR="00035E03" w:rsidRPr="00030A24" w14:paraId="29CE66FC" w14:textId="77777777" w:rsidTr="00035E03">
        <w:trPr>
          <w:jc w:val="center"/>
        </w:trPr>
        <w:tc>
          <w:tcPr>
            <w:tcW w:w="6615" w:type="dxa"/>
            <w:shd w:val="clear" w:color="auto" w:fill="D9D9D9"/>
            <w:vAlign w:val="center"/>
          </w:tcPr>
          <w:p w14:paraId="4A82A000"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2733" w:type="dxa"/>
            <w:gridSpan w:val="2"/>
            <w:shd w:val="clear" w:color="auto" w:fill="D9D9D9"/>
            <w:vAlign w:val="center"/>
          </w:tcPr>
          <w:p w14:paraId="104107A1" w14:textId="6E518D90"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DD2FE8" w:rsidRPr="00030A24" w14:paraId="146CA810" w14:textId="77777777" w:rsidTr="00035E03">
        <w:trPr>
          <w:jc w:val="center"/>
        </w:trPr>
        <w:tc>
          <w:tcPr>
            <w:tcW w:w="6615" w:type="dxa"/>
            <w:shd w:val="clear" w:color="auto" w:fill="auto"/>
            <w:vAlign w:val="center"/>
          </w:tcPr>
          <w:p w14:paraId="0160D661" w14:textId="2F3016DB" w:rsidR="00DD2FE8" w:rsidRPr="00030A24" w:rsidRDefault="00DD2FE8" w:rsidP="00030A24">
            <w:pPr>
              <w:pStyle w:val="ListParagraph"/>
              <w:numPr>
                <w:ilvl w:val="2"/>
                <w:numId w:val="8"/>
              </w:numPr>
              <w:spacing w:after="0" w:line="240" w:lineRule="auto"/>
              <w:ind w:left="-28" w:firstLine="720"/>
              <w:jc w:val="both"/>
              <w:rPr>
                <w:rFonts w:ascii="Cambria" w:hAnsi="Cambria"/>
                <w:b/>
                <w:color w:val="000000"/>
                <w:lang w:val="es-CO"/>
              </w:rPr>
            </w:pPr>
            <w:r w:rsidRPr="00030A24">
              <w:rPr>
                <w:rFonts w:ascii="Cambria" w:hAnsi="Cambria"/>
                <w:b/>
                <w:color w:val="000000"/>
                <w:lang w:val="es-CO"/>
              </w:rPr>
              <w:t>RESPONSABILIDAD DEL ESTADO Y ALLANAMIENTO</w:t>
            </w:r>
          </w:p>
          <w:p w14:paraId="0D6B14A2" w14:textId="77777777" w:rsidR="00DD2FE8" w:rsidRPr="00030A24" w:rsidRDefault="00DD2FE8" w:rsidP="00030A24">
            <w:pPr>
              <w:spacing w:after="0" w:line="240" w:lineRule="auto"/>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conculcado los derechos humanos de Washington Ayora Rodríguez, reconocidos en los Artículos 4 (Derecho a la Vida), Artículo 8 (Garantías Judiciales), Artículo 5 (Derecho a la Integridad Personal) Artículo 7 (Derecho a la Libertad Personal)  y Artículo 25 (Protección Judicial), en relación con la obligación general contenida en el artículo 1.1 de la Convención Americana sobre Derechos Humanos y otros instrumentos internacionales, siendo dichas violaciones cometidas por agentes del Estado, hecho que no ha podido ser desvirtuado por el Estado y ha generado la responsabilidad de éste frente a la sociedad.</w:t>
            </w:r>
          </w:p>
          <w:p w14:paraId="60FB3646" w14:textId="77777777" w:rsidR="00DD2FE8" w:rsidRPr="00030A24" w:rsidRDefault="00DD2FE8" w:rsidP="00030A24">
            <w:pPr>
              <w:spacing w:after="0" w:line="240" w:lineRule="auto"/>
              <w:jc w:val="both"/>
              <w:rPr>
                <w:rFonts w:ascii="Cambria" w:hAnsi="Cambria"/>
                <w:bCs/>
                <w:color w:val="000000"/>
                <w:lang w:val="es-CO"/>
              </w:rPr>
            </w:pPr>
          </w:p>
          <w:p w14:paraId="182AA135" w14:textId="74626F7A" w:rsidR="00DD2FE8" w:rsidRPr="00030A24" w:rsidRDefault="00DD2FE8" w:rsidP="00030A24">
            <w:pPr>
              <w:spacing w:after="0" w:line="240" w:lineRule="auto"/>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Nº 11.443, que se encuentra en trámite ante la Comisión Interamericana de Derechos Humanos y se obliga a asumir la</w:t>
            </w:r>
            <w:r w:rsidR="00030A24">
              <w:rPr>
                <w:rFonts w:ascii="Cambria" w:hAnsi="Cambria"/>
                <w:bCs/>
                <w:color w:val="000000"/>
                <w:lang w:val="es-CO"/>
              </w:rPr>
              <w:t>s</w:t>
            </w:r>
            <w:r w:rsidRPr="00030A24">
              <w:rPr>
                <w:rFonts w:ascii="Cambria" w:hAnsi="Cambria"/>
                <w:bCs/>
                <w:color w:val="000000"/>
                <w:lang w:val="es-CO"/>
              </w:rPr>
              <w:t xml:space="preserve"> medidas reparadoras necesarias a fin de resarcir los perjuicios ocasionados a las víctimas de tales violaciones o en su defecto a sus causahabientes.</w:t>
            </w:r>
          </w:p>
        </w:tc>
        <w:tc>
          <w:tcPr>
            <w:tcW w:w="2733" w:type="dxa"/>
            <w:gridSpan w:val="2"/>
            <w:tcBorders>
              <w:bottom w:val="single" w:sz="4" w:space="0" w:color="auto"/>
            </w:tcBorders>
            <w:shd w:val="clear" w:color="auto" w:fill="auto"/>
            <w:vAlign w:val="center"/>
          </w:tcPr>
          <w:p w14:paraId="36772900" w14:textId="022EFB0E" w:rsidR="00DD2FE8" w:rsidRPr="00030A24" w:rsidRDefault="00796874"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19CD844D" w14:textId="77777777" w:rsidTr="00035E03">
        <w:trPr>
          <w:jc w:val="center"/>
        </w:trPr>
        <w:tc>
          <w:tcPr>
            <w:tcW w:w="6615" w:type="dxa"/>
            <w:shd w:val="clear" w:color="auto" w:fill="auto"/>
            <w:vAlign w:val="center"/>
          </w:tcPr>
          <w:p w14:paraId="6D71F886"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IV.</w:t>
            </w:r>
            <w:r w:rsidRPr="00030A24">
              <w:rPr>
                <w:rFonts w:ascii="Cambria" w:hAnsi="Cambria"/>
                <w:b/>
                <w:color w:val="000000"/>
                <w:lang w:val="es-CO"/>
              </w:rPr>
              <w:tab/>
              <w:t xml:space="preserve">INDEMNIZACIÓN  </w:t>
            </w:r>
          </w:p>
          <w:p w14:paraId="48580BEA"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Nº 1, vigente desde el 11 de Agosto de 1998, entrega a la señora Eusebia Imelda Rodríguez Bosa, con cédula de ciudadanía número 1100133923, madre del señor Washington Ayora Rodríguez, fallecido, y representante de la señora Merci Rosalía Vasquez Trujillo, viuda del señor Washington Ayora Rodríguez, una indemnización compensatoria por una sola vez, de treinta mil dólares de los Estados Unidos de Norteamérica (US$ 30,000.00), con cargo al Presupuesto General del Estado. […]</w:t>
            </w:r>
          </w:p>
        </w:tc>
        <w:tc>
          <w:tcPr>
            <w:tcW w:w="2733" w:type="dxa"/>
            <w:gridSpan w:val="2"/>
            <w:tcBorders>
              <w:bottom w:val="single" w:sz="4" w:space="0" w:color="auto"/>
            </w:tcBorders>
            <w:shd w:val="clear" w:color="auto" w:fill="auto"/>
            <w:vAlign w:val="center"/>
          </w:tcPr>
          <w:p w14:paraId="74CDE4C0"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29369D" w:rsidRPr="00030A24" w14:paraId="1B95E67A" w14:textId="77777777" w:rsidTr="00550EB8">
        <w:trPr>
          <w:trHeight w:val="350"/>
          <w:jc w:val="center"/>
        </w:trPr>
        <w:tc>
          <w:tcPr>
            <w:tcW w:w="6615" w:type="dxa"/>
            <w:shd w:val="clear" w:color="auto" w:fill="auto"/>
          </w:tcPr>
          <w:p w14:paraId="7C593CD6" w14:textId="77777777" w:rsidR="0053292A" w:rsidRPr="00030A24" w:rsidRDefault="0053292A"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067FC6CC" w14:textId="77777777" w:rsidR="0053292A" w:rsidRPr="00030A24" w:rsidRDefault="0053292A" w:rsidP="00030A24">
            <w:pPr>
              <w:spacing w:after="0" w:line="240" w:lineRule="auto"/>
              <w:ind w:hanging="18"/>
              <w:jc w:val="both"/>
              <w:rPr>
                <w:rFonts w:ascii="Cambria" w:hAnsi="Cambria"/>
                <w:color w:val="000000"/>
                <w:u w:val="single"/>
                <w:lang w:val="es-CO"/>
              </w:rPr>
            </w:pPr>
            <w:r w:rsidRPr="00030A24">
              <w:rPr>
                <w:rFonts w:ascii="Cambria" w:hAnsi="Cambria"/>
                <w:color w:val="000000"/>
                <w:lang w:val="es-CO"/>
              </w:rPr>
              <w:t>El Estado Ecuatoriano, se compromete al enjuiciamiento tanto civil como penal y a la búsqueda de sanciones administrativas de las personas que</w:t>
            </w:r>
            <w:r w:rsidRPr="00030A24">
              <w:rPr>
                <w:rFonts w:ascii="Cambria" w:eastAsia="Times New Roman" w:hAnsi="Cambria"/>
                <w:color w:val="000000"/>
                <w:lang w:val="es-CO"/>
              </w:rPr>
              <w:t>,</w:t>
            </w:r>
            <w:r w:rsidRPr="00030A24">
              <w:rPr>
                <w:rFonts w:ascii="Cambria" w:hAnsi="Cambria"/>
                <w:color w:val="000000"/>
                <w:lang w:val="es-CO"/>
              </w:rPr>
              <w:t xml:space="preserve"> en cumplimiento de funciones estatales o prevalidos del poder público, se presume que tuvieron participación en la violación alegada.</w:t>
            </w:r>
            <w:r w:rsidRPr="00030A24">
              <w:rPr>
                <w:rFonts w:ascii="Cambria" w:hAnsi="Cambria"/>
                <w:color w:val="000000"/>
                <w:u w:val="single"/>
                <w:lang w:val="es-CO"/>
              </w:rPr>
              <w:t xml:space="preserve"> </w:t>
            </w:r>
          </w:p>
          <w:p w14:paraId="6EFA26B2" w14:textId="77777777" w:rsidR="0053292A" w:rsidRPr="00030A24" w:rsidRDefault="0053292A" w:rsidP="00030A24">
            <w:pPr>
              <w:spacing w:after="0" w:line="240" w:lineRule="auto"/>
              <w:ind w:hanging="18"/>
              <w:jc w:val="both"/>
              <w:rPr>
                <w:rFonts w:ascii="Cambria" w:eastAsia="Times New Roman" w:hAnsi="Cambria"/>
                <w:color w:val="000000"/>
                <w:lang w:val="es-CO"/>
              </w:rPr>
            </w:pPr>
          </w:p>
          <w:p w14:paraId="0DAB6969" w14:textId="77777777" w:rsidR="0053292A" w:rsidRPr="00030A24" w:rsidRDefault="0053292A"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La Procuraduría General del Estado se compromete a excitar tanto a la Ministra Fiscal General del Estado, organismos competentes de la </w:t>
            </w:r>
            <w:r w:rsidRPr="00030A24">
              <w:rPr>
                <w:rFonts w:ascii="Cambria" w:hAnsi="Cambria"/>
                <w:color w:val="000000"/>
                <w:lang w:val="es-CO"/>
              </w:rPr>
              <w:lastRenderedPageBreak/>
              <w:t>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236" w:type="dxa"/>
            <w:tcBorders>
              <w:right w:val="nil"/>
            </w:tcBorders>
            <w:shd w:val="clear" w:color="auto" w:fill="auto"/>
            <w:vAlign w:val="center"/>
          </w:tcPr>
          <w:p w14:paraId="03F7A69B"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lastRenderedPageBreak/>
              <w:t xml:space="preserve">                            </w:t>
            </w:r>
          </w:p>
        </w:tc>
        <w:tc>
          <w:tcPr>
            <w:tcW w:w="2497" w:type="dxa"/>
            <w:tcBorders>
              <w:left w:val="nil"/>
            </w:tcBorders>
            <w:shd w:val="clear" w:color="auto" w:fill="auto"/>
            <w:vAlign w:val="center"/>
          </w:tcPr>
          <w:p w14:paraId="4EBF4A65" w14:textId="49B0BA1C" w:rsidR="0053292A" w:rsidRPr="00030A24" w:rsidRDefault="0053292A" w:rsidP="00030A24">
            <w:pPr>
              <w:spacing w:after="0" w:line="240" w:lineRule="auto"/>
              <w:jc w:val="center"/>
              <w:rPr>
                <w:rFonts w:ascii="Cambria" w:hAnsi="Cambria"/>
                <w:b/>
                <w:color w:val="000000"/>
                <w:shd w:val="clear" w:color="auto" w:fill="00FF00"/>
                <w:lang w:val="es-CO"/>
              </w:rPr>
            </w:pPr>
            <w:r w:rsidRPr="00030A24">
              <w:rPr>
                <w:rFonts w:ascii="Cambria" w:hAnsi="Cambria"/>
                <w:b/>
                <w:color w:val="000000"/>
                <w:u w:color="FF0000"/>
                <w:lang w:val="es-CO"/>
              </w:rPr>
              <w:t>Incumplido</w:t>
            </w:r>
            <w:r w:rsidRPr="00030A24">
              <w:rPr>
                <w:rStyle w:val="FootnoteReference"/>
                <w:rFonts w:ascii="Cambria" w:hAnsi="Cambria"/>
                <w:b/>
                <w:color w:val="000000"/>
                <w:u w:color="FF0000"/>
                <w:lang w:val="es-CO"/>
              </w:rPr>
              <w:footnoteReference w:id="3"/>
            </w:r>
          </w:p>
        </w:tc>
      </w:tr>
    </w:tbl>
    <w:p w14:paraId="60B78B5E" w14:textId="77777777" w:rsidR="0053292A" w:rsidRPr="00030A24" w:rsidRDefault="0053292A" w:rsidP="00030A24">
      <w:pPr>
        <w:spacing w:after="0" w:line="240" w:lineRule="auto"/>
        <w:rPr>
          <w:rFonts w:ascii="Cambria" w:hAnsi="Cambria"/>
          <w:color w:val="000000"/>
          <w:lang w:val="es-CO"/>
        </w:rPr>
      </w:pPr>
    </w:p>
    <w:p w14:paraId="7C6A8610" w14:textId="78BF75EE" w:rsidR="0053292A" w:rsidRPr="00387D1D" w:rsidRDefault="0053292A" w:rsidP="00387D1D">
      <w:pPr>
        <w:pStyle w:val="ListParagraph"/>
        <w:numPr>
          <w:ilvl w:val="2"/>
          <w:numId w:val="8"/>
        </w:numPr>
        <w:autoSpaceDE w:val="0"/>
        <w:autoSpaceDN w:val="0"/>
        <w:adjustRightInd w:val="0"/>
        <w:spacing w:after="0" w:line="240" w:lineRule="auto"/>
        <w:ind w:left="0" w:firstLine="720"/>
        <w:jc w:val="both"/>
        <w:rPr>
          <w:rFonts w:ascii="Cambria" w:hAnsi="Cambria"/>
          <w:color w:val="000000"/>
          <w:lang w:val="es-CO"/>
        </w:rPr>
      </w:pPr>
      <w:r w:rsidRPr="00387D1D">
        <w:rPr>
          <w:rFonts w:ascii="Cambria" w:hAnsi="Cambria"/>
          <w:b/>
          <w:color w:val="000000"/>
          <w:lang w:val="es-CO"/>
        </w:rPr>
        <w:t xml:space="preserve">NIVEL DE CUMPLIMIENTO DEL CASO </w:t>
      </w:r>
    </w:p>
    <w:p w14:paraId="1DA609C1" w14:textId="77777777" w:rsidR="0053292A" w:rsidRPr="00030A24" w:rsidRDefault="0053292A" w:rsidP="00387D1D">
      <w:pPr>
        <w:autoSpaceDE w:val="0"/>
        <w:autoSpaceDN w:val="0"/>
        <w:adjustRightInd w:val="0"/>
        <w:spacing w:after="0" w:line="240" w:lineRule="auto"/>
        <w:ind w:firstLine="720"/>
        <w:jc w:val="both"/>
        <w:rPr>
          <w:rFonts w:ascii="Cambria" w:hAnsi="Cambria"/>
          <w:color w:val="000000"/>
          <w:lang w:val="es-CO"/>
        </w:rPr>
      </w:pPr>
    </w:p>
    <w:p w14:paraId="05D0E0FF" w14:textId="33818E3A" w:rsidR="0053292A" w:rsidRPr="00387D1D" w:rsidRDefault="0053292A" w:rsidP="00387D1D">
      <w:pPr>
        <w:pStyle w:val="ListParagraph"/>
        <w:numPr>
          <w:ilvl w:val="0"/>
          <w:numId w:val="105"/>
        </w:numPr>
        <w:autoSpaceDE w:val="0"/>
        <w:autoSpaceDN w:val="0"/>
        <w:adjustRightInd w:val="0"/>
        <w:spacing w:after="0" w:line="240" w:lineRule="auto"/>
        <w:ind w:left="0" w:firstLine="720"/>
        <w:jc w:val="both"/>
        <w:rPr>
          <w:rFonts w:ascii="Cambria" w:hAnsi="Cambria"/>
          <w:color w:val="000000"/>
          <w:lang w:val="es-CO"/>
        </w:rPr>
      </w:pPr>
      <w:r w:rsidRPr="00387D1D">
        <w:rPr>
          <w:rFonts w:ascii="Cambria" w:hAnsi="Cambria"/>
          <w:color w:val="000000"/>
          <w:lang w:val="es-CO"/>
        </w:rPr>
        <w:t>La Comisión valoró la solicitud realizada el 17 de enero de 2020 por la parte peticionaria, en la cual solicitó el cese de la supervisión del acuerdo y el archivo del caso, dada la pérdid</w:t>
      </w:r>
      <w:r w:rsidR="00030A24" w:rsidRPr="00387D1D">
        <w:rPr>
          <w:rFonts w:ascii="Cambria" w:hAnsi="Cambria"/>
          <w:color w:val="000000"/>
          <w:lang w:val="es-CO"/>
        </w:rPr>
        <w:t xml:space="preserve">a de </w:t>
      </w:r>
      <w:r w:rsidRPr="00387D1D">
        <w:rPr>
          <w:rFonts w:ascii="Cambria" w:hAnsi="Cambria"/>
          <w:color w:val="000000"/>
          <w:lang w:val="es-CO"/>
        </w:rPr>
        <w:t>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39544CBC" w14:textId="77777777" w:rsidR="0053292A" w:rsidRPr="00030A24" w:rsidRDefault="0053292A" w:rsidP="00387D1D">
      <w:pPr>
        <w:autoSpaceDE w:val="0"/>
        <w:autoSpaceDN w:val="0"/>
        <w:adjustRightInd w:val="0"/>
        <w:spacing w:after="0" w:line="240" w:lineRule="auto"/>
        <w:ind w:firstLine="720"/>
        <w:jc w:val="both"/>
        <w:rPr>
          <w:rFonts w:ascii="Cambria" w:hAnsi="Cambria"/>
          <w:color w:val="000000"/>
          <w:lang w:val="es-CO"/>
        </w:rPr>
      </w:pPr>
    </w:p>
    <w:p w14:paraId="7210A7AE" w14:textId="32CEE853" w:rsidR="0053292A" w:rsidRPr="00030A24" w:rsidRDefault="0053292A" w:rsidP="00387D1D">
      <w:pPr>
        <w:pStyle w:val="Listavistosa-nfasis11"/>
        <w:numPr>
          <w:ilvl w:val="2"/>
          <w:numId w:val="8"/>
        </w:numPr>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03FDA0D2" w14:textId="77777777" w:rsidR="0053292A" w:rsidRPr="00030A24" w:rsidRDefault="0053292A" w:rsidP="00387D1D">
      <w:pPr>
        <w:pStyle w:val="Listavistosa-nfasis11"/>
        <w:spacing w:after="0" w:line="240" w:lineRule="auto"/>
        <w:ind w:left="0" w:firstLine="720"/>
        <w:jc w:val="both"/>
        <w:rPr>
          <w:rFonts w:ascii="Cambria" w:hAnsi="Cambria"/>
          <w:b/>
          <w:color w:val="000000"/>
          <w:lang w:val="es-CO"/>
        </w:rPr>
      </w:pPr>
    </w:p>
    <w:p w14:paraId="340F4D44" w14:textId="77777777" w:rsidR="0053292A" w:rsidRPr="00030A24" w:rsidRDefault="0053292A" w:rsidP="00387D1D">
      <w:pPr>
        <w:pStyle w:val="Listavistosa-nfasis11"/>
        <w:numPr>
          <w:ilvl w:val="0"/>
          <w:numId w:val="12"/>
        </w:numPr>
        <w:spacing w:after="0" w:line="240" w:lineRule="auto"/>
        <w:ind w:left="0" w:firstLine="720"/>
        <w:jc w:val="both"/>
        <w:rPr>
          <w:rFonts w:ascii="Cambria" w:hAnsi="Cambria"/>
          <w:b/>
          <w:color w:val="000000"/>
          <w:lang w:val="es-CO"/>
        </w:rPr>
      </w:pPr>
      <w:r w:rsidRPr="00030A24">
        <w:rPr>
          <w:rFonts w:ascii="Cambria" w:hAnsi="Cambria"/>
          <w:b/>
          <w:color w:val="000000"/>
          <w:lang w:val="es-CO"/>
        </w:rPr>
        <w:t>Resultados individuales del caso</w:t>
      </w:r>
    </w:p>
    <w:p w14:paraId="4A13ED4A" w14:textId="77777777" w:rsidR="0053292A" w:rsidRPr="00030A24" w:rsidRDefault="0053292A" w:rsidP="00387D1D">
      <w:pPr>
        <w:pStyle w:val="Listavistosa-nfasis11"/>
        <w:spacing w:after="0" w:line="240" w:lineRule="auto"/>
        <w:ind w:left="0" w:firstLine="720"/>
        <w:jc w:val="both"/>
        <w:rPr>
          <w:rFonts w:ascii="Cambria" w:hAnsi="Cambria"/>
          <w:b/>
          <w:color w:val="000000"/>
          <w:lang w:val="es-CO"/>
        </w:rPr>
      </w:pPr>
    </w:p>
    <w:p w14:paraId="322D1A7C" w14:textId="6E2A94E5" w:rsidR="0053292A" w:rsidRPr="00387D1D" w:rsidRDefault="0053292A" w:rsidP="00CE022E">
      <w:pPr>
        <w:pStyle w:val="Listavistosa-nfasis11"/>
        <w:numPr>
          <w:ilvl w:val="0"/>
          <w:numId w:val="4"/>
        </w:numPr>
        <w:spacing w:after="0" w:line="240" w:lineRule="auto"/>
        <w:ind w:left="0" w:right="-270" w:firstLine="0"/>
        <w:jc w:val="center"/>
        <w:rPr>
          <w:rFonts w:ascii="Cambria" w:hAnsi="Cambria"/>
          <w:b/>
          <w:color w:val="000000"/>
          <w:lang w:val="es-CO"/>
        </w:rPr>
      </w:pPr>
      <w:r w:rsidRPr="00387D1D">
        <w:rPr>
          <w:rFonts w:ascii="Cambria" w:hAnsi="Cambria"/>
          <w:color w:val="000000"/>
          <w:lang w:val="es-CO"/>
        </w:rPr>
        <w:t>El Estado realizó la reparación económica, según lo establecido en el acuerdo.</w:t>
      </w:r>
    </w:p>
    <w:sectPr w:rsidR="0053292A" w:rsidRPr="00387D1D"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084" w14:textId="77777777" w:rsidR="004812C5" w:rsidRDefault="004812C5" w:rsidP="00A343FF">
      <w:pPr>
        <w:spacing w:after="0" w:line="240" w:lineRule="auto"/>
      </w:pPr>
      <w:r>
        <w:separator/>
      </w:r>
    </w:p>
  </w:endnote>
  <w:endnote w:type="continuationSeparator" w:id="0">
    <w:p w14:paraId="4395B6DF" w14:textId="77777777" w:rsidR="004812C5" w:rsidRDefault="004812C5" w:rsidP="00A343FF">
      <w:pPr>
        <w:spacing w:after="0" w:line="240" w:lineRule="auto"/>
      </w:pPr>
      <w:r>
        <w:continuationSeparator/>
      </w:r>
    </w:p>
  </w:endnote>
  <w:endnote w:type="continuationNotice" w:id="1">
    <w:p w14:paraId="38D06FF5" w14:textId="77777777" w:rsidR="004812C5" w:rsidRDefault="0048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4C5CCD"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74F4" w14:textId="77777777" w:rsidR="004812C5" w:rsidRDefault="004812C5" w:rsidP="00A343FF">
      <w:pPr>
        <w:spacing w:after="0" w:line="240" w:lineRule="auto"/>
      </w:pPr>
      <w:r>
        <w:separator/>
      </w:r>
    </w:p>
  </w:footnote>
  <w:footnote w:type="continuationSeparator" w:id="0">
    <w:p w14:paraId="39F1D120" w14:textId="77777777" w:rsidR="004812C5" w:rsidRDefault="004812C5" w:rsidP="00A343FF">
      <w:pPr>
        <w:spacing w:after="0" w:line="240" w:lineRule="auto"/>
      </w:pPr>
      <w:r>
        <w:continuationSeparator/>
      </w:r>
    </w:p>
  </w:footnote>
  <w:footnote w:type="continuationNotice" w:id="1">
    <w:p w14:paraId="057A4D7F" w14:textId="77777777" w:rsidR="004812C5" w:rsidRDefault="004812C5">
      <w:pPr>
        <w:spacing w:after="0" w:line="240" w:lineRule="auto"/>
      </w:pPr>
    </w:p>
  </w:footnote>
  <w:footnote w:id="2">
    <w:p w14:paraId="195B0016" w14:textId="77777777" w:rsidR="0053292A" w:rsidRPr="00452C8D" w:rsidRDefault="0053292A" w:rsidP="0053292A">
      <w:pPr>
        <w:pStyle w:val="FootnoteText"/>
        <w:ind w:firstLine="851"/>
        <w:jc w:val="both"/>
        <w:rPr>
          <w:rFonts w:ascii="Cambria" w:hAnsi="Cambria"/>
          <w:color w:val="000000"/>
          <w:sz w:val="16"/>
          <w:szCs w:val="16"/>
          <w:lang w:val="es-ES"/>
        </w:rPr>
      </w:pPr>
      <w:r w:rsidRPr="00452C8D">
        <w:rPr>
          <w:rStyle w:val="FootnoteReference"/>
          <w:rFonts w:ascii="Cambria" w:hAnsi="Cambria"/>
          <w:color w:val="000000"/>
          <w:sz w:val="16"/>
          <w:szCs w:val="16"/>
        </w:rPr>
        <w:footnoteRef/>
      </w:r>
      <w:r w:rsidRPr="00452C8D">
        <w:rPr>
          <w:rFonts w:ascii="Cambria" w:hAnsi="Cambria"/>
          <w:color w:val="000000"/>
          <w:sz w:val="16"/>
          <w:szCs w:val="16"/>
          <w:lang w:val="es-ES"/>
        </w:rPr>
        <w:t xml:space="preserve"> CIDH, Informe No. 105/01, Caso 11.443, Solución Amistosa, Washington Ayora Rodriguez, Ecuador, 11 de octubre de 2001.</w:t>
      </w:r>
    </w:p>
  </w:footnote>
  <w:footnote w:id="3">
    <w:p w14:paraId="531F071C" w14:textId="77777777" w:rsidR="0053292A" w:rsidRPr="00220AB1" w:rsidRDefault="0053292A" w:rsidP="0053292A">
      <w:pPr>
        <w:pStyle w:val="FootnoteText"/>
        <w:ind w:firstLine="851"/>
        <w:jc w:val="both"/>
        <w:rPr>
          <w:lang w:val="es-AR"/>
        </w:rPr>
      </w:pPr>
      <w:r w:rsidRPr="00220AB1">
        <w:rPr>
          <w:rStyle w:val="FootnoteReference"/>
          <w:rFonts w:ascii="Cambria" w:hAnsi="Cambria"/>
          <w:sz w:val="16"/>
          <w:szCs w:val="16"/>
        </w:rPr>
        <w:footnoteRef/>
      </w:r>
      <w:r w:rsidRPr="00220AB1">
        <w:rPr>
          <w:rFonts w:ascii="Cambria" w:hAnsi="Cambria"/>
          <w:sz w:val="16"/>
          <w:szCs w:val="16"/>
          <w:lang w:val="es-AR"/>
        </w:rPr>
        <w:t xml:space="preserve"> </w:t>
      </w:r>
      <w:r w:rsidRPr="00220AB1">
        <w:rPr>
          <w:rFonts w:ascii="Cambria" w:hAnsi="Cambria"/>
          <w:color w:val="000000"/>
          <w:sz w:val="16"/>
          <w:szCs w:val="16"/>
          <w:lang w:val="es-ES"/>
        </w:rPr>
        <w:t xml:space="preserve">Ver CIDH, Informe Anual 2020, Capítulo II, Sección F. Negociación e implementación de acuerdos de solución amistosa. </w:t>
      </w:r>
      <w:r w:rsidRPr="00220AB1">
        <w:rPr>
          <w:rFonts w:ascii="Cambria" w:hAnsi="Cambria"/>
          <w:color w:val="000000"/>
          <w:sz w:val="16"/>
          <w:szCs w:val="16"/>
          <w:lang w:val="es-CO"/>
        </w:rPr>
        <w:t xml:space="preserve">Disponible en: </w:t>
      </w:r>
      <w:hyperlink r:id="rId1" w:history="1">
        <w:r w:rsidRPr="00220AB1">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4C5CCD">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4C5CCD"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511A1"/>
    <w:multiLevelType w:val="hybridMultilevel"/>
    <w:tmpl w:val="D73815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6"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8"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3"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5"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7"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CF5EBA"/>
    <w:multiLevelType w:val="hybridMultilevel"/>
    <w:tmpl w:val="6638EBD0"/>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3C5A978E">
      <w:start w:val="2"/>
      <w:numFmt w:val="upperRoman"/>
      <w:lvlText w:val="%3."/>
      <w:lvlJc w:val="left"/>
      <w:pPr>
        <w:ind w:left="2700" w:hanging="720"/>
      </w:pPr>
      <w:rPr>
        <w:rFonts w:cs="Times New Roman" w:hint="default"/>
        <w:b/>
        <w:bCs/>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8"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4"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4"/>
  </w:num>
  <w:num w:numId="2" w16cid:durableId="2115054450">
    <w:abstractNumId w:val="67"/>
  </w:num>
  <w:num w:numId="3" w16cid:durableId="2032804260">
    <w:abstractNumId w:val="55"/>
  </w:num>
  <w:num w:numId="4" w16cid:durableId="1181504651">
    <w:abstractNumId w:val="17"/>
  </w:num>
  <w:num w:numId="5" w16cid:durableId="267012528">
    <w:abstractNumId w:val="64"/>
  </w:num>
  <w:num w:numId="6" w16cid:durableId="815072793">
    <w:abstractNumId w:val="41"/>
  </w:num>
  <w:num w:numId="7" w16cid:durableId="767195201">
    <w:abstractNumId w:val="14"/>
  </w:num>
  <w:num w:numId="8" w16cid:durableId="537937438">
    <w:abstractNumId w:val="68"/>
  </w:num>
  <w:num w:numId="9" w16cid:durableId="590166390">
    <w:abstractNumId w:val="83"/>
  </w:num>
  <w:num w:numId="10" w16cid:durableId="434254849">
    <w:abstractNumId w:val="88"/>
  </w:num>
  <w:num w:numId="11" w16cid:durableId="1425111347">
    <w:abstractNumId w:val="47"/>
  </w:num>
  <w:num w:numId="12" w16cid:durableId="1735666106">
    <w:abstractNumId w:val="42"/>
  </w:num>
  <w:num w:numId="13" w16cid:durableId="2039433149">
    <w:abstractNumId w:val="60"/>
  </w:num>
  <w:num w:numId="14" w16cid:durableId="1473593858">
    <w:abstractNumId w:val="43"/>
  </w:num>
  <w:num w:numId="15" w16cid:durableId="67269782">
    <w:abstractNumId w:val="66"/>
  </w:num>
  <w:num w:numId="16" w16cid:durableId="1673098059">
    <w:abstractNumId w:val="30"/>
  </w:num>
  <w:num w:numId="17" w16cid:durableId="1660502674">
    <w:abstractNumId w:val="31"/>
  </w:num>
  <w:num w:numId="18" w16cid:durableId="716471371">
    <w:abstractNumId w:val="0"/>
  </w:num>
  <w:num w:numId="19" w16cid:durableId="567351301">
    <w:abstractNumId w:val="76"/>
  </w:num>
  <w:num w:numId="20" w16cid:durableId="777336572">
    <w:abstractNumId w:val="49"/>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7"/>
  </w:num>
  <w:num w:numId="25" w16cid:durableId="2021198761">
    <w:abstractNumId w:val="36"/>
  </w:num>
  <w:num w:numId="26" w16cid:durableId="2112891407">
    <w:abstractNumId w:val="12"/>
  </w:num>
  <w:num w:numId="27" w16cid:durableId="866910735">
    <w:abstractNumId w:val="10"/>
  </w:num>
  <w:num w:numId="28" w16cid:durableId="897519200">
    <w:abstractNumId w:val="97"/>
  </w:num>
  <w:num w:numId="29" w16cid:durableId="966468260">
    <w:abstractNumId w:val="20"/>
  </w:num>
  <w:num w:numId="30" w16cid:durableId="591743685">
    <w:abstractNumId w:val="8"/>
  </w:num>
  <w:num w:numId="31" w16cid:durableId="485172226">
    <w:abstractNumId w:val="26"/>
  </w:num>
  <w:num w:numId="32" w16cid:durableId="199703604">
    <w:abstractNumId w:val="59"/>
  </w:num>
  <w:num w:numId="33" w16cid:durableId="1409696415">
    <w:abstractNumId w:val="62"/>
  </w:num>
  <w:num w:numId="34" w16cid:durableId="39987676">
    <w:abstractNumId w:val="6"/>
  </w:num>
  <w:num w:numId="35" w16cid:durableId="153959048">
    <w:abstractNumId w:val="93"/>
  </w:num>
  <w:num w:numId="36" w16cid:durableId="743573554">
    <w:abstractNumId w:val="48"/>
  </w:num>
  <w:num w:numId="37" w16cid:durableId="89930539">
    <w:abstractNumId w:val="27"/>
  </w:num>
  <w:num w:numId="38" w16cid:durableId="780415954">
    <w:abstractNumId w:val="33"/>
  </w:num>
  <w:num w:numId="39" w16cid:durableId="989748333">
    <w:abstractNumId w:val="73"/>
  </w:num>
  <w:num w:numId="40" w16cid:durableId="287703933">
    <w:abstractNumId w:val="51"/>
  </w:num>
  <w:num w:numId="41" w16cid:durableId="2030989942">
    <w:abstractNumId w:val="58"/>
  </w:num>
  <w:num w:numId="42" w16cid:durableId="2035617381">
    <w:abstractNumId w:val="22"/>
  </w:num>
  <w:num w:numId="43" w16cid:durableId="1875380500">
    <w:abstractNumId w:val="80"/>
  </w:num>
  <w:num w:numId="44" w16cid:durableId="12850466">
    <w:abstractNumId w:val="18"/>
  </w:num>
  <w:num w:numId="45" w16cid:durableId="1548369145">
    <w:abstractNumId w:val="61"/>
  </w:num>
  <w:num w:numId="46" w16cid:durableId="1398935514">
    <w:abstractNumId w:val="3"/>
  </w:num>
  <w:num w:numId="47" w16cid:durableId="1074014659">
    <w:abstractNumId w:val="56"/>
  </w:num>
  <w:num w:numId="48" w16cid:durableId="1238785317">
    <w:abstractNumId w:val="91"/>
  </w:num>
  <w:num w:numId="49" w16cid:durableId="636682874">
    <w:abstractNumId w:val="95"/>
  </w:num>
  <w:num w:numId="50" w16cid:durableId="1033656124">
    <w:abstractNumId w:val="85"/>
  </w:num>
  <w:num w:numId="51" w16cid:durableId="1723094282">
    <w:abstractNumId w:val="45"/>
  </w:num>
  <w:num w:numId="52" w16cid:durableId="959411249">
    <w:abstractNumId w:val="2"/>
  </w:num>
  <w:num w:numId="53" w16cid:durableId="1132944805">
    <w:abstractNumId w:val="28"/>
  </w:num>
  <w:num w:numId="54" w16cid:durableId="1610237121">
    <w:abstractNumId w:val="7"/>
  </w:num>
  <w:num w:numId="55" w16cid:durableId="1359816197">
    <w:abstractNumId w:val="94"/>
  </w:num>
  <w:num w:numId="56" w16cid:durableId="1515998173">
    <w:abstractNumId w:val="70"/>
  </w:num>
  <w:num w:numId="57" w16cid:durableId="498925901">
    <w:abstractNumId w:val="25"/>
  </w:num>
  <w:num w:numId="58" w16cid:durableId="424108781">
    <w:abstractNumId w:val="15"/>
  </w:num>
  <w:num w:numId="59" w16cid:durableId="2058623943">
    <w:abstractNumId w:val="98"/>
  </w:num>
  <w:num w:numId="60" w16cid:durableId="1171480738">
    <w:abstractNumId w:val="7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8"/>
  </w:num>
  <w:num w:numId="63" w16cid:durableId="1202741754">
    <w:abstractNumId w:val="77"/>
  </w:num>
  <w:num w:numId="64" w16cid:durableId="17080098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6"/>
  </w:num>
  <w:num w:numId="67" w16cid:durableId="11963065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4"/>
  </w:num>
  <w:num w:numId="72" w16cid:durableId="6889883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9"/>
  </w:num>
  <w:num w:numId="74" w16cid:durableId="7142333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1"/>
  </w:num>
  <w:num w:numId="76" w16cid:durableId="140811138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4"/>
  </w:num>
  <w:num w:numId="79" w16cid:durableId="1515261719">
    <w:abstractNumId w:val="5"/>
  </w:num>
  <w:num w:numId="80" w16cid:durableId="661003481">
    <w:abstractNumId w:val="79"/>
  </w:num>
  <w:num w:numId="81" w16cid:durableId="1504315678">
    <w:abstractNumId w:val="50"/>
  </w:num>
  <w:num w:numId="82" w16cid:durableId="20017216">
    <w:abstractNumId w:val="86"/>
  </w:num>
  <w:num w:numId="83" w16cid:durableId="6795448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3"/>
  </w:num>
  <w:num w:numId="85" w16cid:durableId="797534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5"/>
  </w:num>
  <w:num w:numId="87" w16cid:durableId="38826666">
    <w:abstractNumId w:val="78"/>
  </w:num>
  <w:num w:numId="88" w16cid:durableId="785151425">
    <w:abstractNumId w:val="65"/>
  </w:num>
  <w:num w:numId="89" w16cid:durableId="1030767985">
    <w:abstractNumId w:val="40"/>
  </w:num>
  <w:num w:numId="90" w16cid:durableId="817109807">
    <w:abstractNumId w:val="21"/>
  </w:num>
  <w:num w:numId="91" w16cid:durableId="435710926">
    <w:abstractNumId w:val="90"/>
  </w:num>
  <w:num w:numId="92" w16cid:durableId="55204699">
    <w:abstractNumId w:val="34"/>
  </w:num>
  <w:num w:numId="93" w16cid:durableId="1763718214">
    <w:abstractNumId w:val="35"/>
  </w:num>
  <w:num w:numId="94" w16cid:durableId="689188302">
    <w:abstractNumId w:val="89"/>
  </w:num>
  <w:num w:numId="95" w16cid:durableId="1926456853">
    <w:abstractNumId w:val="9"/>
  </w:num>
  <w:num w:numId="96" w16cid:durableId="227108902">
    <w:abstractNumId w:val="82"/>
  </w:num>
  <w:num w:numId="97" w16cid:durableId="1358653080">
    <w:abstractNumId w:val="69"/>
  </w:num>
  <w:num w:numId="98" w16cid:durableId="364865914">
    <w:abstractNumId w:val="29"/>
  </w:num>
  <w:num w:numId="99" w16cid:durableId="1287273087">
    <w:abstractNumId w:val="44"/>
  </w:num>
  <w:num w:numId="100" w16cid:durableId="1250583600">
    <w:abstractNumId w:val="37"/>
  </w:num>
  <w:num w:numId="101" w16cid:durableId="1354456027">
    <w:abstractNumId w:val="81"/>
  </w:num>
  <w:num w:numId="102" w16cid:durableId="161162811">
    <w:abstractNumId w:val="13"/>
  </w:num>
  <w:num w:numId="103" w16cid:durableId="271400427">
    <w:abstractNumId w:val="39"/>
  </w:num>
  <w:num w:numId="104" w16cid:durableId="459033289">
    <w:abstractNumId w:val="71"/>
  </w:num>
  <w:num w:numId="105" w16cid:durableId="1692294379">
    <w:abstractNumId w:val="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87D1D"/>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C5CCD"/>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022E"/>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4AD9"/>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1sp/Ecuador1144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2023-03-03T22:09:00Z</dcterms:created>
  <dcterms:modified xsi:type="dcterms:W3CDTF">2023-03-03T22:09:00Z</dcterms:modified>
</cp:coreProperties>
</file>