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43DF" w14:textId="77777777" w:rsidR="0053292A" w:rsidRPr="00030A24" w:rsidRDefault="0053292A" w:rsidP="00030A24">
      <w:pPr>
        <w:spacing w:after="0" w:line="240" w:lineRule="auto"/>
        <w:ind w:right="-270"/>
        <w:jc w:val="center"/>
        <w:rPr>
          <w:rFonts w:ascii="Cambria" w:hAnsi="Cambria"/>
          <w:b/>
          <w:color w:val="000000"/>
          <w:lang w:val="es-CO"/>
        </w:rPr>
      </w:pPr>
    </w:p>
    <w:p w14:paraId="7717DFE5" w14:textId="77777777" w:rsidR="0053292A" w:rsidRPr="00030A24" w:rsidRDefault="0053292A" w:rsidP="00030A24">
      <w:pPr>
        <w:spacing w:after="0" w:line="240" w:lineRule="auto"/>
        <w:ind w:right="-270"/>
        <w:contextualSpacing/>
        <w:jc w:val="both"/>
        <w:rPr>
          <w:rFonts w:ascii="Cambria" w:hAnsi="Cambria"/>
          <w:color w:val="000000"/>
          <w:lang w:val="es-CO"/>
        </w:rPr>
      </w:pPr>
    </w:p>
    <w:p w14:paraId="69F55777"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 xml:space="preserve">FICHA TÉCNICA INFORMATIVA </w:t>
      </w:r>
    </w:p>
    <w:p w14:paraId="04295311"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CASO 11.626 A- FREDY ORESTE CAÑOLA VALENCIA</w:t>
      </w:r>
    </w:p>
    <w:p w14:paraId="406456B1"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INFORME DE SOLUCIÓN AMISTOSA Nº 81/20</w:t>
      </w:r>
    </w:p>
    <w:p w14:paraId="645EA1E2"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ARCHIVO</w:t>
      </w:r>
    </w:p>
    <w:p w14:paraId="1D755649" w14:textId="777E21CC"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(ECUADOR)</w:t>
      </w:r>
    </w:p>
    <w:p w14:paraId="397BF9AC" w14:textId="77777777" w:rsidR="0053292A" w:rsidRPr="00030A24" w:rsidRDefault="0053292A" w:rsidP="00030A24">
      <w:pPr>
        <w:spacing w:after="0" w:line="240" w:lineRule="auto"/>
        <w:ind w:right="-270"/>
        <w:jc w:val="center"/>
        <w:rPr>
          <w:rFonts w:ascii="Cambria" w:hAnsi="Cambria"/>
          <w:b/>
          <w:color w:val="000000"/>
          <w:lang w:val="es-CO"/>
        </w:rPr>
      </w:pPr>
    </w:p>
    <w:p w14:paraId="64261C71" w14:textId="77777777" w:rsidR="0053292A" w:rsidRPr="00030A24" w:rsidRDefault="0053292A" w:rsidP="00030A24">
      <w:pPr>
        <w:numPr>
          <w:ilvl w:val="0"/>
          <w:numId w:val="87"/>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251DF68A" w14:textId="77777777" w:rsidR="0053292A" w:rsidRPr="00030A24" w:rsidRDefault="0053292A" w:rsidP="00030A24">
      <w:pPr>
        <w:spacing w:after="0" w:line="240" w:lineRule="auto"/>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296A52" w14:paraId="6A53A8E1" w14:textId="77777777" w:rsidTr="00550EB8">
        <w:trPr>
          <w:trHeight w:val="5723"/>
          <w:jc w:val="center"/>
        </w:trPr>
        <w:tc>
          <w:tcPr>
            <w:tcW w:w="9576" w:type="dxa"/>
            <w:shd w:val="clear" w:color="auto" w:fill="F2F2F2"/>
          </w:tcPr>
          <w:p w14:paraId="0987DDA9"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Fredy Oreste Cañola Valencia</w:t>
            </w:r>
          </w:p>
          <w:p w14:paraId="3C4F417C"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47900884"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7BA37AF4"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Fecha de inicio de las negociaciones: </w:t>
            </w:r>
            <w:r w:rsidRPr="00030A24">
              <w:rPr>
                <w:rFonts w:ascii="Cambria" w:hAnsi="Cambria"/>
                <w:color w:val="000000"/>
                <w:lang w:val="es-CO"/>
              </w:rPr>
              <w:t>11 de junio de 1999</w:t>
            </w:r>
          </w:p>
          <w:p w14:paraId="49B0DC06"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11 de junio de 1999</w:t>
            </w:r>
          </w:p>
          <w:p w14:paraId="20F5B5E9" w14:textId="77777777" w:rsidR="0053292A" w:rsidRPr="00030A24" w:rsidRDefault="0053292A" w:rsidP="00030A24">
            <w:pPr>
              <w:tabs>
                <w:tab w:val="left" w:pos="9270"/>
              </w:tabs>
              <w:spacing w:after="0" w:line="240" w:lineRule="auto"/>
              <w:jc w:val="both"/>
              <w:rPr>
                <w:rFonts w:ascii="Cambria" w:hAnsi="Cambria"/>
                <w:b/>
                <w:color w:val="000000"/>
                <w:lang w:val="es-CO"/>
              </w:rPr>
            </w:pPr>
            <w:r w:rsidRPr="00030A24">
              <w:rPr>
                <w:rFonts w:ascii="Cambria" w:hAnsi="Cambria"/>
                <w:b/>
                <w:color w:val="000000"/>
                <w:lang w:val="es-CO"/>
              </w:rPr>
              <w:t xml:space="preserve">Informe de Acuerdo de Solución Amistosa </w:t>
            </w:r>
            <w:r w:rsidRPr="00030A24">
              <w:rPr>
                <w:rFonts w:ascii="Cambria" w:hAnsi="Cambria"/>
                <w:color w:val="000000"/>
                <w:lang w:val="es-CO"/>
              </w:rPr>
              <w:t xml:space="preserve">Nº </w:t>
            </w:r>
            <w:hyperlink r:id="rId13" w:history="1">
              <w:r w:rsidRPr="00030A24">
                <w:rPr>
                  <w:rFonts w:ascii="Cambria" w:hAnsi="Cambria"/>
                  <w:b/>
                  <w:u w:val="single"/>
                  <w:lang w:val="es-CO"/>
                </w:rPr>
                <w:t>81/20</w:t>
              </w:r>
            </w:hyperlink>
            <w:r w:rsidRPr="00030A24">
              <w:rPr>
                <w:rFonts w:ascii="Cambria" w:hAnsi="Cambria"/>
                <w:color w:val="000000"/>
                <w:lang w:val="es-CO"/>
              </w:rPr>
              <w:t>, publicado el 1 de junio de 2020</w:t>
            </w:r>
          </w:p>
          <w:p w14:paraId="0D507C6C"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21 años</w:t>
            </w:r>
          </w:p>
          <w:p w14:paraId="63C1E75E"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20D5DA77"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Temas: </w:t>
            </w:r>
            <w:r w:rsidRPr="00030A24">
              <w:rPr>
                <w:rFonts w:ascii="Cambria" w:hAnsi="Cambria"/>
                <w:color w:val="000000"/>
                <w:lang w:val="es-CO"/>
              </w:rPr>
              <w:t>Derecho a la Vida/ Desaparición forzada/ Detención arbitraria o ilegal/</w:t>
            </w:r>
            <w:r w:rsidRPr="00030A24">
              <w:rPr>
                <w:rFonts w:ascii="Cambria" w:hAnsi="Cambria"/>
                <w:b/>
                <w:color w:val="000000"/>
                <w:lang w:val="es-CO"/>
              </w:rPr>
              <w:t xml:space="preserve"> </w:t>
            </w:r>
            <w:r w:rsidRPr="00030A24">
              <w:rPr>
                <w:rFonts w:ascii="Cambria" w:hAnsi="Cambria"/>
                <w:color w:val="000000"/>
                <w:lang w:val="es-CO"/>
              </w:rPr>
              <w:t>Garantías Judiciales/</w:t>
            </w:r>
            <w:r w:rsidRPr="00030A24">
              <w:rPr>
                <w:rFonts w:ascii="Cambria" w:hAnsi="Cambria"/>
                <w:b/>
                <w:color w:val="000000"/>
                <w:lang w:val="es-CO"/>
              </w:rPr>
              <w:t xml:space="preserve"> </w:t>
            </w:r>
            <w:r w:rsidRPr="00030A24">
              <w:rPr>
                <w:rFonts w:ascii="Cambria" w:hAnsi="Cambria"/>
                <w:color w:val="000000"/>
                <w:lang w:val="es-CO"/>
              </w:rPr>
              <w:t>Investigación y Debida Diligencia/ Protección judicial/ Seguridad y Violencia/ Torturas, tratos crueles inhumanos y/o degradantes/ Violencia Policial</w:t>
            </w:r>
          </w:p>
          <w:p w14:paraId="472ACE7D"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color w:val="000000"/>
                <w:lang w:val="es-CO"/>
              </w:rPr>
              <w:t xml:space="preserve"> </w:t>
            </w:r>
          </w:p>
          <w:p w14:paraId="50406148"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La parte peticionaria alegó que el 12 de abril de 1993 la presunta víctima habría sido detenida por la policía por estar presuntamente involucrado en la muerte de un policía. Luego de la detención habría sido trasladado hacia Viche y posteriormente trasladado hacia Esmeraldas, donde dos horas más tarde habría sido encontrado en el cementerio de la ciudad su cadáver sin vida y con señales de tortura e impactos de balas. Adicionalmente, la parte peticionaria informó que en mayo de 1994 presentó una acusación particular y que con posterioridad se llevó a cabo un juicio penal ante el Juzgado Cuarto de lo Penal de Quinindé y que el Juez habría “abandonado la causa penal”. Asimismo, informó que habría denunciado el abandono de la causa penal ante el Comité de Derechos Humanos de Esmeraldas y que, al momento de la petición, la causa se encontraba pendiente ante la Corte Superior de Esmeraldas.</w:t>
            </w:r>
          </w:p>
          <w:p w14:paraId="50E0F91F"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61C1FEAA"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Derechos alegados: </w:t>
            </w:r>
            <w:r w:rsidRPr="00030A24">
              <w:rPr>
                <w:rFonts w:ascii="Cambria" w:hAnsi="Cambria"/>
                <w:color w:val="000000"/>
                <w:lang w:val="es-CO"/>
              </w:rPr>
              <w:t>Los peticionarios alegaron que la República de Ecuador violó los artículos 4 (derecho a la vida), 7 (derecho a la libertad Personal), 8 (garantías judiciales) y 25 (protección judicial) de la Convención Americana, con relación al artículo 1.1 del mismo instrumento.</w:t>
            </w:r>
          </w:p>
        </w:tc>
      </w:tr>
    </w:tbl>
    <w:p w14:paraId="2682B9E0" w14:textId="77777777" w:rsidR="0053292A" w:rsidRPr="00030A24" w:rsidRDefault="0053292A" w:rsidP="00030A24">
      <w:pPr>
        <w:spacing w:after="0" w:line="240" w:lineRule="auto"/>
        <w:ind w:right="-270"/>
        <w:contextualSpacing/>
        <w:jc w:val="both"/>
        <w:rPr>
          <w:rFonts w:ascii="Cambria" w:hAnsi="Cambria"/>
          <w:b/>
          <w:color w:val="000000"/>
          <w:lang w:val="es-CO"/>
        </w:rPr>
      </w:pPr>
    </w:p>
    <w:p w14:paraId="00217CB4" w14:textId="77777777" w:rsidR="0053292A" w:rsidRPr="00030A24" w:rsidRDefault="0053292A" w:rsidP="00030A24">
      <w:pPr>
        <w:numPr>
          <w:ilvl w:val="0"/>
          <w:numId w:val="87"/>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1FB9ACF4"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312CE2E3" w14:textId="57AD7EE5" w:rsidR="0053292A" w:rsidRPr="00030A24" w:rsidRDefault="0053292A" w:rsidP="00030A24">
      <w:pPr>
        <w:numPr>
          <w:ilvl w:val="0"/>
          <w:numId w:val="88"/>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junio de 1999</w:t>
      </w:r>
      <w:r w:rsidR="00BF69C4"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2208E2F4" w14:textId="77777777" w:rsidR="0053292A" w:rsidRPr="00030A24" w:rsidRDefault="0053292A" w:rsidP="00030A24">
      <w:pPr>
        <w:spacing w:after="0" w:line="240" w:lineRule="auto"/>
        <w:ind w:firstLine="720"/>
        <w:jc w:val="both"/>
        <w:rPr>
          <w:rFonts w:ascii="Cambria" w:hAnsi="Cambria" w:cs="Calibri Light"/>
          <w:color w:val="000000"/>
          <w:lang w:val="es-CO"/>
        </w:rPr>
      </w:pPr>
    </w:p>
    <w:p w14:paraId="49F75EDE" w14:textId="77777777" w:rsidR="0053292A" w:rsidRPr="00030A24" w:rsidRDefault="0053292A" w:rsidP="00030A24">
      <w:pPr>
        <w:numPr>
          <w:ilvl w:val="0"/>
          <w:numId w:val="88"/>
        </w:numPr>
        <w:spacing w:after="0" w:line="240" w:lineRule="auto"/>
        <w:ind w:left="0" w:firstLine="720"/>
        <w:jc w:val="both"/>
        <w:rPr>
          <w:rFonts w:ascii="Cambria" w:hAnsi="Cambria"/>
          <w:color w:val="000000"/>
          <w:lang w:val="es-CO"/>
        </w:rPr>
      </w:pPr>
      <w:r w:rsidRPr="00030A24">
        <w:rPr>
          <w:rFonts w:ascii="Cambria" w:hAnsi="Cambria"/>
          <w:color w:val="000000"/>
          <w:lang w:val="es-CO"/>
        </w:rPr>
        <w:t>El 1 de junio de 2020, la Comisión aprobó el acuerdo de solución amistosa, mediante informe No. 81/20.</w:t>
      </w:r>
    </w:p>
    <w:p w14:paraId="31FF3547" w14:textId="77777777" w:rsidR="0053292A" w:rsidRPr="00030A24" w:rsidRDefault="0053292A" w:rsidP="00030A24">
      <w:pPr>
        <w:spacing w:after="0" w:line="240" w:lineRule="auto"/>
        <w:ind w:firstLine="720"/>
        <w:jc w:val="both"/>
        <w:rPr>
          <w:rFonts w:ascii="Cambria" w:eastAsia="Batang" w:hAnsi="Cambria" w:cs="Calibri Light"/>
          <w:color w:val="000000"/>
          <w:lang w:val="es-CO"/>
        </w:rPr>
      </w:pPr>
    </w:p>
    <w:p w14:paraId="26ABBB56" w14:textId="77777777" w:rsidR="0053292A" w:rsidRPr="00030A24" w:rsidRDefault="0053292A" w:rsidP="00030A24">
      <w:pPr>
        <w:spacing w:after="0" w:line="240" w:lineRule="auto"/>
        <w:ind w:firstLine="720"/>
        <w:jc w:val="both"/>
        <w:rPr>
          <w:rFonts w:ascii="Cambria" w:eastAsia="Batang" w:hAnsi="Cambria" w:cs="Calibri Light"/>
          <w:color w:val="000000"/>
          <w:lang w:val="es-CO"/>
        </w:rPr>
      </w:pPr>
    </w:p>
    <w:p w14:paraId="253EA437" w14:textId="77777777" w:rsidR="0053292A" w:rsidRPr="00030A24" w:rsidRDefault="0053292A" w:rsidP="00030A24">
      <w:pPr>
        <w:spacing w:after="0" w:line="240" w:lineRule="auto"/>
        <w:ind w:firstLine="720"/>
        <w:jc w:val="both"/>
        <w:rPr>
          <w:rFonts w:ascii="Cambria" w:eastAsia="Batang" w:hAnsi="Cambria" w:cs="Calibri Light"/>
          <w:color w:val="000000"/>
          <w:lang w:val="es-CO"/>
        </w:rPr>
      </w:pPr>
    </w:p>
    <w:p w14:paraId="6F2EA0E1" w14:textId="77777777" w:rsidR="0053292A" w:rsidRPr="00030A24" w:rsidRDefault="0053292A" w:rsidP="00030A24">
      <w:pPr>
        <w:spacing w:after="0" w:line="240" w:lineRule="auto"/>
        <w:ind w:firstLine="720"/>
        <w:jc w:val="both"/>
        <w:rPr>
          <w:rFonts w:ascii="Cambria" w:eastAsia="Batang" w:hAnsi="Cambria" w:cs="Calibri Light"/>
          <w:color w:val="000000"/>
          <w:lang w:val="es-CO"/>
        </w:rPr>
      </w:pPr>
    </w:p>
    <w:p w14:paraId="6ADEBBD7" w14:textId="77777777" w:rsidR="0053292A" w:rsidRPr="00030A24" w:rsidRDefault="0053292A" w:rsidP="00030A24">
      <w:pPr>
        <w:spacing w:after="0" w:line="240" w:lineRule="auto"/>
        <w:ind w:firstLine="720"/>
        <w:jc w:val="both"/>
        <w:rPr>
          <w:rFonts w:ascii="Cambria" w:eastAsia="Batang" w:hAnsi="Cambria" w:cs="Calibri Light"/>
          <w:color w:val="000000"/>
          <w:lang w:val="es-CO"/>
        </w:rPr>
      </w:pPr>
    </w:p>
    <w:p w14:paraId="7DD91AB7" w14:textId="77777777" w:rsidR="0053292A" w:rsidRPr="00030A24" w:rsidRDefault="0053292A" w:rsidP="00030A24">
      <w:pPr>
        <w:spacing w:after="0" w:line="240" w:lineRule="auto"/>
        <w:ind w:firstLine="720"/>
        <w:jc w:val="both"/>
        <w:rPr>
          <w:rFonts w:ascii="Cambria" w:eastAsia="Batang" w:hAnsi="Cambria" w:cs="Calibri Light"/>
          <w:color w:val="000000"/>
          <w:lang w:val="es-CO"/>
        </w:rPr>
      </w:pPr>
    </w:p>
    <w:p w14:paraId="0CE2E92D" w14:textId="77777777" w:rsidR="0053292A" w:rsidRPr="00030A24" w:rsidRDefault="0053292A" w:rsidP="00030A24">
      <w:pPr>
        <w:spacing w:after="0" w:line="240" w:lineRule="auto"/>
        <w:ind w:firstLine="720"/>
        <w:jc w:val="both"/>
        <w:rPr>
          <w:rFonts w:ascii="Cambria" w:hAnsi="Cambria"/>
          <w:color w:val="000000"/>
          <w:lang w:val="es-CO"/>
        </w:rPr>
      </w:pPr>
    </w:p>
    <w:p w14:paraId="78181F36" w14:textId="77777777" w:rsidR="0053292A" w:rsidRPr="00030A24" w:rsidRDefault="0053292A" w:rsidP="00030A24">
      <w:pPr>
        <w:numPr>
          <w:ilvl w:val="0"/>
          <w:numId w:val="87"/>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50725FD7" w14:textId="77777777" w:rsidR="0053292A" w:rsidRPr="00030A24" w:rsidRDefault="0053292A" w:rsidP="00030A24">
      <w:pPr>
        <w:spacing w:after="0" w:line="240" w:lineRule="auto"/>
        <w:rPr>
          <w:rFonts w:ascii="Cambria" w:hAnsi="Cambria"/>
          <w:color w:val="000000"/>
          <w:lang w:val="es-CO"/>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1709"/>
      </w:tblGrid>
      <w:tr w:rsidR="00035E03" w:rsidRPr="00030A24" w14:paraId="0EE6D421" w14:textId="77777777" w:rsidTr="00A74E0B">
        <w:trPr>
          <w:jc w:val="center"/>
        </w:trPr>
        <w:tc>
          <w:tcPr>
            <w:tcW w:w="78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C3BEA3"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1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753108"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296A52" w14:paraId="5EAD72E3" w14:textId="77777777" w:rsidTr="00035E03">
        <w:trPr>
          <w:trHeight w:val="526"/>
          <w:jc w:val="center"/>
        </w:trPr>
        <w:tc>
          <w:tcPr>
            <w:tcW w:w="9539" w:type="dxa"/>
            <w:gridSpan w:val="2"/>
            <w:tcBorders>
              <w:top w:val="single" w:sz="4" w:space="0" w:color="auto"/>
              <w:left w:val="single" w:sz="4" w:space="0" w:color="auto"/>
              <w:right w:val="single" w:sz="4" w:space="0" w:color="auto"/>
            </w:tcBorders>
            <w:vAlign w:val="center"/>
          </w:tcPr>
          <w:p w14:paraId="062BF046"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CLAUSULA 3. RESPONSABILIDAD DEL ESTADO Y ALLANAMIENTO</w:t>
            </w:r>
          </w:p>
        </w:tc>
      </w:tr>
      <w:tr w:rsidR="0053292A" w:rsidRPr="00030A24" w14:paraId="7C97C567" w14:textId="77777777" w:rsidTr="00035E03">
        <w:trPr>
          <w:trHeight w:val="2015"/>
          <w:jc w:val="center"/>
        </w:trPr>
        <w:tc>
          <w:tcPr>
            <w:tcW w:w="7830" w:type="dxa"/>
            <w:tcBorders>
              <w:top w:val="single" w:sz="4" w:space="0" w:color="auto"/>
              <w:left w:val="single" w:sz="4" w:space="0" w:color="auto"/>
              <w:bottom w:val="single" w:sz="4" w:space="0" w:color="auto"/>
              <w:right w:val="single" w:sz="4" w:space="0" w:color="auto"/>
            </w:tcBorders>
          </w:tcPr>
          <w:p w14:paraId="3F1D56EA" w14:textId="4864AFC2" w:rsidR="0053292A" w:rsidRPr="00030A24" w:rsidRDefault="0053292A"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 xml:space="preserve">El Estado Ecuatoriano reconoce su responsabilidad internacional por haber transgredido los derechos humanos del señor Fredy Oreste Cañola Valencia, reconocidos en los Artículos 4 (Derecho a la Vida), Artículo 7 (Derecho a la libertad Personal), Articulo 8 (Garantías Judiciales), Artículo 25 (Protección Judicial) y a su vez la obligación general contenida en el Art. 1.1. de la Convención Americana sobre Derechos Humanos y otros instrumentos internacionales, siendo dichas violaciones cometidas por agentes del Estado, hechos que no ha podido ser desvirtuados por el Estado y ha generado la responsabilidad de este frente a la sociedad. 3 </w:t>
            </w:r>
            <w:r w:rsidRPr="00030A24">
              <w:rPr>
                <w:rFonts w:ascii="Cambria" w:eastAsia="Times New Roman" w:hAnsi="Cambria"/>
                <w:bCs/>
                <w:color w:val="000000"/>
                <w:kern w:val="36"/>
                <w:lang w:val="es-CO"/>
              </w:rPr>
              <w:t>con</w:t>
            </w:r>
            <w:r w:rsidRPr="00030A24">
              <w:rPr>
                <w:rFonts w:ascii="Cambria" w:hAnsi="Cambria"/>
                <w:color w:val="000000"/>
                <w:kern w:val="36"/>
                <w:lang w:val="es-CO"/>
              </w:rPr>
              <w:t xml:space="preserve"> estos antecedentes el Estado Ecuatoriano se allana a los hechos constitutivos del Caso No.11.626, que se encuentra en trámite ante la Comisión Interamericana de Derechos Humanos y se obliga a asumir las medidas reparadoras necesarias a fin de resarcir los perjuicios ocasionados a la víctima de tales violaciones o en su defecto a sus causahabientes.</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39C30CA"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Cláusula Declarativa</w:t>
            </w:r>
          </w:p>
          <w:p w14:paraId="7A0890CB" w14:textId="77777777" w:rsidR="0053292A" w:rsidRPr="00030A24" w:rsidRDefault="0053292A" w:rsidP="00030A24">
            <w:pPr>
              <w:spacing w:after="0" w:line="240" w:lineRule="auto"/>
              <w:jc w:val="both"/>
              <w:rPr>
                <w:rFonts w:ascii="Cambria" w:hAnsi="Cambria"/>
                <w:b/>
                <w:color w:val="000000"/>
                <w:lang w:val="es-CO"/>
              </w:rPr>
            </w:pPr>
          </w:p>
          <w:p w14:paraId="35A7ACAA" w14:textId="77777777" w:rsidR="0053292A" w:rsidRPr="00030A24" w:rsidRDefault="0053292A" w:rsidP="00030A24">
            <w:pPr>
              <w:spacing w:after="0" w:line="240" w:lineRule="auto"/>
              <w:jc w:val="both"/>
              <w:rPr>
                <w:rFonts w:ascii="Cambria" w:hAnsi="Cambria"/>
                <w:b/>
                <w:color w:val="000000"/>
                <w:lang w:val="es-CO"/>
              </w:rPr>
            </w:pPr>
          </w:p>
        </w:tc>
      </w:tr>
      <w:tr w:rsidR="0053292A" w:rsidRPr="00030A24" w14:paraId="08094007" w14:textId="77777777" w:rsidTr="00035E03">
        <w:trPr>
          <w:trHeight w:val="288"/>
          <w:jc w:val="center"/>
        </w:trPr>
        <w:tc>
          <w:tcPr>
            <w:tcW w:w="9539" w:type="dxa"/>
            <w:gridSpan w:val="2"/>
            <w:tcBorders>
              <w:top w:val="single" w:sz="4" w:space="0" w:color="auto"/>
              <w:left w:val="single" w:sz="4" w:space="0" w:color="auto"/>
              <w:bottom w:val="single" w:sz="4" w:space="0" w:color="auto"/>
              <w:right w:val="single" w:sz="4" w:space="0" w:color="auto"/>
            </w:tcBorders>
          </w:tcPr>
          <w:p w14:paraId="657D03D7"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CLÁUSULA 4. INDEMNIZACIÓN </w:t>
            </w:r>
          </w:p>
        </w:tc>
      </w:tr>
      <w:tr w:rsidR="0053292A" w:rsidRPr="00030A24" w14:paraId="359E96C8" w14:textId="77777777" w:rsidTr="00035E03">
        <w:trPr>
          <w:trHeight w:val="672"/>
          <w:jc w:val="center"/>
        </w:trPr>
        <w:tc>
          <w:tcPr>
            <w:tcW w:w="7830" w:type="dxa"/>
            <w:tcBorders>
              <w:top w:val="single" w:sz="4" w:space="0" w:color="auto"/>
              <w:left w:val="single" w:sz="4" w:space="0" w:color="auto"/>
              <w:bottom w:val="single" w:sz="4" w:space="0" w:color="auto"/>
              <w:right w:val="single" w:sz="4" w:space="0" w:color="auto"/>
            </w:tcBorders>
          </w:tcPr>
          <w:p w14:paraId="65E9F5C0" w14:textId="77777777" w:rsidR="0053292A" w:rsidRPr="00030A24" w:rsidRDefault="0053292A"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No. 1, vigente desde el 11 de Agosto de 1998, entrega la señora Gladys Mariela Bularios Pazmiño, en representación del señor Fredy Oreste Cañola Valencia, fallecido, al tenor de lo previsto en los artículos l045 y 1052 del Código Civil, una indemnización compensatoria por una sola vez, de quince mil dólares de los Estados Unidos de Norteamérica (US 15.000) o su equivalente en moneda nacional, calculado al tipo de cambio vigente al momento del pago, con cargo al Presupuesto General del Estado. […]</w:t>
            </w:r>
          </w:p>
        </w:tc>
        <w:tc>
          <w:tcPr>
            <w:tcW w:w="1709" w:type="dxa"/>
            <w:tcBorders>
              <w:top w:val="single" w:sz="4" w:space="0" w:color="auto"/>
              <w:left w:val="single" w:sz="4" w:space="0" w:color="auto"/>
              <w:bottom w:val="single" w:sz="4" w:space="0" w:color="auto"/>
              <w:right w:val="single" w:sz="4" w:space="0" w:color="auto"/>
            </w:tcBorders>
            <w:vAlign w:val="center"/>
          </w:tcPr>
          <w:p w14:paraId="5B85C334" w14:textId="77777777" w:rsidR="0053292A" w:rsidRPr="00030A24" w:rsidRDefault="0053292A" w:rsidP="00030A24">
            <w:pPr>
              <w:spacing w:after="0" w:line="240" w:lineRule="auto"/>
              <w:jc w:val="center"/>
              <w:rPr>
                <w:rFonts w:ascii="Cambria" w:hAnsi="Cambria"/>
                <w:b/>
                <w:color w:val="000000"/>
                <w:vertAlign w:val="superscript"/>
                <w:lang w:val="es-CO"/>
              </w:rPr>
            </w:pPr>
            <w:r w:rsidRPr="00030A24">
              <w:rPr>
                <w:rFonts w:ascii="Cambria" w:hAnsi="Cambria"/>
                <w:b/>
                <w:color w:val="000000"/>
                <w:lang w:val="es-CO"/>
              </w:rPr>
              <w:t>Total</w:t>
            </w:r>
            <w:r w:rsidRPr="00030A24">
              <w:rPr>
                <w:rFonts w:ascii="Cambria" w:hAnsi="Cambria"/>
                <w:b/>
                <w:color w:val="000000"/>
                <w:vertAlign w:val="superscript"/>
                <w:lang w:val="es-CO"/>
              </w:rPr>
              <w:footnoteReference w:id="2"/>
            </w:r>
          </w:p>
        </w:tc>
      </w:tr>
      <w:tr w:rsidR="0053292A" w:rsidRPr="00030A24" w14:paraId="696D143A" w14:textId="77777777" w:rsidTr="00035E03">
        <w:trPr>
          <w:trHeight w:val="228"/>
          <w:jc w:val="center"/>
        </w:trPr>
        <w:tc>
          <w:tcPr>
            <w:tcW w:w="9539" w:type="dxa"/>
            <w:gridSpan w:val="2"/>
            <w:tcBorders>
              <w:top w:val="single" w:sz="4" w:space="0" w:color="auto"/>
              <w:left w:val="single" w:sz="4" w:space="0" w:color="auto"/>
              <w:bottom w:val="single" w:sz="4" w:space="0" w:color="auto"/>
              <w:right w:val="single" w:sz="4" w:space="0" w:color="auto"/>
            </w:tcBorders>
          </w:tcPr>
          <w:p w14:paraId="200B37EC" w14:textId="77777777" w:rsidR="0053292A" w:rsidRPr="00030A24" w:rsidRDefault="0053292A" w:rsidP="00030A24">
            <w:pPr>
              <w:spacing w:after="0" w:line="240" w:lineRule="auto"/>
              <w:ind w:right="72"/>
              <w:jc w:val="both"/>
              <w:rPr>
                <w:rFonts w:ascii="Cambria" w:hAnsi="Cambria"/>
                <w:b/>
                <w:color w:val="000000"/>
                <w:kern w:val="36"/>
                <w:lang w:val="es-CO"/>
              </w:rPr>
            </w:pPr>
            <w:r w:rsidRPr="00030A24">
              <w:rPr>
                <w:rFonts w:ascii="Cambria" w:hAnsi="Cambria"/>
                <w:b/>
                <w:color w:val="000000"/>
                <w:kern w:val="36"/>
                <w:lang w:val="es-CO"/>
              </w:rPr>
              <w:t>CLAUSULA 5. SANCIÓN DE RESPONSABLES</w:t>
            </w:r>
          </w:p>
        </w:tc>
      </w:tr>
      <w:tr w:rsidR="00035E03" w:rsidRPr="00030A24" w14:paraId="422EC960" w14:textId="77777777" w:rsidTr="00035E03">
        <w:trPr>
          <w:trHeight w:val="58"/>
          <w:jc w:val="center"/>
        </w:trPr>
        <w:tc>
          <w:tcPr>
            <w:tcW w:w="7830" w:type="dxa"/>
            <w:tcBorders>
              <w:top w:val="single" w:sz="4" w:space="0" w:color="auto"/>
              <w:left w:val="single" w:sz="4" w:space="0" w:color="auto"/>
              <w:right w:val="single" w:sz="4" w:space="0" w:color="auto"/>
            </w:tcBorders>
          </w:tcPr>
          <w:p w14:paraId="6108EFAA" w14:textId="77777777" w:rsidR="00035E03" w:rsidRPr="00030A24" w:rsidRDefault="00035E03"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 xml:space="preserve">El Estado Ecuatoriano, se compromete al enjuiciamiento tanto civil como penal y a la búsqueda de las sanciones administrativas de las personas que, en cumplimiento de funciones estatales o prevalidos del poder público, se presume que tuvieron participación en la violación alegada. La Procuraduría General del Estado se compromete a excitar tanto a la Ministra Fiscal General del Estado, organismos competentes de la Función Judicial, como a los organismos públicos o privados para que aporten información legalmente respaldada que permita establecer la responsabilidad de dichas personas. De haber lugar, este </w:t>
            </w:r>
            <w:r w:rsidRPr="00030A24">
              <w:rPr>
                <w:rFonts w:ascii="Cambria" w:hAnsi="Cambria"/>
                <w:color w:val="000000"/>
                <w:kern w:val="36"/>
                <w:lang w:val="es-CO"/>
              </w:rPr>
              <w:lastRenderedPageBreak/>
              <w:t>enjuiciamiento se realizará con sujeción al ordenamiento constitucional y legal del Estado Ecuatoriano.</w:t>
            </w:r>
          </w:p>
        </w:tc>
        <w:tc>
          <w:tcPr>
            <w:tcW w:w="1709" w:type="dxa"/>
            <w:tcBorders>
              <w:top w:val="single" w:sz="4" w:space="0" w:color="auto"/>
              <w:left w:val="single" w:sz="4" w:space="0" w:color="auto"/>
              <w:right w:val="single" w:sz="4" w:space="0" w:color="auto"/>
            </w:tcBorders>
            <w:vAlign w:val="center"/>
          </w:tcPr>
          <w:p w14:paraId="2EDF28D9" w14:textId="0C60F06E" w:rsidR="00035E03" w:rsidRPr="00030A24" w:rsidRDefault="00035E03" w:rsidP="00030A24">
            <w:pPr>
              <w:spacing w:after="0" w:line="240" w:lineRule="auto"/>
              <w:jc w:val="center"/>
              <w:rPr>
                <w:rFonts w:ascii="Cambria" w:hAnsi="Cambria"/>
                <w:lang w:val="es-CO"/>
              </w:rPr>
            </w:pPr>
            <w:r w:rsidRPr="00030A24">
              <w:rPr>
                <w:rFonts w:ascii="Cambria" w:hAnsi="Cambria"/>
                <w:b/>
                <w:color w:val="000000"/>
                <w:lang w:val="es-CO"/>
              </w:rPr>
              <w:lastRenderedPageBreak/>
              <w:t>Incumplido</w:t>
            </w:r>
            <w:r w:rsidRPr="00030A24">
              <w:rPr>
                <w:rStyle w:val="FootnoteReference"/>
                <w:rFonts w:ascii="Cambria" w:hAnsi="Cambria"/>
                <w:b/>
                <w:color w:val="000000"/>
                <w:lang w:val="es-CO"/>
              </w:rPr>
              <w:footnoteReference w:id="3"/>
            </w:r>
          </w:p>
        </w:tc>
      </w:tr>
      <w:tr w:rsidR="0053292A" w:rsidRPr="00030A24" w14:paraId="51B9E1FC" w14:textId="77777777" w:rsidTr="00035E03">
        <w:trPr>
          <w:trHeight w:val="300"/>
          <w:jc w:val="center"/>
        </w:trPr>
        <w:tc>
          <w:tcPr>
            <w:tcW w:w="9539" w:type="dxa"/>
            <w:gridSpan w:val="2"/>
            <w:tcBorders>
              <w:top w:val="single" w:sz="4" w:space="0" w:color="auto"/>
              <w:left w:val="single" w:sz="4" w:space="0" w:color="auto"/>
              <w:right w:val="single" w:sz="4" w:space="0" w:color="auto"/>
            </w:tcBorders>
          </w:tcPr>
          <w:p w14:paraId="093F0545" w14:textId="77777777" w:rsidR="0053292A" w:rsidRPr="00030A24" w:rsidRDefault="0053292A" w:rsidP="00030A24">
            <w:pPr>
              <w:spacing w:after="0" w:line="240" w:lineRule="auto"/>
              <w:jc w:val="both"/>
              <w:rPr>
                <w:rFonts w:ascii="Cambria" w:hAnsi="Cambria"/>
                <w:lang w:val="es-CO"/>
              </w:rPr>
            </w:pPr>
            <w:r w:rsidRPr="00030A24">
              <w:rPr>
                <w:rFonts w:ascii="Cambria" w:hAnsi="Cambria"/>
                <w:b/>
                <w:color w:val="000000"/>
                <w:kern w:val="36"/>
                <w:lang w:val="es-CO"/>
              </w:rPr>
              <w:t>CLÁUSULA 6. DERECHO DE REPETICIÓN</w:t>
            </w:r>
          </w:p>
        </w:tc>
      </w:tr>
      <w:tr w:rsidR="0053292A" w:rsidRPr="00030A24" w14:paraId="35870EC1" w14:textId="77777777" w:rsidTr="00035E03">
        <w:trPr>
          <w:trHeight w:val="1520"/>
          <w:jc w:val="center"/>
        </w:trPr>
        <w:tc>
          <w:tcPr>
            <w:tcW w:w="7830" w:type="dxa"/>
            <w:tcBorders>
              <w:top w:val="single" w:sz="4" w:space="0" w:color="auto"/>
              <w:left w:val="single" w:sz="4" w:space="0" w:color="auto"/>
              <w:right w:val="single" w:sz="4" w:space="0" w:color="auto"/>
            </w:tcBorders>
          </w:tcPr>
          <w:p w14:paraId="631F6A0B" w14:textId="77777777" w:rsidR="0053292A" w:rsidRPr="00030A24" w:rsidRDefault="0053292A"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El Estado Ecuatoriano se reserva el Derecho de Repetición conforme al Art. 22 de la Constitución Política de la República del Ecuador, contra aquellas personas que resulten responsables de la violación a los derechos humanos mediante sentencia definitiva, firme, dictada por los tribunales del país o cuando se hubieren determinado responsabilidades administrativas, de conformidad con el artículo 8 de la Convención Americana sobre Derechos Humanos.</w:t>
            </w:r>
          </w:p>
        </w:tc>
        <w:tc>
          <w:tcPr>
            <w:tcW w:w="1709" w:type="dxa"/>
            <w:tcBorders>
              <w:top w:val="single" w:sz="4" w:space="0" w:color="auto"/>
              <w:left w:val="single" w:sz="4" w:space="0" w:color="auto"/>
              <w:right w:val="single" w:sz="4" w:space="0" w:color="auto"/>
            </w:tcBorders>
            <w:vAlign w:val="center"/>
          </w:tcPr>
          <w:p w14:paraId="47341E9C" w14:textId="75BCEAAB" w:rsidR="0053292A" w:rsidRPr="00030A24" w:rsidRDefault="0053292A" w:rsidP="00030A24">
            <w:pPr>
              <w:spacing w:after="0" w:line="240" w:lineRule="auto"/>
              <w:jc w:val="center"/>
              <w:rPr>
                <w:rFonts w:ascii="Cambria" w:hAnsi="Cambria"/>
                <w:lang w:val="es-CO"/>
              </w:rPr>
            </w:pPr>
            <w:r w:rsidRPr="00030A24">
              <w:rPr>
                <w:rFonts w:ascii="Cambria" w:hAnsi="Cambria"/>
                <w:b/>
                <w:lang w:val="es-CO"/>
              </w:rPr>
              <w:t>Cláusula Declarativa</w:t>
            </w:r>
          </w:p>
        </w:tc>
      </w:tr>
      <w:tr w:rsidR="0053292A" w:rsidRPr="00296A52" w14:paraId="597AC2A4" w14:textId="77777777" w:rsidTr="00035E03">
        <w:trPr>
          <w:trHeight w:val="216"/>
          <w:jc w:val="center"/>
        </w:trPr>
        <w:tc>
          <w:tcPr>
            <w:tcW w:w="9539" w:type="dxa"/>
            <w:gridSpan w:val="2"/>
            <w:tcBorders>
              <w:top w:val="single" w:sz="4" w:space="0" w:color="auto"/>
              <w:left w:val="single" w:sz="4" w:space="0" w:color="auto"/>
              <w:bottom w:val="single" w:sz="4" w:space="0" w:color="auto"/>
              <w:right w:val="single" w:sz="4" w:space="0" w:color="auto"/>
            </w:tcBorders>
          </w:tcPr>
          <w:p w14:paraId="194DD1EA" w14:textId="77777777" w:rsidR="0053292A" w:rsidRPr="00030A24" w:rsidRDefault="0053292A" w:rsidP="00030A24">
            <w:pPr>
              <w:spacing w:after="0" w:line="240" w:lineRule="auto"/>
              <w:rPr>
                <w:rFonts w:ascii="Cambria" w:hAnsi="Cambria"/>
                <w:b/>
                <w:lang w:val="es-CO"/>
              </w:rPr>
            </w:pPr>
            <w:r w:rsidRPr="00030A24">
              <w:rPr>
                <w:rFonts w:ascii="Cambria" w:hAnsi="Cambria"/>
                <w:b/>
                <w:lang w:val="es-CO"/>
              </w:rPr>
              <w:t>CLÁUSULA 7. PAGOS EXENTOS DE IMPUESTOS Y MORA EN EL CUMPLIMIENTO</w:t>
            </w:r>
          </w:p>
        </w:tc>
      </w:tr>
      <w:tr w:rsidR="0053292A" w:rsidRPr="00030A24" w14:paraId="7CB35174" w14:textId="77777777" w:rsidTr="00035E03">
        <w:trPr>
          <w:trHeight w:val="1853"/>
          <w:jc w:val="center"/>
        </w:trPr>
        <w:tc>
          <w:tcPr>
            <w:tcW w:w="7830" w:type="dxa"/>
            <w:tcBorders>
              <w:top w:val="single" w:sz="4" w:space="0" w:color="auto"/>
              <w:left w:val="single" w:sz="4" w:space="0" w:color="auto"/>
              <w:bottom w:val="single" w:sz="4" w:space="0" w:color="auto"/>
              <w:right w:val="single" w:sz="4" w:space="0" w:color="auto"/>
            </w:tcBorders>
          </w:tcPr>
          <w:p w14:paraId="5589F61A" w14:textId="77777777" w:rsidR="0053292A" w:rsidRPr="00030A24" w:rsidRDefault="0053292A" w:rsidP="00030A24">
            <w:pPr>
              <w:spacing w:after="0" w:line="240" w:lineRule="auto"/>
              <w:jc w:val="both"/>
              <w:rPr>
                <w:rFonts w:ascii="Cambria" w:hAnsi="Cambria"/>
                <w:lang w:val="es-CO"/>
              </w:rPr>
            </w:pPr>
            <w:r w:rsidRPr="00030A24">
              <w:rPr>
                <w:rFonts w:ascii="Cambria" w:hAnsi="Cambria"/>
                <w:lang w:val="es-CO"/>
              </w:rPr>
              <w:t>El pago que el Estado Ecuatoriano realizará a la persona objeto de este acuerdo amistoso, no está sujeto a impuestos actualmente existentes o que pueda decretarse en el futuro con excepción del impuesto a la circulación de capitales "impuesto del 1%". En el caso que el Estado incurriese en mora por más de tres meses, desde la firma del acuerdo, deberá pagar sobre la cantidad adeudada un interés que corresponderá al interés bancario 4 corriente de los tres bancos de mayor captación en el Ecuador, durante todo el periodo de la mora.</w:t>
            </w:r>
          </w:p>
        </w:tc>
        <w:tc>
          <w:tcPr>
            <w:tcW w:w="1709" w:type="dxa"/>
            <w:tcBorders>
              <w:top w:val="single" w:sz="4" w:space="0" w:color="auto"/>
              <w:left w:val="single" w:sz="4" w:space="0" w:color="auto"/>
              <w:bottom w:val="single" w:sz="4" w:space="0" w:color="auto"/>
              <w:right w:val="single" w:sz="4" w:space="0" w:color="auto"/>
            </w:tcBorders>
            <w:vAlign w:val="center"/>
          </w:tcPr>
          <w:p w14:paraId="28B32C32" w14:textId="6B839DAD" w:rsidR="0053292A" w:rsidRPr="00030A24" w:rsidRDefault="0053292A" w:rsidP="00030A24">
            <w:pPr>
              <w:spacing w:after="0" w:line="240" w:lineRule="auto"/>
              <w:jc w:val="center"/>
              <w:rPr>
                <w:rFonts w:ascii="Cambria" w:hAnsi="Cambria"/>
                <w:b/>
                <w:lang w:val="es-CO"/>
              </w:rPr>
            </w:pPr>
            <w:r w:rsidRPr="00030A24">
              <w:rPr>
                <w:rFonts w:ascii="Cambria" w:hAnsi="Cambria"/>
                <w:b/>
                <w:lang w:val="es-CO"/>
              </w:rPr>
              <w:t>Cláusula Declarativa</w:t>
            </w:r>
          </w:p>
        </w:tc>
      </w:tr>
      <w:tr w:rsidR="0053292A" w:rsidRPr="00030A24" w14:paraId="300B2E61" w14:textId="77777777" w:rsidTr="00035E03">
        <w:trPr>
          <w:trHeight w:val="78"/>
          <w:jc w:val="center"/>
        </w:trPr>
        <w:tc>
          <w:tcPr>
            <w:tcW w:w="9539" w:type="dxa"/>
            <w:gridSpan w:val="2"/>
            <w:tcBorders>
              <w:top w:val="single" w:sz="4" w:space="0" w:color="auto"/>
              <w:left w:val="single" w:sz="4" w:space="0" w:color="auto"/>
              <w:bottom w:val="single" w:sz="4" w:space="0" w:color="auto"/>
              <w:right w:val="single" w:sz="4" w:space="0" w:color="auto"/>
            </w:tcBorders>
          </w:tcPr>
          <w:p w14:paraId="0648C070" w14:textId="77777777" w:rsidR="0053292A" w:rsidRPr="00030A24" w:rsidRDefault="0053292A" w:rsidP="00030A24">
            <w:pPr>
              <w:spacing w:after="0" w:line="240" w:lineRule="auto"/>
              <w:rPr>
                <w:rFonts w:ascii="Cambria" w:hAnsi="Cambria"/>
                <w:b/>
                <w:lang w:val="es-CO"/>
              </w:rPr>
            </w:pPr>
            <w:r w:rsidRPr="00030A24">
              <w:rPr>
                <w:rFonts w:ascii="Cambria" w:hAnsi="Cambria"/>
                <w:b/>
                <w:lang w:val="es-CO"/>
              </w:rPr>
              <w:t>CLÁUSULA 8. INFORMACIÓN</w:t>
            </w:r>
          </w:p>
        </w:tc>
      </w:tr>
      <w:tr w:rsidR="0053292A" w:rsidRPr="00030A24" w14:paraId="255A8718" w14:textId="77777777" w:rsidTr="00035E03">
        <w:trPr>
          <w:trHeight w:val="1880"/>
          <w:jc w:val="center"/>
        </w:trPr>
        <w:tc>
          <w:tcPr>
            <w:tcW w:w="7830" w:type="dxa"/>
            <w:tcBorders>
              <w:top w:val="single" w:sz="4" w:space="0" w:color="auto"/>
              <w:left w:val="single" w:sz="4" w:space="0" w:color="auto"/>
              <w:bottom w:val="single" w:sz="4" w:space="0" w:color="auto"/>
              <w:right w:val="single" w:sz="4" w:space="0" w:color="auto"/>
            </w:tcBorders>
          </w:tcPr>
          <w:p w14:paraId="37FF00BA" w14:textId="77777777" w:rsidR="0053292A" w:rsidRPr="00030A24" w:rsidRDefault="0053292A" w:rsidP="00030A24">
            <w:pPr>
              <w:spacing w:after="0" w:line="240" w:lineRule="auto"/>
              <w:jc w:val="both"/>
              <w:rPr>
                <w:rFonts w:ascii="Cambria" w:hAnsi="Cambria"/>
                <w:lang w:val="es-CO"/>
              </w:rPr>
            </w:pPr>
            <w:r w:rsidRPr="00030A24">
              <w:rPr>
                <w:rFonts w:ascii="Cambria" w:hAnsi="Cambria"/>
                <w:lang w:val="es-CO"/>
              </w:rPr>
              <w:t>El Estado Ecuatoriano, a través de la Procuraduría General del Estado, se compromete a informar cada tres meses, a la Comisión Interamericana de Derechos Humanos, del cumplimiento de las obligaciones asumidas por el Estado en virtud de este arreglo amistoso. En concordancia con su práctica constante y las obligaciones que le impone la Convención Americana, la Comisión Interamericana de Derechos Humanos supervisará el cumplimiento de este acuerdo.</w:t>
            </w:r>
          </w:p>
        </w:tc>
        <w:tc>
          <w:tcPr>
            <w:tcW w:w="1709" w:type="dxa"/>
            <w:tcBorders>
              <w:top w:val="single" w:sz="4" w:space="0" w:color="auto"/>
              <w:left w:val="single" w:sz="4" w:space="0" w:color="auto"/>
              <w:bottom w:val="single" w:sz="4" w:space="0" w:color="auto"/>
              <w:right w:val="single" w:sz="4" w:space="0" w:color="auto"/>
            </w:tcBorders>
            <w:vAlign w:val="center"/>
          </w:tcPr>
          <w:p w14:paraId="4CCBAFF8" w14:textId="77777777" w:rsidR="0053292A" w:rsidRPr="00030A24" w:rsidRDefault="0053292A" w:rsidP="00030A24">
            <w:pPr>
              <w:spacing w:after="0" w:line="240" w:lineRule="auto"/>
              <w:jc w:val="center"/>
              <w:rPr>
                <w:rFonts w:ascii="Cambria" w:hAnsi="Cambria"/>
                <w:b/>
                <w:lang w:val="es-CO"/>
              </w:rPr>
            </w:pPr>
          </w:p>
          <w:p w14:paraId="3D2A931D" w14:textId="77777777" w:rsidR="0053292A" w:rsidRPr="00030A24" w:rsidRDefault="0053292A" w:rsidP="00030A24">
            <w:pPr>
              <w:spacing w:after="0" w:line="240" w:lineRule="auto"/>
              <w:jc w:val="center"/>
              <w:rPr>
                <w:rFonts w:ascii="Cambria" w:hAnsi="Cambria"/>
                <w:b/>
                <w:lang w:val="es-CO"/>
              </w:rPr>
            </w:pPr>
            <w:r w:rsidRPr="00030A24">
              <w:rPr>
                <w:rFonts w:ascii="Cambria" w:hAnsi="Cambria"/>
                <w:b/>
                <w:lang w:val="es-CO"/>
              </w:rPr>
              <w:t>Cláusula Declarativa</w:t>
            </w:r>
          </w:p>
        </w:tc>
      </w:tr>
    </w:tbl>
    <w:p w14:paraId="1CFD691B" w14:textId="77777777" w:rsidR="0053292A" w:rsidRPr="00030A24" w:rsidRDefault="0053292A" w:rsidP="00030A24">
      <w:pPr>
        <w:spacing w:after="0" w:line="240" w:lineRule="auto"/>
        <w:jc w:val="both"/>
        <w:rPr>
          <w:rFonts w:ascii="Cambria" w:hAnsi="Cambria"/>
          <w:b/>
          <w:color w:val="000000"/>
          <w:lang w:val="es-CO"/>
        </w:rPr>
      </w:pPr>
    </w:p>
    <w:p w14:paraId="40B5EBED" w14:textId="71028BF2" w:rsidR="0053292A" w:rsidRPr="00030A24" w:rsidRDefault="0053292A" w:rsidP="00030A24">
      <w:pPr>
        <w:numPr>
          <w:ilvl w:val="0"/>
          <w:numId w:val="87"/>
        </w:numPr>
        <w:spacing w:after="0" w:line="240" w:lineRule="auto"/>
        <w:ind w:left="0" w:firstLine="720"/>
        <w:jc w:val="both"/>
        <w:rPr>
          <w:rFonts w:ascii="Cambria" w:hAnsi="Cambria"/>
          <w:b/>
          <w:color w:val="000000"/>
          <w:lang w:val="es-CO"/>
        </w:rPr>
      </w:pPr>
      <w:r w:rsidRPr="00030A24">
        <w:rPr>
          <w:rFonts w:ascii="Cambria" w:hAnsi="Cambria"/>
          <w:b/>
          <w:color w:val="000000"/>
          <w:lang w:val="es-CO"/>
        </w:rPr>
        <w:t xml:space="preserve">NIVEL DE CUMPLIMIENTO DEL CASO </w:t>
      </w:r>
    </w:p>
    <w:p w14:paraId="09BFBDE0" w14:textId="55652E45" w:rsidR="00DE5755" w:rsidRPr="00030A24" w:rsidRDefault="00DE5755" w:rsidP="00030A24">
      <w:pPr>
        <w:spacing w:after="0" w:line="240" w:lineRule="auto"/>
        <w:ind w:firstLine="720"/>
        <w:jc w:val="both"/>
        <w:rPr>
          <w:rFonts w:ascii="Cambria" w:hAnsi="Cambria"/>
          <w:b/>
          <w:color w:val="000000"/>
          <w:lang w:val="es-CO"/>
        </w:rPr>
      </w:pPr>
    </w:p>
    <w:p w14:paraId="25ACE868" w14:textId="27F69DAE" w:rsidR="00DE5755" w:rsidRPr="00030A24" w:rsidRDefault="00DE5755" w:rsidP="00030A24">
      <w:pPr>
        <w:pStyle w:val="ListParagraph"/>
        <w:numPr>
          <w:ilvl w:val="0"/>
          <w:numId w:val="88"/>
        </w:numPr>
        <w:spacing w:after="0" w:line="240" w:lineRule="auto"/>
        <w:ind w:left="0" w:firstLine="720"/>
        <w:jc w:val="both"/>
        <w:rPr>
          <w:rFonts w:ascii="Cambria" w:hAnsi="Cambria"/>
          <w:b/>
          <w:color w:val="000000"/>
          <w:lang w:val="es-CO"/>
        </w:rPr>
      </w:pPr>
      <w:r w:rsidRPr="00030A24">
        <w:rPr>
          <w:rFonts w:ascii="Cambria" w:eastAsia="Times New Roman" w:hAnsi="Cambria" w:cs="Calibri"/>
          <w:color w:val="000000"/>
          <w:lang w:val="es-CO" w:eastAsia="es-ES_tradnl"/>
        </w:rPr>
        <w:t xml:space="preserve">La Comisión </w:t>
      </w:r>
      <w:r w:rsidRPr="00030A24">
        <w:rPr>
          <w:rFonts w:ascii="Cambria" w:eastAsia="Batang" w:hAnsi="Cambria"/>
          <w:lang w:val="es-ES"/>
        </w:rPr>
        <w:t>tomó en especial consideración la solicitud de la parte peticionaria de archivo del caso, por lo que consideró que no correspondía continuar con la supervisión de la implementación del acuerdo. Por lo anterior, la</w:t>
      </w:r>
      <w:r w:rsidRPr="00030A24">
        <w:rPr>
          <w:rFonts w:ascii="Cambria" w:hAnsi="Cambria"/>
          <w:lang w:val="es-ES"/>
        </w:rPr>
        <w:t xml:space="preserve"> Comisión </w:t>
      </w:r>
      <w:r w:rsidRPr="00030A24">
        <w:rPr>
          <w:rFonts w:ascii="Cambria" w:hAnsi="Cambria"/>
          <w:color w:val="000000"/>
          <w:lang w:val="es-CO"/>
        </w:rPr>
        <w:t>decidió cesar la supervisión del acuerdo de solución amistosa y archivar el caso, dejando constancia en el Informe Anual 2020 que la medida de justicia fue incumplida por el Estado ecuatoriano y que el nivel de cumplimiento del acuerdo es parcial.</w:t>
      </w:r>
    </w:p>
    <w:p w14:paraId="1295D0F5" w14:textId="77777777" w:rsidR="00DE5755" w:rsidRPr="00030A24" w:rsidRDefault="00DE5755" w:rsidP="00030A24">
      <w:pPr>
        <w:spacing w:after="0" w:line="240" w:lineRule="auto"/>
        <w:ind w:firstLine="720"/>
        <w:jc w:val="both"/>
        <w:rPr>
          <w:rFonts w:ascii="Cambria" w:hAnsi="Cambria"/>
          <w:b/>
          <w:color w:val="000000"/>
          <w:lang w:val="es-CO"/>
        </w:rPr>
      </w:pPr>
    </w:p>
    <w:p w14:paraId="2ACF7443" w14:textId="58E55534" w:rsidR="00DE5755" w:rsidRPr="00030A24" w:rsidRDefault="00DE5755" w:rsidP="00030A24">
      <w:pPr>
        <w:pStyle w:val="ListParagraph"/>
        <w:numPr>
          <w:ilvl w:val="0"/>
          <w:numId w:val="87"/>
        </w:numPr>
        <w:spacing w:after="0" w:line="240" w:lineRule="auto"/>
        <w:ind w:left="0" w:firstLine="720"/>
        <w:jc w:val="both"/>
        <w:rPr>
          <w:rFonts w:ascii="Cambria" w:hAnsi="Cambria"/>
          <w:b/>
          <w:color w:val="000000"/>
          <w:lang w:val="es-CO"/>
        </w:rPr>
      </w:pPr>
      <w:r w:rsidRPr="00030A24">
        <w:rPr>
          <w:rFonts w:ascii="Cambria" w:hAnsi="Cambria"/>
          <w:b/>
          <w:color w:val="000000"/>
          <w:lang w:val="es-CO"/>
        </w:rPr>
        <w:t>RESULTADOS ESTRUCTURALES E INDIVIDUALES DEL CASO</w:t>
      </w:r>
    </w:p>
    <w:p w14:paraId="1E28C901" w14:textId="74E881C3" w:rsidR="0053292A" w:rsidRPr="00030A24" w:rsidRDefault="0053292A" w:rsidP="00030A24">
      <w:pPr>
        <w:spacing w:after="0" w:line="240" w:lineRule="auto"/>
        <w:ind w:firstLine="720"/>
        <w:jc w:val="both"/>
        <w:rPr>
          <w:rFonts w:ascii="Cambria" w:hAnsi="Cambria" w:cs="Calibri Light"/>
          <w:b/>
          <w:bCs/>
          <w:color w:val="000000"/>
          <w:lang w:val="es-CO"/>
        </w:rPr>
      </w:pPr>
    </w:p>
    <w:p w14:paraId="17433322" w14:textId="77777777" w:rsidR="0053292A" w:rsidRPr="00030A24" w:rsidRDefault="0053292A" w:rsidP="00030A24">
      <w:pPr>
        <w:numPr>
          <w:ilvl w:val="4"/>
          <w:numId w:val="14"/>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080D548E" w14:textId="77777777" w:rsidR="0053292A" w:rsidRPr="00030A24" w:rsidRDefault="0053292A" w:rsidP="00030A24">
      <w:pPr>
        <w:spacing w:after="0" w:line="240" w:lineRule="auto"/>
        <w:ind w:left="3600"/>
        <w:contextualSpacing/>
        <w:jc w:val="both"/>
        <w:rPr>
          <w:rFonts w:ascii="Cambria" w:hAnsi="Cambria"/>
          <w:b/>
          <w:color w:val="000000"/>
          <w:lang w:val="es-CO"/>
        </w:rPr>
      </w:pPr>
    </w:p>
    <w:p w14:paraId="721D76B2" w14:textId="12C14EA5" w:rsidR="00977EF7" w:rsidRPr="00296A52" w:rsidRDefault="0053292A" w:rsidP="00296A52">
      <w:pPr>
        <w:numPr>
          <w:ilvl w:val="0"/>
          <w:numId w:val="33"/>
        </w:numPr>
        <w:spacing w:after="0" w:line="240" w:lineRule="auto"/>
        <w:ind w:hanging="709"/>
        <w:contextualSpacing/>
        <w:jc w:val="both"/>
        <w:rPr>
          <w:lang w:val="es-MX"/>
        </w:rPr>
      </w:pPr>
      <w:r w:rsidRPr="00296A52">
        <w:rPr>
          <w:rFonts w:ascii="Cambria" w:hAnsi="Cambria"/>
          <w:color w:val="000000"/>
          <w:lang w:val="es-CO"/>
        </w:rPr>
        <w:t xml:space="preserve">El </w:t>
      </w:r>
      <w:r w:rsidR="00296A52">
        <w:rPr>
          <w:rFonts w:ascii="Cambria" w:hAnsi="Cambria"/>
          <w:color w:val="000000"/>
          <w:lang w:val="es-CO"/>
        </w:rPr>
        <w:t>E</w:t>
      </w:r>
      <w:r w:rsidRPr="00296A52">
        <w:rPr>
          <w:rFonts w:ascii="Cambria" w:hAnsi="Cambria"/>
          <w:color w:val="000000"/>
          <w:lang w:val="es-CO"/>
        </w:rPr>
        <w:t xml:space="preserve">stado realizó el pago correspondiente a la indemnización pecuniaria, según lo acordado. </w:t>
      </w:r>
    </w:p>
    <w:sectPr w:rsidR="00977EF7" w:rsidRPr="00296A52"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7AD7" w14:textId="77777777" w:rsidR="00C60F59" w:rsidRDefault="00C60F59" w:rsidP="00A343FF">
      <w:pPr>
        <w:spacing w:after="0" w:line="240" w:lineRule="auto"/>
      </w:pPr>
      <w:r>
        <w:separator/>
      </w:r>
    </w:p>
  </w:endnote>
  <w:endnote w:type="continuationSeparator" w:id="0">
    <w:p w14:paraId="3A3DF5C5" w14:textId="77777777" w:rsidR="00C60F59" w:rsidRDefault="00C60F59" w:rsidP="00A343FF">
      <w:pPr>
        <w:spacing w:after="0" w:line="240" w:lineRule="auto"/>
      </w:pPr>
      <w:r>
        <w:continuationSeparator/>
      </w:r>
    </w:p>
  </w:endnote>
  <w:endnote w:type="continuationNotice" w:id="1">
    <w:p w14:paraId="04EB00EF" w14:textId="77777777" w:rsidR="00C60F59" w:rsidRDefault="00C60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5F4524"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8968" w14:textId="77777777" w:rsidR="00C60F59" w:rsidRDefault="00C60F59" w:rsidP="00A343FF">
      <w:pPr>
        <w:spacing w:after="0" w:line="240" w:lineRule="auto"/>
      </w:pPr>
      <w:r>
        <w:separator/>
      </w:r>
    </w:p>
  </w:footnote>
  <w:footnote w:type="continuationSeparator" w:id="0">
    <w:p w14:paraId="776393F7" w14:textId="77777777" w:rsidR="00C60F59" w:rsidRDefault="00C60F59" w:rsidP="00A343FF">
      <w:pPr>
        <w:spacing w:after="0" w:line="240" w:lineRule="auto"/>
      </w:pPr>
      <w:r>
        <w:continuationSeparator/>
      </w:r>
    </w:p>
  </w:footnote>
  <w:footnote w:type="continuationNotice" w:id="1">
    <w:p w14:paraId="54C5988A" w14:textId="77777777" w:rsidR="00C60F59" w:rsidRDefault="00C60F59">
      <w:pPr>
        <w:spacing w:after="0" w:line="240" w:lineRule="auto"/>
      </w:pPr>
    </w:p>
  </w:footnote>
  <w:footnote w:id="2">
    <w:p w14:paraId="449D006F" w14:textId="77777777" w:rsidR="0053292A" w:rsidRPr="00250E33" w:rsidRDefault="0053292A" w:rsidP="0053292A">
      <w:pPr>
        <w:pStyle w:val="Default"/>
        <w:ind w:firstLine="720"/>
        <w:jc w:val="both"/>
        <w:rPr>
          <w:sz w:val="16"/>
          <w:szCs w:val="16"/>
          <w:lang w:val="es-MX"/>
        </w:rPr>
      </w:pPr>
      <w:r w:rsidRPr="00DF199E">
        <w:rPr>
          <w:rStyle w:val="FootnoteReference"/>
          <w:sz w:val="16"/>
          <w:szCs w:val="16"/>
        </w:rPr>
        <w:footnoteRef/>
      </w:r>
      <w:r w:rsidRPr="00DF199E">
        <w:rPr>
          <w:sz w:val="16"/>
          <w:szCs w:val="16"/>
          <w:lang w:val="es-VE"/>
        </w:rPr>
        <w:t xml:space="preserve"> </w:t>
      </w:r>
      <w:r w:rsidRPr="00DF199E">
        <w:rPr>
          <w:sz w:val="16"/>
          <w:szCs w:val="16"/>
          <w:lang w:val="es-MX" w:eastAsia="es-MX"/>
        </w:rPr>
        <w:t>CIDH,</w:t>
      </w:r>
      <w:r w:rsidRPr="00DF199E">
        <w:rPr>
          <w:sz w:val="16"/>
          <w:szCs w:val="16"/>
          <w:lang w:val="es-VE"/>
        </w:rPr>
        <w:t xml:space="preserve"> </w:t>
      </w:r>
      <w:r w:rsidRPr="00DF199E">
        <w:rPr>
          <w:sz w:val="16"/>
          <w:szCs w:val="16"/>
          <w:lang w:val="es-MX" w:eastAsia="es-MX"/>
        </w:rPr>
        <w:t>Informe No.</w:t>
      </w:r>
      <w:r w:rsidRPr="00DF199E">
        <w:rPr>
          <w:rFonts w:ascii="Calibri" w:hAnsi="Calibri" w:cs="Times New Roman"/>
          <w:color w:val="auto"/>
          <w:sz w:val="16"/>
          <w:szCs w:val="16"/>
          <w:lang w:val="es-VE" w:eastAsia="en-US"/>
        </w:rPr>
        <w:t xml:space="preserve"> </w:t>
      </w:r>
      <w:r w:rsidRPr="00DF199E">
        <w:rPr>
          <w:sz w:val="16"/>
          <w:szCs w:val="16"/>
          <w:lang w:val="es-VE" w:eastAsia="es-MX"/>
        </w:rPr>
        <w:t>. 81/20, Caso 11.626 A. Solución Amistosa. Fredy Oreste Cañola Valencia. Ecuador. 1 de junio de 2020.</w:t>
      </w:r>
      <w:r w:rsidRPr="00DF199E">
        <w:rPr>
          <w:sz w:val="16"/>
          <w:szCs w:val="16"/>
          <w:lang w:val="es-MX" w:eastAsia="es-MX"/>
        </w:rPr>
        <w:t xml:space="preserve"> Disponible en </w:t>
      </w:r>
      <w:hyperlink r:id="rId1" w:history="1">
        <w:r w:rsidRPr="00DF199E">
          <w:rPr>
            <w:rStyle w:val="Hyperlink"/>
            <w:sz w:val="16"/>
            <w:szCs w:val="16"/>
            <w:lang w:val="es-MX" w:eastAsia="es-MX"/>
          </w:rPr>
          <w:t>http://www.oas.org/es/cidh/decisiones/2020/ecsa11626aes.pdf</w:t>
        </w:r>
      </w:hyperlink>
      <w:r w:rsidRPr="00DF199E">
        <w:rPr>
          <w:sz w:val="16"/>
          <w:szCs w:val="16"/>
          <w:lang w:val="es-MX" w:eastAsia="es-MX"/>
        </w:rPr>
        <w:t xml:space="preserve"> </w:t>
      </w:r>
    </w:p>
  </w:footnote>
  <w:footnote w:id="3">
    <w:p w14:paraId="17F038BA" w14:textId="77777777" w:rsidR="00035E03" w:rsidRPr="00FC4F45" w:rsidRDefault="00035E03" w:rsidP="0053292A">
      <w:pPr>
        <w:pStyle w:val="FootnoteText"/>
        <w:ind w:firstLine="709"/>
        <w:jc w:val="both"/>
        <w:rPr>
          <w:sz w:val="16"/>
          <w:szCs w:val="16"/>
          <w:lang w:val="es-ES"/>
        </w:rPr>
      </w:pPr>
      <w:r w:rsidRPr="00FC4F45">
        <w:rPr>
          <w:rStyle w:val="FootnoteReference"/>
          <w:sz w:val="16"/>
          <w:szCs w:val="16"/>
        </w:rPr>
        <w:footnoteRef/>
      </w:r>
      <w:r w:rsidRPr="00FC4F45">
        <w:rPr>
          <w:sz w:val="16"/>
          <w:szCs w:val="16"/>
          <w:lang w:val="es-AR"/>
        </w:rPr>
        <w:t xml:space="preserve"> </w:t>
      </w:r>
      <w:r w:rsidRPr="00FC4F45">
        <w:rPr>
          <w:rFonts w:ascii="Cambria" w:hAnsi="Cambria"/>
          <w:color w:val="000000"/>
          <w:sz w:val="16"/>
          <w:szCs w:val="16"/>
          <w:lang w:val="es-ES"/>
        </w:rPr>
        <w:t xml:space="preserve">Ver CIDH, Informe Anual 2020, Capítulo II, Sección F. Negociación e implementación de acuerdos de solución amistosa. </w:t>
      </w:r>
      <w:r w:rsidRPr="00FC4F45">
        <w:rPr>
          <w:rFonts w:ascii="Cambria" w:hAnsi="Cambria"/>
          <w:color w:val="000000"/>
          <w:sz w:val="16"/>
          <w:szCs w:val="16"/>
          <w:lang w:val="es-CO"/>
        </w:rPr>
        <w:t xml:space="preserve">Disponible en: </w:t>
      </w:r>
      <w:hyperlink r:id="rId2" w:history="1">
        <w:r w:rsidRPr="00FC4F45">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5F4524">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5F4524"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44015"/>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D5AB8"/>
    <w:rsid w:val="001E078E"/>
    <w:rsid w:val="001E4C53"/>
    <w:rsid w:val="001E758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96A52"/>
    <w:rsid w:val="002A1ED6"/>
    <w:rsid w:val="002A39B2"/>
    <w:rsid w:val="002B0B2A"/>
    <w:rsid w:val="002B0F57"/>
    <w:rsid w:val="002B2264"/>
    <w:rsid w:val="002B6E6C"/>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0EE8"/>
    <w:rsid w:val="00401FE0"/>
    <w:rsid w:val="00403581"/>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45EE"/>
    <w:rsid w:val="005C5563"/>
    <w:rsid w:val="005D3CE5"/>
    <w:rsid w:val="005D73BC"/>
    <w:rsid w:val="005E11CE"/>
    <w:rsid w:val="005F179B"/>
    <w:rsid w:val="005F2FF7"/>
    <w:rsid w:val="005F4524"/>
    <w:rsid w:val="005F4AAA"/>
    <w:rsid w:val="0060164F"/>
    <w:rsid w:val="00603990"/>
    <w:rsid w:val="00604132"/>
    <w:rsid w:val="006041C3"/>
    <w:rsid w:val="00604F1C"/>
    <w:rsid w:val="00607BF8"/>
    <w:rsid w:val="006152C5"/>
    <w:rsid w:val="006218C5"/>
    <w:rsid w:val="006344B9"/>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3D01"/>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2059"/>
    <w:rsid w:val="008A64C1"/>
    <w:rsid w:val="008C2A91"/>
    <w:rsid w:val="008D5E80"/>
    <w:rsid w:val="008E13F4"/>
    <w:rsid w:val="008E6D12"/>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0432"/>
    <w:rsid w:val="00A72869"/>
    <w:rsid w:val="00A759EB"/>
    <w:rsid w:val="00A854F6"/>
    <w:rsid w:val="00A87AF1"/>
    <w:rsid w:val="00A942E0"/>
    <w:rsid w:val="00AA1AD7"/>
    <w:rsid w:val="00AB2CDA"/>
    <w:rsid w:val="00AB49C7"/>
    <w:rsid w:val="00AC2BAD"/>
    <w:rsid w:val="00AC5F46"/>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0F59"/>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6BE"/>
    <w:rsid w:val="00DB5E3D"/>
    <w:rsid w:val="00DC246B"/>
    <w:rsid w:val="00DD1CFF"/>
    <w:rsid w:val="00DD2FE8"/>
    <w:rsid w:val="00DD4F27"/>
    <w:rsid w:val="00DD7443"/>
    <w:rsid w:val="00DE2E0D"/>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0B2A"/>
    <w:rsid w:val="00ED4C58"/>
    <w:rsid w:val="00ED518E"/>
    <w:rsid w:val="00EF0591"/>
    <w:rsid w:val="00EF1BD7"/>
    <w:rsid w:val="00EF70C9"/>
    <w:rsid w:val="00F00E16"/>
    <w:rsid w:val="00F0294F"/>
    <w:rsid w:val="00F058CE"/>
    <w:rsid w:val="00F06E69"/>
    <w:rsid w:val="00F07B09"/>
    <w:rsid w:val="00F116BD"/>
    <w:rsid w:val="00F13D78"/>
    <w:rsid w:val="00F16EB4"/>
    <w:rsid w:val="00F231C2"/>
    <w:rsid w:val="00F4025A"/>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0A8B"/>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as.org/es/cidh/decisiones/2020/ecsa11626a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20/capitulos/IA2020cap2-es.pdf" TargetMode="External"/><Relationship Id="rId1" Type="http://schemas.openxmlformats.org/officeDocument/2006/relationships/hyperlink" Target="http://www.oas.org/es/cidh/decisiones/2020/ecsa11626a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6.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2023-03-03T22:10:00Z</dcterms:created>
  <dcterms:modified xsi:type="dcterms:W3CDTF">2023-03-03T22:10:00Z</dcterms:modified>
</cp:coreProperties>
</file>