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FE3799" w:rsidRDefault="00D306D1" w:rsidP="00627C9F">
      <w:pPr>
        <w:jc w:val="both"/>
        <w:rPr>
          <w:rFonts w:asciiTheme="majorHAnsi" w:hAnsiTheme="majorHAnsi" w:cs="Univers"/>
          <w:b/>
          <w:bCs/>
          <w:sz w:val="22"/>
          <w:szCs w:val="22"/>
          <w:lang w:val="es-VE"/>
        </w:rPr>
      </w:pPr>
      <w:r w:rsidRPr="00FE379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7641CF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E379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3C14E1" w:rsidRDefault="003C14E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3C14E1" w:rsidRDefault="003C14E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FE3799" w:rsidRDefault="00040C3A" w:rsidP="00040C3A">
      <w:pPr>
        <w:tabs>
          <w:tab w:val="center" w:pos="5400"/>
        </w:tabs>
        <w:suppressAutoHyphens/>
        <w:jc w:val="both"/>
        <w:rPr>
          <w:rFonts w:asciiTheme="majorHAnsi" w:hAnsiTheme="majorHAnsi"/>
          <w:sz w:val="22"/>
          <w:szCs w:val="22"/>
          <w:lang w:val="es-VE"/>
        </w:rPr>
      </w:pPr>
    </w:p>
    <w:p w14:paraId="5A87E141" w14:textId="77777777" w:rsidR="00040C3A" w:rsidRPr="00FE3799" w:rsidRDefault="00040C3A" w:rsidP="00040C3A">
      <w:pPr>
        <w:tabs>
          <w:tab w:val="center" w:pos="5400"/>
        </w:tabs>
        <w:suppressAutoHyphens/>
        <w:jc w:val="both"/>
        <w:rPr>
          <w:rFonts w:asciiTheme="majorHAnsi" w:hAnsiTheme="majorHAnsi"/>
          <w:sz w:val="22"/>
          <w:szCs w:val="22"/>
          <w:lang w:val="es-VE"/>
        </w:rPr>
      </w:pPr>
    </w:p>
    <w:p w14:paraId="29D95BCC" w14:textId="77777777" w:rsidR="005128E4" w:rsidRPr="00FE3799" w:rsidRDefault="005128E4" w:rsidP="00040C3A">
      <w:pPr>
        <w:tabs>
          <w:tab w:val="center" w:pos="5400"/>
        </w:tabs>
        <w:suppressAutoHyphens/>
        <w:rPr>
          <w:rFonts w:asciiTheme="majorHAnsi" w:hAnsiTheme="majorHAnsi"/>
          <w:sz w:val="22"/>
          <w:szCs w:val="22"/>
          <w:lang w:val="es-VE"/>
        </w:rPr>
      </w:pPr>
    </w:p>
    <w:p w14:paraId="12A36B24" w14:textId="77777777" w:rsidR="005128E4" w:rsidRPr="00FE3799" w:rsidRDefault="005128E4" w:rsidP="00040C3A">
      <w:pPr>
        <w:tabs>
          <w:tab w:val="center" w:pos="5400"/>
        </w:tabs>
        <w:suppressAutoHyphens/>
        <w:rPr>
          <w:rFonts w:asciiTheme="majorHAnsi" w:hAnsiTheme="majorHAnsi"/>
          <w:sz w:val="22"/>
          <w:szCs w:val="22"/>
          <w:lang w:val="es-VE"/>
        </w:rPr>
      </w:pPr>
    </w:p>
    <w:p w14:paraId="2252093D" w14:textId="77777777" w:rsidR="005128E4" w:rsidRPr="00FE3799" w:rsidRDefault="005128E4" w:rsidP="00040C3A">
      <w:pPr>
        <w:tabs>
          <w:tab w:val="center" w:pos="5400"/>
        </w:tabs>
        <w:suppressAutoHyphens/>
        <w:rPr>
          <w:rFonts w:asciiTheme="majorHAnsi" w:hAnsiTheme="majorHAnsi"/>
          <w:sz w:val="22"/>
          <w:szCs w:val="22"/>
          <w:lang w:val="es-VE"/>
        </w:rPr>
      </w:pPr>
    </w:p>
    <w:p w14:paraId="403935BD" w14:textId="77777777" w:rsidR="00040C3A" w:rsidRPr="00FE3799" w:rsidRDefault="00040C3A" w:rsidP="005128E4">
      <w:pPr>
        <w:tabs>
          <w:tab w:val="center" w:pos="5400"/>
        </w:tabs>
        <w:suppressAutoHyphens/>
        <w:jc w:val="center"/>
        <w:rPr>
          <w:rFonts w:asciiTheme="majorHAnsi" w:hAnsiTheme="majorHAnsi"/>
          <w:sz w:val="22"/>
          <w:szCs w:val="22"/>
          <w:lang w:val="es-VE"/>
        </w:rPr>
      </w:pPr>
    </w:p>
    <w:p w14:paraId="6DCF5F8F" w14:textId="77777777" w:rsidR="00040C3A" w:rsidRPr="00FE3799" w:rsidRDefault="00040C3A" w:rsidP="005128E4">
      <w:pPr>
        <w:tabs>
          <w:tab w:val="center" w:pos="5400"/>
        </w:tabs>
        <w:suppressAutoHyphens/>
        <w:jc w:val="center"/>
        <w:rPr>
          <w:rFonts w:asciiTheme="majorHAnsi" w:hAnsiTheme="majorHAnsi"/>
          <w:sz w:val="22"/>
          <w:szCs w:val="22"/>
          <w:lang w:val="es-VE"/>
        </w:rPr>
      </w:pPr>
    </w:p>
    <w:p w14:paraId="4791F13A" w14:textId="77777777" w:rsidR="005B52B0" w:rsidRPr="00FE3799" w:rsidRDefault="005B52B0" w:rsidP="005128E4">
      <w:pPr>
        <w:tabs>
          <w:tab w:val="center" w:pos="5400"/>
        </w:tabs>
        <w:suppressAutoHyphens/>
        <w:jc w:val="center"/>
        <w:rPr>
          <w:rFonts w:asciiTheme="majorHAnsi" w:hAnsiTheme="majorHAnsi"/>
          <w:sz w:val="22"/>
          <w:szCs w:val="22"/>
          <w:lang w:val="es-VE"/>
        </w:rPr>
      </w:pPr>
    </w:p>
    <w:p w14:paraId="44E016B6" w14:textId="77777777" w:rsidR="005B52B0" w:rsidRPr="00FE3799" w:rsidRDefault="005B52B0" w:rsidP="005128E4">
      <w:pPr>
        <w:tabs>
          <w:tab w:val="center" w:pos="5400"/>
        </w:tabs>
        <w:suppressAutoHyphens/>
        <w:jc w:val="center"/>
        <w:rPr>
          <w:rFonts w:asciiTheme="majorHAnsi" w:hAnsiTheme="majorHAnsi"/>
          <w:sz w:val="22"/>
          <w:szCs w:val="22"/>
          <w:lang w:val="es-VE"/>
        </w:rPr>
      </w:pPr>
    </w:p>
    <w:p w14:paraId="63D41962" w14:textId="77777777" w:rsidR="005B52B0" w:rsidRPr="00FE3799" w:rsidRDefault="005B52B0" w:rsidP="005128E4">
      <w:pPr>
        <w:tabs>
          <w:tab w:val="center" w:pos="5400"/>
        </w:tabs>
        <w:suppressAutoHyphens/>
        <w:jc w:val="center"/>
        <w:rPr>
          <w:rFonts w:asciiTheme="majorHAnsi" w:hAnsiTheme="majorHAnsi"/>
          <w:sz w:val="22"/>
          <w:szCs w:val="22"/>
          <w:lang w:val="es-VE"/>
        </w:rPr>
      </w:pPr>
    </w:p>
    <w:p w14:paraId="5ADEB990" w14:textId="77777777" w:rsidR="00040C3A" w:rsidRPr="00FE3799" w:rsidRDefault="00040C3A" w:rsidP="00040C3A">
      <w:pPr>
        <w:tabs>
          <w:tab w:val="center" w:pos="5400"/>
        </w:tabs>
        <w:suppressAutoHyphens/>
        <w:jc w:val="center"/>
        <w:rPr>
          <w:rFonts w:asciiTheme="majorHAnsi" w:hAnsiTheme="majorHAnsi"/>
          <w:sz w:val="22"/>
          <w:szCs w:val="22"/>
          <w:lang w:val="es-VE"/>
        </w:rPr>
      </w:pPr>
    </w:p>
    <w:p w14:paraId="2D81B7E8" w14:textId="77777777" w:rsidR="00040C3A" w:rsidRPr="00FE3799" w:rsidRDefault="00040C3A" w:rsidP="00040C3A">
      <w:pPr>
        <w:tabs>
          <w:tab w:val="center" w:pos="5400"/>
        </w:tabs>
        <w:suppressAutoHyphens/>
        <w:jc w:val="center"/>
        <w:rPr>
          <w:rFonts w:asciiTheme="majorHAnsi" w:hAnsiTheme="majorHAnsi"/>
          <w:sz w:val="22"/>
          <w:szCs w:val="22"/>
          <w:lang w:val="es-VE"/>
        </w:rPr>
      </w:pPr>
    </w:p>
    <w:p w14:paraId="64791D04" w14:textId="77777777" w:rsidR="00040C3A" w:rsidRPr="00FE3799" w:rsidRDefault="003D3BC2" w:rsidP="00040C3A">
      <w:pPr>
        <w:tabs>
          <w:tab w:val="center" w:pos="5400"/>
        </w:tabs>
        <w:suppressAutoHyphens/>
        <w:jc w:val="center"/>
        <w:rPr>
          <w:rFonts w:asciiTheme="majorHAnsi" w:hAnsiTheme="majorHAnsi"/>
          <w:sz w:val="22"/>
          <w:szCs w:val="22"/>
          <w:lang w:val="es-VE"/>
        </w:rPr>
      </w:pPr>
      <w:r w:rsidRPr="00FE379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269E80D" w:rsidR="003C14E1" w:rsidRPr="004E2649" w:rsidRDefault="003C14E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274C58">
                              <w:rPr>
                                <w:rFonts w:asciiTheme="majorHAnsi" w:hAnsiTheme="majorHAnsi" w:cs="Arial"/>
                                <w:b/>
                                <w:bCs/>
                                <w:color w:val="0D0D0D" w:themeColor="text1" w:themeTint="F2"/>
                                <w:sz w:val="36"/>
                                <w:szCs w:val="22"/>
                                <w:lang w:val="es-ES_tradnl"/>
                              </w:rPr>
                              <w:t xml:space="preserve"> 310</w:t>
                            </w:r>
                            <w:r>
                              <w:rPr>
                                <w:rFonts w:asciiTheme="majorHAnsi" w:hAnsiTheme="majorHAnsi" w:cs="Arial"/>
                                <w:b/>
                                <w:bCs/>
                                <w:color w:val="0D0D0D" w:themeColor="text1" w:themeTint="F2"/>
                                <w:sz w:val="36"/>
                                <w:szCs w:val="22"/>
                                <w:lang w:val="es-ES_tradnl"/>
                              </w:rPr>
                              <w:t>/20</w:t>
                            </w:r>
                          </w:p>
                          <w:p w14:paraId="09C54AB3" w14:textId="446CA756" w:rsidR="003C14E1" w:rsidRDefault="003C14E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1104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0CF6833" w14:textId="50033470" w:rsidR="003C14E1" w:rsidRPr="0010736F" w:rsidRDefault="003C14E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3C14E1" w:rsidRPr="0010736F" w:rsidRDefault="003C14E1"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0D3960C" w:rsidR="003C14E1" w:rsidRPr="00AE2768" w:rsidRDefault="003C14E1" w:rsidP="00997BC5">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ES_tradnl"/>
                              </w:rPr>
                              <w:t>JOS</w:t>
                            </w:r>
                            <w:r>
                              <w:rPr>
                                <w:rFonts w:asciiTheme="majorHAnsi" w:hAnsiTheme="majorHAnsi" w:cs="Arial"/>
                                <w:color w:val="0D0D0D" w:themeColor="text1" w:themeTint="F2"/>
                                <w:szCs w:val="22"/>
                                <w:lang w:val="es-VE"/>
                              </w:rPr>
                              <w:t>É LUIS LEMUS SOLÍS</w:t>
                            </w:r>
                            <w:r w:rsidR="00F704FA">
                              <w:rPr>
                                <w:rFonts w:asciiTheme="majorHAnsi" w:hAnsiTheme="majorHAnsi" w:cs="Arial"/>
                                <w:color w:val="0D0D0D" w:themeColor="text1" w:themeTint="F2"/>
                                <w:szCs w:val="22"/>
                                <w:lang w:val="es-VE"/>
                              </w:rPr>
                              <w:t xml:space="preserve"> </w:t>
                            </w:r>
                            <w:r w:rsidR="00274C58">
                              <w:rPr>
                                <w:rFonts w:asciiTheme="majorHAnsi" w:hAnsiTheme="majorHAnsi" w:cs="Arial"/>
                                <w:color w:val="0D0D0D" w:themeColor="text1" w:themeTint="F2"/>
                                <w:szCs w:val="22"/>
                                <w:lang w:val="es-VE"/>
                              </w:rPr>
                              <w:t>Y FAMILIARES</w:t>
                            </w:r>
                          </w:p>
                          <w:bookmarkEnd w:id="1"/>
                          <w:p w14:paraId="35068D0D" w14:textId="4654213F" w:rsidR="003C14E1" w:rsidRPr="0010736F" w:rsidRDefault="003C14E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575DFD52" w14:textId="77777777" w:rsidR="003C14E1" w:rsidRPr="00AE5488" w:rsidRDefault="003C14E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269E80D" w:rsidR="003C14E1" w:rsidRPr="004E2649" w:rsidRDefault="003C14E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274C58">
                        <w:rPr>
                          <w:rFonts w:asciiTheme="majorHAnsi" w:hAnsiTheme="majorHAnsi" w:cs="Arial"/>
                          <w:b/>
                          <w:bCs/>
                          <w:color w:val="0D0D0D" w:themeColor="text1" w:themeTint="F2"/>
                          <w:sz w:val="36"/>
                          <w:szCs w:val="22"/>
                          <w:lang w:val="es-ES_tradnl"/>
                        </w:rPr>
                        <w:t xml:space="preserve"> 310</w:t>
                      </w:r>
                      <w:r>
                        <w:rPr>
                          <w:rFonts w:asciiTheme="majorHAnsi" w:hAnsiTheme="majorHAnsi" w:cs="Arial"/>
                          <w:b/>
                          <w:bCs/>
                          <w:color w:val="0D0D0D" w:themeColor="text1" w:themeTint="F2"/>
                          <w:sz w:val="36"/>
                          <w:szCs w:val="22"/>
                          <w:lang w:val="es-ES_tradnl"/>
                        </w:rPr>
                        <w:t>/20</w:t>
                      </w:r>
                    </w:p>
                    <w:p w14:paraId="09C54AB3" w14:textId="446CA756" w:rsidR="003C14E1" w:rsidRDefault="003C14E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1104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0CF6833" w14:textId="50033470" w:rsidR="003C14E1" w:rsidRPr="0010736F" w:rsidRDefault="003C14E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3C14E1" w:rsidRPr="0010736F" w:rsidRDefault="003C14E1"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0D3960C" w:rsidR="003C14E1" w:rsidRPr="00AE2768" w:rsidRDefault="003C14E1" w:rsidP="00997BC5">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ES_tradnl"/>
                        </w:rPr>
                        <w:t>JOS</w:t>
                      </w:r>
                      <w:r>
                        <w:rPr>
                          <w:rFonts w:asciiTheme="majorHAnsi" w:hAnsiTheme="majorHAnsi" w:cs="Arial"/>
                          <w:color w:val="0D0D0D" w:themeColor="text1" w:themeTint="F2"/>
                          <w:szCs w:val="22"/>
                          <w:lang w:val="es-VE"/>
                        </w:rPr>
                        <w:t>É LUIS LEMUS SOLÍS</w:t>
                      </w:r>
                      <w:r w:rsidR="00F704FA">
                        <w:rPr>
                          <w:rFonts w:asciiTheme="majorHAnsi" w:hAnsiTheme="majorHAnsi" w:cs="Arial"/>
                          <w:color w:val="0D0D0D" w:themeColor="text1" w:themeTint="F2"/>
                          <w:szCs w:val="22"/>
                          <w:lang w:val="es-VE"/>
                        </w:rPr>
                        <w:t xml:space="preserve"> </w:t>
                      </w:r>
                      <w:r w:rsidR="00274C58">
                        <w:rPr>
                          <w:rFonts w:asciiTheme="majorHAnsi" w:hAnsiTheme="majorHAnsi" w:cs="Arial"/>
                          <w:color w:val="0D0D0D" w:themeColor="text1" w:themeTint="F2"/>
                          <w:szCs w:val="22"/>
                          <w:lang w:val="es-VE"/>
                        </w:rPr>
                        <w:t>Y FAMILIARES</w:t>
                      </w:r>
                    </w:p>
                    <w:bookmarkEnd w:id="1"/>
                    <w:p w14:paraId="35068D0D" w14:textId="4654213F" w:rsidR="003C14E1" w:rsidRPr="0010736F" w:rsidRDefault="003C14E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575DFD52" w14:textId="77777777" w:rsidR="003C14E1" w:rsidRPr="00AE5488" w:rsidRDefault="003C14E1" w:rsidP="007A5817">
                      <w:pPr>
                        <w:rPr>
                          <w:color w:val="0D0D0D" w:themeColor="text1" w:themeTint="F2"/>
                          <w:lang w:val="es-ES_tradnl"/>
                        </w:rPr>
                      </w:pPr>
                    </w:p>
                  </w:txbxContent>
                </v:textbox>
              </v:shape>
            </w:pict>
          </mc:Fallback>
        </mc:AlternateContent>
      </w:r>
      <w:r w:rsidR="004E2649" w:rsidRPr="00FE379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F21AF6E" w:rsidR="003C14E1" w:rsidRPr="004E2649" w:rsidRDefault="00274C5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F91D02B" w:rsidR="003C14E1" w:rsidRPr="004E2649" w:rsidRDefault="00274C5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327</w:t>
                            </w:r>
                          </w:p>
                          <w:p w14:paraId="69373ED2" w14:textId="5FB01B34" w:rsidR="003C14E1" w:rsidRPr="00C25ADB" w:rsidRDefault="00274C5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octubre</w:t>
                            </w:r>
                            <w:r w:rsidR="003C14E1" w:rsidRPr="00C25ADB">
                              <w:rPr>
                                <w:rFonts w:asciiTheme="minorHAnsi" w:hAnsiTheme="minorHAnsi"/>
                                <w:color w:val="FFFFFF" w:themeColor="background1"/>
                                <w:sz w:val="22"/>
                                <w:lang w:val="es-PA"/>
                              </w:rPr>
                              <w:t xml:space="preserve"> 2020</w:t>
                            </w:r>
                          </w:p>
                          <w:p w14:paraId="0771DB5B" w14:textId="77777777" w:rsidR="003C14E1" w:rsidRPr="00C25ADB" w:rsidRDefault="003C14E1"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F21AF6E" w:rsidR="003C14E1" w:rsidRPr="004E2649" w:rsidRDefault="00274C5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F91D02B" w:rsidR="003C14E1" w:rsidRPr="004E2649" w:rsidRDefault="00274C5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327</w:t>
                      </w:r>
                    </w:p>
                    <w:p w14:paraId="69373ED2" w14:textId="5FB01B34" w:rsidR="003C14E1" w:rsidRPr="00C25ADB" w:rsidRDefault="00274C5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octubre</w:t>
                      </w:r>
                      <w:r w:rsidR="003C14E1" w:rsidRPr="00C25ADB">
                        <w:rPr>
                          <w:rFonts w:asciiTheme="minorHAnsi" w:hAnsiTheme="minorHAnsi"/>
                          <w:color w:val="FFFFFF" w:themeColor="background1"/>
                          <w:sz w:val="22"/>
                          <w:lang w:val="es-PA"/>
                        </w:rPr>
                        <w:t xml:space="preserve"> 2020</w:t>
                      </w:r>
                    </w:p>
                    <w:p w14:paraId="0771DB5B" w14:textId="77777777" w:rsidR="003C14E1" w:rsidRPr="00C25ADB" w:rsidRDefault="003C14E1"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55B0536" w14:textId="77777777" w:rsidR="00040C3A" w:rsidRPr="00FE3799" w:rsidRDefault="00040C3A" w:rsidP="00040C3A">
      <w:pPr>
        <w:tabs>
          <w:tab w:val="center" w:pos="5400"/>
        </w:tabs>
        <w:suppressAutoHyphens/>
        <w:jc w:val="center"/>
        <w:rPr>
          <w:rFonts w:asciiTheme="majorHAnsi" w:hAnsiTheme="majorHAnsi"/>
          <w:sz w:val="22"/>
          <w:szCs w:val="22"/>
          <w:lang w:val="es-VE"/>
        </w:rPr>
      </w:pPr>
    </w:p>
    <w:p w14:paraId="5FE3AB87" w14:textId="77777777" w:rsidR="00040C3A" w:rsidRPr="00FE3799" w:rsidRDefault="00040C3A" w:rsidP="00040C3A">
      <w:pPr>
        <w:tabs>
          <w:tab w:val="center" w:pos="5400"/>
        </w:tabs>
        <w:suppressAutoHyphens/>
        <w:jc w:val="center"/>
        <w:rPr>
          <w:rFonts w:asciiTheme="majorHAnsi" w:hAnsiTheme="majorHAnsi"/>
          <w:sz w:val="22"/>
          <w:szCs w:val="22"/>
          <w:lang w:val="es-VE"/>
        </w:rPr>
      </w:pPr>
    </w:p>
    <w:p w14:paraId="3C383BC0" w14:textId="77777777" w:rsidR="00040C3A" w:rsidRPr="00FE3799" w:rsidRDefault="00040C3A" w:rsidP="00040C3A">
      <w:pPr>
        <w:tabs>
          <w:tab w:val="center" w:pos="5400"/>
        </w:tabs>
        <w:suppressAutoHyphens/>
        <w:jc w:val="center"/>
        <w:rPr>
          <w:rFonts w:asciiTheme="majorHAnsi" w:hAnsiTheme="majorHAnsi" w:cs="Arial"/>
          <w:sz w:val="22"/>
          <w:szCs w:val="22"/>
          <w:lang w:val="es-VE"/>
        </w:rPr>
      </w:pPr>
    </w:p>
    <w:p w14:paraId="54590931" w14:textId="77777777" w:rsidR="00040C3A" w:rsidRPr="00FE3799" w:rsidRDefault="00040C3A" w:rsidP="00040C3A">
      <w:pPr>
        <w:tabs>
          <w:tab w:val="center" w:pos="5400"/>
        </w:tabs>
        <w:suppressAutoHyphens/>
        <w:jc w:val="center"/>
        <w:rPr>
          <w:rFonts w:asciiTheme="majorHAnsi" w:hAnsiTheme="majorHAnsi"/>
          <w:sz w:val="22"/>
          <w:szCs w:val="22"/>
          <w:lang w:val="es-VE"/>
        </w:rPr>
      </w:pPr>
    </w:p>
    <w:p w14:paraId="76C291D6" w14:textId="77777777" w:rsidR="00040C3A" w:rsidRPr="00FE3799" w:rsidRDefault="00040C3A" w:rsidP="00040C3A">
      <w:pPr>
        <w:tabs>
          <w:tab w:val="center" w:pos="5400"/>
        </w:tabs>
        <w:suppressAutoHyphens/>
        <w:jc w:val="center"/>
        <w:rPr>
          <w:rFonts w:asciiTheme="majorHAnsi" w:hAnsiTheme="majorHAnsi"/>
          <w:sz w:val="22"/>
          <w:szCs w:val="22"/>
          <w:lang w:val="es-VE"/>
        </w:rPr>
      </w:pPr>
    </w:p>
    <w:p w14:paraId="2161B44F" w14:textId="77777777" w:rsidR="00040C3A" w:rsidRPr="00FE3799" w:rsidRDefault="00040C3A" w:rsidP="00040C3A">
      <w:pPr>
        <w:tabs>
          <w:tab w:val="center" w:pos="5400"/>
        </w:tabs>
        <w:suppressAutoHyphens/>
        <w:jc w:val="center"/>
        <w:rPr>
          <w:rFonts w:asciiTheme="majorHAnsi" w:hAnsiTheme="majorHAnsi"/>
          <w:sz w:val="22"/>
          <w:szCs w:val="22"/>
          <w:lang w:val="es-VE"/>
        </w:rPr>
      </w:pPr>
    </w:p>
    <w:p w14:paraId="3C4EEE07" w14:textId="77777777" w:rsidR="00040C3A" w:rsidRPr="00FE3799" w:rsidRDefault="00040C3A" w:rsidP="00040C3A">
      <w:pPr>
        <w:tabs>
          <w:tab w:val="center" w:pos="5400"/>
        </w:tabs>
        <w:suppressAutoHyphens/>
        <w:jc w:val="center"/>
        <w:rPr>
          <w:rFonts w:asciiTheme="majorHAnsi" w:hAnsiTheme="majorHAnsi"/>
          <w:sz w:val="22"/>
          <w:szCs w:val="22"/>
          <w:lang w:val="es-VE"/>
        </w:rPr>
      </w:pPr>
    </w:p>
    <w:p w14:paraId="3B0E4647" w14:textId="77777777" w:rsidR="005128E4" w:rsidRPr="00FE3799" w:rsidRDefault="005128E4" w:rsidP="00040C3A">
      <w:pPr>
        <w:tabs>
          <w:tab w:val="center" w:pos="5400"/>
        </w:tabs>
        <w:suppressAutoHyphens/>
        <w:jc w:val="center"/>
        <w:rPr>
          <w:rFonts w:asciiTheme="majorHAnsi" w:hAnsiTheme="majorHAnsi"/>
          <w:sz w:val="22"/>
          <w:szCs w:val="22"/>
          <w:lang w:val="es-VE"/>
        </w:rPr>
      </w:pPr>
    </w:p>
    <w:p w14:paraId="2DAAF36D" w14:textId="77777777" w:rsidR="00040C3A" w:rsidRPr="00FE3799" w:rsidRDefault="00040C3A" w:rsidP="00040C3A">
      <w:pPr>
        <w:tabs>
          <w:tab w:val="center" w:pos="5400"/>
        </w:tabs>
        <w:suppressAutoHyphens/>
        <w:jc w:val="center"/>
        <w:rPr>
          <w:rFonts w:asciiTheme="majorHAnsi" w:hAnsiTheme="majorHAnsi"/>
          <w:sz w:val="22"/>
          <w:szCs w:val="22"/>
          <w:lang w:val="es-VE"/>
        </w:rPr>
      </w:pPr>
    </w:p>
    <w:p w14:paraId="12496A14" w14:textId="77777777" w:rsidR="005128E4" w:rsidRPr="00FE3799" w:rsidRDefault="005128E4" w:rsidP="00040C3A">
      <w:pPr>
        <w:tabs>
          <w:tab w:val="center" w:pos="5400"/>
        </w:tabs>
        <w:suppressAutoHyphens/>
        <w:jc w:val="center"/>
        <w:rPr>
          <w:rFonts w:asciiTheme="majorHAnsi" w:hAnsiTheme="majorHAnsi"/>
          <w:sz w:val="22"/>
          <w:szCs w:val="22"/>
          <w:lang w:val="es-VE"/>
        </w:rPr>
      </w:pPr>
    </w:p>
    <w:p w14:paraId="25772DB3" w14:textId="77777777" w:rsidR="005128E4" w:rsidRPr="00FE3799" w:rsidRDefault="005128E4" w:rsidP="00040C3A">
      <w:pPr>
        <w:tabs>
          <w:tab w:val="center" w:pos="5400"/>
        </w:tabs>
        <w:suppressAutoHyphens/>
        <w:jc w:val="center"/>
        <w:rPr>
          <w:rFonts w:asciiTheme="majorHAnsi" w:hAnsiTheme="majorHAnsi"/>
          <w:sz w:val="22"/>
          <w:szCs w:val="22"/>
          <w:lang w:val="es-VE"/>
        </w:rPr>
      </w:pPr>
    </w:p>
    <w:p w14:paraId="6820FADA" w14:textId="77777777" w:rsidR="005128E4" w:rsidRPr="00FE3799" w:rsidRDefault="005128E4" w:rsidP="00040C3A">
      <w:pPr>
        <w:tabs>
          <w:tab w:val="center" w:pos="5400"/>
        </w:tabs>
        <w:suppressAutoHyphens/>
        <w:jc w:val="center"/>
        <w:rPr>
          <w:rFonts w:asciiTheme="majorHAnsi" w:hAnsiTheme="majorHAnsi"/>
          <w:sz w:val="22"/>
          <w:szCs w:val="22"/>
          <w:lang w:val="es-VE"/>
        </w:rPr>
      </w:pPr>
    </w:p>
    <w:p w14:paraId="54445A55" w14:textId="77777777" w:rsidR="00040C3A" w:rsidRPr="00FE3799" w:rsidRDefault="00040C3A" w:rsidP="00040C3A">
      <w:pPr>
        <w:tabs>
          <w:tab w:val="center" w:pos="5400"/>
        </w:tabs>
        <w:suppressAutoHyphens/>
        <w:jc w:val="center"/>
        <w:rPr>
          <w:rFonts w:asciiTheme="majorHAnsi" w:hAnsiTheme="majorHAnsi"/>
          <w:sz w:val="22"/>
          <w:szCs w:val="22"/>
          <w:lang w:val="es-VE"/>
        </w:rPr>
      </w:pPr>
    </w:p>
    <w:p w14:paraId="5D4A4040" w14:textId="77777777" w:rsidR="00040C3A" w:rsidRPr="00FE3799" w:rsidRDefault="00040C3A" w:rsidP="00040C3A">
      <w:pPr>
        <w:tabs>
          <w:tab w:val="center" w:pos="5400"/>
        </w:tabs>
        <w:suppressAutoHyphens/>
        <w:jc w:val="center"/>
        <w:rPr>
          <w:rFonts w:asciiTheme="majorHAnsi" w:hAnsiTheme="majorHAnsi"/>
          <w:sz w:val="22"/>
          <w:szCs w:val="22"/>
          <w:lang w:val="es-VE"/>
        </w:rPr>
      </w:pPr>
    </w:p>
    <w:p w14:paraId="048FBB22"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190ABFB3"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4C690048"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733CA438"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7874DEEB"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3698D0D6"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1F907823"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045D9AC1"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16068EE5"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14A4A430"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0B3B735F"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02C5C441"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7806A2B0"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319C392B"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514A0182" w14:textId="77777777" w:rsidR="00A50FCF" w:rsidRPr="00FE3799" w:rsidRDefault="0090270B" w:rsidP="00040C3A">
      <w:pPr>
        <w:tabs>
          <w:tab w:val="center" w:pos="5400"/>
        </w:tabs>
        <w:suppressAutoHyphens/>
        <w:jc w:val="center"/>
        <w:rPr>
          <w:rFonts w:asciiTheme="majorHAnsi" w:hAnsiTheme="majorHAnsi"/>
          <w:sz w:val="18"/>
          <w:szCs w:val="22"/>
          <w:lang w:val="es-VE"/>
        </w:rPr>
      </w:pPr>
      <w:r w:rsidRPr="00FE379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DC80B73" w:rsidR="003C14E1" w:rsidRPr="00890650" w:rsidRDefault="003C14E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74C58">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274C58">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FE3799">
                              <w:rPr>
                                <w:rFonts w:asciiTheme="majorHAnsi" w:hAnsiTheme="majorHAnsi"/>
                                <w:color w:val="0D0D0D" w:themeColor="text1" w:themeTint="F2"/>
                                <w:sz w:val="18"/>
                                <w:szCs w:val="22"/>
                                <w:lang w:val="es-ES"/>
                              </w:rPr>
                              <w:t>.</w:t>
                            </w:r>
                          </w:p>
                          <w:p w14:paraId="4BDF3581" w14:textId="77777777" w:rsidR="003C14E1" w:rsidRPr="007A5817" w:rsidRDefault="003C14E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C14E1" w:rsidRPr="00167A34" w:rsidRDefault="003C14E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DC80B73" w:rsidR="003C14E1" w:rsidRPr="00890650" w:rsidRDefault="003C14E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74C58">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274C58">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FE3799">
                        <w:rPr>
                          <w:rFonts w:asciiTheme="majorHAnsi" w:hAnsiTheme="majorHAnsi"/>
                          <w:color w:val="0D0D0D" w:themeColor="text1" w:themeTint="F2"/>
                          <w:sz w:val="18"/>
                          <w:szCs w:val="22"/>
                          <w:lang w:val="es-ES"/>
                        </w:rPr>
                        <w:t>.</w:t>
                      </w:r>
                    </w:p>
                    <w:p w14:paraId="4BDF3581" w14:textId="77777777" w:rsidR="003C14E1" w:rsidRPr="007A5817" w:rsidRDefault="003C14E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C14E1" w:rsidRPr="00167A34" w:rsidRDefault="003C14E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7929D1FD"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5469D0BE"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7A79F059"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330672AE" w14:textId="77777777" w:rsidR="00A50FCF" w:rsidRPr="00FE3799" w:rsidRDefault="0090270B" w:rsidP="00040C3A">
      <w:pPr>
        <w:tabs>
          <w:tab w:val="center" w:pos="5400"/>
        </w:tabs>
        <w:suppressAutoHyphens/>
        <w:jc w:val="center"/>
        <w:rPr>
          <w:rFonts w:asciiTheme="majorHAnsi" w:hAnsiTheme="majorHAnsi"/>
          <w:sz w:val="18"/>
          <w:szCs w:val="22"/>
          <w:lang w:val="es-VE"/>
        </w:rPr>
      </w:pPr>
      <w:r w:rsidRPr="00FE379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78B3656" w:rsidR="003C14E1" w:rsidRPr="007B05C4" w:rsidRDefault="003C14E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4C58" w:rsidRPr="00274C58">
                              <w:rPr>
                                <w:rFonts w:asciiTheme="majorHAnsi" w:hAnsiTheme="majorHAnsi"/>
                                <w:color w:val="595959" w:themeColor="text1" w:themeTint="A6"/>
                                <w:sz w:val="18"/>
                                <w:szCs w:val="18"/>
                                <w:lang w:val="pt-BR"/>
                              </w:rPr>
                              <w:t>310</w:t>
                            </w:r>
                            <w:r w:rsidRPr="00274C58">
                              <w:rPr>
                                <w:rFonts w:asciiTheme="majorHAnsi" w:hAnsiTheme="majorHAnsi"/>
                                <w:color w:val="595959" w:themeColor="text1" w:themeTint="A6"/>
                                <w:sz w:val="18"/>
                                <w:szCs w:val="18"/>
                                <w:lang w:val="pt-BR"/>
                              </w:rPr>
                              <w:t xml:space="preserve">/20.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1104-11.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José Luis Lemus Solís</w:t>
                            </w:r>
                            <w:r w:rsidR="00274C58">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274C58">
                              <w:rPr>
                                <w:rFonts w:asciiTheme="majorHAnsi" w:hAnsiTheme="majorHAnsi"/>
                                <w:color w:val="595959" w:themeColor="text1" w:themeTint="A6"/>
                                <w:sz w:val="18"/>
                                <w:szCs w:val="18"/>
                                <w:lang w:val="es-ES"/>
                              </w:rPr>
                              <w:t>16 de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78B3656" w:rsidR="003C14E1" w:rsidRPr="007B05C4" w:rsidRDefault="003C14E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4C58" w:rsidRPr="00274C58">
                        <w:rPr>
                          <w:rFonts w:asciiTheme="majorHAnsi" w:hAnsiTheme="majorHAnsi"/>
                          <w:color w:val="595959" w:themeColor="text1" w:themeTint="A6"/>
                          <w:sz w:val="18"/>
                          <w:szCs w:val="18"/>
                          <w:lang w:val="pt-BR"/>
                        </w:rPr>
                        <w:t>310</w:t>
                      </w:r>
                      <w:r w:rsidRPr="00274C58">
                        <w:rPr>
                          <w:rFonts w:asciiTheme="majorHAnsi" w:hAnsiTheme="majorHAnsi"/>
                          <w:color w:val="595959" w:themeColor="text1" w:themeTint="A6"/>
                          <w:sz w:val="18"/>
                          <w:szCs w:val="18"/>
                          <w:lang w:val="pt-BR"/>
                        </w:rPr>
                        <w:t xml:space="preserve">/20.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1104-11.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José Luis Lemus Solís</w:t>
                      </w:r>
                      <w:r w:rsidR="00274C58">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274C58">
                        <w:rPr>
                          <w:rFonts w:asciiTheme="majorHAnsi" w:hAnsiTheme="majorHAnsi"/>
                          <w:color w:val="595959" w:themeColor="text1" w:themeTint="A6"/>
                          <w:sz w:val="18"/>
                          <w:szCs w:val="18"/>
                          <w:lang w:val="es-ES"/>
                        </w:rPr>
                        <w:t>16 de octubre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FE3799" w:rsidRDefault="00A50FCF" w:rsidP="00040C3A">
      <w:pPr>
        <w:tabs>
          <w:tab w:val="center" w:pos="5400"/>
        </w:tabs>
        <w:suppressAutoHyphens/>
        <w:jc w:val="center"/>
        <w:rPr>
          <w:rFonts w:asciiTheme="majorHAnsi" w:hAnsiTheme="majorHAnsi"/>
          <w:sz w:val="18"/>
          <w:szCs w:val="22"/>
          <w:lang w:val="es-VE"/>
        </w:rPr>
      </w:pPr>
    </w:p>
    <w:p w14:paraId="1DA07629" w14:textId="77777777" w:rsidR="0090270B" w:rsidRPr="00FE3799" w:rsidRDefault="00D306D1" w:rsidP="005516A1">
      <w:pPr>
        <w:tabs>
          <w:tab w:val="center" w:pos="5400"/>
        </w:tabs>
        <w:suppressAutoHyphens/>
        <w:jc w:val="center"/>
        <w:rPr>
          <w:rFonts w:asciiTheme="majorHAnsi" w:hAnsiTheme="majorHAnsi"/>
          <w:b/>
          <w:sz w:val="20"/>
          <w:lang w:val="es-VE"/>
        </w:rPr>
      </w:pPr>
      <w:r w:rsidRPr="00FE379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0AE6FDE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A039C0C" w:rsidR="003C14E1" w:rsidRPr="00D72DC6" w:rsidRDefault="00FE3799" w:rsidP="00F02AD1">
                            <w:pPr>
                              <w:rPr>
                                <w:color w:val="FFFFFF" w:themeColor="background1"/>
                                <w14:textFill>
                                  <w14:noFill/>
                                </w14:textFill>
                              </w:rPr>
                            </w:pPr>
                            <w:r>
                              <w:rPr>
                                <w:noProof/>
                                <w:color w:val="FFFFFF" w:themeColor="background1"/>
                              </w:rPr>
                              <w:drawing>
                                <wp:inline distT="0" distB="0" distL="0" distR="0" wp14:anchorId="07864E15" wp14:editId="3CC5225E">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4A039C0C" w:rsidR="003C14E1" w:rsidRPr="00D72DC6" w:rsidRDefault="00FE3799" w:rsidP="00F02AD1">
                      <w:pPr>
                        <w:rPr>
                          <w:color w:val="FFFFFF" w:themeColor="background1"/>
                          <w14:textFill>
                            <w14:noFill/>
                          </w14:textFill>
                        </w:rPr>
                      </w:pPr>
                      <w:r>
                        <w:rPr>
                          <w:noProof/>
                          <w:color w:val="FFFFFF" w:themeColor="background1"/>
                        </w:rPr>
                        <w:drawing>
                          <wp:inline distT="0" distB="0" distL="0" distR="0" wp14:anchorId="07864E15" wp14:editId="3CC5225E">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FE379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3C14E1" w:rsidRPr="004B7EB6" w:rsidRDefault="003C14E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3C14E1" w:rsidRPr="004B7EB6" w:rsidRDefault="003C14E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FE3799" w:rsidRDefault="004A6A54" w:rsidP="005516A1">
      <w:pPr>
        <w:tabs>
          <w:tab w:val="center" w:pos="5400"/>
        </w:tabs>
        <w:suppressAutoHyphens/>
        <w:jc w:val="center"/>
        <w:rPr>
          <w:rFonts w:asciiTheme="majorHAnsi" w:hAnsiTheme="majorHAnsi"/>
          <w:b/>
          <w:sz w:val="20"/>
          <w:lang w:val="es-VE"/>
        </w:rPr>
        <w:sectPr w:rsidR="0070697F" w:rsidRPr="00FE3799"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FE3799">
        <w:rPr>
          <w:rFonts w:asciiTheme="majorHAnsi" w:hAnsiTheme="majorHAnsi"/>
          <w:b/>
          <w:sz w:val="20"/>
          <w:lang w:val="es-VE"/>
        </w:rPr>
        <w:tab/>
      </w:r>
    </w:p>
    <w:p w14:paraId="376DDC8B" w14:textId="77777777" w:rsidR="003239B8" w:rsidRPr="00FE3799" w:rsidRDefault="003239B8" w:rsidP="004A6A54">
      <w:pPr>
        <w:spacing w:after="240"/>
        <w:ind w:firstLine="720"/>
        <w:jc w:val="both"/>
        <w:rPr>
          <w:rFonts w:asciiTheme="majorHAnsi" w:hAnsiTheme="majorHAnsi"/>
          <w:b/>
          <w:bCs/>
          <w:sz w:val="20"/>
          <w:szCs w:val="20"/>
          <w:lang w:val="es-VE"/>
        </w:rPr>
      </w:pPr>
      <w:r w:rsidRPr="00FE3799">
        <w:rPr>
          <w:rFonts w:asciiTheme="majorHAnsi" w:hAnsiTheme="majorHAnsi"/>
          <w:b/>
          <w:bCs/>
          <w:sz w:val="20"/>
          <w:szCs w:val="20"/>
          <w:lang w:val="es-VE"/>
        </w:rPr>
        <w:lastRenderedPageBreak/>
        <w:t>I.</w:t>
      </w:r>
      <w:r w:rsidRPr="00FE3799">
        <w:rPr>
          <w:rFonts w:asciiTheme="majorHAnsi" w:hAnsiTheme="majorHAnsi"/>
          <w:b/>
          <w:bCs/>
          <w:sz w:val="20"/>
          <w:szCs w:val="20"/>
          <w:lang w:val="es-VE"/>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E3799"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FE3799" w:rsidRDefault="003239B8" w:rsidP="003C14E1">
            <w:pPr>
              <w:jc w:val="center"/>
              <w:rPr>
                <w:rFonts w:asciiTheme="majorHAnsi" w:hAnsiTheme="majorHAnsi"/>
                <w:b/>
                <w:bCs/>
                <w:color w:val="FFFFFF" w:themeColor="background1"/>
                <w:sz w:val="20"/>
                <w:szCs w:val="20"/>
                <w:lang w:val="es-VE"/>
              </w:rPr>
            </w:pPr>
            <w:r w:rsidRPr="00FE3799">
              <w:rPr>
                <w:rFonts w:asciiTheme="majorHAnsi" w:hAnsiTheme="majorHAnsi"/>
                <w:b/>
                <w:bCs/>
                <w:color w:val="FFFFFF" w:themeColor="background1"/>
                <w:sz w:val="20"/>
                <w:szCs w:val="20"/>
                <w:lang w:val="es-VE"/>
              </w:rPr>
              <w:t>Parte peticionaria:</w:t>
            </w:r>
          </w:p>
        </w:tc>
        <w:tc>
          <w:tcPr>
            <w:tcW w:w="5760" w:type="dxa"/>
            <w:vAlign w:val="center"/>
          </w:tcPr>
          <w:p w14:paraId="3C5315D8" w14:textId="742DF4CE" w:rsidR="003239B8" w:rsidRPr="00FE3799" w:rsidRDefault="00AE2768" w:rsidP="003C14E1">
            <w:pPr>
              <w:jc w:val="both"/>
              <w:rPr>
                <w:rFonts w:asciiTheme="majorHAnsi" w:hAnsiTheme="majorHAnsi"/>
                <w:bCs/>
                <w:sz w:val="20"/>
                <w:szCs w:val="20"/>
                <w:lang w:val="es-VE"/>
              </w:rPr>
            </w:pPr>
            <w:r w:rsidRPr="00FE3799">
              <w:rPr>
                <w:rFonts w:asciiTheme="majorHAnsi" w:hAnsiTheme="majorHAnsi"/>
                <w:bCs/>
                <w:sz w:val="20"/>
                <w:szCs w:val="20"/>
                <w:lang w:val="es-VE"/>
              </w:rPr>
              <w:t>Grupo de Apoyo Mutuo</w:t>
            </w:r>
          </w:p>
        </w:tc>
      </w:tr>
      <w:tr w:rsidR="003239B8" w:rsidRPr="00FE3799"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FE3799" w:rsidRDefault="0066114D" w:rsidP="003C14E1">
            <w:pPr>
              <w:jc w:val="center"/>
              <w:rPr>
                <w:rFonts w:asciiTheme="majorHAnsi" w:hAnsiTheme="majorHAnsi"/>
                <w:b/>
                <w:bCs/>
                <w:color w:val="FFFFFF" w:themeColor="background1"/>
                <w:sz w:val="20"/>
                <w:szCs w:val="20"/>
                <w:lang w:val="es-VE"/>
              </w:rPr>
            </w:pPr>
            <w:sdt>
              <w:sdtPr>
                <w:rPr>
                  <w:rFonts w:asciiTheme="majorHAnsi" w:hAnsiTheme="majorHAnsi"/>
                  <w:b/>
                  <w:bCs/>
                  <w:color w:val="FFFFFF" w:themeColor="background1"/>
                  <w:sz w:val="20"/>
                  <w:szCs w:val="20"/>
                  <w:lang w:val="es-VE"/>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87F20" w:rsidRPr="00FE3799">
                  <w:rPr>
                    <w:rFonts w:asciiTheme="majorHAnsi" w:hAnsiTheme="majorHAnsi"/>
                    <w:b/>
                    <w:bCs/>
                    <w:color w:val="FFFFFF" w:themeColor="background1"/>
                    <w:sz w:val="20"/>
                    <w:szCs w:val="20"/>
                    <w:lang w:val="es-VE"/>
                  </w:rPr>
                  <w:t>Presunta víctima</w:t>
                </w:r>
              </w:sdtContent>
            </w:sdt>
            <w:r w:rsidR="003239B8" w:rsidRPr="00FE3799">
              <w:rPr>
                <w:rFonts w:asciiTheme="majorHAnsi" w:hAnsiTheme="majorHAnsi"/>
                <w:b/>
                <w:bCs/>
                <w:color w:val="FFFFFF" w:themeColor="background1"/>
                <w:sz w:val="20"/>
                <w:szCs w:val="20"/>
                <w:lang w:val="es-VE"/>
              </w:rPr>
              <w:t>:</w:t>
            </w:r>
          </w:p>
        </w:tc>
        <w:tc>
          <w:tcPr>
            <w:tcW w:w="5760" w:type="dxa"/>
            <w:vAlign w:val="center"/>
          </w:tcPr>
          <w:p w14:paraId="4AEBF59E" w14:textId="32C334B4" w:rsidR="003239B8" w:rsidRPr="00FE3799" w:rsidRDefault="00AE2768" w:rsidP="003C14E1">
            <w:pPr>
              <w:jc w:val="both"/>
              <w:rPr>
                <w:rFonts w:asciiTheme="majorHAnsi" w:hAnsiTheme="majorHAnsi"/>
                <w:bCs/>
                <w:sz w:val="20"/>
                <w:szCs w:val="20"/>
                <w:lang w:val="es-VE"/>
              </w:rPr>
            </w:pPr>
            <w:r w:rsidRPr="00FE3799">
              <w:rPr>
                <w:rFonts w:asciiTheme="majorHAnsi" w:hAnsiTheme="majorHAnsi"/>
                <w:bCs/>
                <w:sz w:val="20"/>
                <w:szCs w:val="20"/>
                <w:lang w:val="es-VE"/>
              </w:rPr>
              <w:t>José Luis Lemus Solís</w:t>
            </w:r>
            <w:r w:rsidR="005119E8" w:rsidRPr="00FE3799">
              <w:rPr>
                <w:rFonts w:asciiTheme="majorHAnsi" w:hAnsiTheme="majorHAnsi"/>
                <w:bCs/>
                <w:sz w:val="20"/>
                <w:szCs w:val="20"/>
                <w:lang w:val="es-VE"/>
              </w:rPr>
              <w:t xml:space="preserve"> y familiares</w:t>
            </w:r>
            <w:r w:rsidR="005119E8" w:rsidRPr="00FE3799">
              <w:rPr>
                <w:rStyle w:val="FootnoteReference"/>
                <w:rFonts w:asciiTheme="majorHAnsi" w:hAnsiTheme="majorHAnsi"/>
                <w:bCs/>
                <w:sz w:val="20"/>
                <w:szCs w:val="20"/>
                <w:lang w:val="es-VE"/>
              </w:rPr>
              <w:footnoteReference w:id="2"/>
            </w:r>
          </w:p>
        </w:tc>
      </w:tr>
      <w:tr w:rsidR="003239B8" w:rsidRPr="00FE3799"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FE3799" w:rsidRDefault="003239B8" w:rsidP="003C14E1">
            <w:pPr>
              <w:jc w:val="center"/>
              <w:rPr>
                <w:rFonts w:asciiTheme="majorHAnsi" w:hAnsiTheme="majorHAnsi"/>
                <w:b/>
                <w:bCs/>
                <w:color w:val="FFFFFF" w:themeColor="background1"/>
                <w:sz w:val="20"/>
                <w:szCs w:val="20"/>
                <w:lang w:val="es-VE"/>
              </w:rPr>
            </w:pPr>
            <w:r w:rsidRPr="00FE3799">
              <w:rPr>
                <w:rFonts w:asciiTheme="majorHAnsi" w:hAnsiTheme="majorHAnsi"/>
                <w:b/>
                <w:bCs/>
                <w:color w:val="FFFFFF" w:themeColor="background1"/>
                <w:sz w:val="20"/>
                <w:szCs w:val="20"/>
                <w:lang w:val="es-VE"/>
              </w:rPr>
              <w:t>Estado denunciado:</w:t>
            </w:r>
          </w:p>
        </w:tc>
        <w:tc>
          <w:tcPr>
            <w:tcW w:w="5760" w:type="dxa"/>
            <w:vAlign w:val="center"/>
          </w:tcPr>
          <w:p w14:paraId="274C8A50" w14:textId="18D35871" w:rsidR="003239B8" w:rsidRPr="00FE3799" w:rsidRDefault="00AE2768" w:rsidP="003C14E1">
            <w:pPr>
              <w:jc w:val="both"/>
              <w:rPr>
                <w:rFonts w:asciiTheme="majorHAnsi" w:hAnsiTheme="majorHAnsi"/>
                <w:bCs/>
                <w:sz w:val="20"/>
                <w:szCs w:val="20"/>
                <w:lang w:val="es-VE"/>
              </w:rPr>
            </w:pPr>
            <w:r w:rsidRPr="00FE3799">
              <w:rPr>
                <w:rFonts w:asciiTheme="majorHAnsi" w:hAnsiTheme="majorHAnsi"/>
                <w:bCs/>
                <w:sz w:val="20"/>
                <w:szCs w:val="20"/>
                <w:lang w:val="es-VE"/>
              </w:rPr>
              <w:t>Guatemala</w:t>
            </w:r>
            <w:r w:rsidR="004A6A54" w:rsidRPr="00FE3799">
              <w:rPr>
                <w:rStyle w:val="FootnoteReference"/>
                <w:rFonts w:asciiTheme="majorHAnsi" w:hAnsiTheme="majorHAnsi"/>
                <w:bCs/>
                <w:sz w:val="20"/>
                <w:szCs w:val="20"/>
                <w:lang w:val="es-VE"/>
              </w:rPr>
              <w:footnoteReference w:id="3"/>
            </w:r>
          </w:p>
        </w:tc>
      </w:tr>
      <w:tr w:rsidR="00223A29" w:rsidRPr="00FE379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FE3799" w:rsidRDefault="001B3A00" w:rsidP="00E4118C">
            <w:pPr>
              <w:jc w:val="center"/>
              <w:rPr>
                <w:rFonts w:asciiTheme="majorHAnsi" w:hAnsiTheme="majorHAnsi"/>
                <w:b/>
                <w:bCs/>
                <w:color w:val="FFFFFF" w:themeColor="background1"/>
                <w:sz w:val="20"/>
                <w:szCs w:val="20"/>
                <w:lang w:val="es-VE"/>
              </w:rPr>
            </w:pPr>
            <w:r w:rsidRPr="00FE3799">
              <w:rPr>
                <w:rFonts w:asciiTheme="majorHAnsi" w:hAnsiTheme="majorHAnsi"/>
                <w:b/>
                <w:bCs/>
                <w:color w:val="FFFFFF" w:themeColor="background1"/>
                <w:sz w:val="20"/>
                <w:szCs w:val="20"/>
                <w:lang w:val="es-VE"/>
              </w:rPr>
              <w:t xml:space="preserve">Derechos </w:t>
            </w:r>
            <w:r w:rsidR="00E4118C" w:rsidRPr="00FE3799">
              <w:rPr>
                <w:rFonts w:asciiTheme="majorHAnsi" w:hAnsiTheme="majorHAnsi"/>
                <w:b/>
                <w:bCs/>
                <w:color w:val="FFFFFF" w:themeColor="background1"/>
                <w:sz w:val="20"/>
                <w:szCs w:val="20"/>
                <w:lang w:val="es-VE"/>
              </w:rPr>
              <w:t>invocados</w:t>
            </w:r>
            <w:r w:rsidRPr="00FE3799">
              <w:rPr>
                <w:rFonts w:asciiTheme="majorHAnsi" w:hAnsiTheme="majorHAnsi"/>
                <w:b/>
                <w:bCs/>
                <w:color w:val="FFFFFF" w:themeColor="background1"/>
                <w:sz w:val="20"/>
                <w:szCs w:val="20"/>
                <w:lang w:val="es-VE"/>
              </w:rPr>
              <w:t>:</w:t>
            </w:r>
          </w:p>
        </w:tc>
        <w:tc>
          <w:tcPr>
            <w:tcW w:w="5760" w:type="dxa"/>
            <w:vAlign w:val="center"/>
          </w:tcPr>
          <w:p w14:paraId="6DEE1EEB" w14:textId="77CA15BC" w:rsidR="00F704FA" w:rsidRPr="00FE3799" w:rsidRDefault="00F704FA" w:rsidP="003C14E1">
            <w:pPr>
              <w:jc w:val="both"/>
              <w:rPr>
                <w:rFonts w:asciiTheme="majorHAnsi" w:hAnsiTheme="majorHAnsi"/>
                <w:bCs/>
                <w:sz w:val="19"/>
                <w:szCs w:val="19"/>
                <w:highlight w:val="yellow"/>
                <w:lang w:val="es-VE"/>
              </w:rPr>
            </w:pPr>
            <w:r w:rsidRPr="00FE3799">
              <w:rPr>
                <w:rFonts w:asciiTheme="majorHAnsi" w:hAnsiTheme="majorHAnsi"/>
                <w:bCs/>
                <w:sz w:val="19"/>
                <w:szCs w:val="19"/>
                <w:lang w:val="es-VE"/>
              </w:rPr>
              <w:t>Artículos 3 (reconocimiento de la personalidad jurídica), 4 (derecho a la vida), 5 (derecho a la integridad personal), 7 (derecho a la libertad personal), 8 (garantías judiciales), 10 (derecho a indemnización), 11 (protección de la honra y de la dignidad), 17 (protección a la familia), 19 (derechos del niño) y 25 (protección judicial) de la Convención Americana sobre Derechos Humanos</w:t>
            </w:r>
            <w:r w:rsidR="00C404F1" w:rsidRPr="00FE3799">
              <w:rPr>
                <w:rStyle w:val="FootnoteReference"/>
                <w:rFonts w:asciiTheme="majorHAnsi" w:hAnsiTheme="majorHAnsi"/>
                <w:bCs/>
                <w:sz w:val="19"/>
                <w:szCs w:val="19"/>
                <w:lang w:val="es-VE"/>
              </w:rPr>
              <w:footnoteReference w:id="4"/>
            </w:r>
            <w:r w:rsidRPr="00FE3799">
              <w:rPr>
                <w:rFonts w:asciiTheme="majorHAnsi" w:hAnsiTheme="majorHAnsi"/>
                <w:bCs/>
                <w:sz w:val="19"/>
                <w:szCs w:val="19"/>
                <w:lang w:val="es-VE"/>
              </w:rPr>
              <w:t xml:space="preserve"> en relación con el artículo 1.1 del mismo instrumento; y el artículo I de la Convención Interamericana sobre Desaparición Forzada de Personas</w:t>
            </w:r>
          </w:p>
        </w:tc>
      </w:tr>
    </w:tbl>
    <w:p w14:paraId="20263696" w14:textId="2B21BCDE" w:rsidR="003239B8" w:rsidRPr="00FE3799" w:rsidRDefault="003239B8" w:rsidP="003239B8">
      <w:pPr>
        <w:spacing w:before="240" w:after="240"/>
        <w:ind w:firstLine="720"/>
        <w:jc w:val="both"/>
        <w:rPr>
          <w:rFonts w:asciiTheme="majorHAnsi" w:hAnsiTheme="majorHAnsi"/>
          <w:b/>
          <w:bCs/>
          <w:sz w:val="20"/>
          <w:szCs w:val="20"/>
          <w:lang w:val="es-VE"/>
        </w:rPr>
      </w:pPr>
      <w:r w:rsidRPr="00FE3799">
        <w:rPr>
          <w:rFonts w:asciiTheme="majorHAnsi" w:hAnsiTheme="majorHAnsi"/>
          <w:b/>
          <w:bCs/>
          <w:sz w:val="20"/>
          <w:szCs w:val="20"/>
          <w:lang w:val="es-VE"/>
        </w:rPr>
        <w:t>II.</w:t>
      </w:r>
      <w:r w:rsidRPr="00FE3799">
        <w:rPr>
          <w:rFonts w:asciiTheme="majorHAnsi" w:hAnsiTheme="majorHAnsi"/>
          <w:b/>
          <w:bCs/>
          <w:sz w:val="20"/>
          <w:szCs w:val="20"/>
          <w:lang w:val="es-VE"/>
        </w:rPr>
        <w:tab/>
        <w:t>TRÁMITE ANTE LA CIDH</w:t>
      </w:r>
      <w:r w:rsidR="008E3BFE" w:rsidRPr="00FE3799">
        <w:rPr>
          <w:rStyle w:val="FootnoteReference"/>
          <w:rFonts w:asciiTheme="majorHAnsi" w:hAnsiTheme="majorHAnsi"/>
          <w:b/>
          <w:sz w:val="20"/>
          <w:szCs w:val="20"/>
          <w:lang w:val="es-VE"/>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E3799"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FE3799" w:rsidRDefault="004A6A54" w:rsidP="004A6A54">
            <w:pPr>
              <w:jc w:val="center"/>
              <w:rPr>
                <w:rFonts w:asciiTheme="majorHAnsi" w:hAnsiTheme="majorHAnsi"/>
                <w:b/>
                <w:bCs/>
                <w:color w:val="FFFFFF" w:themeColor="background1"/>
                <w:sz w:val="20"/>
                <w:szCs w:val="20"/>
                <w:lang w:val="es-VE"/>
              </w:rPr>
            </w:pPr>
            <w:r w:rsidRPr="00FE3799">
              <w:rPr>
                <w:rFonts w:asciiTheme="majorHAnsi" w:hAnsiTheme="majorHAnsi"/>
                <w:b/>
                <w:bCs/>
                <w:color w:val="FFFFFF" w:themeColor="background1"/>
                <w:sz w:val="20"/>
                <w:szCs w:val="20"/>
                <w:lang w:val="es-VE"/>
              </w:rPr>
              <w:t>P</w:t>
            </w:r>
            <w:r w:rsidR="004C2312" w:rsidRPr="00FE3799">
              <w:rPr>
                <w:rFonts w:asciiTheme="majorHAnsi" w:hAnsiTheme="majorHAnsi"/>
                <w:b/>
                <w:bCs/>
                <w:color w:val="FFFFFF" w:themeColor="background1"/>
                <w:sz w:val="20"/>
                <w:szCs w:val="20"/>
                <w:lang w:val="es-VE"/>
              </w:rPr>
              <w:t>resentación de la petición:</w:t>
            </w:r>
          </w:p>
        </w:tc>
        <w:tc>
          <w:tcPr>
            <w:tcW w:w="5760" w:type="dxa"/>
            <w:vAlign w:val="center"/>
          </w:tcPr>
          <w:p w14:paraId="6E579153" w14:textId="51399488" w:rsidR="004C2312" w:rsidRPr="00FE3799" w:rsidRDefault="00AE2768" w:rsidP="003C14E1">
            <w:pPr>
              <w:jc w:val="both"/>
              <w:rPr>
                <w:rFonts w:asciiTheme="majorHAnsi" w:hAnsiTheme="majorHAnsi"/>
                <w:bCs/>
                <w:sz w:val="20"/>
                <w:szCs w:val="20"/>
                <w:lang w:val="es-VE"/>
              </w:rPr>
            </w:pPr>
            <w:r w:rsidRPr="00FE3799">
              <w:rPr>
                <w:rFonts w:asciiTheme="majorHAnsi" w:hAnsiTheme="majorHAnsi"/>
                <w:bCs/>
                <w:sz w:val="20"/>
                <w:szCs w:val="20"/>
                <w:lang w:val="es-VE"/>
              </w:rPr>
              <w:t>22 de agosto de 2011</w:t>
            </w:r>
          </w:p>
        </w:tc>
      </w:tr>
      <w:tr w:rsidR="00131425" w:rsidRPr="00FE3799"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FE3799" w:rsidRDefault="00131425" w:rsidP="004A6A54">
            <w:pPr>
              <w:jc w:val="center"/>
              <w:rPr>
                <w:rFonts w:asciiTheme="majorHAnsi" w:hAnsiTheme="majorHAnsi"/>
                <w:b/>
                <w:bCs/>
                <w:color w:val="FFFFFF" w:themeColor="background1"/>
                <w:sz w:val="20"/>
                <w:szCs w:val="20"/>
                <w:lang w:val="es-VE"/>
              </w:rPr>
            </w:pPr>
            <w:r w:rsidRPr="00FE3799">
              <w:rPr>
                <w:rFonts w:asciiTheme="majorHAnsi" w:hAnsiTheme="majorHAnsi"/>
                <w:b/>
                <w:bCs/>
                <w:color w:val="FFFFFF" w:themeColor="background1"/>
                <w:sz w:val="20"/>
                <w:szCs w:val="20"/>
                <w:lang w:val="es-VE"/>
              </w:rPr>
              <w:t>Información adicional recibida durante la etapa de estudio:</w:t>
            </w:r>
          </w:p>
        </w:tc>
        <w:tc>
          <w:tcPr>
            <w:tcW w:w="5760" w:type="dxa"/>
            <w:vAlign w:val="center"/>
          </w:tcPr>
          <w:p w14:paraId="30151270" w14:textId="7BA0BFAF" w:rsidR="00131425" w:rsidRPr="00FE3799" w:rsidRDefault="00D956D1" w:rsidP="003C14E1">
            <w:pPr>
              <w:jc w:val="both"/>
              <w:rPr>
                <w:rFonts w:asciiTheme="majorHAnsi" w:hAnsiTheme="majorHAnsi"/>
                <w:bCs/>
                <w:sz w:val="20"/>
                <w:szCs w:val="20"/>
                <w:lang w:val="es-VE"/>
              </w:rPr>
            </w:pPr>
            <w:r w:rsidRPr="00FE3799">
              <w:rPr>
                <w:rFonts w:asciiTheme="majorHAnsi" w:hAnsiTheme="majorHAnsi"/>
                <w:bCs/>
                <w:sz w:val="20"/>
                <w:szCs w:val="20"/>
                <w:lang w:val="es-VE"/>
              </w:rPr>
              <w:t xml:space="preserve">29 de agosto de 2012, 29 de julio de 2015 y </w:t>
            </w:r>
            <w:r w:rsidR="00AE2768" w:rsidRPr="00FE3799">
              <w:rPr>
                <w:rFonts w:asciiTheme="majorHAnsi" w:hAnsiTheme="majorHAnsi"/>
                <w:bCs/>
                <w:sz w:val="20"/>
                <w:szCs w:val="20"/>
                <w:lang w:val="es-VE"/>
              </w:rPr>
              <w:t>27 de abril de 2017</w:t>
            </w:r>
          </w:p>
        </w:tc>
      </w:tr>
      <w:tr w:rsidR="004C2312" w:rsidRPr="00FE3799"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FE3799" w:rsidRDefault="004A6A54" w:rsidP="004A6A54">
            <w:pPr>
              <w:jc w:val="center"/>
              <w:rPr>
                <w:rFonts w:asciiTheme="majorHAnsi" w:hAnsiTheme="majorHAnsi"/>
                <w:b/>
                <w:bCs/>
                <w:color w:val="FFFFFF" w:themeColor="background1"/>
                <w:sz w:val="20"/>
                <w:szCs w:val="20"/>
                <w:lang w:val="es-VE"/>
              </w:rPr>
            </w:pPr>
            <w:r w:rsidRPr="00FE3799">
              <w:rPr>
                <w:rFonts w:asciiTheme="majorHAnsi" w:hAnsiTheme="majorHAnsi"/>
                <w:b/>
                <w:color w:val="FFFFFF" w:themeColor="background1"/>
                <w:sz w:val="20"/>
                <w:szCs w:val="20"/>
                <w:lang w:val="es-VE"/>
              </w:rPr>
              <w:t>N</w:t>
            </w:r>
            <w:r w:rsidR="004C2312" w:rsidRPr="00FE3799">
              <w:rPr>
                <w:rFonts w:asciiTheme="majorHAnsi" w:hAnsiTheme="majorHAnsi"/>
                <w:b/>
                <w:color w:val="FFFFFF" w:themeColor="background1"/>
                <w:sz w:val="20"/>
                <w:szCs w:val="20"/>
                <w:lang w:val="es-VE"/>
              </w:rPr>
              <w:t>otificación de la petición al Estado:</w:t>
            </w:r>
          </w:p>
        </w:tc>
        <w:tc>
          <w:tcPr>
            <w:tcW w:w="5760" w:type="dxa"/>
            <w:vAlign w:val="center"/>
          </w:tcPr>
          <w:p w14:paraId="1519DA6A" w14:textId="3C54A490" w:rsidR="004C2312" w:rsidRPr="00FE3799" w:rsidRDefault="00AE2768" w:rsidP="003C14E1">
            <w:pPr>
              <w:jc w:val="both"/>
              <w:rPr>
                <w:rFonts w:asciiTheme="majorHAnsi" w:hAnsiTheme="majorHAnsi"/>
                <w:bCs/>
                <w:sz w:val="20"/>
                <w:szCs w:val="20"/>
                <w:lang w:val="es-VE"/>
              </w:rPr>
            </w:pPr>
            <w:r w:rsidRPr="00FE3799">
              <w:rPr>
                <w:rFonts w:asciiTheme="majorHAnsi" w:hAnsiTheme="majorHAnsi"/>
                <w:bCs/>
                <w:sz w:val="20"/>
                <w:szCs w:val="20"/>
                <w:lang w:val="es-VE"/>
              </w:rPr>
              <w:t>23 de mayo de 2017</w:t>
            </w:r>
          </w:p>
        </w:tc>
      </w:tr>
      <w:tr w:rsidR="004C2312" w:rsidRPr="00FE3799"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FE3799" w:rsidRDefault="004A6A54" w:rsidP="004A6A54">
            <w:pPr>
              <w:jc w:val="center"/>
              <w:rPr>
                <w:rFonts w:asciiTheme="majorHAnsi" w:hAnsiTheme="majorHAnsi"/>
                <w:b/>
                <w:bCs/>
                <w:color w:val="FFFFFF" w:themeColor="background1"/>
                <w:sz w:val="20"/>
                <w:szCs w:val="20"/>
                <w:lang w:val="es-VE"/>
              </w:rPr>
            </w:pPr>
            <w:r w:rsidRPr="00FE3799">
              <w:rPr>
                <w:rFonts w:asciiTheme="majorHAnsi" w:hAnsiTheme="majorHAnsi"/>
                <w:b/>
                <w:color w:val="FFFFFF" w:themeColor="background1"/>
                <w:sz w:val="20"/>
                <w:szCs w:val="20"/>
                <w:lang w:val="es-VE"/>
              </w:rPr>
              <w:t>P</w:t>
            </w:r>
            <w:r w:rsidR="004C2312" w:rsidRPr="00FE3799">
              <w:rPr>
                <w:rFonts w:asciiTheme="majorHAnsi" w:hAnsiTheme="majorHAnsi"/>
                <w:b/>
                <w:color w:val="FFFFFF" w:themeColor="background1"/>
                <w:sz w:val="20"/>
                <w:szCs w:val="20"/>
                <w:lang w:val="es-VE"/>
              </w:rPr>
              <w:t>rimera respuesta del Estado:</w:t>
            </w:r>
          </w:p>
        </w:tc>
        <w:tc>
          <w:tcPr>
            <w:tcW w:w="5760" w:type="dxa"/>
            <w:vAlign w:val="center"/>
          </w:tcPr>
          <w:p w14:paraId="1972B99E" w14:textId="70513B23" w:rsidR="004C2312" w:rsidRPr="00FE3799" w:rsidRDefault="00AE2768" w:rsidP="003C14E1">
            <w:pPr>
              <w:jc w:val="both"/>
              <w:rPr>
                <w:rFonts w:asciiTheme="majorHAnsi" w:hAnsiTheme="majorHAnsi"/>
                <w:bCs/>
                <w:sz w:val="20"/>
                <w:szCs w:val="20"/>
                <w:lang w:val="es-VE"/>
              </w:rPr>
            </w:pPr>
            <w:r w:rsidRPr="00FE3799">
              <w:rPr>
                <w:rFonts w:asciiTheme="majorHAnsi" w:hAnsiTheme="majorHAnsi"/>
                <w:bCs/>
                <w:sz w:val="20"/>
                <w:szCs w:val="20"/>
                <w:lang w:val="es-VE"/>
              </w:rPr>
              <w:t>23 de agosto de 2017</w:t>
            </w:r>
          </w:p>
        </w:tc>
      </w:tr>
    </w:tbl>
    <w:p w14:paraId="21DAA666" w14:textId="77777777" w:rsidR="003239B8" w:rsidRPr="00FE3799" w:rsidRDefault="003239B8" w:rsidP="003239B8">
      <w:pPr>
        <w:spacing w:before="240" w:after="240"/>
        <w:ind w:firstLine="720"/>
        <w:jc w:val="both"/>
        <w:rPr>
          <w:rFonts w:asciiTheme="majorHAnsi" w:hAnsiTheme="majorHAnsi"/>
          <w:b/>
          <w:bCs/>
          <w:sz w:val="20"/>
          <w:szCs w:val="20"/>
          <w:lang w:val="es-VE"/>
        </w:rPr>
      </w:pPr>
      <w:r w:rsidRPr="00FE3799">
        <w:rPr>
          <w:rFonts w:asciiTheme="majorHAnsi" w:hAnsiTheme="majorHAnsi"/>
          <w:b/>
          <w:bCs/>
          <w:sz w:val="20"/>
          <w:szCs w:val="20"/>
          <w:lang w:val="es-VE"/>
        </w:rPr>
        <w:t xml:space="preserve">III. </w:t>
      </w:r>
      <w:r w:rsidRPr="00FE3799">
        <w:rPr>
          <w:rFonts w:asciiTheme="majorHAnsi" w:hAnsiTheme="majorHAnsi"/>
          <w:b/>
          <w:bCs/>
          <w:sz w:val="20"/>
          <w:szCs w:val="20"/>
          <w:lang w:val="es-VE"/>
        </w:rPr>
        <w:tab/>
        <w:t>COMPETENCIA</w:t>
      </w:r>
      <w:r w:rsidR="00EE00E9" w:rsidRPr="00FE3799">
        <w:rPr>
          <w:rFonts w:asciiTheme="majorHAnsi" w:hAnsiTheme="majorHAnsi"/>
          <w:b/>
          <w:bCs/>
          <w:sz w:val="20"/>
          <w:szCs w:val="20"/>
          <w:lang w:val="es-VE"/>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FE3799"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FE3799" w:rsidRDefault="003239B8" w:rsidP="003C14E1">
            <w:pPr>
              <w:jc w:val="center"/>
              <w:rPr>
                <w:rFonts w:asciiTheme="majorHAnsi" w:hAnsiTheme="majorHAnsi"/>
                <w:b/>
                <w:bCs/>
                <w:i/>
                <w:color w:val="FFFFFF" w:themeColor="background1"/>
                <w:sz w:val="20"/>
                <w:szCs w:val="20"/>
                <w:lang w:val="es-VE"/>
              </w:rPr>
            </w:pPr>
            <w:r w:rsidRPr="00FE3799">
              <w:rPr>
                <w:rFonts w:asciiTheme="majorHAnsi" w:hAnsiTheme="majorHAnsi"/>
                <w:b/>
                <w:bCs/>
                <w:color w:val="FFFFFF" w:themeColor="background1"/>
                <w:sz w:val="20"/>
                <w:szCs w:val="20"/>
                <w:lang w:val="es-VE"/>
              </w:rPr>
              <w:t>Competencia</w:t>
            </w:r>
            <w:r w:rsidRPr="00FE3799">
              <w:rPr>
                <w:rFonts w:asciiTheme="majorHAnsi" w:hAnsiTheme="majorHAnsi"/>
                <w:b/>
                <w:bCs/>
                <w:i/>
                <w:color w:val="FFFFFF" w:themeColor="background1"/>
                <w:sz w:val="20"/>
                <w:szCs w:val="20"/>
                <w:lang w:val="es-VE"/>
              </w:rPr>
              <w:t xml:space="preserve"> Ratione personae:</w:t>
            </w:r>
          </w:p>
        </w:tc>
        <w:tc>
          <w:tcPr>
            <w:tcW w:w="5760" w:type="dxa"/>
            <w:vAlign w:val="center"/>
          </w:tcPr>
          <w:p w14:paraId="7707F3E9" w14:textId="715B16E8" w:rsidR="003239B8" w:rsidRPr="00FE3799" w:rsidRDefault="00AE2768" w:rsidP="003C14E1">
            <w:pPr>
              <w:rPr>
                <w:rFonts w:asciiTheme="majorHAnsi" w:hAnsiTheme="majorHAnsi"/>
                <w:bCs/>
                <w:sz w:val="20"/>
                <w:szCs w:val="20"/>
                <w:lang w:val="es-VE"/>
              </w:rPr>
            </w:pPr>
            <w:r w:rsidRPr="00FE3799">
              <w:rPr>
                <w:rFonts w:asciiTheme="majorHAnsi" w:hAnsiTheme="majorHAnsi"/>
                <w:bCs/>
                <w:sz w:val="20"/>
                <w:szCs w:val="20"/>
                <w:lang w:val="es-VE"/>
              </w:rPr>
              <w:t>Sí</w:t>
            </w:r>
          </w:p>
        </w:tc>
      </w:tr>
      <w:tr w:rsidR="003239B8" w:rsidRPr="00FE3799"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FE3799" w:rsidRDefault="003239B8" w:rsidP="003C14E1">
            <w:pPr>
              <w:jc w:val="center"/>
              <w:rPr>
                <w:rFonts w:asciiTheme="majorHAnsi" w:hAnsiTheme="majorHAnsi"/>
                <w:b/>
                <w:bCs/>
                <w:color w:val="FFFFFF" w:themeColor="background1"/>
                <w:sz w:val="20"/>
                <w:szCs w:val="20"/>
                <w:lang w:val="es-VE"/>
              </w:rPr>
            </w:pPr>
            <w:r w:rsidRPr="00FE3799">
              <w:rPr>
                <w:rFonts w:asciiTheme="majorHAnsi" w:hAnsiTheme="majorHAnsi"/>
                <w:b/>
                <w:bCs/>
                <w:color w:val="FFFFFF" w:themeColor="background1"/>
                <w:sz w:val="20"/>
                <w:szCs w:val="20"/>
                <w:lang w:val="es-VE"/>
              </w:rPr>
              <w:t>Competencia</w:t>
            </w:r>
            <w:r w:rsidRPr="00FE3799">
              <w:rPr>
                <w:rFonts w:asciiTheme="majorHAnsi" w:hAnsiTheme="majorHAnsi"/>
                <w:b/>
                <w:bCs/>
                <w:i/>
                <w:color w:val="FFFFFF" w:themeColor="background1"/>
                <w:sz w:val="20"/>
                <w:szCs w:val="20"/>
                <w:lang w:val="es-VE"/>
              </w:rPr>
              <w:t xml:space="preserve"> Ratione loci</w:t>
            </w:r>
            <w:r w:rsidRPr="00FE3799">
              <w:rPr>
                <w:rFonts w:asciiTheme="majorHAnsi" w:hAnsiTheme="majorHAnsi"/>
                <w:b/>
                <w:bCs/>
                <w:color w:val="FFFFFF" w:themeColor="background1"/>
                <w:sz w:val="20"/>
                <w:szCs w:val="20"/>
                <w:lang w:val="es-VE"/>
              </w:rPr>
              <w:t>:</w:t>
            </w:r>
          </w:p>
        </w:tc>
        <w:tc>
          <w:tcPr>
            <w:tcW w:w="5760" w:type="dxa"/>
            <w:vAlign w:val="center"/>
          </w:tcPr>
          <w:p w14:paraId="12C931CB" w14:textId="38E72850" w:rsidR="003239B8" w:rsidRPr="00FE3799" w:rsidRDefault="00AE2768" w:rsidP="003C14E1">
            <w:pPr>
              <w:rPr>
                <w:rFonts w:asciiTheme="majorHAnsi" w:hAnsiTheme="majorHAnsi"/>
                <w:bCs/>
                <w:sz w:val="20"/>
                <w:szCs w:val="20"/>
                <w:lang w:val="es-VE"/>
              </w:rPr>
            </w:pPr>
            <w:r w:rsidRPr="00FE3799">
              <w:rPr>
                <w:rFonts w:asciiTheme="majorHAnsi" w:hAnsiTheme="majorHAnsi"/>
                <w:bCs/>
                <w:sz w:val="20"/>
                <w:szCs w:val="20"/>
                <w:lang w:val="es-VE"/>
              </w:rPr>
              <w:t>Sí</w:t>
            </w:r>
          </w:p>
        </w:tc>
      </w:tr>
      <w:tr w:rsidR="003239B8" w:rsidRPr="00FE3799"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FE3799" w:rsidRDefault="003239B8" w:rsidP="003C14E1">
            <w:pPr>
              <w:jc w:val="center"/>
              <w:rPr>
                <w:rFonts w:asciiTheme="majorHAnsi" w:hAnsiTheme="majorHAnsi"/>
                <w:b/>
                <w:bCs/>
                <w:color w:val="FFFFFF" w:themeColor="background1"/>
                <w:sz w:val="20"/>
                <w:szCs w:val="20"/>
                <w:lang w:val="es-VE"/>
              </w:rPr>
            </w:pPr>
            <w:r w:rsidRPr="00FE3799">
              <w:rPr>
                <w:rFonts w:asciiTheme="majorHAnsi" w:hAnsiTheme="majorHAnsi"/>
                <w:b/>
                <w:bCs/>
                <w:color w:val="FFFFFF" w:themeColor="background1"/>
                <w:sz w:val="20"/>
                <w:szCs w:val="20"/>
                <w:lang w:val="es-VE"/>
              </w:rPr>
              <w:t>Competencia</w:t>
            </w:r>
            <w:r w:rsidRPr="00FE3799">
              <w:rPr>
                <w:rFonts w:asciiTheme="majorHAnsi" w:hAnsiTheme="majorHAnsi"/>
                <w:b/>
                <w:bCs/>
                <w:i/>
                <w:color w:val="FFFFFF" w:themeColor="background1"/>
                <w:sz w:val="20"/>
                <w:szCs w:val="20"/>
                <w:lang w:val="es-VE"/>
              </w:rPr>
              <w:t xml:space="preserve"> Ratione temporis</w:t>
            </w:r>
            <w:r w:rsidRPr="00FE3799">
              <w:rPr>
                <w:rFonts w:asciiTheme="majorHAnsi" w:hAnsiTheme="majorHAnsi"/>
                <w:b/>
                <w:bCs/>
                <w:color w:val="FFFFFF" w:themeColor="background1"/>
                <w:sz w:val="20"/>
                <w:szCs w:val="20"/>
                <w:lang w:val="es-VE"/>
              </w:rPr>
              <w:t>:</w:t>
            </w:r>
          </w:p>
        </w:tc>
        <w:tc>
          <w:tcPr>
            <w:tcW w:w="5760" w:type="dxa"/>
            <w:vAlign w:val="center"/>
          </w:tcPr>
          <w:p w14:paraId="6F8B059B" w14:textId="51A92DF5" w:rsidR="003239B8" w:rsidRPr="00FE3799" w:rsidRDefault="00AE2768" w:rsidP="003C14E1">
            <w:pPr>
              <w:rPr>
                <w:rFonts w:asciiTheme="majorHAnsi" w:hAnsiTheme="majorHAnsi"/>
                <w:bCs/>
                <w:sz w:val="20"/>
                <w:szCs w:val="20"/>
                <w:lang w:val="es-VE"/>
              </w:rPr>
            </w:pPr>
            <w:r w:rsidRPr="00FE3799">
              <w:rPr>
                <w:rFonts w:asciiTheme="majorHAnsi" w:hAnsiTheme="majorHAnsi"/>
                <w:bCs/>
                <w:sz w:val="20"/>
                <w:szCs w:val="20"/>
                <w:lang w:val="es-VE"/>
              </w:rPr>
              <w:t>Sí</w:t>
            </w:r>
          </w:p>
        </w:tc>
      </w:tr>
      <w:tr w:rsidR="003239B8" w:rsidRPr="00FE3799"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FE3799" w:rsidRDefault="003239B8" w:rsidP="003C14E1">
            <w:pPr>
              <w:jc w:val="center"/>
              <w:rPr>
                <w:rFonts w:asciiTheme="majorHAnsi" w:hAnsiTheme="majorHAnsi"/>
                <w:b/>
                <w:bCs/>
                <w:color w:val="FFFFFF" w:themeColor="background1"/>
                <w:sz w:val="20"/>
                <w:szCs w:val="20"/>
                <w:lang w:val="es-VE"/>
              </w:rPr>
            </w:pPr>
            <w:r w:rsidRPr="00FE3799">
              <w:rPr>
                <w:rFonts w:asciiTheme="majorHAnsi" w:hAnsiTheme="majorHAnsi"/>
                <w:b/>
                <w:bCs/>
                <w:color w:val="FFFFFF" w:themeColor="background1"/>
                <w:sz w:val="20"/>
                <w:szCs w:val="20"/>
                <w:lang w:val="es-VE"/>
              </w:rPr>
              <w:t>Competencia</w:t>
            </w:r>
            <w:r w:rsidRPr="00FE3799">
              <w:rPr>
                <w:rFonts w:asciiTheme="majorHAnsi" w:hAnsiTheme="majorHAnsi"/>
                <w:b/>
                <w:bCs/>
                <w:i/>
                <w:color w:val="FFFFFF" w:themeColor="background1"/>
                <w:sz w:val="20"/>
                <w:szCs w:val="20"/>
                <w:lang w:val="es-VE"/>
              </w:rPr>
              <w:t xml:space="preserve"> Ratione materia</w:t>
            </w:r>
            <w:r w:rsidR="00EE00E9" w:rsidRPr="00FE3799">
              <w:rPr>
                <w:rFonts w:asciiTheme="majorHAnsi" w:hAnsiTheme="majorHAnsi"/>
                <w:b/>
                <w:bCs/>
                <w:i/>
                <w:color w:val="FFFFFF" w:themeColor="background1"/>
                <w:sz w:val="20"/>
                <w:szCs w:val="20"/>
                <w:lang w:val="es-VE"/>
              </w:rPr>
              <w:t>e</w:t>
            </w:r>
            <w:r w:rsidRPr="00FE3799">
              <w:rPr>
                <w:rFonts w:asciiTheme="majorHAnsi" w:hAnsiTheme="majorHAnsi"/>
                <w:b/>
                <w:bCs/>
                <w:color w:val="FFFFFF" w:themeColor="background1"/>
                <w:sz w:val="20"/>
                <w:szCs w:val="20"/>
                <w:lang w:val="es-VE"/>
              </w:rPr>
              <w:t>:</w:t>
            </w:r>
          </w:p>
        </w:tc>
        <w:tc>
          <w:tcPr>
            <w:tcW w:w="5760" w:type="dxa"/>
            <w:vAlign w:val="center"/>
          </w:tcPr>
          <w:p w14:paraId="0C122F44" w14:textId="4E290E40" w:rsidR="003239B8" w:rsidRPr="00FE3799" w:rsidRDefault="00AE2768" w:rsidP="003C14E1">
            <w:pPr>
              <w:jc w:val="both"/>
              <w:rPr>
                <w:rFonts w:asciiTheme="majorHAnsi" w:hAnsiTheme="majorHAnsi"/>
                <w:bCs/>
                <w:sz w:val="19"/>
                <w:szCs w:val="19"/>
                <w:lang w:val="es-VE"/>
              </w:rPr>
            </w:pPr>
            <w:r w:rsidRPr="00FE3799">
              <w:rPr>
                <w:rFonts w:asciiTheme="majorHAnsi" w:hAnsiTheme="majorHAnsi"/>
                <w:bCs/>
                <w:sz w:val="19"/>
                <w:szCs w:val="19"/>
                <w:lang w:val="es-VE"/>
              </w:rPr>
              <w:t>Sí, Convención Americana (depósito de documento de ratificación realizado el 25 de mayo de 1978)</w:t>
            </w:r>
            <w:r w:rsidR="00F704FA" w:rsidRPr="00FE3799">
              <w:rPr>
                <w:rFonts w:asciiTheme="majorHAnsi" w:hAnsiTheme="majorHAnsi"/>
                <w:bCs/>
                <w:sz w:val="19"/>
                <w:szCs w:val="19"/>
                <w:lang w:val="es-VE"/>
              </w:rPr>
              <w:t xml:space="preserve"> y Convención Interamericana sobre Desaparición Forzada de Personas (depósito de documento de ratificación realizado el 25 de febrero de 2000)</w:t>
            </w:r>
          </w:p>
        </w:tc>
      </w:tr>
    </w:tbl>
    <w:p w14:paraId="4E92C444" w14:textId="140CB1E7" w:rsidR="003239B8" w:rsidRPr="00FE3799" w:rsidRDefault="003239B8" w:rsidP="003239B8">
      <w:pPr>
        <w:spacing w:before="240" w:after="240"/>
        <w:ind w:firstLine="720"/>
        <w:jc w:val="both"/>
        <w:rPr>
          <w:rFonts w:asciiTheme="majorHAnsi" w:hAnsiTheme="majorHAnsi"/>
          <w:b/>
          <w:bCs/>
          <w:sz w:val="20"/>
          <w:szCs w:val="20"/>
          <w:lang w:val="es-VE"/>
        </w:rPr>
      </w:pPr>
      <w:r w:rsidRPr="00FE3799">
        <w:rPr>
          <w:rFonts w:asciiTheme="majorHAnsi" w:hAnsiTheme="majorHAnsi"/>
          <w:b/>
          <w:bCs/>
          <w:sz w:val="20"/>
          <w:szCs w:val="20"/>
          <w:lang w:val="es-VE"/>
        </w:rPr>
        <w:t xml:space="preserve">IV. </w:t>
      </w:r>
      <w:r w:rsidRPr="00FE3799">
        <w:rPr>
          <w:rFonts w:asciiTheme="majorHAnsi" w:hAnsiTheme="majorHAnsi"/>
          <w:b/>
          <w:bCs/>
          <w:sz w:val="20"/>
          <w:szCs w:val="20"/>
          <w:lang w:val="es-VE"/>
        </w:rPr>
        <w:tab/>
      </w:r>
      <w:r w:rsidR="00EE00E9" w:rsidRPr="00FE3799">
        <w:rPr>
          <w:rFonts w:asciiTheme="majorHAnsi" w:hAnsiTheme="majorHAnsi"/>
          <w:b/>
          <w:bCs/>
          <w:sz w:val="20"/>
          <w:szCs w:val="20"/>
          <w:lang w:val="es-VE"/>
        </w:rPr>
        <w:t>DUPLICACIÓN</w:t>
      </w:r>
      <w:r w:rsidR="00EE00E9" w:rsidRPr="00FE3799">
        <w:rPr>
          <w:rFonts w:asciiTheme="majorHAnsi" w:hAnsiTheme="majorHAnsi"/>
          <w:b/>
          <w:bCs/>
          <w:color w:val="FFFFFF" w:themeColor="background1"/>
          <w:sz w:val="20"/>
          <w:szCs w:val="20"/>
          <w:lang w:val="es-VE"/>
        </w:rPr>
        <w:t xml:space="preserve"> </w:t>
      </w:r>
      <w:r w:rsidR="00EE00E9" w:rsidRPr="00FE3799">
        <w:rPr>
          <w:rFonts w:asciiTheme="majorHAnsi" w:hAnsiTheme="majorHAnsi"/>
          <w:b/>
          <w:bCs/>
          <w:sz w:val="20"/>
          <w:szCs w:val="20"/>
          <w:lang w:val="es-VE"/>
        </w:rPr>
        <w:t>DE PROCEDIMIENTOS Y COSA JUZGADA</w:t>
      </w:r>
      <w:r w:rsidR="00EE00E9" w:rsidRPr="00FE3799">
        <w:rPr>
          <w:rFonts w:asciiTheme="majorHAnsi" w:hAnsiTheme="majorHAnsi"/>
          <w:b/>
          <w:bCs/>
          <w:i/>
          <w:sz w:val="20"/>
          <w:szCs w:val="20"/>
          <w:lang w:val="es-VE"/>
        </w:rPr>
        <w:t xml:space="preserve"> </w:t>
      </w:r>
      <w:r w:rsidR="00EE00E9" w:rsidRPr="00FE3799">
        <w:rPr>
          <w:rFonts w:asciiTheme="majorHAnsi" w:hAnsiTheme="majorHAnsi"/>
          <w:b/>
          <w:bCs/>
          <w:sz w:val="20"/>
          <w:szCs w:val="20"/>
          <w:lang w:val="es-VE"/>
        </w:rPr>
        <w:t>INTERNACIONAL</w:t>
      </w:r>
      <w:r w:rsidR="005D38F9" w:rsidRPr="00FE3799">
        <w:rPr>
          <w:rFonts w:asciiTheme="majorHAnsi" w:hAnsiTheme="majorHAnsi"/>
          <w:b/>
          <w:bCs/>
          <w:sz w:val="20"/>
          <w:szCs w:val="20"/>
          <w:lang w:val="es-VE"/>
        </w:rPr>
        <w:t>,</w:t>
      </w:r>
      <w:r w:rsidRPr="00FE3799">
        <w:rPr>
          <w:rFonts w:asciiTheme="majorHAnsi" w:hAnsiTheme="majorHAnsi"/>
          <w:b/>
          <w:bCs/>
          <w:sz w:val="20"/>
          <w:szCs w:val="20"/>
          <w:lang w:val="es-VE"/>
        </w:rPr>
        <w:t xml:space="preserve"> CARACTERIZACIÓN, </w:t>
      </w:r>
      <w:r w:rsidRPr="00FE3799">
        <w:rPr>
          <w:rFonts w:asciiTheme="majorHAnsi" w:hAnsiTheme="majorHAnsi"/>
          <w:b/>
          <w:sz w:val="20"/>
          <w:szCs w:val="20"/>
          <w:lang w:val="es-VE"/>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FE3799"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FE3799" w:rsidRDefault="00EE00E9" w:rsidP="003C14E1">
            <w:pPr>
              <w:jc w:val="center"/>
              <w:rPr>
                <w:rFonts w:asciiTheme="majorHAnsi" w:hAnsiTheme="majorHAnsi"/>
                <w:b/>
                <w:bCs/>
                <w:color w:val="FFFFFF" w:themeColor="background1"/>
                <w:sz w:val="20"/>
                <w:szCs w:val="20"/>
                <w:lang w:val="es-VE"/>
              </w:rPr>
            </w:pPr>
            <w:r w:rsidRPr="00FE3799">
              <w:rPr>
                <w:rFonts w:asciiTheme="majorHAnsi" w:hAnsiTheme="majorHAnsi"/>
                <w:b/>
                <w:bCs/>
                <w:color w:val="FFFFFF" w:themeColor="background1"/>
                <w:sz w:val="20"/>
                <w:szCs w:val="20"/>
                <w:lang w:val="es-VE"/>
              </w:rPr>
              <w:t>Duplicación de procedimientos y cosa juzgada internacional:</w:t>
            </w:r>
          </w:p>
        </w:tc>
        <w:tc>
          <w:tcPr>
            <w:tcW w:w="5760" w:type="dxa"/>
            <w:vAlign w:val="center"/>
          </w:tcPr>
          <w:p w14:paraId="240941E6" w14:textId="4F98EC02" w:rsidR="00EE00E9" w:rsidRPr="00FE3799" w:rsidRDefault="003C14E1" w:rsidP="003C14E1">
            <w:pPr>
              <w:jc w:val="both"/>
              <w:rPr>
                <w:rFonts w:asciiTheme="majorHAnsi" w:hAnsiTheme="majorHAnsi"/>
                <w:bCs/>
                <w:sz w:val="20"/>
                <w:szCs w:val="20"/>
                <w:lang w:val="es-VE"/>
              </w:rPr>
            </w:pPr>
            <w:r w:rsidRPr="00FE3799">
              <w:rPr>
                <w:rFonts w:asciiTheme="majorHAnsi" w:hAnsiTheme="majorHAnsi"/>
                <w:bCs/>
                <w:sz w:val="20"/>
                <w:szCs w:val="20"/>
                <w:lang w:val="es-VE"/>
              </w:rPr>
              <w:t>No</w:t>
            </w:r>
          </w:p>
        </w:tc>
      </w:tr>
      <w:tr w:rsidR="003239B8" w:rsidRPr="00FE3799"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FE3799" w:rsidRDefault="003239B8" w:rsidP="003C14E1">
            <w:pPr>
              <w:jc w:val="center"/>
              <w:rPr>
                <w:rFonts w:asciiTheme="majorHAnsi" w:hAnsiTheme="majorHAnsi"/>
                <w:b/>
                <w:bCs/>
                <w:i/>
                <w:color w:val="FFFFFF" w:themeColor="background1"/>
                <w:sz w:val="20"/>
                <w:szCs w:val="20"/>
                <w:lang w:val="es-VE"/>
              </w:rPr>
            </w:pPr>
            <w:r w:rsidRPr="00FE3799">
              <w:rPr>
                <w:rFonts w:asciiTheme="majorHAnsi" w:hAnsiTheme="majorHAnsi"/>
                <w:b/>
                <w:bCs/>
                <w:color w:val="FFFFFF" w:themeColor="background1"/>
                <w:sz w:val="20"/>
                <w:szCs w:val="20"/>
                <w:lang w:val="es-VE"/>
              </w:rPr>
              <w:t>Derechos declarados admisibles</w:t>
            </w:r>
            <w:r w:rsidRPr="00FE3799">
              <w:rPr>
                <w:rFonts w:asciiTheme="majorHAnsi" w:hAnsiTheme="majorHAnsi"/>
                <w:b/>
                <w:bCs/>
                <w:i/>
                <w:color w:val="FFFFFF" w:themeColor="background1"/>
                <w:sz w:val="20"/>
                <w:szCs w:val="20"/>
                <w:lang w:val="es-VE"/>
              </w:rPr>
              <w:t>:</w:t>
            </w:r>
          </w:p>
        </w:tc>
        <w:tc>
          <w:tcPr>
            <w:tcW w:w="5760" w:type="dxa"/>
            <w:vAlign w:val="center"/>
          </w:tcPr>
          <w:p w14:paraId="6310C8F7" w14:textId="5AC79ED4" w:rsidR="003239B8" w:rsidRPr="00FE3799" w:rsidRDefault="00C404F1" w:rsidP="0020310D">
            <w:pPr>
              <w:jc w:val="both"/>
              <w:rPr>
                <w:rFonts w:asciiTheme="majorHAnsi" w:hAnsiTheme="majorHAnsi"/>
                <w:bCs/>
                <w:sz w:val="19"/>
                <w:szCs w:val="19"/>
                <w:lang w:val="es-VE"/>
              </w:rPr>
            </w:pPr>
            <w:r w:rsidRPr="00FE3799">
              <w:rPr>
                <w:rFonts w:asciiTheme="majorHAnsi" w:hAnsiTheme="majorHAnsi"/>
                <w:bCs/>
                <w:sz w:val="19"/>
                <w:szCs w:val="19"/>
                <w:lang w:val="es-VE"/>
              </w:rPr>
              <w:t>Artículos 3 (reconocimiento de la personalidad jurídica), 4 (derecho a la vida), 5 (derecho a la integridad personal), 7 (derecho a la libertad personal), 8 (garantías judiciales)</w:t>
            </w:r>
            <w:r w:rsidR="009C3E42" w:rsidRPr="00FE3799">
              <w:rPr>
                <w:rFonts w:asciiTheme="majorHAnsi" w:hAnsiTheme="majorHAnsi"/>
                <w:bCs/>
                <w:sz w:val="19"/>
                <w:szCs w:val="19"/>
                <w:lang w:val="es-VE"/>
              </w:rPr>
              <w:t>,</w:t>
            </w:r>
            <w:r w:rsidR="0096481C" w:rsidRPr="00FE3799">
              <w:rPr>
                <w:rFonts w:asciiTheme="majorHAnsi" w:hAnsiTheme="majorHAnsi"/>
                <w:bCs/>
                <w:sz w:val="19"/>
                <w:szCs w:val="19"/>
                <w:lang w:val="es-VE"/>
              </w:rPr>
              <w:t xml:space="preserve"> </w:t>
            </w:r>
            <w:r w:rsidR="009C3E42" w:rsidRPr="00FE3799">
              <w:rPr>
                <w:rFonts w:asciiTheme="majorHAnsi" w:hAnsiTheme="majorHAnsi"/>
                <w:bCs/>
                <w:sz w:val="19"/>
                <w:szCs w:val="19"/>
                <w:lang w:val="es-VE"/>
              </w:rPr>
              <w:t>17 (protección a la familia), 19 (derechos del niño)</w:t>
            </w:r>
            <w:r w:rsidRPr="00FE3799">
              <w:rPr>
                <w:rFonts w:asciiTheme="majorHAnsi" w:hAnsiTheme="majorHAnsi"/>
                <w:bCs/>
                <w:sz w:val="19"/>
                <w:szCs w:val="19"/>
                <w:lang w:val="es-VE"/>
              </w:rPr>
              <w:t xml:space="preserve"> y 25 (protección judicial) de la Convención Americana en relación con el artículo 1.1 del mismo instrumento; y el artículo I de la Convención Interamericana sobre Desaparición Forzada de Personas</w:t>
            </w:r>
          </w:p>
        </w:tc>
      </w:tr>
      <w:tr w:rsidR="003239B8" w:rsidRPr="00FE3799"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FE3799" w:rsidRDefault="003239B8" w:rsidP="003C14E1">
            <w:pPr>
              <w:jc w:val="center"/>
              <w:rPr>
                <w:rFonts w:asciiTheme="majorHAnsi" w:hAnsiTheme="majorHAnsi"/>
                <w:b/>
                <w:bCs/>
                <w:color w:val="FFFFFF" w:themeColor="background1"/>
                <w:sz w:val="20"/>
                <w:szCs w:val="20"/>
                <w:lang w:val="es-VE"/>
              </w:rPr>
            </w:pPr>
            <w:r w:rsidRPr="00FE3799">
              <w:rPr>
                <w:rFonts w:asciiTheme="majorHAnsi" w:hAnsiTheme="majorHAnsi"/>
                <w:b/>
                <w:bCs/>
                <w:color w:val="FFFFFF" w:themeColor="background1"/>
                <w:sz w:val="20"/>
                <w:szCs w:val="20"/>
                <w:lang w:val="es-VE"/>
              </w:rPr>
              <w:t>Agotamiento de recursos internos</w:t>
            </w:r>
            <w:r w:rsidR="00EE00E9" w:rsidRPr="00FE3799">
              <w:rPr>
                <w:rFonts w:asciiTheme="majorHAnsi" w:hAnsiTheme="majorHAnsi"/>
                <w:b/>
                <w:bCs/>
                <w:color w:val="FFFFFF" w:themeColor="background1"/>
                <w:sz w:val="20"/>
                <w:szCs w:val="20"/>
                <w:lang w:val="es-VE"/>
              </w:rPr>
              <w:t xml:space="preserve"> o procedencia de una excepción</w:t>
            </w:r>
            <w:r w:rsidRPr="00FE3799">
              <w:rPr>
                <w:rFonts w:asciiTheme="majorHAnsi" w:hAnsiTheme="majorHAnsi"/>
                <w:b/>
                <w:bCs/>
                <w:color w:val="FFFFFF" w:themeColor="background1"/>
                <w:sz w:val="20"/>
                <w:szCs w:val="20"/>
                <w:lang w:val="es-VE"/>
              </w:rPr>
              <w:t>:</w:t>
            </w:r>
          </w:p>
        </w:tc>
        <w:tc>
          <w:tcPr>
            <w:tcW w:w="5760" w:type="dxa"/>
            <w:vAlign w:val="center"/>
          </w:tcPr>
          <w:p w14:paraId="69C53E8A" w14:textId="23952968" w:rsidR="003239B8" w:rsidRPr="00FE3799" w:rsidRDefault="003C14E1" w:rsidP="003C14E1">
            <w:pPr>
              <w:rPr>
                <w:rFonts w:asciiTheme="majorHAnsi" w:hAnsiTheme="majorHAnsi"/>
                <w:bCs/>
                <w:sz w:val="20"/>
                <w:szCs w:val="20"/>
                <w:lang w:val="es-VE"/>
              </w:rPr>
            </w:pPr>
            <w:r w:rsidRPr="00FE3799">
              <w:rPr>
                <w:rFonts w:asciiTheme="majorHAnsi" w:hAnsiTheme="majorHAnsi"/>
                <w:bCs/>
                <w:sz w:val="20"/>
                <w:szCs w:val="20"/>
                <w:lang w:val="es-VE"/>
              </w:rPr>
              <w:t>Sí, en los términos de la Sección VI</w:t>
            </w:r>
            <w:r w:rsidR="007D6C02" w:rsidRPr="00FE3799">
              <w:rPr>
                <w:rFonts w:asciiTheme="majorHAnsi" w:hAnsiTheme="majorHAnsi"/>
                <w:bCs/>
                <w:sz w:val="20"/>
                <w:szCs w:val="20"/>
                <w:lang w:val="es-VE"/>
              </w:rPr>
              <w:t>I</w:t>
            </w:r>
          </w:p>
        </w:tc>
      </w:tr>
      <w:tr w:rsidR="003239B8" w:rsidRPr="00FE3799"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FE3799" w:rsidRDefault="003239B8" w:rsidP="003C14E1">
            <w:pPr>
              <w:jc w:val="center"/>
              <w:rPr>
                <w:rFonts w:asciiTheme="majorHAnsi" w:hAnsiTheme="majorHAnsi"/>
                <w:b/>
                <w:bCs/>
                <w:color w:val="FFFFFF" w:themeColor="background1"/>
                <w:sz w:val="20"/>
                <w:szCs w:val="20"/>
                <w:lang w:val="es-VE"/>
              </w:rPr>
            </w:pPr>
            <w:r w:rsidRPr="00FE3799">
              <w:rPr>
                <w:rFonts w:asciiTheme="majorHAnsi" w:hAnsiTheme="majorHAnsi"/>
                <w:b/>
                <w:bCs/>
                <w:color w:val="FFFFFF" w:themeColor="background1"/>
                <w:sz w:val="20"/>
                <w:szCs w:val="20"/>
                <w:lang w:val="es-VE"/>
              </w:rPr>
              <w:t>Presentación dentro de plazo:</w:t>
            </w:r>
          </w:p>
        </w:tc>
        <w:tc>
          <w:tcPr>
            <w:tcW w:w="5760" w:type="dxa"/>
            <w:vAlign w:val="center"/>
          </w:tcPr>
          <w:p w14:paraId="4A2A4569" w14:textId="2C622EC8" w:rsidR="003239B8" w:rsidRPr="00FE3799" w:rsidRDefault="003C14E1" w:rsidP="003C14E1">
            <w:pPr>
              <w:rPr>
                <w:rFonts w:asciiTheme="majorHAnsi" w:hAnsiTheme="majorHAnsi"/>
                <w:bCs/>
                <w:sz w:val="20"/>
                <w:szCs w:val="20"/>
                <w:lang w:val="es-VE"/>
              </w:rPr>
            </w:pPr>
            <w:r w:rsidRPr="00FE3799">
              <w:rPr>
                <w:rFonts w:asciiTheme="majorHAnsi" w:hAnsiTheme="majorHAnsi"/>
                <w:bCs/>
                <w:sz w:val="20"/>
                <w:szCs w:val="20"/>
                <w:lang w:val="es-VE"/>
              </w:rPr>
              <w:t>Sí, en los términos de la Sección VI</w:t>
            </w:r>
            <w:r w:rsidR="007D6C02" w:rsidRPr="00FE3799">
              <w:rPr>
                <w:rFonts w:asciiTheme="majorHAnsi" w:hAnsiTheme="majorHAnsi"/>
                <w:bCs/>
                <w:sz w:val="20"/>
                <w:szCs w:val="20"/>
                <w:lang w:val="es-VE"/>
              </w:rPr>
              <w:t>I</w:t>
            </w:r>
          </w:p>
        </w:tc>
      </w:tr>
    </w:tbl>
    <w:p w14:paraId="18E6423B" w14:textId="77777777" w:rsidR="003239B8" w:rsidRPr="00FE3799" w:rsidRDefault="00223A29" w:rsidP="003239B8">
      <w:pPr>
        <w:spacing w:before="240" w:after="240"/>
        <w:ind w:firstLine="720"/>
        <w:jc w:val="both"/>
        <w:rPr>
          <w:rFonts w:asciiTheme="majorHAnsi" w:hAnsiTheme="majorHAnsi"/>
          <w:b/>
          <w:sz w:val="20"/>
          <w:szCs w:val="20"/>
          <w:lang w:val="es-VE"/>
        </w:rPr>
      </w:pPr>
      <w:r w:rsidRPr="00FE3799">
        <w:rPr>
          <w:rFonts w:asciiTheme="majorHAnsi" w:hAnsiTheme="majorHAnsi"/>
          <w:b/>
          <w:sz w:val="20"/>
          <w:szCs w:val="20"/>
          <w:lang w:val="es-VE"/>
        </w:rPr>
        <w:lastRenderedPageBreak/>
        <w:t xml:space="preserve">V. </w:t>
      </w:r>
      <w:r w:rsidRPr="00FE3799">
        <w:rPr>
          <w:rFonts w:asciiTheme="majorHAnsi" w:hAnsiTheme="majorHAnsi"/>
          <w:b/>
          <w:sz w:val="20"/>
          <w:szCs w:val="20"/>
          <w:lang w:val="es-VE"/>
        </w:rPr>
        <w:tab/>
      </w:r>
      <w:r w:rsidR="003239B8" w:rsidRPr="00FE3799">
        <w:rPr>
          <w:rFonts w:asciiTheme="majorHAnsi" w:hAnsiTheme="majorHAnsi"/>
          <w:b/>
          <w:sz w:val="20"/>
          <w:szCs w:val="20"/>
          <w:lang w:val="es-VE"/>
        </w:rPr>
        <w:t xml:space="preserve">HECHOS ALEGADOS </w:t>
      </w:r>
    </w:p>
    <w:p w14:paraId="708EC921" w14:textId="39E1FAC9" w:rsidR="00744F4A" w:rsidRPr="00FE3799" w:rsidRDefault="00963DFD" w:rsidP="00DA58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20"/>
          <w:szCs w:val="20"/>
          <w:lang w:val="es-VE"/>
        </w:rPr>
      </w:pPr>
      <w:r w:rsidRPr="00FE3799">
        <w:rPr>
          <w:rFonts w:asciiTheme="majorHAnsi" w:hAnsiTheme="majorHAnsi"/>
          <w:sz w:val="20"/>
          <w:szCs w:val="20"/>
          <w:lang w:val="es-VE"/>
        </w:rPr>
        <w:t xml:space="preserve">La presente petición denuncia la </w:t>
      </w:r>
      <w:r w:rsidR="00E514ED" w:rsidRPr="00FE3799">
        <w:rPr>
          <w:rFonts w:asciiTheme="majorHAnsi" w:hAnsiTheme="majorHAnsi"/>
          <w:sz w:val="20"/>
          <w:szCs w:val="20"/>
          <w:lang w:val="es-VE"/>
        </w:rPr>
        <w:t xml:space="preserve">responsabilidad internacional del Estado de Guatemala a raíz de la </w:t>
      </w:r>
      <w:r w:rsidR="00A174B6" w:rsidRPr="00FE3799">
        <w:rPr>
          <w:rFonts w:asciiTheme="majorHAnsi" w:hAnsiTheme="majorHAnsi"/>
          <w:sz w:val="20"/>
          <w:szCs w:val="20"/>
          <w:lang w:val="es-VE"/>
        </w:rPr>
        <w:t xml:space="preserve">detención ilegal y posterior </w:t>
      </w:r>
      <w:r w:rsidR="00E514ED" w:rsidRPr="00FE3799">
        <w:rPr>
          <w:rFonts w:asciiTheme="majorHAnsi" w:hAnsiTheme="majorHAnsi"/>
          <w:sz w:val="20"/>
          <w:szCs w:val="20"/>
          <w:lang w:val="es-VE"/>
        </w:rPr>
        <w:t>desaparición forzada de José Luis Lemus</w:t>
      </w:r>
      <w:r w:rsidR="002C681D" w:rsidRPr="00FE3799">
        <w:rPr>
          <w:rFonts w:asciiTheme="majorHAnsi" w:hAnsiTheme="majorHAnsi"/>
          <w:sz w:val="20"/>
          <w:szCs w:val="20"/>
          <w:lang w:val="es-VE"/>
        </w:rPr>
        <w:t xml:space="preserve"> (en adelante también</w:t>
      </w:r>
      <w:r w:rsidR="00A174B6" w:rsidRPr="00FE3799">
        <w:rPr>
          <w:rFonts w:asciiTheme="majorHAnsi" w:hAnsiTheme="majorHAnsi"/>
          <w:sz w:val="20"/>
          <w:szCs w:val="20"/>
          <w:lang w:val="es-VE"/>
        </w:rPr>
        <w:t>, ¨</w:t>
      </w:r>
      <w:r w:rsidR="002C681D" w:rsidRPr="00FE3799">
        <w:rPr>
          <w:rFonts w:asciiTheme="majorHAnsi" w:hAnsiTheme="majorHAnsi"/>
          <w:sz w:val="20"/>
          <w:szCs w:val="20"/>
          <w:lang w:val="es-VE"/>
        </w:rPr>
        <w:t>la presunta víctima</w:t>
      </w:r>
      <w:r w:rsidR="00A174B6" w:rsidRPr="00FE3799">
        <w:rPr>
          <w:rFonts w:asciiTheme="majorHAnsi" w:hAnsiTheme="majorHAnsi"/>
          <w:sz w:val="20"/>
          <w:szCs w:val="20"/>
          <w:lang w:val="es-VE"/>
        </w:rPr>
        <w:t>¨</w:t>
      </w:r>
      <w:r w:rsidR="002C681D" w:rsidRPr="00FE3799">
        <w:rPr>
          <w:rFonts w:asciiTheme="majorHAnsi" w:hAnsiTheme="majorHAnsi"/>
          <w:sz w:val="20"/>
          <w:szCs w:val="20"/>
          <w:lang w:val="es-VE"/>
        </w:rPr>
        <w:t>)</w:t>
      </w:r>
      <w:r w:rsidR="00E514ED" w:rsidRPr="00FE3799">
        <w:rPr>
          <w:rFonts w:asciiTheme="majorHAnsi" w:hAnsiTheme="majorHAnsi"/>
          <w:sz w:val="20"/>
          <w:szCs w:val="20"/>
          <w:lang w:val="es-VE"/>
        </w:rPr>
        <w:t xml:space="preserve">. </w:t>
      </w:r>
      <w:r w:rsidR="004F28BC" w:rsidRPr="00FE3799">
        <w:rPr>
          <w:rFonts w:asciiTheme="majorHAnsi" w:hAnsiTheme="majorHAnsi"/>
          <w:sz w:val="20"/>
          <w:szCs w:val="20"/>
          <w:lang w:val="es-VE"/>
        </w:rPr>
        <w:t>En particular</w:t>
      </w:r>
      <w:r w:rsidR="002C681D" w:rsidRPr="00FE3799">
        <w:rPr>
          <w:rFonts w:asciiTheme="majorHAnsi" w:hAnsiTheme="majorHAnsi"/>
          <w:sz w:val="20"/>
          <w:szCs w:val="20"/>
          <w:lang w:val="es-VE"/>
        </w:rPr>
        <w:t>,</w:t>
      </w:r>
      <w:r w:rsidR="004F28BC" w:rsidRPr="00FE3799">
        <w:rPr>
          <w:rFonts w:asciiTheme="majorHAnsi" w:hAnsiTheme="majorHAnsi"/>
          <w:sz w:val="20"/>
          <w:szCs w:val="20"/>
          <w:lang w:val="es-VE"/>
        </w:rPr>
        <w:t xml:space="preserve"> la parte peticionaria sostiene el incumplimiento del Estado </w:t>
      </w:r>
      <w:r w:rsidR="002C681D" w:rsidRPr="00FE3799">
        <w:rPr>
          <w:rFonts w:asciiTheme="majorHAnsi" w:hAnsiTheme="majorHAnsi"/>
          <w:sz w:val="20"/>
          <w:szCs w:val="20"/>
          <w:lang w:val="es-VE"/>
        </w:rPr>
        <w:t>en</w:t>
      </w:r>
      <w:r w:rsidR="004F28BC" w:rsidRPr="00FE3799">
        <w:rPr>
          <w:rFonts w:asciiTheme="majorHAnsi" w:hAnsiTheme="majorHAnsi"/>
          <w:sz w:val="20"/>
          <w:szCs w:val="20"/>
          <w:lang w:val="es-VE"/>
        </w:rPr>
        <w:t xml:space="preserve"> su obligación de</w:t>
      </w:r>
      <w:r w:rsidR="001578CF" w:rsidRPr="00FE3799">
        <w:rPr>
          <w:rFonts w:asciiTheme="majorHAnsi" w:hAnsiTheme="majorHAnsi"/>
          <w:sz w:val="20"/>
          <w:szCs w:val="20"/>
          <w:lang w:val="es-VE"/>
        </w:rPr>
        <w:t xml:space="preserve"> respetar </w:t>
      </w:r>
      <w:r w:rsidR="004F28BC" w:rsidRPr="00FE3799">
        <w:rPr>
          <w:rFonts w:asciiTheme="majorHAnsi" w:hAnsiTheme="majorHAnsi"/>
          <w:sz w:val="20"/>
          <w:szCs w:val="20"/>
          <w:lang w:val="es-VE"/>
        </w:rPr>
        <w:t xml:space="preserve">el derecho a la vida del señor José Luis Lemus Solís y de proveer un recurso ágil y efectivo a sus familiares. Detalla que las circunstancias de </w:t>
      </w:r>
      <w:r w:rsidR="002C681D" w:rsidRPr="00FE3799">
        <w:rPr>
          <w:rFonts w:asciiTheme="majorHAnsi" w:hAnsiTheme="majorHAnsi"/>
          <w:sz w:val="20"/>
          <w:szCs w:val="20"/>
          <w:lang w:val="es-VE"/>
        </w:rPr>
        <w:t>l</w:t>
      </w:r>
      <w:r w:rsidR="004F28BC" w:rsidRPr="00FE3799">
        <w:rPr>
          <w:rFonts w:asciiTheme="majorHAnsi" w:hAnsiTheme="majorHAnsi"/>
          <w:sz w:val="20"/>
          <w:szCs w:val="20"/>
          <w:lang w:val="es-VE"/>
        </w:rPr>
        <w:t>a desaparición</w:t>
      </w:r>
      <w:r w:rsidR="002C681D" w:rsidRPr="00FE3799">
        <w:rPr>
          <w:rFonts w:asciiTheme="majorHAnsi" w:hAnsiTheme="majorHAnsi"/>
          <w:sz w:val="20"/>
          <w:szCs w:val="20"/>
          <w:lang w:val="es-VE"/>
        </w:rPr>
        <w:t xml:space="preserve"> de la presunta víctima</w:t>
      </w:r>
      <w:r w:rsidR="004F28BC" w:rsidRPr="00FE3799">
        <w:rPr>
          <w:rFonts w:asciiTheme="majorHAnsi" w:hAnsiTheme="majorHAnsi"/>
          <w:sz w:val="20"/>
          <w:szCs w:val="20"/>
          <w:lang w:val="es-VE"/>
        </w:rPr>
        <w:t xml:space="preserve">, </w:t>
      </w:r>
      <w:r w:rsidR="002C681D" w:rsidRPr="00FE3799">
        <w:rPr>
          <w:rFonts w:asciiTheme="majorHAnsi" w:hAnsiTheme="majorHAnsi"/>
          <w:sz w:val="20"/>
          <w:szCs w:val="20"/>
          <w:lang w:val="es-VE"/>
        </w:rPr>
        <w:t xml:space="preserve">aunado a la falta de una investigación diligente por parte del Estado generaron </w:t>
      </w:r>
      <w:r w:rsidR="004F28BC" w:rsidRPr="00FE3799">
        <w:rPr>
          <w:rFonts w:asciiTheme="majorHAnsi" w:hAnsiTheme="majorHAnsi"/>
          <w:sz w:val="20"/>
          <w:szCs w:val="20"/>
          <w:lang w:val="es-VE"/>
        </w:rPr>
        <w:t xml:space="preserve">sufrimiento, angustia y frustración en los familiares. </w:t>
      </w:r>
    </w:p>
    <w:p w14:paraId="373DC721" w14:textId="02573777" w:rsidR="00AE4726" w:rsidRPr="00FE3799" w:rsidRDefault="00AE4726" w:rsidP="00AE47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20"/>
          <w:szCs w:val="20"/>
          <w:lang w:val="es-VE"/>
        </w:rPr>
      </w:pPr>
      <w:r w:rsidRPr="00FE3799">
        <w:rPr>
          <w:rFonts w:asciiTheme="majorHAnsi" w:hAnsiTheme="majorHAnsi"/>
          <w:sz w:val="20"/>
          <w:szCs w:val="20"/>
          <w:lang w:val="es-VE"/>
        </w:rPr>
        <w:t>A modo de antecedente, informa que la presunta víctima participó activamente en el sindicato de United Fruit Company en el municipio de Tiquisate del departamento de Escuintia durante la década de los 1950. Así, destaca que la presunta víctima contribuyó con los campesinos e indígenas para hacer valer sus derechos laborales y, en virtud de la actividad que realizaba durante el golpe de estado al Coronel</w:t>
      </w:r>
      <w:r w:rsidR="0096481C" w:rsidRPr="00FE3799">
        <w:rPr>
          <w:rFonts w:asciiTheme="majorHAnsi" w:hAnsiTheme="majorHAnsi"/>
          <w:sz w:val="20"/>
          <w:szCs w:val="20"/>
          <w:lang w:val="es-VE"/>
        </w:rPr>
        <w:t xml:space="preserve"> Arbenz</w:t>
      </w:r>
      <w:r w:rsidRPr="00FE3799">
        <w:rPr>
          <w:rFonts w:asciiTheme="majorHAnsi" w:hAnsiTheme="majorHAnsi"/>
          <w:sz w:val="20"/>
          <w:szCs w:val="20"/>
          <w:lang w:val="es-VE"/>
        </w:rPr>
        <w:t>, fue encarcelado y amenazado de muerte por el grupo paramilitar denominado “Mano Blanca”. La parte peticionaria sostiene que, en consecuencia, José Luis Lemus tuvo que salir del país hacia El Salvador donde residió</w:t>
      </w:r>
      <w:r w:rsidR="00DE7F53" w:rsidRPr="00FE3799">
        <w:rPr>
          <w:rFonts w:asciiTheme="majorHAnsi" w:hAnsiTheme="majorHAnsi"/>
          <w:sz w:val="20"/>
          <w:szCs w:val="20"/>
          <w:lang w:val="es-VE"/>
        </w:rPr>
        <w:t xml:space="preserve">, se casó y tuvo dos hijos. </w:t>
      </w:r>
      <w:r w:rsidR="001578CF" w:rsidRPr="00FE3799">
        <w:rPr>
          <w:rFonts w:asciiTheme="majorHAnsi" w:hAnsiTheme="majorHAnsi"/>
          <w:sz w:val="20"/>
          <w:szCs w:val="20"/>
          <w:lang w:val="es-VE"/>
        </w:rPr>
        <w:t xml:space="preserve"> Detalla que la presunta víctima regresó a Guatemala en marzo de 1980 estableciéndose en el municipio Villa Nueva.</w:t>
      </w:r>
    </w:p>
    <w:p w14:paraId="7DC668FD" w14:textId="3CF91F31" w:rsidR="00E11209" w:rsidRPr="00FE3799" w:rsidRDefault="001578CF" w:rsidP="00AE47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20"/>
          <w:szCs w:val="20"/>
          <w:lang w:val="es-VE"/>
        </w:rPr>
      </w:pPr>
      <w:r w:rsidRPr="00FE3799">
        <w:rPr>
          <w:rFonts w:asciiTheme="majorHAnsi" w:hAnsiTheme="majorHAnsi"/>
          <w:sz w:val="20"/>
          <w:szCs w:val="20"/>
          <w:lang w:val="es-VE"/>
        </w:rPr>
        <w:t xml:space="preserve"> </w:t>
      </w:r>
      <w:r w:rsidR="00DE7F53" w:rsidRPr="00FE3799">
        <w:rPr>
          <w:rFonts w:asciiTheme="majorHAnsi" w:hAnsiTheme="majorHAnsi"/>
          <w:sz w:val="20"/>
          <w:szCs w:val="20"/>
          <w:lang w:val="es-VE"/>
        </w:rPr>
        <w:t>A</w:t>
      </w:r>
      <w:r w:rsidR="00E514ED" w:rsidRPr="00FE3799">
        <w:rPr>
          <w:rFonts w:asciiTheme="majorHAnsi" w:hAnsiTheme="majorHAnsi"/>
          <w:sz w:val="20"/>
          <w:szCs w:val="20"/>
          <w:lang w:val="es-VE"/>
        </w:rPr>
        <w:t xml:space="preserve">rgumenta que </w:t>
      </w:r>
      <w:r w:rsidR="00E11209" w:rsidRPr="00FE3799">
        <w:rPr>
          <w:rFonts w:asciiTheme="majorHAnsi" w:hAnsiTheme="majorHAnsi"/>
          <w:sz w:val="20"/>
          <w:szCs w:val="20"/>
          <w:lang w:val="es-VE"/>
        </w:rPr>
        <w:t>José Luis Lemus fue privado de su libertad de manera violenta</w:t>
      </w:r>
      <w:r w:rsidR="00E514ED" w:rsidRPr="00FE3799">
        <w:rPr>
          <w:rFonts w:asciiTheme="majorHAnsi" w:hAnsiTheme="majorHAnsi"/>
          <w:sz w:val="20"/>
          <w:szCs w:val="20"/>
          <w:lang w:val="es-VE"/>
        </w:rPr>
        <w:t xml:space="preserve"> en horas de la madrugada entre las últimas semanas de julio y las primeras de agosto de 1984. Describe </w:t>
      </w:r>
      <w:r w:rsidR="00744F4A" w:rsidRPr="00FE3799">
        <w:rPr>
          <w:rFonts w:asciiTheme="majorHAnsi" w:hAnsiTheme="majorHAnsi"/>
          <w:sz w:val="20"/>
          <w:szCs w:val="20"/>
          <w:lang w:val="es-VE"/>
        </w:rPr>
        <w:t>que,</w:t>
      </w:r>
      <w:r w:rsidR="00E514ED" w:rsidRPr="00FE3799">
        <w:rPr>
          <w:rFonts w:asciiTheme="majorHAnsi" w:hAnsiTheme="majorHAnsi"/>
          <w:sz w:val="20"/>
          <w:szCs w:val="20"/>
          <w:lang w:val="es-VE"/>
        </w:rPr>
        <w:t xml:space="preserve"> según testimonios de vecinos</w:t>
      </w:r>
      <w:r w:rsidR="005B59E9" w:rsidRPr="00FE3799">
        <w:rPr>
          <w:rFonts w:asciiTheme="majorHAnsi" w:hAnsiTheme="majorHAnsi"/>
          <w:sz w:val="20"/>
          <w:szCs w:val="20"/>
          <w:lang w:val="es-VE"/>
        </w:rPr>
        <w:t xml:space="preserve"> </w:t>
      </w:r>
      <w:r w:rsidR="009D2C1D" w:rsidRPr="00FE3799">
        <w:rPr>
          <w:rFonts w:asciiTheme="majorHAnsi" w:hAnsiTheme="majorHAnsi"/>
          <w:sz w:val="20"/>
          <w:szCs w:val="20"/>
          <w:lang w:val="es-VE"/>
        </w:rPr>
        <w:t>de</w:t>
      </w:r>
      <w:r w:rsidR="005B59E9" w:rsidRPr="00FE3799">
        <w:rPr>
          <w:rFonts w:asciiTheme="majorHAnsi" w:hAnsiTheme="majorHAnsi"/>
          <w:sz w:val="20"/>
          <w:szCs w:val="20"/>
          <w:lang w:val="es-VE"/>
        </w:rPr>
        <w:t xml:space="preserve"> la esposa de José Luis Lemus</w:t>
      </w:r>
      <w:r w:rsidR="00E514ED" w:rsidRPr="00FE3799">
        <w:rPr>
          <w:rFonts w:asciiTheme="majorHAnsi" w:hAnsiTheme="majorHAnsi"/>
          <w:sz w:val="20"/>
          <w:szCs w:val="20"/>
          <w:lang w:val="es-VE"/>
        </w:rPr>
        <w:t>, l</w:t>
      </w:r>
      <w:r w:rsidR="002C681D" w:rsidRPr="00FE3799">
        <w:rPr>
          <w:rFonts w:asciiTheme="majorHAnsi" w:hAnsiTheme="majorHAnsi"/>
          <w:sz w:val="20"/>
          <w:szCs w:val="20"/>
          <w:lang w:val="es-VE"/>
        </w:rPr>
        <w:t>a presunta víctima fue sustraída</w:t>
      </w:r>
      <w:r w:rsidR="00E514ED" w:rsidRPr="00FE3799">
        <w:rPr>
          <w:rFonts w:asciiTheme="majorHAnsi" w:hAnsiTheme="majorHAnsi"/>
          <w:sz w:val="20"/>
          <w:szCs w:val="20"/>
          <w:lang w:val="es-VE"/>
        </w:rPr>
        <w:t xml:space="preserve"> </w:t>
      </w:r>
      <w:r w:rsidR="00E11209" w:rsidRPr="00FE3799">
        <w:rPr>
          <w:rFonts w:asciiTheme="majorHAnsi" w:hAnsiTheme="majorHAnsi"/>
          <w:sz w:val="20"/>
          <w:szCs w:val="20"/>
          <w:lang w:val="es-VE"/>
        </w:rPr>
        <w:t xml:space="preserve">de su vivienda </w:t>
      </w:r>
      <w:r w:rsidR="00791C61" w:rsidRPr="00FE3799">
        <w:rPr>
          <w:rFonts w:asciiTheme="majorHAnsi" w:hAnsiTheme="majorHAnsi"/>
          <w:sz w:val="20"/>
          <w:szCs w:val="20"/>
          <w:lang w:val="es-VE"/>
        </w:rPr>
        <w:t>en ropa interior, con las manos atadas y</w:t>
      </w:r>
      <w:r w:rsidR="00E514ED" w:rsidRPr="00FE3799">
        <w:rPr>
          <w:rFonts w:asciiTheme="majorHAnsi" w:hAnsiTheme="majorHAnsi"/>
          <w:sz w:val="20"/>
          <w:szCs w:val="20"/>
          <w:lang w:val="es-VE"/>
        </w:rPr>
        <w:t xml:space="preserve"> con los ojos cubiertos por hombres </w:t>
      </w:r>
      <w:r w:rsidR="00E11209" w:rsidRPr="00FE3799">
        <w:rPr>
          <w:rFonts w:asciiTheme="majorHAnsi" w:hAnsiTheme="majorHAnsi"/>
          <w:sz w:val="20"/>
          <w:szCs w:val="20"/>
          <w:lang w:val="es-VE"/>
        </w:rPr>
        <w:t>vestidos de negro con pasamontañas.</w:t>
      </w:r>
      <w:r w:rsidR="00E514ED" w:rsidRPr="00FE3799">
        <w:rPr>
          <w:rFonts w:asciiTheme="majorHAnsi" w:hAnsiTheme="majorHAnsi"/>
          <w:sz w:val="20"/>
          <w:szCs w:val="20"/>
          <w:lang w:val="es-VE"/>
        </w:rPr>
        <w:t xml:space="preserve"> En dicho marco, sostiene que fue subido</w:t>
      </w:r>
      <w:r w:rsidR="00E11209" w:rsidRPr="00FE3799">
        <w:rPr>
          <w:rFonts w:asciiTheme="majorHAnsi" w:hAnsiTheme="majorHAnsi"/>
          <w:sz w:val="20"/>
          <w:szCs w:val="20"/>
          <w:lang w:val="es-VE"/>
        </w:rPr>
        <w:t xml:space="preserve"> en un </w:t>
      </w:r>
      <w:r w:rsidR="00E514ED" w:rsidRPr="00FE3799">
        <w:rPr>
          <w:rFonts w:asciiTheme="majorHAnsi" w:hAnsiTheme="majorHAnsi"/>
          <w:sz w:val="20"/>
          <w:szCs w:val="20"/>
          <w:lang w:val="es-VE"/>
        </w:rPr>
        <w:t>vehículo</w:t>
      </w:r>
      <w:r w:rsidR="00E11209" w:rsidRPr="00FE3799">
        <w:rPr>
          <w:rFonts w:asciiTheme="majorHAnsi" w:hAnsiTheme="majorHAnsi"/>
          <w:sz w:val="20"/>
          <w:szCs w:val="20"/>
          <w:lang w:val="es-VE"/>
        </w:rPr>
        <w:t xml:space="preserve"> sin identificación</w:t>
      </w:r>
      <w:r w:rsidR="00E514ED" w:rsidRPr="00FE3799">
        <w:rPr>
          <w:rFonts w:asciiTheme="majorHAnsi" w:hAnsiTheme="majorHAnsi"/>
          <w:sz w:val="20"/>
          <w:szCs w:val="20"/>
          <w:lang w:val="es-VE"/>
        </w:rPr>
        <w:t xml:space="preserve"> </w:t>
      </w:r>
      <w:r w:rsidR="00791C61" w:rsidRPr="00FE3799">
        <w:rPr>
          <w:rFonts w:asciiTheme="majorHAnsi" w:hAnsiTheme="majorHAnsi"/>
          <w:sz w:val="20"/>
          <w:szCs w:val="20"/>
          <w:lang w:val="es-VE"/>
        </w:rPr>
        <w:t xml:space="preserve">y con vidrios polarizados </w:t>
      </w:r>
      <w:r w:rsidR="00E514ED" w:rsidRPr="00FE3799">
        <w:rPr>
          <w:rFonts w:asciiTheme="majorHAnsi" w:hAnsiTheme="majorHAnsi"/>
          <w:sz w:val="20"/>
          <w:szCs w:val="20"/>
          <w:lang w:val="es-VE"/>
        </w:rPr>
        <w:t xml:space="preserve">sin que a la fecha se conozca </w:t>
      </w:r>
      <w:r w:rsidR="00E11209" w:rsidRPr="00FE3799">
        <w:rPr>
          <w:rFonts w:asciiTheme="majorHAnsi" w:hAnsiTheme="majorHAnsi"/>
          <w:sz w:val="20"/>
          <w:szCs w:val="20"/>
          <w:lang w:val="es-VE"/>
        </w:rPr>
        <w:t xml:space="preserve">su paradero. </w:t>
      </w:r>
    </w:p>
    <w:p w14:paraId="1463C0C0" w14:textId="34ACBC93" w:rsidR="00750EE3" w:rsidRPr="00FE3799" w:rsidRDefault="0001552D" w:rsidP="00750EE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20"/>
          <w:szCs w:val="20"/>
          <w:lang w:val="es-VE"/>
        </w:rPr>
      </w:pPr>
      <w:r w:rsidRPr="00FE3799">
        <w:rPr>
          <w:rFonts w:asciiTheme="majorHAnsi" w:hAnsiTheme="majorHAnsi"/>
          <w:sz w:val="20"/>
          <w:szCs w:val="20"/>
          <w:lang w:val="es-VE"/>
        </w:rPr>
        <w:t>A</w:t>
      </w:r>
      <w:r w:rsidR="00530160" w:rsidRPr="00FE3799">
        <w:rPr>
          <w:rFonts w:asciiTheme="majorHAnsi" w:hAnsiTheme="majorHAnsi"/>
          <w:sz w:val="20"/>
          <w:szCs w:val="20"/>
          <w:lang w:val="es-VE"/>
        </w:rPr>
        <w:t>lega que estos hechos ocurrieron en el contexto del conflicto armado interno en Guatemala durante el cual se dieron una serie de violaciones de derechos humanos contra la población guatemalteca incluyendo, entre otras, la desaparición forzada utilizada en particular con el fin de eliminar toda clase de oposición política.</w:t>
      </w:r>
      <w:r w:rsidR="00EB4A8C" w:rsidRPr="00FE3799">
        <w:rPr>
          <w:rFonts w:asciiTheme="majorHAnsi" w:hAnsiTheme="majorHAnsi"/>
          <w:sz w:val="20"/>
          <w:szCs w:val="20"/>
          <w:lang w:val="es-VE"/>
        </w:rPr>
        <w:t xml:space="preserve"> </w:t>
      </w:r>
      <w:r w:rsidR="001578CF" w:rsidRPr="00FE3799">
        <w:rPr>
          <w:rFonts w:asciiTheme="majorHAnsi" w:hAnsiTheme="majorHAnsi"/>
          <w:sz w:val="20"/>
          <w:szCs w:val="20"/>
          <w:lang w:val="es-VE"/>
        </w:rPr>
        <w:t xml:space="preserve">En este sentido, sostiene que la detención y desaparición forzada de la presunta víctima siguió el modus operandi </w:t>
      </w:r>
      <w:r w:rsidR="00750EE3" w:rsidRPr="00FE3799">
        <w:rPr>
          <w:rFonts w:asciiTheme="majorHAnsi" w:hAnsiTheme="majorHAnsi"/>
          <w:sz w:val="20"/>
          <w:szCs w:val="20"/>
          <w:lang w:val="es-VE"/>
        </w:rPr>
        <w:t xml:space="preserve">seguido </w:t>
      </w:r>
      <w:r w:rsidR="001578CF" w:rsidRPr="00FE3799">
        <w:rPr>
          <w:rFonts w:asciiTheme="majorHAnsi" w:hAnsiTheme="majorHAnsi"/>
          <w:sz w:val="20"/>
          <w:szCs w:val="20"/>
          <w:lang w:val="es-VE"/>
        </w:rPr>
        <w:t>en el marco de la aplicación de la Doctrina de Seguridad Nacional</w:t>
      </w:r>
      <w:r w:rsidR="00750EE3" w:rsidRPr="00FE3799">
        <w:rPr>
          <w:rFonts w:asciiTheme="majorHAnsi" w:hAnsiTheme="majorHAnsi"/>
          <w:sz w:val="20"/>
          <w:szCs w:val="20"/>
          <w:lang w:val="es-VE"/>
        </w:rPr>
        <w:t>, en tanto las víctimas no eran detenidas legalmente, mediante orden judicial, sino secuestradas en sus hogares, centros de trabajo, en reuniones, asambleas o en vías públicas por grupos de individuos fuertemente armados que se identificaban verbalmente como miembros de alguno de los cuerpos investigativos o de seguridad y se movilizaban en automóviles como los usualmente utilizados por las fuerzas policiales.</w:t>
      </w:r>
      <w:r w:rsidR="00530160" w:rsidRPr="00FE3799">
        <w:rPr>
          <w:rFonts w:asciiTheme="majorHAnsi" w:hAnsiTheme="majorHAnsi"/>
          <w:sz w:val="20"/>
          <w:szCs w:val="20"/>
          <w:lang w:val="es-VE"/>
        </w:rPr>
        <w:t xml:space="preserve"> </w:t>
      </w:r>
      <w:r w:rsidR="00750EE3" w:rsidRPr="00FE3799">
        <w:rPr>
          <w:rFonts w:asciiTheme="majorHAnsi" w:hAnsiTheme="majorHAnsi"/>
          <w:sz w:val="20"/>
          <w:szCs w:val="20"/>
          <w:lang w:val="es-VE"/>
        </w:rPr>
        <w:t xml:space="preserve">Al respecto, agrega que las desapariciones forzadas como arma de represión social </w:t>
      </w:r>
      <w:r w:rsidR="00530160" w:rsidRPr="00FE3799">
        <w:rPr>
          <w:rFonts w:asciiTheme="majorHAnsi" w:hAnsiTheme="majorHAnsi"/>
          <w:sz w:val="20"/>
          <w:szCs w:val="20"/>
          <w:lang w:val="es-VE"/>
        </w:rPr>
        <w:t xml:space="preserve">eran ejecutadas por grupos conformados por miembros de las fuerzas de seguridad del Estado y cuerpos paramilitares, quienes </w:t>
      </w:r>
      <w:r w:rsidR="00EB4A8C" w:rsidRPr="00FE3799">
        <w:rPr>
          <w:rFonts w:asciiTheme="majorHAnsi" w:hAnsiTheme="majorHAnsi"/>
          <w:sz w:val="20"/>
          <w:szCs w:val="20"/>
          <w:lang w:val="es-VE"/>
        </w:rPr>
        <w:t>actuaban a la luz pública con total impunidad</w:t>
      </w:r>
      <w:r w:rsidR="0025063C" w:rsidRPr="00FE3799">
        <w:rPr>
          <w:rFonts w:asciiTheme="majorHAnsi" w:hAnsiTheme="majorHAnsi"/>
          <w:sz w:val="20"/>
          <w:szCs w:val="20"/>
          <w:lang w:val="es-VE"/>
        </w:rPr>
        <w:t>.</w:t>
      </w:r>
    </w:p>
    <w:p w14:paraId="2637B3A9" w14:textId="37CF26C9" w:rsidR="00E47DE9" w:rsidRPr="00FE3799" w:rsidRDefault="00530160" w:rsidP="00750EE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20"/>
          <w:szCs w:val="20"/>
          <w:lang w:val="es-VE"/>
        </w:rPr>
      </w:pPr>
      <w:r w:rsidRPr="00FE3799">
        <w:rPr>
          <w:rFonts w:asciiTheme="majorHAnsi" w:hAnsiTheme="majorHAnsi"/>
          <w:sz w:val="20"/>
          <w:szCs w:val="20"/>
          <w:lang w:val="es-VE"/>
        </w:rPr>
        <w:t xml:space="preserve">En dicho marco, alega </w:t>
      </w:r>
      <w:r w:rsidR="00EB4A8C" w:rsidRPr="00FE3799">
        <w:rPr>
          <w:rFonts w:asciiTheme="majorHAnsi" w:hAnsiTheme="majorHAnsi"/>
          <w:sz w:val="20"/>
          <w:szCs w:val="20"/>
          <w:lang w:val="es-VE"/>
        </w:rPr>
        <w:t xml:space="preserve">que existía la presunción que estos grupos actuaban con la complicidad y hasta el apoyo de las fuerzas armadas y policiales en tanto, además de lo anterior, no </w:t>
      </w:r>
      <w:r w:rsidR="0001552D" w:rsidRPr="00FE3799">
        <w:rPr>
          <w:rFonts w:asciiTheme="majorHAnsi" w:hAnsiTheme="majorHAnsi"/>
          <w:sz w:val="20"/>
          <w:szCs w:val="20"/>
          <w:lang w:val="es-VE"/>
        </w:rPr>
        <w:t xml:space="preserve">había ninguna </w:t>
      </w:r>
      <w:r w:rsidR="00EB4A8C" w:rsidRPr="00FE3799">
        <w:rPr>
          <w:rFonts w:asciiTheme="majorHAnsi" w:hAnsiTheme="majorHAnsi"/>
          <w:sz w:val="20"/>
          <w:szCs w:val="20"/>
          <w:lang w:val="es-VE"/>
        </w:rPr>
        <w:t xml:space="preserve">intervención o actuación por parte de </w:t>
      </w:r>
      <w:r w:rsidR="0001552D" w:rsidRPr="00FE3799">
        <w:rPr>
          <w:rFonts w:asciiTheme="majorHAnsi" w:hAnsiTheme="majorHAnsi"/>
          <w:sz w:val="20"/>
          <w:szCs w:val="20"/>
          <w:lang w:val="es-VE"/>
        </w:rPr>
        <w:t xml:space="preserve">miembros de </w:t>
      </w:r>
      <w:r w:rsidR="00EB4A8C" w:rsidRPr="00FE3799">
        <w:rPr>
          <w:rFonts w:asciiTheme="majorHAnsi" w:hAnsiTheme="majorHAnsi"/>
          <w:sz w:val="20"/>
          <w:szCs w:val="20"/>
          <w:lang w:val="es-VE"/>
        </w:rPr>
        <w:t xml:space="preserve">autoridades </w:t>
      </w:r>
      <w:r w:rsidR="0001552D" w:rsidRPr="00FE3799">
        <w:rPr>
          <w:rFonts w:asciiTheme="majorHAnsi" w:hAnsiTheme="majorHAnsi"/>
          <w:sz w:val="20"/>
          <w:szCs w:val="20"/>
          <w:lang w:val="es-VE"/>
        </w:rPr>
        <w:t>de orden público aun estando en las cercanías de alguna detención ilegal o de ser requeridos de actuar a petición de familiares o testigos presenciales</w:t>
      </w:r>
      <w:r w:rsidR="00EB4A8C" w:rsidRPr="00FE3799">
        <w:rPr>
          <w:rFonts w:asciiTheme="majorHAnsi" w:hAnsiTheme="majorHAnsi"/>
          <w:sz w:val="20"/>
          <w:szCs w:val="20"/>
          <w:lang w:val="es-VE"/>
        </w:rPr>
        <w:t xml:space="preserve">. </w:t>
      </w:r>
      <w:r w:rsidR="00E47DE9" w:rsidRPr="00FE3799">
        <w:rPr>
          <w:rFonts w:asciiTheme="majorHAnsi" w:hAnsiTheme="majorHAnsi"/>
          <w:sz w:val="20"/>
          <w:szCs w:val="20"/>
          <w:lang w:val="es-VE"/>
        </w:rPr>
        <w:t>Sostiene que</w:t>
      </w:r>
      <w:r w:rsidR="001F7D98" w:rsidRPr="00FE3799">
        <w:rPr>
          <w:rFonts w:asciiTheme="majorHAnsi" w:hAnsiTheme="majorHAnsi"/>
          <w:sz w:val="20"/>
          <w:szCs w:val="20"/>
          <w:lang w:val="es-VE"/>
        </w:rPr>
        <w:t>,</w:t>
      </w:r>
      <w:r w:rsidR="00E47DE9" w:rsidRPr="00FE3799">
        <w:rPr>
          <w:rFonts w:asciiTheme="majorHAnsi" w:hAnsiTheme="majorHAnsi"/>
          <w:sz w:val="20"/>
          <w:szCs w:val="20"/>
          <w:lang w:val="es-VE"/>
        </w:rPr>
        <w:t xml:space="preserve"> los objetivos y las víctimas no eran solo guerrilleros, sus agrupaciones y las personas claramente identificadas como elementos de oposición sino también personas vistas como simpatizantes o colaboradores de grupos guerrilleros</w:t>
      </w:r>
      <w:r w:rsidR="00750EE3" w:rsidRPr="00FE3799">
        <w:rPr>
          <w:rFonts w:asciiTheme="majorHAnsi" w:hAnsiTheme="majorHAnsi"/>
          <w:sz w:val="20"/>
          <w:szCs w:val="20"/>
          <w:lang w:val="es-VE"/>
        </w:rPr>
        <w:t xml:space="preserve"> incluyendo </w:t>
      </w:r>
      <w:r w:rsidR="005E68D6" w:rsidRPr="00FE3799">
        <w:rPr>
          <w:rFonts w:asciiTheme="majorHAnsi" w:hAnsiTheme="majorHAnsi"/>
          <w:sz w:val="20"/>
          <w:szCs w:val="20"/>
          <w:lang w:val="es-VE"/>
        </w:rPr>
        <w:t xml:space="preserve">entre otros, los sindicatos, los grupos de oposición, las universidades, las ligas campesinas, miembros de las iglesias y los partidos políticos. </w:t>
      </w:r>
    </w:p>
    <w:p w14:paraId="09DFD2A1" w14:textId="0736F709" w:rsidR="002B047D" w:rsidRPr="00FE3799" w:rsidRDefault="00744F4A" w:rsidP="00AF07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20"/>
          <w:szCs w:val="20"/>
          <w:lang w:val="es-VE"/>
        </w:rPr>
      </w:pPr>
      <w:r w:rsidRPr="00FE3799">
        <w:rPr>
          <w:rFonts w:asciiTheme="majorHAnsi" w:hAnsiTheme="majorHAnsi"/>
          <w:sz w:val="20"/>
          <w:szCs w:val="20"/>
          <w:lang w:val="es-VE"/>
        </w:rPr>
        <w:t xml:space="preserve">Argumenta que </w:t>
      </w:r>
      <w:r w:rsidR="00AE4726" w:rsidRPr="00FE3799">
        <w:rPr>
          <w:rFonts w:asciiTheme="majorHAnsi" w:hAnsiTheme="majorHAnsi"/>
          <w:sz w:val="20"/>
          <w:szCs w:val="20"/>
          <w:lang w:val="es-VE"/>
        </w:rPr>
        <w:t xml:space="preserve">en el tiempo en que sucedió el hecho </w:t>
      </w:r>
      <w:r w:rsidRPr="00FE3799">
        <w:rPr>
          <w:rFonts w:asciiTheme="majorHAnsi" w:hAnsiTheme="majorHAnsi"/>
          <w:sz w:val="20"/>
          <w:szCs w:val="20"/>
          <w:lang w:val="es-VE"/>
        </w:rPr>
        <w:t xml:space="preserve">no se presentó denuncia alguna </w:t>
      </w:r>
      <w:r w:rsidR="00AE4726" w:rsidRPr="00FE3799">
        <w:rPr>
          <w:rFonts w:asciiTheme="majorHAnsi" w:hAnsiTheme="majorHAnsi"/>
          <w:sz w:val="20"/>
          <w:szCs w:val="20"/>
          <w:lang w:val="es-VE"/>
        </w:rPr>
        <w:t xml:space="preserve">por temor fundado y </w:t>
      </w:r>
      <w:r w:rsidRPr="00FE3799">
        <w:rPr>
          <w:rFonts w:asciiTheme="majorHAnsi" w:hAnsiTheme="majorHAnsi"/>
          <w:sz w:val="20"/>
          <w:szCs w:val="20"/>
          <w:lang w:val="es-VE"/>
        </w:rPr>
        <w:t>como consecuencia de la represión ejercida en contra de la población como parte de la política y práctica del Estado</w:t>
      </w:r>
      <w:r w:rsidR="00AE4726" w:rsidRPr="00FE3799">
        <w:rPr>
          <w:rFonts w:asciiTheme="majorHAnsi" w:hAnsiTheme="majorHAnsi"/>
          <w:sz w:val="20"/>
          <w:szCs w:val="20"/>
          <w:lang w:val="es-VE"/>
        </w:rPr>
        <w:t>. P</w:t>
      </w:r>
      <w:r w:rsidRPr="00FE3799">
        <w:rPr>
          <w:rFonts w:asciiTheme="majorHAnsi" w:hAnsiTheme="majorHAnsi"/>
          <w:sz w:val="20"/>
          <w:szCs w:val="20"/>
          <w:lang w:val="es-VE"/>
        </w:rPr>
        <w:t>or el contrario</w:t>
      </w:r>
      <w:r w:rsidR="00AE4726" w:rsidRPr="00FE3799">
        <w:rPr>
          <w:rFonts w:asciiTheme="majorHAnsi" w:hAnsiTheme="majorHAnsi"/>
          <w:sz w:val="20"/>
          <w:szCs w:val="20"/>
          <w:lang w:val="es-VE"/>
        </w:rPr>
        <w:t>,</w:t>
      </w:r>
      <w:r w:rsidRPr="00FE3799">
        <w:rPr>
          <w:rFonts w:asciiTheme="majorHAnsi" w:hAnsiTheme="majorHAnsi"/>
          <w:sz w:val="20"/>
          <w:szCs w:val="20"/>
          <w:lang w:val="es-VE"/>
        </w:rPr>
        <w:t xml:space="preserve"> los familiares junto con </w:t>
      </w:r>
      <w:r w:rsidR="00AE4726" w:rsidRPr="00FE3799">
        <w:rPr>
          <w:rFonts w:asciiTheme="majorHAnsi" w:hAnsiTheme="majorHAnsi"/>
          <w:sz w:val="20"/>
          <w:szCs w:val="20"/>
          <w:lang w:val="es-VE"/>
        </w:rPr>
        <w:t xml:space="preserve">el </w:t>
      </w:r>
      <w:r w:rsidRPr="00FE3799">
        <w:rPr>
          <w:rFonts w:asciiTheme="majorHAnsi" w:hAnsiTheme="majorHAnsi"/>
          <w:sz w:val="20"/>
          <w:szCs w:val="20"/>
          <w:lang w:val="es-VE"/>
        </w:rPr>
        <w:t>Grupo de Apoyo Mutuo</w:t>
      </w:r>
      <w:r w:rsidR="00AE4726" w:rsidRPr="00FE3799">
        <w:rPr>
          <w:rFonts w:asciiTheme="majorHAnsi" w:hAnsiTheme="majorHAnsi"/>
          <w:sz w:val="20"/>
          <w:szCs w:val="20"/>
          <w:lang w:val="es-VE"/>
        </w:rPr>
        <w:t xml:space="preserve"> (GAM)</w:t>
      </w:r>
      <w:r w:rsidRPr="00FE3799">
        <w:rPr>
          <w:rFonts w:asciiTheme="majorHAnsi" w:hAnsiTheme="majorHAnsi"/>
          <w:sz w:val="20"/>
          <w:szCs w:val="20"/>
          <w:lang w:val="es-VE"/>
        </w:rPr>
        <w:t xml:space="preserve"> concentraron sus esfuerzos en la búsqueda </w:t>
      </w:r>
      <w:r w:rsidR="00AE4726" w:rsidRPr="00FE3799">
        <w:rPr>
          <w:rFonts w:asciiTheme="majorHAnsi" w:hAnsiTheme="majorHAnsi"/>
          <w:sz w:val="20"/>
          <w:szCs w:val="20"/>
          <w:lang w:val="es-VE"/>
        </w:rPr>
        <w:t xml:space="preserve">de la presunta víctima </w:t>
      </w:r>
      <w:r w:rsidRPr="00FE3799">
        <w:rPr>
          <w:rFonts w:asciiTheme="majorHAnsi" w:hAnsiTheme="majorHAnsi"/>
          <w:sz w:val="20"/>
          <w:szCs w:val="20"/>
          <w:lang w:val="es-VE"/>
        </w:rPr>
        <w:t xml:space="preserve">en hospitales, cárceles, morgues y otros. </w:t>
      </w:r>
      <w:r w:rsidR="000F7119" w:rsidRPr="00FE3799">
        <w:rPr>
          <w:rFonts w:asciiTheme="majorHAnsi" w:hAnsiTheme="majorHAnsi"/>
          <w:sz w:val="20"/>
          <w:szCs w:val="20"/>
          <w:lang w:val="es-VE"/>
        </w:rPr>
        <w:t xml:space="preserve">Sostiene que </w:t>
      </w:r>
      <w:r w:rsidRPr="00FE3799">
        <w:rPr>
          <w:rFonts w:asciiTheme="majorHAnsi" w:hAnsiTheme="majorHAnsi"/>
          <w:sz w:val="20"/>
          <w:szCs w:val="20"/>
          <w:lang w:val="es-VE"/>
        </w:rPr>
        <w:t xml:space="preserve">el 12 de agosto de 2010 </w:t>
      </w:r>
      <w:r w:rsidR="000F7119" w:rsidRPr="00FE3799">
        <w:rPr>
          <w:rFonts w:asciiTheme="majorHAnsi" w:hAnsiTheme="majorHAnsi"/>
          <w:sz w:val="20"/>
          <w:szCs w:val="20"/>
          <w:lang w:val="es-VE"/>
        </w:rPr>
        <w:t xml:space="preserve">interpusieron </w:t>
      </w:r>
      <w:r w:rsidRPr="00FE3799">
        <w:rPr>
          <w:rFonts w:asciiTheme="majorHAnsi" w:hAnsiTheme="majorHAnsi"/>
          <w:sz w:val="20"/>
          <w:szCs w:val="20"/>
          <w:lang w:val="es-VE"/>
        </w:rPr>
        <w:t xml:space="preserve">una acción de exhibición personal o habeas </w:t>
      </w:r>
      <w:r w:rsidR="000F7119" w:rsidRPr="00FE3799">
        <w:rPr>
          <w:rFonts w:asciiTheme="majorHAnsi" w:hAnsiTheme="majorHAnsi"/>
          <w:sz w:val="20"/>
          <w:szCs w:val="20"/>
          <w:lang w:val="es-VE"/>
        </w:rPr>
        <w:t>corpus</w:t>
      </w:r>
      <w:r w:rsidRPr="00FE3799">
        <w:rPr>
          <w:rFonts w:asciiTheme="majorHAnsi" w:hAnsiTheme="majorHAnsi"/>
          <w:sz w:val="20"/>
          <w:szCs w:val="20"/>
          <w:lang w:val="es-VE"/>
        </w:rPr>
        <w:t xml:space="preserve"> a favor de la víctima ante el Juzg</w:t>
      </w:r>
      <w:r w:rsidR="000F7119" w:rsidRPr="00FE3799">
        <w:rPr>
          <w:rFonts w:asciiTheme="majorHAnsi" w:hAnsiTheme="majorHAnsi"/>
          <w:sz w:val="20"/>
          <w:szCs w:val="20"/>
          <w:lang w:val="es-VE"/>
        </w:rPr>
        <w:t xml:space="preserve">ado de Primera Instancia Penal, no </w:t>
      </w:r>
      <w:r w:rsidR="00DD0B3B" w:rsidRPr="00FE3799">
        <w:rPr>
          <w:rFonts w:asciiTheme="majorHAnsi" w:hAnsiTheme="majorHAnsi"/>
          <w:sz w:val="20"/>
          <w:szCs w:val="20"/>
          <w:lang w:val="es-VE"/>
        </w:rPr>
        <w:t>obstante,</w:t>
      </w:r>
      <w:r w:rsidR="000F7119" w:rsidRPr="00FE3799">
        <w:rPr>
          <w:rFonts w:asciiTheme="majorHAnsi" w:hAnsiTheme="majorHAnsi"/>
          <w:sz w:val="20"/>
          <w:szCs w:val="20"/>
          <w:lang w:val="es-VE"/>
        </w:rPr>
        <w:t xml:space="preserve"> la Co</w:t>
      </w:r>
      <w:r w:rsidRPr="00FE3799">
        <w:rPr>
          <w:rFonts w:asciiTheme="majorHAnsi" w:hAnsiTheme="majorHAnsi"/>
          <w:sz w:val="20"/>
          <w:szCs w:val="20"/>
          <w:lang w:val="es-VE"/>
        </w:rPr>
        <w:t xml:space="preserve">rte </w:t>
      </w:r>
      <w:r w:rsidR="000F7119" w:rsidRPr="00FE3799">
        <w:rPr>
          <w:rFonts w:asciiTheme="majorHAnsi" w:hAnsiTheme="majorHAnsi"/>
          <w:sz w:val="20"/>
          <w:szCs w:val="20"/>
          <w:lang w:val="es-VE"/>
        </w:rPr>
        <w:t>S</w:t>
      </w:r>
      <w:r w:rsidRPr="00FE3799">
        <w:rPr>
          <w:rFonts w:asciiTheme="majorHAnsi" w:hAnsiTheme="majorHAnsi"/>
          <w:sz w:val="20"/>
          <w:szCs w:val="20"/>
          <w:lang w:val="es-VE"/>
        </w:rPr>
        <w:t xml:space="preserve">uprema de </w:t>
      </w:r>
      <w:r w:rsidR="000F7119" w:rsidRPr="00FE3799">
        <w:rPr>
          <w:rFonts w:asciiTheme="majorHAnsi" w:hAnsiTheme="majorHAnsi"/>
          <w:sz w:val="20"/>
          <w:szCs w:val="20"/>
          <w:lang w:val="es-VE"/>
        </w:rPr>
        <w:t>J</w:t>
      </w:r>
      <w:r w:rsidRPr="00FE3799">
        <w:rPr>
          <w:rFonts w:asciiTheme="majorHAnsi" w:hAnsiTheme="majorHAnsi"/>
          <w:sz w:val="20"/>
          <w:szCs w:val="20"/>
          <w:lang w:val="es-VE"/>
        </w:rPr>
        <w:t xml:space="preserve">usticia a través de la </w:t>
      </w:r>
      <w:r w:rsidR="000F7119" w:rsidRPr="00FE3799">
        <w:rPr>
          <w:rFonts w:asciiTheme="majorHAnsi" w:hAnsiTheme="majorHAnsi"/>
          <w:sz w:val="20"/>
          <w:szCs w:val="20"/>
          <w:lang w:val="es-VE"/>
        </w:rPr>
        <w:t xml:space="preserve">Cámara </w:t>
      </w:r>
      <w:r w:rsidR="00A53413" w:rsidRPr="00FE3799">
        <w:rPr>
          <w:rFonts w:asciiTheme="majorHAnsi" w:hAnsiTheme="majorHAnsi"/>
          <w:sz w:val="20"/>
          <w:szCs w:val="20"/>
          <w:lang w:val="es-VE"/>
        </w:rPr>
        <w:t>P</w:t>
      </w:r>
      <w:r w:rsidR="000F7119" w:rsidRPr="00FE3799">
        <w:rPr>
          <w:rFonts w:asciiTheme="majorHAnsi" w:hAnsiTheme="majorHAnsi"/>
          <w:sz w:val="20"/>
          <w:szCs w:val="20"/>
          <w:lang w:val="es-VE"/>
        </w:rPr>
        <w:t>enal declaró</w:t>
      </w:r>
      <w:r w:rsidRPr="00FE3799">
        <w:rPr>
          <w:rFonts w:asciiTheme="majorHAnsi" w:hAnsiTheme="majorHAnsi"/>
          <w:sz w:val="20"/>
          <w:szCs w:val="20"/>
          <w:lang w:val="es-VE"/>
        </w:rPr>
        <w:t xml:space="preserve"> improcedente </w:t>
      </w:r>
      <w:r w:rsidR="000F7119" w:rsidRPr="00FE3799">
        <w:rPr>
          <w:rFonts w:asciiTheme="majorHAnsi" w:hAnsiTheme="majorHAnsi"/>
          <w:sz w:val="20"/>
          <w:szCs w:val="20"/>
          <w:lang w:val="es-VE"/>
        </w:rPr>
        <w:t>la acción mediante resolución del 24 de mayo de 2011</w:t>
      </w:r>
      <w:r w:rsidR="005B59E9" w:rsidRPr="00FE3799">
        <w:rPr>
          <w:rFonts w:asciiTheme="majorHAnsi" w:hAnsiTheme="majorHAnsi"/>
          <w:sz w:val="20"/>
          <w:szCs w:val="20"/>
          <w:lang w:val="es-VE"/>
        </w:rPr>
        <w:t>, notificada el 7 de junio de 2011,</w:t>
      </w:r>
      <w:r w:rsidR="000F7119" w:rsidRPr="00FE3799">
        <w:rPr>
          <w:rFonts w:asciiTheme="majorHAnsi" w:hAnsiTheme="majorHAnsi"/>
          <w:sz w:val="20"/>
          <w:szCs w:val="20"/>
          <w:lang w:val="es-VE"/>
        </w:rPr>
        <w:t xml:space="preserve"> en tanto no fue posible localizar </w:t>
      </w:r>
      <w:r w:rsidR="008F785E" w:rsidRPr="00FE3799">
        <w:rPr>
          <w:rFonts w:asciiTheme="majorHAnsi" w:hAnsiTheme="majorHAnsi"/>
          <w:sz w:val="20"/>
          <w:szCs w:val="20"/>
          <w:lang w:val="es-VE"/>
        </w:rPr>
        <w:t xml:space="preserve">a la presunta víctima </w:t>
      </w:r>
      <w:r w:rsidR="000F7119" w:rsidRPr="00FE3799">
        <w:rPr>
          <w:rFonts w:asciiTheme="majorHAnsi" w:hAnsiTheme="majorHAnsi"/>
          <w:sz w:val="20"/>
          <w:szCs w:val="20"/>
          <w:lang w:val="es-VE"/>
        </w:rPr>
        <w:t xml:space="preserve">a pesar </w:t>
      </w:r>
      <w:r w:rsidR="005B59E9" w:rsidRPr="00FE3799">
        <w:rPr>
          <w:rFonts w:asciiTheme="majorHAnsi" w:hAnsiTheme="majorHAnsi"/>
          <w:sz w:val="20"/>
          <w:szCs w:val="20"/>
          <w:lang w:val="es-VE"/>
        </w:rPr>
        <w:t xml:space="preserve">de haberse </w:t>
      </w:r>
      <w:r w:rsidR="00CA7952" w:rsidRPr="00FE3799">
        <w:rPr>
          <w:rFonts w:asciiTheme="majorHAnsi" w:hAnsiTheme="majorHAnsi"/>
          <w:sz w:val="20"/>
          <w:szCs w:val="20"/>
          <w:lang w:val="es-VE"/>
        </w:rPr>
        <w:t xml:space="preserve">“todas las diligencias </w:t>
      </w:r>
      <w:r w:rsidR="00CA7952" w:rsidRPr="00FE3799">
        <w:rPr>
          <w:rFonts w:asciiTheme="majorHAnsi" w:hAnsiTheme="majorHAnsi"/>
          <w:sz w:val="20"/>
          <w:szCs w:val="20"/>
          <w:lang w:val="es-VE"/>
        </w:rPr>
        <w:lastRenderedPageBreak/>
        <w:t>correspondientes”</w:t>
      </w:r>
      <w:r w:rsidR="000F7119" w:rsidRPr="00FE3799">
        <w:rPr>
          <w:rFonts w:asciiTheme="majorHAnsi" w:hAnsiTheme="majorHAnsi"/>
          <w:sz w:val="20"/>
          <w:szCs w:val="20"/>
          <w:lang w:val="es-VE"/>
        </w:rPr>
        <w:t xml:space="preserve">. </w:t>
      </w:r>
      <w:r w:rsidR="00A16BA8" w:rsidRPr="00FE3799">
        <w:rPr>
          <w:rFonts w:asciiTheme="majorHAnsi" w:hAnsiTheme="majorHAnsi"/>
          <w:sz w:val="20"/>
          <w:szCs w:val="20"/>
          <w:lang w:val="es-VE"/>
        </w:rPr>
        <w:t xml:space="preserve">La parte peticionaria informa que entre las acciones realizadas se comisionó a los jueces de paz de todo el país a </w:t>
      </w:r>
      <w:r w:rsidR="0096481C" w:rsidRPr="00FE3799">
        <w:rPr>
          <w:rFonts w:asciiTheme="majorHAnsi" w:hAnsiTheme="majorHAnsi"/>
          <w:sz w:val="20"/>
          <w:szCs w:val="20"/>
          <w:lang w:val="es-US"/>
        </w:rPr>
        <w:t xml:space="preserve">exhibir </w:t>
      </w:r>
      <w:r w:rsidR="00A16BA8" w:rsidRPr="00FE3799">
        <w:rPr>
          <w:rFonts w:asciiTheme="majorHAnsi" w:hAnsiTheme="majorHAnsi"/>
          <w:sz w:val="20"/>
          <w:szCs w:val="20"/>
          <w:lang w:val="es-US"/>
        </w:rPr>
        <w:t>inmediatamente a</w:t>
      </w:r>
      <w:r w:rsidR="00A16BA8" w:rsidRPr="00FE3799">
        <w:rPr>
          <w:rFonts w:asciiTheme="majorHAnsi" w:hAnsiTheme="majorHAnsi"/>
          <w:sz w:val="20"/>
          <w:szCs w:val="20"/>
          <w:lang w:val="es-VE"/>
        </w:rPr>
        <w:t xml:space="preserve"> la </w:t>
      </w:r>
      <w:r w:rsidR="00353DEB" w:rsidRPr="00FE3799">
        <w:rPr>
          <w:rFonts w:asciiTheme="majorHAnsi" w:hAnsiTheme="majorHAnsi"/>
          <w:sz w:val="20"/>
          <w:szCs w:val="20"/>
          <w:lang w:val="es-VE"/>
        </w:rPr>
        <w:t>persona,</w:t>
      </w:r>
      <w:r w:rsidR="00A16BA8" w:rsidRPr="00FE3799">
        <w:rPr>
          <w:rFonts w:asciiTheme="majorHAnsi" w:hAnsiTheme="majorHAnsi"/>
          <w:sz w:val="20"/>
          <w:szCs w:val="20"/>
          <w:lang w:val="es-VE"/>
        </w:rPr>
        <w:t xml:space="preserve"> </w:t>
      </w:r>
      <w:r w:rsidR="00A16BA8" w:rsidRPr="00FE3799">
        <w:rPr>
          <w:rFonts w:asciiTheme="majorHAnsi" w:hAnsiTheme="majorHAnsi"/>
          <w:sz w:val="20"/>
          <w:szCs w:val="20"/>
          <w:lang w:val="es-US"/>
        </w:rPr>
        <w:t>así como</w:t>
      </w:r>
      <w:r w:rsidR="00A16BA8" w:rsidRPr="00FE3799">
        <w:rPr>
          <w:rFonts w:asciiTheme="majorHAnsi" w:hAnsiTheme="majorHAnsi"/>
          <w:sz w:val="20"/>
          <w:szCs w:val="20"/>
          <w:lang w:val="es-VE"/>
        </w:rPr>
        <w:t xml:space="preserve"> a los antecedentes que hubiere o informe de su conducta, y se solicitó información sobre la presunta víctima a distintas autoridades como el Ministerio Público, la Dirección General de la Policía Nacional Civil, el Ministerio de Gobernación, Ministerio de la Defensa Nacional, y el Hospital General San Juan de Dios. </w:t>
      </w:r>
      <w:r w:rsidR="00791C61" w:rsidRPr="00FE3799">
        <w:rPr>
          <w:rFonts w:asciiTheme="majorHAnsi" w:hAnsiTheme="majorHAnsi"/>
          <w:sz w:val="20"/>
          <w:szCs w:val="20"/>
          <w:lang w:val="es-VE"/>
        </w:rPr>
        <w:t>Asimismo, en el 2001 y 2011 solicitaron información a la Fundación de Antropología Forense de Guatemala</w:t>
      </w:r>
      <w:r w:rsidR="000C0DDC" w:rsidRPr="00FE3799">
        <w:rPr>
          <w:rFonts w:asciiTheme="majorHAnsi" w:hAnsiTheme="majorHAnsi"/>
          <w:sz w:val="20"/>
          <w:szCs w:val="20"/>
          <w:lang w:val="es-VE"/>
        </w:rPr>
        <w:t xml:space="preserve"> sobre los registros de su </w:t>
      </w:r>
      <w:r w:rsidR="00AE4726" w:rsidRPr="00FE3799">
        <w:rPr>
          <w:rFonts w:asciiTheme="majorHAnsi" w:hAnsiTheme="majorHAnsi"/>
          <w:sz w:val="20"/>
          <w:szCs w:val="20"/>
          <w:lang w:val="es-VE"/>
        </w:rPr>
        <w:t>b</w:t>
      </w:r>
      <w:r w:rsidR="000C0DDC" w:rsidRPr="00FE3799">
        <w:rPr>
          <w:rFonts w:asciiTheme="majorHAnsi" w:hAnsiTheme="majorHAnsi"/>
          <w:sz w:val="20"/>
          <w:szCs w:val="20"/>
          <w:lang w:val="es-VE"/>
        </w:rPr>
        <w:t>anco de datos</w:t>
      </w:r>
      <w:r w:rsidR="00791C61" w:rsidRPr="00FE3799">
        <w:rPr>
          <w:rFonts w:asciiTheme="majorHAnsi" w:hAnsiTheme="majorHAnsi"/>
          <w:sz w:val="20"/>
          <w:szCs w:val="20"/>
          <w:lang w:val="es-VE"/>
        </w:rPr>
        <w:t xml:space="preserve">. </w:t>
      </w:r>
    </w:p>
    <w:p w14:paraId="6DD67E7A" w14:textId="51BF12D2" w:rsidR="00AF072D" w:rsidRPr="00FE3799" w:rsidRDefault="000F7119" w:rsidP="00AF07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20"/>
          <w:szCs w:val="20"/>
          <w:lang w:val="es-VE"/>
        </w:rPr>
      </w:pPr>
      <w:r w:rsidRPr="00FE3799">
        <w:rPr>
          <w:rFonts w:asciiTheme="majorHAnsi" w:hAnsiTheme="majorHAnsi"/>
          <w:sz w:val="20"/>
          <w:szCs w:val="20"/>
          <w:lang w:val="es-VE"/>
        </w:rPr>
        <w:t xml:space="preserve">La parte peticionaria argumenta </w:t>
      </w:r>
      <w:r w:rsidR="00DD0B3B" w:rsidRPr="00FE3799">
        <w:rPr>
          <w:rFonts w:asciiTheme="majorHAnsi" w:hAnsiTheme="majorHAnsi"/>
          <w:sz w:val="20"/>
          <w:szCs w:val="20"/>
          <w:lang w:val="es-VE"/>
        </w:rPr>
        <w:t>que,</w:t>
      </w:r>
      <w:r w:rsidRPr="00FE3799">
        <w:rPr>
          <w:rFonts w:asciiTheme="majorHAnsi" w:hAnsiTheme="majorHAnsi"/>
          <w:sz w:val="20"/>
          <w:szCs w:val="20"/>
          <w:lang w:val="es-VE"/>
        </w:rPr>
        <w:t xml:space="preserve"> ante las acciones realizadas por los familiares, </w:t>
      </w:r>
      <w:r w:rsidR="004F28BC" w:rsidRPr="00FE3799">
        <w:rPr>
          <w:rFonts w:asciiTheme="majorHAnsi" w:hAnsiTheme="majorHAnsi"/>
          <w:sz w:val="20"/>
          <w:szCs w:val="20"/>
          <w:lang w:val="es-VE"/>
        </w:rPr>
        <w:t xml:space="preserve">el Estado no </w:t>
      </w:r>
      <w:r w:rsidR="00744F4A" w:rsidRPr="00FE3799">
        <w:rPr>
          <w:rFonts w:asciiTheme="majorHAnsi" w:hAnsiTheme="majorHAnsi"/>
          <w:sz w:val="20"/>
          <w:szCs w:val="20"/>
          <w:lang w:val="es-VE"/>
        </w:rPr>
        <w:t xml:space="preserve">ha </w:t>
      </w:r>
      <w:r w:rsidRPr="00FE3799">
        <w:rPr>
          <w:rFonts w:asciiTheme="majorHAnsi" w:hAnsiTheme="majorHAnsi"/>
          <w:sz w:val="20"/>
          <w:szCs w:val="20"/>
          <w:lang w:val="es-VE"/>
        </w:rPr>
        <w:t>d</w:t>
      </w:r>
      <w:r w:rsidR="00744F4A" w:rsidRPr="00FE3799">
        <w:rPr>
          <w:rFonts w:asciiTheme="majorHAnsi" w:hAnsiTheme="majorHAnsi"/>
          <w:sz w:val="20"/>
          <w:szCs w:val="20"/>
          <w:lang w:val="es-VE"/>
        </w:rPr>
        <w:t xml:space="preserve">ado </w:t>
      </w:r>
      <w:r w:rsidRPr="00FE3799">
        <w:rPr>
          <w:rFonts w:asciiTheme="majorHAnsi" w:hAnsiTheme="majorHAnsi"/>
          <w:sz w:val="20"/>
          <w:szCs w:val="20"/>
          <w:lang w:val="es-VE"/>
        </w:rPr>
        <w:t xml:space="preserve">una </w:t>
      </w:r>
      <w:r w:rsidR="00744F4A" w:rsidRPr="00FE3799">
        <w:rPr>
          <w:rFonts w:asciiTheme="majorHAnsi" w:hAnsiTheme="majorHAnsi"/>
          <w:sz w:val="20"/>
          <w:szCs w:val="20"/>
          <w:lang w:val="es-VE"/>
        </w:rPr>
        <w:t>res</w:t>
      </w:r>
      <w:r w:rsidRPr="00FE3799">
        <w:rPr>
          <w:rFonts w:asciiTheme="majorHAnsi" w:hAnsiTheme="majorHAnsi"/>
          <w:sz w:val="20"/>
          <w:szCs w:val="20"/>
          <w:lang w:val="es-VE"/>
        </w:rPr>
        <w:t>p</w:t>
      </w:r>
      <w:r w:rsidR="00744F4A" w:rsidRPr="00FE3799">
        <w:rPr>
          <w:rFonts w:asciiTheme="majorHAnsi" w:hAnsiTheme="majorHAnsi"/>
          <w:sz w:val="20"/>
          <w:szCs w:val="20"/>
          <w:lang w:val="es-VE"/>
        </w:rPr>
        <w:t xml:space="preserve">uesta efectiva para </w:t>
      </w:r>
      <w:r w:rsidRPr="00FE3799">
        <w:rPr>
          <w:rFonts w:asciiTheme="majorHAnsi" w:hAnsiTheme="majorHAnsi"/>
          <w:sz w:val="20"/>
          <w:szCs w:val="20"/>
          <w:lang w:val="es-VE"/>
        </w:rPr>
        <w:t>establecer el paradero de la presunta víctima</w:t>
      </w:r>
      <w:r w:rsidR="00744F4A" w:rsidRPr="00FE3799">
        <w:rPr>
          <w:rFonts w:asciiTheme="majorHAnsi" w:hAnsiTheme="majorHAnsi"/>
          <w:sz w:val="20"/>
          <w:szCs w:val="20"/>
          <w:lang w:val="es-VE"/>
        </w:rPr>
        <w:t>.</w:t>
      </w:r>
      <w:r w:rsidR="00DD0B3B" w:rsidRPr="00FE3799">
        <w:rPr>
          <w:rFonts w:asciiTheme="majorHAnsi" w:hAnsiTheme="majorHAnsi"/>
          <w:sz w:val="20"/>
          <w:szCs w:val="20"/>
          <w:lang w:val="es-VE"/>
        </w:rPr>
        <w:t xml:space="preserve"> </w:t>
      </w:r>
      <w:r w:rsidR="00DD0329" w:rsidRPr="00FE3799">
        <w:rPr>
          <w:rFonts w:asciiTheme="majorHAnsi" w:hAnsiTheme="majorHAnsi"/>
          <w:sz w:val="20"/>
          <w:szCs w:val="20"/>
          <w:lang w:val="es-VE"/>
        </w:rPr>
        <w:t xml:space="preserve">En particular sostiene que la acción de </w:t>
      </w:r>
      <w:r w:rsidR="00DD0B3B" w:rsidRPr="00FE3799">
        <w:rPr>
          <w:rFonts w:asciiTheme="majorHAnsi" w:hAnsiTheme="majorHAnsi"/>
          <w:sz w:val="20"/>
          <w:szCs w:val="20"/>
          <w:lang w:val="es-VE"/>
        </w:rPr>
        <w:t xml:space="preserve">exhibición personal </w:t>
      </w:r>
      <w:r w:rsidR="00161DF7" w:rsidRPr="00FE3799">
        <w:rPr>
          <w:rFonts w:asciiTheme="majorHAnsi" w:hAnsiTheme="majorHAnsi"/>
          <w:sz w:val="20"/>
          <w:szCs w:val="20"/>
          <w:lang w:val="es-VE"/>
        </w:rPr>
        <w:t>o habeas corpus</w:t>
      </w:r>
      <w:r w:rsidR="001578CF" w:rsidRPr="00FE3799">
        <w:rPr>
          <w:rFonts w:asciiTheme="majorHAnsi" w:hAnsiTheme="majorHAnsi"/>
          <w:sz w:val="20"/>
          <w:szCs w:val="20"/>
          <w:lang w:val="es-VE"/>
        </w:rPr>
        <w:t xml:space="preserve"> no derivó en una investigación debidamente conducida</w:t>
      </w:r>
      <w:r w:rsidR="00AF072D" w:rsidRPr="00FE3799">
        <w:rPr>
          <w:rFonts w:asciiTheme="majorHAnsi" w:hAnsiTheme="majorHAnsi"/>
          <w:sz w:val="20"/>
          <w:szCs w:val="20"/>
          <w:lang w:val="es-VE"/>
        </w:rPr>
        <w:t xml:space="preserve">. </w:t>
      </w:r>
      <w:r w:rsidR="00DF1894" w:rsidRPr="00FE3799">
        <w:rPr>
          <w:rFonts w:asciiTheme="majorHAnsi" w:hAnsiTheme="majorHAnsi"/>
          <w:sz w:val="20"/>
          <w:szCs w:val="20"/>
          <w:lang w:val="es-VE"/>
        </w:rPr>
        <w:t xml:space="preserve">Alega que se debe entender por agotados los recursos de la jurisdicción interna al haber planteado la acción legal necesaria e idónea para casos de desaparición forzada, aunque este recurso </w:t>
      </w:r>
      <w:r w:rsidR="00DD0B3B" w:rsidRPr="00FE3799">
        <w:rPr>
          <w:rFonts w:asciiTheme="majorHAnsi" w:hAnsiTheme="majorHAnsi"/>
          <w:sz w:val="20"/>
          <w:szCs w:val="20"/>
          <w:lang w:val="es-VE"/>
        </w:rPr>
        <w:t>pued</w:t>
      </w:r>
      <w:r w:rsidR="00DF1894" w:rsidRPr="00FE3799">
        <w:rPr>
          <w:rFonts w:asciiTheme="majorHAnsi" w:hAnsiTheme="majorHAnsi"/>
          <w:sz w:val="20"/>
          <w:szCs w:val="20"/>
          <w:lang w:val="es-VE"/>
        </w:rPr>
        <w:t>a</w:t>
      </w:r>
      <w:r w:rsidR="00DD0B3B" w:rsidRPr="00FE3799">
        <w:rPr>
          <w:rFonts w:asciiTheme="majorHAnsi" w:hAnsiTheme="majorHAnsi"/>
          <w:sz w:val="20"/>
          <w:szCs w:val="20"/>
          <w:lang w:val="es-VE"/>
        </w:rPr>
        <w:t xml:space="preserve"> volverse </w:t>
      </w:r>
      <w:r w:rsidR="00161DF7" w:rsidRPr="00FE3799">
        <w:rPr>
          <w:rFonts w:asciiTheme="majorHAnsi" w:hAnsiTheme="majorHAnsi"/>
          <w:sz w:val="20"/>
          <w:szCs w:val="20"/>
          <w:lang w:val="es-VE"/>
        </w:rPr>
        <w:t>ineficaz</w:t>
      </w:r>
      <w:r w:rsidR="00DD0B3B" w:rsidRPr="00FE3799">
        <w:rPr>
          <w:rFonts w:asciiTheme="majorHAnsi" w:hAnsiTheme="majorHAnsi"/>
          <w:sz w:val="20"/>
          <w:szCs w:val="20"/>
          <w:lang w:val="es-VE"/>
        </w:rPr>
        <w:t xml:space="preserve"> si de hecho carece de virtualidad para obligar a las autoridades</w:t>
      </w:r>
      <w:r w:rsidR="00161DF7" w:rsidRPr="00FE3799">
        <w:rPr>
          <w:rFonts w:asciiTheme="majorHAnsi" w:hAnsiTheme="majorHAnsi"/>
          <w:sz w:val="20"/>
          <w:szCs w:val="20"/>
          <w:lang w:val="es-VE"/>
        </w:rPr>
        <w:t>, resulta peligroso o se aplica parcialmente</w:t>
      </w:r>
      <w:r w:rsidR="00DF1894" w:rsidRPr="00FE3799">
        <w:rPr>
          <w:rFonts w:asciiTheme="majorHAnsi" w:hAnsiTheme="majorHAnsi"/>
          <w:sz w:val="20"/>
          <w:szCs w:val="20"/>
          <w:lang w:val="es-VE"/>
        </w:rPr>
        <w:t>,</w:t>
      </w:r>
    </w:p>
    <w:p w14:paraId="791CB8EE" w14:textId="55946DB6" w:rsidR="00CF7DC0" w:rsidRPr="00FE3799" w:rsidRDefault="00161DF7" w:rsidP="00DA58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VE"/>
        </w:rPr>
      </w:pPr>
      <w:r w:rsidRPr="00FE3799">
        <w:rPr>
          <w:rFonts w:asciiTheme="majorHAnsi" w:hAnsiTheme="majorHAnsi"/>
          <w:sz w:val="20"/>
          <w:szCs w:val="20"/>
          <w:lang w:val="es-VE"/>
        </w:rPr>
        <w:t>Por su parte, e</w:t>
      </w:r>
      <w:r w:rsidR="00CF7DC0" w:rsidRPr="00FE3799">
        <w:rPr>
          <w:rFonts w:asciiTheme="majorHAnsi" w:hAnsiTheme="majorHAnsi"/>
          <w:sz w:val="20"/>
          <w:szCs w:val="20"/>
          <w:lang w:val="es-VE"/>
        </w:rPr>
        <w:t xml:space="preserve">l Estado alega </w:t>
      </w:r>
      <w:r w:rsidR="001C2391" w:rsidRPr="00FE3799">
        <w:rPr>
          <w:rFonts w:asciiTheme="majorHAnsi" w:hAnsiTheme="majorHAnsi"/>
          <w:sz w:val="20"/>
          <w:szCs w:val="20"/>
          <w:lang w:val="es-VE"/>
        </w:rPr>
        <w:t xml:space="preserve">la falta </w:t>
      </w:r>
      <w:r w:rsidR="00CF7DC0" w:rsidRPr="00FE3799">
        <w:rPr>
          <w:rFonts w:asciiTheme="majorHAnsi" w:hAnsiTheme="majorHAnsi"/>
          <w:sz w:val="20"/>
          <w:szCs w:val="20"/>
          <w:lang w:val="es-VE"/>
        </w:rPr>
        <w:t xml:space="preserve">de </w:t>
      </w:r>
      <w:r w:rsidR="001C2391" w:rsidRPr="00FE3799">
        <w:rPr>
          <w:rFonts w:asciiTheme="majorHAnsi" w:hAnsiTheme="majorHAnsi"/>
          <w:sz w:val="20"/>
          <w:szCs w:val="20"/>
          <w:lang w:val="es-VE"/>
        </w:rPr>
        <w:t xml:space="preserve">agotamiento </w:t>
      </w:r>
      <w:r w:rsidRPr="00FE3799">
        <w:rPr>
          <w:rFonts w:asciiTheme="majorHAnsi" w:hAnsiTheme="majorHAnsi"/>
          <w:sz w:val="20"/>
          <w:szCs w:val="20"/>
          <w:lang w:val="es-VE"/>
        </w:rPr>
        <w:t>de recursos internos en tanto la parte peticionaria</w:t>
      </w:r>
      <w:r w:rsidR="001C2391" w:rsidRPr="00FE3799">
        <w:rPr>
          <w:rFonts w:asciiTheme="majorHAnsi" w:hAnsiTheme="majorHAnsi"/>
          <w:sz w:val="20"/>
          <w:szCs w:val="20"/>
          <w:lang w:val="es-VE"/>
        </w:rPr>
        <w:t xml:space="preserve"> no a</w:t>
      </w:r>
      <w:r w:rsidRPr="00FE3799">
        <w:rPr>
          <w:rFonts w:asciiTheme="majorHAnsi" w:hAnsiTheme="majorHAnsi"/>
          <w:sz w:val="20"/>
          <w:szCs w:val="20"/>
          <w:lang w:val="es-VE"/>
        </w:rPr>
        <w:t>gotó</w:t>
      </w:r>
      <w:r w:rsidR="001C2391" w:rsidRPr="00FE3799">
        <w:rPr>
          <w:rFonts w:asciiTheme="majorHAnsi" w:hAnsiTheme="majorHAnsi"/>
          <w:sz w:val="20"/>
          <w:szCs w:val="20"/>
          <w:lang w:val="es-VE"/>
        </w:rPr>
        <w:t xml:space="preserve"> los </w:t>
      </w:r>
      <w:r w:rsidRPr="00FE3799">
        <w:rPr>
          <w:rFonts w:asciiTheme="majorHAnsi" w:hAnsiTheme="majorHAnsi"/>
          <w:sz w:val="20"/>
          <w:szCs w:val="20"/>
          <w:lang w:val="es-VE"/>
        </w:rPr>
        <w:t>recursos</w:t>
      </w:r>
      <w:r w:rsidR="001C2391" w:rsidRPr="00FE3799">
        <w:rPr>
          <w:rFonts w:asciiTheme="majorHAnsi" w:hAnsiTheme="majorHAnsi"/>
          <w:sz w:val="20"/>
          <w:szCs w:val="20"/>
          <w:lang w:val="es-VE"/>
        </w:rPr>
        <w:t xml:space="preserve"> existentes en la legislación nacional como lo son el </w:t>
      </w:r>
      <w:r w:rsidRPr="00FE3799">
        <w:rPr>
          <w:rFonts w:asciiTheme="majorHAnsi" w:hAnsiTheme="majorHAnsi"/>
          <w:sz w:val="20"/>
          <w:szCs w:val="20"/>
          <w:lang w:val="es-VE"/>
        </w:rPr>
        <w:t>procedimiento</w:t>
      </w:r>
      <w:r w:rsidR="001C2391" w:rsidRPr="00FE3799">
        <w:rPr>
          <w:rFonts w:asciiTheme="majorHAnsi" w:hAnsiTheme="majorHAnsi"/>
          <w:sz w:val="20"/>
          <w:szCs w:val="20"/>
          <w:lang w:val="es-VE"/>
        </w:rPr>
        <w:t xml:space="preserve"> especial de av</w:t>
      </w:r>
      <w:r w:rsidR="00744F4A" w:rsidRPr="00FE3799">
        <w:rPr>
          <w:rFonts w:asciiTheme="majorHAnsi" w:hAnsiTheme="majorHAnsi"/>
          <w:sz w:val="20"/>
          <w:szCs w:val="20"/>
          <w:lang w:val="es-VE"/>
        </w:rPr>
        <w:t xml:space="preserve">eriguación o la </w:t>
      </w:r>
      <w:r w:rsidRPr="00FE3799">
        <w:rPr>
          <w:rFonts w:asciiTheme="majorHAnsi" w:hAnsiTheme="majorHAnsi"/>
          <w:sz w:val="20"/>
          <w:szCs w:val="20"/>
          <w:lang w:val="es-VE"/>
        </w:rPr>
        <w:t>denuncia</w:t>
      </w:r>
      <w:r w:rsidR="00744F4A" w:rsidRPr="00FE3799">
        <w:rPr>
          <w:rFonts w:asciiTheme="majorHAnsi" w:hAnsiTheme="majorHAnsi"/>
          <w:sz w:val="20"/>
          <w:szCs w:val="20"/>
          <w:lang w:val="es-VE"/>
        </w:rPr>
        <w:t xml:space="preserve"> penal</w:t>
      </w:r>
      <w:r w:rsidR="00CF7DC0" w:rsidRPr="00FE3799">
        <w:rPr>
          <w:rFonts w:asciiTheme="majorHAnsi" w:hAnsiTheme="majorHAnsi"/>
          <w:sz w:val="20"/>
          <w:szCs w:val="20"/>
          <w:lang w:val="es-VE"/>
        </w:rPr>
        <w:t xml:space="preserve">. </w:t>
      </w:r>
      <w:r w:rsidRPr="00FE3799">
        <w:rPr>
          <w:rFonts w:asciiTheme="majorHAnsi" w:hAnsiTheme="majorHAnsi"/>
          <w:sz w:val="20"/>
          <w:szCs w:val="20"/>
          <w:lang w:val="es-VE"/>
        </w:rPr>
        <w:t xml:space="preserve">Destaca que el mandato del procedimiento especial de averiguación puede </w:t>
      </w:r>
      <w:r w:rsidR="00F1169D" w:rsidRPr="00FE3799">
        <w:rPr>
          <w:rFonts w:asciiTheme="majorHAnsi" w:hAnsiTheme="majorHAnsi"/>
          <w:sz w:val="20"/>
          <w:szCs w:val="20"/>
          <w:lang w:val="es-VE"/>
        </w:rPr>
        <w:t xml:space="preserve">ser iniciado </w:t>
      </w:r>
      <w:r w:rsidRPr="00FE3799">
        <w:rPr>
          <w:rFonts w:asciiTheme="majorHAnsi" w:hAnsiTheme="majorHAnsi"/>
          <w:sz w:val="20"/>
          <w:szCs w:val="20"/>
          <w:lang w:val="es-VE"/>
        </w:rPr>
        <w:t xml:space="preserve">por el Procurador de los Derechos Humanos o por la cónyuge o los parientes de la víctima y </w:t>
      </w:r>
      <w:r w:rsidR="00CF7DC0" w:rsidRPr="00FE3799">
        <w:rPr>
          <w:rFonts w:asciiTheme="majorHAnsi" w:hAnsiTheme="majorHAnsi"/>
          <w:sz w:val="20"/>
          <w:szCs w:val="20"/>
          <w:lang w:val="es-VE"/>
        </w:rPr>
        <w:t>requiere como condición previa que la Corte Suprema de Justicia al resolver el recurso de exhibición pe</w:t>
      </w:r>
      <w:r w:rsidRPr="00FE3799">
        <w:rPr>
          <w:rFonts w:asciiTheme="majorHAnsi" w:hAnsiTheme="majorHAnsi"/>
          <w:sz w:val="20"/>
          <w:szCs w:val="20"/>
          <w:lang w:val="es-VE"/>
        </w:rPr>
        <w:t>rso</w:t>
      </w:r>
      <w:r w:rsidR="00CF7DC0" w:rsidRPr="00FE3799">
        <w:rPr>
          <w:rFonts w:asciiTheme="majorHAnsi" w:hAnsiTheme="majorHAnsi"/>
          <w:sz w:val="20"/>
          <w:szCs w:val="20"/>
          <w:lang w:val="es-VE"/>
        </w:rPr>
        <w:t>nal no haya da</w:t>
      </w:r>
      <w:r w:rsidRPr="00FE3799">
        <w:rPr>
          <w:rFonts w:asciiTheme="majorHAnsi" w:hAnsiTheme="majorHAnsi"/>
          <w:sz w:val="20"/>
          <w:szCs w:val="20"/>
          <w:lang w:val="es-VE"/>
        </w:rPr>
        <w:t>do con el paradero de la persona</w:t>
      </w:r>
      <w:r w:rsidR="00CF7DC0" w:rsidRPr="00FE3799">
        <w:rPr>
          <w:rFonts w:asciiTheme="majorHAnsi" w:hAnsiTheme="majorHAnsi"/>
          <w:sz w:val="20"/>
          <w:szCs w:val="20"/>
          <w:lang w:val="es-VE"/>
        </w:rPr>
        <w:t>.</w:t>
      </w:r>
      <w:r w:rsidR="00744F4A" w:rsidRPr="00FE3799">
        <w:rPr>
          <w:rFonts w:asciiTheme="majorHAnsi" w:hAnsiTheme="majorHAnsi"/>
          <w:sz w:val="20"/>
          <w:szCs w:val="20"/>
          <w:lang w:val="es-VE"/>
        </w:rPr>
        <w:t xml:space="preserve"> </w:t>
      </w:r>
      <w:r w:rsidRPr="00FE3799">
        <w:rPr>
          <w:rFonts w:asciiTheme="majorHAnsi" w:hAnsiTheme="majorHAnsi"/>
          <w:sz w:val="20"/>
          <w:szCs w:val="20"/>
          <w:lang w:val="es-VE"/>
        </w:rPr>
        <w:t>Asimismo, el Estado</w:t>
      </w:r>
      <w:r w:rsidR="003A3A1C" w:rsidRPr="00FE3799">
        <w:rPr>
          <w:rFonts w:asciiTheme="majorHAnsi" w:hAnsiTheme="majorHAnsi"/>
          <w:sz w:val="20"/>
          <w:szCs w:val="20"/>
          <w:lang w:val="es-VE"/>
        </w:rPr>
        <w:t xml:space="preserve"> argumenta que en todo momento se garantizó el derecho a interponer una denuncia ante el Ministerio P</w:t>
      </w:r>
      <w:r w:rsidR="00F6386F" w:rsidRPr="00FE3799">
        <w:rPr>
          <w:rFonts w:asciiTheme="majorHAnsi" w:hAnsiTheme="majorHAnsi"/>
          <w:sz w:val="20"/>
          <w:szCs w:val="20"/>
          <w:lang w:val="es-VE"/>
        </w:rPr>
        <w:t>ú</w:t>
      </w:r>
      <w:r w:rsidR="003A3A1C" w:rsidRPr="00FE3799">
        <w:rPr>
          <w:rFonts w:asciiTheme="majorHAnsi" w:hAnsiTheme="majorHAnsi"/>
          <w:sz w:val="20"/>
          <w:szCs w:val="20"/>
          <w:lang w:val="es-VE"/>
        </w:rPr>
        <w:t>blico para iniciar la investigación y</w:t>
      </w:r>
      <w:r w:rsidRPr="00FE3799">
        <w:rPr>
          <w:rFonts w:asciiTheme="majorHAnsi" w:hAnsiTheme="majorHAnsi"/>
          <w:sz w:val="20"/>
          <w:szCs w:val="20"/>
          <w:lang w:val="es-VE"/>
        </w:rPr>
        <w:t xml:space="preserve"> s</w:t>
      </w:r>
      <w:r w:rsidR="00744F4A" w:rsidRPr="00FE3799">
        <w:rPr>
          <w:rFonts w:asciiTheme="majorHAnsi" w:hAnsiTheme="majorHAnsi"/>
          <w:sz w:val="20"/>
          <w:szCs w:val="20"/>
          <w:lang w:val="es-VE"/>
        </w:rPr>
        <w:t xml:space="preserve">ostiene que la documentación presentada no informa sobre actividades procesales de los </w:t>
      </w:r>
      <w:r w:rsidRPr="00FE3799">
        <w:rPr>
          <w:rFonts w:asciiTheme="majorHAnsi" w:hAnsiTheme="majorHAnsi"/>
          <w:sz w:val="20"/>
          <w:szCs w:val="20"/>
          <w:lang w:val="es-VE"/>
        </w:rPr>
        <w:t>familiares de la presun</w:t>
      </w:r>
      <w:r w:rsidR="00744F4A" w:rsidRPr="00FE3799">
        <w:rPr>
          <w:rFonts w:asciiTheme="majorHAnsi" w:hAnsiTheme="majorHAnsi"/>
          <w:sz w:val="20"/>
          <w:szCs w:val="20"/>
          <w:lang w:val="es-VE"/>
        </w:rPr>
        <w:t xml:space="preserve">ta </w:t>
      </w:r>
      <w:r w:rsidRPr="00FE3799">
        <w:rPr>
          <w:rFonts w:asciiTheme="majorHAnsi" w:hAnsiTheme="majorHAnsi"/>
          <w:sz w:val="20"/>
          <w:szCs w:val="20"/>
          <w:lang w:val="es-VE"/>
        </w:rPr>
        <w:t>víctima</w:t>
      </w:r>
      <w:r w:rsidR="00744F4A" w:rsidRPr="00FE3799">
        <w:rPr>
          <w:rFonts w:asciiTheme="majorHAnsi" w:hAnsiTheme="majorHAnsi"/>
          <w:sz w:val="20"/>
          <w:szCs w:val="20"/>
          <w:lang w:val="es-VE"/>
        </w:rPr>
        <w:t xml:space="preserve"> </w:t>
      </w:r>
      <w:r w:rsidRPr="00FE3799">
        <w:rPr>
          <w:rFonts w:asciiTheme="majorHAnsi" w:hAnsiTheme="majorHAnsi"/>
          <w:sz w:val="20"/>
          <w:szCs w:val="20"/>
          <w:lang w:val="es-VE"/>
        </w:rPr>
        <w:t xml:space="preserve">o sobre </w:t>
      </w:r>
      <w:r w:rsidR="00744F4A" w:rsidRPr="00FE3799">
        <w:rPr>
          <w:rFonts w:asciiTheme="majorHAnsi" w:hAnsiTheme="majorHAnsi"/>
          <w:sz w:val="20"/>
          <w:szCs w:val="20"/>
          <w:lang w:val="es-VE"/>
        </w:rPr>
        <w:t>el uso de otros recursos existentes</w:t>
      </w:r>
      <w:r w:rsidRPr="00FE3799">
        <w:rPr>
          <w:rFonts w:asciiTheme="majorHAnsi" w:hAnsiTheme="majorHAnsi"/>
          <w:sz w:val="20"/>
          <w:szCs w:val="20"/>
          <w:lang w:val="es-VE"/>
        </w:rPr>
        <w:t xml:space="preserve">, </w:t>
      </w:r>
      <w:r w:rsidR="006F78EE" w:rsidRPr="00FE3799">
        <w:rPr>
          <w:rFonts w:asciiTheme="majorHAnsi" w:hAnsiTheme="majorHAnsi"/>
          <w:sz w:val="20"/>
          <w:szCs w:val="20"/>
          <w:lang w:val="es-VE"/>
        </w:rPr>
        <w:t xml:space="preserve">pese </w:t>
      </w:r>
      <w:r w:rsidR="00F1169D" w:rsidRPr="00FE3799">
        <w:rPr>
          <w:rFonts w:asciiTheme="majorHAnsi" w:hAnsiTheme="majorHAnsi"/>
          <w:sz w:val="20"/>
          <w:szCs w:val="20"/>
          <w:lang w:val="es-VE"/>
        </w:rPr>
        <w:t>que,</w:t>
      </w:r>
      <w:r w:rsidRPr="00FE3799">
        <w:rPr>
          <w:rFonts w:asciiTheme="majorHAnsi" w:hAnsiTheme="majorHAnsi"/>
          <w:sz w:val="20"/>
          <w:szCs w:val="20"/>
          <w:lang w:val="es-VE"/>
        </w:rPr>
        <w:t xml:space="preserve"> con la firma de los acuerdo</w:t>
      </w:r>
      <w:r w:rsidR="006F78EE" w:rsidRPr="00FE3799">
        <w:rPr>
          <w:rFonts w:asciiTheme="majorHAnsi" w:hAnsiTheme="majorHAnsi"/>
          <w:sz w:val="20"/>
          <w:szCs w:val="20"/>
          <w:lang w:val="es-VE"/>
        </w:rPr>
        <w:t xml:space="preserve">s de la paz </w:t>
      </w:r>
      <w:r w:rsidR="003A3A1C" w:rsidRPr="00FE3799">
        <w:rPr>
          <w:rFonts w:asciiTheme="majorHAnsi" w:hAnsiTheme="majorHAnsi"/>
          <w:sz w:val="20"/>
          <w:szCs w:val="20"/>
          <w:lang w:val="es-VE"/>
        </w:rPr>
        <w:t xml:space="preserve">y el avenimiento de los gobiernos democráticos, </w:t>
      </w:r>
      <w:r w:rsidR="006F78EE" w:rsidRPr="00FE3799">
        <w:rPr>
          <w:rFonts w:asciiTheme="majorHAnsi" w:hAnsiTheme="majorHAnsi"/>
          <w:sz w:val="20"/>
          <w:szCs w:val="20"/>
          <w:lang w:val="es-VE"/>
        </w:rPr>
        <w:t xml:space="preserve">podrían haber recurrido </w:t>
      </w:r>
      <w:r w:rsidR="003A3A1C" w:rsidRPr="00FE3799">
        <w:rPr>
          <w:rFonts w:asciiTheme="majorHAnsi" w:hAnsiTheme="majorHAnsi"/>
          <w:sz w:val="20"/>
          <w:szCs w:val="20"/>
          <w:lang w:val="es-VE"/>
        </w:rPr>
        <w:t xml:space="preserve">ante las autoridades de </w:t>
      </w:r>
      <w:r w:rsidR="00744F4A" w:rsidRPr="00FE3799">
        <w:rPr>
          <w:rFonts w:asciiTheme="majorHAnsi" w:hAnsiTheme="majorHAnsi"/>
          <w:sz w:val="20"/>
          <w:szCs w:val="20"/>
          <w:lang w:val="es-VE"/>
        </w:rPr>
        <w:t xml:space="preserve">administración de </w:t>
      </w:r>
      <w:r w:rsidRPr="00FE3799">
        <w:rPr>
          <w:rFonts w:asciiTheme="majorHAnsi" w:hAnsiTheme="majorHAnsi"/>
          <w:sz w:val="20"/>
          <w:szCs w:val="20"/>
          <w:lang w:val="es-VE"/>
        </w:rPr>
        <w:t>justicia</w:t>
      </w:r>
      <w:r w:rsidR="00744F4A" w:rsidRPr="00FE3799">
        <w:rPr>
          <w:rFonts w:asciiTheme="majorHAnsi" w:hAnsiTheme="majorHAnsi"/>
          <w:sz w:val="20"/>
          <w:szCs w:val="20"/>
          <w:lang w:val="es-VE"/>
        </w:rPr>
        <w:t>.</w:t>
      </w:r>
    </w:p>
    <w:p w14:paraId="7BAA5FC8" w14:textId="3DA6FF2F" w:rsidR="00591CBF" w:rsidRPr="00FE3799" w:rsidRDefault="003A3A1C" w:rsidP="00DA58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VE"/>
        </w:rPr>
      </w:pPr>
      <w:r w:rsidRPr="00FE3799">
        <w:rPr>
          <w:rFonts w:asciiTheme="majorHAnsi" w:hAnsiTheme="majorHAnsi"/>
          <w:sz w:val="20"/>
          <w:szCs w:val="20"/>
          <w:lang w:val="es-VE"/>
        </w:rPr>
        <w:t xml:space="preserve">El </w:t>
      </w:r>
      <w:r w:rsidR="006F78EE" w:rsidRPr="00FE3799">
        <w:rPr>
          <w:rFonts w:asciiTheme="majorHAnsi" w:hAnsiTheme="majorHAnsi"/>
          <w:sz w:val="20"/>
          <w:szCs w:val="20"/>
          <w:lang w:val="es-VE"/>
        </w:rPr>
        <w:t>Estado argumenta la i</w:t>
      </w:r>
      <w:r w:rsidR="00CA4512" w:rsidRPr="00FE3799">
        <w:rPr>
          <w:rFonts w:asciiTheme="majorHAnsi" w:hAnsiTheme="majorHAnsi"/>
          <w:sz w:val="20"/>
          <w:szCs w:val="20"/>
          <w:lang w:val="es-VE"/>
        </w:rPr>
        <w:t xml:space="preserve">naplicabilidad de las excepciones de los recursos internos </w:t>
      </w:r>
      <w:r w:rsidR="006F78EE" w:rsidRPr="00FE3799">
        <w:rPr>
          <w:rFonts w:asciiTheme="majorHAnsi" w:hAnsiTheme="majorHAnsi"/>
          <w:sz w:val="20"/>
          <w:szCs w:val="20"/>
          <w:lang w:val="es-VE"/>
        </w:rPr>
        <w:t xml:space="preserve">en tanto </w:t>
      </w:r>
      <w:r w:rsidR="007E2C9D" w:rsidRPr="00FE3799">
        <w:rPr>
          <w:rFonts w:asciiTheme="majorHAnsi" w:hAnsiTheme="majorHAnsi"/>
          <w:sz w:val="20"/>
          <w:szCs w:val="20"/>
          <w:lang w:val="es-VE"/>
        </w:rPr>
        <w:t>existía</w:t>
      </w:r>
      <w:r w:rsidRPr="00FE3799">
        <w:rPr>
          <w:rFonts w:asciiTheme="majorHAnsi" w:hAnsiTheme="majorHAnsi"/>
          <w:sz w:val="20"/>
          <w:szCs w:val="20"/>
          <w:lang w:val="es-VE"/>
        </w:rPr>
        <w:t>n</w:t>
      </w:r>
      <w:r w:rsidR="007E2C9D" w:rsidRPr="00FE3799">
        <w:rPr>
          <w:rFonts w:asciiTheme="majorHAnsi" w:hAnsiTheme="majorHAnsi"/>
          <w:sz w:val="20"/>
          <w:szCs w:val="20"/>
          <w:lang w:val="es-VE"/>
        </w:rPr>
        <w:t xml:space="preserve"> en la legislación interna </w:t>
      </w:r>
      <w:r w:rsidRPr="00FE3799">
        <w:rPr>
          <w:rFonts w:asciiTheme="majorHAnsi" w:hAnsiTheme="majorHAnsi"/>
          <w:sz w:val="20"/>
          <w:szCs w:val="20"/>
          <w:lang w:val="es-VE"/>
        </w:rPr>
        <w:t xml:space="preserve">distintos recursos como </w:t>
      </w:r>
      <w:r w:rsidR="007E2C9D" w:rsidRPr="00FE3799">
        <w:rPr>
          <w:rFonts w:asciiTheme="majorHAnsi" w:hAnsiTheme="majorHAnsi"/>
          <w:sz w:val="20"/>
          <w:szCs w:val="20"/>
          <w:lang w:val="es-VE"/>
        </w:rPr>
        <w:t>el recurso de exhibición personal</w:t>
      </w:r>
      <w:r w:rsidR="006F78EE" w:rsidRPr="00FE3799">
        <w:rPr>
          <w:rFonts w:asciiTheme="majorHAnsi" w:hAnsiTheme="majorHAnsi"/>
          <w:sz w:val="20"/>
          <w:szCs w:val="20"/>
          <w:lang w:val="es-VE"/>
        </w:rPr>
        <w:t>,</w:t>
      </w:r>
      <w:r w:rsidR="007E2C9D" w:rsidRPr="00FE3799">
        <w:rPr>
          <w:rFonts w:asciiTheme="majorHAnsi" w:hAnsiTheme="majorHAnsi"/>
          <w:sz w:val="20"/>
          <w:szCs w:val="20"/>
          <w:lang w:val="es-VE"/>
        </w:rPr>
        <w:t xml:space="preserve"> el procedimiento</w:t>
      </w:r>
      <w:r w:rsidR="006F78EE" w:rsidRPr="00FE3799">
        <w:rPr>
          <w:rFonts w:asciiTheme="majorHAnsi" w:hAnsiTheme="majorHAnsi"/>
          <w:sz w:val="20"/>
          <w:szCs w:val="20"/>
          <w:lang w:val="es-VE"/>
        </w:rPr>
        <w:t xml:space="preserve"> </w:t>
      </w:r>
      <w:r w:rsidR="007E2C9D" w:rsidRPr="00FE3799">
        <w:rPr>
          <w:rFonts w:asciiTheme="majorHAnsi" w:hAnsiTheme="majorHAnsi"/>
          <w:sz w:val="20"/>
          <w:szCs w:val="20"/>
          <w:lang w:val="es-VE"/>
        </w:rPr>
        <w:t>de averiguaci</w:t>
      </w:r>
      <w:r w:rsidR="006F78EE" w:rsidRPr="00FE3799">
        <w:rPr>
          <w:rFonts w:asciiTheme="majorHAnsi" w:hAnsiTheme="majorHAnsi"/>
          <w:sz w:val="20"/>
          <w:szCs w:val="20"/>
          <w:lang w:val="es-VE"/>
        </w:rPr>
        <w:t>ó</w:t>
      </w:r>
      <w:r w:rsidR="007E2C9D" w:rsidRPr="00FE3799">
        <w:rPr>
          <w:rFonts w:asciiTheme="majorHAnsi" w:hAnsiTheme="majorHAnsi"/>
          <w:sz w:val="20"/>
          <w:szCs w:val="20"/>
          <w:lang w:val="es-VE"/>
        </w:rPr>
        <w:t xml:space="preserve">n y la denuncia </w:t>
      </w:r>
      <w:r w:rsidR="006F78EE" w:rsidRPr="00FE3799">
        <w:rPr>
          <w:rFonts w:asciiTheme="majorHAnsi" w:hAnsiTheme="majorHAnsi"/>
          <w:sz w:val="20"/>
          <w:szCs w:val="20"/>
          <w:lang w:val="es-VE"/>
        </w:rPr>
        <w:t>penal</w:t>
      </w:r>
      <w:r w:rsidRPr="00FE3799">
        <w:rPr>
          <w:rFonts w:asciiTheme="majorHAnsi" w:hAnsiTheme="majorHAnsi"/>
          <w:sz w:val="20"/>
          <w:szCs w:val="20"/>
          <w:lang w:val="es-VE"/>
        </w:rPr>
        <w:t>;</w:t>
      </w:r>
      <w:r w:rsidR="006F78EE" w:rsidRPr="00FE3799">
        <w:rPr>
          <w:rFonts w:asciiTheme="majorHAnsi" w:hAnsiTheme="majorHAnsi"/>
          <w:sz w:val="20"/>
          <w:szCs w:val="20"/>
          <w:lang w:val="es-VE"/>
        </w:rPr>
        <w:t xml:space="preserve"> y </w:t>
      </w:r>
      <w:r w:rsidR="007E2C9D" w:rsidRPr="00FE3799">
        <w:rPr>
          <w:rFonts w:asciiTheme="majorHAnsi" w:hAnsiTheme="majorHAnsi"/>
          <w:sz w:val="20"/>
          <w:szCs w:val="20"/>
          <w:lang w:val="es-VE"/>
        </w:rPr>
        <w:t>el único recurso interpuesto fue resuelto ate</w:t>
      </w:r>
      <w:r w:rsidRPr="00FE3799">
        <w:rPr>
          <w:rFonts w:asciiTheme="majorHAnsi" w:hAnsiTheme="majorHAnsi"/>
          <w:sz w:val="20"/>
          <w:szCs w:val="20"/>
          <w:lang w:val="es-VE"/>
        </w:rPr>
        <w:t xml:space="preserve">ndiendo la complejidad del caso, </w:t>
      </w:r>
      <w:r w:rsidR="007E2C9D" w:rsidRPr="00FE3799">
        <w:rPr>
          <w:rFonts w:asciiTheme="majorHAnsi" w:hAnsiTheme="majorHAnsi"/>
          <w:sz w:val="20"/>
          <w:szCs w:val="20"/>
          <w:lang w:val="es-VE"/>
        </w:rPr>
        <w:t>la actividad procesal del interesado</w:t>
      </w:r>
      <w:r w:rsidRPr="00FE3799">
        <w:rPr>
          <w:rFonts w:asciiTheme="majorHAnsi" w:hAnsiTheme="majorHAnsi"/>
          <w:sz w:val="20"/>
          <w:szCs w:val="20"/>
          <w:lang w:val="es-VE"/>
        </w:rPr>
        <w:t>,</w:t>
      </w:r>
      <w:r w:rsidR="007E2C9D" w:rsidRPr="00FE3799">
        <w:rPr>
          <w:rFonts w:asciiTheme="majorHAnsi" w:hAnsiTheme="majorHAnsi"/>
          <w:sz w:val="20"/>
          <w:szCs w:val="20"/>
          <w:lang w:val="es-VE"/>
        </w:rPr>
        <w:t xml:space="preserve"> el comportamiento de las autoridades judiciales y la afectación generada en la </w:t>
      </w:r>
      <w:r w:rsidRPr="00FE3799">
        <w:rPr>
          <w:rFonts w:asciiTheme="majorHAnsi" w:hAnsiTheme="majorHAnsi"/>
          <w:sz w:val="20"/>
          <w:szCs w:val="20"/>
          <w:lang w:val="es-VE"/>
        </w:rPr>
        <w:t>situación</w:t>
      </w:r>
      <w:r w:rsidR="007E2C9D" w:rsidRPr="00FE3799">
        <w:rPr>
          <w:rFonts w:asciiTheme="majorHAnsi" w:hAnsiTheme="majorHAnsi"/>
          <w:sz w:val="20"/>
          <w:szCs w:val="20"/>
          <w:lang w:val="es-VE"/>
        </w:rPr>
        <w:t xml:space="preserve"> jurídica de la persona involucrada en el proceso. </w:t>
      </w:r>
      <w:r w:rsidRPr="00FE3799">
        <w:rPr>
          <w:rFonts w:asciiTheme="majorHAnsi" w:hAnsiTheme="majorHAnsi"/>
          <w:sz w:val="20"/>
          <w:szCs w:val="20"/>
          <w:lang w:val="es-VE"/>
        </w:rPr>
        <w:t xml:space="preserve">Sostiene que </w:t>
      </w:r>
      <w:r w:rsidR="006F78EE" w:rsidRPr="00FE3799">
        <w:rPr>
          <w:rFonts w:asciiTheme="majorHAnsi" w:hAnsiTheme="majorHAnsi"/>
          <w:sz w:val="20"/>
          <w:szCs w:val="20"/>
          <w:lang w:val="es-VE"/>
        </w:rPr>
        <w:t xml:space="preserve">en el contexto descrito no se </w:t>
      </w:r>
      <w:r w:rsidR="00591CBF" w:rsidRPr="00FE3799">
        <w:rPr>
          <w:rFonts w:asciiTheme="majorHAnsi" w:hAnsiTheme="majorHAnsi"/>
          <w:sz w:val="20"/>
          <w:szCs w:val="20"/>
          <w:lang w:val="es-VE"/>
        </w:rPr>
        <w:t>presentan</w:t>
      </w:r>
      <w:r w:rsidR="006F78EE" w:rsidRPr="00FE3799">
        <w:rPr>
          <w:rFonts w:asciiTheme="majorHAnsi" w:hAnsiTheme="majorHAnsi"/>
          <w:sz w:val="20"/>
          <w:szCs w:val="20"/>
          <w:lang w:val="es-VE"/>
        </w:rPr>
        <w:t xml:space="preserve"> pruebas documentales que demuestren de manera concret</w:t>
      </w:r>
      <w:r w:rsidR="00591CBF" w:rsidRPr="00FE3799">
        <w:rPr>
          <w:rFonts w:asciiTheme="majorHAnsi" w:hAnsiTheme="majorHAnsi"/>
          <w:sz w:val="20"/>
          <w:szCs w:val="20"/>
          <w:lang w:val="es-VE"/>
        </w:rPr>
        <w:t>a la voluntad de desaparecer a la presunta víctima o que se obstruyó</w:t>
      </w:r>
      <w:r w:rsidR="006F78EE" w:rsidRPr="00FE3799">
        <w:rPr>
          <w:rFonts w:asciiTheme="majorHAnsi" w:hAnsiTheme="majorHAnsi"/>
          <w:sz w:val="20"/>
          <w:szCs w:val="20"/>
          <w:lang w:val="es-VE"/>
        </w:rPr>
        <w:t xml:space="preserve"> la </w:t>
      </w:r>
      <w:r w:rsidR="00591CBF" w:rsidRPr="00FE3799">
        <w:rPr>
          <w:rFonts w:asciiTheme="majorHAnsi" w:hAnsiTheme="majorHAnsi"/>
          <w:sz w:val="20"/>
          <w:szCs w:val="20"/>
          <w:lang w:val="es-VE"/>
        </w:rPr>
        <w:t>investigación y</w:t>
      </w:r>
      <w:r w:rsidR="006F78EE" w:rsidRPr="00FE3799">
        <w:rPr>
          <w:rFonts w:asciiTheme="majorHAnsi" w:hAnsiTheme="majorHAnsi"/>
          <w:sz w:val="20"/>
          <w:szCs w:val="20"/>
          <w:lang w:val="es-VE"/>
        </w:rPr>
        <w:t xml:space="preserve"> </w:t>
      </w:r>
      <w:r w:rsidR="00591CBF" w:rsidRPr="00FE3799">
        <w:rPr>
          <w:rFonts w:asciiTheme="majorHAnsi" w:hAnsiTheme="majorHAnsi"/>
          <w:sz w:val="20"/>
          <w:szCs w:val="20"/>
          <w:lang w:val="es-VE"/>
        </w:rPr>
        <w:t>no se acredita que se haya advertido al Estado de la existencia de un riesgo cierto, inmediato y determinable del Sr. Lemus a su regreso al país en 1980. En este sentido, concluye que n</w:t>
      </w:r>
      <w:r w:rsidR="006F78EE" w:rsidRPr="00FE3799">
        <w:rPr>
          <w:rFonts w:asciiTheme="majorHAnsi" w:hAnsiTheme="majorHAnsi"/>
          <w:sz w:val="20"/>
          <w:szCs w:val="20"/>
          <w:lang w:val="es-VE"/>
        </w:rPr>
        <w:t xml:space="preserve">o puede acreditársele responsabilidad internacional por la vulneración a los derechos mencionados en la petición y </w:t>
      </w:r>
      <w:r w:rsidR="00591CBF" w:rsidRPr="00FE3799">
        <w:rPr>
          <w:rFonts w:asciiTheme="majorHAnsi" w:hAnsiTheme="majorHAnsi"/>
          <w:sz w:val="20"/>
          <w:szCs w:val="20"/>
          <w:lang w:val="es-VE"/>
        </w:rPr>
        <w:t>consecuentemente</w:t>
      </w:r>
      <w:r w:rsidR="006F78EE" w:rsidRPr="00FE3799">
        <w:rPr>
          <w:rFonts w:asciiTheme="majorHAnsi" w:hAnsiTheme="majorHAnsi"/>
          <w:sz w:val="20"/>
          <w:szCs w:val="20"/>
          <w:lang w:val="es-VE"/>
        </w:rPr>
        <w:t xml:space="preserve"> no correspondería el derecho a ser </w:t>
      </w:r>
      <w:r w:rsidR="00591CBF" w:rsidRPr="00FE3799">
        <w:rPr>
          <w:rFonts w:asciiTheme="majorHAnsi" w:hAnsiTheme="majorHAnsi"/>
          <w:sz w:val="20"/>
          <w:szCs w:val="20"/>
          <w:lang w:val="es-VE"/>
        </w:rPr>
        <w:t>reparado</w:t>
      </w:r>
      <w:r w:rsidR="006F78EE" w:rsidRPr="00FE3799">
        <w:rPr>
          <w:rFonts w:asciiTheme="majorHAnsi" w:hAnsiTheme="majorHAnsi"/>
          <w:sz w:val="20"/>
          <w:szCs w:val="20"/>
          <w:lang w:val="es-VE"/>
        </w:rPr>
        <w:t xml:space="preserve">. </w:t>
      </w:r>
    </w:p>
    <w:p w14:paraId="5A51A433" w14:textId="0BF6511D" w:rsidR="006F78EE" w:rsidRPr="00FE3799" w:rsidRDefault="006F78EE" w:rsidP="00DA58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VE"/>
        </w:rPr>
      </w:pPr>
      <w:r w:rsidRPr="00FE3799">
        <w:rPr>
          <w:rFonts w:asciiTheme="majorHAnsi" w:hAnsiTheme="majorHAnsi"/>
          <w:sz w:val="20"/>
          <w:szCs w:val="20"/>
          <w:lang w:val="es-VE"/>
        </w:rPr>
        <w:t>Al respecto el Estado señala que la C</w:t>
      </w:r>
      <w:r w:rsidR="00591CBF" w:rsidRPr="00FE3799">
        <w:rPr>
          <w:rFonts w:asciiTheme="majorHAnsi" w:hAnsiTheme="majorHAnsi"/>
          <w:sz w:val="20"/>
          <w:szCs w:val="20"/>
          <w:lang w:val="es-VE"/>
        </w:rPr>
        <w:t xml:space="preserve">orte Suprema de Justicia </w:t>
      </w:r>
      <w:r w:rsidRPr="00FE3799">
        <w:rPr>
          <w:rFonts w:asciiTheme="majorHAnsi" w:hAnsiTheme="majorHAnsi"/>
          <w:sz w:val="20"/>
          <w:szCs w:val="20"/>
          <w:lang w:val="es-VE"/>
        </w:rPr>
        <w:t>a tra</w:t>
      </w:r>
      <w:r w:rsidR="00591CBF" w:rsidRPr="00FE3799">
        <w:rPr>
          <w:rFonts w:asciiTheme="majorHAnsi" w:hAnsiTheme="majorHAnsi"/>
          <w:sz w:val="20"/>
          <w:szCs w:val="20"/>
          <w:lang w:val="es-VE"/>
        </w:rPr>
        <w:t xml:space="preserve">vés del Juez Ejecutor comisionó </w:t>
      </w:r>
      <w:r w:rsidRPr="00FE3799">
        <w:rPr>
          <w:rFonts w:asciiTheme="majorHAnsi" w:hAnsiTheme="majorHAnsi"/>
          <w:sz w:val="20"/>
          <w:szCs w:val="20"/>
          <w:lang w:val="es-VE"/>
        </w:rPr>
        <w:t xml:space="preserve">a los jueces de paz de todo el país a practicar diligencias de la presente exhibición personal quienes </w:t>
      </w:r>
      <w:r w:rsidR="00591CBF" w:rsidRPr="00FE3799">
        <w:rPr>
          <w:rFonts w:asciiTheme="majorHAnsi" w:hAnsiTheme="majorHAnsi"/>
          <w:sz w:val="20"/>
          <w:szCs w:val="20"/>
          <w:lang w:val="es-VE"/>
        </w:rPr>
        <w:t xml:space="preserve">de manera inmediata informaron el </w:t>
      </w:r>
      <w:r w:rsidRPr="00FE3799">
        <w:rPr>
          <w:rFonts w:asciiTheme="majorHAnsi" w:hAnsiTheme="majorHAnsi"/>
          <w:sz w:val="20"/>
          <w:szCs w:val="20"/>
          <w:lang w:val="es-VE"/>
        </w:rPr>
        <w:t xml:space="preserve">resultado </w:t>
      </w:r>
      <w:r w:rsidR="00591CBF" w:rsidRPr="00FE3799">
        <w:rPr>
          <w:rFonts w:asciiTheme="majorHAnsi" w:hAnsiTheme="majorHAnsi"/>
          <w:sz w:val="20"/>
          <w:szCs w:val="20"/>
          <w:lang w:val="es-VE"/>
        </w:rPr>
        <w:t xml:space="preserve">negativo </w:t>
      </w:r>
      <w:r w:rsidRPr="00FE3799">
        <w:rPr>
          <w:rFonts w:asciiTheme="majorHAnsi" w:hAnsiTheme="majorHAnsi"/>
          <w:sz w:val="20"/>
          <w:szCs w:val="20"/>
          <w:lang w:val="es-VE"/>
        </w:rPr>
        <w:t xml:space="preserve">de las mismas. Sostiene que la presentación del recurso 26 </w:t>
      </w:r>
      <w:r w:rsidR="00591CBF" w:rsidRPr="00FE3799">
        <w:rPr>
          <w:rFonts w:asciiTheme="majorHAnsi" w:hAnsiTheme="majorHAnsi"/>
          <w:sz w:val="20"/>
          <w:szCs w:val="20"/>
          <w:lang w:val="es-VE"/>
        </w:rPr>
        <w:t>años</w:t>
      </w:r>
      <w:r w:rsidRPr="00FE3799">
        <w:rPr>
          <w:rFonts w:asciiTheme="majorHAnsi" w:hAnsiTheme="majorHAnsi"/>
          <w:sz w:val="20"/>
          <w:szCs w:val="20"/>
          <w:lang w:val="es-VE"/>
        </w:rPr>
        <w:t xml:space="preserve"> </w:t>
      </w:r>
      <w:r w:rsidR="00591CBF" w:rsidRPr="00FE3799">
        <w:rPr>
          <w:rFonts w:asciiTheme="majorHAnsi" w:hAnsiTheme="majorHAnsi"/>
          <w:sz w:val="20"/>
          <w:szCs w:val="20"/>
          <w:lang w:val="es-VE"/>
        </w:rPr>
        <w:t>más</w:t>
      </w:r>
      <w:r w:rsidRPr="00FE3799">
        <w:rPr>
          <w:rFonts w:asciiTheme="majorHAnsi" w:hAnsiTheme="majorHAnsi"/>
          <w:sz w:val="20"/>
          <w:szCs w:val="20"/>
          <w:lang w:val="es-VE"/>
        </w:rPr>
        <w:t xml:space="preserve"> tarde de los hechos limita las </w:t>
      </w:r>
      <w:r w:rsidR="00591CBF" w:rsidRPr="00FE3799">
        <w:rPr>
          <w:rFonts w:asciiTheme="majorHAnsi" w:hAnsiTheme="majorHAnsi"/>
          <w:sz w:val="20"/>
          <w:szCs w:val="20"/>
          <w:lang w:val="es-VE"/>
        </w:rPr>
        <w:t>posibilidades</w:t>
      </w:r>
      <w:r w:rsidRPr="00FE3799">
        <w:rPr>
          <w:rFonts w:asciiTheme="majorHAnsi" w:hAnsiTheme="majorHAnsi"/>
          <w:sz w:val="20"/>
          <w:szCs w:val="20"/>
          <w:lang w:val="es-VE"/>
        </w:rPr>
        <w:t xml:space="preserve"> de dar con el paradero de la </w:t>
      </w:r>
      <w:r w:rsidR="00591CBF" w:rsidRPr="00FE3799">
        <w:rPr>
          <w:rFonts w:asciiTheme="majorHAnsi" w:hAnsiTheme="majorHAnsi"/>
          <w:sz w:val="20"/>
          <w:szCs w:val="20"/>
          <w:lang w:val="es-VE"/>
        </w:rPr>
        <w:t>víctima</w:t>
      </w:r>
      <w:r w:rsidRPr="00FE3799">
        <w:rPr>
          <w:rFonts w:asciiTheme="majorHAnsi" w:hAnsiTheme="majorHAnsi"/>
          <w:sz w:val="20"/>
          <w:szCs w:val="20"/>
          <w:lang w:val="es-VE"/>
        </w:rPr>
        <w:t xml:space="preserve"> e investigar, juzgar y sancionar a los responsables. </w:t>
      </w:r>
    </w:p>
    <w:p w14:paraId="1750BCA9" w14:textId="58D58549" w:rsidR="007E2C9D" w:rsidRPr="00FE3799" w:rsidRDefault="00591CBF" w:rsidP="00DA58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VE"/>
        </w:rPr>
      </w:pPr>
      <w:r w:rsidRPr="00FE3799">
        <w:rPr>
          <w:rFonts w:asciiTheme="majorHAnsi" w:hAnsiTheme="majorHAnsi"/>
          <w:sz w:val="20"/>
          <w:szCs w:val="20"/>
          <w:lang w:val="es-VE"/>
        </w:rPr>
        <w:t>Por último, el Estado a</w:t>
      </w:r>
      <w:r w:rsidR="007E2C9D" w:rsidRPr="00FE3799">
        <w:rPr>
          <w:rFonts w:asciiTheme="majorHAnsi" w:hAnsiTheme="majorHAnsi"/>
          <w:sz w:val="20"/>
          <w:szCs w:val="20"/>
          <w:lang w:val="es-VE"/>
        </w:rPr>
        <w:t>le</w:t>
      </w:r>
      <w:r w:rsidRPr="00FE3799">
        <w:rPr>
          <w:rFonts w:asciiTheme="majorHAnsi" w:hAnsiTheme="majorHAnsi"/>
          <w:sz w:val="20"/>
          <w:szCs w:val="20"/>
          <w:lang w:val="es-VE"/>
        </w:rPr>
        <w:t>g</w:t>
      </w:r>
      <w:r w:rsidR="007E2C9D" w:rsidRPr="00FE3799">
        <w:rPr>
          <w:rFonts w:asciiTheme="majorHAnsi" w:hAnsiTheme="majorHAnsi"/>
          <w:sz w:val="20"/>
          <w:szCs w:val="20"/>
          <w:lang w:val="es-VE"/>
        </w:rPr>
        <w:t xml:space="preserve">a </w:t>
      </w:r>
      <w:r w:rsidRPr="00FE3799">
        <w:rPr>
          <w:rFonts w:asciiTheme="majorHAnsi" w:hAnsiTheme="majorHAnsi"/>
          <w:sz w:val="20"/>
          <w:szCs w:val="20"/>
          <w:lang w:val="es-VE"/>
        </w:rPr>
        <w:t>la duplicación de proce</w:t>
      </w:r>
      <w:r w:rsidR="007E2C9D" w:rsidRPr="00FE3799">
        <w:rPr>
          <w:rFonts w:asciiTheme="majorHAnsi" w:hAnsiTheme="majorHAnsi"/>
          <w:sz w:val="20"/>
          <w:szCs w:val="20"/>
          <w:lang w:val="es-VE"/>
        </w:rPr>
        <w:t>d</w:t>
      </w:r>
      <w:r w:rsidRPr="00FE3799">
        <w:rPr>
          <w:rFonts w:asciiTheme="majorHAnsi" w:hAnsiTheme="majorHAnsi"/>
          <w:sz w:val="20"/>
          <w:szCs w:val="20"/>
          <w:lang w:val="es-VE"/>
        </w:rPr>
        <w:t>im</w:t>
      </w:r>
      <w:r w:rsidR="007E2C9D" w:rsidRPr="00FE3799">
        <w:rPr>
          <w:rFonts w:asciiTheme="majorHAnsi" w:hAnsiTheme="majorHAnsi"/>
          <w:sz w:val="20"/>
          <w:szCs w:val="20"/>
          <w:lang w:val="es-VE"/>
        </w:rPr>
        <w:t>i</w:t>
      </w:r>
      <w:r w:rsidRPr="00FE3799">
        <w:rPr>
          <w:rFonts w:asciiTheme="majorHAnsi" w:hAnsiTheme="majorHAnsi"/>
          <w:sz w:val="20"/>
          <w:szCs w:val="20"/>
          <w:lang w:val="es-VE"/>
        </w:rPr>
        <w:t>e</w:t>
      </w:r>
      <w:r w:rsidR="007E2C9D" w:rsidRPr="00FE3799">
        <w:rPr>
          <w:rFonts w:asciiTheme="majorHAnsi" w:hAnsiTheme="majorHAnsi"/>
          <w:sz w:val="20"/>
          <w:szCs w:val="20"/>
          <w:lang w:val="es-VE"/>
        </w:rPr>
        <w:t>nto</w:t>
      </w:r>
      <w:r w:rsidRPr="00FE3799">
        <w:rPr>
          <w:rFonts w:asciiTheme="majorHAnsi" w:hAnsiTheme="majorHAnsi"/>
          <w:sz w:val="20"/>
          <w:szCs w:val="20"/>
          <w:lang w:val="es-VE"/>
        </w:rPr>
        <w:t xml:space="preserve">s al señalar </w:t>
      </w:r>
      <w:r w:rsidR="007E2C9D" w:rsidRPr="00FE3799">
        <w:rPr>
          <w:rFonts w:asciiTheme="majorHAnsi" w:hAnsiTheme="majorHAnsi"/>
          <w:sz w:val="20"/>
          <w:szCs w:val="20"/>
          <w:lang w:val="es-VE"/>
        </w:rPr>
        <w:t xml:space="preserve">que </w:t>
      </w:r>
      <w:r w:rsidRPr="00FE3799">
        <w:rPr>
          <w:rFonts w:asciiTheme="majorHAnsi" w:hAnsiTheme="majorHAnsi"/>
          <w:sz w:val="20"/>
          <w:szCs w:val="20"/>
          <w:lang w:val="es-VE"/>
        </w:rPr>
        <w:t xml:space="preserve">el 9 de abril de 1986 </w:t>
      </w:r>
      <w:r w:rsidR="007E2C9D" w:rsidRPr="00FE3799">
        <w:rPr>
          <w:rFonts w:asciiTheme="majorHAnsi" w:hAnsiTheme="majorHAnsi"/>
          <w:sz w:val="20"/>
          <w:szCs w:val="20"/>
          <w:lang w:val="es-VE"/>
        </w:rPr>
        <w:t xml:space="preserve">la propia CIDH </w:t>
      </w:r>
      <w:r w:rsidRPr="00FE3799">
        <w:rPr>
          <w:rFonts w:asciiTheme="majorHAnsi" w:hAnsiTheme="majorHAnsi"/>
          <w:sz w:val="20"/>
          <w:szCs w:val="20"/>
          <w:lang w:val="es-VE"/>
        </w:rPr>
        <w:t>adoptó</w:t>
      </w:r>
      <w:r w:rsidR="007E2C9D" w:rsidRPr="00FE3799">
        <w:rPr>
          <w:rFonts w:asciiTheme="majorHAnsi" w:hAnsiTheme="majorHAnsi"/>
          <w:sz w:val="20"/>
          <w:szCs w:val="20"/>
          <w:lang w:val="es-VE"/>
        </w:rPr>
        <w:t xml:space="preserve"> </w:t>
      </w:r>
      <w:r w:rsidRPr="00FE3799">
        <w:rPr>
          <w:rFonts w:asciiTheme="majorHAnsi" w:hAnsiTheme="majorHAnsi"/>
          <w:sz w:val="20"/>
          <w:szCs w:val="20"/>
          <w:lang w:val="es-VE"/>
        </w:rPr>
        <w:t>la Resolución</w:t>
      </w:r>
      <w:r w:rsidR="007E2C9D" w:rsidRPr="00FE3799">
        <w:rPr>
          <w:rFonts w:asciiTheme="majorHAnsi" w:hAnsiTheme="majorHAnsi"/>
          <w:sz w:val="20"/>
          <w:szCs w:val="20"/>
          <w:lang w:val="es-VE"/>
        </w:rPr>
        <w:t xml:space="preserve"> 25/86 </w:t>
      </w:r>
      <w:r w:rsidRPr="00FE3799">
        <w:rPr>
          <w:rFonts w:asciiTheme="majorHAnsi" w:hAnsiTheme="majorHAnsi"/>
          <w:sz w:val="20"/>
          <w:szCs w:val="20"/>
          <w:lang w:val="es-VE"/>
        </w:rPr>
        <w:t xml:space="preserve">en relación a los </w:t>
      </w:r>
      <w:r w:rsidR="007E2C9D" w:rsidRPr="00FE3799">
        <w:rPr>
          <w:rFonts w:asciiTheme="majorHAnsi" w:hAnsiTheme="majorHAnsi"/>
          <w:sz w:val="20"/>
          <w:szCs w:val="20"/>
          <w:lang w:val="es-VE"/>
        </w:rPr>
        <w:t xml:space="preserve">casos de desaparición forzada de personas en </w:t>
      </w:r>
      <w:r w:rsidRPr="00FE3799">
        <w:rPr>
          <w:rFonts w:asciiTheme="majorHAnsi" w:hAnsiTheme="majorHAnsi"/>
          <w:sz w:val="20"/>
          <w:szCs w:val="20"/>
          <w:lang w:val="es-VE"/>
        </w:rPr>
        <w:t>Guatemala</w:t>
      </w:r>
      <w:r w:rsidR="007E2C9D" w:rsidRPr="00FE3799">
        <w:rPr>
          <w:rFonts w:asciiTheme="majorHAnsi" w:hAnsiTheme="majorHAnsi"/>
          <w:sz w:val="20"/>
          <w:szCs w:val="20"/>
          <w:lang w:val="es-VE"/>
        </w:rPr>
        <w:t xml:space="preserve"> </w:t>
      </w:r>
      <w:r w:rsidRPr="00FE3799">
        <w:rPr>
          <w:rFonts w:asciiTheme="majorHAnsi" w:hAnsiTheme="majorHAnsi"/>
          <w:sz w:val="20"/>
          <w:szCs w:val="20"/>
          <w:lang w:val="es-VE"/>
        </w:rPr>
        <w:t xml:space="preserve">dado el </w:t>
      </w:r>
      <w:r w:rsidR="007E2C9D" w:rsidRPr="00FE3799">
        <w:rPr>
          <w:rFonts w:asciiTheme="majorHAnsi" w:hAnsiTheme="majorHAnsi"/>
          <w:sz w:val="20"/>
          <w:szCs w:val="20"/>
          <w:lang w:val="es-VE"/>
        </w:rPr>
        <w:t xml:space="preserve">apreciable </w:t>
      </w:r>
      <w:r w:rsidRPr="00FE3799">
        <w:rPr>
          <w:rFonts w:asciiTheme="majorHAnsi" w:hAnsiTheme="majorHAnsi"/>
          <w:sz w:val="20"/>
          <w:szCs w:val="20"/>
          <w:lang w:val="es-VE"/>
        </w:rPr>
        <w:t>número</w:t>
      </w:r>
      <w:r w:rsidR="007E2C9D" w:rsidRPr="00FE3799">
        <w:rPr>
          <w:rFonts w:asciiTheme="majorHAnsi" w:hAnsiTheme="majorHAnsi"/>
          <w:sz w:val="20"/>
          <w:szCs w:val="20"/>
          <w:lang w:val="es-VE"/>
        </w:rPr>
        <w:t xml:space="preserve"> de denuncias sobre secuestro y desaparición forzada durante el periodo comprendido entre los años 1978 y 1985.</w:t>
      </w:r>
      <w:r w:rsidRPr="00FE3799">
        <w:rPr>
          <w:rFonts w:asciiTheme="majorHAnsi" w:hAnsiTheme="majorHAnsi"/>
          <w:sz w:val="20"/>
          <w:szCs w:val="20"/>
          <w:lang w:val="es-VE"/>
        </w:rPr>
        <w:t xml:space="preserve"> </w:t>
      </w:r>
      <w:r w:rsidR="007F7715" w:rsidRPr="00FE3799">
        <w:rPr>
          <w:rFonts w:asciiTheme="majorHAnsi" w:hAnsiTheme="majorHAnsi"/>
          <w:sz w:val="20"/>
          <w:szCs w:val="20"/>
          <w:lang w:val="es-VE"/>
        </w:rPr>
        <w:t xml:space="preserve">Afirma que la CIDH no debe considerar la presente petición sino más bien incluirla en aquellos casos individuales o colectivos que fueron suspendidos por la Resolución 25/86 toda vez que reproduce sustancialmente los antecedentes y considerandos de la misma. </w:t>
      </w:r>
      <w:r w:rsidRPr="00FE3799">
        <w:rPr>
          <w:rFonts w:asciiTheme="majorHAnsi" w:hAnsiTheme="majorHAnsi"/>
          <w:sz w:val="20"/>
          <w:szCs w:val="20"/>
          <w:lang w:val="es-VE"/>
        </w:rPr>
        <w:t xml:space="preserve">Asimismo, argumenta que </w:t>
      </w:r>
      <w:r w:rsidR="007E2C9D" w:rsidRPr="00FE3799">
        <w:rPr>
          <w:rFonts w:asciiTheme="majorHAnsi" w:hAnsiTheme="majorHAnsi"/>
          <w:sz w:val="20"/>
          <w:szCs w:val="20"/>
          <w:lang w:val="es-VE"/>
        </w:rPr>
        <w:t xml:space="preserve">previo a </w:t>
      </w:r>
      <w:r w:rsidRPr="00FE3799">
        <w:rPr>
          <w:rFonts w:asciiTheme="majorHAnsi" w:hAnsiTheme="majorHAnsi"/>
          <w:sz w:val="20"/>
          <w:szCs w:val="20"/>
          <w:lang w:val="es-VE"/>
        </w:rPr>
        <w:t xml:space="preserve">las recomendaciones de dicha Resolución, </w:t>
      </w:r>
      <w:r w:rsidR="007E2C9D" w:rsidRPr="00FE3799">
        <w:rPr>
          <w:rFonts w:asciiTheme="majorHAnsi" w:hAnsiTheme="majorHAnsi"/>
          <w:sz w:val="20"/>
          <w:szCs w:val="20"/>
          <w:lang w:val="es-VE"/>
        </w:rPr>
        <w:t xml:space="preserve">la </w:t>
      </w:r>
      <w:r w:rsidRPr="00FE3799">
        <w:rPr>
          <w:rFonts w:asciiTheme="majorHAnsi" w:hAnsiTheme="majorHAnsi"/>
          <w:sz w:val="20"/>
          <w:szCs w:val="20"/>
          <w:lang w:val="es-VE"/>
        </w:rPr>
        <w:t>CIDH</w:t>
      </w:r>
      <w:r w:rsidR="007E2C9D" w:rsidRPr="00FE3799">
        <w:rPr>
          <w:rFonts w:asciiTheme="majorHAnsi" w:hAnsiTheme="majorHAnsi"/>
          <w:sz w:val="20"/>
          <w:szCs w:val="20"/>
          <w:lang w:val="es-VE"/>
        </w:rPr>
        <w:t xml:space="preserve"> había emitido el </w:t>
      </w:r>
      <w:r w:rsidRPr="00FE3799">
        <w:rPr>
          <w:rFonts w:asciiTheme="majorHAnsi" w:hAnsiTheme="majorHAnsi"/>
          <w:sz w:val="20"/>
          <w:szCs w:val="20"/>
          <w:lang w:val="es-VE"/>
        </w:rPr>
        <w:t>Tercer</w:t>
      </w:r>
      <w:r w:rsidR="007E2C9D" w:rsidRPr="00FE3799">
        <w:rPr>
          <w:rFonts w:asciiTheme="majorHAnsi" w:hAnsiTheme="majorHAnsi"/>
          <w:sz w:val="20"/>
          <w:szCs w:val="20"/>
          <w:lang w:val="es-VE"/>
        </w:rPr>
        <w:t xml:space="preserve"> Informe sobre la situación de</w:t>
      </w:r>
      <w:r w:rsidR="007F7715" w:rsidRPr="00FE3799">
        <w:rPr>
          <w:rFonts w:asciiTheme="majorHAnsi" w:hAnsiTheme="majorHAnsi"/>
          <w:sz w:val="20"/>
          <w:szCs w:val="20"/>
          <w:lang w:val="es-VE"/>
        </w:rPr>
        <w:t xml:space="preserve"> los derechos humanos en la Repú</w:t>
      </w:r>
      <w:r w:rsidR="007E2C9D" w:rsidRPr="00FE3799">
        <w:rPr>
          <w:rFonts w:asciiTheme="majorHAnsi" w:hAnsiTheme="majorHAnsi"/>
          <w:sz w:val="20"/>
          <w:szCs w:val="20"/>
          <w:lang w:val="es-VE"/>
        </w:rPr>
        <w:t>blica de Guatemala</w:t>
      </w:r>
      <w:r w:rsidR="007F7715" w:rsidRPr="00FE3799">
        <w:rPr>
          <w:rFonts w:asciiTheme="majorHAnsi" w:hAnsiTheme="majorHAnsi"/>
          <w:sz w:val="20"/>
          <w:szCs w:val="20"/>
          <w:lang w:val="es-VE"/>
        </w:rPr>
        <w:t xml:space="preserve">. Dicho informe </w:t>
      </w:r>
      <w:r w:rsidR="007E2C9D" w:rsidRPr="00FE3799">
        <w:rPr>
          <w:rFonts w:asciiTheme="majorHAnsi" w:hAnsiTheme="majorHAnsi"/>
          <w:sz w:val="20"/>
          <w:szCs w:val="20"/>
          <w:lang w:val="es-VE"/>
        </w:rPr>
        <w:t xml:space="preserve">describe de manera similar el contexto denunciado por el peticionario y también da cuenta que la </w:t>
      </w:r>
      <w:r w:rsidR="007F7715" w:rsidRPr="00FE3799">
        <w:rPr>
          <w:rFonts w:asciiTheme="majorHAnsi" w:hAnsiTheme="majorHAnsi"/>
          <w:sz w:val="20"/>
          <w:szCs w:val="20"/>
          <w:lang w:val="es-VE"/>
        </w:rPr>
        <w:t>Comisión</w:t>
      </w:r>
      <w:r w:rsidR="007E2C9D" w:rsidRPr="00FE3799">
        <w:rPr>
          <w:rFonts w:asciiTheme="majorHAnsi" w:hAnsiTheme="majorHAnsi"/>
          <w:sz w:val="20"/>
          <w:szCs w:val="20"/>
          <w:lang w:val="es-VE"/>
        </w:rPr>
        <w:t xml:space="preserve"> Especial de la CIDH recibió durante su visita in loco en mayo de 1985 los testimonios directos de los familiares de cientos de desaparecidos y se entrevist</w:t>
      </w:r>
      <w:r w:rsidR="007F7715" w:rsidRPr="00FE3799">
        <w:rPr>
          <w:rFonts w:asciiTheme="majorHAnsi" w:hAnsiTheme="majorHAnsi"/>
          <w:sz w:val="20"/>
          <w:szCs w:val="20"/>
          <w:lang w:val="es-VE"/>
        </w:rPr>
        <w:t>ó</w:t>
      </w:r>
      <w:r w:rsidR="007E2C9D" w:rsidRPr="00FE3799">
        <w:rPr>
          <w:rFonts w:asciiTheme="majorHAnsi" w:hAnsiTheme="majorHAnsi"/>
          <w:sz w:val="20"/>
          <w:szCs w:val="20"/>
          <w:lang w:val="es-VE"/>
        </w:rPr>
        <w:t xml:space="preserve"> con los miembros del Grupo de Apoyo Mutuo. </w:t>
      </w:r>
    </w:p>
    <w:p w14:paraId="5E88146D" w14:textId="77777777" w:rsidR="00274C58" w:rsidRPr="00FE3799" w:rsidRDefault="00274C58" w:rsidP="003239B8">
      <w:pPr>
        <w:spacing w:before="240" w:after="240"/>
        <w:ind w:firstLine="720"/>
        <w:jc w:val="both"/>
        <w:rPr>
          <w:rFonts w:asciiTheme="majorHAnsi" w:eastAsia="Cambria" w:hAnsiTheme="majorHAnsi" w:cs="Cambria"/>
          <w:b/>
          <w:bCs/>
          <w:color w:val="000000"/>
          <w:sz w:val="20"/>
          <w:szCs w:val="20"/>
          <w:u w:color="000000"/>
          <w:lang w:val="es-VE" w:eastAsia="es-ES"/>
        </w:rPr>
      </w:pPr>
    </w:p>
    <w:p w14:paraId="740CC736" w14:textId="5ADCAA8F" w:rsidR="002E60FE" w:rsidRPr="00FE3799" w:rsidRDefault="003239B8" w:rsidP="003239B8">
      <w:pPr>
        <w:spacing w:before="240" w:after="240"/>
        <w:ind w:firstLine="720"/>
        <w:jc w:val="both"/>
        <w:rPr>
          <w:rFonts w:asciiTheme="majorHAnsi" w:eastAsia="Cambria" w:hAnsiTheme="majorHAnsi" w:cs="Cambria"/>
          <w:b/>
          <w:bCs/>
          <w:color w:val="000000"/>
          <w:sz w:val="20"/>
          <w:szCs w:val="20"/>
          <w:u w:color="000000"/>
          <w:lang w:val="es-VE" w:eastAsia="es-ES"/>
        </w:rPr>
      </w:pPr>
      <w:r w:rsidRPr="00FE3799">
        <w:rPr>
          <w:rFonts w:asciiTheme="majorHAnsi" w:eastAsia="Cambria" w:hAnsiTheme="majorHAnsi" w:cs="Cambria"/>
          <w:b/>
          <w:bCs/>
          <w:color w:val="000000"/>
          <w:sz w:val="20"/>
          <w:szCs w:val="20"/>
          <w:u w:color="000000"/>
          <w:lang w:val="es-VE" w:eastAsia="es-ES"/>
        </w:rPr>
        <w:lastRenderedPageBreak/>
        <w:t>VI</w:t>
      </w:r>
      <w:r w:rsidR="002E60FE" w:rsidRPr="00FE3799">
        <w:rPr>
          <w:rFonts w:asciiTheme="majorHAnsi" w:eastAsia="Cambria" w:hAnsiTheme="majorHAnsi" w:cs="Cambria"/>
          <w:b/>
          <w:bCs/>
          <w:color w:val="000000"/>
          <w:sz w:val="20"/>
          <w:szCs w:val="20"/>
          <w:u w:color="000000"/>
          <w:lang w:val="es-VE" w:eastAsia="es-ES"/>
        </w:rPr>
        <w:t>.</w:t>
      </w:r>
      <w:r w:rsidRPr="00FE3799">
        <w:rPr>
          <w:rFonts w:asciiTheme="majorHAnsi" w:eastAsia="Cambria" w:hAnsiTheme="majorHAnsi" w:cs="Cambria"/>
          <w:b/>
          <w:bCs/>
          <w:color w:val="000000"/>
          <w:sz w:val="20"/>
          <w:szCs w:val="20"/>
          <w:u w:color="000000"/>
          <w:lang w:val="es-VE" w:eastAsia="es-ES"/>
        </w:rPr>
        <w:tab/>
      </w:r>
      <w:r w:rsidR="002E60FE" w:rsidRPr="00FE3799">
        <w:rPr>
          <w:rFonts w:asciiTheme="majorHAnsi" w:eastAsia="Cambria" w:hAnsiTheme="majorHAnsi" w:cs="Cambria"/>
          <w:b/>
          <w:bCs/>
          <w:color w:val="000000"/>
          <w:sz w:val="20"/>
          <w:szCs w:val="20"/>
          <w:u w:color="000000"/>
          <w:lang w:val="es-VE" w:eastAsia="es-ES"/>
        </w:rPr>
        <w:t>COMPETENCIA</w:t>
      </w:r>
    </w:p>
    <w:p w14:paraId="69AE6EE3" w14:textId="77777777" w:rsidR="002E60FE" w:rsidRPr="00FE3799" w:rsidRDefault="002E60FE" w:rsidP="002E60FE">
      <w:pPr>
        <w:pStyle w:val="ListParagraph"/>
        <w:numPr>
          <w:ilvl w:val="0"/>
          <w:numId w:val="55"/>
        </w:numPr>
        <w:contextualSpacing/>
        <w:jc w:val="both"/>
        <w:rPr>
          <w:rFonts w:asciiTheme="majorHAnsi" w:hAnsiTheme="majorHAnsi" w:cs="Calibri"/>
          <w:sz w:val="20"/>
          <w:szCs w:val="20"/>
          <w:lang w:val="es-ES_tradnl"/>
        </w:rPr>
      </w:pPr>
      <w:r w:rsidRPr="00FE3799">
        <w:rPr>
          <w:rFonts w:asciiTheme="majorHAnsi" w:hAnsiTheme="majorHAnsi" w:cs="Calibri"/>
          <w:sz w:val="20"/>
          <w:szCs w:val="20"/>
          <w:lang w:val="es-ES_tradnl"/>
        </w:rPr>
        <w:t>Respecto a la alegada duplicidad de hechos, la Comisión recuerda que para que se considere que en un caso hay duplicidad o cosa juzgada internacional, además de identidad de sujetos, objeto y pretensión, se requiere que la petición esté siendo considerada, o haya sido decidida, por un organismo internacional que tenga competencia para adoptar decisiones sobre los hechos específicos contenidos en la petición, y medidas tendientes a la efectiva resolución de la disputa de que se trate</w:t>
      </w:r>
      <w:r w:rsidRPr="00FE3799">
        <w:rPr>
          <w:rStyle w:val="FootnoteReference"/>
          <w:rFonts w:asciiTheme="majorHAnsi" w:hAnsiTheme="majorHAnsi" w:cs="Calibri"/>
          <w:sz w:val="20"/>
          <w:szCs w:val="20"/>
        </w:rPr>
        <w:footnoteReference w:id="6"/>
      </w:r>
      <w:r w:rsidRPr="00FE3799">
        <w:rPr>
          <w:rFonts w:asciiTheme="majorHAnsi" w:hAnsiTheme="majorHAnsi" w:cs="Calibri"/>
          <w:sz w:val="20"/>
          <w:szCs w:val="20"/>
          <w:lang w:val="es-ES_tradnl"/>
        </w:rPr>
        <w:t xml:space="preserve">. </w:t>
      </w:r>
    </w:p>
    <w:p w14:paraId="44C4746B" w14:textId="77777777" w:rsidR="002E60FE" w:rsidRPr="00FE3799" w:rsidRDefault="002E60FE" w:rsidP="002E60FE">
      <w:pPr>
        <w:pStyle w:val="ListParagraph"/>
        <w:contextualSpacing/>
        <w:jc w:val="both"/>
        <w:rPr>
          <w:rFonts w:asciiTheme="majorHAnsi" w:hAnsiTheme="majorHAnsi" w:cs="Calibri"/>
          <w:sz w:val="20"/>
          <w:szCs w:val="20"/>
          <w:lang w:val="es-ES_tradnl"/>
        </w:rPr>
      </w:pPr>
    </w:p>
    <w:p w14:paraId="20FEB9D9" w14:textId="7A74832C" w:rsidR="007E1751" w:rsidRPr="00FE3799" w:rsidRDefault="002E60FE" w:rsidP="002E60FE">
      <w:pPr>
        <w:pStyle w:val="ListParagraph"/>
        <w:numPr>
          <w:ilvl w:val="0"/>
          <w:numId w:val="55"/>
        </w:numPr>
        <w:contextualSpacing/>
        <w:jc w:val="both"/>
        <w:rPr>
          <w:rFonts w:asciiTheme="majorHAnsi" w:hAnsiTheme="majorHAnsi" w:cs="Calibri"/>
          <w:sz w:val="20"/>
          <w:szCs w:val="20"/>
          <w:lang w:val="es-ES_tradnl"/>
        </w:rPr>
      </w:pPr>
      <w:r w:rsidRPr="00FE3799">
        <w:rPr>
          <w:rFonts w:asciiTheme="majorHAnsi" w:hAnsiTheme="majorHAnsi" w:cs="Calibri"/>
          <w:sz w:val="20"/>
          <w:szCs w:val="20"/>
          <w:lang w:val="es-ES_tradnl"/>
        </w:rPr>
        <w:t xml:space="preserve">En este sentido, la Comisión observa que la Resolución No. 25/86 relativa a Casos de Desaparición se refiere a las denuncias presentadas por secuestros y desapariciones forzadas de personas en Guatemala durante el período comprendido entre los años 1978 y 1985 por parte de personal fuertemente armado pertenecientes a fuerzas de seguridad del Estado o también por grupos paramilitares o elementos de las patrullas de autodefensa civil, cuyos listados nominales fueron entregados por la CIDH a autoridades del Estado de Guatemala. La Comisión nota que, si bien los hechos alegados en la presente petición tuvieron lugar en el mismo contexto social y dentro del período comprendido en los casos que forman parte de la Resolución No. 25/86, las presuntas víctimas de la presente petición no figuran como víctimas de los Casos de Desaparición analizados por la Comisión. </w:t>
      </w:r>
      <w:r w:rsidR="007E1751" w:rsidRPr="00FE3799">
        <w:rPr>
          <w:rFonts w:asciiTheme="majorHAnsi" w:hAnsiTheme="majorHAnsi" w:cs="Calibri"/>
          <w:sz w:val="20"/>
          <w:szCs w:val="20"/>
          <w:lang w:val="es-ES_tradnl"/>
        </w:rPr>
        <w:t>Por tanto, la Comisión concluye que no existe duplicidad.</w:t>
      </w:r>
    </w:p>
    <w:p w14:paraId="672C7A32" w14:textId="77777777" w:rsidR="007E1751" w:rsidRPr="00FE3799" w:rsidRDefault="007E1751" w:rsidP="007E1751">
      <w:pPr>
        <w:pStyle w:val="ListParagraph"/>
        <w:rPr>
          <w:rFonts w:asciiTheme="majorHAnsi" w:hAnsiTheme="majorHAnsi" w:cs="Calibri"/>
          <w:sz w:val="20"/>
          <w:szCs w:val="20"/>
          <w:lang w:val="es-ES_tradnl"/>
        </w:rPr>
      </w:pPr>
    </w:p>
    <w:p w14:paraId="68995A81" w14:textId="4F43E351" w:rsidR="002E60FE" w:rsidRPr="00FE3799" w:rsidRDefault="007E1751" w:rsidP="002E60FE">
      <w:pPr>
        <w:pStyle w:val="ListParagraph"/>
        <w:numPr>
          <w:ilvl w:val="0"/>
          <w:numId w:val="55"/>
        </w:numPr>
        <w:contextualSpacing/>
        <w:jc w:val="both"/>
        <w:rPr>
          <w:rFonts w:asciiTheme="majorHAnsi" w:hAnsiTheme="majorHAnsi" w:cs="Calibri"/>
          <w:sz w:val="20"/>
          <w:szCs w:val="20"/>
          <w:lang w:val="es-ES_tradnl"/>
        </w:rPr>
      </w:pPr>
      <w:r w:rsidRPr="00FE3799">
        <w:rPr>
          <w:rFonts w:asciiTheme="majorHAnsi" w:hAnsiTheme="majorHAnsi" w:cs="Calibri"/>
          <w:sz w:val="20"/>
          <w:szCs w:val="20"/>
          <w:lang w:val="es-ES_tradnl"/>
        </w:rPr>
        <w:t>Asimismo, respecto al alegato del Estado frente a la publicación del Tercer Informe sobre la situación de los derechos humanos en la República de Guatemala, la Comisión reitera que n</w:t>
      </w:r>
      <w:r w:rsidRPr="00FE3799">
        <w:rPr>
          <w:rFonts w:asciiTheme="majorHAnsi" w:hAnsiTheme="majorHAnsi" w:cs="Calibri"/>
          <w:sz w:val="20"/>
          <w:szCs w:val="20"/>
          <w:lang w:val="es-VE"/>
        </w:rPr>
        <w:t>i la Convención ni el Reglamento de la Comisión requieren que la Comisión declare la inadmisibilidad de un caso porque el objeto del caso se haya planteado anteriormente en un informe general. La discusión de hechos específicos en un informe general sobre un país no constituye una "decisión" sobre dichos hechos, como sí lo constituiría un informe final sobre una petición individual, en la cual se han denunciado los mismos o similares hechos.</w:t>
      </w:r>
      <w:r w:rsidRPr="00FE3799">
        <w:rPr>
          <w:rFonts w:asciiTheme="majorHAnsi" w:eastAsia="Arial Unicode MS" w:hAnsiTheme="majorHAnsi" w:cs="Times New Roman"/>
          <w:color w:val="auto"/>
          <w:lang w:val="es-VE" w:eastAsia="en-US"/>
        </w:rPr>
        <w:t xml:space="preserve"> </w:t>
      </w:r>
      <w:r w:rsidRPr="00FE3799">
        <w:rPr>
          <w:rFonts w:asciiTheme="majorHAnsi" w:hAnsiTheme="majorHAnsi" w:cs="Calibri"/>
          <w:sz w:val="20"/>
          <w:szCs w:val="20"/>
          <w:lang w:val="es-VE"/>
        </w:rPr>
        <w:t>Por otra parte, la Comisión es de la opinión de que debe estar en condiciones de incluir información sobre situaciones concretas de derechos humanos en los informes generales relacionados con los Estados miembros de la Organización de los Estados Americanos. La Comisión debe poder incluir información, aunque esté relacionada con un caso ya abierto o con uno que podría presentarse en el marco del sistema de peticiones individuales. De otro modo, se vería obligada e excluir de sus informes generales sobre los países la consideración de segmentos enteros del panorama de los derechos humanos en esos países</w:t>
      </w:r>
      <w:r w:rsidRPr="00FE3799">
        <w:rPr>
          <w:rStyle w:val="FootnoteReference"/>
          <w:rFonts w:asciiTheme="majorHAnsi" w:hAnsiTheme="majorHAnsi" w:cs="Calibri"/>
          <w:sz w:val="20"/>
          <w:szCs w:val="20"/>
          <w:lang w:val="es-VE"/>
        </w:rPr>
        <w:footnoteReference w:id="7"/>
      </w:r>
      <w:r w:rsidRPr="00FE3799">
        <w:rPr>
          <w:rFonts w:asciiTheme="majorHAnsi" w:hAnsiTheme="majorHAnsi" w:cs="Calibri"/>
          <w:sz w:val="20"/>
          <w:szCs w:val="20"/>
          <w:lang w:val="es-VE"/>
        </w:rPr>
        <w:t xml:space="preserve">. </w:t>
      </w:r>
    </w:p>
    <w:p w14:paraId="6F4D4171" w14:textId="566D7C9E" w:rsidR="003239B8" w:rsidRPr="00FE3799" w:rsidRDefault="002E60FE" w:rsidP="003239B8">
      <w:pPr>
        <w:spacing w:before="240" w:after="240"/>
        <w:ind w:firstLine="720"/>
        <w:jc w:val="both"/>
        <w:rPr>
          <w:rFonts w:asciiTheme="majorHAnsi" w:hAnsiTheme="majorHAnsi"/>
          <w:sz w:val="20"/>
          <w:szCs w:val="20"/>
          <w:lang w:val="es-VE"/>
        </w:rPr>
      </w:pPr>
      <w:r w:rsidRPr="00FE3799">
        <w:rPr>
          <w:rFonts w:asciiTheme="majorHAnsi" w:eastAsia="Cambria" w:hAnsiTheme="majorHAnsi" w:cs="Cambria"/>
          <w:b/>
          <w:bCs/>
          <w:color w:val="000000"/>
          <w:sz w:val="20"/>
          <w:szCs w:val="20"/>
          <w:u w:color="000000"/>
          <w:lang w:val="es-VE" w:eastAsia="es-ES"/>
        </w:rPr>
        <w:t xml:space="preserve">VII. </w:t>
      </w:r>
      <w:r w:rsidR="004A6A54" w:rsidRPr="00FE3799">
        <w:rPr>
          <w:rFonts w:asciiTheme="majorHAnsi" w:hAnsiTheme="majorHAnsi"/>
          <w:b/>
          <w:bCs/>
          <w:sz w:val="20"/>
          <w:szCs w:val="20"/>
          <w:lang w:val="es-VE"/>
        </w:rPr>
        <w:t>ANÁLISIS DE</w:t>
      </w:r>
      <w:r w:rsidR="0096481C" w:rsidRPr="00FE3799">
        <w:rPr>
          <w:rFonts w:asciiTheme="majorHAnsi" w:hAnsiTheme="majorHAnsi"/>
          <w:b/>
          <w:bCs/>
          <w:sz w:val="20"/>
          <w:szCs w:val="20"/>
          <w:lang w:val="es-VE"/>
        </w:rPr>
        <w:t xml:space="preserve"> </w:t>
      </w:r>
      <w:r w:rsidR="00C21FEF" w:rsidRPr="00FE3799">
        <w:rPr>
          <w:rFonts w:asciiTheme="majorHAnsi" w:hAnsiTheme="majorHAnsi"/>
          <w:b/>
          <w:sz w:val="20"/>
          <w:szCs w:val="20"/>
          <w:lang w:val="es-VE"/>
        </w:rPr>
        <w:t>AGOTAMIENTO DE LOS RECURSOS INTERNOS</w:t>
      </w:r>
      <w:r w:rsidR="007E1751" w:rsidRPr="00FE3799">
        <w:rPr>
          <w:rFonts w:asciiTheme="majorHAnsi" w:hAnsiTheme="majorHAnsi"/>
          <w:b/>
          <w:sz w:val="20"/>
          <w:szCs w:val="20"/>
          <w:lang w:val="es-VE"/>
        </w:rPr>
        <w:t xml:space="preserve"> Y </w:t>
      </w:r>
      <w:r w:rsidR="00C21FEF" w:rsidRPr="00FE3799">
        <w:rPr>
          <w:rFonts w:asciiTheme="majorHAnsi" w:hAnsiTheme="majorHAnsi"/>
          <w:b/>
          <w:sz w:val="20"/>
          <w:szCs w:val="20"/>
          <w:lang w:val="es-VE"/>
        </w:rPr>
        <w:t>PLAZO DE PRESENTACIÓN</w:t>
      </w:r>
      <w:r w:rsidR="00C21FEF" w:rsidRPr="00FE3799">
        <w:rPr>
          <w:rFonts w:asciiTheme="majorHAnsi" w:eastAsia="Cambria" w:hAnsiTheme="majorHAnsi" w:cs="Cambria"/>
          <w:b/>
          <w:bCs/>
          <w:color w:val="000000"/>
          <w:sz w:val="20"/>
          <w:szCs w:val="20"/>
          <w:u w:color="000000"/>
          <w:lang w:val="es-VE" w:eastAsia="es-ES"/>
        </w:rPr>
        <w:t xml:space="preserve"> </w:t>
      </w:r>
    </w:p>
    <w:p w14:paraId="3D656310" w14:textId="173471A8" w:rsidR="00AE55E6" w:rsidRPr="00FE3799" w:rsidRDefault="007A3195" w:rsidP="00DA58F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419"/>
        </w:rPr>
      </w:pPr>
      <w:r w:rsidRPr="00FE3799">
        <w:rPr>
          <w:rFonts w:asciiTheme="majorHAnsi" w:hAnsiTheme="majorHAnsi"/>
          <w:sz w:val="20"/>
          <w:szCs w:val="20"/>
          <w:lang w:val="es-VE"/>
        </w:rPr>
        <w:t>La Comisión recuerda que, toda vez que se cometa un presunto delito perseguible de oficio, el Estado tiene la obligación de promover e impulsar el proceso penal y que, en esos casos, éste constituye la vía idónea para esclarecer los hechos, juzgar a los responsables y establecer las sanciones penales correspondientes, además de posibilitar otros modos de reparación de tipo pecuniario</w:t>
      </w:r>
      <w:r w:rsidRPr="00FE3799">
        <w:rPr>
          <w:rStyle w:val="FootnoteReference"/>
          <w:rFonts w:asciiTheme="majorHAnsi" w:hAnsiTheme="majorHAnsi"/>
          <w:sz w:val="20"/>
          <w:szCs w:val="20"/>
          <w:lang w:val="es-VE"/>
        </w:rPr>
        <w:footnoteReference w:id="8"/>
      </w:r>
      <w:r w:rsidRPr="00FE3799">
        <w:rPr>
          <w:rFonts w:asciiTheme="majorHAnsi" w:hAnsiTheme="majorHAnsi"/>
          <w:sz w:val="20"/>
          <w:szCs w:val="20"/>
          <w:lang w:val="es-VE"/>
        </w:rPr>
        <w:t xml:space="preserve">. </w:t>
      </w:r>
      <w:r w:rsidR="002B5E8A" w:rsidRPr="00FE3799">
        <w:rPr>
          <w:rFonts w:asciiTheme="majorHAnsi" w:hAnsiTheme="majorHAnsi" w:cs="Calibri"/>
          <w:color w:val="auto"/>
          <w:sz w:val="20"/>
          <w:szCs w:val="20"/>
          <w:lang w:val="es-ES_tradnl"/>
        </w:rPr>
        <w:t xml:space="preserve">En el presente caso la Comisión observa que, de acuerdo a la información proporcionada, </w:t>
      </w:r>
      <w:r w:rsidR="00620A5E" w:rsidRPr="00FE3799">
        <w:rPr>
          <w:rFonts w:asciiTheme="majorHAnsi" w:hAnsiTheme="majorHAnsi" w:cs="Calibri"/>
          <w:color w:val="auto"/>
          <w:sz w:val="20"/>
          <w:szCs w:val="20"/>
          <w:lang w:val="es-ES_tradnl"/>
        </w:rPr>
        <w:t xml:space="preserve">los familiares de la presunta víctima presentaron una acción de exhibición personal o hábeas corpus </w:t>
      </w:r>
      <w:r w:rsidR="002B5E8A" w:rsidRPr="00FE3799">
        <w:rPr>
          <w:rFonts w:asciiTheme="majorHAnsi" w:hAnsiTheme="majorHAnsi"/>
          <w:color w:val="auto"/>
          <w:sz w:val="20"/>
          <w:szCs w:val="20"/>
          <w:lang w:val="es-ES"/>
        </w:rPr>
        <w:t xml:space="preserve">sobre la presunta desaparición </w:t>
      </w:r>
      <w:r w:rsidR="00620A5E" w:rsidRPr="00FE3799">
        <w:rPr>
          <w:rFonts w:asciiTheme="majorHAnsi" w:hAnsiTheme="majorHAnsi"/>
          <w:color w:val="auto"/>
          <w:sz w:val="20"/>
          <w:szCs w:val="20"/>
          <w:lang w:val="es-ES"/>
        </w:rPr>
        <w:t xml:space="preserve">forzada el 12 de agosto de 2010 </w:t>
      </w:r>
      <w:r w:rsidR="002B5E8A" w:rsidRPr="00FE3799">
        <w:rPr>
          <w:rFonts w:asciiTheme="majorHAnsi" w:hAnsiTheme="majorHAnsi"/>
          <w:color w:val="auto"/>
          <w:sz w:val="20"/>
          <w:szCs w:val="20"/>
          <w:lang w:val="es-ES"/>
        </w:rPr>
        <w:t xml:space="preserve">ante </w:t>
      </w:r>
      <w:r w:rsidR="00620A5E" w:rsidRPr="00FE3799">
        <w:rPr>
          <w:rFonts w:asciiTheme="majorHAnsi" w:hAnsiTheme="majorHAnsi"/>
          <w:color w:val="auto"/>
          <w:sz w:val="20"/>
          <w:szCs w:val="20"/>
          <w:lang w:val="es-VE"/>
        </w:rPr>
        <w:t>el Juzgado de Primera Instancia Penal</w:t>
      </w:r>
      <w:r w:rsidR="00620A5E" w:rsidRPr="00FE3799">
        <w:rPr>
          <w:rFonts w:asciiTheme="majorHAnsi" w:hAnsiTheme="majorHAnsi"/>
          <w:color w:val="auto"/>
          <w:sz w:val="20"/>
          <w:szCs w:val="20"/>
          <w:lang w:val="es-ES"/>
        </w:rPr>
        <w:t xml:space="preserve"> la cual fue resuelta como improcedente por la Corte Suprema de Justicia el 24 de mayo de 2011</w:t>
      </w:r>
      <w:r w:rsidR="002B5E8A" w:rsidRPr="00FE3799">
        <w:rPr>
          <w:rFonts w:asciiTheme="majorHAnsi" w:hAnsiTheme="majorHAnsi"/>
          <w:color w:val="auto"/>
          <w:sz w:val="20"/>
          <w:szCs w:val="20"/>
          <w:lang w:val="es-ES"/>
        </w:rPr>
        <w:t xml:space="preserve">. </w:t>
      </w:r>
      <w:r w:rsidR="00D13C88" w:rsidRPr="00FE3799">
        <w:rPr>
          <w:rFonts w:asciiTheme="majorHAnsi" w:hAnsiTheme="majorHAnsi"/>
          <w:color w:val="auto"/>
          <w:sz w:val="20"/>
          <w:szCs w:val="20"/>
          <w:lang w:val="es-ES"/>
        </w:rPr>
        <w:t>No obstante</w:t>
      </w:r>
      <w:r w:rsidRPr="00FE3799">
        <w:rPr>
          <w:rFonts w:asciiTheme="majorHAnsi" w:hAnsiTheme="majorHAnsi"/>
          <w:color w:val="auto"/>
          <w:sz w:val="20"/>
          <w:szCs w:val="20"/>
          <w:lang w:val="es-ES"/>
        </w:rPr>
        <w:t>,</w:t>
      </w:r>
      <w:r w:rsidR="00D13C88" w:rsidRPr="00FE3799">
        <w:rPr>
          <w:rFonts w:asciiTheme="majorHAnsi" w:hAnsiTheme="majorHAnsi"/>
          <w:color w:val="auto"/>
          <w:sz w:val="20"/>
          <w:szCs w:val="20"/>
          <w:lang w:val="es-ES"/>
        </w:rPr>
        <w:t xml:space="preserve"> el Estado </w:t>
      </w:r>
      <w:r w:rsidR="00D13C88" w:rsidRPr="00FE3799">
        <w:rPr>
          <w:rFonts w:asciiTheme="majorHAnsi" w:hAnsiTheme="majorHAnsi"/>
          <w:color w:val="auto"/>
          <w:sz w:val="20"/>
          <w:szCs w:val="20"/>
          <w:lang w:val="es-VE"/>
        </w:rPr>
        <w:t>argumenta la disponibilidad del recurso de exhibición personal, el procedimiento de averiguación y la denuncia penal</w:t>
      </w:r>
      <w:r w:rsidR="00D13C88" w:rsidRPr="00FE3799">
        <w:rPr>
          <w:rFonts w:asciiTheme="majorHAnsi" w:hAnsiTheme="majorHAnsi"/>
          <w:color w:val="auto"/>
          <w:sz w:val="20"/>
          <w:szCs w:val="20"/>
          <w:lang w:val="es-419"/>
        </w:rPr>
        <w:t xml:space="preserve"> como </w:t>
      </w:r>
      <w:r w:rsidR="00D13C88" w:rsidRPr="00FE3799">
        <w:rPr>
          <w:rFonts w:asciiTheme="majorHAnsi" w:hAnsiTheme="majorHAnsi"/>
          <w:color w:val="auto"/>
          <w:sz w:val="20"/>
          <w:szCs w:val="20"/>
          <w:lang w:val="es-VE"/>
        </w:rPr>
        <w:t>recursos internos en la legislación interna.</w:t>
      </w:r>
    </w:p>
    <w:p w14:paraId="34EB207D" w14:textId="08DC839D" w:rsidR="00AE55E6" w:rsidRPr="00FE3799" w:rsidRDefault="00D13C88" w:rsidP="00DA58F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419"/>
        </w:rPr>
      </w:pPr>
      <w:r w:rsidRPr="00FE3799">
        <w:rPr>
          <w:rFonts w:asciiTheme="majorHAnsi" w:hAnsiTheme="majorHAnsi"/>
          <w:color w:val="auto"/>
          <w:sz w:val="20"/>
          <w:szCs w:val="20"/>
          <w:lang w:val="es-VE"/>
        </w:rPr>
        <w:t xml:space="preserve"> </w:t>
      </w:r>
      <w:r w:rsidR="007A3195" w:rsidRPr="00FE3799">
        <w:rPr>
          <w:rFonts w:asciiTheme="majorHAnsi" w:hAnsiTheme="majorHAnsi"/>
          <w:color w:val="auto"/>
          <w:sz w:val="20"/>
          <w:szCs w:val="20"/>
          <w:lang w:val="es-VE"/>
        </w:rPr>
        <w:t xml:space="preserve">Al respecto, la Comisión </w:t>
      </w:r>
      <w:r w:rsidR="00860F25" w:rsidRPr="00FE3799">
        <w:rPr>
          <w:rFonts w:asciiTheme="majorHAnsi" w:hAnsiTheme="majorHAnsi"/>
          <w:color w:val="auto"/>
          <w:sz w:val="20"/>
          <w:szCs w:val="20"/>
          <w:lang w:val="es-VE"/>
        </w:rPr>
        <w:t xml:space="preserve">nota </w:t>
      </w:r>
      <w:r w:rsidR="00774E24" w:rsidRPr="00FE3799">
        <w:rPr>
          <w:rFonts w:asciiTheme="majorHAnsi" w:hAnsiTheme="majorHAnsi"/>
          <w:color w:val="auto"/>
          <w:sz w:val="20"/>
          <w:szCs w:val="20"/>
          <w:lang w:val="es-VE"/>
        </w:rPr>
        <w:t xml:space="preserve">que </w:t>
      </w:r>
      <w:r w:rsidR="00860F25" w:rsidRPr="00FE3799">
        <w:rPr>
          <w:rFonts w:asciiTheme="majorHAnsi" w:hAnsiTheme="majorHAnsi"/>
          <w:color w:val="auto"/>
          <w:sz w:val="20"/>
          <w:szCs w:val="20"/>
          <w:lang w:val="es-VE"/>
        </w:rPr>
        <w:t xml:space="preserve">el artículo 109 de la Ley de amparo, exhibición personal y constitucionalidad estipula que “si como resultado de las diligencias practicadas </w:t>
      </w:r>
      <w:r w:rsidR="00AE55E6" w:rsidRPr="00FE3799">
        <w:rPr>
          <w:rFonts w:asciiTheme="majorHAnsi" w:hAnsiTheme="majorHAnsi"/>
          <w:color w:val="auto"/>
          <w:sz w:val="20"/>
          <w:szCs w:val="20"/>
          <w:lang w:val="es-VE"/>
        </w:rPr>
        <w:t xml:space="preserve">[en el marco del proceso de la acción de exhibición personal] </w:t>
      </w:r>
      <w:r w:rsidR="00860F25" w:rsidRPr="00FE3799">
        <w:rPr>
          <w:rFonts w:asciiTheme="majorHAnsi" w:hAnsiTheme="majorHAnsi"/>
          <w:color w:val="auto"/>
          <w:sz w:val="20"/>
          <w:szCs w:val="20"/>
          <w:lang w:val="es-VE"/>
        </w:rPr>
        <w:t xml:space="preserve">se tuvieren indicios que la persona a cuyo favor se interpuso la exhibición </w:t>
      </w:r>
      <w:r w:rsidR="00860F25" w:rsidRPr="00FE3799">
        <w:rPr>
          <w:rFonts w:asciiTheme="majorHAnsi" w:hAnsiTheme="majorHAnsi"/>
          <w:color w:val="auto"/>
          <w:sz w:val="20"/>
          <w:szCs w:val="20"/>
          <w:lang w:val="es-VE"/>
        </w:rPr>
        <w:lastRenderedPageBreak/>
        <w:t xml:space="preserve">hubiese desaparecido, el tribunal ordenará inmediatamente la pesquisa del caso”. </w:t>
      </w:r>
      <w:r w:rsidR="00AE55E6" w:rsidRPr="00FE3799">
        <w:rPr>
          <w:rFonts w:asciiTheme="majorHAnsi" w:hAnsiTheme="majorHAnsi"/>
          <w:color w:val="auto"/>
          <w:sz w:val="20"/>
          <w:szCs w:val="20"/>
          <w:lang w:val="es-VE"/>
        </w:rPr>
        <w:t>El mismo artículo lee que l</w:t>
      </w:r>
      <w:r w:rsidR="00860F25" w:rsidRPr="00FE3799">
        <w:rPr>
          <w:rFonts w:asciiTheme="majorHAnsi" w:hAnsiTheme="majorHAnsi"/>
          <w:color w:val="auto"/>
          <w:sz w:val="20"/>
          <w:szCs w:val="20"/>
          <w:lang w:val="es-VE"/>
        </w:rPr>
        <w:t>as investigaciones realizadas por las autoridades de policía “deben ser constantes hasta tener noticia cierta sobre el paradero de la persona desaparecida</w:t>
      </w:r>
      <w:r w:rsidR="00AE55E6" w:rsidRPr="00FE3799">
        <w:rPr>
          <w:rFonts w:asciiTheme="majorHAnsi" w:hAnsiTheme="majorHAnsi"/>
          <w:color w:val="auto"/>
          <w:sz w:val="20"/>
          <w:szCs w:val="20"/>
          <w:lang w:val="es-VE"/>
        </w:rPr>
        <w:t xml:space="preserve">”. En la misma línea </w:t>
      </w:r>
      <w:r w:rsidR="00DA58FD" w:rsidRPr="00FE3799">
        <w:rPr>
          <w:rFonts w:asciiTheme="majorHAnsi" w:hAnsiTheme="majorHAnsi"/>
          <w:color w:val="auto"/>
          <w:sz w:val="20"/>
          <w:szCs w:val="20"/>
          <w:lang w:val="es-VE"/>
        </w:rPr>
        <w:t>el artículo 110 de la misma ley estipula como “las diligencias de exhibición personal no pueden ser sobreseídas ni se puede desistir de ellas mientras no se localice al detenido, agraviado o desaparecido”.</w:t>
      </w:r>
    </w:p>
    <w:p w14:paraId="156C2833" w14:textId="30780EC5" w:rsidR="00012143" w:rsidRPr="00FE3799" w:rsidRDefault="00DA58FD" w:rsidP="00BF382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419"/>
        </w:rPr>
      </w:pPr>
      <w:r w:rsidRPr="00FE3799">
        <w:rPr>
          <w:rFonts w:asciiTheme="majorHAnsi" w:hAnsiTheme="majorHAnsi"/>
          <w:color w:val="auto"/>
          <w:sz w:val="20"/>
          <w:szCs w:val="20"/>
          <w:lang w:val="es-419"/>
        </w:rPr>
        <w:t xml:space="preserve">La Comisión observa que, </w:t>
      </w:r>
      <w:r w:rsidR="00AE55E6" w:rsidRPr="00FE3799">
        <w:rPr>
          <w:rFonts w:asciiTheme="majorHAnsi" w:hAnsiTheme="majorHAnsi"/>
          <w:color w:val="auto"/>
          <w:sz w:val="20"/>
          <w:szCs w:val="20"/>
          <w:lang w:val="es-VE"/>
        </w:rPr>
        <w:t>en</w:t>
      </w:r>
      <w:r w:rsidR="002B5E8A" w:rsidRPr="00FE3799">
        <w:rPr>
          <w:rFonts w:asciiTheme="majorHAnsi" w:hAnsiTheme="majorHAnsi"/>
          <w:color w:val="auto"/>
          <w:sz w:val="20"/>
          <w:szCs w:val="20"/>
          <w:lang w:val="es-419"/>
        </w:rPr>
        <w:t xml:space="preserve"> atención a la información disponible en el expediente, los hechos denunciados tuvieron lugar en el 198</w:t>
      </w:r>
      <w:r w:rsidR="00AE55E6" w:rsidRPr="00FE3799">
        <w:rPr>
          <w:rFonts w:asciiTheme="majorHAnsi" w:hAnsiTheme="majorHAnsi"/>
          <w:color w:val="auto"/>
          <w:sz w:val="20"/>
          <w:szCs w:val="20"/>
          <w:lang w:val="es-419"/>
        </w:rPr>
        <w:t>4 y el Estado ha tenido conocimiento desde</w:t>
      </w:r>
      <w:r w:rsidR="007C63E6" w:rsidRPr="00FE3799">
        <w:rPr>
          <w:rFonts w:asciiTheme="majorHAnsi" w:hAnsiTheme="majorHAnsi"/>
          <w:color w:val="auto"/>
          <w:sz w:val="20"/>
          <w:szCs w:val="20"/>
          <w:lang w:val="es-VE"/>
        </w:rPr>
        <w:t xml:space="preserve"> el momento en que los familiares acudieron en la búsqueda de la presunta víctima en cárceles y morgues,</w:t>
      </w:r>
      <w:r w:rsidR="00CD6771" w:rsidRPr="00FE3799">
        <w:rPr>
          <w:rFonts w:asciiTheme="majorHAnsi" w:hAnsiTheme="majorHAnsi"/>
          <w:color w:val="auto"/>
          <w:sz w:val="20"/>
          <w:szCs w:val="20"/>
          <w:lang w:val="es-419"/>
        </w:rPr>
        <w:t xml:space="preserve"> </w:t>
      </w:r>
      <w:r w:rsidR="007C63E6" w:rsidRPr="00FE3799">
        <w:rPr>
          <w:rFonts w:asciiTheme="majorHAnsi" w:hAnsiTheme="majorHAnsi"/>
          <w:color w:val="auto"/>
          <w:sz w:val="20"/>
          <w:szCs w:val="20"/>
          <w:lang w:val="es-419"/>
        </w:rPr>
        <w:t xml:space="preserve">y </w:t>
      </w:r>
      <w:r w:rsidR="009D2C1D" w:rsidRPr="00FE3799">
        <w:rPr>
          <w:rFonts w:asciiTheme="majorHAnsi" w:hAnsiTheme="majorHAnsi"/>
          <w:color w:val="auto"/>
          <w:sz w:val="20"/>
          <w:szCs w:val="20"/>
          <w:lang w:val="es-419"/>
        </w:rPr>
        <w:t xml:space="preserve">posteriormente </w:t>
      </w:r>
      <w:r w:rsidR="007C63E6" w:rsidRPr="00FE3799">
        <w:rPr>
          <w:rFonts w:asciiTheme="majorHAnsi" w:hAnsiTheme="majorHAnsi"/>
          <w:color w:val="auto"/>
          <w:sz w:val="20"/>
          <w:szCs w:val="20"/>
          <w:lang w:val="es-419"/>
        </w:rPr>
        <w:t xml:space="preserve">en </w:t>
      </w:r>
      <w:r w:rsidR="00AE55E6" w:rsidRPr="00FE3799">
        <w:rPr>
          <w:rFonts w:asciiTheme="majorHAnsi" w:hAnsiTheme="majorHAnsi"/>
          <w:color w:val="auto"/>
          <w:sz w:val="20"/>
          <w:szCs w:val="20"/>
          <w:lang w:val="es-419"/>
        </w:rPr>
        <w:t>el 201</w:t>
      </w:r>
      <w:r w:rsidRPr="00FE3799">
        <w:rPr>
          <w:rFonts w:asciiTheme="majorHAnsi" w:hAnsiTheme="majorHAnsi"/>
          <w:color w:val="auto"/>
          <w:sz w:val="20"/>
          <w:szCs w:val="20"/>
          <w:lang w:val="es-419"/>
        </w:rPr>
        <w:t>0</w:t>
      </w:r>
      <w:r w:rsidR="007C63E6" w:rsidRPr="00FE3799">
        <w:rPr>
          <w:rFonts w:asciiTheme="majorHAnsi" w:hAnsiTheme="majorHAnsi"/>
          <w:color w:val="auto"/>
          <w:sz w:val="20"/>
          <w:szCs w:val="20"/>
          <w:lang w:val="es-US"/>
        </w:rPr>
        <w:t xml:space="preserve"> mediante la </w:t>
      </w:r>
      <w:r w:rsidR="00BF3829" w:rsidRPr="00FE3799">
        <w:rPr>
          <w:rFonts w:asciiTheme="majorHAnsi" w:hAnsiTheme="majorHAnsi"/>
          <w:color w:val="auto"/>
          <w:sz w:val="20"/>
          <w:szCs w:val="20"/>
          <w:lang w:val="es-419"/>
        </w:rPr>
        <w:t>acción de exhibición personal o hábeas corpus.</w:t>
      </w:r>
      <w:r w:rsidR="00AE55E6" w:rsidRPr="00FE3799">
        <w:rPr>
          <w:rFonts w:asciiTheme="majorHAnsi" w:hAnsiTheme="majorHAnsi"/>
          <w:color w:val="auto"/>
          <w:sz w:val="20"/>
          <w:szCs w:val="20"/>
          <w:lang w:val="es-419"/>
        </w:rPr>
        <w:t xml:space="preserve"> </w:t>
      </w:r>
      <w:r w:rsidR="00774E24" w:rsidRPr="00FE3799">
        <w:rPr>
          <w:rFonts w:asciiTheme="majorHAnsi" w:hAnsiTheme="majorHAnsi" w:cs="Calibri"/>
          <w:color w:val="auto"/>
          <w:sz w:val="20"/>
          <w:szCs w:val="20"/>
          <w:lang w:val="es-ES_tradnl"/>
        </w:rPr>
        <w:t xml:space="preserve">En estas circunstancias, la CIDH considera que las autoridades fueron alertadas sobre la </w:t>
      </w:r>
      <w:r w:rsidR="009D2C1D" w:rsidRPr="00FE3799">
        <w:rPr>
          <w:rFonts w:asciiTheme="majorHAnsi" w:hAnsiTheme="majorHAnsi" w:cs="Calibri"/>
          <w:color w:val="auto"/>
          <w:sz w:val="20"/>
          <w:szCs w:val="20"/>
          <w:lang w:val="es-ES_tradnl"/>
        </w:rPr>
        <w:t>desapar</w:t>
      </w:r>
      <w:r w:rsidR="0096481C" w:rsidRPr="00FE3799">
        <w:rPr>
          <w:rFonts w:asciiTheme="majorHAnsi" w:hAnsiTheme="majorHAnsi" w:cs="Calibri"/>
          <w:color w:val="auto"/>
          <w:sz w:val="20"/>
          <w:szCs w:val="20"/>
          <w:lang w:val="es-ES_tradnl"/>
        </w:rPr>
        <w:t>i</w:t>
      </w:r>
      <w:r w:rsidR="009D2C1D" w:rsidRPr="00FE3799">
        <w:rPr>
          <w:rFonts w:asciiTheme="majorHAnsi" w:hAnsiTheme="majorHAnsi" w:cs="Calibri"/>
          <w:color w:val="auto"/>
          <w:sz w:val="20"/>
          <w:szCs w:val="20"/>
          <w:lang w:val="es-ES_tradnl"/>
        </w:rPr>
        <w:t>ci</w:t>
      </w:r>
      <w:r w:rsidR="0096481C" w:rsidRPr="00FE3799">
        <w:rPr>
          <w:rFonts w:asciiTheme="majorHAnsi" w:hAnsiTheme="majorHAnsi" w:cs="Calibri"/>
          <w:color w:val="auto"/>
          <w:sz w:val="20"/>
          <w:szCs w:val="20"/>
          <w:lang w:val="es-ES_tradnl"/>
        </w:rPr>
        <w:t>ó</w:t>
      </w:r>
      <w:r w:rsidR="009D2C1D" w:rsidRPr="00FE3799">
        <w:rPr>
          <w:rFonts w:asciiTheme="majorHAnsi" w:hAnsiTheme="majorHAnsi" w:cs="Calibri"/>
          <w:color w:val="auto"/>
          <w:sz w:val="20"/>
          <w:szCs w:val="20"/>
          <w:lang w:val="es-ES_tradnl"/>
        </w:rPr>
        <w:t xml:space="preserve">n </w:t>
      </w:r>
      <w:r w:rsidR="002E60FE" w:rsidRPr="00FE3799">
        <w:rPr>
          <w:rFonts w:asciiTheme="majorHAnsi" w:hAnsiTheme="majorHAnsi" w:cs="Calibri"/>
          <w:color w:val="auto"/>
          <w:sz w:val="20"/>
          <w:szCs w:val="20"/>
          <w:lang w:val="es-ES_tradnl"/>
        </w:rPr>
        <w:t xml:space="preserve">corto tiempo </w:t>
      </w:r>
      <w:r w:rsidR="009D2C1D" w:rsidRPr="00FE3799">
        <w:rPr>
          <w:rFonts w:asciiTheme="majorHAnsi" w:hAnsiTheme="majorHAnsi" w:cs="Calibri"/>
          <w:color w:val="auto"/>
          <w:sz w:val="20"/>
          <w:szCs w:val="20"/>
          <w:lang w:val="es-ES_tradnl"/>
        </w:rPr>
        <w:t>despu</w:t>
      </w:r>
      <w:r w:rsidR="002E60FE" w:rsidRPr="00FE3799">
        <w:rPr>
          <w:rFonts w:asciiTheme="majorHAnsi" w:hAnsiTheme="majorHAnsi" w:cs="Calibri"/>
          <w:color w:val="auto"/>
          <w:sz w:val="20"/>
          <w:szCs w:val="20"/>
          <w:lang w:val="es-ES_tradnl"/>
        </w:rPr>
        <w:t>é</w:t>
      </w:r>
      <w:r w:rsidR="009D2C1D" w:rsidRPr="00FE3799">
        <w:rPr>
          <w:rFonts w:asciiTheme="majorHAnsi" w:hAnsiTheme="majorHAnsi" w:cs="Calibri"/>
          <w:color w:val="auto"/>
          <w:sz w:val="20"/>
          <w:szCs w:val="20"/>
          <w:lang w:val="es-ES_tradnl"/>
        </w:rPr>
        <w:t>s de ocurridos los hechos</w:t>
      </w:r>
      <w:r w:rsidR="00774E24" w:rsidRPr="00FE3799">
        <w:rPr>
          <w:rFonts w:asciiTheme="majorHAnsi" w:hAnsiTheme="majorHAnsi" w:cs="Calibri"/>
          <w:color w:val="auto"/>
          <w:sz w:val="20"/>
          <w:szCs w:val="20"/>
          <w:lang w:val="es-ES_tradnl"/>
        </w:rPr>
        <w:t xml:space="preserve">. </w:t>
      </w:r>
      <w:r w:rsidR="00AE55E6" w:rsidRPr="00FE3799">
        <w:rPr>
          <w:rFonts w:asciiTheme="majorHAnsi" w:hAnsiTheme="majorHAnsi"/>
          <w:color w:val="auto"/>
          <w:sz w:val="20"/>
          <w:szCs w:val="20"/>
          <w:lang w:val="es-419"/>
        </w:rPr>
        <w:t xml:space="preserve">Sin embargo, </w:t>
      </w:r>
      <w:r w:rsidR="00AE55E6" w:rsidRPr="00FE3799">
        <w:rPr>
          <w:rFonts w:asciiTheme="majorHAnsi" w:hAnsiTheme="majorHAnsi"/>
          <w:color w:val="auto"/>
          <w:sz w:val="20"/>
          <w:szCs w:val="20"/>
          <w:bdr w:val="none" w:sz="0" w:space="0" w:color="auto" w:frame="1"/>
          <w:lang w:val="es-VE"/>
        </w:rPr>
        <w:t xml:space="preserve">el Estado no presenta </w:t>
      </w:r>
      <w:r w:rsidR="009D2C1D" w:rsidRPr="00FE3799">
        <w:rPr>
          <w:rFonts w:asciiTheme="majorHAnsi" w:hAnsiTheme="majorHAnsi"/>
          <w:color w:val="auto"/>
          <w:sz w:val="20"/>
          <w:szCs w:val="20"/>
          <w:bdr w:val="none" w:sz="0" w:space="0" w:color="auto" w:frame="1"/>
          <w:lang w:val="es-VE"/>
        </w:rPr>
        <w:t>información</w:t>
      </w:r>
      <w:r w:rsidR="002E60FE" w:rsidRPr="00FE3799">
        <w:rPr>
          <w:rFonts w:asciiTheme="majorHAnsi" w:hAnsiTheme="majorHAnsi"/>
          <w:color w:val="auto"/>
          <w:sz w:val="20"/>
          <w:szCs w:val="20"/>
          <w:bdr w:val="none" w:sz="0" w:space="0" w:color="auto" w:frame="1"/>
          <w:lang w:val="es-VE"/>
        </w:rPr>
        <w:t xml:space="preserve"> </w:t>
      </w:r>
      <w:r w:rsidR="00AE55E6" w:rsidRPr="00FE3799">
        <w:rPr>
          <w:rFonts w:asciiTheme="majorHAnsi" w:hAnsiTheme="majorHAnsi" w:cs="Calibri"/>
          <w:color w:val="auto"/>
          <w:sz w:val="20"/>
          <w:szCs w:val="20"/>
          <w:bdr w:val="none" w:sz="0" w:space="0" w:color="auto" w:frame="1"/>
          <w:lang w:val="es-ES_tradnl"/>
        </w:rPr>
        <w:t xml:space="preserve">sobre el inicio de investigaciones penales emprendidas por autoridades competentes respecto al caso particular. </w:t>
      </w:r>
      <w:r w:rsidR="00CD6771" w:rsidRPr="00FE3799">
        <w:rPr>
          <w:rFonts w:asciiTheme="majorHAnsi" w:hAnsiTheme="majorHAnsi" w:cs="Calibri"/>
          <w:color w:val="auto"/>
          <w:sz w:val="20"/>
          <w:szCs w:val="20"/>
          <w:lang w:val="es-ES"/>
        </w:rPr>
        <w:t xml:space="preserve">La Comisión </w:t>
      </w:r>
      <w:r w:rsidR="00012143" w:rsidRPr="00FE3799">
        <w:rPr>
          <w:rFonts w:asciiTheme="majorHAnsi" w:hAnsiTheme="majorHAnsi" w:cs="Calibri"/>
          <w:color w:val="auto"/>
          <w:sz w:val="20"/>
          <w:szCs w:val="20"/>
          <w:lang w:val="es-ES"/>
        </w:rPr>
        <w:t xml:space="preserve">toma nota </w:t>
      </w:r>
      <w:r w:rsidR="00CD6771" w:rsidRPr="00FE3799">
        <w:rPr>
          <w:rFonts w:asciiTheme="majorHAnsi" w:hAnsiTheme="majorHAnsi" w:cs="Calibri"/>
          <w:color w:val="auto"/>
          <w:sz w:val="20"/>
          <w:szCs w:val="20"/>
          <w:lang w:val="es-ES"/>
        </w:rPr>
        <w:t xml:space="preserve">que, </w:t>
      </w:r>
      <w:r w:rsidR="00CD6771" w:rsidRPr="00FE3799">
        <w:rPr>
          <w:rFonts w:asciiTheme="majorHAnsi" w:hAnsiTheme="majorHAnsi"/>
          <w:color w:val="auto"/>
          <w:sz w:val="20"/>
          <w:szCs w:val="20"/>
          <w:lang w:val="es-ES"/>
        </w:rPr>
        <w:t xml:space="preserve">de </w:t>
      </w:r>
      <w:r w:rsidR="009D2C1D" w:rsidRPr="00FE3799">
        <w:rPr>
          <w:rFonts w:asciiTheme="majorHAnsi" w:hAnsiTheme="majorHAnsi"/>
          <w:color w:val="auto"/>
          <w:sz w:val="20"/>
          <w:szCs w:val="20"/>
          <w:lang w:val="es-ES"/>
        </w:rPr>
        <w:t xml:space="preserve">la </w:t>
      </w:r>
      <w:r w:rsidR="00CD6771" w:rsidRPr="00FE3799">
        <w:rPr>
          <w:rFonts w:asciiTheme="majorHAnsi" w:hAnsiTheme="majorHAnsi"/>
          <w:color w:val="auto"/>
          <w:sz w:val="20"/>
          <w:szCs w:val="20"/>
          <w:lang w:val="es-ES"/>
        </w:rPr>
        <w:t xml:space="preserve">información disponible en el expediente, los familiares </w:t>
      </w:r>
      <w:r w:rsidR="00CD6771" w:rsidRPr="00FE3799">
        <w:rPr>
          <w:rFonts w:asciiTheme="majorHAnsi" w:hAnsiTheme="majorHAnsi"/>
          <w:color w:val="auto"/>
          <w:sz w:val="20"/>
          <w:szCs w:val="20"/>
          <w:lang w:val="es-VE"/>
        </w:rPr>
        <w:t xml:space="preserve">no presentaron </w:t>
      </w:r>
      <w:r w:rsidR="009D2C1D" w:rsidRPr="00FE3799">
        <w:rPr>
          <w:rFonts w:asciiTheme="majorHAnsi" w:hAnsiTheme="majorHAnsi"/>
          <w:color w:val="auto"/>
          <w:sz w:val="20"/>
          <w:szCs w:val="20"/>
          <w:lang w:val="es-VE"/>
        </w:rPr>
        <w:t xml:space="preserve">una </w:t>
      </w:r>
      <w:r w:rsidR="00CD6771" w:rsidRPr="00FE3799">
        <w:rPr>
          <w:rFonts w:asciiTheme="majorHAnsi" w:hAnsiTheme="majorHAnsi"/>
          <w:color w:val="auto"/>
          <w:sz w:val="20"/>
          <w:szCs w:val="20"/>
          <w:lang w:val="es-VE"/>
        </w:rPr>
        <w:t>denuncia en el tiempo en que sucedió el hecho como consecuencia de</w:t>
      </w:r>
      <w:r w:rsidR="009D2C1D" w:rsidRPr="00FE3799">
        <w:rPr>
          <w:rFonts w:asciiTheme="majorHAnsi" w:hAnsiTheme="majorHAnsi"/>
          <w:color w:val="auto"/>
          <w:sz w:val="20"/>
          <w:szCs w:val="20"/>
          <w:lang w:val="es-VE"/>
        </w:rPr>
        <w:t>l miedo y</w:t>
      </w:r>
      <w:r w:rsidR="00CD6771" w:rsidRPr="00FE3799">
        <w:rPr>
          <w:rFonts w:asciiTheme="majorHAnsi" w:hAnsiTheme="majorHAnsi"/>
          <w:color w:val="auto"/>
          <w:sz w:val="20"/>
          <w:szCs w:val="20"/>
          <w:lang w:val="es-VE"/>
        </w:rPr>
        <w:t xml:space="preserve"> la represión ejercida en contra de la población como parte de la política y práctica del Estado, por el </w:t>
      </w:r>
      <w:r w:rsidR="00012143" w:rsidRPr="00FE3799">
        <w:rPr>
          <w:rFonts w:asciiTheme="majorHAnsi" w:hAnsiTheme="majorHAnsi"/>
          <w:color w:val="auto"/>
          <w:sz w:val="20"/>
          <w:szCs w:val="20"/>
          <w:lang w:val="es-VE"/>
        </w:rPr>
        <w:t>contrario,</w:t>
      </w:r>
      <w:r w:rsidR="00CD6771" w:rsidRPr="00FE3799">
        <w:rPr>
          <w:rFonts w:asciiTheme="majorHAnsi" w:hAnsiTheme="majorHAnsi"/>
          <w:color w:val="auto"/>
          <w:sz w:val="20"/>
          <w:szCs w:val="20"/>
          <w:lang w:val="es-VE"/>
        </w:rPr>
        <w:t xml:space="preserve"> los familiares acudieron en la búsqueda en hospitales, cárceles y morgues, y luego presentaron la mencionada acción de exhibición personal</w:t>
      </w:r>
      <w:r w:rsidR="009D2C1D" w:rsidRPr="00FE3799">
        <w:rPr>
          <w:rFonts w:asciiTheme="majorHAnsi" w:hAnsiTheme="majorHAnsi"/>
          <w:color w:val="auto"/>
          <w:sz w:val="20"/>
          <w:szCs w:val="20"/>
          <w:lang w:val="es-VE"/>
        </w:rPr>
        <w:t>, una vez terminad</w:t>
      </w:r>
      <w:r w:rsidR="0096481C" w:rsidRPr="00FE3799">
        <w:rPr>
          <w:rFonts w:asciiTheme="majorHAnsi" w:hAnsiTheme="majorHAnsi"/>
          <w:color w:val="auto"/>
          <w:sz w:val="20"/>
          <w:szCs w:val="20"/>
          <w:lang w:val="es-VE"/>
        </w:rPr>
        <w:t>o</w:t>
      </w:r>
      <w:r w:rsidR="009D2C1D" w:rsidRPr="00FE3799">
        <w:rPr>
          <w:rFonts w:asciiTheme="majorHAnsi" w:hAnsiTheme="majorHAnsi"/>
          <w:color w:val="auto"/>
          <w:sz w:val="20"/>
          <w:szCs w:val="20"/>
          <w:lang w:val="es-VE"/>
        </w:rPr>
        <w:t xml:space="preserve"> el conflicto</w:t>
      </w:r>
      <w:r w:rsidR="00CD6771" w:rsidRPr="00FE3799">
        <w:rPr>
          <w:rFonts w:asciiTheme="majorHAnsi" w:hAnsiTheme="majorHAnsi"/>
          <w:color w:val="auto"/>
          <w:sz w:val="20"/>
          <w:szCs w:val="20"/>
          <w:lang w:val="es-ES"/>
        </w:rPr>
        <w:t xml:space="preserve">.  Al respecto, la Comisión considera que tratándose </w:t>
      </w:r>
      <w:r w:rsidR="00CD6771" w:rsidRPr="00FE3799">
        <w:rPr>
          <w:rFonts w:asciiTheme="majorHAnsi" w:hAnsiTheme="majorHAnsi" w:cs="Calibri"/>
          <w:color w:val="auto"/>
          <w:sz w:val="20"/>
          <w:szCs w:val="20"/>
          <w:lang w:val="es-ES_tradnl"/>
        </w:rPr>
        <w:t xml:space="preserve">de casos como el presente, que involucran posibles violaciones a </w:t>
      </w:r>
      <w:r w:rsidR="00012143" w:rsidRPr="00FE3799">
        <w:rPr>
          <w:rFonts w:asciiTheme="majorHAnsi" w:hAnsiTheme="majorHAnsi"/>
          <w:sz w:val="20"/>
          <w:szCs w:val="20"/>
          <w:lang w:val="es-VE"/>
        </w:rPr>
        <w:t>derechos como la vida e integridad personal</w:t>
      </w:r>
      <w:r w:rsidR="00CD6771" w:rsidRPr="00FE3799">
        <w:rPr>
          <w:rFonts w:asciiTheme="majorHAnsi" w:hAnsiTheme="majorHAnsi" w:cs="Calibri"/>
          <w:color w:val="auto"/>
          <w:sz w:val="20"/>
          <w:szCs w:val="20"/>
          <w:lang w:val="es-ES_tradnl"/>
        </w:rPr>
        <w:t>, esto es, perseguibles de oficio, el Estado tiene la obligación de investigarlos</w:t>
      </w:r>
      <w:r w:rsidR="00012143" w:rsidRPr="00FE3799">
        <w:rPr>
          <w:rFonts w:asciiTheme="majorHAnsi" w:hAnsiTheme="majorHAnsi" w:cs="Calibri"/>
          <w:color w:val="auto"/>
          <w:sz w:val="20"/>
          <w:szCs w:val="20"/>
          <w:lang w:val="es-ES_tradnl"/>
        </w:rPr>
        <w:t xml:space="preserve"> asumiendo e</w:t>
      </w:r>
      <w:r w:rsidR="00CD6771" w:rsidRPr="00FE3799">
        <w:rPr>
          <w:rFonts w:asciiTheme="majorHAnsi" w:hAnsiTheme="majorHAnsi" w:cs="Calibri"/>
          <w:color w:val="auto"/>
          <w:sz w:val="20"/>
          <w:szCs w:val="20"/>
          <w:lang w:val="es-ES_tradnl"/>
        </w:rPr>
        <w:t>sta carga como un deber jurídico propio, y no como una gestión de intereses de particulares o que dependa de la iniciativa de éstos o de la aportación de pruebas por parte de los mismos</w:t>
      </w:r>
      <w:r w:rsidR="00CD6771" w:rsidRPr="00FE3799">
        <w:rPr>
          <w:rStyle w:val="FootnoteReference"/>
          <w:rFonts w:asciiTheme="majorHAnsi" w:hAnsiTheme="majorHAnsi" w:cs="Calibri"/>
          <w:color w:val="auto"/>
          <w:sz w:val="20"/>
          <w:szCs w:val="20"/>
        </w:rPr>
        <w:footnoteReference w:id="9"/>
      </w:r>
      <w:r w:rsidR="00CD6771" w:rsidRPr="00FE3799">
        <w:rPr>
          <w:rFonts w:asciiTheme="majorHAnsi" w:hAnsiTheme="majorHAnsi" w:cs="Calibri"/>
          <w:color w:val="auto"/>
          <w:sz w:val="20"/>
          <w:szCs w:val="20"/>
          <w:lang w:val="es-ES_tradnl"/>
        </w:rPr>
        <w:t>.</w:t>
      </w:r>
      <w:r w:rsidR="00CD6771" w:rsidRPr="00FE3799">
        <w:rPr>
          <w:rFonts w:asciiTheme="majorHAnsi" w:hAnsiTheme="majorHAnsi"/>
          <w:color w:val="auto"/>
          <w:sz w:val="20"/>
          <w:szCs w:val="20"/>
          <w:lang w:val="es-ES_tradnl"/>
        </w:rPr>
        <w:t xml:space="preserve"> </w:t>
      </w:r>
      <w:r w:rsidR="00012143" w:rsidRPr="00FE3799">
        <w:rPr>
          <w:rFonts w:asciiTheme="majorHAnsi" w:hAnsiTheme="majorHAnsi"/>
          <w:color w:val="auto"/>
          <w:sz w:val="20"/>
          <w:szCs w:val="20"/>
          <w:lang w:val="es-ES_tradnl"/>
        </w:rPr>
        <w:t>L</w:t>
      </w:r>
      <w:r w:rsidR="00012143" w:rsidRPr="00FE3799">
        <w:rPr>
          <w:rFonts w:asciiTheme="majorHAnsi" w:hAnsiTheme="majorHAnsi"/>
          <w:color w:val="auto"/>
          <w:sz w:val="20"/>
          <w:szCs w:val="20"/>
          <w:lang w:val="es-ES"/>
        </w:rPr>
        <w:t>a Comisión observa que pretender</w:t>
      </w:r>
      <w:r w:rsidR="00012143" w:rsidRPr="00FE3799">
        <w:rPr>
          <w:rFonts w:asciiTheme="majorHAnsi" w:hAnsiTheme="majorHAnsi" w:cs="Calibri"/>
          <w:color w:val="auto"/>
          <w:sz w:val="20"/>
          <w:szCs w:val="20"/>
          <w:lang w:val="es-ES_tradnl"/>
        </w:rPr>
        <w:t xml:space="preserve"> que los familiares de la presunta víctima asuman esas responsabilidades, no sólo sería incongruente con la jurisprudencia del sistema, sino que impondría también una carga desigual a quienes, en general, carecen de los medios y de la idoneidad para descargar esas responsabilidades.</w:t>
      </w:r>
    </w:p>
    <w:p w14:paraId="5DEDBC66" w14:textId="6C8071C0" w:rsidR="00860F25" w:rsidRPr="00FE3799" w:rsidRDefault="00734507" w:rsidP="00FF7B1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lang w:val="es-VE"/>
        </w:rPr>
      </w:pPr>
      <w:r w:rsidRPr="00FE3799">
        <w:rPr>
          <w:rFonts w:asciiTheme="majorHAnsi" w:hAnsiTheme="majorHAnsi" w:cs="Calibri"/>
          <w:color w:val="auto"/>
          <w:sz w:val="20"/>
          <w:szCs w:val="20"/>
          <w:lang w:val="es-ES_tradnl"/>
        </w:rPr>
        <w:t>Asimismo,</w:t>
      </w:r>
      <w:r w:rsidR="00012143" w:rsidRPr="00FE3799">
        <w:rPr>
          <w:rFonts w:asciiTheme="majorHAnsi" w:hAnsiTheme="majorHAnsi" w:cs="Calibri"/>
          <w:color w:val="auto"/>
          <w:sz w:val="20"/>
          <w:szCs w:val="20"/>
          <w:lang w:val="es-ES_tradnl"/>
        </w:rPr>
        <w:t xml:space="preserve"> </w:t>
      </w:r>
      <w:r w:rsidR="00FF7B13" w:rsidRPr="00FE3799">
        <w:rPr>
          <w:rFonts w:asciiTheme="majorHAnsi" w:eastAsia="Times New Roman" w:hAnsiTheme="majorHAnsi" w:cs="Calibri"/>
          <w:color w:val="auto"/>
          <w:sz w:val="20"/>
          <w:szCs w:val="20"/>
          <w:bdr w:val="none" w:sz="0" w:space="0" w:color="auto"/>
          <w:lang w:val="es-ES_tradnl" w:eastAsia="en-US"/>
        </w:rPr>
        <w:t>la CIDH recuerda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FF7B13" w:rsidRPr="00FE3799">
        <w:rPr>
          <w:rFonts w:asciiTheme="majorHAnsi" w:eastAsia="Times New Roman" w:hAnsiTheme="majorHAnsi" w:cs="Calibri"/>
          <w:color w:val="auto"/>
          <w:sz w:val="20"/>
          <w:szCs w:val="20"/>
          <w:bdr w:val="none" w:sz="0" w:space="0" w:color="auto"/>
          <w:vertAlign w:val="superscript"/>
          <w:lang w:val="es-ES_tradnl" w:eastAsia="en-US"/>
        </w:rPr>
        <w:footnoteReference w:id="10"/>
      </w:r>
      <w:r w:rsidR="00FF7B13" w:rsidRPr="00FE3799">
        <w:rPr>
          <w:rFonts w:asciiTheme="majorHAnsi" w:eastAsia="Times New Roman" w:hAnsiTheme="majorHAnsi" w:cs="Calibri"/>
          <w:color w:val="auto"/>
          <w:sz w:val="20"/>
          <w:szCs w:val="20"/>
          <w:bdr w:val="none" w:sz="0" w:space="0" w:color="auto"/>
          <w:lang w:val="es-ES_tradnl" w:eastAsia="en-US"/>
        </w:rPr>
        <w:t xml:space="preserve">. </w:t>
      </w:r>
      <w:r w:rsidR="00D13C88" w:rsidRPr="00FE3799">
        <w:rPr>
          <w:rFonts w:asciiTheme="majorHAnsi" w:hAnsiTheme="majorHAnsi" w:cs="Calibri"/>
          <w:color w:val="auto"/>
          <w:sz w:val="20"/>
          <w:szCs w:val="20"/>
          <w:lang w:val="es-ES_tradnl"/>
        </w:rPr>
        <w:t xml:space="preserve">Sobre la base de los factores señalados, </w:t>
      </w:r>
      <w:r w:rsidR="00AE55E6" w:rsidRPr="00FE3799">
        <w:rPr>
          <w:rFonts w:asciiTheme="majorHAnsi" w:hAnsiTheme="majorHAnsi" w:cs="Calibri"/>
          <w:color w:val="auto"/>
          <w:sz w:val="20"/>
          <w:szCs w:val="20"/>
          <w:lang w:val="es-VE"/>
        </w:rPr>
        <w:t>la Comisión considera que los familiares de la presunta víctima agotaron los recursos internos disponibles</w:t>
      </w:r>
      <w:r w:rsidR="00FF7B13" w:rsidRPr="00FE3799">
        <w:rPr>
          <w:rFonts w:asciiTheme="majorHAnsi" w:hAnsiTheme="majorHAnsi" w:cs="Calibri"/>
          <w:color w:val="auto"/>
          <w:sz w:val="20"/>
          <w:szCs w:val="20"/>
          <w:lang w:val="es-VE"/>
        </w:rPr>
        <w:t xml:space="preserve"> </w:t>
      </w:r>
      <w:r w:rsidR="00AE55E6" w:rsidRPr="00FE3799">
        <w:rPr>
          <w:rFonts w:asciiTheme="majorHAnsi" w:hAnsiTheme="majorHAnsi" w:cs="Calibri"/>
          <w:color w:val="auto"/>
          <w:sz w:val="20"/>
          <w:szCs w:val="20"/>
          <w:lang w:val="es-VE"/>
        </w:rPr>
        <w:t>con la decisión de la Corte Constitucional del 14 de diciembre de 2007 y la petición fue recibida en la CIDH el 9 de junio de 2008. Por lo tanto, la Comisión Interamericana concluye que la misma cumple con los requisitos de admisibilidad establecidos en los artículos 46.1.a y 46.1.b de la Convención Americana.</w:t>
      </w:r>
    </w:p>
    <w:p w14:paraId="4FFBE378" w14:textId="64322DE9" w:rsidR="003239B8" w:rsidRPr="00FE3799" w:rsidRDefault="003239B8" w:rsidP="003239B8">
      <w:pPr>
        <w:pStyle w:val="ListParagraph"/>
        <w:spacing w:before="240" w:after="240"/>
        <w:jc w:val="both"/>
        <w:rPr>
          <w:rFonts w:asciiTheme="majorHAnsi" w:hAnsiTheme="majorHAnsi"/>
          <w:b/>
          <w:sz w:val="20"/>
          <w:szCs w:val="20"/>
          <w:lang w:val="es-VE"/>
        </w:rPr>
      </w:pPr>
      <w:r w:rsidRPr="00FE3799">
        <w:rPr>
          <w:rFonts w:asciiTheme="majorHAnsi" w:hAnsiTheme="majorHAnsi"/>
          <w:b/>
          <w:bCs/>
          <w:sz w:val="20"/>
          <w:szCs w:val="20"/>
          <w:lang w:val="es-VE"/>
        </w:rPr>
        <w:t>VII.</w:t>
      </w:r>
      <w:r w:rsidRPr="00FE3799">
        <w:rPr>
          <w:rFonts w:asciiTheme="majorHAnsi" w:hAnsiTheme="majorHAnsi"/>
          <w:b/>
          <w:bCs/>
          <w:sz w:val="20"/>
          <w:szCs w:val="20"/>
          <w:lang w:val="es-VE"/>
        </w:rPr>
        <w:tab/>
      </w:r>
      <w:r w:rsidR="004A6A54" w:rsidRPr="00FE3799">
        <w:rPr>
          <w:rFonts w:asciiTheme="majorHAnsi" w:hAnsiTheme="majorHAnsi"/>
          <w:b/>
          <w:bCs/>
          <w:sz w:val="20"/>
          <w:szCs w:val="20"/>
          <w:lang w:val="es-VE"/>
        </w:rPr>
        <w:t xml:space="preserve">ANÁLISIS DE </w:t>
      </w:r>
      <w:r w:rsidR="00C21FEF" w:rsidRPr="00FE3799">
        <w:rPr>
          <w:rFonts w:asciiTheme="majorHAnsi" w:hAnsiTheme="majorHAnsi"/>
          <w:b/>
          <w:bCs/>
          <w:sz w:val="20"/>
          <w:szCs w:val="20"/>
          <w:lang w:val="es-VE"/>
        </w:rPr>
        <w:t>CARACTERIZACIÓN DE LOS HECHOS ALEGADOS</w:t>
      </w:r>
    </w:p>
    <w:p w14:paraId="0D524F5C" w14:textId="04F1839A" w:rsidR="00A11E44" w:rsidRPr="00FE3799" w:rsidRDefault="00C404F1" w:rsidP="00DA58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VE"/>
        </w:rPr>
      </w:pPr>
      <w:r w:rsidRPr="00FE3799">
        <w:rPr>
          <w:rFonts w:asciiTheme="majorHAnsi" w:hAnsiTheme="majorHAnsi"/>
          <w:sz w:val="20"/>
          <w:szCs w:val="20"/>
          <w:lang w:val="es-ES"/>
        </w:rPr>
        <w:t xml:space="preserve">La Comisión observa que la presente petición incluye alegaciones con respecto a </w:t>
      </w:r>
      <w:r w:rsidRPr="00FE3799">
        <w:rPr>
          <w:rFonts w:asciiTheme="majorHAnsi" w:hAnsiTheme="majorHAnsi"/>
          <w:sz w:val="20"/>
          <w:szCs w:val="20"/>
          <w:lang w:val="es-AR"/>
        </w:rPr>
        <w:t xml:space="preserve">la desaparición forzada de la presunta víctima, el retraso injustificado en la identificación de los responsables y la falta la protección judicial efectiva. </w:t>
      </w:r>
      <w:r w:rsidRPr="00FE3799">
        <w:rPr>
          <w:rFonts w:asciiTheme="majorHAnsi" w:hAnsiTheme="majorHAnsi"/>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sidRPr="00FE3799">
        <w:rPr>
          <w:rFonts w:asciiTheme="majorHAnsi" w:hAnsiTheme="majorHAnsi"/>
          <w:sz w:val="20"/>
          <w:szCs w:val="20"/>
          <w:lang w:val="es-AR"/>
        </w:rPr>
        <w:t>artículos 3 (derecho al reconocimiento de la personalidad jurídica), 4 (derecho a la vida), 5 (derecho a la integridad personal), 7 (derecho a la libertad personal), 8 (garantías judiciales),</w:t>
      </w:r>
      <w:r w:rsidR="009C3E42" w:rsidRPr="00FE3799">
        <w:rPr>
          <w:rFonts w:asciiTheme="majorHAnsi" w:hAnsiTheme="majorHAnsi"/>
          <w:sz w:val="20"/>
          <w:szCs w:val="20"/>
          <w:lang w:val="es-AR"/>
        </w:rPr>
        <w:t xml:space="preserve"> </w:t>
      </w:r>
      <w:r w:rsidR="009C3E42" w:rsidRPr="00FE3799">
        <w:rPr>
          <w:rFonts w:asciiTheme="majorHAnsi" w:hAnsiTheme="majorHAnsi"/>
          <w:bCs/>
          <w:sz w:val="20"/>
          <w:szCs w:val="20"/>
          <w:lang w:val="es-VE"/>
        </w:rPr>
        <w:t>17 (protección a la familia), 19 (derechos del niño)</w:t>
      </w:r>
      <w:r w:rsidRPr="00FE3799">
        <w:rPr>
          <w:rFonts w:asciiTheme="majorHAnsi" w:hAnsiTheme="majorHAnsi"/>
          <w:sz w:val="20"/>
          <w:szCs w:val="20"/>
          <w:lang w:val="es-AR"/>
        </w:rPr>
        <w:t xml:space="preserve"> y 25 (protección judicial) de la Convención Americana en relación con su artículo 1.1 (obligación de respetar los derechos), así como el artículo I de la Convención Interamericana sobre Desaparición Forzada de Personas, en perjuicio de la presunta víctima y sus familiares.</w:t>
      </w:r>
    </w:p>
    <w:p w14:paraId="272A5DDC" w14:textId="6FAC477A" w:rsidR="00C404F1" w:rsidRPr="00FE3799" w:rsidRDefault="00C404F1" w:rsidP="00DA58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FE3799">
        <w:rPr>
          <w:rFonts w:asciiTheme="majorHAnsi" w:hAnsiTheme="majorHAnsi"/>
          <w:sz w:val="20"/>
          <w:szCs w:val="20"/>
          <w:lang w:val="es-ES_tradnl"/>
        </w:rPr>
        <w:t>Por otra parte, e</w:t>
      </w:r>
      <w:r w:rsidRPr="00FE3799">
        <w:rPr>
          <w:rFonts w:asciiTheme="majorHAnsi" w:hAnsiTheme="majorHAnsi"/>
          <w:sz w:val="20"/>
          <w:szCs w:val="20"/>
          <w:lang w:val="es-ES"/>
        </w:rPr>
        <w:t xml:space="preserve">n cuanto al reclamo sobre la presunta violación de los artículos </w:t>
      </w:r>
      <w:r w:rsidRPr="00FE3799">
        <w:rPr>
          <w:rFonts w:asciiTheme="majorHAnsi" w:hAnsiTheme="majorHAnsi"/>
          <w:bCs/>
          <w:sz w:val="20"/>
          <w:szCs w:val="20"/>
          <w:lang w:val="es-VE"/>
        </w:rPr>
        <w:t>10 (derecho a indemnización)</w:t>
      </w:r>
      <w:r w:rsidR="009C3E42" w:rsidRPr="00FE3799">
        <w:rPr>
          <w:rFonts w:asciiTheme="majorHAnsi" w:hAnsiTheme="majorHAnsi"/>
          <w:bCs/>
          <w:sz w:val="20"/>
          <w:szCs w:val="20"/>
          <w:lang w:val="es-VE"/>
        </w:rPr>
        <w:t xml:space="preserve"> y </w:t>
      </w:r>
      <w:r w:rsidRPr="00FE3799">
        <w:rPr>
          <w:rFonts w:asciiTheme="majorHAnsi" w:hAnsiTheme="majorHAnsi"/>
          <w:bCs/>
          <w:sz w:val="20"/>
          <w:szCs w:val="20"/>
          <w:lang w:val="es-VE"/>
        </w:rPr>
        <w:t xml:space="preserve">11 (protección de la honra y de la dignidad), </w:t>
      </w:r>
      <w:r w:rsidRPr="00FE3799">
        <w:rPr>
          <w:rFonts w:asciiTheme="majorHAnsi" w:hAnsiTheme="majorHAnsi"/>
          <w:sz w:val="20"/>
          <w:szCs w:val="20"/>
          <w:lang w:val="es-ES"/>
        </w:rPr>
        <w:t xml:space="preserve">de la Convención Americana, la Comisión </w:t>
      </w:r>
      <w:r w:rsidRPr="00FE3799">
        <w:rPr>
          <w:rFonts w:asciiTheme="majorHAnsi" w:hAnsiTheme="majorHAnsi"/>
          <w:sz w:val="20"/>
          <w:szCs w:val="20"/>
          <w:lang w:val="es-ES"/>
        </w:rPr>
        <w:lastRenderedPageBreak/>
        <w:t xml:space="preserve">observa que la parte peticionaria no ha ofrecido alegatos o sustento suficiente que permita considerar </w:t>
      </w:r>
      <w:r w:rsidRPr="00FE3799">
        <w:rPr>
          <w:rFonts w:asciiTheme="majorHAnsi" w:hAnsiTheme="majorHAnsi"/>
          <w:i/>
          <w:iCs/>
          <w:sz w:val="20"/>
          <w:szCs w:val="20"/>
          <w:lang w:val="es-ES"/>
        </w:rPr>
        <w:t>prima facie</w:t>
      </w:r>
      <w:r w:rsidRPr="00FE3799">
        <w:rPr>
          <w:rFonts w:asciiTheme="majorHAnsi" w:hAnsiTheme="majorHAnsi"/>
          <w:sz w:val="20"/>
          <w:szCs w:val="20"/>
          <w:lang w:val="es-ES"/>
        </w:rPr>
        <w:t xml:space="preserve"> su posible violación.</w:t>
      </w:r>
    </w:p>
    <w:p w14:paraId="7D280BA8" w14:textId="77777777" w:rsidR="00C404F1" w:rsidRPr="00FE3799" w:rsidRDefault="00C404F1" w:rsidP="00C404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B4A3987" w14:textId="138E6A8F" w:rsidR="00F704FA" w:rsidRPr="00FE3799" w:rsidRDefault="00F704FA" w:rsidP="00DA58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FE3799">
        <w:rPr>
          <w:rFonts w:asciiTheme="majorHAnsi" w:hAnsiTheme="majorHAnsi"/>
          <w:sz w:val="20"/>
          <w:szCs w:val="20"/>
          <w:lang w:val="es-ES"/>
        </w:rPr>
        <w:t xml:space="preserve">En relación a la competencia </w:t>
      </w:r>
      <w:r w:rsidRPr="00FE3799">
        <w:rPr>
          <w:rFonts w:asciiTheme="majorHAnsi" w:hAnsiTheme="majorHAnsi"/>
          <w:i/>
          <w:sz w:val="20"/>
          <w:szCs w:val="20"/>
          <w:lang w:val="es-ES"/>
        </w:rPr>
        <w:t>ratione temporis</w:t>
      </w:r>
      <w:r w:rsidRPr="00FE3799">
        <w:rPr>
          <w:rFonts w:asciiTheme="majorHAnsi" w:hAnsiTheme="majorHAnsi"/>
          <w:sz w:val="20"/>
          <w:szCs w:val="20"/>
          <w:lang w:val="es-ES"/>
        </w:rPr>
        <w:t xml:space="preserve"> y </w:t>
      </w:r>
      <w:r w:rsidRPr="00FE3799">
        <w:rPr>
          <w:rFonts w:asciiTheme="majorHAnsi" w:hAnsiTheme="majorHAnsi"/>
          <w:i/>
          <w:sz w:val="20"/>
          <w:szCs w:val="20"/>
          <w:lang w:val="es-ES"/>
        </w:rPr>
        <w:t>ratione materiae</w:t>
      </w:r>
      <w:r w:rsidRPr="00FE3799">
        <w:rPr>
          <w:rFonts w:asciiTheme="majorHAnsi" w:hAnsiTheme="majorHAnsi"/>
          <w:sz w:val="20"/>
          <w:szCs w:val="20"/>
          <w:lang w:val="es-ES"/>
        </w:rPr>
        <w:t>, la Comisión analizará los hechos del presente caso a la luz de las obligaciones establecidas en la Convención Interamericana sobre Desaparición Forzada de Personas respecto de aquellos hechos ocurridos con posterioridad a su entrada en vigor o cuya ejecución continuó luego de la entrada en vigor de dichos instrumentos para el Estado de Guatemala.</w:t>
      </w:r>
    </w:p>
    <w:p w14:paraId="29BB41F5" w14:textId="77777777" w:rsidR="003239B8" w:rsidRPr="00FE3799" w:rsidRDefault="003239B8" w:rsidP="003239B8">
      <w:pPr>
        <w:pStyle w:val="ListParagraph"/>
        <w:spacing w:before="240" w:after="240"/>
        <w:jc w:val="both"/>
        <w:rPr>
          <w:rFonts w:asciiTheme="majorHAnsi" w:hAnsiTheme="majorHAnsi"/>
          <w:b/>
          <w:bCs/>
          <w:sz w:val="20"/>
          <w:szCs w:val="20"/>
          <w:lang w:val="es-VE"/>
        </w:rPr>
      </w:pPr>
      <w:r w:rsidRPr="00FE3799">
        <w:rPr>
          <w:rFonts w:asciiTheme="majorHAnsi" w:hAnsiTheme="majorHAnsi"/>
          <w:b/>
          <w:bCs/>
          <w:sz w:val="20"/>
          <w:szCs w:val="20"/>
          <w:lang w:val="es-VE"/>
        </w:rPr>
        <w:t xml:space="preserve">VIII. </w:t>
      </w:r>
      <w:r w:rsidRPr="00FE3799">
        <w:rPr>
          <w:rFonts w:asciiTheme="majorHAnsi" w:hAnsiTheme="majorHAnsi"/>
          <w:b/>
          <w:bCs/>
          <w:sz w:val="20"/>
          <w:szCs w:val="20"/>
          <w:lang w:val="es-VE"/>
        </w:rPr>
        <w:tab/>
        <w:t>DECISIÓN</w:t>
      </w:r>
    </w:p>
    <w:p w14:paraId="0FDE1D10" w14:textId="25004803" w:rsidR="003239B8" w:rsidRPr="00FE3799" w:rsidRDefault="003239B8" w:rsidP="00DA58F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VE"/>
        </w:rPr>
      </w:pPr>
      <w:r w:rsidRPr="00FE3799">
        <w:rPr>
          <w:rFonts w:asciiTheme="majorHAnsi" w:hAnsiTheme="majorHAnsi"/>
          <w:sz w:val="20"/>
          <w:szCs w:val="20"/>
          <w:lang w:val="es-VE"/>
        </w:rPr>
        <w:t xml:space="preserve">Declarar admisible la presente petición en relación con </w:t>
      </w:r>
      <w:r w:rsidR="00C404F1" w:rsidRPr="00FE3799">
        <w:rPr>
          <w:rFonts w:asciiTheme="majorHAnsi" w:hAnsiTheme="majorHAnsi"/>
          <w:sz w:val="20"/>
          <w:szCs w:val="20"/>
          <w:lang w:val="es-ES"/>
        </w:rPr>
        <w:t xml:space="preserve">los </w:t>
      </w:r>
      <w:r w:rsidR="00C404F1" w:rsidRPr="00FE3799">
        <w:rPr>
          <w:rFonts w:asciiTheme="majorHAnsi" w:hAnsiTheme="majorHAnsi"/>
          <w:sz w:val="20"/>
          <w:szCs w:val="20"/>
          <w:lang w:val="es-AR"/>
        </w:rPr>
        <w:t>artículos 3, 4, 5, 7, 8</w:t>
      </w:r>
      <w:r w:rsidR="009C3E42" w:rsidRPr="00FE3799">
        <w:rPr>
          <w:rFonts w:asciiTheme="majorHAnsi" w:hAnsiTheme="majorHAnsi"/>
          <w:sz w:val="20"/>
          <w:szCs w:val="20"/>
          <w:lang w:val="es-AR"/>
        </w:rPr>
        <w:t>, 17, 19</w:t>
      </w:r>
      <w:r w:rsidR="00C404F1" w:rsidRPr="00FE3799">
        <w:rPr>
          <w:rFonts w:asciiTheme="majorHAnsi" w:hAnsiTheme="majorHAnsi"/>
          <w:sz w:val="20"/>
          <w:szCs w:val="20"/>
          <w:lang w:val="es-AR"/>
        </w:rPr>
        <w:t xml:space="preserve"> y 25 de la Convención Americana en relación con su artículo 1.1; y el artículo I de la Convención Interamericana sobre Desaparición Forzada de Personas</w:t>
      </w:r>
      <w:r w:rsidR="00A758AA" w:rsidRPr="00FE3799">
        <w:rPr>
          <w:rFonts w:asciiTheme="majorHAnsi" w:hAnsiTheme="majorHAnsi"/>
          <w:sz w:val="20"/>
          <w:szCs w:val="20"/>
          <w:lang w:val="es-VE"/>
        </w:rPr>
        <w:t>;</w:t>
      </w:r>
      <w:r w:rsidR="007B76D3" w:rsidRPr="00FE3799">
        <w:rPr>
          <w:rFonts w:asciiTheme="majorHAnsi" w:hAnsiTheme="majorHAnsi"/>
          <w:sz w:val="20"/>
          <w:szCs w:val="20"/>
          <w:lang w:val="es-VE"/>
        </w:rPr>
        <w:t xml:space="preserve"> y</w:t>
      </w:r>
    </w:p>
    <w:p w14:paraId="570DA61C" w14:textId="714FF3D6" w:rsidR="000419AD" w:rsidRPr="00FE3799" w:rsidRDefault="000419AD" w:rsidP="00DA58FD">
      <w:pPr>
        <w:pStyle w:val="ListParagraph"/>
        <w:numPr>
          <w:ilvl w:val="0"/>
          <w:numId w:val="56"/>
        </w:numPr>
        <w:jc w:val="both"/>
        <w:rPr>
          <w:rFonts w:asciiTheme="majorHAnsi" w:eastAsia="Arial Unicode MS" w:hAnsiTheme="majorHAnsi" w:cs="Times New Roman"/>
          <w:color w:val="auto"/>
          <w:sz w:val="20"/>
          <w:szCs w:val="20"/>
          <w:lang w:val="es-VE" w:eastAsia="en-US"/>
        </w:rPr>
      </w:pPr>
      <w:r w:rsidRPr="00FE3799">
        <w:rPr>
          <w:rFonts w:asciiTheme="majorHAnsi" w:eastAsia="Arial Unicode MS" w:hAnsiTheme="majorHAnsi" w:cs="Times New Roman"/>
          <w:color w:val="auto"/>
          <w:sz w:val="20"/>
          <w:szCs w:val="20"/>
          <w:lang w:val="es-VE" w:eastAsia="en-US"/>
        </w:rPr>
        <w:t>Declarar inadmisible la presente petición en relación con</w:t>
      </w:r>
      <w:r w:rsidR="00C404F1" w:rsidRPr="00FE3799">
        <w:rPr>
          <w:rFonts w:asciiTheme="majorHAnsi" w:hAnsiTheme="majorHAnsi"/>
          <w:sz w:val="20"/>
          <w:szCs w:val="20"/>
          <w:lang w:val="es-ES"/>
        </w:rPr>
        <w:t xml:space="preserve"> los artículos </w:t>
      </w:r>
      <w:r w:rsidR="00C404F1" w:rsidRPr="00FE3799">
        <w:rPr>
          <w:rFonts w:asciiTheme="majorHAnsi" w:hAnsiTheme="majorHAnsi"/>
          <w:bCs/>
          <w:sz w:val="20"/>
          <w:szCs w:val="20"/>
          <w:lang w:val="es-VE"/>
        </w:rPr>
        <w:t>10</w:t>
      </w:r>
      <w:r w:rsidR="009C3E42" w:rsidRPr="00FE3799">
        <w:rPr>
          <w:rFonts w:asciiTheme="majorHAnsi" w:hAnsiTheme="majorHAnsi"/>
          <w:bCs/>
          <w:sz w:val="20"/>
          <w:szCs w:val="20"/>
          <w:lang w:val="es-VE"/>
        </w:rPr>
        <w:t xml:space="preserve"> y</w:t>
      </w:r>
      <w:r w:rsidR="00C404F1" w:rsidRPr="00FE3799">
        <w:rPr>
          <w:rFonts w:asciiTheme="majorHAnsi" w:hAnsiTheme="majorHAnsi"/>
          <w:bCs/>
          <w:sz w:val="20"/>
          <w:szCs w:val="20"/>
          <w:lang w:val="es-VE"/>
        </w:rPr>
        <w:t xml:space="preserve"> 11</w:t>
      </w:r>
      <w:r w:rsidR="00C404F1" w:rsidRPr="00FE3799">
        <w:rPr>
          <w:rFonts w:asciiTheme="majorHAnsi" w:hAnsiTheme="majorHAnsi"/>
          <w:sz w:val="20"/>
          <w:szCs w:val="20"/>
          <w:lang w:val="es-ES"/>
        </w:rPr>
        <w:t>de la Convención Americana</w:t>
      </w:r>
      <w:r w:rsidR="00A758AA" w:rsidRPr="00FE3799">
        <w:rPr>
          <w:rFonts w:asciiTheme="majorHAnsi" w:eastAsia="Arial Unicode MS" w:hAnsiTheme="majorHAnsi" w:cs="Times New Roman"/>
          <w:color w:val="auto"/>
          <w:sz w:val="20"/>
          <w:szCs w:val="20"/>
          <w:lang w:val="es-VE" w:eastAsia="en-US"/>
        </w:rPr>
        <w:t>;</w:t>
      </w:r>
      <w:r w:rsidR="004A6A54" w:rsidRPr="00FE3799">
        <w:rPr>
          <w:rFonts w:asciiTheme="majorHAnsi" w:eastAsia="Arial Unicode MS" w:hAnsiTheme="majorHAnsi" w:cs="Times New Roman"/>
          <w:color w:val="auto"/>
          <w:sz w:val="20"/>
          <w:szCs w:val="20"/>
          <w:lang w:val="es-VE" w:eastAsia="en-US"/>
        </w:rPr>
        <w:t xml:space="preserve"> y</w:t>
      </w:r>
    </w:p>
    <w:p w14:paraId="41AA5BF6" w14:textId="77777777" w:rsidR="000419AD" w:rsidRPr="00FE3799" w:rsidRDefault="000419AD" w:rsidP="000419AD">
      <w:pPr>
        <w:pStyle w:val="ListParagraph"/>
        <w:rPr>
          <w:rFonts w:asciiTheme="majorHAnsi" w:eastAsia="Arial Unicode MS" w:hAnsiTheme="majorHAnsi" w:cs="Times New Roman"/>
          <w:color w:val="auto"/>
          <w:sz w:val="20"/>
          <w:szCs w:val="20"/>
          <w:lang w:val="es-VE" w:eastAsia="en-US"/>
        </w:rPr>
      </w:pPr>
    </w:p>
    <w:p w14:paraId="12A7002C" w14:textId="77777777" w:rsidR="004A6A54" w:rsidRPr="00FE3799" w:rsidRDefault="004A6A54" w:rsidP="00DA58F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VE"/>
        </w:rPr>
      </w:pPr>
      <w:r w:rsidRPr="00FE3799">
        <w:rPr>
          <w:rFonts w:asciiTheme="majorHAnsi" w:hAnsiTheme="majorHAnsi"/>
          <w:sz w:val="20"/>
          <w:szCs w:val="20"/>
          <w:lang w:val="es-VE"/>
        </w:rPr>
        <w:t>Notificar a las partes la presente decisión; continuar con el análisis del fondo de la cuestión; y publicar esta decisión e incluirla en su Informe Anual a la Asamblea General de la Organización de los Estados Americanos.</w:t>
      </w:r>
    </w:p>
    <w:p w14:paraId="4FEFCE91" w14:textId="39290D3E" w:rsidR="00274C58" w:rsidRPr="00FE3799" w:rsidRDefault="00274C58" w:rsidP="00274C58">
      <w:pPr>
        <w:ind w:firstLine="720"/>
        <w:jc w:val="both"/>
        <w:rPr>
          <w:rFonts w:asciiTheme="majorHAnsi" w:hAnsiTheme="majorHAnsi" w:cs="Arial"/>
          <w:noProof/>
          <w:spacing w:val="-2"/>
          <w:sz w:val="20"/>
          <w:szCs w:val="20"/>
          <w:lang w:val="es-CL"/>
        </w:rPr>
      </w:pPr>
      <w:r w:rsidRPr="00FE3799">
        <w:rPr>
          <w:rFonts w:asciiTheme="majorHAnsi" w:hAnsiTheme="majorHAnsi" w:cs="Arial"/>
          <w:noProof/>
          <w:spacing w:val="-2"/>
          <w:sz w:val="20"/>
          <w:szCs w:val="20"/>
          <w:lang w:val="es-CL"/>
        </w:rPr>
        <w:t>Aprobado por la Comisión Interamericana de Derechos Humanos  a los 16 días del mes de octubre de 2020.  (Firmado): Joel Hernández, Presidente; Antonia Urrejola, Primera Vicepresidenta; Flávia Piovesan, Segunda Vicepresidenta; Margarette May Macaulay, Esmeralda E. Arosemena Bernal de Troitiño y Julissa Mantilla Falcón, Miembros de la Comisión.</w:t>
      </w:r>
      <w:r w:rsidRPr="00FE3799">
        <w:rPr>
          <w:rFonts w:asciiTheme="majorHAnsi" w:hAnsiTheme="majorHAnsi" w:cs="Arial"/>
          <w:noProof/>
          <w:sz w:val="20"/>
          <w:szCs w:val="20"/>
          <w:lang w:val="es-CL"/>
        </w:rPr>
        <w:t xml:space="preserve"> </w:t>
      </w:r>
    </w:p>
    <w:p w14:paraId="3DD460A0" w14:textId="77777777" w:rsidR="00274C58" w:rsidRPr="00FE3799" w:rsidRDefault="00274C58" w:rsidP="00274C58">
      <w:pPr>
        <w:suppressAutoHyphens/>
        <w:ind w:firstLine="720"/>
        <w:jc w:val="both"/>
        <w:rPr>
          <w:rFonts w:asciiTheme="majorHAnsi" w:hAnsiTheme="majorHAnsi" w:cs="Arial"/>
          <w:noProof/>
          <w:spacing w:val="-2"/>
          <w:sz w:val="20"/>
          <w:szCs w:val="20"/>
          <w:lang w:val="es-CL"/>
        </w:rPr>
      </w:pPr>
    </w:p>
    <w:sectPr w:rsidR="00274C58" w:rsidRPr="00FE379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14AC1" w14:textId="77777777" w:rsidR="0066114D" w:rsidRDefault="0066114D">
      <w:r>
        <w:separator/>
      </w:r>
    </w:p>
  </w:endnote>
  <w:endnote w:type="continuationSeparator" w:id="0">
    <w:p w14:paraId="09C61AC4" w14:textId="77777777" w:rsidR="0066114D" w:rsidRDefault="0066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AEADF" w14:textId="77777777" w:rsidR="00AA6B5B" w:rsidRDefault="00AA6B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4C44C2D" w:rsidR="003C14E1" w:rsidRPr="00934A2C" w:rsidRDefault="003C14E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A6B5B">
          <w:rPr>
            <w:noProof/>
            <w:sz w:val="16"/>
            <w:szCs w:val="22"/>
          </w:rPr>
          <w:t>1</w:t>
        </w:r>
        <w:r w:rsidRPr="00934A2C">
          <w:rPr>
            <w:noProof/>
            <w:sz w:val="16"/>
            <w:szCs w:val="22"/>
          </w:rPr>
          <w:fldChar w:fldCharType="end"/>
        </w:r>
      </w:p>
    </w:sdtContent>
  </w:sdt>
  <w:p w14:paraId="68530E6A" w14:textId="77777777" w:rsidR="003C14E1" w:rsidRDefault="003C14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3C14E1" w:rsidRPr="00934A2C" w:rsidRDefault="003C14E1">
    <w:pPr>
      <w:pStyle w:val="Footer"/>
      <w:jc w:val="center"/>
      <w:rPr>
        <w:sz w:val="16"/>
        <w:szCs w:val="22"/>
      </w:rPr>
    </w:pPr>
  </w:p>
  <w:p w14:paraId="49059CE3" w14:textId="77777777" w:rsidR="003C14E1" w:rsidRDefault="003C1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F096F" w14:textId="77777777" w:rsidR="0066114D" w:rsidRPr="000F35ED" w:rsidRDefault="0066114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CB8D567" w14:textId="77777777" w:rsidR="0066114D" w:rsidRPr="000F35ED" w:rsidRDefault="0066114D" w:rsidP="000F35ED">
      <w:pPr>
        <w:rPr>
          <w:rFonts w:asciiTheme="majorHAnsi" w:hAnsiTheme="majorHAnsi"/>
          <w:sz w:val="16"/>
          <w:szCs w:val="16"/>
        </w:rPr>
      </w:pPr>
      <w:r w:rsidRPr="000F35ED">
        <w:rPr>
          <w:rFonts w:asciiTheme="majorHAnsi" w:hAnsiTheme="majorHAnsi"/>
          <w:sz w:val="16"/>
          <w:szCs w:val="16"/>
        </w:rPr>
        <w:separator/>
      </w:r>
    </w:p>
    <w:p w14:paraId="69DFB305" w14:textId="77777777" w:rsidR="0066114D" w:rsidRPr="000F35ED" w:rsidRDefault="0066114D"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E9059E7" w14:textId="77777777" w:rsidR="0066114D" w:rsidRPr="000F35ED" w:rsidRDefault="0066114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5C9BB5B" w14:textId="173CFC64" w:rsidR="005119E8" w:rsidRPr="00DD0329" w:rsidRDefault="005119E8" w:rsidP="00E514ED">
      <w:pPr>
        <w:pStyle w:val="FootnoteText"/>
        <w:ind w:firstLine="720"/>
        <w:jc w:val="both"/>
        <w:rPr>
          <w:rFonts w:ascii="Cambria" w:hAnsi="Cambria"/>
          <w:sz w:val="16"/>
          <w:szCs w:val="16"/>
          <w:lang w:val="es-VE"/>
        </w:rPr>
      </w:pPr>
      <w:r w:rsidRPr="00DD0329">
        <w:rPr>
          <w:rStyle w:val="FootnoteReference"/>
          <w:rFonts w:ascii="Cambria" w:hAnsi="Cambria"/>
          <w:sz w:val="16"/>
          <w:szCs w:val="16"/>
        </w:rPr>
        <w:footnoteRef/>
      </w:r>
      <w:r w:rsidRPr="00DD0329">
        <w:rPr>
          <w:rFonts w:ascii="Cambria" w:hAnsi="Cambria"/>
          <w:sz w:val="16"/>
          <w:szCs w:val="16"/>
          <w:lang w:val="es-VE"/>
        </w:rPr>
        <w:t xml:space="preserve"> </w:t>
      </w:r>
      <w:r w:rsidR="00DD0329" w:rsidRPr="00DD0329">
        <w:rPr>
          <w:rFonts w:ascii="Cambria" w:hAnsi="Cambria"/>
          <w:sz w:val="16"/>
          <w:szCs w:val="16"/>
          <w:lang w:val="es-VE"/>
        </w:rPr>
        <w:t xml:space="preserve">La petición refiere a </w:t>
      </w:r>
      <w:r w:rsidRPr="00DD0329">
        <w:rPr>
          <w:rFonts w:ascii="Cambria" w:hAnsi="Cambria"/>
          <w:sz w:val="16"/>
          <w:szCs w:val="16"/>
          <w:lang w:val="es-VE"/>
        </w:rPr>
        <w:t xml:space="preserve">Emilia </w:t>
      </w:r>
      <w:r w:rsidR="00DD0329" w:rsidRPr="00DD0329">
        <w:rPr>
          <w:rFonts w:ascii="Cambria" w:hAnsi="Cambria"/>
          <w:sz w:val="16"/>
          <w:szCs w:val="16"/>
          <w:lang w:val="es-VE"/>
        </w:rPr>
        <w:t>Rosa,</w:t>
      </w:r>
      <w:r w:rsidRPr="00DD0329">
        <w:rPr>
          <w:rFonts w:ascii="Cambria" w:hAnsi="Cambria"/>
          <w:sz w:val="16"/>
          <w:szCs w:val="16"/>
          <w:lang w:val="es-VE"/>
        </w:rPr>
        <w:t xml:space="preserve"> Ottoniel Lemus Rosa</w:t>
      </w:r>
      <w:r w:rsidR="00DD0329" w:rsidRPr="00DD0329">
        <w:rPr>
          <w:rFonts w:ascii="Cambria" w:hAnsi="Cambria"/>
          <w:sz w:val="16"/>
          <w:szCs w:val="16"/>
          <w:lang w:val="es-VE"/>
        </w:rPr>
        <w:t xml:space="preserve"> y</w:t>
      </w:r>
      <w:r w:rsidRPr="00DD0329">
        <w:rPr>
          <w:rFonts w:ascii="Cambria" w:hAnsi="Cambria"/>
          <w:sz w:val="16"/>
          <w:szCs w:val="16"/>
          <w:lang w:val="es-VE"/>
        </w:rPr>
        <w:t xml:space="preserve"> </w:t>
      </w:r>
      <w:proofErr w:type="spellStart"/>
      <w:r w:rsidRPr="00DD0329">
        <w:rPr>
          <w:rFonts w:ascii="Cambria" w:hAnsi="Cambria"/>
          <w:sz w:val="16"/>
          <w:szCs w:val="16"/>
          <w:lang w:val="es-VE"/>
        </w:rPr>
        <w:t>Joice</w:t>
      </w:r>
      <w:proofErr w:type="spellEnd"/>
      <w:r w:rsidRPr="00DD0329">
        <w:rPr>
          <w:rFonts w:ascii="Cambria" w:hAnsi="Cambria"/>
          <w:sz w:val="16"/>
          <w:szCs w:val="16"/>
          <w:lang w:val="es-VE"/>
        </w:rPr>
        <w:t xml:space="preserve"> del Carmen Lemus Rosa</w:t>
      </w:r>
      <w:r w:rsidR="00DD0329" w:rsidRPr="00DD0329">
        <w:rPr>
          <w:rFonts w:ascii="Cambria" w:hAnsi="Cambria"/>
          <w:sz w:val="16"/>
          <w:szCs w:val="16"/>
          <w:lang w:val="es-VE"/>
        </w:rPr>
        <w:t xml:space="preserve"> como </w:t>
      </w:r>
      <w:r w:rsidR="000C0DDC">
        <w:rPr>
          <w:rFonts w:ascii="Cambria" w:hAnsi="Cambria"/>
          <w:sz w:val="16"/>
          <w:szCs w:val="16"/>
          <w:lang w:val="es-VE"/>
        </w:rPr>
        <w:t xml:space="preserve">esposa e hijos, respectivamente, </w:t>
      </w:r>
      <w:r w:rsidR="00DD0329" w:rsidRPr="00DD0329">
        <w:rPr>
          <w:rFonts w:ascii="Cambria" w:hAnsi="Cambria"/>
          <w:sz w:val="16"/>
          <w:szCs w:val="16"/>
          <w:lang w:val="es-VE"/>
        </w:rPr>
        <w:t xml:space="preserve">de José Luis Lemus Solís. </w:t>
      </w:r>
    </w:p>
  </w:footnote>
  <w:footnote w:id="3">
    <w:p w14:paraId="06C1BEFA" w14:textId="7D18C51B" w:rsidR="003C14E1" w:rsidRPr="00E514ED" w:rsidRDefault="003C14E1" w:rsidP="00E514ED">
      <w:pPr>
        <w:pStyle w:val="FootnoteText"/>
        <w:ind w:firstLine="720"/>
        <w:jc w:val="both"/>
        <w:rPr>
          <w:rFonts w:ascii="Cambria" w:hAnsi="Cambria"/>
          <w:sz w:val="16"/>
          <w:szCs w:val="16"/>
          <w:lang w:val="es-ES"/>
        </w:rPr>
      </w:pPr>
      <w:r w:rsidRPr="00DD0329">
        <w:rPr>
          <w:rStyle w:val="FootnoteReference"/>
          <w:rFonts w:ascii="Cambria" w:hAnsi="Cambria"/>
          <w:sz w:val="16"/>
          <w:szCs w:val="16"/>
        </w:rPr>
        <w:footnoteRef/>
      </w:r>
      <w:r w:rsidRPr="00DD0329">
        <w:rPr>
          <w:rFonts w:ascii="Cambria" w:hAnsi="Cambria"/>
          <w:sz w:val="16"/>
          <w:szCs w:val="16"/>
          <w:lang w:val="es-ES"/>
        </w:rPr>
        <w:t xml:space="preserve"> Conforme a lo dispuesto en el artículo 17.2.a del Reglamento de la Comisión, el Comisionado </w:t>
      </w:r>
      <w:proofErr w:type="spellStart"/>
      <w:r w:rsidRPr="00DD0329">
        <w:rPr>
          <w:rFonts w:ascii="Cambria" w:hAnsi="Cambria"/>
          <w:sz w:val="16"/>
          <w:szCs w:val="16"/>
          <w:lang w:val="es-ES"/>
        </w:rPr>
        <w:t>Stuardo</w:t>
      </w:r>
      <w:proofErr w:type="spellEnd"/>
      <w:r w:rsidRPr="00DD0329">
        <w:rPr>
          <w:rFonts w:ascii="Cambria" w:hAnsi="Cambria"/>
          <w:sz w:val="16"/>
          <w:szCs w:val="16"/>
          <w:lang w:val="es-ES"/>
        </w:rPr>
        <w:t xml:space="preserve"> </w:t>
      </w:r>
      <w:proofErr w:type="spellStart"/>
      <w:r w:rsidRPr="00DD0329">
        <w:rPr>
          <w:rFonts w:ascii="Cambria" w:hAnsi="Cambria"/>
          <w:sz w:val="16"/>
          <w:szCs w:val="16"/>
          <w:lang w:val="es-ES"/>
        </w:rPr>
        <w:t>Ralón</w:t>
      </w:r>
      <w:proofErr w:type="spellEnd"/>
      <w:r w:rsidRPr="00DD0329">
        <w:rPr>
          <w:rFonts w:ascii="Cambria" w:hAnsi="Cambria"/>
          <w:sz w:val="16"/>
          <w:szCs w:val="16"/>
          <w:lang w:val="es-ES"/>
        </w:rPr>
        <w:t xml:space="preserve"> Orellana, de</w:t>
      </w:r>
      <w:r w:rsidRPr="00E514ED">
        <w:rPr>
          <w:rFonts w:ascii="Cambria" w:hAnsi="Cambria"/>
          <w:sz w:val="16"/>
          <w:szCs w:val="16"/>
          <w:lang w:val="es-ES"/>
        </w:rPr>
        <w:t xml:space="preserve"> nacionalidad guatemalteca, no participó en el debate ni en la decisión del presente asunto.</w:t>
      </w:r>
    </w:p>
  </w:footnote>
  <w:footnote w:id="4">
    <w:p w14:paraId="1EB0CD34" w14:textId="1810C041" w:rsidR="00C404F1" w:rsidRPr="00C404F1" w:rsidRDefault="00C404F1" w:rsidP="00C404F1">
      <w:pPr>
        <w:pStyle w:val="FootnoteText"/>
        <w:ind w:firstLine="720"/>
        <w:rPr>
          <w:rFonts w:ascii="Cambria" w:hAnsi="Cambria"/>
          <w:sz w:val="16"/>
          <w:szCs w:val="16"/>
          <w:lang w:val="es-VE"/>
        </w:rPr>
      </w:pPr>
      <w:r w:rsidRPr="00C404F1">
        <w:rPr>
          <w:rStyle w:val="FootnoteReference"/>
          <w:rFonts w:ascii="Cambria" w:hAnsi="Cambria"/>
          <w:sz w:val="16"/>
          <w:szCs w:val="16"/>
        </w:rPr>
        <w:footnoteRef/>
      </w:r>
      <w:r w:rsidRPr="00C404F1">
        <w:rPr>
          <w:rFonts w:ascii="Cambria" w:hAnsi="Cambria"/>
          <w:sz w:val="16"/>
          <w:szCs w:val="16"/>
          <w:lang w:val="es-VE"/>
        </w:rPr>
        <w:t xml:space="preserve"> </w:t>
      </w:r>
      <w:r w:rsidRPr="00C404F1">
        <w:rPr>
          <w:rFonts w:ascii="Cambria" w:hAnsi="Cambria"/>
          <w:sz w:val="16"/>
          <w:szCs w:val="16"/>
          <w:lang w:val="es-ES"/>
        </w:rPr>
        <w:t>En adelante “Convención” o “Convención Americana”.</w:t>
      </w:r>
    </w:p>
  </w:footnote>
  <w:footnote w:id="5">
    <w:p w14:paraId="79F07139" w14:textId="77777777" w:rsidR="003C14E1" w:rsidRPr="00537490" w:rsidRDefault="003C14E1" w:rsidP="00E514ED">
      <w:pPr>
        <w:pStyle w:val="FootnoteText"/>
        <w:spacing w:after="120"/>
        <w:ind w:firstLine="720"/>
        <w:jc w:val="both"/>
        <w:rPr>
          <w:rFonts w:ascii="Cambria" w:hAnsi="Cambria"/>
          <w:sz w:val="16"/>
          <w:szCs w:val="16"/>
          <w:lang w:val="es-ES"/>
        </w:rPr>
      </w:pPr>
      <w:r w:rsidRPr="00E514ED">
        <w:rPr>
          <w:rStyle w:val="FootnoteReference"/>
          <w:rFonts w:ascii="Cambria" w:hAnsi="Cambria"/>
          <w:sz w:val="16"/>
          <w:szCs w:val="16"/>
        </w:rPr>
        <w:footnoteRef/>
      </w:r>
      <w:r w:rsidRPr="00E514ED">
        <w:rPr>
          <w:rFonts w:ascii="Cambria" w:hAnsi="Cambria"/>
          <w:sz w:val="16"/>
          <w:szCs w:val="16"/>
          <w:lang w:val="es-ES"/>
        </w:rPr>
        <w:t xml:space="preserve"> Las observaciones de cada parte fueron debidamente trasladadas a la parte</w:t>
      </w:r>
      <w:r>
        <w:rPr>
          <w:rFonts w:ascii="Cambria" w:hAnsi="Cambria"/>
          <w:sz w:val="16"/>
          <w:szCs w:val="16"/>
          <w:lang w:val="es-ES"/>
        </w:rPr>
        <w:t xml:space="preserve"> contraria.</w:t>
      </w:r>
    </w:p>
  </w:footnote>
  <w:footnote w:id="6">
    <w:p w14:paraId="534699CC" w14:textId="1FCA7938" w:rsidR="002E60FE" w:rsidRPr="007E1751" w:rsidRDefault="002E60FE" w:rsidP="007E1751">
      <w:pPr>
        <w:pStyle w:val="FootnoteText"/>
        <w:ind w:firstLine="720"/>
        <w:jc w:val="both"/>
        <w:rPr>
          <w:rFonts w:ascii="Cambria" w:hAnsi="Cambria"/>
          <w:sz w:val="16"/>
          <w:szCs w:val="16"/>
          <w:lang w:val="es-ES_tradnl"/>
        </w:rPr>
      </w:pPr>
      <w:r w:rsidRPr="00F96CD8">
        <w:rPr>
          <w:rStyle w:val="FootnoteReference"/>
          <w:rFonts w:ascii="Cambria" w:hAnsi="Cambria"/>
          <w:sz w:val="16"/>
          <w:szCs w:val="16"/>
        </w:rPr>
        <w:footnoteRef/>
      </w:r>
      <w:r w:rsidRPr="00F96CD8">
        <w:rPr>
          <w:rFonts w:ascii="Cambria" w:hAnsi="Cambria"/>
          <w:sz w:val="16"/>
          <w:szCs w:val="16"/>
          <w:lang w:val="es-ES"/>
        </w:rPr>
        <w:t xml:space="preserve"> CIDH, Informe No. 67/15, Petición 211-07. Admisibilidad. Jorge Marcial </w:t>
      </w:r>
      <w:proofErr w:type="spellStart"/>
      <w:r w:rsidRPr="00F96CD8">
        <w:rPr>
          <w:rFonts w:ascii="Cambria" w:hAnsi="Cambria"/>
          <w:sz w:val="16"/>
          <w:szCs w:val="16"/>
          <w:lang w:val="es-ES"/>
        </w:rPr>
        <w:t>Tzompaxtle</w:t>
      </w:r>
      <w:proofErr w:type="spellEnd"/>
      <w:r w:rsidRPr="00F96CD8">
        <w:rPr>
          <w:rFonts w:ascii="Cambria" w:hAnsi="Cambria"/>
          <w:sz w:val="16"/>
          <w:szCs w:val="16"/>
          <w:lang w:val="es-ES"/>
        </w:rPr>
        <w:t xml:space="preserve"> </w:t>
      </w:r>
      <w:proofErr w:type="spellStart"/>
      <w:r w:rsidRPr="00F96CD8">
        <w:rPr>
          <w:rFonts w:ascii="Cambria" w:hAnsi="Cambria"/>
          <w:sz w:val="16"/>
          <w:szCs w:val="16"/>
          <w:lang w:val="es-ES"/>
        </w:rPr>
        <w:t>Tecpile</w:t>
      </w:r>
      <w:proofErr w:type="spellEnd"/>
      <w:r w:rsidRPr="00F96CD8">
        <w:rPr>
          <w:rFonts w:ascii="Cambria" w:hAnsi="Cambria"/>
          <w:sz w:val="16"/>
          <w:szCs w:val="16"/>
          <w:lang w:val="es-ES"/>
        </w:rPr>
        <w:t xml:space="preserve"> y otros. México. 27 de octubre de 2015, párr. 34</w:t>
      </w:r>
      <w:r w:rsidR="009238AB">
        <w:rPr>
          <w:rFonts w:ascii="Cambria" w:hAnsi="Cambria"/>
          <w:sz w:val="16"/>
          <w:szCs w:val="16"/>
          <w:lang w:val="es-ES"/>
        </w:rPr>
        <w:t xml:space="preserve">; y </w:t>
      </w:r>
      <w:r w:rsidR="009238AB" w:rsidRPr="00312108">
        <w:rPr>
          <w:rFonts w:ascii="Cambria" w:hAnsi="Cambria"/>
          <w:sz w:val="16"/>
          <w:szCs w:val="16"/>
          <w:lang w:val="es-VE"/>
        </w:rPr>
        <w:t>CIDH, Informe No. 45/14, Petición 325-00. Admisibilidad. Rufino Jorge Almeida. Argentina. 18 de julio de 2014, párr. 51-54</w:t>
      </w:r>
      <w:r w:rsidR="007E1751">
        <w:rPr>
          <w:rFonts w:ascii="Cambria" w:hAnsi="Cambria"/>
          <w:sz w:val="16"/>
          <w:szCs w:val="16"/>
          <w:lang w:val="es-VE"/>
        </w:rPr>
        <w:t xml:space="preserve">; </w:t>
      </w:r>
      <w:r w:rsidR="007E1751" w:rsidRPr="007E1751">
        <w:rPr>
          <w:rFonts w:ascii="Cambria" w:hAnsi="Cambria"/>
          <w:sz w:val="16"/>
          <w:szCs w:val="16"/>
          <w:lang w:val="es-VE"/>
        </w:rPr>
        <w:t>Corte IDH, Caso Baena Ricardo y otros Vs. Panamá. Excepciones Preliminares. Sentencia de 18 de noviembre de 1999. Serie C No. 61, párr. 53; y Corte IDH, Caso Durand y Ugarte, Excepciones Preliminares, Sentencia de 28 de mayo de 1999. Serie C No. 50, párr. 43.</w:t>
      </w:r>
    </w:p>
  </w:footnote>
  <w:footnote w:id="7">
    <w:p w14:paraId="79231FF9" w14:textId="07FF1FCD" w:rsidR="007E1751" w:rsidRPr="007E1751" w:rsidRDefault="007E1751" w:rsidP="007E1751">
      <w:pPr>
        <w:pStyle w:val="FootnoteText"/>
        <w:ind w:firstLine="720"/>
        <w:jc w:val="both"/>
        <w:rPr>
          <w:rFonts w:ascii="Cambria" w:hAnsi="Cambria"/>
          <w:sz w:val="16"/>
          <w:szCs w:val="16"/>
          <w:lang w:val="es-VE"/>
        </w:rPr>
      </w:pPr>
      <w:r w:rsidRPr="007E1751">
        <w:rPr>
          <w:rStyle w:val="FootnoteReference"/>
          <w:rFonts w:ascii="Cambria" w:hAnsi="Cambria"/>
          <w:sz w:val="16"/>
          <w:szCs w:val="16"/>
        </w:rPr>
        <w:footnoteRef/>
      </w:r>
      <w:r w:rsidRPr="007E1751">
        <w:rPr>
          <w:rFonts w:ascii="Cambria" w:hAnsi="Cambria"/>
          <w:sz w:val="16"/>
          <w:szCs w:val="16"/>
          <w:lang w:val="es-VE"/>
        </w:rPr>
        <w:t xml:space="preserve"> CIDH, Informe No. 5/97, Petición 11.227. Admisibilidad. Unión Patriótica Nacional. Colombia. 12 de marzo de 1997, </w:t>
      </w:r>
      <w:proofErr w:type="spellStart"/>
      <w:r w:rsidRPr="007E1751">
        <w:rPr>
          <w:rFonts w:ascii="Cambria" w:hAnsi="Cambria"/>
          <w:sz w:val="16"/>
          <w:szCs w:val="16"/>
          <w:lang w:val="es-VE"/>
        </w:rPr>
        <w:t>párrs</w:t>
      </w:r>
      <w:proofErr w:type="spellEnd"/>
      <w:r w:rsidRPr="007E1751">
        <w:rPr>
          <w:rFonts w:ascii="Cambria" w:hAnsi="Cambria"/>
          <w:sz w:val="16"/>
          <w:szCs w:val="16"/>
          <w:lang w:val="es-VE"/>
        </w:rPr>
        <w:t xml:space="preserve">. </w:t>
      </w:r>
      <w:r w:rsidRPr="00901D0A">
        <w:rPr>
          <w:rFonts w:ascii="Cambria" w:hAnsi="Cambria"/>
          <w:sz w:val="16"/>
          <w:szCs w:val="16"/>
          <w:lang w:val="es-VE"/>
        </w:rPr>
        <w:t>69, 72 y 74.</w:t>
      </w:r>
    </w:p>
  </w:footnote>
  <w:footnote w:id="8">
    <w:p w14:paraId="7F3C1D50" w14:textId="13611200" w:rsidR="007A3195" w:rsidRPr="007A3195" w:rsidRDefault="007A3195" w:rsidP="007E1751">
      <w:pPr>
        <w:pStyle w:val="FootnoteText"/>
        <w:ind w:firstLine="720"/>
        <w:jc w:val="both"/>
        <w:rPr>
          <w:rFonts w:ascii="Cambria" w:hAnsi="Cambria"/>
          <w:lang w:val="es-VE"/>
        </w:rPr>
      </w:pPr>
      <w:r w:rsidRPr="007E1751">
        <w:rPr>
          <w:rStyle w:val="FootnoteReference"/>
          <w:rFonts w:ascii="Cambria" w:hAnsi="Cambria"/>
          <w:sz w:val="16"/>
          <w:szCs w:val="16"/>
        </w:rPr>
        <w:footnoteRef/>
      </w:r>
      <w:r w:rsidRPr="007E1751">
        <w:rPr>
          <w:rFonts w:ascii="Cambria" w:hAnsi="Cambria"/>
          <w:sz w:val="16"/>
          <w:szCs w:val="16"/>
          <w:lang w:val="es-VE"/>
        </w:rPr>
        <w:t xml:space="preserve"> CIDH, Informe No. 37/17. Petición 854-07. Admisibilidad. Ricardo Antonio Elías Puente y familia. </w:t>
      </w:r>
      <w:r w:rsidRPr="007E1751">
        <w:rPr>
          <w:rFonts w:ascii="Cambria" w:hAnsi="Cambria"/>
          <w:sz w:val="16"/>
          <w:szCs w:val="16"/>
          <w:lang w:val="es-US"/>
        </w:rPr>
        <w:t>Colombia. 27 de abril de 2017, párr</w:t>
      </w:r>
      <w:r w:rsidRPr="002C681D">
        <w:rPr>
          <w:rFonts w:ascii="Cambria" w:hAnsi="Cambria"/>
          <w:sz w:val="16"/>
          <w:szCs w:val="16"/>
          <w:lang w:val="es-US"/>
        </w:rPr>
        <w:t xml:space="preserve">. 24. </w:t>
      </w:r>
    </w:p>
  </w:footnote>
  <w:footnote w:id="9">
    <w:p w14:paraId="542C2861" w14:textId="77777777" w:rsidR="00CD6771" w:rsidRPr="00F96CD8" w:rsidRDefault="00CD6771" w:rsidP="00CD6771">
      <w:pPr>
        <w:pStyle w:val="FootnoteText"/>
        <w:jc w:val="both"/>
        <w:rPr>
          <w:rFonts w:ascii="Cambria" w:hAnsi="Cambria"/>
          <w:sz w:val="16"/>
          <w:szCs w:val="16"/>
          <w:lang w:val="es-ES"/>
        </w:rPr>
      </w:pPr>
      <w:r w:rsidRPr="00F96CD8">
        <w:rPr>
          <w:rFonts w:ascii="Cambria" w:hAnsi="Cambria"/>
          <w:sz w:val="16"/>
          <w:szCs w:val="16"/>
          <w:lang w:val="es-ES"/>
        </w:rPr>
        <w:tab/>
      </w:r>
      <w:r w:rsidRPr="00F96CD8">
        <w:rPr>
          <w:rStyle w:val="FootnoteReference"/>
          <w:rFonts w:ascii="Cambria" w:hAnsi="Cambria"/>
          <w:sz w:val="16"/>
          <w:szCs w:val="16"/>
        </w:rPr>
        <w:footnoteRef/>
      </w:r>
      <w:r w:rsidRPr="00F96CD8">
        <w:rPr>
          <w:rFonts w:ascii="Cambria" w:hAnsi="Cambria"/>
          <w:sz w:val="16"/>
          <w:szCs w:val="16"/>
          <w:lang w:val="es-ES"/>
        </w:rPr>
        <w:t xml:space="preserve"> CIDH, Informe No. 159/17, Petición 712-08. Admisibilidad. Sebastián </w:t>
      </w:r>
      <w:proofErr w:type="spellStart"/>
      <w:r w:rsidRPr="00F96CD8">
        <w:rPr>
          <w:rFonts w:ascii="Cambria" w:hAnsi="Cambria"/>
          <w:sz w:val="16"/>
          <w:szCs w:val="16"/>
          <w:lang w:val="es-ES"/>
        </w:rPr>
        <w:t>Larroza</w:t>
      </w:r>
      <w:proofErr w:type="spellEnd"/>
      <w:r w:rsidRPr="00F96CD8">
        <w:rPr>
          <w:rFonts w:ascii="Cambria" w:hAnsi="Cambria"/>
          <w:sz w:val="16"/>
          <w:szCs w:val="16"/>
          <w:lang w:val="es-ES"/>
        </w:rPr>
        <w:t xml:space="preserve"> Velázquez y familia. Paraguay. 30 de noviembre de 2017, párr. 14.</w:t>
      </w:r>
    </w:p>
  </w:footnote>
  <w:footnote w:id="10">
    <w:p w14:paraId="58C93B9D" w14:textId="77777777" w:rsidR="00FF7B13" w:rsidRPr="007C63E6" w:rsidRDefault="00FF7B13" w:rsidP="00FF7B13">
      <w:pPr>
        <w:pStyle w:val="FootnoteText"/>
        <w:jc w:val="both"/>
        <w:rPr>
          <w:lang w:val="es-US"/>
        </w:rPr>
      </w:pPr>
      <w:r w:rsidRPr="00F96CD8">
        <w:rPr>
          <w:rFonts w:ascii="Cambria" w:hAnsi="Cambria"/>
          <w:sz w:val="16"/>
          <w:szCs w:val="16"/>
          <w:lang w:val="es-ES"/>
        </w:rPr>
        <w:tab/>
      </w:r>
      <w:r w:rsidRPr="00F96CD8">
        <w:rPr>
          <w:rFonts w:ascii="Cambria" w:hAnsi="Cambria"/>
          <w:sz w:val="16"/>
          <w:szCs w:val="16"/>
          <w:vertAlign w:val="superscript"/>
        </w:rPr>
        <w:footnoteRef/>
      </w:r>
      <w:r w:rsidRPr="00F96CD8">
        <w:rPr>
          <w:rFonts w:ascii="Cambria" w:hAnsi="Cambria"/>
          <w:sz w:val="16"/>
          <w:szCs w:val="16"/>
          <w:lang w:val="es-ES"/>
        </w:rPr>
        <w:t xml:space="preserve"> CIDH, Informe No. 16/18, Petición 884-07. Admisibilidad. Victoria Piedad Palacios Tejada de Saavedra. Perú. 24 de febrero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3C14E1" w:rsidRDefault="003C14E1" w:rsidP="003C14E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3C14E1" w:rsidRDefault="003C1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3C14E1" w:rsidRDefault="003C14E1"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3C14E1" w:rsidRPr="00EC7D62" w:rsidRDefault="0066114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4E5A4" w14:textId="77777777" w:rsidR="00AA6B5B" w:rsidRDefault="00AA6B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FB6AC670"/>
    <w:lvl w:ilvl="0" w:tplc="3F587A84">
      <w:start w:val="1"/>
      <w:numFmt w:val="decimal"/>
      <w:lvlText w:val="%1."/>
      <w:lvlJc w:val="left"/>
      <w:pPr>
        <w:tabs>
          <w:tab w:val="num" w:pos="720"/>
        </w:tabs>
        <w:ind w:left="0" w:firstLine="720"/>
      </w:pPr>
      <w:rPr>
        <w:rFonts w:hint="default"/>
        <w:color w:val="auto"/>
        <w:sz w:val="20"/>
        <w:szCs w:val="20"/>
        <w:lang w:val="es-ES_trad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2143"/>
    <w:rsid w:val="00014E11"/>
    <w:rsid w:val="0001552D"/>
    <w:rsid w:val="0001788C"/>
    <w:rsid w:val="000337EF"/>
    <w:rsid w:val="0003680B"/>
    <w:rsid w:val="00040C3A"/>
    <w:rsid w:val="000419AD"/>
    <w:rsid w:val="000433C9"/>
    <w:rsid w:val="000716C5"/>
    <w:rsid w:val="00075E23"/>
    <w:rsid w:val="0009344A"/>
    <w:rsid w:val="000A392E"/>
    <w:rsid w:val="000A575F"/>
    <w:rsid w:val="000C0DDC"/>
    <w:rsid w:val="000D05CB"/>
    <w:rsid w:val="000D10DB"/>
    <w:rsid w:val="000E5EB5"/>
    <w:rsid w:val="000F35ED"/>
    <w:rsid w:val="000F5147"/>
    <w:rsid w:val="000F7119"/>
    <w:rsid w:val="00106FF9"/>
    <w:rsid w:val="00107131"/>
    <w:rsid w:val="0010736F"/>
    <w:rsid w:val="00113F73"/>
    <w:rsid w:val="00121CC2"/>
    <w:rsid w:val="00125F7A"/>
    <w:rsid w:val="00131425"/>
    <w:rsid w:val="00133EE5"/>
    <w:rsid w:val="001578CF"/>
    <w:rsid w:val="00161DF7"/>
    <w:rsid w:val="00167A34"/>
    <w:rsid w:val="001912CE"/>
    <w:rsid w:val="001A7870"/>
    <w:rsid w:val="001B3A00"/>
    <w:rsid w:val="001C1B41"/>
    <w:rsid w:val="001C2391"/>
    <w:rsid w:val="001D65EF"/>
    <w:rsid w:val="001E49E7"/>
    <w:rsid w:val="001E65A9"/>
    <w:rsid w:val="001F7201"/>
    <w:rsid w:val="001F79C1"/>
    <w:rsid w:val="001F7D98"/>
    <w:rsid w:val="0020310D"/>
    <w:rsid w:val="00223A29"/>
    <w:rsid w:val="002250A3"/>
    <w:rsid w:val="00235217"/>
    <w:rsid w:val="00245DBE"/>
    <w:rsid w:val="002467EE"/>
    <w:rsid w:val="00246D1F"/>
    <w:rsid w:val="00247403"/>
    <w:rsid w:val="00247542"/>
    <w:rsid w:val="0025063C"/>
    <w:rsid w:val="00266B61"/>
    <w:rsid w:val="0026712A"/>
    <w:rsid w:val="002704DB"/>
    <w:rsid w:val="00274C58"/>
    <w:rsid w:val="002A0AAE"/>
    <w:rsid w:val="002A5820"/>
    <w:rsid w:val="002B047D"/>
    <w:rsid w:val="002B5E8A"/>
    <w:rsid w:val="002B670C"/>
    <w:rsid w:val="002C681D"/>
    <w:rsid w:val="002D2B26"/>
    <w:rsid w:val="002D7EA2"/>
    <w:rsid w:val="002E187C"/>
    <w:rsid w:val="002E60FE"/>
    <w:rsid w:val="002F573C"/>
    <w:rsid w:val="00302733"/>
    <w:rsid w:val="00314078"/>
    <w:rsid w:val="0031535D"/>
    <w:rsid w:val="003239B8"/>
    <w:rsid w:val="0033169F"/>
    <w:rsid w:val="0033658D"/>
    <w:rsid w:val="00344977"/>
    <w:rsid w:val="00346C95"/>
    <w:rsid w:val="00353DEB"/>
    <w:rsid w:val="00356185"/>
    <w:rsid w:val="00360380"/>
    <w:rsid w:val="0037519E"/>
    <w:rsid w:val="00386CF0"/>
    <w:rsid w:val="00387F20"/>
    <w:rsid w:val="003A3A1C"/>
    <w:rsid w:val="003B70FB"/>
    <w:rsid w:val="003C14E1"/>
    <w:rsid w:val="003C676B"/>
    <w:rsid w:val="003D3BC2"/>
    <w:rsid w:val="003E6CA1"/>
    <w:rsid w:val="00405F9C"/>
    <w:rsid w:val="004065A8"/>
    <w:rsid w:val="004165C2"/>
    <w:rsid w:val="00441ECB"/>
    <w:rsid w:val="00445193"/>
    <w:rsid w:val="0045347D"/>
    <w:rsid w:val="00462C1B"/>
    <w:rsid w:val="00467B7E"/>
    <w:rsid w:val="00470C94"/>
    <w:rsid w:val="00473BB4"/>
    <w:rsid w:val="00477592"/>
    <w:rsid w:val="00486F1C"/>
    <w:rsid w:val="0049419D"/>
    <w:rsid w:val="004A6A54"/>
    <w:rsid w:val="004C20D2"/>
    <w:rsid w:val="004C2312"/>
    <w:rsid w:val="004C4B62"/>
    <w:rsid w:val="004C54C9"/>
    <w:rsid w:val="004D4ABA"/>
    <w:rsid w:val="004D6025"/>
    <w:rsid w:val="004E2649"/>
    <w:rsid w:val="004F28BC"/>
    <w:rsid w:val="004F626F"/>
    <w:rsid w:val="00501399"/>
    <w:rsid w:val="0050633D"/>
    <w:rsid w:val="00507BC4"/>
    <w:rsid w:val="005119E8"/>
    <w:rsid w:val="005128E4"/>
    <w:rsid w:val="005133DB"/>
    <w:rsid w:val="00514504"/>
    <w:rsid w:val="00525560"/>
    <w:rsid w:val="00530160"/>
    <w:rsid w:val="00544C49"/>
    <w:rsid w:val="00544F81"/>
    <w:rsid w:val="005516A1"/>
    <w:rsid w:val="00552498"/>
    <w:rsid w:val="005559EF"/>
    <w:rsid w:val="00563557"/>
    <w:rsid w:val="0057402A"/>
    <w:rsid w:val="005771D0"/>
    <w:rsid w:val="0059191A"/>
    <w:rsid w:val="00591CBF"/>
    <w:rsid w:val="005921FF"/>
    <w:rsid w:val="005A24ED"/>
    <w:rsid w:val="005A6D0E"/>
    <w:rsid w:val="005B52B0"/>
    <w:rsid w:val="005B59E9"/>
    <w:rsid w:val="005B6806"/>
    <w:rsid w:val="005C4225"/>
    <w:rsid w:val="005D38F9"/>
    <w:rsid w:val="005E68D6"/>
    <w:rsid w:val="005F0DAD"/>
    <w:rsid w:val="005F0F33"/>
    <w:rsid w:val="00600DEB"/>
    <w:rsid w:val="00620A5E"/>
    <w:rsid w:val="00627C9F"/>
    <w:rsid w:val="006311E9"/>
    <w:rsid w:val="00632354"/>
    <w:rsid w:val="00635421"/>
    <w:rsid w:val="00642810"/>
    <w:rsid w:val="00651E56"/>
    <w:rsid w:val="00652333"/>
    <w:rsid w:val="0066114D"/>
    <w:rsid w:val="0068009E"/>
    <w:rsid w:val="0068793C"/>
    <w:rsid w:val="00692219"/>
    <w:rsid w:val="006A17D2"/>
    <w:rsid w:val="006A73E6"/>
    <w:rsid w:val="006B2D5C"/>
    <w:rsid w:val="006B69E5"/>
    <w:rsid w:val="006C4EB1"/>
    <w:rsid w:val="006E0166"/>
    <w:rsid w:val="006E2FFB"/>
    <w:rsid w:val="006E7B34"/>
    <w:rsid w:val="006F2773"/>
    <w:rsid w:val="006F78EE"/>
    <w:rsid w:val="0070697F"/>
    <w:rsid w:val="0072199C"/>
    <w:rsid w:val="00722C9F"/>
    <w:rsid w:val="007253B8"/>
    <w:rsid w:val="00734507"/>
    <w:rsid w:val="0073741F"/>
    <w:rsid w:val="00744F4A"/>
    <w:rsid w:val="00750EE3"/>
    <w:rsid w:val="0076643F"/>
    <w:rsid w:val="00774E24"/>
    <w:rsid w:val="00777F63"/>
    <w:rsid w:val="00791C61"/>
    <w:rsid w:val="007A3195"/>
    <w:rsid w:val="007A5817"/>
    <w:rsid w:val="007B05C4"/>
    <w:rsid w:val="007B60E9"/>
    <w:rsid w:val="007B6CC3"/>
    <w:rsid w:val="007B76D3"/>
    <w:rsid w:val="007C3334"/>
    <w:rsid w:val="007C63E6"/>
    <w:rsid w:val="007D2B98"/>
    <w:rsid w:val="007D6C02"/>
    <w:rsid w:val="007E1751"/>
    <w:rsid w:val="007E21BC"/>
    <w:rsid w:val="007E2C9D"/>
    <w:rsid w:val="007E7C82"/>
    <w:rsid w:val="007F2AA1"/>
    <w:rsid w:val="007F588D"/>
    <w:rsid w:val="007F7715"/>
    <w:rsid w:val="00803F1C"/>
    <w:rsid w:val="0080600E"/>
    <w:rsid w:val="00814688"/>
    <w:rsid w:val="00817612"/>
    <w:rsid w:val="00830652"/>
    <w:rsid w:val="0083383E"/>
    <w:rsid w:val="008338A4"/>
    <w:rsid w:val="00834D49"/>
    <w:rsid w:val="00837C45"/>
    <w:rsid w:val="00844730"/>
    <w:rsid w:val="008457C2"/>
    <w:rsid w:val="00857A82"/>
    <w:rsid w:val="00860F25"/>
    <w:rsid w:val="00873836"/>
    <w:rsid w:val="00885737"/>
    <w:rsid w:val="00890650"/>
    <w:rsid w:val="00897E12"/>
    <w:rsid w:val="008A58F8"/>
    <w:rsid w:val="008A7E0F"/>
    <w:rsid w:val="008B12F5"/>
    <w:rsid w:val="008B367D"/>
    <w:rsid w:val="008C5E2D"/>
    <w:rsid w:val="008D768D"/>
    <w:rsid w:val="008E3759"/>
    <w:rsid w:val="008E3BFE"/>
    <w:rsid w:val="008F1912"/>
    <w:rsid w:val="008F785E"/>
    <w:rsid w:val="00901D0A"/>
    <w:rsid w:val="0090270B"/>
    <w:rsid w:val="009041DC"/>
    <w:rsid w:val="00914CEC"/>
    <w:rsid w:val="00917B5A"/>
    <w:rsid w:val="0092007F"/>
    <w:rsid w:val="00920A58"/>
    <w:rsid w:val="00920A8C"/>
    <w:rsid w:val="009238AB"/>
    <w:rsid w:val="00934A2C"/>
    <w:rsid w:val="00963DFD"/>
    <w:rsid w:val="0096481C"/>
    <w:rsid w:val="0096706E"/>
    <w:rsid w:val="00974491"/>
    <w:rsid w:val="00975C4E"/>
    <w:rsid w:val="00981FBA"/>
    <w:rsid w:val="00997BC5"/>
    <w:rsid w:val="009A4F41"/>
    <w:rsid w:val="009B381B"/>
    <w:rsid w:val="009C3E42"/>
    <w:rsid w:val="009D1753"/>
    <w:rsid w:val="009D2C1D"/>
    <w:rsid w:val="009D7611"/>
    <w:rsid w:val="009E0B61"/>
    <w:rsid w:val="009E53DE"/>
    <w:rsid w:val="009F2D2C"/>
    <w:rsid w:val="00A108A6"/>
    <w:rsid w:val="00A11212"/>
    <w:rsid w:val="00A11E44"/>
    <w:rsid w:val="00A16BA8"/>
    <w:rsid w:val="00A174B6"/>
    <w:rsid w:val="00A234BB"/>
    <w:rsid w:val="00A30100"/>
    <w:rsid w:val="00A328B3"/>
    <w:rsid w:val="00A4378A"/>
    <w:rsid w:val="00A50FCF"/>
    <w:rsid w:val="00A528D1"/>
    <w:rsid w:val="00A53413"/>
    <w:rsid w:val="00A610CD"/>
    <w:rsid w:val="00A758AA"/>
    <w:rsid w:val="00A87A1B"/>
    <w:rsid w:val="00A90BBF"/>
    <w:rsid w:val="00AA09A2"/>
    <w:rsid w:val="00AA6B5B"/>
    <w:rsid w:val="00AA7996"/>
    <w:rsid w:val="00AC19CB"/>
    <w:rsid w:val="00AE2768"/>
    <w:rsid w:val="00AE4726"/>
    <w:rsid w:val="00AE5488"/>
    <w:rsid w:val="00AE55E6"/>
    <w:rsid w:val="00AE6F91"/>
    <w:rsid w:val="00AF072D"/>
    <w:rsid w:val="00AF5571"/>
    <w:rsid w:val="00B07341"/>
    <w:rsid w:val="00B30539"/>
    <w:rsid w:val="00B314DB"/>
    <w:rsid w:val="00B3515F"/>
    <w:rsid w:val="00B361F2"/>
    <w:rsid w:val="00B3718B"/>
    <w:rsid w:val="00B3745F"/>
    <w:rsid w:val="00B4632A"/>
    <w:rsid w:val="00B530F1"/>
    <w:rsid w:val="00B61A68"/>
    <w:rsid w:val="00B80EC2"/>
    <w:rsid w:val="00B9392D"/>
    <w:rsid w:val="00BA276C"/>
    <w:rsid w:val="00BB306F"/>
    <w:rsid w:val="00BD4B89"/>
    <w:rsid w:val="00BD5922"/>
    <w:rsid w:val="00BE1D63"/>
    <w:rsid w:val="00BF02CB"/>
    <w:rsid w:val="00BF3829"/>
    <w:rsid w:val="00BF6FD8"/>
    <w:rsid w:val="00C03680"/>
    <w:rsid w:val="00C054DF"/>
    <w:rsid w:val="00C21762"/>
    <w:rsid w:val="00C21FEF"/>
    <w:rsid w:val="00C23BA4"/>
    <w:rsid w:val="00C24543"/>
    <w:rsid w:val="00C256A2"/>
    <w:rsid w:val="00C25ADB"/>
    <w:rsid w:val="00C35867"/>
    <w:rsid w:val="00C404F1"/>
    <w:rsid w:val="00C409A2"/>
    <w:rsid w:val="00C51515"/>
    <w:rsid w:val="00C51DBF"/>
    <w:rsid w:val="00C5660B"/>
    <w:rsid w:val="00C66B72"/>
    <w:rsid w:val="00C775E8"/>
    <w:rsid w:val="00C83215"/>
    <w:rsid w:val="00C87AC4"/>
    <w:rsid w:val="00C9567A"/>
    <w:rsid w:val="00CA0EEB"/>
    <w:rsid w:val="00CA4512"/>
    <w:rsid w:val="00CA5571"/>
    <w:rsid w:val="00CA7952"/>
    <w:rsid w:val="00CB212D"/>
    <w:rsid w:val="00CB2660"/>
    <w:rsid w:val="00CC5E90"/>
    <w:rsid w:val="00CD046C"/>
    <w:rsid w:val="00CD6771"/>
    <w:rsid w:val="00CE076C"/>
    <w:rsid w:val="00CE4E91"/>
    <w:rsid w:val="00CE5199"/>
    <w:rsid w:val="00CE66D5"/>
    <w:rsid w:val="00CF637A"/>
    <w:rsid w:val="00CF7DC0"/>
    <w:rsid w:val="00D059DE"/>
    <w:rsid w:val="00D05ABD"/>
    <w:rsid w:val="00D13C88"/>
    <w:rsid w:val="00D13FCE"/>
    <w:rsid w:val="00D306D1"/>
    <w:rsid w:val="00D30800"/>
    <w:rsid w:val="00D34786"/>
    <w:rsid w:val="00D37BFC"/>
    <w:rsid w:val="00D47A8E"/>
    <w:rsid w:val="00D52D14"/>
    <w:rsid w:val="00D712D3"/>
    <w:rsid w:val="00D71422"/>
    <w:rsid w:val="00D72DC6"/>
    <w:rsid w:val="00D7558D"/>
    <w:rsid w:val="00D80E1A"/>
    <w:rsid w:val="00D81D92"/>
    <w:rsid w:val="00D876F9"/>
    <w:rsid w:val="00D956D1"/>
    <w:rsid w:val="00DA58FD"/>
    <w:rsid w:val="00DA7B5F"/>
    <w:rsid w:val="00DC11E7"/>
    <w:rsid w:val="00DC24E3"/>
    <w:rsid w:val="00DC7023"/>
    <w:rsid w:val="00DC769A"/>
    <w:rsid w:val="00DD0329"/>
    <w:rsid w:val="00DD0B3B"/>
    <w:rsid w:val="00DD3D86"/>
    <w:rsid w:val="00DD4AD2"/>
    <w:rsid w:val="00DE7F53"/>
    <w:rsid w:val="00DF1894"/>
    <w:rsid w:val="00DF1EC4"/>
    <w:rsid w:val="00E0340B"/>
    <w:rsid w:val="00E04A90"/>
    <w:rsid w:val="00E0551F"/>
    <w:rsid w:val="00E11209"/>
    <w:rsid w:val="00E219C7"/>
    <w:rsid w:val="00E4118C"/>
    <w:rsid w:val="00E43157"/>
    <w:rsid w:val="00E461CE"/>
    <w:rsid w:val="00E47DE9"/>
    <w:rsid w:val="00E514ED"/>
    <w:rsid w:val="00E573E4"/>
    <w:rsid w:val="00E64C3D"/>
    <w:rsid w:val="00E720CA"/>
    <w:rsid w:val="00E84EB5"/>
    <w:rsid w:val="00E85662"/>
    <w:rsid w:val="00E8789F"/>
    <w:rsid w:val="00E97B71"/>
    <w:rsid w:val="00EA3D34"/>
    <w:rsid w:val="00EA7B1A"/>
    <w:rsid w:val="00EB454D"/>
    <w:rsid w:val="00EB4A8C"/>
    <w:rsid w:val="00ED4C1C"/>
    <w:rsid w:val="00ED549D"/>
    <w:rsid w:val="00ED76BE"/>
    <w:rsid w:val="00EE00E9"/>
    <w:rsid w:val="00EF1AAA"/>
    <w:rsid w:val="00EF619B"/>
    <w:rsid w:val="00F00B55"/>
    <w:rsid w:val="00F02AD1"/>
    <w:rsid w:val="00F1169D"/>
    <w:rsid w:val="00F253CC"/>
    <w:rsid w:val="00F344BC"/>
    <w:rsid w:val="00F37106"/>
    <w:rsid w:val="00F44E25"/>
    <w:rsid w:val="00F519CF"/>
    <w:rsid w:val="00F56BA5"/>
    <w:rsid w:val="00F60E22"/>
    <w:rsid w:val="00F6386F"/>
    <w:rsid w:val="00F704FA"/>
    <w:rsid w:val="00F81395"/>
    <w:rsid w:val="00F81BB8"/>
    <w:rsid w:val="00F86323"/>
    <w:rsid w:val="00F90C64"/>
    <w:rsid w:val="00F917D1"/>
    <w:rsid w:val="00F91A15"/>
    <w:rsid w:val="00F9653B"/>
    <w:rsid w:val="00FA702A"/>
    <w:rsid w:val="00FB62CF"/>
    <w:rsid w:val="00FD32CA"/>
    <w:rsid w:val="00FD3C3B"/>
    <w:rsid w:val="00FE07DD"/>
    <w:rsid w:val="00FE3799"/>
    <w:rsid w:val="00FE6B45"/>
    <w:rsid w:val="00FF55F3"/>
    <w:rsid w:val="00FF5851"/>
    <w:rsid w:val="00FF7B1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681D"/>
    <w:rPr>
      <w:sz w:val="16"/>
      <w:szCs w:val="16"/>
    </w:rPr>
  </w:style>
  <w:style w:type="paragraph" w:styleId="CommentText">
    <w:name w:val="annotation text"/>
    <w:basedOn w:val="Normal"/>
    <w:link w:val="CommentTextChar"/>
    <w:uiPriority w:val="99"/>
    <w:semiHidden/>
    <w:unhideWhenUsed/>
    <w:rsid w:val="002C681D"/>
    <w:rPr>
      <w:sz w:val="20"/>
      <w:szCs w:val="20"/>
    </w:rPr>
  </w:style>
  <w:style w:type="character" w:customStyle="1" w:styleId="CommentTextChar">
    <w:name w:val="Comment Text Char"/>
    <w:basedOn w:val="DefaultParagraphFont"/>
    <w:link w:val="CommentText"/>
    <w:uiPriority w:val="99"/>
    <w:semiHidden/>
    <w:rsid w:val="002C681D"/>
    <w:rPr>
      <w:lang w:val="en-US" w:eastAsia="en-US"/>
    </w:rPr>
  </w:style>
  <w:style w:type="paragraph" w:styleId="CommentSubject">
    <w:name w:val="annotation subject"/>
    <w:basedOn w:val="CommentText"/>
    <w:next w:val="CommentText"/>
    <w:link w:val="CommentSubjectChar"/>
    <w:uiPriority w:val="99"/>
    <w:semiHidden/>
    <w:unhideWhenUsed/>
    <w:rsid w:val="002C681D"/>
    <w:rPr>
      <w:b/>
      <w:bCs/>
    </w:rPr>
  </w:style>
  <w:style w:type="character" w:customStyle="1" w:styleId="CommentSubjectChar">
    <w:name w:val="Comment Subject Char"/>
    <w:basedOn w:val="CommentTextChar"/>
    <w:link w:val="CommentSubject"/>
    <w:uiPriority w:val="99"/>
    <w:semiHidden/>
    <w:rsid w:val="002C681D"/>
    <w:rPr>
      <w:b/>
      <w:bCs/>
      <w:lang w:val="en-US" w:eastAsia="en-US"/>
    </w:rPr>
  </w:style>
  <w:style w:type="table" w:customStyle="1" w:styleId="TableGrid1">
    <w:name w:val="Table Grid1"/>
    <w:basedOn w:val="TableNormal"/>
    <w:next w:val="TableGrid"/>
    <w:uiPriority w:val="59"/>
    <w:rsid w:val="00AF072D"/>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4914">
      <w:bodyDiv w:val="1"/>
      <w:marLeft w:val="0"/>
      <w:marRight w:val="0"/>
      <w:marTop w:val="0"/>
      <w:marBottom w:val="0"/>
      <w:divBdr>
        <w:top w:val="none" w:sz="0" w:space="0" w:color="auto"/>
        <w:left w:val="none" w:sz="0" w:space="0" w:color="auto"/>
        <w:bottom w:val="none" w:sz="0" w:space="0" w:color="auto"/>
        <w:right w:val="none" w:sz="0" w:space="0" w:color="auto"/>
      </w:divBdr>
    </w:div>
    <w:div w:id="761149121">
      <w:bodyDiv w:val="1"/>
      <w:marLeft w:val="0"/>
      <w:marRight w:val="0"/>
      <w:marTop w:val="0"/>
      <w:marBottom w:val="0"/>
      <w:divBdr>
        <w:top w:val="none" w:sz="0" w:space="0" w:color="auto"/>
        <w:left w:val="none" w:sz="0" w:space="0" w:color="auto"/>
        <w:bottom w:val="none" w:sz="0" w:space="0" w:color="auto"/>
        <w:right w:val="none" w:sz="0" w:space="0" w:color="auto"/>
      </w:divBdr>
    </w:div>
    <w:div w:id="925499803">
      <w:bodyDiv w:val="1"/>
      <w:marLeft w:val="0"/>
      <w:marRight w:val="0"/>
      <w:marTop w:val="0"/>
      <w:marBottom w:val="0"/>
      <w:divBdr>
        <w:top w:val="none" w:sz="0" w:space="0" w:color="auto"/>
        <w:left w:val="none" w:sz="0" w:space="0" w:color="auto"/>
        <w:bottom w:val="none" w:sz="0" w:space="0" w:color="auto"/>
        <w:right w:val="none" w:sz="0" w:space="0" w:color="auto"/>
      </w:divBdr>
    </w:div>
    <w:div w:id="1089932800">
      <w:bodyDiv w:val="1"/>
      <w:marLeft w:val="0"/>
      <w:marRight w:val="0"/>
      <w:marTop w:val="0"/>
      <w:marBottom w:val="0"/>
      <w:divBdr>
        <w:top w:val="none" w:sz="0" w:space="0" w:color="auto"/>
        <w:left w:val="none" w:sz="0" w:space="0" w:color="auto"/>
        <w:bottom w:val="none" w:sz="0" w:space="0" w:color="auto"/>
        <w:right w:val="none" w:sz="0" w:space="0" w:color="auto"/>
      </w:divBdr>
    </w:div>
    <w:div w:id="113621726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33708790">
      <w:bodyDiv w:val="1"/>
      <w:marLeft w:val="0"/>
      <w:marRight w:val="0"/>
      <w:marTop w:val="0"/>
      <w:marBottom w:val="0"/>
      <w:divBdr>
        <w:top w:val="none" w:sz="0" w:space="0" w:color="auto"/>
        <w:left w:val="none" w:sz="0" w:space="0" w:color="auto"/>
        <w:bottom w:val="none" w:sz="0" w:space="0" w:color="auto"/>
        <w:right w:val="none" w:sz="0" w:space="0" w:color="auto"/>
      </w:divBdr>
    </w:div>
    <w:div w:id="17467997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605F"/>
    <w:rsid w:val="001B5576"/>
    <w:rsid w:val="001D5AE1"/>
    <w:rsid w:val="00200821"/>
    <w:rsid w:val="0025245B"/>
    <w:rsid w:val="002A3923"/>
    <w:rsid w:val="003547A3"/>
    <w:rsid w:val="00394049"/>
    <w:rsid w:val="003D1811"/>
    <w:rsid w:val="004B5BBB"/>
    <w:rsid w:val="004F2DF8"/>
    <w:rsid w:val="00563552"/>
    <w:rsid w:val="006024AB"/>
    <w:rsid w:val="006F24A1"/>
    <w:rsid w:val="009A261B"/>
    <w:rsid w:val="00A47825"/>
    <w:rsid w:val="00AA2E17"/>
    <w:rsid w:val="00AA37BF"/>
    <w:rsid w:val="00AC15A4"/>
    <w:rsid w:val="00AD6BB8"/>
    <w:rsid w:val="00B0336C"/>
    <w:rsid w:val="00C809E4"/>
    <w:rsid w:val="00C90A83"/>
    <w:rsid w:val="00D241E9"/>
    <w:rsid w:val="00D7750D"/>
    <w:rsid w:val="00D92FEC"/>
    <w:rsid w:val="00E313BF"/>
    <w:rsid w:val="00E514A3"/>
    <w:rsid w:val="00E61445"/>
    <w:rsid w:val="00F00D2F"/>
    <w:rsid w:val="00F128DF"/>
    <w:rsid w:val="00F27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8E1D2-7BF4-40AD-884F-7C023CFC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3568</Words>
  <Characters>18768</Characters>
  <Application>Microsoft Office Word</Application>
  <DocSecurity>0</DocSecurity>
  <Lines>354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310/20</dc:title>
  <dc:subject/>
  <dc:creator/>
  <cp:keywords/>
  <dc:description/>
  <cp:lastModifiedBy/>
  <cp:revision>1</cp:revision>
  <dcterms:created xsi:type="dcterms:W3CDTF">2021-02-10T19:14:00Z</dcterms:created>
  <dcterms:modified xsi:type="dcterms:W3CDTF">2021-02-10T19:14:00Z</dcterms:modified>
</cp:coreProperties>
</file>