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60A6" w14:textId="77777777" w:rsidR="00040C3A" w:rsidRPr="00D43C76" w:rsidRDefault="008A31F3" w:rsidP="001E4D7D">
      <w:pPr>
        <w:jc w:val="both"/>
        <w:rPr>
          <w:rFonts w:asciiTheme="majorHAnsi" w:hAnsiTheme="majorHAnsi" w:cs="Univers"/>
          <w:b/>
          <w:bCs/>
          <w:sz w:val="22"/>
          <w:szCs w:val="22"/>
          <w:lang w:val="es-ES_tradnl"/>
        </w:rPr>
      </w:pPr>
      <w:r w:rsidRPr="00D43C76">
        <w:rPr>
          <w:rFonts w:asciiTheme="majorHAnsi" w:hAnsiTheme="majorHAnsi"/>
          <w:noProof/>
          <w:sz w:val="22"/>
          <w:szCs w:val="22"/>
          <w:lang w:val="es-ES_tradnl"/>
        </w:rPr>
        <mc:AlternateContent>
          <mc:Choice Requires="wps">
            <w:drawing>
              <wp:anchor distT="0" distB="0" distL="114300" distR="114300" simplePos="0" relativeHeight="251688960" behindDoc="1" locked="0" layoutInCell="1" allowOverlap="1" wp14:anchorId="0CD8ED15" wp14:editId="790BFDA4">
                <wp:simplePos x="0" y="0"/>
                <wp:positionH relativeFrom="column">
                  <wp:posOffset>-514350</wp:posOffset>
                </wp:positionH>
                <wp:positionV relativeFrom="paragraph">
                  <wp:posOffset>-323850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7DDE8" id="Rectangle 1" o:spid="_x0000_s1026" style="position:absolute;margin-left:-40.5pt;margin-top:-25.5pt;width:121.5pt;height:716.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" fillcolor="#4a7194" stroked="f" strokeweight="2pt"/>
            </w:pict>
          </mc:Fallback>
        </mc:AlternateContent>
      </w:r>
      <w:r w:rsidR="00083E3C" w:rsidRPr="00D43C76">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5C0E7390" wp14:editId="3174463D">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DD4BE" w14:textId="77777777" w:rsidR="0055226A" w:rsidRDefault="0055226A">
                            <w:r>
                              <w:rPr>
                                <w:noProof/>
                              </w:rPr>
                              <w:drawing>
                                <wp:inline distT="0" distB="0" distL="0" distR="0" wp14:anchorId="09B20D35" wp14:editId="0EB1721D">
                                  <wp:extent cx="2647315" cy="509270"/>
                                  <wp:effectExtent l="0" t="0" r="635" b="5080"/>
                                  <wp:docPr id="12" name="Picture 12" descr="C:\Users\mfontana\Documents\Eva Fontana\GRAFICA CIDH\cartas\logos\cidh-es.jpg"/>
                                  <wp:cNvGraphicFramePr/>
                                  <a:graphic xmlns:a="http://schemas.openxmlformats.org/drawingml/2006/main">
                                    <a:graphicData uri="http://schemas.openxmlformats.org/drawingml/2006/picture">
                                      <pic:pic xmlns:pic="http://schemas.openxmlformats.org/drawingml/2006/picture">
                                        <pic:nvPicPr>
                                          <pic:cNvPr id="12" name="Picture 12" descr="C:\Users\mfontana\Documents\Eva Fontana\GRAFICA CIDH\cartas\logos\cidh-es.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50927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E73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" filled="f" stroked="f" strokeweight=".5pt">
                <v:textbox>
                  <w:txbxContent>
                    <w:p w14:paraId="732DD4BE" w14:textId="77777777" w:rsidR="0055226A" w:rsidRDefault="0055226A">
                      <w:r>
                        <w:rPr>
                          <w:noProof/>
                        </w:rPr>
                        <w:drawing>
                          <wp:inline distT="0" distB="0" distL="0" distR="0" wp14:anchorId="09B20D35" wp14:editId="0EB1721D">
                            <wp:extent cx="2647315" cy="509270"/>
                            <wp:effectExtent l="0" t="0" r="635" b="5080"/>
                            <wp:docPr id="12" name="Picture 12" descr="C:\Users\mfontana\Documents\Eva Fontana\GRAFICA CIDH\cartas\logos\cidh-es.jpg"/>
                            <wp:cNvGraphicFramePr/>
                            <a:graphic xmlns:a="http://schemas.openxmlformats.org/drawingml/2006/main">
                              <a:graphicData uri="http://schemas.openxmlformats.org/drawingml/2006/picture">
                                <pic:pic xmlns:pic="http://schemas.openxmlformats.org/drawingml/2006/picture">
                                  <pic:nvPicPr>
                                    <pic:cNvPr id="12" name="Picture 12" descr="C:\Users\mfontana\Documents\Eva Fontana\GRAFICA CIDH\cartas\logos\cidh-es.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509270"/>
                                    </a:xfrm>
                                    <a:prstGeom prst="rect">
                                      <a:avLst/>
                                    </a:prstGeom>
                                    <a:noFill/>
                                    <a:ln>
                                      <a:noFill/>
                                    </a:ln>
                                  </pic:spPr>
                                </pic:pic>
                              </a:graphicData>
                            </a:graphic>
                          </wp:inline>
                        </w:drawing>
                      </w:r>
                      <w:r>
                        <w:t xml:space="preserve">                        </w:t>
                      </w:r>
                    </w:p>
                  </w:txbxContent>
                </v:textbox>
              </v:shape>
            </w:pict>
          </mc:Fallback>
        </mc:AlternateContent>
      </w:r>
    </w:p>
    <w:p w14:paraId="38738B62" w14:textId="77777777" w:rsidR="00040C3A" w:rsidRPr="00D43C76" w:rsidRDefault="00040C3A" w:rsidP="00040C3A">
      <w:pPr>
        <w:tabs>
          <w:tab w:val="center" w:pos="5400"/>
        </w:tabs>
        <w:suppressAutoHyphens/>
        <w:jc w:val="both"/>
        <w:rPr>
          <w:rFonts w:asciiTheme="majorHAnsi" w:hAnsiTheme="majorHAnsi"/>
          <w:sz w:val="22"/>
          <w:szCs w:val="22"/>
          <w:lang w:val="es-ES_tradnl"/>
        </w:rPr>
      </w:pPr>
    </w:p>
    <w:p w14:paraId="43B70897" w14:textId="77777777" w:rsidR="00040C3A" w:rsidRPr="00D43C76" w:rsidRDefault="00040C3A" w:rsidP="00040C3A">
      <w:pPr>
        <w:tabs>
          <w:tab w:val="center" w:pos="5400"/>
        </w:tabs>
        <w:suppressAutoHyphens/>
        <w:jc w:val="both"/>
        <w:rPr>
          <w:rFonts w:asciiTheme="majorHAnsi" w:hAnsiTheme="majorHAnsi"/>
          <w:sz w:val="22"/>
          <w:szCs w:val="22"/>
          <w:lang w:val="es-ES_tradnl"/>
        </w:rPr>
      </w:pPr>
    </w:p>
    <w:p w14:paraId="5FD16876" w14:textId="77777777" w:rsidR="005128E4" w:rsidRPr="00D43C76" w:rsidRDefault="005128E4" w:rsidP="00040C3A">
      <w:pPr>
        <w:tabs>
          <w:tab w:val="center" w:pos="5400"/>
        </w:tabs>
        <w:suppressAutoHyphens/>
        <w:rPr>
          <w:rFonts w:asciiTheme="majorHAnsi" w:hAnsiTheme="majorHAnsi"/>
          <w:sz w:val="22"/>
          <w:szCs w:val="22"/>
          <w:lang w:val="es-ES_tradnl"/>
        </w:rPr>
      </w:pPr>
    </w:p>
    <w:p w14:paraId="7FA16E60" w14:textId="77777777" w:rsidR="005128E4" w:rsidRPr="00D43C76" w:rsidRDefault="005128E4" w:rsidP="00040C3A">
      <w:pPr>
        <w:tabs>
          <w:tab w:val="center" w:pos="5400"/>
        </w:tabs>
        <w:suppressAutoHyphens/>
        <w:rPr>
          <w:rFonts w:asciiTheme="majorHAnsi" w:hAnsiTheme="majorHAnsi"/>
          <w:sz w:val="22"/>
          <w:szCs w:val="22"/>
          <w:lang w:val="es-ES_tradnl"/>
        </w:rPr>
      </w:pPr>
    </w:p>
    <w:p w14:paraId="6F144E36" w14:textId="77777777" w:rsidR="005128E4" w:rsidRPr="00D43C76" w:rsidRDefault="005128E4" w:rsidP="00040C3A">
      <w:pPr>
        <w:tabs>
          <w:tab w:val="center" w:pos="5400"/>
        </w:tabs>
        <w:suppressAutoHyphens/>
        <w:rPr>
          <w:rFonts w:asciiTheme="majorHAnsi" w:hAnsiTheme="majorHAnsi"/>
          <w:sz w:val="22"/>
          <w:szCs w:val="22"/>
          <w:lang w:val="es-ES_tradnl"/>
        </w:rPr>
      </w:pPr>
    </w:p>
    <w:p w14:paraId="790958D6" w14:textId="77777777" w:rsidR="00040C3A" w:rsidRPr="00D43C76" w:rsidRDefault="00040C3A" w:rsidP="005128E4">
      <w:pPr>
        <w:tabs>
          <w:tab w:val="center" w:pos="5400"/>
        </w:tabs>
        <w:suppressAutoHyphens/>
        <w:jc w:val="center"/>
        <w:rPr>
          <w:rFonts w:asciiTheme="majorHAnsi" w:hAnsiTheme="majorHAnsi"/>
          <w:sz w:val="22"/>
          <w:szCs w:val="22"/>
          <w:lang w:val="es-ES_tradnl"/>
        </w:rPr>
      </w:pPr>
    </w:p>
    <w:p w14:paraId="76A2073E" w14:textId="77777777" w:rsidR="00040C3A" w:rsidRPr="00D43C76" w:rsidRDefault="00083E3C" w:rsidP="005128E4">
      <w:pPr>
        <w:tabs>
          <w:tab w:val="center" w:pos="5400"/>
        </w:tabs>
        <w:suppressAutoHyphens/>
        <w:jc w:val="center"/>
        <w:rPr>
          <w:rFonts w:asciiTheme="majorHAnsi" w:hAnsiTheme="majorHAnsi"/>
          <w:sz w:val="22"/>
          <w:szCs w:val="22"/>
          <w:lang w:val="es-ES_tradnl"/>
        </w:rPr>
      </w:pPr>
      <w:r w:rsidRPr="00D43C76">
        <w:rPr>
          <w:rFonts w:asciiTheme="majorHAnsi" w:hAnsiTheme="majorHAnsi"/>
          <w:noProof/>
          <w:sz w:val="22"/>
          <w:szCs w:val="22"/>
          <w:lang w:val="es-ES_tradnl"/>
        </w:rPr>
        <mc:AlternateContent>
          <mc:Choice Requires="wps">
            <w:drawing>
              <wp:anchor distT="0" distB="0" distL="114300" distR="114300" simplePos="0" relativeHeight="251648000" behindDoc="0" locked="0" layoutInCell="1" allowOverlap="1" wp14:anchorId="54B74D5A" wp14:editId="171F6292">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BE158"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p>
                          <w:p w14:paraId="35C09DAC"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p>
                          <w:p w14:paraId="396DABDF"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p>
                          <w:p w14:paraId="3F67626D"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p>
                          <w:p w14:paraId="7C37D652"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ES"/>
                              </w:rPr>
                              <w:t>INFORME No. 401/20</w:t>
                            </w:r>
                          </w:p>
                          <w:p w14:paraId="0526091F"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r w:rsidRPr="00A365FB">
                              <w:rPr>
                                <w:rFonts w:asciiTheme="majorHAnsi" w:hAnsiTheme="majorHAnsi" w:cs="Arial"/>
                                <w:b/>
                                <w:bCs/>
                                <w:color w:val="0D0D0D" w:themeColor="text1" w:themeTint="F2"/>
                                <w:sz w:val="36"/>
                                <w:szCs w:val="40"/>
                                <w:lang w:val="es-ES"/>
                              </w:rPr>
                              <w:t>CASO 13.095</w:t>
                            </w:r>
                          </w:p>
                          <w:p w14:paraId="1F388B28" w14:textId="77777777" w:rsidR="0055226A" w:rsidRPr="00A365FB" w:rsidRDefault="0055226A" w:rsidP="00F45EBF">
                            <w:pPr>
                              <w:spacing w:line="276" w:lineRule="auto"/>
                              <w:rPr>
                                <w:rFonts w:asciiTheme="majorHAnsi" w:hAnsiTheme="majorHAnsi" w:cs="Arial"/>
                                <w:color w:val="0D0D0D" w:themeColor="text1" w:themeTint="F2"/>
                                <w:szCs w:val="22"/>
                                <w:lang w:val="es-ES"/>
                              </w:rPr>
                            </w:pPr>
                            <w:r w:rsidRPr="00A365FB">
                              <w:rPr>
                                <w:rFonts w:asciiTheme="majorHAnsi" w:hAnsiTheme="majorHAnsi" w:cs="Arial"/>
                                <w:color w:val="0D0D0D" w:themeColor="text1" w:themeTint="F2"/>
                                <w:szCs w:val="22"/>
                                <w:lang w:val="es-ES"/>
                              </w:rPr>
                              <w:t>INFORME DE FONDO</w:t>
                            </w:r>
                            <w:r>
                              <w:rPr>
                                <w:rFonts w:asciiTheme="majorHAnsi" w:hAnsiTheme="majorHAnsi" w:cs="Arial"/>
                                <w:color w:val="0D0D0D" w:themeColor="text1" w:themeTint="F2"/>
                                <w:szCs w:val="22"/>
                                <w:lang w:val="es-ES"/>
                              </w:rPr>
                              <w:t xml:space="preserve"> (PUBLICACIÓN)</w:t>
                            </w:r>
                            <w:r w:rsidRPr="00A365FB">
                              <w:rPr>
                                <w:rFonts w:asciiTheme="majorHAnsi" w:hAnsiTheme="majorHAnsi" w:cs="Arial"/>
                                <w:color w:val="0D0D0D" w:themeColor="text1" w:themeTint="F2"/>
                                <w:szCs w:val="22"/>
                                <w:lang w:val="es-ES"/>
                              </w:rPr>
                              <w:t xml:space="preserve"> </w:t>
                            </w:r>
                          </w:p>
                          <w:p w14:paraId="573F4D67" w14:textId="77777777" w:rsidR="0055226A" w:rsidRPr="00A365FB" w:rsidRDefault="0055226A" w:rsidP="004B7EB6">
                            <w:pPr>
                              <w:spacing w:line="276" w:lineRule="auto"/>
                              <w:rPr>
                                <w:rFonts w:asciiTheme="majorHAnsi" w:hAnsiTheme="majorHAnsi" w:cs="Arial"/>
                                <w:color w:val="0D0D0D" w:themeColor="text1" w:themeTint="F2"/>
                                <w:szCs w:val="22"/>
                                <w:lang w:val="es-ES"/>
                              </w:rPr>
                            </w:pPr>
                          </w:p>
                          <w:p w14:paraId="32895A63" w14:textId="77777777" w:rsidR="0055226A" w:rsidRPr="00A365FB" w:rsidRDefault="0055226A" w:rsidP="00191F07">
                            <w:pPr>
                              <w:pStyle w:val="Body"/>
                              <w:suppressAutoHyphens/>
                              <w:rPr>
                                <w:rFonts w:ascii="Cambria" w:eastAsia="Cambria" w:hAnsi="Cambria" w:cs="Cambria"/>
                                <w:lang w:val="es-ES"/>
                              </w:rPr>
                            </w:pPr>
                            <w:r w:rsidRPr="00A365FB">
                              <w:rPr>
                                <w:rFonts w:ascii="Cambria" w:eastAsia="Cambria" w:hAnsi="Cambria" w:cs="Cambria"/>
                                <w:lang w:val="es-ES"/>
                              </w:rPr>
                              <w:t>T.</w:t>
                            </w:r>
                            <w:r>
                              <w:rPr>
                                <w:rFonts w:ascii="Cambria" w:eastAsia="Cambria" w:hAnsi="Cambria" w:cs="Cambria"/>
                                <w:lang w:val="es-ES"/>
                              </w:rPr>
                              <w:t xml:space="preserve"> </w:t>
                            </w:r>
                            <w:r w:rsidRPr="00A365FB">
                              <w:rPr>
                                <w:rFonts w:ascii="Cambria" w:eastAsia="Cambria" w:hAnsi="Cambria" w:cs="Cambria"/>
                                <w:lang w:val="es-ES"/>
                              </w:rPr>
                              <w:t>B. Y S.</w:t>
                            </w:r>
                            <w:r>
                              <w:rPr>
                                <w:rFonts w:ascii="Cambria" w:eastAsia="Cambria" w:hAnsi="Cambria" w:cs="Cambria"/>
                                <w:lang w:val="es-ES"/>
                              </w:rPr>
                              <w:t xml:space="preserve"> </w:t>
                            </w:r>
                            <w:r w:rsidRPr="00A365FB">
                              <w:rPr>
                                <w:rFonts w:ascii="Cambria" w:eastAsia="Cambria" w:hAnsi="Cambria" w:cs="Cambria"/>
                                <w:lang w:val="es-ES"/>
                              </w:rPr>
                              <w:t xml:space="preserve">H. </w:t>
                            </w:r>
                          </w:p>
                          <w:p w14:paraId="5A5D4601" w14:textId="77777777" w:rsidR="0055226A" w:rsidRPr="00A365FB" w:rsidRDefault="0055226A" w:rsidP="004B7EB6">
                            <w:pPr>
                              <w:spacing w:line="276" w:lineRule="auto"/>
                              <w:rPr>
                                <w:rFonts w:asciiTheme="majorHAnsi" w:hAnsiTheme="majorHAnsi" w:cs="Arial"/>
                                <w:color w:val="0D0D0D" w:themeColor="text1" w:themeTint="F2"/>
                                <w:szCs w:val="22"/>
                                <w:lang w:val="es-ES"/>
                              </w:rPr>
                            </w:pPr>
                            <w:r w:rsidRPr="00A365FB">
                              <w:rPr>
                                <w:rFonts w:asciiTheme="majorHAnsi" w:hAnsiTheme="majorHAnsi" w:cs="Arial"/>
                                <w:color w:val="0D0D0D" w:themeColor="text1" w:themeTint="F2"/>
                                <w:szCs w:val="22"/>
                                <w:lang w:val="es-ES"/>
                              </w:rPr>
                              <w:t>JAMAICA</w:t>
                            </w:r>
                          </w:p>
                          <w:p w14:paraId="47537D7D" w14:textId="77777777" w:rsidR="0055226A" w:rsidRPr="00A365FB" w:rsidRDefault="0055226A" w:rsidP="004B7EB6">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74D5A" id="Text Box 5" o:spid="_x0000_s1027" type="#_x0000_t202" style="position:absolute;left:0;text-align:left;margin-left:84.9pt;margin-top:7pt;width:341.25pt;height:28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" filled="f" stroked="f" strokeweight=".5pt">
                <v:textbox>
                  <w:txbxContent>
                    <w:p w14:paraId="0FBBE158"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p>
                    <w:p w14:paraId="35C09DAC"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p>
                    <w:p w14:paraId="396DABDF"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p>
                    <w:p w14:paraId="3F67626D"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p>
                    <w:p w14:paraId="7C37D652"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ES"/>
                        </w:rPr>
                        <w:t>INFORME No. 401/20</w:t>
                      </w:r>
                    </w:p>
                    <w:p w14:paraId="0526091F" w14:textId="77777777" w:rsidR="0055226A" w:rsidRPr="00A365FB" w:rsidRDefault="0055226A" w:rsidP="004B7EB6">
                      <w:pPr>
                        <w:spacing w:line="276" w:lineRule="auto"/>
                        <w:rPr>
                          <w:rFonts w:asciiTheme="majorHAnsi" w:hAnsiTheme="majorHAnsi" w:cs="Arial"/>
                          <w:b/>
                          <w:bCs/>
                          <w:color w:val="0D0D0D" w:themeColor="text1" w:themeTint="F2"/>
                          <w:sz w:val="36"/>
                          <w:szCs w:val="40"/>
                          <w:lang w:val="es-ES"/>
                        </w:rPr>
                      </w:pPr>
                      <w:r w:rsidRPr="00A365FB">
                        <w:rPr>
                          <w:rFonts w:asciiTheme="majorHAnsi" w:hAnsiTheme="majorHAnsi" w:cs="Arial"/>
                          <w:b/>
                          <w:bCs/>
                          <w:color w:val="0D0D0D" w:themeColor="text1" w:themeTint="F2"/>
                          <w:sz w:val="36"/>
                          <w:szCs w:val="40"/>
                          <w:lang w:val="es-ES"/>
                        </w:rPr>
                        <w:t>CASO 13.095</w:t>
                      </w:r>
                    </w:p>
                    <w:p w14:paraId="1F388B28" w14:textId="77777777" w:rsidR="0055226A" w:rsidRPr="00A365FB" w:rsidRDefault="0055226A" w:rsidP="00F45EBF">
                      <w:pPr>
                        <w:spacing w:line="276" w:lineRule="auto"/>
                        <w:rPr>
                          <w:rFonts w:asciiTheme="majorHAnsi" w:hAnsiTheme="majorHAnsi" w:cs="Arial"/>
                          <w:color w:val="0D0D0D" w:themeColor="text1" w:themeTint="F2"/>
                          <w:szCs w:val="22"/>
                          <w:lang w:val="es-ES"/>
                        </w:rPr>
                      </w:pPr>
                      <w:r w:rsidRPr="00A365FB">
                        <w:rPr>
                          <w:rFonts w:asciiTheme="majorHAnsi" w:hAnsiTheme="majorHAnsi" w:cs="Arial"/>
                          <w:color w:val="0D0D0D" w:themeColor="text1" w:themeTint="F2"/>
                          <w:szCs w:val="22"/>
                          <w:lang w:val="es-ES"/>
                        </w:rPr>
                        <w:t>INFORME DE FONDO</w:t>
                      </w:r>
                      <w:r>
                        <w:rPr>
                          <w:rFonts w:asciiTheme="majorHAnsi" w:hAnsiTheme="majorHAnsi" w:cs="Arial"/>
                          <w:color w:val="0D0D0D" w:themeColor="text1" w:themeTint="F2"/>
                          <w:szCs w:val="22"/>
                          <w:lang w:val="es-ES"/>
                        </w:rPr>
                        <w:t xml:space="preserve"> (PUBLICACIÓN)</w:t>
                      </w:r>
                      <w:r w:rsidRPr="00A365FB">
                        <w:rPr>
                          <w:rFonts w:asciiTheme="majorHAnsi" w:hAnsiTheme="majorHAnsi" w:cs="Arial"/>
                          <w:color w:val="0D0D0D" w:themeColor="text1" w:themeTint="F2"/>
                          <w:szCs w:val="22"/>
                          <w:lang w:val="es-ES"/>
                        </w:rPr>
                        <w:t xml:space="preserve"> </w:t>
                      </w:r>
                    </w:p>
                    <w:p w14:paraId="573F4D67" w14:textId="77777777" w:rsidR="0055226A" w:rsidRPr="00A365FB" w:rsidRDefault="0055226A" w:rsidP="004B7EB6">
                      <w:pPr>
                        <w:spacing w:line="276" w:lineRule="auto"/>
                        <w:rPr>
                          <w:rFonts w:asciiTheme="majorHAnsi" w:hAnsiTheme="majorHAnsi" w:cs="Arial"/>
                          <w:color w:val="0D0D0D" w:themeColor="text1" w:themeTint="F2"/>
                          <w:szCs w:val="22"/>
                          <w:lang w:val="es-ES"/>
                        </w:rPr>
                      </w:pPr>
                    </w:p>
                    <w:p w14:paraId="32895A63" w14:textId="77777777" w:rsidR="0055226A" w:rsidRPr="00A365FB" w:rsidRDefault="0055226A" w:rsidP="00191F07">
                      <w:pPr>
                        <w:pStyle w:val="Body"/>
                        <w:suppressAutoHyphens/>
                        <w:rPr>
                          <w:rFonts w:ascii="Cambria" w:eastAsia="Cambria" w:hAnsi="Cambria" w:cs="Cambria"/>
                          <w:lang w:val="es-ES"/>
                        </w:rPr>
                      </w:pPr>
                      <w:r w:rsidRPr="00A365FB">
                        <w:rPr>
                          <w:rFonts w:ascii="Cambria" w:eastAsia="Cambria" w:hAnsi="Cambria" w:cs="Cambria"/>
                          <w:lang w:val="es-ES"/>
                        </w:rPr>
                        <w:t>T.</w:t>
                      </w:r>
                      <w:r>
                        <w:rPr>
                          <w:rFonts w:ascii="Cambria" w:eastAsia="Cambria" w:hAnsi="Cambria" w:cs="Cambria"/>
                          <w:lang w:val="es-ES"/>
                        </w:rPr>
                        <w:t xml:space="preserve"> </w:t>
                      </w:r>
                      <w:r w:rsidRPr="00A365FB">
                        <w:rPr>
                          <w:rFonts w:ascii="Cambria" w:eastAsia="Cambria" w:hAnsi="Cambria" w:cs="Cambria"/>
                          <w:lang w:val="es-ES"/>
                        </w:rPr>
                        <w:t>B. Y S.</w:t>
                      </w:r>
                      <w:r>
                        <w:rPr>
                          <w:rFonts w:ascii="Cambria" w:eastAsia="Cambria" w:hAnsi="Cambria" w:cs="Cambria"/>
                          <w:lang w:val="es-ES"/>
                        </w:rPr>
                        <w:t xml:space="preserve"> </w:t>
                      </w:r>
                      <w:r w:rsidRPr="00A365FB">
                        <w:rPr>
                          <w:rFonts w:ascii="Cambria" w:eastAsia="Cambria" w:hAnsi="Cambria" w:cs="Cambria"/>
                          <w:lang w:val="es-ES"/>
                        </w:rPr>
                        <w:t xml:space="preserve">H. </w:t>
                      </w:r>
                    </w:p>
                    <w:p w14:paraId="5A5D4601" w14:textId="77777777" w:rsidR="0055226A" w:rsidRPr="00A365FB" w:rsidRDefault="0055226A" w:rsidP="004B7EB6">
                      <w:pPr>
                        <w:spacing w:line="276" w:lineRule="auto"/>
                        <w:rPr>
                          <w:rFonts w:asciiTheme="majorHAnsi" w:hAnsiTheme="majorHAnsi" w:cs="Arial"/>
                          <w:color w:val="0D0D0D" w:themeColor="text1" w:themeTint="F2"/>
                          <w:szCs w:val="22"/>
                          <w:lang w:val="es-ES"/>
                        </w:rPr>
                      </w:pPr>
                      <w:r w:rsidRPr="00A365FB">
                        <w:rPr>
                          <w:rFonts w:asciiTheme="majorHAnsi" w:hAnsiTheme="majorHAnsi" w:cs="Arial"/>
                          <w:color w:val="0D0D0D" w:themeColor="text1" w:themeTint="F2"/>
                          <w:szCs w:val="22"/>
                          <w:lang w:val="es-ES"/>
                        </w:rPr>
                        <w:t>JAMAICA</w:t>
                      </w:r>
                    </w:p>
                    <w:p w14:paraId="47537D7D" w14:textId="77777777" w:rsidR="0055226A" w:rsidRPr="00A365FB" w:rsidRDefault="0055226A" w:rsidP="004B7EB6">
                      <w:pPr>
                        <w:spacing w:line="276" w:lineRule="auto"/>
                        <w:rPr>
                          <w:rFonts w:asciiTheme="majorHAnsi" w:hAnsiTheme="majorHAnsi"/>
                          <w:color w:val="0D0D0D" w:themeColor="text1" w:themeTint="F2"/>
                          <w:lang w:val="es-ES"/>
                        </w:rPr>
                      </w:pPr>
                    </w:p>
                  </w:txbxContent>
                </v:textbox>
              </v:shape>
            </w:pict>
          </mc:Fallback>
        </mc:AlternateContent>
      </w:r>
    </w:p>
    <w:p w14:paraId="40FCDF51" w14:textId="77777777" w:rsidR="005B52B0" w:rsidRPr="00D43C76" w:rsidRDefault="005B52B0" w:rsidP="005128E4">
      <w:pPr>
        <w:tabs>
          <w:tab w:val="center" w:pos="5400"/>
        </w:tabs>
        <w:suppressAutoHyphens/>
        <w:jc w:val="center"/>
        <w:rPr>
          <w:rFonts w:asciiTheme="majorHAnsi" w:hAnsiTheme="majorHAnsi"/>
          <w:sz w:val="22"/>
          <w:szCs w:val="22"/>
          <w:lang w:val="es-ES_tradnl"/>
        </w:rPr>
      </w:pPr>
    </w:p>
    <w:p w14:paraId="401001C4" w14:textId="77777777" w:rsidR="005B52B0" w:rsidRPr="00D43C76" w:rsidRDefault="005B52B0" w:rsidP="005128E4">
      <w:pPr>
        <w:tabs>
          <w:tab w:val="center" w:pos="5400"/>
        </w:tabs>
        <w:suppressAutoHyphens/>
        <w:jc w:val="center"/>
        <w:rPr>
          <w:rFonts w:asciiTheme="majorHAnsi" w:hAnsiTheme="majorHAnsi"/>
          <w:sz w:val="22"/>
          <w:szCs w:val="22"/>
          <w:lang w:val="es-ES_tradnl"/>
        </w:rPr>
      </w:pPr>
    </w:p>
    <w:p w14:paraId="41207FCA" w14:textId="77777777" w:rsidR="005B52B0" w:rsidRPr="00D43C76" w:rsidRDefault="005B52B0" w:rsidP="005128E4">
      <w:pPr>
        <w:tabs>
          <w:tab w:val="center" w:pos="5400"/>
        </w:tabs>
        <w:suppressAutoHyphens/>
        <w:jc w:val="center"/>
        <w:rPr>
          <w:rFonts w:asciiTheme="majorHAnsi" w:hAnsiTheme="majorHAnsi"/>
          <w:sz w:val="22"/>
          <w:szCs w:val="22"/>
          <w:lang w:val="es-ES_tradnl"/>
        </w:rPr>
      </w:pPr>
    </w:p>
    <w:p w14:paraId="16D33C15" w14:textId="77777777" w:rsidR="00040C3A" w:rsidRPr="00D43C76" w:rsidRDefault="00040C3A" w:rsidP="00040C3A">
      <w:pPr>
        <w:tabs>
          <w:tab w:val="center" w:pos="5400"/>
        </w:tabs>
        <w:suppressAutoHyphens/>
        <w:jc w:val="center"/>
        <w:rPr>
          <w:rFonts w:asciiTheme="majorHAnsi" w:hAnsiTheme="majorHAnsi"/>
          <w:sz w:val="22"/>
          <w:szCs w:val="22"/>
          <w:lang w:val="es-ES_tradnl"/>
        </w:rPr>
      </w:pPr>
    </w:p>
    <w:p w14:paraId="40B4A0FC" w14:textId="77777777" w:rsidR="00040C3A" w:rsidRPr="00D43C76" w:rsidRDefault="00040C3A" w:rsidP="00040C3A">
      <w:pPr>
        <w:tabs>
          <w:tab w:val="center" w:pos="5400"/>
        </w:tabs>
        <w:suppressAutoHyphens/>
        <w:jc w:val="center"/>
        <w:rPr>
          <w:rFonts w:asciiTheme="majorHAnsi" w:hAnsiTheme="majorHAnsi"/>
          <w:sz w:val="22"/>
          <w:szCs w:val="22"/>
          <w:lang w:val="es-ES_tradnl"/>
        </w:rPr>
      </w:pPr>
    </w:p>
    <w:p w14:paraId="6C90B597" w14:textId="77777777" w:rsidR="00040C3A" w:rsidRPr="00D43C76" w:rsidRDefault="00040C3A" w:rsidP="00040C3A">
      <w:pPr>
        <w:tabs>
          <w:tab w:val="center" w:pos="5400"/>
        </w:tabs>
        <w:suppressAutoHyphens/>
        <w:jc w:val="center"/>
        <w:rPr>
          <w:rFonts w:asciiTheme="majorHAnsi" w:hAnsiTheme="majorHAnsi"/>
          <w:sz w:val="22"/>
          <w:szCs w:val="22"/>
          <w:lang w:val="es-ES_tradnl"/>
        </w:rPr>
      </w:pPr>
    </w:p>
    <w:p w14:paraId="06935E17" w14:textId="77777777" w:rsidR="00040C3A" w:rsidRPr="00D43C76" w:rsidRDefault="00040C3A" w:rsidP="00040C3A">
      <w:pPr>
        <w:tabs>
          <w:tab w:val="center" w:pos="5400"/>
        </w:tabs>
        <w:suppressAutoHyphens/>
        <w:jc w:val="center"/>
        <w:rPr>
          <w:rFonts w:asciiTheme="majorHAnsi" w:hAnsiTheme="majorHAnsi"/>
          <w:sz w:val="22"/>
          <w:szCs w:val="22"/>
          <w:lang w:val="es-ES_tradnl"/>
        </w:rPr>
      </w:pPr>
    </w:p>
    <w:p w14:paraId="5E8D5220" w14:textId="77777777" w:rsidR="00040C3A" w:rsidRPr="00D43C76" w:rsidRDefault="009B3FD7" w:rsidP="00040C3A">
      <w:pPr>
        <w:tabs>
          <w:tab w:val="center" w:pos="5400"/>
        </w:tabs>
        <w:suppressAutoHyphens/>
        <w:jc w:val="center"/>
        <w:rPr>
          <w:rFonts w:asciiTheme="majorHAnsi" w:hAnsiTheme="majorHAnsi"/>
          <w:sz w:val="22"/>
          <w:szCs w:val="22"/>
          <w:lang w:val="es-ES_tradnl"/>
        </w:rPr>
      </w:pPr>
      <w:r w:rsidRPr="00D43C76">
        <w:rPr>
          <w:rFonts w:asciiTheme="majorHAnsi" w:hAnsiTheme="majorHAnsi"/>
          <w:noProof/>
          <w:sz w:val="22"/>
          <w:szCs w:val="22"/>
          <w:lang w:val="es-ES_tradnl"/>
        </w:rPr>
        <mc:AlternateContent>
          <mc:Choice Requires="wps">
            <w:drawing>
              <wp:anchor distT="0" distB="0" distL="114300" distR="114300" simplePos="0" relativeHeight="251668480" behindDoc="0" locked="0" layoutInCell="1" allowOverlap="1" wp14:anchorId="2A152B98" wp14:editId="093634AC">
                <wp:simplePos x="0" y="0"/>
                <wp:positionH relativeFrom="column">
                  <wp:posOffset>-360608</wp:posOffset>
                </wp:positionH>
                <wp:positionV relativeFrom="paragraph">
                  <wp:posOffset>93202</wp:posOffset>
                </wp:positionV>
                <wp:extent cx="1365160" cy="1294327"/>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160" cy="12943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AD967" w14:textId="77777777" w:rsidR="0055226A" w:rsidRPr="00D61759" w:rsidRDefault="0055226A" w:rsidP="008A31F3">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OEA/Ser.L/V/II.173</w:t>
                            </w:r>
                          </w:p>
                          <w:p w14:paraId="4E92EBFB" w14:textId="77777777" w:rsidR="0055226A" w:rsidRPr="00D61759" w:rsidRDefault="0055226A" w:rsidP="008A31F3">
                            <w:pPr>
                              <w:spacing w:line="360" w:lineRule="auto"/>
                              <w:jc w:val="right"/>
                              <w:rPr>
                                <w:rFonts w:asciiTheme="minorHAnsi" w:hAnsiTheme="minorHAnsi"/>
                                <w:color w:val="FFFFFF" w:themeColor="background1"/>
                                <w:sz w:val="22"/>
                                <w:lang w:val="pt-BR"/>
                              </w:rPr>
                            </w:pPr>
                            <w:r w:rsidRPr="00D61759">
                              <w:rPr>
                                <w:rFonts w:asciiTheme="minorHAnsi" w:hAnsiTheme="minorHAnsi"/>
                                <w:color w:val="FFFFFF" w:themeColor="background1"/>
                                <w:sz w:val="22"/>
                                <w:lang w:val="pt-BR"/>
                              </w:rPr>
                              <w:t>Doc.</w:t>
                            </w:r>
                            <w:r>
                              <w:rPr>
                                <w:rFonts w:asciiTheme="minorHAnsi" w:hAnsiTheme="minorHAnsi"/>
                                <w:color w:val="FFFFFF" w:themeColor="background1"/>
                                <w:sz w:val="22"/>
                                <w:lang w:val="pt-BR"/>
                              </w:rPr>
                              <w:t>419</w:t>
                            </w:r>
                            <w:r w:rsidRPr="00D61759">
                              <w:rPr>
                                <w:rFonts w:asciiTheme="minorHAnsi" w:hAnsiTheme="minorHAnsi"/>
                                <w:color w:val="FFFFFF" w:themeColor="background1"/>
                                <w:sz w:val="22"/>
                                <w:lang w:val="pt-BR"/>
                              </w:rPr>
                              <w:t xml:space="preserve"> </w:t>
                            </w:r>
                          </w:p>
                          <w:p w14:paraId="7573D26C" w14:textId="77777777" w:rsidR="0055226A" w:rsidRPr="009B3FD7" w:rsidRDefault="0055226A" w:rsidP="00773DFC">
                            <w:pPr>
                              <w:spacing w:line="360" w:lineRule="auto"/>
                              <w:ind w:right="400"/>
                              <w:jc w:val="right"/>
                              <w:rPr>
                                <w:rFonts w:asciiTheme="minorHAnsi" w:hAnsiTheme="minorHAnsi"/>
                                <w:color w:val="FFFFFF" w:themeColor="background1"/>
                                <w:sz w:val="22"/>
                                <w:szCs w:val="22"/>
                                <w:lang w:val="es-ES"/>
                              </w:rPr>
                            </w:pPr>
                            <w:r w:rsidRPr="009B3FD7">
                              <w:rPr>
                                <w:rFonts w:asciiTheme="minorHAnsi" w:hAnsiTheme="minorHAnsi"/>
                                <w:color w:val="FFFFFF" w:themeColor="background1"/>
                                <w:sz w:val="22"/>
                                <w:szCs w:val="22"/>
                                <w:lang w:val="es-ES"/>
                              </w:rPr>
                              <w:t>31 de diciembre</w:t>
                            </w:r>
                            <w:r>
                              <w:rPr>
                                <w:rFonts w:asciiTheme="minorHAnsi" w:hAnsiTheme="minorHAnsi"/>
                                <w:color w:val="FFFFFF" w:themeColor="background1"/>
                                <w:sz w:val="22"/>
                                <w:szCs w:val="22"/>
                                <w:lang w:val="es-ES"/>
                              </w:rPr>
                              <w:t xml:space="preserve"> de </w:t>
                            </w:r>
                            <w:r w:rsidRPr="009B3FD7">
                              <w:rPr>
                                <w:rFonts w:asciiTheme="minorHAnsi" w:hAnsiTheme="minorHAnsi"/>
                                <w:color w:val="FFFFFF" w:themeColor="background1"/>
                                <w:sz w:val="22"/>
                                <w:szCs w:val="22"/>
                                <w:lang w:val="es-ES"/>
                              </w:rPr>
                              <w:t>2020</w:t>
                            </w:r>
                          </w:p>
                          <w:p w14:paraId="775C7C0E" w14:textId="77777777" w:rsidR="0055226A" w:rsidRPr="00A365FB" w:rsidRDefault="0055226A" w:rsidP="008A31F3">
                            <w:pPr>
                              <w:spacing w:line="360" w:lineRule="auto"/>
                              <w:jc w:val="right"/>
                              <w:rPr>
                                <w:rFonts w:asciiTheme="minorHAnsi" w:hAnsiTheme="minorHAnsi"/>
                                <w:color w:val="FFFFFF" w:themeColor="background1"/>
                                <w:sz w:val="22"/>
                                <w:lang w:val="es-ES"/>
                              </w:rPr>
                            </w:pPr>
                            <w:r w:rsidRPr="00A365FB">
                              <w:rPr>
                                <w:rFonts w:asciiTheme="minorHAnsi" w:hAnsiTheme="minorHAnsi"/>
                                <w:color w:val="FFFFFF" w:themeColor="background1"/>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52B98" id="Text Box 8" o:spid="_x0000_s1028" type="#_x0000_t202" style="position:absolute;left:0;text-align:left;margin-left:-28.4pt;margin-top:7.35pt;width:107.5pt;height:10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" filled="f" stroked="f" strokeweight=".5pt">
                <v:textbox>
                  <w:txbxContent>
                    <w:p w14:paraId="0B9AD967" w14:textId="77777777" w:rsidR="0055226A" w:rsidRPr="00D61759" w:rsidRDefault="0055226A" w:rsidP="008A31F3">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OEA/Ser.L/V/II.173</w:t>
                      </w:r>
                    </w:p>
                    <w:p w14:paraId="4E92EBFB" w14:textId="77777777" w:rsidR="0055226A" w:rsidRPr="00D61759" w:rsidRDefault="0055226A" w:rsidP="008A31F3">
                      <w:pPr>
                        <w:spacing w:line="360" w:lineRule="auto"/>
                        <w:jc w:val="right"/>
                        <w:rPr>
                          <w:rFonts w:asciiTheme="minorHAnsi" w:hAnsiTheme="minorHAnsi"/>
                          <w:color w:val="FFFFFF" w:themeColor="background1"/>
                          <w:sz w:val="22"/>
                          <w:lang w:val="pt-BR"/>
                        </w:rPr>
                      </w:pPr>
                      <w:r w:rsidRPr="00D61759">
                        <w:rPr>
                          <w:rFonts w:asciiTheme="minorHAnsi" w:hAnsiTheme="minorHAnsi"/>
                          <w:color w:val="FFFFFF" w:themeColor="background1"/>
                          <w:sz w:val="22"/>
                          <w:lang w:val="pt-BR"/>
                        </w:rPr>
                        <w:t>Doc.</w:t>
                      </w:r>
                      <w:r>
                        <w:rPr>
                          <w:rFonts w:asciiTheme="minorHAnsi" w:hAnsiTheme="minorHAnsi"/>
                          <w:color w:val="FFFFFF" w:themeColor="background1"/>
                          <w:sz w:val="22"/>
                          <w:lang w:val="pt-BR"/>
                        </w:rPr>
                        <w:t>419</w:t>
                      </w:r>
                      <w:r w:rsidRPr="00D61759">
                        <w:rPr>
                          <w:rFonts w:asciiTheme="minorHAnsi" w:hAnsiTheme="minorHAnsi"/>
                          <w:color w:val="FFFFFF" w:themeColor="background1"/>
                          <w:sz w:val="22"/>
                          <w:lang w:val="pt-BR"/>
                        </w:rPr>
                        <w:t xml:space="preserve"> </w:t>
                      </w:r>
                    </w:p>
                    <w:p w14:paraId="7573D26C" w14:textId="77777777" w:rsidR="0055226A" w:rsidRPr="009B3FD7" w:rsidRDefault="0055226A" w:rsidP="00773DFC">
                      <w:pPr>
                        <w:spacing w:line="360" w:lineRule="auto"/>
                        <w:ind w:right="400"/>
                        <w:jc w:val="right"/>
                        <w:rPr>
                          <w:rFonts w:asciiTheme="minorHAnsi" w:hAnsiTheme="minorHAnsi"/>
                          <w:color w:val="FFFFFF" w:themeColor="background1"/>
                          <w:sz w:val="22"/>
                          <w:szCs w:val="22"/>
                          <w:lang w:val="es-ES"/>
                        </w:rPr>
                      </w:pPr>
                      <w:r w:rsidRPr="009B3FD7">
                        <w:rPr>
                          <w:rFonts w:asciiTheme="minorHAnsi" w:hAnsiTheme="minorHAnsi"/>
                          <w:color w:val="FFFFFF" w:themeColor="background1"/>
                          <w:sz w:val="22"/>
                          <w:szCs w:val="22"/>
                          <w:lang w:val="es-ES"/>
                        </w:rPr>
                        <w:t>31 de diciembre</w:t>
                      </w:r>
                      <w:r>
                        <w:rPr>
                          <w:rFonts w:asciiTheme="minorHAnsi" w:hAnsiTheme="minorHAnsi"/>
                          <w:color w:val="FFFFFF" w:themeColor="background1"/>
                          <w:sz w:val="22"/>
                          <w:szCs w:val="22"/>
                          <w:lang w:val="es-ES"/>
                        </w:rPr>
                        <w:t xml:space="preserve"> de </w:t>
                      </w:r>
                      <w:r w:rsidRPr="009B3FD7">
                        <w:rPr>
                          <w:rFonts w:asciiTheme="minorHAnsi" w:hAnsiTheme="minorHAnsi"/>
                          <w:color w:val="FFFFFF" w:themeColor="background1"/>
                          <w:sz w:val="22"/>
                          <w:szCs w:val="22"/>
                          <w:lang w:val="es-ES"/>
                        </w:rPr>
                        <w:t>2020</w:t>
                      </w:r>
                    </w:p>
                    <w:p w14:paraId="775C7C0E" w14:textId="77777777" w:rsidR="0055226A" w:rsidRPr="00A365FB" w:rsidRDefault="0055226A" w:rsidP="008A31F3">
                      <w:pPr>
                        <w:spacing w:line="360" w:lineRule="auto"/>
                        <w:jc w:val="right"/>
                        <w:rPr>
                          <w:rFonts w:asciiTheme="minorHAnsi" w:hAnsiTheme="minorHAnsi"/>
                          <w:color w:val="FFFFFF" w:themeColor="background1"/>
                          <w:sz w:val="22"/>
                          <w:lang w:val="es-ES"/>
                        </w:rPr>
                      </w:pPr>
                      <w:r w:rsidRPr="00A365FB">
                        <w:rPr>
                          <w:rFonts w:asciiTheme="minorHAnsi" w:hAnsiTheme="minorHAnsi"/>
                          <w:color w:val="FFFFFF" w:themeColor="background1"/>
                          <w:sz w:val="22"/>
                          <w:lang w:val="es-ES"/>
                        </w:rPr>
                        <w:t>Original: inglés</w:t>
                      </w:r>
                    </w:p>
                  </w:txbxContent>
                </v:textbox>
              </v:shape>
            </w:pict>
          </mc:Fallback>
        </mc:AlternateContent>
      </w:r>
    </w:p>
    <w:p w14:paraId="6E94712F" w14:textId="77777777" w:rsidR="00040C3A" w:rsidRPr="00D43C76" w:rsidRDefault="00040C3A" w:rsidP="00040C3A">
      <w:pPr>
        <w:tabs>
          <w:tab w:val="center" w:pos="5400"/>
        </w:tabs>
        <w:suppressAutoHyphens/>
        <w:jc w:val="center"/>
        <w:rPr>
          <w:rFonts w:asciiTheme="majorHAnsi" w:hAnsiTheme="majorHAnsi" w:cs="Arial"/>
          <w:sz w:val="22"/>
          <w:szCs w:val="22"/>
          <w:lang w:val="es-ES_tradnl"/>
        </w:rPr>
      </w:pPr>
    </w:p>
    <w:p w14:paraId="4FC716ED" w14:textId="77777777" w:rsidR="00040C3A" w:rsidRPr="00D43C76" w:rsidRDefault="00040C3A" w:rsidP="00040C3A">
      <w:pPr>
        <w:tabs>
          <w:tab w:val="center" w:pos="5400"/>
        </w:tabs>
        <w:suppressAutoHyphens/>
        <w:jc w:val="center"/>
        <w:rPr>
          <w:rFonts w:asciiTheme="majorHAnsi" w:hAnsiTheme="majorHAnsi"/>
          <w:sz w:val="22"/>
          <w:szCs w:val="22"/>
          <w:lang w:val="es-ES_tradnl"/>
        </w:rPr>
      </w:pPr>
    </w:p>
    <w:p w14:paraId="23C76FDF" w14:textId="77777777" w:rsidR="00040C3A" w:rsidRPr="00D43C76" w:rsidRDefault="00040C3A" w:rsidP="00040C3A">
      <w:pPr>
        <w:tabs>
          <w:tab w:val="center" w:pos="5400"/>
        </w:tabs>
        <w:suppressAutoHyphens/>
        <w:jc w:val="center"/>
        <w:rPr>
          <w:rFonts w:asciiTheme="majorHAnsi" w:hAnsiTheme="majorHAnsi"/>
          <w:sz w:val="22"/>
          <w:szCs w:val="22"/>
          <w:lang w:val="es-ES_tradnl"/>
        </w:rPr>
      </w:pPr>
    </w:p>
    <w:p w14:paraId="351B7576" w14:textId="77777777" w:rsidR="00040C3A" w:rsidRPr="00D43C76" w:rsidRDefault="00040C3A" w:rsidP="00040C3A">
      <w:pPr>
        <w:tabs>
          <w:tab w:val="center" w:pos="5400"/>
        </w:tabs>
        <w:suppressAutoHyphens/>
        <w:jc w:val="center"/>
        <w:rPr>
          <w:rFonts w:asciiTheme="majorHAnsi" w:hAnsiTheme="majorHAnsi"/>
          <w:sz w:val="22"/>
          <w:szCs w:val="22"/>
          <w:lang w:val="es-ES_tradnl"/>
        </w:rPr>
      </w:pPr>
    </w:p>
    <w:p w14:paraId="7975F339" w14:textId="77777777" w:rsidR="00040C3A" w:rsidRPr="00D43C76" w:rsidRDefault="00040C3A" w:rsidP="00040C3A">
      <w:pPr>
        <w:tabs>
          <w:tab w:val="center" w:pos="5400"/>
        </w:tabs>
        <w:suppressAutoHyphens/>
        <w:jc w:val="center"/>
        <w:rPr>
          <w:rFonts w:asciiTheme="majorHAnsi" w:hAnsiTheme="majorHAnsi"/>
          <w:sz w:val="22"/>
          <w:szCs w:val="22"/>
          <w:lang w:val="es-ES_tradnl"/>
        </w:rPr>
      </w:pPr>
    </w:p>
    <w:p w14:paraId="3D00DD39" w14:textId="77777777" w:rsidR="005128E4" w:rsidRPr="00D43C76" w:rsidRDefault="005128E4" w:rsidP="00040C3A">
      <w:pPr>
        <w:tabs>
          <w:tab w:val="center" w:pos="5400"/>
        </w:tabs>
        <w:suppressAutoHyphens/>
        <w:jc w:val="center"/>
        <w:rPr>
          <w:rFonts w:asciiTheme="majorHAnsi" w:hAnsiTheme="majorHAnsi"/>
          <w:sz w:val="22"/>
          <w:szCs w:val="22"/>
          <w:lang w:val="es-ES_tradnl"/>
        </w:rPr>
      </w:pPr>
    </w:p>
    <w:p w14:paraId="6533B5F0" w14:textId="77777777" w:rsidR="00040C3A" w:rsidRPr="00D43C76" w:rsidRDefault="00040C3A" w:rsidP="00040C3A">
      <w:pPr>
        <w:tabs>
          <w:tab w:val="center" w:pos="5400"/>
        </w:tabs>
        <w:suppressAutoHyphens/>
        <w:jc w:val="center"/>
        <w:rPr>
          <w:rFonts w:asciiTheme="majorHAnsi" w:hAnsiTheme="majorHAnsi"/>
          <w:sz w:val="22"/>
          <w:szCs w:val="22"/>
          <w:lang w:val="es-ES_tradnl"/>
        </w:rPr>
      </w:pPr>
    </w:p>
    <w:p w14:paraId="0BD7970D" w14:textId="77777777" w:rsidR="005128E4" w:rsidRPr="00D43C76" w:rsidRDefault="005128E4" w:rsidP="00040C3A">
      <w:pPr>
        <w:tabs>
          <w:tab w:val="center" w:pos="5400"/>
        </w:tabs>
        <w:suppressAutoHyphens/>
        <w:jc w:val="center"/>
        <w:rPr>
          <w:rFonts w:asciiTheme="majorHAnsi" w:hAnsiTheme="majorHAnsi"/>
          <w:sz w:val="22"/>
          <w:szCs w:val="22"/>
          <w:lang w:val="es-ES_tradnl"/>
        </w:rPr>
      </w:pPr>
    </w:p>
    <w:p w14:paraId="68CA7F8C" w14:textId="77777777" w:rsidR="005128E4" w:rsidRPr="00D43C76" w:rsidRDefault="005128E4" w:rsidP="00040C3A">
      <w:pPr>
        <w:tabs>
          <w:tab w:val="center" w:pos="5400"/>
        </w:tabs>
        <w:suppressAutoHyphens/>
        <w:jc w:val="center"/>
        <w:rPr>
          <w:rFonts w:asciiTheme="majorHAnsi" w:hAnsiTheme="majorHAnsi"/>
          <w:sz w:val="22"/>
          <w:szCs w:val="22"/>
          <w:lang w:val="es-ES_tradnl"/>
        </w:rPr>
      </w:pPr>
    </w:p>
    <w:p w14:paraId="3B8C160C" w14:textId="77777777" w:rsidR="005128E4" w:rsidRPr="00D43C76" w:rsidRDefault="005128E4" w:rsidP="00040C3A">
      <w:pPr>
        <w:tabs>
          <w:tab w:val="center" w:pos="5400"/>
        </w:tabs>
        <w:suppressAutoHyphens/>
        <w:jc w:val="center"/>
        <w:rPr>
          <w:rFonts w:asciiTheme="majorHAnsi" w:hAnsiTheme="majorHAnsi"/>
          <w:sz w:val="22"/>
          <w:szCs w:val="22"/>
          <w:lang w:val="es-ES_tradnl"/>
        </w:rPr>
      </w:pPr>
    </w:p>
    <w:p w14:paraId="08368B53" w14:textId="77777777" w:rsidR="00040C3A" w:rsidRPr="00D43C76" w:rsidRDefault="00040C3A" w:rsidP="00040C3A">
      <w:pPr>
        <w:tabs>
          <w:tab w:val="center" w:pos="5400"/>
        </w:tabs>
        <w:suppressAutoHyphens/>
        <w:jc w:val="center"/>
        <w:rPr>
          <w:rFonts w:asciiTheme="majorHAnsi" w:hAnsiTheme="majorHAnsi"/>
          <w:sz w:val="22"/>
          <w:szCs w:val="22"/>
          <w:lang w:val="es-ES_tradnl"/>
        </w:rPr>
      </w:pPr>
    </w:p>
    <w:p w14:paraId="2F8BB523" w14:textId="77777777" w:rsidR="00040C3A" w:rsidRPr="00D43C76" w:rsidRDefault="00040C3A" w:rsidP="00040C3A">
      <w:pPr>
        <w:tabs>
          <w:tab w:val="center" w:pos="5400"/>
        </w:tabs>
        <w:suppressAutoHyphens/>
        <w:jc w:val="center"/>
        <w:rPr>
          <w:rFonts w:asciiTheme="majorHAnsi" w:hAnsiTheme="majorHAnsi"/>
          <w:sz w:val="22"/>
          <w:szCs w:val="22"/>
          <w:lang w:val="es-ES_tradnl"/>
        </w:rPr>
      </w:pPr>
    </w:p>
    <w:p w14:paraId="1DB0CC38"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22974548"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204992D5"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4192A748"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32284DF3"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4F43201E"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5D340B9E"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30AE9BBE"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35999EB7"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616AB263"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554A6CFC"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2343E467"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7E9E099F" w14:textId="77777777" w:rsidR="002C1641" w:rsidRPr="00D43C76" w:rsidRDefault="00083E3C" w:rsidP="00040C3A">
      <w:pPr>
        <w:tabs>
          <w:tab w:val="center" w:pos="5400"/>
        </w:tabs>
        <w:suppressAutoHyphens/>
        <w:jc w:val="center"/>
        <w:rPr>
          <w:rFonts w:asciiTheme="majorHAnsi" w:hAnsiTheme="majorHAnsi"/>
          <w:sz w:val="18"/>
          <w:szCs w:val="22"/>
          <w:lang w:val="es-ES_tradnl"/>
        </w:rPr>
      </w:pPr>
      <w:r w:rsidRPr="00D43C76">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7F8F64C6" wp14:editId="3B1A0C45">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DCFCD" w14:textId="77777777" w:rsidR="0055226A" w:rsidRPr="00E079F6" w:rsidRDefault="0055226A" w:rsidP="004165C2">
                            <w:pPr>
                              <w:tabs>
                                <w:tab w:val="center" w:pos="5400"/>
                              </w:tabs>
                              <w:suppressAutoHyphens/>
                              <w:spacing w:before="60"/>
                              <w:rPr>
                                <w:rFonts w:asciiTheme="majorHAnsi" w:hAnsiTheme="majorHAnsi"/>
                                <w:color w:val="0D0D0D" w:themeColor="text1" w:themeTint="F2"/>
                                <w:sz w:val="18"/>
                                <w:szCs w:val="22"/>
                                <w:lang w:val="es-ES"/>
                              </w:rPr>
                            </w:pPr>
                            <w:r w:rsidRPr="00A365FB">
                              <w:rPr>
                                <w:rFonts w:asciiTheme="majorHAnsi" w:hAnsiTheme="majorHAnsi"/>
                                <w:color w:val="0D0D0D" w:themeColor="text1" w:themeTint="F2"/>
                                <w:sz w:val="18"/>
                                <w:szCs w:val="20"/>
                                <w:lang w:val="es-ES"/>
                              </w:rPr>
                              <w:t xml:space="preserve">Aprobado por </w:t>
                            </w:r>
                            <w:r>
                              <w:rPr>
                                <w:rFonts w:asciiTheme="majorHAnsi" w:hAnsiTheme="majorHAnsi"/>
                                <w:color w:val="0D0D0D" w:themeColor="text1" w:themeTint="F2"/>
                                <w:sz w:val="18"/>
                                <w:szCs w:val="20"/>
                                <w:lang w:val="es-ES"/>
                              </w:rPr>
                              <w:t xml:space="preserve">electrónicamente por </w:t>
                            </w:r>
                            <w:r w:rsidRPr="00A365FB">
                              <w:rPr>
                                <w:rFonts w:asciiTheme="majorHAnsi" w:hAnsiTheme="majorHAnsi"/>
                                <w:color w:val="0D0D0D" w:themeColor="text1" w:themeTint="F2"/>
                                <w:sz w:val="18"/>
                                <w:szCs w:val="20"/>
                                <w:lang w:val="es-ES"/>
                              </w:rPr>
                              <w:t>la Comisión</w:t>
                            </w:r>
                            <w:r>
                              <w:rPr>
                                <w:rFonts w:asciiTheme="majorHAnsi" w:hAnsiTheme="majorHAnsi"/>
                                <w:color w:val="0D0D0D" w:themeColor="text1" w:themeTint="F2"/>
                                <w:sz w:val="18"/>
                                <w:szCs w:val="20"/>
                                <w:lang w:val="es-ES"/>
                              </w:rPr>
                              <w:t xml:space="preserve"> </w:t>
                            </w:r>
                            <w:r w:rsidRPr="00A365FB">
                              <w:rPr>
                                <w:rFonts w:asciiTheme="majorHAnsi" w:hAnsiTheme="majorHAnsi"/>
                                <w:color w:val="0D0D0D" w:themeColor="text1" w:themeTint="F2"/>
                                <w:sz w:val="18"/>
                                <w:szCs w:val="20"/>
                                <w:lang w:val="es-ES"/>
                              </w:rPr>
                              <w:t xml:space="preserve">el </w:t>
                            </w:r>
                            <w:r>
                              <w:rPr>
                                <w:rFonts w:asciiTheme="majorHAnsi" w:hAnsiTheme="majorHAnsi"/>
                                <w:color w:val="0D0D0D" w:themeColor="text1" w:themeTint="F2"/>
                                <w:sz w:val="18"/>
                                <w:szCs w:val="20"/>
                                <w:lang w:val="es-ES"/>
                              </w:rPr>
                              <w:t>31</w:t>
                            </w:r>
                            <w:r w:rsidRPr="00A365FB">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diciembre</w:t>
                            </w:r>
                            <w:r w:rsidRPr="00A365FB">
                              <w:rPr>
                                <w:rFonts w:asciiTheme="majorHAnsi" w:hAnsiTheme="majorHAnsi"/>
                                <w:color w:val="0D0D0D" w:themeColor="text1" w:themeTint="F2"/>
                                <w:sz w:val="18"/>
                                <w:szCs w:val="20"/>
                                <w:lang w:val="es-ES"/>
                              </w:rPr>
                              <w:t xml:space="preserve"> de</w:t>
                            </w:r>
                            <w:r w:rsidRPr="00E079F6">
                              <w:rPr>
                                <w:rFonts w:asciiTheme="majorHAnsi" w:hAnsiTheme="majorHAnsi"/>
                                <w:color w:val="0D0D0D" w:themeColor="text1" w:themeTint="F2"/>
                                <w:sz w:val="18"/>
                                <w:szCs w:val="20"/>
                                <w:lang w:val="es-ES"/>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F64C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d0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" filled="f" stroked="f" strokeweight=".5pt">
                <v:textbox>
                  <w:txbxContent>
                    <w:p w14:paraId="314DCFCD" w14:textId="77777777" w:rsidR="0055226A" w:rsidRPr="00E079F6" w:rsidRDefault="0055226A" w:rsidP="004165C2">
                      <w:pPr>
                        <w:tabs>
                          <w:tab w:val="center" w:pos="5400"/>
                        </w:tabs>
                        <w:suppressAutoHyphens/>
                        <w:spacing w:before="60"/>
                        <w:rPr>
                          <w:rFonts w:asciiTheme="majorHAnsi" w:hAnsiTheme="majorHAnsi"/>
                          <w:color w:val="0D0D0D" w:themeColor="text1" w:themeTint="F2"/>
                          <w:sz w:val="18"/>
                          <w:szCs w:val="22"/>
                          <w:lang w:val="es-ES"/>
                        </w:rPr>
                      </w:pPr>
                      <w:r w:rsidRPr="00A365FB">
                        <w:rPr>
                          <w:rFonts w:asciiTheme="majorHAnsi" w:hAnsiTheme="majorHAnsi"/>
                          <w:color w:val="0D0D0D" w:themeColor="text1" w:themeTint="F2"/>
                          <w:sz w:val="18"/>
                          <w:szCs w:val="20"/>
                          <w:lang w:val="es-ES"/>
                        </w:rPr>
                        <w:t xml:space="preserve">Aprobado por </w:t>
                      </w:r>
                      <w:r>
                        <w:rPr>
                          <w:rFonts w:asciiTheme="majorHAnsi" w:hAnsiTheme="majorHAnsi"/>
                          <w:color w:val="0D0D0D" w:themeColor="text1" w:themeTint="F2"/>
                          <w:sz w:val="18"/>
                          <w:szCs w:val="20"/>
                          <w:lang w:val="es-ES"/>
                        </w:rPr>
                        <w:t xml:space="preserve">electrónicamente por </w:t>
                      </w:r>
                      <w:r w:rsidRPr="00A365FB">
                        <w:rPr>
                          <w:rFonts w:asciiTheme="majorHAnsi" w:hAnsiTheme="majorHAnsi"/>
                          <w:color w:val="0D0D0D" w:themeColor="text1" w:themeTint="F2"/>
                          <w:sz w:val="18"/>
                          <w:szCs w:val="20"/>
                          <w:lang w:val="es-ES"/>
                        </w:rPr>
                        <w:t>la Comisión</w:t>
                      </w:r>
                      <w:r>
                        <w:rPr>
                          <w:rFonts w:asciiTheme="majorHAnsi" w:hAnsiTheme="majorHAnsi"/>
                          <w:color w:val="0D0D0D" w:themeColor="text1" w:themeTint="F2"/>
                          <w:sz w:val="18"/>
                          <w:szCs w:val="20"/>
                          <w:lang w:val="es-ES"/>
                        </w:rPr>
                        <w:t xml:space="preserve"> </w:t>
                      </w:r>
                      <w:r w:rsidRPr="00A365FB">
                        <w:rPr>
                          <w:rFonts w:asciiTheme="majorHAnsi" w:hAnsiTheme="majorHAnsi"/>
                          <w:color w:val="0D0D0D" w:themeColor="text1" w:themeTint="F2"/>
                          <w:sz w:val="18"/>
                          <w:szCs w:val="20"/>
                          <w:lang w:val="es-ES"/>
                        </w:rPr>
                        <w:t xml:space="preserve">el </w:t>
                      </w:r>
                      <w:r>
                        <w:rPr>
                          <w:rFonts w:asciiTheme="majorHAnsi" w:hAnsiTheme="majorHAnsi"/>
                          <w:color w:val="0D0D0D" w:themeColor="text1" w:themeTint="F2"/>
                          <w:sz w:val="18"/>
                          <w:szCs w:val="20"/>
                          <w:lang w:val="es-ES"/>
                        </w:rPr>
                        <w:t>31</w:t>
                      </w:r>
                      <w:r w:rsidRPr="00A365FB">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diciembre</w:t>
                      </w:r>
                      <w:r w:rsidRPr="00A365FB">
                        <w:rPr>
                          <w:rFonts w:asciiTheme="majorHAnsi" w:hAnsiTheme="majorHAnsi"/>
                          <w:color w:val="0D0D0D" w:themeColor="text1" w:themeTint="F2"/>
                          <w:sz w:val="18"/>
                          <w:szCs w:val="20"/>
                          <w:lang w:val="es-ES"/>
                        </w:rPr>
                        <w:t xml:space="preserve"> de</w:t>
                      </w:r>
                      <w:r w:rsidRPr="00E079F6">
                        <w:rPr>
                          <w:rFonts w:asciiTheme="majorHAnsi" w:hAnsiTheme="majorHAnsi"/>
                          <w:color w:val="0D0D0D" w:themeColor="text1" w:themeTint="F2"/>
                          <w:sz w:val="18"/>
                          <w:szCs w:val="20"/>
                          <w:lang w:val="es-ES"/>
                        </w:rPr>
                        <w:t xml:space="preserve"> 2020</w:t>
                      </w:r>
                    </w:p>
                  </w:txbxContent>
                </v:textbox>
              </v:shape>
            </w:pict>
          </mc:Fallback>
        </mc:AlternateContent>
      </w:r>
    </w:p>
    <w:p w14:paraId="0FE42089"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3DC0E057"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2B6B48C4"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4DD354E7"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3F6D099E" w14:textId="77777777" w:rsidR="002C1641" w:rsidRPr="00D43C76" w:rsidRDefault="00083E3C" w:rsidP="00040C3A">
      <w:pPr>
        <w:tabs>
          <w:tab w:val="center" w:pos="5400"/>
        </w:tabs>
        <w:suppressAutoHyphens/>
        <w:jc w:val="center"/>
        <w:rPr>
          <w:rFonts w:asciiTheme="majorHAnsi" w:hAnsiTheme="majorHAnsi"/>
          <w:sz w:val="18"/>
          <w:szCs w:val="22"/>
          <w:lang w:val="es-ES_tradnl"/>
        </w:rPr>
      </w:pPr>
      <w:r w:rsidRPr="00D43C76">
        <w:rPr>
          <w:rFonts w:asciiTheme="majorHAnsi" w:hAnsiTheme="majorHAnsi"/>
          <w:noProof/>
          <w:sz w:val="18"/>
          <w:szCs w:val="22"/>
          <w:lang w:val="es-ES_tradnl"/>
        </w:rPr>
        <mc:AlternateContent>
          <mc:Choice Requires="wps">
            <w:drawing>
              <wp:anchor distT="0" distB="0" distL="114300" distR="114300" simplePos="0" relativeHeight="251683840" behindDoc="0" locked="0" layoutInCell="1" allowOverlap="1" wp14:anchorId="71559525" wp14:editId="7B47A3B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BFF5A" w14:textId="77777777" w:rsidR="0055226A" w:rsidRPr="00A365FB" w:rsidRDefault="0055226A" w:rsidP="00F45EBF">
                            <w:pPr>
                              <w:spacing w:line="276" w:lineRule="auto"/>
                              <w:jc w:val="both"/>
                              <w:rPr>
                                <w:rFonts w:asciiTheme="majorHAnsi" w:hAnsiTheme="majorHAnsi"/>
                                <w:color w:val="595959" w:themeColor="text1" w:themeTint="A6"/>
                                <w:sz w:val="18"/>
                                <w:lang w:val="es-ES"/>
                              </w:rPr>
                            </w:pPr>
                            <w:r w:rsidRPr="00773DFC">
                              <w:rPr>
                                <w:rFonts w:asciiTheme="majorHAnsi" w:hAnsiTheme="majorHAnsi"/>
                                <w:b/>
                                <w:color w:val="595959" w:themeColor="text1" w:themeTint="A6"/>
                                <w:sz w:val="18"/>
                                <w:lang w:val="es-US"/>
                              </w:rPr>
                              <w:t>Citar como:</w:t>
                            </w:r>
                            <w:r w:rsidRPr="00773DFC">
                              <w:rPr>
                                <w:rFonts w:asciiTheme="majorHAnsi" w:hAnsiTheme="majorHAnsi"/>
                                <w:color w:val="595959" w:themeColor="text1" w:themeTint="A6"/>
                                <w:sz w:val="18"/>
                                <w:lang w:val="es-US"/>
                              </w:rPr>
                              <w:t xml:space="preserve"> CIDH, Informe No. 401/20 (PUBLICACIÓN). </w:t>
                            </w:r>
                            <w:r w:rsidRPr="00A365FB">
                              <w:rPr>
                                <w:rFonts w:asciiTheme="majorHAnsi" w:hAnsiTheme="majorHAnsi"/>
                                <w:color w:val="595959" w:themeColor="text1" w:themeTint="A6"/>
                                <w:sz w:val="18"/>
                                <w:lang w:val="es-ES"/>
                              </w:rPr>
                              <w:t>Caso 13.095. Fondo. T.</w:t>
                            </w:r>
                            <w:r>
                              <w:rPr>
                                <w:rFonts w:asciiTheme="majorHAnsi" w:hAnsiTheme="majorHAnsi"/>
                                <w:color w:val="595959" w:themeColor="text1" w:themeTint="A6"/>
                                <w:sz w:val="18"/>
                                <w:lang w:val="es-ES"/>
                              </w:rPr>
                              <w:t xml:space="preserve"> </w:t>
                            </w:r>
                            <w:r w:rsidRPr="00A365FB">
                              <w:rPr>
                                <w:rFonts w:asciiTheme="majorHAnsi" w:hAnsiTheme="majorHAnsi"/>
                                <w:color w:val="595959" w:themeColor="text1" w:themeTint="A6"/>
                                <w:sz w:val="18"/>
                                <w:lang w:val="es-ES"/>
                              </w:rPr>
                              <w:t>B. y S.</w:t>
                            </w:r>
                            <w:r>
                              <w:rPr>
                                <w:rFonts w:asciiTheme="majorHAnsi" w:hAnsiTheme="majorHAnsi"/>
                                <w:color w:val="595959" w:themeColor="text1" w:themeTint="A6"/>
                                <w:sz w:val="18"/>
                                <w:lang w:val="es-ES"/>
                              </w:rPr>
                              <w:t xml:space="preserve"> H. Jamaica. 31 de diciembre de 2020</w:t>
                            </w:r>
                            <w:r w:rsidRPr="00A365FB">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59525"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" filled="f" stroked="f" strokeweight=".5pt">
                <v:textbox>
                  <w:txbxContent>
                    <w:p w14:paraId="0A8BFF5A" w14:textId="77777777" w:rsidR="0055226A" w:rsidRPr="00A365FB" w:rsidRDefault="0055226A" w:rsidP="00F45EBF">
                      <w:pPr>
                        <w:spacing w:line="276" w:lineRule="auto"/>
                        <w:jc w:val="both"/>
                        <w:rPr>
                          <w:rFonts w:asciiTheme="majorHAnsi" w:hAnsiTheme="majorHAnsi"/>
                          <w:color w:val="595959" w:themeColor="text1" w:themeTint="A6"/>
                          <w:sz w:val="18"/>
                          <w:lang w:val="es-ES"/>
                        </w:rPr>
                      </w:pPr>
                      <w:r w:rsidRPr="00773DFC">
                        <w:rPr>
                          <w:rFonts w:asciiTheme="majorHAnsi" w:hAnsiTheme="majorHAnsi"/>
                          <w:b/>
                          <w:color w:val="595959" w:themeColor="text1" w:themeTint="A6"/>
                          <w:sz w:val="18"/>
                          <w:lang w:val="es-US"/>
                        </w:rPr>
                        <w:t>Citar como:</w:t>
                      </w:r>
                      <w:r w:rsidRPr="00773DFC">
                        <w:rPr>
                          <w:rFonts w:asciiTheme="majorHAnsi" w:hAnsiTheme="majorHAnsi"/>
                          <w:color w:val="595959" w:themeColor="text1" w:themeTint="A6"/>
                          <w:sz w:val="18"/>
                          <w:lang w:val="es-US"/>
                        </w:rPr>
                        <w:t xml:space="preserve"> CIDH, Informe No. 401/20 (PUBLICACIÓN). </w:t>
                      </w:r>
                      <w:r w:rsidRPr="00A365FB">
                        <w:rPr>
                          <w:rFonts w:asciiTheme="majorHAnsi" w:hAnsiTheme="majorHAnsi"/>
                          <w:color w:val="595959" w:themeColor="text1" w:themeTint="A6"/>
                          <w:sz w:val="18"/>
                          <w:lang w:val="es-ES"/>
                        </w:rPr>
                        <w:t>Caso 13.095. Fondo. T.</w:t>
                      </w:r>
                      <w:r>
                        <w:rPr>
                          <w:rFonts w:asciiTheme="majorHAnsi" w:hAnsiTheme="majorHAnsi"/>
                          <w:color w:val="595959" w:themeColor="text1" w:themeTint="A6"/>
                          <w:sz w:val="18"/>
                          <w:lang w:val="es-ES"/>
                        </w:rPr>
                        <w:t xml:space="preserve"> </w:t>
                      </w:r>
                      <w:r w:rsidRPr="00A365FB">
                        <w:rPr>
                          <w:rFonts w:asciiTheme="majorHAnsi" w:hAnsiTheme="majorHAnsi"/>
                          <w:color w:val="595959" w:themeColor="text1" w:themeTint="A6"/>
                          <w:sz w:val="18"/>
                          <w:lang w:val="es-ES"/>
                        </w:rPr>
                        <w:t>B. y S.</w:t>
                      </w:r>
                      <w:r>
                        <w:rPr>
                          <w:rFonts w:asciiTheme="majorHAnsi" w:hAnsiTheme="majorHAnsi"/>
                          <w:color w:val="595959" w:themeColor="text1" w:themeTint="A6"/>
                          <w:sz w:val="18"/>
                          <w:lang w:val="es-ES"/>
                        </w:rPr>
                        <w:t xml:space="preserve"> H. Jamaica. 31 de diciembre de 2020</w:t>
                      </w:r>
                      <w:r w:rsidRPr="00A365FB">
                        <w:rPr>
                          <w:rFonts w:asciiTheme="majorHAnsi" w:hAnsiTheme="majorHAnsi"/>
                          <w:color w:val="595959" w:themeColor="text1" w:themeTint="A6"/>
                          <w:sz w:val="18"/>
                          <w:lang w:val="es-ES"/>
                        </w:rPr>
                        <w:t>.</w:t>
                      </w:r>
                    </w:p>
                  </w:txbxContent>
                </v:textbox>
              </v:shape>
            </w:pict>
          </mc:Fallback>
        </mc:AlternateContent>
      </w:r>
    </w:p>
    <w:p w14:paraId="5516DB39"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68E4F7F7" w14:textId="77777777" w:rsidR="002C1641" w:rsidRPr="00D43C76" w:rsidRDefault="002C1641" w:rsidP="00040C3A">
      <w:pPr>
        <w:tabs>
          <w:tab w:val="center" w:pos="5400"/>
        </w:tabs>
        <w:suppressAutoHyphens/>
        <w:jc w:val="center"/>
        <w:rPr>
          <w:rFonts w:asciiTheme="majorHAnsi" w:hAnsiTheme="majorHAnsi"/>
          <w:sz w:val="18"/>
          <w:szCs w:val="22"/>
          <w:lang w:val="es-ES_tradnl"/>
        </w:rPr>
      </w:pPr>
    </w:p>
    <w:p w14:paraId="3309ABE7" w14:textId="77777777" w:rsidR="003C32BC" w:rsidRPr="00D43C76" w:rsidRDefault="003C32BC" w:rsidP="003C32BC">
      <w:pPr>
        <w:tabs>
          <w:tab w:val="center" w:pos="5400"/>
        </w:tabs>
        <w:suppressAutoHyphens/>
        <w:jc w:val="center"/>
        <w:rPr>
          <w:rFonts w:asciiTheme="majorHAnsi" w:hAnsiTheme="majorHAnsi"/>
          <w:sz w:val="18"/>
          <w:szCs w:val="22"/>
          <w:lang w:val="es-ES_tradnl"/>
        </w:rPr>
      </w:pPr>
    </w:p>
    <w:p w14:paraId="15148959" w14:textId="77777777" w:rsidR="003C32BC" w:rsidRPr="00D43C76" w:rsidRDefault="00A365FB" w:rsidP="003C32BC">
      <w:pPr>
        <w:tabs>
          <w:tab w:val="center" w:pos="5400"/>
        </w:tabs>
        <w:suppressAutoHyphens/>
        <w:jc w:val="center"/>
        <w:rPr>
          <w:rFonts w:asciiTheme="majorHAnsi" w:hAnsiTheme="majorHAnsi"/>
          <w:sz w:val="18"/>
          <w:szCs w:val="22"/>
          <w:lang w:val="es-ES_tradnl"/>
        </w:rPr>
      </w:pPr>
      <w:r w:rsidRPr="00D43C76">
        <w:rPr>
          <w:rFonts w:asciiTheme="majorHAnsi" w:hAnsiTheme="majorHAnsi"/>
          <w:noProof/>
          <w:sz w:val="22"/>
          <w:szCs w:val="22"/>
          <w:lang w:val="es-ES_tradnl"/>
        </w:rPr>
        <mc:AlternateContent>
          <mc:Choice Requires="wps">
            <w:drawing>
              <wp:anchor distT="0" distB="0" distL="114300" distR="114300" simplePos="0" relativeHeight="251684864" behindDoc="0" locked="0" layoutInCell="1" allowOverlap="1" wp14:anchorId="0660F702" wp14:editId="50F0B283">
                <wp:simplePos x="0" y="0"/>
                <wp:positionH relativeFrom="column">
                  <wp:posOffset>1210310</wp:posOffset>
                </wp:positionH>
                <wp:positionV relativeFrom="paragraph">
                  <wp:posOffset>634365</wp:posOffset>
                </wp:positionV>
                <wp:extent cx="2085975" cy="57531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575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986C6" w14:textId="77777777" w:rsidR="0055226A" w:rsidRDefault="0055226A">
                            <w:r>
                              <w:rPr>
                                <w:noProof/>
                              </w:rPr>
                              <w:drawing>
                                <wp:inline distT="0" distB="0" distL="0" distR="0" wp14:anchorId="48737D6E" wp14:editId="119FB5F6">
                                  <wp:extent cx="1824355" cy="469265"/>
                                  <wp:effectExtent l="0" t="0" r="4445" b="6985"/>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0F702" id="Text Box 2" o:spid="_x0000_s1031" type="#_x0000_t202" style="position:absolute;left:0;text-align:left;margin-left:95.3pt;margin-top:49.95pt;width:164.25pt;height:4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" fillcolor="white [3201]" stroked="f" strokeweight=".5pt">
                <v:textbox>
                  <w:txbxContent>
                    <w:p w14:paraId="38F986C6" w14:textId="77777777" w:rsidR="0055226A" w:rsidRDefault="0055226A">
                      <w:r>
                        <w:rPr>
                          <w:noProof/>
                        </w:rPr>
                        <w:drawing>
                          <wp:inline distT="0" distB="0" distL="0" distR="0" wp14:anchorId="48737D6E" wp14:editId="119FB5F6">
                            <wp:extent cx="1824355" cy="469265"/>
                            <wp:effectExtent l="0" t="0" r="4445" b="6985"/>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83E3C" w:rsidRPr="00D43C76">
        <w:rPr>
          <w:rFonts w:asciiTheme="majorHAnsi" w:hAnsiTheme="majorHAnsi"/>
          <w:noProof/>
          <w:sz w:val="22"/>
          <w:szCs w:val="22"/>
          <w:lang w:val="es-ES_tradnl"/>
        </w:rPr>
        <mc:AlternateContent>
          <mc:Choice Requires="wps">
            <w:drawing>
              <wp:anchor distT="0" distB="0" distL="114300" distR="114300" simplePos="0" relativeHeight="251686912" behindDoc="0" locked="0" layoutInCell="1" allowOverlap="1" wp14:anchorId="3CFD1A91" wp14:editId="54F0F162">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128CA" w14:textId="77777777" w:rsidR="0055226A" w:rsidRPr="004B7EB6" w:rsidRDefault="0055226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1A91"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df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" filled="f" stroked="f" strokeweight=".5pt">
                <v:textbox>
                  <w:txbxContent>
                    <w:p w14:paraId="338128CA" w14:textId="77777777" w:rsidR="0055226A" w:rsidRPr="004B7EB6" w:rsidRDefault="0055226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FE5D94C" w14:textId="77777777" w:rsidR="007607C4" w:rsidRPr="00D43C76" w:rsidRDefault="007607C4" w:rsidP="003C32BC">
      <w:pPr>
        <w:tabs>
          <w:tab w:val="center" w:pos="5400"/>
        </w:tabs>
        <w:suppressAutoHyphens/>
        <w:jc w:val="center"/>
        <w:rPr>
          <w:rFonts w:asciiTheme="majorHAnsi" w:hAnsiTheme="majorHAnsi"/>
          <w:sz w:val="18"/>
          <w:szCs w:val="22"/>
          <w:lang w:val="es-ES_tradnl"/>
        </w:rPr>
        <w:sectPr w:rsidR="007607C4" w:rsidRPr="00D43C76">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FCE1AC4" w14:textId="77777777" w:rsidR="007607C4" w:rsidRPr="00D43C76" w:rsidRDefault="00A365FB" w:rsidP="00A365FB">
      <w:pPr>
        <w:tabs>
          <w:tab w:val="center" w:pos="5400"/>
        </w:tabs>
        <w:suppressAutoHyphens/>
        <w:spacing w:line="276" w:lineRule="auto"/>
        <w:jc w:val="center"/>
        <w:rPr>
          <w:rFonts w:asciiTheme="majorHAnsi" w:hAnsiTheme="majorHAnsi"/>
          <w:b/>
          <w:sz w:val="20"/>
          <w:szCs w:val="20"/>
          <w:lang w:val="es-ES_tradnl"/>
        </w:rPr>
      </w:pPr>
      <w:r w:rsidRPr="00D43C76">
        <w:rPr>
          <w:rFonts w:asciiTheme="majorHAnsi" w:hAnsiTheme="majorHAnsi"/>
          <w:b/>
          <w:sz w:val="20"/>
          <w:szCs w:val="20"/>
          <w:lang w:val="es-ES_tradnl"/>
        </w:rPr>
        <w:lastRenderedPageBreak/>
        <w:t>ÍNDICE</w:t>
      </w:r>
    </w:p>
    <w:p w14:paraId="60E5A918" w14:textId="77777777" w:rsidR="007607C4" w:rsidRPr="00D43C76" w:rsidRDefault="007607C4" w:rsidP="00145EDC">
      <w:pPr>
        <w:tabs>
          <w:tab w:val="center" w:pos="5400"/>
        </w:tabs>
        <w:suppressAutoHyphens/>
        <w:spacing w:line="276" w:lineRule="auto"/>
        <w:rPr>
          <w:rFonts w:asciiTheme="majorHAnsi" w:hAnsiTheme="majorHAnsi"/>
          <w:sz w:val="20"/>
          <w:szCs w:val="20"/>
          <w:lang w:val="es-ES_tradnl"/>
        </w:rPr>
      </w:pPr>
    </w:p>
    <w:p w14:paraId="6594DA07" w14:textId="6AE829A9" w:rsidR="00F0528D" w:rsidRPr="00D43C76" w:rsidRDefault="00E200F9">
      <w:pPr>
        <w:pStyle w:val="TOC1"/>
        <w:rPr>
          <w:rFonts w:eastAsiaTheme="minorEastAsia" w:cstheme="minorBidi"/>
          <w:bdr w:val="none" w:sz="0" w:space="0" w:color="auto"/>
          <w:lang w:eastAsia="zh-CN"/>
        </w:rPr>
      </w:pPr>
      <w:r w:rsidRPr="00D43C76">
        <w:rPr>
          <w:noProof w:val="0"/>
        </w:rPr>
        <w:fldChar w:fldCharType="begin"/>
      </w:r>
      <w:r w:rsidRPr="00D43C76">
        <w:rPr>
          <w:noProof w:val="0"/>
        </w:rPr>
        <w:instrText xml:space="preserve"> TOC \o "1-3" </w:instrText>
      </w:r>
      <w:r w:rsidRPr="00D43C76">
        <w:rPr>
          <w:noProof w:val="0"/>
        </w:rPr>
        <w:fldChar w:fldCharType="separate"/>
      </w:r>
      <w:r w:rsidR="00F0528D" w:rsidRPr="00D43C76">
        <w:t>I.</w:t>
      </w:r>
      <w:r w:rsidR="00F0528D" w:rsidRPr="00D43C76">
        <w:rPr>
          <w:rFonts w:eastAsiaTheme="minorEastAsia" w:cstheme="minorBidi"/>
          <w:bdr w:val="none" w:sz="0" w:space="0" w:color="auto"/>
          <w:lang w:eastAsia="zh-CN"/>
        </w:rPr>
        <w:tab/>
      </w:r>
      <w:r w:rsidR="00F0528D" w:rsidRPr="00D43C76">
        <w:t>INTRODUCCIÓN</w:t>
      </w:r>
      <w:r w:rsidR="00F0528D" w:rsidRPr="00D43C76">
        <w:tab/>
      </w:r>
      <w:r w:rsidR="00F0528D" w:rsidRPr="00D43C76">
        <w:fldChar w:fldCharType="begin"/>
      </w:r>
      <w:r w:rsidR="00F0528D" w:rsidRPr="00D43C76">
        <w:instrText xml:space="preserve"> PAGEREF _Toc58491227 \h </w:instrText>
      </w:r>
      <w:r w:rsidR="00F0528D" w:rsidRPr="00D43C76">
        <w:fldChar w:fldCharType="separate"/>
      </w:r>
      <w:r w:rsidR="002E2F47">
        <w:t>2</w:t>
      </w:r>
      <w:r w:rsidR="00F0528D" w:rsidRPr="00D43C76">
        <w:fldChar w:fldCharType="end"/>
      </w:r>
    </w:p>
    <w:p w14:paraId="1A7D365B" w14:textId="1276DF5E" w:rsidR="00F0528D" w:rsidRPr="00D43C76" w:rsidRDefault="00F0528D">
      <w:pPr>
        <w:pStyle w:val="TOC1"/>
        <w:rPr>
          <w:rFonts w:eastAsiaTheme="minorEastAsia" w:cstheme="minorBidi"/>
          <w:bdr w:val="none" w:sz="0" w:space="0" w:color="auto"/>
          <w:lang w:eastAsia="zh-CN"/>
        </w:rPr>
      </w:pPr>
      <w:r w:rsidRPr="00D43C76">
        <w:t>II.</w:t>
      </w:r>
      <w:r w:rsidRPr="00D43C76">
        <w:rPr>
          <w:rFonts w:eastAsiaTheme="minorEastAsia" w:cstheme="minorBidi"/>
          <w:bdr w:val="none" w:sz="0" w:space="0" w:color="auto"/>
          <w:lang w:eastAsia="zh-CN"/>
        </w:rPr>
        <w:tab/>
      </w:r>
      <w:r w:rsidRPr="00D43C76">
        <w:t>POSICIÓN DE LAS PARTES</w:t>
      </w:r>
      <w:r w:rsidRPr="00D43C76">
        <w:tab/>
      </w:r>
      <w:r w:rsidRPr="00D43C76">
        <w:fldChar w:fldCharType="begin"/>
      </w:r>
      <w:r w:rsidRPr="00D43C76">
        <w:instrText xml:space="preserve"> PAGEREF _Toc58491228 \h </w:instrText>
      </w:r>
      <w:r w:rsidRPr="00D43C76">
        <w:fldChar w:fldCharType="separate"/>
      </w:r>
      <w:r w:rsidR="002E2F47">
        <w:t>2</w:t>
      </w:r>
      <w:r w:rsidRPr="00D43C76">
        <w:fldChar w:fldCharType="end"/>
      </w:r>
    </w:p>
    <w:p w14:paraId="509B058B" w14:textId="13CFE3B8"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sz w:val="20"/>
          <w:szCs w:val="20"/>
          <w:lang w:val="es-ES_tradnl"/>
        </w:rPr>
        <w:t>A.</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Posición de la parte peticionaria</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_Toc58491229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2</w:t>
      </w:r>
      <w:r w:rsidRPr="00D43C76">
        <w:rPr>
          <w:rFonts w:asciiTheme="majorHAnsi" w:hAnsiTheme="majorHAnsi"/>
          <w:noProof/>
          <w:sz w:val="20"/>
          <w:szCs w:val="20"/>
          <w:lang w:val="es-ES_tradnl"/>
        </w:rPr>
        <w:fldChar w:fldCharType="end"/>
      </w:r>
    </w:p>
    <w:p w14:paraId="66308015" w14:textId="590B832B"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sz w:val="20"/>
          <w:szCs w:val="20"/>
          <w:lang w:val="es-ES_tradnl"/>
        </w:rPr>
        <w:t>B.</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Posición del Estado</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_Toc58491230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5</w:t>
      </w:r>
      <w:r w:rsidRPr="00D43C76">
        <w:rPr>
          <w:rFonts w:asciiTheme="majorHAnsi" w:hAnsiTheme="majorHAnsi"/>
          <w:noProof/>
          <w:sz w:val="20"/>
          <w:szCs w:val="20"/>
          <w:lang w:val="es-ES_tradnl"/>
        </w:rPr>
        <w:fldChar w:fldCharType="end"/>
      </w:r>
    </w:p>
    <w:p w14:paraId="6DAE969E" w14:textId="7485203A" w:rsidR="00F0528D" w:rsidRPr="00D43C76" w:rsidRDefault="00F0528D">
      <w:pPr>
        <w:pStyle w:val="TOC1"/>
        <w:rPr>
          <w:rFonts w:eastAsiaTheme="minorEastAsia" w:cstheme="minorBidi"/>
          <w:bdr w:val="none" w:sz="0" w:space="0" w:color="auto"/>
          <w:lang w:eastAsia="zh-CN"/>
        </w:rPr>
      </w:pPr>
      <w:r w:rsidRPr="00D43C76">
        <w:t>III.</w:t>
      </w:r>
      <w:r w:rsidRPr="00D43C76">
        <w:rPr>
          <w:rFonts w:eastAsiaTheme="minorEastAsia" w:cstheme="minorBidi"/>
          <w:bdr w:val="none" w:sz="0" w:space="0" w:color="auto"/>
          <w:lang w:eastAsia="zh-CN"/>
        </w:rPr>
        <w:tab/>
      </w:r>
      <w:r w:rsidRPr="00D43C76">
        <w:t>ANÁLISIS DE LA ADMISIBILIDAD</w:t>
      </w:r>
      <w:r w:rsidRPr="00D43C76">
        <w:tab/>
      </w:r>
      <w:r w:rsidRPr="00D43C76">
        <w:fldChar w:fldCharType="begin"/>
      </w:r>
      <w:r w:rsidRPr="00D43C76">
        <w:instrText xml:space="preserve"> PAGEREF _Toc58491231 \h </w:instrText>
      </w:r>
      <w:r w:rsidRPr="00D43C76">
        <w:fldChar w:fldCharType="separate"/>
      </w:r>
      <w:r w:rsidR="002E2F47">
        <w:t>6</w:t>
      </w:r>
      <w:r w:rsidRPr="00D43C76">
        <w:fldChar w:fldCharType="end"/>
      </w:r>
    </w:p>
    <w:p w14:paraId="5DD5284D" w14:textId="4DC10F0F"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color w:val="000000"/>
          <w:sz w:val="20"/>
          <w:szCs w:val="20"/>
          <w:lang w:val="es-ES_tradnl"/>
        </w:rPr>
        <w:t>A.</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 xml:space="preserve">Competencia </w:t>
      </w:r>
      <w:r w:rsidRPr="00D43C76">
        <w:rPr>
          <w:rFonts w:asciiTheme="majorHAnsi" w:hAnsiTheme="majorHAnsi"/>
          <w:i/>
          <w:noProof/>
          <w:sz w:val="20"/>
          <w:szCs w:val="20"/>
          <w:lang w:val="es-ES_tradnl"/>
        </w:rPr>
        <w:t>ratione materiae</w:t>
      </w:r>
      <w:r w:rsidRPr="00D43C76">
        <w:rPr>
          <w:rFonts w:asciiTheme="majorHAnsi" w:hAnsiTheme="majorHAnsi"/>
          <w:noProof/>
          <w:sz w:val="20"/>
          <w:szCs w:val="20"/>
          <w:lang w:val="es-ES_tradnl"/>
        </w:rPr>
        <w:t xml:space="preserve">, </w:t>
      </w:r>
      <w:r w:rsidRPr="00D43C76">
        <w:rPr>
          <w:rFonts w:asciiTheme="majorHAnsi" w:hAnsiTheme="majorHAnsi"/>
          <w:i/>
          <w:noProof/>
          <w:sz w:val="20"/>
          <w:szCs w:val="20"/>
          <w:lang w:val="es-ES_tradnl"/>
        </w:rPr>
        <w:t>ratione personae</w:t>
      </w:r>
      <w:r w:rsidRPr="00D43C76">
        <w:rPr>
          <w:rFonts w:asciiTheme="majorHAnsi" w:hAnsiTheme="majorHAnsi"/>
          <w:noProof/>
          <w:sz w:val="20"/>
          <w:szCs w:val="20"/>
          <w:lang w:val="es-ES_tradnl"/>
        </w:rPr>
        <w:t xml:space="preserve">, </w:t>
      </w:r>
      <w:r w:rsidRPr="00D43C76">
        <w:rPr>
          <w:rFonts w:asciiTheme="majorHAnsi" w:hAnsiTheme="majorHAnsi"/>
          <w:i/>
          <w:noProof/>
          <w:sz w:val="20"/>
          <w:szCs w:val="20"/>
          <w:lang w:val="es-ES_tradnl"/>
        </w:rPr>
        <w:t xml:space="preserve">ratione temporis </w:t>
      </w:r>
      <w:r w:rsidRPr="00D43C76">
        <w:rPr>
          <w:rFonts w:asciiTheme="majorHAnsi" w:hAnsiTheme="majorHAnsi"/>
          <w:noProof/>
          <w:sz w:val="20"/>
          <w:szCs w:val="20"/>
          <w:lang w:val="es-ES_tradnl"/>
        </w:rPr>
        <w:t xml:space="preserve">y </w:t>
      </w:r>
      <w:r w:rsidRPr="00D43C76">
        <w:rPr>
          <w:rFonts w:asciiTheme="majorHAnsi" w:hAnsiTheme="majorHAnsi"/>
          <w:i/>
          <w:noProof/>
          <w:sz w:val="20"/>
          <w:szCs w:val="20"/>
          <w:lang w:val="es-ES_tradnl"/>
        </w:rPr>
        <w:t>ratione loci</w:t>
      </w:r>
      <w:r w:rsidRPr="00D43C76">
        <w:rPr>
          <w:rFonts w:asciiTheme="majorHAnsi" w:hAnsiTheme="majorHAnsi"/>
          <w:noProof/>
          <w:sz w:val="20"/>
          <w:szCs w:val="20"/>
          <w:lang w:val="es-ES_tradnl"/>
        </w:rPr>
        <w:t xml:space="preserve"> de la Comisión</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_Toc58491232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6</w:t>
      </w:r>
      <w:r w:rsidRPr="00D43C76">
        <w:rPr>
          <w:rFonts w:asciiTheme="majorHAnsi" w:hAnsiTheme="majorHAnsi"/>
          <w:noProof/>
          <w:sz w:val="20"/>
          <w:szCs w:val="20"/>
          <w:lang w:val="es-ES_tradnl"/>
        </w:rPr>
        <w:fldChar w:fldCharType="end"/>
      </w:r>
    </w:p>
    <w:p w14:paraId="55780A62" w14:textId="721A2E40"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color w:val="000000"/>
          <w:sz w:val="20"/>
          <w:szCs w:val="20"/>
          <w:lang w:val="es-ES_tradnl"/>
        </w:rPr>
        <w:t>B.</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Requisitos de admisibilidad</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_Toc58491233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7</w:t>
      </w:r>
      <w:r w:rsidRPr="00D43C76">
        <w:rPr>
          <w:rFonts w:asciiTheme="majorHAnsi" w:hAnsiTheme="majorHAnsi"/>
          <w:noProof/>
          <w:sz w:val="20"/>
          <w:szCs w:val="20"/>
          <w:lang w:val="es-ES_tradnl"/>
        </w:rPr>
        <w:fldChar w:fldCharType="end"/>
      </w:r>
    </w:p>
    <w:p w14:paraId="79332777" w14:textId="098360EB" w:rsidR="00F0528D" w:rsidRPr="00D43C76" w:rsidRDefault="00F0528D">
      <w:pPr>
        <w:pStyle w:val="TOC3"/>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iCs/>
          <w:noProof/>
          <w:sz w:val="20"/>
          <w:szCs w:val="20"/>
          <w:lang w:val="es-ES_tradnl"/>
        </w:rPr>
        <w:t>1.</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Agotamiento de los recursos internos y plazo de presentación</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_Toc58491234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7</w:t>
      </w:r>
      <w:r w:rsidRPr="00D43C76">
        <w:rPr>
          <w:rFonts w:asciiTheme="majorHAnsi" w:hAnsiTheme="majorHAnsi"/>
          <w:noProof/>
          <w:sz w:val="20"/>
          <w:szCs w:val="20"/>
          <w:lang w:val="es-ES_tradnl"/>
        </w:rPr>
        <w:fldChar w:fldCharType="end"/>
      </w:r>
    </w:p>
    <w:p w14:paraId="3A7E0694" w14:textId="3103D9BA" w:rsidR="00F0528D" w:rsidRPr="00D43C76" w:rsidRDefault="00F0528D">
      <w:pPr>
        <w:pStyle w:val="TOC3"/>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sz w:val="20"/>
          <w:szCs w:val="20"/>
          <w:lang w:val="es-ES_tradnl"/>
        </w:rPr>
        <w:t>2.</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Duplicación de procedimientos y cosa juzgada internacional</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_Toc58491235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7</w:t>
      </w:r>
      <w:r w:rsidRPr="00D43C76">
        <w:rPr>
          <w:rFonts w:asciiTheme="majorHAnsi" w:hAnsiTheme="majorHAnsi"/>
          <w:noProof/>
          <w:sz w:val="20"/>
          <w:szCs w:val="20"/>
          <w:lang w:val="es-ES_tradnl"/>
        </w:rPr>
        <w:fldChar w:fldCharType="end"/>
      </w:r>
    </w:p>
    <w:p w14:paraId="0FCF2978" w14:textId="3B454A19" w:rsidR="00F0528D" w:rsidRPr="00D43C76" w:rsidRDefault="00F0528D">
      <w:pPr>
        <w:pStyle w:val="TOC3"/>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sz w:val="20"/>
          <w:szCs w:val="20"/>
          <w:lang w:val="es-ES_tradnl"/>
        </w:rPr>
        <w:t>3.</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Caracterización de los hechos alegados</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_Toc58491236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7</w:t>
      </w:r>
      <w:r w:rsidRPr="00D43C76">
        <w:rPr>
          <w:rFonts w:asciiTheme="majorHAnsi" w:hAnsiTheme="majorHAnsi"/>
          <w:noProof/>
          <w:sz w:val="20"/>
          <w:szCs w:val="20"/>
          <w:lang w:val="es-ES_tradnl"/>
        </w:rPr>
        <w:fldChar w:fldCharType="end"/>
      </w:r>
    </w:p>
    <w:p w14:paraId="1976A1EF" w14:textId="4C9A0F5F" w:rsidR="00F0528D" w:rsidRPr="00D43C76" w:rsidRDefault="00F0528D">
      <w:pPr>
        <w:pStyle w:val="TOC1"/>
        <w:rPr>
          <w:rFonts w:eastAsiaTheme="minorEastAsia" w:cstheme="minorBidi"/>
          <w:bdr w:val="none" w:sz="0" w:space="0" w:color="auto"/>
          <w:lang w:eastAsia="zh-CN"/>
        </w:rPr>
      </w:pPr>
      <w:r w:rsidRPr="00D43C76">
        <w:t>IV.</w:t>
      </w:r>
      <w:r w:rsidRPr="00D43C76">
        <w:rPr>
          <w:rFonts w:eastAsiaTheme="minorEastAsia" w:cstheme="minorBidi"/>
          <w:bdr w:val="none" w:sz="0" w:space="0" w:color="auto"/>
          <w:lang w:eastAsia="zh-CN"/>
        </w:rPr>
        <w:tab/>
      </w:r>
      <w:r w:rsidRPr="00D43C76">
        <w:t>DETERMINACIONES DE HECHO</w:t>
      </w:r>
      <w:r w:rsidRPr="00D43C76">
        <w:tab/>
      </w:r>
      <w:r w:rsidRPr="00D43C76">
        <w:fldChar w:fldCharType="begin"/>
      </w:r>
      <w:r w:rsidRPr="00D43C76">
        <w:instrText xml:space="preserve"> PAGEREF _Toc58491237 \h </w:instrText>
      </w:r>
      <w:r w:rsidRPr="00D43C76">
        <w:fldChar w:fldCharType="separate"/>
      </w:r>
      <w:r w:rsidR="002E2F47">
        <w:t>8</w:t>
      </w:r>
      <w:r w:rsidRPr="00D43C76">
        <w:fldChar w:fldCharType="end"/>
      </w:r>
    </w:p>
    <w:p w14:paraId="772F1048" w14:textId="0FA7EC0E"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sz w:val="20"/>
          <w:szCs w:val="20"/>
          <w:lang w:val="es-ES_tradnl"/>
        </w:rPr>
        <w:t>A.</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La ley de “sodomía” de Jamaica</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_Toc58491238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8</w:t>
      </w:r>
      <w:r w:rsidRPr="00D43C76">
        <w:rPr>
          <w:rFonts w:asciiTheme="majorHAnsi" w:hAnsiTheme="majorHAnsi"/>
          <w:noProof/>
          <w:sz w:val="20"/>
          <w:szCs w:val="20"/>
          <w:lang w:val="es-ES_tradnl"/>
        </w:rPr>
        <w:fldChar w:fldCharType="end"/>
      </w:r>
    </w:p>
    <w:p w14:paraId="63909EC7" w14:textId="7BC777FF"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sz w:val="20"/>
          <w:szCs w:val="20"/>
          <w:lang w:val="es-ES_tradnl"/>
        </w:rPr>
        <w:t>B.</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Las personas LGBTI en Jamaica</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_Toc58491239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8</w:t>
      </w:r>
      <w:r w:rsidRPr="00D43C76">
        <w:rPr>
          <w:rFonts w:asciiTheme="majorHAnsi" w:hAnsiTheme="majorHAnsi"/>
          <w:noProof/>
          <w:sz w:val="20"/>
          <w:szCs w:val="20"/>
          <w:lang w:val="es-ES_tradnl"/>
        </w:rPr>
        <w:fldChar w:fldCharType="end"/>
      </w:r>
    </w:p>
    <w:p w14:paraId="3E28259D" w14:textId="50B0A8F5"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sz w:val="20"/>
          <w:szCs w:val="20"/>
          <w:lang w:val="es-ES_tradnl"/>
        </w:rPr>
        <w:t>C.</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La situación de S. H. y T. B.</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_Toc58491240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10</w:t>
      </w:r>
      <w:r w:rsidRPr="00D43C76">
        <w:rPr>
          <w:rFonts w:asciiTheme="majorHAnsi" w:hAnsiTheme="majorHAnsi"/>
          <w:noProof/>
          <w:sz w:val="20"/>
          <w:szCs w:val="20"/>
          <w:lang w:val="es-ES_tradnl"/>
        </w:rPr>
        <w:fldChar w:fldCharType="end"/>
      </w:r>
    </w:p>
    <w:p w14:paraId="2537D267" w14:textId="777DFA4D"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sz w:val="20"/>
          <w:szCs w:val="20"/>
          <w:lang w:val="es-ES_tradnl"/>
        </w:rPr>
        <w:t>D.</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Impugnaciones de la Ley de Delitos contra la Persona</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_Toc58491241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13</w:t>
      </w:r>
      <w:r w:rsidRPr="00D43C76">
        <w:rPr>
          <w:rFonts w:asciiTheme="majorHAnsi" w:hAnsiTheme="majorHAnsi"/>
          <w:noProof/>
          <w:sz w:val="20"/>
          <w:szCs w:val="20"/>
          <w:lang w:val="es-ES_tradnl"/>
        </w:rPr>
        <w:fldChar w:fldCharType="end"/>
      </w:r>
    </w:p>
    <w:p w14:paraId="698F6F24" w14:textId="6E0C7D83" w:rsidR="00F0528D" w:rsidRPr="00D43C76" w:rsidRDefault="00F0528D">
      <w:pPr>
        <w:pStyle w:val="TOC1"/>
        <w:rPr>
          <w:rFonts w:eastAsiaTheme="minorEastAsia" w:cstheme="minorBidi"/>
          <w:bdr w:val="none" w:sz="0" w:space="0" w:color="auto"/>
          <w:lang w:eastAsia="zh-CN"/>
        </w:rPr>
      </w:pPr>
      <w:r w:rsidRPr="00D43C76">
        <w:t>V.</w:t>
      </w:r>
      <w:r w:rsidRPr="00D43C76">
        <w:rPr>
          <w:rFonts w:eastAsiaTheme="minorEastAsia" w:cstheme="minorBidi"/>
          <w:bdr w:val="none" w:sz="0" w:space="0" w:color="auto"/>
          <w:lang w:eastAsia="zh-CN"/>
        </w:rPr>
        <w:tab/>
      </w:r>
      <w:r w:rsidRPr="00D43C76">
        <w:t>ANÁLISIS DE DERECHO</w:t>
      </w:r>
      <w:r w:rsidRPr="00D43C76">
        <w:tab/>
      </w:r>
      <w:r w:rsidRPr="00D43C76">
        <w:fldChar w:fldCharType="begin"/>
      </w:r>
      <w:r w:rsidRPr="00D43C76">
        <w:instrText xml:space="preserve"> PAGEREF _Toc58491242 \h </w:instrText>
      </w:r>
      <w:r w:rsidRPr="00D43C76">
        <w:fldChar w:fldCharType="separate"/>
      </w:r>
      <w:r w:rsidR="002E2F47">
        <w:t>14</w:t>
      </w:r>
      <w:r w:rsidRPr="00D43C76">
        <w:fldChar w:fldCharType="end"/>
      </w:r>
    </w:p>
    <w:p w14:paraId="3EA79AFC" w14:textId="2FEC0C1D"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eastAsia="Cambria" w:hAnsiTheme="majorHAnsi" w:cs="Cambria"/>
          <w:iCs/>
          <w:noProof/>
          <w:sz w:val="20"/>
          <w:szCs w:val="20"/>
          <w:u w:color="000000"/>
          <w:lang w:val="es-ES_tradnl" w:eastAsia="es-ES"/>
        </w:rPr>
        <w:t>A.</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eastAsia="Cambria" w:hAnsiTheme="majorHAnsi" w:cs="Cambria"/>
          <w:iCs/>
          <w:noProof/>
          <w:sz w:val="20"/>
          <w:szCs w:val="20"/>
          <w:u w:color="000000"/>
          <w:lang w:val="es-ES_tradnl" w:eastAsia="es-ES"/>
        </w:rPr>
        <w:t>El principio de igualdad y no discriminación, el derecho a la protección de la honra y de la dignidad, el derecho a la integridad personal y el derecho de circulación y de residencia</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_Toc58491243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14</w:t>
      </w:r>
      <w:r w:rsidRPr="00D43C76">
        <w:rPr>
          <w:rFonts w:asciiTheme="majorHAnsi" w:hAnsiTheme="majorHAnsi"/>
          <w:noProof/>
          <w:sz w:val="20"/>
          <w:szCs w:val="20"/>
          <w:lang w:val="es-ES_tradnl"/>
        </w:rPr>
        <w:fldChar w:fldCharType="end"/>
      </w:r>
    </w:p>
    <w:p w14:paraId="3EF18665" w14:textId="55AA598C" w:rsidR="00F0528D" w:rsidRPr="00D43C76" w:rsidRDefault="00F0528D">
      <w:pPr>
        <w:pStyle w:val="TOC3"/>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sz w:val="20"/>
          <w:szCs w:val="20"/>
          <w:lang w:val="es-ES_tradnl"/>
        </w:rPr>
        <w:t>1.</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Consideraciones generales</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_Toc58491244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14</w:t>
      </w:r>
      <w:r w:rsidRPr="00D43C76">
        <w:rPr>
          <w:rFonts w:asciiTheme="majorHAnsi" w:hAnsiTheme="majorHAnsi"/>
          <w:noProof/>
          <w:sz w:val="20"/>
          <w:szCs w:val="20"/>
          <w:lang w:val="es-ES_tradnl"/>
        </w:rPr>
        <w:fldChar w:fldCharType="end"/>
      </w:r>
    </w:p>
    <w:p w14:paraId="52BDAA28" w14:textId="6BF3ABF4" w:rsidR="00F0528D" w:rsidRPr="00D43C76" w:rsidRDefault="00F0528D">
      <w:pPr>
        <w:pStyle w:val="TOC3"/>
        <w:rPr>
          <w:rFonts w:asciiTheme="majorHAnsi" w:eastAsiaTheme="minorEastAsia" w:hAnsiTheme="majorHAnsi" w:cstheme="minorBidi"/>
          <w:noProof/>
          <w:sz w:val="20"/>
          <w:szCs w:val="20"/>
          <w:bdr w:val="none" w:sz="0" w:space="0" w:color="auto"/>
          <w:lang w:val="es-ES_tradnl" w:eastAsia="zh-CN"/>
        </w:rPr>
      </w:pPr>
      <w:r w:rsidRPr="00D43C76">
        <w:rPr>
          <w:rFonts w:asciiTheme="majorHAnsi" w:hAnsiTheme="majorHAnsi"/>
          <w:noProof/>
          <w:sz w:val="20"/>
          <w:szCs w:val="20"/>
          <w:lang w:val="es-ES_tradnl"/>
        </w:rPr>
        <w:t>2.</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hAnsiTheme="majorHAnsi"/>
          <w:noProof/>
          <w:sz w:val="20"/>
          <w:szCs w:val="20"/>
          <w:lang w:val="es-ES_tradnl"/>
        </w:rPr>
        <w:t>Análisis de este caso</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_Toc58491245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20</w:t>
      </w:r>
      <w:r w:rsidRPr="00D43C76">
        <w:rPr>
          <w:rFonts w:asciiTheme="majorHAnsi" w:hAnsiTheme="majorHAnsi"/>
          <w:noProof/>
          <w:sz w:val="20"/>
          <w:szCs w:val="20"/>
          <w:lang w:val="es-ES_tradnl"/>
        </w:rPr>
        <w:fldChar w:fldCharType="end"/>
      </w:r>
    </w:p>
    <w:p w14:paraId="513595B9" w14:textId="0FFD09BD"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eastAsia="Cambria" w:hAnsiTheme="majorHAnsi" w:cs="Cambria"/>
          <w:iCs/>
          <w:noProof/>
          <w:sz w:val="20"/>
          <w:szCs w:val="20"/>
          <w:u w:color="000000"/>
          <w:lang w:val="es-ES_tradnl" w:eastAsia="es-ES"/>
        </w:rPr>
        <w:t>B.</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eastAsia="Cambria" w:hAnsiTheme="majorHAnsi" w:cs="Cambria"/>
          <w:iCs/>
          <w:noProof/>
          <w:sz w:val="20"/>
          <w:szCs w:val="20"/>
          <w:u w:color="000000"/>
          <w:lang w:val="es-ES_tradnl" w:eastAsia="es-ES"/>
        </w:rPr>
        <w:t>El principio de legalidad</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_Toc58491246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22</w:t>
      </w:r>
      <w:r w:rsidRPr="00D43C76">
        <w:rPr>
          <w:rFonts w:asciiTheme="majorHAnsi" w:hAnsiTheme="majorHAnsi"/>
          <w:noProof/>
          <w:sz w:val="20"/>
          <w:szCs w:val="20"/>
          <w:lang w:val="es-ES_tradnl"/>
        </w:rPr>
        <w:fldChar w:fldCharType="end"/>
      </w:r>
    </w:p>
    <w:p w14:paraId="0FBDC834" w14:textId="25D1FC82"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eastAsia="Cambria" w:hAnsiTheme="majorHAnsi" w:cs="Cambria"/>
          <w:iCs/>
          <w:noProof/>
          <w:sz w:val="20"/>
          <w:szCs w:val="20"/>
          <w:u w:color="000000"/>
          <w:lang w:val="es-ES_tradnl" w:eastAsia="es-ES"/>
        </w:rPr>
        <w:t>C.</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eastAsia="Cambria" w:hAnsiTheme="majorHAnsi" w:cs="Cambria"/>
          <w:iCs/>
          <w:noProof/>
          <w:sz w:val="20"/>
          <w:szCs w:val="20"/>
          <w:u w:color="000000"/>
          <w:lang w:val="es-ES_tradnl" w:eastAsia="es-ES"/>
        </w:rPr>
        <w:t>El derecho a la salud</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_Toc58491247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23</w:t>
      </w:r>
      <w:r w:rsidRPr="00D43C76">
        <w:rPr>
          <w:rFonts w:asciiTheme="majorHAnsi" w:hAnsiTheme="majorHAnsi"/>
          <w:noProof/>
          <w:sz w:val="20"/>
          <w:szCs w:val="20"/>
          <w:lang w:val="es-ES_tradnl"/>
        </w:rPr>
        <w:fldChar w:fldCharType="end"/>
      </w:r>
    </w:p>
    <w:p w14:paraId="7EB63F3D" w14:textId="7B57C8E2" w:rsidR="00F0528D" w:rsidRPr="00D43C76" w:rsidRDefault="00F0528D">
      <w:pPr>
        <w:pStyle w:val="TOC2"/>
        <w:rPr>
          <w:rFonts w:asciiTheme="majorHAnsi" w:eastAsiaTheme="minorEastAsia" w:hAnsiTheme="majorHAnsi" w:cstheme="minorBidi"/>
          <w:noProof/>
          <w:sz w:val="20"/>
          <w:szCs w:val="20"/>
          <w:bdr w:val="none" w:sz="0" w:space="0" w:color="auto"/>
          <w:lang w:val="es-ES_tradnl" w:eastAsia="zh-CN"/>
        </w:rPr>
      </w:pPr>
      <w:r w:rsidRPr="00D43C76">
        <w:rPr>
          <w:rFonts w:asciiTheme="majorHAnsi" w:eastAsia="Cambria" w:hAnsiTheme="majorHAnsi" w:cs="Cambria"/>
          <w:iCs/>
          <w:noProof/>
          <w:color w:val="000000"/>
          <w:sz w:val="20"/>
          <w:szCs w:val="20"/>
          <w:u w:color="000000"/>
          <w:lang w:val="es-ES_tradnl" w:eastAsia="es-ES"/>
        </w:rPr>
        <w:t>D.</w:t>
      </w:r>
      <w:r w:rsidRPr="00D43C76">
        <w:rPr>
          <w:rFonts w:asciiTheme="majorHAnsi" w:eastAsiaTheme="minorEastAsia" w:hAnsiTheme="majorHAnsi" w:cstheme="minorBidi"/>
          <w:noProof/>
          <w:sz w:val="20"/>
          <w:szCs w:val="20"/>
          <w:bdr w:val="none" w:sz="0" w:space="0" w:color="auto"/>
          <w:lang w:val="es-ES_tradnl" w:eastAsia="zh-CN"/>
        </w:rPr>
        <w:tab/>
      </w:r>
      <w:r w:rsidRPr="00D43C76">
        <w:rPr>
          <w:rFonts w:asciiTheme="majorHAnsi" w:eastAsia="Cambria" w:hAnsiTheme="majorHAnsi" w:cs="Cambria"/>
          <w:iCs/>
          <w:noProof/>
          <w:color w:val="000000"/>
          <w:sz w:val="20"/>
          <w:szCs w:val="20"/>
          <w:u w:color="000000"/>
          <w:lang w:val="es-ES_tradnl" w:eastAsia="es-ES"/>
        </w:rPr>
        <w:t>El derecho a la protección judicial</w:t>
      </w:r>
      <w:r w:rsidRPr="00D43C76">
        <w:rPr>
          <w:rFonts w:asciiTheme="majorHAnsi" w:hAnsiTheme="majorHAnsi"/>
          <w:noProof/>
          <w:sz w:val="20"/>
          <w:szCs w:val="20"/>
          <w:lang w:val="es-ES_tradnl"/>
        </w:rPr>
        <w:tab/>
      </w:r>
      <w:r w:rsidRPr="00D43C76">
        <w:rPr>
          <w:rFonts w:asciiTheme="majorHAnsi" w:hAnsiTheme="majorHAnsi"/>
          <w:noProof/>
          <w:sz w:val="20"/>
          <w:szCs w:val="20"/>
          <w:lang w:val="es-ES_tradnl"/>
        </w:rPr>
        <w:fldChar w:fldCharType="begin"/>
      </w:r>
      <w:r w:rsidRPr="00D43C76">
        <w:rPr>
          <w:rFonts w:asciiTheme="majorHAnsi" w:hAnsiTheme="majorHAnsi"/>
          <w:noProof/>
          <w:sz w:val="20"/>
          <w:szCs w:val="20"/>
          <w:lang w:val="es-ES_tradnl"/>
        </w:rPr>
        <w:instrText xml:space="preserve"> PAGEREF _Toc58491248 \h </w:instrText>
      </w:r>
      <w:r w:rsidRPr="00D43C76">
        <w:rPr>
          <w:rFonts w:asciiTheme="majorHAnsi" w:hAnsiTheme="majorHAnsi"/>
          <w:noProof/>
          <w:sz w:val="20"/>
          <w:szCs w:val="20"/>
          <w:lang w:val="es-ES_tradnl"/>
        </w:rPr>
      </w:r>
      <w:r w:rsidRPr="00D43C76">
        <w:rPr>
          <w:rFonts w:asciiTheme="majorHAnsi" w:hAnsiTheme="majorHAnsi"/>
          <w:noProof/>
          <w:sz w:val="20"/>
          <w:szCs w:val="20"/>
          <w:lang w:val="es-ES_tradnl"/>
        </w:rPr>
        <w:fldChar w:fldCharType="separate"/>
      </w:r>
      <w:r w:rsidR="002E2F47">
        <w:rPr>
          <w:rFonts w:asciiTheme="majorHAnsi" w:hAnsiTheme="majorHAnsi"/>
          <w:noProof/>
          <w:sz w:val="20"/>
          <w:szCs w:val="20"/>
          <w:lang w:val="es-ES_tradnl"/>
        </w:rPr>
        <w:t>27</w:t>
      </w:r>
      <w:r w:rsidRPr="00D43C76">
        <w:rPr>
          <w:rFonts w:asciiTheme="majorHAnsi" w:hAnsiTheme="majorHAnsi"/>
          <w:noProof/>
          <w:sz w:val="20"/>
          <w:szCs w:val="20"/>
          <w:lang w:val="es-ES_tradnl"/>
        </w:rPr>
        <w:fldChar w:fldCharType="end"/>
      </w:r>
    </w:p>
    <w:p w14:paraId="30A50AE3" w14:textId="4FFA60D2" w:rsidR="00F0528D" w:rsidRPr="00D43C76" w:rsidRDefault="00F0528D">
      <w:pPr>
        <w:pStyle w:val="TOC1"/>
        <w:rPr>
          <w:rFonts w:eastAsiaTheme="minorEastAsia" w:cstheme="minorBidi"/>
          <w:bdr w:val="none" w:sz="0" w:space="0" w:color="auto"/>
          <w:lang w:eastAsia="zh-CN"/>
        </w:rPr>
      </w:pPr>
      <w:r w:rsidRPr="00D43C76">
        <w:t>VI.</w:t>
      </w:r>
      <w:r w:rsidRPr="00D43C76">
        <w:rPr>
          <w:rFonts w:eastAsiaTheme="minorEastAsia" w:cstheme="minorBidi"/>
          <w:bdr w:val="none" w:sz="0" w:space="0" w:color="auto"/>
          <w:lang w:eastAsia="zh-CN"/>
        </w:rPr>
        <w:tab/>
      </w:r>
      <w:r w:rsidRPr="00D43C76">
        <w:t>ACCIONES POSTERIORES AL INFORME No. 240/19</w:t>
      </w:r>
      <w:r w:rsidRPr="00D43C76">
        <w:tab/>
      </w:r>
      <w:r w:rsidRPr="00D43C76">
        <w:fldChar w:fldCharType="begin"/>
      </w:r>
      <w:r w:rsidRPr="00D43C76">
        <w:instrText xml:space="preserve"> PAGEREF _Toc58491249 \h </w:instrText>
      </w:r>
      <w:r w:rsidRPr="00D43C76">
        <w:fldChar w:fldCharType="separate"/>
      </w:r>
      <w:r w:rsidR="002E2F47">
        <w:t>28</w:t>
      </w:r>
      <w:r w:rsidRPr="00D43C76">
        <w:fldChar w:fldCharType="end"/>
      </w:r>
    </w:p>
    <w:p w14:paraId="469F6687" w14:textId="55A70CCF" w:rsidR="00F0528D" w:rsidRPr="00D43C76" w:rsidRDefault="00F0528D">
      <w:pPr>
        <w:pStyle w:val="TOC1"/>
        <w:rPr>
          <w:rFonts w:eastAsiaTheme="minorEastAsia" w:cstheme="minorBidi"/>
          <w:bdr w:val="none" w:sz="0" w:space="0" w:color="auto"/>
          <w:lang w:eastAsia="zh-CN"/>
        </w:rPr>
      </w:pPr>
      <w:r w:rsidRPr="00D43C76">
        <w:t>VII.</w:t>
      </w:r>
      <w:r w:rsidRPr="00D43C76">
        <w:rPr>
          <w:rFonts w:eastAsiaTheme="minorEastAsia" w:cstheme="minorBidi"/>
          <w:bdr w:val="none" w:sz="0" w:space="0" w:color="auto"/>
          <w:lang w:eastAsia="zh-CN"/>
        </w:rPr>
        <w:tab/>
      </w:r>
      <w:r w:rsidRPr="00D43C76">
        <w:t>INFORME No. 250/20 E INFORMACIÓN SOBRE CUMPLIMIENTO</w:t>
      </w:r>
      <w:r w:rsidRPr="00D43C76">
        <w:tab/>
      </w:r>
      <w:r w:rsidRPr="00D43C76">
        <w:fldChar w:fldCharType="begin"/>
      </w:r>
      <w:r w:rsidRPr="00D43C76">
        <w:instrText xml:space="preserve"> PAGEREF _Toc58491250 \h </w:instrText>
      </w:r>
      <w:r w:rsidRPr="00D43C76">
        <w:fldChar w:fldCharType="separate"/>
      </w:r>
      <w:r w:rsidR="002E2F47">
        <w:t>29</w:t>
      </w:r>
      <w:r w:rsidRPr="00D43C76">
        <w:fldChar w:fldCharType="end"/>
      </w:r>
    </w:p>
    <w:p w14:paraId="6C2D2E7E" w14:textId="092791C0" w:rsidR="00F0528D" w:rsidRPr="00D43C76" w:rsidRDefault="00F0528D">
      <w:pPr>
        <w:pStyle w:val="TOC1"/>
        <w:rPr>
          <w:rFonts w:eastAsiaTheme="minorEastAsia" w:cstheme="minorBidi"/>
          <w:bdr w:val="none" w:sz="0" w:space="0" w:color="auto"/>
          <w:lang w:eastAsia="zh-CN"/>
        </w:rPr>
      </w:pPr>
      <w:r w:rsidRPr="00D43C76">
        <w:t>VIII.</w:t>
      </w:r>
      <w:r w:rsidRPr="00D43C76">
        <w:rPr>
          <w:rFonts w:eastAsiaTheme="minorEastAsia" w:cstheme="minorBidi"/>
          <w:bdr w:val="none" w:sz="0" w:space="0" w:color="auto"/>
          <w:lang w:eastAsia="zh-CN"/>
        </w:rPr>
        <w:tab/>
      </w:r>
      <w:r w:rsidRPr="00D43C76">
        <w:t>CONCLUSIONES FINALES Y RECOMENDACIONES</w:t>
      </w:r>
      <w:r w:rsidRPr="00D43C76">
        <w:tab/>
      </w:r>
      <w:r w:rsidRPr="00D43C76">
        <w:fldChar w:fldCharType="begin"/>
      </w:r>
      <w:r w:rsidRPr="00D43C76">
        <w:instrText xml:space="preserve"> PAGEREF _Toc58491251 \h </w:instrText>
      </w:r>
      <w:r w:rsidRPr="00D43C76">
        <w:fldChar w:fldCharType="separate"/>
      </w:r>
      <w:r w:rsidR="002E2F47">
        <w:t>29</w:t>
      </w:r>
      <w:r w:rsidRPr="00D43C76">
        <w:fldChar w:fldCharType="end"/>
      </w:r>
    </w:p>
    <w:p w14:paraId="1C5D95BB" w14:textId="380BFBCB" w:rsidR="00F0528D" w:rsidRPr="00D43C76" w:rsidRDefault="00F0528D">
      <w:pPr>
        <w:pStyle w:val="TOC1"/>
        <w:rPr>
          <w:rFonts w:eastAsiaTheme="minorEastAsia" w:cstheme="minorBidi"/>
          <w:bdr w:val="none" w:sz="0" w:space="0" w:color="auto"/>
          <w:lang w:eastAsia="zh-CN"/>
        </w:rPr>
      </w:pPr>
      <w:r w:rsidRPr="00D43C76">
        <w:rPr>
          <w:rFonts w:eastAsia="Times New Roman" w:cs="Tahoma"/>
          <w:bdr w:val="none" w:sz="0" w:space="0" w:color="auto" w:frame="1"/>
        </w:rPr>
        <w:t>IX.</w:t>
      </w:r>
      <w:r w:rsidRPr="00D43C76">
        <w:rPr>
          <w:rFonts w:eastAsiaTheme="minorEastAsia" w:cstheme="minorBidi"/>
          <w:bdr w:val="none" w:sz="0" w:space="0" w:color="auto"/>
          <w:lang w:eastAsia="zh-CN"/>
        </w:rPr>
        <w:tab/>
      </w:r>
      <w:r w:rsidRPr="00D43C76">
        <w:rPr>
          <w:rFonts w:eastAsia="Times New Roman" w:cs="Tahoma"/>
          <w:bdr w:val="none" w:sz="0" w:space="0" w:color="auto" w:frame="1"/>
        </w:rPr>
        <w:t>PUBLICACIÓN</w:t>
      </w:r>
      <w:r w:rsidRPr="00D43C76">
        <w:tab/>
      </w:r>
      <w:r w:rsidRPr="00D43C76">
        <w:fldChar w:fldCharType="begin"/>
      </w:r>
      <w:r w:rsidRPr="00D43C76">
        <w:instrText xml:space="preserve"> PAGEREF _Toc58491252 \h </w:instrText>
      </w:r>
      <w:r w:rsidRPr="00D43C76">
        <w:fldChar w:fldCharType="separate"/>
      </w:r>
      <w:r w:rsidR="002E2F47">
        <w:t>31</w:t>
      </w:r>
      <w:r w:rsidRPr="00D43C76">
        <w:fldChar w:fldCharType="end"/>
      </w:r>
    </w:p>
    <w:p w14:paraId="4D45E772" w14:textId="77777777" w:rsidR="007607C4" w:rsidRPr="00D43C76" w:rsidRDefault="00E200F9" w:rsidP="00145EDC">
      <w:pPr>
        <w:tabs>
          <w:tab w:val="center" w:pos="5400"/>
        </w:tabs>
        <w:suppressAutoHyphens/>
        <w:spacing w:line="276" w:lineRule="auto"/>
        <w:rPr>
          <w:rFonts w:asciiTheme="majorHAnsi" w:hAnsiTheme="majorHAnsi"/>
          <w:sz w:val="22"/>
          <w:szCs w:val="22"/>
          <w:lang w:val="es-ES_tradnl"/>
        </w:rPr>
      </w:pPr>
      <w:r w:rsidRPr="00D43C76">
        <w:rPr>
          <w:rFonts w:asciiTheme="majorHAnsi" w:hAnsiTheme="majorHAnsi"/>
          <w:sz w:val="20"/>
          <w:szCs w:val="20"/>
          <w:lang w:val="es-ES_tradnl"/>
        </w:rPr>
        <w:fldChar w:fldCharType="end"/>
      </w:r>
    </w:p>
    <w:p w14:paraId="0DCCE951" w14:textId="77777777" w:rsidR="007607C4" w:rsidRPr="00D43C76" w:rsidRDefault="007607C4" w:rsidP="00145EDC">
      <w:pPr>
        <w:tabs>
          <w:tab w:val="center" w:pos="5400"/>
        </w:tabs>
        <w:suppressAutoHyphens/>
        <w:spacing w:line="276" w:lineRule="auto"/>
        <w:rPr>
          <w:rFonts w:asciiTheme="majorHAnsi" w:hAnsiTheme="majorHAnsi"/>
          <w:sz w:val="22"/>
          <w:szCs w:val="22"/>
          <w:lang w:val="es-ES_tradnl"/>
        </w:rPr>
      </w:pPr>
    </w:p>
    <w:p w14:paraId="091F874B" w14:textId="77777777" w:rsidR="007607C4" w:rsidRPr="00D43C76" w:rsidRDefault="007607C4" w:rsidP="00145EDC">
      <w:pPr>
        <w:tabs>
          <w:tab w:val="center" w:pos="5400"/>
        </w:tabs>
        <w:suppressAutoHyphens/>
        <w:spacing w:line="276" w:lineRule="auto"/>
        <w:rPr>
          <w:rFonts w:asciiTheme="majorHAnsi" w:hAnsiTheme="majorHAnsi"/>
          <w:sz w:val="22"/>
          <w:szCs w:val="22"/>
          <w:lang w:val="es-ES_tradnl"/>
        </w:rPr>
      </w:pPr>
    </w:p>
    <w:p w14:paraId="19960AEF" w14:textId="77777777" w:rsidR="007607C4" w:rsidRPr="00D43C76" w:rsidRDefault="007607C4" w:rsidP="00145EDC">
      <w:pPr>
        <w:tabs>
          <w:tab w:val="center" w:pos="5400"/>
        </w:tabs>
        <w:suppressAutoHyphens/>
        <w:spacing w:line="276" w:lineRule="auto"/>
        <w:rPr>
          <w:rFonts w:asciiTheme="majorHAnsi" w:hAnsiTheme="majorHAnsi"/>
          <w:sz w:val="22"/>
          <w:szCs w:val="22"/>
          <w:lang w:val="es-ES_tradnl"/>
        </w:rPr>
      </w:pPr>
    </w:p>
    <w:p w14:paraId="2C2E3FA1" w14:textId="77777777" w:rsidR="007607C4" w:rsidRPr="00D43C76" w:rsidRDefault="007607C4" w:rsidP="00145EDC">
      <w:pPr>
        <w:tabs>
          <w:tab w:val="center" w:pos="5400"/>
        </w:tabs>
        <w:suppressAutoHyphens/>
        <w:spacing w:line="276" w:lineRule="auto"/>
        <w:rPr>
          <w:rFonts w:asciiTheme="majorHAnsi" w:hAnsiTheme="majorHAnsi"/>
          <w:sz w:val="22"/>
          <w:szCs w:val="22"/>
          <w:lang w:val="es-ES_tradnl"/>
        </w:rPr>
      </w:pPr>
    </w:p>
    <w:p w14:paraId="054BBDF0" w14:textId="77777777" w:rsidR="007607C4" w:rsidRPr="00D43C76" w:rsidRDefault="007607C4" w:rsidP="00145EDC">
      <w:pPr>
        <w:tabs>
          <w:tab w:val="center" w:pos="5400"/>
        </w:tabs>
        <w:suppressAutoHyphens/>
        <w:spacing w:line="276" w:lineRule="auto"/>
        <w:rPr>
          <w:rFonts w:asciiTheme="majorHAnsi" w:hAnsiTheme="majorHAnsi"/>
          <w:sz w:val="20"/>
          <w:szCs w:val="20"/>
          <w:lang w:val="es-ES_tradnl"/>
        </w:rPr>
      </w:pPr>
    </w:p>
    <w:p w14:paraId="45C24760" w14:textId="77777777" w:rsidR="007607C4" w:rsidRPr="00D43C76" w:rsidRDefault="007607C4" w:rsidP="00145EDC">
      <w:pPr>
        <w:tabs>
          <w:tab w:val="center" w:pos="5400"/>
        </w:tabs>
        <w:suppressAutoHyphens/>
        <w:spacing w:line="276" w:lineRule="auto"/>
        <w:rPr>
          <w:rFonts w:asciiTheme="majorHAnsi" w:hAnsiTheme="majorHAnsi"/>
          <w:sz w:val="20"/>
          <w:szCs w:val="20"/>
          <w:lang w:val="es-ES_tradnl"/>
        </w:rPr>
      </w:pPr>
    </w:p>
    <w:p w14:paraId="493907A4" w14:textId="77777777" w:rsidR="007607C4" w:rsidRPr="00D43C76" w:rsidRDefault="00A84A45" w:rsidP="005C0F65">
      <w:pPr>
        <w:rPr>
          <w:rFonts w:asciiTheme="majorHAnsi" w:hAnsiTheme="majorHAnsi"/>
          <w:b/>
          <w:sz w:val="18"/>
          <w:szCs w:val="20"/>
          <w:lang w:val="es-ES_tradnl"/>
        </w:rPr>
      </w:pPr>
      <w:r w:rsidRPr="00D43C76">
        <w:rPr>
          <w:rFonts w:asciiTheme="majorHAnsi" w:hAnsiTheme="majorHAnsi"/>
          <w:b/>
          <w:sz w:val="18"/>
          <w:szCs w:val="20"/>
          <w:lang w:val="es-ES_tradnl"/>
        </w:rPr>
        <w:br w:type="page"/>
      </w:r>
    </w:p>
    <w:p w14:paraId="2BE6E948" w14:textId="77777777" w:rsidR="001C4006" w:rsidRPr="00D43C76" w:rsidRDefault="00A365FB" w:rsidP="00512224">
      <w:pPr>
        <w:pStyle w:val="Heading1"/>
        <w:spacing w:before="0"/>
        <w:ind w:left="360"/>
        <w:rPr>
          <w:color w:val="auto"/>
          <w:sz w:val="20"/>
          <w:szCs w:val="20"/>
          <w:lang w:val="es-ES_tradnl"/>
        </w:rPr>
      </w:pPr>
      <w:bookmarkStart w:id="0" w:name="_Toc58491227"/>
      <w:r w:rsidRPr="00D43C76">
        <w:rPr>
          <w:color w:val="auto"/>
          <w:sz w:val="20"/>
          <w:szCs w:val="20"/>
          <w:lang w:val="es-ES_tradnl"/>
        </w:rPr>
        <w:lastRenderedPageBreak/>
        <w:t>INTRODUCCIÓN</w:t>
      </w:r>
      <w:bookmarkEnd w:id="0"/>
      <w:r w:rsidR="001C4006" w:rsidRPr="00D43C76">
        <w:rPr>
          <w:color w:val="auto"/>
          <w:sz w:val="20"/>
          <w:szCs w:val="20"/>
          <w:lang w:val="es-ES_tradnl"/>
        </w:rPr>
        <w:t xml:space="preserve"> </w:t>
      </w:r>
    </w:p>
    <w:p w14:paraId="54904CAA" w14:textId="77777777" w:rsidR="001C4006" w:rsidRPr="00D43C76" w:rsidRDefault="001C4006" w:rsidP="00BB5A59">
      <w:pPr>
        <w:suppressAutoHyphens/>
        <w:ind w:left="1440" w:hanging="720"/>
        <w:rPr>
          <w:rFonts w:asciiTheme="majorHAnsi" w:hAnsiTheme="majorHAnsi"/>
          <w:b/>
          <w:sz w:val="20"/>
          <w:szCs w:val="20"/>
          <w:lang w:val="es-ES_tradnl"/>
        </w:rPr>
      </w:pPr>
    </w:p>
    <w:p w14:paraId="3EDA09F9" w14:textId="77777777" w:rsidR="00BB0A79" w:rsidRPr="00D43C76" w:rsidRDefault="007E65FB"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w:t>
      </w:r>
      <w:r w:rsidR="009F6A56" w:rsidRPr="00D43C76">
        <w:rPr>
          <w:rFonts w:ascii="Cambria" w:hAnsi="Cambria"/>
          <w:lang w:val="es-ES_tradnl"/>
        </w:rPr>
        <w:t>16</w:t>
      </w:r>
      <w:r w:rsidRPr="00D43C76">
        <w:rPr>
          <w:rFonts w:ascii="Cambria" w:hAnsi="Cambria"/>
          <w:lang w:val="es-ES_tradnl"/>
        </w:rPr>
        <w:t xml:space="preserve"> de agosto de</w:t>
      </w:r>
      <w:r w:rsidR="00E11667" w:rsidRPr="00D43C76">
        <w:rPr>
          <w:rFonts w:ascii="Cambria" w:hAnsi="Cambria"/>
          <w:lang w:val="es-ES_tradnl"/>
        </w:rPr>
        <w:t xml:space="preserve"> 2011</w:t>
      </w:r>
      <w:r w:rsidR="00D75719" w:rsidRPr="00D43C76">
        <w:rPr>
          <w:vertAlign w:val="superscript"/>
          <w:lang w:val="es-ES_tradnl"/>
        </w:rPr>
        <w:footnoteReference w:id="2"/>
      </w:r>
      <w:r w:rsidR="006A72B7" w:rsidRPr="00D43C76">
        <w:rPr>
          <w:rFonts w:ascii="Cambria" w:hAnsi="Cambria"/>
          <w:lang w:val="es-ES_tradnl"/>
        </w:rPr>
        <w:t xml:space="preserve">, </w:t>
      </w:r>
      <w:r w:rsidRPr="00D43C76">
        <w:rPr>
          <w:rFonts w:ascii="Cambria" w:hAnsi="Cambria"/>
          <w:lang w:val="es-ES_tradnl"/>
        </w:rPr>
        <w:t xml:space="preserve">la </w:t>
      </w:r>
      <w:r w:rsidR="00A365FB" w:rsidRPr="00D43C76">
        <w:rPr>
          <w:rFonts w:ascii="Cambria" w:hAnsi="Cambria"/>
          <w:lang w:val="es-ES_tradnl"/>
        </w:rPr>
        <w:t>Comisión Interamericana de Derechos Humanos</w:t>
      </w:r>
      <w:r w:rsidR="006A72B7" w:rsidRPr="00D43C76">
        <w:rPr>
          <w:rFonts w:ascii="Cambria" w:hAnsi="Cambria"/>
          <w:lang w:val="es-ES_tradnl"/>
        </w:rPr>
        <w:t xml:space="preserve"> (</w:t>
      </w:r>
      <w:r w:rsidR="00A365FB" w:rsidRPr="00D43C76">
        <w:rPr>
          <w:rFonts w:ascii="Cambria" w:hAnsi="Cambria"/>
          <w:lang w:val="es-ES_tradnl"/>
        </w:rPr>
        <w:t xml:space="preserve">en adelante </w:t>
      </w:r>
      <w:r w:rsidR="006A72B7" w:rsidRPr="00D43C76">
        <w:rPr>
          <w:rFonts w:ascii="Cambria" w:hAnsi="Cambria"/>
          <w:lang w:val="es-ES_tradnl"/>
        </w:rPr>
        <w:t>“</w:t>
      </w:r>
      <w:r w:rsidR="00A365FB" w:rsidRPr="00D43C76">
        <w:rPr>
          <w:rFonts w:ascii="Cambria" w:hAnsi="Cambria"/>
          <w:lang w:val="es-ES_tradnl"/>
        </w:rPr>
        <w:t>la Comisión</w:t>
      </w:r>
      <w:r w:rsidR="006A72B7" w:rsidRPr="00D43C76">
        <w:rPr>
          <w:rFonts w:ascii="Cambria" w:hAnsi="Cambria"/>
          <w:lang w:val="es-ES_tradnl"/>
        </w:rPr>
        <w:t>” o “</w:t>
      </w:r>
      <w:r w:rsidR="00A365FB" w:rsidRPr="00D43C76">
        <w:rPr>
          <w:rFonts w:ascii="Cambria" w:hAnsi="Cambria"/>
          <w:lang w:val="es-ES_tradnl"/>
        </w:rPr>
        <w:t>la CIDH</w:t>
      </w:r>
      <w:r w:rsidR="006A72B7" w:rsidRPr="00D43C76">
        <w:rPr>
          <w:rFonts w:ascii="Cambria" w:hAnsi="Cambria"/>
          <w:lang w:val="es-ES_tradnl"/>
        </w:rPr>
        <w:t xml:space="preserve">”) </w:t>
      </w:r>
      <w:r w:rsidRPr="00D43C76">
        <w:rPr>
          <w:rFonts w:ascii="Cambria" w:hAnsi="Cambria"/>
          <w:lang w:val="es-ES_tradnl"/>
        </w:rPr>
        <w:t>recibió una petición presentada por</w:t>
      </w:r>
      <w:r w:rsidR="00C14574" w:rsidRPr="00D43C76">
        <w:rPr>
          <w:rFonts w:ascii="Cambria" w:hAnsi="Cambria"/>
          <w:lang w:val="es-ES_tradnl"/>
        </w:rPr>
        <w:t xml:space="preserve"> </w:t>
      </w:r>
      <w:r w:rsidR="00237F27" w:rsidRPr="00D43C76">
        <w:rPr>
          <w:rFonts w:ascii="Cambria" w:hAnsi="Cambria"/>
          <w:lang w:val="es-ES_tradnl"/>
        </w:rPr>
        <w:t>Aids-Free World</w:t>
      </w:r>
      <w:r w:rsidR="00451DEB" w:rsidRPr="00D43C76">
        <w:rPr>
          <w:rFonts w:ascii="Cambria" w:hAnsi="Cambria"/>
          <w:lang w:val="es-ES_tradnl"/>
        </w:rPr>
        <w:t xml:space="preserve"> (</w:t>
      </w:r>
      <w:r w:rsidR="00A365FB" w:rsidRPr="00D43C76">
        <w:rPr>
          <w:rFonts w:ascii="Cambria" w:hAnsi="Cambria"/>
          <w:lang w:val="es-ES_tradnl"/>
        </w:rPr>
        <w:t>“</w:t>
      </w:r>
      <w:r w:rsidR="00BD169F" w:rsidRPr="00D43C76">
        <w:rPr>
          <w:rFonts w:ascii="Cambria" w:hAnsi="Cambria"/>
          <w:lang w:val="es-ES_tradnl"/>
        </w:rPr>
        <w:t>la peticionaria</w:t>
      </w:r>
      <w:r w:rsidR="00451DEB" w:rsidRPr="00D43C76">
        <w:rPr>
          <w:rFonts w:ascii="Cambria" w:hAnsi="Cambria"/>
          <w:lang w:val="es-ES_tradnl"/>
        </w:rPr>
        <w:t>”)</w:t>
      </w:r>
      <w:r w:rsidRPr="00D43C76">
        <w:rPr>
          <w:rFonts w:ascii="Cambria" w:hAnsi="Cambria"/>
          <w:lang w:val="es-ES_tradnl"/>
        </w:rPr>
        <w:t>, en la cual se alega la responsabilidad internacional de</w:t>
      </w:r>
      <w:r w:rsidR="000253EF" w:rsidRPr="00D43C76">
        <w:rPr>
          <w:rFonts w:ascii="Cambria" w:hAnsi="Cambria"/>
          <w:lang w:val="es-ES_tradnl"/>
        </w:rPr>
        <w:t xml:space="preserve"> Jamaica</w:t>
      </w:r>
      <w:r w:rsidR="007B366E" w:rsidRPr="00D43C76">
        <w:rPr>
          <w:rStyle w:val="FootnoteReference"/>
          <w:sz w:val="18"/>
          <w:lang w:val="es-ES_tradnl"/>
        </w:rPr>
        <w:footnoteReference w:id="3"/>
      </w:r>
      <w:r w:rsidR="000253EF" w:rsidRPr="00D43C76">
        <w:rPr>
          <w:rFonts w:ascii="Cambria" w:hAnsi="Cambria"/>
          <w:lang w:val="es-ES_tradnl"/>
        </w:rPr>
        <w:t xml:space="preserve"> (</w:t>
      </w:r>
      <w:r w:rsidR="00F0246A" w:rsidRPr="00D43C76">
        <w:rPr>
          <w:rFonts w:ascii="Cambria" w:hAnsi="Cambria"/>
          <w:lang w:val="es-ES_tradnl"/>
        </w:rPr>
        <w:t>“</w:t>
      </w:r>
      <w:r w:rsidR="00A365FB" w:rsidRPr="00D43C76">
        <w:rPr>
          <w:rFonts w:ascii="Cambria" w:hAnsi="Cambria"/>
          <w:lang w:val="es-ES_tradnl"/>
        </w:rPr>
        <w:t>el Estado</w:t>
      </w:r>
      <w:r w:rsidR="000253EF" w:rsidRPr="00D43C76">
        <w:rPr>
          <w:rFonts w:ascii="Cambria" w:hAnsi="Cambria"/>
          <w:lang w:val="es-ES_tradnl"/>
        </w:rPr>
        <w:t xml:space="preserve">” o “Jamaica”) </w:t>
      </w:r>
      <w:r w:rsidRPr="00D43C76">
        <w:rPr>
          <w:rFonts w:ascii="Cambria" w:hAnsi="Cambria"/>
          <w:lang w:val="es-ES_tradnl"/>
        </w:rPr>
        <w:t>por la violación de varios derechos de</w:t>
      </w:r>
      <w:r w:rsidR="00063DD8" w:rsidRPr="00D43C76">
        <w:rPr>
          <w:rFonts w:ascii="Cambria" w:hAnsi="Cambria"/>
          <w:lang w:val="es-ES_tradnl"/>
        </w:rPr>
        <w:t xml:space="preserve"> </w:t>
      </w:r>
      <w:r w:rsidRPr="00D43C76">
        <w:rPr>
          <w:rFonts w:ascii="Cambria" w:hAnsi="Cambria"/>
          <w:lang w:val="es-ES_tradnl"/>
        </w:rPr>
        <w:t>T. B. y</w:t>
      </w:r>
      <w:r w:rsidR="00237F27" w:rsidRPr="00D43C76">
        <w:rPr>
          <w:rFonts w:ascii="Cambria" w:hAnsi="Cambria"/>
          <w:lang w:val="es-ES_tradnl"/>
        </w:rPr>
        <w:t xml:space="preserve"> </w:t>
      </w:r>
      <w:r w:rsidRPr="00D43C76">
        <w:rPr>
          <w:rFonts w:ascii="Cambria" w:hAnsi="Cambria"/>
          <w:lang w:val="es-ES_tradnl"/>
        </w:rPr>
        <w:t>S. H. como consecuencia de las leyes que tipifican como delito las relaciones sexuales consensuales entre adultos del mismo sexo y crean un contexto adverso para las personas LGBTI</w:t>
      </w:r>
      <w:r w:rsidR="009A3B62" w:rsidRPr="00D43C76">
        <w:rPr>
          <w:rFonts w:ascii="Cambria" w:hAnsi="Cambria"/>
          <w:lang w:val="es-ES_tradnl"/>
        </w:rPr>
        <w:t xml:space="preserve">. </w:t>
      </w:r>
    </w:p>
    <w:p w14:paraId="4DBD64BB" w14:textId="77777777" w:rsidR="00237F27" w:rsidRPr="00D43C76" w:rsidRDefault="00237F27" w:rsidP="00237F27">
      <w:pPr>
        <w:pStyle w:val="parrafos"/>
        <w:tabs>
          <w:tab w:val="left" w:pos="720"/>
        </w:tabs>
        <w:rPr>
          <w:rFonts w:ascii="Cambria" w:hAnsi="Cambria"/>
          <w:lang w:val="es-ES_tradnl"/>
        </w:rPr>
      </w:pPr>
    </w:p>
    <w:p w14:paraId="75CE3A83" w14:textId="77777777" w:rsidR="0091522F" w:rsidRPr="00D43C76" w:rsidRDefault="007E65FB" w:rsidP="000C29E2">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w:t>
      </w:r>
      <w:r w:rsidR="0091522F" w:rsidRPr="00D43C76">
        <w:rPr>
          <w:rFonts w:ascii="Cambria" w:hAnsi="Cambria"/>
          <w:lang w:val="es-ES_tradnl"/>
        </w:rPr>
        <w:t>21</w:t>
      </w:r>
      <w:r w:rsidRPr="00D43C76">
        <w:rPr>
          <w:rFonts w:ascii="Cambria" w:hAnsi="Cambria"/>
          <w:lang w:val="es-ES_tradnl"/>
        </w:rPr>
        <w:t xml:space="preserve"> de septiembre de</w:t>
      </w:r>
      <w:r w:rsidR="0091522F" w:rsidRPr="00D43C76">
        <w:rPr>
          <w:rFonts w:ascii="Cambria" w:hAnsi="Cambria"/>
          <w:lang w:val="es-ES_tradnl"/>
        </w:rPr>
        <w:t xml:space="preserve"> 2011, </w:t>
      </w:r>
      <w:r w:rsidR="00A365FB" w:rsidRPr="00D43C76">
        <w:rPr>
          <w:rFonts w:ascii="Cambria" w:hAnsi="Cambria"/>
          <w:lang w:val="es-ES_tradnl"/>
        </w:rPr>
        <w:t>la CIDH</w:t>
      </w:r>
      <w:r w:rsidR="0091522F" w:rsidRPr="00D43C76">
        <w:rPr>
          <w:rFonts w:ascii="Cambria" w:hAnsi="Cambria"/>
          <w:lang w:val="es-ES_tradnl"/>
        </w:rPr>
        <w:t xml:space="preserve"> </w:t>
      </w:r>
      <w:r w:rsidR="0098382E" w:rsidRPr="00D43C76">
        <w:rPr>
          <w:rFonts w:ascii="Cambria" w:hAnsi="Cambria"/>
          <w:lang w:val="es-ES_tradnl"/>
        </w:rPr>
        <w:t xml:space="preserve">otorgó medidas cautelares para proteger a </w:t>
      </w:r>
      <w:r w:rsidRPr="00D43C76">
        <w:rPr>
          <w:rFonts w:ascii="Cambria" w:hAnsi="Cambria"/>
          <w:lang w:val="es-ES_tradnl"/>
        </w:rPr>
        <w:t xml:space="preserve">T. B. </w:t>
      </w:r>
      <w:r w:rsidR="00DE6BE1" w:rsidRPr="00D43C76">
        <w:rPr>
          <w:rFonts w:ascii="Cambria" w:hAnsi="Cambria"/>
          <w:lang w:val="es-ES_tradnl"/>
        </w:rPr>
        <w:t>y</w:t>
      </w:r>
      <w:r w:rsidR="00C9008C" w:rsidRPr="00D43C76">
        <w:rPr>
          <w:rFonts w:ascii="Cambria" w:hAnsi="Cambria"/>
          <w:lang w:val="es-ES_tradnl"/>
        </w:rPr>
        <w:t xml:space="preserve"> </w:t>
      </w:r>
      <w:r w:rsidRPr="00D43C76">
        <w:rPr>
          <w:rFonts w:ascii="Cambria" w:hAnsi="Cambria"/>
          <w:lang w:val="es-ES_tradnl"/>
        </w:rPr>
        <w:t>S. H.</w:t>
      </w:r>
      <w:r w:rsidR="00C9008C" w:rsidRPr="00D43C76">
        <w:rPr>
          <w:rFonts w:ascii="Cambria" w:hAnsi="Cambria"/>
          <w:lang w:val="es-ES_tradnl"/>
        </w:rPr>
        <w:t xml:space="preserve"> </w:t>
      </w:r>
      <w:r w:rsidR="0098382E" w:rsidRPr="00D43C76">
        <w:rPr>
          <w:rFonts w:ascii="Cambria" w:hAnsi="Cambria"/>
          <w:lang w:val="es-ES_tradnl"/>
        </w:rPr>
        <w:t xml:space="preserve">y pidió al </w:t>
      </w:r>
      <w:r w:rsidR="00A365FB" w:rsidRPr="00D43C76">
        <w:rPr>
          <w:rFonts w:ascii="Cambria" w:hAnsi="Cambria"/>
          <w:lang w:val="es-ES_tradnl"/>
        </w:rPr>
        <w:t>Estado</w:t>
      </w:r>
      <w:r w:rsidR="00C9008C" w:rsidRPr="00D43C76">
        <w:rPr>
          <w:rFonts w:ascii="Cambria" w:hAnsi="Cambria"/>
          <w:lang w:val="es-ES_tradnl"/>
        </w:rPr>
        <w:t xml:space="preserve"> </w:t>
      </w:r>
      <w:r w:rsidR="0098382E" w:rsidRPr="00D43C76">
        <w:rPr>
          <w:rFonts w:ascii="Cambria" w:hAnsi="Cambria"/>
          <w:lang w:val="es-ES_tradnl"/>
        </w:rPr>
        <w:t>jamaiquino que tomara las medidas necesarias para preservar la vida y la integridad</w:t>
      </w:r>
      <w:r w:rsidR="00172419" w:rsidRPr="00D43C76">
        <w:rPr>
          <w:rFonts w:ascii="Cambria" w:hAnsi="Cambria"/>
          <w:lang w:val="es-ES_tradnl"/>
        </w:rPr>
        <w:t xml:space="preserve"> personal </w:t>
      </w:r>
      <w:r w:rsidR="00D61759" w:rsidRPr="00D43C76">
        <w:rPr>
          <w:rFonts w:ascii="Cambria" w:hAnsi="Cambria"/>
          <w:lang w:val="es-ES_tradnl"/>
        </w:rPr>
        <w:t xml:space="preserve">de ambas personas. </w:t>
      </w:r>
      <w:r w:rsidR="0098382E" w:rsidRPr="00D43C76">
        <w:rPr>
          <w:rFonts w:ascii="Cambria" w:hAnsi="Cambria"/>
          <w:lang w:val="es-ES_tradnl"/>
        </w:rPr>
        <w:t xml:space="preserve">En la solicitud señaló que ambas habían sufrido agresiones, ataques, amenazas y acoso debido a su </w:t>
      </w:r>
      <w:r w:rsidR="00851B40" w:rsidRPr="00D43C76">
        <w:rPr>
          <w:rFonts w:ascii="Cambria" w:hAnsi="Cambria"/>
          <w:lang w:val="es-ES_tradnl"/>
        </w:rPr>
        <w:t>orientación sexual</w:t>
      </w:r>
      <w:r w:rsidR="00296D6B" w:rsidRPr="00D43C76">
        <w:rPr>
          <w:rStyle w:val="FootnoteReference"/>
          <w:rFonts w:ascii="Cambria" w:hAnsi="Cambria"/>
          <w:lang w:val="es-ES_tradnl"/>
        </w:rPr>
        <w:footnoteReference w:id="4"/>
      </w:r>
      <w:r w:rsidR="0098382E" w:rsidRPr="00D43C76">
        <w:rPr>
          <w:rFonts w:ascii="Cambria" w:hAnsi="Cambria"/>
          <w:lang w:val="es-ES_tradnl"/>
        </w:rPr>
        <w:t>.</w:t>
      </w:r>
      <w:r w:rsidR="00C9008C" w:rsidRPr="00D43C76">
        <w:rPr>
          <w:rFonts w:ascii="Cambria" w:hAnsi="Cambria"/>
          <w:lang w:val="es-ES_tradnl"/>
        </w:rPr>
        <w:t xml:space="preserve"> </w:t>
      </w:r>
    </w:p>
    <w:p w14:paraId="03A7B8F7" w14:textId="77777777" w:rsidR="0091522F" w:rsidRPr="00D43C76" w:rsidRDefault="0091522F" w:rsidP="0091522F">
      <w:pPr>
        <w:pStyle w:val="ListParagraph"/>
        <w:rPr>
          <w:lang w:val="es-ES_tradnl"/>
        </w:rPr>
      </w:pPr>
    </w:p>
    <w:p w14:paraId="546F9B7E" w14:textId="77777777" w:rsidR="00972740" w:rsidRPr="00D43C76" w:rsidRDefault="00DE6BE1" w:rsidP="00C64B19">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w:t>
      </w:r>
      <w:r w:rsidR="00A42747" w:rsidRPr="00D43C76">
        <w:rPr>
          <w:rFonts w:ascii="Cambria" w:hAnsi="Cambria"/>
          <w:lang w:val="es-ES_tradnl"/>
        </w:rPr>
        <w:t>6</w:t>
      </w:r>
      <w:r w:rsidRPr="00D43C76">
        <w:rPr>
          <w:rFonts w:ascii="Cambria" w:hAnsi="Cambria"/>
          <w:lang w:val="es-ES_tradnl"/>
        </w:rPr>
        <w:t xml:space="preserve"> de junio de</w:t>
      </w:r>
      <w:r w:rsidR="00A42747" w:rsidRPr="00D43C76">
        <w:rPr>
          <w:rFonts w:ascii="Cambria" w:hAnsi="Cambria"/>
          <w:lang w:val="es-ES_tradnl"/>
        </w:rPr>
        <w:t xml:space="preserve"> 2017</w:t>
      </w:r>
      <w:r w:rsidR="0098382E" w:rsidRPr="00D43C76">
        <w:rPr>
          <w:rFonts w:ascii="Cambria" w:hAnsi="Cambria"/>
          <w:lang w:val="es-ES_tradnl"/>
        </w:rPr>
        <w:t>,</w:t>
      </w:r>
      <w:r w:rsidR="00A42747" w:rsidRPr="00D43C76">
        <w:rPr>
          <w:rFonts w:ascii="Cambria" w:hAnsi="Cambria"/>
          <w:lang w:val="es-ES_tradnl"/>
        </w:rPr>
        <w:t xml:space="preserve"> </w:t>
      </w:r>
      <w:r w:rsidR="00A365FB" w:rsidRPr="00D43C76">
        <w:rPr>
          <w:rFonts w:ascii="Cambria" w:hAnsi="Cambria"/>
          <w:lang w:val="es-ES_tradnl"/>
        </w:rPr>
        <w:t>la CIDH</w:t>
      </w:r>
      <w:r w:rsidR="00A42747" w:rsidRPr="00D43C76">
        <w:rPr>
          <w:rFonts w:ascii="Cambria" w:hAnsi="Cambria"/>
          <w:lang w:val="es-ES_tradnl"/>
        </w:rPr>
        <w:t xml:space="preserve"> inform</w:t>
      </w:r>
      <w:r w:rsidR="0098382E" w:rsidRPr="00D43C76">
        <w:rPr>
          <w:rFonts w:ascii="Cambria" w:hAnsi="Cambria"/>
          <w:lang w:val="es-ES_tradnl"/>
        </w:rPr>
        <w:t>ó a las partes que, de acuerdo con su resolución</w:t>
      </w:r>
      <w:r w:rsidR="00A42747" w:rsidRPr="00D43C76">
        <w:rPr>
          <w:rFonts w:ascii="Cambria" w:hAnsi="Cambria"/>
          <w:lang w:val="es-ES_tradnl"/>
        </w:rPr>
        <w:t xml:space="preserve"> 1/16 </w:t>
      </w:r>
      <w:r w:rsidR="0098382E" w:rsidRPr="00D43C76">
        <w:rPr>
          <w:rFonts w:ascii="Cambria" w:hAnsi="Cambria"/>
          <w:lang w:val="es-ES_tradnl"/>
        </w:rPr>
        <w:t xml:space="preserve">sobre medidas para reducir el atraso procesal, había decidido aplicar el artículo </w:t>
      </w:r>
      <w:r w:rsidR="00A42747" w:rsidRPr="00D43C76">
        <w:rPr>
          <w:rFonts w:ascii="Cambria" w:hAnsi="Cambria"/>
          <w:lang w:val="es-ES_tradnl"/>
        </w:rPr>
        <w:t xml:space="preserve">36.3 </w:t>
      </w:r>
      <w:r w:rsidR="0098382E" w:rsidRPr="00D43C76">
        <w:rPr>
          <w:rFonts w:ascii="Cambria" w:hAnsi="Cambria"/>
          <w:lang w:val="es-ES_tradnl"/>
        </w:rPr>
        <w:t xml:space="preserve">del Reglamento y diferir el análisis de </w:t>
      </w:r>
      <w:r w:rsidR="00851B40" w:rsidRPr="00D43C76">
        <w:rPr>
          <w:rFonts w:ascii="Cambria" w:hAnsi="Cambria"/>
          <w:lang w:val="es-ES_tradnl"/>
        </w:rPr>
        <w:t>admisibilidad</w:t>
      </w:r>
      <w:r w:rsidR="00A42747" w:rsidRPr="00D43C76">
        <w:rPr>
          <w:rFonts w:ascii="Cambria" w:hAnsi="Cambria"/>
          <w:lang w:val="es-ES_tradnl"/>
        </w:rPr>
        <w:t xml:space="preserve"> </w:t>
      </w:r>
      <w:r w:rsidR="0098382E" w:rsidRPr="00D43C76">
        <w:rPr>
          <w:rFonts w:ascii="Cambria" w:hAnsi="Cambria"/>
          <w:lang w:val="es-ES_tradnl"/>
        </w:rPr>
        <w:t xml:space="preserve">hasta el debate y la decisión sobre el fondo. Además, </w:t>
      </w:r>
      <w:r w:rsidR="00A365FB" w:rsidRPr="00D43C76">
        <w:rPr>
          <w:rFonts w:ascii="Cambria" w:hAnsi="Cambria"/>
          <w:lang w:val="es-ES_tradnl"/>
        </w:rPr>
        <w:t>la CIDH</w:t>
      </w:r>
      <w:r w:rsidR="000C29E2" w:rsidRPr="00D43C76">
        <w:rPr>
          <w:rFonts w:ascii="Cambria" w:hAnsi="Cambria"/>
          <w:lang w:val="es-ES_tradnl"/>
        </w:rPr>
        <w:t xml:space="preserve"> </w:t>
      </w:r>
      <w:r w:rsidRPr="00D43C76">
        <w:rPr>
          <w:rFonts w:ascii="Cambria" w:hAnsi="Cambria"/>
          <w:lang w:val="es-ES_tradnl"/>
        </w:rPr>
        <w:t xml:space="preserve">se puso a </w:t>
      </w:r>
      <w:r w:rsidR="000C29E2" w:rsidRPr="00D43C76">
        <w:rPr>
          <w:rFonts w:ascii="Cambria" w:hAnsi="Cambria"/>
          <w:lang w:val="es-ES_tradnl"/>
        </w:rPr>
        <w:t>dis</w:t>
      </w:r>
      <w:r w:rsidR="00A365FB" w:rsidRPr="00D43C76">
        <w:rPr>
          <w:rFonts w:ascii="Cambria" w:hAnsi="Cambria"/>
          <w:lang w:val="es-ES_tradnl"/>
        </w:rPr>
        <w:t>posición de las partes</w:t>
      </w:r>
      <w:r w:rsidR="000C29E2" w:rsidRPr="00D43C76">
        <w:rPr>
          <w:rFonts w:ascii="Cambria" w:hAnsi="Cambria"/>
          <w:lang w:val="es-ES_tradnl"/>
        </w:rPr>
        <w:t xml:space="preserve"> </w:t>
      </w:r>
      <w:r w:rsidRPr="00D43C76">
        <w:rPr>
          <w:rFonts w:ascii="Cambria" w:hAnsi="Cambria"/>
          <w:bCs/>
          <w:lang w:val="es-ES_tradnl"/>
        </w:rPr>
        <w:t>para llegar a una solución amistosa</w:t>
      </w:r>
      <w:r w:rsidRPr="00D43C76">
        <w:rPr>
          <w:rFonts w:ascii="Cambria" w:hAnsi="Cambria"/>
          <w:lang w:val="es-ES_tradnl"/>
        </w:rPr>
        <w:t xml:space="preserve">, </w:t>
      </w:r>
      <w:r w:rsidR="00D61759" w:rsidRPr="00D43C76">
        <w:rPr>
          <w:rFonts w:ascii="Cambria" w:hAnsi="Cambria"/>
          <w:lang w:val="es-ES_tradnl"/>
        </w:rPr>
        <w:t>sin embargo no fue posible alcanzar un acuerdo</w:t>
      </w:r>
      <w:r w:rsidR="000C29E2" w:rsidRPr="00D43C76">
        <w:rPr>
          <w:rStyle w:val="FootnoteReference"/>
          <w:rFonts w:ascii="Cambria" w:hAnsi="Cambria"/>
          <w:lang w:val="es-ES_tradnl"/>
        </w:rPr>
        <w:footnoteReference w:id="5"/>
      </w:r>
      <w:r w:rsidRPr="00D43C76">
        <w:rPr>
          <w:rFonts w:ascii="Cambria" w:hAnsi="Cambria"/>
          <w:lang w:val="es-ES_tradnl"/>
        </w:rPr>
        <w:t xml:space="preserve">. </w:t>
      </w:r>
      <w:r w:rsidRPr="00D43C76">
        <w:rPr>
          <w:rFonts w:ascii="Cambria" w:eastAsia="Cambria" w:hAnsi="Cambria" w:cs="Cambria"/>
          <w:bCs/>
          <w:lang w:val="es-ES_tradnl"/>
        </w:rPr>
        <w:t>Las partes contaron con los plazos dispuestos en el Reglamento de la CIDH para presentar observaciones adicionales sobre el fondo</w:t>
      </w:r>
      <w:r w:rsidRPr="00D43C76">
        <w:rPr>
          <w:rFonts w:ascii="Cambria" w:eastAsia="Cambria" w:hAnsi="Cambria" w:cs="Cambria"/>
          <w:lang w:val="es-ES_tradnl"/>
        </w:rPr>
        <w:t xml:space="preserve">. </w:t>
      </w:r>
      <w:r w:rsidRPr="00D43C76">
        <w:rPr>
          <w:rFonts w:ascii="Cambria" w:eastAsia="Cambria" w:hAnsi="Cambria" w:cs="Cambria"/>
          <w:bCs/>
          <w:lang w:val="es-ES_tradnl"/>
        </w:rPr>
        <w:t>Toda la información recibida por la Comisión fue transmitida debidamente a las partes</w:t>
      </w:r>
      <w:r w:rsidR="004C1D25" w:rsidRPr="00D43C76">
        <w:rPr>
          <w:rFonts w:ascii="Cambria" w:eastAsia="Cambria" w:hAnsi="Cambria" w:cs="Cambria"/>
          <w:lang w:val="es-ES_tradnl"/>
        </w:rPr>
        <w:t xml:space="preserve">. </w:t>
      </w:r>
      <w:r w:rsidR="0098382E" w:rsidRPr="00D43C76">
        <w:rPr>
          <w:rFonts w:ascii="Cambria" w:eastAsia="Cambria" w:hAnsi="Cambria" w:cs="Cambria"/>
          <w:lang w:val="es-ES_tradnl"/>
        </w:rPr>
        <w:t xml:space="preserve">El </w:t>
      </w:r>
      <w:r w:rsidR="00351660" w:rsidRPr="00D43C76">
        <w:rPr>
          <w:rFonts w:ascii="Cambria" w:hAnsi="Cambria"/>
          <w:lang w:val="es-ES_tradnl"/>
        </w:rPr>
        <w:t>11</w:t>
      </w:r>
      <w:r w:rsidR="0098382E" w:rsidRPr="00D43C76">
        <w:rPr>
          <w:rFonts w:ascii="Cambria" w:hAnsi="Cambria"/>
          <w:lang w:val="es-ES_tradnl"/>
        </w:rPr>
        <w:t xml:space="preserve"> de noviembre de</w:t>
      </w:r>
      <w:r w:rsidR="00351660" w:rsidRPr="00D43C76">
        <w:rPr>
          <w:rFonts w:ascii="Cambria" w:hAnsi="Cambria"/>
          <w:lang w:val="es-ES_tradnl"/>
        </w:rPr>
        <w:t xml:space="preserve"> 2019</w:t>
      </w:r>
      <w:r w:rsidR="0098382E" w:rsidRPr="00D43C76">
        <w:rPr>
          <w:rFonts w:ascii="Cambria" w:hAnsi="Cambria"/>
          <w:lang w:val="es-ES_tradnl"/>
        </w:rPr>
        <w:t>,</w:t>
      </w:r>
      <w:r w:rsidR="00972740" w:rsidRPr="00D43C76">
        <w:rPr>
          <w:rFonts w:ascii="Cambria" w:hAnsi="Cambria"/>
          <w:lang w:val="es-ES_tradnl"/>
        </w:rPr>
        <w:t xml:space="preserve"> </w:t>
      </w:r>
      <w:r w:rsidR="00A365FB" w:rsidRPr="00D43C76">
        <w:rPr>
          <w:rFonts w:ascii="Cambria" w:hAnsi="Cambria"/>
          <w:lang w:val="es-ES_tradnl"/>
        </w:rPr>
        <w:t>la Comisión</w:t>
      </w:r>
      <w:r w:rsidR="00972740" w:rsidRPr="00D43C76">
        <w:rPr>
          <w:rFonts w:ascii="Cambria" w:hAnsi="Cambria"/>
          <w:lang w:val="es-ES_tradnl"/>
        </w:rPr>
        <w:t xml:space="preserve"> </w:t>
      </w:r>
      <w:r w:rsidR="0098382E" w:rsidRPr="00D43C76">
        <w:rPr>
          <w:rFonts w:ascii="Cambria" w:hAnsi="Cambria"/>
          <w:lang w:val="es-ES_tradnl"/>
        </w:rPr>
        <w:t xml:space="preserve">realizó una audiencia pública sobre el caso durante su </w:t>
      </w:r>
      <w:r w:rsidR="00C64B19" w:rsidRPr="00D43C76">
        <w:rPr>
          <w:rFonts w:ascii="Cambria" w:hAnsi="Cambria"/>
          <w:lang w:val="es-ES_tradnl"/>
        </w:rPr>
        <w:t>174 per</w:t>
      </w:r>
      <w:r w:rsidR="0098382E" w:rsidRPr="00D43C76">
        <w:rPr>
          <w:rFonts w:ascii="Cambria" w:hAnsi="Cambria"/>
          <w:lang w:val="es-ES_tradnl"/>
        </w:rPr>
        <w:t>íodo de sesiones</w:t>
      </w:r>
      <w:r w:rsidR="00C64B19" w:rsidRPr="00D43C76">
        <w:rPr>
          <w:rStyle w:val="FootnoteReference"/>
          <w:rFonts w:ascii="Cambria" w:hAnsi="Cambria"/>
          <w:lang w:val="es-ES_tradnl"/>
        </w:rPr>
        <w:footnoteReference w:id="6"/>
      </w:r>
      <w:r w:rsidR="0098382E" w:rsidRPr="00D43C76">
        <w:rPr>
          <w:rFonts w:ascii="Cambria" w:hAnsi="Cambria"/>
          <w:lang w:val="es-ES_tradnl"/>
        </w:rPr>
        <w:t>.</w:t>
      </w:r>
      <w:r w:rsidR="00C64B19" w:rsidRPr="00D43C76">
        <w:rPr>
          <w:rFonts w:ascii="Cambria" w:hAnsi="Cambria"/>
          <w:lang w:val="es-ES_tradnl"/>
        </w:rPr>
        <w:t xml:space="preserve"> </w:t>
      </w:r>
    </w:p>
    <w:p w14:paraId="58AD20B7" w14:textId="77777777" w:rsidR="00DF0A97" w:rsidRPr="00D43C76" w:rsidRDefault="00DF0A97" w:rsidP="001F676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ES_tradnl"/>
        </w:rPr>
      </w:pPr>
    </w:p>
    <w:p w14:paraId="04CCF48F" w14:textId="77777777" w:rsidR="001C4006" w:rsidRPr="00D43C76" w:rsidRDefault="00A365FB" w:rsidP="00512224">
      <w:pPr>
        <w:pStyle w:val="Heading1"/>
        <w:spacing w:before="0"/>
        <w:ind w:left="360"/>
        <w:rPr>
          <w:color w:val="auto"/>
          <w:sz w:val="20"/>
          <w:szCs w:val="20"/>
          <w:lang w:val="es-ES_tradnl"/>
        </w:rPr>
      </w:pPr>
      <w:bookmarkStart w:id="1" w:name="_Toc58491228"/>
      <w:r w:rsidRPr="00D43C76">
        <w:rPr>
          <w:color w:val="auto"/>
          <w:sz w:val="20"/>
          <w:szCs w:val="20"/>
          <w:lang w:val="es-ES_tradnl"/>
        </w:rPr>
        <w:t>POSICIÓN DE LAS PARTES</w:t>
      </w:r>
      <w:bookmarkEnd w:id="1"/>
    </w:p>
    <w:p w14:paraId="45CED0E4" w14:textId="77777777" w:rsidR="001C4006" w:rsidRPr="00D43C76" w:rsidRDefault="001C4006" w:rsidP="00BB5A59">
      <w:pPr>
        <w:suppressAutoHyphens/>
        <w:ind w:left="1440" w:hanging="720"/>
        <w:rPr>
          <w:rFonts w:asciiTheme="majorHAnsi" w:hAnsiTheme="majorHAnsi"/>
          <w:sz w:val="20"/>
          <w:szCs w:val="20"/>
          <w:lang w:val="es-ES_tradnl"/>
        </w:rPr>
      </w:pPr>
    </w:p>
    <w:p w14:paraId="2A30847C" w14:textId="77777777" w:rsidR="005C164F" w:rsidRPr="00D43C76" w:rsidRDefault="005C164F" w:rsidP="006637A4">
      <w:pPr>
        <w:pStyle w:val="Heading2"/>
        <w:numPr>
          <w:ilvl w:val="0"/>
          <w:numId w:val="56"/>
        </w:numPr>
        <w:spacing w:before="0"/>
        <w:ind w:left="360"/>
        <w:rPr>
          <w:color w:val="auto"/>
          <w:sz w:val="20"/>
          <w:szCs w:val="20"/>
          <w:lang w:val="es-ES_tradnl"/>
        </w:rPr>
      </w:pPr>
      <w:bookmarkStart w:id="2" w:name="_Toc58491229"/>
      <w:r w:rsidRPr="00D43C76">
        <w:rPr>
          <w:color w:val="auto"/>
          <w:sz w:val="20"/>
          <w:szCs w:val="20"/>
          <w:lang w:val="es-ES_tradnl"/>
        </w:rPr>
        <w:t>P</w:t>
      </w:r>
      <w:r w:rsidR="00A365FB" w:rsidRPr="00D43C76">
        <w:rPr>
          <w:color w:val="auto"/>
          <w:sz w:val="20"/>
          <w:szCs w:val="20"/>
          <w:lang w:val="es-ES_tradnl"/>
        </w:rPr>
        <w:t xml:space="preserve">osición </w:t>
      </w:r>
      <w:r w:rsidR="00BD169F" w:rsidRPr="00D43C76">
        <w:rPr>
          <w:color w:val="auto"/>
          <w:sz w:val="20"/>
          <w:szCs w:val="20"/>
          <w:lang w:val="es-ES_tradnl"/>
        </w:rPr>
        <w:t>de la</w:t>
      </w:r>
      <w:r w:rsidR="00D61759" w:rsidRPr="00D43C76">
        <w:rPr>
          <w:color w:val="auto"/>
          <w:sz w:val="20"/>
          <w:szCs w:val="20"/>
          <w:lang w:val="es-ES_tradnl"/>
        </w:rPr>
        <w:t xml:space="preserve"> parte</w:t>
      </w:r>
      <w:r w:rsidR="00BD169F" w:rsidRPr="00D43C76">
        <w:rPr>
          <w:color w:val="auto"/>
          <w:sz w:val="20"/>
          <w:szCs w:val="20"/>
          <w:lang w:val="es-ES_tradnl"/>
        </w:rPr>
        <w:t xml:space="preserve"> peticionaria</w:t>
      </w:r>
      <w:bookmarkEnd w:id="2"/>
    </w:p>
    <w:p w14:paraId="225751BB" w14:textId="77777777" w:rsidR="00BB0A79" w:rsidRPr="00D43C76" w:rsidRDefault="00BB0A79" w:rsidP="00BB0A79">
      <w:pPr>
        <w:pStyle w:val="parrafos"/>
        <w:tabs>
          <w:tab w:val="left" w:pos="720"/>
        </w:tabs>
        <w:rPr>
          <w:lang w:val="es-ES_tradnl"/>
        </w:rPr>
      </w:pPr>
    </w:p>
    <w:p w14:paraId="0AE72DC2" w14:textId="77777777" w:rsidR="00BB0A79" w:rsidRPr="00D43C76" w:rsidRDefault="00BD169F" w:rsidP="001B180A">
      <w:pPr>
        <w:pStyle w:val="parrafos"/>
        <w:numPr>
          <w:ilvl w:val="0"/>
          <w:numId w:val="57"/>
        </w:numPr>
        <w:tabs>
          <w:tab w:val="clear" w:pos="1080"/>
          <w:tab w:val="left" w:pos="720"/>
        </w:tabs>
        <w:ind w:left="0" w:firstLine="0"/>
        <w:rPr>
          <w:lang w:val="es-ES_tradnl"/>
        </w:rPr>
      </w:pPr>
      <w:r w:rsidRPr="00D43C76">
        <w:rPr>
          <w:lang w:val="es-ES_tradnl"/>
        </w:rPr>
        <w:t xml:space="preserve">La </w:t>
      </w:r>
      <w:r w:rsidR="00D61759" w:rsidRPr="00D43C76">
        <w:rPr>
          <w:lang w:val="es-ES_tradnl"/>
        </w:rPr>
        <w:t xml:space="preserve">parte </w:t>
      </w:r>
      <w:r w:rsidRPr="00D43C76">
        <w:rPr>
          <w:lang w:val="es-ES_tradnl"/>
        </w:rPr>
        <w:t>peticionaria</w:t>
      </w:r>
      <w:r w:rsidR="00914A98" w:rsidRPr="00D43C76">
        <w:rPr>
          <w:lang w:val="es-ES_tradnl"/>
        </w:rPr>
        <w:t xml:space="preserve"> a</w:t>
      </w:r>
      <w:r w:rsidR="00B905BE" w:rsidRPr="00D43C76">
        <w:rPr>
          <w:lang w:val="es-ES_tradnl"/>
        </w:rPr>
        <w:t xml:space="preserve">firma que </w:t>
      </w:r>
      <w:r w:rsidR="007E65FB" w:rsidRPr="00D43C76">
        <w:rPr>
          <w:lang w:val="es-ES_tradnl"/>
        </w:rPr>
        <w:t xml:space="preserve">T. B. </w:t>
      </w:r>
      <w:r w:rsidR="00B905BE" w:rsidRPr="00D43C76">
        <w:rPr>
          <w:lang w:val="es-ES_tradnl"/>
        </w:rPr>
        <w:t>y</w:t>
      </w:r>
      <w:r w:rsidR="00914A98" w:rsidRPr="00D43C76">
        <w:rPr>
          <w:lang w:val="es-ES_tradnl"/>
        </w:rPr>
        <w:t xml:space="preserve"> </w:t>
      </w:r>
      <w:r w:rsidR="007E65FB" w:rsidRPr="00D43C76">
        <w:rPr>
          <w:lang w:val="es-ES_tradnl"/>
        </w:rPr>
        <w:t xml:space="preserve">S. H. </w:t>
      </w:r>
      <w:r w:rsidR="00914A98" w:rsidRPr="00D43C76">
        <w:rPr>
          <w:lang w:val="es-ES_tradnl"/>
        </w:rPr>
        <w:t>ha</w:t>
      </w:r>
      <w:r w:rsidR="00B905BE" w:rsidRPr="00D43C76">
        <w:rPr>
          <w:lang w:val="es-ES_tradnl"/>
        </w:rPr>
        <w:t xml:space="preserve">n sido víctimas de varios ataques como consecuencia de su </w:t>
      </w:r>
      <w:r w:rsidR="00851B40" w:rsidRPr="00D43C76">
        <w:rPr>
          <w:lang w:val="es-ES_tradnl"/>
        </w:rPr>
        <w:t>orientación sexual</w:t>
      </w:r>
      <w:r w:rsidR="00914A98" w:rsidRPr="00D43C76">
        <w:rPr>
          <w:lang w:val="es-ES_tradnl"/>
        </w:rPr>
        <w:t xml:space="preserve"> o</w:t>
      </w:r>
      <w:r w:rsidR="00B905BE" w:rsidRPr="00D43C76">
        <w:rPr>
          <w:lang w:val="es-ES_tradnl"/>
        </w:rPr>
        <w:t xml:space="preserve"> su identidad de género</w:t>
      </w:r>
      <w:r w:rsidR="00914A98" w:rsidRPr="00D43C76">
        <w:rPr>
          <w:lang w:val="es-ES_tradnl"/>
        </w:rPr>
        <w:t xml:space="preserve">. </w:t>
      </w:r>
      <w:r w:rsidR="00B905BE" w:rsidRPr="00D43C76">
        <w:rPr>
          <w:lang w:val="es-ES_tradnl"/>
        </w:rPr>
        <w:t xml:space="preserve">Señala que dichos ataques han sido motivados por la existencia de la </w:t>
      </w:r>
      <w:r w:rsidR="005A4C18" w:rsidRPr="00D43C76">
        <w:rPr>
          <w:lang w:val="es-ES_tradnl"/>
        </w:rPr>
        <w:t>Ley de Delitos contra la Persona</w:t>
      </w:r>
      <w:r w:rsidRPr="00D43C76">
        <w:rPr>
          <w:lang w:val="es-ES_tradnl"/>
        </w:rPr>
        <w:t xml:space="preserve"> de </w:t>
      </w:r>
      <w:r w:rsidR="00914A98" w:rsidRPr="00D43C76">
        <w:rPr>
          <w:lang w:val="es-ES_tradnl"/>
        </w:rPr>
        <w:t>1864</w:t>
      </w:r>
      <w:r w:rsidR="00C338E4" w:rsidRPr="00D43C76">
        <w:rPr>
          <w:lang w:val="es-ES_tradnl"/>
        </w:rPr>
        <w:t xml:space="preserve"> (</w:t>
      </w:r>
      <w:r w:rsidR="00DE6BE1" w:rsidRPr="00D43C76">
        <w:rPr>
          <w:lang w:val="es-ES_tradnl"/>
        </w:rPr>
        <w:t xml:space="preserve">también conocida como </w:t>
      </w:r>
      <w:r w:rsidR="00C338E4" w:rsidRPr="00D43C76">
        <w:rPr>
          <w:lang w:val="es-ES_tradnl"/>
        </w:rPr>
        <w:t xml:space="preserve">“OAPA” </w:t>
      </w:r>
      <w:r w:rsidR="00D61759" w:rsidRPr="00D43C76">
        <w:rPr>
          <w:lang w:val="es-ES_tradnl"/>
        </w:rPr>
        <w:t>o</w:t>
      </w:r>
      <w:r w:rsidR="00C338E4" w:rsidRPr="00D43C76">
        <w:rPr>
          <w:lang w:val="es-ES_tradnl"/>
        </w:rPr>
        <w:t xml:space="preserve"> “</w:t>
      </w:r>
      <w:r w:rsidR="00D61759" w:rsidRPr="00D43C76">
        <w:rPr>
          <w:lang w:val="es-ES_tradnl"/>
        </w:rPr>
        <w:t>ley</w:t>
      </w:r>
      <w:r w:rsidR="00DE6BE1" w:rsidRPr="00D43C76">
        <w:rPr>
          <w:lang w:val="es-ES_tradnl"/>
        </w:rPr>
        <w:t xml:space="preserve"> de sodomía</w:t>
      </w:r>
      <w:r w:rsidR="00C338E4" w:rsidRPr="00D43C76">
        <w:rPr>
          <w:lang w:val="es-ES_tradnl"/>
        </w:rPr>
        <w:t>”)</w:t>
      </w:r>
      <w:r w:rsidR="00B905BE" w:rsidRPr="00D43C76">
        <w:rPr>
          <w:lang w:val="es-ES_tradnl"/>
        </w:rPr>
        <w:t>, en la cual se tipifican como delito</w:t>
      </w:r>
      <w:r w:rsidR="001044C8" w:rsidRPr="00D43C76">
        <w:rPr>
          <w:lang w:val="es-ES_tradnl"/>
        </w:rPr>
        <w:t xml:space="preserve">s </w:t>
      </w:r>
      <w:r w:rsidR="00B905BE" w:rsidRPr="00D43C76">
        <w:rPr>
          <w:lang w:val="es-ES_tradnl"/>
        </w:rPr>
        <w:t>la sodomía</w:t>
      </w:r>
      <w:r w:rsidR="00DC4FD5" w:rsidRPr="00D43C76">
        <w:rPr>
          <w:lang w:val="es-ES_tradnl"/>
        </w:rPr>
        <w:t xml:space="preserve"> —</w:t>
      </w:r>
      <w:r w:rsidR="00B905BE" w:rsidRPr="00D43C76">
        <w:rPr>
          <w:lang w:val="es-ES_tradnl"/>
        </w:rPr>
        <w:t>es decir, las relaciones sexuales anales</w:t>
      </w:r>
      <w:r w:rsidR="00DC4FD5" w:rsidRPr="00D43C76">
        <w:rPr>
          <w:lang w:val="es-ES_tradnl"/>
        </w:rPr>
        <w:t>—</w:t>
      </w:r>
      <w:r w:rsidR="00B905BE" w:rsidRPr="00D43C76">
        <w:rPr>
          <w:lang w:val="es-ES_tradnl"/>
        </w:rPr>
        <w:t xml:space="preserve"> y los </w:t>
      </w:r>
      <w:r w:rsidR="00C338E4" w:rsidRPr="00D43C76">
        <w:rPr>
          <w:lang w:val="es-ES_tradnl"/>
        </w:rPr>
        <w:t>“</w:t>
      </w:r>
      <w:r w:rsidR="00DE6BE1" w:rsidRPr="00D43C76">
        <w:rPr>
          <w:lang w:val="es-ES_tradnl"/>
        </w:rPr>
        <w:t>delitos contra la moral pública</w:t>
      </w:r>
      <w:r w:rsidR="00C338E4" w:rsidRPr="00D43C76">
        <w:rPr>
          <w:lang w:val="es-ES_tradnl"/>
        </w:rPr>
        <w:t xml:space="preserve">” </w:t>
      </w:r>
      <w:r w:rsidR="00851B40" w:rsidRPr="00D43C76">
        <w:rPr>
          <w:lang w:val="es-ES_tradnl"/>
        </w:rPr>
        <w:t xml:space="preserve">entre hombres, en público o en privado, y se les aplica una pena máxima de diez años de cárcel. Agrega que las leyes de sodomía se usan para </w:t>
      </w:r>
      <w:r w:rsidR="00EA178D" w:rsidRPr="00D43C76">
        <w:rPr>
          <w:lang w:val="es-ES_tradnl"/>
        </w:rPr>
        <w:t xml:space="preserve">juzgar a las personas LGBTI y </w:t>
      </w:r>
      <w:r w:rsidR="00851B40" w:rsidRPr="00D43C76">
        <w:rPr>
          <w:lang w:val="es-ES_tradnl"/>
        </w:rPr>
        <w:t xml:space="preserve">legitimar la discriminación y la violencia </w:t>
      </w:r>
      <w:r w:rsidR="00326DB8" w:rsidRPr="00D43C76">
        <w:rPr>
          <w:lang w:val="es-ES_tradnl"/>
        </w:rPr>
        <w:t xml:space="preserve">perpetradas </w:t>
      </w:r>
      <w:r w:rsidR="00851B40" w:rsidRPr="00D43C76">
        <w:rPr>
          <w:lang w:val="es-ES_tradnl"/>
        </w:rPr>
        <w:t>contra</w:t>
      </w:r>
      <w:r w:rsidR="00EA178D" w:rsidRPr="00D43C76">
        <w:rPr>
          <w:lang w:val="es-ES_tradnl"/>
        </w:rPr>
        <w:t xml:space="preserve"> el</w:t>
      </w:r>
      <w:r w:rsidR="00851B40" w:rsidRPr="00D43C76">
        <w:rPr>
          <w:lang w:val="es-ES_tradnl"/>
        </w:rPr>
        <w:t xml:space="preserve">las </w:t>
      </w:r>
      <w:r w:rsidR="00EA178D" w:rsidRPr="00D43C76">
        <w:rPr>
          <w:lang w:val="es-ES_tradnl"/>
        </w:rPr>
        <w:t xml:space="preserve">debido a su </w:t>
      </w:r>
      <w:r w:rsidR="00851B40" w:rsidRPr="00D43C76">
        <w:rPr>
          <w:lang w:val="es-ES_tradnl"/>
        </w:rPr>
        <w:t xml:space="preserve">orientación sexual o </w:t>
      </w:r>
      <w:r w:rsidR="00326DB8" w:rsidRPr="00D43C76">
        <w:rPr>
          <w:lang w:val="es-ES_tradnl"/>
        </w:rPr>
        <w:t xml:space="preserve">su </w:t>
      </w:r>
      <w:r w:rsidR="00851B40" w:rsidRPr="00D43C76">
        <w:rPr>
          <w:lang w:val="es-ES_tradnl"/>
        </w:rPr>
        <w:t>identidad de género</w:t>
      </w:r>
      <w:r w:rsidR="00512224" w:rsidRPr="00D43C76">
        <w:rPr>
          <w:lang w:val="es-ES_tradnl"/>
        </w:rPr>
        <w:t>.</w:t>
      </w:r>
    </w:p>
    <w:p w14:paraId="61D30F24" w14:textId="77777777" w:rsidR="00BB0A79" w:rsidRPr="00D43C76" w:rsidRDefault="00BB0A79" w:rsidP="00BB0A79">
      <w:pPr>
        <w:pStyle w:val="ListParagraph"/>
        <w:rPr>
          <w:lang w:val="es-ES_tradnl"/>
        </w:rPr>
      </w:pPr>
    </w:p>
    <w:p w14:paraId="78F8C399" w14:textId="77777777" w:rsidR="00F36115" w:rsidRPr="00D43C76" w:rsidRDefault="00BD169F" w:rsidP="00F36115">
      <w:pPr>
        <w:pStyle w:val="parrafos"/>
        <w:numPr>
          <w:ilvl w:val="0"/>
          <w:numId w:val="57"/>
        </w:numPr>
        <w:tabs>
          <w:tab w:val="clear" w:pos="1080"/>
          <w:tab w:val="left" w:pos="720"/>
        </w:tabs>
        <w:ind w:left="0" w:firstLine="0"/>
        <w:rPr>
          <w:lang w:val="es-ES_tradnl"/>
        </w:rPr>
      </w:pPr>
      <w:r w:rsidRPr="00D43C76">
        <w:rPr>
          <w:rFonts w:eastAsia="Cambria" w:cs="Cambria"/>
          <w:color w:val="000000"/>
          <w:u w:color="000000"/>
          <w:lang w:val="es-ES_tradnl" w:eastAsia="es-ES"/>
        </w:rPr>
        <w:t>La peticionaria</w:t>
      </w:r>
      <w:r w:rsidR="00C338E4" w:rsidRPr="00D43C76">
        <w:rPr>
          <w:rFonts w:eastAsia="Cambria" w:cs="Cambria"/>
          <w:color w:val="000000"/>
          <w:u w:color="000000"/>
          <w:lang w:val="es-ES_tradnl" w:eastAsia="es-ES"/>
        </w:rPr>
        <w:t xml:space="preserve"> </w:t>
      </w:r>
      <w:r w:rsidR="00851B40" w:rsidRPr="00D43C76">
        <w:rPr>
          <w:rFonts w:eastAsia="Cambria" w:cs="Cambria"/>
          <w:color w:val="000000"/>
          <w:u w:color="000000"/>
          <w:lang w:val="es-ES_tradnl" w:eastAsia="es-ES"/>
        </w:rPr>
        <w:t>sostiene que el señor S. H.</w:t>
      </w:r>
      <w:r w:rsidR="00C338E4" w:rsidRPr="00D43C76">
        <w:rPr>
          <w:rFonts w:eastAsia="Cambria" w:cs="Cambria"/>
          <w:color w:val="000000"/>
          <w:u w:color="000000"/>
          <w:lang w:val="es-ES_tradnl" w:eastAsia="es-ES"/>
        </w:rPr>
        <w:t xml:space="preserve">, </w:t>
      </w:r>
      <w:r w:rsidR="00851B40" w:rsidRPr="00D43C76">
        <w:rPr>
          <w:rFonts w:eastAsia="Cambria" w:cs="Cambria"/>
          <w:color w:val="000000"/>
          <w:u w:color="000000"/>
          <w:lang w:val="es-ES_tradnl" w:eastAsia="es-ES"/>
        </w:rPr>
        <w:t>que es gay</w:t>
      </w:r>
      <w:r w:rsidR="00C338E4" w:rsidRPr="00D43C76">
        <w:rPr>
          <w:rFonts w:eastAsia="Cambria" w:cs="Cambria"/>
          <w:color w:val="000000"/>
          <w:u w:color="000000"/>
          <w:lang w:val="es-ES_tradnl" w:eastAsia="es-ES"/>
        </w:rPr>
        <w:t xml:space="preserve">, </w:t>
      </w:r>
      <w:r w:rsidR="00D77A92" w:rsidRPr="00D43C76">
        <w:rPr>
          <w:rFonts w:eastAsia="Cambria" w:cs="Cambria"/>
          <w:color w:val="000000"/>
          <w:u w:color="000000"/>
          <w:lang w:val="es-ES_tradnl" w:eastAsia="es-ES"/>
        </w:rPr>
        <w:t>ha</w:t>
      </w:r>
      <w:r w:rsidR="00DC4FD5" w:rsidRPr="00D43C76">
        <w:rPr>
          <w:rFonts w:eastAsia="Cambria" w:cs="Cambria"/>
          <w:color w:val="000000"/>
          <w:u w:color="000000"/>
          <w:lang w:val="es-ES_tradnl" w:eastAsia="es-ES"/>
        </w:rPr>
        <w:t xml:space="preserve"> sufrido ataques frecuentes </w:t>
      </w:r>
      <w:r w:rsidR="00D77A92" w:rsidRPr="00D43C76">
        <w:rPr>
          <w:rFonts w:eastAsia="Cambria" w:cs="Cambria"/>
          <w:color w:val="000000"/>
          <w:u w:color="000000"/>
          <w:lang w:val="es-ES_tradnl" w:eastAsia="es-ES"/>
        </w:rPr>
        <w:t>d</w:t>
      </w:r>
      <w:r w:rsidR="00851B40" w:rsidRPr="00D43C76">
        <w:rPr>
          <w:rFonts w:eastAsia="Cambria" w:cs="Cambria"/>
          <w:color w:val="000000"/>
          <w:u w:color="000000"/>
          <w:lang w:val="es-ES_tradnl" w:eastAsia="es-ES"/>
        </w:rPr>
        <w:t>ebido a su orientación sexual</w:t>
      </w:r>
      <w:r w:rsidR="00D77A92" w:rsidRPr="00D43C76">
        <w:rPr>
          <w:rFonts w:eastAsia="Cambria" w:cs="Cambria"/>
          <w:color w:val="000000"/>
          <w:u w:color="000000"/>
          <w:lang w:val="es-ES_tradnl" w:eastAsia="es-ES"/>
        </w:rPr>
        <w:t xml:space="preserve">. </w:t>
      </w:r>
      <w:r w:rsidR="00DC4FD5" w:rsidRPr="00D43C76">
        <w:rPr>
          <w:rFonts w:eastAsia="Cambria" w:cs="Cambria"/>
          <w:color w:val="000000"/>
          <w:u w:color="000000"/>
          <w:lang w:val="es-ES_tradnl" w:eastAsia="es-ES"/>
        </w:rPr>
        <w:t xml:space="preserve">Afirma que, en abril de </w:t>
      </w:r>
      <w:r w:rsidR="004B4F74" w:rsidRPr="00D43C76">
        <w:rPr>
          <w:lang w:val="es-ES_tradnl"/>
        </w:rPr>
        <w:t xml:space="preserve">2011, </w:t>
      </w:r>
      <w:r w:rsidR="00DC4FD5" w:rsidRPr="00D43C76">
        <w:rPr>
          <w:lang w:val="es-ES_tradnl"/>
        </w:rPr>
        <w:t xml:space="preserve">cuando el señor S. H. </w:t>
      </w:r>
      <w:r w:rsidR="00326DB8" w:rsidRPr="00D43C76">
        <w:rPr>
          <w:lang w:val="es-ES_tradnl"/>
        </w:rPr>
        <w:t xml:space="preserve">regresaba </w:t>
      </w:r>
      <w:r w:rsidR="00DC4FD5" w:rsidRPr="00D43C76">
        <w:rPr>
          <w:lang w:val="es-ES_tradnl"/>
        </w:rPr>
        <w:t>a su casa de</w:t>
      </w:r>
      <w:r w:rsidR="00326DB8" w:rsidRPr="00D43C76">
        <w:rPr>
          <w:lang w:val="es-ES_tradnl"/>
        </w:rPr>
        <w:t xml:space="preserve"> una tienda</w:t>
      </w:r>
      <w:r w:rsidR="00DC4FD5" w:rsidRPr="00D43C76">
        <w:rPr>
          <w:lang w:val="es-ES_tradnl"/>
        </w:rPr>
        <w:t xml:space="preserve">, dos hombres se pararon frente a él en la calle, lo llamaron </w:t>
      </w:r>
      <w:r w:rsidR="009D2072" w:rsidRPr="00D43C76">
        <w:rPr>
          <w:lang w:val="es-ES_tradnl"/>
        </w:rPr>
        <w:t>“batty man</w:t>
      </w:r>
      <w:r w:rsidR="006964DF" w:rsidRPr="00D43C76">
        <w:rPr>
          <w:lang w:val="es-ES_tradnl"/>
        </w:rPr>
        <w:t>” [en el dialecto jamaiquino, “maricón”]</w:t>
      </w:r>
      <w:r w:rsidR="009D2072" w:rsidRPr="00D43C76">
        <w:rPr>
          <w:lang w:val="es-ES_tradnl"/>
        </w:rPr>
        <w:t xml:space="preserve"> </w:t>
      </w:r>
      <w:r w:rsidR="00DC4FD5" w:rsidRPr="00D43C76">
        <w:rPr>
          <w:lang w:val="es-ES_tradnl"/>
        </w:rPr>
        <w:t xml:space="preserve">y comenzaron </w:t>
      </w:r>
      <w:r w:rsidR="009D2072" w:rsidRPr="00D43C76">
        <w:rPr>
          <w:lang w:val="es-ES_tradnl"/>
        </w:rPr>
        <w:t>a</w:t>
      </w:r>
      <w:r w:rsidR="00DC4FD5" w:rsidRPr="00D43C76">
        <w:rPr>
          <w:lang w:val="es-ES_tradnl"/>
        </w:rPr>
        <w:t xml:space="preserve"> </w:t>
      </w:r>
      <w:r w:rsidR="008E6D06" w:rsidRPr="00D43C76">
        <w:rPr>
          <w:lang w:val="es-ES_tradnl"/>
        </w:rPr>
        <w:t xml:space="preserve">empujarlo de un lado para otro </w:t>
      </w:r>
      <w:r w:rsidR="00781024" w:rsidRPr="00D43C76">
        <w:rPr>
          <w:lang w:val="es-ES_tradnl"/>
        </w:rPr>
        <w:t>entre ellos</w:t>
      </w:r>
      <w:r w:rsidR="009D2072" w:rsidRPr="00D43C76">
        <w:rPr>
          <w:lang w:val="es-ES_tradnl"/>
        </w:rPr>
        <w:t xml:space="preserve">. </w:t>
      </w:r>
      <w:r w:rsidR="00DC4FD5" w:rsidRPr="00D43C76">
        <w:rPr>
          <w:lang w:val="es-ES_tradnl"/>
        </w:rPr>
        <w:t xml:space="preserve">El dueño de una ferretería intervino al ver lo que estaba ocurriendo: les dijo a los hombres que dejaran en paz al </w:t>
      </w:r>
      <w:r w:rsidR="00851B40" w:rsidRPr="00D43C76">
        <w:rPr>
          <w:lang w:val="es-ES_tradnl"/>
        </w:rPr>
        <w:t>señor</w:t>
      </w:r>
      <w:r w:rsidR="009D2072" w:rsidRPr="00D43C76">
        <w:rPr>
          <w:lang w:val="es-ES_tradnl"/>
        </w:rPr>
        <w:t xml:space="preserve"> </w:t>
      </w:r>
      <w:r w:rsidR="007E65FB" w:rsidRPr="00D43C76">
        <w:rPr>
          <w:lang w:val="es-ES_tradnl"/>
        </w:rPr>
        <w:t xml:space="preserve">S. H. </w:t>
      </w:r>
      <w:r w:rsidR="00DC4FD5" w:rsidRPr="00D43C76">
        <w:rPr>
          <w:lang w:val="es-ES_tradnl"/>
        </w:rPr>
        <w:t>y le dijo al señor S. H.</w:t>
      </w:r>
      <w:r w:rsidR="009D2072" w:rsidRPr="00D43C76">
        <w:rPr>
          <w:lang w:val="es-ES_tradnl"/>
        </w:rPr>
        <w:t xml:space="preserve"> </w:t>
      </w:r>
      <w:r w:rsidR="00DC4FD5" w:rsidRPr="00D43C76">
        <w:rPr>
          <w:lang w:val="es-ES_tradnl"/>
        </w:rPr>
        <w:t xml:space="preserve">que se fuera a su casa. Cuando el </w:t>
      </w:r>
      <w:r w:rsidR="00DC4FD5" w:rsidRPr="00D43C76">
        <w:rPr>
          <w:rFonts w:eastAsia="Cambria" w:cs="Cambria"/>
          <w:color w:val="000000"/>
          <w:lang w:val="es-ES_tradnl" w:eastAsia="es-ES"/>
        </w:rPr>
        <w:t>señor S. H.</w:t>
      </w:r>
      <w:r w:rsidR="00781024" w:rsidRPr="00D43C76">
        <w:rPr>
          <w:rFonts w:eastAsia="Cambria" w:cs="Cambria"/>
          <w:color w:val="000000"/>
          <w:lang w:val="es-ES_tradnl" w:eastAsia="es-ES"/>
        </w:rPr>
        <w:t xml:space="preserve"> se iba, los atacantes le dijeron: </w:t>
      </w:r>
      <w:r w:rsidR="009D2072" w:rsidRPr="00D43C76">
        <w:rPr>
          <w:lang w:val="es-ES_tradnl"/>
        </w:rPr>
        <w:t>“</w:t>
      </w:r>
      <w:r w:rsidR="00201BC7" w:rsidRPr="00D43C76">
        <w:rPr>
          <w:lang w:val="es-ES_tradnl"/>
        </w:rPr>
        <w:t>¡M</w:t>
      </w:r>
      <w:r w:rsidR="006964DF" w:rsidRPr="00D43C76">
        <w:rPr>
          <w:lang w:val="es-ES_tradnl"/>
        </w:rPr>
        <w:t>uerte a los maricones</w:t>
      </w:r>
      <w:r w:rsidR="00201BC7" w:rsidRPr="00D43C76">
        <w:rPr>
          <w:lang w:val="es-ES_tradnl"/>
        </w:rPr>
        <w:t>!</w:t>
      </w:r>
      <w:r w:rsidR="006964DF" w:rsidRPr="00D43C76">
        <w:rPr>
          <w:lang w:val="es-ES_tradnl"/>
        </w:rPr>
        <w:t>”</w:t>
      </w:r>
      <w:r w:rsidR="009D2072" w:rsidRPr="00D43C76">
        <w:rPr>
          <w:lang w:val="es-ES_tradnl"/>
        </w:rPr>
        <w:t xml:space="preserve">. </w:t>
      </w:r>
      <w:r w:rsidR="00781024" w:rsidRPr="00D43C76">
        <w:rPr>
          <w:lang w:val="es-ES_tradnl"/>
        </w:rPr>
        <w:t>Pocos días después, el dueño de la ferretería le dijo a</w:t>
      </w:r>
      <w:r w:rsidR="00851B40" w:rsidRPr="00D43C76">
        <w:rPr>
          <w:lang w:val="es-ES_tradnl"/>
        </w:rPr>
        <w:t>l señor</w:t>
      </w:r>
      <w:r w:rsidR="009D2072" w:rsidRPr="00D43C76">
        <w:rPr>
          <w:lang w:val="es-ES_tradnl"/>
        </w:rPr>
        <w:t xml:space="preserve"> </w:t>
      </w:r>
      <w:r w:rsidR="007E65FB" w:rsidRPr="00D43C76">
        <w:rPr>
          <w:lang w:val="es-ES_tradnl"/>
        </w:rPr>
        <w:t xml:space="preserve">S.H. </w:t>
      </w:r>
      <w:r w:rsidR="00781024" w:rsidRPr="00D43C76">
        <w:rPr>
          <w:lang w:val="es-ES_tradnl"/>
        </w:rPr>
        <w:t xml:space="preserve">que había oído </w:t>
      </w:r>
      <w:r w:rsidR="008E6D06" w:rsidRPr="00D43C76">
        <w:rPr>
          <w:lang w:val="es-ES_tradnl"/>
        </w:rPr>
        <w:t>un</w:t>
      </w:r>
      <w:r w:rsidR="00781024" w:rsidRPr="00D43C76">
        <w:rPr>
          <w:lang w:val="es-ES_tradnl"/>
        </w:rPr>
        <w:t xml:space="preserve">a </w:t>
      </w:r>
      <w:r w:rsidR="008E6D06" w:rsidRPr="00D43C76">
        <w:rPr>
          <w:lang w:val="es-ES_tradnl"/>
        </w:rPr>
        <w:t xml:space="preserve">conversación entre </w:t>
      </w:r>
      <w:r w:rsidR="00781024" w:rsidRPr="00D43C76">
        <w:rPr>
          <w:lang w:val="es-ES_tradnl"/>
        </w:rPr>
        <w:t xml:space="preserve">estos hombres </w:t>
      </w:r>
      <w:r w:rsidR="008E6D06" w:rsidRPr="00D43C76">
        <w:rPr>
          <w:lang w:val="es-ES_tradnl"/>
        </w:rPr>
        <w:t xml:space="preserve">y que los oyó decir que iban a </w:t>
      </w:r>
      <w:r w:rsidR="00781024" w:rsidRPr="00D43C76">
        <w:rPr>
          <w:lang w:val="es-ES_tradnl"/>
        </w:rPr>
        <w:t>matarlo</w:t>
      </w:r>
      <w:r w:rsidR="009D2072" w:rsidRPr="00D43C76">
        <w:rPr>
          <w:lang w:val="es-ES_tradnl"/>
        </w:rPr>
        <w:t xml:space="preserve">. </w:t>
      </w:r>
    </w:p>
    <w:p w14:paraId="7A74B785" w14:textId="77777777" w:rsidR="00F36115" w:rsidRPr="00D43C76" w:rsidRDefault="00F36115" w:rsidP="00F36115">
      <w:pPr>
        <w:pStyle w:val="ListParagraph"/>
        <w:rPr>
          <w:lang w:val="es-ES_tradnl"/>
        </w:rPr>
      </w:pPr>
    </w:p>
    <w:p w14:paraId="6AB15BBB" w14:textId="77777777" w:rsidR="00136DFB" w:rsidRPr="00D43C76" w:rsidRDefault="00781024" w:rsidP="00172419">
      <w:pPr>
        <w:pStyle w:val="parrafos"/>
        <w:numPr>
          <w:ilvl w:val="0"/>
          <w:numId w:val="57"/>
        </w:numPr>
        <w:tabs>
          <w:tab w:val="clear" w:pos="1080"/>
          <w:tab w:val="left" w:pos="720"/>
        </w:tabs>
        <w:ind w:left="0" w:firstLine="0"/>
        <w:rPr>
          <w:lang w:val="es-ES_tradnl"/>
        </w:rPr>
      </w:pPr>
      <w:r w:rsidRPr="00D43C76">
        <w:rPr>
          <w:lang w:val="es-ES_tradnl"/>
        </w:rPr>
        <w:t>Una semana después</w:t>
      </w:r>
      <w:r w:rsidR="00DF0AE6" w:rsidRPr="00D43C76">
        <w:rPr>
          <w:lang w:val="es-ES_tradnl"/>
        </w:rPr>
        <w:t xml:space="preserve">, </w:t>
      </w:r>
      <w:r w:rsidR="00851B40" w:rsidRPr="00D43C76">
        <w:rPr>
          <w:lang w:val="es-ES_tradnl"/>
        </w:rPr>
        <w:t>el señor</w:t>
      </w:r>
      <w:r w:rsidR="00496C01" w:rsidRPr="00D43C76">
        <w:rPr>
          <w:lang w:val="es-ES_tradnl"/>
        </w:rPr>
        <w:t xml:space="preserve"> </w:t>
      </w:r>
      <w:r w:rsidR="007E65FB" w:rsidRPr="00D43C76">
        <w:rPr>
          <w:lang w:val="es-ES_tradnl"/>
        </w:rPr>
        <w:t xml:space="preserve">S. H. </w:t>
      </w:r>
      <w:r w:rsidRPr="00D43C76">
        <w:rPr>
          <w:lang w:val="es-ES_tradnl"/>
        </w:rPr>
        <w:t xml:space="preserve">estaba caminando en la avenida </w:t>
      </w:r>
      <w:r w:rsidR="008D3F88" w:rsidRPr="00D43C76">
        <w:rPr>
          <w:lang w:val="es-ES_tradnl"/>
        </w:rPr>
        <w:t>Humber</w:t>
      </w:r>
      <w:r w:rsidRPr="00D43C76">
        <w:rPr>
          <w:lang w:val="es-ES_tradnl"/>
        </w:rPr>
        <w:t xml:space="preserve">. Un hombre estaba lavando su automóvil cerca de la acera, de modo que </w:t>
      </w:r>
      <w:r w:rsidR="00851B40" w:rsidRPr="00D43C76">
        <w:rPr>
          <w:lang w:val="es-ES_tradnl"/>
        </w:rPr>
        <w:t>el señor</w:t>
      </w:r>
      <w:r w:rsidR="00496C01" w:rsidRPr="00D43C76">
        <w:rPr>
          <w:lang w:val="es-ES_tradnl"/>
        </w:rPr>
        <w:t xml:space="preserve"> </w:t>
      </w:r>
      <w:r w:rsidR="007E65FB" w:rsidRPr="00D43C76">
        <w:rPr>
          <w:lang w:val="es-ES_tradnl"/>
        </w:rPr>
        <w:t xml:space="preserve">S. H. </w:t>
      </w:r>
      <w:r w:rsidR="008E6D06" w:rsidRPr="00D43C76">
        <w:rPr>
          <w:lang w:val="es-ES_tradnl"/>
        </w:rPr>
        <w:t xml:space="preserve">bajó a la calle para </w:t>
      </w:r>
      <w:r w:rsidRPr="00D43C76">
        <w:rPr>
          <w:lang w:val="es-ES_tradnl"/>
        </w:rPr>
        <w:t>pas</w:t>
      </w:r>
      <w:r w:rsidR="008E6D06" w:rsidRPr="00D43C76">
        <w:rPr>
          <w:lang w:val="es-ES_tradnl"/>
        </w:rPr>
        <w:t>ar</w:t>
      </w:r>
      <w:r w:rsidRPr="00D43C76">
        <w:rPr>
          <w:lang w:val="es-ES_tradnl"/>
        </w:rPr>
        <w:t xml:space="preserve"> alrededor del coche</w:t>
      </w:r>
      <w:r w:rsidR="008D3F88" w:rsidRPr="00D43C76">
        <w:rPr>
          <w:lang w:val="es-ES_tradnl"/>
        </w:rPr>
        <w:t xml:space="preserve">. </w:t>
      </w:r>
      <w:r w:rsidRPr="00D43C76">
        <w:rPr>
          <w:lang w:val="es-ES_tradnl"/>
        </w:rPr>
        <w:t xml:space="preserve">Cuando pasaba, el hombre le arrojó agua y le gritó: </w:t>
      </w:r>
      <w:r w:rsidR="008D3F88" w:rsidRPr="00D43C76">
        <w:rPr>
          <w:lang w:val="es-ES_tradnl"/>
        </w:rPr>
        <w:t>“</w:t>
      </w:r>
      <w:r w:rsidR="00201BC7" w:rsidRPr="00D43C76">
        <w:rPr>
          <w:lang w:val="es-ES_tradnl"/>
        </w:rPr>
        <w:t>N</w:t>
      </w:r>
      <w:r w:rsidR="006964DF" w:rsidRPr="00D43C76">
        <w:rPr>
          <w:lang w:val="es-ES_tradnl"/>
        </w:rPr>
        <w:t>o quiero que pasen maricones al lado mío”</w:t>
      </w:r>
      <w:r w:rsidR="008D3F88" w:rsidRPr="00D43C76">
        <w:rPr>
          <w:lang w:val="es-ES_tradnl"/>
        </w:rPr>
        <w:t xml:space="preserve">. </w:t>
      </w:r>
      <w:r w:rsidR="00BD169F" w:rsidRPr="00D43C76">
        <w:rPr>
          <w:lang w:val="es-ES_tradnl"/>
        </w:rPr>
        <w:t xml:space="preserve">La </w:t>
      </w:r>
      <w:r w:rsidR="00D61759" w:rsidRPr="00D43C76">
        <w:rPr>
          <w:lang w:val="es-ES_tradnl"/>
        </w:rPr>
        <w:t xml:space="preserve">parte </w:t>
      </w:r>
      <w:r w:rsidR="00BD169F" w:rsidRPr="00D43C76">
        <w:rPr>
          <w:lang w:val="es-ES_tradnl"/>
        </w:rPr>
        <w:t>peticionaria</w:t>
      </w:r>
      <w:r w:rsidRPr="00D43C76">
        <w:rPr>
          <w:lang w:val="es-ES_tradnl"/>
        </w:rPr>
        <w:t xml:space="preserve"> señala que </w:t>
      </w:r>
      <w:r w:rsidR="00851B40" w:rsidRPr="00D43C76">
        <w:rPr>
          <w:lang w:val="es-ES_tradnl"/>
        </w:rPr>
        <w:t>el señor</w:t>
      </w:r>
      <w:r w:rsidR="00496C01" w:rsidRPr="00D43C76">
        <w:rPr>
          <w:lang w:val="es-ES_tradnl"/>
        </w:rPr>
        <w:t xml:space="preserve"> </w:t>
      </w:r>
      <w:r w:rsidR="007E65FB" w:rsidRPr="00D43C76">
        <w:rPr>
          <w:lang w:val="es-ES_tradnl"/>
        </w:rPr>
        <w:t xml:space="preserve">S. H. </w:t>
      </w:r>
      <w:r w:rsidRPr="00D43C76">
        <w:rPr>
          <w:lang w:val="es-ES_tradnl"/>
        </w:rPr>
        <w:t xml:space="preserve">denunció ambos incidentes </w:t>
      </w:r>
      <w:r w:rsidR="00ED36CC" w:rsidRPr="00D43C76">
        <w:rPr>
          <w:lang w:val="es-ES_tradnl"/>
        </w:rPr>
        <w:t xml:space="preserve">en la </w:t>
      </w:r>
      <w:r w:rsidR="008E6D06" w:rsidRPr="00D43C76">
        <w:rPr>
          <w:lang w:val="es-ES_tradnl"/>
        </w:rPr>
        <w:t>c</w:t>
      </w:r>
      <w:r w:rsidR="00ED36CC" w:rsidRPr="00D43C76">
        <w:rPr>
          <w:lang w:val="es-ES_tradnl"/>
        </w:rPr>
        <w:t xml:space="preserve">omisaría de la </w:t>
      </w:r>
      <w:r w:rsidR="008E6D06" w:rsidRPr="00D43C76">
        <w:rPr>
          <w:lang w:val="es-ES_tradnl"/>
        </w:rPr>
        <w:t>c</w:t>
      </w:r>
      <w:r w:rsidR="00ED36CC" w:rsidRPr="00D43C76">
        <w:rPr>
          <w:lang w:val="es-ES_tradnl"/>
        </w:rPr>
        <w:t xml:space="preserve">alle </w:t>
      </w:r>
      <w:r w:rsidR="00496C01" w:rsidRPr="00D43C76">
        <w:rPr>
          <w:lang w:val="es-ES_tradnl"/>
        </w:rPr>
        <w:t>Barnett</w:t>
      </w:r>
      <w:r w:rsidR="00ED36CC" w:rsidRPr="00D43C76">
        <w:rPr>
          <w:lang w:val="es-ES_tradnl"/>
        </w:rPr>
        <w:t>, ante dos agentes</w:t>
      </w:r>
      <w:r w:rsidR="00201BC7" w:rsidRPr="00D43C76">
        <w:rPr>
          <w:lang w:val="es-ES_tradnl"/>
        </w:rPr>
        <w:t xml:space="preserve"> de </w:t>
      </w:r>
      <w:r w:rsidR="00201BC7" w:rsidRPr="00D43C76">
        <w:rPr>
          <w:lang w:val="es-ES_tradnl"/>
        </w:rPr>
        <w:lastRenderedPageBreak/>
        <w:t>policía</w:t>
      </w:r>
      <w:r w:rsidR="00ED36CC" w:rsidRPr="00D43C76">
        <w:rPr>
          <w:lang w:val="es-ES_tradnl"/>
        </w:rPr>
        <w:t>, en una sala llena de gente. Después de su declaración, el supervisor le dijo al otro agente que suprimiera la palabra “amenaza” del parte policial, ya que el primer incidente había sido una mera agresión</w:t>
      </w:r>
      <w:r w:rsidR="00496C01" w:rsidRPr="00D43C76">
        <w:rPr>
          <w:lang w:val="es-ES_tradnl"/>
        </w:rPr>
        <w:t xml:space="preserve">. </w:t>
      </w:r>
    </w:p>
    <w:p w14:paraId="3118FCDC" w14:textId="77777777" w:rsidR="00851B40" w:rsidRPr="00D43C76" w:rsidRDefault="00851B40" w:rsidP="00851B40">
      <w:pPr>
        <w:pStyle w:val="parrafos"/>
        <w:tabs>
          <w:tab w:val="left" w:pos="720"/>
        </w:tabs>
        <w:rPr>
          <w:lang w:val="es-ES_tradnl"/>
        </w:rPr>
      </w:pPr>
    </w:p>
    <w:p w14:paraId="26A95B4A" w14:textId="77777777" w:rsidR="00136DFB" w:rsidRPr="00D43C76" w:rsidRDefault="00BD169F" w:rsidP="00F36115">
      <w:pPr>
        <w:pStyle w:val="parrafos"/>
        <w:numPr>
          <w:ilvl w:val="0"/>
          <w:numId w:val="57"/>
        </w:numPr>
        <w:tabs>
          <w:tab w:val="clear" w:pos="1080"/>
          <w:tab w:val="left" w:pos="720"/>
        </w:tabs>
        <w:ind w:left="0" w:firstLine="0"/>
        <w:rPr>
          <w:lang w:val="es-ES_tradnl"/>
        </w:rPr>
      </w:pPr>
      <w:r w:rsidRPr="00D43C76">
        <w:rPr>
          <w:lang w:val="es-ES_tradnl"/>
        </w:rPr>
        <w:t xml:space="preserve">La </w:t>
      </w:r>
      <w:r w:rsidR="00D61759" w:rsidRPr="00D43C76">
        <w:rPr>
          <w:lang w:val="es-ES_tradnl"/>
        </w:rPr>
        <w:t xml:space="preserve">parte </w:t>
      </w:r>
      <w:r w:rsidRPr="00D43C76">
        <w:rPr>
          <w:lang w:val="es-ES_tradnl"/>
        </w:rPr>
        <w:t>peticionaria</w:t>
      </w:r>
      <w:r w:rsidR="00E152BE" w:rsidRPr="00D43C76">
        <w:rPr>
          <w:lang w:val="es-ES_tradnl"/>
        </w:rPr>
        <w:t xml:space="preserve"> agrega que se produjo un tercer incidente el</w:t>
      </w:r>
      <w:r w:rsidR="009D3680" w:rsidRPr="00D43C76">
        <w:rPr>
          <w:lang w:val="es-ES_tradnl"/>
        </w:rPr>
        <w:t xml:space="preserve"> 31</w:t>
      </w:r>
      <w:r w:rsidR="00E152BE" w:rsidRPr="00D43C76">
        <w:rPr>
          <w:lang w:val="es-ES_tradnl"/>
        </w:rPr>
        <w:t xml:space="preserve"> de mayo de</w:t>
      </w:r>
      <w:r w:rsidR="009D3680" w:rsidRPr="00D43C76">
        <w:rPr>
          <w:lang w:val="es-ES_tradnl"/>
        </w:rPr>
        <w:t xml:space="preserve"> 2011. </w:t>
      </w:r>
      <w:r w:rsidR="00E152BE" w:rsidRPr="00D43C76">
        <w:rPr>
          <w:lang w:val="es-ES_tradnl"/>
        </w:rPr>
        <w:t xml:space="preserve">Cuando </w:t>
      </w:r>
      <w:r w:rsidR="00851B40" w:rsidRPr="00D43C76">
        <w:rPr>
          <w:lang w:val="es-ES_tradnl"/>
        </w:rPr>
        <w:t>el señor</w:t>
      </w:r>
      <w:r w:rsidR="009D3680" w:rsidRPr="00D43C76">
        <w:rPr>
          <w:lang w:val="es-ES_tradnl"/>
        </w:rPr>
        <w:t xml:space="preserve"> </w:t>
      </w:r>
      <w:r w:rsidR="007E65FB" w:rsidRPr="00D43C76">
        <w:rPr>
          <w:lang w:val="es-ES_tradnl"/>
        </w:rPr>
        <w:t xml:space="preserve">S. H. </w:t>
      </w:r>
      <w:r w:rsidR="00E152BE" w:rsidRPr="00D43C76">
        <w:rPr>
          <w:lang w:val="es-ES_tradnl"/>
        </w:rPr>
        <w:t xml:space="preserve">iba caminando a su casa de vuelta de una clase, a las 18:30 horas, aproximadamente, por la avenida </w:t>
      </w:r>
      <w:r w:rsidR="0039274F" w:rsidRPr="00D43C76">
        <w:rPr>
          <w:lang w:val="es-ES_tradnl"/>
        </w:rPr>
        <w:t>Foster</w:t>
      </w:r>
      <w:r w:rsidR="00E152BE" w:rsidRPr="00D43C76">
        <w:rPr>
          <w:lang w:val="es-ES_tradnl"/>
        </w:rPr>
        <w:t>, el hombre que lo había agredido la primera vez salió de una casa</w:t>
      </w:r>
      <w:r w:rsidR="001A10CD" w:rsidRPr="00D43C76">
        <w:rPr>
          <w:lang w:val="es-ES_tradnl"/>
        </w:rPr>
        <w:t xml:space="preserve"> y</w:t>
      </w:r>
      <w:r w:rsidR="00E152BE" w:rsidRPr="00D43C76">
        <w:rPr>
          <w:lang w:val="es-ES_tradnl"/>
        </w:rPr>
        <w:t xml:space="preserve"> le gritó:</w:t>
      </w:r>
      <w:r w:rsidR="0039274F" w:rsidRPr="00D43C76">
        <w:rPr>
          <w:lang w:val="es-ES_tradnl"/>
        </w:rPr>
        <w:t xml:space="preserve"> </w:t>
      </w:r>
      <w:r w:rsidR="001B180A" w:rsidRPr="00D43C76">
        <w:rPr>
          <w:lang w:val="es-ES_tradnl"/>
        </w:rPr>
        <w:t>“</w:t>
      </w:r>
      <w:r w:rsidR="00201BC7" w:rsidRPr="00D43C76">
        <w:rPr>
          <w:lang w:val="es-ES_tradnl"/>
        </w:rPr>
        <w:t>M</w:t>
      </w:r>
      <w:r w:rsidR="00E152BE" w:rsidRPr="00D43C76">
        <w:rPr>
          <w:lang w:val="es-ES_tradnl"/>
        </w:rPr>
        <w:t>aricón, ¿no te dije que no quería volver a verte por aquí?”</w:t>
      </w:r>
      <w:r w:rsidR="001A10CD" w:rsidRPr="00D43C76">
        <w:rPr>
          <w:lang w:val="es-ES_tradnl"/>
        </w:rPr>
        <w:t xml:space="preserve">. Acto seguido, </w:t>
      </w:r>
      <w:r w:rsidR="00E152BE" w:rsidRPr="00D43C76">
        <w:rPr>
          <w:lang w:val="es-ES_tradnl"/>
        </w:rPr>
        <w:t xml:space="preserve">le tiró una piedra. El </w:t>
      </w:r>
      <w:r w:rsidR="00851B40" w:rsidRPr="00D43C76">
        <w:rPr>
          <w:lang w:val="es-ES_tradnl"/>
        </w:rPr>
        <w:t>señor</w:t>
      </w:r>
      <w:r w:rsidR="00823EB6" w:rsidRPr="00D43C76">
        <w:rPr>
          <w:lang w:val="es-ES_tradnl"/>
        </w:rPr>
        <w:t xml:space="preserve"> </w:t>
      </w:r>
      <w:r w:rsidR="007E65FB" w:rsidRPr="00D43C76">
        <w:rPr>
          <w:lang w:val="es-ES_tradnl"/>
        </w:rPr>
        <w:t xml:space="preserve">S. H. </w:t>
      </w:r>
      <w:r w:rsidR="00E152BE" w:rsidRPr="00D43C76">
        <w:rPr>
          <w:lang w:val="es-ES_tradnl"/>
        </w:rPr>
        <w:t xml:space="preserve">escapó ileso. Al día siguiente volvió a la </w:t>
      </w:r>
      <w:r w:rsidR="001A10CD" w:rsidRPr="00D43C76">
        <w:rPr>
          <w:lang w:val="es-ES_tradnl"/>
        </w:rPr>
        <w:t>c</w:t>
      </w:r>
      <w:r w:rsidR="00E152BE" w:rsidRPr="00D43C76">
        <w:rPr>
          <w:lang w:val="es-ES_tradnl"/>
        </w:rPr>
        <w:t xml:space="preserve">omisaría de la </w:t>
      </w:r>
      <w:r w:rsidR="001A10CD" w:rsidRPr="00D43C76">
        <w:rPr>
          <w:lang w:val="es-ES_tradnl"/>
        </w:rPr>
        <w:t>c</w:t>
      </w:r>
      <w:r w:rsidR="00E152BE" w:rsidRPr="00D43C76">
        <w:rPr>
          <w:lang w:val="es-ES_tradnl"/>
        </w:rPr>
        <w:t>alle Barnett</w:t>
      </w:r>
      <w:r w:rsidR="00823EB6" w:rsidRPr="00D43C76">
        <w:rPr>
          <w:lang w:val="es-ES_tradnl"/>
        </w:rPr>
        <w:t xml:space="preserve"> </w:t>
      </w:r>
      <w:r w:rsidR="00E152BE" w:rsidRPr="00D43C76">
        <w:rPr>
          <w:lang w:val="es-ES_tradnl"/>
        </w:rPr>
        <w:t xml:space="preserve">para </w:t>
      </w:r>
      <w:r w:rsidR="001A10CD" w:rsidRPr="00D43C76">
        <w:rPr>
          <w:lang w:val="es-ES_tradnl"/>
        </w:rPr>
        <w:t xml:space="preserve">hacer </w:t>
      </w:r>
      <w:r w:rsidR="00E152BE" w:rsidRPr="00D43C76">
        <w:rPr>
          <w:lang w:val="es-ES_tradnl"/>
        </w:rPr>
        <w:t>otra denuncia</w:t>
      </w:r>
      <w:r w:rsidR="00823EB6" w:rsidRPr="00D43C76">
        <w:rPr>
          <w:lang w:val="es-ES_tradnl"/>
        </w:rPr>
        <w:t xml:space="preserve">. </w:t>
      </w:r>
      <w:r w:rsidR="00E152BE" w:rsidRPr="00D43C76">
        <w:rPr>
          <w:lang w:val="es-ES_tradnl"/>
        </w:rPr>
        <w:t xml:space="preserve">Los agentes le dijeron que arrojar piedras no constituía una agresión. Cuando él preguntó qué era, </w:t>
      </w:r>
      <w:r w:rsidR="001A10CD" w:rsidRPr="00D43C76">
        <w:rPr>
          <w:lang w:val="es-ES_tradnl"/>
        </w:rPr>
        <w:t>la respuesta de la</w:t>
      </w:r>
      <w:r w:rsidR="00E152BE" w:rsidRPr="00D43C76">
        <w:rPr>
          <w:lang w:val="es-ES_tradnl"/>
        </w:rPr>
        <w:t xml:space="preserve"> policía </w:t>
      </w:r>
      <w:r w:rsidR="001A10CD" w:rsidRPr="00D43C76">
        <w:rPr>
          <w:lang w:val="es-ES_tradnl"/>
        </w:rPr>
        <w:t>fue</w:t>
      </w:r>
      <w:r w:rsidR="00E152BE" w:rsidRPr="00D43C76">
        <w:rPr>
          <w:lang w:val="es-ES_tradnl"/>
        </w:rPr>
        <w:t xml:space="preserve">: </w:t>
      </w:r>
      <w:r w:rsidR="00581C7F" w:rsidRPr="00D43C76">
        <w:rPr>
          <w:lang w:val="es-ES_tradnl"/>
        </w:rPr>
        <w:t>“</w:t>
      </w:r>
      <w:r w:rsidR="00201BC7" w:rsidRPr="00D43C76">
        <w:rPr>
          <w:lang w:val="es-ES_tradnl"/>
        </w:rPr>
        <w:t>E</w:t>
      </w:r>
      <w:r w:rsidR="00E152BE" w:rsidRPr="00D43C76">
        <w:rPr>
          <w:lang w:val="es-ES_tradnl"/>
        </w:rPr>
        <w:t>s solo arrojar piedras</w:t>
      </w:r>
      <w:r w:rsidR="00581C7F" w:rsidRPr="00D43C76">
        <w:rPr>
          <w:lang w:val="es-ES_tradnl"/>
        </w:rPr>
        <w:t>”</w:t>
      </w:r>
      <w:r w:rsidR="00C14BAB" w:rsidRPr="00D43C76">
        <w:rPr>
          <w:lang w:val="es-ES_tradnl"/>
        </w:rPr>
        <w:t xml:space="preserve">. </w:t>
      </w:r>
    </w:p>
    <w:p w14:paraId="4A1FF7C7" w14:textId="77777777" w:rsidR="00E21B90" w:rsidRPr="00D43C76" w:rsidRDefault="00E21B90" w:rsidP="001B180A">
      <w:pPr>
        <w:pStyle w:val="ListParagraph"/>
        <w:rPr>
          <w:lang w:val="es-ES_tradnl"/>
        </w:rPr>
      </w:pPr>
    </w:p>
    <w:p w14:paraId="47717B96" w14:textId="77777777" w:rsidR="00E21B90" w:rsidRPr="00D43C76" w:rsidRDefault="001A10CD" w:rsidP="00F36115">
      <w:pPr>
        <w:pStyle w:val="parrafos"/>
        <w:numPr>
          <w:ilvl w:val="0"/>
          <w:numId w:val="57"/>
        </w:numPr>
        <w:tabs>
          <w:tab w:val="clear" w:pos="1080"/>
          <w:tab w:val="left" w:pos="720"/>
        </w:tabs>
        <w:ind w:left="0" w:firstLine="0"/>
        <w:rPr>
          <w:lang w:val="es-ES_tradnl"/>
        </w:rPr>
      </w:pPr>
      <w:r w:rsidRPr="00D43C76">
        <w:rPr>
          <w:lang w:val="es-ES_tradnl"/>
        </w:rPr>
        <w:t>L</w:t>
      </w:r>
      <w:r w:rsidR="00BD169F" w:rsidRPr="00D43C76">
        <w:rPr>
          <w:lang w:val="es-ES_tradnl"/>
        </w:rPr>
        <w:t xml:space="preserve">a </w:t>
      </w:r>
      <w:r w:rsidR="00D61759" w:rsidRPr="00D43C76">
        <w:rPr>
          <w:lang w:val="es-ES_tradnl"/>
        </w:rPr>
        <w:t xml:space="preserve">parte </w:t>
      </w:r>
      <w:r w:rsidR="00BD169F" w:rsidRPr="00D43C76">
        <w:rPr>
          <w:lang w:val="es-ES_tradnl"/>
        </w:rPr>
        <w:t>peticionaria</w:t>
      </w:r>
      <w:r w:rsidR="00D6299C" w:rsidRPr="00D43C76">
        <w:rPr>
          <w:lang w:val="es-ES_tradnl"/>
        </w:rPr>
        <w:t xml:space="preserve"> señal</w:t>
      </w:r>
      <w:r w:rsidRPr="00D43C76">
        <w:rPr>
          <w:lang w:val="es-ES_tradnl"/>
        </w:rPr>
        <w:t>a</w:t>
      </w:r>
      <w:r w:rsidR="00D6299C" w:rsidRPr="00D43C76">
        <w:rPr>
          <w:lang w:val="es-ES_tradnl"/>
        </w:rPr>
        <w:t xml:space="preserve"> que, el </w:t>
      </w:r>
      <w:r w:rsidR="00E21B90" w:rsidRPr="00D43C76">
        <w:rPr>
          <w:lang w:val="es-ES_tradnl"/>
        </w:rPr>
        <w:t>19</w:t>
      </w:r>
      <w:r w:rsidR="00D6299C" w:rsidRPr="00D43C76">
        <w:rPr>
          <w:lang w:val="es-ES_tradnl"/>
        </w:rPr>
        <w:t xml:space="preserve"> de junio de</w:t>
      </w:r>
      <w:r w:rsidR="00E21B90" w:rsidRPr="00D43C76">
        <w:rPr>
          <w:lang w:val="es-ES_tradnl"/>
        </w:rPr>
        <w:t xml:space="preserve"> 2011</w:t>
      </w:r>
      <w:r w:rsidR="00201BC7" w:rsidRPr="00D43C76">
        <w:rPr>
          <w:lang w:val="es-ES_tradnl"/>
        </w:rPr>
        <w:t>, cuando</w:t>
      </w:r>
      <w:r w:rsidR="00E21B90" w:rsidRPr="00D43C76">
        <w:rPr>
          <w:lang w:val="es-ES_tradnl"/>
        </w:rPr>
        <w:t xml:space="preserve"> </w:t>
      </w:r>
      <w:r w:rsidR="00851B40" w:rsidRPr="00D43C76">
        <w:rPr>
          <w:lang w:val="es-ES_tradnl"/>
        </w:rPr>
        <w:t>el señor</w:t>
      </w:r>
      <w:r w:rsidR="00511A13" w:rsidRPr="00D43C76">
        <w:rPr>
          <w:lang w:val="es-ES_tradnl"/>
        </w:rPr>
        <w:t xml:space="preserve"> </w:t>
      </w:r>
      <w:r w:rsidR="007E65FB" w:rsidRPr="00D43C76">
        <w:rPr>
          <w:lang w:val="es-ES_tradnl"/>
        </w:rPr>
        <w:t xml:space="preserve">S. H. </w:t>
      </w:r>
      <w:r w:rsidR="00201BC7" w:rsidRPr="00D43C76">
        <w:rPr>
          <w:lang w:val="es-ES_tradnl"/>
        </w:rPr>
        <w:t xml:space="preserve">estaba caminando con un grupo de amigos </w:t>
      </w:r>
      <w:r w:rsidR="000A3C3B" w:rsidRPr="00D43C76">
        <w:rPr>
          <w:lang w:val="es-ES_tradnl"/>
        </w:rPr>
        <w:t xml:space="preserve">por </w:t>
      </w:r>
      <w:r w:rsidR="00201BC7" w:rsidRPr="00D43C76">
        <w:rPr>
          <w:lang w:val="es-ES_tradnl"/>
        </w:rPr>
        <w:t xml:space="preserve">la calle </w:t>
      </w:r>
      <w:r w:rsidR="000A3C3B" w:rsidRPr="00D43C76">
        <w:rPr>
          <w:lang w:val="es-ES_tradnl"/>
        </w:rPr>
        <w:t xml:space="preserve">principal de </w:t>
      </w:r>
      <w:r w:rsidR="00201BC7" w:rsidRPr="00D43C76">
        <w:rPr>
          <w:lang w:val="es-ES_tradnl"/>
        </w:rPr>
        <w:t xml:space="preserve">la ciudad turística de </w:t>
      </w:r>
      <w:r w:rsidR="00511A13" w:rsidRPr="00D43C76">
        <w:rPr>
          <w:lang w:val="es-ES_tradnl"/>
        </w:rPr>
        <w:t xml:space="preserve">Ocho </w:t>
      </w:r>
      <w:r w:rsidR="00E152BE" w:rsidRPr="00D43C76">
        <w:rPr>
          <w:lang w:val="es-ES_tradnl"/>
        </w:rPr>
        <w:t>Ríos</w:t>
      </w:r>
      <w:r w:rsidR="00201BC7" w:rsidRPr="00D43C76">
        <w:rPr>
          <w:lang w:val="es-ES_tradnl"/>
        </w:rPr>
        <w:t>, en la costa norte,</w:t>
      </w:r>
      <w:r w:rsidR="00511A13" w:rsidRPr="00D43C76">
        <w:rPr>
          <w:lang w:val="es-ES_tradnl"/>
        </w:rPr>
        <w:t xml:space="preserve"> </w:t>
      </w:r>
      <w:r w:rsidR="00201BC7" w:rsidRPr="00D43C76">
        <w:rPr>
          <w:lang w:val="es-ES_tradnl"/>
        </w:rPr>
        <w:t xml:space="preserve">un automóvil con tres hombres pasó a su lado y uno de los pasajeros gritó: </w:t>
      </w:r>
      <w:r w:rsidR="000E7BFF" w:rsidRPr="00D43C76">
        <w:rPr>
          <w:lang w:val="es-ES_tradnl"/>
        </w:rPr>
        <w:t xml:space="preserve">“Batty-man”. </w:t>
      </w:r>
      <w:r w:rsidR="00201BC7" w:rsidRPr="00D43C76">
        <w:rPr>
          <w:lang w:val="es-ES_tradnl"/>
        </w:rPr>
        <w:t xml:space="preserve">Después, el automóvil dio marcha atrás con las puertas abiertas y paró frente al </w:t>
      </w:r>
      <w:r w:rsidR="00851B40" w:rsidRPr="00D43C76">
        <w:rPr>
          <w:lang w:val="es-ES_tradnl"/>
        </w:rPr>
        <w:t>señor</w:t>
      </w:r>
      <w:r w:rsidR="000E7BFF" w:rsidRPr="00D43C76">
        <w:rPr>
          <w:lang w:val="es-ES_tradnl"/>
        </w:rPr>
        <w:t xml:space="preserve"> </w:t>
      </w:r>
      <w:r w:rsidR="007E65FB" w:rsidRPr="00D43C76">
        <w:rPr>
          <w:lang w:val="es-ES_tradnl"/>
        </w:rPr>
        <w:t xml:space="preserve">S. H. </w:t>
      </w:r>
      <w:r w:rsidR="00201BC7" w:rsidRPr="00D43C76">
        <w:rPr>
          <w:lang w:val="es-ES_tradnl"/>
        </w:rPr>
        <w:t xml:space="preserve">y sus amigos. Los ocupantes les dijeron al </w:t>
      </w:r>
      <w:r w:rsidR="00851B40" w:rsidRPr="00D43C76">
        <w:rPr>
          <w:lang w:val="es-ES_tradnl"/>
        </w:rPr>
        <w:t>señor</w:t>
      </w:r>
      <w:r w:rsidR="000E7BFF" w:rsidRPr="00D43C76">
        <w:rPr>
          <w:lang w:val="es-ES_tradnl"/>
        </w:rPr>
        <w:t xml:space="preserve"> </w:t>
      </w:r>
      <w:r w:rsidR="007E65FB" w:rsidRPr="00D43C76">
        <w:rPr>
          <w:lang w:val="es-ES_tradnl"/>
        </w:rPr>
        <w:t xml:space="preserve">S. H. </w:t>
      </w:r>
      <w:r w:rsidR="00201BC7" w:rsidRPr="00D43C76">
        <w:rPr>
          <w:lang w:val="es-ES_tradnl"/>
        </w:rPr>
        <w:t xml:space="preserve">y a sus amigos que no querían ningún </w:t>
      </w:r>
      <w:r w:rsidR="000E7BFF" w:rsidRPr="00D43C76">
        <w:rPr>
          <w:lang w:val="es-ES_tradnl"/>
        </w:rPr>
        <w:t xml:space="preserve">“batty man” </w:t>
      </w:r>
      <w:r w:rsidR="00201BC7" w:rsidRPr="00D43C76">
        <w:rPr>
          <w:lang w:val="es-ES_tradnl"/>
        </w:rPr>
        <w:t>e</w:t>
      </w:r>
      <w:r w:rsidR="000E7BFF" w:rsidRPr="00D43C76">
        <w:rPr>
          <w:lang w:val="es-ES_tradnl"/>
        </w:rPr>
        <w:t xml:space="preserve">n Ocho </w:t>
      </w:r>
      <w:r w:rsidR="00E152BE" w:rsidRPr="00D43C76">
        <w:rPr>
          <w:lang w:val="es-ES_tradnl"/>
        </w:rPr>
        <w:t>Ríos</w:t>
      </w:r>
      <w:r w:rsidR="00201BC7" w:rsidRPr="00D43C76">
        <w:rPr>
          <w:lang w:val="es-ES_tradnl"/>
        </w:rPr>
        <w:t xml:space="preserve"> y que en esa ciudad mataban a los maricones. El automóvil siguió al señor </w:t>
      </w:r>
      <w:r w:rsidR="00296580" w:rsidRPr="00D43C76">
        <w:rPr>
          <w:lang w:val="es-ES_tradnl"/>
        </w:rPr>
        <w:t>S. H</w:t>
      </w:r>
      <w:r w:rsidR="00201BC7" w:rsidRPr="00D43C76">
        <w:rPr>
          <w:lang w:val="es-ES_tradnl"/>
        </w:rPr>
        <w:t xml:space="preserve">. y a sus amigos, mientras los ocupantes gritaban, entre otras cosas: </w:t>
      </w:r>
      <w:r w:rsidR="00296580" w:rsidRPr="00D43C76">
        <w:rPr>
          <w:lang w:val="es-ES_tradnl"/>
        </w:rPr>
        <w:t>“</w:t>
      </w:r>
      <w:r w:rsidRPr="00D43C76">
        <w:rPr>
          <w:lang w:val="es-ES_tradnl"/>
        </w:rPr>
        <w:t>B</w:t>
      </w:r>
      <w:r w:rsidR="00296580" w:rsidRPr="00D43C76">
        <w:rPr>
          <w:lang w:val="es-ES_tradnl"/>
        </w:rPr>
        <w:t>atty man fi dead”</w:t>
      </w:r>
      <w:r w:rsidR="00201BC7" w:rsidRPr="00D43C76">
        <w:rPr>
          <w:color w:val="auto"/>
          <w:sz w:val="18"/>
          <w:szCs w:val="18"/>
          <w:lang w:val="es-ES_tradnl"/>
        </w:rPr>
        <w:t xml:space="preserve"> (</w:t>
      </w:r>
      <w:r w:rsidR="00201BC7" w:rsidRPr="00D43C76">
        <w:rPr>
          <w:lang w:val="es-ES_tradnl"/>
        </w:rPr>
        <w:t>“¡Muerte a los maricones!”)</w:t>
      </w:r>
      <w:r w:rsidR="00296580" w:rsidRPr="00D43C76">
        <w:rPr>
          <w:lang w:val="es-ES_tradnl"/>
        </w:rPr>
        <w:t xml:space="preserve">. </w:t>
      </w:r>
      <w:r w:rsidR="00201BC7" w:rsidRPr="00D43C76">
        <w:rPr>
          <w:lang w:val="es-ES_tradnl"/>
        </w:rPr>
        <w:t>Uno de los hombres que estaban en el automóvil le arrojó algo a</w:t>
      </w:r>
      <w:r w:rsidR="00851B40" w:rsidRPr="00D43C76">
        <w:rPr>
          <w:lang w:val="es-ES_tradnl"/>
        </w:rPr>
        <w:t>l señor</w:t>
      </w:r>
      <w:r w:rsidR="00296580" w:rsidRPr="00D43C76">
        <w:rPr>
          <w:lang w:val="es-ES_tradnl"/>
        </w:rPr>
        <w:t xml:space="preserve"> </w:t>
      </w:r>
      <w:r w:rsidR="007E65FB" w:rsidRPr="00D43C76">
        <w:rPr>
          <w:lang w:val="es-ES_tradnl"/>
        </w:rPr>
        <w:t>S. H.</w:t>
      </w:r>
      <w:r w:rsidR="00201BC7" w:rsidRPr="00D43C76">
        <w:rPr>
          <w:lang w:val="es-ES_tradnl"/>
        </w:rPr>
        <w:t>, pero no lo alcanzó. E</w:t>
      </w:r>
      <w:r w:rsidR="00851B40" w:rsidRPr="00D43C76">
        <w:rPr>
          <w:lang w:val="es-ES_tradnl"/>
        </w:rPr>
        <w:t>l señor</w:t>
      </w:r>
      <w:r w:rsidR="00296580" w:rsidRPr="00D43C76">
        <w:rPr>
          <w:lang w:val="es-ES_tradnl"/>
        </w:rPr>
        <w:t xml:space="preserve"> </w:t>
      </w:r>
      <w:r w:rsidR="007E65FB" w:rsidRPr="00D43C76">
        <w:rPr>
          <w:lang w:val="es-ES_tradnl"/>
        </w:rPr>
        <w:t xml:space="preserve">S. H. </w:t>
      </w:r>
      <w:r w:rsidR="00201BC7" w:rsidRPr="00D43C76">
        <w:rPr>
          <w:lang w:val="es-ES_tradnl"/>
        </w:rPr>
        <w:t xml:space="preserve">y sus amigos tomaron un atajo, por el cual el automóvil no pudo seguirlos, y fueron a la </w:t>
      </w:r>
      <w:r w:rsidRPr="00D43C76">
        <w:rPr>
          <w:lang w:val="es-ES_tradnl"/>
        </w:rPr>
        <w:t>c</w:t>
      </w:r>
      <w:r w:rsidR="00201BC7" w:rsidRPr="00D43C76">
        <w:rPr>
          <w:lang w:val="es-ES_tradnl"/>
        </w:rPr>
        <w:t xml:space="preserve">omisaría de </w:t>
      </w:r>
      <w:r w:rsidR="005F4ED7" w:rsidRPr="00D43C76">
        <w:rPr>
          <w:lang w:val="es-ES_tradnl"/>
        </w:rPr>
        <w:t xml:space="preserve">Ocho </w:t>
      </w:r>
      <w:r w:rsidR="00E152BE" w:rsidRPr="00D43C76">
        <w:rPr>
          <w:lang w:val="es-ES_tradnl"/>
        </w:rPr>
        <w:t>Ríos</w:t>
      </w:r>
      <w:r w:rsidR="00201BC7" w:rsidRPr="00D43C76">
        <w:rPr>
          <w:lang w:val="es-ES_tradnl"/>
        </w:rPr>
        <w:t>. La policía recibió la denuncia en el vestíbulo y después escoltó a</w:t>
      </w:r>
      <w:r w:rsidR="00851B40" w:rsidRPr="00D43C76">
        <w:rPr>
          <w:lang w:val="es-ES_tradnl"/>
        </w:rPr>
        <w:t>l señor</w:t>
      </w:r>
      <w:r w:rsidR="005F4ED7" w:rsidRPr="00D43C76">
        <w:rPr>
          <w:lang w:val="es-ES_tradnl"/>
        </w:rPr>
        <w:t xml:space="preserve"> </w:t>
      </w:r>
      <w:r w:rsidR="007E65FB" w:rsidRPr="00D43C76">
        <w:rPr>
          <w:lang w:val="es-ES_tradnl"/>
        </w:rPr>
        <w:t xml:space="preserve">S. H. </w:t>
      </w:r>
      <w:r w:rsidR="00201BC7" w:rsidRPr="00D43C76">
        <w:rPr>
          <w:lang w:val="es-ES_tradnl"/>
        </w:rPr>
        <w:t>y a sus amigos al centro de transporte de</w:t>
      </w:r>
      <w:r w:rsidR="005F4ED7" w:rsidRPr="00D43C76">
        <w:rPr>
          <w:lang w:val="es-ES_tradnl"/>
        </w:rPr>
        <w:t xml:space="preserve"> Ocho </w:t>
      </w:r>
      <w:r w:rsidR="00201BC7" w:rsidRPr="00D43C76">
        <w:rPr>
          <w:lang w:val="es-ES_tradnl"/>
        </w:rPr>
        <w:t>Ríos</w:t>
      </w:r>
      <w:r w:rsidR="005F4ED7" w:rsidRPr="00D43C76">
        <w:rPr>
          <w:lang w:val="es-ES_tradnl"/>
        </w:rPr>
        <w:t xml:space="preserve"> </w:t>
      </w:r>
      <w:r w:rsidR="00201BC7" w:rsidRPr="00D43C76">
        <w:rPr>
          <w:lang w:val="es-ES_tradnl"/>
        </w:rPr>
        <w:t xml:space="preserve">para que pudieran tomar un autobús de </w:t>
      </w:r>
      <w:r w:rsidRPr="00D43C76">
        <w:rPr>
          <w:lang w:val="es-ES_tradnl"/>
        </w:rPr>
        <w:t>regreso</w:t>
      </w:r>
      <w:r w:rsidR="00201BC7" w:rsidRPr="00D43C76">
        <w:rPr>
          <w:lang w:val="es-ES_tradnl"/>
        </w:rPr>
        <w:t xml:space="preserve"> a </w:t>
      </w:r>
      <w:r w:rsidR="005F4ED7" w:rsidRPr="00D43C76">
        <w:rPr>
          <w:lang w:val="es-ES_tradnl"/>
        </w:rPr>
        <w:t xml:space="preserve">Montego Bay. </w:t>
      </w:r>
    </w:p>
    <w:p w14:paraId="679F11B7" w14:textId="77777777" w:rsidR="00536F9B" w:rsidRPr="00D43C76" w:rsidRDefault="00536F9B" w:rsidP="00440603">
      <w:pPr>
        <w:rPr>
          <w:lang w:val="es-ES_tradnl"/>
        </w:rPr>
      </w:pPr>
    </w:p>
    <w:p w14:paraId="5C778CB8" w14:textId="77777777" w:rsidR="00536F9B" w:rsidRPr="00D43C76" w:rsidRDefault="00B355D0" w:rsidP="00F36115">
      <w:pPr>
        <w:pStyle w:val="parrafos"/>
        <w:numPr>
          <w:ilvl w:val="0"/>
          <w:numId w:val="57"/>
        </w:numPr>
        <w:tabs>
          <w:tab w:val="clear" w:pos="1080"/>
          <w:tab w:val="left" w:pos="720"/>
        </w:tabs>
        <w:ind w:left="0" w:firstLine="0"/>
        <w:rPr>
          <w:lang w:val="es-ES_tradnl"/>
        </w:rPr>
      </w:pPr>
      <w:r w:rsidRPr="00D43C76">
        <w:rPr>
          <w:lang w:val="es-ES_tradnl"/>
        </w:rPr>
        <w:t>Por otro lado</w:t>
      </w:r>
      <w:r w:rsidR="00C63B25" w:rsidRPr="00D43C76">
        <w:rPr>
          <w:lang w:val="es-ES_tradnl"/>
        </w:rPr>
        <w:t xml:space="preserve">, </w:t>
      </w:r>
      <w:r w:rsidR="00BD169F" w:rsidRPr="00D43C76">
        <w:rPr>
          <w:lang w:val="es-ES_tradnl"/>
        </w:rPr>
        <w:t xml:space="preserve">la </w:t>
      </w:r>
      <w:r w:rsidR="00D61759" w:rsidRPr="00D43C76">
        <w:rPr>
          <w:lang w:val="es-ES_tradnl"/>
        </w:rPr>
        <w:t xml:space="preserve">parte </w:t>
      </w:r>
      <w:r w:rsidR="00BD169F" w:rsidRPr="00D43C76">
        <w:rPr>
          <w:lang w:val="es-ES_tradnl"/>
        </w:rPr>
        <w:t>peticionaria</w:t>
      </w:r>
      <w:r w:rsidR="00C63B25" w:rsidRPr="00D43C76">
        <w:rPr>
          <w:lang w:val="es-ES_tradnl"/>
        </w:rPr>
        <w:t xml:space="preserve"> aleg</w:t>
      </w:r>
      <w:r w:rsidRPr="00D43C76">
        <w:rPr>
          <w:lang w:val="es-ES_tradnl"/>
        </w:rPr>
        <w:t>a que</w:t>
      </w:r>
      <w:r w:rsidR="00C63B25" w:rsidRPr="00D43C76">
        <w:rPr>
          <w:lang w:val="es-ES_tradnl"/>
        </w:rPr>
        <w:t xml:space="preserve"> </w:t>
      </w:r>
      <w:r w:rsidR="00851B40" w:rsidRPr="00D43C76">
        <w:rPr>
          <w:lang w:val="es-ES_tradnl"/>
        </w:rPr>
        <w:t>la señora</w:t>
      </w:r>
      <w:r w:rsidR="00C63B25" w:rsidRPr="00D43C76">
        <w:rPr>
          <w:lang w:val="es-ES_tradnl"/>
        </w:rPr>
        <w:t xml:space="preserve"> </w:t>
      </w:r>
      <w:r w:rsidR="007E65FB" w:rsidRPr="00D43C76">
        <w:rPr>
          <w:lang w:val="es-ES_tradnl"/>
        </w:rPr>
        <w:t>T. B.</w:t>
      </w:r>
      <w:r w:rsidR="00851B40" w:rsidRPr="00D43C76">
        <w:rPr>
          <w:lang w:val="es-ES_tradnl"/>
        </w:rPr>
        <w:t>,</w:t>
      </w:r>
      <w:r w:rsidR="007E65FB" w:rsidRPr="00D43C76">
        <w:rPr>
          <w:lang w:val="es-ES_tradnl"/>
        </w:rPr>
        <w:t xml:space="preserve"> </w:t>
      </w:r>
      <w:r w:rsidR="00851B40" w:rsidRPr="00D43C76">
        <w:rPr>
          <w:lang w:val="es-ES_tradnl"/>
        </w:rPr>
        <w:t>mujer trans</w:t>
      </w:r>
      <w:r w:rsidR="002F0459" w:rsidRPr="00D43C76">
        <w:rPr>
          <w:lang w:val="es-ES_tradnl"/>
        </w:rPr>
        <w:t xml:space="preserve"> </w:t>
      </w:r>
      <w:r w:rsidRPr="00D43C76">
        <w:rPr>
          <w:lang w:val="es-ES_tradnl"/>
        </w:rPr>
        <w:t xml:space="preserve">a quien se le había asignado el sexo masculino al nacer y que anteriormente se había identificado como hombre </w:t>
      </w:r>
      <w:r w:rsidR="002F0459" w:rsidRPr="00D43C76">
        <w:rPr>
          <w:lang w:val="es-ES_tradnl"/>
        </w:rPr>
        <w:t>gay,</w:t>
      </w:r>
      <w:r w:rsidR="00536F9B" w:rsidRPr="00D43C76">
        <w:rPr>
          <w:lang w:val="es-ES_tradnl"/>
        </w:rPr>
        <w:t xml:space="preserve"> ha</w:t>
      </w:r>
      <w:r w:rsidRPr="00D43C76">
        <w:rPr>
          <w:lang w:val="es-ES_tradnl"/>
        </w:rPr>
        <w:t xml:space="preserve"> sufrido </w:t>
      </w:r>
      <w:r w:rsidR="00851B40" w:rsidRPr="00D43C76">
        <w:rPr>
          <w:lang w:val="es-ES_tradnl"/>
        </w:rPr>
        <w:t>discriminación</w:t>
      </w:r>
      <w:r w:rsidR="00921DCE" w:rsidRPr="00D43C76">
        <w:rPr>
          <w:lang w:val="es-ES_tradnl"/>
        </w:rPr>
        <w:t xml:space="preserve"> </w:t>
      </w:r>
      <w:r w:rsidRPr="00D43C76">
        <w:rPr>
          <w:lang w:val="es-ES_tradnl"/>
        </w:rPr>
        <w:t xml:space="preserve">desde la infancia debido a su </w:t>
      </w:r>
      <w:r w:rsidR="00851B40" w:rsidRPr="00D43C76">
        <w:rPr>
          <w:lang w:val="es-ES_tradnl"/>
        </w:rPr>
        <w:t>orientación sexual</w:t>
      </w:r>
      <w:r w:rsidR="00A918F2" w:rsidRPr="00D43C76">
        <w:rPr>
          <w:lang w:val="es-ES_tradnl"/>
        </w:rPr>
        <w:t>,</w:t>
      </w:r>
      <w:r w:rsidR="00C63B25" w:rsidRPr="00D43C76">
        <w:rPr>
          <w:lang w:val="es-ES_tradnl"/>
        </w:rPr>
        <w:t xml:space="preserve"> </w:t>
      </w:r>
      <w:r w:rsidRPr="00D43C76">
        <w:rPr>
          <w:lang w:val="es-ES_tradnl"/>
        </w:rPr>
        <w:t>su identidad de género</w:t>
      </w:r>
      <w:r w:rsidR="00A918F2" w:rsidRPr="00D43C76">
        <w:rPr>
          <w:lang w:val="es-ES_tradnl"/>
        </w:rPr>
        <w:t xml:space="preserve"> </w:t>
      </w:r>
      <w:r w:rsidRPr="00D43C76">
        <w:rPr>
          <w:lang w:val="es-ES_tradnl"/>
        </w:rPr>
        <w:t xml:space="preserve">y su expresión de género. </w:t>
      </w:r>
      <w:r w:rsidR="00BD169F" w:rsidRPr="00D43C76">
        <w:rPr>
          <w:lang w:val="es-ES_tradnl"/>
        </w:rPr>
        <w:t>La peticionaria</w:t>
      </w:r>
      <w:r w:rsidRPr="00D43C76">
        <w:rPr>
          <w:lang w:val="es-ES_tradnl"/>
        </w:rPr>
        <w:t xml:space="preserve"> afirma que la señora T. B. vivió en </w:t>
      </w:r>
      <w:r w:rsidR="00A4021B" w:rsidRPr="00D43C76">
        <w:rPr>
          <w:lang w:val="es-ES_tradnl"/>
        </w:rPr>
        <w:t>Clarendon</w:t>
      </w:r>
      <w:r w:rsidRPr="00D43C76">
        <w:rPr>
          <w:lang w:val="es-ES_tradnl"/>
        </w:rPr>
        <w:t xml:space="preserve"> (</w:t>
      </w:r>
      <w:r w:rsidR="00A4021B" w:rsidRPr="00D43C76">
        <w:rPr>
          <w:lang w:val="es-ES_tradnl"/>
        </w:rPr>
        <w:t>Jamaic</w:t>
      </w:r>
      <w:r w:rsidR="00C63B25" w:rsidRPr="00D43C76">
        <w:rPr>
          <w:lang w:val="es-ES_tradnl"/>
        </w:rPr>
        <w:t>a</w:t>
      </w:r>
      <w:r w:rsidRPr="00D43C76">
        <w:rPr>
          <w:lang w:val="es-ES_tradnl"/>
        </w:rPr>
        <w:t xml:space="preserve">) hasta el </w:t>
      </w:r>
      <w:r w:rsidR="00C63B25" w:rsidRPr="00D43C76">
        <w:rPr>
          <w:lang w:val="es-ES_tradnl"/>
        </w:rPr>
        <w:t>15</w:t>
      </w:r>
      <w:r w:rsidRPr="00D43C76">
        <w:rPr>
          <w:lang w:val="es-ES_tradnl"/>
        </w:rPr>
        <w:t xml:space="preserve"> de marzo de</w:t>
      </w:r>
      <w:r w:rsidR="00C63B25" w:rsidRPr="00D43C76">
        <w:rPr>
          <w:lang w:val="es-ES_tradnl"/>
        </w:rPr>
        <w:t xml:space="preserve"> 2011, </w:t>
      </w:r>
      <w:r w:rsidRPr="00D43C76">
        <w:rPr>
          <w:lang w:val="es-ES_tradnl"/>
        </w:rPr>
        <w:t>fecha en que su familia la echó de la casa</w:t>
      </w:r>
      <w:r w:rsidR="001A10CD" w:rsidRPr="00D43C76">
        <w:rPr>
          <w:lang w:val="es-ES_tradnl"/>
        </w:rPr>
        <w:t>, y t</w:t>
      </w:r>
      <w:r w:rsidRPr="00D43C76">
        <w:rPr>
          <w:lang w:val="es-ES_tradnl"/>
        </w:rPr>
        <w:t xml:space="preserve">uvo que huir porque varios hombres amenazaron con matarla y prender fuego a la casa debido a su </w:t>
      </w:r>
      <w:r w:rsidR="00851B40" w:rsidRPr="00D43C76">
        <w:rPr>
          <w:lang w:val="es-ES_tradnl"/>
        </w:rPr>
        <w:t>orientación sexual</w:t>
      </w:r>
      <w:r w:rsidR="00A4021B" w:rsidRPr="00D43C76">
        <w:rPr>
          <w:lang w:val="es-ES_tradnl"/>
        </w:rPr>
        <w:t xml:space="preserve">. </w:t>
      </w:r>
      <w:r w:rsidRPr="00D43C76">
        <w:rPr>
          <w:lang w:val="es-ES_tradnl"/>
        </w:rPr>
        <w:t>Desde entonces ha tenido que mudarse constantemente y se ha quedado por lo menos en ocho lugares diferentes para no tener que vivir en la calle.</w:t>
      </w:r>
    </w:p>
    <w:p w14:paraId="715E569E" w14:textId="77777777" w:rsidR="00B251FF" w:rsidRPr="00D43C76" w:rsidRDefault="00B251FF" w:rsidP="00B251FF">
      <w:pPr>
        <w:pStyle w:val="ListParagraph"/>
        <w:rPr>
          <w:lang w:val="es-ES_tradnl"/>
        </w:rPr>
      </w:pPr>
    </w:p>
    <w:p w14:paraId="4B2DDB31" w14:textId="77777777" w:rsidR="00B251FF" w:rsidRPr="00D43C76" w:rsidRDefault="00B355D0" w:rsidP="00F36115">
      <w:pPr>
        <w:pStyle w:val="parrafos"/>
        <w:numPr>
          <w:ilvl w:val="0"/>
          <w:numId w:val="57"/>
        </w:numPr>
        <w:tabs>
          <w:tab w:val="clear" w:pos="1080"/>
          <w:tab w:val="left" w:pos="720"/>
        </w:tabs>
        <w:ind w:left="0" w:firstLine="0"/>
        <w:rPr>
          <w:lang w:val="es-ES_tradnl"/>
        </w:rPr>
      </w:pPr>
      <w:r w:rsidRPr="00D43C76">
        <w:rPr>
          <w:lang w:val="es-ES_tradnl"/>
        </w:rPr>
        <w:t xml:space="preserve">Específicamente, </w:t>
      </w:r>
      <w:r w:rsidR="009A41FF" w:rsidRPr="00D43C76">
        <w:rPr>
          <w:lang w:val="es-ES_tradnl"/>
        </w:rPr>
        <w:t xml:space="preserve">la señora T. B. </w:t>
      </w:r>
      <w:r w:rsidRPr="00D43C76">
        <w:rPr>
          <w:lang w:val="es-ES_tradnl"/>
        </w:rPr>
        <w:t xml:space="preserve">afirma que, el </w:t>
      </w:r>
      <w:r w:rsidR="00C63B25" w:rsidRPr="00D43C76">
        <w:rPr>
          <w:lang w:val="es-ES_tradnl"/>
        </w:rPr>
        <w:t>12</w:t>
      </w:r>
      <w:r w:rsidRPr="00D43C76">
        <w:rPr>
          <w:lang w:val="es-ES_tradnl"/>
        </w:rPr>
        <w:t xml:space="preserve"> de marzo de</w:t>
      </w:r>
      <w:r w:rsidR="00C63B25" w:rsidRPr="00D43C76">
        <w:rPr>
          <w:lang w:val="es-ES_tradnl"/>
        </w:rPr>
        <w:t xml:space="preserve"> 2011</w:t>
      </w:r>
      <w:r w:rsidRPr="00D43C76">
        <w:rPr>
          <w:lang w:val="es-ES_tradnl"/>
        </w:rPr>
        <w:t>,</w:t>
      </w:r>
      <w:r w:rsidR="00C63B25" w:rsidRPr="00D43C76">
        <w:rPr>
          <w:lang w:val="es-ES_tradnl"/>
        </w:rPr>
        <w:t xml:space="preserve"> </w:t>
      </w:r>
      <w:r w:rsidRPr="00D43C76">
        <w:rPr>
          <w:lang w:val="es-ES_tradnl"/>
        </w:rPr>
        <w:t xml:space="preserve">fue atacada por una </w:t>
      </w:r>
      <w:r w:rsidR="00F664DE" w:rsidRPr="00D43C76">
        <w:rPr>
          <w:lang w:val="es-ES_tradnl"/>
        </w:rPr>
        <w:t>turba</w:t>
      </w:r>
      <w:r w:rsidRPr="00D43C76">
        <w:rPr>
          <w:lang w:val="es-ES_tradnl"/>
        </w:rPr>
        <w:t>. Ese día, poco antes de las 19:00 horas, fue a comer a un r</w:t>
      </w:r>
      <w:r w:rsidR="000024D8" w:rsidRPr="00D43C76">
        <w:rPr>
          <w:lang w:val="es-ES_tradnl"/>
        </w:rPr>
        <w:t>estaurant</w:t>
      </w:r>
      <w:r w:rsidRPr="00D43C76">
        <w:rPr>
          <w:lang w:val="es-ES_tradnl"/>
        </w:rPr>
        <w:t xml:space="preserve">e. Estaba sentada a una mesa con un amigo que tenía un aspecto muy femenino, mirando a unos hombres. Esos hombres se acercaron, los insultaron y les dijeron que no querían </w:t>
      </w:r>
      <w:r w:rsidR="001D4204" w:rsidRPr="00D43C76">
        <w:rPr>
          <w:lang w:val="es-ES_tradnl"/>
        </w:rPr>
        <w:t>maricones allí, mientras imitaban el sonido de disparos. L</w:t>
      </w:r>
      <w:r w:rsidR="00851B40" w:rsidRPr="00D43C76">
        <w:rPr>
          <w:lang w:val="es-ES_tradnl"/>
        </w:rPr>
        <w:t>a señora</w:t>
      </w:r>
      <w:r w:rsidR="00A918F2" w:rsidRPr="00D43C76">
        <w:rPr>
          <w:lang w:val="es-ES_tradnl"/>
        </w:rPr>
        <w:t xml:space="preserve"> T.</w:t>
      </w:r>
      <w:r w:rsidR="000024D8" w:rsidRPr="00D43C76">
        <w:rPr>
          <w:lang w:val="es-ES_tradnl"/>
        </w:rPr>
        <w:t xml:space="preserve"> B cr</w:t>
      </w:r>
      <w:r w:rsidR="001D4204" w:rsidRPr="00D43C76">
        <w:rPr>
          <w:lang w:val="es-ES_tradnl"/>
        </w:rPr>
        <w:t>uzó la calle para escapar de la escena. Mientras cruzaba, vio gente acercándose desde todas las direcciones para atacarlos con botellas, piedras y bastones</w:t>
      </w:r>
      <w:r w:rsidR="000350BE" w:rsidRPr="00D43C76">
        <w:rPr>
          <w:lang w:val="es-ES_tradnl"/>
        </w:rPr>
        <w:t xml:space="preserve">. </w:t>
      </w:r>
      <w:r w:rsidR="001D4204" w:rsidRPr="00D43C76">
        <w:rPr>
          <w:lang w:val="es-ES_tradnl"/>
        </w:rPr>
        <w:t>Entr</w:t>
      </w:r>
      <w:r w:rsidR="009A41FF" w:rsidRPr="00D43C76">
        <w:rPr>
          <w:lang w:val="es-ES_tradnl"/>
        </w:rPr>
        <w:t xml:space="preserve">ó </w:t>
      </w:r>
      <w:r w:rsidR="001D4204" w:rsidRPr="00D43C76">
        <w:rPr>
          <w:lang w:val="es-ES_tradnl"/>
        </w:rPr>
        <w:t xml:space="preserve">corriendo </w:t>
      </w:r>
      <w:r w:rsidR="009A41FF" w:rsidRPr="00D43C76">
        <w:rPr>
          <w:lang w:val="es-ES_tradnl"/>
        </w:rPr>
        <w:t xml:space="preserve">con su amigo </w:t>
      </w:r>
      <w:r w:rsidR="001D4204" w:rsidRPr="00D43C76">
        <w:rPr>
          <w:lang w:val="es-ES_tradnl"/>
        </w:rPr>
        <w:t xml:space="preserve">en un comercio que estaba cerca, y entonces llegó la policía, que </w:t>
      </w:r>
      <w:r w:rsidR="009A41FF" w:rsidRPr="00D43C76">
        <w:rPr>
          <w:lang w:val="es-ES_tradnl"/>
        </w:rPr>
        <w:t xml:space="preserve">los llevó </w:t>
      </w:r>
      <w:r w:rsidR="001D4204" w:rsidRPr="00D43C76">
        <w:rPr>
          <w:lang w:val="es-ES_tradnl"/>
        </w:rPr>
        <w:t>a la comisaría</w:t>
      </w:r>
      <w:r w:rsidR="009C1EB2" w:rsidRPr="00D43C76">
        <w:rPr>
          <w:lang w:val="es-ES_tradnl"/>
        </w:rPr>
        <w:t xml:space="preserve">. </w:t>
      </w:r>
      <w:r w:rsidR="001D4204" w:rsidRPr="00D43C76">
        <w:rPr>
          <w:lang w:val="es-ES_tradnl"/>
        </w:rPr>
        <w:t xml:space="preserve">Cuando llegaron, los agentes de policía les informaron que iban a </w:t>
      </w:r>
      <w:r w:rsidR="001A10CD" w:rsidRPr="00D43C76">
        <w:rPr>
          <w:lang w:val="es-ES_tradnl"/>
        </w:rPr>
        <w:t xml:space="preserve">formular cargos en su contra </w:t>
      </w:r>
      <w:r w:rsidR="001D4204" w:rsidRPr="00D43C76">
        <w:rPr>
          <w:lang w:val="es-ES_tradnl"/>
        </w:rPr>
        <w:t xml:space="preserve">y que, si no cooperaban, encontrarían una docena de delitos </w:t>
      </w:r>
      <w:r w:rsidR="00BB487D" w:rsidRPr="00D43C76">
        <w:rPr>
          <w:lang w:val="es-ES_tradnl"/>
        </w:rPr>
        <w:t>de los cuales acusarlos</w:t>
      </w:r>
      <w:r w:rsidR="001D4204" w:rsidRPr="00D43C76">
        <w:rPr>
          <w:lang w:val="es-ES_tradnl"/>
        </w:rPr>
        <w:t>. La señora T. B. alega que, desde el momento en que llegó a la comisaría con su amigo —después de las 19:00 horas— hasta las 3:00 de la mañana, aproximadamente, siete u ocho agentes de policía los acosaron y los maltrataron constantemente. Agrega que oyó a algunos de los policías decir: “Matémoslos aquí</w:t>
      </w:r>
      <w:r w:rsidR="009A41FF" w:rsidRPr="00D43C76">
        <w:rPr>
          <w:lang w:val="es-ES_tradnl"/>
        </w:rPr>
        <w:t>; si los matamos, no pasará nada</w:t>
      </w:r>
      <w:r w:rsidR="00544038" w:rsidRPr="00D43C76">
        <w:rPr>
          <w:lang w:val="es-ES_tradnl"/>
        </w:rPr>
        <w:t>”.</w:t>
      </w:r>
    </w:p>
    <w:p w14:paraId="393EC0F1" w14:textId="77777777" w:rsidR="0034711B" w:rsidRPr="00D43C76" w:rsidRDefault="0034711B" w:rsidP="0034711B">
      <w:pPr>
        <w:pStyle w:val="parrafos"/>
        <w:tabs>
          <w:tab w:val="left" w:pos="720"/>
        </w:tabs>
        <w:rPr>
          <w:lang w:val="es-ES_tradnl"/>
        </w:rPr>
      </w:pPr>
    </w:p>
    <w:p w14:paraId="377CA4BC" w14:textId="77777777" w:rsidR="000B4CB4" w:rsidRPr="00D43C76" w:rsidRDefault="009A41FF" w:rsidP="00F36115">
      <w:pPr>
        <w:pStyle w:val="parrafos"/>
        <w:numPr>
          <w:ilvl w:val="0"/>
          <w:numId w:val="57"/>
        </w:numPr>
        <w:tabs>
          <w:tab w:val="clear" w:pos="1080"/>
          <w:tab w:val="left" w:pos="720"/>
        </w:tabs>
        <w:ind w:left="0" w:firstLine="0"/>
        <w:rPr>
          <w:lang w:val="es-ES_tradnl"/>
        </w:rPr>
      </w:pPr>
      <w:r w:rsidRPr="00D43C76">
        <w:rPr>
          <w:lang w:val="es-ES_tradnl"/>
        </w:rPr>
        <w:t>La señora T. B. señala que, en un momento dado, la policía les permitió irse de la comisaría. Cuando estaban saliendo</w:t>
      </w:r>
      <w:r w:rsidR="0034711B" w:rsidRPr="00D43C76">
        <w:rPr>
          <w:lang w:val="es-ES_tradnl"/>
        </w:rPr>
        <w:t xml:space="preserve">, </w:t>
      </w:r>
      <w:r w:rsidRPr="00D43C76">
        <w:rPr>
          <w:lang w:val="es-ES_tradnl"/>
        </w:rPr>
        <w:t xml:space="preserve">uno de los agentes les dijo: “Que sea la última vez que los veo en </w:t>
      </w:r>
      <w:r w:rsidR="00DC402C" w:rsidRPr="00D43C76">
        <w:rPr>
          <w:lang w:val="es-ES_tradnl"/>
        </w:rPr>
        <w:t>Mandeville</w:t>
      </w:r>
      <w:r w:rsidRPr="00D43C76">
        <w:rPr>
          <w:lang w:val="es-ES_tradnl"/>
        </w:rPr>
        <w:t>. Yo soy policía de civil; si los veo otra vez e</w:t>
      </w:r>
      <w:r w:rsidR="00DC402C" w:rsidRPr="00D43C76">
        <w:rPr>
          <w:lang w:val="es-ES_tradnl"/>
        </w:rPr>
        <w:t>n Mandeville</w:t>
      </w:r>
      <w:r w:rsidRPr="00D43C76">
        <w:rPr>
          <w:lang w:val="es-ES_tradnl"/>
        </w:rPr>
        <w:t xml:space="preserve">, voy a hacer que la </w:t>
      </w:r>
      <w:r w:rsidR="00F664DE" w:rsidRPr="00D43C76">
        <w:rPr>
          <w:lang w:val="es-ES_tradnl"/>
        </w:rPr>
        <w:t>turba</w:t>
      </w:r>
      <w:r w:rsidRPr="00D43C76">
        <w:rPr>
          <w:lang w:val="es-ES_tradnl"/>
        </w:rPr>
        <w:t xml:space="preserve"> les dé una paliza peor de la que planeaban</w:t>
      </w:r>
      <w:r w:rsidR="00DC402C" w:rsidRPr="00D43C76">
        <w:rPr>
          <w:lang w:val="es-ES_tradnl"/>
        </w:rPr>
        <w:t>”.</w:t>
      </w:r>
      <w:r w:rsidR="006841CF" w:rsidRPr="00D43C76">
        <w:rPr>
          <w:lang w:val="es-ES_tradnl"/>
        </w:rPr>
        <w:t xml:space="preserve"> </w:t>
      </w:r>
      <w:r w:rsidRPr="00D43C76">
        <w:rPr>
          <w:lang w:val="es-ES_tradnl"/>
        </w:rPr>
        <w:t xml:space="preserve">Según </w:t>
      </w:r>
      <w:r w:rsidR="00BD169F" w:rsidRPr="00D43C76">
        <w:rPr>
          <w:lang w:val="es-ES_tradnl"/>
        </w:rPr>
        <w:t xml:space="preserve">la </w:t>
      </w:r>
      <w:r w:rsidR="00F664DE" w:rsidRPr="00D43C76">
        <w:rPr>
          <w:lang w:val="es-ES_tradnl"/>
        </w:rPr>
        <w:t xml:space="preserve">parte </w:t>
      </w:r>
      <w:r w:rsidR="00BD169F" w:rsidRPr="00D43C76">
        <w:rPr>
          <w:lang w:val="es-ES_tradnl"/>
        </w:rPr>
        <w:t>peticionaria</w:t>
      </w:r>
      <w:r w:rsidR="00A918F2" w:rsidRPr="00D43C76">
        <w:rPr>
          <w:lang w:val="es-ES_tradnl"/>
        </w:rPr>
        <w:t xml:space="preserve">, </w:t>
      </w:r>
      <w:r w:rsidRPr="00D43C76">
        <w:rPr>
          <w:lang w:val="es-ES_tradnl"/>
        </w:rPr>
        <w:t xml:space="preserve">el </w:t>
      </w:r>
      <w:r w:rsidR="00A918F2" w:rsidRPr="00D43C76">
        <w:rPr>
          <w:lang w:val="es-ES_tradnl"/>
        </w:rPr>
        <w:t>15</w:t>
      </w:r>
      <w:r w:rsidRPr="00D43C76">
        <w:rPr>
          <w:lang w:val="es-ES_tradnl"/>
        </w:rPr>
        <w:t xml:space="preserve"> de mayo,</w:t>
      </w:r>
      <w:r w:rsidR="00A918F2" w:rsidRPr="00D43C76">
        <w:rPr>
          <w:lang w:val="es-ES_tradnl"/>
        </w:rPr>
        <w:t xml:space="preserve"> </w:t>
      </w:r>
      <w:r w:rsidR="00851B40" w:rsidRPr="00D43C76">
        <w:rPr>
          <w:lang w:val="es-ES_tradnl"/>
        </w:rPr>
        <w:t xml:space="preserve">la </w:t>
      </w:r>
      <w:r w:rsidRPr="00D43C76">
        <w:rPr>
          <w:lang w:val="es-ES_tradnl"/>
        </w:rPr>
        <w:t xml:space="preserve">madre de la </w:t>
      </w:r>
      <w:r w:rsidR="00851B40" w:rsidRPr="00D43C76">
        <w:rPr>
          <w:lang w:val="es-ES_tradnl"/>
        </w:rPr>
        <w:t>señora</w:t>
      </w:r>
      <w:r w:rsidR="00A918F2" w:rsidRPr="00D43C76">
        <w:rPr>
          <w:lang w:val="es-ES_tradnl"/>
        </w:rPr>
        <w:t xml:space="preserve"> T.</w:t>
      </w:r>
      <w:r w:rsidRPr="00D43C76">
        <w:rPr>
          <w:lang w:val="es-ES_tradnl"/>
        </w:rPr>
        <w:t xml:space="preserve"> </w:t>
      </w:r>
      <w:r w:rsidR="00A918F2" w:rsidRPr="00D43C76">
        <w:rPr>
          <w:lang w:val="es-ES_tradnl"/>
        </w:rPr>
        <w:t>B</w:t>
      </w:r>
      <w:r w:rsidR="006841CF" w:rsidRPr="00D43C76">
        <w:rPr>
          <w:lang w:val="es-ES_tradnl"/>
        </w:rPr>
        <w:t>.</w:t>
      </w:r>
      <w:r w:rsidR="00A918F2" w:rsidRPr="00D43C76">
        <w:rPr>
          <w:lang w:val="es-ES_tradnl"/>
        </w:rPr>
        <w:t xml:space="preserve"> </w:t>
      </w:r>
      <w:r w:rsidRPr="00D43C76">
        <w:rPr>
          <w:lang w:val="es-ES_tradnl"/>
        </w:rPr>
        <w:t>la echó de su casa. La señora T. B. fue a quedarse con un diácono de la iglesia, pero la maltrataron y tuvo que irse poco después. Desde entonces ha estado mudándose constantemente y ahora se encuentra en el exterior</w:t>
      </w:r>
      <w:r w:rsidR="00150FA9" w:rsidRPr="00D43C76">
        <w:rPr>
          <w:lang w:val="es-ES_tradnl"/>
        </w:rPr>
        <w:t>.</w:t>
      </w:r>
    </w:p>
    <w:p w14:paraId="43C88934" w14:textId="77777777" w:rsidR="00DD300E" w:rsidRPr="00D43C76" w:rsidRDefault="00DD300E" w:rsidP="00DD300E">
      <w:pPr>
        <w:pStyle w:val="parrafos"/>
        <w:tabs>
          <w:tab w:val="left" w:pos="720"/>
        </w:tabs>
        <w:rPr>
          <w:lang w:val="es-ES_tradnl"/>
        </w:rPr>
      </w:pPr>
    </w:p>
    <w:p w14:paraId="7F445F9C" w14:textId="77777777" w:rsidR="007A538E" w:rsidRPr="00D43C76" w:rsidRDefault="00845E02" w:rsidP="00D00AE9">
      <w:pPr>
        <w:pStyle w:val="parrafos"/>
        <w:numPr>
          <w:ilvl w:val="0"/>
          <w:numId w:val="57"/>
        </w:numPr>
        <w:tabs>
          <w:tab w:val="clear" w:pos="1080"/>
          <w:tab w:val="left" w:pos="720"/>
        </w:tabs>
        <w:ind w:left="0" w:firstLine="0"/>
        <w:rPr>
          <w:lang w:val="es-ES_tradnl"/>
        </w:rPr>
      </w:pPr>
      <w:r w:rsidRPr="00D43C76">
        <w:rPr>
          <w:lang w:val="es-ES_tradnl"/>
        </w:rPr>
        <w:t xml:space="preserve">Con respecto a la </w:t>
      </w:r>
      <w:r w:rsidR="00851B40" w:rsidRPr="00D43C76">
        <w:rPr>
          <w:b/>
          <w:lang w:val="es-ES_tradnl"/>
        </w:rPr>
        <w:t>admisibilidad</w:t>
      </w:r>
      <w:r w:rsidR="001C241E" w:rsidRPr="00D43C76">
        <w:rPr>
          <w:lang w:val="es-ES_tradnl"/>
        </w:rPr>
        <w:t xml:space="preserve">, </w:t>
      </w:r>
      <w:r w:rsidR="00BD169F" w:rsidRPr="00D43C76">
        <w:rPr>
          <w:lang w:val="es-ES_tradnl"/>
        </w:rPr>
        <w:t xml:space="preserve">la </w:t>
      </w:r>
      <w:r w:rsidR="00F664DE" w:rsidRPr="00D43C76">
        <w:rPr>
          <w:lang w:val="es-ES_tradnl"/>
        </w:rPr>
        <w:t xml:space="preserve">parte </w:t>
      </w:r>
      <w:r w:rsidR="00BD169F" w:rsidRPr="00D43C76">
        <w:rPr>
          <w:lang w:val="es-ES_tradnl"/>
        </w:rPr>
        <w:t>peticionaria</w:t>
      </w:r>
      <w:r w:rsidR="001C241E" w:rsidRPr="00D43C76">
        <w:rPr>
          <w:lang w:val="es-ES_tradnl"/>
        </w:rPr>
        <w:t xml:space="preserve"> </w:t>
      </w:r>
      <w:r w:rsidR="00F17E5B" w:rsidRPr="00D43C76">
        <w:rPr>
          <w:lang w:val="es-ES_tradnl"/>
        </w:rPr>
        <w:t xml:space="preserve">afirma que la petición cumple todos los requisitos establecidos en </w:t>
      </w:r>
      <w:r w:rsidRPr="00D43C76">
        <w:rPr>
          <w:lang w:val="es-ES_tradnl"/>
        </w:rPr>
        <w:t>la Convención Americana</w:t>
      </w:r>
      <w:r w:rsidR="009C41FF" w:rsidRPr="00D43C76">
        <w:rPr>
          <w:lang w:val="es-ES_tradnl"/>
        </w:rPr>
        <w:t xml:space="preserve"> sobre Derechos Humanos</w:t>
      </w:r>
      <w:r w:rsidR="00246179" w:rsidRPr="00D43C76">
        <w:rPr>
          <w:lang w:val="es-ES_tradnl"/>
        </w:rPr>
        <w:t xml:space="preserve"> (en adelante “la Convención”)</w:t>
      </w:r>
      <w:r w:rsidR="000122F8" w:rsidRPr="00D43C76">
        <w:rPr>
          <w:lang w:val="es-ES_tradnl"/>
        </w:rPr>
        <w:t xml:space="preserve">. </w:t>
      </w:r>
      <w:r w:rsidR="00F17E5B" w:rsidRPr="00D43C76">
        <w:rPr>
          <w:lang w:val="es-ES_tradnl"/>
        </w:rPr>
        <w:t>En lo que se refiere al agotamiento de los recursos internos, señala que la petición cumple los requisitos para una ex</w:t>
      </w:r>
      <w:r w:rsidR="007B16CC" w:rsidRPr="00D43C76">
        <w:rPr>
          <w:lang w:val="es-ES_tradnl"/>
        </w:rPr>
        <w:t>cepci</w:t>
      </w:r>
      <w:r w:rsidR="00F17E5B" w:rsidRPr="00D43C76">
        <w:rPr>
          <w:lang w:val="es-ES_tradnl"/>
        </w:rPr>
        <w:t xml:space="preserve">ón dispuestos en el </w:t>
      </w:r>
      <w:r w:rsidRPr="00D43C76">
        <w:rPr>
          <w:lang w:val="es-ES_tradnl"/>
        </w:rPr>
        <w:t>artículo</w:t>
      </w:r>
      <w:r w:rsidR="00332727" w:rsidRPr="00D43C76">
        <w:rPr>
          <w:lang w:val="es-ES_tradnl"/>
        </w:rPr>
        <w:t xml:space="preserve"> 31</w:t>
      </w:r>
      <w:r w:rsidR="00DD7AC8" w:rsidRPr="00D43C76">
        <w:rPr>
          <w:lang w:val="es-ES_tradnl"/>
        </w:rPr>
        <w:t>.</w:t>
      </w:r>
      <w:r w:rsidR="00332727" w:rsidRPr="00D43C76">
        <w:rPr>
          <w:lang w:val="es-ES_tradnl"/>
        </w:rPr>
        <w:t>2</w:t>
      </w:r>
      <w:r w:rsidR="00F17E5B" w:rsidRPr="00D43C76">
        <w:rPr>
          <w:lang w:val="es-ES_tradnl"/>
        </w:rPr>
        <w:t xml:space="preserve">, incisos </w:t>
      </w:r>
      <w:r w:rsidR="00332727" w:rsidRPr="00D43C76">
        <w:rPr>
          <w:lang w:val="es-ES_tradnl"/>
        </w:rPr>
        <w:t>a</w:t>
      </w:r>
      <w:r w:rsidR="00DD7AC8" w:rsidRPr="00D43C76">
        <w:rPr>
          <w:lang w:val="es-ES_tradnl"/>
        </w:rPr>
        <w:t xml:space="preserve"> y </w:t>
      </w:r>
      <w:r w:rsidR="00332727" w:rsidRPr="00D43C76">
        <w:rPr>
          <w:lang w:val="es-ES_tradnl"/>
        </w:rPr>
        <w:t>b</w:t>
      </w:r>
      <w:r w:rsidR="00F17E5B" w:rsidRPr="00D43C76">
        <w:rPr>
          <w:lang w:val="es-ES_tradnl"/>
        </w:rPr>
        <w:t xml:space="preserve">, del Reglamento de la Comisión porque en el </w:t>
      </w:r>
      <w:r w:rsidR="0078259B" w:rsidRPr="00D43C76">
        <w:rPr>
          <w:lang w:val="es-ES_tradnl"/>
        </w:rPr>
        <w:t>apartado</w:t>
      </w:r>
      <w:r w:rsidR="00F17E5B" w:rsidRPr="00D43C76">
        <w:rPr>
          <w:lang w:val="es-ES_tradnl"/>
        </w:rPr>
        <w:t xml:space="preserve"> </w:t>
      </w:r>
      <w:r w:rsidR="00DA06A2" w:rsidRPr="00D43C76">
        <w:rPr>
          <w:lang w:val="es-ES_tradnl"/>
        </w:rPr>
        <w:t>13</w:t>
      </w:r>
      <w:r w:rsidR="00F17E5B" w:rsidRPr="00D43C76">
        <w:rPr>
          <w:lang w:val="es-ES_tradnl"/>
        </w:rPr>
        <w:t>.</w:t>
      </w:r>
      <w:r w:rsidR="00DA06A2" w:rsidRPr="00D43C76">
        <w:rPr>
          <w:lang w:val="es-ES_tradnl"/>
        </w:rPr>
        <w:t>12</w:t>
      </w:r>
      <w:r w:rsidR="00F17E5B" w:rsidRPr="00D43C76">
        <w:rPr>
          <w:lang w:val="es-ES_tradnl"/>
        </w:rPr>
        <w:t xml:space="preserve"> de la </w:t>
      </w:r>
      <w:r w:rsidR="00F17E5B" w:rsidRPr="00D43C76">
        <w:rPr>
          <w:lang w:val="es-ES_tradnl"/>
        </w:rPr>
        <w:lastRenderedPageBreak/>
        <w:t>Carta de Derechos y Libertades Fundamentales de Jamaica</w:t>
      </w:r>
      <w:r w:rsidR="00DA06A2" w:rsidRPr="00D43C76">
        <w:rPr>
          <w:lang w:val="es-ES_tradnl"/>
        </w:rPr>
        <w:t xml:space="preserve">, </w:t>
      </w:r>
      <w:r w:rsidR="00F17E5B" w:rsidRPr="00D43C76">
        <w:rPr>
          <w:lang w:val="es-ES_tradnl"/>
        </w:rPr>
        <w:t xml:space="preserve">la “cláusula de exclusión”, se establece que </w:t>
      </w:r>
      <w:r w:rsidR="001E6855" w:rsidRPr="00D43C76">
        <w:rPr>
          <w:lang w:val="es-ES_tradnl"/>
        </w:rPr>
        <w:t>n</w:t>
      </w:r>
      <w:r w:rsidR="00F17E5B" w:rsidRPr="00D43C76">
        <w:rPr>
          <w:lang w:val="es-ES_tradnl"/>
        </w:rPr>
        <w:t xml:space="preserve">ada relacionado con delitos </w:t>
      </w:r>
      <w:r w:rsidR="001E6855" w:rsidRPr="00D43C76">
        <w:rPr>
          <w:lang w:val="es-ES_tradnl"/>
        </w:rPr>
        <w:t>sexual</w:t>
      </w:r>
      <w:r w:rsidR="00F17E5B" w:rsidRPr="00D43C76">
        <w:rPr>
          <w:lang w:val="es-ES_tradnl"/>
        </w:rPr>
        <w:t>es podrá ser considerado incompatible con las disposiciones de dicho capítulo o violatorio del mismo</w:t>
      </w:r>
      <w:r w:rsidR="0078259B" w:rsidRPr="00D43C76">
        <w:rPr>
          <w:lang w:val="es-ES_tradnl"/>
        </w:rPr>
        <w:t>. Por lo tanto</w:t>
      </w:r>
      <w:r w:rsidR="001E6855" w:rsidRPr="00D43C76">
        <w:rPr>
          <w:lang w:val="es-ES_tradnl"/>
        </w:rPr>
        <w:t xml:space="preserve">, </w:t>
      </w:r>
      <w:r w:rsidR="0078259B" w:rsidRPr="00D43C76">
        <w:rPr>
          <w:lang w:val="es-ES_tradnl"/>
        </w:rPr>
        <w:t xml:space="preserve">no existe un recurso interno eficaz para declarar la inconstitucionalidad de la </w:t>
      </w:r>
      <w:r w:rsidR="005A4C18" w:rsidRPr="00D43C76">
        <w:rPr>
          <w:lang w:val="es-ES_tradnl"/>
        </w:rPr>
        <w:t>Ley de Delitos contra la Persona</w:t>
      </w:r>
      <w:r w:rsidR="001E6855" w:rsidRPr="00D43C76">
        <w:rPr>
          <w:lang w:val="es-ES_tradnl"/>
        </w:rPr>
        <w:t xml:space="preserve"> </w:t>
      </w:r>
      <w:r w:rsidRPr="00D43C76">
        <w:rPr>
          <w:lang w:val="es-ES_tradnl"/>
        </w:rPr>
        <w:t>de</w:t>
      </w:r>
      <w:r w:rsidR="001E6855" w:rsidRPr="00D43C76">
        <w:rPr>
          <w:lang w:val="es-ES_tradnl"/>
        </w:rPr>
        <w:t xml:space="preserve"> 1864. </w:t>
      </w:r>
      <w:r w:rsidR="00BD169F" w:rsidRPr="00D43C76">
        <w:rPr>
          <w:lang w:val="es-ES_tradnl"/>
        </w:rPr>
        <w:t xml:space="preserve">La </w:t>
      </w:r>
      <w:r w:rsidR="00F664DE" w:rsidRPr="00D43C76">
        <w:rPr>
          <w:lang w:val="es-ES_tradnl"/>
        </w:rPr>
        <w:t xml:space="preserve">parte </w:t>
      </w:r>
      <w:r w:rsidR="00BD169F" w:rsidRPr="00D43C76">
        <w:rPr>
          <w:lang w:val="es-ES_tradnl"/>
        </w:rPr>
        <w:t>peticionaria</w:t>
      </w:r>
      <w:r w:rsidR="0078259B" w:rsidRPr="00D43C76">
        <w:rPr>
          <w:lang w:val="es-ES_tradnl"/>
        </w:rPr>
        <w:t xml:space="preserve"> señala que presentó la petición a</w:t>
      </w:r>
      <w:r w:rsidR="00D00AE9" w:rsidRPr="00D43C76">
        <w:rPr>
          <w:lang w:val="es-ES_tradnl"/>
        </w:rPr>
        <w:t xml:space="preserve"> </w:t>
      </w:r>
      <w:r w:rsidR="00A365FB" w:rsidRPr="00D43C76">
        <w:rPr>
          <w:lang w:val="es-ES_tradnl"/>
        </w:rPr>
        <w:t>la CIDH</w:t>
      </w:r>
      <w:r w:rsidR="00D00AE9" w:rsidRPr="00D43C76">
        <w:rPr>
          <w:lang w:val="es-ES_tradnl"/>
        </w:rPr>
        <w:t xml:space="preserve"> </w:t>
      </w:r>
      <w:r w:rsidR="0078259B" w:rsidRPr="00D43C76">
        <w:rPr>
          <w:lang w:val="es-ES_tradnl"/>
        </w:rPr>
        <w:t xml:space="preserve">dentro de un plazo razonable de conformidad con el </w:t>
      </w:r>
      <w:r w:rsidRPr="00D43C76">
        <w:rPr>
          <w:lang w:val="es-ES_tradnl"/>
        </w:rPr>
        <w:t>artículo</w:t>
      </w:r>
      <w:r w:rsidR="00D00AE9" w:rsidRPr="00D43C76">
        <w:rPr>
          <w:lang w:val="es-ES_tradnl"/>
        </w:rPr>
        <w:t xml:space="preserve"> 32</w:t>
      </w:r>
      <w:r w:rsidRPr="00D43C76">
        <w:rPr>
          <w:lang w:val="es-ES_tradnl"/>
        </w:rPr>
        <w:t>.</w:t>
      </w:r>
      <w:r w:rsidR="00D00AE9" w:rsidRPr="00D43C76">
        <w:rPr>
          <w:lang w:val="es-ES_tradnl"/>
        </w:rPr>
        <w:t>2</w:t>
      </w:r>
      <w:r w:rsidRPr="00D43C76">
        <w:rPr>
          <w:lang w:val="es-ES_tradnl"/>
        </w:rPr>
        <w:t xml:space="preserve"> del Reglamento de</w:t>
      </w:r>
      <w:r w:rsidR="00D00AE9" w:rsidRPr="00D43C76">
        <w:rPr>
          <w:lang w:val="es-ES_tradnl"/>
        </w:rPr>
        <w:t xml:space="preserve"> </w:t>
      </w:r>
      <w:r w:rsidR="00A365FB" w:rsidRPr="00D43C76">
        <w:rPr>
          <w:lang w:val="es-ES_tradnl"/>
        </w:rPr>
        <w:t>la C</w:t>
      </w:r>
      <w:r w:rsidR="0034591F" w:rsidRPr="00D43C76">
        <w:rPr>
          <w:lang w:val="es-ES_tradnl"/>
        </w:rPr>
        <w:t>omisión.</w:t>
      </w:r>
    </w:p>
    <w:p w14:paraId="7D14EE10" w14:textId="77777777" w:rsidR="007A538E" w:rsidRPr="00D43C76" w:rsidRDefault="007A538E" w:rsidP="00512224">
      <w:pPr>
        <w:pStyle w:val="ListParagraph"/>
        <w:rPr>
          <w:lang w:val="es-ES_tradnl"/>
        </w:rPr>
      </w:pPr>
    </w:p>
    <w:p w14:paraId="26FDC889" w14:textId="77777777" w:rsidR="00857AA7" w:rsidRPr="00D43C76" w:rsidRDefault="00851B40" w:rsidP="00FC6578">
      <w:pPr>
        <w:pStyle w:val="parrafos"/>
        <w:numPr>
          <w:ilvl w:val="0"/>
          <w:numId w:val="57"/>
        </w:numPr>
        <w:tabs>
          <w:tab w:val="clear" w:pos="1080"/>
          <w:tab w:val="left" w:pos="720"/>
        </w:tabs>
        <w:ind w:left="0" w:firstLine="0"/>
        <w:rPr>
          <w:rFonts w:eastAsia="Cambria" w:cs="Cambria"/>
          <w:lang w:val="es-ES_tradnl"/>
        </w:rPr>
      </w:pPr>
      <w:r w:rsidRPr="00D43C76">
        <w:rPr>
          <w:rFonts w:eastAsia="Cambria" w:cs="Cambria"/>
          <w:lang w:val="es-ES_tradnl"/>
        </w:rPr>
        <w:t>En cuanto a los argumentos jurídicos</w:t>
      </w:r>
      <w:r w:rsidR="00512224" w:rsidRPr="00D43C76">
        <w:rPr>
          <w:rFonts w:eastAsia="Cambria" w:cs="Cambria"/>
          <w:lang w:val="es-ES_tradnl"/>
        </w:rPr>
        <w:t xml:space="preserve">, </w:t>
      </w:r>
      <w:r w:rsidR="00BD169F" w:rsidRPr="00D43C76">
        <w:rPr>
          <w:rFonts w:eastAsia="Cambria" w:cs="Cambria"/>
          <w:lang w:val="es-ES_tradnl"/>
        </w:rPr>
        <w:t xml:space="preserve">la </w:t>
      </w:r>
      <w:r w:rsidR="00F664DE" w:rsidRPr="00D43C76">
        <w:rPr>
          <w:rFonts w:eastAsia="Cambria" w:cs="Cambria"/>
          <w:lang w:val="es-ES_tradnl"/>
        </w:rPr>
        <w:t xml:space="preserve">parte </w:t>
      </w:r>
      <w:r w:rsidR="00BD169F" w:rsidRPr="00D43C76">
        <w:rPr>
          <w:rFonts w:eastAsia="Cambria" w:cs="Cambria"/>
          <w:lang w:val="es-ES_tradnl"/>
        </w:rPr>
        <w:t>peticionaria</w:t>
      </w:r>
      <w:r w:rsidR="00512224" w:rsidRPr="00D43C76">
        <w:rPr>
          <w:rFonts w:eastAsia="Cambria" w:cs="Cambria"/>
          <w:lang w:val="es-ES_tradnl"/>
        </w:rPr>
        <w:t xml:space="preserve"> </w:t>
      </w:r>
      <w:r w:rsidRPr="00D43C76">
        <w:rPr>
          <w:rFonts w:eastAsia="Cambria" w:cs="Cambria"/>
          <w:lang w:val="es-ES_tradnl"/>
        </w:rPr>
        <w:t xml:space="preserve">afirma que la </w:t>
      </w:r>
      <w:r w:rsidR="005A4C18" w:rsidRPr="00D43C76">
        <w:rPr>
          <w:rFonts w:eastAsia="Cambria" w:cs="Cambria"/>
          <w:lang w:val="es-ES_tradnl"/>
        </w:rPr>
        <w:t>Ley de Delitos contra la Persona</w:t>
      </w:r>
      <w:r w:rsidR="00E10D76" w:rsidRPr="00D43C76">
        <w:rPr>
          <w:rFonts w:eastAsia="Cambria" w:cs="Cambria"/>
          <w:lang w:val="es-ES_tradnl"/>
        </w:rPr>
        <w:t xml:space="preserve"> </w:t>
      </w:r>
      <w:r w:rsidRPr="00D43C76">
        <w:rPr>
          <w:rFonts w:eastAsia="Cambria" w:cs="Cambria"/>
          <w:lang w:val="es-ES_tradnl"/>
        </w:rPr>
        <w:t xml:space="preserve">viola el </w:t>
      </w:r>
      <w:r w:rsidRPr="00D43C76">
        <w:rPr>
          <w:rFonts w:eastAsia="Cambria" w:cs="Cambria"/>
          <w:b/>
          <w:lang w:val="es-ES_tradnl"/>
        </w:rPr>
        <w:t>principio de no discriminación e igualdad ante la ley</w:t>
      </w:r>
      <w:r w:rsidRPr="00D43C76">
        <w:rPr>
          <w:rFonts w:eastAsia="Cambria" w:cs="Cambria"/>
          <w:lang w:val="es-ES_tradnl"/>
        </w:rPr>
        <w:t xml:space="preserve"> porque </w:t>
      </w:r>
      <w:r w:rsidR="00AA66A4" w:rsidRPr="00D43C76">
        <w:rPr>
          <w:rFonts w:eastAsia="Cambria" w:cs="Cambria"/>
          <w:lang w:val="es-ES_tradnl"/>
        </w:rPr>
        <w:t xml:space="preserve">da al Gobierno de </w:t>
      </w:r>
      <w:r w:rsidR="00E10D76" w:rsidRPr="00D43C76">
        <w:rPr>
          <w:rFonts w:eastAsia="Cambria" w:cs="Cambria"/>
          <w:lang w:val="es-ES_tradnl"/>
        </w:rPr>
        <w:t>Jamaica</w:t>
      </w:r>
      <w:r w:rsidR="00AA66A4" w:rsidRPr="00D43C76">
        <w:rPr>
          <w:rFonts w:eastAsia="Cambria" w:cs="Cambria"/>
          <w:lang w:val="es-ES_tradnl"/>
        </w:rPr>
        <w:t xml:space="preserve"> una justificación </w:t>
      </w:r>
      <w:r w:rsidR="00E10D76" w:rsidRPr="00D43C76">
        <w:rPr>
          <w:rFonts w:eastAsia="Cambria" w:cs="Cambria"/>
          <w:lang w:val="es-ES_tradnl"/>
        </w:rPr>
        <w:t xml:space="preserve">legal </w:t>
      </w:r>
      <w:r w:rsidR="00AA66A4" w:rsidRPr="00D43C76">
        <w:rPr>
          <w:rFonts w:eastAsia="Cambria" w:cs="Cambria"/>
          <w:lang w:val="es-ES_tradnl"/>
        </w:rPr>
        <w:t xml:space="preserve">para </w:t>
      </w:r>
      <w:r w:rsidRPr="00D43C76">
        <w:rPr>
          <w:rFonts w:eastAsia="Cambria" w:cs="Cambria"/>
          <w:lang w:val="es-ES_tradnl"/>
        </w:rPr>
        <w:t>discrimina</w:t>
      </w:r>
      <w:r w:rsidR="00AA66A4" w:rsidRPr="00D43C76">
        <w:rPr>
          <w:rFonts w:eastAsia="Cambria" w:cs="Cambria"/>
          <w:lang w:val="es-ES_tradnl"/>
        </w:rPr>
        <w:t xml:space="preserve">r contra las </w:t>
      </w:r>
      <w:r w:rsidR="00DD7AC8" w:rsidRPr="00D43C76">
        <w:rPr>
          <w:rFonts w:eastAsia="Cambria" w:cs="Cambria"/>
          <w:lang w:val="es-ES_tradnl"/>
        </w:rPr>
        <w:t>personas LGBT</w:t>
      </w:r>
      <w:r w:rsidR="00E10D76" w:rsidRPr="00D43C76">
        <w:rPr>
          <w:rFonts w:eastAsia="Cambria" w:cs="Cambria"/>
          <w:lang w:val="es-ES_tradnl"/>
        </w:rPr>
        <w:t xml:space="preserve">. </w:t>
      </w:r>
      <w:r w:rsidR="00AA66A4" w:rsidRPr="00D43C76">
        <w:rPr>
          <w:rFonts w:eastAsia="Cambria" w:cs="Cambria"/>
          <w:lang w:val="es-ES_tradnl"/>
        </w:rPr>
        <w:t xml:space="preserve">Agrega que dicha </w:t>
      </w:r>
      <w:r w:rsidR="00034B54" w:rsidRPr="00D43C76">
        <w:rPr>
          <w:rFonts w:eastAsia="Cambria" w:cs="Cambria"/>
          <w:lang w:val="es-ES_tradnl"/>
        </w:rPr>
        <w:t>l</w:t>
      </w:r>
      <w:r w:rsidR="00AA66A4" w:rsidRPr="00D43C76">
        <w:rPr>
          <w:rFonts w:eastAsia="Cambria" w:cs="Cambria"/>
          <w:lang w:val="es-ES_tradnl"/>
        </w:rPr>
        <w:t xml:space="preserve">ey </w:t>
      </w:r>
      <w:r w:rsidRPr="00D43C76">
        <w:rPr>
          <w:rFonts w:eastAsia="Cambria" w:cs="Cambria"/>
          <w:lang w:val="es-ES_tradnl"/>
        </w:rPr>
        <w:t xml:space="preserve">viola el </w:t>
      </w:r>
      <w:r w:rsidRPr="00D43C76">
        <w:rPr>
          <w:rFonts w:eastAsia="Cambria" w:cs="Cambria"/>
          <w:b/>
          <w:lang w:val="es-ES_tradnl"/>
        </w:rPr>
        <w:t>derecho a la vida y a la integridad personal</w:t>
      </w:r>
      <w:r w:rsidRPr="00D43C76">
        <w:rPr>
          <w:rFonts w:eastAsia="Cambria" w:cs="Cambria"/>
          <w:lang w:val="es-ES_tradnl"/>
        </w:rPr>
        <w:t xml:space="preserve"> porque</w:t>
      </w:r>
      <w:r w:rsidR="000A349A" w:rsidRPr="00D43C76">
        <w:rPr>
          <w:rFonts w:eastAsia="Cambria" w:cs="Cambria"/>
          <w:lang w:val="es-ES_tradnl"/>
        </w:rPr>
        <w:t xml:space="preserve"> legitim</w:t>
      </w:r>
      <w:r w:rsidR="008E6598" w:rsidRPr="00D43C76">
        <w:rPr>
          <w:rFonts w:eastAsia="Cambria" w:cs="Cambria"/>
          <w:lang w:val="es-ES_tradnl"/>
        </w:rPr>
        <w:t xml:space="preserve">a los </w:t>
      </w:r>
      <w:r w:rsidR="000A349A" w:rsidRPr="00D43C76">
        <w:rPr>
          <w:rFonts w:eastAsia="Cambria" w:cs="Cambria"/>
          <w:lang w:val="es-ES_tradnl"/>
        </w:rPr>
        <w:t>abus</w:t>
      </w:r>
      <w:r w:rsidR="008E6598" w:rsidRPr="00D43C76">
        <w:rPr>
          <w:rFonts w:eastAsia="Cambria" w:cs="Cambria"/>
          <w:lang w:val="es-ES_tradnl"/>
        </w:rPr>
        <w:t xml:space="preserve">os contra los jamaiquinos </w:t>
      </w:r>
      <w:r w:rsidR="000A349A" w:rsidRPr="00D43C76">
        <w:rPr>
          <w:rFonts w:eastAsia="Cambria" w:cs="Cambria"/>
          <w:lang w:val="es-ES_tradnl"/>
        </w:rPr>
        <w:t>homosexual</w:t>
      </w:r>
      <w:r w:rsidR="008E6598" w:rsidRPr="00D43C76">
        <w:rPr>
          <w:rFonts w:eastAsia="Cambria" w:cs="Cambria"/>
          <w:lang w:val="es-ES_tradnl"/>
        </w:rPr>
        <w:t>es</w:t>
      </w:r>
      <w:r w:rsidR="00985459" w:rsidRPr="00D43C76">
        <w:rPr>
          <w:rFonts w:eastAsia="Cambria" w:cs="Cambria"/>
          <w:lang w:val="es-ES_tradnl"/>
        </w:rPr>
        <w:t xml:space="preserve"> </w:t>
      </w:r>
      <w:r w:rsidR="008E6598" w:rsidRPr="00D43C76">
        <w:rPr>
          <w:rFonts w:eastAsia="Cambria" w:cs="Cambria"/>
          <w:lang w:val="es-ES_tradnl"/>
        </w:rPr>
        <w:t>y</w:t>
      </w:r>
      <w:r w:rsidR="00985459" w:rsidRPr="00D43C76">
        <w:rPr>
          <w:rFonts w:eastAsia="Cambria" w:cs="Cambria"/>
          <w:lang w:val="es-ES_tradnl"/>
        </w:rPr>
        <w:t xml:space="preserve"> LGBTI</w:t>
      </w:r>
      <w:r w:rsidR="000A349A" w:rsidRPr="00D43C76">
        <w:rPr>
          <w:rFonts w:eastAsia="Cambria" w:cs="Cambria"/>
          <w:lang w:val="es-ES_tradnl"/>
        </w:rPr>
        <w:t xml:space="preserve"> </w:t>
      </w:r>
      <w:r w:rsidR="008E6598" w:rsidRPr="00D43C76">
        <w:rPr>
          <w:rFonts w:eastAsia="Cambria" w:cs="Cambria"/>
          <w:lang w:val="es-ES_tradnl"/>
        </w:rPr>
        <w:t>y autoriza a los agentes d</w:t>
      </w:r>
      <w:r w:rsidR="00A365FB" w:rsidRPr="00D43C76">
        <w:rPr>
          <w:rFonts w:eastAsia="Cambria" w:cs="Cambria"/>
          <w:lang w:val="es-ES_tradnl"/>
        </w:rPr>
        <w:t>el Estado</w:t>
      </w:r>
      <w:r w:rsidR="000A349A" w:rsidRPr="00D43C76">
        <w:rPr>
          <w:rFonts w:eastAsia="Cambria" w:cs="Cambria"/>
          <w:lang w:val="es-ES_tradnl"/>
        </w:rPr>
        <w:t xml:space="preserve"> </w:t>
      </w:r>
      <w:r w:rsidR="008E6598" w:rsidRPr="00D43C76">
        <w:rPr>
          <w:rFonts w:eastAsia="Cambria" w:cs="Cambria"/>
          <w:lang w:val="es-ES_tradnl"/>
        </w:rPr>
        <w:t xml:space="preserve">y a los particulares a cometer con impunidad actos de violencia contra personas </w:t>
      </w:r>
      <w:r w:rsidR="000A349A" w:rsidRPr="00D43C76">
        <w:rPr>
          <w:rFonts w:eastAsia="Cambria" w:cs="Cambria"/>
          <w:lang w:val="es-ES_tradnl"/>
        </w:rPr>
        <w:t xml:space="preserve">LGBTI </w:t>
      </w:r>
      <w:r w:rsidR="008E6598" w:rsidRPr="00D43C76">
        <w:rPr>
          <w:rFonts w:eastAsia="Cambria" w:cs="Cambria"/>
          <w:lang w:val="es-ES_tradnl"/>
        </w:rPr>
        <w:t xml:space="preserve">o contra personas que parezcan serlo. </w:t>
      </w:r>
      <w:r w:rsidR="00BD169F" w:rsidRPr="00D43C76">
        <w:rPr>
          <w:rFonts w:eastAsia="Cambria" w:cs="Cambria"/>
          <w:lang w:val="es-ES_tradnl"/>
        </w:rPr>
        <w:t>La peticionaria</w:t>
      </w:r>
      <w:r w:rsidR="008E6598" w:rsidRPr="00D43C76">
        <w:rPr>
          <w:rFonts w:eastAsia="Cambria" w:cs="Cambria"/>
          <w:lang w:val="es-ES_tradnl"/>
        </w:rPr>
        <w:t xml:space="preserve"> señala que tanto </w:t>
      </w:r>
      <w:r w:rsidR="007E65FB" w:rsidRPr="00D43C76">
        <w:rPr>
          <w:rFonts w:eastAsia="Cambria" w:cs="Cambria"/>
          <w:lang w:val="es-ES_tradnl"/>
        </w:rPr>
        <w:t xml:space="preserve">T. B. </w:t>
      </w:r>
      <w:r w:rsidR="008E6598" w:rsidRPr="00D43C76">
        <w:rPr>
          <w:rFonts w:eastAsia="Cambria" w:cs="Cambria"/>
          <w:lang w:val="es-ES_tradnl"/>
        </w:rPr>
        <w:t xml:space="preserve">como </w:t>
      </w:r>
      <w:r w:rsidR="007E65FB" w:rsidRPr="00D43C76">
        <w:rPr>
          <w:rFonts w:eastAsia="Cambria" w:cs="Cambria"/>
          <w:lang w:val="es-ES_tradnl"/>
        </w:rPr>
        <w:t xml:space="preserve">S. H. </w:t>
      </w:r>
      <w:r w:rsidR="003D2BA4" w:rsidRPr="00D43C76">
        <w:rPr>
          <w:rFonts w:eastAsia="Cambria" w:cs="Cambria"/>
          <w:lang w:val="es-ES_tradnl"/>
        </w:rPr>
        <w:t>ha</w:t>
      </w:r>
      <w:r w:rsidR="008E6598" w:rsidRPr="00D43C76">
        <w:rPr>
          <w:rFonts w:eastAsia="Cambria" w:cs="Cambria"/>
          <w:lang w:val="es-ES_tradnl"/>
        </w:rPr>
        <w:t xml:space="preserve">n sido objeto de actos extremos de intimidación y amenazas de violencia a manos de agentes de policía y particulares debido a su </w:t>
      </w:r>
      <w:r w:rsidRPr="00D43C76">
        <w:rPr>
          <w:rFonts w:eastAsia="Cambria" w:cs="Cambria"/>
          <w:lang w:val="es-ES_tradnl"/>
        </w:rPr>
        <w:t>orientación sexual</w:t>
      </w:r>
      <w:r w:rsidR="00985459" w:rsidRPr="00D43C76">
        <w:rPr>
          <w:rFonts w:eastAsia="Cambria" w:cs="Cambria"/>
          <w:lang w:val="es-ES_tradnl"/>
        </w:rPr>
        <w:t xml:space="preserve">, </w:t>
      </w:r>
      <w:r w:rsidR="008E6598" w:rsidRPr="00D43C76">
        <w:rPr>
          <w:rFonts w:eastAsia="Cambria" w:cs="Cambria"/>
          <w:lang w:val="es-ES_tradnl"/>
        </w:rPr>
        <w:t xml:space="preserve">su </w:t>
      </w:r>
      <w:r w:rsidRPr="00D43C76">
        <w:rPr>
          <w:rFonts w:eastAsia="Cambria" w:cs="Cambria"/>
          <w:lang w:val="es-ES_tradnl"/>
        </w:rPr>
        <w:t>identidad de género</w:t>
      </w:r>
      <w:r w:rsidR="00985459" w:rsidRPr="00D43C76">
        <w:rPr>
          <w:rFonts w:eastAsia="Cambria" w:cs="Cambria"/>
          <w:lang w:val="es-ES_tradnl"/>
        </w:rPr>
        <w:t xml:space="preserve"> </w:t>
      </w:r>
      <w:r w:rsidR="008E6598" w:rsidRPr="00D43C76">
        <w:rPr>
          <w:rFonts w:eastAsia="Cambria" w:cs="Cambria"/>
          <w:lang w:val="es-ES_tradnl"/>
        </w:rPr>
        <w:t xml:space="preserve">y su </w:t>
      </w:r>
      <w:r w:rsidRPr="00D43C76">
        <w:rPr>
          <w:rFonts w:eastAsia="Cambria" w:cs="Cambria"/>
          <w:lang w:val="es-ES_tradnl"/>
        </w:rPr>
        <w:t>expresión de género</w:t>
      </w:r>
      <w:r w:rsidR="003D2BA4" w:rsidRPr="00D43C76">
        <w:rPr>
          <w:rFonts w:eastAsia="Cambria" w:cs="Cambria"/>
          <w:lang w:val="es-ES_tradnl"/>
        </w:rPr>
        <w:t xml:space="preserve">, </w:t>
      </w:r>
      <w:r w:rsidR="008E6598" w:rsidRPr="00D43C76">
        <w:rPr>
          <w:rFonts w:eastAsia="Cambria" w:cs="Cambria"/>
          <w:lang w:val="es-ES_tradnl"/>
        </w:rPr>
        <w:t xml:space="preserve">en incidentes que van desde amenazas veladas de violencia física en </w:t>
      </w:r>
      <w:r w:rsidR="003D2BA4" w:rsidRPr="00D43C76">
        <w:rPr>
          <w:rFonts w:eastAsia="Cambria" w:cs="Cambria"/>
          <w:lang w:val="es-ES_tradnl"/>
        </w:rPr>
        <w:t xml:space="preserve">general </w:t>
      </w:r>
      <w:r w:rsidR="008E6598" w:rsidRPr="00D43C76">
        <w:rPr>
          <w:rFonts w:eastAsia="Cambria" w:cs="Cambria"/>
          <w:lang w:val="es-ES_tradnl"/>
        </w:rPr>
        <w:t>hasta amenazas de muerte específicas</w:t>
      </w:r>
      <w:r w:rsidR="003D2BA4" w:rsidRPr="00D43C76">
        <w:rPr>
          <w:rFonts w:eastAsia="Cambria" w:cs="Cambria"/>
          <w:lang w:val="es-ES_tradnl"/>
        </w:rPr>
        <w:t xml:space="preserve">. </w:t>
      </w:r>
    </w:p>
    <w:p w14:paraId="7102F8D2" w14:textId="77777777" w:rsidR="00512224" w:rsidRPr="00D43C76" w:rsidRDefault="00512224" w:rsidP="001B688B">
      <w:pPr>
        <w:rPr>
          <w:lang w:val="es-ES_tradnl"/>
        </w:rPr>
      </w:pPr>
    </w:p>
    <w:p w14:paraId="1A109451" w14:textId="77777777" w:rsidR="00FC6578" w:rsidRPr="00D43C76" w:rsidRDefault="00851B40" w:rsidP="00FC6578">
      <w:pPr>
        <w:pStyle w:val="parrafos"/>
        <w:numPr>
          <w:ilvl w:val="0"/>
          <w:numId w:val="57"/>
        </w:numPr>
        <w:tabs>
          <w:tab w:val="clear" w:pos="1080"/>
          <w:tab w:val="left" w:pos="720"/>
        </w:tabs>
        <w:ind w:left="0" w:firstLine="0"/>
        <w:rPr>
          <w:lang w:val="es-ES_tradnl"/>
        </w:rPr>
      </w:pPr>
      <w:r w:rsidRPr="00D43C76">
        <w:rPr>
          <w:rFonts w:eastAsia="Cambria" w:cs="Cambria"/>
          <w:lang w:val="es-ES_tradnl"/>
        </w:rPr>
        <w:t xml:space="preserve">Asimismo, </w:t>
      </w:r>
      <w:r w:rsidR="00BD169F" w:rsidRPr="00D43C76">
        <w:rPr>
          <w:rFonts w:eastAsia="Cambria" w:cs="Cambria"/>
          <w:lang w:val="es-ES_tradnl"/>
        </w:rPr>
        <w:t>la peticionaria</w:t>
      </w:r>
      <w:r w:rsidRPr="00D43C76">
        <w:rPr>
          <w:rFonts w:eastAsia="Cambria" w:cs="Cambria"/>
          <w:lang w:val="es-ES_tradnl"/>
        </w:rPr>
        <w:t xml:space="preserve"> </w:t>
      </w:r>
      <w:r w:rsidR="00EB0856" w:rsidRPr="00D43C76">
        <w:rPr>
          <w:rFonts w:eastAsia="Cambria" w:cs="Cambria"/>
          <w:lang w:val="es-ES_tradnl"/>
        </w:rPr>
        <w:t>alega que</w:t>
      </w:r>
      <w:r w:rsidR="005649BB" w:rsidRPr="00D43C76">
        <w:rPr>
          <w:rFonts w:eastAsia="Cambria" w:cs="Cambria"/>
          <w:lang w:val="es-ES_tradnl"/>
        </w:rPr>
        <w:t xml:space="preserve"> Jamaica ha </w:t>
      </w:r>
      <w:r w:rsidR="00EB0856" w:rsidRPr="00D43C76">
        <w:rPr>
          <w:rFonts w:eastAsia="Cambria" w:cs="Cambria"/>
          <w:lang w:val="es-ES_tradnl"/>
        </w:rPr>
        <w:t xml:space="preserve">violado el </w:t>
      </w:r>
      <w:r w:rsidR="00EB0856" w:rsidRPr="00D43C76">
        <w:rPr>
          <w:rFonts w:eastAsia="Cambria" w:cs="Cambria"/>
          <w:b/>
          <w:lang w:val="es-ES_tradnl"/>
        </w:rPr>
        <w:t>derecho a la protección de la honra y de la dignidad</w:t>
      </w:r>
      <w:r w:rsidR="00EB0856" w:rsidRPr="00D43C76">
        <w:rPr>
          <w:rFonts w:eastAsia="Cambria" w:cs="Cambria"/>
          <w:lang w:val="es-ES_tradnl"/>
        </w:rPr>
        <w:t xml:space="preserve"> porque</w:t>
      </w:r>
      <w:r w:rsidR="004F3DBE" w:rsidRPr="00D43C76">
        <w:rPr>
          <w:rFonts w:eastAsia="Cambria" w:cs="Cambria"/>
          <w:lang w:val="es-ES_tradnl"/>
        </w:rPr>
        <w:t xml:space="preserve"> </w:t>
      </w:r>
      <w:r w:rsidR="0034591F" w:rsidRPr="00D43C76">
        <w:rPr>
          <w:rFonts w:eastAsia="Cambria" w:cs="Cambria"/>
          <w:lang w:val="es-ES_tradnl"/>
        </w:rPr>
        <w:t>la Ley de Delitos contra la Persona</w:t>
      </w:r>
      <w:r w:rsidR="008E6598" w:rsidRPr="00D43C76">
        <w:rPr>
          <w:rFonts w:eastAsia="Cambria" w:cs="Cambria"/>
          <w:lang w:val="es-ES_tradnl"/>
        </w:rPr>
        <w:t xml:space="preserve"> constituye una injerencia en la vida privada al penalizar incluso actos</w:t>
      </w:r>
      <w:r w:rsidR="00740E84" w:rsidRPr="00D43C76">
        <w:rPr>
          <w:rFonts w:eastAsia="Cambria" w:cs="Cambria"/>
          <w:lang w:val="es-ES_tradnl"/>
        </w:rPr>
        <w:t xml:space="preserve"> consensual</w:t>
      </w:r>
      <w:r w:rsidR="008E6598" w:rsidRPr="00D43C76">
        <w:rPr>
          <w:rFonts w:eastAsia="Cambria" w:cs="Cambria"/>
          <w:lang w:val="es-ES_tradnl"/>
        </w:rPr>
        <w:t xml:space="preserve">es realizados en privado. Por ejemplo, </w:t>
      </w:r>
      <w:r w:rsidR="0034591F" w:rsidRPr="00D43C76">
        <w:rPr>
          <w:rFonts w:eastAsia="Cambria" w:cs="Cambria"/>
          <w:lang w:val="es-ES_tradnl"/>
        </w:rPr>
        <w:t>cuando</w:t>
      </w:r>
      <w:r w:rsidR="008E6598" w:rsidRPr="00D43C76">
        <w:rPr>
          <w:rFonts w:eastAsia="Cambria" w:cs="Cambria"/>
          <w:lang w:val="es-ES_tradnl"/>
        </w:rPr>
        <w:t xml:space="preserve"> </w:t>
      </w:r>
      <w:r w:rsidRPr="00D43C76">
        <w:rPr>
          <w:rFonts w:eastAsia="Cambria" w:cs="Cambria"/>
          <w:lang w:val="es-ES_tradnl"/>
        </w:rPr>
        <w:t>el señor</w:t>
      </w:r>
      <w:r w:rsidR="00122644" w:rsidRPr="00D43C76">
        <w:rPr>
          <w:rFonts w:eastAsia="Cambria" w:cs="Cambria"/>
          <w:lang w:val="es-ES_tradnl"/>
        </w:rPr>
        <w:t xml:space="preserve"> </w:t>
      </w:r>
      <w:r w:rsidR="007E65FB" w:rsidRPr="00D43C76">
        <w:rPr>
          <w:rFonts w:eastAsia="Cambria" w:cs="Cambria"/>
          <w:lang w:val="es-ES_tradnl"/>
        </w:rPr>
        <w:t xml:space="preserve">S. H. </w:t>
      </w:r>
      <w:r w:rsidR="008E6598" w:rsidRPr="00D43C76">
        <w:rPr>
          <w:rFonts w:eastAsia="Cambria" w:cs="Cambria"/>
          <w:lang w:val="es-ES_tradnl"/>
        </w:rPr>
        <w:t xml:space="preserve">denunció incidentes de acoso y abuso a la policía, el agente </w:t>
      </w:r>
      <w:r w:rsidR="00A6151F" w:rsidRPr="00D43C76">
        <w:rPr>
          <w:rFonts w:eastAsia="Cambria" w:cs="Cambria"/>
          <w:lang w:val="es-ES_tradnl"/>
        </w:rPr>
        <w:t>le tomó declaración y conversó en voz alta en salas donde había mucha gente para que otras personas que estaban en la comisaría se enteraran de que</w:t>
      </w:r>
      <w:r w:rsidR="00122644" w:rsidRPr="00D43C76">
        <w:rPr>
          <w:rFonts w:eastAsia="Cambria" w:cs="Cambria"/>
          <w:lang w:val="es-ES_tradnl"/>
        </w:rPr>
        <w:t xml:space="preserve"> </w:t>
      </w:r>
      <w:r w:rsidRPr="00D43C76">
        <w:rPr>
          <w:rFonts w:eastAsia="Cambria" w:cs="Cambria"/>
          <w:lang w:val="es-ES_tradnl"/>
        </w:rPr>
        <w:t>el señor</w:t>
      </w:r>
      <w:r w:rsidR="00122644" w:rsidRPr="00D43C76">
        <w:rPr>
          <w:rFonts w:eastAsia="Cambria" w:cs="Cambria"/>
          <w:lang w:val="es-ES_tradnl"/>
        </w:rPr>
        <w:t xml:space="preserve"> </w:t>
      </w:r>
      <w:r w:rsidR="007E65FB" w:rsidRPr="00D43C76">
        <w:rPr>
          <w:rFonts w:eastAsia="Cambria" w:cs="Cambria"/>
          <w:lang w:val="es-ES_tradnl"/>
        </w:rPr>
        <w:t xml:space="preserve">S. H. </w:t>
      </w:r>
      <w:r w:rsidR="00A6151F" w:rsidRPr="00D43C76">
        <w:rPr>
          <w:rFonts w:eastAsia="Cambria" w:cs="Cambria"/>
          <w:lang w:val="es-ES_tradnl"/>
        </w:rPr>
        <w:t xml:space="preserve">era </w:t>
      </w:r>
      <w:r w:rsidR="00985459" w:rsidRPr="00D43C76">
        <w:rPr>
          <w:rFonts w:eastAsia="Cambria" w:cs="Cambria"/>
          <w:lang w:val="es-ES_tradnl"/>
        </w:rPr>
        <w:t xml:space="preserve">homosexual. </w:t>
      </w:r>
      <w:r w:rsidR="00A6151F" w:rsidRPr="00D43C76">
        <w:rPr>
          <w:rFonts w:eastAsia="Cambria" w:cs="Cambria"/>
          <w:lang w:val="es-ES_tradnl"/>
        </w:rPr>
        <w:t>Análogamente</w:t>
      </w:r>
      <w:r w:rsidR="00985459" w:rsidRPr="00D43C76">
        <w:rPr>
          <w:rFonts w:eastAsia="Cambria" w:cs="Cambria"/>
          <w:lang w:val="es-ES_tradnl"/>
        </w:rPr>
        <w:t xml:space="preserve">, </w:t>
      </w:r>
      <w:r w:rsidR="00A6151F" w:rsidRPr="00D43C76">
        <w:rPr>
          <w:rFonts w:eastAsia="Cambria" w:cs="Cambria"/>
          <w:lang w:val="es-ES_tradnl"/>
        </w:rPr>
        <w:t xml:space="preserve">cuando </w:t>
      </w:r>
      <w:r w:rsidRPr="00D43C76">
        <w:rPr>
          <w:rFonts w:eastAsia="Cambria" w:cs="Cambria"/>
          <w:lang w:val="es-ES_tradnl"/>
        </w:rPr>
        <w:t>la señora</w:t>
      </w:r>
      <w:r w:rsidR="00985459" w:rsidRPr="00D43C76">
        <w:rPr>
          <w:rFonts w:eastAsia="Cambria" w:cs="Cambria"/>
          <w:lang w:val="es-ES_tradnl"/>
        </w:rPr>
        <w:t xml:space="preserve"> </w:t>
      </w:r>
      <w:r w:rsidR="007E65FB" w:rsidRPr="00D43C76">
        <w:rPr>
          <w:rFonts w:eastAsia="Cambria" w:cs="Cambria"/>
          <w:lang w:val="es-ES_tradnl"/>
        </w:rPr>
        <w:t xml:space="preserve">T. B. </w:t>
      </w:r>
      <w:r w:rsidR="00A6151F" w:rsidRPr="00D43C76">
        <w:rPr>
          <w:rFonts w:eastAsia="Cambria" w:cs="Cambria"/>
          <w:lang w:val="es-ES_tradnl"/>
        </w:rPr>
        <w:t>se vio obligada a refugiarse en una comisaría, los agentes dijeron repetidamente a otros que habían agarrado a dos hombres gais</w:t>
      </w:r>
      <w:r w:rsidR="00122644" w:rsidRPr="00D43C76">
        <w:rPr>
          <w:rFonts w:eastAsia="Cambria" w:cs="Cambria"/>
          <w:lang w:val="es-ES_tradnl"/>
        </w:rPr>
        <w:t>.</w:t>
      </w:r>
      <w:r w:rsidR="00FC6578" w:rsidRPr="00D43C76">
        <w:rPr>
          <w:lang w:val="es-ES_tradnl"/>
        </w:rPr>
        <w:t xml:space="preserve"> </w:t>
      </w:r>
    </w:p>
    <w:p w14:paraId="09169D01" w14:textId="77777777" w:rsidR="00FC6578" w:rsidRPr="00D43C76" w:rsidRDefault="00FC6578" w:rsidP="00FC6578">
      <w:pPr>
        <w:pStyle w:val="ListParagraph"/>
        <w:rPr>
          <w:lang w:val="es-ES_tradnl"/>
        </w:rPr>
      </w:pPr>
    </w:p>
    <w:p w14:paraId="4391DDF8" w14:textId="77777777" w:rsidR="00512224" w:rsidRPr="00D43C76" w:rsidRDefault="00BD169F" w:rsidP="00FC6578">
      <w:pPr>
        <w:pStyle w:val="parrafos"/>
        <w:numPr>
          <w:ilvl w:val="0"/>
          <w:numId w:val="57"/>
        </w:numPr>
        <w:tabs>
          <w:tab w:val="clear" w:pos="1080"/>
          <w:tab w:val="left" w:pos="720"/>
        </w:tabs>
        <w:ind w:left="0" w:firstLine="0"/>
        <w:rPr>
          <w:lang w:val="es-ES_tradnl"/>
        </w:rPr>
      </w:pPr>
      <w:r w:rsidRPr="00D43C76">
        <w:rPr>
          <w:rFonts w:eastAsia="Cambria" w:cs="Cambria"/>
          <w:lang w:val="es-ES_tradnl"/>
        </w:rPr>
        <w:t>La peticionaria</w:t>
      </w:r>
      <w:r w:rsidR="00EB0856" w:rsidRPr="00D43C76">
        <w:rPr>
          <w:rFonts w:eastAsia="Cambria" w:cs="Cambria"/>
          <w:lang w:val="es-ES_tradnl"/>
        </w:rPr>
        <w:t xml:space="preserve"> aduce que </w:t>
      </w:r>
      <w:r w:rsidR="00B73C13" w:rsidRPr="00D43C76">
        <w:rPr>
          <w:rFonts w:eastAsia="Cambria" w:cs="Cambria"/>
          <w:lang w:val="es-ES_tradnl"/>
        </w:rPr>
        <w:t xml:space="preserve">Jamaica </w:t>
      </w:r>
      <w:r w:rsidR="00EB0856" w:rsidRPr="00D43C76">
        <w:rPr>
          <w:rFonts w:eastAsia="Cambria" w:cs="Cambria"/>
          <w:lang w:val="es-ES_tradnl"/>
        </w:rPr>
        <w:t xml:space="preserve">violó el </w:t>
      </w:r>
      <w:r w:rsidR="00EB0856" w:rsidRPr="00D43C76">
        <w:rPr>
          <w:rFonts w:eastAsia="Cambria" w:cs="Cambria"/>
          <w:b/>
          <w:lang w:val="es-ES_tradnl"/>
        </w:rPr>
        <w:t>derecho a la libertad de pensamiento y de expresión</w:t>
      </w:r>
      <w:r w:rsidR="00EB0856" w:rsidRPr="00D43C76">
        <w:rPr>
          <w:rFonts w:eastAsia="Cambria" w:cs="Cambria"/>
          <w:lang w:val="es-ES_tradnl"/>
        </w:rPr>
        <w:t>, ya que los actos sexuales íntimos entre</w:t>
      </w:r>
      <w:r w:rsidR="00985459" w:rsidRPr="00D43C76">
        <w:rPr>
          <w:rFonts w:eastAsia="Cambria" w:cs="Cambria"/>
          <w:lang w:val="es-ES_tradnl"/>
        </w:rPr>
        <w:t xml:space="preserve"> adult</w:t>
      </w:r>
      <w:r w:rsidR="00DD7AC8" w:rsidRPr="00D43C76">
        <w:rPr>
          <w:rFonts w:eastAsia="Cambria" w:cs="Cambria"/>
          <w:lang w:val="es-ES_tradnl"/>
        </w:rPr>
        <w:t>os o</w:t>
      </w:r>
      <w:r w:rsidR="00985459" w:rsidRPr="00D43C76">
        <w:rPr>
          <w:rFonts w:eastAsia="Cambria" w:cs="Cambria"/>
          <w:lang w:val="es-ES_tradnl"/>
        </w:rPr>
        <w:t xml:space="preserve"> </w:t>
      </w:r>
      <w:r w:rsidR="00EB0856" w:rsidRPr="00D43C76">
        <w:rPr>
          <w:rFonts w:eastAsia="Cambria" w:cs="Cambria"/>
          <w:lang w:val="es-ES_tradnl"/>
        </w:rPr>
        <w:t>entre dos hombres homosexuales son una expresión de su homosexualidad y de su identidad homosexual. Por lo tanto, el hecho mismo de</w:t>
      </w:r>
      <w:r w:rsidR="0070050F" w:rsidRPr="00D43C76">
        <w:rPr>
          <w:rFonts w:eastAsia="Cambria" w:cs="Cambria"/>
          <w:lang w:val="es-ES_tradnl"/>
        </w:rPr>
        <w:t xml:space="preserve"> </w:t>
      </w:r>
      <w:r w:rsidR="00DD7AC8" w:rsidRPr="00D43C76">
        <w:rPr>
          <w:rFonts w:eastAsia="Cambria" w:cs="Cambria"/>
          <w:lang w:val="es-ES_tradnl"/>
        </w:rPr>
        <w:t>que</w:t>
      </w:r>
      <w:r w:rsidR="0070050F" w:rsidRPr="00D43C76">
        <w:rPr>
          <w:rFonts w:eastAsia="Cambria" w:cs="Cambria"/>
          <w:lang w:val="es-ES_tradnl"/>
        </w:rPr>
        <w:t xml:space="preserve"> </w:t>
      </w:r>
      <w:r w:rsidR="0034591F" w:rsidRPr="00D43C76">
        <w:rPr>
          <w:rFonts w:eastAsia="Cambria" w:cs="Cambria"/>
          <w:lang w:val="es-ES_tradnl"/>
        </w:rPr>
        <w:t xml:space="preserve">la </w:t>
      </w:r>
      <w:r w:rsidR="00EB0856" w:rsidRPr="00D43C76">
        <w:rPr>
          <w:rFonts w:eastAsia="Cambria" w:cs="Cambria"/>
          <w:lang w:val="es-ES_tradnl"/>
        </w:rPr>
        <w:t>Ley de Delitos contra la Persona</w:t>
      </w:r>
      <w:r w:rsidR="0070050F" w:rsidRPr="00D43C76">
        <w:rPr>
          <w:rFonts w:eastAsia="Cambria" w:cs="Cambria"/>
          <w:lang w:val="es-ES_tradnl"/>
        </w:rPr>
        <w:t xml:space="preserve"> </w:t>
      </w:r>
      <w:r w:rsidR="00DD7AC8" w:rsidRPr="00D43C76">
        <w:rPr>
          <w:rFonts w:eastAsia="Cambria" w:cs="Cambria"/>
          <w:lang w:val="es-ES_tradnl"/>
        </w:rPr>
        <w:t>siga en vigor</w:t>
      </w:r>
      <w:r w:rsidR="009A45B3" w:rsidRPr="00D43C76">
        <w:rPr>
          <w:rFonts w:eastAsia="Cambria" w:cs="Cambria"/>
          <w:lang w:val="es-ES_tradnl"/>
        </w:rPr>
        <w:t xml:space="preserve"> </w:t>
      </w:r>
      <w:r w:rsidR="00EB0856" w:rsidRPr="00D43C76">
        <w:rPr>
          <w:rFonts w:eastAsia="Cambria" w:cs="Cambria"/>
          <w:lang w:val="es-ES_tradnl"/>
        </w:rPr>
        <w:t>viola el derecho a la libertad de expresión de los “homosexuales jamaiquinos”</w:t>
      </w:r>
      <w:r w:rsidR="00985459" w:rsidRPr="00D43C76">
        <w:rPr>
          <w:rFonts w:eastAsia="Cambria" w:cs="Cambria"/>
          <w:lang w:val="es-ES_tradnl"/>
        </w:rPr>
        <w:t xml:space="preserve"> </w:t>
      </w:r>
      <w:r w:rsidR="0034591F" w:rsidRPr="00D43C76">
        <w:rPr>
          <w:rFonts w:eastAsia="Cambria" w:cs="Cambria"/>
          <w:lang w:val="es-ES_tradnl"/>
        </w:rPr>
        <w:t>y</w:t>
      </w:r>
      <w:r w:rsidR="00985459" w:rsidRPr="00D43C76">
        <w:rPr>
          <w:rFonts w:eastAsia="Cambria" w:cs="Cambria"/>
          <w:lang w:val="es-ES_tradnl"/>
        </w:rPr>
        <w:t xml:space="preserve"> </w:t>
      </w:r>
      <w:r w:rsidR="0034591F" w:rsidRPr="00D43C76">
        <w:rPr>
          <w:rFonts w:eastAsia="Cambria" w:cs="Cambria"/>
          <w:lang w:val="es-ES_tradnl"/>
        </w:rPr>
        <w:t xml:space="preserve">de </w:t>
      </w:r>
      <w:r w:rsidR="00EB0856" w:rsidRPr="00D43C76">
        <w:rPr>
          <w:rFonts w:eastAsia="Cambria" w:cs="Cambria"/>
          <w:lang w:val="es-ES_tradnl"/>
        </w:rPr>
        <w:t>personas LGBTI</w:t>
      </w:r>
      <w:r w:rsidR="00985459" w:rsidRPr="00D43C76">
        <w:rPr>
          <w:rFonts w:eastAsia="Cambria" w:cs="Cambria"/>
          <w:lang w:val="es-ES_tradnl"/>
        </w:rPr>
        <w:t xml:space="preserve"> </w:t>
      </w:r>
      <w:r w:rsidR="00EB0856" w:rsidRPr="00D43C76">
        <w:rPr>
          <w:rFonts w:eastAsia="Cambria" w:cs="Cambria"/>
          <w:lang w:val="es-ES_tradnl"/>
        </w:rPr>
        <w:t xml:space="preserve">como </w:t>
      </w:r>
      <w:r w:rsidR="007E65FB" w:rsidRPr="00D43C76">
        <w:rPr>
          <w:rFonts w:eastAsia="Cambria" w:cs="Cambria"/>
          <w:lang w:val="es-ES_tradnl"/>
        </w:rPr>
        <w:t xml:space="preserve">T. B. </w:t>
      </w:r>
      <w:r w:rsidR="00EB0856" w:rsidRPr="00D43C76">
        <w:rPr>
          <w:rFonts w:eastAsia="Cambria" w:cs="Cambria"/>
          <w:lang w:val="es-ES_tradnl"/>
        </w:rPr>
        <w:t>y</w:t>
      </w:r>
      <w:r w:rsidR="00985459" w:rsidRPr="00D43C76">
        <w:rPr>
          <w:rFonts w:eastAsia="Cambria" w:cs="Cambria"/>
          <w:lang w:val="es-ES_tradnl"/>
        </w:rPr>
        <w:t xml:space="preserve"> </w:t>
      </w:r>
      <w:r w:rsidR="007E65FB" w:rsidRPr="00D43C76">
        <w:rPr>
          <w:rFonts w:eastAsia="Cambria" w:cs="Cambria"/>
          <w:lang w:val="es-ES_tradnl"/>
        </w:rPr>
        <w:t>S. H.</w:t>
      </w:r>
      <w:r w:rsidR="00985459" w:rsidRPr="00D43C76">
        <w:rPr>
          <w:rFonts w:eastAsia="Cambria" w:cs="Cambria"/>
          <w:lang w:val="es-ES_tradnl"/>
        </w:rPr>
        <w:t xml:space="preserve"> </w:t>
      </w:r>
    </w:p>
    <w:p w14:paraId="4DFD4C2F" w14:textId="77777777" w:rsidR="00512224" w:rsidRPr="00D43C76" w:rsidRDefault="00512224" w:rsidP="00512224">
      <w:pPr>
        <w:pStyle w:val="ListParagraph"/>
        <w:rPr>
          <w:lang w:val="es-ES_tradnl"/>
        </w:rPr>
      </w:pPr>
    </w:p>
    <w:p w14:paraId="09607FCB" w14:textId="77777777" w:rsidR="00952E89" w:rsidRPr="00D43C76" w:rsidRDefault="00BD169F" w:rsidP="00440603">
      <w:pPr>
        <w:pStyle w:val="parrafos"/>
        <w:numPr>
          <w:ilvl w:val="0"/>
          <w:numId w:val="57"/>
        </w:numPr>
        <w:tabs>
          <w:tab w:val="clear" w:pos="1080"/>
          <w:tab w:val="left" w:pos="720"/>
        </w:tabs>
        <w:ind w:left="0" w:firstLine="0"/>
        <w:rPr>
          <w:lang w:val="es-ES_tradnl"/>
        </w:rPr>
      </w:pPr>
      <w:r w:rsidRPr="00D43C76">
        <w:rPr>
          <w:rFonts w:eastAsia="Cambria" w:cs="Cambria"/>
          <w:lang w:val="es-ES_tradnl"/>
        </w:rPr>
        <w:t>La peticionaria</w:t>
      </w:r>
      <w:r w:rsidR="00EB0856" w:rsidRPr="00D43C76">
        <w:rPr>
          <w:rFonts w:eastAsia="Cambria" w:cs="Cambria"/>
          <w:lang w:val="es-ES_tradnl"/>
        </w:rPr>
        <w:t xml:space="preserve"> afirma que </w:t>
      </w:r>
      <w:r w:rsidR="00A365FB" w:rsidRPr="00D43C76">
        <w:rPr>
          <w:rFonts w:eastAsia="Cambria" w:cs="Cambria"/>
          <w:lang w:val="es-ES_tradnl"/>
        </w:rPr>
        <w:t>el Estado</w:t>
      </w:r>
      <w:r w:rsidR="00A56827" w:rsidRPr="00D43C76">
        <w:rPr>
          <w:rFonts w:eastAsia="Cambria" w:cs="Cambria"/>
          <w:lang w:val="es-ES_tradnl"/>
        </w:rPr>
        <w:t xml:space="preserve"> </w:t>
      </w:r>
      <w:r w:rsidR="00EB0856" w:rsidRPr="00D43C76">
        <w:rPr>
          <w:rFonts w:eastAsia="Cambria" w:cs="Cambria"/>
          <w:lang w:val="es-ES_tradnl"/>
        </w:rPr>
        <w:t xml:space="preserve">violó el </w:t>
      </w:r>
      <w:r w:rsidR="00EB0856" w:rsidRPr="00D43C76">
        <w:rPr>
          <w:rFonts w:eastAsia="Cambria" w:cs="Cambria"/>
          <w:b/>
          <w:lang w:val="es-ES_tradnl"/>
        </w:rPr>
        <w:t>derecho a la libertad de asociación</w:t>
      </w:r>
      <w:r w:rsidR="00EB0856" w:rsidRPr="00D43C76">
        <w:rPr>
          <w:rFonts w:eastAsia="Cambria" w:cs="Cambria"/>
          <w:lang w:val="es-ES_tradnl"/>
        </w:rPr>
        <w:t xml:space="preserve"> porque</w:t>
      </w:r>
      <w:r w:rsidR="00B5162C" w:rsidRPr="00D43C76">
        <w:rPr>
          <w:rFonts w:eastAsia="Cambria" w:cs="Cambria"/>
          <w:lang w:val="es-ES_tradnl"/>
        </w:rPr>
        <w:t xml:space="preserve"> </w:t>
      </w:r>
      <w:r w:rsidR="00034B54" w:rsidRPr="00D43C76">
        <w:rPr>
          <w:rFonts w:eastAsia="Cambria" w:cs="Cambria"/>
          <w:lang w:val="es-ES_tradnl"/>
        </w:rPr>
        <w:t>la Ley de Delitos contra la Persona</w:t>
      </w:r>
      <w:r w:rsidR="00A6151F" w:rsidRPr="00D43C76">
        <w:rPr>
          <w:rFonts w:eastAsia="Cambria" w:cs="Cambria"/>
          <w:lang w:val="es-ES_tradnl"/>
        </w:rPr>
        <w:t xml:space="preserve"> discrimina en contra de las</w:t>
      </w:r>
      <w:r w:rsidR="005737AD" w:rsidRPr="00D43C76">
        <w:rPr>
          <w:rFonts w:eastAsia="Cambria" w:cs="Cambria"/>
          <w:lang w:val="es-ES_tradnl"/>
        </w:rPr>
        <w:t xml:space="preserve"> </w:t>
      </w:r>
      <w:r w:rsidR="00EB0856" w:rsidRPr="00D43C76">
        <w:rPr>
          <w:rFonts w:eastAsia="Cambria" w:cs="Cambria"/>
          <w:lang w:val="es-ES_tradnl"/>
        </w:rPr>
        <w:t>personas LGBTI</w:t>
      </w:r>
      <w:r w:rsidR="005737AD" w:rsidRPr="00D43C76">
        <w:rPr>
          <w:rFonts w:eastAsia="Cambria" w:cs="Cambria"/>
          <w:lang w:val="es-ES_tradnl"/>
        </w:rPr>
        <w:t xml:space="preserve"> </w:t>
      </w:r>
      <w:r w:rsidR="00BD57D6" w:rsidRPr="00D43C76">
        <w:rPr>
          <w:rFonts w:eastAsia="Cambria" w:cs="Cambria"/>
          <w:lang w:val="es-ES_tradnl"/>
        </w:rPr>
        <w:t xml:space="preserve">al negarles el derecho a </w:t>
      </w:r>
      <w:r w:rsidR="009A0AE8" w:rsidRPr="00D43C76">
        <w:rPr>
          <w:rFonts w:eastAsia="Cambria" w:cs="Cambria"/>
          <w:lang w:val="es-ES_tradnl"/>
        </w:rPr>
        <w:t xml:space="preserve">perseguir intereses particulares </w:t>
      </w:r>
      <w:r w:rsidR="00034B54" w:rsidRPr="00D43C76">
        <w:rPr>
          <w:rFonts w:eastAsia="Cambria" w:cs="Cambria"/>
          <w:lang w:val="es-ES_tradnl"/>
        </w:rPr>
        <w:t>y a ejercer la libertad de asociación</w:t>
      </w:r>
      <w:r w:rsidR="009A0AE8" w:rsidRPr="00D43C76">
        <w:rPr>
          <w:rFonts w:eastAsia="Cambria" w:cs="Cambria"/>
          <w:lang w:val="es-ES_tradnl"/>
        </w:rPr>
        <w:t xml:space="preserve"> en forma de asociación íntima o familiar con otros. De esta manera se aísla a la comunidad </w:t>
      </w:r>
      <w:r w:rsidR="005737AD" w:rsidRPr="00D43C76">
        <w:rPr>
          <w:rFonts w:eastAsia="Cambria" w:cs="Cambria"/>
          <w:lang w:val="es-ES_tradnl"/>
        </w:rPr>
        <w:t>LGB</w:t>
      </w:r>
      <w:r w:rsidR="00985459" w:rsidRPr="00D43C76">
        <w:rPr>
          <w:rFonts w:eastAsia="Cambria" w:cs="Cambria"/>
          <w:lang w:val="es-ES_tradnl"/>
        </w:rPr>
        <w:t>TI</w:t>
      </w:r>
      <w:r w:rsidR="005737AD" w:rsidRPr="00D43C76">
        <w:rPr>
          <w:rFonts w:eastAsia="Cambria" w:cs="Cambria"/>
          <w:lang w:val="es-ES_tradnl"/>
        </w:rPr>
        <w:t xml:space="preserve"> </w:t>
      </w:r>
      <w:r w:rsidR="009A0AE8" w:rsidRPr="00D43C76">
        <w:rPr>
          <w:rFonts w:eastAsia="Cambria" w:cs="Cambria"/>
          <w:lang w:val="es-ES_tradnl"/>
        </w:rPr>
        <w:t xml:space="preserve">en </w:t>
      </w:r>
      <w:r w:rsidR="005737AD" w:rsidRPr="00D43C76">
        <w:rPr>
          <w:rFonts w:eastAsia="Cambria" w:cs="Cambria"/>
          <w:lang w:val="es-ES_tradnl"/>
        </w:rPr>
        <w:t xml:space="preserve">Jamaica </w:t>
      </w:r>
      <w:r w:rsidR="009A0AE8" w:rsidRPr="00D43C76">
        <w:rPr>
          <w:rFonts w:eastAsia="Cambria" w:cs="Cambria"/>
          <w:lang w:val="es-ES_tradnl"/>
        </w:rPr>
        <w:t xml:space="preserve">y se le impide asociarse con otras </w:t>
      </w:r>
      <w:r w:rsidR="00EB0856" w:rsidRPr="00D43C76">
        <w:rPr>
          <w:rFonts w:eastAsia="Cambria" w:cs="Cambria"/>
          <w:lang w:val="es-ES_tradnl"/>
        </w:rPr>
        <w:t>personas LGBTI</w:t>
      </w:r>
      <w:r w:rsidR="005737AD" w:rsidRPr="00D43C76">
        <w:rPr>
          <w:rFonts w:eastAsia="Cambria" w:cs="Cambria"/>
          <w:lang w:val="es-ES_tradnl"/>
        </w:rPr>
        <w:t xml:space="preserve"> </w:t>
      </w:r>
      <w:r w:rsidR="009A0AE8" w:rsidRPr="00D43C76">
        <w:rPr>
          <w:rFonts w:eastAsia="Cambria" w:cs="Cambria"/>
          <w:lang w:val="es-ES_tradnl"/>
        </w:rPr>
        <w:t xml:space="preserve">y con personas </w:t>
      </w:r>
      <w:r w:rsidR="00CB5C32" w:rsidRPr="00D43C76">
        <w:rPr>
          <w:rFonts w:eastAsia="Cambria" w:cs="Cambria"/>
          <w:lang w:val="es-ES_tradnl"/>
        </w:rPr>
        <w:t>heterosexual</w:t>
      </w:r>
      <w:r w:rsidR="009A0AE8" w:rsidRPr="00D43C76">
        <w:rPr>
          <w:rFonts w:eastAsia="Cambria" w:cs="Cambria"/>
          <w:lang w:val="es-ES_tradnl"/>
        </w:rPr>
        <w:t>es</w:t>
      </w:r>
      <w:r w:rsidR="00CB5C32" w:rsidRPr="00D43C76">
        <w:rPr>
          <w:rFonts w:eastAsia="Cambria" w:cs="Cambria"/>
          <w:lang w:val="es-ES_tradnl"/>
        </w:rPr>
        <w:t>.</w:t>
      </w:r>
      <w:r w:rsidR="00440603" w:rsidRPr="00D43C76">
        <w:rPr>
          <w:lang w:val="es-ES_tradnl"/>
        </w:rPr>
        <w:t xml:space="preserve"> </w:t>
      </w:r>
      <w:r w:rsidRPr="00D43C76">
        <w:rPr>
          <w:lang w:val="es-ES_tradnl"/>
        </w:rPr>
        <w:t>La peticionaria</w:t>
      </w:r>
      <w:r w:rsidR="00EB0856" w:rsidRPr="00D43C76">
        <w:rPr>
          <w:lang w:val="es-ES_tradnl"/>
        </w:rPr>
        <w:t xml:space="preserve"> señala que </w:t>
      </w:r>
      <w:r w:rsidR="00A365FB" w:rsidRPr="00D43C76">
        <w:rPr>
          <w:rFonts w:eastAsia="Cambria" w:cs="Cambria"/>
          <w:lang w:val="es-ES_tradnl"/>
        </w:rPr>
        <w:t>el Estado</w:t>
      </w:r>
      <w:r w:rsidR="008C1E7C" w:rsidRPr="00D43C76">
        <w:rPr>
          <w:rFonts w:eastAsia="Cambria" w:cs="Cambria"/>
          <w:lang w:val="es-ES_tradnl"/>
        </w:rPr>
        <w:t xml:space="preserve"> </w:t>
      </w:r>
      <w:r w:rsidR="00EB0856" w:rsidRPr="00D43C76">
        <w:rPr>
          <w:rFonts w:eastAsia="Cambria" w:cs="Cambria"/>
          <w:lang w:val="es-ES_tradnl"/>
        </w:rPr>
        <w:t xml:space="preserve">violó el </w:t>
      </w:r>
      <w:r w:rsidR="00EB0856" w:rsidRPr="00D43C76">
        <w:rPr>
          <w:rFonts w:eastAsia="Cambria" w:cs="Cambria"/>
          <w:b/>
          <w:lang w:val="es-ES_tradnl"/>
        </w:rPr>
        <w:t>derecho a la vida familiar</w:t>
      </w:r>
      <w:r w:rsidR="00EB0856" w:rsidRPr="00D43C76">
        <w:rPr>
          <w:rFonts w:eastAsia="Cambria" w:cs="Cambria"/>
          <w:lang w:val="es-ES_tradnl"/>
        </w:rPr>
        <w:t xml:space="preserve"> porque</w:t>
      </w:r>
      <w:r w:rsidR="009A0AE8" w:rsidRPr="00D43C76">
        <w:rPr>
          <w:rFonts w:eastAsia="Cambria" w:cs="Cambria"/>
          <w:lang w:val="es-ES_tradnl"/>
        </w:rPr>
        <w:t xml:space="preserve">, con </w:t>
      </w:r>
      <w:r w:rsidR="00246179" w:rsidRPr="00D43C76">
        <w:rPr>
          <w:rFonts w:eastAsia="Cambria" w:cs="Cambria"/>
          <w:lang w:val="es-ES_tradnl"/>
        </w:rPr>
        <w:t>dicha ley</w:t>
      </w:r>
      <w:r w:rsidR="009A0AE8" w:rsidRPr="00D43C76">
        <w:rPr>
          <w:rFonts w:eastAsia="Cambria" w:cs="Cambria"/>
          <w:lang w:val="es-ES_tradnl"/>
        </w:rPr>
        <w:t>,</w:t>
      </w:r>
      <w:r w:rsidR="002F25BB" w:rsidRPr="00D43C76">
        <w:rPr>
          <w:rFonts w:eastAsia="Cambria" w:cs="Cambria"/>
          <w:lang w:val="es-ES_tradnl"/>
        </w:rPr>
        <w:t xml:space="preserve"> </w:t>
      </w:r>
      <w:r w:rsidR="009A0AE8" w:rsidRPr="00D43C76">
        <w:rPr>
          <w:rFonts w:eastAsia="Cambria" w:cs="Cambria"/>
          <w:lang w:val="es-ES_tradnl"/>
        </w:rPr>
        <w:t xml:space="preserve">Jamaica ha negado a las presuntas víctimas el derecho a mantener su familia y a tener contacto con ella, ya que ninguna de las dos presuntas víctimas se comunica regularmente con </w:t>
      </w:r>
      <w:r w:rsidR="0034591F" w:rsidRPr="00D43C76">
        <w:rPr>
          <w:rFonts w:eastAsia="Cambria" w:cs="Cambria"/>
          <w:lang w:val="es-ES_tradnl"/>
        </w:rPr>
        <w:t>sus familiares</w:t>
      </w:r>
      <w:r w:rsidR="009A0AE8" w:rsidRPr="00D43C76">
        <w:rPr>
          <w:rFonts w:eastAsia="Cambria" w:cs="Cambria"/>
          <w:lang w:val="es-ES_tradnl"/>
        </w:rPr>
        <w:t xml:space="preserve">. Asimismo, </w:t>
      </w:r>
      <w:r w:rsidR="0034591F" w:rsidRPr="00D43C76">
        <w:rPr>
          <w:rFonts w:eastAsia="Cambria" w:cs="Cambria"/>
          <w:lang w:val="es-ES_tradnl"/>
        </w:rPr>
        <w:t>T. B. y S. H.</w:t>
      </w:r>
      <w:r w:rsidR="009A0AE8" w:rsidRPr="00D43C76">
        <w:rPr>
          <w:rFonts w:eastAsia="Cambria" w:cs="Cambria"/>
          <w:lang w:val="es-ES_tradnl"/>
        </w:rPr>
        <w:t xml:space="preserve"> señalan en su declaración que los vínculos familiares</w:t>
      </w:r>
      <w:r w:rsidR="0034591F" w:rsidRPr="00D43C76">
        <w:rPr>
          <w:rFonts w:eastAsia="Cambria" w:cs="Cambria"/>
          <w:lang w:val="es-ES_tradnl"/>
        </w:rPr>
        <w:t xml:space="preserve"> se han cortado</w:t>
      </w:r>
      <w:r w:rsidR="009A0AE8" w:rsidRPr="00D43C76">
        <w:rPr>
          <w:rFonts w:eastAsia="Cambria" w:cs="Cambria"/>
          <w:lang w:val="es-ES_tradnl"/>
        </w:rPr>
        <w:t xml:space="preserve"> a causa de la violencia, la persecución y la </w:t>
      </w:r>
      <w:r w:rsidR="00851B40" w:rsidRPr="00D43C76">
        <w:rPr>
          <w:rFonts w:eastAsia="Cambria" w:cs="Cambria"/>
          <w:lang w:val="es-ES_tradnl"/>
        </w:rPr>
        <w:t>discriminación</w:t>
      </w:r>
      <w:r w:rsidR="00C76151" w:rsidRPr="00D43C76">
        <w:rPr>
          <w:rFonts w:eastAsia="Cambria" w:cs="Cambria"/>
          <w:lang w:val="es-ES_tradnl"/>
        </w:rPr>
        <w:t xml:space="preserve"> </w:t>
      </w:r>
      <w:r w:rsidR="009A0AE8" w:rsidRPr="00D43C76">
        <w:rPr>
          <w:rFonts w:eastAsia="Cambria" w:cs="Cambria"/>
          <w:lang w:val="es-ES_tradnl"/>
        </w:rPr>
        <w:t xml:space="preserve">que </w:t>
      </w:r>
      <w:r w:rsidR="0034591F" w:rsidRPr="00D43C76">
        <w:rPr>
          <w:rFonts w:eastAsia="Cambria" w:cs="Cambria"/>
          <w:lang w:val="es-ES_tradnl"/>
        </w:rPr>
        <w:t xml:space="preserve">ambos </w:t>
      </w:r>
      <w:r w:rsidR="009A0AE8" w:rsidRPr="00D43C76">
        <w:rPr>
          <w:rFonts w:eastAsia="Cambria" w:cs="Cambria"/>
          <w:lang w:val="es-ES_tradnl"/>
        </w:rPr>
        <w:t>han enfrentado.</w:t>
      </w:r>
    </w:p>
    <w:p w14:paraId="5613449E" w14:textId="77777777" w:rsidR="00512224" w:rsidRPr="00D43C76" w:rsidRDefault="00512224" w:rsidP="00C14D75">
      <w:pPr>
        <w:rPr>
          <w:highlight w:val="yellow"/>
          <w:lang w:val="es-ES_tradnl"/>
        </w:rPr>
      </w:pPr>
    </w:p>
    <w:p w14:paraId="3C3C523E" w14:textId="77777777" w:rsidR="00F67BBA" w:rsidRPr="00D43C76" w:rsidRDefault="0034591F" w:rsidP="006637A4">
      <w:pPr>
        <w:pStyle w:val="parrafos"/>
        <w:numPr>
          <w:ilvl w:val="0"/>
          <w:numId w:val="57"/>
        </w:numPr>
        <w:tabs>
          <w:tab w:val="clear" w:pos="1080"/>
          <w:tab w:val="left" w:pos="720"/>
        </w:tabs>
        <w:ind w:left="0" w:firstLine="0"/>
        <w:rPr>
          <w:lang w:val="es-ES_tradnl"/>
        </w:rPr>
      </w:pPr>
      <w:r w:rsidRPr="00D43C76">
        <w:rPr>
          <w:rFonts w:eastAsia="Cambria" w:cs="Cambria"/>
          <w:lang w:val="es-ES_tradnl"/>
        </w:rPr>
        <w:t>L</w:t>
      </w:r>
      <w:r w:rsidR="00BD169F" w:rsidRPr="00D43C76">
        <w:rPr>
          <w:rFonts w:eastAsia="Cambria" w:cs="Cambria"/>
          <w:lang w:val="es-ES_tradnl"/>
        </w:rPr>
        <w:t xml:space="preserve">a </w:t>
      </w:r>
      <w:r w:rsidR="00F664DE" w:rsidRPr="00D43C76">
        <w:rPr>
          <w:rFonts w:eastAsia="Cambria" w:cs="Cambria"/>
          <w:lang w:val="es-ES_tradnl"/>
        </w:rPr>
        <w:t xml:space="preserve">parte </w:t>
      </w:r>
      <w:r w:rsidR="00BD169F" w:rsidRPr="00D43C76">
        <w:rPr>
          <w:rFonts w:eastAsia="Cambria" w:cs="Cambria"/>
          <w:lang w:val="es-ES_tradnl"/>
        </w:rPr>
        <w:t>peticionaria</w:t>
      </w:r>
      <w:r w:rsidR="00EB0856" w:rsidRPr="00D43C76">
        <w:rPr>
          <w:rFonts w:eastAsia="Cambria" w:cs="Cambria"/>
          <w:lang w:val="es-ES_tradnl"/>
        </w:rPr>
        <w:t xml:space="preserve"> sostiene que el Estado violó el </w:t>
      </w:r>
      <w:r w:rsidR="00EB0856" w:rsidRPr="00D43C76">
        <w:rPr>
          <w:rFonts w:eastAsia="Cambria" w:cs="Cambria"/>
          <w:b/>
          <w:lang w:val="es-ES_tradnl"/>
        </w:rPr>
        <w:t>derecho de circulación y de residencia</w:t>
      </w:r>
      <w:r w:rsidR="00EB0856" w:rsidRPr="00D43C76">
        <w:rPr>
          <w:rFonts w:eastAsia="Cambria" w:cs="Cambria"/>
          <w:lang w:val="es-ES_tradnl"/>
        </w:rPr>
        <w:t xml:space="preserve"> </w:t>
      </w:r>
      <w:r w:rsidR="009A0AE8" w:rsidRPr="00D43C76">
        <w:rPr>
          <w:rFonts w:eastAsia="Cambria" w:cs="Cambria"/>
          <w:lang w:val="es-ES_tradnl"/>
        </w:rPr>
        <w:t xml:space="preserve">de las presuntas víctimas </w:t>
      </w:r>
      <w:r w:rsidR="00EB0856" w:rsidRPr="00D43C76">
        <w:rPr>
          <w:rFonts w:eastAsia="Cambria" w:cs="Cambria"/>
          <w:lang w:val="es-ES_tradnl"/>
        </w:rPr>
        <w:t>porque</w:t>
      </w:r>
      <w:r w:rsidR="00F67BBA" w:rsidRPr="00D43C76">
        <w:rPr>
          <w:rFonts w:eastAsia="Cambria" w:cs="Cambria"/>
          <w:lang w:val="es-ES_tradnl"/>
        </w:rPr>
        <w:t xml:space="preserve"> </w:t>
      </w:r>
      <w:r w:rsidR="009A0AE8" w:rsidRPr="00D43C76">
        <w:rPr>
          <w:rFonts w:eastAsia="Cambria" w:cs="Cambria"/>
          <w:lang w:val="es-ES_tradnl"/>
        </w:rPr>
        <w:t>la situación en</w:t>
      </w:r>
      <w:r w:rsidR="00A14CA4" w:rsidRPr="00D43C76">
        <w:rPr>
          <w:rFonts w:eastAsia="Cambria" w:cs="Cambria"/>
          <w:lang w:val="es-ES_tradnl"/>
        </w:rPr>
        <w:t xml:space="preserve"> Jamaica </w:t>
      </w:r>
      <w:r w:rsidR="009A0AE8" w:rsidRPr="00D43C76">
        <w:rPr>
          <w:rFonts w:eastAsia="Cambria" w:cs="Cambria"/>
          <w:lang w:val="es-ES_tradnl"/>
        </w:rPr>
        <w:t xml:space="preserve">las priva de estos derechos al convertirlas en prisioneras de su propia casa o, peor aún, en prisioneras de cualquier albergue que encuentren, porque los </w:t>
      </w:r>
      <w:r w:rsidR="00A14CA4" w:rsidRPr="00D43C76">
        <w:rPr>
          <w:rFonts w:eastAsia="Cambria" w:cs="Cambria"/>
          <w:lang w:val="es-ES_tradnl"/>
        </w:rPr>
        <w:t>homosexual</w:t>
      </w:r>
      <w:r w:rsidR="009A0AE8" w:rsidRPr="00D43C76">
        <w:rPr>
          <w:rFonts w:eastAsia="Cambria" w:cs="Cambria"/>
          <w:lang w:val="es-ES_tradnl"/>
        </w:rPr>
        <w:t xml:space="preserve">es y las </w:t>
      </w:r>
      <w:r w:rsidR="00EB0856" w:rsidRPr="00D43C76">
        <w:rPr>
          <w:rFonts w:eastAsia="Cambria" w:cs="Cambria"/>
          <w:lang w:val="es-ES_tradnl"/>
        </w:rPr>
        <w:t>personas LGBTI</w:t>
      </w:r>
      <w:r w:rsidR="00A14CA4" w:rsidRPr="00D43C76">
        <w:rPr>
          <w:rFonts w:eastAsia="Cambria" w:cs="Cambria"/>
          <w:lang w:val="es-ES_tradnl"/>
        </w:rPr>
        <w:t xml:space="preserve"> </w:t>
      </w:r>
      <w:r w:rsidR="009A0AE8" w:rsidRPr="00D43C76">
        <w:rPr>
          <w:rFonts w:eastAsia="Cambria" w:cs="Cambria"/>
          <w:lang w:val="es-ES_tradnl"/>
        </w:rPr>
        <w:t xml:space="preserve">suelen </w:t>
      </w:r>
      <w:r w:rsidR="008B4425" w:rsidRPr="00D43C76">
        <w:rPr>
          <w:rFonts w:eastAsia="Cambria" w:cs="Cambria"/>
          <w:lang w:val="es-ES_tradnl"/>
        </w:rPr>
        <w:t xml:space="preserve">encontrarse en una situación persistente de carencia de hogar. </w:t>
      </w:r>
      <w:r w:rsidR="007E65FB" w:rsidRPr="00D43C76">
        <w:rPr>
          <w:rFonts w:eastAsia="Cambria" w:cs="Cambria"/>
          <w:lang w:val="es-ES_tradnl"/>
        </w:rPr>
        <w:t xml:space="preserve">T. B. </w:t>
      </w:r>
      <w:r w:rsidR="008B4425" w:rsidRPr="00D43C76">
        <w:rPr>
          <w:rFonts w:eastAsia="Cambria" w:cs="Cambria"/>
          <w:lang w:val="es-ES_tradnl"/>
        </w:rPr>
        <w:t>y</w:t>
      </w:r>
      <w:r w:rsidR="00A14CA4" w:rsidRPr="00D43C76">
        <w:rPr>
          <w:rFonts w:eastAsia="Cambria" w:cs="Cambria"/>
          <w:lang w:val="es-ES_tradnl"/>
        </w:rPr>
        <w:t xml:space="preserve"> </w:t>
      </w:r>
      <w:r w:rsidR="007E65FB" w:rsidRPr="00D43C76">
        <w:rPr>
          <w:rFonts w:eastAsia="Cambria" w:cs="Cambria"/>
          <w:lang w:val="es-ES_tradnl"/>
        </w:rPr>
        <w:t xml:space="preserve">S. H. </w:t>
      </w:r>
      <w:r w:rsidR="008B4425" w:rsidRPr="00D43C76">
        <w:rPr>
          <w:rFonts w:eastAsia="Cambria" w:cs="Cambria"/>
          <w:lang w:val="es-ES_tradnl"/>
        </w:rPr>
        <w:t>quedaron sin residencia permanente</w:t>
      </w:r>
      <w:r w:rsidRPr="00D43C76">
        <w:rPr>
          <w:rFonts w:eastAsia="Cambria" w:cs="Cambria"/>
          <w:lang w:val="es-ES_tradnl"/>
        </w:rPr>
        <w:t xml:space="preserve"> porque los echaron de la casa</w:t>
      </w:r>
      <w:r w:rsidR="008B4425" w:rsidRPr="00D43C76">
        <w:rPr>
          <w:rFonts w:eastAsia="Cambria" w:cs="Cambria"/>
          <w:lang w:val="es-ES_tradnl"/>
        </w:rPr>
        <w:t xml:space="preserve">. En ambos casos, </w:t>
      </w:r>
      <w:r w:rsidRPr="00D43C76">
        <w:rPr>
          <w:rFonts w:eastAsia="Cambria" w:cs="Cambria"/>
          <w:lang w:val="es-ES_tradnl"/>
        </w:rPr>
        <w:t>la</w:t>
      </w:r>
      <w:r w:rsidR="008B4425" w:rsidRPr="00D43C76">
        <w:rPr>
          <w:rFonts w:eastAsia="Cambria" w:cs="Cambria"/>
          <w:lang w:val="es-ES_tradnl"/>
        </w:rPr>
        <w:t xml:space="preserve"> familia los rechazó porque sospechaban de su </w:t>
      </w:r>
      <w:r w:rsidR="00C0332A" w:rsidRPr="00D43C76">
        <w:rPr>
          <w:rFonts w:eastAsia="Cambria" w:cs="Cambria"/>
          <w:lang w:val="es-ES_tradnl"/>
        </w:rPr>
        <w:t>homosexuali</w:t>
      </w:r>
      <w:r w:rsidR="008B4425" w:rsidRPr="00D43C76">
        <w:rPr>
          <w:rFonts w:eastAsia="Cambria" w:cs="Cambria"/>
          <w:lang w:val="es-ES_tradnl"/>
        </w:rPr>
        <w:t xml:space="preserve">dad. </w:t>
      </w:r>
      <w:r w:rsidRPr="00D43C76">
        <w:rPr>
          <w:rFonts w:eastAsia="Cambria" w:cs="Cambria"/>
          <w:lang w:val="es-ES_tradnl"/>
        </w:rPr>
        <w:t xml:space="preserve">La </w:t>
      </w:r>
      <w:r w:rsidR="008B4425" w:rsidRPr="00D43C76">
        <w:rPr>
          <w:rFonts w:eastAsia="Cambria" w:cs="Cambria"/>
          <w:lang w:val="es-ES_tradnl"/>
        </w:rPr>
        <w:t>falta de un hogar permanente los obliga a permanecer en albergues públicos donde su vida podría correr peligro si otras personas se enteran de que son gais o si lo sospechan</w:t>
      </w:r>
      <w:r w:rsidR="006A1A58" w:rsidRPr="00D43C76">
        <w:rPr>
          <w:rFonts w:eastAsia="Cambria" w:cs="Cambria"/>
          <w:lang w:val="es-ES_tradnl"/>
        </w:rPr>
        <w:t xml:space="preserve">. </w:t>
      </w:r>
    </w:p>
    <w:p w14:paraId="712BDD20" w14:textId="77777777" w:rsidR="00033FD9" w:rsidRPr="00D43C76" w:rsidRDefault="00033FD9" w:rsidP="00033FD9">
      <w:pPr>
        <w:pStyle w:val="ListParagraph"/>
        <w:rPr>
          <w:lang w:val="es-ES_tradnl"/>
        </w:rPr>
      </w:pPr>
    </w:p>
    <w:p w14:paraId="3ACF1534" w14:textId="77777777" w:rsidR="000135C7" w:rsidRPr="00D43C76" w:rsidRDefault="00BD169F" w:rsidP="006637A4">
      <w:pPr>
        <w:pStyle w:val="parrafos"/>
        <w:numPr>
          <w:ilvl w:val="0"/>
          <w:numId w:val="57"/>
        </w:numPr>
        <w:tabs>
          <w:tab w:val="clear" w:pos="1080"/>
          <w:tab w:val="left" w:pos="720"/>
        </w:tabs>
        <w:ind w:left="0" w:firstLine="0"/>
        <w:rPr>
          <w:lang w:val="es-ES_tradnl"/>
        </w:rPr>
      </w:pPr>
      <w:r w:rsidRPr="00D43C76">
        <w:rPr>
          <w:lang w:val="es-ES_tradnl"/>
        </w:rPr>
        <w:t xml:space="preserve">La </w:t>
      </w:r>
      <w:r w:rsidR="00F664DE" w:rsidRPr="00D43C76">
        <w:rPr>
          <w:lang w:val="es-ES_tradnl"/>
        </w:rPr>
        <w:t xml:space="preserve">parte </w:t>
      </w:r>
      <w:r w:rsidRPr="00D43C76">
        <w:rPr>
          <w:lang w:val="es-ES_tradnl"/>
        </w:rPr>
        <w:t>peticionaria</w:t>
      </w:r>
      <w:r w:rsidR="008B4425" w:rsidRPr="00D43C76">
        <w:rPr>
          <w:lang w:val="es-ES_tradnl"/>
        </w:rPr>
        <w:t xml:space="preserve"> afirma que </w:t>
      </w:r>
      <w:r w:rsidR="00A365FB" w:rsidRPr="00D43C76">
        <w:rPr>
          <w:lang w:val="es-ES_tradnl"/>
        </w:rPr>
        <w:t>el Estado</w:t>
      </w:r>
      <w:r w:rsidR="00033FD9" w:rsidRPr="00D43C76">
        <w:rPr>
          <w:lang w:val="es-ES_tradnl"/>
        </w:rPr>
        <w:t xml:space="preserve"> viol</w:t>
      </w:r>
      <w:r w:rsidR="008B4425" w:rsidRPr="00D43C76">
        <w:rPr>
          <w:lang w:val="es-ES_tradnl"/>
        </w:rPr>
        <w:t xml:space="preserve">ó el </w:t>
      </w:r>
      <w:r w:rsidR="008B4425" w:rsidRPr="00D43C76">
        <w:rPr>
          <w:b/>
          <w:lang w:val="es-ES_tradnl"/>
        </w:rPr>
        <w:t>derecho a participar en el gobierno</w:t>
      </w:r>
      <w:r w:rsidR="00A67844" w:rsidRPr="00D43C76">
        <w:rPr>
          <w:lang w:val="es-ES_tradnl"/>
        </w:rPr>
        <w:t xml:space="preserve"> </w:t>
      </w:r>
      <w:r w:rsidR="008B4425" w:rsidRPr="00D43C76">
        <w:rPr>
          <w:lang w:val="es-ES_tradnl"/>
        </w:rPr>
        <w:t xml:space="preserve">porque la </w:t>
      </w:r>
      <w:r w:rsidR="008B4425" w:rsidRPr="00D43C76">
        <w:rPr>
          <w:rFonts w:eastAsia="Cambria" w:cs="Cambria"/>
          <w:lang w:val="es-ES_tradnl"/>
        </w:rPr>
        <w:t>Ley de Delitos contra la Persona</w:t>
      </w:r>
      <w:r w:rsidR="00A67844" w:rsidRPr="00D43C76">
        <w:rPr>
          <w:lang w:val="es-ES_tradnl"/>
        </w:rPr>
        <w:t xml:space="preserve"> </w:t>
      </w:r>
      <w:r w:rsidR="008B4425" w:rsidRPr="00D43C76">
        <w:rPr>
          <w:lang w:val="es-ES_tradnl"/>
        </w:rPr>
        <w:t>impide la plena participación de los jamaiquinos</w:t>
      </w:r>
      <w:r w:rsidR="00A67844" w:rsidRPr="00D43C76">
        <w:rPr>
          <w:lang w:val="es-ES_tradnl"/>
        </w:rPr>
        <w:t xml:space="preserve"> homosexual</w:t>
      </w:r>
      <w:r w:rsidR="008B4425" w:rsidRPr="00D43C76">
        <w:rPr>
          <w:lang w:val="es-ES_tradnl"/>
        </w:rPr>
        <w:t>es</w:t>
      </w:r>
      <w:r w:rsidR="007214A7" w:rsidRPr="00D43C76">
        <w:rPr>
          <w:lang w:val="es-ES_tradnl"/>
        </w:rPr>
        <w:t xml:space="preserve"> —</w:t>
      </w:r>
      <w:r w:rsidR="008B4425" w:rsidRPr="00D43C76">
        <w:rPr>
          <w:lang w:val="es-ES_tradnl"/>
        </w:rPr>
        <w:t xml:space="preserve">entre ellos </w:t>
      </w:r>
      <w:r w:rsidR="009A0AE8" w:rsidRPr="00D43C76">
        <w:rPr>
          <w:lang w:val="es-ES_tradnl"/>
        </w:rPr>
        <w:t>las presuntas víctimas</w:t>
      </w:r>
      <w:r w:rsidR="007214A7" w:rsidRPr="00D43C76">
        <w:rPr>
          <w:lang w:val="es-ES_tradnl"/>
        </w:rPr>
        <w:t>—</w:t>
      </w:r>
      <w:r w:rsidR="00A67844" w:rsidRPr="00D43C76">
        <w:rPr>
          <w:lang w:val="es-ES_tradnl"/>
        </w:rPr>
        <w:t xml:space="preserve"> </w:t>
      </w:r>
      <w:r w:rsidR="008B4425" w:rsidRPr="00D43C76">
        <w:rPr>
          <w:lang w:val="es-ES_tradnl"/>
        </w:rPr>
        <w:t>en el gobierno al tipificar su conducta como delito</w:t>
      </w:r>
      <w:r w:rsidR="00A67844" w:rsidRPr="00D43C76">
        <w:rPr>
          <w:lang w:val="es-ES_tradnl"/>
        </w:rPr>
        <w:t xml:space="preserve">. </w:t>
      </w:r>
      <w:r w:rsidR="008B4425" w:rsidRPr="00D43C76">
        <w:rPr>
          <w:lang w:val="es-ES_tradnl"/>
        </w:rPr>
        <w:t xml:space="preserve">Los políticos elegidos se abstienen de contratar homosexuales porque podrían terminar en la cárcel de acuerdo con las leyes jamaiquinas. Con la </w:t>
      </w:r>
      <w:r w:rsidR="008B4425" w:rsidRPr="00D43C76">
        <w:rPr>
          <w:rFonts w:eastAsia="Cambria" w:cs="Cambria"/>
          <w:lang w:val="es-ES_tradnl"/>
        </w:rPr>
        <w:t xml:space="preserve">Ley de Delitos contra la Persona, </w:t>
      </w:r>
      <w:r w:rsidR="008B4425" w:rsidRPr="00D43C76">
        <w:rPr>
          <w:lang w:val="es-ES_tradnl"/>
        </w:rPr>
        <w:t xml:space="preserve">los </w:t>
      </w:r>
      <w:r w:rsidR="00A67844" w:rsidRPr="00D43C76">
        <w:rPr>
          <w:lang w:val="es-ES_tradnl"/>
        </w:rPr>
        <w:t>homosexual</w:t>
      </w:r>
      <w:r w:rsidR="008B4425" w:rsidRPr="00D43C76">
        <w:rPr>
          <w:lang w:val="es-ES_tradnl"/>
        </w:rPr>
        <w:t>e</w:t>
      </w:r>
      <w:r w:rsidR="00A67844" w:rsidRPr="00D43C76">
        <w:rPr>
          <w:lang w:val="es-ES_tradnl"/>
        </w:rPr>
        <w:t xml:space="preserve">s </w:t>
      </w:r>
      <w:r w:rsidR="008B4425" w:rsidRPr="00D43C76">
        <w:rPr>
          <w:lang w:val="es-ES_tradnl"/>
        </w:rPr>
        <w:t xml:space="preserve">no pueden participar plenamente en la vida pública en </w:t>
      </w:r>
      <w:r w:rsidR="00A67844" w:rsidRPr="00D43C76">
        <w:rPr>
          <w:lang w:val="es-ES_tradnl"/>
        </w:rPr>
        <w:t>Jamaica.</w:t>
      </w:r>
    </w:p>
    <w:p w14:paraId="356D3A0B" w14:textId="77777777" w:rsidR="000135C7" w:rsidRPr="00D43C76" w:rsidRDefault="000135C7" w:rsidP="000135C7">
      <w:pPr>
        <w:pStyle w:val="ListParagraph"/>
        <w:rPr>
          <w:lang w:val="es-ES_tradnl"/>
        </w:rPr>
      </w:pPr>
    </w:p>
    <w:p w14:paraId="3A587CC8" w14:textId="77777777" w:rsidR="00033FD9" w:rsidRPr="00D43C76" w:rsidRDefault="00BD169F" w:rsidP="00A17F15">
      <w:pPr>
        <w:pStyle w:val="parrafos"/>
        <w:numPr>
          <w:ilvl w:val="0"/>
          <w:numId w:val="57"/>
        </w:numPr>
        <w:tabs>
          <w:tab w:val="clear" w:pos="1080"/>
          <w:tab w:val="left" w:pos="720"/>
        </w:tabs>
        <w:ind w:left="0" w:firstLine="0"/>
        <w:rPr>
          <w:lang w:val="es-ES_tradnl"/>
        </w:rPr>
      </w:pPr>
      <w:r w:rsidRPr="00D43C76">
        <w:rPr>
          <w:rFonts w:eastAsia="Cambria" w:cs="Cambria"/>
          <w:lang w:val="es-ES_tradnl"/>
        </w:rPr>
        <w:t xml:space="preserve">La </w:t>
      </w:r>
      <w:r w:rsidR="00F664DE" w:rsidRPr="00D43C76">
        <w:rPr>
          <w:rFonts w:eastAsia="Cambria" w:cs="Cambria"/>
          <w:lang w:val="es-ES_tradnl"/>
        </w:rPr>
        <w:t xml:space="preserve">parte </w:t>
      </w:r>
      <w:r w:rsidRPr="00D43C76">
        <w:rPr>
          <w:rFonts w:eastAsia="Cambria" w:cs="Cambria"/>
          <w:lang w:val="es-ES_tradnl"/>
        </w:rPr>
        <w:t>peticionaria</w:t>
      </w:r>
      <w:r w:rsidR="00EB0856" w:rsidRPr="00D43C76">
        <w:rPr>
          <w:rFonts w:eastAsia="Cambria" w:cs="Cambria"/>
          <w:lang w:val="es-ES_tradnl"/>
        </w:rPr>
        <w:t xml:space="preserve"> afirma que Jamaica violó el </w:t>
      </w:r>
      <w:r w:rsidR="00EB0856" w:rsidRPr="00D43C76">
        <w:rPr>
          <w:rFonts w:eastAsia="Cambria" w:cs="Cambria"/>
          <w:b/>
          <w:lang w:val="es-ES_tradnl"/>
        </w:rPr>
        <w:t xml:space="preserve">derecho a la salud </w:t>
      </w:r>
      <w:r w:rsidR="00EB0856" w:rsidRPr="00D43C76">
        <w:rPr>
          <w:rFonts w:eastAsia="Cambria" w:cs="Cambria"/>
          <w:lang w:val="es-ES_tradnl"/>
        </w:rPr>
        <w:t>porque</w:t>
      </w:r>
      <w:r w:rsidR="00366CF0" w:rsidRPr="00D43C76">
        <w:rPr>
          <w:lang w:val="es-ES_tradnl"/>
        </w:rPr>
        <w:t xml:space="preserve"> </w:t>
      </w:r>
      <w:r w:rsidR="009A0AE8" w:rsidRPr="00D43C76">
        <w:rPr>
          <w:lang w:val="es-ES_tradnl"/>
        </w:rPr>
        <w:t>las presuntas víctimas</w:t>
      </w:r>
      <w:r w:rsidR="00366CF0" w:rsidRPr="00D43C76">
        <w:rPr>
          <w:lang w:val="es-ES_tradnl"/>
        </w:rPr>
        <w:t xml:space="preserve"> </w:t>
      </w:r>
      <w:r w:rsidR="003C3303" w:rsidRPr="00D43C76">
        <w:rPr>
          <w:lang w:val="es-ES_tradnl"/>
        </w:rPr>
        <w:t xml:space="preserve">no tienen acceso a servicios eficaces de prevención, pruebas y tratamiento para el VIH debido a la </w:t>
      </w:r>
      <w:r w:rsidR="00851B40" w:rsidRPr="00D43C76">
        <w:rPr>
          <w:lang w:val="es-ES_tradnl"/>
        </w:rPr>
        <w:t>discriminación</w:t>
      </w:r>
      <w:r w:rsidR="00563605" w:rsidRPr="00D43C76">
        <w:rPr>
          <w:lang w:val="es-ES_tradnl"/>
        </w:rPr>
        <w:t xml:space="preserve"> </w:t>
      </w:r>
      <w:r w:rsidR="003C3303" w:rsidRPr="00D43C76">
        <w:rPr>
          <w:lang w:val="es-ES_tradnl"/>
        </w:rPr>
        <w:t>generalizada contra los homosexuales</w:t>
      </w:r>
      <w:r w:rsidR="00563605" w:rsidRPr="00D43C76">
        <w:rPr>
          <w:lang w:val="es-ES_tradnl"/>
        </w:rPr>
        <w:t xml:space="preserve"> </w:t>
      </w:r>
      <w:r w:rsidR="003C3303" w:rsidRPr="00D43C76">
        <w:rPr>
          <w:lang w:val="es-ES_tradnl"/>
        </w:rPr>
        <w:t xml:space="preserve">y las </w:t>
      </w:r>
      <w:r w:rsidR="00EB0856" w:rsidRPr="00D43C76">
        <w:rPr>
          <w:lang w:val="es-ES_tradnl"/>
        </w:rPr>
        <w:t>personas LGBTI</w:t>
      </w:r>
      <w:r w:rsidR="003C3303" w:rsidRPr="00D43C76">
        <w:rPr>
          <w:lang w:val="es-ES_tradnl"/>
        </w:rPr>
        <w:t xml:space="preserve">, incluso en el </w:t>
      </w:r>
      <w:r w:rsidR="00A008BB" w:rsidRPr="00D43C76">
        <w:rPr>
          <w:lang w:val="es-ES_tradnl"/>
        </w:rPr>
        <w:t>sector</w:t>
      </w:r>
      <w:r w:rsidR="003C3303" w:rsidRPr="00D43C76">
        <w:rPr>
          <w:lang w:val="es-ES_tradnl"/>
        </w:rPr>
        <w:t xml:space="preserve"> de la salud pública</w:t>
      </w:r>
      <w:r w:rsidR="00A008BB" w:rsidRPr="00D43C76">
        <w:rPr>
          <w:lang w:val="es-ES_tradnl"/>
        </w:rPr>
        <w:t xml:space="preserve">. </w:t>
      </w:r>
      <w:r w:rsidR="003C3303" w:rsidRPr="00D43C76">
        <w:rPr>
          <w:lang w:val="es-ES_tradnl"/>
        </w:rPr>
        <w:t xml:space="preserve">Señala que hay alrededor de </w:t>
      </w:r>
      <w:r w:rsidR="00A17F15" w:rsidRPr="00D43C76">
        <w:rPr>
          <w:lang w:val="es-ES_tradnl"/>
        </w:rPr>
        <w:t>32</w:t>
      </w:r>
      <w:r w:rsidR="003C3303" w:rsidRPr="00D43C76">
        <w:rPr>
          <w:lang w:val="es-ES_tradnl"/>
        </w:rPr>
        <w:t>.</w:t>
      </w:r>
      <w:r w:rsidR="00A17F15" w:rsidRPr="00D43C76">
        <w:rPr>
          <w:lang w:val="es-ES_tradnl"/>
        </w:rPr>
        <w:t>000 pe</w:t>
      </w:r>
      <w:r w:rsidR="003C3303" w:rsidRPr="00D43C76">
        <w:rPr>
          <w:lang w:val="es-ES_tradnl"/>
        </w:rPr>
        <w:t xml:space="preserve">rsonas infectadas por el VIH en </w:t>
      </w:r>
      <w:r w:rsidR="00A17F15" w:rsidRPr="00D43C76">
        <w:rPr>
          <w:lang w:val="es-ES_tradnl"/>
        </w:rPr>
        <w:t>Jamaica</w:t>
      </w:r>
      <w:r w:rsidR="003C3303" w:rsidRPr="00D43C76">
        <w:rPr>
          <w:lang w:val="es-ES_tradnl"/>
        </w:rPr>
        <w:t xml:space="preserve"> y que, según el informe nacional sobre el sida, la mitad de </w:t>
      </w:r>
      <w:r w:rsidR="007214A7" w:rsidRPr="00D43C76">
        <w:rPr>
          <w:lang w:val="es-ES_tradnl"/>
        </w:rPr>
        <w:t xml:space="preserve">ellas </w:t>
      </w:r>
      <w:r w:rsidR="003C3303" w:rsidRPr="00D43C76">
        <w:rPr>
          <w:lang w:val="es-ES_tradnl"/>
        </w:rPr>
        <w:t xml:space="preserve">no </w:t>
      </w:r>
      <w:r w:rsidR="007214A7" w:rsidRPr="00D43C76">
        <w:rPr>
          <w:lang w:val="es-ES_tradnl"/>
        </w:rPr>
        <w:t xml:space="preserve">conocen su estado </w:t>
      </w:r>
      <w:r w:rsidR="003C3303" w:rsidRPr="00D43C76">
        <w:rPr>
          <w:lang w:val="es-ES_tradnl"/>
        </w:rPr>
        <w:t xml:space="preserve">ni tienen acceso a servicios de salud. En </w:t>
      </w:r>
      <w:r w:rsidR="007214A7" w:rsidRPr="00D43C76">
        <w:rPr>
          <w:lang w:val="es-ES_tradnl"/>
        </w:rPr>
        <w:t xml:space="preserve">dicho </w:t>
      </w:r>
      <w:r w:rsidR="003C3303" w:rsidRPr="00D43C76">
        <w:rPr>
          <w:lang w:val="es-ES_tradnl"/>
        </w:rPr>
        <w:t xml:space="preserve">informe se establece una relación entre las bajas tasas de notificación de la infección por el VIH y el sida, por una parte, y el estigma y la </w:t>
      </w:r>
      <w:r w:rsidR="00851B40" w:rsidRPr="00D43C76">
        <w:rPr>
          <w:lang w:val="es-ES_tradnl"/>
        </w:rPr>
        <w:t>discriminación</w:t>
      </w:r>
      <w:r w:rsidR="003C3303" w:rsidRPr="00D43C76">
        <w:rPr>
          <w:lang w:val="es-ES_tradnl"/>
        </w:rPr>
        <w:t>, por la otra, que acompañan a las personas gais, y se llega a la conclusión de que las leyes contra la sodomía impiden que los homosexuales</w:t>
      </w:r>
      <w:r w:rsidR="00A17F15" w:rsidRPr="00D43C76">
        <w:rPr>
          <w:lang w:val="es-ES_tradnl"/>
        </w:rPr>
        <w:t xml:space="preserve"> </w:t>
      </w:r>
      <w:r w:rsidR="003C3303" w:rsidRPr="00D43C76">
        <w:rPr>
          <w:lang w:val="es-ES_tradnl"/>
        </w:rPr>
        <w:t>reciban servicios de prevención y tratamiento</w:t>
      </w:r>
      <w:r w:rsidR="00E83682" w:rsidRPr="00D43C76">
        <w:rPr>
          <w:lang w:val="es-ES_tradnl"/>
        </w:rPr>
        <w:t>.</w:t>
      </w:r>
    </w:p>
    <w:p w14:paraId="6FB7D4C1" w14:textId="77777777" w:rsidR="000135C7" w:rsidRPr="00D43C76" w:rsidRDefault="000135C7" w:rsidP="006D27EC">
      <w:pPr>
        <w:suppressAutoHyphens/>
        <w:rPr>
          <w:rFonts w:asciiTheme="majorHAnsi" w:hAnsiTheme="majorHAnsi"/>
          <w:sz w:val="20"/>
          <w:szCs w:val="20"/>
          <w:lang w:val="es-ES_tradnl"/>
        </w:rPr>
      </w:pPr>
    </w:p>
    <w:p w14:paraId="7A69D09E" w14:textId="77777777" w:rsidR="001C4006" w:rsidRPr="00D43C76" w:rsidRDefault="00EB0856" w:rsidP="006637A4">
      <w:pPr>
        <w:pStyle w:val="Heading2"/>
        <w:numPr>
          <w:ilvl w:val="0"/>
          <w:numId w:val="56"/>
        </w:numPr>
        <w:spacing w:before="0"/>
        <w:ind w:left="360"/>
        <w:rPr>
          <w:color w:val="auto"/>
          <w:sz w:val="20"/>
          <w:szCs w:val="20"/>
          <w:lang w:val="es-ES_tradnl"/>
        </w:rPr>
      </w:pPr>
      <w:bookmarkStart w:id="3" w:name="_Toc7803296"/>
      <w:bookmarkStart w:id="4" w:name="_Toc18144533"/>
      <w:bookmarkStart w:id="5" w:name="_Toc58491230"/>
      <w:r w:rsidRPr="00D43C76">
        <w:rPr>
          <w:color w:val="auto"/>
          <w:sz w:val="20"/>
          <w:szCs w:val="20"/>
          <w:lang w:val="es-ES_tradnl"/>
        </w:rPr>
        <w:t>Posición del Estado</w:t>
      </w:r>
      <w:bookmarkEnd w:id="3"/>
      <w:bookmarkEnd w:id="4"/>
      <w:bookmarkEnd w:id="5"/>
    </w:p>
    <w:p w14:paraId="48753BCD" w14:textId="77777777" w:rsidR="00CB5C32" w:rsidRPr="00D43C76" w:rsidRDefault="00CB5C32" w:rsidP="00CB5C32">
      <w:pPr>
        <w:pStyle w:val="parrafos"/>
        <w:tabs>
          <w:tab w:val="left" w:pos="720"/>
        </w:tabs>
        <w:rPr>
          <w:rFonts w:ascii="Cambria" w:hAnsi="Cambria"/>
          <w:lang w:val="es-ES_tradnl"/>
        </w:rPr>
      </w:pPr>
    </w:p>
    <w:p w14:paraId="548411CC" w14:textId="77777777" w:rsidR="00CB5C32" w:rsidRPr="00D43C76" w:rsidRDefault="00D55BF0" w:rsidP="00CB5C32">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Con respecto a la </w:t>
      </w:r>
      <w:r w:rsidR="00851B40" w:rsidRPr="00D43C76">
        <w:rPr>
          <w:rFonts w:ascii="Cambria" w:hAnsi="Cambria"/>
          <w:b/>
          <w:lang w:val="es-ES_tradnl"/>
        </w:rPr>
        <w:t>admisibilidad</w:t>
      </w:r>
      <w:r w:rsidR="00BA59A4" w:rsidRPr="00D43C76">
        <w:rPr>
          <w:rFonts w:ascii="Cambria" w:hAnsi="Cambria"/>
          <w:lang w:val="es-ES_tradnl"/>
        </w:rPr>
        <w:t xml:space="preserve"> </w:t>
      </w:r>
      <w:r w:rsidRPr="00D43C76">
        <w:rPr>
          <w:rFonts w:ascii="Cambria" w:hAnsi="Cambria"/>
          <w:lang w:val="es-ES_tradnl"/>
        </w:rPr>
        <w:t>de</w:t>
      </w:r>
      <w:r w:rsidR="00BA59A4" w:rsidRPr="00D43C76">
        <w:rPr>
          <w:rFonts w:ascii="Cambria" w:hAnsi="Cambria"/>
          <w:lang w:val="es-ES_tradnl"/>
        </w:rPr>
        <w:t xml:space="preserve"> </w:t>
      </w:r>
      <w:r w:rsidR="00D30B57" w:rsidRPr="00D43C76">
        <w:rPr>
          <w:rFonts w:ascii="Cambria" w:hAnsi="Cambria"/>
          <w:lang w:val="es-ES_tradnl"/>
        </w:rPr>
        <w:t>la petición</w:t>
      </w:r>
      <w:r w:rsidRPr="00D43C76">
        <w:rPr>
          <w:rFonts w:ascii="Cambria" w:hAnsi="Cambria"/>
          <w:lang w:val="es-ES_tradnl"/>
        </w:rPr>
        <w:t xml:space="preserve">, </w:t>
      </w:r>
      <w:r w:rsidR="00A365FB" w:rsidRPr="00D43C76">
        <w:rPr>
          <w:rFonts w:ascii="Cambria" w:hAnsi="Cambria"/>
          <w:lang w:val="es-ES_tradnl"/>
        </w:rPr>
        <w:t>el Estado</w:t>
      </w:r>
      <w:r w:rsidR="006B4BBA" w:rsidRPr="00D43C76">
        <w:rPr>
          <w:rFonts w:ascii="Cambria" w:hAnsi="Cambria"/>
          <w:lang w:val="es-ES_tradnl"/>
        </w:rPr>
        <w:t xml:space="preserve"> a</w:t>
      </w:r>
      <w:r w:rsidR="00C61035" w:rsidRPr="00D43C76">
        <w:rPr>
          <w:rFonts w:ascii="Cambria" w:hAnsi="Cambria"/>
          <w:lang w:val="es-ES_tradnl"/>
        </w:rPr>
        <w:t xml:space="preserve">duce que </w:t>
      </w:r>
      <w:r w:rsidR="00BD169F" w:rsidRPr="00D43C76">
        <w:rPr>
          <w:rFonts w:ascii="Cambria" w:hAnsi="Cambria"/>
          <w:lang w:val="es-ES_tradnl"/>
        </w:rPr>
        <w:t xml:space="preserve">la </w:t>
      </w:r>
      <w:r w:rsidR="00F664DE" w:rsidRPr="00D43C76">
        <w:rPr>
          <w:rFonts w:ascii="Cambria" w:hAnsi="Cambria"/>
          <w:lang w:val="es-ES_tradnl"/>
        </w:rPr>
        <w:t xml:space="preserve">parte </w:t>
      </w:r>
      <w:r w:rsidR="00BD169F" w:rsidRPr="00D43C76">
        <w:rPr>
          <w:rFonts w:ascii="Cambria" w:hAnsi="Cambria"/>
          <w:lang w:val="es-ES_tradnl"/>
        </w:rPr>
        <w:t>peticionaria</w:t>
      </w:r>
      <w:r w:rsidR="00CE3F25" w:rsidRPr="00D43C76">
        <w:rPr>
          <w:rFonts w:ascii="Cambria" w:hAnsi="Cambria"/>
          <w:lang w:val="es-ES_tradnl"/>
        </w:rPr>
        <w:t xml:space="preserve"> </w:t>
      </w:r>
      <w:r w:rsidR="00F664DE" w:rsidRPr="00D43C76">
        <w:rPr>
          <w:rFonts w:ascii="Cambria" w:hAnsi="Cambria"/>
          <w:lang w:val="es-ES_tradnl"/>
        </w:rPr>
        <w:t>no ha</w:t>
      </w:r>
      <w:r w:rsidR="00C61035" w:rsidRPr="00D43C76">
        <w:rPr>
          <w:rFonts w:ascii="Cambria" w:hAnsi="Cambria"/>
          <w:lang w:val="es-ES_tradnl"/>
        </w:rPr>
        <w:t xml:space="preserve"> agotado los </w:t>
      </w:r>
      <w:r w:rsidR="00D30B57" w:rsidRPr="00D43C76">
        <w:rPr>
          <w:rFonts w:ascii="Cambria" w:hAnsi="Cambria"/>
          <w:lang w:val="es-ES_tradnl"/>
        </w:rPr>
        <w:t>recursos internos</w:t>
      </w:r>
      <w:r w:rsidR="00CE3F25" w:rsidRPr="00D43C76">
        <w:rPr>
          <w:rFonts w:ascii="Cambria" w:hAnsi="Cambria"/>
          <w:lang w:val="es-ES_tradnl"/>
        </w:rPr>
        <w:t xml:space="preserve"> </w:t>
      </w:r>
      <w:r w:rsidR="00C61035" w:rsidRPr="00D43C76">
        <w:rPr>
          <w:rFonts w:ascii="Cambria" w:hAnsi="Cambria"/>
          <w:lang w:val="es-ES_tradnl"/>
        </w:rPr>
        <w:t xml:space="preserve">cuando presentó la </w:t>
      </w:r>
      <w:r w:rsidR="00D30B57" w:rsidRPr="00D43C76">
        <w:rPr>
          <w:rFonts w:ascii="Cambria" w:hAnsi="Cambria"/>
          <w:lang w:val="es-ES_tradnl"/>
        </w:rPr>
        <w:t>petición</w:t>
      </w:r>
      <w:r w:rsidR="00C61035" w:rsidRPr="00D43C76">
        <w:rPr>
          <w:rFonts w:ascii="Cambria" w:hAnsi="Cambria"/>
          <w:lang w:val="es-ES_tradnl"/>
        </w:rPr>
        <w:t xml:space="preserve">, como se requiere de acuerdo con el artículo </w:t>
      </w:r>
      <w:r w:rsidR="0006147D" w:rsidRPr="00D43C76">
        <w:rPr>
          <w:rFonts w:ascii="Cambria" w:hAnsi="Cambria"/>
          <w:lang w:val="es-ES_tradnl"/>
        </w:rPr>
        <w:t>46</w:t>
      </w:r>
      <w:r w:rsidR="00C61035" w:rsidRPr="00D43C76">
        <w:rPr>
          <w:rFonts w:ascii="Cambria" w:hAnsi="Cambria"/>
          <w:lang w:val="es-ES_tradnl"/>
        </w:rPr>
        <w:t>.</w:t>
      </w:r>
      <w:r w:rsidR="0006147D" w:rsidRPr="00D43C76">
        <w:rPr>
          <w:rFonts w:ascii="Cambria" w:hAnsi="Cambria"/>
          <w:lang w:val="es-ES_tradnl"/>
        </w:rPr>
        <w:t>1</w:t>
      </w:r>
      <w:r w:rsidR="00C61035" w:rsidRPr="00D43C76">
        <w:rPr>
          <w:rFonts w:ascii="Cambria" w:hAnsi="Cambria"/>
          <w:lang w:val="es-ES_tradnl"/>
        </w:rPr>
        <w:t>.</w:t>
      </w:r>
      <w:r w:rsidR="0006147D" w:rsidRPr="00D43C76">
        <w:rPr>
          <w:rFonts w:ascii="Cambria" w:hAnsi="Cambria"/>
          <w:lang w:val="es-ES_tradnl"/>
        </w:rPr>
        <w:t>a</w:t>
      </w:r>
      <w:r w:rsidR="00C61035" w:rsidRPr="00D43C76">
        <w:rPr>
          <w:rFonts w:ascii="Cambria" w:hAnsi="Cambria"/>
          <w:lang w:val="es-ES_tradnl"/>
        </w:rPr>
        <w:t xml:space="preserve"> de la Convención y el artículo </w:t>
      </w:r>
      <w:r w:rsidR="0006147D" w:rsidRPr="00D43C76">
        <w:rPr>
          <w:rFonts w:ascii="Cambria" w:hAnsi="Cambria"/>
          <w:lang w:val="es-ES_tradnl"/>
        </w:rPr>
        <w:t xml:space="preserve">31 </w:t>
      </w:r>
      <w:r w:rsidR="00C61035" w:rsidRPr="00D43C76">
        <w:rPr>
          <w:rFonts w:ascii="Cambria" w:hAnsi="Cambria"/>
          <w:lang w:val="es-ES_tradnl"/>
        </w:rPr>
        <w:t>d</w:t>
      </w:r>
      <w:r w:rsidR="00EB0856" w:rsidRPr="00D43C76">
        <w:rPr>
          <w:rFonts w:ascii="Cambria" w:hAnsi="Cambria"/>
          <w:lang w:val="es-ES_tradnl"/>
        </w:rPr>
        <w:t>el Reglamento de la Comisión</w:t>
      </w:r>
      <w:r w:rsidR="0006147D" w:rsidRPr="00D43C76">
        <w:rPr>
          <w:rFonts w:ascii="Cambria" w:hAnsi="Cambria"/>
          <w:lang w:val="es-ES_tradnl"/>
        </w:rPr>
        <w:t>.</w:t>
      </w:r>
      <w:r w:rsidR="00E83682" w:rsidRPr="00D43C76">
        <w:rPr>
          <w:rFonts w:ascii="Cambria" w:hAnsi="Cambria"/>
          <w:lang w:val="es-ES_tradnl"/>
        </w:rPr>
        <w:t xml:space="preserve"> </w:t>
      </w:r>
      <w:r w:rsidR="00C61035" w:rsidRPr="00D43C76">
        <w:rPr>
          <w:rFonts w:ascii="Cambria" w:hAnsi="Cambria"/>
          <w:lang w:val="es-ES_tradnl"/>
        </w:rPr>
        <w:t xml:space="preserve">Señala que, </w:t>
      </w:r>
      <w:r w:rsidR="00EE5BA0" w:rsidRPr="00D43C76">
        <w:rPr>
          <w:rFonts w:ascii="Cambria" w:hAnsi="Cambria"/>
          <w:lang w:val="es-ES_tradnl"/>
        </w:rPr>
        <w:t>en virtud del artículo 19 de la Carta de Derechos y Libertades Fundamentales de Jamaica</w:t>
      </w:r>
      <w:r w:rsidR="00C61035" w:rsidRPr="00D43C76">
        <w:rPr>
          <w:rFonts w:ascii="Cambria" w:hAnsi="Cambria"/>
          <w:lang w:val="es-ES_tradnl"/>
        </w:rPr>
        <w:t xml:space="preserve">, toda persona que alegue que se ha infringido, se está infringiendo o probablemente se infrinja cualquiera de las disposiciones de la Carta en relación con ella puede recurrir a la Suprema </w:t>
      </w:r>
      <w:r w:rsidR="00282BEA" w:rsidRPr="00D43C76">
        <w:rPr>
          <w:rFonts w:ascii="Cambria" w:hAnsi="Cambria"/>
          <w:lang w:val="es-ES_tradnl"/>
        </w:rPr>
        <w:t xml:space="preserve">Corte </w:t>
      </w:r>
      <w:r w:rsidR="00C61035" w:rsidRPr="00D43C76">
        <w:rPr>
          <w:rFonts w:ascii="Cambria" w:hAnsi="Cambria"/>
          <w:lang w:val="es-ES_tradnl"/>
        </w:rPr>
        <w:t xml:space="preserve">para pedir una reparación. Alega que </w:t>
      </w:r>
      <w:r w:rsidR="00BD169F" w:rsidRPr="00D43C76">
        <w:rPr>
          <w:rFonts w:ascii="Cambria" w:hAnsi="Cambria"/>
          <w:lang w:val="es-ES_tradnl"/>
        </w:rPr>
        <w:t>la peticionaria</w:t>
      </w:r>
      <w:r w:rsidR="006B4BBA" w:rsidRPr="00D43C76">
        <w:rPr>
          <w:rFonts w:ascii="Cambria" w:hAnsi="Cambria"/>
          <w:lang w:val="es-ES_tradnl"/>
        </w:rPr>
        <w:t xml:space="preserve"> </w:t>
      </w:r>
      <w:r w:rsidR="00C61035" w:rsidRPr="00D43C76">
        <w:rPr>
          <w:rFonts w:ascii="Cambria" w:hAnsi="Cambria"/>
          <w:lang w:val="es-ES_tradnl"/>
        </w:rPr>
        <w:t>podría haber interpuesto una acción constitucional similar</w:t>
      </w:r>
      <w:r w:rsidR="007B16CC" w:rsidRPr="00D43C76">
        <w:rPr>
          <w:rFonts w:ascii="Cambria" w:hAnsi="Cambria"/>
          <w:lang w:val="es-ES_tradnl"/>
        </w:rPr>
        <w:t>,</w:t>
      </w:r>
      <w:r w:rsidR="00C61035" w:rsidRPr="00D43C76">
        <w:rPr>
          <w:rFonts w:ascii="Cambria" w:hAnsi="Cambria"/>
          <w:lang w:val="es-ES_tradnl"/>
        </w:rPr>
        <w:t xml:space="preserve"> de conformidad con el artículo </w:t>
      </w:r>
      <w:r w:rsidR="006B4BBA" w:rsidRPr="00D43C76">
        <w:rPr>
          <w:rFonts w:ascii="Cambria" w:hAnsi="Cambria"/>
          <w:lang w:val="es-ES_tradnl"/>
        </w:rPr>
        <w:t xml:space="preserve">25 </w:t>
      </w:r>
      <w:r w:rsidR="00C61035" w:rsidRPr="00D43C76">
        <w:rPr>
          <w:rFonts w:ascii="Cambria" w:hAnsi="Cambria"/>
          <w:lang w:val="es-ES_tradnl"/>
        </w:rPr>
        <w:t>de</w:t>
      </w:r>
      <w:r w:rsidR="006B4BBA" w:rsidRPr="00D43C76">
        <w:rPr>
          <w:rFonts w:ascii="Cambria" w:hAnsi="Cambria"/>
          <w:lang w:val="es-ES_tradnl"/>
        </w:rPr>
        <w:t xml:space="preserve"> </w:t>
      </w:r>
      <w:r w:rsidR="003C3303" w:rsidRPr="00D43C76">
        <w:rPr>
          <w:rFonts w:ascii="Cambria" w:hAnsi="Cambria"/>
          <w:lang w:val="es-ES_tradnl"/>
        </w:rPr>
        <w:t>la Constitución</w:t>
      </w:r>
      <w:r w:rsidR="007B16CC" w:rsidRPr="00D43C76">
        <w:rPr>
          <w:rFonts w:ascii="Cambria" w:hAnsi="Cambria"/>
          <w:lang w:val="es-ES_tradnl"/>
        </w:rPr>
        <w:t>,</w:t>
      </w:r>
      <w:r w:rsidR="006B4BBA" w:rsidRPr="00D43C76">
        <w:rPr>
          <w:rFonts w:ascii="Cambria" w:hAnsi="Cambria"/>
          <w:lang w:val="es-ES_tradnl"/>
        </w:rPr>
        <w:t xml:space="preserve"> </w:t>
      </w:r>
      <w:r w:rsidR="00C61035" w:rsidRPr="00D43C76">
        <w:rPr>
          <w:rFonts w:ascii="Cambria" w:hAnsi="Cambria"/>
          <w:lang w:val="es-ES_tradnl"/>
        </w:rPr>
        <w:t xml:space="preserve">antes de la entrada en vigor de </w:t>
      </w:r>
      <w:r w:rsidR="007B16CC" w:rsidRPr="00D43C76">
        <w:rPr>
          <w:rFonts w:eastAsia="Cambria" w:cs="Cambria"/>
          <w:lang w:val="es-ES_tradnl"/>
        </w:rPr>
        <w:t>la Ley de Delitos contra la Persona</w:t>
      </w:r>
      <w:r w:rsidR="00C61035" w:rsidRPr="00D43C76">
        <w:rPr>
          <w:rFonts w:ascii="Cambria" w:hAnsi="Cambria"/>
          <w:lang w:val="es-ES_tradnl"/>
        </w:rPr>
        <w:t xml:space="preserve">. La legislación interna de </w:t>
      </w:r>
      <w:r w:rsidR="006B4BBA" w:rsidRPr="00D43C76">
        <w:rPr>
          <w:rFonts w:ascii="Cambria" w:hAnsi="Cambria"/>
          <w:lang w:val="es-ES_tradnl"/>
        </w:rPr>
        <w:t xml:space="preserve">Jamaica </w:t>
      </w:r>
      <w:r w:rsidR="00C61035" w:rsidRPr="00D43C76">
        <w:rPr>
          <w:rFonts w:ascii="Cambria" w:hAnsi="Cambria"/>
          <w:lang w:val="es-ES_tradnl"/>
        </w:rPr>
        <w:t>asegura el debido proceso para la protección de los derechos presuntamente violados</w:t>
      </w:r>
      <w:r w:rsidR="006B4BBA" w:rsidRPr="00D43C76">
        <w:rPr>
          <w:rFonts w:ascii="Cambria" w:hAnsi="Cambria"/>
          <w:lang w:val="es-ES_tradnl"/>
        </w:rPr>
        <w:t>.</w:t>
      </w:r>
    </w:p>
    <w:p w14:paraId="69AB8F48" w14:textId="77777777" w:rsidR="006B4BBA" w:rsidRPr="00D43C76" w:rsidRDefault="006B4BBA" w:rsidP="00962BFF">
      <w:pPr>
        <w:rPr>
          <w:lang w:val="es-ES_tradnl"/>
        </w:rPr>
      </w:pPr>
    </w:p>
    <w:p w14:paraId="75A4A4A1" w14:textId="77777777" w:rsidR="00C5190F" w:rsidRPr="00D43C76" w:rsidRDefault="00C61035" w:rsidP="002E24EF">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Asimismo</w:t>
      </w:r>
      <w:r w:rsidR="0006147D" w:rsidRPr="00D43C76">
        <w:rPr>
          <w:rFonts w:ascii="Cambria" w:hAnsi="Cambria"/>
          <w:lang w:val="es-ES_tradnl"/>
        </w:rPr>
        <w:t xml:space="preserve">, </w:t>
      </w:r>
      <w:r w:rsidR="00A365FB" w:rsidRPr="00D43C76">
        <w:rPr>
          <w:rFonts w:ascii="Cambria" w:hAnsi="Cambria"/>
          <w:lang w:val="es-ES_tradnl"/>
        </w:rPr>
        <w:t>el Estado</w:t>
      </w:r>
      <w:r w:rsidR="00717453" w:rsidRPr="00D43C76">
        <w:rPr>
          <w:rFonts w:ascii="Cambria" w:hAnsi="Cambria"/>
          <w:lang w:val="es-ES_tradnl"/>
        </w:rPr>
        <w:t xml:space="preserve"> </w:t>
      </w:r>
      <w:r w:rsidRPr="00D43C76">
        <w:rPr>
          <w:rFonts w:ascii="Cambria" w:hAnsi="Cambria"/>
          <w:lang w:val="es-ES_tradnl"/>
        </w:rPr>
        <w:t xml:space="preserve">afirma que </w:t>
      </w:r>
      <w:r w:rsidR="00D30B57" w:rsidRPr="00D43C76">
        <w:rPr>
          <w:rFonts w:ascii="Cambria" w:hAnsi="Cambria"/>
          <w:lang w:val="es-ES_tradnl"/>
        </w:rPr>
        <w:t>la petición</w:t>
      </w:r>
      <w:r w:rsidR="0006147D" w:rsidRPr="00D43C76">
        <w:rPr>
          <w:rFonts w:ascii="Cambria" w:hAnsi="Cambria"/>
          <w:lang w:val="es-ES_tradnl"/>
        </w:rPr>
        <w:t xml:space="preserve"> </w:t>
      </w:r>
      <w:r w:rsidRPr="00D43C76">
        <w:rPr>
          <w:rFonts w:ascii="Cambria" w:hAnsi="Cambria"/>
          <w:lang w:val="es-ES_tradnl"/>
        </w:rPr>
        <w:t xml:space="preserve">no se encuadra en las excepciones dispuestas en el </w:t>
      </w:r>
      <w:r w:rsidR="00BC7156" w:rsidRPr="00D43C76">
        <w:rPr>
          <w:rFonts w:ascii="Cambria" w:hAnsi="Cambria"/>
          <w:lang w:val="es-ES_tradnl"/>
        </w:rPr>
        <w:t xml:space="preserve">artículo </w:t>
      </w:r>
      <w:r w:rsidR="0006147D" w:rsidRPr="00D43C76">
        <w:rPr>
          <w:rFonts w:ascii="Cambria" w:hAnsi="Cambria"/>
          <w:lang w:val="es-ES_tradnl"/>
        </w:rPr>
        <w:t>46</w:t>
      </w:r>
      <w:r w:rsidR="00BC7156" w:rsidRPr="00D43C76">
        <w:rPr>
          <w:rFonts w:ascii="Cambria" w:hAnsi="Cambria"/>
          <w:lang w:val="es-ES_tradnl"/>
        </w:rPr>
        <w:t xml:space="preserve">.2, incisos </w:t>
      </w:r>
      <w:r w:rsidR="0006147D" w:rsidRPr="00D43C76">
        <w:rPr>
          <w:rFonts w:ascii="Cambria" w:hAnsi="Cambria"/>
          <w:lang w:val="es-ES_tradnl"/>
        </w:rPr>
        <w:t>a</w:t>
      </w:r>
      <w:r w:rsidR="00BC7156" w:rsidRPr="00D43C76">
        <w:rPr>
          <w:rFonts w:ascii="Cambria" w:hAnsi="Cambria"/>
          <w:lang w:val="es-ES_tradnl"/>
        </w:rPr>
        <w:t xml:space="preserve"> y </w:t>
      </w:r>
      <w:r w:rsidR="0006147D" w:rsidRPr="00D43C76">
        <w:rPr>
          <w:rFonts w:ascii="Cambria" w:hAnsi="Cambria"/>
          <w:lang w:val="es-ES_tradnl"/>
        </w:rPr>
        <w:t>c</w:t>
      </w:r>
      <w:r w:rsidR="00BC7156" w:rsidRPr="00D43C76">
        <w:rPr>
          <w:rFonts w:ascii="Cambria" w:hAnsi="Cambria"/>
          <w:lang w:val="es-ES_tradnl"/>
        </w:rPr>
        <w:t xml:space="preserve">, de la Convención y en el artículo </w:t>
      </w:r>
      <w:r w:rsidR="0006147D" w:rsidRPr="00D43C76">
        <w:rPr>
          <w:rFonts w:ascii="Cambria" w:hAnsi="Cambria"/>
          <w:lang w:val="es-ES_tradnl"/>
        </w:rPr>
        <w:t>31</w:t>
      </w:r>
      <w:r w:rsidRPr="00D43C76">
        <w:rPr>
          <w:rFonts w:ascii="Cambria" w:hAnsi="Cambria"/>
          <w:lang w:val="es-ES_tradnl"/>
        </w:rPr>
        <w:t>.</w:t>
      </w:r>
      <w:r w:rsidR="0006147D" w:rsidRPr="00D43C76">
        <w:rPr>
          <w:rFonts w:ascii="Cambria" w:hAnsi="Cambria"/>
          <w:lang w:val="es-ES_tradnl"/>
        </w:rPr>
        <w:t>2</w:t>
      </w:r>
      <w:r w:rsidRPr="00D43C76">
        <w:rPr>
          <w:rFonts w:ascii="Cambria" w:hAnsi="Cambria"/>
          <w:lang w:val="es-ES_tradnl"/>
        </w:rPr>
        <w:t xml:space="preserve">, incisos </w:t>
      </w:r>
      <w:r w:rsidR="0006147D" w:rsidRPr="00D43C76">
        <w:rPr>
          <w:rFonts w:ascii="Cambria" w:hAnsi="Cambria"/>
          <w:lang w:val="es-ES_tradnl"/>
        </w:rPr>
        <w:t>a</w:t>
      </w:r>
      <w:r w:rsidRPr="00D43C76">
        <w:rPr>
          <w:rFonts w:ascii="Cambria" w:hAnsi="Cambria"/>
          <w:lang w:val="es-ES_tradnl"/>
        </w:rPr>
        <w:t xml:space="preserve"> y </w:t>
      </w:r>
      <w:r w:rsidR="0006147D" w:rsidRPr="00D43C76">
        <w:rPr>
          <w:rFonts w:ascii="Cambria" w:hAnsi="Cambria"/>
          <w:lang w:val="es-ES_tradnl"/>
        </w:rPr>
        <w:t>c</w:t>
      </w:r>
      <w:r w:rsidRPr="00D43C76">
        <w:rPr>
          <w:rFonts w:ascii="Cambria" w:hAnsi="Cambria"/>
          <w:lang w:val="es-ES_tradnl"/>
        </w:rPr>
        <w:t>, del Reglamento</w:t>
      </w:r>
      <w:r w:rsidR="009C41FF" w:rsidRPr="00D43C76">
        <w:rPr>
          <w:rFonts w:ascii="Cambria" w:hAnsi="Cambria"/>
          <w:lang w:val="es-ES_tradnl"/>
        </w:rPr>
        <w:t xml:space="preserve"> de la Comisión</w:t>
      </w:r>
      <w:r w:rsidR="00717453" w:rsidRPr="00D43C76">
        <w:rPr>
          <w:rFonts w:ascii="Cambria" w:hAnsi="Cambria"/>
          <w:lang w:val="es-ES_tradnl"/>
        </w:rPr>
        <w:t xml:space="preserve">. </w:t>
      </w:r>
      <w:r w:rsidR="00BC7156" w:rsidRPr="00D43C76">
        <w:rPr>
          <w:rFonts w:ascii="Cambria" w:hAnsi="Cambria"/>
          <w:lang w:val="es-ES_tradnl"/>
        </w:rPr>
        <w:t xml:space="preserve">Señala que la afirmación </w:t>
      </w:r>
      <w:r w:rsidR="00BD169F" w:rsidRPr="00D43C76">
        <w:rPr>
          <w:rFonts w:ascii="Cambria" w:hAnsi="Cambria"/>
          <w:lang w:val="es-ES_tradnl"/>
        </w:rPr>
        <w:t>de la peticionaria</w:t>
      </w:r>
      <w:r w:rsidR="00717453" w:rsidRPr="00D43C76">
        <w:rPr>
          <w:rFonts w:ascii="Cambria" w:hAnsi="Cambria"/>
          <w:lang w:val="es-ES_tradnl"/>
        </w:rPr>
        <w:t xml:space="preserve"> </w:t>
      </w:r>
      <w:r w:rsidR="00BC7156" w:rsidRPr="00D43C76">
        <w:rPr>
          <w:rFonts w:ascii="Cambria" w:hAnsi="Cambria"/>
          <w:lang w:val="es-ES_tradnl"/>
        </w:rPr>
        <w:t xml:space="preserve">de que </w:t>
      </w:r>
      <w:r w:rsidRPr="00D43C76">
        <w:rPr>
          <w:rFonts w:ascii="Cambria" w:hAnsi="Cambria"/>
          <w:lang w:val="es-ES_tradnl"/>
        </w:rPr>
        <w:t xml:space="preserve">la cláusula de exclusión </w:t>
      </w:r>
      <w:r w:rsidR="00717453" w:rsidRPr="00D43C76">
        <w:rPr>
          <w:rFonts w:ascii="Cambria" w:hAnsi="Cambria"/>
          <w:lang w:val="es-ES_tradnl"/>
        </w:rPr>
        <w:t>“impos</w:t>
      </w:r>
      <w:r w:rsidR="00BC7156" w:rsidRPr="00D43C76">
        <w:rPr>
          <w:rFonts w:ascii="Cambria" w:hAnsi="Cambria"/>
          <w:lang w:val="es-ES_tradnl"/>
        </w:rPr>
        <w:t>ibilita</w:t>
      </w:r>
      <w:r w:rsidR="00717453" w:rsidRPr="00D43C76">
        <w:rPr>
          <w:rFonts w:ascii="Cambria" w:hAnsi="Cambria"/>
          <w:lang w:val="es-ES_tradnl"/>
        </w:rPr>
        <w:t xml:space="preserve">” </w:t>
      </w:r>
      <w:r w:rsidR="00BC7156" w:rsidRPr="00D43C76">
        <w:rPr>
          <w:rFonts w:ascii="Cambria" w:hAnsi="Cambria"/>
          <w:lang w:val="es-ES_tradnl"/>
        </w:rPr>
        <w:t xml:space="preserve">la impugnación de la </w:t>
      </w:r>
      <w:r w:rsidR="005A4C18" w:rsidRPr="00D43C76">
        <w:rPr>
          <w:rFonts w:ascii="Cambria" w:hAnsi="Cambria"/>
          <w:lang w:val="es-ES_tradnl"/>
        </w:rPr>
        <w:t>Ley de Delitos contra la Persona</w:t>
      </w:r>
      <w:r w:rsidR="00BA6489" w:rsidRPr="00D43C76">
        <w:rPr>
          <w:rFonts w:ascii="Cambria" w:hAnsi="Cambria"/>
          <w:lang w:val="es-ES_tradnl"/>
        </w:rPr>
        <w:t xml:space="preserve"> </w:t>
      </w:r>
      <w:r w:rsidR="00BC7156" w:rsidRPr="00D43C76">
        <w:rPr>
          <w:rFonts w:ascii="Cambria" w:hAnsi="Cambria"/>
          <w:lang w:val="es-ES_tradnl"/>
        </w:rPr>
        <w:t xml:space="preserve">no encuentra fundamento en la práctica en el ordenamiento jurídico interno. Informa que actualmente hay un caso pendiente ante la Suprema </w:t>
      </w:r>
      <w:r w:rsidR="00282BEA" w:rsidRPr="00D43C76">
        <w:rPr>
          <w:rFonts w:ascii="Cambria" w:hAnsi="Cambria"/>
          <w:lang w:val="es-ES_tradnl"/>
        </w:rPr>
        <w:t>Corte de Ja</w:t>
      </w:r>
      <w:r w:rsidR="00BA6489" w:rsidRPr="00D43C76">
        <w:rPr>
          <w:rFonts w:ascii="Cambria" w:hAnsi="Cambria"/>
          <w:lang w:val="es-ES_tradnl"/>
        </w:rPr>
        <w:t>maica</w:t>
      </w:r>
      <w:r w:rsidR="00BC7156" w:rsidRPr="00D43C76">
        <w:rPr>
          <w:rFonts w:ascii="Cambria" w:hAnsi="Cambria"/>
          <w:lang w:val="es-ES_tradnl"/>
        </w:rPr>
        <w:t xml:space="preserve">, que consiste en una acción constitucional interpuesta por un jamaiquino que ha pedido órdenes y declaraciones para que los artículos </w:t>
      </w:r>
      <w:r w:rsidR="00BA6489" w:rsidRPr="00D43C76">
        <w:rPr>
          <w:rFonts w:ascii="Cambria" w:hAnsi="Cambria"/>
          <w:lang w:val="es-ES_tradnl"/>
        </w:rPr>
        <w:t xml:space="preserve">76, 77 </w:t>
      </w:r>
      <w:r w:rsidR="00BC7156" w:rsidRPr="00D43C76">
        <w:rPr>
          <w:rFonts w:ascii="Cambria" w:hAnsi="Cambria"/>
          <w:lang w:val="es-ES_tradnl"/>
        </w:rPr>
        <w:t>y</w:t>
      </w:r>
      <w:r w:rsidR="00BA6489" w:rsidRPr="00D43C76">
        <w:rPr>
          <w:rFonts w:ascii="Cambria" w:hAnsi="Cambria"/>
          <w:lang w:val="es-ES_tradnl"/>
        </w:rPr>
        <w:t xml:space="preserve"> 79 </w:t>
      </w:r>
      <w:r w:rsidR="00BC7156" w:rsidRPr="00D43C76">
        <w:rPr>
          <w:rFonts w:ascii="Cambria" w:hAnsi="Cambria"/>
          <w:lang w:val="es-ES_tradnl"/>
        </w:rPr>
        <w:t xml:space="preserve">de la </w:t>
      </w:r>
      <w:r w:rsidR="005A4C18" w:rsidRPr="00D43C76">
        <w:rPr>
          <w:rFonts w:ascii="Cambria" w:hAnsi="Cambria"/>
          <w:lang w:val="es-ES_tradnl"/>
        </w:rPr>
        <w:t>Ley de Delitos contra la Persona</w:t>
      </w:r>
      <w:r w:rsidR="00BA6489" w:rsidRPr="00D43C76">
        <w:rPr>
          <w:rFonts w:ascii="Cambria" w:hAnsi="Cambria"/>
          <w:lang w:val="es-ES_tradnl"/>
        </w:rPr>
        <w:t xml:space="preserve"> </w:t>
      </w:r>
      <w:r w:rsidR="00BC7156" w:rsidRPr="00D43C76">
        <w:rPr>
          <w:rFonts w:ascii="Cambria" w:hAnsi="Cambria"/>
          <w:lang w:val="es-ES_tradnl"/>
        </w:rPr>
        <w:t xml:space="preserve">se interpreten en el sentido de que no </w:t>
      </w:r>
      <w:r w:rsidR="00BA6489" w:rsidRPr="00D43C76">
        <w:rPr>
          <w:rFonts w:ascii="Cambria" w:hAnsi="Cambria"/>
          <w:lang w:val="es-ES_tradnl"/>
        </w:rPr>
        <w:t>proh</w:t>
      </w:r>
      <w:r w:rsidR="00BC7156" w:rsidRPr="00D43C76">
        <w:rPr>
          <w:rFonts w:ascii="Cambria" w:hAnsi="Cambria"/>
          <w:lang w:val="es-ES_tradnl"/>
        </w:rPr>
        <w:t xml:space="preserve">íben ciertos derechos y libertades </w:t>
      </w:r>
      <w:r w:rsidR="00BA6489" w:rsidRPr="00D43C76">
        <w:rPr>
          <w:rFonts w:ascii="Cambria" w:hAnsi="Cambria"/>
          <w:lang w:val="es-ES_tradnl"/>
        </w:rPr>
        <w:t>fundamental</w:t>
      </w:r>
      <w:r w:rsidR="00BC7156" w:rsidRPr="00D43C76">
        <w:rPr>
          <w:rFonts w:ascii="Cambria" w:hAnsi="Cambria"/>
          <w:lang w:val="es-ES_tradnl"/>
        </w:rPr>
        <w:t>es, entre ellos el derecho a la intimidad y a la igualdad de conformidad con la Carta</w:t>
      </w:r>
      <w:r w:rsidR="00BA6489" w:rsidRPr="00D43C76">
        <w:rPr>
          <w:rFonts w:ascii="Cambria" w:hAnsi="Cambria"/>
          <w:lang w:val="es-ES_tradnl"/>
        </w:rPr>
        <w:t xml:space="preserve">. </w:t>
      </w:r>
    </w:p>
    <w:p w14:paraId="484CAEC5" w14:textId="77777777" w:rsidR="00C5190F" w:rsidRPr="00D43C76" w:rsidRDefault="00C5190F" w:rsidP="00C5190F">
      <w:pPr>
        <w:pStyle w:val="ListParagraph"/>
        <w:rPr>
          <w:lang w:val="es-ES_tradnl"/>
        </w:rPr>
      </w:pPr>
    </w:p>
    <w:p w14:paraId="40D9A631" w14:textId="77777777" w:rsidR="00C22AA2" w:rsidRPr="00D43C76" w:rsidRDefault="00A365FB" w:rsidP="00F1194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El Estado</w:t>
      </w:r>
      <w:r w:rsidR="0059019F" w:rsidRPr="00D43C76">
        <w:rPr>
          <w:rFonts w:ascii="Cambria" w:hAnsi="Cambria"/>
          <w:lang w:val="es-ES_tradnl"/>
        </w:rPr>
        <w:t xml:space="preserve"> inform</w:t>
      </w:r>
      <w:r w:rsidR="00282BEA" w:rsidRPr="00D43C76">
        <w:rPr>
          <w:rFonts w:ascii="Cambria" w:hAnsi="Cambria"/>
          <w:lang w:val="es-ES_tradnl"/>
        </w:rPr>
        <w:t xml:space="preserve">a que la demanda interpuesta por </w:t>
      </w:r>
      <w:r w:rsidR="002E24EF" w:rsidRPr="00D43C76">
        <w:rPr>
          <w:rFonts w:ascii="Cambria" w:hAnsi="Cambria"/>
          <w:lang w:val="es-ES_tradnl"/>
        </w:rPr>
        <w:t xml:space="preserve">Javed Saunja Jaghai </w:t>
      </w:r>
      <w:r w:rsidR="00282BEA" w:rsidRPr="00D43C76">
        <w:rPr>
          <w:rFonts w:ascii="Cambria" w:hAnsi="Cambria"/>
          <w:lang w:val="es-ES_tradnl"/>
        </w:rPr>
        <w:t>y</w:t>
      </w:r>
      <w:r w:rsidR="002E24EF" w:rsidRPr="00D43C76">
        <w:rPr>
          <w:rFonts w:ascii="Cambria" w:hAnsi="Cambria"/>
          <w:lang w:val="es-ES_tradnl"/>
        </w:rPr>
        <w:t xml:space="preserve"> J-Flag </w:t>
      </w:r>
      <w:r w:rsidR="00282BEA" w:rsidRPr="00D43C76">
        <w:rPr>
          <w:rFonts w:ascii="Cambria" w:hAnsi="Cambria"/>
          <w:lang w:val="es-ES_tradnl"/>
        </w:rPr>
        <w:t xml:space="preserve">contra el Procurador </w:t>
      </w:r>
      <w:r w:rsidR="00C5190F" w:rsidRPr="00D43C76">
        <w:rPr>
          <w:rFonts w:ascii="Cambria" w:hAnsi="Cambria"/>
          <w:lang w:val="es-ES_tradnl"/>
        </w:rPr>
        <w:t xml:space="preserve">General </w:t>
      </w:r>
      <w:r w:rsidR="00282BEA" w:rsidRPr="00D43C76">
        <w:rPr>
          <w:rFonts w:ascii="Cambria" w:hAnsi="Cambria"/>
          <w:lang w:val="es-ES_tradnl"/>
        </w:rPr>
        <w:t>y otros ante la Suprema Corte de Judicatura</w:t>
      </w:r>
      <w:r w:rsidR="00C5190F" w:rsidRPr="00D43C76">
        <w:rPr>
          <w:rFonts w:ascii="Cambria" w:hAnsi="Cambria"/>
          <w:lang w:val="es-ES_tradnl"/>
        </w:rPr>
        <w:t xml:space="preserve"> </w:t>
      </w:r>
      <w:r w:rsidR="00282BEA" w:rsidRPr="00D43C76">
        <w:rPr>
          <w:rFonts w:ascii="Cambria" w:hAnsi="Cambria"/>
          <w:lang w:val="es-ES_tradnl"/>
        </w:rPr>
        <w:t>con el fin de que se despenalizara la actividad sexual</w:t>
      </w:r>
      <w:r w:rsidR="002E24EF" w:rsidRPr="00D43C76">
        <w:rPr>
          <w:rFonts w:ascii="Cambria" w:hAnsi="Cambria"/>
          <w:lang w:val="es-ES_tradnl"/>
        </w:rPr>
        <w:t xml:space="preserve"> consensual </w:t>
      </w:r>
      <w:r w:rsidR="00282BEA" w:rsidRPr="00D43C76">
        <w:rPr>
          <w:rFonts w:ascii="Cambria" w:hAnsi="Cambria"/>
          <w:lang w:val="es-ES_tradnl"/>
        </w:rPr>
        <w:t xml:space="preserve">entre hombres adultos en </w:t>
      </w:r>
      <w:r w:rsidR="00C5190F" w:rsidRPr="00D43C76">
        <w:rPr>
          <w:rFonts w:ascii="Cambria" w:hAnsi="Cambria"/>
          <w:lang w:val="es-ES_tradnl"/>
        </w:rPr>
        <w:t xml:space="preserve">Jamaica </w:t>
      </w:r>
      <w:r w:rsidR="00282BEA" w:rsidRPr="00D43C76">
        <w:rPr>
          <w:rFonts w:ascii="Cambria" w:hAnsi="Cambria"/>
          <w:lang w:val="es-ES_tradnl"/>
        </w:rPr>
        <w:t xml:space="preserve">fue retirada. Según </w:t>
      </w:r>
      <w:r w:rsidRPr="00D43C76">
        <w:rPr>
          <w:rFonts w:ascii="Cambria" w:hAnsi="Cambria"/>
          <w:lang w:val="es-ES_tradnl"/>
        </w:rPr>
        <w:t>el Estado</w:t>
      </w:r>
      <w:r w:rsidR="00A738AB" w:rsidRPr="00D43C76">
        <w:rPr>
          <w:rFonts w:ascii="Cambria" w:hAnsi="Cambria"/>
          <w:lang w:val="es-ES_tradnl"/>
        </w:rPr>
        <w:t xml:space="preserve">, </w:t>
      </w:r>
      <w:r w:rsidR="00851B40" w:rsidRPr="00D43C76">
        <w:rPr>
          <w:rFonts w:ascii="Cambria" w:hAnsi="Cambria"/>
          <w:lang w:val="es-ES_tradnl"/>
        </w:rPr>
        <w:t>el señor</w:t>
      </w:r>
      <w:r w:rsidR="00A738AB" w:rsidRPr="00D43C76">
        <w:rPr>
          <w:rFonts w:ascii="Cambria" w:hAnsi="Cambria"/>
          <w:lang w:val="es-ES_tradnl"/>
        </w:rPr>
        <w:t xml:space="preserve"> Jaghai </w:t>
      </w:r>
      <w:r w:rsidR="00282BEA" w:rsidRPr="00D43C76">
        <w:rPr>
          <w:rFonts w:ascii="Cambria" w:hAnsi="Cambria"/>
          <w:lang w:val="es-ES_tradnl"/>
        </w:rPr>
        <w:t xml:space="preserve">declaró que retiraba la demanda porque, aunque no había sufrido daños físicos después de interponerla, </w:t>
      </w:r>
      <w:r w:rsidR="009C41FF" w:rsidRPr="00D43C76">
        <w:rPr>
          <w:rFonts w:ascii="Cambria" w:hAnsi="Cambria"/>
          <w:lang w:val="es-ES_tradnl"/>
        </w:rPr>
        <w:t xml:space="preserve">lo </w:t>
      </w:r>
      <w:r w:rsidR="00282BEA" w:rsidRPr="00D43C76">
        <w:rPr>
          <w:rFonts w:ascii="Cambria" w:hAnsi="Cambria"/>
          <w:lang w:val="es-ES_tradnl"/>
        </w:rPr>
        <w:t>había</w:t>
      </w:r>
      <w:r w:rsidR="009C41FF" w:rsidRPr="00D43C76">
        <w:rPr>
          <w:rFonts w:ascii="Cambria" w:hAnsi="Cambria"/>
          <w:lang w:val="es-ES_tradnl"/>
        </w:rPr>
        <w:t>n</w:t>
      </w:r>
      <w:r w:rsidR="00282BEA" w:rsidRPr="00D43C76">
        <w:rPr>
          <w:rFonts w:ascii="Cambria" w:hAnsi="Cambria"/>
          <w:lang w:val="es-ES_tradnl"/>
        </w:rPr>
        <w:t xml:space="preserve"> amenazado. No explicó la índole de las amenazas ni resulta claro sin las presuntas amenazas son una consecuencia directa de la acción entablada </w:t>
      </w:r>
      <w:r w:rsidR="00D27C5B" w:rsidRPr="00D43C76">
        <w:rPr>
          <w:rFonts w:ascii="Cambria" w:hAnsi="Cambria"/>
          <w:lang w:val="es-ES_tradnl"/>
        </w:rPr>
        <w:t>ante la Corte, y no hay ninguna indicación de que se haya puesto a las autoridades en conocimiento de dichas amenazas y de que las autoridades no hayan actuado. Por lo tanto, la Corte no pudo emitir un fallo en este asunto porque la demanda fue retirada. Cualquier litigante podría llevar un asunto de este tipo ante la Corte para que lo resuelva</w:t>
      </w:r>
      <w:r w:rsidR="00A738AB" w:rsidRPr="00D43C76">
        <w:rPr>
          <w:rFonts w:ascii="Cambria" w:hAnsi="Cambria"/>
          <w:lang w:val="es-ES_tradnl"/>
        </w:rPr>
        <w:t xml:space="preserve">. </w:t>
      </w:r>
    </w:p>
    <w:p w14:paraId="78C96B7B" w14:textId="77777777" w:rsidR="00F11944" w:rsidRPr="00D43C76" w:rsidRDefault="00F11944" w:rsidP="00F11944">
      <w:pPr>
        <w:pStyle w:val="parrafos"/>
        <w:tabs>
          <w:tab w:val="left" w:pos="720"/>
        </w:tabs>
        <w:rPr>
          <w:rFonts w:ascii="Cambria" w:hAnsi="Cambria"/>
          <w:lang w:val="es-ES_tradnl"/>
        </w:rPr>
      </w:pPr>
    </w:p>
    <w:p w14:paraId="622D4B09" w14:textId="77777777" w:rsidR="002E24EF" w:rsidRPr="00D43C76" w:rsidRDefault="00612D7A" w:rsidP="00F1194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Estado agrega que no está en condiciones de predecir el resultado de una acción de ese tipo ante los tribunales locales. Afirma que no se le debería exigir que demuestre que la impugnación de una ley en particular prosperará para comprobar que hay </w:t>
      </w:r>
      <w:r w:rsidR="00D30B57" w:rsidRPr="00D43C76">
        <w:rPr>
          <w:rFonts w:ascii="Cambria" w:hAnsi="Cambria"/>
          <w:lang w:val="es-ES_tradnl"/>
        </w:rPr>
        <w:t>recursos internos</w:t>
      </w:r>
      <w:r w:rsidRPr="00D43C76">
        <w:rPr>
          <w:rFonts w:ascii="Cambria" w:hAnsi="Cambria"/>
          <w:lang w:val="es-ES_tradnl"/>
        </w:rPr>
        <w:t>, ya que la existencia de un recurso no está vinculada necesariamente a un desenlace particular.</w:t>
      </w:r>
    </w:p>
    <w:p w14:paraId="7EA4941F" w14:textId="77777777" w:rsidR="00DC009E" w:rsidRPr="00D43C76" w:rsidRDefault="00DC009E" w:rsidP="002E24EF">
      <w:pPr>
        <w:rPr>
          <w:lang w:val="es-ES_tradnl"/>
        </w:rPr>
      </w:pPr>
    </w:p>
    <w:p w14:paraId="0AD37322" w14:textId="77777777" w:rsidR="00DC009E" w:rsidRPr="00D43C76" w:rsidRDefault="00612D7A" w:rsidP="00CB5C32">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Además, </w:t>
      </w:r>
      <w:r w:rsidR="00A365FB" w:rsidRPr="00D43C76">
        <w:rPr>
          <w:rFonts w:ascii="Cambria" w:hAnsi="Cambria"/>
          <w:lang w:val="es-ES_tradnl"/>
        </w:rPr>
        <w:t>el Estado</w:t>
      </w:r>
      <w:r w:rsidR="00DC009E" w:rsidRPr="00D43C76">
        <w:rPr>
          <w:rFonts w:ascii="Cambria" w:hAnsi="Cambria"/>
          <w:lang w:val="es-ES_tradnl"/>
        </w:rPr>
        <w:t xml:space="preserve"> </w:t>
      </w:r>
      <w:r w:rsidR="004D3135" w:rsidRPr="00D43C76">
        <w:rPr>
          <w:rFonts w:ascii="Cambria" w:hAnsi="Cambria"/>
          <w:lang w:val="es-ES_tradnl"/>
        </w:rPr>
        <w:t xml:space="preserve">señala que, de conformidad con el </w:t>
      </w:r>
      <w:r w:rsidR="00845E02" w:rsidRPr="00D43C76">
        <w:rPr>
          <w:rFonts w:ascii="Cambria" w:hAnsi="Cambria"/>
          <w:lang w:val="es-ES_tradnl"/>
        </w:rPr>
        <w:t>artículo</w:t>
      </w:r>
      <w:r w:rsidR="00D12BC1" w:rsidRPr="00D43C76">
        <w:rPr>
          <w:rFonts w:ascii="Cambria" w:hAnsi="Cambria"/>
          <w:lang w:val="es-ES_tradnl"/>
        </w:rPr>
        <w:t xml:space="preserve"> 32</w:t>
      </w:r>
      <w:r w:rsidR="004D3135" w:rsidRPr="00D43C76">
        <w:rPr>
          <w:rFonts w:ascii="Cambria" w:hAnsi="Cambria"/>
          <w:lang w:val="es-ES_tradnl"/>
        </w:rPr>
        <w:t>.</w:t>
      </w:r>
      <w:r w:rsidR="00D12BC1" w:rsidRPr="00D43C76">
        <w:rPr>
          <w:rFonts w:ascii="Cambria" w:hAnsi="Cambria"/>
          <w:lang w:val="es-ES_tradnl"/>
        </w:rPr>
        <w:t>1</w:t>
      </w:r>
      <w:r w:rsidR="004D3135" w:rsidRPr="00D43C76">
        <w:rPr>
          <w:rFonts w:ascii="Cambria" w:hAnsi="Cambria"/>
          <w:lang w:val="es-ES_tradnl"/>
        </w:rPr>
        <w:t xml:space="preserve"> del Reglamento</w:t>
      </w:r>
      <w:r w:rsidR="009C41FF" w:rsidRPr="00D43C76">
        <w:rPr>
          <w:rFonts w:ascii="Cambria" w:hAnsi="Cambria"/>
          <w:lang w:val="es-ES_tradnl"/>
        </w:rPr>
        <w:t xml:space="preserve"> de la Comisión</w:t>
      </w:r>
      <w:r w:rsidR="004D3135" w:rsidRPr="00D43C76">
        <w:rPr>
          <w:rFonts w:ascii="Cambria" w:hAnsi="Cambria"/>
          <w:lang w:val="es-ES_tradnl"/>
        </w:rPr>
        <w:t xml:space="preserve">, las peticiones deben presentarse dentro de los seis meses siguientes a la fecha en que se haya comunicado a la presunta víctima la decisión que agotó los </w:t>
      </w:r>
      <w:r w:rsidR="00D30B57" w:rsidRPr="00D43C76">
        <w:rPr>
          <w:rFonts w:ascii="Cambria" w:hAnsi="Cambria"/>
          <w:lang w:val="es-ES_tradnl"/>
        </w:rPr>
        <w:t>recursos internos</w:t>
      </w:r>
      <w:r w:rsidR="00D12BC1" w:rsidRPr="00D43C76">
        <w:rPr>
          <w:rFonts w:ascii="Cambria" w:hAnsi="Cambria"/>
          <w:lang w:val="es-ES_tradnl"/>
        </w:rPr>
        <w:t xml:space="preserve">. </w:t>
      </w:r>
      <w:r w:rsidR="004D3135" w:rsidRPr="00D43C76">
        <w:rPr>
          <w:rFonts w:ascii="Cambria" w:hAnsi="Cambria"/>
          <w:lang w:val="es-ES_tradnl"/>
        </w:rPr>
        <w:t xml:space="preserve">Como no hubo una decisión, este requisito no se puede cumplir. Las excepciones </w:t>
      </w:r>
      <w:r w:rsidR="00A41CA1" w:rsidRPr="00D43C76">
        <w:rPr>
          <w:rFonts w:ascii="Cambria" w:hAnsi="Cambria"/>
          <w:lang w:val="es-ES_tradnl"/>
        </w:rPr>
        <w:t xml:space="preserve">relativas al </w:t>
      </w:r>
      <w:r w:rsidR="00F17E5B" w:rsidRPr="00D43C76">
        <w:rPr>
          <w:rFonts w:ascii="Cambria" w:hAnsi="Cambria"/>
          <w:lang w:val="es-ES_tradnl"/>
        </w:rPr>
        <w:t>agotamiento de los recursos internos</w:t>
      </w:r>
      <w:r w:rsidR="00D12BC1" w:rsidRPr="00D43C76">
        <w:rPr>
          <w:rFonts w:ascii="Cambria" w:hAnsi="Cambria"/>
          <w:lang w:val="es-ES_tradnl"/>
        </w:rPr>
        <w:t xml:space="preserve"> </w:t>
      </w:r>
      <w:r w:rsidR="00A41CA1" w:rsidRPr="00D43C76">
        <w:rPr>
          <w:rFonts w:ascii="Cambria" w:hAnsi="Cambria"/>
          <w:lang w:val="es-ES_tradnl"/>
        </w:rPr>
        <w:t>no se aplican en este caso</w:t>
      </w:r>
      <w:r w:rsidR="00D12BC1" w:rsidRPr="00D43C76">
        <w:rPr>
          <w:rFonts w:ascii="Cambria" w:hAnsi="Cambria"/>
          <w:lang w:val="es-ES_tradnl"/>
        </w:rPr>
        <w:t xml:space="preserve">. </w:t>
      </w:r>
      <w:r w:rsidR="00A41CA1" w:rsidRPr="00D43C76">
        <w:rPr>
          <w:rFonts w:ascii="Cambria" w:hAnsi="Cambria"/>
          <w:lang w:val="es-ES_tradnl"/>
        </w:rPr>
        <w:t xml:space="preserve">Por lo tanto, tampoco se aplica el requisito más </w:t>
      </w:r>
      <w:r w:rsidR="00D12BC1" w:rsidRPr="00D43C76">
        <w:rPr>
          <w:rFonts w:ascii="Cambria" w:hAnsi="Cambria"/>
          <w:lang w:val="es-ES_tradnl"/>
        </w:rPr>
        <w:t xml:space="preserve">flexible </w:t>
      </w:r>
      <w:r w:rsidR="00A41CA1" w:rsidRPr="00D43C76">
        <w:rPr>
          <w:rFonts w:ascii="Cambria" w:hAnsi="Cambria"/>
          <w:lang w:val="es-ES_tradnl"/>
        </w:rPr>
        <w:t xml:space="preserve">del artículo </w:t>
      </w:r>
      <w:r w:rsidR="00D12BC1" w:rsidRPr="00D43C76">
        <w:rPr>
          <w:rFonts w:ascii="Cambria" w:hAnsi="Cambria"/>
          <w:lang w:val="es-ES_tradnl"/>
        </w:rPr>
        <w:t>32</w:t>
      </w:r>
      <w:r w:rsidR="00A41CA1" w:rsidRPr="00D43C76">
        <w:rPr>
          <w:rFonts w:ascii="Cambria" w:hAnsi="Cambria"/>
          <w:lang w:val="es-ES_tradnl"/>
        </w:rPr>
        <w:t>.</w:t>
      </w:r>
      <w:r w:rsidR="00D12BC1" w:rsidRPr="00D43C76">
        <w:rPr>
          <w:rFonts w:ascii="Cambria" w:hAnsi="Cambria"/>
          <w:lang w:val="es-ES_tradnl"/>
        </w:rPr>
        <w:t xml:space="preserve">2 </w:t>
      </w:r>
      <w:r w:rsidRPr="00D43C76">
        <w:rPr>
          <w:rFonts w:ascii="Cambria" w:hAnsi="Cambria"/>
          <w:lang w:val="es-ES_tradnl"/>
        </w:rPr>
        <w:t xml:space="preserve">del Reglamento </w:t>
      </w:r>
      <w:r w:rsidR="00A41CA1" w:rsidRPr="00D43C76">
        <w:rPr>
          <w:rFonts w:ascii="Cambria" w:hAnsi="Cambria"/>
          <w:lang w:val="es-ES_tradnl"/>
        </w:rPr>
        <w:t xml:space="preserve">de que la </w:t>
      </w:r>
      <w:r w:rsidR="00D30B57" w:rsidRPr="00D43C76">
        <w:rPr>
          <w:rFonts w:ascii="Cambria" w:hAnsi="Cambria"/>
          <w:lang w:val="es-ES_tradnl"/>
        </w:rPr>
        <w:t>petición</w:t>
      </w:r>
      <w:r w:rsidR="00D12BC1" w:rsidRPr="00D43C76">
        <w:rPr>
          <w:rFonts w:ascii="Cambria" w:hAnsi="Cambria"/>
          <w:lang w:val="es-ES_tradnl"/>
        </w:rPr>
        <w:t xml:space="preserve"> </w:t>
      </w:r>
      <w:r w:rsidR="00A41CA1" w:rsidRPr="00D43C76">
        <w:rPr>
          <w:rFonts w:ascii="Cambria" w:hAnsi="Cambria"/>
          <w:lang w:val="es-ES_tradnl"/>
        </w:rPr>
        <w:t xml:space="preserve">se presente dentro de un </w:t>
      </w:r>
      <w:r w:rsidR="00D12BC1" w:rsidRPr="00D43C76">
        <w:rPr>
          <w:rFonts w:ascii="Cambria" w:hAnsi="Cambria"/>
          <w:lang w:val="es-ES_tradnl"/>
        </w:rPr>
        <w:t>“</w:t>
      </w:r>
      <w:r w:rsidR="00A41CA1" w:rsidRPr="00D43C76">
        <w:rPr>
          <w:rFonts w:ascii="Cambria" w:hAnsi="Cambria"/>
          <w:lang w:val="es-ES_tradnl"/>
        </w:rPr>
        <w:t>plazo razonable</w:t>
      </w:r>
      <w:r w:rsidR="00D12BC1" w:rsidRPr="00D43C76">
        <w:rPr>
          <w:rFonts w:ascii="Cambria" w:hAnsi="Cambria"/>
          <w:lang w:val="es-ES_tradnl"/>
        </w:rPr>
        <w:t xml:space="preserve">”. </w:t>
      </w:r>
    </w:p>
    <w:p w14:paraId="6CF49B38" w14:textId="77777777" w:rsidR="0006147D" w:rsidRPr="00D43C76" w:rsidRDefault="0006147D" w:rsidP="00FC6578">
      <w:pPr>
        <w:rPr>
          <w:lang w:val="es-ES_tradnl"/>
        </w:rPr>
      </w:pPr>
    </w:p>
    <w:p w14:paraId="7EF39233" w14:textId="77777777" w:rsidR="006D06DD" w:rsidRPr="00D43C76" w:rsidRDefault="00FD38C2" w:rsidP="0059019F">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lastRenderedPageBreak/>
        <w:t>E</w:t>
      </w:r>
      <w:r w:rsidR="00A365FB" w:rsidRPr="00D43C76">
        <w:rPr>
          <w:rFonts w:ascii="Cambria" w:hAnsi="Cambria"/>
          <w:lang w:val="es-ES_tradnl"/>
        </w:rPr>
        <w:t>l Estado</w:t>
      </w:r>
      <w:r w:rsidR="0006147D" w:rsidRPr="00D43C76">
        <w:rPr>
          <w:rFonts w:ascii="Cambria" w:hAnsi="Cambria"/>
          <w:lang w:val="es-ES_tradnl"/>
        </w:rPr>
        <w:t xml:space="preserve"> </w:t>
      </w:r>
      <w:r w:rsidRPr="00D43C76">
        <w:rPr>
          <w:rFonts w:ascii="Cambria" w:hAnsi="Cambria"/>
          <w:lang w:val="es-ES_tradnl"/>
        </w:rPr>
        <w:t xml:space="preserve">alega que </w:t>
      </w:r>
      <w:r w:rsidR="00A365FB" w:rsidRPr="00D43C76">
        <w:rPr>
          <w:rFonts w:ascii="Cambria" w:hAnsi="Cambria"/>
          <w:lang w:val="es-ES_tradnl"/>
        </w:rPr>
        <w:t>la Comisión</w:t>
      </w:r>
      <w:r w:rsidR="0006147D" w:rsidRPr="00D43C76">
        <w:rPr>
          <w:rFonts w:ascii="Cambria" w:hAnsi="Cambria"/>
          <w:lang w:val="es-ES_tradnl"/>
        </w:rPr>
        <w:t xml:space="preserve"> </w:t>
      </w:r>
      <w:r w:rsidR="0082792A" w:rsidRPr="00D43C76">
        <w:rPr>
          <w:rFonts w:ascii="Cambria" w:hAnsi="Cambria"/>
          <w:lang w:val="es-ES_tradnl"/>
        </w:rPr>
        <w:t xml:space="preserve">no tiene competencia para </w:t>
      </w:r>
      <w:r w:rsidR="0006147D" w:rsidRPr="00D43C76">
        <w:rPr>
          <w:rFonts w:ascii="Cambria" w:hAnsi="Cambria"/>
          <w:lang w:val="es-ES_tradnl"/>
        </w:rPr>
        <w:t>consider</w:t>
      </w:r>
      <w:r w:rsidR="0082792A" w:rsidRPr="00D43C76">
        <w:rPr>
          <w:rFonts w:ascii="Cambria" w:hAnsi="Cambria"/>
          <w:lang w:val="es-ES_tradnl"/>
        </w:rPr>
        <w:t>ar</w:t>
      </w:r>
      <w:r w:rsidR="0006147D" w:rsidRPr="00D43C76">
        <w:rPr>
          <w:rFonts w:ascii="Cambria" w:hAnsi="Cambria"/>
          <w:lang w:val="es-ES_tradnl"/>
        </w:rPr>
        <w:t xml:space="preserve"> </w:t>
      </w:r>
      <w:r w:rsidR="00D30B57" w:rsidRPr="00D43C76">
        <w:rPr>
          <w:rFonts w:ascii="Cambria" w:hAnsi="Cambria"/>
          <w:lang w:val="es-ES_tradnl"/>
        </w:rPr>
        <w:t>la petición</w:t>
      </w:r>
      <w:r w:rsidR="0082792A" w:rsidRPr="00D43C76">
        <w:rPr>
          <w:rFonts w:ascii="Cambria" w:hAnsi="Cambria"/>
          <w:lang w:val="es-ES_tradnl"/>
        </w:rPr>
        <w:t xml:space="preserve">, en la cual se pide que se determine si la legislación interna es </w:t>
      </w:r>
      <w:r w:rsidR="0006147D" w:rsidRPr="00D43C76">
        <w:rPr>
          <w:rFonts w:ascii="Cambria" w:hAnsi="Cambria"/>
          <w:lang w:val="es-ES_tradnl"/>
        </w:rPr>
        <w:t xml:space="preserve">compatible </w:t>
      </w:r>
      <w:r w:rsidR="0082792A" w:rsidRPr="00D43C76">
        <w:rPr>
          <w:rFonts w:ascii="Cambria" w:hAnsi="Cambria"/>
          <w:lang w:val="es-ES_tradnl"/>
        </w:rPr>
        <w:t>con las obligaciones asumidas por</w:t>
      </w:r>
      <w:r w:rsidR="0006147D" w:rsidRPr="00D43C76">
        <w:rPr>
          <w:rFonts w:ascii="Cambria" w:hAnsi="Cambria"/>
          <w:lang w:val="es-ES_tradnl"/>
        </w:rPr>
        <w:t xml:space="preserve"> </w:t>
      </w:r>
      <w:r w:rsidR="00FC6578" w:rsidRPr="00D43C76">
        <w:rPr>
          <w:rFonts w:ascii="Cambria" w:hAnsi="Cambria"/>
          <w:lang w:val="es-ES_tradnl"/>
        </w:rPr>
        <w:t>Jamaica</w:t>
      </w:r>
      <w:r w:rsidR="0082792A" w:rsidRPr="00D43C76">
        <w:rPr>
          <w:rFonts w:ascii="Cambria" w:hAnsi="Cambria"/>
          <w:lang w:val="es-ES_tradnl"/>
        </w:rPr>
        <w:t xml:space="preserve"> en el marco de </w:t>
      </w:r>
      <w:r w:rsidR="00845E02" w:rsidRPr="00D43C76">
        <w:rPr>
          <w:rFonts w:ascii="Cambria" w:hAnsi="Cambria"/>
          <w:lang w:val="es-ES_tradnl"/>
        </w:rPr>
        <w:t>la Convención</w:t>
      </w:r>
      <w:r w:rsidR="0006147D" w:rsidRPr="00D43C76">
        <w:rPr>
          <w:rFonts w:ascii="Cambria" w:hAnsi="Cambria"/>
          <w:lang w:val="es-ES_tradnl"/>
        </w:rPr>
        <w:t xml:space="preserve">. </w:t>
      </w:r>
      <w:r w:rsidR="0082792A" w:rsidRPr="00D43C76">
        <w:rPr>
          <w:rFonts w:ascii="Cambria" w:hAnsi="Cambria"/>
          <w:lang w:val="es-ES_tradnl"/>
        </w:rPr>
        <w:t xml:space="preserve">Afirma que dicha competencia incumbe exclusivamente a la Corte </w:t>
      </w:r>
      <w:r w:rsidR="00FC6578" w:rsidRPr="00D43C76">
        <w:rPr>
          <w:rFonts w:ascii="Cambria" w:hAnsi="Cambria"/>
          <w:lang w:val="es-ES_tradnl"/>
        </w:rPr>
        <w:t>Inter</w:t>
      </w:r>
      <w:r w:rsidR="0082792A" w:rsidRPr="00D43C76">
        <w:rPr>
          <w:rFonts w:ascii="Cambria" w:hAnsi="Cambria"/>
          <w:lang w:val="es-ES_tradnl"/>
        </w:rPr>
        <w:t>a</w:t>
      </w:r>
      <w:r w:rsidR="00FC6578" w:rsidRPr="00D43C76">
        <w:rPr>
          <w:rFonts w:ascii="Cambria" w:hAnsi="Cambria"/>
          <w:lang w:val="es-ES_tradnl"/>
        </w:rPr>
        <w:t>merican</w:t>
      </w:r>
      <w:r w:rsidR="0082792A" w:rsidRPr="00D43C76">
        <w:rPr>
          <w:rFonts w:ascii="Cambria" w:hAnsi="Cambria"/>
          <w:lang w:val="es-ES_tradnl"/>
        </w:rPr>
        <w:t>a de Derechos Humanos en virtud del artículo</w:t>
      </w:r>
      <w:r w:rsidR="00FC6578" w:rsidRPr="00D43C76">
        <w:rPr>
          <w:rFonts w:ascii="Cambria" w:hAnsi="Cambria"/>
          <w:lang w:val="es-ES_tradnl"/>
        </w:rPr>
        <w:t xml:space="preserve"> 64</w:t>
      </w:r>
      <w:r w:rsidRPr="00D43C76">
        <w:rPr>
          <w:rFonts w:ascii="Cambria" w:hAnsi="Cambria"/>
          <w:lang w:val="es-ES_tradnl"/>
        </w:rPr>
        <w:t>.</w:t>
      </w:r>
      <w:r w:rsidR="00FC6578" w:rsidRPr="00D43C76">
        <w:rPr>
          <w:rFonts w:ascii="Cambria" w:hAnsi="Cambria"/>
          <w:lang w:val="es-ES_tradnl"/>
        </w:rPr>
        <w:t>2</w:t>
      </w:r>
      <w:r w:rsidRPr="00D43C76">
        <w:rPr>
          <w:rFonts w:ascii="Cambria" w:hAnsi="Cambria"/>
          <w:lang w:val="es-ES_tradnl"/>
        </w:rPr>
        <w:t xml:space="preserve"> de </w:t>
      </w:r>
      <w:r w:rsidR="00845E02" w:rsidRPr="00D43C76">
        <w:rPr>
          <w:rFonts w:ascii="Cambria" w:hAnsi="Cambria"/>
          <w:lang w:val="es-ES_tradnl"/>
        </w:rPr>
        <w:t>la Convención</w:t>
      </w:r>
      <w:r w:rsidR="00FC6578" w:rsidRPr="00D43C76">
        <w:rPr>
          <w:rFonts w:ascii="Cambria" w:hAnsi="Cambria"/>
          <w:lang w:val="es-ES_tradnl"/>
        </w:rPr>
        <w:t xml:space="preserve">. </w:t>
      </w:r>
      <w:r w:rsidR="0082792A" w:rsidRPr="00D43C76">
        <w:rPr>
          <w:rFonts w:ascii="Cambria" w:hAnsi="Cambria"/>
          <w:lang w:val="es-ES_tradnl"/>
        </w:rPr>
        <w:t xml:space="preserve">Las funciones de </w:t>
      </w:r>
      <w:r w:rsidR="00A365FB" w:rsidRPr="00D43C76">
        <w:rPr>
          <w:rFonts w:ascii="Cambria" w:hAnsi="Cambria"/>
          <w:lang w:val="es-ES_tradnl"/>
        </w:rPr>
        <w:t>la Comisión</w:t>
      </w:r>
      <w:r w:rsidR="00FC6578" w:rsidRPr="00D43C76">
        <w:rPr>
          <w:rFonts w:ascii="Cambria" w:hAnsi="Cambria"/>
          <w:lang w:val="es-ES_tradnl"/>
        </w:rPr>
        <w:t xml:space="preserve"> </w:t>
      </w:r>
      <w:r w:rsidR="009C41FF" w:rsidRPr="00D43C76">
        <w:rPr>
          <w:rFonts w:ascii="Cambria" w:hAnsi="Cambria"/>
          <w:lang w:val="es-ES_tradnl"/>
        </w:rPr>
        <w:t>enumeradas</w:t>
      </w:r>
      <w:r w:rsidR="0082792A" w:rsidRPr="00D43C76">
        <w:rPr>
          <w:rFonts w:ascii="Cambria" w:hAnsi="Cambria"/>
          <w:lang w:val="es-ES_tradnl"/>
        </w:rPr>
        <w:t xml:space="preserve"> en la Convención</w:t>
      </w:r>
      <w:r w:rsidR="00FC6578" w:rsidRPr="00D43C76">
        <w:rPr>
          <w:rFonts w:ascii="Cambria" w:hAnsi="Cambria"/>
          <w:lang w:val="es-ES_tradnl"/>
        </w:rPr>
        <w:t xml:space="preserve"> </w:t>
      </w:r>
      <w:r w:rsidR="0082792A" w:rsidRPr="00D43C76">
        <w:rPr>
          <w:rFonts w:ascii="Cambria" w:hAnsi="Cambria"/>
          <w:lang w:val="es-ES_tradnl"/>
        </w:rPr>
        <w:t xml:space="preserve">no incluyen la facultad para </w:t>
      </w:r>
      <w:r w:rsidR="00FC6578" w:rsidRPr="00D43C76">
        <w:rPr>
          <w:rFonts w:ascii="Cambria" w:hAnsi="Cambria"/>
          <w:lang w:val="es-ES_tradnl"/>
        </w:rPr>
        <w:t>determin</w:t>
      </w:r>
      <w:r w:rsidR="0082792A" w:rsidRPr="00D43C76">
        <w:rPr>
          <w:rFonts w:ascii="Cambria" w:hAnsi="Cambria"/>
          <w:lang w:val="es-ES_tradnl"/>
        </w:rPr>
        <w:t xml:space="preserve">ar la </w:t>
      </w:r>
      <w:r w:rsidR="00FC6578" w:rsidRPr="00D43C76">
        <w:rPr>
          <w:rFonts w:ascii="Cambria" w:hAnsi="Cambria"/>
          <w:lang w:val="es-ES_tradnl"/>
        </w:rPr>
        <w:t>compatibili</w:t>
      </w:r>
      <w:r w:rsidR="0082792A" w:rsidRPr="00D43C76">
        <w:rPr>
          <w:rFonts w:ascii="Cambria" w:hAnsi="Cambria"/>
          <w:lang w:val="es-ES_tradnl"/>
        </w:rPr>
        <w:t>dad del derecho interno</w:t>
      </w:r>
      <w:r w:rsidR="00FC6578" w:rsidRPr="00D43C76">
        <w:rPr>
          <w:rFonts w:ascii="Cambria" w:hAnsi="Cambria"/>
          <w:lang w:val="es-ES_tradnl"/>
        </w:rPr>
        <w:t xml:space="preserve"> </w:t>
      </w:r>
      <w:r w:rsidR="0082792A" w:rsidRPr="00D43C76">
        <w:rPr>
          <w:rFonts w:ascii="Cambria" w:hAnsi="Cambria"/>
          <w:lang w:val="es-ES_tradnl"/>
        </w:rPr>
        <w:t xml:space="preserve">con </w:t>
      </w:r>
      <w:r w:rsidR="009C41FF" w:rsidRPr="00D43C76">
        <w:rPr>
          <w:rFonts w:ascii="Cambria" w:hAnsi="Cambria"/>
          <w:lang w:val="es-ES_tradnl"/>
        </w:rPr>
        <w:t>dicho instrumento</w:t>
      </w:r>
      <w:r w:rsidR="00944CD7" w:rsidRPr="00D43C76">
        <w:rPr>
          <w:rFonts w:ascii="Cambria" w:hAnsi="Cambria"/>
          <w:lang w:val="es-ES_tradnl"/>
        </w:rPr>
        <w:t xml:space="preserve">. </w:t>
      </w:r>
      <w:r w:rsidR="009C41FF" w:rsidRPr="00D43C76">
        <w:rPr>
          <w:rFonts w:ascii="Cambria" w:hAnsi="Cambria"/>
          <w:lang w:val="es-ES_tradnl"/>
        </w:rPr>
        <w:t>El Estado a</w:t>
      </w:r>
      <w:r w:rsidR="0082792A" w:rsidRPr="00D43C76">
        <w:rPr>
          <w:rFonts w:ascii="Cambria" w:hAnsi="Cambria"/>
          <w:lang w:val="es-ES_tradnl"/>
        </w:rPr>
        <w:t xml:space="preserve">grega que un peticionario no tiene </w:t>
      </w:r>
      <w:r w:rsidR="00506017" w:rsidRPr="00D43C76">
        <w:rPr>
          <w:rFonts w:ascii="Cambria" w:hAnsi="Cambria"/>
          <w:i/>
          <w:lang w:val="es-ES_tradnl"/>
        </w:rPr>
        <w:t>locus standi</w:t>
      </w:r>
      <w:r w:rsidR="00506017" w:rsidRPr="00D43C76">
        <w:rPr>
          <w:rFonts w:ascii="Cambria" w:hAnsi="Cambria"/>
          <w:lang w:val="es-ES_tradnl"/>
        </w:rPr>
        <w:t xml:space="preserve"> </w:t>
      </w:r>
      <w:r w:rsidR="0082792A" w:rsidRPr="00D43C76">
        <w:rPr>
          <w:rFonts w:ascii="Cambria" w:hAnsi="Cambria"/>
          <w:lang w:val="es-ES_tradnl"/>
        </w:rPr>
        <w:t>de acuerdo con</w:t>
      </w:r>
      <w:r w:rsidR="00506017" w:rsidRPr="00D43C76">
        <w:rPr>
          <w:rFonts w:ascii="Cambria" w:hAnsi="Cambria"/>
          <w:lang w:val="es-ES_tradnl"/>
        </w:rPr>
        <w:t xml:space="preserve"> </w:t>
      </w:r>
      <w:r w:rsidR="0082792A" w:rsidRPr="00D43C76">
        <w:rPr>
          <w:rFonts w:ascii="Cambria" w:hAnsi="Cambria"/>
          <w:lang w:val="es-ES_tradnl"/>
        </w:rPr>
        <w:t>la Convención</w:t>
      </w:r>
      <w:r w:rsidR="00506017" w:rsidRPr="00D43C76">
        <w:rPr>
          <w:rFonts w:ascii="Cambria" w:hAnsi="Cambria"/>
          <w:lang w:val="es-ES_tradnl"/>
        </w:rPr>
        <w:t xml:space="preserve"> </w:t>
      </w:r>
      <w:r w:rsidR="0082792A" w:rsidRPr="00D43C76">
        <w:rPr>
          <w:rFonts w:ascii="Cambria" w:hAnsi="Cambria"/>
          <w:lang w:val="es-ES_tradnl"/>
        </w:rPr>
        <w:t xml:space="preserve">ni con el Reglamento de </w:t>
      </w:r>
      <w:r w:rsidR="00A365FB" w:rsidRPr="00D43C76">
        <w:rPr>
          <w:rFonts w:ascii="Cambria" w:hAnsi="Cambria"/>
          <w:lang w:val="es-ES_tradnl"/>
        </w:rPr>
        <w:t>la Comisión</w:t>
      </w:r>
      <w:r w:rsidR="00506017" w:rsidRPr="00D43C76">
        <w:rPr>
          <w:rFonts w:ascii="Cambria" w:hAnsi="Cambria"/>
          <w:lang w:val="es-ES_tradnl"/>
        </w:rPr>
        <w:t xml:space="preserve"> </w:t>
      </w:r>
      <w:r w:rsidR="0082792A" w:rsidRPr="00D43C76">
        <w:rPr>
          <w:rFonts w:ascii="Cambria" w:hAnsi="Cambria"/>
          <w:lang w:val="es-ES_tradnl"/>
        </w:rPr>
        <w:t xml:space="preserve">para pedir que la </w:t>
      </w:r>
      <w:r w:rsidR="00A365FB" w:rsidRPr="00D43C76">
        <w:rPr>
          <w:rFonts w:ascii="Cambria" w:hAnsi="Cambria"/>
          <w:lang w:val="es-ES_tradnl"/>
        </w:rPr>
        <w:t>Comisión</w:t>
      </w:r>
      <w:r w:rsidR="00506017" w:rsidRPr="00D43C76">
        <w:rPr>
          <w:rFonts w:ascii="Cambria" w:hAnsi="Cambria"/>
          <w:lang w:val="es-ES_tradnl"/>
        </w:rPr>
        <w:t xml:space="preserve"> </w:t>
      </w:r>
      <w:r w:rsidR="0082792A" w:rsidRPr="00D43C76">
        <w:rPr>
          <w:rFonts w:ascii="Cambria" w:hAnsi="Cambria"/>
          <w:lang w:val="es-ES_tradnl"/>
        </w:rPr>
        <w:t xml:space="preserve">se pronuncie sobre la </w:t>
      </w:r>
      <w:r w:rsidR="00506017" w:rsidRPr="00D43C76">
        <w:rPr>
          <w:rFonts w:ascii="Cambria" w:hAnsi="Cambria"/>
          <w:lang w:val="es-ES_tradnl"/>
        </w:rPr>
        <w:t>compatibili</w:t>
      </w:r>
      <w:r w:rsidR="0082792A" w:rsidRPr="00D43C76">
        <w:rPr>
          <w:rFonts w:ascii="Cambria" w:hAnsi="Cambria"/>
          <w:lang w:val="es-ES_tradnl"/>
        </w:rPr>
        <w:t>dad del</w:t>
      </w:r>
      <w:r w:rsidR="00506017" w:rsidRPr="00D43C76">
        <w:rPr>
          <w:rFonts w:ascii="Cambria" w:hAnsi="Cambria"/>
          <w:lang w:val="es-ES_tradnl"/>
        </w:rPr>
        <w:t xml:space="preserve"> </w:t>
      </w:r>
      <w:r w:rsidR="0082792A" w:rsidRPr="00D43C76">
        <w:rPr>
          <w:rFonts w:ascii="Cambria" w:hAnsi="Cambria"/>
          <w:lang w:val="es-ES_tradnl"/>
        </w:rPr>
        <w:t>derecho interno</w:t>
      </w:r>
      <w:r w:rsidR="00506017" w:rsidRPr="00D43C76">
        <w:rPr>
          <w:rFonts w:ascii="Cambria" w:hAnsi="Cambria"/>
          <w:lang w:val="es-ES_tradnl"/>
        </w:rPr>
        <w:t xml:space="preserve"> </w:t>
      </w:r>
      <w:r w:rsidR="0082792A" w:rsidRPr="00D43C76">
        <w:rPr>
          <w:rFonts w:ascii="Cambria" w:hAnsi="Cambria"/>
          <w:lang w:val="es-ES_tradnl"/>
        </w:rPr>
        <w:t>de un país con la Convención</w:t>
      </w:r>
      <w:r w:rsidR="00506017" w:rsidRPr="00D43C76">
        <w:rPr>
          <w:rFonts w:ascii="Cambria" w:hAnsi="Cambria"/>
          <w:lang w:val="es-ES_tradnl"/>
        </w:rPr>
        <w:t xml:space="preserve">. </w:t>
      </w:r>
    </w:p>
    <w:p w14:paraId="613CAD3B" w14:textId="77777777" w:rsidR="006D06DD" w:rsidRPr="00D43C76" w:rsidRDefault="006D06DD" w:rsidP="006D06DD">
      <w:pPr>
        <w:pStyle w:val="parrafos"/>
        <w:tabs>
          <w:tab w:val="left" w:pos="720"/>
        </w:tabs>
        <w:rPr>
          <w:rFonts w:ascii="Cambria" w:hAnsi="Cambria"/>
          <w:lang w:val="es-ES_tradnl"/>
        </w:rPr>
      </w:pPr>
    </w:p>
    <w:p w14:paraId="6FCE9044" w14:textId="77777777" w:rsidR="005C23D5" w:rsidRPr="00D43C76" w:rsidRDefault="00A365FB" w:rsidP="0059019F">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El Estado</w:t>
      </w:r>
      <w:r w:rsidR="00AB4A84" w:rsidRPr="00D43C76">
        <w:rPr>
          <w:rFonts w:ascii="Cambria" w:hAnsi="Cambria"/>
          <w:lang w:val="es-ES_tradnl"/>
        </w:rPr>
        <w:t xml:space="preserve"> </w:t>
      </w:r>
      <w:r w:rsidR="00FD38C2" w:rsidRPr="00D43C76">
        <w:rPr>
          <w:rFonts w:ascii="Cambria" w:hAnsi="Cambria"/>
          <w:lang w:val="es-ES_tradnl"/>
        </w:rPr>
        <w:t xml:space="preserve">señala que </w:t>
      </w:r>
      <w:r w:rsidRPr="00D43C76">
        <w:rPr>
          <w:rFonts w:ascii="Cambria" w:hAnsi="Cambria"/>
          <w:lang w:val="es-ES_tradnl"/>
        </w:rPr>
        <w:t>la Comisión</w:t>
      </w:r>
      <w:r w:rsidR="00AB4A84" w:rsidRPr="00D43C76">
        <w:rPr>
          <w:rFonts w:ascii="Cambria" w:hAnsi="Cambria"/>
          <w:lang w:val="es-ES_tradnl"/>
        </w:rPr>
        <w:t xml:space="preserve"> </w:t>
      </w:r>
      <w:r w:rsidR="0082792A" w:rsidRPr="00D43C76">
        <w:rPr>
          <w:rFonts w:ascii="Cambria" w:hAnsi="Cambria"/>
          <w:lang w:val="es-ES_tradnl"/>
        </w:rPr>
        <w:t xml:space="preserve">no tiene competencia </w:t>
      </w:r>
      <w:r w:rsidR="00AB4A84" w:rsidRPr="00D43C76">
        <w:rPr>
          <w:rFonts w:ascii="Cambria" w:hAnsi="Cambria"/>
          <w:i/>
          <w:lang w:val="es-ES_tradnl"/>
        </w:rPr>
        <w:t xml:space="preserve">rationae personae </w:t>
      </w:r>
      <w:r w:rsidR="0082792A" w:rsidRPr="00D43C76">
        <w:rPr>
          <w:rFonts w:ascii="Cambria" w:hAnsi="Cambria"/>
          <w:lang w:val="es-ES_tradnl"/>
        </w:rPr>
        <w:t xml:space="preserve">porque ni </w:t>
      </w:r>
      <w:r w:rsidR="007E65FB" w:rsidRPr="00D43C76">
        <w:rPr>
          <w:rFonts w:ascii="Cambria" w:hAnsi="Cambria"/>
          <w:lang w:val="es-ES_tradnl"/>
        </w:rPr>
        <w:t xml:space="preserve">T. B. </w:t>
      </w:r>
      <w:r w:rsidR="0082792A" w:rsidRPr="00D43C76">
        <w:rPr>
          <w:rFonts w:ascii="Cambria" w:hAnsi="Cambria"/>
          <w:lang w:val="es-ES_tradnl"/>
        </w:rPr>
        <w:t xml:space="preserve">ni </w:t>
      </w:r>
      <w:r w:rsidR="007E65FB" w:rsidRPr="00D43C76">
        <w:rPr>
          <w:rFonts w:ascii="Cambria" w:hAnsi="Cambria"/>
          <w:lang w:val="es-ES_tradnl"/>
        </w:rPr>
        <w:t xml:space="preserve">S. H. </w:t>
      </w:r>
      <w:r w:rsidR="006D06DD" w:rsidRPr="00D43C76">
        <w:rPr>
          <w:rFonts w:ascii="Cambria" w:hAnsi="Cambria"/>
          <w:lang w:val="es-ES_tradnl"/>
        </w:rPr>
        <w:t>ha</w:t>
      </w:r>
      <w:r w:rsidR="0082792A" w:rsidRPr="00D43C76">
        <w:rPr>
          <w:rFonts w:ascii="Cambria" w:hAnsi="Cambria"/>
          <w:lang w:val="es-ES_tradnl"/>
        </w:rPr>
        <w:t xml:space="preserve">n sido objeto de una investigación o un juicio penal por haber participado en actos abarcados por los artículos </w:t>
      </w:r>
      <w:r w:rsidR="006D06DD" w:rsidRPr="00D43C76">
        <w:rPr>
          <w:rFonts w:ascii="Cambria" w:hAnsi="Cambria"/>
          <w:lang w:val="es-ES_tradnl"/>
        </w:rPr>
        <w:t xml:space="preserve">76, 77 o 79 </w:t>
      </w:r>
      <w:r w:rsidR="0082792A" w:rsidRPr="00D43C76">
        <w:rPr>
          <w:rFonts w:ascii="Cambria" w:hAnsi="Cambria"/>
          <w:lang w:val="es-ES_tradnl"/>
        </w:rPr>
        <w:t xml:space="preserve">de la </w:t>
      </w:r>
      <w:r w:rsidR="00EB0856" w:rsidRPr="00D43C76">
        <w:rPr>
          <w:rFonts w:ascii="Cambria" w:hAnsi="Cambria"/>
          <w:lang w:val="es-ES_tradnl"/>
        </w:rPr>
        <w:t>Ley de Delitos contra la Persona</w:t>
      </w:r>
      <w:r w:rsidR="006D06DD" w:rsidRPr="00D43C76">
        <w:rPr>
          <w:rFonts w:ascii="Cambria" w:hAnsi="Cambria"/>
          <w:lang w:val="es-ES_tradnl"/>
        </w:rPr>
        <w:t xml:space="preserve">. </w:t>
      </w:r>
      <w:r w:rsidR="0082792A" w:rsidRPr="00D43C76">
        <w:rPr>
          <w:rFonts w:ascii="Cambria" w:hAnsi="Cambria"/>
          <w:lang w:val="es-ES_tradnl"/>
        </w:rPr>
        <w:t xml:space="preserve">Afirma que </w:t>
      </w:r>
      <w:r w:rsidR="00154493" w:rsidRPr="00D43C76">
        <w:rPr>
          <w:rFonts w:ascii="Cambria" w:hAnsi="Cambria"/>
          <w:lang w:val="es-ES_tradnl"/>
        </w:rPr>
        <w:t xml:space="preserve">en </w:t>
      </w:r>
      <w:r w:rsidR="0082792A" w:rsidRPr="00D43C76">
        <w:rPr>
          <w:rFonts w:ascii="Cambria" w:hAnsi="Cambria"/>
          <w:lang w:val="es-ES_tradnl"/>
        </w:rPr>
        <w:t xml:space="preserve">las peticiones se debe aducir una violación concreta para que </w:t>
      </w:r>
      <w:r w:rsidRPr="00D43C76">
        <w:rPr>
          <w:rFonts w:ascii="Cambria" w:hAnsi="Cambria"/>
          <w:lang w:val="es-ES_tradnl"/>
        </w:rPr>
        <w:t>la Comisión</w:t>
      </w:r>
      <w:r w:rsidR="00154493" w:rsidRPr="00D43C76">
        <w:rPr>
          <w:rFonts w:ascii="Cambria" w:hAnsi="Cambria"/>
          <w:lang w:val="es-ES_tradnl"/>
        </w:rPr>
        <w:t xml:space="preserve"> pueda aceptarlas</w:t>
      </w:r>
      <w:r w:rsidR="006D06DD" w:rsidRPr="00D43C76">
        <w:rPr>
          <w:rFonts w:ascii="Cambria" w:hAnsi="Cambria"/>
          <w:lang w:val="es-ES_tradnl"/>
        </w:rPr>
        <w:t xml:space="preserve">. </w:t>
      </w:r>
      <w:r w:rsidR="00154493" w:rsidRPr="00D43C76">
        <w:rPr>
          <w:rFonts w:ascii="Cambria" w:hAnsi="Cambria"/>
          <w:lang w:val="es-ES_tradnl"/>
        </w:rPr>
        <w:t xml:space="preserve">Agrega que la </w:t>
      </w:r>
      <w:r w:rsidR="005A4C18" w:rsidRPr="00D43C76">
        <w:rPr>
          <w:rFonts w:ascii="Cambria" w:hAnsi="Cambria"/>
          <w:lang w:val="es-ES_tradnl"/>
        </w:rPr>
        <w:t>Ley de Delitos contra la Persona</w:t>
      </w:r>
      <w:r w:rsidR="006D06DD" w:rsidRPr="00D43C76">
        <w:rPr>
          <w:rFonts w:ascii="Cambria" w:hAnsi="Cambria"/>
          <w:lang w:val="es-ES_tradnl"/>
        </w:rPr>
        <w:t xml:space="preserve"> </w:t>
      </w:r>
      <w:r w:rsidR="00154493" w:rsidRPr="00D43C76">
        <w:rPr>
          <w:rFonts w:ascii="Cambria" w:hAnsi="Cambria"/>
          <w:lang w:val="es-ES_tradnl"/>
        </w:rPr>
        <w:t xml:space="preserve">no es una norma de aplicación automática y, por lo tanto, puede afectar derechos </w:t>
      </w:r>
      <w:r w:rsidR="006D06DD" w:rsidRPr="00D43C76">
        <w:rPr>
          <w:rFonts w:ascii="Cambria" w:hAnsi="Cambria"/>
          <w:lang w:val="es-ES_tradnl"/>
        </w:rPr>
        <w:t>individual</w:t>
      </w:r>
      <w:r w:rsidR="00154493" w:rsidRPr="00D43C76">
        <w:rPr>
          <w:rFonts w:ascii="Cambria" w:hAnsi="Cambria"/>
          <w:lang w:val="es-ES_tradnl"/>
        </w:rPr>
        <w:t xml:space="preserve">es solo cuando </w:t>
      </w:r>
      <w:r w:rsidRPr="00D43C76">
        <w:rPr>
          <w:rFonts w:ascii="Cambria" w:hAnsi="Cambria"/>
          <w:lang w:val="es-ES_tradnl"/>
        </w:rPr>
        <w:t>el Estado</w:t>
      </w:r>
      <w:r w:rsidR="00154493" w:rsidRPr="00D43C76">
        <w:rPr>
          <w:rFonts w:ascii="Cambria" w:hAnsi="Cambria"/>
          <w:lang w:val="es-ES_tradnl"/>
        </w:rPr>
        <w:t xml:space="preserve"> toma medidas para aplicarla</w:t>
      </w:r>
      <w:r w:rsidR="006D06DD" w:rsidRPr="00D43C76">
        <w:rPr>
          <w:rFonts w:ascii="Cambria" w:hAnsi="Cambria"/>
          <w:lang w:val="es-ES_tradnl"/>
        </w:rPr>
        <w:t xml:space="preserve">. </w:t>
      </w:r>
    </w:p>
    <w:p w14:paraId="628166C1" w14:textId="77777777" w:rsidR="00BA59A4" w:rsidRPr="00D43C76" w:rsidRDefault="00BA59A4" w:rsidP="00BA59A4">
      <w:pPr>
        <w:rPr>
          <w:lang w:val="es-ES_tradnl"/>
        </w:rPr>
      </w:pPr>
    </w:p>
    <w:p w14:paraId="194FE33E" w14:textId="77777777" w:rsidR="00BA59A4" w:rsidRPr="00D43C76" w:rsidRDefault="009A11A0" w:rsidP="00CB5C32">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Con respecto al </w:t>
      </w:r>
      <w:r w:rsidR="00FD38C2" w:rsidRPr="00D43C76">
        <w:rPr>
          <w:rFonts w:ascii="Cambria" w:hAnsi="Cambria"/>
          <w:b/>
          <w:lang w:val="es-ES_tradnl"/>
        </w:rPr>
        <w:t>fondo</w:t>
      </w:r>
      <w:r w:rsidR="00BA59A4" w:rsidRPr="00D43C76">
        <w:rPr>
          <w:rFonts w:ascii="Cambria" w:hAnsi="Cambria"/>
          <w:b/>
          <w:lang w:val="es-ES_tradnl"/>
        </w:rPr>
        <w:t xml:space="preserve"> </w:t>
      </w:r>
      <w:r w:rsidRPr="00D43C76">
        <w:rPr>
          <w:rFonts w:ascii="Cambria" w:hAnsi="Cambria"/>
          <w:lang w:val="es-ES_tradnl"/>
        </w:rPr>
        <w:t xml:space="preserve">del caso, </w:t>
      </w:r>
      <w:r w:rsidR="00A365FB" w:rsidRPr="00D43C76">
        <w:rPr>
          <w:rFonts w:ascii="Cambria" w:hAnsi="Cambria"/>
          <w:lang w:val="es-ES_tradnl"/>
        </w:rPr>
        <w:t>el Estado</w:t>
      </w:r>
      <w:r w:rsidR="00BA59A4" w:rsidRPr="00D43C76">
        <w:rPr>
          <w:rFonts w:ascii="Cambria" w:hAnsi="Cambria"/>
          <w:lang w:val="es-ES_tradnl"/>
        </w:rPr>
        <w:t xml:space="preserve"> </w:t>
      </w:r>
      <w:r w:rsidR="00AE1B48" w:rsidRPr="00D43C76">
        <w:rPr>
          <w:rFonts w:ascii="Cambria" w:hAnsi="Cambria"/>
          <w:lang w:val="es-ES_tradnl"/>
        </w:rPr>
        <w:t>a</w:t>
      </w:r>
      <w:r w:rsidR="008828E4" w:rsidRPr="00D43C76">
        <w:rPr>
          <w:rFonts w:ascii="Cambria" w:hAnsi="Cambria"/>
          <w:lang w:val="es-ES_tradnl"/>
        </w:rPr>
        <w:t xml:space="preserve">firma que las alegaciones de </w:t>
      </w:r>
      <w:r w:rsidR="007E65FB" w:rsidRPr="00D43C76">
        <w:rPr>
          <w:rFonts w:ascii="Cambria" w:hAnsi="Cambria"/>
          <w:lang w:val="es-ES_tradnl"/>
        </w:rPr>
        <w:t xml:space="preserve">T. B. </w:t>
      </w:r>
      <w:r w:rsidR="008828E4" w:rsidRPr="00D43C76">
        <w:rPr>
          <w:rFonts w:ascii="Cambria" w:hAnsi="Cambria"/>
          <w:lang w:val="es-ES_tradnl"/>
        </w:rPr>
        <w:t>y</w:t>
      </w:r>
      <w:r w:rsidR="00AE1B48" w:rsidRPr="00D43C76">
        <w:rPr>
          <w:rFonts w:ascii="Cambria" w:hAnsi="Cambria"/>
          <w:lang w:val="es-ES_tradnl"/>
        </w:rPr>
        <w:t xml:space="preserve"> </w:t>
      </w:r>
      <w:r w:rsidR="007E65FB" w:rsidRPr="00D43C76">
        <w:rPr>
          <w:rFonts w:ascii="Cambria" w:hAnsi="Cambria"/>
          <w:lang w:val="es-ES_tradnl"/>
        </w:rPr>
        <w:t xml:space="preserve">S. H. </w:t>
      </w:r>
      <w:r w:rsidR="008828E4" w:rsidRPr="00D43C76">
        <w:rPr>
          <w:rFonts w:ascii="Cambria" w:hAnsi="Cambria"/>
          <w:lang w:val="es-ES_tradnl"/>
        </w:rPr>
        <w:t xml:space="preserve">son manifiestamente infundadas. Señala que no hay pruebas de que </w:t>
      </w:r>
      <w:r w:rsidR="007E65FB" w:rsidRPr="00D43C76">
        <w:rPr>
          <w:rFonts w:ascii="Cambria" w:hAnsi="Cambria"/>
          <w:lang w:val="es-ES_tradnl"/>
        </w:rPr>
        <w:t xml:space="preserve">T. B. </w:t>
      </w:r>
      <w:r w:rsidR="00600FC6" w:rsidRPr="00D43C76">
        <w:rPr>
          <w:rFonts w:ascii="Cambria" w:hAnsi="Cambria"/>
          <w:lang w:val="es-ES_tradnl"/>
        </w:rPr>
        <w:t xml:space="preserve">o </w:t>
      </w:r>
      <w:r w:rsidR="007E65FB" w:rsidRPr="00D43C76">
        <w:rPr>
          <w:rFonts w:ascii="Cambria" w:hAnsi="Cambria"/>
          <w:lang w:val="es-ES_tradnl"/>
        </w:rPr>
        <w:t xml:space="preserve">S. H. </w:t>
      </w:r>
      <w:r w:rsidR="00600FC6" w:rsidRPr="00D43C76">
        <w:rPr>
          <w:rFonts w:ascii="Cambria" w:hAnsi="Cambria"/>
          <w:lang w:val="es-ES_tradnl"/>
        </w:rPr>
        <w:t>ha</w:t>
      </w:r>
      <w:r w:rsidR="008828E4" w:rsidRPr="00D43C76">
        <w:rPr>
          <w:rFonts w:ascii="Cambria" w:hAnsi="Cambria"/>
          <w:lang w:val="es-ES_tradnl"/>
        </w:rPr>
        <w:t xml:space="preserve">yan presentado </w:t>
      </w:r>
      <w:r w:rsidR="009C41FF" w:rsidRPr="00D43C76">
        <w:rPr>
          <w:rFonts w:ascii="Cambria" w:hAnsi="Cambria"/>
          <w:lang w:val="es-ES_tradnl"/>
        </w:rPr>
        <w:t xml:space="preserve">denuncias </w:t>
      </w:r>
      <w:r w:rsidR="008828E4" w:rsidRPr="00D43C76">
        <w:rPr>
          <w:rFonts w:ascii="Cambria" w:hAnsi="Cambria"/>
          <w:lang w:val="es-ES_tradnl"/>
        </w:rPr>
        <w:t>relativas a amenazas para su vida o su integridad física. Además, no se conoce el paradero de</w:t>
      </w:r>
      <w:r w:rsidR="00600FC6" w:rsidRPr="00D43C76">
        <w:rPr>
          <w:rFonts w:ascii="Cambria" w:hAnsi="Cambria"/>
          <w:lang w:val="es-ES_tradnl"/>
        </w:rPr>
        <w:t xml:space="preserve"> </w:t>
      </w:r>
      <w:r w:rsidR="007E65FB" w:rsidRPr="00D43C76">
        <w:rPr>
          <w:rFonts w:ascii="Cambria" w:hAnsi="Cambria"/>
          <w:lang w:val="es-ES_tradnl"/>
        </w:rPr>
        <w:t>T. B.</w:t>
      </w:r>
      <w:r w:rsidR="008828E4" w:rsidRPr="00D43C76">
        <w:rPr>
          <w:rFonts w:ascii="Cambria" w:hAnsi="Cambria"/>
          <w:lang w:val="es-ES_tradnl"/>
        </w:rPr>
        <w:t xml:space="preserve">, lo cual impide que la policía continúe investigando. Por otro lado, </w:t>
      </w:r>
      <w:r w:rsidR="00A365FB" w:rsidRPr="00D43C76">
        <w:rPr>
          <w:rFonts w:ascii="Cambria" w:hAnsi="Cambria"/>
          <w:lang w:val="es-ES_tradnl"/>
        </w:rPr>
        <w:t>el Estado</w:t>
      </w:r>
      <w:r w:rsidR="004405AE" w:rsidRPr="00D43C76">
        <w:rPr>
          <w:rFonts w:ascii="Cambria" w:hAnsi="Cambria"/>
          <w:lang w:val="es-ES_tradnl"/>
        </w:rPr>
        <w:t xml:space="preserve"> </w:t>
      </w:r>
      <w:r w:rsidR="008828E4" w:rsidRPr="00D43C76">
        <w:rPr>
          <w:rFonts w:ascii="Cambria" w:hAnsi="Cambria"/>
          <w:lang w:val="es-ES_tradnl"/>
        </w:rPr>
        <w:t xml:space="preserve">señala que inició la investigación de los tres incidentes denunciados por </w:t>
      </w:r>
      <w:r w:rsidR="004405AE" w:rsidRPr="00D43C76">
        <w:rPr>
          <w:rFonts w:ascii="Cambria" w:hAnsi="Cambria"/>
          <w:lang w:val="es-ES_tradnl"/>
        </w:rPr>
        <w:t>S.</w:t>
      </w:r>
      <w:r w:rsidR="008828E4" w:rsidRPr="00D43C76">
        <w:rPr>
          <w:rFonts w:ascii="Cambria" w:hAnsi="Cambria"/>
          <w:lang w:val="es-ES_tradnl"/>
        </w:rPr>
        <w:t xml:space="preserve"> </w:t>
      </w:r>
      <w:r w:rsidR="004405AE" w:rsidRPr="00D43C76">
        <w:rPr>
          <w:rFonts w:ascii="Cambria" w:hAnsi="Cambria"/>
          <w:lang w:val="es-ES_tradnl"/>
        </w:rPr>
        <w:t>H</w:t>
      </w:r>
      <w:r w:rsidR="008828E4" w:rsidRPr="00D43C76">
        <w:rPr>
          <w:rFonts w:ascii="Cambria" w:hAnsi="Cambria"/>
          <w:lang w:val="es-ES_tradnl"/>
        </w:rPr>
        <w:t>.</w:t>
      </w:r>
      <w:r w:rsidR="004405AE" w:rsidRPr="00D43C76">
        <w:rPr>
          <w:rFonts w:ascii="Cambria" w:hAnsi="Cambria"/>
          <w:lang w:val="es-ES_tradnl"/>
        </w:rPr>
        <w:t xml:space="preserve">, </w:t>
      </w:r>
      <w:r w:rsidR="008828E4" w:rsidRPr="00D43C76">
        <w:rPr>
          <w:rFonts w:ascii="Cambria" w:hAnsi="Cambria"/>
          <w:lang w:val="es-ES_tradnl"/>
        </w:rPr>
        <w:t>pero que S. H. informó a los investigadores que no quería que la policía continuara investigando el asunto. Su paradero tampoco se conoce, lo cual impide toda acción adicional</w:t>
      </w:r>
      <w:r w:rsidR="004405AE" w:rsidRPr="00D43C76">
        <w:rPr>
          <w:rFonts w:ascii="Cambria" w:hAnsi="Cambria"/>
          <w:lang w:val="es-ES_tradnl"/>
        </w:rPr>
        <w:t xml:space="preserve">. </w:t>
      </w:r>
    </w:p>
    <w:p w14:paraId="28CD6EEF" w14:textId="77777777" w:rsidR="000644B1" w:rsidRPr="00D43C76" w:rsidRDefault="000644B1" w:rsidP="000644B1">
      <w:pPr>
        <w:pStyle w:val="ListParagraph"/>
        <w:rPr>
          <w:lang w:val="es-ES_tradnl"/>
        </w:rPr>
      </w:pPr>
    </w:p>
    <w:p w14:paraId="6C257D25" w14:textId="77777777" w:rsidR="000644B1" w:rsidRPr="00D43C76" w:rsidRDefault="008828E4" w:rsidP="00CB5C32">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Específicamente</w:t>
      </w:r>
      <w:r w:rsidR="00690DCA" w:rsidRPr="00D43C76">
        <w:rPr>
          <w:rFonts w:ascii="Cambria" w:hAnsi="Cambria"/>
          <w:lang w:val="es-ES_tradnl"/>
        </w:rPr>
        <w:t xml:space="preserve">, </w:t>
      </w:r>
      <w:r w:rsidR="00A365FB" w:rsidRPr="00D43C76">
        <w:rPr>
          <w:rFonts w:ascii="Cambria" w:hAnsi="Cambria"/>
          <w:lang w:val="es-ES_tradnl"/>
        </w:rPr>
        <w:t>el Estado</w:t>
      </w:r>
      <w:r w:rsidR="00690DCA" w:rsidRPr="00D43C76">
        <w:rPr>
          <w:rFonts w:ascii="Cambria" w:hAnsi="Cambria"/>
          <w:lang w:val="es-ES_tradnl"/>
        </w:rPr>
        <w:t xml:space="preserve"> </w:t>
      </w:r>
      <w:r w:rsidRPr="00D43C76">
        <w:rPr>
          <w:rFonts w:ascii="Cambria" w:hAnsi="Cambria"/>
          <w:lang w:val="es-ES_tradnl"/>
        </w:rPr>
        <w:t xml:space="preserve">señala que, aunque </w:t>
      </w:r>
      <w:r w:rsidR="007E65FB" w:rsidRPr="00D43C76">
        <w:rPr>
          <w:rFonts w:ascii="Cambria" w:hAnsi="Cambria"/>
          <w:lang w:val="es-ES_tradnl"/>
        </w:rPr>
        <w:t xml:space="preserve">T. B. </w:t>
      </w:r>
      <w:r w:rsidRPr="00D43C76">
        <w:rPr>
          <w:rFonts w:ascii="Cambria" w:hAnsi="Cambria"/>
          <w:lang w:val="es-ES_tradnl"/>
        </w:rPr>
        <w:t>y</w:t>
      </w:r>
      <w:r w:rsidR="000644B1" w:rsidRPr="00D43C76">
        <w:rPr>
          <w:rFonts w:ascii="Cambria" w:hAnsi="Cambria"/>
          <w:lang w:val="es-ES_tradnl"/>
        </w:rPr>
        <w:t xml:space="preserve"> </w:t>
      </w:r>
      <w:r w:rsidR="007E65FB" w:rsidRPr="00D43C76">
        <w:rPr>
          <w:rFonts w:ascii="Cambria" w:hAnsi="Cambria"/>
          <w:lang w:val="es-ES_tradnl"/>
        </w:rPr>
        <w:t xml:space="preserve">S. H. </w:t>
      </w:r>
      <w:r w:rsidR="00F22A78" w:rsidRPr="00D43C76">
        <w:rPr>
          <w:rFonts w:ascii="Cambria" w:hAnsi="Cambria"/>
          <w:lang w:val="es-ES_tradnl"/>
        </w:rPr>
        <w:t xml:space="preserve">efectuaron alegaciones con respecto al acceso a servicios de salud en establecimientos de salud pública, dichas alegaciones se refieren a la decisión de no acudir a los servicios de salud o no son específicas y no están respaldadas por pruebas. Por lo tanto, </w:t>
      </w:r>
      <w:r w:rsidR="00A365FB" w:rsidRPr="00D43C76">
        <w:rPr>
          <w:rFonts w:ascii="Cambria" w:hAnsi="Cambria"/>
          <w:lang w:val="es-ES_tradnl"/>
        </w:rPr>
        <w:t>la Comisión</w:t>
      </w:r>
      <w:r w:rsidR="000644B1" w:rsidRPr="00D43C76">
        <w:rPr>
          <w:rFonts w:ascii="Cambria" w:hAnsi="Cambria"/>
          <w:lang w:val="es-ES_tradnl"/>
        </w:rPr>
        <w:t xml:space="preserve"> </w:t>
      </w:r>
      <w:r w:rsidR="00F22A78" w:rsidRPr="00D43C76">
        <w:rPr>
          <w:rFonts w:ascii="Cambria" w:hAnsi="Cambria"/>
          <w:lang w:val="es-ES_tradnl"/>
        </w:rPr>
        <w:t>no debería llegar a una conclusión adversa con respecto a la responsabilidad d</w:t>
      </w:r>
      <w:r w:rsidR="00A365FB" w:rsidRPr="00D43C76">
        <w:rPr>
          <w:rFonts w:ascii="Cambria" w:hAnsi="Cambria"/>
          <w:lang w:val="es-ES_tradnl"/>
        </w:rPr>
        <w:t>el Estado</w:t>
      </w:r>
      <w:r w:rsidR="000644B1" w:rsidRPr="00D43C76">
        <w:rPr>
          <w:rFonts w:ascii="Cambria" w:hAnsi="Cambria"/>
          <w:lang w:val="es-ES_tradnl"/>
        </w:rPr>
        <w:t xml:space="preserve">. </w:t>
      </w:r>
    </w:p>
    <w:p w14:paraId="753EE8BA" w14:textId="77777777" w:rsidR="00AE1B48" w:rsidRPr="00D43C76" w:rsidRDefault="00AE1B48" w:rsidP="00AE1B48">
      <w:pPr>
        <w:pStyle w:val="ListParagraph"/>
        <w:rPr>
          <w:lang w:val="es-ES_tradnl"/>
        </w:rPr>
      </w:pPr>
    </w:p>
    <w:p w14:paraId="0973242E" w14:textId="77777777" w:rsidR="007668EC" w:rsidRPr="00D43C76" w:rsidRDefault="008B7949" w:rsidP="00CB5C32">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Estado sostiene que </w:t>
      </w:r>
      <w:r w:rsidR="00D30B57" w:rsidRPr="00D43C76">
        <w:rPr>
          <w:rFonts w:ascii="Cambria" w:hAnsi="Cambria"/>
          <w:lang w:val="es-ES_tradnl"/>
        </w:rPr>
        <w:t>la petición</w:t>
      </w:r>
      <w:r w:rsidR="00AE1B48" w:rsidRPr="00D43C76">
        <w:rPr>
          <w:rFonts w:ascii="Cambria" w:hAnsi="Cambria"/>
          <w:lang w:val="es-ES_tradnl"/>
        </w:rPr>
        <w:t xml:space="preserve"> </w:t>
      </w:r>
      <w:r w:rsidRPr="00D43C76">
        <w:rPr>
          <w:rFonts w:ascii="Cambria" w:hAnsi="Cambria"/>
          <w:lang w:val="es-ES_tradnl"/>
        </w:rPr>
        <w:t>es infundada porque no ha asumido ninguna obligación</w:t>
      </w:r>
      <w:r w:rsidR="002331ED" w:rsidRPr="00D43C76">
        <w:rPr>
          <w:rFonts w:ascii="Cambria" w:hAnsi="Cambria"/>
          <w:lang w:val="es-ES_tradnl"/>
        </w:rPr>
        <w:t xml:space="preserve"> </w:t>
      </w:r>
      <w:r w:rsidRPr="00D43C76">
        <w:rPr>
          <w:rFonts w:ascii="Cambria" w:hAnsi="Cambria"/>
          <w:lang w:val="es-ES_tradnl"/>
        </w:rPr>
        <w:t xml:space="preserve">en el ámbito </w:t>
      </w:r>
      <w:r w:rsidR="002331ED" w:rsidRPr="00D43C76">
        <w:rPr>
          <w:rFonts w:ascii="Cambria" w:hAnsi="Cambria"/>
          <w:lang w:val="es-ES_tradnl"/>
        </w:rPr>
        <w:t>internacional</w:t>
      </w:r>
      <w:r w:rsidR="00AE1B48" w:rsidRPr="00D43C76">
        <w:rPr>
          <w:rFonts w:ascii="Cambria" w:hAnsi="Cambria"/>
          <w:lang w:val="es-ES_tradnl"/>
        </w:rPr>
        <w:t xml:space="preserve"> </w:t>
      </w:r>
      <w:r w:rsidRPr="00D43C76">
        <w:rPr>
          <w:rFonts w:ascii="Cambria" w:hAnsi="Cambria"/>
          <w:lang w:val="es-ES_tradnl"/>
        </w:rPr>
        <w:t>de revocar el delito de sodomía y otros delitos similares</w:t>
      </w:r>
      <w:r w:rsidR="00AE1B48" w:rsidRPr="00D43C76">
        <w:rPr>
          <w:rFonts w:ascii="Cambria" w:hAnsi="Cambria"/>
          <w:lang w:val="es-ES_tradnl"/>
        </w:rPr>
        <w:t xml:space="preserve">. </w:t>
      </w:r>
      <w:r w:rsidRPr="00D43C76">
        <w:rPr>
          <w:rFonts w:ascii="Cambria" w:hAnsi="Cambria"/>
          <w:lang w:val="es-ES_tradnl"/>
        </w:rPr>
        <w:t xml:space="preserve">Afirma que </w:t>
      </w:r>
      <w:r w:rsidR="00AF725B" w:rsidRPr="00D43C76">
        <w:rPr>
          <w:rFonts w:ascii="Cambria" w:hAnsi="Cambria"/>
          <w:lang w:val="es-ES_tradnl"/>
        </w:rPr>
        <w:t xml:space="preserve">Jamaica </w:t>
      </w:r>
      <w:r w:rsidRPr="00D43C76">
        <w:rPr>
          <w:rFonts w:ascii="Cambria" w:hAnsi="Cambria"/>
          <w:lang w:val="es-ES_tradnl"/>
        </w:rPr>
        <w:t xml:space="preserve">no es parte de un tratado </w:t>
      </w:r>
      <w:r w:rsidR="009C41FF" w:rsidRPr="00D43C76">
        <w:rPr>
          <w:rFonts w:ascii="Cambria" w:hAnsi="Cambria"/>
          <w:lang w:val="es-ES_tradnl"/>
        </w:rPr>
        <w:t xml:space="preserve">u </w:t>
      </w:r>
      <w:r w:rsidRPr="00D43C76">
        <w:rPr>
          <w:rFonts w:ascii="Cambria" w:hAnsi="Cambria"/>
          <w:lang w:val="es-ES_tradnl"/>
        </w:rPr>
        <w:t>otro instrumento que prohíba específicamente la preservación del delito de sodomía y otros delitos similares y que no ha</w:t>
      </w:r>
      <w:r w:rsidR="009C41FF" w:rsidRPr="00D43C76">
        <w:rPr>
          <w:rFonts w:ascii="Cambria" w:hAnsi="Cambria"/>
          <w:lang w:val="es-ES_tradnl"/>
        </w:rPr>
        <w:t xml:space="preserve">y </w:t>
      </w:r>
      <w:r w:rsidRPr="00D43C76">
        <w:rPr>
          <w:rFonts w:ascii="Cambria" w:hAnsi="Cambria"/>
          <w:lang w:val="es-ES_tradnl"/>
        </w:rPr>
        <w:t xml:space="preserve">ninguna norma en el derecho consuetudinario que requiera la revocación del delito de sodomía. </w:t>
      </w:r>
      <w:r w:rsidR="00A365FB" w:rsidRPr="00D43C76">
        <w:rPr>
          <w:rFonts w:ascii="Cambria" w:hAnsi="Cambria"/>
          <w:lang w:val="es-ES_tradnl"/>
        </w:rPr>
        <w:t>El Estado</w:t>
      </w:r>
      <w:r w:rsidR="00AF725B" w:rsidRPr="00D43C76">
        <w:rPr>
          <w:rFonts w:ascii="Cambria" w:hAnsi="Cambria"/>
          <w:lang w:val="es-ES_tradnl"/>
        </w:rPr>
        <w:t xml:space="preserve"> </w:t>
      </w:r>
      <w:r w:rsidRPr="00D43C76">
        <w:rPr>
          <w:rFonts w:ascii="Cambria" w:hAnsi="Cambria"/>
          <w:lang w:val="es-ES_tradnl"/>
        </w:rPr>
        <w:t xml:space="preserve">señala que, en América Latina y el Caribe, hay nueve Estados que siguen tipificando como delitos la sodomía y actos similares y que </w:t>
      </w:r>
      <w:r w:rsidR="00AF725B" w:rsidRPr="00D43C76">
        <w:rPr>
          <w:rFonts w:ascii="Cambria" w:hAnsi="Cambria"/>
          <w:lang w:val="es-ES_tradnl"/>
        </w:rPr>
        <w:t xml:space="preserve">Jamaica </w:t>
      </w:r>
      <w:r w:rsidRPr="00D43C76">
        <w:rPr>
          <w:rFonts w:ascii="Cambria" w:hAnsi="Cambria"/>
          <w:lang w:val="es-ES_tradnl"/>
        </w:rPr>
        <w:t xml:space="preserve">es uno de </w:t>
      </w:r>
      <w:r w:rsidR="00AF725B" w:rsidRPr="00D43C76">
        <w:rPr>
          <w:rFonts w:ascii="Cambria" w:hAnsi="Cambria"/>
          <w:lang w:val="es-ES_tradnl"/>
        </w:rPr>
        <w:t xml:space="preserve">72 </w:t>
      </w:r>
      <w:r w:rsidRPr="00D43C76">
        <w:rPr>
          <w:rFonts w:ascii="Cambria" w:hAnsi="Cambria"/>
          <w:lang w:val="es-ES_tradnl"/>
        </w:rPr>
        <w:t xml:space="preserve">Estados, aproximadamente, de los </w:t>
      </w:r>
      <w:r w:rsidR="00AF725B" w:rsidRPr="00D43C76">
        <w:rPr>
          <w:rFonts w:ascii="Cambria" w:hAnsi="Cambria"/>
          <w:lang w:val="es-ES_tradnl"/>
        </w:rPr>
        <w:t xml:space="preserve">193 </w:t>
      </w:r>
      <w:r w:rsidRPr="00D43C76">
        <w:rPr>
          <w:rFonts w:ascii="Cambria" w:hAnsi="Cambria"/>
          <w:lang w:val="es-ES_tradnl"/>
        </w:rPr>
        <w:t xml:space="preserve">Estados de todo el mundo </w:t>
      </w:r>
      <w:r w:rsidR="00F17F09" w:rsidRPr="00D43C76">
        <w:rPr>
          <w:rFonts w:ascii="Cambria" w:hAnsi="Cambria"/>
          <w:lang w:val="es-ES_tradnl"/>
        </w:rPr>
        <w:t xml:space="preserve">donde </w:t>
      </w:r>
      <w:r w:rsidRPr="00D43C76">
        <w:rPr>
          <w:rFonts w:ascii="Cambria" w:hAnsi="Cambria"/>
          <w:lang w:val="es-ES_tradnl"/>
        </w:rPr>
        <w:t xml:space="preserve">se penalizan la sodomía y actos similares. Por otro lado, afirma que, si se pudiera argumentar que ha surgido una norma en el derecho consuetudinario de acuerdo con la cual es impermisible tipificar la sodomía como delito, </w:t>
      </w:r>
      <w:r w:rsidR="00EB7E24" w:rsidRPr="00D43C76">
        <w:rPr>
          <w:rFonts w:ascii="Cambria" w:hAnsi="Cambria"/>
          <w:lang w:val="es-ES_tradnl"/>
        </w:rPr>
        <w:t xml:space="preserve">Jamaica </w:t>
      </w:r>
      <w:r w:rsidRPr="00D43C76">
        <w:rPr>
          <w:rFonts w:ascii="Cambria" w:hAnsi="Cambria"/>
          <w:lang w:val="es-ES_tradnl"/>
        </w:rPr>
        <w:t xml:space="preserve">cumpliría los requisitos para ser considerado objetor persistente </w:t>
      </w:r>
      <w:r w:rsidR="00C4062A" w:rsidRPr="00D43C76">
        <w:rPr>
          <w:rFonts w:ascii="Cambria" w:hAnsi="Cambria"/>
          <w:lang w:val="es-ES_tradnl"/>
        </w:rPr>
        <w:t xml:space="preserve">frente a una presunta norma consuetudinaria de ese tipo. </w:t>
      </w:r>
      <w:r w:rsidR="007668EC" w:rsidRPr="00D43C76">
        <w:rPr>
          <w:rFonts w:ascii="Cambria" w:hAnsi="Cambria"/>
          <w:lang w:val="es-ES_tradnl"/>
        </w:rPr>
        <w:t xml:space="preserve">Jamaica </w:t>
      </w:r>
      <w:r w:rsidR="00C4062A" w:rsidRPr="00D43C76">
        <w:rPr>
          <w:rFonts w:ascii="Cambria" w:hAnsi="Cambria"/>
          <w:lang w:val="es-ES_tradnl"/>
        </w:rPr>
        <w:t>siempre se ha opuesto y continúa oponiéndose a toda supuesta</w:t>
      </w:r>
      <w:r w:rsidR="007668EC" w:rsidRPr="00D43C76">
        <w:rPr>
          <w:rFonts w:ascii="Cambria" w:hAnsi="Cambria"/>
          <w:lang w:val="es-ES_tradnl"/>
        </w:rPr>
        <w:t xml:space="preserve"> </w:t>
      </w:r>
      <w:r w:rsidR="002331ED" w:rsidRPr="00D43C76">
        <w:rPr>
          <w:rFonts w:ascii="Cambria" w:hAnsi="Cambria"/>
          <w:lang w:val="es-ES_tradnl"/>
        </w:rPr>
        <w:t>obligación internacional</w:t>
      </w:r>
      <w:r w:rsidR="007668EC" w:rsidRPr="00D43C76">
        <w:rPr>
          <w:rFonts w:ascii="Cambria" w:hAnsi="Cambria"/>
          <w:lang w:val="es-ES_tradnl"/>
        </w:rPr>
        <w:t xml:space="preserve"> </w:t>
      </w:r>
      <w:r w:rsidR="00C4062A" w:rsidRPr="00D43C76">
        <w:rPr>
          <w:rFonts w:ascii="Cambria" w:hAnsi="Cambria"/>
          <w:lang w:val="es-ES_tradnl"/>
        </w:rPr>
        <w:t xml:space="preserve">de </w:t>
      </w:r>
      <w:r w:rsidR="00F17F09" w:rsidRPr="00D43C76">
        <w:rPr>
          <w:rFonts w:ascii="Cambria" w:hAnsi="Cambria"/>
          <w:lang w:val="es-ES_tradnl"/>
        </w:rPr>
        <w:t xml:space="preserve">revocar </w:t>
      </w:r>
      <w:r w:rsidR="00C4062A" w:rsidRPr="00D43C76">
        <w:rPr>
          <w:rFonts w:ascii="Cambria" w:hAnsi="Cambria"/>
          <w:lang w:val="es-ES_tradnl"/>
        </w:rPr>
        <w:t>el delito de sodomía.</w:t>
      </w:r>
    </w:p>
    <w:p w14:paraId="213FAEE3" w14:textId="77777777" w:rsidR="00CB5C32" w:rsidRPr="00D43C76" w:rsidRDefault="00CB5C32" w:rsidP="00D12D6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_tradnl"/>
        </w:rPr>
      </w:pPr>
    </w:p>
    <w:p w14:paraId="2324FA75" w14:textId="77777777" w:rsidR="002F0198" w:rsidRPr="00D43C76" w:rsidRDefault="00BA36E3" w:rsidP="002F0198">
      <w:pPr>
        <w:pStyle w:val="Heading1"/>
        <w:spacing w:before="0"/>
        <w:ind w:left="360"/>
        <w:rPr>
          <w:color w:val="auto"/>
          <w:sz w:val="20"/>
          <w:szCs w:val="20"/>
          <w:lang w:val="es-ES_tradnl"/>
        </w:rPr>
      </w:pPr>
      <w:bookmarkStart w:id="6" w:name="_Toc58491231"/>
      <w:r w:rsidRPr="00D43C76">
        <w:rPr>
          <w:color w:val="auto"/>
          <w:sz w:val="20"/>
          <w:szCs w:val="20"/>
          <w:lang w:val="es-ES_tradnl"/>
        </w:rPr>
        <w:t>AN</w:t>
      </w:r>
      <w:r w:rsidR="00737C1B" w:rsidRPr="00D43C76">
        <w:rPr>
          <w:color w:val="auto"/>
          <w:sz w:val="20"/>
          <w:szCs w:val="20"/>
          <w:lang w:val="es-ES_tradnl"/>
        </w:rPr>
        <w:t xml:space="preserve">ÁLISIS DE LA </w:t>
      </w:r>
      <w:r w:rsidR="00851B40" w:rsidRPr="00D43C76">
        <w:rPr>
          <w:color w:val="auto"/>
          <w:sz w:val="20"/>
          <w:szCs w:val="20"/>
          <w:lang w:val="es-ES_tradnl"/>
        </w:rPr>
        <w:t>ADMISIBILIDAD</w:t>
      </w:r>
      <w:bookmarkEnd w:id="6"/>
      <w:r w:rsidRPr="00D43C76">
        <w:rPr>
          <w:color w:val="auto"/>
          <w:sz w:val="20"/>
          <w:szCs w:val="20"/>
          <w:lang w:val="es-ES_tradnl"/>
        </w:rPr>
        <w:t xml:space="preserve"> </w:t>
      </w:r>
    </w:p>
    <w:p w14:paraId="5CA912A0" w14:textId="77777777" w:rsidR="002F0198" w:rsidRPr="00D43C76" w:rsidRDefault="002F0198" w:rsidP="002F0198">
      <w:pPr>
        <w:rPr>
          <w:lang w:val="es-ES_tradnl"/>
        </w:rPr>
      </w:pPr>
    </w:p>
    <w:p w14:paraId="5D3C5FD6" w14:textId="77777777" w:rsidR="002F0198" w:rsidRPr="00D43C76" w:rsidRDefault="002F0198" w:rsidP="00AC59B4">
      <w:pPr>
        <w:pStyle w:val="Heading2"/>
        <w:keepNext w:val="0"/>
        <w:keepLines w:val="0"/>
        <w:numPr>
          <w:ilvl w:val="0"/>
          <w:numId w:val="68"/>
        </w:numPr>
        <w:spacing w:before="0"/>
        <w:ind w:left="360"/>
        <w:jc w:val="both"/>
        <w:rPr>
          <w:color w:val="auto"/>
          <w:sz w:val="20"/>
          <w:lang w:val="es-ES_tradnl"/>
        </w:rPr>
      </w:pPr>
      <w:bookmarkStart w:id="7" w:name="_Toc413687816"/>
      <w:bookmarkStart w:id="8" w:name="_Toc447208868"/>
      <w:bookmarkStart w:id="9" w:name="_Toc447213174"/>
      <w:bookmarkStart w:id="10" w:name="_Toc475546041"/>
      <w:bookmarkStart w:id="11" w:name="_Toc489111548"/>
      <w:bookmarkStart w:id="12" w:name="_Toc23349330"/>
      <w:bookmarkStart w:id="13" w:name="_Toc58491232"/>
      <w:r w:rsidRPr="00D43C76">
        <w:rPr>
          <w:color w:val="auto"/>
          <w:sz w:val="20"/>
          <w:lang w:val="es-ES_tradnl"/>
        </w:rPr>
        <w:t>Competenc</w:t>
      </w:r>
      <w:r w:rsidR="00737C1B" w:rsidRPr="00D43C76">
        <w:rPr>
          <w:color w:val="auto"/>
          <w:sz w:val="20"/>
          <w:lang w:val="es-ES_tradnl"/>
        </w:rPr>
        <w:t>ia</w:t>
      </w:r>
      <w:r w:rsidRPr="00D43C76">
        <w:rPr>
          <w:color w:val="auto"/>
          <w:sz w:val="20"/>
          <w:lang w:val="es-ES_tradnl"/>
        </w:rPr>
        <w:t xml:space="preserve"> </w:t>
      </w:r>
      <w:r w:rsidRPr="00D43C76">
        <w:rPr>
          <w:i/>
          <w:color w:val="auto"/>
          <w:sz w:val="20"/>
          <w:lang w:val="es-ES_tradnl"/>
        </w:rPr>
        <w:t>ratione materiae</w:t>
      </w:r>
      <w:r w:rsidRPr="00D43C76">
        <w:rPr>
          <w:color w:val="auto"/>
          <w:sz w:val="20"/>
          <w:lang w:val="es-ES_tradnl"/>
        </w:rPr>
        <w:t xml:space="preserve">, </w:t>
      </w:r>
      <w:r w:rsidRPr="00D43C76">
        <w:rPr>
          <w:i/>
          <w:color w:val="auto"/>
          <w:sz w:val="20"/>
          <w:lang w:val="es-ES_tradnl"/>
        </w:rPr>
        <w:t>ratione personae</w:t>
      </w:r>
      <w:r w:rsidRPr="00D43C76">
        <w:rPr>
          <w:color w:val="auto"/>
          <w:sz w:val="20"/>
          <w:lang w:val="es-ES_tradnl"/>
        </w:rPr>
        <w:t xml:space="preserve">, </w:t>
      </w:r>
      <w:r w:rsidRPr="00D43C76">
        <w:rPr>
          <w:i/>
          <w:color w:val="auto"/>
          <w:sz w:val="20"/>
          <w:lang w:val="es-ES_tradnl"/>
        </w:rPr>
        <w:t xml:space="preserve">ratione temporis </w:t>
      </w:r>
      <w:r w:rsidR="00737C1B" w:rsidRPr="00D43C76">
        <w:rPr>
          <w:color w:val="auto"/>
          <w:sz w:val="20"/>
          <w:lang w:val="es-ES_tradnl"/>
        </w:rPr>
        <w:t>y</w:t>
      </w:r>
      <w:r w:rsidRPr="00D43C76">
        <w:rPr>
          <w:color w:val="auto"/>
          <w:sz w:val="20"/>
          <w:lang w:val="es-ES_tradnl"/>
        </w:rPr>
        <w:t xml:space="preserve"> </w:t>
      </w:r>
      <w:r w:rsidRPr="00D43C76">
        <w:rPr>
          <w:i/>
          <w:color w:val="auto"/>
          <w:sz w:val="20"/>
          <w:lang w:val="es-ES_tradnl"/>
        </w:rPr>
        <w:t>ratione loci</w:t>
      </w:r>
      <w:bookmarkEnd w:id="7"/>
      <w:bookmarkEnd w:id="8"/>
      <w:bookmarkEnd w:id="9"/>
      <w:bookmarkEnd w:id="10"/>
      <w:bookmarkEnd w:id="11"/>
      <w:bookmarkEnd w:id="12"/>
      <w:r w:rsidR="00737C1B" w:rsidRPr="00D43C76">
        <w:rPr>
          <w:color w:val="auto"/>
          <w:sz w:val="20"/>
          <w:lang w:val="es-ES_tradnl"/>
        </w:rPr>
        <w:t xml:space="preserve"> de la Comisión</w:t>
      </w:r>
      <w:bookmarkEnd w:id="13"/>
    </w:p>
    <w:p w14:paraId="70357B2B" w14:textId="77777777" w:rsidR="00242663" w:rsidRPr="00D43C76" w:rsidRDefault="00242663" w:rsidP="00242663">
      <w:pPr>
        <w:pStyle w:val="parrafos"/>
        <w:rPr>
          <w:lang w:val="es-ES_tradnl"/>
        </w:rPr>
      </w:pPr>
    </w:p>
    <w:p w14:paraId="4EC30613" w14:textId="77777777" w:rsidR="00A93A6E" w:rsidRPr="00D43C76" w:rsidRDefault="00C52B08" w:rsidP="00784AF8">
      <w:pPr>
        <w:pStyle w:val="parrafos"/>
        <w:numPr>
          <w:ilvl w:val="0"/>
          <w:numId w:val="57"/>
        </w:numPr>
        <w:tabs>
          <w:tab w:val="clear" w:pos="1080"/>
          <w:tab w:val="left" w:pos="720"/>
        </w:tabs>
        <w:ind w:left="0" w:firstLine="0"/>
        <w:rPr>
          <w:lang w:val="es-ES_tradnl"/>
        </w:rPr>
      </w:pPr>
      <w:r w:rsidRPr="00D43C76">
        <w:rPr>
          <w:lang w:val="es-ES_tradnl"/>
        </w:rPr>
        <w:t xml:space="preserve">Con respecto a la </w:t>
      </w:r>
      <w:r w:rsidR="00A93A6E" w:rsidRPr="00D43C76">
        <w:rPr>
          <w:lang w:val="es-ES_tradnl"/>
        </w:rPr>
        <w:t>competenc</w:t>
      </w:r>
      <w:r w:rsidRPr="00D43C76">
        <w:rPr>
          <w:lang w:val="es-ES_tradnl"/>
        </w:rPr>
        <w:t>ia</w:t>
      </w:r>
      <w:r w:rsidR="00A93A6E" w:rsidRPr="00D43C76">
        <w:rPr>
          <w:lang w:val="es-ES_tradnl"/>
        </w:rPr>
        <w:t xml:space="preserve"> </w:t>
      </w:r>
      <w:r w:rsidR="00A93A6E" w:rsidRPr="00D43C76">
        <w:rPr>
          <w:i/>
          <w:lang w:val="es-ES_tradnl"/>
        </w:rPr>
        <w:t>ratione personae</w:t>
      </w:r>
      <w:r w:rsidR="00A93A6E" w:rsidRPr="00D43C76">
        <w:rPr>
          <w:lang w:val="es-ES_tradnl"/>
        </w:rPr>
        <w:t xml:space="preserve">, </w:t>
      </w:r>
      <w:r w:rsidR="00A365FB" w:rsidRPr="00D43C76">
        <w:rPr>
          <w:lang w:val="es-ES_tradnl"/>
        </w:rPr>
        <w:t>la Comisión</w:t>
      </w:r>
      <w:r w:rsidR="001448F7" w:rsidRPr="00D43C76">
        <w:rPr>
          <w:lang w:val="es-ES_tradnl"/>
        </w:rPr>
        <w:t xml:space="preserve"> </w:t>
      </w:r>
      <w:r w:rsidRPr="00D43C76">
        <w:rPr>
          <w:lang w:val="es-ES_tradnl"/>
        </w:rPr>
        <w:t xml:space="preserve">observa que </w:t>
      </w:r>
      <w:r w:rsidR="00A365FB" w:rsidRPr="00D43C76">
        <w:rPr>
          <w:lang w:val="es-ES_tradnl"/>
        </w:rPr>
        <w:t>el Estado</w:t>
      </w:r>
      <w:r w:rsidR="00784AF8" w:rsidRPr="00D43C76">
        <w:rPr>
          <w:lang w:val="es-ES_tradnl"/>
        </w:rPr>
        <w:t xml:space="preserve"> argu</w:t>
      </w:r>
      <w:r w:rsidRPr="00D43C76">
        <w:rPr>
          <w:lang w:val="es-ES_tradnl"/>
        </w:rPr>
        <w:t xml:space="preserve">mentó que </w:t>
      </w:r>
      <w:r w:rsidR="00A365FB" w:rsidRPr="00D43C76">
        <w:rPr>
          <w:lang w:val="es-ES_tradnl"/>
        </w:rPr>
        <w:t>la Comisión</w:t>
      </w:r>
      <w:r w:rsidR="00784AF8" w:rsidRPr="00D43C76">
        <w:rPr>
          <w:lang w:val="es-ES_tradnl"/>
        </w:rPr>
        <w:t xml:space="preserve"> </w:t>
      </w:r>
      <w:r w:rsidRPr="00D43C76">
        <w:rPr>
          <w:lang w:val="es-ES_tradnl"/>
        </w:rPr>
        <w:t xml:space="preserve">no tiene competencia porque ni </w:t>
      </w:r>
      <w:r w:rsidR="007E65FB" w:rsidRPr="00D43C76">
        <w:rPr>
          <w:rFonts w:ascii="Cambria" w:hAnsi="Cambria"/>
          <w:lang w:val="es-ES_tradnl"/>
        </w:rPr>
        <w:t xml:space="preserve">T. B. </w:t>
      </w:r>
      <w:r w:rsidRPr="00D43C76">
        <w:rPr>
          <w:rFonts w:ascii="Cambria" w:hAnsi="Cambria"/>
          <w:lang w:val="es-ES_tradnl"/>
        </w:rPr>
        <w:t xml:space="preserve">ni </w:t>
      </w:r>
      <w:r w:rsidR="007E65FB" w:rsidRPr="00D43C76">
        <w:rPr>
          <w:rFonts w:ascii="Cambria" w:hAnsi="Cambria"/>
          <w:lang w:val="es-ES_tradnl"/>
        </w:rPr>
        <w:t xml:space="preserve">S. H. </w:t>
      </w:r>
      <w:r w:rsidR="00553D72" w:rsidRPr="00D43C76">
        <w:rPr>
          <w:rFonts w:ascii="Cambria" w:hAnsi="Cambria"/>
          <w:lang w:val="es-ES_tradnl"/>
        </w:rPr>
        <w:t>ha</w:t>
      </w:r>
      <w:r w:rsidRPr="00D43C76">
        <w:rPr>
          <w:rFonts w:ascii="Cambria" w:hAnsi="Cambria"/>
          <w:lang w:val="es-ES_tradnl"/>
        </w:rPr>
        <w:t xml:space="preserve">n sido objeto de una investigación o un juicio penal por haber participado en actos abarcados por los artículos </w:t>
      </w:r>
      <w:r w:rsidR="00553D72" w:rsidRPr="00D43C76">
        <w:rPr>
          <w:rFonts w:ascii="Cambria" w:hAnsi="Cambria"/>
          <w:lang w:val="es-ES_tradnl"/>
        </w:rPr>
        <w:t xml:space="preserve">76, 77 o 79 </w:t>
      </w:r>
      <w:r w:rsidRPr="00D43C76">
        <w:rPr>
          <w:rFonts w:ascii="Cambria" w:hAnsi="Cambria"/>
          <w:lang w:val="es-ES_tradnl"/>
        </w:rPr>
        <w:t xml:space="preserve">de la </w:t>
      </w:r>
      <w:r w:rsidR="00EB0856" w:rsidRPr="00D43C76">
        <w:rPr>
          <w:rFonts w:ascii="Cambria" w:hAnsi="Cambria"/>
          <w:lang w:val="es-ES_tradnl"/>
        </w:rPr>
        <w:t>Ley de Delitos contra la Persona</w:t>
      </w:r>
      <w:r w:rsidR="00784AF8" w:rsidRPr="00D43C76">
        <w:rPr>
          <w:rFonts w:ascii="Cambria" w:hAnsi="Cambria"/>
          <w:lang w:val="es-ES_tradnl"/>
        </w:rPr>
        <w:t xml:space="preserve">. </w:t>
      </w:r>
      <w:r w:rsidRPr="00D43C76">
        <w:rPr>
          <w:rFonts w:ascii="Cambria" w:hAnsi="Cambria"/>
          <w:lang w:val="es-ES_tradnl"/>
        </w:rPr>
        <w:t>En ese sentido</w:t>
      </w:r>
      <w:r w:rsidR="00784AF8" w:rsidRPr="00D43C76">
        <w:rPr>
          <w:rFonts w:ascii="Cambria" w:hAnsi="Cambria"/>
          <w:lang w:val="es-ES_tradnl"/>
        </w:rPr>
        <w:t xml:space="preserve">, </w:t>
      </w:r>
      <w:r w:rsidR="00A365FB" w:rsidRPr="00D43C76">
        <w:rPr>
          <w:rFonts w:ascii="Cambria" w:hAnsi="Cambria"/>
          <w:lang w:val="es-ES_tradnl"/>
        </w:rPr>
        <w:t>la CIDH</w:t>
      </w:r>
      <w:r w:rsidR="00784AF8" w:rsidRPr="00D43C76">
        <w:rPr>
          <w:rFonts w:ascii="Cambria" w:hAnsi="Cambria"/>
          <w:lang w:val="es-ES_tradnl"/>
        </w:rPr>
        <w:t xml:space="preserve"> rec</w:t>
      </w:r>
      <w:r w:rsidRPr="00D43C76">
        <w:rPr>
          <w:rFonts w:ascii="Cambria" w:hAnsi="Cambria"/>
          <w:lang w:val="es-ES_tradnl"/>
        </w:rPr>
        <w:t xml:space="preserve">uerda que </w:t>
      </w:r>
      <w:r w:rsidR="00BD169F" w:rsidRPr="00D43C76">
        <w:rPr>
          <w:rFonts w:ascii="Cambria" w:hAnsi="Cambria"/>
          <w:lang w:val="es-ES_tradnl"/>
        </w:rPr>
        <w:t>la peticionaria</w:t>
      </w:r>
      <w:r w:rsidR="00784AF8" w:rsidRPr="00D43C76">
        <w:rPr>
          <w:rFonts w:ascii="Cambria" w:hAnsi="Cambria"/>
          <w:lang w:val="es-ES_tradnl"/>
        </w:rPr>
        <w:t xml:space="preserve"> </w:t>
      </w:r>
      <w:r w:rsidRPr="00D43C76">
        <w:rPr>
          <w:rFonts w:ascii="Cambria" w:hAnsi="Cambria"/>
          <w:lang w:val="es-ES_tradnl"/>
        </w:rPr>
        <w:t xml:space="preserve">afirma que la existencia de dicha ley permite la violación de varios de los derechos </w:t>
      </w:r>
      <w:r w:rsidR="00784AF8" w:rsidRPr="00D43C76">
        <w:rPr>
          <w:rFonts w:ascii="Cambria" w:hAnsi="Cambria"/>
          <w:lang w:val="es-ES_tradnl"/>
        </w:rPr>
        <w:t>individual</w:t>
      </w:r>
      <w:r w:rsidRPr="00D43C76">
        <w:rPr>
          <w:rFonts w:ascii="Cambria" w:hAnsi="Cambria"/>
          <w:lang w:val="es-ES_tradnl"/>
        </w:rPr>
        <w:t xml:space="preserve">es amparados por </w:t>
      </w:r>
      <w:r w:rsidR="00845E02" w:rsidRPr="00D43C76">
        <w:rPr>
          <w:rFonts w:ascii="Cambria" w:hAnsi="Cambria"/>
          <w:lang w:val="es-ES_tradnl"/>
        </w:rPr>
        <w:t>la Convención</w:t>
      </w:r>
      <w:r w:rsidR="00784AF8" w:rsidRPr="00D43C76">
        <w:rPr>
          <w:rFonts w:ascii="Cambria" w:hAnsi="Cambria"/>
          <w:lang w:val="es-ES_tradnl"/>
        </w:rPr>
        <w:t xml:space="preserve">. </w:t>
      </w:r>
      <w:r w:rsidRPr="00D43C76">
        <w:rPr>
          <w:rFonts w:ascii="Cambria" w:hAnsi="Cambria"/>
          <w:lang w:val="es-ES_tradnl"/>
        </w:rPr>
        <w:t xml:space="preserve">En vista de que, de acuerdo con el artículo 44 de la Convención, </w:t>
      </w:r>
      <w:r w:rsidR="00BD169F" w:rsidRPr="00D43C76">
        <w:rPr>
          <w:rFonts w:ascii="Cambria" w:hAnsi="Cambria"/>
          <w:lang w:val="es-ES_tradnl"/>
        </w:rPr>
        <w:t>la peticionaria</w:t>
      </w:r>
      <w:r w:rsidR="00784AF8" w:rsidRPr="00D43C76">
        <w:rPr>
          <w:rFonts w:ascii="Cambria" w:hAnsi="Cambria"/>
          <w:lang w:val="es-ES_tradnl"/>
        </w:rPr>
        <w:t xml:space="preserve"> </w:t>
      </w:r>
      <w:r w:rsidRPr="00D43C76">
        <w:rPr>
          <w:rFonts w:ascii="Cambria" w:hAnsi="Cambria"/>
          <w:lang w:val="es-ES_tradnl"/>
        </w:rPr>
        <w:t>puede</w:t>
      </w:r>
      <w:r w:rsidR="00784AF8" w:rsidRPr="00D43C76">
        <w:rPr>
          <w:rFonts w:ascii="Cambria" w:hAnsi="Cambria"/>
          <w:lang w:val="es-ES_tradnl"/>
        </w:rPr>
        <w:t xml:space="preserve"> </w:t>
      </w:r>
      <w:r w:rsidRPr="00D43C76">
        <w:rPr>
          <w:rFonts w:ascii="Cambria" w:hAnsi="Cambria"/>
          <w:lang w:val="es-ES_tradnl"/>
        </w:rPr>
        <w:t xml:space="preserve">presentar quejas y que </w:t>
      </w:r>
      <w:r w:rsidR="009A0AE8" w:rsidRPr="00D43C76">
        <w:rPr>
          <w:rFonts w:ascii="Cambria" w:hAnsi="Cambria"/>
          <w:lang w:val="es-ES_tradnl"/>
        </w:rPr>
        <w:t>las presuntas víctimas</w:t>
      </w:r>
      <w:r w:rsidR="002F0198" w:rsidRPr="00D43C76">
        <w:rPr>
          <w:lang w:val="es-ES_tradnl"/>
        </w:rPr>
        <w:t xml:space="preserve"> </w:t>
      </w:r>
      <w:r w:rsidRPr="00D43C76">
        <w:rPr>
          <w:lang w:val="es-ES_tradnl"/>
        </w:rPr>
        <w:t>son personas que se encontraban bajo la jurisdicción del Estado jamaiquino cuando se produjeron los actos alegados</w:t>
      </w:r>
      <w:r w:rsidR="00784AF8" w:rsidRPr="00D43C76">
        <w:rPr>
          <w:lang w:val="es-ES_tradnl"/>
        </w:rPr>
        <w:t xml:space="preserve">, </w:t>
      </w:r>
      <w:r w:rsidR="00A365FB" w:rsidRPr="00D43C76">
        <w:rPr>
          <w:lang w:val="es-ES_tradnl"/>
        </w:rPr>
        <w:t>la Comisión</w:t>
      </w:r>
      <w:r w:rsidR="002F0198" w:rsidRPr="00D43C76">
        <w:rPr>
          <w:lang w:val="es-ES_tradnl"/>
        </w:rPr>
        <w:t xml:space="preserve"> </w:t>
      </w:r>
      <w:r w:rsidRPr="00D43C76">
        <w:rPr>
          <w:lang w:val="es-ES_tradnl"/>
        </w:rPr>
        <w:t xml:space="preserve">tiene competencia </w:t>
      </w:r>
      <w:r w:rsidR="002F0198" w:rsidRPr="00D43C76">
        <w:rPr>
          <w:i/>
          <w:lang w:val="es-ES_tradnl"/>
        </w:rPr>
        <w:t>ratione personae</w:t>
      </w:r>
      <w:r w:rsidR="002F0198" w:rsidRPr="00D43C76">
        <w:rPr>
          <w:lang w:val="es-ES_tradnl"/>
        </w:rPr>
        <w:t xml:space="preserve"> </w:t>
      </w:r>
      <w:r w:rsidRPr="00D43C76">
        <w:rPr>
          <w:lang w:val="es-ES_tradnl"/>
        </w:rPr>
        <w:t>para</w:t>
      </w:r>
      <w:r w:rsidR="002F0198" w:rsidRPr="00D43C76">
        <w:rPr>
          <w:lang w:val="es-ES_tradnl"/>
        </w:rPr>
        <w:t xml:space="preserve"> consider</w:t>
      </w:r>
      <w:r w:rsidRPr="00D43C76">
        <w:rPr>
          <w:lang w:val="es-ES_tradnl"/>
        </w:rPr>
        <w:t>ar</w:t>
      </w:r>
      <w:r w:rsidR="002F0198" w:rsidRPr="00D43C76">
        <w:rPr>
          <w:lang w:val="es-ES_tradnl"/>
        </w:rPr>
        <w:t xml:space="preserve"> </w:t>
      </w:r>
      <w:r w:rsidR="00D30B57" w:rsidRPr="00D43C76">
        <w:rPr>
          <w:lang w:val="es-ES_tradnl"/>
        </w:rPr>
        <w:t>la petición</w:t>
      </w:r>
      <w:r w:rsidR="002F0198" w:rsidRPr="00D43C76">
        <w:rPr>
          <w:lang w:val="es-ES_tradnl"/>
        </w:rPr>
        <w:t xml:space="preserve">. </w:t>
      </w:r>
      <w:r w:rsidR="00246179" w:rsidRPr="00D43C76">
        <w:rPr>
          <w:lang w:val="es-ES_tradnl"/>
        </w:rPr>
        <w:t>Asimismo, l</w:t>
      </w:r>
      <w:r w:rsidR="00A365FB" w:rsidRPr="00D43C76">
        <w:rPr>
          <w:lang w:val="es-ES_tradnl"/>
        </w:rPr>
        <w:t>a Comisión</w:t>
      </w:r>
      <w:r w:rsidR="002F0198" w:rsidRPr="00D43C76">
        <w:rPr>
          <w:lang w:val="es-ES_tradnl"/>
        </w:rPr>
        <w:t xml:space="preserve"> </w:t>
      </w:r>
      <w:r w:rsidRPr="00D43C76">
        <w:rPr>
          <w:lang w:val="es-ES_tradnl"/>
        </w:rPr>
        <w:t xml:space="preserve">tiene competencia </w:t>
      </w:r>
      <w:r w:rsidR="002F0198" w:rsidRPr="00D43C76">
        <w:rPr>
          <w:i/>
          <w:lang w:val="es-ES_tradnl"/>
        </w:rPr>
        <w:t>ratione loci</w:t>
      </w:r>
      <w:r w:rsidR="002F0198" w:rsidRPr="00D43C76">
        <w:rPr>
          <w:lang w:val="es-ES_tradnl"/>
        </w:rPr>
        <w:t xml:space="preserve"> </w:t>
      </w:r>
      <w:r w:rsidRPr="00D43C76">
        <w:rPr>
          <w:lang w:val="es-ES_tradnl"/>
        </w:rPr>
        <w:t xml:space="preserve">para considerar </w:t>
      </w:r>
      <w:r w:rsidR="00D30B57" w:rsidRPr="00D43C76">
        <w:rPr>
          <w:lang w:val="es-ES_tradnl"/>
        </w:rPr>
        <w:t>la petición</w:t>
      </w:r>
      <w:r w:rsidR="002F0198" w:rsidRPr="00D43C76">
        <w:rPr>
          <w:lang w:val="es-ES_tradnl"/>
        </w:rPr>
        <w:t xml:space="preserve"> </w:t>
      </w:r>
      <w:r w:rsidRPr="00D43C76">
        <w:rPr>
          <w:lang w:val="es-ES_tradnl"/>
        </w:rPr>
        <w:t xml:space="preserve">porque en ella se alegan violaciones de </w:t>
      </w:r>
      <w:r w:rsidR="00845E02" w:rsidRPr="00D43C76">
        <w:rPr>
          <w:lang w:val="es-ES_tradnl"/>
        </w:rPr>
        <w:t>la Convención</w:t>
      </w:r>
      <w:r w:rsidR="002F0198" w:rsidRPr="00D43C76">
        <w:rPr>
          <w:lang w:val="es-ES_tradnl"/>
        </w:rPr>
        <w:t xml:space="preserve"> </w:t>
      </w:r>
      <w:r w:rsidRPr="00D43C76">
        <w:rPr>
          <w:lang w:val="es-ES_tradnl"/>
        </w:rPr>
        <w:t xml:space="preserve">que presuntamente tuvieron lugar en el territorio de un Estado parte de </w:t>
      </w:r>
      <w:r w:rsidR="00246179" w:rsidRPr="00D43C76">
        <w:rPr>
          <w:lang w:val="es-ES_tradnl"/>
        </w:rPr>
        <w:t>dicho instrumento</w:t>
      </w:r>
      <w:r w:rsidRPr="00D43C76">
        <w:rPr>
          <w:lang w:val="es-ES_tradnl"/>
        </w:rPr>
        <w:t>.</w:t>
      </w:r>
      <w:r w:rsidR="002F0198" w:rsidRPr="00D43C76">
        <w:rPr>
          <w:lang w:val="es-ES_tradnl"/>
        </w:rPr>
        <w:t xml:space="preserve"> </w:t>
      </w:r>
      <w:r w:rsidR="00A365FB" w:rsidRPr="00D43C76">
        <w:rPr>
          <w:lang w:val="es-ES_tradnl"/>
        </w:rPr>
        <w:t>La CIDH</w:t>
      </w:r>
      <w:r w:rsidR="002F0198" w:rsidRPr="00D43C76">
        <w:rPr>
          <w:lang w:val="es-ES_tradnl"/>
        </w:rPr>
        <w:t xml:space="preserve"> </w:t>
      </w:r>
      <w:r w:rsidRPr="00D43C76">
        <w:rPr>
          <w:lang w:val="es-ES_tradnl"/>
        </w:rPr>
        <w:t xml:space="preserve">tiene </w:t>
      </w:r>
      <w:r w:rsidR="002F0198" w:rsidRPr="00D43C76">
        <w:rPr>
          <w:lang w:val="es-ES_tradnl"/>
        </w:rPr>
        <w:lastRenderedPageBreak/>
        <w:t>competenc</w:t>
      </w:r>
      <w:r w:rsidRPr="00D43C76">
        <w:rPr>
          <w:lang w:val="es-ES_tradnl"/>
        </w:rPr>
        <w:t>ia</w:t>
      </w:r>
      <w:r w:rsidR="002F0198" w:rsidRPr="00D43C76">
        <w:rPr>
          <w:lang w:val="es-ES_tradnl"/>
        </w:rPr>
        <w:t xml:space="preserve"> </w:t>
      </w:r>
      <w:r w:rsidR="002F0198" w:rsidRPr="00D43C76">
        <w:rPr>
          <w:rFonts w:cs="Calibri"/>
          <w:i/>
          <w:lang w:val="es-ES_tradnl"/>
        </w:rPr>
        <w:t>ratione temporis</w:t>
      </w:r>
      <w:r w:rsidR="002F0198" w:rsidRPr="00D43C76">
        <w:rPr>
          <w:rFonts w:cs="Calibri"/>
          <w:lang w:val="es-ES_tradnl"/>
        </w:rPr>
        <w:t xml:space="preserve"> </w:t>
      </w:r>
      <w:r w:rsidRPr="00D43C76">
        <w:rPr>
          <w:rFonts w:cs="Calibri"/>
          <w:lang w:val="es-ES_tradnl"/>
        </w:rPr>
        <w:t>porque</w:t>
      </w:r>
      <w:r w:rsidR="002F0198" w:rsidRPr="00D43C76">
        <w:rPr>
          <w:rFonts w:cs="Calibri"/>
          <w:lang w:val="es-ES_tradnl"/>
        </w:rPr>
        <w:t xml:space="preserve"> Jamaica ratifi</w:t>
      </w:r>
      <w:r w:rsidRPr="00D43C76">
        <w:rPr>
          <w:rFonts w:cs="Calibri"/>
          <w:lang w:val="es-ES_tradnl"/>
        </w:rPr>
        <w:t xml:space="preserve">có </w:t>
      </w:r>
      <w:r w:rsidR="00845E02" w:rsidRPr="00D43C76">
        <w:rPr>
          <w:rFonts w:cs="Calibri"/>
          <w:lang w:val="es-ES_tradnl"/>
        </w:rPr>
        <w:t xml:space="preserve">la Convención </w:t>
      </w:r>
      <w:r w:rsidRPr="00D43C76">
        <w:rPr>
          <w:rFonts w:cs="Calibri"/>
          <w:lang w:val="es-ES_tradnl"/>
        </w:rPr>
        <w:t xml:space="preserve">y depositó el instrumento de ratificación el </w:t>
      </w:r>
      <w:r w:rsidR="002F0198" w:rsidRPr="00D43C76">
        <w:rPr>
          <w:rFonts w:cs="Calibri"/>
          <w:lang w:val="es-ES_tradnl"/>
        </w:rPr>
        <w:t>7</w:t>
      </w:r>
      <w:r w:rsidRPr="00D43C76">
        <w:rPr>
          <w:rFonts w:cs="Calibri"/>
          <w:lang w:val="es-ES_tradnl"/>
        </w:rPr>
        <w:t xml:space="preserve"> de agosto de</w:t>
      </w:r>
      <w:r w:rsidR="002F0198" w:rsidRPr="00D43C76">
        <w:rPr>
          <w:rFonts w:cs="Calibri"/>
          <w:lang w:val="es-ES_tradnl"/>
        </w:rPr>
        <w:t xml:space="preserve"> 1978.</w:t>
      </w:r>
      <w:r w:rsidR="002F0198" w:rsidRPr="00D43C76">
        <w:rPr>
          <w:lang w:val="es-ES_tradnl"/>
        </w:rPr>
        <w:t xml:space="preserve"> </w:t>
      </w:r>
      <w:r w:rsidRPr="00D43C76">
        <w:rPr>
          <w:lang w:val="es-ES_tradnl"/>
        </w:rPr>
        <w:t xml:space="preserve">Por lo tanto, el Estado tenía la obligación de respetar y asegurar los derechos amparados en </w:t>
      </w:r>
      <w:r w:rsidR="00845E02" w:rsidRPr="00D43C76">
        <w:rPr>
          <w:rFonts w:cs="Calibri"/>
          <w:lang w:val="es-ES_tradnl"/>
        </w:rPr>
        <w:t xml:space="preserve">la Convención </w:t>
      </w:r>
      <w:r w:rsidRPr="00D43C76">
        <w:rPr>
          <w:rFonts w:cs="Calibri"/>
          <w:lang w:val="es-ES_tradnl"/>
        </w:rPr>
        <w:t xml:space="preserve">en la fecha en que se presume que se produjeron los hechos. Por último, </w:t>
      </w:r>
      <w:r w:rsidR="00A365FB" w:rsidRPr="00D43C76">
        <w:rPr>
          <w:lang w:val="es-ES_tradnl"/>
        </w:rPr>
        <w:t>la CIDH</w:t>
      </w:r>
      <w:r w:rsidR="002F0198" w:rsidRPr="00D43C76">
        <w:rPr>
          <w:lang w:val="es-ES_tradnl"/>
        </w:rPr>
        <w:t xml:space="preserve"> </w:t>
      </w:r>
      <w:r w:rsidRPr="00D43C76">
        <w:rPr>
          <w:lang w:val="es-ES_tradnl"/>
        </w:rPr>
        <w:t>tiene competencia</w:t>
      </w:r>
      <w:r w:rsidR="002F0198" w:rsidRPr="00D43C76">
        <w:rPr>
          <w:lang w:val="es-ES_tradnl"/>
        </w:rPr>
        <w:t xml:space="preserve"> </w:t>
      </w:r>
      <w:r w:rsidR="002F0198" w:rsidRPr="00D43C76">
        <w:rPr>
          <w:i/>
          <w:lang w:val="es-ES_tradnl"/>
        </w:rPr>
        <w:t>ratione materiae</w:t>
      </w:r>
      <w:r w:rsidR="002F0198" w:rsidRPr="00D43C76">
        <w:rPr>
          <w:lang w:val="es-ES_tradnl"/>
        </w:rPr>
        <w:t xml:space="preserve"> </w:t>
      </w:r>
      <w:r w:rsidRPr="00D43C76">
        <w:rPr>
          <w:lang w:val="es-ES_tradnl"/>
        </w:rPr>
        <w:t xml:space="preserve">en vista de que </w:t>
      </w:r>
      <w:r w:rsidR="00D30B57" w:rsidRPr="00D43C76">
        <w:rPr>
          <w:lang w:val="es-ES_tradnl"/>
        </w:rPr>
        <w:t>la petición</w:t>
      </w:r>
      <w:r w:rsidR="002F0198" w:rsidRPr="00D43C76">
        <w:rPr>
          <w:lang w:val="es-ES_tradnl"/>
        </w:rPr>
        <w:t xml:space="preserve"> </w:t>
      </w:r>
      <w:r w:rsidRPr="00D43C76">
        <w:rPr>
          <w:lang w:val="es-ES_tradnl"/>
        </w:rPr>
        <w:t xml:space="preserve">se </w:t>
      </w:r>
      <w:r w:rsidR="002F0198" w:rsidRPr="00D43C76">
        <w:rPr>
          <w:lang w:val="es-ES_tradnl"/>
        </w:rPr>
        <w:t>ref</w:t>
      </w:r>
      <w:r w:rsidRPr="00D43C76">
        <w:rPr>
          <w:lang w:val="es-ES_tradnl"/>
        </w:rPr>
        <w:t>iere a</w:t>
      </w:r>
      <w:r w:rsidR="0034591F" w:rsidRPr="00D43C76">
        <w:rPr>
          <w:lang w:val="es-ES_tradnl"/>
        </w:rPr>
        <w:t xml:space="preserve"> </w:t>
      </w:r>
      <w:r w:rsidRPr="00D43C76">
        <w:rPr>
          <w:lang w:val="es-ES_tradnl"/>
        </w:rPr>
        <w:t>presuntas violaciones de</w:t>
      </w:r>
      <w:r w:rsidR="002F0198" w:rsidRPr="00D43C76">
        <w:rPr>
          <w:lang w:val="es-ES_tradnl"/>
        </w:rPr>
        <w:t xml:space="preserve"> </w:t>
      </w:r>
      <w:r w:rsidR="00845E02" w:rsidRPr="00D43C76">
        <w:rPr>
          <w:lang w:val="es-ES_tradnl"/>
        </w:rPr>
        <w:t>la Convención</w:t>
      </w:r>
      <w:r w:rsidR="002F0198" w:rsidRPr="00D43C76">
        <w:rPr>
          <w:lang w:val="es-ES_tradnl"/>
        </w:rPr>
        <w:t xml:space="preserve">. </w:t>
      </w:r>
    </w:p>
    <w:p w14:paraId="2ACCDEA5" w14:textId="77777777" w:rsidR="00A93A6E" w:rsidRPr="00D43C76" w:rsidRDefault="00A93A6E" w:rsidP="002F01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_tradnl"/>
        </w:rPr>
      </w:pPr>
    </w:p>
    <w:p w14:paraId="10862E52" w14:textId="77777777" w:rsidR="002F0198" w:rsidRPr="00D43C76" w:rsidRDefault="00C52B08" w:rsidP="00AC59B4">
      <w:pPr>
        <w:pStyle w:val="Heading2"/>
        <w:keepNext w:val="0"/>
        <w:keepLines w:val="0"/>
        <w:numPr>
          <w:ilvl w:val="0"/>
          <w:numId w:val="68"/>
        </w:numPr>
        <w:spacing w:before="0"/>
        <w:ind w:left="360"/>
        <w:jc w:val="both"/>
        <w:rPr>
          <w:color w:val="auto"/>
          <w:sz w:val="20"/>
          <w:lang w:val="es-ES_tradnl"/>
        </w:rPr>
      </w:pPr>
      <w:bookmarkStart w:id="14" w:name="_Toc23349331"/>
      <w:bookmarkStart w:id="15" w:name="_Toc58491233"/>
      <w:r w:rsidRPr="00D43C76">
        <w:rPr>
          <w:color w:val="auto"/>
          <w:sz w:val="20"/>
          <w:lang w:val="es-ES_tradnl"/>
        </w:rPr>
        <w:t>Requisitos de a</w:t>
      </w:r>
      <w:r w:rsidR="00851B40" w:rsidRPr="00D43C76">
        <w:rPr>
          <w:color w:val="auto"/>
          <w:sz w:val="20"/>
          <w:lang w:val="es-ES_tradnl"/>
        </w:rPr>
        <w:t>dmisibilidad</w:t>
      </w:r>
      <w:bookmarkEnd w:id="14"/>
      <w:bookmarkEnd w:id="15"/>
      <w:r w:rsidR="002F0198" w:rsidRPr="00D43C76">
        <w:rPr>
          <w:color w:val="auto"/>
          <w:sz w:val="20"/>
          <w:lang w:val="es-ES_tradnl"/>
        </w:rPr>
        <w:t xml:space="preserve"> </w:t>
      </w:r>
    </w:p>
    <w:p w14:paraId="06ABB31E" w14:textId="77777777" w:rsidR="002F0198" w:rsidRPr="00D43C76" w:rsidRDefault="002F0198" w:rsidP="002F0198">
      <w:pPr>
        <w:rPr>
          <w:lang w:val="es-ES_tradnl"/>
        </w:rPr>
      </w:pPr>
    </w:p>
    <w:p w14:paraId="040349A3" w14:textId="77777777" w:rsidR="002F0198" w:rsidRPr="00D43C76" w:rsidRDefault="00EE5BA0" w:rsidP="00AC59B4">
      <w:pPr>
        <w:pStyle w:val="Heading3"/>
        <w:keepNext w:val="0"/>
        <w:keepLines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0"/>
        <w:ind w:left="1440" w:hanging="1440"/>
        <w:jc w:val="both"/>
        <w:rPr>
          <w:iCs/>
          <w:color w:val="auto"/>
          <w:sz w:val="20"/>
          <w:szCs w:val="20"/>
          <w:lang w:val="es-ES_tradnl"/>
        </w:rPr>
      </w:pPr>
      <w:bookmarkStart w:id="16" w:name="_Toc16152268"/>
      <w:bookmarkStart w:id="17" w:name="_Toc58491234"/>
      <w:r w:rsidRPr="00D43C76">
        <w:rPr>
          <w:color w:val="auto"/>
          <w:sz w:val="20"/>
          <w:szCs w:val="20"/>
          <w:lang w:val="es-ES_tradnl"/>
        </w:rPr>
        <w:t>Agotamiento de los recursos internos y plazo de presentación</w:t>
      </w:r>
      <w:bookmarkEnd w:id="16"/>
      <w:bookmarkEnd w:id="17"/>
      <w:r w:rsidR="002F0198" w:rsidRPr="00D43C76">
        <w:rPr>
          <w:color w:val="auto"/>
          <w:sz w:val="20"/>
          <w:szCs w:val="20"/>
          <w:lang w:val="es-ES_tradnl"/>
        </w:rPr>
        <w:t xml:space="preserve"> </w:t>
      </w:r>
    </w:p>
    <w:p w14:paraId="0D2CAD7D" w14:textId="77777777" w:rsidR="002F0198" w:rsidRPr="00D43C76" w:rsidRDefault="002F0198" w:rsidP="002F0198">
      <w:pPr>
        <w:rPr>
          <w:lang w:val="es-ES_tradnl"/>
        </w:rPr>
      </w:pPr>
    </w:p>
    <w:p w14:paraId="06083B87" w14:textId="77777777" w:rsidR="00A738AB" w:rsidRPr="00D43C76" w:rsidRDefault="007D13A8" w:rsidP="00A738AB">
      <w:pPr>
        <w:pStyle w:val="parrafos"/>
        <w:numPr>
          <w:ilvl w:val="0"/>
          <w:numId w:val="57"/>
        </w:numPr>
        <w:tabs>
          <w:tab w:val="clear" w:pos="1080"/>
          <w:tab w:val="left" w:pos="720"/>
        </w:tabs>
        <w:ind w:left="0" w:firstLine="0"/>
        <w:rPr>
          <w:lang w:val="es-ES_tradnl"/>
        </w:rPr>
      </w:pPr>
      <w:r w:rsidRPr="00D43C76">
        <w:rPr>
          <w:lang w:val="es-ES_tradnl"/>
        </w:rPr>
        <w:t xml:space="preserve">El </w:t>
      </w:r>
      <w:r w:rsidR="00845E02" w:rsidRPr="00D43C76">
        <w:rPr>
          <w:lang w:val="es-ES_tradnl"/>
        </w:rPr>
        <w:t>artículo</w:t>
      </w:r>
      <w:r w:rsidR="002F0198" w:rsidRPr="00D43C76">
        <w:rPr>
          <w:lang w:val="es-ES_tradnl"/>
        </w:rPr>
        <w:t xml:space="preserve"> 46</w:t>
      </w:r>
      <w:r w:rsidRPr="00D43C76">
        <w:rPr>
          <w:lang w:val="es-ES_tradnl"/>
        </w:rPr>
        <w:t>.</w:t>
      </w:r>
      <w:r w:rsidR="002F0198" w:rsidRPr="00D43C76">
        <w:rPr>
          <w:lang w:val="es-ES_tradnl"/>
        </w:rPr>
        <w:t>1</w:t>
      </w:r>
      <w:r w:rsidRPr="00D43C76">
        <w:rPr>
          <w:lang w:val="es-ES_tradnl"/>
        </w:rPr>
        <w:t>.</w:t>
      </w:r>
      <w:r w:rsidR="002F0198" w:rsidRPr="00D43C76">
        <w:rPr>
          <w:lang w:val="es-ES_tradnl"/>
        </w:rPr>
        <w:t>a</w:t>
      </w:r>
      <w:r w:rsidRPr="00D43C76">
        <w:rPr>
          <w:lang w:val="es-ES_tradnl"/>
        </w:rPr>
        <w:t xml:space="preserve"> de </w:t>
      </w:r>
      <w:r w:rsidR="00845E02" w:rsidRPr="00D43C76">
        <w:rPr>
          <w:lang w:val="es-ES_tradnl"/>
        </w:rPr>
        <w:t>la Convención</w:t>
      </w:r>
      <w:r w:rsidR="002F0198" w:rsidRPr="00D43C76">
        <w:rPr>
          <w:lang w:val="es-ES_tradnl"/>
        </w:rPr>
        <w:t xml:space="preserve"> </w:t>
      </w:r>
      <w:r w:rsidRPr="00D43C76">
        <w:rPr>
          <w:lang w:val="es-ES_tradnl"/>
        </w:rPr>
        <w:t>dispone que, para que una petición presentada conforme al artículo 44 sea admitida por la Comisión</w:t>
      </w:r>
      <w:r w:rsidR="002F0198" w:rsidRPr="00D43C76">
        <w:rPr>
          <w:lang w:val="es-ES_tradnl"/>
        </w:rPr>
        <w:t xml:space="preserve">, </w:t>
      </w:r>
      <w:r w:rsidRPr="00D43C76">
        <w:rPr>
          <w:lang w:val="es-ES_tradnl"/>
        </w:rPr>
        <w:t>se requerirá que se hayan interpuesto y agotado los recursos de jurisdicción interna, conforme a los principios del derecho internacional generalmente reconocidos. El propósito de este requisito es que las autoridades internas puedan entender en la presunta violación de un derecho protegido y, en los casos en que corresponda, tengan la oportunidad de abordarla antes de que pase al ámbito de un órgano internacional</w:t>
      </w:r>
      <w:r w:rsidR="002F0198" w:rsidRPr="00D43C76">
        <w:rPr>
          <w:lang w:val="es-ES_tradnl"/>
        </w:rPr>
        <w:t>.</w:t>
      </w:r>
    </w:p>
    <w:p w14:paraId="04E0567B" w14:textId="77777777" w:rsidR="00A738AB" w:rsidRPr="00D43C76" w:rsidRDefault="00A738AB" w:rsidP="00A738AB">
      <w:pPr>
        <w:pStyle w:val="parrafos"/>
        <w:tabs>
          <w:tab w:val="left" w:pos="720"/>
        </w:tabs>
        <w:rPr>
          <w:lang w:val="es-ES_tradnl"/>
        </w:rPr>
      </w:pPr>
    </w:p>
    <w:p w14:paraId="2D625525" w14:textId="77777777" w:rsidR="00A738AB" w:rsidRPr="00D43C76" w:rsidRDefault="00BD169F" w:rsidP="00A738AB">
      <w:pPr>
        <w:pStyle w:val="parrafos"/>
        <w:numPr>
          <w:ilvl w:val="0"/>
          <w:numId w:val="57"/>
        </w:numPr>
        <w:tabs>
          <w:tab w:val="clear" w:pos="1080"/>
          <w:tab w:val="left" w:pos="720"/>
        </w:tabs>
        <w:ind w:left="0" w:firstLine="0"/>
        <w:rPr>
          <w:lang w:val="es-ES_tradnl"/>
        </w:rPr>
      </w:pPr>
      <w:r w:rsidRPr="00D43C76">
        <w:rPr>
          <w:rFonts w:ascii="Cambria" w:hAnsi="Cambria"/>
          <w:lang w:val="es-ES_tradnl"/>
        </w:rPr>
        <w:t>La</w:t>
      </w:r>
      <w:r w:rsidR="00586954" w:rsidRPr="00D43C76">
        <w:rPr>
          <w:rFonts w:ascii="Cambria" w:hAnsi="Cambria"/>
          <w:lang w:val="es-ES_tradnl"/>
        </w:rPr>
        <w:t xml:space="preserve"> parte</w:t>
      </w:r>
      <w:r w:rsidRPr="00D43C76">
        <w:rPr>
          <w:rFonts w:ascii="Cambria" w:hAnsi="Cambria"/>
          <w:lang w:val="es-ES_tradnl"/>
        </w:rPr>
        <w:t xml:space="preserve"> peticionaria</w:t>
      </w:r>
      <w:r w:rsidR="002F0198" w:rsidRPr="00D43C76">
        <w:rPr>
          <w:rFonts w:ascii="Cambria" w:hAnsi="Cambria"/>
          <w:lang w:val="es-ES_tradnl"/>
        </w:rPr>
        <w:t xml:space="preserve"> a</w:t>
      </w:r>
      <w:r w:rsidR="007D13A8" w:rsidRPr="00D43C76">
        <w:rPr>
          <w:rFonts w:ascii="Cambria" w:hAnsi="Cambria"/>
          <w:lang w:val="es-ES_tradnl"/>
        </w:rPr>
        <w:t xml:space="preserve">firma que </w:t>
      </w:r>
      <w:r w:rsidR="00246179" w:rsidRPr="00D43C76">
        <w:rPr>
          <w:rFonts w:ascii="Cambria" w:hAnsi="Cambria"/>
          <w:lang w:val="es-ES_tradnl"/>
        </w:rPr>
        <w:t xml:space="preserve">se aplican </w:t>
      </w:r>
      <w:r w:rsidR="007D13A8" w:rsidRPr="00D43C76">
        <w:rPr>
          <w:rFonts w:ascii="Cambria" w:hAnsi="Cambria"/>
          <w:lang w:val="es-ES_tradnl"/>
        </w:rPr>
        <w:t>las excepciones establecidas en el</w:t>
      </w:r>
      <w:r w:rsidR="002F0198" w:rsidRPr="00D43C76">
        <w:rPr>
          <w:rFonts w:ascii="Cambria" w:hAnsi="Cambria"/>
          <w:lang w:val="es-ES_tradnl"/>
        </w:rPr>
        <w:t xml:space="preserve"> </w:t>
      </w:r>
      <w:r w:rsidR="00845E02" w:rsidRPr="00D43C76">
        <w:rPr>
          <w:rFonts w:ascii="Cambria" w:hAnsi="Cambria"/>
          <w:lang w:val="es-ES_tradnl"/>
        </w:rPr>
        <w:t>artículo</w:t>
      </w:r>
      <w:r w:rsidR="002F0198" w:rsidRPr="00D43C76">
        <w:rPr>
          <w:rFonts w:ascii="Cambria" w:hAnsi="Cambria"/>
          <w:lang w:val="es-ES_tradnl"/>
        </w:rPr>
        <w:t xml:space="preserve"> 46.2</w:t>
      </w:r>
      <w:r w:rsidR="007D13A8" w:rsidRPr="00D43C76">
        <w:rPr>
          <w:rFonts w:ascii="Cambria" w:hAnsi="Cambria"/>
          <w:lang w:val="es-ES_tradnl"/>
        </w:rPr>
        <w:t xml:space="preserve">, incisos </w:t>
      </w:r>
      <w:r w:rsidR="002F0198" w:rsidRPr="00D43C76">
        <w:rPr>
          <w:rFonts w:ascii="Cambria" w:hAnsi="Cambria"/>
          <w:lang w:val="es-ES_tradnl"/>
        </w:rPr>
        <w:t>a</w:t>
      </w:r>
      <w:r w:rsidR="007D13A8" w:rsidRPr="00D43C76">
        <w:rPr>
          <w:rFonts w:ascii="Cambria" w:hAnsi="Cambria"/>
          <w:lang w:val="es-ES_tradnl"/>
        </w:rPr>
        <w:t xml:space="preserve"> y </w:t>
      </w:r>
      <w:r w:rsidR="002F0198" w:rsidRPr="00D43C76">
        <w:rPr>
          <w:rFonts w:ascii="Cambria" w:hAnsi="Cambria"/>
          <w:lang w:val="es-ES_tradnl"/>
        </w:rPr>
        <w:t>b</w:t>
      </w:r>
      <w:r w:rsidR="007D13A8" w:rsidRPr="00D43C76">
        <w:rPr>
          <w:rFonts w:ascii="Cambria" w:hAnsi="Cambria"/>
          <w:lang w:val="es-ES_tradnl"/>
        </w:rPr>
        <w:t xml:space="preserve">, de </w:t>
      </w:r>
      <w:r w:rsidR="00845E02" w:rsidRPr="00D43C76">
        <w:rPr>
          <w:rFonts w:ascii="Cambria" w:hAnsi="Cambria"/>
          <w:lang w:val="es-ES_tradnl"/>
        </w:rPr>
        <w:t xml:space="preserve">la Convención </w:t>
      </w:r>
      <w:r w:rsidR="007D13A8" w:rsidRPr="00D43C76">
        <w:rPr>
          <w:rFonts w:ascii="Cambria" w:hAnsi="Cambria"/>
          <w:lang w:val="es-ES_tradnl"/>
        </w:rPr>
        <w:t xml:space="preserve">como consecuencia de los argumentos expuestos anteriormente. A su vez, </w:t>
      </w:r>
      <w:r w:rsidR="00A365FB" w:rsidRPr="00D43C76">
        <w:rPr>
          <w:rFonts w:ascii="Cambria" w:hAnsi="Cambria"/>
          <w:lang w:val="es-ES_tradnl"/>
        </w:rPr>
        <w:t>el Estado</w:t>
      </w:r>
      <w:r w:rsidR="002F0198" w:rsidRPr="00D43C76">
        <w:rPr>
          <w:rFonts w:ascii="Cambria" w:hAnsi="Cambria"/>
          <w:lang w:val="es-ES_tradnl"/>
        </w:rPr>
        <w:t xml:space="preserve"> indica</w:t>
      </w:r>
      <w:r w:rsidR="0034591F" w:rsidRPr="00D43C76">
        <w:rPr>
          <w:rFonts w:ascii="Cambria" w:hAnsi="Cambria"/>
          <w:lang w:val="es-ES_tradnl"/>
        </w:rPr>
        <w:t xml:space="preserve"> </w:t>
      </w:r>
      <w:r w:rsidR="007D13A8" w:rsidRPr="00D43C76">
        <w:rPr>
          <w:rFonts w:ascii="Cambria" w:hAnsi="Cambria"/>
          <w:lang w:val="es-ES_tradnl"/>
        </w:rPr>
        <w:t xml:space="preserve">que </w:t>
      </w:r>
      <w:r w:rsidRPr="00D43C76">
        <w:rPr>
          <w:rFonts w:ascii="Cambria" w:hAnsi="Cambria"/>
          <w:lang w:val="es-ES_tradnl"/>
        </w:rPr>
        <w:t>la peticionaria</w:t>
      </w:r>
      <w:r w:rsidR="002F0198" w:rsidRPr="00D43C76">
        <w:rPr>
          <w:rFonts w:ascii="Cambria" w:hAnsi="Cambria"/>
          <w:lang w:val="es-ES_tradnl"/>
        </w:rPr>
        <w:t xml:space="preserve"> </w:t>
      </w:r>
      <w:r w:rsidR="007D13A8" w:rsidRPr="00D43C76">
        <w:rPr>
          <w:rFonts w:ascii="Cambria" w:hAnsi="Cambria"/>
          <w:lang w:val="es-ES_tradnl"/>
        </w:rPr>
        <w:t xml:space="preserve">no agotó los </w:t>
      </w:r>
      <w:r w:rsidR="00D30B57" w:rsidRPr="00D43C76">
        <w:rPr>
          <w:rFonts w:ascii="Cambria" w:hAnsi="Cambria"/>
          <w:lang w:val="es-ES_tradnl"/>
        </w:rPr>
        <w:t>recursos internos</w:t>
      </w:r>
      <w:r w:rsidR="002F0198" w:rsidRPr="00D43C76">
        <w:rPr>
          <w:rFonts w:ascii="Cambria" w:hAnsi="Cambria"/>
          <w:lang w:val="es-ES_tradnl"/>
        </w:rPr>
        <w:t xml:space="preserve"> </w:t>
      </w:r>
      <w:r w:rsidR="007D13A8" w:rsidRPr="00D43C76">
        <w:rPr>
          <w:rFonts w:ascii="Cambria" w:hAnsi="Cambria"/>
          <w:lang w:val="es-ES_tradnl"/>
        </w:rPr>
        <w:t xml:space="preserve">y no presentó </w:t>
      </w:r>
      <w:r w:rsidR="00D30B57" w:rsidRPr="00D43C76">
        <w:rPr>
          <w:rFonts w:ascii="Cambria" w:hAnsi="Cambria"/>
          <w:lang w:val="es-ES_tradnl"/>
        </w:rPr>
        <w:t>la petición</w:t>
      </w:r>
      <w:r w:rsidR="002F0198" w:rsidRPr="00D43C76">
        <w:rPr>
          <w:rFonts w:ascii="Cambria" w:hAnsi="Cambria"/>
          <w:lang w:val="es-ES_tradnl"/>
        </w:rPr>
        <w:t xml:space="preserve"> </w:t>
      </w:r>
      <w:r w:rsidR="007D13A8" w:rsidRPr="00D43C76">
        <w:rPr>
          <w:rFonts w:ascii="Cambria" w:hAnsi="Cambria"/>
          <w:lang w:val="es-ES_tradnl"/>
        </w:rPr>
        <w:t>dentro del plazo de seis meses.</w:t>
      </w:r>
    </w:p>
    <w:p w14:paraId="30694994" w14:textId="77777777" w:rsidR="00A738AB" w:rsidRPr="00D43C76" w:rsidRDefault="00A738AB" w:rsidP="00A738AB">
      <w:pPr>
        <w:pStyle w:val="ListParagraph"/>
        <w:rPr>
          <w:lang w:val="es-ES_tradnl"/>
        </w:rPr>
      </w:pPr>
    </w:p>
    <w:p w14:paraId="52388423" w14:textId="77777777" w:rsidR="002F0198" w:rsidRPr="00D43C76" w:rsidRDefault="00B147B1" w:rsidP="00A738AB">
      <w:pPr>
        <w:pStyle w:val="parrafos"/>
        <w:numPr>
          <w:ilvl w:val="0"/>
          <w:numId w:val="57"/>
        </w:numPr>
        <w:tabs>
          <w:tab w:val="clear" w:pos="1080"/>
          <w:tab w:val="left" w:pos="720"/>
        </w:tabs>
        <w:ind w:left="0" w:firstLine="0"/>
        <w:rPr>
          <w:lang w:val="es-ES_tradnl"/>
        </w:rPr>
      </w:pPr>
      <w:r w:rsidRPr="00D43C76">
        <w:rPr>
          <w:rFonts w:ascii="Cambria" w:hAnsi="Cambria"/>
          <w:lang w:val="es-ES_tradnl"/>
        </w:rPr>
        <w:t>Con respecto al argumento d</w:t>
      </w:r>
      <w:r w:rsidR="00A365FB" w:rsidRPr="00D43C76">
        <w:rPr>
          <w:rFonts w:ascii="Cambria" w:hAnsi="Cambria"/>
          <w:lang w:val="es-ES_tradnl"/>
        </w:rPr>
        <w:t>el Estado</w:t>
      </w:r>
      <w:r w:rsidRPr="00D43C76">
        <w:rPr>
          <w:rFonts w:ascii="Cambria" w:hAnsi="Cambria"/>
          <w:lang w:val="es-ES_tradnl"/>
        </w:rPr>
        <w:t xml:space="preserve"> acerca de la posibilidad de impugnar la interpretación de la </w:t>
      </w:r>
      <w:r w:rsidR="005A4C18" w:rsidRPr="00D43C76">
        <w:rPr>
          <w:rFonts w:ascii="Cambria" w:hAnsi="Cambria"/>
          <w:lang w:val="es-ES_tradnl"/>
        </w:rPr>
        <w:t>Ley de Delitos contra la Persona</w:t>
      </w:r>
      <w:r w:rsidR="002F0198" w:rsidRPr="00D43C76">
        <w:rPr>
          <w:rFonts w:ascii="Cambria" w:hAnsi="Cambria"/>
          <w:lang w:val="es-ES_tradnl"/>
        </w:rPr>
        <w:t xml:space="preserve"> </w:t>
      </w:r>
      <w:r w:rsidRPr="00D43C76">
        <w:rPr>
          <w:rFonts w:ascii="Cambria" w:hAnsi="Cambria"/>
          <w:lang w:val="es-ES_tradnl"/>
        </w:rPr>
        <w:t>ante la Suprema Corte</w:t>
      </w:r>
      <w:r w:rsidR="002F0198" w:rsidRPr="00D43C76">
        <w:rPr>
          <w:rFonts w:ascii="Cambria" w:hAnsi="Cambria"/>
          <w:lang w:val="es-ES_tradnl"/>
        </w:rPr>
        <w:t xml:space="preserve">, </w:t>
      </w:r>
      <w:r w:rsidR="00A365FB" w:rsidRPr="00D43C76">
        <w:rPr>
          <w:rFonts w:ascii="Cambria" w:hAnsi="Cambria"/>
          <w:lang w:val="es-ES_tradnl"/>
        </w:rPr>
        <w:t>la Comisión</w:t>
      </w:r>
      <w:r w:rsidR="002F0198" w:rsidRPr="00D43C76">
        <w:rPr>
          <w:rFonts w:ascii="Cambria" w:hAnsi="Cambria"/>
          <w:lang w:val="es-ES_tradnl"/>
        </w:rPr>
        <w:t xml:space="preserve"> </w:t>
      </w:r>
      <w:r w:rsidRPr="00D43C76">
        <w:rPr>
          <w:rFonts w:ascii="Cambria" w:hAnsi="Cambria"/>
          <w:lang w:val="es-ES_tradnl"/>
        </w:rPr>
        <w:t>observa que la enmienda constitucional de</w:t>
      </w:r>
      <w:r w:rsidR="002F0198" w:rsidRPr="00D43C76">
        <w:rPr>
          <w:rFonts w:ascii="Cambria" w:hAnsi="Cambria"/>
          <w:lang w:val="es-ES_tradnl"/>
        </w:rPr>
        <w:t xml:space="preserve"> 2011 proh</w:t>
      </w:r>
      <w:r w:rsidRPr="00D43C76">
        <w:rPr>
          <w:rFonts w:ascii="Cambria" w:hAnsi="Cambria"/>
          <w:lang w:val="es-ES_tradnl"/>
        </w:rPr>
        <w:t>íbe la declaración de inconstitucionalidad de las leyes de sodomía y que la única demanda interpuesta ante la Suprema Corte fue retirada</w:t>
      </w:r>
      <w:r w:rsidR="002F0198" w:rsidRPr="00D43C76">
        <w:rPr>
          <w:lang w:val="es-ES_tradnl"/>
        </w:rPr>
        <w:t xml:space="preserve">, </w:t>
      </w:r>
      <w:r w:rsidRPr="00D43C76">
        <w:rPr>
          <w:lang w:val="es-ES_tradnl"/>
        </w:rPr>
        <w:t xml:space="preserve">supuestamente debido a amenazas basadas en prejuicios relacionados con la </w:t>
      </w:r>
      <w:r w:rsidR="00851B40" w:rsidRPr="00D43C76">
        <w:rPr>
          <w:lang w:val="es-ES_tradnl"/>
        </w:rPr>
        <w:t>orientación sexual</w:t>
      </w:r>
      <w:r w:rsidR="00A738AB" w:rsidRPr="00D43C76">
        <w:rPr>
          <w:lang w:val="es-ES_tradnl"/>
        </w:rPr>
        <w:t xml:space="preserve"> </w:t>
      </w:r>
      <w:r w:rsidRPr="00D43C76">
        <w:rPr>
          <w:lang w:val="es-ES_tradnl"/>
        </w:rPr>
        <w:t>del solicitante, antes que la Corte pudiera pronunciarse sobre su</w:t>
      </w:r>
      <w:r w:rsidR="002F0198" w:rsidRPr="00D43C76">
        <w:rPr>
          <w:lang w:val="es-ES_tradnl"/>
        </w:rPr>
        <w:t xml:space="preserve"> </w:t>
      </w:r>
      <w:r w:rsidR="00851B40" w:rsidRPr="00D43C76">
        <w:rPr>
          <w:lang w:val="es-ES_tradnl"/>
        </w:rPr>
        <w:t>admisibilidad</w:t>
      </w:r>
      <w:r w:rsidR="002F0198" w:rsidRPr="00D43C76">
        <w:rPr>
          <w:lang w:val="es-ES_tradnl"/>
        </w:rPr>
        <w:t xml:space="preserve">. </w:t>
      </w:r>
      <w:r w:rsidRPr="00D43C76">
        <w:rPr>
          <w:lang w:val="es-ES_tradnl"/>
        </w:rPr>
        <w:t>Por esta razón</w:t>
      </w:r>
      <w:r w:rsidR="002F0198" w:rsidRPr="00D43C76">
        <w:rPr>
          <w:rFonts w:ascii="Cambria" w:hAnsi="Cambria"/>
          <w:lang w:val="es-ES_tradnl"/>
        </w:rPr>
        <w:t xml:space="preserve">, </w:t>
      </w:r>
      <w:r w:rsidR="00A365FB" w:rsidRPr="00D43C76">
        <w:rPr>
          <w:rFonts w:ascii="Cambria" w:hAnsi="Cambria"/>
          <w:lang w:val="es-ES_tradnl"/>
        </w:rPr>
        <w:t>la Comisión</w:t>
      </w:r>
      <w:r w:rsidR="002F0198" w:rsidRPr="00D43C76">
        <w:rPr>
          <w:rFonts w:ascii="Cambria" w:hAnsi="Cambria"/>
          <w:lang w:val="es-ES_tradnl"/>
        </w:rPr>
        <w:t xml:space="preserve"> conclu</w:t>
      </w:r>
      <w:r w:rsidRPr="00D43C76">
        <w:rPr>
          <w:rFonts w:ascii="Cambria" w:hAnsi="Cambria"/>
          <w:lang w:val="es-ES_tradnl"/>
        </w:rPr>
        <w:t xml:space="preserve">ye que se aplica la excepción al requisito del </w:t>
      </w:r>
      <w:r w:rsidR="00F17E5B" w:rsidRPr="00D43C76">
        <w:rPr>
          <w:rFonts w:ascii="Cambria" w:hAnsi="Cambria"/>
          <w:lang w:val="es-ES_tradnl"/>
        </w:rPr>
        <w:t xml:space="preserve">agotamiento </w:t>
      </w:r>
      <w:r w:rsidRPr="00D43C76">
        <w:rPr>
          <w:rFonts w:ascii="Cambria" w:hAnsi="Cambria"/>
          <w:lang w:val="es-ES_tradnl"/>
        </w:rPr>
        <w:t xml:space="preserve">previo </w:t>
      </w:r>
      <w:r w:rsidR="00F17E5B" w:rsidRPr="00D43C76">
        <w:rPr>
          <w:rFonts w:ascii="Cambria" w:hAnsi="Cambria"/>
          <w:lang w:val="es-ES_tradnl"/>
        </w:rPr>
        <w:t>de los recursos internos</w:t>
      </w:r>
      <w:r w:rsidR="002F0198" w:rsidRPr="00D43C76">
        <w:rPr>
          <w:rFonts w:ascii="Cambria" w:hAnsi="Cambria"/>
          <w:lang w:val="es-ES_tradnl"/>
        </w:rPr>
        <w:t xml:space="preserve"> </w:t>
      </w:r>
      <w:r w:rsidRPr="00D43C76">
        <w:rPr>
          <w:rFonts w:ascii="Cambria" w:hAnsi="Cambria"/>
          <w:lang w:val="es-ES_tradnl"/>
        </w:rPr>
        <w:t xml:space="preserve">establecido en el </w:t>
      </w:r>
      <w:r w:rsidR="00845E02" w:rsidRPr="00D43C76">
        <w:rPr>
          <w:rFonts w:ascii="Cambria" w:hAnsi="Cambria"/>
          <w:lang w:val="es-ES_tradnl"/>
        </w:rPr>
        <w:t>artículo</w:t>
      </w:r>
      <w:r w:rsidR="002F0198" w:rsidRPr="00D43C76">
        <w:rPr>
          <w:rFonts w:ascii="Cambria" w:hAnsi="Cambria"/>
          <w:lang w:val="es-ES_tradnl"/>
        </w:rPr>
        <w:t xml:space="preserve"> 46.2</w:t>
      </w:r>
      <w:r w:rsidRPr="00D43C76">
        <w:rPr>
          <w:rFonts w:ascii="Cambria" w:hAnsi="Cambria"/>
          <w:lang w:val="es-ES_tradnl"/>
        </w:rPr>
        <w:t>.</w:t>
      </w:r>
      <w:r w:rsidR="002F0198" w:rsidRPr="00D43C76">
        <w:rPr>
          <w:rFonts w:ascii="Cambria" w:hAnsi="Cambria"/>
          <w:lang w:val="es-ES_tradnl"/>
        </w:rPr>
        <w:t>a</w:t>
      </w:r>
      <w:r w:rsidRPr="00D43C76">
        <w:rPr>
          <w:rFonts w:ascii="Cambria" w:hAnsi="Cambria"/>
          <w:lang w:val="es-ES_tradnl"/>
        </w:rPr>
        <w:t xml:space="preserve"> de </w:t>
      </w:r>
      <w:r w:rsidR="00845E02" w:rsidRPr="00D43C76">
        <w:rPr>
          <w:rFonts w:ascii="Cambria" w:hAnsi="Cambria"/>
          <w:lang w:val="es-ES_tradnl"/>
        </w:rPr>
        <w:t>la Convención</w:t>
      </w:r>
      <w:r w:rsidRPr="00D43C76">
        <w:rPr>
          <w:rFonts w:ascii="Cambria" w:hAnsi="Cambria"/>
          <w:lang w:val="es-ES_tradnl"/>
        </w:rPr>
        <w:t xml:space="preserve">. Asimismo, </w:t>
      </w:r>
      <w:r w:rsidR="00A365FB" w:rsidRPr="00D43C76">
        <w:rPr>
          <w:rFonts w:ascii="Cambria" w:hAnsi="Cambria"/>
          <w:lang w:val="es-ES_tradnl"/>
        </w:rPr>
        <w:t>la Comisión</w:t>
      </w:r>
      <w:r w:rsidR="002F0198" w:rsidRPr="00D43C76">
        <w:rPr>
          <w:rFonts w:ascii="Cambria" w:hAnsi="Cambria"/>
          <w:lang w:val="es-ES_tradnl"/>
        </w:rPr>
        <w:t xml:space="preserve"> </w:t>
      </w:r>
      <w:r w:rsidRPr="00D43C76">
        <w:rPr>
          <w:rFonts w:ascii="Cambria" w:hAnsi="Cambria"/>
          <w:lang w:val="es-ES_tradnl"/>
        </w:rPr>
        <w:t xml:space="preserve">concluye que </w:t>
      </w:r>
      <w:r w:rsidR="00D30B57" w:rsidRPr="00D43C76">
        <w:rPr>
          <w:rFonts w:ascii="Cambria" w:hAnsi="Cambria"/>
          <w:lang w:val="es-ES_tradnl"/>
        </w:rPr>
        <w:t>la petición</w:t>
      </w:r>
      <w:r w:rsidR="002F0198" w:rsidRPr="00D43C76">
        <w:rPr>
          <w:rFonts w:ascii="Cambria" w:hAnsi="Cambria"/>
          <w:lang w:val="es-ES_tradnl"/>
        </w:rPr>
        <w:t xml:space="preserve"> </w:t>
      </w:r>
      <w:r w:rsidRPr="00D43C76">
        <w:rPr>
          <w:rFonts w:ascii="Cambria" w:hAnsi="Cambria"/>
          <w:lang w:val="es-ES_tradnl"/>
        </w:rPr>
        <w:t xml:space="preserve">fue presentada dentro de un plazo razonable, ya que algunas de las consecuencias de los actos denunciados persisten y, por lo tanto, se ha cumplido el requisito de presentación dentro de un plazo razonable </w:t>
      </w:r>
      <w:r w:rsidR="002F0198" w:rsidRPr="00D43C76">
        <w:rPr>
          <w:rFonts w:ascii="Cambria" w:hAnsi="Cambria"/>
          <w:lang w:val="es-ES_tradnl"/>
        </w:rPr>
        <w:t>establ</w:t>
      </w:r>
      <w:r w:rsidRPr="00D43C76">
        <w:rPr>
          <w:rFonts w:ascii="Cambria" w:hAnsi="Cambria"/>
          <w:lang w:val="es-ES_tradnl"/>
        </w:rPr>
        <w:t xml:space="preserve">ecido en el </w:t>
      </w:r>
      <w:r w:rsidR="00845E02" w:rsidRPr="00D43C76">
        <w:rPr>
          <w:rFonts w:ascii="Cambria" w:hAnsi="Cambria"/>
          <w:lang w:val="es-ES_tradnl"/>
        </w:rPr>
        <w:t>artículo</w:t>
      </w:r>
      <w:r w:rsidR="002F0198" w:rsidRPr="00D43C76">
        <w:rPr>
          <w:rFonts w:ascii="Cambria" w:hAnsi="Cambria"/>
          <w:lang w:val="es-ES_tradnl"/>
        </w:rPr>
        <w:t xml:space="preserve"> 32.2 </w:t>
      </w:r>
      <w:r w:rsidRPr="00D43C76">
        <w:rPr>
          <w:rFonts w:ascii="Cambria" w:hAnsi="Cambria"/>
          <w:lang w:val="es-ES_tradnl"/>
        </w:rPr>
        <w:t xml:space="preserve">del Reglamento de </w:t>
      </w:r>
      <w:r w:rsidR="00A365FB" w:rsidRPr="00D43C76">
        <w:rPr>
          <w:rFonts w:ascii="Cambria" w:hAnsi="Cambria"/>
          <w:lang w:val="es-ES_tradnl"/>
        </w:rPr>
        <w:t>la Comisión</w:t>
      </w:r>
      <w:r w:rsidR="00CE3468" w:rsidRPr="00D43C76">
        <w:rPr>
          <w:rStyle w:val="FootnoteReference"/>
          <w:rFonts w:ascii="Cambria" w:hAnsi="Cambria"/>
          <w:lang w:val="es-ES_tradnl"/>
        </w:rPr>
        <w:footnoteReference w:id="7"/>
      </w:r>
      <w:r w:rsidRPr="00D43C76">
        <w:rPr>
          <w:rFonts w:ascii="Cambria" w:hAnsi="Cambria"/>
          <w:lang w:val="es-ES_tradnl"/>
        </w:rPr>
        <w:t>.</w:t>
      </w:r>
    </w:p>
    <w:p w14:paraId="5D321698" w14:textId="77777777" w:rsidR="002F0198" w:rsidRPr="00D43C76" w:rsidRDefault="002F0198" w:rsidP="002F0198">
      <w:pPr>
        <w:rPr>
          <w:b/>
          <w:lang w:val="es-ES_tradnl"/>
        </w:rPr>
      </w:pPr>
    </w:p>
    <w:p w14:paraId="6599A3ED" w14:textId="77777777" w:rsidR="00212721" w:rsidRPr="00D43C76" w:rsidRDefault="00212721" w:rsidP="00AC59B4">
      <w:pPr>
        <w:pStyle w:val="Heading3"/>
        <w:keepNext w:val="0"/>
        <w:keepLines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0"/>
        <w:ind w:left="1440" w:hanging="1440"/>
        <w:jc w:val="both"/>
        <w:rPr>
          <w:color w:val="auto"/>
          <w:sz w:val="20"/>
          <w:szCs w:val="20"/>
          <w:lang w:val="es-ES_tradnl"/>
        </w:rPr>
      </w:pPr>
      <w:bookmarkStart w:id="18" w:name="_Toc58491235"/>
      <w:bookmarkStart w:id="19" w:name="_Toc413687820"/>
      <w:bookmarkStart w:id="20" w:name="_Toc447208872"/>
      <w:bookmarkStart w:id="21" w:name="_Toc447213178"/>
      <w:bookmarkStart w:id="22" w:name="_Toc475546045"/>
      <w:bookmarkStart w:id="23" w:name="_Toc485650791"/>
      <w:bookmarkStart w:id="24" w:name="_Toc23349334"/>
      <w:r w:rsidRPr="00D43C76">
        <w:rPr>
          <w:color w:val="auto"/>
          <w:sz w:val="20"/>
          <w:szCs w:val="20"/>
          <w:lang w:val="es-ES_tradnl"/>
        </w:rPr>
        <w:t>D</w:t>
      </w:r>
      <w:bookmarkStart w:id="25" w:name="_Toc6349142"/>
      <w:r w:rsidR="00EE5BA0" w:rsidRPr="00D43C76">
        <w:rPr>
          <w:color w:val="auto"/>
          <w:sz w:val="20"/>
          <w:szCs w:val="20"/>
          <w:lang w:val="es-ES_tradnl"/>
        </w:rPr>
        <w:t>uplicación de procedimientos y cosa juzgada internaciona</w:t>
      </w:r>
      <w:bookmarkEnd w:id="25"/>
      <w:r w:rsidR="00EE5BA0" w:rsidRPr="00D43C76">
        <w:rPr>
          <w:color w:val="auto"/>
          <w:sz w:val="20"/>
          <w:szCs w:val="20"/>
          <w:lang w:val="es-ES_tradnl"/>
        </w:rPr>
        <w:t>l</w:t>
      </w:r>
      <w:bookmarkEnd w:id="18"/>
      <w:r w:rsidRPr="00D43C76">
        <w:rPr>
          <w:color w:val="auto"/>
          <w:sz w:val="20"/>
          <w:szCs w:val="20"/>
          <w:lang w:val="es-ES_tradnl"/>
        </w:rPr>
        <w:t xml:space="preserve"> </w:t>
      </w:r>
      <w:bookmarkEnd w:id="19"/>
      <w:bookmarkEnd w:id="20"/>
      <w:bookmarkEnd w:id="21"/>
      <w:bookmarkEnd w:id="22"/>
      <w:bookmarkEnd w:id="23"/>
      <w:bookmarkEnd w:id="24"/>
    </w:p>
    <w:p w14:paraId="5232ABB7" w14:textId="77777777" w:rsidR="00212721" w:rsidRPr="00D43C76" w:rsidRDefault="00212721" w:rsidP="002F0198">
      <w:pPr>
        <w:rPr>
          <w:lang w:val="es-ES_tradnl"/>
        </w:rPr>
      </w:pPr>
    </w:p>
    <w:p w14:paraId="7CF2658A" w14:textId="77777777" w:rsidR="006439BF" w:rsidRPr="00D43C76" w:rsidRDefault="007D13A8" w:rsidP="00A738AB">
      <w:pPr>
        <w:pStyle w:val="parrafos"/>
        <w:numPr>
          <w:ilvl w:val="0"/>
          <w:numId w:val="57"/>
        </w:numPr>
        <w:tabs>
          <w:tab w:val="clear" w:pos="1080"/>
          <w:tab w:val="left" w:pos="720"/>
        </w:tabs>
        <w:ind w:left="0" w:firstLine="0"/>
        <w:rPr>
          <w:rFonts w:cs="Calibri"/>
          <w:lang w:val="es-ES_tradnl"/>
        </w:rPr>
      </w:pPr>
      <w:r w:rsidRPr="00D43C76">
        <w:rPr>
          <w:rFonts w:cs="Calibri"/>
          <w:lang w:val="es-ES_tradnl"/>
        </w:rPr>
        <w:t xml:space="preserve">En el </w:t>
      </w:r>
      <w:r w:rsidR="00845E02" w:rsidRPr="00D43C76">
        <w:rPr>
          <w:rFonts w:cs="Calibri"/>
          <w:lang w:val="es-ES_tradnl"/>
        </w:rPr>
        <w:t>artículo</w:t>
      </w:r>
      <w:r w:rsidR="006439BF" w:rsidRPr="00D43C76">
        <w:rPr>
          <w:rFonts w:cs="Calibri"/>
          <w:lang w:val="es-ES_tradnl"/>
        </w:rPr>
        <w:t xml:space="preserve"> 46</w:t>
      </w:r>
      <w:r w:rsidRPr="00D43C76">
        <w:rPr>
          <w:rFonts w:cs="Calibri"/>
          <w:lang w:val="es-ES_tradnl"/>
        </w:rPr>
        <w:t>.</w:t>
      </w:r>
      <w:r w:rsidR="006439BF" w:rsidRPr="00D43C76">
        <w:rPr>
          <w:rFonts w:cs="Calibri"/>
          <w:lang w:val="es-ES_tradnl"/>
        </w:rPr>
        <w:t>1</w:t>
      </w:r>
      <w:r w:rsidRPr="00D43C76">
        <w:rPr>
          <w:rFonts w:cs="Calibri"/>
          <w:lang w:val="es-ES_tradnl"/>
        </w:rPr>
        <w:t>.</w:t>
      </w:r>
      <w:r w:rsidR="006439BF" w:rsidRPr="00D43C76">
        <w:rPr>
          <w:rFonts w:cs="Calibri"/>
          <w:lang w:val="es-ES_tradnl"/>
        </w:rPr>
        <w:t>c</w:t>
      </w:r>
      <w:r w:rsidRPr="00D43C76">
        <w:rPr>
          <w:rFonts w:cs="Calibri"/>
          <w:lang w:val="es-ES_tradnl"/>
        </w:rPr>
        <w:t xml:space="preserve"> de la Convención se dispone que, para que una petición sea admitida, se requiere que su materia “no esté pendiente de otro procedimiento de arreglo internacional</w:t>
      </w:r>
      <w:r w:rsidR="006439BF" w:rsidRPr="00D43C76">
        <w:rPr>
          <w:rFonts w:cs="Calibri"/>
          <w:lang w:val="es-ES_tradnl"/>
        </w:rPr>
        <w:t>”</w:t>
      </w:r>
      <w:r w:rsidRPr="00D43C76">
        <w:rPr>
          <w:rFonts w:cs="Calibri"/>
          <w:lang w:val="es-ES_tradnl"/>
        </w:rPr>
        <w:t xml:space="preserve">, en tanto que, en el </w:t>
      </w:r>
      <w:r w:rsidR="00845E02" w:rsidRPr="00D43C76">
        <w:rPr>
          <w:rFonts w:cs="Calibri"/>
          <w:lang w:val="es-ES_tradnl"/>
        </w:rPr>
        <w:t>artículo</w:t>
      </w:r>
      <w:r w:rsidR="006439BF" w:rsidRPr="00D43C76">
        <w:rPr>
          <w:rFonts w:cs="Calibri"/>
          <w:lang w:val="es-ES_tradnl"/>
        </w:rPr>
        <w:t xml:space="preserve"> 47</w:t>
      </w:r>
      <w:r w:rsidRPr="00D43C76">
        <w:rPr>
          <w:rFonts w:cs="Calibri"/>
          <w:lang w:val="es-ES_tradnl"/>
        </w:rPr>
        <w:t>.</w:t>
      </w:r>
      <w:r w:rsidR="006439BF" w:rsidRPr="00D43C76">
        <w:rPr>
          <w:rFonts w:cs="Calibri"/>
          <w:lang w:val="es-ES_tradnl"/>
        </w:rPr>
        <w:t>d</w:t>
      </w:r>
      <w:r w:rsidRPr="00D43C76">
        <w:rPr>
          <w:rFonts w:cs="Calibri"/>
          <w:lang w:val="es-ES_tradnl"/>
        </w:rPr>
        <w:t xml:space="preserve">, se estipula que </w:t>
      </w:r>
      <w:r w:rsidR="00A365FB" w:rsidRPr="00D43C76">
        <w:rPr>
          <w:rFonts w:cs="Calibri"/>
          <w:lang w:val="es-ES_tradnl"/>
        </w:rPr>
        <w:t>la Comisión</w:t>
      </w:r>
      <w:r w:rsidR="006439BF" w:rsidRPr="00D43C76">
        <w:rPr>
          <w:lang w:val="es-ES_tradnl"/>
        </w:rPr>
        <w:t xml:space="preserve"> </w:t>
      </w:r>
      <w:r w:rsidRPr="00D43C76">
        <w:rPr>
          <w:lang w:val="es-ES_tradnl"/>
        </w:rPr>
        <w:t xml:space="preserve">declarará </w:t>
      </w:r>
      <w:r w:rsidR="006439BF" w:rsidRPr="00D43C76">
        <w:rPr>
          <w:lang w:val="es-ES_tradnl"/>
        </w:rPr>
        <w:t xml:space="preserve">inadmisible </w:t>
      </w:r>
      <w:r w:rsidRPr="00D43C76">
        <w:rPr>
          <w:lang w:val="es-ES_tradnl"/>
        </w:rPr>
        <w:t xml:space="preserve">toda </w:t>
      </w:r>
      <w:r w:rsidR="00D30B57" w:rsidRPr="00D43C76">
        <w:rPr>
          <w:lang w:val="es-ES_tradnl"/>
        </w:rPr>
        <w:t>petición</w:t>
      </w:r>
      <w:r w:rsidR="006439BF" w:rsidRPr="00D43C76">
        <w:rPr>
          <w:lang w:val="es-ES_tradnl"/>
        </w:rPr>
        <w:t xml:space="preserve"> </w:t>
      </w:r>
      <w:r w:rsidRPr="00D43C76">
        <w:rPr>
          <w:lang w:val="es-ES_tradnl"/>
        </w:rPr>
        <w:t xml:space="preserve">que sea sustancialmente la reproducción de una petición o comunicación anterior ya examinada por </w:t>
      </w:r>
      <w:r w:rsidR="00A365FB" w:rsidRPr="00D43C76">
        <w:rPr>
          <w:lang w:val="es-ES_tradnl"/>
        </w:rPr>
        <w:t>la Comisión</w:t>
      </w:r>
      <w:r w:rsidR="006439BF" w:rsidRPr="00D43C76">
        <w:rPr>
          <w:lang w:val="es-ES_tradnl"/>
        </w:rPr>
        <w:t xml:space="preserve"> </w:t>
      </w:r>
      <w:r w:rsidR="00B147B1" w:rsidRPr="00D43C76">
        <w:rPr>
          <w:lang w:val="es-ES_tradnl"/>
        </w:rPr>
        <w:t xml:space="preserve">u otro organismo internacional. En el caso de autos, las partes no han señalado que </w:t>
      </w:r>
      <w:r w:rsidR="00970865" w:rsidRPr="00D43C76">
        <w:rPr>
          <w:lang w:val="es-ES_tradnl"/>
        </w:rPr>
        <w:t xml:space="preserve">exista </w:t>
      </w:r>
      <w:r w:rsidR="00B147B1" w:rsidRPr="00D43C76">
        <w:rPr>
          <w:lang w:val="es-ES_tradnl"/>
        </w:rPr>
        <w:t xml:space="preserve">cualquiera de estas circunstancias, y el expediente no revela </w:t>
      </w:r>
      <w:r w:rsidR="00970865" w:rsidRPr="00D43C76">
        <w:rPr>
          <w:lang w:val="es-ES_tradnl"/>
        </w:rPr>
        <w:t>su existencia.</w:t>
      </w:r>
    </w:p>
    <w:p w14:paraId="7A2E6C12" w14:textId="77777777" w:rsidR="00212721" w:rsidRPr="00D43C76" w:rsidRDefault="00212721" w:rsidP="002F0198">
      <w:pPr>
        <w:rPr>
          <w:lang w:val="es-ES_tradnl"/>
        </w:rPr>
      </w:pPr>
    </w:p>
    <w:p w14:paraId="61F4E200" w14:textId="77777777" w:rsidR="006439BF" w:rsidRPr="00D43C76" w:rsidRDefault="00EE5BA0" w:rsidP="00AC59B4">
      <w:pPr>
        <w:pStyle w:val="Heading3"/>
        <w:keepNext w:val="0"/>
        <w:keepLines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0"/>
        <w:ind w:left="1440" w:hanging="1440"/>
        <w:jc w:val="both"/>
        <w:rPr>
          <w:lang w:val="es-ES_tradnl"/>
        </w:rPr>
      </w:pPr>
      <w:bookmarkStart w:id="26" w:name="_Toc6349144"/>
      <w:bookmarkStart w:id="27" w:name="_Toc58491236"/>
      <w:bookmarkStart w:id="28" w:name="_Toc413687821"/>
      <w:bookmarkStart w:id="29" w:name="_Toc447208873"/>
      <w:bookmarkStart w:id="30" w:name="_Toc447213179"/>
      <w:bookmarkStart w:id="31" w:name="_Toc475546046"/>
      <w:bookmarkStart w:id="32" w:name="_Toc485650792"/>
      <w:bookmarkStart w:id="33" w:name="_Toc23349335"/>
      <w:r w:rsidRPr="00D43C76">
        <w:rPr>
          <w:color w:val="auto"/>
          <w:sz w:val="20"/>
          <w:szCs w:val="20"/>
          <w:lang w:val="es-ES_tradnl"/>
        </w:rPr>
        <w:t>Caracterización</w:t>
      </w:r>
      <w:bookmarkEnd w:id="26"/>
      <w:r w:rsidRPr="00D43C76">
        <w:rPr>
          <w:color w:val="auto"/>
          <w:sz w:val="20"/>
          <w:szCs w:val="20"/>
          <w:lang w:val="es-ES_tradnl"/>
        </w:rPr>
        <w:t xml:space="preserve"> de los hechos alegados</w:t>
      </w:r>
      <w:bookmarkEnd w:id="27"/>
      <w:r w:rsidR="006439BF" w:rsidRPr="00D43C76">
        <w:rPr>
          <w:color w:val="auto"/>
          <w:sz w:val="20"/>
          <w:szCs w:val="20"/>
          <w:lang w:val="es-ES_tradnl"/>
        </w:rPr>
        <w:t xml:space="preserve"> </w:t>
      </w:r>
      <w:bookmarkEnd w:id="28"/>
      <w:bookmarkEnd w:id="29"/>
      <w:bookmarkEnd w:id="30"/>
      <w:bookmarkEnd w:id="31"/>
      <w:bookmarkEnd w:id="32"/>
      <w:bookmarkEnd w:id="33"/>
    </w:p>
    <w:p w14:paraId="0A8F16C2" w14:textId="77777777" w:rsidR="006439BF" w:rsidRPr="00D43C76" w:rsidRDefault="006439BF" w:rsidP="006439BF">
      <w:pPr>
        <w:rPr>
          <w:lang w:val="es-ES_tradnl"/>
        </w:rPr>
      </w:pPr>
    </w:p>
    <w:p w14:paraId="2E68D483" w14:textId="77777777" w:rsidR="00A738AB" w:rsidRPr="00D43C76" w:rsidRDefault="00274587" w:rsidP="00A738AB">
      <w:pPr>
        <w:pStyle w:val="parrafos"/>
        <w:numPr>
          <w:ilvl w:val="0"/>
          <w:numId w:val="57"/>
        </w:numPr>
        <w:tabs>
          <w:tab w:val="clear" w:pos="1080"/>
          <w:tab w:val="left" w:pos="720"/>
        </w:tabs>
        <w:ind w:left="0" w:firstLine="0"/>
        <w:rPr>
          <w:rFonts w:cs="Calibri"/>
          <w:lang w:val="es-ES_tradnl"/>
        </w:rPr>
      </w:pPr>
      <w:r w:rsidRPr="00D43C76">
        <w:rPr>
          <w:rFonts w:cs="Calibri"/>
          <w:lang w:val="es-ES_tradnl"/>
        </w:rPr>
        <w:t xml:space="preserve">A efectos de la </w:t>
      </w:r>
      <w:r w:rsidR="00851B40" w:rsidRPr="00D43C76">
        <w:rPr>
          <w:rFonts w:cs="Calibri"/>
          <w:lang w:val="es-ES_tradnl"/>
        </w:rPr>
        <w:t>admisibilidad</w:t>
      </w:r>
      <w:r w:rsidR="006439BF" w:rsidRPr="00D43C76">
        <w:rPr>
          <w:rFonts w:cs="Calibri"/>
          <w:lang w:val="es-ES_tradnl"/>
        </w:rPr>
        <w:t xml:space="preserve">, </w:t>
      </w:r>
      <w:r w:rsidR="00A365FB" w:rsidRPr="00D43C76">
        <w:rPr>
          <w:rFonts w:cs="Calibri"/>
          <w:lang w:val="es-ES_tradnl"/>
        </w:rPr>
        <w:t>la Comisión</w:t>
      </w:r>
      <w:r w:rsidR="006439BF" w:rsidRPr="00D43C76">
        <w:rPr>
          <w:rFonts w:cs="Calibri"/>
          <w:lang w:val="es-ES_tradnl"/>
        </w:rPr>
        <w:t xml:space="preserve"> </w:t>
      </w:r>
      <w:r w:rsidRPr="00D43C76">
        <w:rPr>
          <w:rFonts w:cs="Calibri"/>
          <w:lang w:val="es-ES_tradnl"/>
        </w:rPr>
        <w:t xml:space="preserve">debe decidir si </w:t>
      </w:r>
      <w:r w:rsidR="00F16DDB" w:rsidRPr="00D43C76">
        <w:rPr>
          <w:rFonts w:cs="Calibri"/>
          <w:lang w:val="es-ES_tradnl"/>
        </w:rPr>
        <w:t xml:space="preserve">en la </w:t>
      </w:r>
      <w:r w:rsidR="00D30B57" w:rsidRPr="00D43C76">
        <w:rPr>
          <w:rFonts w:cs="Calibri"/>
          <w:lang w:val="es-ES_tradnl"/>
        </w:rPr>
        <w:t>petición</w:t>
      </w:r>
      <w:r w:rsidR="006439BF" w:rsidRPr="00D43C76">
        <w:rPr>
          <w:rFonts w:cs="Calibri"/>
          <w:lang w:val="es-ES_tradnl"/>
        </w:rPr>
        <w:t xml:space="preserve"> </w:t>
      </w:r>
      <w:r w:rsidR="00F16DDB" w:rsidRPr="00D43C76">
        <w:rPr>
          <w:rFonts w:cs="Calibri"/>
          <w:lang w:val="es-ES_tradnl"/>
        </w:rPr>
        <w:t xml:space="preserve">se exponen hechos que </w:t>
      </w:r>
      <w:r w:rsidR="00970865" w:rsidRPr="00D43C76">
        <w:rPr>
          <w:rFonts w:cs="Calibri"/>
          <w:lang w:val="es-ES_tradnl"/>
        </w:rPr>
        <w:t xml:space="preserve">caractericen </w:t>
      </w:r>
      <w:r w:rsidR="00F16DDB" w:rsidRPr="00D43C76">
        <w:rPr>
          <w:rFonts w:cs="Calibri"/>
          <w:lang w:val="es-ES_tradnl"/>
        </w:rPr>
        <w:t>una violación</w:t>
      </w:r>
      <w:r w:rsidR="00970865" w:rsidRPr="00D43C76">
        <w:rPr>
          <w:rFonts w:cs="Calibri"/>
          <w:lang w:val="es-ES_tradnl"/>
        </w:rPr>
        <w:t xml:space="preserve"> de acuerdo con </w:t>
      </w:r>
      <w:r w:rsidR="00F16DDB" w:rsidRPr="00D43C76">
        <w:rPr>
          <w:rFonts w:cs="Calibri"/>
          <w:lang w:val="es-ES_tradnl"/>
        </w:rPr>
        <w:t xml:space="preserve">lo dispuesto en el </w:t>
      </w:r>
      <w:r w:rsidR="00845E02" w:rsidRPr="00D43C76">
        <w:rPr>
          <w:rFonts w:cs="Calibri"/>
          <w:lang w:val="es-ES_tradnl"/>
        </w:rPr>
        <w:t>artículo</w:t>
      </w:r>
      <w:r w:rsidR="006439BF" w:rsidRPr="00D43C76">
        <w:rPr>
          <w:rFonts w:cs="Calibri"/>
          <w:lang w:val="es-ES_tradnl"/>
        </w:rPr>
        <w:t xml:space="preserve"> 47</w:t>
      </w:r>
      <w:r w:rsidR="00F16DDB" w:rsidRPr="00D43C76">
        <w:rPr>
          <w:rFonts w:cs="Calibri"/>
          <w:lang w:val="es-ES_tradnl"/>
        </w:rPr>
        <w:t>.</w:t>
      </w:r>
      <w:r w:rsidR="006439BF" w:rsidRPr="00D43C76">
        <w:rPr>
          <w:rFonts w:cs="Calibri"/>
          <w:lang w:val="es-ES_tradnl"/>
        </w:rPr>
        <w:t>b</w:t>
      </w:r>
      <w:r w:rsidR="00970865" w:rsidRPr="00D43C76">
        <w:rPr>
          <w:rFonts w:cs="Calibri"/>
          <w:lang w:val="es-ES_tradnl"/>
        </w:rPr>
        <w:t xml:space="preserve"> de la Convención o</w:t>
      </w:r>
      <w:r w:rsidR="006439BF" w:rsidRPr="00D43C76">
        <w:rPr>
          <w:rFonts w:cs="Calibri"/>
          <w:lang w:val="es-ES_tradnl"/>
        </w:rPr>
        <w:t xml:space="preserve"> </w:t>
      </w:r>
      <w:r w:rsidR="00F16DDB" w:rsidRPr="00D43C76">
        <w:rPr>
          <w:rFonts w:cs="Calibri"/>
          <w:lang w:val="es-ES_tradnl"/>
        </w:rPr>
        <w:t xml:space="preserve">si </w:t>
      </w:r>
      <w:r w:rsidR="00D30B57" w:rsidRPr="00D43C76">
        <w:rPr>
          <w:rFonts w:cs="Calibri"/>
          <w:lang w:val="es-ES_tradnl"/>
        </w:rPr>
        <w:t>la petición</w:t>
      </w:r>
      <w:r w:rsidR="006439BF" w:rsidRPr="00D43C76">
        <w:rPr>
          <w:rFonts w:cs="Calibri"/>
          <w:lang w:val="es-ES_tradnl"/>
        </w:rPr>
        <w:t xml:space="preserve"> </w:t>
      </w:r>
      <w:r w:rsidR="00F16DDB" w:rsidRPr="00D43C76">
        <w:rPr>
          <w:rFonts w:cs="Calibri"/>
          <w:lang w:val="es-ES_tradnl"/>
        </w:rPr>
        <w:t>e</w:t>
      </w:r>
      <w:r w:rsidR="006439BF" w:rsidRPr="00D43C76">
        <w:rPr>
          <w:rFonts w:cs="Calibri"/>
          <w:lang w:val="es-ES_tradnl"/>
        </w:rPr>
        <w:t>s “manif</w:t>
      </w:r>
      <w:r w:rsidR="007D13A8" w:rsidRPr="00D43C76">
        <w:rPr>
          <w:rFonts w:cs="Calibri"/>
          <w:lang w:val="es-ES_tradnl"/>
        </w:rPr>
        <w:t>iestamente infundada</w:t>
      </w:r>
      <w:r w:rsidR="006439BF" w:rsidRPr="00D43C76">
        <w:rPr>
          <w:rFonts w:cs="Calibri"/>
          <w:lang w:val="es-ES_tradnl"/>
        </w:rPr>
        <w:t xml:space="preserve">” o </w:t>
      </w:r>
      <w:r w:rsidR="00F16DDB" w:rsidRPr="00D43C76">
        <w:rPr>
          <w:rFonts w:cs="Calibri"/>
          <w:lang w:val="es-ES_tradnl"/>
        </w:rPr>
        <w:t>si es “evidente su total improcedencia”</w:t>
      </w:r>
      <w:r w:rsidR="006439BF" w:rsidRPr="00D43C76">
        <w:rPr>
          <w:rFonts w:cs="Calibri"/>
          <w:lang w:val="es-ES_tradnl"/>
        </w:rPr>
        <w:t xml:space="preserve"> </w:t>
      </w:r>
      <w:r w:rsidR="00F16DDB" w:rsidRPr="00D43C76">
        <w:rPr>
          <w:rFonts w:cs="Calibri"/>
          <w:lang w:val="es-ES_tradnl"/>
        </w:rPr>
        <w:t xml:space="preserve">de acuerdo con el inciso </w:t>
      </w:r>
      <w:r w:rsidR="006439BF" w:rsidRPr="00D43C76">
        <w:rPr>
          <w:rFonts w:cs="Calibri"/>
          <w:lang w:val="es-ES_tradnl"/>
        </w:rPr>
        <w:t>c</w:t>
      </w:r>
      <w:r w:rsidR="00F16DDB" w:rsidRPr="00D43C76">
        <w:rPr>
          <w:rFonts w:cs="Calibri"/>
          <w:lang w:val="es-ES_tradnl"/>
        </w:rPr>
        <w:t xml:space="preserve"> de dicho artículo. La norma relativa a estos dos requisitos es diferente de la que se emplea para tomar una decisión sobre el fondo de una queja</w:t>
      </w:r>
      <w:r w:rsidR="006439BF" w:rsidRPr="00D43C76">
        <w:rPr>
          <w:rFonts w:cs="Calibri"/>
          <w:lang w:val="es-ES_tradnl"/>
        </w:rPr>
        <w:t xml:space="preserve">. </w:t>
      </w:r>
      <w:r w:rsidR="00A365FB" w:rsidRPr="00D43C76">
        <w:rPr>
          <w:rFonts w:cs="Calibri"/>
          <w:lang w:val="es-ES_tradnl"/>
        </w:rPr>
        <w:t>La Comisión</w:t>
      </w:r>
      <w:r w:rsidR="006439BF" w:rsidRPr="00D43C76">
        <w:rPr>
          <w:rFonts w:cs="Calibri"/>
          <w:lang w:val="es-ES_tradnl"/>
        </w:rPr>
        <w:t xml:space="preserve"> </w:t>
      </w:r>
      <w:r w:rsidR="00F16DDB" w:rsidRPr="00D43C76">
        <w:rPr>
          <w:rFonts w:cs="Calibri"/>
          <w:lang w:val="es-ES_tradnl"/>
        </w:rPr>
        <w:t xml:space="preserve">debe hacer una evaluación </w:t>
      </w:r>
      <w:r w:rsidR="006439BF" w:rsidRPr="00D43C76">
        <w:rPr>
          <w:rFonts w:cs="Calibri"/>
          <w:i/>
          <w:lang w:val="es-ES_tradnl"/>
        </w:rPr>
        <w:t>prima facie</w:t>
      </w:r>
      <w:r w:rsidR="006439BF" w:rsidRPr="00D43C76">
        <w:rPr>
          <w:rFonts w:cs="Calibri"/>
          <w:lang w:val="es-ES_tradnl"/>
        </w:rPr>
        <w:t xml:space="preserve"> </w:t>
      </w:r>
      <w:r w:rsidR="00F16DDB" w:rsidRPr="00D43C76">
        <w:rPr>
          <w:rFonts w:cs="Calibri"/>
          <w:lang w:val="es-ES_tradnl"/>
        </w:rPr>
        <w:t xml:space="preserve">para determinar si en la queja se ha fundamentado la aparente o posible violación de un derecho garantizado en la Convención, pero no para demostrar la existencia de una violación. Esta evaluación es un análisis resumido que no prejuzga el fondo ni </w:t>
      </w:r>
      <w:r w:rsidR="00970865" w:rsidRPr="00D43C76">
        <w:rPr>
          <w:rFonts w:cs="Calibri"/>
          <w:lang w:val="es-ES_tradnl"/>
        </w:rPr>
        <w:t xml:space="preserve">da lugar a </w:t>
      </w:r>
      <w:r w:rsidR="00F16DDB" w:rsidRPr="00D43C76">
        <w:rPr>
          <w:rFonts w:cs="Calibri"/>
          <w:lang w:val="es-ES_tradnl"/>
        </w:rPr>
        <w:t>una opinión anticipada al respecto</w:t>
      </w:r>
      <w:r w:rsidR="006439BF" w:rsidRPr="00D43C76">
        <w:rPr>
          <w:rFonts w:cs="Calibri"/>
          <w:lang w:val="es-ES_tradnl"/>
        </w:rPr>
        <w:t>.</w:t>
      </w:r>
    </w:p>
    <w:p w14:paraId="06AD7CBC" w14:textId="77777777" w:rsidR="00A738AB" w:rsidRPr="00D43C76" w:rsidRDefault="00A738AB" w:rsidP="00A738AB">
      <w:pPr>
        <w:pStyle w:val="parrafos"/>
        <w:tabs>
          <w:tab w:val="left" w:pos="720"/>
        </w:tabs>
        <w:rPr>
          <w:rFonts w:cs="Calibri"/>
          <w:lang w:val="es-ES_tradnl"/>
        </w:rPr>
      </w:pPr>
    </w:p>
    <w:p w14:paraId="4896F54A" w14:textId="77777777" w:rsidR="00A738AB" w:rsidRPr="00D43C76" w:rsidRDefault="006439BF" w:rsidP="00A738AB">
      <w:pPr>
        <w:pStyle w:val="parrafos"/>
        <w:numPr>
          <w:ilvl w:val="0"/>
          <w:numId w:val="57"/>
        </w:numPr>
        <w:tabs>
          <w:tab w:val="clear" w:pos="1080"/>
          <w:tab w:val="left" w:pos="720"/>
        </w:tabs>
        <w:ind w:left="0" w:firstLine="0"/>
        <w:rPr>
          <w:rFonts w:cs="Calibri"/>
          <w:lang w:val="es-ES_tradnl"/>
        </w:rPr>
      </w:pPr>
      <w:r w:rsidRPr="00D43C76">
        <w:rPr>
          <w:iCs/>
          <w:lang w:val="es-ES_tradnl"/>
        </w:rPr>
        <w:lastRenderedPageBreak/>
        <w:t>N</w:t>
      </w:r>
      <w:r w:rsidR="00F16DDB" w:rsidRPr="00D43C76">
        <w:rPr>
          <w:iCs/>
          <w:lang w:val="es-ES_tradnl"/>
        </w:rPr>
        <w:t xml:space="preserve">i en </w:t>
      </w:r>
      <w:r w:rsidR="00845E02" w:rsidRPr="00D43C76">
        <w:rPr>
          <w:iCs/>
          <w:lang w:val="es-ES_tradnl"/>
        </w:rPr>
        <w:t xml:space="preserve">la Convención </w:t>
      </w:r>
      <w:r w:rsidRPr="00D43C76">
        <w:rPr>
          <w:iCs/>
          <w:lang w:val="es-ES_tradnl"/>
        </w:rPr>
        <w:t>n</w:t>
      </w:r>
      <w:r w:rsidR="00F16DDB" w:rsidRPr="00D43C76">
        <w:rPr>
          <w:iCs/>
          <w:lang w:val="es-ES_tradnl"/>
        </w:rPr>
        <w:t xml:space="preserve">i en el Reglamento de </w:t>
      </w:r>
      <w:r w:rsidR="00A365FB" w:rsidRPr="00D43C76">
        <w:rPr>
          <w:iCs/>
          <w:lang w:val="es-ES_tradnl"/>
        </w:rPr>
        <w:t>la CIDH</w:t>
      </w:r>
      <w:r w:rsidRPr="00D43C76">
        <w:rPr>
          <w:iCs/>
          <w:lang w:val="es-ES_tradnl"/>
        </w:rPr>
        <w:t xml:space="preserve"> </w:t>
      </w:r>
      <w:r w:rsidR="00F16DDB" w:rsidRPr="00D43C76">
        <w:rPr>
          <w:iCs/>
          <w:lang w:val="es-ES_tradnl"/>
        </w:rPr>
        <w:t xml:space="preserve">se requiere que </w:t>
      </w:r>
      <w:r w:rsidR="00BD169F" w:rsidRPr="00D43C76">
        <w:rPr>
          <w:iCs/>
          <w:lang w:val="es-ES_tradnl"/>
        </w:rPr>
        <w:t>la peticionaria</w:t>
      </w:r>
      <w:r w:rsidR="00F16DDB" w:rsidRPr="00D43C76">
        <w:rPr>
          <w:iCs/>
          <w:lang w:val="es-ES_tradnl"/>
        </w:rPr>
        <w:t xml:space="preserve"> indique los derechos específicos presuntamente violados por </w:t>
      </w:r>
      <w:r w:rsidR="00A365FB" w:rsidRPr="00D43C76">
        <w:rPr>
          <w:iCs/>
          <w:lang w:val="es-ES_tradnl"/>
        </w:rPr>
        <w:t>el Estado</w:t>
      </w:r>
      <w:r w:rsidRPr="00D43C76">
        <w:rPr>
          <w:iCs/>
          <w:lang w:val="es-ES_tradnl"/>
        </w:rPr>
        <w:t xml:space="preserve"> </w:t>
      </w:r>
      <w:r w:rsidR="00F16DDB" w:rsidRPr="00D43C76">
        <w:rPr>
          <w:iCs/>
          <w:lang w:val="es-ES_tradnl"/>
        </w:rPr>
        <w:t xml:space="preserve">en el asunto que tramita ante </w:t>
      </w:r>
      <w:r w:rsidR="00A365FB" w:rsidRPr="00D43C76">
        <w:rPr>
          <w:iCs/>
          <w:lang w:val="es-ES_tradnl"/>
        </w:rPr>
        <w:t>la Comisión</w:t>
      </w:r>
      <w:r w:rsidRPr="00D43C76">
        <w:rPr>
          <w:iCs/>
          <w:lang w:val="es-ES_tradnl"/>
        </w:rPr>
        <w:t>, a</w:t>
      </w:r>
      <w:r w:rsidR="00F16DDB" w:rsidRPr="00D43C76">
        <w:rPr>
          <w:iCs/>
          <w:lang w:val="es-ES_tradnl"/>
        </w:rPr>
        <w:t xml:space="preserve">unque </w:t>
      </w:r>
      <w:r w:rsidR="00BD169F" w:rsidRPr="00D43C76">
        <w:rPr>
          <w:iCs/>
          <w:lang w:val="es-ES_tradnl"/>
        </w:rPr>
        <w:t>la peticionaria</w:t>
      </w:r>
      <w:r w:rsidRPr="00D43C76">
        <w:rPr>
          <w:iCs/>
          <w:lang w:val="es-ES_tradnl"/>
        </w:rPr>
        <w:t xml:space="preserve"> </w:t>
      </w:r>
      <w:r w:rsidR="00F16DDB" w:rsidRPr="00D43C76">
        <w:rPr>
          <w:iCs/>
          <w:lang w:val="es-ES_tradnl"/>
        </w:rPr>
        <w:t xml:space="preserve">puede hacerlo. Incumbe a </w:t>
      </w:r>
      <w:r w:rsidR="00A365FB" w:rsidRPr="00D43C76">
        <w:rPr>
          <w:iCs/>
          <w:lang w:val="es-ES_tradnl"/>
        </w:rPr>
        <w:t>la Comisión</w:t>
      </w:r>
      <w:r w:rsidRPr="00D43C76">
        <w:rPr>
          <w:iCs/>
          <w:lang w:val="es-ES_tradnl"/>
        </w:rPr>
        <w:t xml:space="preserve">, </w:t>
      </w:r>
      <w:r w:rsidR="00F16DDB" w:rsidRPr="00D43C76">
        <w:rPr>
          <w:iCs/>
          <w:lang w:val="es-ES_tradnl"/>
        </w:rPr>
        <w:t xml:space="preserve">de acuerdo con la jurisprudencia del sistema, </w:t>
      </w:r>
      <w:r w:rsidRPr="00D43C76">
        <w:rPr>
          <w:iCs/>
          <w:lang w:val="es-ES_tradnl"/>
        </w:rPr>
        <w:t>determin</w:t>
      </w:r>
      <w:r w:rsidR="00F16DDB" w:rsidRPr="00D43C76">
        <w:rPr>
          <w:iCs/>
          <w:lang w:val="es-ES_tradnl"/>
        </w:rPr>
        <w:t xml:space="preserve">ar en su informe de </w:t>
      </w:r>
      <w:r w:rsidR="00851B40" w:rsidRPr="00D43C76">
        <w:rPr>
          <w:iCs/>
          <w:lang w:val="es-ES_tradnl"/>
        </w:rPr>
        <w:t>admisibilidad</w:t>
      </w:r>
      <w:r w:rsidRPr="00D43C76">
        <w:rPr>
          <w:iCs/>
          <w:lang w:val="es-ES_tradnl"/>
        </w:rPr>
        <w:t xml:space="preserve"> </w:t>
      </w:r>
      <w:r w:rsidR="00F16DDB" w:rsidRPr="00D43C76">
        <w:rPr>
          <w:iCs/>
          <w:lang w:val="es-ES_tradnl"/>
        </w:rPr>
        <w:t>qué disposiciones de los instrumentos interamericanos pertinentes se aplican,</w:t>
      </w:r>
      <w:r w:rsidR="0034591F" w:rsidRPr="00D43C76">
        <w:rPr>
          <w:iCs/>
          <w:lang w:val="es-ES_tradnl"/>
        </w:rPr>
        <w:t xml:space="preserve"> </w:t>
      </w:r>
      <w:r w:rsidR="00F16DDB" w:rsidRPr="00D43C76">
        <w:rPr>
          <w:iCs/>
          <w:lang w:val="es-ES_tradnl"/>
        </w:rPr>
        <w:t xml:space="preserve">cuya violación podría demostrarse de probarse </w:t>
      </w:r>
      <w:r w:rsidR="00970865" w:rsidRPr="00D43C76">
        <w:rPr>
          <w:iCs/>
          <w:lang w:val="es-ES_tradnl"/>
        </w:rPr>
        <w:t xml:space="preserve">en medida </w:t>
      </w:r>
      <w:r w:rsidR="00F16DDB" w:rsidRPr="00D43C76">
        <w:rPr>
          <w:iCs/>
          <w:lang w:val="es-ES_tradnl"/>
        </w:rPr>
        <w:t>suficiente</w:t>
      </w:r>
      <w:r w:rsidR="00970865" w:rsidRPr="00D43C76">
        <w:rPr>
          <w:iCs/>
          <w:lang w:val="es-ES_tradnl"/>
        </w:rPr>
        <w:t xml:space="preserve"> los hechos alegados</w:t>
      </w:r>
      <w:r w:rsidRPr="00D43C76">
        <w:rPr>
          <w:iCs/>
          <w:lang w:val="es-ES_tradnl"/>
        </w:rPr>
        <w:t>.</w:t>
      </w:r>
    </w:p>
    <w:p w14:paraId="624CEC2D" w14:textId="77777777" w:rsidR="00A738AB" w:rsidRPr="00D43C76" w:rsidRDefault="00A738AB" w:rsidP="00A738AB">
      <w:pPr>
        <w:pStyle w:val="ListParagraph"/>
        <w:rPr>
          <w:rFonts w:cs="Calibri"/>
          <w:lang w:val="es-ES_tradnl"/>
        </w:rPr>
      </w:pPr>
    </w:p>
    <w:p w14:paraId="3C0D6173" w14:textId="77777777" w:rsidR="00A738AB" w:rsidRPr="00D43C76" w:rsidRDefault="00A365FB" w:rsidP="00A738AB">
      <w:pPr>
        <w:pStyle w:val="parrafos"/>
        <w:numPr>
          <w:ilvl w:val="0"/>
          <w:numId w:val="57"/>
        </w:numPr>
        <w:tabs>
          <w:tab w:val="clear" w:pos="1080"/>
          <w:tab w:val="left" w:pos="720"/>
        </w:tabs>
        <w:ind w:left="0" w:firstLine="0"/>
        <w:rPr>
          <w:rFonts w:cs="Calibri"/>
          <w:lang w:val="es-ES_tradnl"/>
        </w:rPr>
      </w:pPr>
      <w:r w:rsidRPr="00D43C76">
        <w:rPr>
          <w:rFonts w:cs="Calibri"/>
          <w:lang w:val="es-ES_tradnl"/>
        </w:rPr>
        <w:t>La Comisión</w:t>
      </w:r>
      <w:r w:rsidR="005808A8" w:rsidRPr="00D43C76">
        <w:rPr>
          <w:rFonts w:cs="Calibri"/>
          <w:lang w:val="es-ES_tradnl"/>
        </w:rPr>
        <w:t xml:space="preserve"> consider</w:t>
      </w:r>
      <w:r w:rsidR="00F16DDB" w:rsidRPr="00D43C76">
        <w:rPr>
          <w:rFonts w:cs="Calibri"/>
          <w:lang w:val="es-ES_tradnl"/>
        </w:rPr>
        <w:t xml:space="preserve">a que los hechos alegados por </w:t>
      </w:r>
      <w:r w:rsidR="00BD169F" w:rsidRPr="00D43C76">
        <w:rPr>
          <w:rFonts w:cs="Calibri"/>
          <w:lang w:val="es-ES_tradnl"/>
        </w:rPr>
        <w:t>la peticionaria</w:t>
      </w:r>
      <w:r w:rsidR="00F57F4C" w:rsidRPr="00D43C76">
        <w:rPr>
          <w:rFonts w:cs="Calibri"/>
          <w:lang w:val="es-ES_tradnl"/>
        </w:rPr>
        <w:t>, de probarse, podrían constituir una violación de los derechos enunciados en los</w:t>
      </w:r>
      <w:r w:rsidR="005808A8" w:rsidRPr="00D43C76">
        <w:rPr>
          <w:rFonts w:cs="Calibri"/>
          <w:lang w:val="es-ES_tradnl"/>
        </w:rPr>
        <w:t xml:space="preserve"> </w:t>
      </w:r>
      <w:r w:rsidR="00845E02" w:rsidRPr="00D43C76">
        <w:rPr>
          <w:rFonts w:cs="Calibri"/>
          <w:lang w:val="es-ES_tradnl"/>
        </w:rPr>
        <w:t>artículo</w:t>
      </w:r>
      <w:r w:rsidR="005808A8" w:rsidRPr="00D43C76">
        <w:rPr>
          <w:rFonts w:cs="Calibri"/>
          <w:lang w:val="es-ES_tradnl"/>
        </w:rPr>
        <w:t>s 5, 11, 22, 24, 25</w:t>
      </w:r>
      <w:r w:rsidR="00F57F4C" w:rsidRPr="00D43C76">
        <w:rPr>
          <w:rFonts w:cs="Calibri"/>
          <w:lang w:val="es-ES_tradnl"/>
        </w:rPr>
        <w:t xml:space="preserve"> y</w:t>
      </w:r>
      <w:r w:rsidR="005808A8" w:rsidRPr="00D43C76">
        <w:rPr>
          <w:rFonts w:cs="Calibri"/>
          <w:lang w:val="es-ES_tradnl"/>
        </w:rPr>
        <w:t xml:space="preserve"> 26 </w:t>
      </w:r>
      <w:r w:rsidR="00F57F4C" w:rsidRPr="00D43C76">
        <w:rPr>
          <w:rFonts w:cs="Calibri"/>
          <w:lang w:val="es-ES_tradnl"/>
        </w:rPr>
        <w:t xml:space="preserve">de la Convención </w:t>
      </w:r>
      <w:r w:rsidR="00F26833" w:rsidRPr="00D43C76">
        <w:rPr>
          <w:rFonts w:cs="Calibri"/>
          <w:lang w:val="es-ES_tradnl"/>
        </w:rPr>
        <w:t xml:space="preserve">en lo que respecta a </w:t>
      </w:r>
      <w:r w:rsidR="00F57F4C" w:rsidRPr="00D43C76">
        <w:rPr>
          <w:rFonts w:cs="Calibri"/>
          <w:lang w:val="es-ES_tradnl"/>
        </w:rPr>
        <w:t xml:space="preserve">las obligaciones establecidas en </w:t>
      </w:r>
      <w:r w:rsidR="00F26833" w:rsidRPr="00D43C76">
        <w:rPr>
          <w:rFonts w:cs="Calibri"/>
          <w:lang w:val="es-ES_tradnl"/>
        </w:rPr>
        <w:t>sus</w:t>
      </w:r>
      <w:r w:rsidR="00F57F4C" w:rsidRPr="00D43C76">
        <w:rPr>
          <w:rFonts w:cs="Calibri"/>
          <w:lang w:val="es-ES_tradnl"/>
        </w:rPr>
        <w:t xml:space="preserve"> </w:t>
      </w:r>
      <w:r w:rsidR="00845E02" w:rsidRPr="00D43C76">
        <w:rPr>
          <w:rFonts w:cs="Calibri"/>
          <w:lang w:val="es-ES_tradnl"/>
        </w:rPr>
        <w:t>artículo</w:t>
      </w:r>
      <w:r w:rsidR="005808A8" w:rsidRPr="00D43C76">
        <w:rPr>
          <w:rFonts w:cs="Calibri"/>
          <w:lang w:val="es-ES_tradnl"/>
        </w:rPr>
        <w:t xml:space="preserve">s 1.1 </w:t>
      </w:r>
      <w:r w:rsidR="00F57F4C" w:rsidRPr="00D43C76">
        <w:rPr>
          <w:rFonts w:cs="Calibri"/>
          <w:lang w:val="es-ES_tradnl"/>
        </w:rPr>
        <w:t>y</w:t>
      </w:r>
      <w:r w:rsidR="005808A8" w:rsidRPr="00D43C76">
        <w:rPr>
          <w:rFonts w:cs="Calibri"/>
          <w:lang w:val="es-ES_tradnl"/>
        </w:rPr>
        <w:t xml:space="preserve"> 2</w:t>
      </w:r>
      <w:r w:rsidR="00F57F4C" w:rsidRPr="00D43C76">
        <w:rPr>
          <w:rFonts w:cs="Calibri"/>
          <w:lang w:val="es-ES_tradnl"/>
        </w:rPr>
        <w:t xml:space="preserve">, en perjuicio de </w:t>
      </w:r>
      <w:r w:rsidR="007E65FB" w:rsidRPr="00D43C76">
        <w:rPr>
          <w:rFonts w:cs="Calibri"/>
          <w:lang w:val="es-ES_tradnl"/>
        </w:rPr>
        <w:t xml:space="preserve">T. B. </w:t>
      </w:r>
      <w:r w:rsidR="00F57F4C" w:rsidRPr="00D43C76">
        <w:rPr>
          <w:rFonts w:cs="Calibri"/>
          <w:lang w:val="es-ES_tradnl"/>
        </w:rPr>
        <w:t>y</w:t>
      </w:r>
      <w:r w:rsidR="005808A8" w:rsidRPr="00D43C76">
        <w:rPr>
          <w:rFonts w:cs="Calibri"/>
          <w:lang w:val="es-ES_tradnl"/>
        </w:rPr>
        <w:t xml:space="preserve"> </w:t>
      </w:r>
      <w:r w:rsidR="007E65FB" w:rsidRPr="00D43C76">
        <w:rPr>
          <w:rFonts w:cs="Calibri"/>
          <w:lang w:val="es-ES_tradnl"/>
        </w:rPr>
        <w:t>S. H.</w:t>
      </w:r>
      <w:r w:rsidR="005808A8" w:rsidRPr="00D43C76">
        <w:rPr>
          <w:rFonts w:cs="Calibri"/>
          <w:lang w:val="es-ES_tradnl"/>
        </w:rPr>
        <w:t xml:space="preserve"> </w:t>
      </w:r>
    </w:p>
    <w:p w14:paraId="68605037" w14:textId="77777777" w:rsidR="005808A8" w:rsidRPr="00D43C76" w:rsidRDefault="005808A8" w:rsidP="002F0198">
      <w:pPr>
        <w:rPr>
          <w:lang w:val="es-ES_tradnl"/>
        </w:rPr>
      </w:pPr>
    </w:p>
    <w:p w14:paraId="51F24D35" w14:textId="77777777" w:rsidR="00040ECB" w:rsidRPr="00D43C76" w:rsidRDefault="00EE5BA0" w:rsidP="000F253D">
      <w:pPr>
        <w:pStyle w:val="Heading1"/>
        <w:spacing w:before="0"/>
        <w:ind w:left="360"/>
        <w:rPr>
          <w:color w:val="auto"/>
          <w:sz w:val="20"/>
          <w:szCs w:val="20"/>
          <w:lang w:val="es-ES_tradnl"/>
        </w:rPr>
      </w:pPr>
      <w:bookmarkStart w:id="34" w:name="_Toc16152270"/>
      <w:bookmarkStart w:id="35" w:name="_Toc18144534"/>
      <w:bookmarkStart w:id="36" w:name="_Toc58491237"/>
      <w:r w:rsidRPr="00D43C76">
        <w:rPr>
          <w:color w:val="auto"/>
          <w:sz w:val="20"/>
          <w:szCs w:val="20"/>
          <w:lang w:val="es-ES_tradnl"/>
        </w:rPr>
        <w:t>DETERMINACIONES</w:t>
      </w:r>
      <w:bookmarkEnd w:id="34"/>
      <w:r w:rsidRPr="00D43C76">
        <w:rPr>
          <w:color w:val="auto"/>
          <w:sz w:val="20"/>
          <w:szCs w:val="20"/>
          <w:lang w:val="es-ES_tradnl"/>
        </w:rPr>
        <w:t xml:space="preserve"> DE HECHO</w:t>
      </w:r>
      <w:bookmarkEnd w:id="35"/>
      <w:bookmarkEnd w:id="36"/>
    </w:p>
    <w:p w14:paraId="5788D46D" w14:textId="77777777" w:rsidR="000F253D" w:rsidRPr="00D43C76" w:rsidRDefault="000F253D" w:rsidP="000F253D">
      <w:pPr>
        <w:rPr>
          <w:lang w:val="es-ES_tradnl"/>
        </w:rPr>
      </w:pPr>
    </w:p>
    <w:p w14:paraId="374A4233" w14:textId="77777777" w:rsidR="00DD2AD4" w:rsidRPr="00D43C76" w:rsidRDefault="00EE5BA0" w:rsidP="006637A4">
      <w:pPr>
        <w:pStyle w:val="Heading2"/>
        <w:numPr>
          <w:ilvl w:val="0"/>
          <w:numId w:val="63"/>
        </w:numPr>
        <w:spacing w:before="0"/>
        <w:rPr>
          <w:color w:val="auto"/>
          <w:sz w:val="20"/>
          <w:szCs w:val="20"/>
          <w:lang w:val="es-ES_tradnl"/>
        </w:rPr>
      </w:pPr>
      <w:bookmarkStart w:id="37" w:name="_Toc18144535"/>
      <w:bookmarkStart w:id="38" w:name="_Toc58491238"/>
      <w:r w:rsidRPr="00D43C76">
        <w:rPr>
          <w:color w:val="auto"/>
          <w:sz w:val="20"/>
          <w:szCs w:val="20"/>
          <w:lang w:val="es-ES_tradnl"/>
        </w:rPr>
        <w:t>La ley de “sodomía” de Jamaica</w:t>
      </w:r>
      <w:bookmarkEnd w:id="37"/>
      <w:bookmarkEnd w:id="38"/>
    </w:p>
    <w:p w14:paraId="36DA67E2" w14:textId="77777777" w:rsidR="00DD2AD4" w:rsidRPr="00D43C76" w:rsidRDefault="00DD2AD4" w:rsidP="00DD2AD4">
      <w:pPr>
        <w:pStyle w:val="parrafos"/>
        <w:tabs>
          <w:tab w:val="left" w:pos="720"/>
        </w:tabs>
        <w:rPr>
          <w:lang w:val="es-ES_tradnl"/>
        </w:rPr>
      </w:pPr>
    </w:p>
    <w:p w14:paraId="73D01C45" w14:textId="77777777" w:rsidR="007E2FDE" w:rsidRPr="00D43C76" w:rsidRDefault="00EE5BA0" w:rsidP="006637A4">
      <w:pPr>
        <w:pStyle w:val="parrafos"/>
        <w:numPr>
          <w:ilvl w:val="0"/>
          <w:numId w:val="57"/>
        </w:numPr>
        <w:tabs>
          <w:tab w:val="clear" w:pos="1080"/>
          <w:tab w:val="left" w:pos="720"/>
        </w:tabs>
        <w:ind w:left="0" w:firstLine="0"/>
        <w:rPr>
          <w:lang w:val="es-ES_tradnl"/>
        </w:rPr>
      </w:pPr>
      <w:r w:rsidRPr="00D43C76">
        <w:rPr>
          <w:lang w:val="es-ES_tradnl"/>
        </w:rPr>
        <w:t>El caso de autos se refiere al efecto de la Ley de Delitos contra la Persona de 1864 en la vida de</w:t>
      </w:r>
      <w:r w:rsidR="007E2FDE" w:rsidRPr="00D43C76">
        <w:rPr>
          <w:lang w:val="es-ES_tradnl"/>
        </w:rPr>
        <w:t xml:space="preserve"> </w:t>
      </w:r>
      <w:r w:rsidR="007E65FB" w:rsidRPr="00D43C76">
        <w:rPr>
          <w:lang w:val="es-ES_tradnl"/>
        </w:rPr>
        <w:t xml:space="preserve">T. B. </w:t>
      </w:r>
      <w:r w:rsidRPr="00D43C76">
        <w:rPr>
          <w:lang w:val="es-ES_tradnl"/>
        </w:rPr>
        <w:t>y</w:t>
      </w:r>
      <w:r w:rsidR="00AD493E" w:rsidRPr="00D43C76">
        <w:rPr>
          <w:lang w:val="es-ES_tradnl"/>
        </w:rPr>
        <w:t xml:space="preserve"> </w:t>
      </w:r>
      <w:r w:rsidR="007E65FB" w:rsidRPr="00D43C76">
        <w:rPr>
          <w:lang w:val="es-ES_tradnl"/>
        </w:rPr>
        <w:t>S. H.</w:t>
      </w:r>
      <w:r w:rsidR="00B94F89" w:rsidRPr="00D43C76">
        <w:rPr>
          <w:lang w:val="es-ES_tradnl"/>
        </w:rPr>
        <w:t xml:space="preserve"> </w:t>
      </w:r>
      <w:r w:rsidRPr="00D43C76">
        <w:rPr>
          <w:lang w:val="es-ES_tradnl"/>
        </w:rPr>
        <w:t>La ley dispone lo siguiente</w:t>
      </w:r>
      <w:r w:rsidR="007E2FDE" w:rsidRPr="00D43C76">
        <w:rPr>
          <w:lang w:val="es-ES_tradnl"/>
        </w:rPr>
        <w:t>:</w:t>
      </w:r>
    </w:p>
    <w:p w14:paraId="11D974BC" w14:textId="77777777" w:rsidR="00C66543" w:rsidRPr="00D43C76" w:rsidRDefault="00C66543" w:rsidP="007E2F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lang w:val="es-ES_tradnl"/>
        </w:rPr>
      </w:pPr>
    </w:p>
    <w:p w14:paraId="5E6018E7" w14:textId="77777777" w:rsidR="00EE5BA0" w:rsidRPr="00D43C76" w:rsidRDefault="00EE5BA0" w:rsidP="00EE5BA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76. (Delito contra natura): Toda persona que sea condenada por el abominable delito de sodomía, cometido con otra persona o con cualquier animal, será pasible de pena de cárcel y condenada a trabajos forzados por un período que no exceda de diez años. </w:t>
      </w:r>
    </w:p>
    <w:p w14:paraId="27A83022" w14:textId="77777777" w:rsidR="00EE5BA0" w:rsidRPr="00D43C76" w:rsidRDefault="00EE5BA0" w:rsidP="00EE5BA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7A4B5680" w14:textId="77777777" w:rsidR="00EE5BA0" w:rsidRPr="00D43C76" w:rsidRDefault="00EE5BA0" w:rsidP="00EE5BA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77. (Intento): Toda persona que intente cometer dicho delito abominable o que sea culpable de un acto de agresión con la intención de cometer dicho delito o de un ataque indecente a cualquier persona del sexo masculino será culpable de un delito menor y, de ser condenad</w:t>
      </w:r>
      <w:r w:rsidR="00F26833" w:rsidRPr="00D43C76">
        <w:rPr>
          <w:rFonts w:asciiTheme="majorHAnsi" w:hAnsiTheme="majorHAnsi"/>
          <w:sz w:val="18"/>
          <w:szCs w:val="18"/>
          <w:lang w:val="es-ES_tradnl"/>
        </w:rPr>
        <w:t>a</w:t>
      </w:r>
      <w:r w:rsidRPr="00D43C76">
        <w:rPr>
          <w:rFonts w:asciiTheme="majorHAnsi" w:hAnsiTheme="majorHAnsi"/>
          <w:sz w:val="18"/>
          <w:szCs w:val="18"/>
          <w:lang w:val="es-ES_tradnl"/>
        </w:rPr>
        <w:t xml:space="preserve">, será pasible de pena de cárcel por un período que no exceda de siete años, con o sin trabajos forzados. </w:t>
      </w:r>
    </w:p>
    <w:p w14:paraId="374257A6" w14:textId="77777777" w:rsidR="00EE5BA0" w:rsidRPr="00D43C76" w:rsidRDefault="00EE5BA0" w:rsidP="00EE5BA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p>
    <w:p w14:paraId="07294B8F" w14:textId="77777777" w:rsidR="00FE5CE4" w:rsidRPr="00D43C76" w:rsidRDefault="00EE5BA0" w:rsidP="00EE5BA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79 (Ultrajes a la decencia): Toda persona del sexo masculino que, en público o en privado, cometa cualquier ultraje contra la moral pública con otra persona del sexo masculino, que participe en la comisión de dicho acto, que logre que se cometa dicho acto o que trate de que se lo cometa será culpable de un delito menor y, de ser condenad</w:t>
      </w:r>
      <w:r w:rsidR="00F26833" w:rsidRPr="00D43C76">
        <w:rPr>
          <w:rFonts w:asciiTheme="majorHAnsi" w:hAnsiTheme="majorHAnsi"/>
          <w:sz w:val="18"/>
          <w:szCs w:val="18"/>
          <w:lang w:val="es-ES_tradnl"/>
        </w:rPr>
        <w:t>a</w:t>
      </w:r>
      <w:r w:rsidRPr="00D43C76">
        <w:rPr>
          <w:rFonts w:asciiTheme="majorHAnsi" w:hAnsiTheme="majorHAnsi"/>
          <w:sz w:val="18"/>
          <w:szCs w:val="18"/>
          <w:lang w:val="es-ES_tradnl"/>
        </w:rPr>
        <w:t>, será pasible, a discreción del tribunal, de pena de cárcel por un período que no exceda de dos años, con o sin trabajos forzados</w:t>
      </w:r>
      <w:r w:rsidR="004B5331" w:rsidRPr="00D43C76">
        <w:rPr>
          <w:rStyle w:val="FootnoteReference"/>
          <w:rFonts w:asciiTheme="majorHAnsi" w:hAnsiTheme="majorHAnsi"/>
          <w:sz w:val="18"/>
          <w:szCs w:val="18"/>
          <w:lang w:val="es-ES_tradnl"/>
        </w:rPr>
        <w:footnoteReference w:id="8"/>
      </w:r>
      <w:r w:rsidRPr="00D43C76">
        <w:rPr>
          <w:rFonts w:asciiTheme="majorHAnsi" w:hAnsiTheme="majorHAnsi"/>
          <w:sz w:val="18"/>
          <w:szCs w:val="18"/>
          <w:lang w:val="es-ES_tradnl"/>
        </w:rPr>
        <w:t>.</w:t>
      </w:r>
    </w:p>
    <w:p w14:paraId="56444EAA" w14:textId="77777777" w:rsidR="00FE5CE4" w:rsidRPr="00D43C76" w:rsidRDefault="00FE5CE4" w:rsidP="007E2F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lang w:val="es-ES_tradnl"/>
        </w:rPr>
      </w:pPr>
    </w:p>
    <w:p w14:paraId="158AC5EC" w14:textId="77777777" w:rsidR="007E2FDE" w:rsidRPr="00D43C76" w:rsidRDefault="00EE5BA0" w:rsidP="006637A4">
      <w:pPr>
        <w:pStyle w:val="parrafos"/>
        <w:numPr>
          <w:ilvl w:val="0"/>
          <w:numId w:val="57"/>
        </w:numPr>
        <w:tabs>
          <w:tab w:val="clear" w:pos="1080"/>
          <w:tab w:val="left" w:pos="720"/>
        </w:tabs>
        <w:ind w:left="0" w:firstLine="0"/>
        <w:rPr>
          <w:sz w:val="18"/>
          <w:szCs w:val="18"/>
          <w:lang w:val="es-ES_tradnl"/>
        </w:rPr>
      </w:pPr>
      <w:r w:rsidRPr="00D43C76">
        <w:rPr>
          <w:lang w:val="es-ES_tradnl"/>
        </w:rPr>
        <w:t>Además, la Constitución de Jamaica dispone lo siguiente</w:t>
      </w:r>
      <w:r w:rsidR="007E2FDE" w:rsidRPr="00D43C76">
        <w:rPr>
          <w:lang w:val="es-ES_tradnl"/>
        </w:rPr>
        <w:t>:</w:t>
      </w:r>
    </w:p>
    <w:p w14:paraId="07D7B35F" w14:textId="77777777" w:rsidR="007E2FDE" w:rsidRPr="00D43C76" w:rsidRDefault="007E2FDE" w:rsidP="007E2F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lang w:val="es-ES_tradnl"/>
        </w:rPr>
      </w:pPr>
    </w:p>
    <w:p w14:paraId="790905AC" w14:textId="77777777" w:rsidR="00EE5BA0" w:rsidRPr="00D43C76" w:rsidRDefault="00EE5BA0" w:rsidP="00EE5BA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13. Derechos y libertades fundamentales</w:t>
      </w:r>
    </w:p>
    <w:p w14:paraId="6A2B803B" w14:textId="77777777" w:rsidR="00EE5BA0" w:rsidRPr="00D43C76" w:rsidRDefault="00EE5BA0" w:rsidP="00EE5BA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p>
    <w:p w14:paraId="21E3553E" w14:textId="77777777" w:rsidR="00EE5BA0" w:rsidRPr="00D43C76" w:rsidRDefault="00EE5BA0" w:rsidP="00EE5BA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12. Nada que esté contenido en una ley que esté en vigor antes de la entrada en vigor de la Ley de la Carta de Derechos y Libertades Fundamentales (enmienda constitucional) de 2011, o que se haga por mandato de la misma, en relación con:</w:t>
      </w:r>
    </w:p>
    <w:p w14:paraId="2949DE07" w14:textId="77777777" w:rsidR="00EE5BA0" w:rsidRPr="00D43C76" w:rsidRDefault="00EE5BA0" w:rsidP="00EE5BA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11D7765B" w14:textId="77777777" w:rsidR="00EE5BA0" w:rsidRPr="00D43C76" w:rsidRDefault="00EE5BA0" w:rsidP="00EE5BA0">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eastAsia="Cambria" w:hAnsiTheme="majorHAnsi" w:cs="Cambria"/>
          <w:color w:val="000000"/>
          <w:sz w:val="18"/>
          <w:szCs w:val="18"/>
          <w:u w:color="000000"/>
          <w:lang w:val="es-ES_tradnl" w:eastAsia="es-ES"/>
        </w:rPr>
      </w:pPr>
      <w:r w:rsidRPr="00D43C76">
        <w:rPr>
          <w:rFonts w:asciiTheme="majorHAnsi" w:eastAsia="Cambria" w:hAnsiTheme="majorHAnsi" w:cs="Cambria"/>
          <w:color w:val="000000"/>
          <w:sz w:val="18"/>
          <w:szCs w:val="18"/>
          <w:u w:color="000000"/>
          <w:lang w:val="es-ES_tradnl" w:eastAsia="es-ES"/>
        </w:rPr>
        <w:t>delitos sexuales,</w:t>
      </w:r>
    </w:p>
    <w:p w14:paraId="11E4434C" w14:textId="77777777" w:rsidR="00EE5BA0" w:rsidRPr="00D43C76" w:rsidRDefault="00EE5BA0" w:rsidP="00EE5BA0">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eastAsia="Cambria" w:hAnsiTheme="majorHAnsi" w:cs="Cambria"/>
          <w:color w:val="000000"/>
          <w:sz w:val="18"/>
          <w:szCs w:val="18"/>
          <w:u w:color="000000"/>
          <w:lang w:val="es-ES_tradnl" w:eastAsia="es-ES"/>
        </w:rPr>
      </w:pPr>
      <w:r w:rsidRPr="00D43C76">
        <w:rPr>
          <w:rFonts w:asciiTheme="majorHAnsi" w:eastAsia="Cambria" w:hAnsiTheme="majorHAnsi" w:cs="Cambria"/>
          <w:color w:val="000000"/>
          <w:sz w:val="18"/>
          <w:szCs w:val="18"/>
          <w:u w:color="000000"/>
          <w:lang w:val="es-ES_tradnl" w:eastAsia="es-ES"/>
        </w:rPr>
        <w:t>publicaciones obscenas o</w:t>
      </w:r>
    </w:p>
    <w:p w14:paraId="7CF683F6" w14:textId="77777777" w:rsidR="00EE5BA0" w:rsidRPr="00D43C76" w:rsidRDefault="00EE5BA0" w:rsidP="00EE5BA0">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eastAsia="Cambria" w:hAnsiTheme="majorHAnsi" w:cs="Cambria"/>
          <w:color w:val="000000"/>
          <w:sz w:val="18"/>
          <w:szCs w:val="18"/>
          <w:u w:color="000000"/>
          <w:lang w:val="es-ES_tradnl" w:eastAsia="es-ES"/>
        </w:rPr>
      </w:pPr>
      <w:r w:rsidRPr="00D43C76">
        <w:rPr>
          <w:rFonts w:asciiTheme="majorHAnsi" w:eastAsia="Cambria" w:hAnsiTheme="majorHAnsi" w:cs="Cambria"/>
          <w:color w:val="000000"/>
          <w:sz w:val="18"/>
          <w:szCs w:val="18"/>
          <w:u w:color="000000"/>
          <w:lang w:val="es-ES_tradnl" w:eastAsia="es-ES"/>
        </w:rPr>
        <w:t>delitos relacionados con la vida del feto</w:t>
      </w:r>
    </w:p>
    <w:p w14:paraId="18316DE7" w14:textId="77777777" w:rsidR="00EE5BA0" w:rsidRPr="00D43C76" w:rsidRDefault="00EE5BA0" w:rsidP="00EE5BA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3B52025F" w14:textId="77777777" w:rsidR="009F0AED" w:rsidRPr="00D43C76" w:rsidRDefault="00EE5BA0" w:rsidP="00EE5BA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20"/>
          <w:szCs w:val="20"/>
          <w:lang w:val="es-ES_tradnl"/>
        </w:rPr>
      </w:pPr>
      <w:r w:rsidRPr="00D43C76">
        <w:rPr>
          <w:rFonts w:asciiTheme="majorHAnsi" w:hAnsiTheme="majorHAnsi"/>
          <w:sz w:val="18"/>
          <w:szCs w:val="18"/>
          <w:lang w:val="es-ES_tradnl"/>
        </w:rPr>
        <w:t>podrá ser declarado incompatible con las disposiciones de este capítulo o en contravención del mismo</w:t>
      </w:r>
      <w:r w:rsidR="00A07E90" w:rsidRPr="00D43C76">
        <w:rPr>
          <w:rStyle w:val="FootnoteReference"/>
          <w:rFonts w:asciiTheme="majorHAnsi" w:hAnsiTheme="majorHAnsi"/>
          <w:sz w:val="20"/>
          <w:szCs w:val="20"/>
          <w:lang w:val="es-ES_tradnl"/>
        </w:rPr>
        <w:footnoteReference w:id="9"/>
      </w:r>
      <w:r w:rsidRPr="00D43C76">
        <w:rPr>
          <w:rFonts w:asciiTheme="majorHAnsi" w:hAnsiTheme="majorHAnsi"/>
          <w:sz w:val="18"/>
          <w:szCs w:val="18"/>
          <w:lang w:val="es-ES_tradnl"/>
        </w:rPr>
        <w:t>.</w:t>
      </w:r>
    </w:p>
    <w:p w14:paraId="5431CCFA" w14:textId="77777777" w:rsidR="00C90AB9" w:rsidRPr="00D43C76" w:rsidRDefault="00C90AB9" w:rsidP="00C90AB9">
      <w:pPr>
        <w:rPr>
          <w:rFonts w:asciiTheme="majorHAnsi" w:hAnsiTheme="majorHAnsi"/>
          <w:sz w:val="20"/>
          <w:szCs w:val="20"/>
          <w:lang w:val="es-ES_tradnl"/>
        </w:rPr>
      </w:pPr>
    </w:p>
    <w:p w14:paraId="15918431" w14:textId="77777777" w:rsidR="00AD493E" w:rsidRPr="00D43C76" w:rsidRDefault="00EE5BA0" w:rsidP="00F26833">
      <w:pPr>
        <w:pStyle w:val="Heading2"/>
        <w:numPr>
          <w:ilvl w:val="0"/>
          <w:numId w:val="63"/>
        </w:numPr>
        <w:spacing w:before="0"/>
        <w:rPr>
          <w:color w:val="auto"/>
          <w:sz w:val="20"/>
          <w:szCs w:val="20"/>
          <w:lang w:val="es-ES_tradnl"/>
        </w:rPr>
      </w:pPr>
      <w:bookmarkStart w:id="39" w:name="_Toc58491239"/>
      <w:r w:rsidRPr="00D43C76">
        <w:rPr>
          <w:color w:val="auto"/>
          <w:sz w:val="20"/>
          <w:szCs w:val="20"/>
          <w:lang w:val="es-ES_tradnl"/>
        </w:rPr>
        <w:t xml:space="preserve">Las </w:t>
      </w:r>
      <w:r w:rsidR="00EB0856" w:rsidRPr="00D43C76">
        <w:rPr>
          <w:color w:val="auto"/>
          <w:sz w:val="20"/>
          <w:szCs w:val="20"/>
          <w:lang w:val="es-ES_tradnl"/>
        </w:rPr>
        <w:t>personas LGBTI</w:t>
      </w:r>
      <w:r w:rsidR="00AD493E" w:rsidRPr="00D43C76">
        <w:rPr>
          <w:color w:val="auto"/>
          <w:sz w:val="20"/>
          <w:szCs w:val="20"/>
          <w:lang w:val="es-ES_tradnl"/>
        </w:rPr>
        <w:t xml:space="preserve"> </w:t>
      </w:r>
      <w:r w:rsidR="003F34CF" w:rsidRPr="00D43C76">
        <w:rPr>
          <w:color w:val="auto"/>
          <w:sz w:val="20"/>
          <w:szCs w:val="20"/>
          <w:lang w:val="es-ES_tradnl"/>
        </w:rPr>
        <w:t>e</w:t>
      </w:r>
      <w:r w:rsidR="00AD493E" w:rsidRPr="00D43C76">
        <w:rPr>
          <w:color w:val="auto"/>
          <w:sz w:val="20"/>
          <w:szCs w:val="20"/>
          <w:lang w:val="es-ES_tradnl"/>
        </w:rPr>
        <w:t>n Jamaica</w:t>
      </w:r>
      <w:bookmarkEnd w:id="39"/>
      <w:r w:rsidR="00AD493E" w:rsidRPr="00D43C76">
        <w:rPr>
          <w:color w:val="auto"/>
          <w:sz w:val="20"/>
          <w:szCs w:val="20"/>
          <w:lang w:val="es-ES_tradnl"/>
        </w:rPr>
        <w:t xml:space="preserve"> </w:t>
      </w:r>
    </w:p>
    <w:p w14:paraId="0A88F876" w14:textId="77777777" w:rsidR="00AD493E" w:rsidRPr="00D43C76" w:rsidRDefault="00AD493E" w:rsidP="00F26833">
      <w:pPr>
        <w:pStyle w:val="parrafos"/>
        <w:keepNext/>
        <w:keepLines/>
        <w:tabs>
          <w:tab w:val="left" w:pos="720"/>
        </w:tabs>
        <w:rPr>
          <w:rFonts w:ascii="Cambria" w:hAnsi="Cambria"/>
          <w:lang w:val="es-ES_tradnl"/>
        </w:rPr>
      </w:pPr>
    </w:p>
    <w:p w14:paraId="43B0843C" w14:textId="77777777" w:rsidR="00797A75" w:rsidRPr="00D43C76" w:rsidRDefault="00EE5BA0" w:rsidP="00F26833">
      <w:pPr>
        <w:pStyle w:val="parrafos"/>
        <w:keepNext/>
        <w:keepLine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La CIDH y otros organismos internacionales, organizaciones no gubernamentales y órganos nacionales han expresado preocupación por la situación de las personas LGBTI en Jamaica y han recalcado que la existencia de leyes que penalizan las relaciones sexuales consensuales entre adultos del mismo sexo en privado crea una cultura de hostilidad, discriminación y graves violaciones contra las</w:t>
      </w:r>
      <w:r w:rsidR="00AD493E" w:rsidRPr="00D43C76">
        <w:rPr>
          <w:rFonts w:ascii="Cambria" w:hAnsi="Cambria"/>
          <w:lang w:val="es-ES_tradnl"/>
        </w:rPr>
        <w:t xml:space="preserve"> </w:t>
      </w:r>
      <w:r w:rsidR="00EB0856" w:rsidRPr="00D43C76">
        <w:rPr>
          <w:rFonts w:ascii="Cambria" w:hAnsi="Cambria"/>
          <w:lang w:val="es-ES_tradnl"/>
        </w:rPr>
        <w:t>personas LGBTI</w:t>
      </w:r>
      <w:r w:rsidR="00AD493E" w:rsidRPr="00D43C76">
        <w:rPr>
          <w:rStyle w:val="FootnoteReference"/>
          <w:rFonts w:ascii="Cambria" w:hAnsi="Cambria"/>
          <w:lang w:val="es-ES_tradnl"/>
        </w:rPr>
        <w:footnoteReference w:id="10"/>
      </w:r>
      <w:r w:rsidR="003F34CF" w:rsidRPr="00D43C76">
        <w:rPr>
          <w:rFonts w:ascii="Cambria" w:hAnsi="Cambria"/>
          <w:lang w:val="es-ES_tradnl"/>
        </w:rPr>
        <w:t>.</w:t>
      </w:r>
    </w:p>
    <w:p w14:paraId="65CDC291" w14:textId="77777777" w:rsidR="00797A75" w:rsidRPr="00D43C76" w:rsidRDefault="00797A75" w:rsidP="00797A75">
      <w:pPr>
        <w:pStyle w:val="parrafos"/>
        <w:tabs>
          <w:tab w:val="left" w:pos="720"/>
        </w:tabs>
        <w:rPr>
          <w:rFonts w:ascii="Cambria" w:hAnsi="Cambria"/>
          <w:lang w:val="es-ES_tradnl"/>
        </w:rPr>
      </w:pPr>
    </w:p>
    <w:p w14:paraId="21AE2D8A" w14:textId="77777777" w:rsidR="00AD493E" w:rsidRPr="00D43C76" w:rsidRDefault="00EE5BA0"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lastRenderedPageBreak/>
        <w:t>En su Informe sobre la situación de los derechos humanos en Jamaica, de 2012, la Comisión señaló lo siguiente</w:t>
      </w:r>
      <w:r w:rsidR="00AD493E" w:rsidRPr="00D43C76">
        <w:rPr>
          <w:rFonts w:ascii="Cambria" w:hAnsi="Cambria"/>
          <w:lang w:val="es-ES_tradnl"/>
        </w:rPr>
        <w:t xml:space="preserve">: </w:t>
      </w:r>
    </w:p>
    <w:p w14:paraId="3215BA16" w14:textId="77777777" w:rsidR="00AD493E" w:rsidRPr="00D43C76" w:rsidRDefault="00AD493E" w:rsidP="00AD493E">
      <w:pPr>
        <w:pStyle w:val="parrafos"/>
        <w:tabs>
          <w:tab w:val="left" w:pos="720"/>
        </w:tabs>
        <w:rPr>
          <w:rFonts w:ascii="Cambria" w:eastAsia="Cambria" w:hAnsi="Cambria" w:cs="Cambria"/>
          <w:color w:val="000000"/>
          <w:sz w:val="24"/>
          <w:szCs w:val="24"/>
          <w:u w:color="000000"/>
          <w:lang w:val="es-ES_tradnl" w:eastAsia="es-ES"/>
        </w:rPr>
      </w:pPr>
    </w:p>
    <w:p w14:paraId="0690A541" w14:textId="77777777" w:rsidR="00476CBD" w:rsidRPr="00D43C76" w:rsidRDefault="00476CBD" w:rsidP="00476CBD">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la discriminación basada en la orientación sexual, la identidad de género y la expresión de género es sistémica en el país y [...] la discriminación contra los miembros de las comunidades de lesbianas, gays, bisexuales, trans e intersexuales (LGBTI) ha permeado profundamente las instituciones del Estado jamaiquino. Las personas que no son heterosexuales o cisgénero enfrentan estigmatización política y jurídica, violencia policial e imposibilidad de acceso al sistema de justicia, además de intimidación, violencia y presiones en sus hogares y comunidades. </w:t>
      </w:r>
    </w:p>
    <w:p w14:paraId="7620581F" w14:textId="77777777" w:rsidR="00476CBD" w:rsidRPr="00D43C76" w:rsidRDefault="00476CBD" w:rsidP="00476CBD">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51E18F3A" w14:textId="77777777" w:rsidR="00AD493E" w:rsidRPr="00D43C76" w:rsidRDefault="00476CBD" w:rsidP="00476CB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Preocupa a la CIDH que las leyes en contra de las actividades sexuales con consentimiento entre hombres adultos o de las conductas homosexuales puedan contribuir a un entorno que, en el mejor de los casos, no condena y, en el peor de ellos, condona la discriminación, la estigmatización y la violencia contra la comunidad LGBTI. La ley sirve como sanción social del abuso, ya que las personas LGBTI son consideradas de por sí como perpetradores de actividades ilegales. Puesto que se contempla a las personas LGBTI como partícipes de actividades delictivas, es lógico inferir que es menos probable que la policía investigue los delitos en su contra</w:t>
      </w:r>
      <w:r w:rsidR="00AD493E" w:rsidRPr="00D43C76">
        <w:rPr>
          <w:rFonts w:asciiTheme="majorHAnsi" w:hAnsiTheme="majorHAnsi"/>
          <w:sz w:val="18"/>
          <w:szCs w:val="18"/>
          <w:vertAlign w:val="superscript"/>
          <w:lang w:val="es-ES_tradnl"/>
        </w:rPr>
        <w:footnoteReference w:id="11"/>
      </w:r>
      <w:r w:rsidRPr="00D43C76">
        <w:rPr>
          <w:rFonts w:asciiTheme="majorHAnsi" w:hAnsiTheme="majorHAnsi"/>
          <w:sz w:val="18"/>
          <w:szCs w:val="18"/>
          <w:lang w:val="es-ES_tradnl"/>
        </w:rPr>
        <w:t>.</w:t>
      </w:r>
      <w:r w:rsidR="0034591F" w:rsidRPr="00D43C76">
        <w:rPr>
          <w:rFonts w:asciiTheme="majorHAnsi" w:hAnsiTheme="majorHAnsi"/>
          <w:sz w:val="18"/>
          <w:szCs w:val="18"/>
          <w:vertAlign w:val="superscript"/>
          <w:lang w:val="es-ES_tradnl"/>
        </w:rPr>
        <w:t xml:space="preserve"> </w:t>
      </w:r>
    </w:p>
    <w:p w14:paraId="5540888C" w14:textId="77777777" w:rsidR="002A13A4" w:rsidRPr="00D43C76" w:rsidRDefault="002A13A4" w:rsidP="009341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27C352F4" w14:textId="77777777" w:rsidR="00797A75" w:rsidRPr="00D43C76" w:rsidRDefault="00476CBD"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Asimismo, en 2014, la Comisión expresó preocupación por la persistencia de la violencia, la discriminación y la hostilidad contra las personas LGBTI en Jamaica y por la falta de leyes para abordar este problema. Expresó especial preocupación por la carencia de hogar y el desplazamiento de hombres jóvenes que tienen relaciones sexuales con otros hombres y por los obstáculos que enfrentan las personas LGBTI para tener acceso a la justicia y a servicios de salud, </w:t>
      </w:r>
      <w:r w:rsidR="00697C1D" w:rsidRPr="00D43C76">
        <w:rPr>
          <w:rFonts w:ascii="Cambria" w:hAnsi="Cambria"/>
          <w:lang w:val="es-ES_tradnl"/>
        </w:rPr>
        <w:t xml:space="preserve">puesto </w:t>
      </w:r>
      <w:r w:rsidRPr="00D43C76">
        <w:rPr>
          <w:rFonts w:ascii="Cambria" w:hAnsi="Cambria"/>
          <w:lang w:val="es-ES_tradnl"/>
        </w:rPr>
        <w:t xml:space="preserve">que temen que revelar su orientación sexual </w:t>
      </w:r>
      <w:r w:rsidR="00697C1D" w:rsidRPr="00D43C76">
        <w:rPr>
          <w:rFonts w:ascii="Cambria" w:hAnsi="Cambria"/>
          <w:lang w:val="es-ES_tradnl"/>
        </w:rPr>
        <w:t xml:space="preserve">y su </w:t>
      </w:r>
      <w:r w:rsidRPr="00D43C76">
        <w:rPr>
          <w:rFonts w:ascii="Cambria" w:hAnsi="Cambria"/>
          <w:lang w:val="es-ES_tradnl"/>
        </w:rPr>
        <w:t>identidad de género lleve al estigma y a más violaciones en un país que penaliza las relaciones íntimas consensuales entre adultos del mismo sexo</w:t>
      </w:r>
      <w:r w:rsidR="00AD493E" w:rsidRPr="00D43C76">
        <w:rPr>
          <w:rStyle w:val="FootnoteReference"/>
          <w:rFonts w:ascii="Cambria" w:hAnsi="Cambria"/>
          <w:lang w:val="es-ES_tradnl"/>
        </w:rPr>
        <w:footnoteReference w:id="12"/>
      </w:r>
      <w:r w:rsidRPr="00D43C76">
        <w:rPr>
          <w:rFonts w:ascii="Cambria" w:hAnsi="Cambria"/>
          <w:lang w:val="es-ES_tradnl"/>
        </w:rPr>
        <w:t>.</w:t>
      </w:r>
    </w:p>
    <w:p w14:paraId="0B522A4B" w14:textId="77777777" w:rsidR="00797A75" w:rsidRPr="00D43C76" w:rsidRDefault="00797A75" w:rsidP="00797A75">
      <w:pPr>
        <w:pStyle w:val="parrafos"/>
        <w:tabs>
          <w:tab w:val="left" w:pos="720"/>
        </w:tabs>
        <w:rPr>
          <w:rFonts w:ascii="Cambria" w:hAnsi="Cambria"/>
          <w:lang w:val="es-ES_tradnl"/>
        </w:rPr>
      </w:pPr>
    </w:p>
    <w:p w14:paraId="6A2D35F1" w14:textId="77777777" w:rsidR="00AD493E" w:rsidRPr="00D43C76" w:rsidRDefault="00476CBD"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Asimismo, en su informe de 2015 sobre la violencia contra las personas LGBTI, la CIDH expresó preocupación por el impacto de la ley que penaliza las relaciones sexuales consensuales entre personas del mismo sexo en Jamaica, aunque no se la aplique, especialmente con respecto a los derechos a la vida, la integridad personal, la libertad personal, la intimidad y el acceso a servicios de salud y de otros tipos. La Comisión observó lo siguiente</w:t>
      </w:r>
      <w:r w:rsidR="00AD493E" w:rsidRPr="00D43C76">
        <w:rPr>
          <w:rFonts w:ascii="Cambria" w:hAnsi="Cambria"/>
          <w:lang w:val="es-ES_tradnl"/>
        </w:rPr>
        <w:t>:</w:t>
      </w:r>
    </w:p>
    <w:p w14:paraId="637B4F51" w14:textId="77777777" w:rsidR="00C84513" w:rsidRPr="00D43C76" w:rsidRDefault="00C84513" w:rsidP="00C84513">
      <w:pPr>
        <w:pStyle w:val="parrafos"/>
        <w:tabs>
          <w:tab w:val="left" w:pos="720"/>
        </w:tabs>
        <w:rPr>
          <w:rFonts w:ascii="Cambria" w:hAnsi="Cambria"/>
          <w:lang w:val="es-ES_tradnl"/>
        </w:rPr>
      </w:pPr>
    </w:p>
    <w:p w14:paraId="0C9EBE6E" w14:textId="77777777" w:rsidR="00AD493E" w:rsidRPr="00D43C76" w:rsidRDefault="00476CBD" w:rsidP="00AD49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Estas leyes refuerzan prejuicios sociales ya existentes y aumentan considerablemente los efectos negativos que estos prejuicios tienen en las vidas de las personas LGBT. La criminalización de relaciones sexuales entre hombres también tiene un efecto simbólico ya que ante los ojos del sistema legal donde dicha criminalización se encuentra en vigencia, “todos los hombres gay son criminales”. Por ejemplo, las leyes contra la sodomía son utilizadas como un mecanismo de “control social y dominación” que permite a los Estados legitimar y contribuir a la estigmatización de las personas LGBT como individuos “inmorales”. Además, estas leyes han sido utilizadas para justificar detenciones arbitrarias, arrestos e incluso actos de tortura contra personas LGBT</w:t>
      </w:r>
      <w:r w:rsidR="00AD493E" w:rsidRPr="00D43C76">
        <w:rPr>
          <w:rFonts w:asciiTheme="majorHAnsi" w:hAnsiTheme="majorHAnsi"/>
          <w:sz w:val="18"/>
          <w:szCs w:val="18"/>
          <w:vertAlign w:val="superscript"/>
          <w:lang w:val="es-ES_tradnl"/>
        </w:rPr>
        <w:footnoteReference w:id="13"/>
      </w:r>
      <w:r w:rsidRPr="00D43C76">
        <w:rPr>
          <w:rFonts w:asciiTheme="majorHAnsi" w:hAnsiTheme="majorHAnsi"/>
          <w:sz w:val="18"/>
          <w:szCs w:val="18"/>
          <w:lang w:val="es-ES_tradnl"/>
        </w:rPr>
        <w:t>.</w:t>
      </w:r>
    </w:p>
    <w:p w14:paraId="40FC39EF" w14:textId="77777777" w:rsidR="00AD493E" w:rsidRPr="00D43C76" w:rsidRDefault="00AD493E" w:rsidP="00AD493E">
      <w:pPr>
        <w:pStyle w:val="ListParagraph"/>
        <w:rPr>
          <w:lang w:val="es-ES_tradnl"/>
        </w:rPr>
      </w:pPr>
    </w:p>
    <w:p w14:paraId="2747539A" w14:textId="77777777" w:rsidR="00661522" w:rsidRPr="00D43C76" w:rsidRDefault="00476CBD" w:rsidP="006637A4">
      <w:pPr>
        <w:pStyle w:val="parrafos"/>
        <w:numPr>
          <w:ilvl w:val="0"/>
          <w:numId w:val="57"/>
        </w:numPr>
        <w:tabs>
          <w:tab w:val="clear" w:pos="1080"/>
          <w:tab w:val="left" w:pos="720"/>
        </w:tabs>
        <w:ind w:left="0" w:firstLine="0"/>
        <w:rPr>
          <w:rStyle w:val="FootnoteReference"/>
          <w:rFonts w:ascii="Cambria" w:hAnsi="Cambria"/>
          <w:vertAlign w:val="baseline"/>
          <w:lang w:val="es-ES_tradnl"/>
        </w:rPr>
      </w:pPr>
      <w:r w:rsidRPr="00D43C76">
        <w:rPr>
          <w:rFonts w:ascii="Cambria" w:hAnsi="Cambria"/>
          <w:lang w:val="es-ES_tradnl"/>
        </w:rPr>
        <w:t xml:space="preserve">En su informe de 2014, Human Rights Watch señaló que, en la sociedad jamaiquina, son generalizados los índices elevados de delitos violentos, la falta de confianza del público en la policía, el bajo índice de denuncia de delitos, las bajas tasas de juzgamiento y la percepción de que la justicia está sesgada en contra de los pobres. </w:t>
      </w:r>
      <w:r w:rsidR="00DB50F7" w:rsidRPr="00D43C76">
        <w:rPr>
          <w:rFonts w:ascii="Cambria" w:hAnsi="Cambria"/>
          <w:lang w:val="es-ES_tradnl"/>
        </w:rPr>
        <w:t>L</w:t>
      </w:r>
      <w:r w:rsidRPr="00D43C76">
        <w:rPr>
          <w:rFonts w:ascii="Cambria" w:hAnsi="Cambria"/>
          <w:lang w:val="es-ES_tradnl"/>
        </w:rPr>
        <w:t>os jamaiquinos LGBT, en particular los que son pobres y no pueden vivir en zonas más seguras y ricas, son vulnerables a la violencia. Muchos viven atemorizados. Se burlan de ellos, los amenazan, los despiden del trabajo, los echan de la casa, los golpean, los apedrean, los violan e incluso los matan</w:t>
      </w:r>
      <w:r w:rsidR="00AD493E" w:rsidRPr="00D43C76">
        <w:rPr>
          <w:rStyle w:val="FootnoteReference"/>
          <w:rFonts w:ascii="Cambria" w:hAnsi="Cambria"/>
          <w:lang w:val="es-ES_tradnl"/>
        </w:rPr>
        <w:footnoteReference w:id="14"/>
      </w:r>
      <w:r w:rsidRPr="00D43C76">
        <w:rPr>
          <w:rFonts w:ascii="Cambria" w:hAnsi="Cambria"/>
          <w:lang w:val="es-ES_tradnl"/>
        </w:rPr>
        <w:t>.</w:t>
      </w:r>
      <w:r w:rsidR="00AD493E" w:rsidRPr="00D43C76">
        <w:rPr>
          <w:rFonts w:ascii="Cambria" w:hAnsi="Cambria"/>
          <w:lang w:val="es-ES_tradnl"/>
        </w:rPr>
        <w:t xml:space="preserve"> </w:t>
      </w:r>
      <w:r w:rsidRPr="00D43C76">
        <w:rPr>
          <w:rFonts w:ascii="Cambria" w:hAnsi="Cambria"/>
          <w:lang w:val="es-ES_tradnl"/>
        </w:rPr>
        <w:t>Según el informe, ha habido una ola de cambio en Jamaica en la forma en que se está respondiendo a los abusos de los derechos humanos cometidos contra personas LGBT, pero la violencia persiste</w:t>
      </w:r>
      <w:r w:rsidR="00AD493E" w:rsidRPr="00D43C76">
        <w:rPr>
          <w:rStyle w:val="FootnoteReference"/>
          <w:rFonts w:ascii="Cambria" w:hAnsi="Cambria"/>
          <w:lang w:val="es-ES_tradnl"/>
        </w:rPr>
        <w:footnoteReference w:id="15"/>
      </w:r>
      <w:r w:rsidRPr="00D43C76">
        <w:rPr>
          <w:rFonts w:ascii="Cambria" w:hAnsi="Cambria"/>
          <w:lang w:val="es-ES_tradnl"/>
        </w:rPr>
        <w:t>.</w:t>
      </w:r>
    </w:p>
    <w:p w14:paraId="765F0340" w14:textId="77777777" w:rsidR="0083565F" w:rsidRPr="00D43C76" w:rsidRDefault="0083565F" w:rsidP="0083565F">
      <w:pPr>
        <w:pStyle w:val="parrafos"/>
        <w:tabs>
          <w:tab w:val="left" w:pos="720"/>
        </w:tabs>
        <w:rPr>
          <w:rFonts w:ascii="Cambria" w:hAnsi="Cambria"/>
          <w:lang w:val="es-ES_tradnl"/>
        </w:rPr>
      </w:pPr>
    </w:p>
    <w:p w14:paraId="360C92F4" w14:textId="77777777" w:rsidR="0083565F" w:rsidRPr="00D43C76" w:rsidRDefault="00476CBD"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lastRenderedPageBreak/>
        <w:t>Human Rights First, por su parte, señaló en 2015 que, en Jamaica, las personas LGBT viv</w:t>
      </w:r>
      <w:r w:rsidR="00DB50F7" w:rsidRPr="00D43C76">
        <w:rPr>
          <w:rFonts w:ascii="Cambria" w:hAnsi="Cambria"/>
          <w:lang w:val="es-ES_tradnl"/>
        </w:rPr>
        <w:t>ía</w:t>
      </w:r>
      <w:r w:rsidRPr="00D43C76">
        <w:rPr>
          <w:rFonts w:ascii="Cambria" w:hAnsi="Cambria"/>
          <w:lang w:val="es-ES_tradnl"/>
        </w:rPr>
        <w:t>n en un clima de homofobia generalizada en la sociedad. Las mujeres lesbianas, bisexuales y transgénero enfrentan una amenaza adicional de violencia de género o sexual. Se discrimina contra las personas LGBT en el acceso a los servicios de salud, el empleo y la vivienda</w:t>
      </w:r>
      <w:r w:rsidR="006775E3" w:rsidRPr="00D43C76">
        <w:rPr>
          <w:rStyle w:val="FootnoteReference"/>
          <w:rFonts w:ascii="Cambria" w:hAnsi="Cambria"/>
          <w:lang w:val="es-ES_tradnl"/>
        </w:rPr>
        <w:footnoteReference w:id="16"/>
      </w:r>
      <w:r w:rsidRPr="00D43C76">
        <w:rPr>
          <w:rFonts w:ascii="Cambria" w:hAnsi="Cambria"/>
          <w:lang w:val="es-ES_tradnl"/>
        </w:rPr>
        <w:t>.</w:t>
      </w:r>
    </w:p>
    <w:p w14:paraId="1B6E7947" w14:textId="77777777" w:rsidR="00797A75" w:rsidRPr="00D43C76" w:rsidRDefault="00797A75" w:rsidP="00797A75">
      <w:pPr>
        <w:pStyle w:val="parrafos"/>
        <w:tabs>
          <w:tab w:val="left" w:pos="720"/>
        </w:tabs>
        <w:rPr>
          <w:rFonts w:ascii="Cambria" w:hAnsi="Cambria"/>
          <w:lang w:val="es-ES_tradnl"/>
        </w:rPr>
      </w:pPr>
    </w:p>
    <w:p w14:paraId="782F5C13" w14:textId="77777777" w:rsidR="00D3306F" w:rsidRPr="00D43C76" w:rsidRDefault="00476CBD"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El Departamento de Estado de Estados Unidos indicó en su informe de 2017 sobre la situación de los derechos humanos en Jamaica que la homofobia era generalizada en el país. En su informe de 2018 recordó que la ONG J-FLAG había informado que, hasta fines de junio, había recibido 17 denuncias de discriminación por motivos de sexo, orientación sexual o identidad de género contra personas LGBTI, en comparación con 15 el año anterior. Era difícil obtener estadísticas exactas, ya que los observadores creían que esos tipos de violaciones de derechos humanos estaban subnotificadas. Con frecuencia, los organismos estatales estaban implicados en actos de discriminación</w:t>
      </w:r>
      <w:r w:rsidR="00AD493E" w:rsidRPr="00D43C76">
        <w:rPr>
          <w:rStyle w:val="FootnoteReference"/>
          <w:rFonts w:ascii="Cambria" w:hAnsi="Cambria"/>
          <w:lang w:val="es-ES_tradnl"/>
        </w:rPr>
        <w:footnoteReference w:id="17"/>
      </w:r>
      <w:r w:rsidRPr="00D43C76">
        <w:rPr>
          <w:rFonts w:ascii="Cambria" w:hAnsi="Cambria"/>
          <w:lang w:val="es-ES_tradnl"/>
        </w:rPr>
        <w:t>.</w:t>
      </w:r>
    </w:p>
    <w:p w14:paraId="4BEC4973" w14:textId="77777777" w:rsidR="00801A8F" w:rsidRPr="00D43C76" w:rsidRDefault="00801A8F" w:rsidP="00801A8F">
      <w:pPr>
        <w:pStyle w:val="parrafos"/>
        <w:tabs>
          <w:tab w:val="left" w:pos="720"/>
        </w:tabs>
        <w:rPr>
          <w:rFonts w:ascii="Cambria" w:hAnsi="Cambria"/>
          <w:lang w:val="es-ES_tradnl"/>
        </w:rPr>
      </w:pPr>
    </w:p>
    <w:p w14:paraId="42CAA70E" w14:textId="77777777" w:rsidR="00D3306F" w:rsidRPr="00D43C76" w:rsidRDefault="00476CBD"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Por su parte, el Gobierno del Reino Unido señaló en un informe de 2017 que, en Jamaica, las personas LGBT </w:t>
      </w:r>
      <w:r w:rsidR="00DB50F7" w:rsidRPr="00D43C76">
        <w:rPr>
          <w:rFonts w:ascii="Cambria" w:hAnsi="Cambria"/>
          <w:lang w:val="es-ES_tradnl"/>
        </w:rPr>
        <w:t>eran</w:t>
      </w:r>
      <w:r w:rsidRPr="00D43C76">
        <w:rPr>
          <w:rFonts w:ascii="Cambria" w:hAnsi="Cambria"/>
          <w:lang w:val="es-ES_tradnl"/>
        </w:rPr>
        <w:t xml:space="preserve"> víctimas de actos de violencia perpetrados por patotas, violaciones correctivas, extorsión, acoso, desplazamiento forzado y discriminación; </w:t>
      </w:r>
      <w:r w:rsidR="00DB50F7" w:rsidRPr="00D43C76">
        <w:rPr>
          <w:rFonts w:ascii="Cambria" w:hAnsi="Cambria"/>
          <w:lang w:val="es-ES_tradnl"/>
        </w:rPr>
        <w:t>que era</w:t>
      </w:r>
      <w:r w:rsidRPr="00D43C76">
        <w:rPr>
          <w:rFonts w:ascii="Cambria" w:hAnsi="Cambria"/>
          <w:lang w:val="es-ES_tradnl"/>
        </w:rPr>
        <w:t>n el blanco de burlas, las amenaza</w:t>
      </w:r>
      <w:r w:rsidR="00DB50F7" w:rsidRPr="00D43C76">
        <w:rPr>
          <w:rFonts w:ascii="Cambria" w:hAnsi="Cambria"/>
          <w:lang w:val="es-ES_tradnl"/>
        </w:rPr>
        <w:t>ba</w:t>
      </w:r>
      <w:r w:rsidRPr="00D43C76">
        <w:rPr>
          <w:rFonts w:ascii="Cambria" w:hAnsi="Cambria"/>
          <w:lang w:val="es-ES_tradnl"/>
        </w:rPr>
        <w:t>n, las desp</w:t>
      </w:r>
      <w:r w:rsidR="00DB50F7" w:rsidRPr="00D43C76">
        <w:rPr>
          <w:rFonts w:ascii="Cambria" w:hAnsi="Cambria"/>
          <w:lang w:val="es-ES_tradnl"/>
        </w:rPr>
        <w:t>edía</w:t>
      </w:r>
      <w:r w:rsidRPr="00D43C76">
        <w:rPr>
          <w:rFonts w:ascii="Cambria" w:hAnsi="Cambria"/>
          <w:lang w:val="es-ES_tradnl"/>
        </w:rPr>
        <w:t>n del trabajo, las echa</w:t>
      </w:r>
      <w:r w:rsidR="00DB50F7" w:rsidRPr="00D43C76">
        <w:rPr>
          <w:rFonts w:ascii="Cambria" w:hAnsi="Cambria"/>
          <w:lang w:val="es-ES_tradnl"/>
        </w:rPr>
        <w:t>ba</w:t>
      </w:r>
      <w:r w:rsidRPr="00D43C76">
        <w:rPr>
          <w:rFonts w:ascii="Cambria" w:hAnsi="Cambria"/>
          <w:lang w:val="es-ES_tradnl"/>
        </w:rPr>
        <w:t>n de su casa y sufr</w:t>
      </w:r>
      <w:r w:rsidR="00DB50F7" w:rsidRPr="00D43C76">
        <w:rPr>
          <w:rFonts w:ascii="Cambria" w:hAnsi="Cambria"/>
          <w:lang w:val="es-ES_tradnl"/>
        </w:rPr>
        <w:t>ía</w:t>
      </w:r>
      <w:r w:rsidRPr="00D43C76">
        <w:rPr>
          <w:rFonts w:ascii="Cambria" w:hAnsi="Cambria"/>
          <w:lang w:val="es-ES_tradnl"/>
        </w:rPr>
        <w:t>n malos tratos, como golpizas, apedreo y violaciones, o las mata</w:t>
      </w:r>
      <w:r w:rsidR="00B53B23" w:rsidRPr="00D43C76">
        <w:rPr>
          <w:rFonts w:ascii="Cambria" w:hAnsi="Cambria"/>
          <w:lang w:val="es-ES_tradnl"/>
        </w:rPr>
        <w:t>ba</w:t>
      </w:r>
      <w:r w:rsidRPr="00D43C76">
        <w:rPr>
          <w:rFonts w:ascii="Cambria" w:hAnsi="Cambria"/>
          <w:lang w:val="es-ES_tradnl"/>
        </w:rPr>
        <w:t>n</w:t>
      </w:r>
      <w:r w:rsidR="00D3306F" w:rsidRPr="00D43C76">
        <w:rPr>
          <w:rStyle w:val="FootnoteReference"/>
          <w:rFonts w:ascii="Cambria" w:hAnsi="Cambria"/>
          <w:lang w:val="es-ES_tradnl"/>
        </w:rPr>
        <w:footnoteReference w:id="18"/>
      </w:r>
      <w:r w:rsidRPr="00D43C76">
        <w:rPr>
          <w:rFonts w:ascii="Cambria" w:hAnsi="Cambria"/>
          <w:lang w:val="es-ES_tradnl"/>
        </w:rPr>
        <w:t>.</w:t>
      </w:r>
      <w:r w:rsidR="00D3306F" w:rsidRPr="00D43C76">
        <w:rPr>
          <w:rFonts w:ascii="Cambria" w:hAnsi="Cambria"/>
          <w:lang w:val="es-ES_tradnl"/>
        </w:rPr>
        <w:t xml:space="preserve"> </w:t>
      </w:r>
    </w:p>
    <w:p w14:paraId="73779B99" w14:textId="77777777" w:rsidR="0081472E" w:rsidRPr="00D43C76" w:rsidRDefault="0081472E" w:rsidP="0081472E">
      <w:pPr>
        <w:pStyle w:val="parrafos"/>
        <w:tabs>
          <w:tab w:val="left" w:pos="720"/>
        </w:tabs>
        <w:rPr>
          <w:rFonts w:ascii="Cambria" w:hAnsi="Cambria"/>
          <w:color w:val="FF0000"/>
          <w:lang w:val="es-ES_tradnl"/>
        </w:rPr>
      </w:pPr>
    </w:p>
    <w:p w14:paraId="4E9942C7" w14:textId="77777777" w:rsidR="00E4390D" w:rsidRPr="00D43C76" w:rsidRDefault="00476CBD" w:rsidP="006637A4">
      <w:pPr>
        <w:pStyle w:val="Heading2"/>
        <w:numPr>
          <w:ilvl w:val="0"/>
          <w:numId w:val="63"/>
        </w:numPr>
        <w:spacing w:before="0"/>
        <w:rPr>
          <w:color w:val="auto"/>
          <w:sz w:val="20"/>
          <w:szCs w:val="20"/>
          <w:lang w:val="es-ES_tradnl"/>
        </w:rPr>
      </w:pPr>
      <w:bookmarkStart w:id="40" w:name="_Toc58491240"/>
      <w:r w:rsidRPr="00D43C76">
        <w:rPr>
          <w:color w:val="auto"/>
          <w:sz w:val="20"/>
          <w:szCs w:val="20"/>
          <w:lang w:val="es-ES_tradnl"/>
        </w:rPr>
        <w:t>La situación de</w:t>
      </w:r>
      <w:r w:rsidR="007D7270" w:rsidRPr="00D43C76">
        <w:rPr>
          <w:color w:val="auto"/>
          <w:sz w:val="20"/>
          <w:szCs w:val="20"/>
          <w:lang w:val="es-ES_tradnl"/>
        </w:rPr>
        <w:t xml:space="preserve"> </w:t>
      </w:r>
      <w:r w:rsidR="007E65FB" w:rsidRPr="00D43C76">
        <w:rPr>
          <w:color w:val="auto"/>
          <w:sz w:val="20"/>
          <w:szCs w:val="20"/>
          <w:lang w:val="es-ES_tradnl"/>
        </w:rPr>
        <w:t xml:space="preserve">S. H. </w:t>
      </w:r>
      <w:r w:rsidRPr="00D43C76">
        <w:rPr>
          <w:color w:val="auto"/>
          <w:sz w:val="20"/>
          <w:szCs w:val="20"/>
          <w:lang w:val="es-ES_tradnl"/>
        </w:rPr>
        <w:t>y</w:t>
      </w:r>
      <w:r w:rsidR="00934144" w:rsidRPr="00D43C76">
        <w:rPr>
          <w:color w:val="auto"/>
          <w:sz w:val="20"/>
          <w:szCs w:val="20"/>
          <w:lang w:val="es-ES_tradnl"/>
        </w:rPr>
        <w:t xml:space="preserve"> T.</w:t>
      </w:r>
      <w:r w:rsidR="003F34CF" w:rsidRPr="00D43C76">
        <w:rPr>
          <w:color w:val="auto"/>
          <w:sz w:val="20"/>
          <w:szCs w:val="20"/>
          <w:lang w:val="es-ES_tradnl"/>
        </w:rPr>
        <w:t xml:space="preserve"> </w:t>
      </w:r>
      <w:r w:rsidR="00934144" w:rsidRPr="00D43C76">
        <w:rPr>
          <w:color w:val="auto"/>
          <w:sz w:val="20"/>
          <w:szCs w:val="20"/>
          <w:lang w:val="es-ES_tradnl"/>
        </w:rPr>
        <w:t>B</w:t>
      </w:r>
      <w:r w:rsidR="003F34CF" w:rsidRPr="00D43C76">
        <w:rPr>
          <w:color w:val="auto"/>
          <w:sz w:val="20"/>
          <w:szCs w:val="20"/>
          <w:lang w:val="es-ES_tradnl"/>
        </w:rPr>
        <w:t>.</w:t>
      </w:r>
      <w:bookmarkEnd w:id="40"/>
    </w:p>
    <w:p w14:paraId="68A3B26B" w14:textId="77777777" w:rsidR="007D7270" w:rsidRPr="00D43C76" w:rsidRDefault="007D7270" w:rsidP="00B94F89">
      <w:pPr>
        <w:rPr>
          <w:lang w:val="es-ES_tradnl"/>
        </w:rPr>
      </w:pPr>
    </w:p>
    <w:p w14:paraId="6B00A2D0" w14:textId="77777777" w:rsidR="00AB22BC" w:rsidRPr="00D43C76" w:rsidRDefault="003F34CF"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w:t>
      </w:r>
      <w:r w:rsidR="00AB22BC" w:rsidRPr="00D43C76">
        <w:rPr>
          <w:rFonts w:ascii="Cambria" w:hAnsi="Cambria"/>
          <w:lang w:val="es-ES_tradnl"/>
        </w:rPr>
        <w:t>4</w:t>
      </w:r>
      <w:r w:rsidRPr="00D43C76">
        <w:rPr>
          <w:rFonts w:ascii="Cambria" w:hAnsi="Cambria"/>
          <w:lang w:val="es-ES_tradnl"/>
        </w:rPr>
        <w:t xml:space="preserve"> de septiembre de</w:t>
      </w:r>
      <w:r w:rsidR="00AB22BC" w:rsidRPr="00D43C76">
        <w:rPr>
          <w:rFonts w:ascii="Cambria" w:hAnsi="Cambria"/>
          <w:lang w:val="es-ES_tradnl"/>
        </w:rPr>
        <w:t xml:space="preserve"> 2011</w:t>
      </w:r>
      <w:r w:rsidRPr="00D43C76">
        <w:rPr>
          <w:rFonts w:ascii="Cambria" w:hAnsi="Cambria"/>
          <w:lang w:val="es-ES_tradnl"/>
        </w:rPr>
        <w:t>,</w:t>
      </w:r>
      <w:r w:rsidR="00AB22BC" w:rsidRPr="00D43C76">
        <w:rPr>
          <w:rFonts w:ascii="Cambria" w:hAnsi="Cambria"/>
          <w:lang w:val="es-ES_tradnl"/>
        </w:rPr>
        <w:t xml:space="preserve"> </w:t>
      </w:r>
      <w:r w:rsidR="007E65FB" w:rsidRPr="00D43C76">
        <w:rPr>
          <w:rFonts w:ascii="Cambria" w:hAnsi="Cambria"/>
          <w:lang w:val="es-ES_tradnl"/>
        </w:rPr>
        <w:t xml:space="preserve">S. H. </w:t>
      </w:r>
      <w:r w:rsidR="00476CBD" w:rsidRPr="00D43C76">
        <w:rPr>
          <w:rFonts w:ascii="Cambria" w:hAnsi="Cambria"/>
          <w:lang w:val="es-ES_tradnl"/>
        </w:rPr>
        <w:t>presentó una declaración a la CIDH</w:t>
      </w:r>
      <w:r w:rsidR="00AB22BC" w:rsidRPr="00D43C76">
        <w:rPr>
          <w:rFonts w:ascii="Cambria" w:hAnsi="Cambria"/>
          <w:lang w:val="es-ES_tradnl"/>
        </w:rPr>
        <w:t xml:space="preserve"> </w:t>
      </w:r>
      <w:r w:rsidR="00476CBD" w:rsidRPr="00D43C76">
        <w:rPr>
          <w:rFonts w:ascii="Cambria" w:hAnsi="Cambria"/>
          <w:lang w:val="es-ES_tradnl"/>
        </w:rPr>
        <w:t>sobre el impacto que la homofobia en Jamaica había tenido en su vida</w:t>
      </w:r>
      <w:r w:rsidR="00AB22BC" w:rsidRPr="00D43C76">
        <w:rPr>
          <w:rFonts w:ascii="Cambria" w:hAnsi="Cambria"/>
          <w:lang w:val="es-ES_tradnl"/>
        </w:rPr>
        <w:t>:</w:t>
      </w:r>
    </w:p>
    <w:p w14:paraId="1272EDA4" w14:textId="77777777" w:rsidR="00AB22BC" w:rsidRPr="00D43C76" w:rsidRDefault="00AB22BC" w:rsidP="00AB22BC">
      <w:pPr>
        <w:pStyle w:val="parrafos"/>
        <w:tabs>
          <w:tab w:val="left" w:pos="720"/>
        </w:tabs>
        <w:rPr>
          <w:rFonts w:ascii="Cambria" w:hAnsi="Cambria"/>
          <w:lang w:val="es-ES_tradnl"/>
        </w:rPr>
      </w:pPr>
    </w:p>
    <w:p w14:paraId="5E136B97" w14:textId="77777777" w:rsidR="00AB22BC" w:rsidRPr="00D43C76" w:rsidRDefault="006964DF" w:rsidP="003151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r w:rsidR="00A34700" w:rsidRPr="00D43C76">
        <w:rPr>
          <w:rFonts w:asciiTheme="majorHAnsi" w:hAnsiTheme="majorHAnsi"/>
          <w:sz w:val="18"/>
          <w:szCs w:val="18"/>
          <w:lang w:val="es-ES_tradnl"/>
        </w:rPr>
        <w:t xml:space="preserve">La vida en </w:t>
      </w:r>
      <w:r w:rsidR="00AB22BC" w:rsidRPr="00D43C76">
        <w:rPr>
          <w:rFonts w:asciiTheme="majorHAnsi" w:hAnsiTheme="majorHAnsi"/>
          <w:sz w:val="18"/>
          <w:szCs w:val="18"/>
          <w:lang w:val="es-ES_tradnl"/>
        </w:rPr>
        <w:t xml:space="preserve">Jamaica </w:t>
      </w:r>
      <w:r w:rsidR="00A34700" w:rsidRPr="00D43C76">
        <w:rPr>
          <w:rFonts w:asciiTheme="majorHAnsi" w:hAnsiTheme="majorHAnsi"/>
          <w:sz w:val="18"/>
          <w:szCs w:val="18"/>
          <w:lang w:val="es-ES_tradnl"/>
        </w:rPr>
        <w:t xml:space="preserve">es un infierno para mí. Si eres </w:t>
      </w:r>
      <w:r w:rsidR="00AB22BC" w:rsidRPr="00D43C76">
        <w:rPr>
          <w:rFonts w:asciiTheme="majorHAnsi" w:hAnsiTheme="majorHAnsi"/>
          <w:sz w:val="18"/>
          <w:szCs w:val="18"/>
          <w:lang w:val="es-ES_tradnl"/>
        </w:rPr>
        <w:t>gay</w:t>
      </w:r>
      <w:r w:rsidR="00A34700" w:rsidRPr="00D43C76">
        <w:rPr>
          <w:rFonts w:asciiTheme="majorHAnsi" w:hAnsiTheme="majorHAnsi"/>
          <w:sz w:val="18"/>
          <w:szCs w:val="18"/>
          <w:lang w:val="es-ES_tradnl"/>
        </w:rPr>
        <w:t xml:space="preserve"> y se nota, tienes que esconderte</w:t>
      </w:r>
      <w:r w:rsidR="00AB22BC"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r w:rsidR="00A34700" w:rsidRPr="00D43C76">
        <w:rPr>
          <w:rFonts w:asciiTheme="majorHAnsi" w:hAnsiTheme="majorHAnsi"/>
          <w:sz w:val="18"/>
          <w:szCs w:val="18"/>
          <w:lang w:val="es-ES_tradnl"/>
        </w:rPr>
        <w:t xml:space="preserve">. Me niego a hacerme la prueba del VIH o </w:t>
      </w:r>
      <w:r w:rsidR="000E27DC" w:rsidRPr="00D43C76">
        <w:rPr>
          <w:rFonts w:asciiTheme="majorHAnsi" w:hAnsiTheme="majorHAnsi"/>
          <w:sz w:val="18"/>
          <w:szCs w:val="18"/>
          <w:lang w:val="es-ES_tradnl"/>
        </w:rPr>
        <w:t xml:space="preserve">pruebas </w:t>
      </w:r>
      <w:r w:rsidR="00A34700" w:rsidRPr="00D43C76">
        <w:rPr>
          <w:rFonts w:asciiTheme="majorHAnsi" w:hAnsiTheme="majorHAnsi"/>
          <w:sz w:val="18"/>
          <w:szCs w:val="18"/>
          <w:lang w:val="es-ES_tradnl"/>
        </w:rPr>
        <w:t xml:space="preserve">para cualquier otra infección de transmisión sexual en centros de salud pública porque algunos amigos que son </w:t>
      </w:r>
      <w:r w:rsidR="00F22969" w:rsidRPr="00D43C76">
        <w:rPr>
          <w:rFonts w:asciiTheme="majorHAnsi" w:hAnsiTheme="majorHAnsi"/>
          <w:sz w:val="18"/>
          <w:szCs w:val="18"/>
          <w:lang w:val="es-ES_tradnl"/>
        </w:rPr>
        <w:t>ga</w:t>
      </w:r>
      <w:r w:rsidR="00B53B23" w:rsidRPr="00D43C76">
        <w:rPr>
          <w:rFonts w:asciiTheme="majorHAnsi" w:hAnsiTheme="majorHAnsi"/>
          <w:sz w:val="18"/>
          <w:szCs w:val="18"/>
          <w:lang w:val="es-ES_tradnl"/>
        </w:rPr>
        <w:t>is</w:t>
      </w:r>
      <w:r w:rsidR="00F22969" w:rsidRPr="00D43C76">
        <w:rPr>
          <w:rFonts w:asciiTheme="majorHAnsi" w:hAnsiTheme="majorHAnsi"/>
          <w:sz w:val="18"/>
          <w:szCs w:val="18"/>
          <w:lang w:val="es-ES_tradnl"/>
        </w:rPr>
        <w:t xml:space="preserve"> </w:t>
      </w:r>
      <w:r w:rsidR="00A34700" w:rsidRPr="00D43C76">
        <w:rPr>
          <w:rFonts w:asciiTheme="majorHAnsi" w:hAnsiTheme="majorHAnsi"/>
          <w:sz w:val="18"/>
          <w:szCs w:val="18"/>
          <w:lang w:val="es-ES_tradnl"/>
        </w:rPr>
        <w:t>o que tienen relaciones sexuales con hombres suelen recibir un trato discriminatorio. Les preguntan sobre su conducta</w:t>
      </w:r>
      <w:r w:rsidR="00F22969" w:rsidRPr="00D43C76">
        <w:rPr>
          <w:rFonts w:asciiTheme="majorHAnsi" w:hAnsiTheme="majorHAnsi"/>
          <w:sz w:val="18"/>
          <w:szCs w:val="18"/>
          <w:lang w:val="es-ES_tradnl"/>
        </w:rPr>
        <w:t xml:space="preserve"> sexual </w:t>
      </w:r>
      <w:r w:rsidR="00A34700" w:rsidRPr="00D43C76">
        <w:rPr>
          <w:rFonts w:asciiTheme="majorHAnsi" w:hAnsiTheme="majorHAnsi"/>
          <w:sz w:val="18"/>
          <w:szCs w:val="18"/>
          <w:lang w:val="es-ES_tradnl"/>
        </w:rPr>
        <w:t>y, si admiten que han tenido relaciones sexuales con un hombre, los tratan de manera diferente. Me preocupa la posibilidad de experimentar una discriminación</w:t>
      </w:r>
      <w:r w:rsidR="00F22969" w:rsidRPr="00D43C76">
        <w:rPr>
          <w:rFonts w:asciiTheme="majorHAnsi" w:hAnsiTheme="majorHAnsi"/>
          <w:sz w:val="18"/>
          <w:szCs w:val="18"/>
          <w:lang w:val="es-ES_tradnl"/>
        </w:rPr>
        <w:t xml:space="preserve"> similar </w:t>
      </w:r>
      <w:r w:rsidR="00A34700" w:rsidRPr="00D43C76">
        <w:rPr>
          <w:rFonts w:asciiTheme="majorHAnsi" w:hAnsiTheme="majorHAnsi"/>
          <w:sz w:val="18"/>
          <w:szCs w:val="18"/>
          <w:lang w:val="es-ES_tradnl"/>
        </w:rPr>
        <w:t xml:space="preserve">si </w:t>
      </w:r>
      <w:r w:rsidR="00B53B23" w:rsidRPr="00D43C76">
        <w:rPr>
          <w:rFonts w:asciiTheme="majorHAnsi" w:hAnsiTheme="majorHAnsi"/>
          <w:sz w:val="18"/>
          <w:szCs w:val="18"/>
          <w:lang w:val="es-ES_tradnl"/>
        </w:rPr>
        <w:t xml:space="preserve">acudo a </w:t>
      </w:r>
      <w:r w:rsidR="00A34700" w:rsidRPr="00D43C76">
        <w:rPr>
          <w:rFonts w:asciiTheme="majorHAnsi" w:hAnsiTheme="majorHAnsi"/>
          <w:sz w:val="18"/>
          <w:szCs w:val="18"/>
          <w:lang w:val="es-ES_tradnl"/>
        </w:rPr>
        <w:t xml:space="preserve">proveedores </w:t>
      </w:r>
      <w:r w:rsidR="00B53B23" w:rsidRPr="00D43C76">
        <w:rPr>
          <w:rFonts w:asciiTheme="majorHAnsi" w:hAnsiTheme="majorHAnsi"/>
          <w:sz w:val="18"/>
          <w:szCs w:val="18"/>
          <w:lang w:val="es-ES_tradnl"/>
        </w:rPr>
        <w:t xml:space="preserve">de servicios de salud sexual </w:t>
      </w:r>
      <w:r w:rsidR="00A34700" w:rsidRPr="00D43C76">
        <w:rPr>
          <w:rFonts w:asciiTheme="majorHAnsi" w:hAnsiTheme="majorHAnsi"/>
          <w:sz w:val="18"/>
          <w:szCs w:val="18"/>
          <w:lang w:val="es-ES_tradnl"/>
        </w:rPr>
        <w:t xml:space="preserve">que no son conocidos en la comunidad </w:t>
      </w:r>
      <w:r w:rsidR="00F22969" w:rsidRPr="00D43C76">
        <w:rPr>
          <w:rFonts w:asciiTheme="majorHAnsi" w:hAnsiTheme="majorHAnsi"/>
          <w:sz w:val="18"/>
          <w:szCs w:val="18"/>
          <w:lang w:val="es-ES_tradnl"/>
        </w:rPr>
        <w:t xml:space="preserve">LGBT </w:t>
      </w:r>
      <w:r w:rsidR="00A34700" w:rsidRPr="00D43C76">
        <w:rPr>
          <w:rFonts w:asciiTheme="majorHAnsi" w:hAnsiTheme="majorHAnsi"/>
          <w:sz w:val="18"/>
          <w:szCs w:val="18"/>
          <w:lang w:val="es-ES_tradnl"/>
        </w:rPr>
        <w:t>por su tolerancia. Por lo tanto, mi acceso a servicios de salud</w:t>
      </w:r>
      <w:r w:rsidR="00F22969" w:rsidRPr="00D43C76">
        <w:rPr>
          <w:rFonts w:asciiTheme="majorHAnsi" w:hAnsiTheme="majorHAnsi"/>
          <w:sz w:val="18"/>
          <w:szCs w:val="18"/>
          <w:lang w:val="es-ES_tradnl"/>
        </w:rPr>
        <w:t xml:space="preserve"> sexual</w:t>
      </w:r>
      <w:r w:rsidR="00A34700" w:rsidRPr="00D43C76">
        <w:rPr>
          <w:rFonts w:asciiTheme="majorHAnsi" w:hAnsiTheme="majorHAnsi"/>
          <w:sz w:val="18"/>
          <w:szCs w:val="18"/>
          <w:lang w:val="es-ES_tradnl"/>
        </w:rPr>
        <w:t xml:space="preserve">, </w:t>
      </w:r>
      <w:r w:rsidR="00B53B23" w:rsidRPr="00D43C76">
        <w:rPr>
          <w:rFonts w:asciiTheme="majorHAnsi" w:hAnsiTheme="majorHAnsi"/>
          <w:sz w:val="18"/>
          <w:szCs w:val="18"/>
          <w:lang w:val="es-ES_tradnl"/>
        </w:rPr>
        <w:t xml:space="preserve">como </w:t>
      </w:r>
      <w:r w:rsidR="00A34700" w:rsidRPr="00D43C76">
        <w:rPr>
          <w:rFonts w:asciiTheme="majorHAnsi" w:hAnsiTheme="majorHAnsi"/>
          <w:sz w:val="18"/>
          <w:szCs w:val="18"/>
          <w:lang w:val="es-ES_tradnl"/>
        </w:rPr>
        <w:t xml:space="preserve">la prueba del VIH, la prevención y el tratamiento (si es necesario), está limitado por mi temor de la </w:t>
      </w:r>
      <w:r w:rsidR="00851B40" w:rsidRPr="00D43C76">
        <w:rPr>
          <w:rFonts w:asciiTheme="majorHAnsi" w:hAnsiTheme="majorHAnsi"/>
          <w:sz w:val="18"/>
          <w:szCs w:val="18"/>
          <w:lang w:val="es-ES_tradnl"/>
        </w:rPr>
        <w:t>discriminación</w:t>
      </w:r>
      <w:r w:rsidR="00F22969" w:rsidRPr="00D43C76">
        <w:rPr>
          <w:rFonts w:asciiTheme="majorHAnsi" w:hAnsiTheme="majorHAnsi"/>
          <w:sz w:val="18"/>
          <w:szCs w:val="18"/>
          <w:lang w:val="es-ES_tradnl"/>
        </w:rPr>
        <w:t xml:space="preserve"> </w:t>
      </w:r>
      <w:r w:rsidR="00A34700" w:rsidRPr="00D43C76">
        <w:rPr>
          <w:rFonts w:asciiTheme="majorHAnsi" w:hAnsiTheme="majorHAnsi"/>
          <w:sz w:val="18"/>
          <w:szCs w:val="18"/>
          <w:lang w:val="es-ES_tradnl"/>
        </w:rPr>
        <w:t xml:space="preserve">que enfrentan </w:t>
      </w:r>
      <w:r w:rsidR="00B53B23" w:rsidRPr="00D43C76">
        <w:rPr>
          <w:rFonts w:asciiTheme="majorHAnsi" w:hAnsiTheme="majorHAnsi"/>
          <w:sz w:val="18"/>
          <w:szCs w:val="18"/>
          <w:lang w:val="es-ES_tradnl"/>
        </w:rPr>
        <w:t xml:space="preserve">comúnmente </w:t>
      </w:r>
      <w:r w:rsidR="00A34700" w:rsidRPr="00D43C76">
        <w:rPr>
          <w:rFonts w:asciiTheme="majorHAnsi" w:hAnsiTheme="majorHAnsi"/>
          <w:sz w:val="18"/>
          <w:szCs w:val="18"/>
          <w:lang w:val="es-ES_tradnl"/>
        </w:rPr>
        <w:t>los hombres gais</w:t>
      </w:r>
      <w:r w:rsidR="00F22969"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p>
    <w:p w14:paraId="2A1376D8" w14:textId="77777777" w:rsidR="00DD66BE" w:rsidRPr="00D43C76" w:rsidRDefault="00DD66BE" w:rsidP="003151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47C30107" w14:textId="77777777" w:rsidR="00DE2271" w:rsidRPr="00D43C76" w:rsidRDefault="006964DF"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r w:rsidR="009935B0" w:rsidRPr="00D43C76">
        <w:rPr>
          <w:rFonts w:asciiTheme="majorHAnsi" w:hAnsiTheme="majorHAnsi"/>
          <w:sz w:val="18"/>
          <w:szCs w:val="18"/>
          <w:lang w:val="es-ES_tradnl"/>
        </w:rPr>
        <w:t>Tuve m</w:t>
      </w:r>
      <w:r w:rsidR="00A34700" w:rsidRPr="00D43C76">
        <w:rPr>
          <w:rFonts w:asciiTheme="majorHAnsi" w:hAnsiTheme="majorHAnsi"/>
          <w:sz w:val="18"/>
          <w:szCs w:val="18"/>
          <w:lang w:val="es-ES_tradnl"/>
        </w:rPr>
        <w:t xml:space="preserve">i primera experiencia </w:t>
      </w:r>
      <w:r w:rsidR="009935B0" w:rsidRPr="00D43C76">
        <w:rPr>
          <w:rFonts w:asciiTheme="majorHAnsi" w:hAnsiTheme="majorHAnsi"/>
          <w:sz w:val="18"/>
          <w:szCs w:val="18"/>
          <w:lang w:val="es-ES_tradnl"/>
        </w:rPr>
        <w:t>de violencia física por mi o</w:t>
      </w:r>
      <w:r w:rsidR="00851B40" w:rsidRPr="00D43C76">
        <w:rPr>
          <w:rFonts w:asciiTheme="majorHAnsi" w:hAnsiTheme="majorHAnsi"/>
          <w:sz w:val="18"/>
          <w:szCs w:val="18"/>
          <w:lang w:val="es-ES_tradnl"/>
        </w:rPr>
        <w:t>rientación sexual</w:t>
      </w:r>
      <w:r w:rsidR="00DD66BE" w:rsidRPr="00D43C76">
        <w:rPr>
          <w:rFonts w:asciiTheme="majorHAnsi" w:hAnsiTheme="majorHAnsi"/>
          <w:sz w:val="18"/>
          <w:szCs w:val="18"/>
          <w:lang w:val="es-ES_tradnl"/>
        </w:rPr>
        <w:t xml:space="preserve"> </w:t>
      </w:r>
      <w:r w:rsidR="009935B0" w:rsidRPr="00D43C76">
        <w:rPr>
          <w:rFonts w:asciiTheme="majorHAnsi" w:hAnsiTheme="majorHAnsi"/>
          <w:sz w:val="18"/>
          <w:szCs w:val="18"/>
          <w:lang w:val="es-ES_tradnl"/>
        </w:rPr>
        <w:t xml:space="preserve">en abril de </w:t>
      </w:r>
      <w:r w:rsidR="00DD66BE" w:rsidRPr="00D43C76">
        <w:rPr>
          <w:rFonts w:asciiTheme="majorHAnsi" w:hAnsiTheme="majorHAnsi"/>
          <w:sz w:val="18"/>
          <w:szCs w:val="18"/>
          <w:lang w:val="es-ES_tradnl"/>
        </w:rPr>
        <w:t xml:space="preserve">2011 </w:t>
      </w:r>
      <w:r w:rsidRPr="00D43C76">
        <w:rPr>
          <w:rFonts w:asciiTheme="majorHAnsi" w:hAnsiTheme="majorHAnsi"/>
          <w:sz w:val="18"/>
          <w:szCs w:val="18"/>
          <w:lang w:val="es-ES_tradnl"/>
        </w:rPr>
        <w:t>[…]</w:t>
      </w:r>
      <w:r w:rsidR="009935B0" w:rsidRPr="00D43C76">
        <w:rPr>
          <w:rFonts w:asciiTheme="majorHAnsi" w:hAnsiTheme="majorHAnsi"/>
          <w:sz w:val="18"/>
          <w:szCs w:val="18"/>
          <w:lang w:val="es-ES_tradnl"/>
        </w:rPr>
        <w:t xml:space="preserve">. Estaba caminando por la calle </w:t>
      </w:r>
      <w:r w:rsidR="00DD66BE" w:rsidRPr="00D43C76">
        <w:rPr>
          <w:rFonts w:asciiTheme="majorHAnsi" w:hAnsiTheme="majorHAnsi"/>
          <w:sz w:val="18"/>
          <w:szCs w:val="18"/>
          <w:lang w:val="es-ES_tradnl"/>
        </w:rPr>
        <w:t>Dome</w:t>
      </w:r>
      <w:r w:rsidR="009935B0" w:rsidRPr="00D43C76">
        <w:rPr>
          <w:rFonts w:asciiTheme="majorHAnsi" w:hAnsiTheme="majorHAnsi"/>
          <w:sz w:val="18"/>
          <w:szCs w:val="18"/>
          <w:lang w:val="es-ES_tradnl"/>
        </w:rPr>
        <w:t xml:space="preserve">, cerca de la avenida </w:t>
      </w:r>
      <w:r w:rsidR="00DD66BE" w:rsidRPr="00D43C76">
        <w:rPr>
          <w:rFonts w:asciiTheme="majorHAnsi" w:hAnsiTheme="majorHAnsi"/>
          <w:sz w:val="18"/>
          <w:szCs w:val="18"/>
          <w:lang w:val="es-ES_tradnl"/>
        </w:rPr>
        <w:t>Humber</w:t>
      </w:r>
      <w:r w:rsidR="009935B0" w:rsidRPr="00D43C76">
        <w:rPr>
          <w:rFonts w:asciiTheme="majorHAnsi" w:hAnsiTheme="majorHAnsi"/>
          <w:sz w:val="18"/>
          <w:szCs w:val="18"/>
          <w:lang w:val="es-ES_tradnl"/>
        </w:rPr>
        <w:t xml:space="preserve">, en </w:t>
      </w:r>
      <w:r w:rsidR="00DD66BE" w:rsidRPr="00D43C76">
        <w:rPr>
          <w:rFonts w:asciiTheme="majorHAnsi" w:hAnsiTheme="majorHAnsi"/>
          <w:sz w:val="18"/>
          <w:szCs w:val="18"/>
          <w:lang w:val="es-ES_tradnl"/>
        </w:rPr>
        <w:t xml:space="preserve">Montego Bay. </w:t>
      </w:r>
      <w:r w:rsidR="009935B0" w:rsidRPr="00D43C76">
        <w:rPr>
          <w:rFonts w:asciiTheme="majorHAnsi" w:hAnsiTheme="majorHAnsi"/>
          <w:sz w:val="18"/>
          <w:szCs w:val="18"/>
          <w:lang w:val="es-ES_tradnl"/>
        </w:rPr>
        <w:t>Dos hombres pararon delante de mí mientras iba caminando. Uno de ellos me llamó “maricón” y dijo que no quería maricones allí</w:t>
      </w:r>
      <w:r w:rsidR="00DD66BE"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r w:rsidR="00B53B23" w:rsidRPr="00D43C76">
        <w:rPr>
          <w:rFonts w:asciiTheme="majorHAnsi" w:hAnsiTheme="majorHAnsi"/>
          <w:sz w:val="18"/>
          <w:szCs w:val="18"/>
          <w:lang w:val="es-ES_tradnl"/>
        </w:rPr>
        <w:t>. L</w:t>
      </w:r>
      <w:r w:rsidR="009935B0" w:rsidRPr="00D43C76">
        <w:rPr>
          <w:rFonts w:asciiTheme="majorHAnsi" w:hAnsiTheme="majorHAnsi"/>
          <w:sz w:val="18"/>
          <w:szCs w:val="18"/>
          <w:lang w:val="es-ES_tradnl"/>
        </w:rPr>
        <w:t>os dos comenzaron a empujarme. Los empujones se intensificaron</w:t>
      </w:r>
      <w:r w:rsidR="008E6D06" w:rsidRPr="00D43C76">
        <w:rPr>
          <w:rFonts w:asciiTheme="majorHAnsi" w:hAnsiTheme="majorHAnsi"/>
          <w:sz w:val="18"/>
          <w:szCs w:val="18"/>
          <w:lang w:val="es-ES_tradnl"/>
        </w:rPr>
        <w:t xml:space="preserve">; </w:t>
      </w:r>
      <w:r w:rsidR="009935B0" w:rsidRPr="00D43C76">
        <w:rPr>
          <w:rFonts w:asciiTheme="majorHAnsi" w:hAnsiTheme="majorHAnsi"/>
          <w:sz w:val="18"/>
          <w:szCs w:val="18"/>
          <w:lang w:val="es-ES_tradnl"/>
        </w:rPr>
        <w:t xml:space="preserve">comenzaron a empujarme </w:t>
      </w:r>
      <w:r w:rsidR="008E6D06" w:rsidRPr="00D43C76">
        <w:rPr>
          <w:rFonts w:asciiTheme="majorHAnsi" w:hAnsiTheme="majorHAnsi"/>
          <w:sz w:val="18"/>
          <w:szCs w:val="18"/>
          <w:lang w:val="es-ES_tradnl"/>
        </w:rPr>
        <w:t>de un lado para otro entre ellos</w:t>
      </w:r>
      <w:r w:rsidR="009935B0"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r w:rsidR="008E6D06" w:rsidRPr="00D43C76">
        <w:rPr>
          <w:rFonts w:asciiTheme="majorHAnsi" w:hAnsiTheme="majorHAnsi"/>
          <w:sz w:val="18"/>
          <w:szCs w:val="18"/>
          <w:lang w:val="es-ES_tradnl"/>
        </w:rPr>
        <w:t>.</w:t>
      </w:r>
      <w:r w:rsidRPr="00D43C76">
        <w:rPr>
          <w:rFonts w:asciiTheme="majorHAnsi" w:hAnsiTheme="majorHAnsi"/>
          <w:sz w:val="18"/>
          <w:szCs w:val="18"/>
          <w:lang w:val="es-ES_tradnl"/>
        </w:rPr>
        <w:t xml:space="preserve"> </w:t>
      </w:r>
      <w:r w:rsidR="008E6D06" w:rsidRPr="00D43C76">
        <w:rPr>
          <w:rFonts w:asciiTheme="majorHAnsi" w:hAnsiTheme="majorHAnsi"/>
          <w:sz w:val="18"/>
          <w:szCs w:val="18"/>
          <w:lang w:val="es-ES_tradnl"/>
        </w:rPr>
        <w:t>E</w:t>
      </w:r>
      <w:r w:rsidR="009935B0" w:rsidRPr="00D43C76">
        <w:rPr>
          <w:rFonts w:asciiTheme="majorHAnsi" w:hAnsiTheme="majorHAnsi"/>
          <w:sz w:val="18"/>
          <w:szCs w:val="18"/>
          <w:lang w:val="es-ES_tradnl"/>
        </w:rPr>
        <w:t xml:space="preserve">n la calle </w:t>
      </w:r>
      <w:r w:rsidR="00DE2271" w:rsidRPr="00D43C76">
        <w:rPr>
          <w:rFonts w:asciiTheme="majorHAnsi" w:hAnsiTheme="majorHAnsi"/>
          <w:sz w:val="18"/>
          <w:szCs w:val="18"/>
          <w:lang w:val="es-ES_tradnl"/>
        </w:rPr>
        <w:t xml:space="preserve">Dome </w:t>
      </w:r>
      <w:r w:rsidR="009935B0" w:rsidRPr="00D43C76">
        <w:rPr>
          <w:rFonts w:asciiTheme="majorHAnsi" w:hAnsiTheme="majorHAnsi"/>
          <w:sz w:val="18"/>
          <w:szCs w:val="18"/>
          <w:lang w:val="es-ES_tradnl"/>
        </w:rPr>
        <w:t xml:space="preserve">hay una ferretería cerca de la calle </w:t>
      </w:r>
      <w:r w:rsidR="00DE2271" w:rsidRPr="00D43C76">
        <w:rPr>
          <w:rFonts w:asciiTheme="majorHAnsi" w:hAnsiTheme="majorHAnsi"/>
          <w:sz w:val="18"/>
          <w:szCs w:val="18"/>
          <w:lang w:val="es-ES_tradnl"/>
        </w:rPr>
        <w:t xml:space="preserve">Princess </w:t>
      </w:r>
      <w:r w:rsidRPr="00D43C76">
        <w:rPr>
          <w:rFonts w:asciiTheme="majorHAnsi" w:hAnsiTheme="majorHAnsi"/>
          <w:sz w:val="18"/>
          <w:szCs w:val="18"/>
          <w:lang w:val="es-ES_tradnl"/>
        </w:rPr>
        <w:t>[…]</w:t>
      </w:r>
      <w:r w:rsidR="008E6D06" w:rsidRPr="00D43C76">
        <w:rPr>
          <w:rFonts w:asciiTheme="majorHAnsi" w:hAnsiTheme="majorHAnsi"/>
          <w:sz w:val="18"/>
          <w:szCs w:val="18"/>
          <w:lang w:val="es-ES_tradnl"/>
        </w:rPr>
        <w:t>.</w:t>
      </w:r>
      <w:r w:rsidRPr="00D43C76">
        <w:rPr>
          <w:rFonts w:asciiTheme="majorHAnsi" w:hAnsiTheme="majorHAnsi"/>
          <w:sz w:val="18"/>
          <w:szCs w:val="18"/>
          <w:lang w:val="es-ES_tradnl"/>
        </w:rPr>
        <w:t xml:space="preserve"> </w:t>
      </w:r>
      <w:r w:rsidR="008E6D06" w:rsidRPr="00D43C76">
        <w:rPr>
          <w:rFonts w:asciiTheme="majorHAnsi" w:hAnsiTheme="majorHAnsi"/>
          <w:sz w:val="18"/>
          <w:szCs w:val="18"/>
          <w:lang w:val="es-ES_tradnl"/>
        </w:rPr>
        <w:t>C</w:t>
      </w:r>
      <w:r w:rsidR="009935B0" w:rsidRPr="00D43C76">
        <w:rPr>
          <w:rFonts w:asciiTheme="majorHAnsi" w:hAnsiTheme="majorHAnsi"/>
          <w:sz w:val="18"/>
          <w:szCs w:val="18"/>
          <w:lang w:val="es-ES_tradnl"/>
        </w:rPr>
        <w:t>uando se produjo el incidente, el dueño de la ferretería vio lo que estaba ocurriendo e intervino. Les dijo a los tipos que me dejaran en paz y me dijo que me fuera a mi casa</w:t>
      </w:r>
      <w:r w:rsidR="00DE2271" w:rsidRPr="00D43C76">
        <w:rPr>
          <w:rFonts w:asciiTheme="majorHAnsi" w:hAnsiTheme="majorHAnsi"/>
          <w:sz w:val="18"/>
          <w:szCs w:val="18"/>
          <w:lang w:val="es-ES_tradnl"/>
        </w:rPr>
        <w:t xml:space="preserve">. </w:t>
      </w:r>
      <w:r w:rsidR="009935B0" w:rsidRPr="00D43C76">
        <w:rPr>
          <w:rFonts w:asciiTheme="majorHAnsi" w:hAnsiTheme="majorHAnsi"/>
          <w:sz w:val="18"/>
          <w:szCs w:val="18"/>
          <w:lang w:val="es-ES_tradnl"/>
        </w:rPr>
        <w:t>Cuando me iba, los hombres dijeron: “¡Muerte a los maricones!”</w:t>
      </w:r>
      <w:r w:rsidR="00DE2271"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r w:rsidR="00DE2271" w:rsidRPr="00D43C76">
        <w:rPr>
          <w:rFonts w:asciiTheme="majorHAnsi" w:hAnsiTheme="majorHAnsi"/>
          <w:sz w:val="18"/>
          <w:szCs w:val="18"/>
          <w:lang w:val="es-ES_tradnl"/>
        </w:rPr>
        <w:t xml:space="preserve"> </w:t>
      </w:r>
      <w:r w:rsidR="009935B0" w:rsidRPr="00D43C76">
        <w:rPr>
          <w:rFonts w:asciiTheme="majorHAnsi" w:hAnsiTheme="majorHAnsi"/>
          <w:sz w:val="18"/>
          <w:szCs w:val="18"/>
          <w:lang w:val="es-ES_tradnl"/>
        </w:rPr>
        <w:t>Unos días después del incidente</w:t>
      </w:r>
      <w:r w:rsidR="00DE2271" w:rsidRPr="00D43C76">
        <w:rPr>
          <w:rFonts w:asciiTheme="majorHAnsi" w:hAnsiTheme="majorHAnsi"/>
          <w:sz w:val="18"/>
          <w:szCs w:val="18"/>
          <w:lang w:val="es-ES_tradnl"/>
        </w:rPr>
        <w:t xml:space="preserve">, </w:t>
      </w:r>
      <w:r w:rsidR="009935B0" w:rsidRPr="00D43C76">
        <w:rPr>
          <w:rFonts w:asciiTheme="majorHAnsi" w:hAnsiTheme="majorHAnsi"/>
          <w:sz w:val="18"/>
          <w:szCs w:val="18"/>
          <w:lang w:val="es-ES_tradnl"/>
        </w:rPr>
        <w:t xml:space="preserve">el dueño de la ferretería me dijo que había oído </w:t>
      </w:r>
      <w:r w:rsidR="008E6D06" w:rsidRPr="00D43C76">
        <w:rPr>
          <w:rFonts w:asciiTheme="majorHAnsi" w:hAnsiTheme="majorHAnsi"/>
          <w:sz w:val="18"/>
          <w:szCs w:val="18"/>
          <w:lang w:val="es-ES_tradnl"/>
        </w:rPr>
        <w:t xml:space="preserve">una conversación entre </w:t>
      </w:r>
      <w:r w:rsidR="009935B0" w:rsidRPr="00D43C76">
        <w:rPr>
          <w:rFonts w:asciiTheme="majorHAnsi" w:hAnsiTheme="majorHAnsi"/>
          <w:sz w:val="18"/>
          <w:szCs w:val="18"/>
          <w:lang w:val="es-ES_tradnl"/>
        </w:rPr>
        <w:t>est</w:t>
      </w:r>
      <w:r w:rsidR="008E6D06" w:rsidRPr="00D43C76">
        <w:rPr>
          <w:rFonts w:asciiTheme="majorHAnsi" w:hAnsiTheme="majorHAnsi"/>
          <w:sz w:val="18"/>
          <w:szCs w:val="18"/>
          <w:lang w:val="es-ES_tradnl"/>
        </w:rPr>
        <w:t xml:space="preserve">os dos </w:t>
      </w:r>
      <w:r w:rsidR="009935B0" w:rsidRPr="00D43C76">
        <w:rPr>
          <w:rFonts w:asciiTheme="majorHAnsi" w:hAnsiTheme="majorHAnsi"/>
          <w:sz w:val="18"/>
          <w:szCs w:val="18"/>
          <w:lang w:val="es-ES_tradnl"/>
        </w:rPr>
        <w:t>hombres</w:t>
      </w:r>
      <w:r w:rsidR="008E6D06" w:rsidRPr="00D43C76">
        <w:rPr>
          <w:rFonts w:asciiTheme="majorHAnsi" w:hAnsiTheme="majorHAnsi"/>
          <w:sz w:val="18"/>
          <w:szCs w:val="18"/>
          <w:lang w:val="es-ES_tradnl"/>
        </w:rPr>
        <w:t xml:space="preserve"> y </w:t>
      </w:r>
      <w:r w:rsidR="009935B0" w:rsidRPr="00D43C76">
        <w:rPr>
          <w:rFonts w:asciiTheme="majorHAnsi" w:hAnsiTheme="majorHAnsi"/>
          <w:sz w:val="18"/>
          <w:szCs w:val="18"/>
          <w:lang w:val="es-ES_tradnl"/>
        </w:rPr>
        <w:t xml:space="preserve">que los oyó </w:t>
      </w:r>
      <w:r w:rsidR="008E6D06" w:rsidRPr="00D43C76">
        <w:rPr>
          <w:rFonts w:asciiTheme="majorHAnsi" w:hAnsiTheme="majorHAnsi"/>
          <w:sz w:val="18"/>
          <w:szCs w:val="18"/>
          <w:lang w:val="es-ES_tradnl"/>
        </w:rPr>
        <w:t xml:space="preserve">decir que iban a </w:t>
      </w:r>
      <w:r w:rsidR="009935B0" w:rsidRPr="00D43C76">
        <w:rPr>
          <w:rFonts w:asciiTheme="majorHAnsi" w:hAnsiTheme="majorHAnsi"/>
          <w:sz w:val="18"/>
          <w:szCs w:val="18"/>
          <w:lang w:val="es-ES_tradnl"/>
        </w:rPr>
        <w:t>matarme</w:t>
      </w:r>
      <w:r w:rsidR="00DE2271"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p>
    <w:p w14:paraId="1F0B4B1A" w14:textId="77777777" w:rsidR="00DE2271" w:rsidRPr="00D43C76" w:rsidRDefault="00DE2271"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0F4CEAF5" w14:textId="77777777" w:rsidR="00DE2271" w:rsidRPr="00D43C76" w:rsidRDefault="006964DF"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r w:rsidR="00C42B45" w:rsidRPr="00D43C76">
        <w:rPr>
          <w:rFonts w:asciiTheme="majorHAnsi" w:hAnsiTheme="majorHAnsi"/>
          <w:sz w:val="18"/>
          <w:szCs w:val="18"/>
          <w:lang w:val="es-ES_tradnl"/>
        </w:rPr>
        <w:t>el incidente siguiente se produjo una semana después</w:t>
      </w:r>
      <w:r w:rsidR="00F044AA"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r w:rsidR="00C42B45" w:rsidRPr="00D43C76">
        <w:rPr>
          <w:rFonts w:asciiTheme="majorHAnsi" w:hAnsiTheme="majorHAnsi"/>
          <w:sz w:val="18"/>
          <w:szCs w:val="18"/>
          <w:lang w:val="es-ES_tradnl"/>
        </w:rPr>
        <w:t>. Yo iba caminando por la calle y un hombre estaba lavando su automóvil</w:t>
      </w:r>
      <w:r w:rsidR="00F044AA"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r w:rsidR="00C42B45" w:rsidRPr="00D43C76">
        <w:rPr>
          <w:rFonts w:asciiTheme="majorHAnsi" w:hAnsiTheme="majorHAnsi"/>
          <w:sz w:val="18"/>
          <w:szCs w:val="18"/>
          <w:lang w:val="es-ES_tradnl"/>
        </w:rPr>
        <w:t xml:space="preserve">. Cuando pasé, me arrojó agua y me gritó: </w:t>
      </w:r>
      <w:r w:rsidR="00585684" w:rsidRPr="00D43C76">
        <w:rPr>
          <w:rFonts w:asciiTheme="majorHAnsi" w:hAnsiTheme="majorHAnsi"/>
          <w:sz w:val="18"/>
          <w:szCs w:val="18"/>
          <w:lang w:val="es-ES_tradnl"/>
        </w:rPr>
        <w:t xml:space="preserve">“¡No quiero maricones a mi alrededor!”. No le contesté nada y me fui a </w:t>
      </w:r>
      <w:r w:rsidR="00B53B23" w:rsidRPr="00D43C76">
        <w:rPr>
          <w:rFonts w:asciiTheme="majorHAnsi" w:hAnsiTheme="majorHAnsi"/>
          <w:sz w:val="18"/>
          <w:szCs w:val="18"/>
          <w:lang w:val="es-ES_tradnl"/>
        </w:rPr>
        <w:t xml:space="preserve">mi </w:t>
      </w:r>
      <w:r w:rsidR="00585684" w:rsidRPr="00D43C76">
        <w:rPr>
          <w:rFonts w:asciiTheme="majorHAnsi" w:hAnsiTheme="majorHAnsi"/>
          <w:sz w:val="18"/>
          <w:szCs w:val="18"/>
          <w:lang w:val="es-ES_tradnl"/>
        </w:rPr>
        <w:t>casa</w:t>
      </w:r>
      <w:r w:rsidR="00267094" w:rsidRPr="00D43C76">
        <w:rPr>
          <w:rFonts w:asciiTheme="majorHAnsi" w:hAnsiTheme="majorHAnsi"/>
          <w:sz w:val="18"/>
          <w:szCs w:val="18"/>
          <w:lang w:val="es-ES_tradnl"/>
        </w:rPr>
        <w:t xml:space="preserve">. </w:t>
      </w:r>
    </w:p>
    <w:p w14:paraId="14DE698F" w14:textId="77777777" w:rsidR="00267094" w:rsidRPr="00D43C76" w:rsidRDefault="00267094"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33846166" w14:textId="77777777" w:rsidR="00267094" w:rsidRPr="00D43C76" w:rsidRDefault="006964DF"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r w:rsidR="00585684" w:rsidRPr="00D43C76">
        <w:rPr>
          <w:rFonts w:asciiTheme="majorHAnsi" w:hAnsiTheme="majorHAnsi"/>
          <w:sz w:val="18"/>
          <w:szCs w:val="18"/>
          <w:lang w:val="es-ES_tradnl"/>
        </w:rPr>
        <w:t xml:space="preserve">El </w:t>
      </w:r>
      <w:r w:rsidR="00267094" w:rsidRPr="00D43C76">
        <w:rPr>
          <w:rFonts w:asciiTheme="majorHAnsi" w:hAnsiTheme="majorHAnsi"/>
          <w:sz w:val="18"/>
          <w:szCs w:val="18"/>
          <w:lang w:val="es-ES_tradnl"/>
        </w:rPr>
        <w:t>31</w:t>
      </w:r>
      <w:r w:rsidR="00585684" w:rsidRPr="00D43C76">
        <w:rPr>
          <w:rFonts w:asciiTheme="majorHAnsi" w:hAnsiTheme="majorHAnsi"/>
          <w:sz w:val="18"/>
          <w:szCs w:val="18"/>
          <w:lang w:val="es-ES_tradnl"/>
        </w:rPr>
        <w:t xml:space="preserve"> de mayo de</w:t>
      </w:r>
      <w:r w:rsidR="00267094" w:rsidRPr="00D43C76">
        <w:rPr>
          <w:rFonts w:asciiTheme="majorHAnsi" w:hAnsiTheme="majorHAnsi"/>
          <w:sz w:val="18"/>
          <w:szCs w:val="18"/>
          <w:lang w:val="es-ES_tradnl"/>
        </w:rPr>
        <w:t xml:space="preserve"> 2011</w:t>
      </w:r>
      <w:r w:rsidR="00585684" w:rsidRPr="00D43C76">
        <w:rPr>
          <w:rFonts w:asciiTheme="majorHAnsi" w:hAnsiTheme="majorHAnsi"/>
          <w:sz w:val="18"/>
          <w:szCs w:val="18"/>
          <w:lang w:val="es-ES_tradnl"/>
        </w:rPr>
        <w:t xml:space="preserve"> fue el tercer incidente</w:t>
      </w:r>
      <w:r w:rsidR="00267094" w:rsidRPr="00D43C76">
        <w:rPr>
          <w:rFonts w:asciiTheme="majorHAnsi" w:hAnsiTheme="majorHAnsi"/>
          <w:sz w:val="18"/>
          <w:szCs w:val="18"/>
          <w:lang w:val="es-ES_tradnl"/>
        </w:rPr>
        <w:t xml:space="preserve">. </w:t>
      </w:r>
      <w:r w:rsidR="00585684" w:rsidRPr="00D43C76">
        <w:rPr>
          <w:rFonts w:asciiTheme="majorHAnsi" w:hAnsiTheme="majorHAnsi"/>
          <w:sz w:val="18"/>
          <w:szCs w:val="18"/>
          <w:lang w:val="es-ES_tradnl"/>
        </w:rPr>
        <w:t>Salí de la escuela a eso de las</w:t>
      </w:r>
      <w:r w:rsidR="00267094" w:rsidRPr="00D43C76">
        <w:rPr>
          <w:rFonts w:asciiTheme="majorHAnsi" w:hAnsiTheme="majorHAnsi"/>
          <w:sz w:val="18"/>
          <w:szCs w:val="18"/>
          <w:lang w:val="es-ES_tradnl"/>
        </w:rPr>
        <w:t xml:space="preserve"> </w:t>
      </w:r>
      <w:r w:rsidR="00585684" w:rsidRPr="00D43C76">
        <w:rPr>
          <w:rFonts w:asciiTheme="majorHAnsi" w:hAnsiTheme="majorHAnsi"/>
          <w:sz w:val="18"/>
          <w:szCs w:val="18"/>
          <w:lang w:val="es-ES_tradnl"/>
        </w:rPr>
        <w:t>18:</w:t>
      </w:r>
      <w:r w:rsidR="00267094" w:rsidRPr="00D43C76">
        <w:rPr>
          <w:rFonts w:asciiTheme="majorHAnsi" w:hAnsiTheme="majorHAnsi"/>
          <w:sz w:val="18"/>
          <w:szCs w:val="18"/>
          <w:lang w:val="es-ES_tradnl"/>
        </w:rPr>
        <w:t>30</w:t>
      </w:r>
      <w:r w:rsidR="00585684" w:rsidRPr="00D43C76">
        <w:rPr>
          <w:rFonts w:asciiTheme="majorHAnsi" w:hAnsiTheme="majorHAnsi"/>
          <w:sz w:val="18"/>
          <w:szCs w:val="18"/>
          <w:lang w:val="es-ES_tradnl"/>
        </w:rPr>
        <w:t xml:space="preserve">. Iba a casa, caminando por la avenida </w:t>
      </w:r>
      <w:r w:rsidR="00267094" w:rsidRPr="00D43C76">
        <w:rPr>
          <w:rFonts w:asciiTheme="majorHAnsi" w:hAnsiTheme="majorHAnsi"/>
          <w:sz w:val="18"/>
          <w:szCs w:val="18"/>
          <w:lang w:val="es-ES_tradnl"/>
        </w:rPr>
        <w:t>Foster</w:t>
      </w:r>
      <w:r w:rsidR="00585684" w:rsidRPr="00D43C76">
        <w:rPr>
          <w:rFonts w:asciiTheme="majorHAnsi" w:hAnsiTheme="majorHAnsi"/>
          <w:sz w:val="18"/>
          <w:szCs w:val="18"/>
          <w:lang w:val="es-ES_tradnl"/>
        </w:rPr>
        <w:t xml:space="preserve">, cuando el hombre más alto del primer ataque salió de una casa y dijo: </w:t>
      </w:r>
      <w:r w:rsidR="00267094" w:rsidRPr="00D43C76">
        <w:rPr>
          <w:rFonts w:asciiTheme="majorHAnsi" w:hAnsiTheme="majorHAnsi"/>
          <w:sz w:val="18"/>
          <w:szCs w:val="18"/>
          <w:lang w:val="es-ES_tradnl"/>
        </w:rPr>
        <w:t>“Batty bwoy mi nuh tell yuh she mi nuh wah si yuh roun yah!” (</w:t>
      </w:r>
      <w:r w:rsidR="00585684" w:rsidRPr="00D43C76">
        <w:rPr>
          <w:rFonts w:asciiTheme="majorHAnsi" w:hAnsiTheme="majorHAnsi"/>
          <w:sz w:val="18"/>
          <w:szCs w:val="18"/>
          <w:lang w:val="es-ES_tradnl"/>
        </w:rPr>
        <w:t xml:space="preserve">“Maricón, ¿no te dije que no quería volver a verte por aquí?”). Yo no dije nada y seguí caminando. Tomó una piedra y me la arrojó </w:t>
      </w:r>
      <w:r w:rsidRPr="00D43C76">
        <w:rPr>
          <w:rFonts w:asciiTheme="majorHAnsi" w:hAnsiTheme="majorHAnsi"/>
          <w:sz w:val="18"/>
          <w:szCs w:val="18"/>
          <w:lang w:val="es-ES_tradnl"/>
        </w:rPr>
        <w:t>[…]</w:t>
      </w:r>
      <w:r w:rsidR="00585684" w:rsidRPr="00D43C76">
        <w:rPr>
          <w:rFonts w:asciiTheme="majorHAnsi" w:hAnsiTheme="majorHAnsi"/>
          <w:sz w:val="18"/>
          <w:szCs w:val="18"/>
          <w:lang w:val="es-ES_tradnl"/>
        </w:rPr>
        <w:t xml:space="preserve">. Al día siguiente fui a la comisaría de la calle </w:t>
      </w:r>
      <w:r w:rsidR="009F2967" w:rsidRPr="00D43C76">
        <w:rPr>
          <w:rFonts w:asciiTheme="majorHAnsi" w:hAnsiTheme="majorHAnsi"/>
          <w:sz w:val="18"/>
          <w:szCs w:val="18"/>
          <w:lang w:val="es-ES_tradnl"/>
        </w:rPr>
        <w:t xml:space="preserve">Barnett </w:t>
      </w:r>
      <w:r w:rsidR="00585684" w:rsidRPr="00D43C76">
        <w:rPr>
          <w:rFonts w:asciiTheme="majorHAnsi" w:hAnsiTheme="majorHAnsi"/>
          <w:sz w:val="18"/>
          <w:szCs w:val="18"/>
          <w:lang w:val="es-ES_tradnl"/>
        </w:rPr>
        <w:t>para hacer otra denuncia</w:t>
      </w:r>
      <w:r w:rsidR="009F2967"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 </w:t>
      </w:r>
      <w:r w:rsidR="00585684" w:rsidRPr="00D43C76">
        <w:rPr>
          <w:rFonts w:asciiTheme="majorHAnsi" w:hAnsiTheme="majorHAnsi"/>
          <w:sz w:val="18"/>
          <w:szCs w:val="18"/>
          <w:lang w:val="es-ES_tradnl"/>
        </w:rPr>
        <w:t xml:space="preserve">Los agentes me dijeron que tirar piedras no era un acto de agresión. Les pregunté qué era, y la respuesta de la policía fue: </w:t>
      </w:r>
      <w:r w:rsidR="009F2967" w:rsidRPr="00D43C76">
        <w:rPr>
          <w:rFonts w:asciiTheme="majorHAnsi" w:hAnsiTheme="majorHAnsi"/>
          <w:sz w:val="18"/>
          <w:szCs w:val="18"/>
          <w:lang w:val="es-ES_tradnl"/>
        </w:rPr>
        <w:t>“</w:t>
      </w:r>
      <w:r w:rsidR="00585684" w:rsidRPr="00D43C76">
        <w:rPr>
          <w:rFonts w:asciiTheme="majorHAnsi" w:hAnsiTheme="majorHAnsi"/>
          <w:sz w:val="18"/>
          <w:szCs w:val="18"/>
          <w:lang w:val="es-ES_tradnl"/>
        </w:rPr>
        <w:t>Es solo arrojar piedras</w:t>
      </w:r>
      <w:r w:rsidR="009F2967"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r w:rsidR="00585684" w:rsidRPr="00D43C76">
        <w:rPr>
          <w:rFonts w:asciiTheme="majorHAnsi" w:hAnsiTheme="majorHAnsi"/>
          <w:sz w:val="18"/>
          <w:szCs w:val="18"/>
          <w:lang w:val="es-ES_tradnl"/>
        </w:rPr>
        <w:t xml:space="preserve">. Vino otro agente, que dijo que era la </w:t>
      </w:r>
      <w:r w:rsidR="009F2967" w:rsidRPr="00D43C76">
        <w:rPr>
          <w:rFonts w:asciiTheme="majorHAnsi" w:hAnsiTheme="majorHAnsi"/>
          <w:sz w:val="18"/>
          <w:szCs w:val="18"/>
          <w:lang w:val="es-ES_tradnl"/>
        </w:rPr>
        <w:t>supervisor</w:t>
      </w:r>
      <w:r w:rsidR="00585684" w:rsidRPr="00D43C76">
        <w:rPr>
          <w:rFonts w:asciiTheme="majorHAnsi" w:hAnsiTheme="majorHAnsi"/>
          <w:sz w:val="18"/>
          <w:szCs w:val="18"/>
          <w:lang w:val="es-ES_tradnl"/>
        </w:rPr>
        <w:t>a del turno de la noche. La s</w:t>
      </w:r>
      <w:r w:rsidR="009F2967" w:rsidRPr="00D43C76">
        <w:rPr>
          <w:rFonts w:asciiTheme="majorHAnsi" w:hAnsiTheme="majorHAnsi"/>
          <w:sz w:val="18"/>
          <w:szCs w:val="18"/>
          <w:lang w:val="es-ES_tradnl"/>
        </w:rPr>
        <w:t>upervisor</w:t>
      </w:r>
      <w:r w:rsidR="00585684" w:rsidRPr="00D43C76">
        <w:rPr>
          <w:rFonts w:asciiTheme="majorHAnsi" w:hAnsiTheme="majorHAnsi"/>
          <w:sz w:val="18"/>
          <w:szCs w:val="18"/>
          <w:lang w:val="es-ES_tradnl"/>
        </w:rPr>
        <w:t>a dijo que no podía darme un comprobante de la denuncia porque no se había cometido ningún delito</w:t>
      </w:r>
      <w:r w:rsidR="009F2967"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p>
    <w:p w14:paraId="789966B6" w14:textId="77777777" w:rsidR="00ED1EC6" w:rsidRPr="00D43C76" w:rsidRDefault="00ED1EC6"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30063A19" w14:textId="77777777" w:rsidR="00ED1EC6" w:rsidRPr="00D43C76" w:rsidRDefault="000A3C3B"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El </w:t>
      </w:r>
      <w:r w:rsidR="00ED1EC6" w:rsidRPr="00D43C76">
        <w:rPr>
          <w:rFonts w:asciiTheme="majorHAnsi" w:hAnsiTheme="majorHAnsi"/>
          <w:sz w:val="18"/>
          <w:szCs w:val="18"/>
          <w:lang w:val="es-ES_tradnl"/>
        </w:rPr>
        <w:t>19</w:t>
      </w:r>
      <w:r w:rsidRPr="00D43C76">
        <w:rPr>
          <w:rFonts w:asciiTheme="majorHAnsi" w:hAnsiTheme="majorHAnsi"/>
          <w:sz w:val="18"/>
          <w:szCs w:val="18"/>
          <w:lang w:val="es-ES_tradnl"/>
        </w:rPr>
        <w:t xml:space="preserve"> de junio de </w:t>
      </w:r>
      <w:r w:rsidR="00ED1EC6" w:rsidRPr="00D43C76">
        <w:rPr>
          <w:rFonts w:asciiTheme="majorHAnsi" w:hAnsiTheme="majorHAnsi"/>
          <w:sz w:val="18"/>
          <w:szCs w:val="18"/>
          <w:lang w:val="es-ES_tradnl"/>
        </w:rPr>
        <w:t>2011</w:t>
      </w:r>
      <w:r w:rsidRPr="00D43C76">
        <w:rPr>
          <w:rFonts w:asciiTheme="majorHAnsi" w:hAnsiTheme="majorHAnsi"/>
          <w:sz w:val="18"/>
          <w:szCs w:val="18"/>
          <w:lang w:val="es-ES_tradnl"/>
        </w:rPr>
        <w:t>, por la mañana,</w:t>
      </w:r>
      <w:r w:rsidR="00ED1EC6"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estaba caminando con un grupo de amigos por la calle principal de la ciudad turística de</w:t>
      </w:r>
      <w:r w:rsidR="00ED1EC6" w:rsidRPr="00D43C76">
        <w:rPr>
          <w:rFonts w:asciiTheme="majorHAnsi" w:hAnsiTheme="majorHAnsi"/>
          <w:sz w:val="18"/>
          <w:szCs w:val="18"/>
          <w:lang w:val="es-ES_tradnl"/>
        </w:rPr>
        <w:t xml:space="preserve"> Ocho </w:t>
      </w:r>
      <w:r w:rsidRPr="00D43C76">
        <w:rPr>
          <w:rFonts w:asciiTheme="majorHAnsi" w:hAnsiTheme="majorHAnsi"/>
          <w:sz w:val="18"/>
          <w:szCs w:val="18"/>
          <w:lang w:val="es-ES_tradnl"/>
        </w:rPr>
        <w:t>Ríos, en la costa norte</w:t>
      </w:r>
      <w:r w:rsidR="00ED1EC6"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Pasó un automóvil con tres hombres al lado nuestro, y uno de los pasajeros gritó: “¡Maricón!”. El coche dio marcha atrás con las puertas abiertas y paró frente a nosotros. Los ocupantes nos dijeron que no querían maricones en </w:t>
      </w:r>
      <w:r w:rsidR="00ED1EC6" w:rsidRPr="00D43C76">
        <w:rPr>
          <w:rFonts w:asciiTheme="majorHAnsi" w:hAnsiTheme="majorHAnsi"/>
          <w:sz w:val="18"/>
          <w:szCs w:val="18"/>
          <w:lang w:val="es-ES_tradnl"/>
        </w:rPr>
        <w:t xml:space="preserve">Ocho </w:t>
      </w:r>
      <w:r w:rsidRPr="00D43C76">
        <w:rPr>
          <w:rFonts w:asciiTheme="majorHAnsi" w:hAnsiTheme="majorHAnsi"/>
          <w:sz w:val="18"/>
          <w:szCs w:val="18"/>
          <w:lang w:val="es-ES_tradnl"/>
        </w:rPr>
        <w:t>Ríos</w:t>
      </w:r>
      <w:r w:rsidR="00ED1EC6"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y que allí mataban </w:t>
      </w:r>
      <w:r w:rsidR="00BF54C6" w:rsidRPr="00D43C76">
        <w:rPr>
          <w:rFonts w:asciiTheme="majorHAnsi" w:hAnsiTheme="majorHAnsi"/>
          <w:sz w:val="18"/>
          <w:szCs w:val="18"/>
          <w:lang w:val="es-ES_tradnl"/>
        </w:rPr>
        <w:t xml:space="preserve">a los </w:t>
      </w:r>
      <w:r w:rsidRPr="00D43C76">
        <w:rPr>
          <w:rFonts w:asciiTheme="majorHAnsi" w:hAnsiTheme="majorHAnsi"/>
          <w:sz w:val="18"/>
          <w:szCs w:val="18"/>
          <w:lang w:val="es-ES_tradnl"/>
        </w:rPr>
        <w:t>maricones</w:t>
      </w:r>
      <w:r w:rsidR="00ED1EC6" w:rsidRPr="00D43C76">
        <w:rPr>
          <w:rFonts w:asciiTheme="majorHAnsi" w:hAnsiTheme="majorHAnsi"/>
          <w:sz w:val="18"/>
          <w:szCs w:val="18"/>
          <w:lang w:val="es-ES_tradnl"/>
        </w:rPr>
        <w:t xml:space="preserve"> </w:t>
      </w:r>
      <w:r w:rsidR="006964DF" w:rsidRPr="00D43C76">
        <w:rPr>
          <w:rFonts w:asciiTheme="majorHAnsi" w:hAnsiTheme="majorHAnsi"/>
          <w:sz w:val="18"/>
          <w:szCs w:val="18"/>
          <w:lang w:val="es-ES_tradnl"/>
        </w:rPr>
        <w:t>[…]</w:t>
      </w:r>
      <w:r w:rsidRPr="00D43C76">
        <w:rPr>
          <w:rFonts w:asciiTheme="majorHAnsi" w:hAnsiTheme="majorHAnsi"/>
          <w:sz w:val="18"/>
          <w:szCs w:val="18"/>
          <w:lang w:val="es-ES_tradnl"/>
        </w:rPr>
        <w:t xml:space="preserve">. Mis amigos y yo tomamos un atajo, por el cual afortunadamente el automóvil no podía seguirnos, y fuimos a la comisaría de </w:t>
      </w:r>
      <w:r w:rsidR="00ED1EC6" w:rsidRPr="00D43C76">
        <w:rPr>
          <w:rFonts w:asciiTheme="majorHAnsi" w:hAnsiTheme="majorHAnsi"/>
          <w:sz w:val="18"/>
          <w:szCs w:val="18"/>
          <w:lang w:val="es-ES_tradnl"/>
        </w:rPr>
        <w:t xml:space="preserve">Ocho </w:t>
      </w:r>
      <w:r w:rsidRPr="00D43C76">
        <w:rPr>
          <w:rFonts w:asciiTheme="majorHAnsi" w:hAnsiTheme="majorHAnsi"/>
          <w:sz w:val="18"/>
          <w:szCs w:val="18"/>
          <w:lang w:val="es-ES_tradnl"/>
        </w:rPr>
        <w:t xml:space="preserve">Ríos. Solo tres de los cinco integrantes de mi grupo se atrevieron a entrar en la comisaría para denunciar el incidente. La policía tomó las denuncias en el vestíbulo, donde todos los que estaban en la comisaría podían oír la conversación. Después, la policía nos escoltó al centro de transporte de </w:t>
      </w:r>
      <w:r w:rsidR="004F763B" w:rsidRPr="00D43C76">
        <w:rPr>
          <w:rFonts w:asciiTheme="majorHAnsi" w:hAnsiTheme="majorHAnsi"/>
          <w:sz w:val="18"/>
          <w:szCs w:val="18"/>
          <w:lang w:val="es-ES_tradnl"/>
        </w:rPr>
        <w:t xml:space="preserve">Ocho </w:t>
      </w:r>
      <w:r w:rsidRPr="00D43C76">
        <w:rPr>
          <w:rFonts w:asciiTheme="majorHAnsi" w:hAnsiTheme="majorHAnsi"/>
          <w:sz w:val="18"/>
          <w:szCs w:val="18"/>
          <w:lang w:val="es-ES_tradnl"/>
        </w:rPr>
        <w:t>Ríos</w:t>
      </w:r>
      <w:r w:rsidR="004F763B"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para que pudiéramos tomar un autobús de regreso a </w:t>
      </w:r>
      <w:r w:rsidR="004F763B" w:rsidRPr="00D43C76">
        <w:rPr>
          <w:rFonts w:asciiTheme="majorHAnsi" w:hAnsiTheme="majorHAnsi"/>
          <w:sz w:val="18"/>
          <w:szCs w:val="18"/>
          <w:lang w:val="es-ES_tradnl"/>
        </w:rPr>
        <w:t xml:space="preserve">Montego Bay </w:t>
      </w:r>
      <w:r w:rsidR="006964DF" w:rsidRPr="00D43C76">
        <w:rPr>
          <w:rFonts w:asciiTheme="majorHAnsi" w:hAnsiTheme="majorHAnsi"/>
          <w:sz w:val="18"/>
          <w:szCs w:val="18"/>
          <w:lang w:val="es-ES_tradnl"/>
        </w:rPr>
        <w:t>[…]</w:t>
      </w:r>
      <w:r w:rsidR="00AB5777" w:rsidRPr="00D43C76">
        <w:rPr>
          <w:rStyle w:val="FootnoteReference"/>
          <w:rFonts w:asciiTheme="majorHAnsi" w:hAnsiTheme="majorHAnsi"/>
          <w:sz w:val="18"/>
          <w:szCs w:val="18"/>
          <w:lang w:val="es-ES_tradnl"/>
        </w:rPr>
        <w:footnoteReference w:id="19"/>
      </w:r>
      <w:r w:rsidRPr="00D43C76">
        <w:rPr>
          <w:rFonts w:asciiTheme="majorHAnsi" w:hAnsiTheme="majorHAnsi"/>
          <w:sz w:val="18"/>
          <w:szCs w:val="18"/>
          <w:lang w:val="es-ES_tradnl"/>
        </w:rPr>
        <w:t>.</w:t>
      </w:r>
    </w:p>
    <w:p w14:paraId="79EF8CCC" w14:textId="77777777" w:rsidR="00AB22BC" w:rsidRPr="00D43C76" w:rsidRDefault="00AB22BC" w:rsidP="00AB22BC">
      <w:pPr>
        <w:pStyle w:val="parrafos"/>
        <w:tabs>
          <w:tab w:val="left" w:pos="720"/>
        </w:tabs>
        <w:rPr>
          <w:rFonts w:ascii="Cambria" w:hAnsi="Cambria"/>
          <w:lang w:val="es-ES_tradnl"/>
        </w:rPr>
      </w:pPr>
    </w:p>
    <w:p w14:paraId="75F96564" w14:textId="77777777" w:rsidR="0042244A" w:rsidRPr="00D43C76" w:rsidRDefault="00185910"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w:t>
      </w:r>
      <w:r w:rsidR="00830ED9" w:rsidRPr="00D43C76">
        <w:rPr>
          <w:rFonts w:ascii="Cambria" w:hAnsi="Cambria"/>
          <w:lang w:val="es-ES_tradnl"/>
        </w:rPr>
        <w:t>29</w:t>
      </w:r>
      <w:r w:rsidRPr="00D43C76">
        <w:rPr>
          <w:rFonts w:ascii="Cambria" w:hAnsi="Cambria"/>
          <w:lang w:val="es-ES_tradnl"/>
        </w:rPr>
        <w:t xml:space="preserve"> de septiembre de</w:t>
      </w:r>
      <w:r w:rsidR="00512224" w:rsidRPr="00D43C76">
        <w:rPr>
          <w:rFonts w:ascii="Cambria" w:hAnsi="Cambria"/>
          <w:lang w:val="es-ES_tradnl"/>
        </w:rPr>
        <w:t xml:space="preserve"> </w:t>
      </w:r>
      <w:r w:rsidR="00830ED9" w:rsidRPr="00D43C76">
        <w:rPr>
          <w:rFonts w:ascii="Cambria" w:hAnsi="Cambria"/>
          <w:lang w:val="es-ES_tradnl"/>
        </w:rPr>
        <w:t>2011</w:t>
      </w:r>
      <w:r w:rsidRPr="00D43C76">
        <w:rPr>
          <w:rFonts w:ascii="Cambria" w:hAnsi="Cambria"/>
          <w:lang w:val="es-ES_tradnl"/>
        </w:rPr>
        <w:t>,</w:t>
      </w:r>
      <w:r w:rsidR="005D2666" w:rsidRPr="00D43C76">
        <w:rPr>
          <w:rFonts w:ascii="Cambria" w:hAnsi="Cambria"/>
          <w:lang w:val="es-ES_tradnl"/>
        </w:rPr>
        <w:t xml:space="preserve"> </w:t>
      </w:r>
      <w:r w:rsidR="007E65FB" w:rsidRPr="00D43C76">
        <w:rPr>
          <w:rFonts w:ascii="Cambria" w:hAnsi="Cambria"/>
          <w:lang w:val="es-ES_tradnl"/>
        </w:rPr>
        <w:t xml:space="preserve">T. B. </w:t>
      </w:r>
      <w:r w:rsidR="006964DF" w:rsidRPr="00D43C76">
        <w:rPr>
          <w:rFonts w:ascii="Cambria" w:hAnsi="Cambria"/>
          <w:lang w:val="es-ES_tradnl"/>
        </w:rPr>
        <w:t>presentó una declaración a la CIDH en la cual ponía de relieve el impacto</w:t>
      </w:r>
      <w:r w:rsidR="0042244A" w:rsidRPr="00D43C76">
        <w:rPr>
          <w:rFonts w:ascii="Cambria" w:hAnsi="Cambria"/>
          <w:lang w:val="es-ES_tradnl"/>
        </w:rPr>
        <w:t xml:space="preserve"> </w:t>
      </w:r>
      <w:r w:rsidRPr="00D43C76">
        <w:rPr>
          <w:rFonts w:ascii="Cambria" w:hAnsi="Cambria"/>
          <w:lang w:val="es-ES_tradnl"/>
        </w:rPr>
        <w:t xml:space="preserve">que las leyes de sodomía de </w:t>
      </w:r>
      <w:r w:rsidR="00C90AB9" w:rsidRPr="00D43C76">
        <w:rPr>
          <w:rFonts w:ascii="Cambria" w:hAnsi="Cambria"/>
          <w:lang w:val="es-ES_tradnl"/>
        </w:rPr>
        <w:t>Jamaica</w:t>
      </w:r>
      <w:r w:rsidRPr="00D43C76">
        <w:rPr>
          <w:rFonts w:ascii="Cambria" w:hAnsi="Cambria"/>
          <w:lang w:val="es-ES_tradnl"/>
        </w:rPr>
        <w:t xml:space="preserve"> han tenido en su vida</w:t>
      </w:r>
      <w:r w:rsidR="00C90AB9" w:rsidRPr="00D43C76">
        <w:rPr>
          <w:rFonts w:ascii="Cambria" w:hAnsi="Cambria"/>
          <w:lang w:val="es-ES_tradnl"/>
        </w:rPr>
        <w:t>:</w:t>
      </w:r>
    </w:p>
    <w:p w14:paraId="7BB3B41F" w14:textId="77777777" w:rsidR="000917D2" w:rsidRPr="00D43C76" w:rsidRDefault="000917D2" w:rsidP="003151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lang w:val="es-ES_tradnl"/>
        </w:rPr>
      </w:pPr>
    </w:p>
    <w:p w14:paraId="381200C6" w14:textId="77777777" w:rsidR="000917D2" w:rsidRPr="00D43C76" w:rsidRDefault="006964DF"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r w:rsidR="00185910" w:rsidRPr="00D43C76">
        <w:rPr>
          <w:rFonts w:asciiTheme="majorHAnsi" w:hAnsiTheme="majorHAnsi"/>
          <w:sz w:val="18"/>
          <w:szCs w:val="18"/>
          <w:lang w:val="es-ES_tradnl"/>
        </w:rPr>
        <w:t>Ha sido difícil para mí encontrar servicios de salud sexual confidenciales</w:t>
      </w:r>
      <w:r w:rsidR="000A66ED" w:rsidRPr="00D43C76">
        <w:rPr>
          <w:rFonts w:asciiTheme="majorHAnsi" w:hAnsiTheme="majorHAnsi"/>
          <w:sz w:val="18"/>
          <w:szCs w:val="18"/>
          <w:lang w:val="es-ES_tradnl"/>
        </w:rPr>
        <w:t xml:space="preserve"> en Jamaica</w:t>
      </w:r>
      <w:r w:rsidR="00185910" w:rsidRPr="00D43C76">
        <w:rPr>
          <w:rFonts w:asciiTheme="majorHAnsi" w:hAnsiTheme="majorHAnsi"/>
          <w:sz w:val="18"/>
          <w:szCs w:val="18"/>
          <w:lang w:val="es-ES_tradnl"/>
        </w:rPr>
        <w:t xml:space="preserve"> </w:t>
      </w:r>
      <w:r w:rsidR="000A66ED" w:rsidRPr="00D43C76">
        <w:rPr>
          <w:rFonts w:asciiTheme="majorHAnsi" w:hAnsiTheme="majorHAnsi"/>
          <w:sz w:val="18"/>
          <w:szCs w:val="18"/>
          <w:lang w:val="es-ES_tradnl"/>
        </w:rPr>
        <w:t xml:space="preserve">donde los proveedores </w:t>
      </w:r>
      <w:r w:rsidR="00155CAB" w:rsidRPr="00D43C76">
        <w:rPr>
          <w:rFonts w:asciiTheme="majorHAnsi" w:hAnsiTheme="majorHAnsi"/>
          <w:sz w:val="18"/>
          <w:szCs w:val="18"/>
          <w:lang w:val="es-ES_tradnl"/>
        </w:rPr>
        <w:t>no emitan juicios. Es difícil ser franco porque, cuando te están haciendo la prueba</w:t>
      </w:r>
      <w:r w:rsidR="005856D3" w:rsidRPr="00D43C76">
        <w:rPr>
          <w:rFonts w:asciiTheme="majorHAnsi" w:hAnsiTheme="majorHAnsi"/>
          <w:sz w:val="18"/>
          <w:szCs w:val="18"/>
          <w:lang w:val="es-ES_tradnl"/>
        </w:rPr>
        <w:t xml:space="preserve">, </w:t>
      </w:r>
      <w:r w:rsidR="00155CAB" w:rsidRPr="00D43C76">
        <w:rPr>
          <w:rFonts w:asciiTheme="majorHAnsi" w:hAnsiTheme="majorHAnsi"/>
          <w:sz w:val="18"/>
          <w:szCs w:val="18"/>
          <w:lang w:val="es-ES_tradnl"/>
        </w:rPr>
        <w:t xml:space="preserve">por lo general te preguntan sobre tu orientación si la prueba te da positivo y tienes que explicar </w:t>
      </w:r>
      <w:r w:rsidR="000A66ED" w:rsidRPr="00D43C76">
        <w:rPr>
          <w:rFonts w:asciiTheme="majorHAnsi" w:hAnsiTheme="majorHAnsi"/>
          <w:sz w:val="18"/>
          <w:szCs w:val="18"/>
          <w:lang w:val="es-ES_tradnl"/>
        </w:rPr>
        <w:t xml:space="preserve">tu </w:t>
      </w:r>
      <w:r w:rsidR="00155CAB" w:rsidRPr="00D43C76">
        <w:rPr>
          <w:rFonts w:asciiTheme="majorHAnsi" w:hAnsiTheme="majorHAnsi"/>
          <w:sz w:val="18"/>
          <w:szCs w:val="18"/>
          <w:lang w:val="es-ES_tradnl"/>
        </w:rPr>
        <w:t xml:space="preserve">sexualidad. Entonces, las personas seropositivas que son </w:t>
      </w:r>
      <w:r w:rsidR="00CF28D1" w:rsidRPr="00D43C76">
        <w:rPr>
          <w:rFonts w:asciiTheme="majorHAnsi" w:hAnsiTheme="majorHAnsi"/>
          <w:sz w:val="18"/>
          <w:szCs w:val="18"/>
          <w:lang w:val="es-ES_tradnl"/>
        </w:rPr>
        <w:t>ga</w:t>
      </w:r>
      <w:r w:rsidR="00155CAB" w:rsidRPr="00D43C76">
        <w:rPr>
          <w:rFonts w:asciiTheme="majorHAnsi" w:hAnsiTheme="majorHAnsi"/>
          <w:sz w:val="18"/>
          <w:szCs w:val="18"/>
          <w:lang w:val="es-ES_tradnl"/>
        </w:rPr>
        <w:t>is posiblemente no conozcan su estado debido a la homofobia y al temor</w:t>
      </w:r>
      <w:r w:rsidR="00CF28D1" w:rsidRPr="00D43C76">
        <w:rPr>
          <w:rFonts w:asciiTheme="majorHAnsi" w:hAnsiTheme="majorHAnsi"/>
          <w:sz w:val="18"/>
          <w:szCs w:val="18"/>
          <w:lang w:val="es-ES_tradnl"/>
        </w:rPr>
        <w:t xml:space="preserve">. </w:t>
      </w:r>
      <w:r w:rsidR="00155CAB" w:rsidRPr="00D43C76">
        <w:rPr>
          <w:rFonts w:asciiTheme="majorHAnsi" w:hAnsiTheme="majorHAnsi"/>
          <w:sz w:val="18"/>
          <w:szCs w:val="18"/>
          <w:lang w:val="es-ES_tradnl"/>
        </w:rPr>
        <w:t xml:space="preserve">Yo he tenido la experiencia de ir a un hospital público para atenderme y enfrentar </w:t>
      </w:r>
      <w:r w:rsidR="00851B40" w:rsidRPr="00D43C76">
        <w:rPr>
          <w:rFonts w:asciiTheme="majorHAnsi" w:hAnsiTheme="majorHAnsi"/>
          <w:sz w:val="18"/>
          <w:szCs w:val="18"/>
          <w:lang w:val="es-ES_tradnl"/>
        </w:rPr>
        <w:t>discriminación</w:t>
      </w:r>
      <w:r w:rsidR="00CF28D1" w:rsidRPr="00D43C76">
        <w:rPr>
          <w:rFonts w:asciiTheme="majorHAnsi" w:hAnsiTheme="majorHAnsi"/>
          <w:sz w:val="18"/>
          <w:szCs w:val="18"/>
          <w:lang w:val="es-ES_tradnl"/>
        </w:rPr>
        <w:t xml:space="preserve"> </w:t>
      </w:r>
      <w:r w:rsidR="00155CAB" w:rsidRPr="00D43C76">
        <w:rPr>
          <w:rFonts w:asciiTheme="majorHAnsi" w:hAnsiTheme="majorHAnsi"/>
          <w:sz w:val="18"/>
          <w:szCs w:val="18"/>
          <w:lang w:val="es-ES_tradnl"/>
        </w:rPr>
        <w:t>debido a mi aspecto y a mis gestos. Tengo amigos que han tenido experiencias</w:t>
      </w:r>
      <w:r w:rsidR="00CF28D1" w:rsidRPr="00D43C76">
        <w:rPr>
          <w:rFonts w:asciiTheme="majorHAnsi" w:hAnsiTheme="majorHAnsi"/>
          <w:sz w:val="18"/>
          <w:szCs w:val="18"/>
          <w:lang w:val="es-ES_tradnl"/>
        </w:rPr>
        <w:t xml:space="preserve"> similar</w:t>
      </w:r>
      <w:r w:rsidR="00155CAB" w:rsidRPr="00D43C76">
        <w:rPr>
          <w:rFonts w:asciiTheme="majorHAnsi" w:hAnsiTheme="majorHAnsi"/>
          <w:sz w:val="18"/>
          <w:szCs w:val="18"/>
          <w:lang w:val="es-ES_tradnl"/>
        </w:rPr>
        <w:t>es</w:t>
      </w:r>
      <w:r w:rsidR="00CF28D1" w:rsidRPr="00D43C76">
        <w:rPr>
          <w:rFonts w:asciiTheme="majorHAnsi" w:hAnsiTheme="majorHAnsi"/>
          <w:sz w:val="18"/>
          <w:szCs w:val="18"/>
          <w:lang w:val="es-ES_tradnl"/>
        </w:rPr>
        <w:t xml:space="preserve"> </w:t>
      </w:r>
      <w:r w:rsidR="00155CAB" w:rsidRPr="00D43C76">
        <w:rPr>
          <w:rFonts w:asciiTheme="majorHAnsi" w:hAnsiTheme="majorHAnsi"/>
          <w:sz w:val="18"/>
          <w:szCs w:val="18"/>
          <w:lang w:val="es-ES_tradnl"/>
        </w:rPr>
        <w:t xml:space="preserve">al acudir a servicios de salud </w:t>
      </w:r>
      <w:r w:rsidR="00CF28D1" w:rsidRPr="00D43C76">
        <w:rPr>
          <w:rFonts w:asciiTheme="majorHAnsi" w:hAnsiTheme="majorHAnsi"/>
          <w:sz w:val="18"/>
          <w:szCs w:val="18"/>
          <w:lang w:val="es-ES_tradnl"/>
        </w:rPr>
        <w:t xml:space="preserve">sexual. </w:t>
      </w:r>
    </w:p>
    <w:p w14:paraId="25B47AFB" w14:textId="77777777" w:rsidR="00CF28D1" w:rsidRPr="00D43C76" w:rsidRDefault="00CF28D1"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17DEBADD" w14:textId="77777777" w:rsidR="00006922" w:rsidRPr="00D43C76" w:rsidRDefault="00155CAB" w:rsidP="00155C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El sábado </w:t>
      </w:r>
      <w:r w:rsidR="00CF28D1" w:rsidRPr="00D43C76">
        <w:rPr>
          <w:rFonts w:asciiTheme="majorHAnsi" w:hAnsiTheme="majorHAnsi"/>
          <w:sz w:val="18"/>
          <w:szCs w:val="18"/>
          <w:lang w:val="es-ES_tradnl"/>
        </w:rPr>
        <w:t>12</w:t>
      </w:r>
      <w:r w:rsidRPr="00D43C76">
        <w:rPr>
          <w:rFonts w:asciiTheme="majorHAnsi" w:hAnsiTheme="majorHAnsi"/>
          <w:sz w:val="18"/>
          <w:szCs w:val="18"/>
          <w:lang w:val="es-ES_tradnl"/>
        </w:rPr>
        <w:t xml:space="preserve"> de marzo de</w:t>
      </w:r>
      <w:r w:rsidR="00CF28D1" w:rsidRPr="00D43C76">
        <w:rPr>
          <w:rFonts w:asciiTheme="majorHAnsi" w:hAnsiTheme="majorHAnsi"/>
          <w:sz w:val="18"/>
          <w:szCs w:val="18"/>
          <w:lang w:val="es-ES_tradnl"/>
        </w:rPr>
        <w:t xml:space="preserve"> 2011 </w:t>
      </w:r>
      <w:r w:rsidR="006964DF"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fui a comer algo en el centro, en </w:t>
      </w:r>
      <w:r w:rsidR="00CF28D1" w:rsidRPr="00D43C76">
        <w:rPr>
          <w:rFonts w:asciiTheme="majorHAnsi" w:hAnsiTheme="majorHAnsi"/>
          <w:sz w:val="18"/>
          <w:szCs w:val="18"/>
          <w:lang w:val="es-ES_tradnl"/>
        </w:rPr>
        <w:t xml:space="preserve">Kentucky Fried Chicken (KFC). </w:t>
      </w:r>
      <w:r w:rsidRPr="00D43C76">
        <w:rPr>
          <w:rFonts w:asciiTheme="majorHAnsi" w:hAnsiTheme="majorHAnsi"/>
          <w:sz w:val="18"/>
          <w:szCs w:val="18"/>
          <w:lang w:val="es-ES_tradnl"/>
        </w:rPr>
        <w:t xml:space="preserve">Estaba sentado a la mesa con un amigo </w:t>
      </w:r>
      <w:r w:rsidR="006964DF"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que tiene un aspecto muy femenino, </w:t>
      </w:r>
      <w:r w:rsidR="00B47AD2" w:rsidRPr="00D43C76">
        <w:rPr>
          <w:rFonts w:asciiTheme="majorHAnsi" w:hAnsiTheme="majorHAnsi"/>
          <w:sz w:val="18"/>
          <w:szCs w:val="18"/>
          <w:lang w:val="es-ES_tradnl"/>
        </w:rPr>
        <w:t xml:space="preserve">mirando a unos </w:t>
      </w:r>
      <w:r w:rsidR="000A66ED" w:rsidRPr="00D43C76">
        <w:rPr>
          <w:rFonts w:asciiTheme="majorHAnsi" w:hAnsiTheme="majorHAnsi"/>
          <w:sz w:val="18"/>
          <w:szCs w:val="18"/>
          <w:lang w:val="es-ES_tradnl"/>
        </w:rPr>
        <w:t>hombres. Uno de ellos</w:t>
      </w:r>
      <w:r w:rsidR="00B47AD2" w:rsidRPr="00D43C76">
        <w:rPr>
          <w:rFonts w:asciiTheme="majorHAnsi" w:hAnsiTheme="majorHAnsi"/>
          <w:sz w:val="18"/>
          <w:szCs w:val="18"/>
          <w:lang w:val="es-ES_tradnl"/>
        </w:rPr>
        <w:t xml:space="preserve"> se acercó y dijo: </w:t>
      </w:r>
      <w:r w:rsidR="00006922" w:rsidRPr="00D43C76">
        <w:rPr>
          <w:rFonts w:asciiTheme="majorHAnsi" w:hAnsiTheme="majorHAnsi"/>
          <w:sz w:val="18"/>
          <w:szCs w:val="18"/>
          <w:lang w:val="es-ES_tradnl"/>
        </w:rPr>
        <w:t>“Weh yuh a look pan mi fa batty-boy, stop look pan mi” (</w:t>
      </w:r>
      <w:r w:rsidR="00B47AD2" w:rsidRPr="00D43C76">
        <w:rPr>
          <w:rFonts w:asciiTheme="majorHAnsi" w:hAnsiTheme="majorHAnsi"/>
          <w:sz w:val="18"/>
          <w:szCs w:val="18"/>
          <w:lang w:val="es-ES_tradnl"/>
        </w:rPr>
        <w:t>“¿Por qué me estás mirando, maricón? Deja de mirarme”</w:t>
      </w:r>
      <w:r w:rsidR="00006922" w:rsidRPr="00D43C76">
        <w:rPr>
          <w:rFonts w:asciiTheme="majorHAnsi" w:hAnsiTheme="majorHAnsi"/>
          <w:sz w:val="18"/>
          <w:szCs w:val="18"/>
          <w:lang w:val="es-ES_tradnl"/>
        </w:rPr>
        <w:t xml:space="preserve">). </w:t>
      </w:r>
      <w:r w:rsidR="00B47AD2" w:rsidRPr="00D43C76">
        <w:rPr>
          <w:rFonts w:asciiTheme="majorHAnsi" w:hAnsiTheme="majorHAnsi"/>
          <w:sz w:val="18"/>
          <w:szCs w:val="18"/>
          <w:lang w:val="es-ES_tradnl"/>
        </w:rPr>
        <w:t>Temí un enfrentamiento, de modo que me levanté y me fui</w:t>
      </w:r>
      <w:r w:rsidR="00006922" w:rsidRPr="00D43C76">
        <w:rPr>
          <w:rFonts w:asciiTheme="majorHAnsi" w:hAnsiTheme="majorHAnsi"/>
          <w:sz w:val="18"/>
          <w:szCs w:val="18"/>
          <w:lang w:val="es-ES_tradnl"/>
        </w:rPr>
        <w:t xml:space="preserve"> </w:t>
      </w:r>
      <w:r w:rsidR="006964DF" w:rsidRPr="00D43C76">
        <w:rPr>
          <w:rFonts w:asciiTheme="majorHAnsi" w:hAnsiTheme="majorHAnsi"/>
          <w:sz w:val="18"/>
          <w:szCs w:val="18"/>
          <w:lang w:val="es-ES_tradnl"/>
        </w:rPr>
        <w:t>[…]</w:t>
      </w:r>
      <w:r w:rsidR="000A66ED" w:rsidRPr="00D43C76">
        <w:rPr>
          <w:rFonts w:asciiTheme="majorHAnsi" w:hAnsiTheme="majorHAnsi"/>
          <w:sz w:val="18"/>
          <w:szCs w:val="18"/>
          <w:lang w:val="es-ES_tradnl"/>
        </w:rPr>
        <w:t>. L</w:t>
      </w:r>
      <w:r w:rsidR="00B47AD2" w:rsidRPr="00D43C76">
        <w:rPr>
          <w:rFonts w:asciiTheme="majorHAnsi" w:hAnsiTheme="majorHAnsi"/>
          <w:sz w:val="18"/>
          <w:szCs w:val="18"/>
          <w:lang w:val="es-ES_tradnl"/>
        </w:rPr>
        <w:t xml:space="preserve">os tipos nos siguieron echando pestes, diciéndole a cualquiera que estuviera dispuesto a escuchar: </w:t>
      </w:r>
      <w:r w:rsidR="00006922" w:rsidRPr="00D43C76">
        <w:rPr>
          <w:rFonts w:asciiTheme="majorHAnsi" w:hAnsiTheme="majorHAnsi"/>
          <w:sz w:val="18"/>
          <w:szCs w:val="18"/>
          <w:lang w:val="es-ES_tradnl"/>
        </w:rPr>
        <w:t>“Yuh nuh see a two batty boy? Yuh nuh si dem a gay? Wi nuh wan no fish roun yah!</w:t>
      </w:r>
      <w:r w:rsidR="00B47AD2" w:rsidRPr="00D43C76">
        <w:rPr>
          <w:rFonts w:asciiTheme="majorHAnsi" w:hAnsiTheme="majorHAnsi"/>
          <w:sz w:val="18"/>
          <w:szCs w:val="18"/>
          <w:lang w:val="es-ES_tradnl"/>
        </w:rPr>
        <w:t>”</w:t>
      </w:r>
      <w:r w:rsidR="00006922" w:rsidRPr="00D43C76">
        <w:rPr>
          <w:rFonts w:asciiTheme="majorHAnsi" w:hAnsiTheme="majorHAnsi"/>
          <w:sz w:val="18"/>
          <w:szCs w:val="18"/>
          <w:lang w:val="es-ES_tradnl"/>
        </w:rPr>
        <w:t xml:space="preserve"> (</w:t>
      </w:r>
      <w:r w:rsidR="00B47AD2" w:rsidRPr="00D43C76">
        <w:rPr>
          <w:rFonts w:asciiTheme="majorHAnsi" w:hAnsiTheme="majorHAnsi"/>
          <w:sz w:val="18"/>
          <w:szCs w:val="18"/>
          <w:lang w:val="es-ES_tradnl"/>
        </w:rPr>
        <w:t>“¿No ves que son dos maricones</w:t>
      </w:r>
      <w:r w:rsidR="00006922" w:rsidRPr="00D43C76">
        <w:rPr>
          <w:rFonts w:asciiTheme="majorHAnsi" w:hAnsiTheme="majorHAnsi"/>
          <w:sz w:val="18"/>
          <w:szCs w:val="18"/>
          <w:lang w:val="es-ES_tradnl"/>
        </w:rPr>
        <w:t xml:space="preserve">? </w:t>
      </w:r>
      <w:r w:rsidR="00B47AD2" w:rsidRPr="00D43C76">
        <w:rPr>
          <w:rFonts w:asciiTheme="majorHAnsi" w:hAnsiTheme="majorHAnsi"/>
          <w:sz w:val="18"/>
          <w:szCs w:val="18"/>
          <w:lang w:val="es-ES_tradnl"/>
        </w:rPr>
        <w:t xml:space="preserve">¿No ves que son </w:t>
      </w:r>
      <w:r w:rsidR="00006922" w:rsidRPr="00D43C76">
        <w:rPr>
          <w:rFonts w:asciiTheme="majorHAnsi" w:hAnsiTheme="majorHAnsi"/>
          <w:sz w:val="18"/>
          <w:szCs w:val="18"/>
          <w:lang w:val="es-ES_tradnl"/>
        </w:rPr>
        <w:t>ga</w:t>
      </w:r>
      <w:r w:rsidR="00B47AD2" w:rsidRPr="00D43C76">
        <w:rPr>
          <w:rFonts w:asciiTheme="majorHAnsi" w:hAnsiTheme="majorHAnsi"/>
          <w:sz w:val="18"/>
          <w:szCs w:val="18"/>
          <w:lang w:val="es-ES_tradnl"/>
        </w:rPr>
        <w:t>is</w:t>
      </w:r>
      <w:r w:rsidR="00006922" w:rsidRPr="00D43C76">
        <w:rPr>
          <w:rFonts w:asciiTheme="majorHAnsi" w:hAnsiTheme="majorHAnsi"/>
          <w:sz w:val="18"/>
          <w:szCs w:val="18"/>
          <w:lang w:val="es-ES_tradnl"/>
        </w:rPr>
        <w:t xml:space="preserve">? </w:t>
      </w:r>
      <w:r w:rsidR="00B47AD2" w:rsidRPr="00D43C76">
        <w:rPr>
          <w:rFonts w:asciiTheme="majorHAnsi" w:hAnsiTheme="majorHAnsi"/>
          <w:sz w:val="18"/>
          <w:szCs w:val="18"/>
          <w:lang w:val="es-ES_tradnl"/>
        </w:rPr>
        <w:t>No queremos maricones por aquí”). Los hombres imitaban el ruido de disparos</w:t>
      </w:r>
      <w:r w:rsidR="00006922" w:rsidRPr="00D43C76">
        <w:rPr>
          <w:rFonts w:asciiTheme="majorHAnsi" w:hAnsiTheme="majorHAnsi"/>
          <w:sz w:val="18"/>
          <w:szCs w:val="18"/>
          <w:lang w:val="es-ES_tradnl"/>
        </w:rPr>
        <w:t xml:space="preserve"> </w:t>
      </w:r>
      <w:r w:rsidR="006964DF" w:rsidRPr="00D43C76">
        <w:rPr>
          <w:rFonts w:asciiTheme="majorHAnsi" w:hAnsiTheme="majorHAnsi"/>
          <w:sz w:val="18"/>
          <w:szCs w:val="18"/>
          <w:lang w:val="es-ES_tradnl"/>
        </w:rPr>
        <w:t>[…]</w:t>
      </w:r>
      <w:r w:rsidR="00B47AD2" w:rsidRPr="00D43C76">
        <w:rPr>
          <w:rFonts w:asciiTheme="majorHAnsi" w:hAnsiTheme="majorHAnsi"/>
          <w:sz w:val="18"/>
          <w:szCs w:val="18"/>
          <w:lang w:val="es-ES_tradnl"/>
        </w:rPr>
        <w:t>. Crucé la calle para escapar</w:t>
      </w:r>
      <w:r w:rsidR="00C366D5" w:rsidRPr="00D43C76">
        <w:rPr>
          <w:rFonts w:asciiTheme="majorHAnsi" w:hAnsiTheme="majorHAnsi"/>
          <w:sz w:val="18"/>
          <w:szCs w:val="18"/>
          <w:lang w:val="es-ES_tradnl"/>
        </w:rPr>
        <w:t>.</w:t>
      </w:r>
    </w:p>
    <w:p w14:paraId="56B3754B" w14:textId="77777777" w:rsidR="00006922" w:rsidRPr="00D43C76" w:rsidRDefault="00006922"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3DA7A340" w14:textId="77777777" w:rsidR="002D6E99" w:rsidRPr="00D43C76" w:rsidRDefault="00BB487D" w:rsidP="003151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Mientras cruzaba la calle, vi gente que venía de todas las direcciones para atacarnos. No tenía dónde correr. Me sorprendió que se hubiera agolpado gente con tanta rapidez</w:t>
      </w:r>
      <w:r w:rsidR="002D6E99"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r w:rsidR="000A66ED" w:rsidRPr="00D43C76">
        <w:rPr>
          <w:rFonts w:asciiTheme="majorHAnsi" w:hAnsiTheme="majorHAnsi"/>
          <w:sz w:val="18"/>
          <w:szCs w:val="18"/>
          <w:lang w:val="es-ES_tradnl"/>
        </w:rPr>
        <w:t>. E</w:t>
      </w:r>
      <w:r w:rsidRPr="00D43C76">
        <w:rPr>
          <w:rFonts w:asciiTheme="majorHAnsi" w:hAnsiTheme="majorHAnsi"/>
          <w:sz w:val="18"/>
          <w:szCs w:val="18"/>
          <w:lang w:val="es-ES_tradnl"/>
        </w:rPr>
        <w:t xml:space="preserve">ntramos corriendo en un comercio que estaba cerca, </w:t>
      </w:r>
      <w:r w:rsidR="002D6E99" w:rsidRPr="00D43C76">
        <w:rPr>
          <w:rFonts w:asciiTheme="majorHAnsi" w:hAnsiTheme="majorHAnsi"/>
          <w:sz w:val="18"/>
          <w:szCs w:val="18"/>
          <w:lang w:val="es-ES_tradnl"/>
        </w:rPr>
        <w:t xml:space="preserve">Captain’s Bakery, </w:t>
      </w:r>
      <w:r w:rsidRPr="00D43C76">
        <w:rPr>
          <w:rFonts w:asciiTheme="majorHAnsi" w:hAnsiTheme="majorHAnsi"/>
          <w:sz w:val="18"/>
          <w:szCs w:val="18"/>
          <w:lang w:val="es-ES_tradnl"/>
        </w:rPr>
        <w:t>para</w:t>
      </w:r>
      <w:r w:rsidR="002D6E99" w:rsidRPr="00D43C76">
        <w:rPr>
          <w:rFonts w:asciiTheme="majorHAnsi" w:hAnsiTheme="majorHAnsi"/>
          <w:sz w:val="18"/>
          <w:szCs w:val="18"/>
          <w:lang w:val="es-ES_tradnl"/>
        </w:rPr>
        <w:t xml:space="preserve"> escap</w:t>
      </w:r>
      <w:r w:rsidRPr="00D43C76">
        <w:rPr>
          <w:rFonts w:asciiTheme="majorHAnsi" w:hAnsiTheme="majorHAnsi"/>
          <w:sz w:val="18"/>
          <w:szCs w:val="18"/>
          <w:lang w:val="es-ES_tradnl"/>
        </w:rPr>
        <w:t>ar</w:t>
      </w:r>
      <w:r w:rsidR="002D6E99" w:rsidRPr="00D43C76">
        <w:rPr>
          <w:rFonts w:asciiTheme="majorHAnsi" w:hAnsiTheme="majorHAnsi"/>
          <w:sz w:val="18"/>
          <w:szCs w:val="18"/>
          <w:lang w:val="es-ES_tradnl"/>
        </w:rPr>
        <w:t xml:space="preserve"> </w:t>
      </w:r>
      <w:r w:rsidR="006964DF" w:rsidRPr="00D43C76">
        <w:rPr>
          <w:rFonts w:asciiTheme="majorHAnsi" w:hAnsiTheme="majorHAnsi"/>
          <w:sz w:val="18"/>
          <w:szCs w:val="18"/>
          <w:lang w:val="es-ES_tradnl"/>
        </w:rPr>
        <w:t>[…]</w:t>
      </w:r>
      <w:r w:rsidR="000A66ED" w:rsidRPr="00D43C76">
        <w:rPr>
          <w:rFonts w:asciiTheme="majorHAnsi" w:hAnsiTheme="majorHAnsi"/>
          <w:sz w:val="18"/>
          <w:szCs w:val="18"/>
          <w:lang w:val="es-ES_tradnl"/>
        </w:rPr>
        <w:t>. A</w:t>
      </w:r>
      <w:r w:rsidRPr="00D43C76">
        <w:rPr>
          <w:rFonts w:asciiTheme="majorHAnsi" w:hAnsiTheme="majorHAnsi"/>
          <w:sz w:val="18"/>
          <w:szCs w:val="18"/>
          <w:lang w:val="es-ES_tradnl"/>
        </w:rPr>
        <w:t>lguien finalmente llamó a la policía, que llegó a eso de las 19:00 horas</w:t>
      </w:r>
      <w:r w:rsidR="003151F8" w:rsidRPr="00D43C76">
        <w:rPr>
          <w:rFonts w:asciiTheme="majorHAnsi" w:hAnsiTheme="majorHAnsi"/>
          <w:sz w:val="18"/>
          <w:szCs w:val="18"/>
          <w:lang w:val="es-ES_tradnl"/>
        </w:rPr>
        <w:t xml:space="preserve">. </w:t>
      </w:r>
      <w:r w:rsidR="006964DF"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La policía nos llevó de </w:t>
      </w:r>
      <w:r w:rsidR="002D6E99" w:rsidRPr="00D43C76">
        <w:rPr>
          <w:rFonts w:asciiTheme="majorHAnsi" w:hAnsiTheme="majorHAnsi"/>
          <w:sz w:val="18"/>
          <w:szCs w:val="18"/>
          <w:lang w:val="es-ES_tradnl"/>
        </w:rPr>
        <w:t xml:space="preserve">Captain’s Bakery </w:t>
      </w:r>
      <w:r w:rsidRPr="00D43C76">
        <w:rPr>
          <w:rFonts w:asciiTheme="majorHAnsi" w:hAnsiTheme="majorHAnsi"/>
          <w:sz w:val="18"/>
          <w:szCs w:val="18"/>
          <w:lang w:val="es-ES_tradnl"/>
        </w:rPr>
        <w:t>a la comisaría. No sé por qué nos llevaron a la comisaría</w:t>
      </w:r>
      <w:r w:rsidR="007912DF" w:rsidRPr="00D43C76">
        <w:rPr>
          <w:rFonts w:asciiTheme="majorHAnsi" w:hAnsiTheme="majorHAnsi"/>
          <w:sz w:val="18"/>
          <w:szCs w:val="18"/>
          <w:lang w:val="es-ES_tradnl"/>
        </w:rPr>
        <w:t xml:space="preserve"> </w:t>
      </w:r>
      <w:r w:rsidR="006964DF" w:rsidRPr="00D43C76">
        <w:rPr>
          <w:rFonts w:asciiTheme="majorHAnsi" w:hAnsiTheme="majorHAnsi"/>
          <w:sz w:val="18"/>
          <w:szCs w:val="18"/>
          <w:lang w:val="es-ES_tradnl"/>
        </w:rPr>
        <w:t>[…]</w:t>
      </w:r>
      <w:r w:rsidR="000A66ED" w:rsidRPr="00D43C76">
        <w:rPr>
          <w:rFonts w:asciiTheme="majorHAnsi" w:hAnsiTheme="majorHAnsi"/>
          <w:sz w:val="18"/>
          <w:szCs w:val="18"/>
          <w:lang w:val="es-ES_tradnl"/>
        </w:rPr>
        <w:t>. C</w:t>
      </w:r>
      <w:r w:rsidRPr="00D43C76">
        <w:rPr>
          <w:rFonts w:asciiTheme="majorHAnsi" w:hAnsiTheme="majorHAnsi"/>
          <w:sz w:val="18"/>
          <w:szCs w:val="18"/>
          <w:lang w:val="es-ES_tradnl"/>
        </w:rPr>
        <w:t xml:space="preserve">uando llegamos, los agentes nos dijeron que iban a </w:t>
      </w:r>
      <w:r w:rsidR="001A10CD" w:rsidRPr="00D43C76">
        <w:rPr>
          <w:rFonts w:asciiTheme="majorHAnsi" w:hAnsiTheme="majorHAnsi"/>
          <w:sz w:val="18"/>
          <w:szCs w:val="18"/>
          <w:lang w:val="es-ES_tradnl"/>
        </w:rPr>
        <w:t>formular cargos en contra de nosotros</w:t>
      </w:r>
      <w:r w:rsidRPr="00D43C76">
        <w:rPr>
          <w:rFonts w:asciiTheme="majorHAnsi" w:hAnsiTheme="majorHAnsi"/>
          <w:sz w:val="18"/>
          <w:szCs w:val="18"/>
          <w:lang w:val="es-ES_tradnl"/>
        </w:rPr>
        <w:t>. Dijeron que, si no cooperábamos, encontrarían una docena de delitos de los cuales acusarnos. Yo estaba confundido</w:t>
      </w:r>
      <w:r w:rsidR="001A10CD" w:rsidRPr="00D43C76">
        <w:rPr>
          <w:rFonts w:asciiTheme="majorHAnsi" w:hAnsiTheme="majorHAnsi"/>
          <w:sz w:val="18"/>
          <w:szCs w:val="18"/>
          <w:lang w:val="es-ES_tradnl"/>
        </w:rPr>
        <w:t>; p</w:t>
      </w:r>
      <w:r w:rsidRPr="00D43C76">
        <w:rPr>
          <w:rFonts w:asciiTheme="majorHAnsi" w:hAnsiTheme="majorHAnsi"/>
          <w:sz w:val="18"/>
          <w:szCs w:val="18"/>
          <w:lang w:val="es-ES_tradnl"/>
        </w:rPr>
        <w:t>ensaba que nosotros éramos las víctimas. Desde que llegamos a la comisaría, poco después de las 19:00 horas</w:t>
      </w:r>
      <w:r w:rsidR="007912DF"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hasta las 3:00, aproximadamente, siete u ocho agentes de policía nos acosaron y nos maltrataron continuamente. Llamaban a sus amigos para que vinieran a la sala a vernos. Yo estaba tan asustado que lloraba, y me decían que dejara de llorar. Me preguntaron una y otra vez por qué me había puesto en esa situación</w:t>
      </w:r>
      <w:r w:rsidR="007912DF"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Dos de los agentes que estaban allí decían que nos estaban cuidando, pero cada vez que salían de la sala les decían a otras personas que estaban en la comisaría: </w:t>
      </w:r>
      <w:r w:rsidR="00597106" w:rsidRPr="00D43C76">
        <w:rPr>
          <w:rFonts w:asciiTheme="majorHAnsi" w:hAnsiTheme="majorHAnsi"/>
          <w:sz w:val="18"/>
          <w:szCs w:val="18"/>
          <w:lang w:val="es-ES_tradnl"/>
        </w:rPr>
        <w:t>“</w:t>
      </w:r>
      <w:r w:rsidRPr="00D43C76">
        <w:rPr>
          <w:rFonts w:asciiTheme="majorHAnsi" w:hAnsiTheme="majorHAnsi"/>
          <w:sz w:val="18"/>
          <w:szCs w:val="18"/>
          <w:lang w:val="es-ES_tradnl"/>
        </w:rPr>
        <w:t>A</w:t>
      </w:r>
      <w:r w:rsidR="00597106" w:rsidRPr="00D43C76">
        <w:rPr>
          <w:rFonts w:asciiTheme="majorHAnsi" w:hAnsiTheme="majorHAnsi"/>
          <w:sz w:val="18"/>
          <w:szCs w:val="18"/>
          <w:lang w:val="es-ES_tradnl"/>
        </w:rPr>
        <w:t xml:space="preserve"> dem two batty boy dem jus ketch ovah deh suh” (</w:t>
      </w:r>
      <w:r w:rsidRPr="00D43C76">
        <w:rPr>
          <w:rFonts w:asciiTheme="majorHAnsi" w:hAnsiTheme="majorHAnsi"/>
          <w:sz w:val="18"/>
          <w:szCs w:val="18"/>
          <w:lang w:val="es-ES_tradnl"/>
        </w:rPr>
        <w:t>“Aquí están los dos maricones que agarramos”</w:t>
      </w:r>
      <w:r w:rsidR="00597106" w:rsidRPr="00D43C76">
        <w:rPr>
          <w:rFonts w:asciiTheme="majorHAnsi" w:hAnsiTheme="majorHAnsi"/>
          <w:sz w:val="18"/>
          <w:szCs w:val="18"/>
          <w:lang w:val="es-ES_tradnl"/>
        </w:rPr>
        <w:t>)</w:t>
      </w:r>
      <w:r w:rsidRPr="00D43C76">
        <w:rPr>
          <w:rFonts w:asciiTheme="majorHAnsi" w:hAnsiTheme="majorHAnsi"/>
          <w:sz w:val="18"/>
          <w:szCs w:val="18"/>
          <w:lang w:val="es-ES_tradnl"/>
        </w:rPr>
        <w:t>. Oí a algunos de los policías decir:</w:t>
      </w:r>
      <w:r w:rsidR="00597106" w:rsidRPr="00D43C76">
        <w:rPr>
          <w:rFonts w:asciiTheme="majorHAnsi" w:hAnsiTheme="majorHAnsi"/>
          <w:sz w:val="18"/>
          <w:szCs w:val="18"/>
          <w:lang w:val="es-ES_tradnl"/>
        </w:rPr>
        <w:t xml:space="preserve"> “Mek wi kill them yah so far if wi kill dem, nutting nah cum out</w:t>
      </w:r>
      <w:r w:rsidR="00BD169F" w:rsidRPr="00D43C76">
        <w:rPr>
          <w:rFonts w:asciiTheme="majorHAnsi" w:hAnsiTheme="majorHAnsi"/>
          <w:sz w:val="18"/>
          <w:szCs w:val="18"/>
          <w:lang w:val="es-ES_tradnl"/>
        </w:rPr>
        <w:t xml:space="preserve"> de </w:t>
      </w:r>
      <w:r w:rsidR="00597106" w:rsidRPr="00D43C76">
        <w:rPr>
          <w:rFonts w:asciiTheme="majorHAnsi" w:hAnsiTheme="majorHAnsi"/>
          <w:sz w:val="18"/>
          <w:szCs w:val="18"/>
          <w:lang w:val="es-ES_tradnl"/>
        </w:rPr>
        <w:t>it” (</w:t>
      </w:r>
      <w:r w:rsidRPr="00D43C76">
        <w:rPr>
          <w:rFonts w:asciiTheme="majorHAnsi" w:hAnsiTheme="majorHAnsi"/>
          <w:sz w:val="18"/>
          <w:szCs w:val="18"/>
          <w:lang w:val="es-ES_tradnl"/>
        </w:rPr>
        <w:t>“Matémoslos aquí; si los matamos, no pasará nada”</w:t>
      </w:r>
      <w:r w:rsidR="006964DF" w:rsidRPr="00D43C76">
        <w:rPr>
          <w:rFonts w:asciiTheme="majorHAnsi" w:hAnsiTheme="majorHAnsi"/>
          <w:sz w:val="18"/>
          <w:szCs w:val="18"/>
          <w:lang w:val="es-ES_tradnl"/>
        </w:rPr>
        <w:t>)</w:t>
      </w:r>
      <w:r w:rsidR="00597106" w:rsidRPr="00D43C76">
        <w:rPr>
          <w:rFonts w:asciiTheme="majorHAnsi" w:hAnsiTheme="majorHAnsi"/>
          <w:sz w:val="18"/>
          <w:szCs w:val="18"/>
          <w:lang w:val="es-ES_tradnl"/>
        </w:rPr>
        <w:t>.</w:t>
      </w:r>
    </w:p>
    <w:p w14:paraId="632EA265" w14:textId="77777777" w:rsidR="00597106" w:rsidRPr="00D43C76" w:rsidRDefault="00597106"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0F18D5DC" w14:textId="77777777" w:rsidR="00597106" w:rsidRPr="00D43C76" w:rsidRDefault="006964DF"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r w:rsidR="00420510" w:rsidRPr="00D43C76">
        <w:rPr>
          <w:rFonts w:asciiTheme="majorHAnsi" w:hAnsiTheme="majorHAnsi"/>
          <w:sz w:val="18"/>
          <w:szCs w:val="18"/>
          <w:lang w:val="es-ES_tradnl"/>
        </w:rPr>
        <w:t>L</w:t>
      </w:r>
      <w:r w:rsidR="00776E4C" w:rsidRPr="00D43C76">
        <w:rPr>
          <w:rFonts w:asciiTheme="majorHAnsi" w:hAnsiTheme="majorHAnsi"/>
          <w:sz w:val="18"/>
          <w:szCs w:val="18"/>
          <w:lang w:val="es-ES_tradnl"/>
        </w:rPr>
        <w:t>es preguntamos una y otra vez si podíamos irnos y les dijimos que podíamos pedir a alguien que nos fuera a buscar. Cuando llegó nuestro amigo para recogernos, le pedimos a la polic</w:t>
      </w:r>
      <w:r w:rsidR="00586954" w:rsidRPr="00D43C76">
        <w:rPr>
          <w:rFonts w:asciiTheme="majorHAnsi" w:hAnsiTheme="majorHAnsi"/>
          <w:sz w:val="18"/>
          <w:szCs w:val="18"/>
          <w:lang w:val="es-ES_tradnl"/>
        </w:rPr>
        <w:t>ía que nos escoltara porque la turba</w:t>
      </w:r>
      <w:r w:rsidR="00776E4C" w:rsidRPr="00D43C76">
        <w:rPr>
          <w:rFonts w:asciiTheme="majorHAnsi" w:hAnsiTheme="majorHAnsi"/>
          <w:sz w:val="18"/>
          <w:szCs w:val="18"/>
          <w:lang w:val="es-ES_tradnl"/>
        </w:rPr>
        <w:t xml:space="preserve"> seguía afuera</w:t>
      </w:r>
      <w:r w:rsidR="00597106"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r w:rsidR="00776E4C" w:rsidRPr="00D43C76">
        <w:rPr>
          <w:rFonts w:asciiTheme="majorHAnsi" w:hAnsiTheme="majorHAnsi"/>
          <w:sz w:val="18"/>
          <w:szCs w:val="18"/>
          <w:lang w:val="es-ES_tradnl"/>
        </w:rPr>
        <w:t xml:space="preserve">. Cuando nos íbamos, uno de los agentes de policía dijo: </w:t>
      </w:r>
      <w:r w:rsidR="00597106" w:rsidRPr="00D43C76">
        <w:rPr>
          <w:rFonts w:asciiTheme="majorHAnsi" w:hAnsiTheme="majorHAnsi"/>
          <w:sz w:val="18"/>
          <w:szCs w:val="18"/>
          <w:lang w:val="es-ES_tradnl"/>
        </w:rPr>
        <w:t>“</w:t>
      </w:r>
      <w:r w:rsidR="00776E4C" w:rsidRPr="00D43C76">
        <w:rPr>
          <w:rFonts w:asciiTheme="majorHAnsi" w:hAnsiTheme="majorHAnsi"/>
          <w:sz w:val="18"/>
          <w:szCs w:val="18"/>
          <w:lang w:val="es-ES_tradnl"/>
        </w:rPr>
        <w:t xml:space="preserve">Que sea la última vez que los veo en Mandeville. Yo soy policía de civil; si los veo otra vez en Mandeville, voy a hacer que la </w:t>
      </w:r>
      <w:r w:rsidR="00586954" w:rsidRPr="00D43C76">
        <w:rPr>
          <w:rFonts w:asciiTheme="majorHAnsi" w:hAnsiTheme="majorHAnsi"/>
          <w:sz w:val="18"/>
          <w:szCs w:val="18"/>
          <w:lang w:val="es-ES_tradnl"/>
        </w:rPr>
        <w:t>turba</w:t>
      </w:r>
      <w:r w:rsidR="00776E4C" w:rsidRPr="00D43C76">
        <w:rPr>
          <w:rFonts w:asciiTheme="majorHAnsi" w:hAnsiTheme="majorHAnsi"/>
          <w:sz w:val="18"/>
          <w:szCs w:val="18"/>
          <w:lang w:val="es-ES_tradnl"/>
        </w:rPr>
        <w:t xml:space="preserve"> les dé una paliza peor de la que planeaban”</w:t>
      </w:r>
      <w:r w:rsidR="00C67AAD" w:rsidRPr="00D43C76">
        <w:rPr>
          <w:rFonts w:asciiTheme="majorHAnsi" w:hAnsiTheme="majorHAnsi"/>
          <w:sz w:val="18"/>
          <w:szCs w:val="18"/>
          <w:lang w:val="es-ES_tradnl"/>
        </w:rPr>
        <w:t>.</w:t>
      </w:r>
      <w:r w:rsidR="0034591F" w:rsidRPr="00D43C76">
        <w:rPr>
          <w:rFonts w:asciiTheme="majorHAnsi" w:hAnsiTheme="majorHAnsi"/>
          <w:sz w:val="18"/>
          <w:szCs w:val="18"/>
          <w:lang w:val="es-ES_tradnl"/>
        </w:rPr>
        <w:t xml:space="preserve"> </w:t>
      </w:r>
    </w:p>
    <w:p w14:paraId="46D1123E" w14:textId="77777777" w:rsidR="004D6123" w:rsidRPr="00D43C76" w:rsidRDefault="004D6123"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5DB5ACA3" w14:textId="77777777" w:rsidR="00C171E0" w:rsidRPr="00D43C76" w:rsidRDefault="006964DF" w:rsidP="003151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r w:rsidR="00776E4C" w:rsidRPr="00D43C76">
        <w:rPr>
          <w:rFonts w:asciiTheme="majorHAnsi" w:hAnsiTheme="majorHAnsi"/>
          <w:sz w:val="18"/>
          <w:szCs w:val="18"/>
          <w:lang w:val="es-ES_tradnl"/>
        </w:rPr>
        <w:t xml:space="preserve">Para el lunes </w:t>
      </w:r>
      <w:r w:rsidR="004D6123" w:rsidRPr="00D43C76">
        <w:rPr>
          <w:rFonts w:asciiTheme="majorHAnsi" w:hAnsiTheme="majorHAnsi"/>
          <w:sz w:val="18"/>
          <w:szCs w:val="18"/>
          <w:lang w:val="es-ES_tradnl"/>
        </w:rPr>
        <w:t>14</w:t>
      </w:r>
      <w:r w:rsidR="00776E4C" w:rsidRPr="00D43C76">
        <w:rPr>
          <w:rFonts w:asciiTheme="majorHAnsi" w:hAnsiTheme="majorHAnsi"/>
          <w:sz w:val="18"/>
          <w:szCs w:val="18"/>
          <w:lang w:val="es-ES_tradnl"/>
        </w:rPr>
        <w:t xml:space="preserve"> de mayo</w:t>
      </w:r>
      <w:r w:rsidR="004D6123" w:rsidRPr="00D43C76">
        <w:rPr>
          <w:rFonts w:asciiTheme="majorHAnsi" w:hAnsiTheme="majorHAnsi"/>
          <w:sz w:val="18"/>
          <w:szCs w:val="18"/>
          <w:lang w:val="es-ES_tradnl"/>
        </w:rPr>
        <w:t xml:space="preserve">, </w:t>
      </w:r>
      <w:r w:rsidR="00776E4C" w:rsidRPr="00D43C76">
        <w:rPr>
          <w:rFonts w:asciiTheme="majorHAnsi" w:hAnsiTheme="majorHAnsi"/>
          <w:sz w:val="18"/>
          <w:szCs w:val="18"/>
          <w:lang w:val="es-ES_tradnl"/>
        </w:rPr>
        <w:t>la noticia había cundido en mi escuela. Como mi vecino había traído el artículo del periódico sobre el ataque y se lo había mostrado a todos</w:t>
      </w:r>
      <w:r w:rsidR="004D6123"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w:t>
      </w:r>
      <w:r w:rsidR="00776E4C" w:rsidRPr="00D43C76">
        <w:rPr>
          <w:rFonts w:asciiTheme="majorHAnsi" w:hAnsiTheme="majorHAnsi"/>
          <w:sz w:val="18"/>
          <w:szCs w:val="18"/>
          <w:lang w:val="es-ES_tradnl"/>
        </w:rPr>
        <w:t xml:space="preserve">, cuando llegué a casa, mi hermana y mi madre me dijeron que habían ido unos hombres a la casa, en automóviles y con pistolas, y habían dicho que yo </w:t>
      </w:r>
      <w:r w:rsidR="000A66ED" w:rsidRPr="00D43C76">
        <w:rPr>
          <w:rFonts w:asciiTheme="majorHAnsi" w:hAnsiTheme="majorHAnsi"/>
          <w:sz w:val="18"/>
          <w:szCs w:val="18"/>
          <w:lang w:val="es-ES_tradnl"/>
        </w:rPr>
        <w:t xml:space="preserve">me fuera </w:t>
      </w:r>
      <w:r w:rsidR="00776E4C" w:rsidRPr="00D43C76">
        <w:rPr>
          <w:rFonts w:asciiTheme="majorHAnsi" w:hAnsiTheme="majorHAnsi"/>
          <w:sz w:val="18"/>
          <w:szCs w:val="18"/>
          <w:lang w:val="es-ES_tradnl"/>
        </w:rPr>
        <w:t xml:space="preserve">o quemarían la casa. Mi primo y mis tíos, que vivían en la casa con nosotros, </w:t>
      </w:r>
      <w:r w:rsidR="000A66ED" w:rsidRPr="00D43C76">
        <w:rPr>
          <w:rFonts w:asciiTheme="majorHAnsi" w:hAnsiTheme="majorHAnsi"/>
          <w:sz w:val="18"/>
          <w:szCs w:val="18"/>
          <w:lang w:val="es-ES_tradnl"/>
        </w:rPr>
        <w:t xml:space="preserve">me </w:t>
      </w:r>
      <w:r w:rsidR="00776E4C" w:rsidRPr="00D43C76">
        <w:rPr>
          <w:rFonts w:asciiTheme="majorHAnsi" w:hAnsiTheme="majorHAnsi"/>
          <w:sz w:val="18"/>
          <w:szCs w:val="18"/>
          <w:lang w:val="es-ES_tradnl"/>
        </w:rPr>
        <w:t>dijeron que no podía quedarme</w:t>
      </w:r>
      <w:r w:rsidR="004D6123" w:rsidRPr="00D43C76">
        <w:rPr>
          <w:rFonts w:asciiTheme="majorHAnsi" w:hAnsiTheme="majorHAnsi"/>
          <w:sz w:val="18"/>
          <w:szCs w:val="18"/>
          <w:lang w:val="es-ES_tradnl"/>
        </w:rPr>
        <w:t>.</w:t>
      </w:r>
      <w:r w:rsidR="00C171E0"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 </w:t>
      </w:r>
      <w:r w:rsidR="000A66ED" w:rsidRPr="00D43C76">
        <w:rPr>
          <w:rFonts w:asciiTheme="majorHAnsi" w:hAnsiTheme="majorHAnsi"/>
          <w:sz w:val="18"/>
          <w:szCs w:val="18"/>
          <w:lang w:val="es-ES_tradnl"/>
        </w:rPr>
        <w:t>D</w:t>
      </w:r>
      <w:r w:rsidR="00776E4C" w:rsidRPr="00D43C76">
        <w:rPr>
          <w:rFonts w:asciiTheme="majorHAnsi" w:hAnsiTheme="majorHAnsi"/>
          <w:sz w:val="18"/>
          <w:szCs w:val="18"/>
          <w:lang w:val="es-ES_tradnl"/>
        </w:rPr>
        <w:t>esde entonces, he tenido que mudarme de un lugar a otro</w:t>
      </w:r>
      <w:r w:rsidRPr="00D43C76">
        <w:rPr>
          <w:rFonts w:asciiTheme="majorHAnsi" w:hAnsiTheme="majorHAnsi"/>
          <w:sz w:val="18"/>
          <w:szCs w:val="18"/>
          <w:lang w:val="es-ES_tradnl"/>
        </w:rPr>
        <w:t xml:space="preserve"> […]</w:t>
      </w:r>
      <w:r w:rsidR="00321560" w:rsidRPr="00D43C76">
        <w:rPr>
          <w:rStyle w:val="FootnoteReference"/>
          <w:rFonts w:asciiTheme="majorHAnsi" w:hAnsiTheme="majorHAnsi"/>
          <w:sz w:val="18"/>
          <w:szCs w:val="18"/>
          <w:lang w:val="es-ES_tradnl"/>
        </w:rPr>
        <w:footnoteReference w:id="20"/>
      </w:r>
      <w:r w:rsidR="00776E4C" w:rsidRPr="00D43C76">
        <w:rPr>
          <w:rFonts w:asciiTheme="majorHAnsi" w:hAnsiTheme="majorHAnsi"/>
          <w:sz w:val="18"/>
          <w:szCs w:val="18"/>
          <w:lang w:val="es-ES_tradnl"/>
        </w:rPr>
        <w:t>.</w:t>
      </w:r>
    </w:p>
    <w:p w14:paraId="1DACDA6F" w14:textId="77777777" w:rsidR="00796F15" w:rsidRPr="00D43C76" w:rsidRDefault="00006922" w:rsidP="00AB577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p>
    <w:p w14:paraId="0B449969" w14:textId="77777777" w:rsidR="00563605" w:rsidRPr="00D43C76" w:rsidRDefault="00776E4C"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w:t>
      </w:r>
      <w:r w:rsidR="00563605" w:rsidRPr="00D43C76">
        <w:rPr>
          <w:rFonts w:ascii="Cambria" w:hAnsi="Cambria"/>
          <w:lang w:val="es-ES_tradnl"/>
        </w:rPr>
        <w:t>6</w:t>
      </w:r>
      <w:r w:rsidRPr="00D43C76">
        <w:rPr>
          <w:rFonts w:ascii="Cambria" w:hAnsi="Cambria"/>
          <w:lang w:val="es-ES_tradnl"/>
        </w:rPr>
        <w:t xml:space="preserve"> de noviembre</w:t>
      </w:r>
      <w:r w:rsidR="00563605" w:rsidRPr="00D43C76">
        <w:rPr>
          <w:rFonts w:ascii="Cambria" w:hAnsi="Cambria"/>
          <w:lang w:val="es-ES_tradnl"/>
        </w:rPr>
        <w:t xml:space="preserve">, </w:t>
      </w:r>
      <w:r w:rsidR="007E65FB" w:rsidRPr="00D43C76">
        <w:rPr>
          <w:rFonts w:ascii="Cambria" w:hAnsi="Cambria"/>
          <w:lang w:val="es-ES_tradnl"/>
        </w:rPr>
        <w:t xml:space="preserve">T. B. </w:t>
      </w:r>
      <w:r w:rsidRPr="00D43C76">
        <w:rPr>
          <w:rFonts w:ascii="Cambria" w:hAnsi="Cambria"/>
          <w:lang w:val="es-ES_tradnl"/>
        </w:rPr>
        <w:t xml:space="preserve">presentó una segunda declaración en la cual afirmaba que la </w:t>
      </w:r>
      <w:r w:rsidR="006964DF" w:rsidRPr="00D43C76">
        <w:rPr>
          <w:rFonts w:ascii="Cambria" w:hAnsi="Cambria"/>
          <w:lang w:val="es-ES_tradnl"/>
        </w:rPr>
        <w:t>ley de sodomía</w:t>
      </w:r>
      <w:r w:rsidR="00563605" w:rsidRPr="00D43C76">
        <w:rPr>
          <w:rFonts w:ascii="Cambria" w:hAnsi="Cambria"/>
          <w:lang w:val="es-ES_tradnl"/>
        </w:rPr>
        <w:t xml:space="preserve"> promo</w:t>
      </w:r>
      <w:r w:rsidRPr="00D43C76">
        <w:rPr>
          <w:rFonts w:ascii="Cambria" w:hAnsi="Cambria"/>
          <w:lang w:val="es-ES_tradnl"/>
        </w:rPr>
        <w:t xml:space="preserve">vía la </w:t>
      </w:r>
      <w:r w:rsidR="00851B40" w:rsidRPr="00D43C76">
        <w:rPr>
          <w:rFonts w:ascii="Cambria" w:hAnsi="Cambria"/>
          <w:lang w:val="es-ES_tradnl"/>
        </w:rPr>
        <w:t>discriminación</w:t>
      </w:r>
      <w:r w:rsidR="00563605" w:rsidRPr="00D43C76">
        <w:rPr>
          <w:rFonts w:ascii="Cambria" w:hAnsi="Cambria"/>
          <w:lang w:val="es-ES_tradnl"/>
        </w:rPr>
        <w:t xml:space="preserve"> </w:t>
      </w:r>
      <w:r w:rsidRPr="00D43C76">
        <w:rPr>
          <w:rFonts w:ascii="Cambria" w:hAnsi="Cambria"/>
          <w:lang w:val="es-ES_tradnl"/>
        </w:rPr>
        <w:t xml:space="preserve">contra las personas </w:t>
      </w:r>
      <w:r w:rsidR="00563605" w:rsidRPr="00D43C76">
        <w:rPr>
          <w:rFonts w:ascii="Cambria" w:hAnsi="Cambria"/>
          <w:lang w:val="es-ES_tradnl"/>
        </w:rPr>
        <w:t xml:space="preserve">LGBTI </w:t>
      </w:r>
      <w:r w:rsidRPr="00D43C76">
        <w:rPr>
          <w:rFonts w:ascii="Cambria" w:hAnsi="Cambria"/>
          <w:lang w:val="es-ES_tradnl"/>
        </w:rPr>
        <w:t>como ella</w:t>
      </w:r>
      <w:r w:rsidR="00563605" w:rsidRPr="00D43C76">
        <w:rPr>
          <w:rFonts w:ascii="Cambria" w:hAnsi="Cambria"/>
          <w:lang w:val="es-ES_tradnl"/>
        </w:rPr>
        <w:t>:</w:t>
      </w:r>
    </w:p>
    <w:p w14:paraId="61BE16C0" w14:textId="77777777" w:rsidR="00563605" w:rsidRPr="00D43C76" w:rsidRDefault="00563605" w:rsidP="00563605">
      <w:pPr>
        <w:pStyle w:val="parrafos"/>
        <w:tabs>
          <w:tab w:val="left" w:pos="720"/>
        </w:tabs>
        <w:rPr>
          <w:rFonts w:ascii="Cambria" w:hAnsi="Cambria"/>
          <w:lang w:val="es-ES_tradnl"/>
        </w:rPr>
      </w:pPr>
    </w:p>
    <w:p w14:paraId="547BBA23" w14:textId="77777777" w:rsidR="00563605" w:rsidRPr="00D43C76" w:rsidRDefault="00776E4C" w:rsidP="008642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E</w:t>
      </w:r>
      <w:r w:rsidR="00302577" w:rsidRPr="00D43C76">
        <w:rPr>
          <w:rFonts w:asciiTheme="majorHAnsi" w:hAnsiTheme="majorHAnsi"/>
          <w:sz w:val="18"/>
          <w:szCs w:val="18"/>
          <w:lang w:val="es-ES_tradnl"/>
        </w:rPr>
        <w:t xml:space="preserve">n Jamaica </w:t>
      </w:r>
      <w:r w:rsidRPr="00D43C76">
        <w:rPr>
          <w:rFonts w:asciiTheme="majorHAnsi" w:hAnsiTheme="majorHAnsi"/>
          <w:sz w:val="18"/>
          <w:szCs w:val="18"/>
          <w:lang w:val="es-ES_tradnl"/>
        </w:rPr>
        <w:t>es muy difícil para un hombre gay encontrar servicios de salud pública sin estigma, especialmente para un hombre como yo, muy afeminado</w:t>
      </w:r>
      <w:r w:rsidR="00302577" w:rsidRPr="00D43C76">
        <w:rPr>
          <w:rFonts w:asciiTheme="majorHAnsi" w:hAnsiTheme="majorHAnsi"/>
          <w:sz w:val="18"/>
          <w:szCs w:val="18"/>
          <w:lang w:val="es-ES_tradnl"/>
        </w:rPr>
        <w:t xml:space="preserve"> </w:t>
      </w:r>
      <w:r w:rsidR="006964DF" w:rsidRPr="00D43C76">
        <w:rPr>
          <w:rFonts w:asciiTheme="majorHAnsi" w:hAnsiTheme="majorHAnsi"/>
          <w:sz w:val="18"/>
          <w:szCs w:val="18"/>
          <w:lang w:val="es-ES_tradnl"/>
        </w:rPr>
        <w:t>[…]</w:t>
      </w:r>
      <w:r w:rsidRPr="00D43C76">
        <w:rPr>
          <w:rFonts w:asciiTheme="majorHAnsi" w:hAnsiTheme="majorHAnsi"/>
          <w:sz w:val="18"/>
          <w:szCs w:val="18"/>
          <w:lang w:val="es-ES_tradnl"/>
        </w:rPr>
        <w:t>. E</w:t>
      </w:r>
      <w:r w:rsidR="00302577" w:rsidRPr="00D43C76">
        <w:rPr>
          <w:rFonts w:asciiTheme="majorHAnsi" w:hAnsiTheme="majorHAnsi"/>
          <w:sz w:val="18"/>
          <w:szCs w:val="18"/>
          <w:lang w:val="es-ES_tradnl"/>
        </w:rPr>
        <w:t>n 2009</w:t>
      </w:r>
      <w:r w:rsidRPr="00D43C76">
        <w:rPr>
          <w:rFonts w:asciiTheme="majorHAnsi" w:hAnsiTheme="majorHAnsi"/>
          <w:sz w:val="18"/>
          <w:szCs w:val="18"/>
          <w:lang w:val="es-ES_tradnl"/>
        </w:rPr>
        <w:t xml:space="preserve">, cuando tenía </w:t>
      </w:r>
      <w:r w:rsidR="00302577" w:rsidRPr="00D43C76">
        <w:rPr>
          <w:rFonts w:asciiTheme="majorHAnsi" w:hAnsiTheme="majorHAnsi"/>
          <w:sz w:val="18"/>
          <w:szCs w:val="18"/>
          <w:lang w:val="es-ES_tradnl"/>
        </w:rPr>
        <w:t>17</w:t>
      </w:r>
      <w:r w:rsidRPr="00D43C76">
        <w:rPr>
          <w:rFonts w:asciiTheme="majorHAnsi" w:hAnsiTheme="majorHAnsi"/>
          <w:sz w:val="18"/>
          <w:szCs w:val="18"/>
          <w:lang w:val="es-ES_tradnl"/>
        </w:rPr>
        <w:t xml:space="preserve"> años</w:t>
      </w:r>
      <w:r w:rsidR="00302577"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fui a hacerme mi primera y única prueba del VIH en un consultorio de salud pública de </w:t>
      </w:r>
      <w:r w:rsidR="00302577" w:rsidRPr="00D43C76">
        <w:rPr>
          <w:rFonts w:asciiTheme="majorHAnsi" w:hAnsiTheme="majorHAnsi"/>
          <w:sz w:val="18"/>
          <w:szCs w:val="18"/>
          <w:lang w:val="es-ES_tradnl"/>
        </w:rPr>
        <w:t xml:space="preserve">Jamaica </w:t>
      </w:r>
      <w:r w:rsidR="006964DF" w:rsidRPr="00D43C76">
        <w:rPr>
          <w:rFonts w:asciiTheme="majorHAnsi" w:hAnsiTheme="majorHAnsi"/>
          <w:sz w:val="18"/>
          <w:szCs w:val="18"/>
          <w:lang w:val="es-ES_tradnl"/>
        </w:rPr>
        <w:t>[…]</w:t>
      </w:r>
      <w:r w:rsidRPr="00D43C76">
        <w:rPr>
          <w:rFonts w:asciiTheme="majorHAnsi" w:hAnsiTheme="majorHAnsi"/>
          <w:sz w:val="18"/>
          <w:szCs w:val="18"/>
          <w:lang w:val="es-ES_tradnl"/>
        </w:rPr>
        <w:t xml:space="preserve">. Sin embargo, debido a la forma en que me trataron, me fui del consultorio antes de la prueba y me negué a volver a otro establecimiento de salud pública de </w:t>
      </w:r>
      <w:r w:rsidR="00302577" w:rsidRPr="00D43C76">
        <w:rPr>
          <w:rFonts w:asciiTheme="majorHAnsi" w:hAnsiTheme="majorHAnsi"/>
          <w:sz w:val="18"/>
          <w:szCs w:val="18"/>
          <w:lang w:val="es-ES_tradnl"/>
        </w:rPr>
        <w:t xml:space="preserve">Jamaica </w:t>
      </w:r>
      <w:r w:rsidRPr="00D43C76">
        <w:rPr>
          <w:rFonts w:asciiTheme="majorHAnsi" w:hAnsiTheme="majorHAnsi"/>
          <w:sz w:val="18"/>
          <w:szCs w:val="18"/>
          <w:lang w:val="es-ES_tradnl"/>
        </w:rPr>
        <w:t>para cualquier tipo de atención médica</w:t>
      </w:r>
      <w:r w:rsidR="00302577" w:rsidRPr="00D43C76">
        <w:rPr>
          <w:rFonts w:asciiTheme="majorHAnsi" w:hAnsiTheme="majorHAnsi"/>
          <w:sz w:val="18"/>
          <w:szCs w:val="18"/>
          <w:lang w:val="es-ES_tradnl"/>
        </w:rPr>
        <w:t xml:space="preserve">. </w:t>
      </w:r>
      <w:r w:rsidR="006964DF"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La enfermera me dio un cuestionario para llenar. Entre otras cosas, tenía preguntas sobre mis compañeros</w:t>
      </w:r>
      <w:r w:rsidR="00864236" w:rsidRPr="00D43C76">
        <w:rPr>
          <w:rFonts w:asciiTheme="majorHAnsi" w:hAnsiTheme="majorHAnsi"/>
          <w:sz w:val="18"/>
          <w:szCs w:val="18"/>
          <w:lang w:val="es-ES_tradnl"/>
        </w:rPr>
        <w:t xml:space="preserve"> sexual</w:t>
      </w:r>
      <w:r w:rsidRPr="00D43C76">
        <w:rPr>
          <w:rFonts w:asciiTheme="majorHAnsi" w:hAnsiTheme="majorHAnsi"/>
          <w:sz w:val="18"/>
          <w:szCs w:val="18"/>
          <w:lang w:val="es-ES_tradnl"/>
        </w:rPr>
        <w:t xml:space="preserve">es anteriores. Yo tenía miedo de contestar la verdad porque había tenido relaciones sexuales solamente con hombres, lo cual es un delito en </w:t>
      </w:r>
      <w:r w:rsidR="00864236" w:rsidRPr="00D43C76">
        <w:rPr>
          <w:rFonts w:asciiTheme="majorHAnsi" w:hAnsiTheme="majorHAnsi"/>
          <w:sz w:val="18"/>
          <w:szCs w:val="18"/>
          <w:lang w:val="es-ES_tradnl"/>
        </w:rPr>
        <w:t xml:space="preserve">Jamaica. </w:t>
      </w:r>
      <w:r w:rsidRPr="00D43C76">
        <w:rPr>
          <w:rFonts w:asciiTheme="majorHAnsi" w:hAnsiTheme="majorHAnsi"/>
          <w:sz w:val="18"/>
          <w:szCs w:val="18"/>
          <w:lang w:val="es-ES_tradnl"/>
        </w:rPr>
        <w:t xml:space="preserve">Si contestaba el cuestionario, tenía que admitir que había infringido la ley y podía pasar hasta </w:t>
      </w:r>
      <w:r w:rsidR="00864236" w:rsidRPr="00D43C76">
        <w:rPr>
          <w:rFonts w:asciiTheme="majorHAnsi" w:hAnsiTheme="majorHAnsi"/>
          <w:sz w:val="18"/>
          <w:szCs w:val="18"/>
          <w:lang w:val="es-ES_tradnl"/>
        </w:rPr>
        <w:t xml:space="preserve">10 </w:t>
      </w:r>
      <w:r w:rsidRPr="00D43C76">
        <w:rPr>
          <w:rFonts w:asciiTheme="majorHAnsi" w:hAnsiTheme="majorHAnsi"/>
          <w:sz w:val="18"/>
          <w:szCs w:val="18"/>
          <w:lang w:val="es-ES_tradnl"/>
        </w:rPr>
        <w:t xml:space="preserve">años en la cárcel. Tampoco quería exponerme a un ridículo mayor al admitir que era </w:t>
      </w:r>
      <w:r w:rsidR="00864236" w:rsidRPr="00D43C76">
        <w:rPr>
          <w:rFonts w:asciiTheme="majorHAnsi" w:hAnsiTheme="majorHAnsi"/>
          <w:sz w:val="18"/>
          <w:szCs w:val="18"/>
          <w:lang w:val="es-ES_tradnl"/>
        </w:rPr>
        <w:t>gay</w:t>
      </w:r>
      <w:r w:rsidRPr="00D43C76">
        <w:rPr>
          <w:rFonts w:asciiTheme="majorHAnsi" w:hAnsiTheme="majorHAnsi"/>
          <w:sz w:val="18"/>
          <w:szCs w:val="18"/>
          <w:lang w:val="es-ES_tradnl"/>
        </w:rPr>
        <w:t>, así que, cuando la enfermera no estaba mirando, tomé mis pertenencias rápidamente y me fui.</w:t>
      </w:r>
    </w:p>
    <w:p w14:paraId="29A0AA41" w14:textId="77777777" w:rsidR="00CE2330" w:rsidRPr="00D43C76" w:rsidRDefault="00CE2330" w:rsidP="008642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13B05BC7" w14:textId="77777777" w:rsidR="00563605" w:rsidRPr="00D43C76" w:rsidRDefault="00776E4C" w:rsidP="009341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E</w:t>
      </w:r>
      <w:r w:rsidR="00CE2330" w:rsidRPr="00D43C76">
        <w:rPr>
          <w:rFonts w:asciiTheme="majorHAnsi" w:hAnsiTheme="majorHAnsi"/>
          <w:sz w:val="18"/>
          <w:szCs w:val="18"/>
          <w:lang w:val="es-ES_tradnl"/>
        </w:rPr>
        <w:t>n 2011</w:t>
      </w:r>
      <w:r w:rsidRPr="00D43C76">
        <w:rPr>
          <w:rFonts w:asciiTheme="majorHAnsi" w:hAnsiTheme="majorHAnsi"/>
          <w:sz w:val="18"/>
          <w:szCs w:val="18"/>
          <w:lang w:val="es-ES_tradnl"/>
        </w:rPr>
        <w:t>, un amigo de</w:t>
      </w:r>
      <w:r w:rsidR="00CE2330" w:rsidRPr="00D43C76">
        <w:rPr>
          <w:rFonts w:asciiTheme="majorHAnsi" w:hAnsiTheme="majorHAnsi"/>
          <w:sz w:val="18"/>
          <w:szCs w:val="18"/>
          <w:lang w:val="es-ES_tradnl"/>
        </w:rPr>
        <w:t xml:space="preserve"> Trinidad </w:t>
      </w:r>
      <w:r w:rsidRPr="00D43C76">
        <w:rPr>
          <w:rFonts w:asciiTheme="majorHAnsi" w:hAnsiTheme="majorHAnsi"/>
          <w:sz w:val="18"/>
          <w:szCs w:val="18"/>
          <w:lang w:val="es-ES_tradnl"/>
        </w:rPr>
        <w:t xml:space="preserve">se enteró de mi situación y vino a verme. Me prometió que me dejaría quedarme con él y que me cuidaría. Sin embargo, cuando llegué y él vio cuán afeminado soy, se negó a llevarme a su casa. Dijo que le preocupaba lo que dirían los vecinos. Terminé durmiendo en la calle en </w:t>
      </w:r>
      <w:r w:rsidR="00CE2330" w:rsidRPr="00D43C76">
        <w:rPr>
          <w:rFonts w:asciiTheme="majorHAnsi" w:hAnsiTheme="majorHAnsi"/>
          <w:sz w:val="18"/>
          <w:szCs w:val="18"/>
          <w:lang w:val="es-ES_tradnl"/>
        </w:rPr>
        <w:t xml:space="preserve">Trinidad </w:t>
      </w:r>
      <w:r w:rsidRPr="00D43C76">
        <w:rPr>
          <w:rFonts w:asciiTheme="majorHAnsi" w:hAnsiTheme="majorHAnsi"/>
          <w:sz w:val="18"/>
          <w:szCs w:val="18"/>
          <w:lang w:val="es-ES_tradnl"/>
        </w:rPr>
        <w:t>durante ocho meses. Durante ese período conocí a mujeres trans sin techo, que me ayudaron a conseguir h</w:t>
      </w:r>
      <w:r w:rsidR="00CE2330" w:rsidRPr="00D43C76">
        <w:rPr>
          <w:rFonts w:asciiTheme="majorHAnsi" w:hAnsiTheme="majorHAnsi"/>
          <w:sz w:val="18"/>
          <w:szCs w:val="18"/>
          <w:lang w:val="es-ES_tradnl"/>
        </w:rPr>
        <w:t>ormon</w:t>
      </w:r>
      <w:r w:rsidRPr="00D43C76">
        <w:rPr>
          <w:rFonts w:asciiTheme="majorHAnsi" w:hAnsiTheme="majorHAnsi"/>
          <w:sz w:val="18"/>
          <w:szCs w:val="18"/>
          <w:lang w:val="es-ES_tradnl"/>
        </w:rPr>
        <w:t>a</w:t>
      </w:r>
      <w:r w:rsidR="00CE2330" w:rsidRPr="00D43C76">
        <w:rPr>
          <w:rFonts w:asciiTheme="majorHAnsi" w:hAnsiTheme="majorHAnsi"/>
          <w:sz w:val="18"/>
          <w:szCs w:val="18"/>
          <w:lang w:val="es-ES_tradnl"/>
        </w:rPr>
        <w:t xml:space="preserve">s </w:t>
      </w:r>
      <w:r w:rsidRPr="00D43C76">
        <w:rPr>
          <w:rFonts w:asciiTheme="majorHAnsi" w:hAnsiTheme="majorHAnsi"/>
          <w:sz w:val="18"/>
          <w:szCs w:val="18"/>
          <w:lang w:val="es-ES_tradnl"/>
        </w:rPr>
        <w:t xml:space="preserve">para iniciar la </w:t>
      </w:r>
      <w:r w:rsidR="00CE2330" w:rsidRPr="00D43C76">
        <w:rPr>
          <w:rFonts w:asciiTheme="majorHAnsi" w:hAnsiTheme="majorHAnsi"/>
          <w:sz w:val="18"/>
          <w:szCs w:val="18"/>
          <w:lang w:val="es-ES_tradnl"/>
        </w:rPr>
        <w:t>transi</w:t>
      </w:r>
      <w:r w:rsidRPr="00D43C76">
        <w:rPr>
          <w:rFonts w:asciiTheme="majorHAnsi" w:hAnsiTheme="majorHAnsi"/>
          <w:sz w:val="18"/>
          <w:szCs w:val="18"/>
          <w:lang w:val="es-ES_tradnl"/>
        </w:rPr>
        <w:t>ción</w:t>
      </w:r>
      <w:r w:rsidR="00CE2330" w:rsidRPr="00D43C76">
        <w:rPr>
          <w:rFonts w:asciiTheme="majorHAnsi" w:hAnsiTheme="majorHAnsi"/>
          <w:sz w:val="18"/>
          <w:szCs w:val="18"/>
          <w:lang w:val="es-ES_tradnl"/>
        </w:rPr>
        <w:t xml:space="preserve">. </w:t>
      </w:r>
      <w:r w:rsidR="006964DF"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Cuando me fui de </w:t>
      </w:r>
      <w:r w:rsidR="00CE2330" w:rsidRPr="00D43C76">
        <w:rPr>
          <w:rFonts w:asciiTheme="majorHAnsi" w:hAnsiTheme="majorHAnsi"/>
          <w:sz w:val="18"/>
          <w:szCs w:val="18"/>
          <w:lang w:val="es-ES_tradnl"/>
        </w:rPr>
        <w:t xml:space="preserve">Jamaica </w:t>
      </w:r>
      <w:r w:rsidRPr="00D43C76">
        <w:rPr>
          <w:rFonts w:asciiTheme="majorHAnsi" w:hAnsiTheme="majorHAnsi"/>
          <w:sz w:val="18"/>
          <w:szCs w:val="18"/>
          <w:lang w:val="es-ES_tradnl"/>
        </w:rPr>
        <w:t xml:space="preserve">a Holanda en </w:t>
      </w:r>
      <w:r w:rsidR="00CE2330" w:rsidRPr="00D43C76">
        <w:rPr>
          <w:rFonts w:asciiTheme="majorHAnsi" w:hAnsiTheme="majorHAnsi"/>
          <w:sz w:val="18"/>
          <w:szCs w:val="18"/>
          <w:lang w:val="es-ES_tradnl"/>
        </w:rPr>
        <w:t xml:space="preserve">2012, </w:t>
      </w:r>
      <w:r w:rsidRPr="00D43C76">
        <w:rPr>
          <w:rFonts w:asciiTheme="majorHAnsi" w:hAnsiTheme="majorHAnsi"/>
          <w:sz w:val="18"/>
          <w:szCs w:val="18"/>
          <w:lang w:val="es-ES_tradnl"/>
        </w:rPr>
        <w:t>le envié un correo electrónico a mi madre y le dije dónde estaba, pero cuando respondió lo único que hizo fue pedirme dinero. No me preguntó cómo estaba n</w:t>
      </w:r>
      <w:r w:rsidR="00647E09" w:rsidRPr="00D43C76">
        <w:rPr>
          <w:rFonts w:asciiTheme="majorHAnsi" w:hAnsiTheme="majorHAnsi"/>
          <w:sz w:val="18"/>
          <w:szCs w:val="18"/>
          <w:lang w:val="es-ES_tradnl"/>
        </w:rPr>
        <w:t>i</w:t>
      </w:r>
      <w:r w:rsidRPr="00D43C76">
        <w:rPr>
          <w:rFonts w:asciiTheme="majorHAnsi" w:hAnsiTheme="majorHAnsi"/>
          <w:sz w:val="18"/>
          <w:szCs w:val="18"/>
          <w:lang w:val="es-ES_tradnl"/>
        </w:rPr>
        <w:t xml:space="preserve"> cómo estaba sobreviviendo</w:t>
      </w:r>
      <w:r w:rsidR="00CE2330" w:rsidRPr="00D43C76">
        <w:rPr>
          <w:rFonts w:asciiTheme="majorHAnsi" w:hAnsiTheme="majorHAnsi"/>
          <w:sz w:val="18"/>
          <w:szCs w:val="18"/>
          <w:lang w:val="es-ES_tradnl"/>
        </w:rPr>
        <w:t xml:space="preserve"> </w:t>
      </w:r>
      <w:r w:rsidR="006964DF" w:rsidRPr="00D43C76">
        <w:rPr>
          <w:rFonts w:asciiTheme="majorHAnsi" w:hAnsiTheme="majorHAnsi"/>
          <w:sz w:val="18"/>
          <w:szCs w:val="18"/>
          <w:lang w:val="es-ES_tradnl"/>
        </w:rPr>
        <w:t>[…]</w:t>
      </w:r>
      <w:r w:rsidRPr="00D43C76">
        <w:rPr>
          <w:rFonts w:asciiTheme="majorHAnsi" w:hAnsiTheme="majorHAnsi"/>
          <w:sz w:val="18"/>
          <w:szCs w:val="18"/>
          <w:lang w:val="es-ES_tradnl"/>
        </w:rPr>
        <w:t>. E</w:t>
      </w:r>
      <w:r w:rsidR="00647E09" w:rsidRPr="00D43C76">
        <w:rPr>
          <w:rFonts w:asciiTheme="majorHAnsi" w:hAnsiTheme="majorHAnsi"/>
          <w:sz w:val="18"/>
          <w:szCs w:val="18"/>
          <w:lang w:val="es-ES_tradnl"/>
        </w:rPr>
        <w:t>cho de menos a mi</w:t>
      </w:r>
      <w:r w:rsidRPr="00D43C76">
        <w:rPr>
          <w:rFonts w:asciiTheme="majorHAnsi" w:hAnsiTheme="majorHAnsi"/>
          <w:sz w:val="18"/>
          <w:szCs w:val="18"/>
          <w:lang w:val="es-ES_tradnl"/>
        </w:rPr>
        <w:t xml:space="preserve"> familia, </w:t>
      </w:r>
      <w:r w:rsidR="00647E09" w:rsidRPr="00D43C76">
        <w:rPr>
          <w:rFonts w:asciiTheme="majorHAnsi" w:hAnsiTheme="majorHAnsi"/>
          <w:sz w:val="18"/>
          <w:szCs w:val="18"/>
          <w:lang w:val="es-ES_tradnl"/>
        </w:rPr>
        <w:t xml:space="preserve">extraño </w:t>
      </w:r>
      <w:r w:rsidRPr="00D43C76">
        <w:rPr>
          <w:rFonts w:asciiTheme="majorHAnsi" w:hAnsiTheme="majorHAnsi"/>
          <w:sz w:val="18"/>
          <w:szCs w:val="18"/>
          <w:lang w:val="es-ES_tradnl"/>
        </w:rPr>
        <w:t xml:space="preserve">mi casa y mi país, pero sé que no puedo volver sin riesgos hasta que </w:t>
      </w:r>
      <w:r w:rsidR="00CE2330" w:rsidRPr="00D43C76">
        <w:rPr>
          <w:rFonts w:asciiTheme="majorHAnsi" w:hAnsiTheme="majorHAnsi"/>
          <w:sz w:val="18"/>
          <w:szCs w:val="18"/>
          <w:lang w:val="es-ES_tradnl"/>
        </w:rPr>
        <w:t xml:space="preserve">Jamaica </w:t>
      </w:r>
      <w:r w:rsidRPr="00D43C76">
        <w:rPr>
          <w:rFonts w:asciiTheme="majorHAnsi" w:hAnsiTheme="majorHAnsi"/>
          <w:sz w:val="18"/>
          <w:szCs w:val="18"/>
          <w:lang w:val="es-ES_tradnl"/>
        </w:rPr>
        <w:t xml:space="preserve">se deshaga de la ley contra la sodomía y acepte más a las personas </w:t>
      </w:r>
      <w:r w:rsidR="00CE2330" w:rsidRPr="00D43C76">
        <w:rPr>
          <w:rFonts w:asciiTheme="majorHAnsi" w:hAnsiTheme="majorHAnsi"/>
          <w:sz w:val="18"/>
          <w:szCs w:val="18"/>
          <w:lang w:val="es-ES_tradnl"/>
        </w:rPr>
        <w:t xml:space="preserve">LGBT </w:t>
      </w:r>
      <w:r w:rsidRPr="00D43C76">
        <w:rPr>
          <w:rFonts w:asciiTheme="majorHAnsi" w:hAnsiTheme="majorHAnsi"/>
          <w:sz w:val="18"/>
          <w:szCs w:val="18"/>
          <w:lang w:val="es-ES_tradnl"/>
        </w:rPr>
        <w:t>como yo</w:t>
      </w:r>
      <w:r w:rsidR="00AC6AE3" w:rsidRPr="00D43C76">
        <w:rPr>
          <w:rStyle w:val="FootnoteReference"/>
          <w:rFonts w:asciiTheme="majorHAnsi" w:hAnsiTheme="majorHAnsi"/>
          <w:sz w:val="18"/>
          <w:szCs w:val="18"/>
          <w:lang w:val="es-ES_tradnl"/>
        </w:rPr>
        <w:footnoteReference w:id="21"/>
      </w:r>
      <w:r w:rsidRPr="00D43C76">
        <w:rPr>
          <w:rFonts w:asciiTheme="majorHAnsi" w:hAnsiTheme="majorHAnsi"/>
          <w:sz w:val="18"/>
          <w:szCs w:val="18"/>
          <w:lang w:val="es-ES_tradnl"/>
        </w:rPr>
        <w:t>.</w:t>
      </w:r>
    </w:p>
    <w:p w14:paraId="6FBDA4CD" w14:textId="77777777" w:rsidR="006964DF" w:rsidRPr="00D43C76" w:rsidRDefault="006964DF" w:rsidP="009341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59683F90" w14:textId="77777777" w:rsidR="00796F15" w:rsidRPr="00D43C76" w:rsidRDefault="00776E4C"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w:t>
      </w:r>
      <w:r w:rsidR="00237C54" w:rsidRPr="00D43C76">
        <w:rPr>
          <w:rFonts w:ascii="Cambria" w:hAnsi="Cambria"/>
          <w:lang w:val="es-ES_tradnl"/>
        </w:rPr>
        <w:t>29</w:t>
      </w:r>
      <w:r w:rsidRPr="00D43C76">
        <w:rPr>
          <w:rFonts w:ascii="Cambria" w:hAnsi="Cambria"/>
          <w:lang w:val="es-ES_tradnl"/>
        </w:rPr>
        <w:t xml:space="preserve"> de septiembre de</w:t>
      </w:r>
      <w:r w:rsidR="00237C54" w:rsidRPr="00D43C76">
        <w:rPr>
          <w:rFonts w:ascii="Cambria" w:hAnsi="Cambria"/>
          <w:lang w:val="es-ES_tradnl"/>
        </w:rPr>
        <w:t xml:space="preserve"> 2011</w:t>
      </w:r>
      <w:r w:rsidRPr="00D43C76">
        <w:rPr>
          <w:rFonts w:ascii="Cambria" w:hAnsi="Cambria"/>
          <w:lang w:val="es-ES_tradnl"/>
        </w:rPr>
        <w:t>,</w:t>
      </w:r>
      <w:r w:rsidR="00237C54" w:rsidRPr="00D43C76">
        <w:rPr>
          <w:rFonts w:ascii="Cambria" w:hAnsi="Cambria"/>
          <w:lang w:val="es-ES_tradnl"/>
        </w:rPr>
        <w:t xml:space="preserve"> </w:t>
      </w:r>
      <w:r w:rsidR="00A6732A" w:rsidRPr="00D43C76">
        <w:rPr>
          <w:rFonts w:ascii="Cambria" w:hAnsi="Cambria"/>
          <w:lang w:val="es-ES_tradnl"/>
        </w:rPr>
        <w:t xml:space="preserve">el </w:t>
      </w:r>
      <w:r w:rsidR="00790CF9" w:rsidRPr="00D43C76">
        <w:rPr>
          <w:rFonts w:ascii="Cambria" w:hAnsi="Cambria"/>
          <w:lang w:val="es-ES_tradnl"/>
        </w:rPr>
        <w:t>d</w:t>
      </w:r>
      <w:r w:rsidR="00237C54" w:rsidRPr="00D43C76">
        <w:rPr>
          <w:rFonts w:ascii="Cambria" w:hAnsi="Cambria"/>
          <w:lang w:val="es-ES_tradnl"/>
        </w:rPr>
        <w:t xml:space="preserve">irector </w:t>
      </w:r>
      <w:r w:rsidR="00790CF9" w:rsidRPr="00D43C76">
        <w:rPr>
          <w:rFonts w:ascii="Cambria" w:hAnsi="Cambria"/>
          <w:lang w:val="es-ES_tradnl"/>
        </w:rPr>
        <w:t>del Equipo de apoyo regional de ONUSIDA para el Caribe, que trabaja</w:t>
      </w:r>
      <w:r w:rsidR="00647E09" w:rsidRPr="00D43C76">
        <w:rPr>
          <w:rFonts w:ascii="Cambria" w:hAnsi="Cambria"/>
          <w:lang w:val="es-ES_tradnl"/>
        </w:rPr>
        <w:t>ba</w:t>
      </w:r>
      <w:r w:rsidR="00790CF9" w:rsidRPr="00D43C76">
        <w:rPr>
          <w:rFonts w:ascii="Cambria" w:hAnsi="Cambria"/>
          <w:lang w:val="es-ES_tradnl"/>
        </w:rPr>
        <w:t xml:space="preserve"> en la respuesta al VIH en la región, emitió una declaración en la cual puso de relieve el impacto de la </w:t>
      </w:r>
      <w:r w:rsidR="005A4C18" w:rsidRPr="00D43C76">
        <w:rPr>
          <w:rFonts w:ascii="Cambria" w:hAnsi="Cambria"/>
          <w:lang w:val="es-ES_tradnl"/>
        </w:rPr>
        <w:t>Ley de Delitos contra la Persona</w:t>
      </w:r>
      <w:r w:rsidR="00237C54" w:rsidRPr="00D43C76">
        <w:rPr>
          <w:rFonts w:ascii="Cambria" w:hAnsi="Cambria"/>
          <w:lang w:val="es-ES_tradnl"/>
        </w:rPr>
        <w:t xml:space="preserve"> </w:t>
      </w:r>
      <w:r w:rsidR="00790CF9" w:rsidRPr="00D43C76">
        <w:rPr>
          <w:rFonts w:ascii="Cambria" w:hAnsi="Cambria"/>
          <w:lang w:val="es-ES_tradnl"/>
        </w:rPr>
        <w:t>en la respuesta al VIH</w:t>
      </w:r>
      <w:r w:rsidR="00237C54" w:rsidRPr="00D43C76">
        <w:rPr>
          <w:rFonts w:ascii="Cambria" w:hAnsi="Cambria"/>
          <w:lang w:val="es-ES_tradnl"/>
        </w:rPr>
        <w:t>:</w:t>
      </w:r>
    </w:p>
    <w:p w14:paraId="0F5B5128" w14:textId="77777777" w:rsidR="00237C54" w:rsidRPr="00D43C76" w:rsidRDefault="00237C54" w:rsidP="002D6E99">
      <w:pPr>
        <w:pStyle w:val="ListParagraph"/>
        <w:rPr>
          <w:lang w:val="es-ES_tradnl"/>
        </w:rPr>
      </w:pPr>
    </w:p>
    <w:p w14:paraId="3D4516D7" w14:textId="77777777" w:rsidR="00237C54" w:rsidRPr="00D43C76" w:rsidRDefault="006964DF"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r w:rsidR="00E42EA3" w:rsidRPr="00D43C76">
        <w:rPr>
          <w:rFonts w:asciiTheme="majorHAnsi" w:hAnsiTheme="majorHAnsi"/>
          <w:sz w:val="18"/>
          <w:szCs w:val="18"/>
          <w:lang w:val="es-ES_tradnl"/>
        </w:rPr>
        <w:t>El contexto político</w:t>
      </w:r>
      <w:r w:rsidR="00C9500C" w:rsidRPr="00D43C76">
        <w:rPr>
          <w:rFonts w:asciiTheme="majorHAnsi" w:hAnsiTheme="majorHAnsi"/>
          <w:sz w:val="18"/>
          <w:szCs w:val="18"/>
          <w:lang w:val="es-ES_tradnl"/>
        </w:rPr>
        <w:t xml:space="preserve">, social </w:t>
      </w:r>
      <w:r w:rsidR="00E42EA3" w:rsidRPr="00D43C76">
        <w:rPr>
          <w:rFonts w:asciiTheme="majorHAnsi" w:hAnsiTheme="majorHAnsi"/>
          <w:sz w:val="18"/>
          <w:szCs w:val="18"/>
          <w:lang w:val="es-ES_tradnl"/>
        </w:rPr>
        <w:t>y</w:t>
      </w:r>
      <w:r w:rsidR="00C9500C" w:rsidRPr="00D43C76">
        <w:rPr>
          <w:rFonts w:asciiTheme="majorHAnsi" w:hAnsiTheme="majorHAnsi"/>
          <w:sz w:val="18"/>
          <w:szCs w:val="18"/>
          <w:lang w:val="es-ES_tradnl"/>
        </w:rPr>
        <w:t xml:space="preserve"> cultural </w:t>
      </w:r>
      <w:r w:rsidR="00E42EA3" w:rsidRPr="00D43C76">
        <w:rPr>
          <w:rFonts w:asciiTheme="majorHAnsi" w:hAnsiTheme="majorHAnsi"/>
          <w:sz w:val="18"/>
          <w:szCs w:val="18"/>
          <w:lang w:val="es-ES_tradnl"/>
        </w:rPr>
        <w:t xml:space="preserve">de </w:t>
      </w:r>
      <w:r w:rsidR="00C9500C" w:rsidRPr="00D43C76">
        <w:rPr>
          <w:rFonts w:asciiTheme="majorHAnsi" w:hAnsiTheme="majorHAnsi"/>
          <w:sz w:val="18"/>
          <w:szCs w:val="18"/>
          <w:lang w:val="es-ES_tradnl"/>
        </w:rPr>
        <w:t>Jamaica ha</w:t>
      </w:r>
      <w:r w:rsidR="00E42EA3" w:rsidRPr="00D43C76">
        <w:rPr>
          <w:rFonts w:asciiTheme="majorHAnsi" w:hAnsiTheme="majorHAnsi"/>
          <w:sz w:val="18"/>
          <w:szCs w:val="18"/>
          <w:lang w:val="es-ES_tradnl"/>
        </w:rPr>
        <w:t xml:space="preserve"> dificultado sobremanera la respuesta al VIH. Primero, a medida que se propaga la epidemia entre hombres que tienen relaciones sexuales con otros hombres, ha sido difícil para</w:t>
      </w:r>
      <w:r w:rsidR="00C9500C" w:rsidRPr="00D43C76">
        <w:rPr>
          <w:rFonts w:asciiTheme="majorHAnsi" w:hAnsiTheme="majorHAnsi"/>
          <w:sz w:val="18"/>
          <w:szCs w:val="18"/>
          <w:lang w:val="es-ES_tradnl"/>
        </w:rPr>
        <w:t xml:space="preserve"> </w:t>
      </w:r>
      <w:r w:rsidR="00A365FB" w:rsidRPr="00D43C76">
        <w:rPr>
          <w:rFonts w:asciiTheme="majorHAnsi" w:hAnsiTheme="majorHAnsi"/>
          <w:sz w:val="18"/>
          <w:szCs w:val="18"/>
          <w:lang w:val="es-ES_tradnl"/>
        </w:rPr>
        <w:t>el Estado</w:t>
      </w:r>
      <w:r w:rsidR="00C9500C" w:rsidRPr="00D43C76">
        <w:rPr>
          <w:rFonts w:asciiTheme="majorHAnsi" w:hAnsiTheme="majorHAnsi"/>
          <w:sz w:val="18"/>
          <w:szCs w:val="18"/>
          <w:lang w:val="es-ES_tradnl"/>
        </w:rPr>
        <w:t xml:space="preserve"> </w:t>
      </w:r>
      <w:r w:rsidR="00E42EA3" w:rsidRPr="00D43C76">
        <w:rPr>
          <w:rFonts w:asciiTheme="majorHAnsi" w:hAnsiTheme="majorHAnsi"/>
          <w:sz w:val="18"/>
          <w:szCs w:val="18"/>
          <w:lang w:val="es-ES_tradnl"/>
        </w:rPr>
        <w:t xml:space="preserve">anunciar públicamente que les está proporcionando servicios </w:t>
      </w:r>
      <w:r w:rsidR="00C9500C" w:rsidRPr="00D43C76">
        <w:rPr>
          <w:rFonts w:asciiTheme="majorHAnsi" w:hAnsiTheme="majorHAnsi"/>
          <w:sz w:val="18"/>
          <w:szCs w:val="18"/>
          <w:lang w:val="es-ES_tradnl"/>
        </w:rPr>
        <w:t>o</w:t>
      </w:r>
      <w:r w:rsidR="00E42EA3" w:rsidRPr="00D43C76">
        <w:rPr>
          <w:rFonts w:asciiTheme="majorHAnsi" w:hAnsiTheme="majorHAnsi"/>
          <w:sz w:val="18"/>
          <w:szCs w:val="18"/>
          <w:lang w:val="es-ES_tradnl"/>
        </w:rPr>
        <w:t xml:space="preserve"> que está apoyando a grupos de la sociedad </w:t>
      </w:r>
      <w:r w:rsidR="00C9500C" w:rsidRPr="00D43C76">
        <w:rPr>
          <w:rFonts w:asciiTheme="majorHAnsi" w:hAnsiTheme="majorHAnsi"/>
          <w:sz w:val="18"/>
          <w:szCs w:val="18"/>
          <w:lang w:val="es-ES_tradnl"/>
        </w:rPr>
        <w:t xml:space="preserve">civil </w:t>
      </w:r>
      <w:r w:rsidR="00E42EA3" w:rsidRPr="00D43C76">
        <w:rPr>
          <w:rFonts w:asciiTheme="majorHAnsi" w:hAnsiTheme="majorHAnsi"/>
          <w:sz w:val="18"/>
          <w:szCs w:val="18"/>
          <w:lang w:val="es-ES_tradnl"/>
        </w:rPr>
        <w:t xml:space="preserve">que trabajan con estas poblaciones, especialmente en lo que se refiere al uso de condones. Por ejemplo, cuando se reveló que se estaban distribuyendo condones en las cárceles, estallaron disturbios en los cuales los hombres que se sospechaba que eran </w:t>
      </w:r>
      <w:r w:rsidR="00C9500C" w:rsidRPr="00D43C76">
        <w:rPr>
          <w:rFonts w:asciiTheme="majorHAnsi" w:hAnsiTheme="majorHAnsi"/>
          <w:sz w:val="18"/>
          <w:szCs w:val="18"/>
          <w:lang w:val="es-ES_tradnl"/>
        </w:rPr>
        <w:t>homosexual</w:t>
      </w:r>
      <w:r w:rsidR="00E42EA3" w:rsidRPr="00D43C76">
        <w:rPr>
          <w:rFonts w:asciiTheme="majorHAnsi" w:hAnsiTheme="majorHAnsi"/>
          <w:sz w:val="18"/>
          <w:szCs w:val="18"/>
          <w:lang w:val="es-ES_tradnl"/>
        </w:rPr>
        <w:t xml:space="preserve">es fueron asesinados, y hubo que hacer cambios en el programa. Las disposiciones de la </w:t>
      </w:r>
      <w:r w:rsidR="005A4C18" w:rsidRPr="00D43C76">
        <w:rPr>
          <w:rFonts w:asciiTheme="majorHAnsi" w:hAnsiTheme="majorHAnsi"/>
          <w:sz w:val="18"/>
          <w:szCs w:val="18"/>
          <w:lang w:val="es-ES_tradnl"/>
        </w:rPr>
        <w:t>Ley de Delitos contra la Persona</w:t>
      </w:r>
      <w:r w:rsidR="00E42EA3" w:rsidRPr="00D43C76">
        <w:rPr>
          <w:rFonts w:asciiTheme="majorHAnsi" w:hAnsiTheme="majorHAnsi"/>
          <w:sz w:val="18"/>
          <w:szCs w:val="18"/>
          <w:lang w:val="es-ES_tradnl"/>
        </w:rPr>
        <w:t xml:space="preserve"> son contrarias a la salud del público y ponen en gran riesgo la vida de los</w:t>
      </w:r>
      <w:r w:rsidR="00C9500C" w:rsidRPr="00D43C76">
        <w:rPr>
          <w:rFonts w:asciiTheme="majorHAnsi" w:hAnsiTheme="majorHAnsi"/>
          <w:sz w:val="18"/>
          <w:szCs w:val="18"/>
          <w:lang w:val="es-ES_tradnl"/>
        </w:rPr>
        <w:t xml:space="preserve"> </w:t>
      </w:r>
      <w:r w:rsidR="00E42EA3" w:rsidRPr="00D43C76">
        <w:rPr>
          <w:rFonts w:asciiTheme="majorHAnsi" w:hAnsiTheme="majorHAnsi"/>
          <w:sz w:val="18"/>
          <w:szCs w:val="18"/>
          <w:lang w:val="es-ES_tradnl"/>
        </w:rPr>
        <w:t>hombres que tienen relaciones sexuales con otros hombres</w:t>
      </w:r>
      <w:r w:rsidR="00C9500C" w:rsidRPr="00D43C76">
        <w:rPr>
          <w:rFonts w:asciiTheme="majorHAnsi" w:hAnsiTheme="majorHAnsi"/>
          <w:sz w:val="18"/>
          <w:szCs w:val="18"/>
          <w:lang w:val="es-ES_tradnl"/>
        </w:rPr>
        <w:t>.</w:t>
      </w:r>
    </w:p>
    <w:p w14:paraId="1E8A0F7F" w14:textId="77777777" w:rsidR="00C9500C" w:rsidRPr="00D43C76" w:rsidRDefault="00C9500C"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3181495D" w14:textId="77777777" w:rsidR="00C9500C" w:rsidRPr="00D43C76" w:rsidRDefault="00C9500C"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Se</w:t>
      </w:r>
      <w:r w:rsidR="00415033" w:rsidRPr="00D43C76">
        <w:rPr>
          <w:rFonts w:asciiTheme="majorHAnsi" w:hAnsiTheme="majorHAnsi"/>
          <w:sz w:val="18"/>
          <w:szCs w:val="18"/>
          <w:lang w:val="es-ES_tradnl"/>
        </w:rPr>
        <w:t>gundo, en los últimos veinte años, el e</w:t>
      </w:r>
      <w:r w:rsidRPr="00D43C76">
        <w:rPr>
          <w:rFonts w:asciiTheme="majorHAnsi" w:hAnsiTheme="majorHAnsi"/>
          <w:sz w:val="18"/>
          <w:szCs w:val="18"/>
          <w:lang w:val="es-ES_tradnl"/>
        </w:rPr>
        <w:t xml:space="preserve">stigma </w:t>
      </w:r>
      <w:r w:rsidR="00415033" w:rsidRPr="00D43C76">
        <w:rPr>
          <w:rFonts w:asciiTheme="majorHAnsi" w:hAnsiTheme="majorHAnsi"/>
          <w:sz w:val="18"/>
          <w:szCs w:val="18"/>
          <w:lang w:val="es-ES_tradnl"/>
        </w:rPr>
        <w:t xml:space="preserve">de la </w:t>
      </w:r>
      <w:r w:rsidRPr="00D43C76">
        <w:rPr>
          <w:rFonts w:asciiTheme="majorHAnsi" w:hAnsiTheme="majorHAnsi"/>
          <w:sz w:val="18"/>
          <w:szCs w:val="18"/>
          <w:lang w:val="es-ES_tradnl"/>
        </w:rPr>
        <w:t>homosexuali</w:t>
      </w:r>
      <w:r w:rsidR="00415033" w:rsidRPr="00D43C76">
        <w:rPr>
          <w:rFonts w:asciiTheme="majorHAnsi" w:hAnsiTheme="majorHAnsi"/>
          <w:sz w:val="18"/>
          <w:szCs w:val="18"/>
          <w:lang w:val="es-ES_tradnl"/>
        </w:rPr>
        <w:t xml:space="preserve">dad ha </w:t>
      </w:r>
      <w:r w:rsidR="0015757B" w:rsidRPr="00D43C76">
        <w:rPr>
          <w:rFonts w:asciiTheme="majorHAnsi" w:hAnsiTheme="majorHAnsi"/>
          <w:sz w:val="18"/>
          <w:szCs w:val="18"/>
          <w:lang w:val="es-ES_tradnl"/>
        </w:rPr>
        <w:t>significado</w:t>
      </w:r>
      <w:r w:rsidR="00415033" w:rsidRPr="00D43C76">
        <w:rPr>
          <w:rFonts w:asciiTheme="majorHAnsi" w:hAnsiTheme="majorHAnsi"/>
          <w:sz w:val="18"/>
          <w:szCs w:val="18"/>
          <w:lang w:val="es-ES_tradnl"/>
        </w:rPr>
        <w:t xml:space="preserve"> también que </w:t>
      </w:r>
      <w:r w:rsidR="0015757B" w:rsidRPr="00D43C76">
        <w:rPr>
          <w:rFonts w:asciiTheme="majorHAnsi" w:hAnsiTheme="majorHAnsi"/>
          <w:sz w:val="18"/>
          <w:szCs w:val="18"/>
          <w:lang w:val="es-ES_tradnl"/>
        </w:rPr>
        <w:t xml:space="preserve">los recursos que deberían haberse dirigido a los </w:t>
      </w:r>
      <w:r w:rsidR="00E42EA3" w:rsidRPr="00D43C76">
        <w:rPr>
          <w:rFonts w:asciiTheme="majorHAnsi" w:hAnsiTheme="majorHAnsi"/>
          <w:sz w:val="18"/>
          <w:szCs w:val="18"/>
          <w:lang w:val="es-ES_tradnl"/>
        </w:rPr>
        <w:t>hombres que tienen relaciones sexuales con otros hombres</w:t>
      </w:r>
      <w:r w:rsidRPr="00D43C76">
        <w:rPr>
          <w:rFonts w:asciiTheme="majorHAnsi" w:hAnsiTheme="majorHAnsi"/>
          <w:sz w:val="18"/>
          <w:szCs w:val="18"/>
          <w:lang w:val="es-ES_tradnl"/>
        </w:rPr>
        <w:t xml:space="preserve">, </w:t>
      </w:r>
      <w:r w:rsidR="00420510" w:rsidRPr="00D43C76">
        <w:rPr>
          <w:rFonts w:asciiTheme="majorHAnsi" w:hAnsiTheme="majorHAnsi"/>
          <w:sz w:val="18"/>
          <w:szCs w:val="18"/>
          <w:lang w:val="es-ES_tradnl"/>
        </w:rPr>
        <w:t xml:space="preserve">grupo </w:t>
      </w:r>
      <w:r w:rsidR="0015757B" w:rsidRPr="00D43C76">
        <w:rPr>
          <w:rFonts w:asciiTheme="majorHAnsi" w:hAnsiTheme="majorHAnsi"/>
          <w:sz w:val="18"/>
          <w:szCs w:val="18"/>
          <w:lang w:val="es-ES_tradnl"/>
        </w:rPr>
        <w:t xml:space="preserve">que corre un riesgo mayor que la población </w:t>
      </w:r>
      <w:r w:rsidRPr="00D43C76">
        <w:rPr>
          <w:rFonts w:asciiTheme="majorHAnsi" w:hAnsiTheme="majorHAnsi"/>
          <w:sz w:val="18"/>
          <w:szCs w:val="18"/>
          <w:lang w:val="es-ES_tradnl"/>
        </w:rPr>
        <w:t>general</w:t>
      </w:r>
      <w:r w:rsidR="0015757B" w:rsidRPr="00D43C76">
        <w:rPr>
          <w:rFonts w:asciiTheme="majorHAnsi" w:hAnsiTheme="majorHAnsi"/>
          <w:sz w:val="18"/>
          <w:szCs w:val="18"/>
          <w:lang w:val="es-ES_tradnl"/>
        </w:rPr>
        <w:t xml:space="preserve">, no se han dirigido a </w:t>
      </w:r>
      <w:r w:rsidR="00420510" w:rsidRPr="00D43C76">
        <w:rPr>
          <w:rFonts w:asciiTheme="majorHAnsi" w:hAnsiTheme="majorHAnsi"/>
          <w:sz w:val="18"/>
          <w:szCs w:val="18"/>
          <w:lang w:val="es-ES_tradnl"/>
        </w:rPr>
        <w:t>ellos</w:t>
      </w:r>
      <w:r w:rsidR="0015757B" w:rsidRPr="00D43C76">
        <w:rPr>
          <w:rFonts w:asciiTheme="majorHAnsi" w:hAnsiTheme="majorHAnsi"/>
          <w:sz w:val="18"/>
          <w:szCs w:val="18"/>
          <w:lang w:val="es-ES_tradnl"/>
        </w:rPr>
        <w:t xml:space="preserve">. Las medidas preventivas y los tratamientos necesarios para la salud de </w:t>
      </w:r>
      <w:r w:rsidR="00420510" w:rsidRPr="00D43C76">
        <w:rPr>
          <w:rFonts w:asciiTheme="majorHAnsi" w:hAnsiTheme="majorHAnsi"/>
          <w:sz w:val="18"/>
          <w:szCs w:val="18"/>
          <w:lang w:val="es-ES_tradnl"/>
        </w:rPr>
        <w:t>estos</w:t>
      </w:r>
      <w:r w:rsidR="0015757B" w:rsidRPr="00D43C76">
        <w:rPr>
          <w:rFonts w:asciiTheme="majorHAnsi" w:hAnsiTheme="majorHAnsi"/>
          <w:sz w:val="18"/>
          <w:szCs w:val="18"/>
          <w:lang w:val="es-ES_tradnl"/>
        </w:rPr>
        <w:t xml:space="preserve"> </w:t>
      </w:r>
      <w:r w:rsidR="00E42EA3" w:rsidRPr="00D43C76">
        <w:rPr>
          <w:rFonts w:asciiTheme="majorHAnsi" w:hAnsiTheme="majorHAnsi"/>
          <w:sz w:val="18"/>
          <w:szCs w:val="18"/>
          <w:lang w:val="es-ES_tradnl"/>
        </w:rPr>
        <w:t xml:space="preserve">hombres </w:t>
      </w:r>
      <w:r w:rsidR="0015757B" w:rsidRPr="00D43C76">
        <w:rPr>
          <w:rFonts w:asciiTheme="majorHAnsi" w:hAnsiTheme="majorHAnsi"/>
          <w:sz w:val="18"/>
          <w:szCs w:val="18"/>
          <w:lang w:val="es-ES_tradnl"/>
        </w:rPr>
        <w:t>no se han implementado en la escala requerida</w:t>
      </w:r>
      <w:r w:rsidR="00083411" w:rsidRPr="00D43C76">
        <w:rPr>
          <w:rFonts w:asciiTheme="majorHAnsi" w:hAnsiTheme="majorHAnsi"/>
          <w:sz w:val="18"/>
          <w:szCs w:val="18"/>
          <w:lang w:val="es-ES_tradnl"/>
        </w:rPr>
        <w:t xml:space="preserve">. </w:t>
      </w:r>
    </w:p>
    <w:p w14:paraId="47E8408A" w14:textId="77777777" w:rsidR="00C9500C" w:rsidRPr="00D43C76" w:rsidRDefault="00C9500C"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3400BA1C" w14:textId="77777777" w:rsidR="00D105B5" w:rsidRPr="00D43C76" w:rsidRDefault="00D105B5"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T</w:t>
      </w:r>
      <w:r w:rsidR="0074762F" w:rsidRPr="00D43C76">
        <w:rPr>
          <w:rFonts w:asciiTheme="majorHAnsi" w:hAnsiTheme="majorHAnsi"/>
          <w:sz w:val="18"/>
          <w:szCs w:val="18"/>
          <w:lang w:val="es-ES_tradnl"/>
        </w:rPr>
        <w:t xml:space="preserve">ercero, el temor de la </w:t>
      </w:r>
      <w:r w:rsidR="00851B40" w:rsidRPr="00D43C76">
        <w:rPr>
          <w:rFonts w:asciiTheme="majorHAnsi" w:hAnsiTheme="majorHAnsi"/>
          <w:sz w:val="18"/>
          <w:szCs w:val="18"/>
          <w:lang w:val="es-ES_tradnl"/>
        </w:rPr>
        <w:t>discriminación</w:t>
      </w:r>
      <w:r w:rsidRPr="00D43C76">
        <w:rPr>
          <w:rFonts w:asciiTheme="majorHAnsi" w:hAnsiTheme="majorHAnsi"/>
          <w:sz w:val="18"/>
          <w:szCs w:val="18"/>
          <w:lang w:val="es-ES_tradnl"/>
        </w:rPr>
        <w:t>, d</w:t>
      </w:r>
      <w:r w:rsidR="0074762F" w:rsidRPr="00D43C76">
        <w:rPr>
          <w:rFonts w:asciiTheme="majorHAnsi" w:hAnsiTheme="majorHAnsi"/>
          <w:sz w:val="18"/>
          <w:szCs w:val="18"/>
          <w:lang w:val="es-ES_tradnl"/>
        </w:rPr>
        <w:t xml:space="preserve">e que se conozca el estado de la persona y su </w:t>
      </w:r>
      <w:r w:rsidRPr="00D43C76">
        <w:rPr>
          <w:rFonts w:asciiTheme="majorHAnsi" w:hAnsiTheme="majorHAnsi"/>
          <w:sz w:val="18"/>
          <w:szCs w:val="18"/>
          <w:lang w:val="es-ES_tradnl"/>
        </w:rPr>
        <w:t>sexuali</w:t>
      </w:r>
      <w:r w:rsidR="0074762F" w:rsidRPr="00D43C76">
        <w:rPr>
          <w:rFonts w:asciiTheme="majorHAnsi" w:hAnsiTheme="majorHAnsi"/>
          <w:sz w:val="18"/>
          <w:szCs w:val="18"/>
          <w:lang w:val="es-ES_tradnl"/>
        </w:rPr>
        <w:t xml:space="preserve">dad, </w:t>
      </w:r>
      <w:r w:rsidR="00420510" w:rsidRPr="00D43C76">
        <w:rPr>
          <w:rFonts w:asciiTheme="majorHAnsi" w:hAnsiTheme="majorHAnsi"/>
          <w:sz w:val="18"/>
          <w:szCs w:val="18"/>
          <w:lang w:val="es-ES_tradnl"/>
        </w:rPr>
        <w:t>así como</w:t>
      </w:r>
      <w:r w:rsidR="0074762F" w:rsidRPr="00D43C76">
        <w:rPr>
          <w:rFonts w:asciiTheme="majorHAnsi" w:hAnsiTheme="majorHAnsi"/>
          <w:sz w:val="18"/>
          <w:szCs w:val="18"/>
          <w:lang w:val="es-ES_tradnl"/>
        </w:rPr>
        <w:t xml:space="preserve"> su </w:t>
      </w:r>
      <w:r w:rsidRPr="00D43C76">
        <w:rPr>
          <w:rFonts w:asciiTheme="majorHAnsi" w:hAnsiTheme="majorHAnsi"/>
          <w:sz w:val="18"/>
          <w:szCs w:val="18"/>
          <w:lang w:val="es-ES_tradnl"/>
        </w:rPr>
        <w:t>vulnerabili</w:t>
      </w:r>
      <w:r w:rsidR="0074762F" w:rsidRPr="00D43C76">
        <w:rPr>
          <w:rFonts w:asciiTheme="majorHAnsi" w:hAnsiTheme="majorHAnsi"/>
          <w:sz w:val="18"/>
          <w:szCs w:val="18"/>
          <w:lang w:val="es-ES_tradnl"/>
        </w:rPr>
        <w:t>dad ante la ley y la policía en una sociedad de redes sociales estrechas</w:t>
      </w:r>
      <w:r w:rsidR="00420510" w:rsidRPr="00D43C76">
        <w:rPr>
          <w:rFonts w:asciiTheme="majorHAnsi" w:hAnsiTheme="majorHAnsi"/>
          <w:sz w:val="18"/>
          <w:szCs w:val="18"/>
          <w:lang w:val="es-ES_tradnl"/>
        </w:rPr>
        <w:t>,</w:t>
      </w:r>
      <w:r w:rsidR="0074762F" w:rsidRPr="00D43C76">
        <w:rPr>
          <w:rFonts w:asciiTheme="majorHAnsi" w:hAnsiTheme="majorHAnsi"/>
          <w:sz w:val="18"/>
          <w:szCs w:val="18"/>
          <w:lang w:val="es-ES_tradnl"/>
        </w:rPr>
        <w:t xml:space="preserve"> han llevado a los </w:t>
      </w:r>
      <w:r w:rsidR="00E42EA3" w:rsidRPr="00D43C76">
        <w:rPr>
          <w:rFonts w:asciiTheme="majorHAnsi" w:hAnsiTheme="majorHAnsi"/>
          <w:sz w:val="18"/>
          <w:szCs w:val="18"/>
          <w:lang w:val="es-ES_tradnl"/>
        </w:rPr>
        <w:t>hombres que tienen relaciones sexuales con otros hombres</w:t>
      </w:r>
      <w:r w:rsidR="003131E1" w:rsidRPr="00D43C76">
        <w:rPr>
          <w:rFonts w:asciiTheme="majorHAnsi" w:hAnsiTheme="majorHAnsi"/>
          <w:sz w:val="18"/>
          <w:szCs w:val="18"/>
          <w:lang w:val="es-ES_tradnl"/>
        </w:rPr>
        <w:t xml:space="preserve"> </w:t>
      </w:r>
      <w:r w:rsidR="0074762F" w:rsidRPr="00D43C76">
        <w:rPr>
          <w:rFonts w:asciiTheme="majorHAnsi" w:hAnsiTheme="majorHAnsi"/>
          <w:sz w:val="18"/>
          <w:szCs w:val="18"/>
          <w:lang w:val="es-ES_tradnl"/>
        </w:rPr>
        <w:t xml:space="preserve">a evitar los servicios para el VIH. Ha sido sumamente difícil trabajar con poblaciones cuya existencia y </w:t>
      </w:r>
      <w:r w:rsidR="00420510" w:rsidRPr="00D43C76">
        <w:rPr>
          <w:rFonts w:asciiTheme="majorHAnsi" w:hAnsiTheme="majorHAnsi"/>
          <w:sz w:val="18"/>
          <w:szCs w:val="18"/>
          <w:lang w:val="es-ES_tradnl"/>
        </w:rPr>
        <w:t xml:space="preserve">cuyo </w:t>
      </w:r>
      <w:r w:rsidR="0074762F" w:rsidRPr="00D43C76">
        <w:rPr>
          <w:rFonts w:asciiTheme="majorHAnsi" w:hAnsiTheme="majorHAnsi"/>
          <w:sz w:val="18"/>
          <w:szCs w:val="18"/>
          <w:lang w:val="es-ES_tradnl"/>
        </w:rPr>
        <w:t>comportamiento</w:t>
      </w:r>
      <w:r w:rsidR="003131E1" w:rsidRPr="00D43C76">
        <w:rPr>
          <w:rFonts w:asciiTheme="majorHAnsi" w:hAnsiTheme="majorHAnsi"/>
          <w:sz w:val="18"/>
          <w:szCs w:val="18"/>
          <w:lang w:val="es-ES_tradnl"/>
        </w:rPr>
        <w:t xml:space="preserve"> sexual </w:t>
      </w:r>
      <w:r w:rsidR="0074762F" w:rsidRPr="00D43C76">
        <w:rPr>
          <w:rFonts w:asciiTheme="majorHAnsi" w:hAnsiTheme="majorHAnsi"/>
          <w:sz w:val="18"/>
          <w:szCs w:val="18"/>
          <w:lang w:val="es-ES_tradnl"/>
        </w:rPr>
        <w:t xml:space="preserve">se consideran ilegales e </w:t>
      </w:r>
      <w:r w:rsidR="003131E1" w:rsidRPr="00D43C76">
        <w:rPr>
          <w:rFonts w:asciiTheme="majorHAnsi" w:hAnsiTheme="majorHAnsi"/>
          <w:sz w:val="18"/>
          <w:szCs w:val="18"/>
          <w:lang w:val="es-ES_tradnl"/>
        </w:rPr>
        <w:t>i</w:t>
      </w:r>
      <w:r w:rsidR="0074762F" w:rsidRPr="00D43C76">
        <w:rPr>
          <w:rFonts w:asciiTheme="majorHAnsi" w:hAnsiTheme="majorHAnsi"/>
          <w:sz w:val="18"/>
          <w:szCs w:val="18"/>
          <w:lang w:val="es-ES_tradnl"/>
        </w:rPr>
        <w:t>n</w:t>
      </w:r>
      <w:r w:rsidR="003131E1" w:rsidRPr="00D43C76">
        <w:rPr>
          <w:rFonts w:asciiTheme="majorHAnsi" w:hAnsiTheme="majorHAnsi"/>
          <w:sz w:val="18"/>
          <w:szCs w:val="18"/>
          <w:lang w:val="es-ES_tradnl"/>
        </w:rPr>
        <w:t>moral</w:t>
      </w:r>
      <w:r w:rsidR="0074762F" w:rsidRPr="00D43C76">
        <w:rPr>
          <w:rFonts w:asciiTheme="majorHAnsi" w:hAnsiTheme="majorHAnsi"/>
          <w:sz w:val="18"/>
          <w:szCs w:val="18"/>
          <w:lang w:val="es-ES_tradnl"/>
        </w:rPr>
        <w:t>es en un país que teme la violencia homofóbica. En resumen,</w:t>
      </w:r>
      <w:r w:rsidR="003131E1" w:rsidRPr="00D43C76">
        <w:rPr>
          <w:rFonts w:asciiTheme="majorHAnsi" w:hAnsiTheme="majorHAnsi"/>
          <w:sz w:val="18"/>
          <w:szCs w:val="18"/>
          <w:lang w:val="es-ES_tradnl"/>
        </w:rPr>
        <w:t xml:space="preserve"> </w:t>
      </w:r>
      <w:r w:rsidR="0074762F" w:rsidRPr="00D43C76">
        <w:rPr>
          <w:rFonts w:asciiTheme="majorHAnsi" w:hAnsiTheme="majorHAnsi"/>
          <w:sz w:val="18"/>
          <w:szCs w:val="18"/>
          <w:lang w:val="es-ES_tradnl"/>
        </w:rPr>
        <w:t xml:space="preserve">debido a los códigos jurídicos, </w:t>
      </w:r>
      <w:r w:rsidR="003131E1" w:rsidRPr="00D43C76">
        <w:rPr>
          <w:rFonts w:asciiTheme="majorHAnsi" w:hAnsiTheme="majorHAnsi"/>
          <w:sz w:val="18"/>
          <w:szCs w:val="18"/>
          <w:lang w:val="es-ES_tradnl"/>
        </w:rPr>
        <w:t>cultural</w:t>
      </w:r>
      <w:r w:rsidR="0074762F" w:rsidRPr="00D43C76">
        <w:rPr>
          <w:rFonts w:asciiTheme="majorHAnsi" w:hAnsiTheme="majorHAnsi"/>
          <w:sz w:val="18"/>
          <w:szCs w:val="18"/>
          <w:lang w:val="es-ES_tradnl"/>
        </w:rPr>
        <w:t xml:space="preserve">es y </w:t>
      </w:r>
      <w:r w:rsidR="003131E1" w:rsidRPr="00D43C76">
        <w:rPr>
          <w:rFonts w:asciiTheme="majorHAnsi" w:hAnsiTheme="majorHAnsi"/>
          <w:sz w:val="18"/>
          <w:szCs w:val="18"/>
          <w:lang w:val="es-ES_tradnl"/>
        </w:rPr>
        <w:t>religio</w:t>
      </w:r>
      <w:r w:rsidR="0074762F" w:rsidRPr="00D43C76">
        <w:rPr>
          <w:rFonts w:asciiTheme="majorHAnsi" w:hAnsiTheme="majorHAnsi"/>
          <w:sz w:val="18"/>
          <w:szCs w:val="18"/>
          <w:lang w:val="es-ES_tradnl"/>
        </w:rPr>
        <w:t xml:space="preserve">sos, es difícil abordar el VIH con </w:t>
      </w:r>
      <w:r w:rsidR="00420510" w:rsidRPr="00D43C76">
        <w:rPr>
          <w:rFonts w:asciiTheme="majorHAnsi" w:hAnsiTheme="majorHAnsi"/>
          <w:sz w:val="18"/>
          <w:szCs w:val="18"/>
          <w:lang w:val="es-ES_tradnl"/>
        </w:rPr>
        <w:t xml:space="preserve">estos </w:t>
      </w:r>
      <w:r w:rsidR="00E42EA3" w:rsidRPr="00D43C76">
        <w:rPr>
          <w:rFonts w:asciiTheme="majorHAnsi" w:hAnsiTheme="majorHAnsi"/>
          <w:sz w:val="18"/>
          <w:szCs w:val="18"/>
          <w:lang w:val="es-ES_tradnl"/>
        </w:rPr>
        <w:t xml:space="preserve">hombres </w:t>
      </w:r>
      <w:r w:rsidR="0074762F" w:rsidRPr="00D43C76">
        <w:rPr>
          <w:rFonts w:asciiTheme="majorHAnsi" w:hAnsiTheme="majorHAnsi"/>
          <w:sz w:val="18"/>
          <w:szCs w:val="18"/>
          <w:lang w:val="es-ES_tradnl"/>
        </w:rPr>
        <w:t>e</w:t>
      </w:r>
      <w:r w:rsidR="003131E1" w:rsidRPr="00D43C76">
        <w:rPr>
          <w:rFonts w:asciiTheme="majorHAnsi" w:hAnsiTheme="majorHAnsi"/>
          <w:sz w:val="18"/>
          <w:szCs w:val="18"/>
          <w:lang w:val="es-ES_tradnl"/>
        </w:rPr>
        <w:t xml:space="preserve">n Jamaica. </w:t>
      </w:r>
    </w:p>
    <w:p w14:paraId="1AF0A50F" w14:textId="77777777" w:rsidR="00016310" w:rsidRPr="00D43C76" w:rsidRDefault="00016310"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1CF8DE9C" w14:textId="77777777" w:rsidR="00016310" w:rsidRPr="00D43C76" w:rsidRDefault="0074762F"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En el Caribe, la prevalencia del VIH en los</w:t>
      </w:r>
      <w:r w:rsidR="00016310" w:rsidRPr="00D43C76">
        <w:rPr>
          <w:rFonts w:asciiTheme="majorHAnsi" w:hAnsiTheme="majorHAnsi"/>
          <w:sz w:val="18"/>
          <w:szCs w:val="18"/>
          <w:lang w:val="es-ES_tradnl"/>
        </w:rPr>
        <w:t xml:space="preserve"> </w:t>
      </w:r>
      <w:r w:rsidR="00E42EA3" w:rsidRPr="00D43C76">
        <w:rPr>
          <w:rFonts w:asciiTheme="majorHAnsi" w:hAnsiTheme="majorHAnsi"/>
          <w:sz w:val="18"/>
          <w:szCs w:val="18"/>
          <w:lang w:val="es-ES_tradnl"/>
        </w:rPr>
        <w:t>hombres que tienen relaciones sexuales con otros hombres</w:t>
      </w:r>
      <w:r w:rsidR="00016310" w:rsidRPr="00D43C76">
        <w:rPr>
          <w:rFonts w:asciiTheme="majorHAnsi" w:hAnsiTheme="majorHAnsi"/>
          <w:sz w:val="18"/>
          <w:szCs w:val="18"/>
          <w:lang w:val="es-ES_tradnl"/>
        </w:rPr>
        <w:t xml:space="preserve"> </w:t>
      </w:r>
      <w:r w:rsidRPr="00D43C76">
        <w:rPr>
          <w:rFonts w:asciiTheme="majorHAnsi" w:hAnsiTheme="majorHAnsi"/>
          <w:sz w:val="18"/>
          <w:szCs w:val="18"/>
          <w:lang w:val="es-ES_tradnl"/>
        </w:rPr>
        <w:t xml:space="preserve">se sitúa entre </w:t>
      </w:r>
      <w:r w:rsidR="00016310" w:rsidRPr="00D43C76">
        <w:rPr>
          <w:rFonts w:asciiTheme="majorHAnsi" w:hAnsiTheme="majorHAnsi"/>
          <w:sz w:val="18"/>
          <w:szCs w:val="18"/>
          <w:lang w:val="es-ES_tradnl"/>
        </w:rPr>
        <w:t>6</w:t>
      </w:r>
      <w:r w:rsidRPr="00D43C76">
        <w:rPr>
          <w:rFonts w:asciiTheme="majorHAnsi" w:hAnsiTheme="majorHAnsi"/>
          <w:sz w:val="18"/>
          <w:szCs w:val="18"/>
          <w:lang w:val="es-ES_tradnl"/>
        </w:rPr>
        <w:t>,</w:t>
      </w:r>
      <w:r w:rsidR="00016310" w:rsidRPr="00D43C76">
        <w:rPr>
          <w:rFonts w:asciiTheme="majorHAnsi" w:hAnsiTheme="majorHAnsi"/>
          <w:sz w:val="18"/>
          <w:szCs w:val="18"/>
          <w:lang w:val="es-ES_tradnl"/>
        </w:rPr>
        <w:t>7</w:t>
      </w:r>
      <w:r w:rsidRPr="00D43C76">
        <w:rPr>
          <w:rFonts w:asciiTheme="majorHAnsi" w:hAnsiTheme="majorHAnsi"/>
          <w:sz w:val="18"/>
          <w:szCs w:val="18"/>
          <w:lang w:val="es-ES_tradnl"/>
        </w:rPr>
        <w:t xml:space="preserve">% en </w:t>
      </w:r>
      <w:r w:rsidR="00016310" w:rsidRPr="00D43C76">
        <w:rPr>
          <w:rFonts w:asciiTheme="majorHAnsi" w:hAnsiTheme="majorHAnsi"/>
          <w:sz w:val="18"/>
          <w:szCs w:val="18"/>
          <w:lang w:val="es-ES_tradnl"/>
        </w:rPr>
        <w:t xml:space="preserve">Suriname </w:t>
      </w:r>
      <w:r w:rsidRPr="00D43C76">
        <w:rPr>
          <w:rFonts w:asciiTheme="majorHAnsi" w:hAnsiTheme="majorHAnsi"/>
          <w:sz w:val="18"/>
          <w:szCs w:val="18"/>
          <w:lang w:val="es-ES_tradnl"/>
        </w:rPr>
        <w:t>y</w:t>
      </w:r>
      <w:r w:rsidR="00016310" w:rsidRPr="00D43C76">
        <w:rPr>
          <w:rFonts w:asciiTheme="majorHAnsi" w:hAnsiTheme="majorHAnsi"/>
          <w:sz w:val="18"/>
          <w:szCs w:val="18"/>
          <w:lang w:val="es-ES_tradnl"/>
        </w:rPr>
        <w:t xml:space="preserve"> 32% </w:t>
      </w:r>
      <w:r w:rsidRPr="00D43C76">
        <w:rPr>
          <w:rFonts w:asciiTheme="majorHAnsi" w:hAnsiTheme="majorHAnsi"/>
          <w:sz w:val="18"/>
          <w:szCs w:val="18"/>
          <w:lang w:val="es-ES_tradnl"/>
        </w:rPr>
        <w:t>e</w:t>
      </w:r>
      <w:r w:rsidR="00016310" w:rsidRPr="00D43C76">
        <w:rPr>
          <w:rFonts w:asciiTheme="majorHAnsi" w:hAnsiTheme="majorHAnsi"/>
          <w:sz w:val="18"/>
          <w:szCs w:val="18"/>
          <w:lang w:val="es-ES_tradnl"/>
        </w:rPr>
        <w:t xml:space="preserve">n Jamaica, </w:t>
      </w:r>
      <w:r w:rsidRPr="00D43C76">
        <w:rPr>
          <w:rFonts w:asciiTheme="majorHAnsi" w:hAnsiTheme="majorHAnsi"/>
          <w:sz w:val="18"/>
          <w:szCs w:val="18"/>
          <w:lang w:val="es-ES_tradnl"/>
        </w:rPr>
        <w:t xml:space="preserve">que presenta la prevalencia más elevada de la región, en comparación con </w:t>
      </w:r>
      <w:r w:rsidR="00420510" w:rsidRPr="00D43C76">
        <w:rPr>
          <w:rFonts w:asciiTheme="majorHAnsi" w:hAnsiTheme="majorHAnsi"/>
          <w:sz w:val="18"/>
          <w:szCs w:val="18"/>
          <w:lang w:val="es-ES_tradnl"/>
        </w:rPr>
        <w:t>un</w:t>
      </w:r>
      <w:r w:rsidRPr="00D43C76">
        <w:rPr>
          <w:rFonts w:asciiTheme="majorHAnsi" w:hAnsiTheme="majorHAnsi"/>
          <w:sz w:val="18"/>
          <w:szCs w:val="18"/>
          <w:lang w:val="es-ES_tradnl"/>
        </w:rPr>
        <w:t>a prevalencia estimada en los adultos de</w:t>
      </w:r>
      <w:r w:rsidR="00016310" w:rsidRPr="00D43C76">
        <w:rPr>
          <w:rFonts w:asciiTheme="majorHAnsi" w:hAnsiTheme="majorHAnsi"/>
          <w:sz w:val="18"/>
          <w:szCs w:val="18"/>
          <w:lang w:val="es-ES_tradnl"/>
        </w:rPr>
        <w:t xml:space="preserve"> 1%</w:t>
      </w:r>
      <w:r w:rsidRPr="00D43C76">
        <w:rPr>
          <w:rFonts w:asciiTheme="majorHAnsi" w:hAnsiTheme="majorHAnsi"/>
          <w:sz w:val="18"/>
          <w:szCs w:val="18"/>
          <w:lang w:val="es-ES_tradnl"/>
        </w:rPr>
        <w:t xml:space="preserve"> en la región y </w:t>
      </w:r>
      <w:r w:rsidR="00420510" w:rsidRPr="00D43C76">
        <w:rPr>
          <w:rFonts w:asciiTheme="majorHAnsi" w:hAnsiTheme="majorHAnsi"/>
          <w:sz w:val="18"/>
          <w:szCs w:val="18"/>
          <w:lang w:val="es-ES_tradnl"/>
        </w:rPr>
        <w:t>un</w:t>
      </w:r>
      <w:r w:rsidRPr="00D43C76">
        <w:rPr>
          <w:rFonts w:asciiTheme="majorHAnsi" w:hAnsiTheme="majorHAnsi"/>
          <w:sz w:val="18"/>
          <w:szCs w:val="18"/>
          <w:lang w:val="es-ES_tradnl"/>
        </w:rPr>
        <w:t>a prevalencia nacional de 1,7% e</w:t>
      </w:r>
      <w:r w:rsidR="00016310" w:rsidRPr="00D43C76">
        <w:rPr>
          <w:rFonts w:asciiTheme="majorHAnsi" w:hAnsiTheme="majorHAnsi"/>
          <w:sz w:val="18"/>
          <w:szCs w:val="18"/>
          <w:lang w:val="es-ES_tradnl"/>
        </w:rPr>
        <w:t>n Jamaica</w:t>
      </w:r>
      <w:r w:rsidR="005E4F8B" w:rsidRPr="00D43C76">
        <w:rPr>
          <w:rStyle w:val="FootnoteReference"/>
          <w:rFonts w:asciiTheme="majorHAnsi" w:hAnsiTheme="majorHAnsi"/>
          <w:sz w:val="18"/>
          <w:szCs w:val="18"/>
          <w:lang w:val="es-ES_tradnl"/>
        </w:rPr>
        <w:footnoteReference w:id="22"/>
      </w:r>
      <w:r w:rsidRPr="00D43C76">
        <w:rPr>
          <w:rFonts w:asciiTheme="majorHAnsi" w:hAnsiTheme="majorHAnsi"/>
          <w:sz w:val="18"/>
          <w:szCs w:val="18"/>
          <w:lang w:val="es-ES_tradnl"/>
        </w:rPr>
        <w:t>.</w:t>
      </w:r>
      <w:r w:rsidR="00016310" w:rsidRPr="00D43C76">
        <w:rPr>
          <w:rFonts w:asciiTheme="majorHAnsi" w:hAnsiTheme="majorHAnsi"/>
          <w:sz w:val="18"/>
          <w:szCs w:val="18"/>
          <w:lang w:val="es-ES_tradnl"/>
        </w:rPr>
        <w:t xml:space="preserve"> </w:t>
      </w:r>
    </w:p>
    <w:p w14:paraId="1280B5F4" w14:textId="77777777" w:rsidR="003131E1" w:rsidRPr="00D43C76" w:rsidRDefault="003131E1" w:rsidP="00865C97">
      <w:pPr>
        <w:pStyle w:val="parrafos"/>
        <w:tabs>
          <w:tab w:val="left" w:pos="720"/>
          <w:tab w:val="center" w:pos="5400"/>
        </w:tabs>
        <w:suppressAutoHyphens/>
        <w:spacing w:line="276" w:lineRule="auto"/>
        <w:rPr>
          <w:rFonts w:ascii="Cambria" w:hAnsi="Cambria"/>
          <w:lang w:val="es-ES_tradnl"/>
        </w:rPr>
      </w:pPr>
    </w:p>
    <w:p w14:paraId="6ED11CB7" w14:textId="77777777" w:rsidR="003131E1" w:rsidRPr="00D43C76" w:rsidRDefault="0074762F" w:rsidP="005E4F8B">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Ese mismo día, dos integrantes de la organización sin fines de lucro </w:t>
      </w:r>
      <w:r w:rsidR="007139C5" w:rsidRPr="00D43C76">
        <w:rPr>
          <w:rFonts w:ascii="Cambria" w:hAnsi="Cambria"/>
          <w:lang w:val="es-ES_tradnl"/>
        </w:rPr>
        <w:t>Jamaicans for Justice present</w:t>
      </w:r>
      <w:r w:rsidRPr="00D43C76">
        <w:rPr>
          <w:rFonts w:ascii="Cambria" w:hAnsi="Cambria"/>
          <w:lang w:val="es-ES_tradnl"/>
        </w:rPr>
        <w:t xml:space="preserve">aron una declaración conjunta en la cual recalcaron el impacto de la </w:t>
      </w:r>
      <w:r w:rsidR="00EB0856" w:rsidRPr="00D43C76">
        <w:rPr>
          <w:rFonts w:ascii="Cambria" w:hAnsi="Cambria"/>
          <w:lang w:val="es-ES_tradnl"/>
        </w:rPr>
        <w:t>Ley de Delitos contra la Persona</w:t>
      </w:r>
      <w:r w:rsidR="00C2543C" w:rsidRPr="00D43C76">
        <w:rPr>
          <w:rFonts w:ascii="Cambria" w:hAnsi="Cambria"/>
          <w:lang w:val="es-ES_tradnl"/>
        </w:rPr>
        <w:t xml:space="preserve"> </w:t>
      </w:r>
      <w:r w:rsidRPr="00D43C76">
        <w:rPr>
          <w:rFonts w:ascii="Cambria" w:hAnsi="Cambria"/>
          <w:lang w:val="es-ES_tradnl"/>
        </w:rPr>
        <w:t>e</w:t>
      </w:r>
      <w:r w:rsidR="00C2543C" w:rsidRPr="00D43C76">
        <w:rPr>
          <w:rFonts w:ascii="Cambria" w:hAnsi="Cambria"/>
          <w:lang w:val="es-ES_tradnl"/>
        </w:rPr>
        <w:t xml:space="preserve">n </w:t>
      </w:r>
      <w:r w:rsidRPr="00D43C76">
        <w:rPr>
          <w:rFonts w:ascii="Cambria" w:hAnsi="Cambria"/>
          <w:lang w:val="es-ES_tradnl"/>
        </w:rPr>
        <w:t xml:space="preserve">las </w:t>
      </w:r>
      <w:r w:rsidR="00EB0856" w:rsidRPr="00D43C76">
        <w:rPr>
          <w:rFonts w:ascii="Cambria" w:hAnsi="Cambria"/>
          <w:lang w:val="es-ES_tradnl"/>
        </w:rPr>
        <w:t>personas LGBTI</w:t>
      </w:r>
      <w:r w:rsidR="00C2543C" w:rsidRPr="00D43C76">
        <w:rPr>
          <w:rFonts w:ascii="Cambria" w:hAnsi="Cambria"/>
          <w:lang w:val="es-ES_tradnl"/>
        </w:rPr>
        <w:t>:</w:t>
      </w:r>
    </w:p>
    <w:p w14:paraId="674798D5" w14:textId="77777777" w:rsidR="00C2543C" w:rsidRPr="00D43C76" w:rsidRDefault="00C2543C" w:rsidP="00C2543C">
      <w:pPr>
        <w:pStyle w:val="parrafos"/>
        <w:tabs>
          <w:tab w:val="left" w:pos="720"/>
        </w:tabs>
        <w:rPr>
          <w:rFonts w:ascii="Cambria" w:hAnsi="Cambria"/>
          <w:lang w:val="es-ES_tradnl"/>
        </w:rPr>
      </w:pPr>
    </w:p>
    <w:p w14:paraId="40BF0310" w14:textId="77777777" w:rsidR="00C2543C" w:rsidRPr="00D43C76" w:rsidRDefault="00FD4385"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w:t>
      </w:r>
      <w:r w:rsidR="00C2543C" w:rsidRPr="00D43C76">
        <w:rPr>
          <w:rFonts w:asciiTheme="majorHAnsi" w:hAnsiTheme="majorHAnsi"/>
          <w:sz w:val="18"/>
          <w:szCs w:val="18"/>
          <w:lang w:val="es-ES_tradnl"/>
        </w:rPr>
        <w:t xml:space="preserve"> </w:t>
      </w:r>
      <w:r w:rsidR="00420510" w:rsidRPr="00D43C76">
        <w:rPr>
          <w:rFonts w:asciiTheme="majorHAnsi" w:hAnsiTheme="majorHAnsi"/>
          <w:sz w:val="18"/>
          <w:szCs w:val="18"/>
          <w:lang w:val="es-ES_tradnl"/>
        </w:rPr>
        <w:t>L</w:t>
      </w:r>
      <w:r w:rsidRPr="00D43C76">
        <w:rPr>
          <w:rFonts w:asciiTheme="majorHAnsi" w:hAnsiTheme="majorHAnsi"/>
          <w:sz w:val="18"/>
          <w:szCs w:val="18"/>
          <w:lang w:val="es-ES_tradnl"/>
        </w:rPr>
        <w:t>a ley de sodomía</w:t>
      </w:r>
      <w:r w:rsidR="00C2543C" w:rsidRPr="00D43C76">
        <w:rPr>
          <w:rFonts w:asciiTheme="majorHAnsi" w:hAnsiTheme="majorHAnsi"/>
          <w:sz w:val="18"/>
          <w:szCs w:val="18"/>
          <w:lang w:val="es-ES_tradnl"/>
        </w:rPr>
        <w:t xml:space="preserve"> </w:t>
      </w:r>
      <w:r w:rsidR="0074762F" w:rsidRPr="00D43C76">
        <w:rPr>
          <w:rFonts w:asciiTheme="majorHAnsi" w:hAnsiTheme="majorHAnsi"/>
          <w:sz w:val="18"/>
          <w:szCs w:val="18"/>
          <w:lang w:val="es-ES_tradnl"/>
        </w:rPr>
        <w:t xml:space="preserve">obstaculiza el acceso a la atención de salud, en particular para el VIH y el </w:t>
      </w:r>
      <w:r w:rsidR="00420510" w:rsidRPr="00D43C76">
        <w:rPr>
          <w:rFonts w:asciiTheme="majorHAnsi" w:hAnsiTheme="majorHAnsi"/>
          <w:sz w:val="18"/>
          <w:szCs w:val="18"/>
          <w:lang w:val="es-ES_tradnl"/>
        </w:rPr>
        <w:t>sida</w:t>
      </w:r>
      <w:r w:rsidR="0074762F" w:rsidRPr="00D43C76">
        <w:rPr>
          <w:rFonts w:asciiTheme="majorHAnsi" w:hAnsiTheme="majorHAnsi"/>
          <w:sz w:val="18"/>
          <w:szCs w:val="18"/>
          <w:lang w:val="es-ES_tradnl"/>
        </w:rPr>
        <w:t xml:space="preserve">. Como la sodomía es un delito, la gente, sea homosexual o heterosexual, tiene miedo de hacerse la prueba del VIH, de buscar </w:t>
      </w:r>
      <w:r w:rsidR="0074762F" w:rsidRPr="00D43C76">
        <w:rPr>
          <w:rFonts w:asciiTheme="majorHAnsi" w:hAnsiTheme="majorHAnsi"/>
          <w:sz w:val="18"/>
          <w:szCs w:val="18"/>
          <w:lang w:val="es-ES_tradnl"/>
        </w:rPr>
        <w:lastRenderedPageBreak/>
        <w:t xml:space="preserve">servicios de prevención y de recibir tratamiento para otros trastornos que puedan estar relacionados con su </w:t>
      </w:r>
      <w:r w:rsidR="00851B40" w:rsidRPr="00D43C76">
        <w:rPr>
          <w:rFonts w:asciiTheme="majorHAnsi" w:hAnsiTheme="majorHAnsi"/>
          <w:sz w:val="18"/>
          <w:szCs w:val="18"/>
          <w:lang w:val="es-ES_tradnl"/>
        </w:rPr>
        <w:t>orientación sexual</w:t>
      </w:r>
      <w:r w:rsidR="00C2543C" w:rsidRPr="00D43C76">
        <w:rPr>
          <w:rFonts w:asciiTheme="majorHAnsi" w:hAnsiTheme="majorHAnsi"/>
          <w:sz w:val="18"/>
          <w:szCs w:val="18"/>
          <w:lang w:val="es-ES_tradnl"/>
        </w:rPr>
        <w:t xml:space="preserve">. </w:t>
      </w:r>
      <w:r w:rsidR="0074762F" w:rsidRPr="00D43C76">
        <w:rPr>
          <w:rFonts w:asciiTheme="majorHAnsi" w:hAnsiTheme="majorHAnsi"/>
          <w:sz w:val="18"/>
          <w:szCs w:val="18"/>
          <w:lang w:val="es-ES_tradnl"/>
        </w:rPr>
        <w:t xml:space="preserve">Tienen miedo de que los proveedores de servicios de salud los tachen de </w:t>
      </w:r>
      <w:r w:rsidR="00C2543C" w:rsidRPr="00D43C76">
        <w:rPr>
          <w:rFonts w:asciiTheme="majorHAnsi" w:hAnsiTheme="majorHAnsi"/>
          <w:sz w:val="18"/>
          <w:szCs w:val="18"/>
          <w:lang w:val="es-ES_tradnl"/>
        </w:rPr>
        <w:t>homosexual</w:t>
      </w:r>
      <w:r w:rsidR="0074762F" w:rsidRPr="00D43C76">
        <w:rPr>
          <w:rFonts w:asciiTheme="majorHAnsi" w:hAnsiTheme="majorHAnsi"/>
          <w:sz w:val="18"/>
          <w:szCs w:val="18"/>
          <w:lang w:val="es-ES_tradnl"/>
        </w:rPr>
        <w:t>es</w:t>
      </w:r>
      <w:r w:rsidR="00430A6B" w:rsidRPr="00D43C76">
        <w:rPr>
          <w:rFonts w:asciiTheme="majorHAnsi" w:hAnsiTheme="majorHAnsi"/>
          <w:sz w:val="18"/>
          <w:szCs w:val="18"/>
          <w:lang w:val="es-ES_tradnl"/>
        </w:rPr>
        <w:t xml:space="preserve"> y, por consiguiente, los sometan al e</w:t>
      </w:r>
      <w:r w:rsidR="00C2543C" w:rsidRPr="00D43C76">
        <w:rPr>
          <w:rFonts w:asciiTheme="majorHAnsi" w:hAnsiTheme="majorHAnsi"/>
          <w:sz w:val="18"/>
          <w:szCs w:val="18"/>
          <w:lang w:val="es-ES_tradnl"/>
        </w:rPr>
        <w:t xml:space="preserve">stigma </w:t>
      </w:r>
      <w:r w:rsidR="00430A6B" w:rsidRPr="00D43C76">
        <w:rPr>
          <w:rFonts w:asciiTheme="majorHAnsi" w:hAnsiTheme="majorHAnsi"/>
          <w:sz w:val="18"/>
          <w:szCs w:val="18"/>
          <w:lang w:val="es-ES_tradnl"/>
        </w:rPr>
        <w:t xml:space="preserve">y la </w:t>
      </w:r>
      <w:r w:rsidR="00851B40" w:rsidRPr="00D43C76">
        <w:rPr>
          <w:rFonts w:asciiTheme="majorHAnsi" w:hAnsiTheme="majorHAnsi"/>
          <w:sz w:val="18"/>
          <w:szCs w:val="18"/>
          <w:lang w:val="es-ES_tradnl"/>
        </w:rPr>
        <w:t>discriminación</w:t>
      </w:r>
      <w:r w:rsidR="00C2543C" w:rsidRPr="00D43C76">
        <w:rPr>
          <w:rFonts w:asciiTheme="majorHAnsi" w:hAnsiTheme="majorHAnsi"/>
          <w:sz w:val="18"/>
          <w:szCs w:val="18"/>
          <w:lang w:val="es-ES_tradnl"/>
        </w:rPr>
        <w:t xml:space="preserve"> </w:t>
      </w:r>
      <w:r w:rsidR="00430A6B" w:rsidRPr="00D43C76">
        <w:rPr>
          <w:rFonts w:asciiTheme="majorHAnsi" w:hAnsiTheme="majorHAnsi"/>
          <w:sz w:val="18"/>
          <w:szCs w:val="18"/>
          <w:lang w:val="es-ES_tradnl"/>
        </w:rPr>
        <w:t>conexos</w:t>
      </w:r>
      <w:r w:rsidR="00C2543C" w:rsidRPr="00D43C76">
        <w:rPr>
          <w:rFonts w:asciiTheme="majorHAnsi" w:hAnsiTheme="majorHAnsi"/>
          <w:sz w:val="18"/>
          <w:szCs w:val="18"/>
          <w:lang w:val="es-ES_tradnl"/>
        </w:rPr>
        <w:t>.</w:t>
      </w:r>
    </w:p>
    <w:p w14:paraId="7AE554ED" w14:textId="77777777" w:rsidR="00C2543C" w:rsidRPr="00D43C76" w:rsidRDefault="00C2543C"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4AF7F950" w14:textId="77777777" w:rsidR="00C2543C" w:rsidRPr="00D43C76" w:rsidRDefault="00430A6B"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De acuerdo con las leyes jamaiquinas, los funcionarios de salud pública deben instar a las personas VIH-positivas a que informen a su pareja. Como las relaciones sexuales entre personas del mismo sexo y la sodomía son ilegales, las personas seropositivas temen que se entienda que han cometido un delito, igual que su pareja. Por consiguiente, se muestran reacias a hacerse la prueba y a informar a su pareja al respecto</w:t>
      </w:r>
      <w:r w:rsidR="00C2543C" w:rsidRPr="00D43C76">
        <w:rPr>
          <w:rFonts w:asciiTheme="majorHAnsi" w:hAnsiTheme="majorHAnsi"/>
          <w:sz w:val="18"/>
          <w:szCs w:val="18"/>
          <w:lang w:val="es-ES_tradnl"/>
        </w:rPr>
        <w:t xml:space="preserve">. </w:t>
      </w:r>
    </w:p>
    <w:p w14:paraId="26245D96" w14:textId="77777777" w:rsidR="003E086D" w:rsidRPr="00D43C76" w:rsidRDefault="003E086D"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5C271011" w14:textId="77777777" w:rsidR="003E086D" w:rsidRPr="00D43C76" w:rsidRDefault="006964DF"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w:t>
      </w:r>
      <w:r w:rsidR="00430A6B" w:rsidRPr="00D43C76">
        <w:rPr>
          <w:rFonts w:asciiTheme="majorHAnsi" w:hAnsiTheme="majorHAnsi"/>
          <w:sz w:val="18"/>
          <w:szCs w:val="18"/>
          <w:lang w:val="es-ES_tradnl"/>
        </w:rPr>
        <w:t xml:space="preserve">La </w:t>
      </w:r>
      <w:r w:rsidR="00851B40" w:rsidRPr="00D43C76">
        <w:rPr>
          <w:rFonts w:asciiTheme="majorHAnsi" w:hAnsiTheme="majorHAnsi"/>
          <w:sz w:val="18"/>
          <w:szCs w:val="18"/>
          <w:lang w:val="es-ES_tradnl"/>
        </w:rPr>
        <w:t>discriminación</w:t>
      </w:r>
      <w:r w:rsidR="00AB1A18" w:rsidRPr="00D43C76">
        <w:rPr>
          <w:rFonts w:asciiTheme="majorHAnsi" w:hAnsiTheme="majorHAnsi"/>
          <w:sz w:val="18"/>
          <w:szCs w:val="18"/>
          <w:lang w:val="es-ES_tradnl"/>
        </w:rPr>
        <w:t xml:space="preserve">, </w:t>
      </w:r>
      <w:r w:rsidR="00430A6B" w:rsidRPr="00D43C76">
        <w:rPr>
          <w:rFonts w:asciiTheme="majorHAnsi" w:hAnsiTheme="majorHAnsi"/>
          <w:sz w:val="18"/>
          <w:szCs w:val="18"/>
          <w:lang w:val="es-ES_tradnl"/>
        </w:rPr>
        <w:t>la e</w:t>
      </w:r>
      <w:r w:rsidR="00AB1A18" w:rsidRPr="00D43C76">
        <w:rPr>
          <w:rFonts w:asciiTheme="majorHAnsi" w:hAnsiTheme="majorHAnsi"/>
          <w:sz w:val="18"/>
          <w:szCs w:val="18"/>
          <w:lang w:val="es-ES_tradnl"/>
        </w:rPr>
        <w:t>stigmatiza</w:t>
      </w:r>
      <w:r w:rsidR="00430A6B" w:rsidRPr="00D43C76">
        <w:rPr>
          <w:rFonts w:asciiTheme="majorHAnsi" w:hAnsiTheme="majorHAnsi"/>
          <w:sz w:val="18"/>
          <w:szCs w:val="18"/>
          <w:lang w:val="es-ES_tradnl"/>
        </w:rPr>
        <w:t xml:space="preserve">ción, la violencia y los </w:t>
      </w:r>
      <w:r w:rsidR="00AB1A18" w:rsidRPr="00D43C76">
        <w:rPr>
          <w:rFonts w:asciiTheme="majorHAnsi" w:hAnsiTheme="majorHAnsi"/>
          <w:sz w:val="18"/>
          <w:szCs w:val="18"/>
          <w:lang w:val="es-ES_tradnl"/>
        </w:rPr>
        <w:t>abus</w:t>
      </w:r>
      <w:r w:rsidR="00430A6B" w:rsidRPr="00D43C76">
        <w:rPr>
          <w:rFonts w:asciiTheme="majorHAnsi" w:hAnsiTheme="majorHAnsi"/>
          <w:sz w:val="18"/>
          <w:szCs w:val="18"/>
          <w:lang w:val="es-ES_tradnl"/>
        </w:rPr>
        <w:t xml:space="preserve">os de derechos humanos </w:t>
      </w:r>
      <w:r w:rsidR="00AB1A18" w:rsidRPr="00D43C76">
        <w:rPr>
          <w:rFonts w:asciiTheme="majorHAnsi" w:hAnsiTheme="majorHAnsi"/>
          <w:sz w:val="18"/>
          <w:szCs w:val="18"/>
          <w:lang w:val="es-ES_tradnl"/>
        </w:rPr>
        <w:t>fundamental</w:t>
      </w:r>
      <w:r w:rsidR="00430A6B" w:rsidRPr="00D43C76">
        <w:rPr>
          <w:rFonts w:asciiTheme="majorHAnsi" w:hAnsiTheme="majorHAnsi"/>
          <w:sz w:val="18"/>
          <w:szCs w:val="18"/>
          <w:lang w:val="es-ES_tradnl"/>
        </w:rPr>
        <w:t xml:space="preserve">es a los cuales están expuestos los </w:t>
      </w:r>
      <w:r w:rsidR="00AB1A18" w:rsidRPr="00D43C76">
        <w:rPr>
          <w:rFonts w:asciiTheme="majorHAnsi" w:hAnsiTheme="majorHAnsi"/>
          <w:sz w:val="18"/>
          <w:szCs w:val="18"/>
          <w:lang w:val="es-ES_tradnl"/>
        </w:rPr>
        <w:t>homosexual</w:t>
      </w:r>
      <w:r w:rsidR="00430A6B" w:rsidRPr="00D43C76">
        <w:rPr>
          <w:rFonts w:asciiTheme="majorHAnsi" w:hAnsiTheme="majorHAnsi"/>
          <w:sz w:val="18"/>
          <w:szCs w:val="18"/>
          <w:lang w:val="es-ES_tradnl"/>
        </w:rPr>
        <w:t>e</w:t>
      </w:r>
      <w:r w:rsidR="00AB1A18" w:rsidRPr="00D43C76">
        <w:rPr>
          <w:rFonts w:asciiTheme="majorHAnsi" w:hAnsiTheme="majorHAnsi"/>
          <w:sz w:val="18"/>
          <w:szCs w:val="18"/>
          <w:lang w:val="es-ES_tradnl"/>
        </w:rPr>
        <w:t>s</w:t>
      </w:r>
      <w:r w:rsidR="00430A6B" w:rsidRPr="00D43C76">
        <w:rPr>
          <w:rFonts w:asciiTheme="majorHAnsi" w:hAnsiTheme="majorHAnsi"/>
          <w:sz w:val="18"/>
          <w:szCs w:val="18"/>
          <w:lang w:val="es-ES_tradnl"/>
        </w:rPr>
        <w:t xml:space="preserve"> y las personas que parecen serlo en </w:t>
      </w:r>
      <w:r w:rsidR="00AB1A18" w:rsidRPr="00D43C76">
        <w:rPr>
          <w:rFonts w:asciiTheme="majorHAnsi" w:hAnsiTheme="majorHAnsi"/>
          <w:sz w:val="18"/>
          <w:szCs w:val="18"/>
          <w:lang w:val="es-ES_tradnl"/>
        </w:rPr>
        <w:t xml:space="preserve">Jamaica </w:t>
      </w:r>
      <w:r w:rsidR="00430A6B" w:rsidRPr="00D43C76">
        <w:rPr>
          <w:rFonts w:asciiTheme="majorHAnsi" w:hAnsiTheme="majorHAnsi"/>
          <w:sz w:val="18"/>
          <w:szCs w:val="18"/>
          <w:lang w:val="es-ES_tradnl"/>
        </w:rPr>
        <w:t xml:space="preserve">son motivo de grave preocupación para </w:t>
      </w:r>
      <w:r w:rsidR="00AB1A18" w:rsidRPr="00D43C76">
        <w:rPr>
          <w:rFonts w:asciiTheme="majorHAnsi" w:hAnsiTheme="majorHAnsi"/>
          <w:sz w:val="18"/>
          <w:szCs w:val="18"/>
          <w:lang w:val="es-ES_tradnl"/>
        </w:rPr>
        <w:t xml:space="preserve">Jamaicans for Justice. </w:t>
      </w:r>
      <w:r w:rsidR="00430A6B" w:rsidRPr="00D43C76">
        <w:rPr>
          <w:rFonts w:asciiTheme="majorHAnsi" w:hAnsiTheme="majorHAnsi"/>
          <w:sz w:val="18"/>
          <w:szCs w:val="18"/>
          <w:lang w:val="es-ES_tradnl"/>
        </w:rPr>
        <w:t xml:space="preserve">La conexión entre </w:t>
      </w:r>
      <w:r w:rsidR="00FD4385" w:rsidRPr="00D43C76">
        <w:rPr>
          <w:rFonts w:asciiTheme="majorHAnsi" w:hAnsiTheme="majorHAnsi"/>
          <w:sz w:val="18"/>
          <w:szCs w:val="18"/>
          <w:lang w:val="es-ES_tradnl"/>
        </w:rPr>
        <w:t>la ley de sodomía</w:t>
      </w:r>
      <w:r w:rsidR="00AB1A18" w:rsidRPr="00D43C76">
        <w:rPr>
          <w:rFonts w:asciiTheme="majorHAnsi" w:hAnsiTheme="majorHAnsi"/>
          <w:sz w:val="18"/>
          <w:szCs w:val="18"/>
          <w:lang w:val="es-ES_tradnl"/>
        </w:rPr>
        <w:t xml:space="preserve"> </w:t>
      </w:r>
      <w:r w:rsidR="00430A6B" w:rsidRPr="00D43C76">
        <w:rPr>
          <w:rFonts w:asciiTheme="majorHAnsi" w:hAnsiTheme="majorHAnsi"/>
          <w:sz w:val="18"/>
          <w:szCs w:val="18"/>
          <w:lang w:val="es-ES_tradnl"/>
        </w:rPr>
        <w:t xml:space="preserve">y estas violaciones es directa en muchos casos y no tan directa en otros. </w:t>
      </w:r>
      <w:r w:rsidR="00FD4385" w:rsidRPr="00D43C76">
        <w:rPr>
          <w:rFonts w:asciiTheme="majorHAnsi" w:hAnsiTheme="majorHAnsi"/>
          <w:sz w:val="18"/>
          <w:szCs w:val="18"/>
          <w:lang w:val="es-ES_tradnl"/>
        </w:rPr>
        <w:t>La ley de sodomía</w:t>
      </w:r>
      <w:r w:rsidR="00AB1A18" w:rsidRPr="00D43C76">
        <w:rPr>
          <w:rFonts w:asciiTheme="majorHAnsi" w:hAnsiTheme="majorHAnsi"/>
          <w:sz w:val="18"/>
          <w:szCs w:val="18"/>
          <w:lang w:val="es-ES_tradnl"/>
        </w:rPr>
        <w:t xml:space="preserve"> </w:t>
      </w:r>
      <w:r w:rsidR="00430A6B" w:rsidRPr="00D43C76">
        <w:rPr>
          <w:rFonts w:asciiTheme="majorHAnsi" w:hAnsiTheme="majorHAnsi"/>
          <w:sz w:val="18"/>
          <w:szCs w:val="18"/>
          <w:lang w:val="es-ES_tradnl"/>
        </w:rPr>
        <w:t xml:space="preserve">crea claramente un entorno propicio para la </w:t>
      </w:r>
      <w:r w:rsidR="00851B40" w:rsidRPr="00D43C76">
        <w:rPr>
          <w:rFonts w:asciiTheme="majorHAnsi" w:hAnsiTheme="majorHAnsi"/>
          <w:sz w:val="18"/>
          <w:szCs w:val="18"/>
          <w:lang w:val="es-ES_tradnl"/>
        </w:rPr>
        <w:t>discriminación</w:t>
      </w:r>
      <w:r w:rsidR="00AB1A18" w:rsidRPr="00D43C76">
        <w:rPr>
          <w:rFonts w:asciiTheme="majorHAnsi" w:hAnsiTheme="majorHAnsi"/>
          <w:sz w:val="18"/>
          <w:szCs w:val="18"/>
          <w:lang w:val="es-ES_tradnl"/>
        </w:rPr>
        <w:t xml:space="preserve"> </w:t>
      </w:r>
      <w:r w:rsidR="00430A6B" w:rsidRPr="00D43C76">
        <w:rPr>
          <w:rFonts w:asciiTheme="majorHAnsi" w:hAnsiTheme="majorHAnsi"/>
          <w:sz w:val="18"/>
          <w:szCs w:val="18"/>
          <w:lang w:val="es-ES_tradnl"/>
        </w:rPr>
        <w:t xml:space="preserve">contra los </w:t>
      </w:r>
      <w:r w:rsidR="00AB1A18" w:rsidRPr="00D43C76">
        <w:rPr>
          <w:rFonts w:asciiTheme="majorHAnsi" w:hAnsiTheme="majorHAnsi"/>
          <w:sz w:val="18"/>
          <w:szCs w:val="18"/>
          <w:lang w:val="es-ES_tradnl"/>
        </w:rPr>
        <w:t>homosexual</w:t>
      </w:r>
      <w:r w:rsidR="00430A6B" w:rsidRPr="00D43C76">
        <w:rPr>
          <w:rFonts w:asciiTheme="majorHAnsi" w:hAnsiTheme="majorHAnsi"/>
          <w:sz w:val="18"/>
          <w:szCs w:val="18"/>
          <w:lang w:val="es-ES_tradnl"/>
        </w:rPr>
        <w:t>e</w:t>
      </w:r>
      <w:r w:rsidR="00AB1A18" w:rsidRPr="00D43C76">
        <w:rPr>
          <w:rFonts w:asciiTheme="majorHAnsi" w:hAnsiTheme="majorHAnsi"/>
          <w:sz w:val="18"/>
          <w:szCs w:val="18"/>
          <w:lang w:val="es-ES_tradnl"/>
        </w:rPr>
        <w:t>s,</w:t>
      </w:r>
      <w:r w:rsidR="00430A6B" w:rsidRPr="00D43C76">
        <w:rPr>
          <w:rFonts w:asciiTheme="majorHAnsi" w:hAnsiTheme="majorHAnsi"/>
          <w:sz w:val="18"/>
          <w:szCs w:val="18"/>
          <w:lang w:val="es-ES_tradnl"/>
        </w:rPr>
        <w:t xml:space="preserve"> ya que penaliza una conducta que es o puede ser fundamental para su identidad como seres humanos y crea la percepción de que su mismo estado y su existencia son ilegales</w:t>
      </w:r>
      <w:r w:rsidR="00957A63" w:rsidRPr="00D43C76">
        <w:rPr>
          <w:rStyle w:val="FootnoteReference"/>
          <w:rFonts w:asciiTheme="majorHAnsi" w:hAnsiTheme="majorHAnsi"/>
          <w:sz w:val="18"/>
          <w:szCs w:val="18"/>
          <w:lang w:val="es-ES_tradnl"/>
        </w:rPr>
        <w:footnoteReference w:id="23"/>
      </w:r>
      <w:r w:rsidR="00430A6B" w:rsidRPr="00D43C76">
        <w:rPr>
          <w:rFonts w:asciiTheme="majorHAnsi" w:hAnsiTheme="majorHAnsi"/>
          <w:sz w:val="18"/>
          <w:szCs w:val="18"/>
          <w:lang w:val="es-ES_tradnl"/>
        </w:rPr>
        <w:t>.</w:t>
      </w:r>
      <w:r w:rsidR="00AB1A18" w:rsidRPr="00D43C76">
        <w:rPr>
          <w:rFonts w:asciiTheme="majorHAnsi" w:hAnsiTheme="majorHAnsi"/>
          <w:sz w:val="18"/>
          <w:szCs w:val="18"/>
          <w:lang w:val="es-ES_tradnl"/>
        </w:rPr>
        <w:t xml:space="preserve"> </w:t>
      </w:r>
    </w:p>
    <w:p w14:paraId="61A04E71" w14:textId="77777777" w:rsidR="00296C1B" w:rsidRPr="00D43C76" w:rsidRDefault="00296C1B"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5DEE1EF7" w14:textId="77777777" w:rsidR="004401E5" w:rsidRPr="00D43C76" w:rsidRDefault="00430A6B" w:rsidP="004401E5">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En septiembre de </w:t>
      </w:r>
      <w:r w:rsidR="004401E5" w:rsidRPr="00D43C76">
        <w:rPr>
          <w:rFonts w:ascii="Cambria" w:hAnsi="Cambria"/>
          <w:lang w:val="es-ES_tradnl"/>
        </w:rPr>
        <w:t xml:space="preserve">2011, </w:t>
      </w:r>
      <w:r w:rsidRPr="00D43C76">
        <w:rPr>
          <w:rFonts w:ascii="Cambria" w:hAnsi="Cambria"/>
          <w:lang w:val="es-ES_tradnl"/>
        </w:rPr>
        <w:t xml:space="preserve">el director ejecutivo de </w:t>
      </w:r>
      <w:r w:rsidR="004401E5" w:rsidRPr="00D43C76">
        <w:rPr>
          <w:rFonts w:ascii="Cambria" w:hAnsi="Cambria"/>
          <w:lang w:val="es-ES_tradnl"/>
        </w:rPr>
        <w:t xml:space="preserve">Jamaica AIDS Support for Life </w:t>
      </w:r>
      <w:r w:rsidR="005A2B76" w:rsidRPr="00D43C76">
        <w:rPr>
          <w:rFonts w:ascii="Cambria" w:hAnsi="Cambria"/>
          <w:lang w:val="es-ES_tradnl"/>
        </w:rPr>
        <w:t xml:space="preserve">(JASL) </w:t>
      </w:r>
      <w:r w:rsidR="004401E5" w:rsidRPr="00D43C76">
        <w:rPr>
          <w:rFonts w:ascii="Cambria" w:hAnsi="Cambria"/>
          <w:lang w:val="es-ES_tradnl"/>
        </w:rPr>
        <w:t>present</w:t>
      </w:r>
      <w:r w:rsidRPr="00D43C76">
        <w:rPr>
          <w:rFonts w:ascii="Cambria" w:hAnsi="Cambria"/>
          <w:lang w:val="es-ES_tradnl"/>
        </w:rPr>
        <w:t>ó una declaración</w:t>
      </w:r>
      <w:r w:rsidR="004401E5" w:rsidRPr="00D43C76">
        <w:rPr>
          <w:rFonts w:ascii="Cambria" w:hAnsi="Cambria"/>
          <w:lang w:val="es-ES_tradnl"/>
        </w:rPr>
        <w:t xml:space="preserve"> </w:t>
      </w:r>
      <w:r w:rsidRPr="00D43C76">
        <w:rPr>
          <w:rFonts w:ascii="Cambria" w:hAnsi="Cambria"/>
          <w:lang w:val="es-ES_tradnl"/>
        </w:rPr>
        <w:t xml:space="preserve">en la cual puso de relieve el impacto de </w:t>
      </w:r>
      <w:r w:rsidR="00FD4385" w:rsidRPr="00D43C76">
        <w:rPr>
          <w:rFonts w:ascii="Cambria" w:hAnsi="Cambria"/>
          <w:lang w:val="es-ES_tradnl"/>
        </w:rPr>
        <w:t>la ley de sodomía</w:t>
      </w:r>
      <w:r w:rsidR="004401E5" w:rsidRPr="00D43C76">
        <w:rPr>
          <w:rFonts w:ascii="Cambria" w:hAnsi="Cambria"/>
          <w:lang w:val="es-ES_tradnl"/>
        </w:rPr>
        <w:t xml:space="preserve"> </w:t>
      </w:r>
      <w:r w:rsidRPr="00D43C76">
        <w:rPr>
          <w:rFonts w:ascii="Cambria" w:hAnsi="Cambria"/>
          <w:lang w:val="es-ES_tradnl"/>
        </w:rPr>
        <w:t xml:space="preserve">de </w:t>
      </w:r>
      <w:r w:rsidR="004401E5" w:rsidRPr="00D43C76">
        <w:rPr>
          <w:rFonts w:ascii="Cambria" w:hAnsi="Cambria"/>
          <w:lang w:val="es-ES_tradnl"/>
        </w:rPr>
        <w:t xml:space="preserve">Jamaica </w:t>
      </w:r>
      <w:r w:rsidRPr="00D43C76">
        <w:rPr>
          <w:rFonts w:ascii="Cambria" w:hAnsi="Cambria"/>
          <w:lang w:val="es-ES_tradnl"/>
        </w:rPr>
        <w:t>en el derecho a la salud</w:t>
      </w:r>
      <w:r w:rsidR="004401E5" w:rsidRPr="00D43C76">
        <w:rPr>
          <w:rFonts w:ascii="Cambria" w:hAnsi="Cambria"/>
          <w:lang w:val="es-ES_tradnl"/>
        </w:rPr>
        <w:t>:</w:t>
      </w:r>
    </w:p>
    <w:p w14:paraId="1326C260" w14:textId="77777777" w:rsidR="004401E5" w:rsidRPr="00D43C76" w:rsidRDefault="004401E5" w:rsidP="004401E5">
      <w:pPr>
        <w:pStyle w:val="parrafos"/>
        <w:tabs>
          <w:tab w:val="left" w:pos="720"/>
        </w:tabs>
        <w:rPr>
          <w:sz w:val="18"/>
          <w:szCs w:val="18"/>
          <w:lang w:val="es-ES_tradnl"/>
        </w:rPr>
      </w:pPr>
    </w:p>
    <w:p w14:paraId="50FB8BC8" w14:textId="77777777" w:rsidR="004401E5" w:rsidRPr="00D43C76" w:rsidRDefault="00FD4385" w:rsidP="00FD4385">
      <w:pPr>
        <w:pStyle w:val="parrafos"/>
        <w:tabs>
          <w:tab w:val="clear" w:pos="360"/>
        </w:tabs>
        <w:ind w:left="360"/>
        <w:rPr>
          <w:sz w:val="18"/>
          <w:szCs w:val="18"/>
          <w:lang w:val="es-ES_tradnl"/>
        </w:rPr>
      </w:pPr>
      <w:r w:rsidRPr="00D43C76">
        <w:rPr>
          <w:sz w:val="18"/>
          <w:szCs w:val="18"/>
          <w:lang w:val="es-ES_tradnl"/>
        </w:rPr>
        <w:t>La ley de sodomía</w:t>
      </w:r>
      <w:r w:rsidR="004401E5" w:rsidRPr="00D43C76">
        <w:rPr>
          <w:sz w:val="18"/>
          <w:szCs w:val="18"/>
          <w:lang w:val="es-ES_tradnl"/>
        </w:rPr>
        <w:t xml:space="preserve"> </w:t>
      </w:r>
      <w:r w:rsidR="009C6BF9" w:rsidRPr="00D43C76">
        <w:rPr>
          <w:sz w:val="18"/>
          <w:szCs w:val="18"/>
          <w:lang w:val="es-ES_tradnl"/>
        </w:rPr>
        <w:t xml:space="preserve">tiene un efecto pernicioso en </w:t>
      </w:r>
      <w:r w:rsidR="00983E92" w:rsidRPr="00D43C76">
        <w:rPr>
          <w:sz w:val="18"/>
          <w:szCs w:val="18"/>
          <w:lang w:val="es-ES_tradnl"/>
        </w:rPr>
        <w:t xml:space="preserve">el comportamiento de los </w:t>
      </w:r>
      <w:r w:rsidR="004401E5" w:rsidRPr="00D43C76">
        <w:rPr>
          <w:sz w:val="18"/>
          <w:szCs w:val="18"/>
          <w:lang w:val="es-ES_tradnl"/>
        </w:rPr>
        <w:t>homosexual</w:t>
      </w:r>
      <w:r w:rsidR="00983E92" w:rsidRPr="00D43C76">
        <w:rPr>
          <w:sz w:val="18"/>
          <w:szCs w:val="18"/>
          <w:lang w:val="es-ES_tradnl"/>
        </w:rPr>
        <w:t>e</w:t>
      </w:r>
      <w:r w:rsidR="004401E5" w:rsidRPr="00D43C76">
        <w:rPr>
          <w:sz w:val="18"/>
          <w:szCs w:val="18"/>
          <w:lang w:val="es-ES_tradnl"/>
        </w:rPr>
        <w:t xml:space="preserve">s </w:t>
      </w:r>
      <w:r w:rsidR="00983E92" w:rsidRPr="00D43C76">
        <w:rPr>
          <w:sz w:val="18"/>
          <w:szCs w:val="18"/>
          <w:lang w:val="es-ES_tradnl"/>
        </w:rPr>
        <w:t>y</w:t>
      </w:r>
      <w:r w:rsidR="004401E5" w:rsidRPr="00D43C76">
        <w:rPr>
          <w:sz w:val="18"/>
          <w:szCs w:val="18"/>
          <w:lang w:val="es-ES_tradnl"/>
        </w:rPr>
        <w:t xml:space="preserve"> </w:t>
      </w:r>
      <w:r w:rsidR="009C6BF9" w:rsidRPr="00D43C76">
        <w:rPr>
          <w:sz w:val="18"/>
          <w:szCs w:val="18"/>
          <w:lang w:val="es-ES_tradnl"/>
        </w:rPr>
        <w:t>los hombres que tienen relaciones sexuales con otros hombres</w:t>
      </w:r>
      <w:r w:rsidR="004401E5" w:rsidRPr="00D43C76">
        <w:rPr>
          <w:sz w:val="18"/>
          <w:szCs w:val="18"/>
          <w:lang w:val="es-ES_tradnl"/>
        </w:rPr>
        <w:t xml:space="preserve"> </w:t>
      </w:r>
      <w:r w:rsidR="00983E92" w:rsidRPr="00D43C76">
        <w:rPr>
          <w:sz w:val="18"/>
          <w:szCs w:val="18"/>
          <w:lang w:val="es-ES_tradnl"/>
        </w:rPr>
        <w:t xml:space="preserve">a quienes </w:t>
      </w:r>
      <w:r w:rsidR="004401E5" w:rsidRPr="00D43C76">
        <w:rPr>
          <w:sz w:val="18"/>
          <w:szCs w:val="18"/>
          <w:lang w:val="es-ES_tradnl"/>
        </w:rPr>
        <w:t xml:space="preserve">JASL </w:t>
      </w:r>
      <w:r w:rsidR="005A2B76" w:rsidRPr="00D43C76">
        <w:rPr>
          <w:sz w:val="18"/>
          <w:szCs w:val="18"/>
          <w:lang w:val="es-ES_tradnl"/>
        </w:rPr>
        <w:t>atiende cuando</w:t>
      </w:r>
      <w:r w:rsidR="00983E92" w:rsidRPr="00D43C76">
        <w:rPr>
          <w:sz w:val="18"/>
          <w:szCs w:val="18"/>
          <w:lang w:val="es-ES_tradnl"/>
        </w:rPr>
        <w:t xml:space="preserve"> necesitan atención de salud. Como </w:t>
      </w:r>
      <w:r w:rsidR="005A2B76" w:rsidRPr="00D43C76">
        <w:rPr>
          <w:sz w:val="18"/>
          <w:szCs w:val="18"/>
          <w:lang w:val="es-ES_tradnl"/>
        </w:rPr>
        <w:t>est</w:t>
      </w:r>
      <w:r w:rsidRPr="00D43C76">
        <w:rPr>
          <w:sz w:val="18"/>
          <w:szCs w:val="18"/>
          <w:lang w:val="es-ES_tradnl"/>
        </w:rPr>
        <w:t xml:space="preserve">a ley </w:t>
      </w:r>
      <w:r w:rsidR="004401E5" w:rsidRPr="00D43C76">
        <w:rPr>
          <w:sz w:val="18"/>
          <w:szCs w:val="18"/>
          <w:lang w:val="es-ES_tradnl"/>
        </w:rPr>
        <w:t>legitim</w:t>
      </w:r>
      <w:r w:rsidR="00983E92" w:rsidRPr="00D43C76">
        <w:rPr>
          <w:sz w:val="18"/>
          <w:szCs w:val="18"/>
          <w:lang w:val="es-ES_tradnl"/>
        </w:rPr>
        <w:t xml:space="preserve">a la </w:t>
      </w:r>
      <w:r w:rsidR="00851B40" w:rsidRPr="00D43C76">
        <w:rPr>
          <w:sz w:val="18"/>
          <w:szCs w:val="18"/>
          <w:lang w:val="es-ES_tradnl"/>
        </w:rPr>
        <w:t>discriminación</w:t>
      </w:r>
      <w:r w:rsidR="004401E5" w:rsidRPr="00D43C76">
        <w:rPr>
          <w:sz w:val="18"/>
          <w:szCs w:val="18"/>
          <w:lang w:val="es-ES_tradnl"/>
        </w:rPr>
        <w:t xml:space="preserve"> </w:t>
      </w:r>
      <w:r w:rsidR="00983E92" w:rsidRPr="00D43C76">
        <w:rPr>
          <w:sz w:val="18"/>
          <w:szCs w:val="18"/>
          <w:lang w:val="es-ES_tradnl"/>
        </w:rPr>
        <w:t xml:space="preserve">contra los </w:t>
      </w:r>
      <w:r w:rsidR="004401E5" w:rsidRPr="00D43C76">
        <w:rPr>
          <w:sz w:val="18"/>
          <w:szCs w:val="18"/>
          <w:lang w:val="es-ES_tradnl"/>
        </w:rPr>
        <w:t>homosexual</w:t>
      </w:r>
      <w:r w:rsidR="00983E92" w:rsidRPr="00D43C76">
        <w:rPr>
          <w:sz w:val="18"/>
          <w:szCs w:val="18"/>
          <w:lang w:val="es-ES_tradnl"/>
        </w:rPr>
        <w:t>e</w:t>
      </w:r>
      <w:r w:rsidR="004401E5" w:rsidRPr="00D43C76">
        <w:rPr>
          <w:sz w:val="18"/>
          <w:szCs w:val="18"/>
          <w:lang w:val="es-ES_tradnl"/>
        </w:rPr>
        <w:t>s o</w:t>
      </w:r>
      <w:r w:rsidR="00983E92" w:rsidRPr="00D43C76">
        <w:rPr>
          <w:sz w:val="18"/>
          <w:szCs w:val="18"/>
          <w:lang w:val="es-ES_tradnl"/>
        </w:rPr>
        <w:t xml:space="preserve"> las personas que se cree que lo son, las poblaciones afectadas se muestran reacias a acudir </w:t>
      </w:r>
      <w:r w:rsidR="005A2B76" w:rsidRPr="00D43C76">
        <w:rPr>
          <w:sz w:val="18"/>
          <w:szCs w:val="18"/>
          <w:lang w:val="es-ES_tradnl"/>
        </w:rPr>
        <w:t xml:space="preserve">tanto </w:t>
      </w:r>
      <w:r w:rsidR="00983E92" w:rsidRPr="00D43C76">
        <w:rPr>
          <w:sz w:val="18"/>
          <w:szCs w:val="18"/>
          <w:lang w:val="es-ES_tradnl"/>
        </w:rPr>
        <w:t xml:space="preserve">a los servicios de salud </w:t>
      </w:r>
      <w:r w:rsidR="004401E5" w:rsidRPr="00D43C76">
        <w:rPr>
          <w:sz w:val="18"/>
          <w:szCs w:val="18"/>
          <w:lang w:val="es-ES_tradnl"/>
        </w:rPr>
        <w:t>general</w:t>
      </w:r>
      <w:r w:rsidR="00983E92" w:rsidRPr="00D43C76">
        <w:rPr>
          <w:sz w:val="18"/>
          <w:szCs w:val="18"/>
          <w:lang w:val="es-ES_tradnl"/>
        </w:rPr>
        <w:t xml:space="preserve">es como </w:t>
      </w:r>
      <w:r w:rsidR="005A2B76" w:rsidRPr="00D43C76">
        <w:rPr>
          <w:sz w:val="18"/>
          <w:szCs w:val="18"/>
          <w:lang w:val="es-ES_tradnl"/>
        </w:rPr>
        <w:t xml:space="preserve">a servicios </w:t>
      </w:r>
      <w:r w:rsidR="00983E92" w:rsidRPr="00D43C76">
        <w:rPr>
          <w:sz w:val="18"/>
          <w:szCs w:val="18"/>
          <w:lang w:val="es-ES_tradnl"/>
        </w:rPr>
        <w:t xml:space="preserve">relacionados </w:t>
      </w:r>
      <w:r w:rsidR="005A2B76" w:rsidRPr="00D43C76">
        <w:rPr>
          <w:sz w:val="18"/>
          <w:szCs w:val="18"/>
          <w:lang w:val="es-ES_tradnl"/>
        </w:rPr>
        <w:t xml:space="preserve">específicamente </w:t>
      </w:r>
      <w:r w:rsidR="00983E92" w:rsidRPr="00D43C76">
        <w:rPr>
          <w:sz w:val="18"/>
          <w:szCs w:val="18"/>
          <w:lang w:val="es-ES_tradnl"/>
        </w:rPr>
        <w:t xml:space="preserve">con el VIH y el sida. Por ejemplo, si una persona busca atención médica y da la impresión de ser </w:t>
      </w:r>
      <w:r w:rsidR="004401E5" w:rsidRPr="00D43C76">
        <w:rPr>
          <w:sz w:val="18"/>
          <w:szCs w:val="18"/>
          <w:lang w:val="es-ES_tradnl"/>
        </w:rPr>
        <w:t xml:space="preserve">gay, </w:t>
      </w:r>
      <w:r w:rsidR="00983E92" w:rsidRPr="00D43C76">
        <w:rPr>
          <w:sz w:val="18"/>
          <w:szCs w:val="18"/>
          <w:lang w:val="es-ES_tradnl"/>
        </w:rPr>
        <w:t xml:space="preserve">de inmediato será objeto de </w:t>
      </w:r>
      <w:r w:rsidR="00851B40" w:rsidRPr="00D43C76">
        <w:rPr>
          <w:sz w:val="18"/>
          <w:szCs w:val="18"/>
          <w:lang w:val="es-ES_tradnl"/>
        </w:rPr>
        <w:t>discriminación</w:t>
      </w:r>
      <w:r w:rsidR="004401E5" w:rsidRPr="00D43C76">
        <w:rPr>
          <w:sz w:val="18"/>
          <w:szCs w:val="18"/>
          <w:lang w:val="es-ES_tradnl"/>
        </w:rPr>
        <w:t xml:space="preserve"> a</w:t>
      </w:r>
      <w:r w:rsidR="00983E92" w:rsidRPr="00D43C76">
        <w:rPr>
          <w:sz w:val="18"/>
          <w:szCs w:val="18"/>
          <w:lang w:val="es-ES_tradnl"/>
        </w:rPr>
        <w:t xml:space="preserve"> manos de los proveedores</w:t>
      </w:r>
      <w:r w:rsidR="004401E5" w:rsidRPr="00D43C76">
        <w:rPr>
          <w:sz w:val="18"/>
          <w:szCs w:val="18"/>
          <w:lang w:val="es-ES_tradnl"/>
        </w:rPr>
        <w:t xml:space="preserve">. </w:t>
      </w:r>
      <w:r w:rsidR="00983E92" w:rsidRPr="00D43C76">
        <w:rPr>
          <w:sz w:val="18"/>
          <w:szCs w:val="18"/>
          <w:lang w:val="es-ES_tradnl"/>
        </w:rPr>
        <w:t>Este temor de la estigmatización</w:t>
      </w:r>
      <w:r w:rsidR="004401E5" w:rsidRPr="00D43C76">
        <w:rPr>
          <w:sz w:val="18"/>
          <w:szCs w:val="18"/>
          <w:lang w:val="es-ES_tradnl"/>
        </w:rPr>
        <w:t xml:space="preserve">, </w:t>
      </w:r>
      <w:r w:rsidR="00983E92" w:rsidRPr="00D43C76">
        <w:rPr>
          <w:sz w:val="18"/>
          <w:szCs w:val="18"/>
          <w:lang w:val="es-ES_tradnl"/>
        </w:rPr>
        <w:t xml:space="preserve">que es muy conocido en la sociedad jamaiquina, impide que los </w:t>
      </w:r>
      <w:r w:rsidR="004401E5" w:rsidRPr="00D43C76">
        <w:rPr>
          <w:sz w:val="18"/>
          <w:szCs w:val="18"/>
          <w:lang w:val="es-ES_tradnl"/>
        </w:rPr>
        <w:t>homosexual</w:t>
      </w:r>
      <w:r w:rsidR="00983E92" w:rsidRPr="00D43C76">
        <w:rPr>
          <w:sz w:val="18"/>
          <w:szCs w:val="18"/>
          <w:lang w:val="es-ES_tradnl"/>
        </w:rPr>
        <w:t>es y otras personas que dan la impresión de ser</w:t>
      </w:r>
      <w:r w:rsidR="004401E5" w:rsidRPr="00D43C76">
        <w:rPr>
          <w:sz w:val="18"/>
          <w:szCs w:val="18"/>
          <w:lang w:val="es-ES_tradnl"/>
        </w:rPr>
        <w:t xml:space="preserve"> ga</w:t>
      </w:r>
      <w:r w:rsidR="005A2B76" w:rsidRPr="00D43C76">
        <w:rPr>
          <w:sz w:val="18"/>
          <w:szCs w:val="18"/>
          <w:lang w:val="es-ES_tradnl"/>
        </w:rPr>
        <w:t>is</w:t>
      </w:r>
      <w:r w:rsidR="004401E5" w:rsidRPr="00D43C76">
        <w:rPr>
          <w:sz w:val="18"/>
          <w:szCs w:val="18"/>
          <w:lang w:val="es-ES_tradnl"/>
        </w:rPr>
        <w:t xml:space="preserve"> </w:t>
      </w:r>
      <w:r w:rsidR="00983E92" w:rsidRPr="00D43C76">
        <w:rPr>
          <w:sz w:val="18"/>
          <w:szCs w:val="18"/>
          <w:lang w:val="es-ES_tradnl"/>
        </w:rPr>
        <w:t xml:space="preserve">acudan incluso a los servicios sociales y de salud más básicos. Por ejemplo, JASL conoce casos de clientes que se niegan a solicitar pagos del seguro social por temor de que los burócratas los detecten y los sometan a un trato discriminatorio. Con respecto a los servicios de prevención, prueba, tratamiento y atención de la infección por el VIH y el sida, aunque </w:t>
      </w:r>
      <w:r w:rsidR="00280CA2" w:rsidRPr="00D43C76">
        <w:rPr>
          <w:sz w:val="18"/>
          <w:szCs w:val="18"/>
          <w:lang w:val="es-ES_tradnl"/>
        </w:rPr>
        <w:t xml:space="preserve">JASL </w:t>
      </w:r>
      <w:r w:rsidR="00983E92" w:rsidRPr="00D43C76">
        <w:rPr>
          <w:sz w:val="18"/>
          <w:szCs w:val="18"/>
          <w:lang w:val="es-ES_tradnl"/>
        </w:rPr>
        <w:t>está segura de que no está llegando (o no puede llegar</w:t>
      </w:r>
      <w:r w:rsidR="00280CA2" w:rsidRPr="00D43C76">
        <w:rPr>
          <w:sz w:val="18"/>
          <w:szCs w:val="18"/>
          <w:lang w:val="es-ES_tradnl"/>
        </w:rPr>
        <w:t>) a</w:t>
      </w:r>
      <w:r w:rsidR="00983E92" w:rsidRPr="00D43C76">
        <w:rPr>
          <w:sz w:val="18"/>
          <w:szCs w:val="18"/>
          <w:lang w:val="es-ES_tradnl"/>
        </w:rPr>
        <w:t xml:space="preserve"> todas las personas </w:t>
      </w:r>
      <w:r w:rsidR="00280CA2" w:rsidRPr="00D43C76">
        <w:rPr>
          <w:sz w:val="18"/>
          <w:szCs w:val="18"/>
          <w:lang w:val="es-ES_tradnl"/>
        </w:rPr>
        <w:t>vulnerable</w:t>
      </w:r>
      <w:r w:rsidR="00983E92" w:rsidRPr="00D43C76">
        <w:rPr>
          <w:sz w:val="18"/>
          <w:szCs w:val="18"/>
          <w:lang w:val="es-ES_tradnl"/>
        </w:rPr>
        <w:t>s</w:t>
      </w:r>
      <w:r w:rsidR="00280CA2" w:rsidRPr="00D43C76">
        <w:rPr>
          <w:sz w:val="18"/>
          <w:szCs w:val="18"/>
          <w:lang w:val="es-ES_tradnl"/>
        </w:rPr>
        <w:t xml:space="preserve"> </w:t>
      </w:r>
      <w:r w:rsidR="00983E92" w:rsidRPr="00D43C76">
        <w:rPr>
          <w:sz w:val="18"/>
          <w:szCs w:val="18"/>
          <w:lang w:val="es-ES_tradnl"/>
        </w:rPr>
        <w:t xml:space="preserve">o afectadas, no tiene manera de saber a cuántas personas no está llegando porque estas personas han sido empujadas a la clandestinidad por su temor de </w:t>
      </w:r>
      <w:r w:rsidRPr="00D43C76">
        <w:rPr>
          <w:sz w:val="18"/>
          <w:szCs w:val="18"/>
          <w:lang w:val="es-ES_tradnl"/>
        </w:rPr>
        <w:t>la ley de sodomía</w:t>
      </w:r>
      <w:r w:rsidR="00280CA2" w:rsidRPr="00D43C76">
        <w:rPr>
          <w:sz w:val="18"/>
          <w:szCs w:val="18"/>
          <w:lang w:val="es-ES_tradnl"/>
        </w:rPr>
        <w:t xml:space="preserve"> o</w:t>
      </w:r>
      <w:r w:rsidR="00983E92" w:rsidRPr="00D43C76">
        <w:rPr>
          <w:sz w:val="18"/>
          <w:szCs w:val="18"/>
          <w:lang w:val="es-ES_tradnl"/>
        </w:rPr>
        <w:t xml:space="preserve"> el deseo de evitar una mayor e</w:t>
      </w:r>
      <w:r w:rsidR="00280CA2" w:rsidRPr="00D43C76">
        <w:rPr>
          <w:sz w:val="18"/>
          <w:szCs w:val="18"/>
          <w:lang w:val="es-ES_tradnl"/>
        </w:rPr>
        <w:t>stigmatiza</w:t>
      </w:r>
      <w:r w:rsidR="00983E92" w:rsidRPr="00D43C76">
        <w:rPr>
          <w:sz w:val="18"/>
          <w:szCs w:val="18"/>
          <w:lang w:val="es-ES_tradnl"/>
        </w:rPr>
        <w:t>ción</w:t>
      </w:r>
      <w:r w:rsidR="002A749A" w:rsidRPr="00D43C76">
        <w:rPr>
          <w:rStyle w:val="FootnoteReference"/>
          <w:sz w:val="18"/>
          <w:szCs w:val="18"/>
          <w:lang w:val="es-ES_tradnl"/>
        </w:rPr>
        <w:footnoteReference w:id="24"/>
      </w:r>
      <w:r w:rsidR="00983E92" w:rsidRPr="00D43C76">
        <w:rPr>
          <w:sz w:val="18"/>
          <w:szCs w:val="18"/>
          <w:lang w:val="es-ES_tradnl"/>
        </w:rPr>
        <w:t>.</w:t>
      </w:r>
    </w:p>
    <w:p w14:paraId="5D2E4641" w14:textId="77777777" w:rsidR="008F7C41" w:rsidRPr="00D43C76" w:rsidRDefault="008F7C41" w:rsidP="00865C97">
      <w:pPr>
        <w:pStyle w:val="parrafos"/>
        <w:tabs>
          <w:tab w:val="left" w:pos="720"/>
          <w:tab w:val="center" w:pos="5400"/>
        </w:tabs>
        <w:suppressAutoHyphens/>
        <w:spacing w:line="276" w:lineRule="auto"/>
        <w:rPr>
          <w:rFonts w:ascii="Cambria" w:hAnsi="Cambria"/>
          <w:lang w:val="es-ES_tradnl"/>
        </w:rPr>
      </w:pPr>
    </w:p>
    <w:p w14:paraId="534A1A35" w14:textId="77777777" w:rsidR="002F1716" w:rsidRPr="00D43C76" w:rsidRDefault="00FD4385" w:rsidP="006637A4">
      <w:pPr>
        <w:pStyle w:val="Heading2"/>
        <w:numPr>
          <w:ilvl w:val="0"/>
          <w:numId w:val="63"/>
        </w:numPr>
        <w:spacing w:before="0"/>
        <w:rPr>
          <w:color w:val="auto"/>
          <w:sz w:val="20"/>
          <w:szCs w:val="20"/>
          <w:lang w:val="es-ES_tradnl"/>
        </w:rPr>
      </w:pPr>
      <w:bookmarkStart w:id="41" w:name="_Toc18144538"/>
      <w:bookmarkStart w:id="42" w:name="_Toc58491241"/>
      <w:r w:rsidRPr="00D43C76">
        <w:rPr>
          <w:color w:val="auto"/>
          <w:sz w:val="20"/>
          <w:szCs w:val="20"/>
          <w:lang w:val="es-ES_tradnl"/>
        </w:rPr>
        <w:t>Impugnaciones de la Ley de Delitos contra la Persona</w:t>
      </w:r>
      <w:bookmarkEnd w:id="41"/>
      <w:bookmarkEnd w:id="42"/>
      <w:r w:rsidR="0034591F" w:rsidRPr="00D43C76">
        <w:rPr>
          <w:color w:val="auto"/>
          <w:sz w:val="20"/>
          <w:szCs w:val="20"/>
          <w:lang w:val="es-ES_tradnl"/>
        </w:rPr>
        <w:t xml:space="preserve"> </w:t>
      </w:r>
    </w:p>
    <w:p w14:paraId="5CDC40FD" w14:textId="77777777" w:rsidR="002F1716" w:rsidRPr="00D43C76" w:rsidRDefault="002F1716" w:rsidP="00865C97">
      <w:pPr>
        <w:pStyle w:val="parrafos"/>
        <w:tabs>
          <w:tab w:val="left" w:pos="720"/>
          <w:tab w:val="center" w:pos="5400"/>
        </w:tabs>
        <w:suppressAutoHyphens/>
        <w:spacing w:line="276" w:lineRule="auto"/>
        <w:rPr>
          <w:rFonts w:ascii="Cambria" w:hAnsi="Cambria"/>
          <w:lang w:val="es-ES_tradnl"/>
        </w:rPr>
      </w:pPr>
    </w:p>
    <w:p w14:paraId="08B60CAB" w14:textId="77777777" w:rsidR="00865C97" w:rsidRPr="00D43C76" w:rsidRDefault="00FD4385"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En febrero de 2013, una persona llamada Javed Saunja Jaghai interpuso una demanda para impugnar la constitucionalidad de los artículos 76, 77 y 79 de la Ley de Delitos contra la Persona ante la Sala Civil de la Suprema Corte de Judicatura de Jamaica. El 28 de agosto de 2014 retiró la demanda, aduciendo las siguientes razones</w:t>
      </w:r>
      <w:r w:rsidR="00A12423" w:rsidRPr="00D43C76">
        <w:rPr>
          <w:rFonts w:ascii="Cambria" w:hAnsi="Cambria"/>
          <w:lang w:val="es-ES_tradnl"/>
        </w:rPr>
        <w:t>:</w:t>
      </w:r>
    </w:p>
    <w:p w14:paraId="4B10BF08" w14:textId="77777777" w:rsidR="00A12423" w:rsidRPr="00D43C76" w:rsidRDefault="00A12423" w:rsidP="00A1242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5C7D779D" w14:textId="77777777" w:rsidR="00E07D21" w:rsidRPr="00D43C76" w:rsidRDefault="007A6865" w:rsidP="005F69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Jamaica es una sociedad muy pequeña con muchos individuos intolerantes que regularmente causan daños a personas desprevenidas que optan por vivir de una forma que les desagrada a ellos. Los incidentes antedichos confirman lo que se sabe que es la norma en Jamaica. Esta clase de intolerancia expresada contra las personas gais, combinada con los numerosos ataques reportados en los medios de comunicación contra hombres gais desde 2013, me ha infundido mucho miedo. Aunque no he sufrido daños físicos, me han amenazado suficientes veces para saber que soy vulnerable. Sé también que mis seres queridos han </w:t>
      </w:r>
      <w:r w:rsidR="004D7DD9" w:rsidRPr="00D43C76">
        <w:rPr>
          <w:rFonts w:asciiTheme="majorHAnsi" w:hAnsiTheme="majorHAnsi"/>
          <w:sz w:val="18"/>
          <w:szCs w:val="18"/>
          <w:lang w:val="es-ES_tradnl"/>
        </w:rPr>
        <w:t xml:space="preserve">sido </w:t>
      </w:r>
      <w:r w:rsidRPr="00D43C76">
        <w:rPr>
          <w:rFonts w:asciiTheme="majorHAnsi" w:hAnsiTheme="majorHAnsi"/>
          <w:sz w:val="18"/>
          <w:szCs w:val="18"/>
          <w:lang w:val="es-ES_tradnl"/>
        </w:rPr>
        <w:t>amenazado</w:t>
      </w:r>
      <w:r w:rsidR="004D7DD9" w:rsidRPr="00D43C76">
        <w:rPr>
          <w:rFonts w:asciiTheme="majorHAnsi" w:hAnsiTheme="majorHAnsi"/>
          <w:sz w:val="18"/>
          <w:szCs w:val="18"/>
          <w:lang w:val="es-ES_tradnl"/>
        </w:rPr>
        <w:t>s</w:t>
      </w:r>
      <w:r w:rsidRPr="00D43C76">
        <w:rPr>
          <w:rFonts w:asciiTheme="majorHAnsi" w:hAnsiTheme="majorHAnsi"/>
          <w:sz w:val="18"/>
          <w:szCs w:val="18"/>
          <w:lang w:val="es-ES_tradnl"/>
        </w:rPr>
        <w:t xml:space="preserve"> y temen por mi seguridad. Aunque la causa y el caso son nobles, ya no estoy dispuesto a jugarme la vida o a arriesgar la vida de mis padres y hermanos</w:t>
      </w:r>
      <w:r w:rsidR="00917AE3" w:rsidRPr="00D43C76">
        <w:rPr>
          <w:rStyle w:val="FootnoteReference"/>
          <w:rFonts w:asciiTheme="majorHAnsi" w:hAnsiTheme="majorHAnsi"/>
          <w:sz w:val="18"/>
          <w:szCs w:val="18"/>
          <w:lang w:val="es-ES_tradnl"/>
        </w:rPr>
        <w:footnoteReference w:id="25"/>
      </w:r>
      <w:r w:rsidRPr="00D43C76">
        <w:rPr>
          <w:rFonts w:asciiTheme="majorHAnsi" w:hAnsiTheme="majorHAnsi"/>
          <w:sz w:val="18"/>
          <w:szCs w:val="18"/>
          <w:lang w:val="es-ES_tradnl"/>
        </w:rPr>
        <w:t>.</w:t>
      </w:r>
    </w:p>
    <w:p w14:paraId="5462967A" w14:textId="77777777" w:rsidR="006775E3" w:rsidRPr="00D43C76" w:rsidRDefault="006775E3" w:rsidP="00CB471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lang w:val="es-ES_tradnl"/>
        </w:rPr>
      </w:pPr>
    </w:p>
    <w:p w14:paraId="6533BB5B" w14:textId="77777777" w:rsidR="00E54CE1" w:rsidRPr="00D43C76" w:rsidRDefault="00573D77"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Según información de dominio público, en 2015, el defensor de los derechos de las personas gais Maurice Tomlinson interpuso otra demanda ante la Suprema Corte de Judicatura de Jamaica para impugnar las disposiciones de la Ley de Delitos contra la Persona que proscriben las relaciones sexuales consensuales entre hombres</w:t>
      </w:r>
      <w:r w:rsidR="00137A3C" w:rsidRPr="00D43C76">
        <w:rPr>
          <w:rStyle w:val="FootnoteReference"/>
          <w:rFonts w:ascii="Cambria" w:hAnsi="Cambria"/>
          <w:lang w:val="es-ES_tradnl"/>
        </w:rPr>
        <w:footnoteReference w:id="26"/>
      </w:r>
      <w:r w:rsidRPr="00D43C76">
        <w:rPr>
          <w:rFonts w:ascii="Cambria" w:hAnsi="Cambria"/>
          <w:lang w:val="es-ES_tradnl"/>
        </w:rPr>
        <w:t>.</w:t>
      </w:r>
      <w:r w:rsidR="00137A3C" w:rsidRPr="00D43C76">
        <w:rPr>
          <w:rFonts w:ascii="Cambria" w:hAnsi="Cambria"/>
          <w:lang w:val="es-ES_tradnl"/>
        </w:rPr>
        <w:t xml:space="preserve"> </w:t>
      </w:r>
      <w:r w:rsidRPr="00D43C76">
        <w:rPr>
          <w:rFonts w:ascii="Cambria" w:hAnsi="Cambria"/>
          <w:lang w:val="es-ES_tradnl"/>
        </w:rPr>
        <w:t>No se conoce el resultado de la impugnación</w:t>
      </w:r>
      <w:r w:rsidR="00137A3C" w:rsidRPr="00D43C76">
        <w:rPr>
          <w:rFonts w:ascii="Cambria" w:hAnsi="Cambria"/>
          <w:lang w:val="es-ES_tradnl"/>
        </w:rPr>
        <w:t xml:space="preserve">. </w:t>
      </w:r>
    </w:p>
    <w:p w14:paraId="0CA787A0" w14:textId="77777777" w:rsidR="002B1EF2" w:rsidRPr="00D43C76" w:rsidRDefault="002B1EF2" w:rsidP="00CB471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lang w:val="es-ES_tradnl"/>
        </w:rPr>
      </w:pPr>
    </w:p>
    <w:p w14:paraId="120AB861" w14:textId="77777777" w:rsidR="00DD2AD4" w:rsidRPr="00D43C76" w:rsidRDefault="00573D77" w:rsidP="00DD2AD4">
      <w:pPr>
        <w:pStyle w:val="Heading1"/>
        <w:spacing w:before="0"/>
        <w:ind w:left="360"/>
        <w:rPr>
          <w:color w:val="auto"/>
          <w:sz w:val="20"/>
          <w:szCs w:val="20"/>
          <w:lang w:val="es-ES_tradnl"/>
        </w:rPr>
      </w:pPr>
      <w:bookmarkStart w:id="43" w:name="_Toc16152277"/>
      <w:bookmarkStart w:id="44" w:name="_Toc18144539"/>
      <w:bookmarkStart w:id="45" w:name="_Toc58491242"/>
      <w:r w:rsidRPr="00D43C76">
        <w:rPr>
          <w:color w:val="auto"/>
          <w:sz w:val="20"/>
          <w:szCs w:val="20"/>
          <w:lang w:val="es-ES_tradnl"/>
        </w:rPr>
        <w:lastRenderedPageBreak/>
        <w:t>ANÁLISIS DE DEREC</w:t>
      </w:r>
      <w:bookmarkEnd w:id="43"/>
      <w:r w:rsidRPr="00D43C76">
        <w:rPr>
          <w:color w:val="auto"/>
          <w:sz w:val="20"/>
          <w:szCs w:val="20"/>
          <w:lang w:val="es-ES_tradnl"/>
        </w:rPr>
        <w:t>HO</w:t>
      </w:r>
      <w:bookmarkEnd w:id="44"/>
      <w:bookmarkEnd w:id="45"/>
    </w:p>
    <w:p w14:paraId="40501E01" w14:textId="77777777" w:rsidR="00B94F89" w:rsidRPr="00D43C76" w:rsidRDefault="00B94F89" w:rsidP="00B94F89">
      <w:pPr>
        <w:rPr>
          <w:lang w:val="es-ES_tradnl" w:eastAsia="es-ES"/>
        </w:rPr>
      </w:pPr>
      <w:bookmarkStart w:id="46" w:name="_Toc530406638"/>
      <w:bookmarkStart w:id="47" w:name="_Toc531597452"/>
    </w:p>
    <w:p w14:paraId="5C9BF21D" w14:textId="77777777" w:rsidR="006F1453" w:rsidRPr="00D43C76" w:rsidRDefault="00573D77" w:rsidP="006637A4">
      <w:pPr>
        <w:pStyle w:val="Heading2"/>
        <w:numPr>
          <w:ilvl w:val="0"/>
          <w:numId w:val="64"/>
        </w:numPr>
        <w:spacing w:before="0"/>
        <w:rPr>
          <w:rFonts w:ascii="Cambria" w:eastAsia="Cambria" w:hAnsi="Cambria" w:cs="Cambria"/>
          <w:iCs/>
          <w:color w:val="auto"/>
          <w:sz w:val="20"/>
          <w:szCs w:val="20"/>
          <w:u w:color="000000"/>
          <w:lang w:val="es-ES_tradnl" w:eastAsia="es-ES"/>
        </w:rPr>
      </w:pPr>
      <w:bookmarkStart w:id="48" w:name="_Toc58491243"/>
      <w:r w:rsidRPr="00D43C76">
        <w:rPr>
          <w:rFonts w:ascii="Cambria" w:eastAsia="Cambria" w:hAnsi="Cambria" w:cs="Cambria"/>
          <w:iCs/>
          <w:color w:val="auto"/>
          <w:sz w:val="20"/>
          <w:szCs w:val="20"/>
          <w:u w:color="000000"/>
          <w:lang w:val="es-ES_tradnl" w:eastAsia="es-ES"/>
        </w:rPr>
        <w:t>El principio de igualdad y no discriminación</w:t>
      </w:r>
      <w:r w:rsidR="00B926A0" w:rsidRPr="00D43C76">
        <w:rPr>
          <w:rStyle w:val="FootnoteReference"/>
          <w:iCs/>
          <w:color w:val="auto"/>
          <w:sz w:val="20"/>
          <w:szCs w:val="20"/>
          <w:lang w:val="es-ES_tradnl"/>
        </w:rPr>
        <w:footnoteReference w:id="27"/>
      </w:r>
      <w:r w:rsidR="001B0BF8" w:rsidRPr="00D43C76">
        <w:rPr>
          <w:rFonts w:ascii="Cambria" w:eastAsia="Cambria" w:hAnsi="Cambria" w:cs="Cambria"/>
          <w:iCs/>
          <w:color w:val="auto"/>
          <w:sz w:val="20"/>
          <w:szCs w:val="20"/>
          <w:u w:color="000000"/>
          <w:lang w:val="es-ES_tradnl" w:eastAsia="es-ES"/>
        </w:rPr>
        <w:t xml:space="preserve">, </w:t>
      </w:r>
      <w:r w:rsidRPr="00D43C76">
        <w:rPr>
          <w:rFonts w:ascii="Cambria" w:eastAsia="Cambria" w:hAnsi="Cambria" w:cs="Cambria"/>
          <w:iCs/>
          <w:color w:val="auto"/>
          <w:sz w:val="20"/>
          <w:szCs w:val="20"/>
          <w:u w:color="000000"/>
          <w:lang w:val="es-ES_tradnl" w:eastAsia="es-ES"/>
        </w:rPr>
        <w:t>el derecho a la protección de la honra y de la dignidad</w:t>
      </w:r>
      <w:r w:rsidR="00F63F1D" w:rsidRPr="00D43C76">
        <w:rPr>
          <w:rStyle w:val="FootnoteReference"/>
          <w:iCs/>
          <w:color w:val="auto"/>
          <w:sz w:val="20"/>
          <w:szCs w:val="20"/>
          <w:lang w:val="es-ES_tradnl"/>
        </w:rPr>
        <w:footnoteReference w:id="28"/>
      </w:r>
      <w:r w:rsidR="00D8027F" w:rsidRPr="00D43C76">
        <w:rPr>
          <w:rFonts w:ascii="Cambria" w:eastAsia="Cambria" w:hAnsi="Cambria" w:cs="Cambria"/>
          <w:iCs/>
          <w:color w:val="auto"/>
          <w:sz w:val="20"/>
          <w:szCs w:val="20"/>
          <w:u w:color="000000"/>
          <w:lang w:val="es-ES_tradnl" w:eastAsia="es-ES"/>
        </w:rPr>
        <w:t xml:space="preserve">, </w:t>
      </w:r>
      <w:r w:rsidRPr="00D43C76">
        <w:rPr>
          <w:rFonts w:ascii="Cambria" w:eastAsia="Cambria" w:hAnsi="Cambria" w:cs="Cambria"/>
          <w:iCs/>
          <w:color w:val="auto"/>
          <w:sz w:val="20"/>
          <w:szCs w:val="20"/>
          <w:u w:color="000000"/>
          <w:lang w:val="es-ES_tradnl" w:eastAsia="es-ES"/>
        </w:rPr>
        <w:t>el derecho a la integridad personal</w:t>
      </w:r>
      <w:r w:rsidR="00A51E7A" w:rsidRPr="00D43C76">
        <w:rPr>
          <w:rStyle w:val="FootnoteReference"/>
          <w:rFonts w:ascii="Cambria" w:eastAsia="Cambria" w:hAnsi="Cambria"/>
          <w:iCs/>
          <w:color w:val="000000"/>
          <w:sz w:val="20"/>
          <w:szCs w:val="20"/>
          <w:u w:color="000000"/>
          <w:lang w:val="es-ES_tradnl" w:eastAsia="es-ES"/>
        </w:rPr>
        <w:footnoteReference w:id="29"/>
      </w:r>
      <w:r w:rsidR="00A51E7A" w:rsidRPr="00D43C76">
        <w:rPr>
          <w:rFonts w:ascii="Cambria" w:eastAsia="Cambria" w:hAnsi="Cambria" w:cs="Cambria"/>
          <w:iCs/>
          <w:color w:val="auto"/>
          <w:sz w:val="20"/>
          <w:szCs w:val="20"/>
          <w:u w:color="000000"/>
          <w:lang w:val="es-ES_tradnl" w:eastAsia="es-ES"/>
        </w:rPr>
        <w:t xml:space="preserve"> </w:t>
      </w:r>
      <w:r w:rsidRPr="00D43C76">
        <w:rPr>
          <w:rFonts w:ascii="Cambria" w:eastAsia="Cambria" w:hAnsi="Cambria" w:cs="Cambria"/>
          <w:iCs/>
          <w:color w:val="auto"/>
          <w:sz w:val="20"/>
          <w:szCs w:val="20"/>
          <w:u w:color="000000"/>
          <w:lang w:val="es-ES_tradnl" w:eastAsia="es-ES"/>
        </w:rPr>
        <w:t>y el derecho de circulación y de residencia</w:t>
      </w:r>
      <w:r w:rsidR="00D8027F" w:rsidRPr="00D43C76">
        <w:rPr>
          <w:rStyle w:val="FootnoteReference"/>
          <w:rFonts w:ascii="Cambria" w:eastAsia="Cambria" w:hAnsi="Cambria"/>
          <w:iCs/>
          <w:color w:val="auto"/>
          <w:sz w:val="20"/>
          <w:szCs w:val="20"/>
          <w:u w:color="000000"/>
          <w:lang w:val="es-ES_tradnl" w:eastAsia="es-ES"/>
        </w:rPr>
        <w:footnoteReference w:id="30"/>
      </w:r>
      <w:bookmarkEnd w:id="48"/>
    </w:p>
    <w:p w14:paraId="65A435FF" w14:textId="77777777" w:rsidR="00920191" w:rsidRPr="00D43C76" w:rsidRDefault="00573D77" w:rsidP="00920191">
      <w:pPr>
        <w:pStyle w:val="Heading3"/>
        <w:numPr>
          <w:ilvl w:val="1"/>
          <w:numId w:val="53"/>
        </w:numPr>
        <w:ind w:left="360"/>
        <w:rPr>
          <w:color w:val="auto"/>
          <w:sz w:val="20"/>
          <w:szCs w:val="20"/>
          <w:lang w:val="es-ES_tradnl"/>
        </w:rPr>
      </w:pPr>
      <w:bookmarkStart w:id="49" w:name="_Toc18144541"/>
      <w:bookmarkStart w:id="50" w:name="_Toc58491244"/>
      <w:r w:rsidRPr="00D43C76">
        <w:rPr>
          <w:color w:val="auto"/>
          <w:sz w:val="20"/>
          <w:szCs w:val="20"/>
          <w:lang w:val="es-ES_tradnl"/>
        </w:rPr>
        <w:t>Consideraciones generales</w:t>
      </w:r>
      <w:bookmarkEnd w:id="49"/>
      <w:bookmarkEnd w:id="50"/>
      <w:r w:rsidR="00CB4710" w:rsidRPr="00D43C76">
        <w:rPr>
          <w:color w:val="auto"/>
          <w:sz w:val="20"/>
          <w:szCs w:val="20"/>
          <w:lang w:val="es-ES_tradnl"/>
        </w:rPr>
        <w:t xml:space="preserve"> </w:t>
      </w:r>
    </w:p>
    <w:p w14:paraId="67B87451" w14:textId="77777777" w:rsidR="00920191" w:rsidRPr="00D43C76" w:rsidRDefault="00920191" w:rsidP="00920191">
      <w:pPr>
        <w:rPr>
          <w:lang w:val="es-ES_tradnl"/>
        </w:rPr>
      </w:pPr>
    </w:p>
    <w:p w14:paraId="2A532ADB" w14:textId="77777777" w:rsidR="00920191" w:rsidRPr="00D43C76" w:rsidRDefault="00573D77" w:rsidP="006637A4">
      <w:pPr>
        <w:pStyle w:val="parrafos"/>
        <w:numPr>
          <w:ilvl w:val="0"/>
          <w:numId w:val="57"/>
        </w:numPr>
        <w:tabs>
          <w:tab w:val="clear" w:pos="1080"/>
          <w:tab w:val="left" w:pos="720"/>
        </w:tabs>
        <w:ind w:left="0" w:firstLine="0"/>
        <w:rPr>
          <w:rFonts w:ascii="Times New Roman" w:hAnsi="Times New Roman"/>
          <w:sz w:val="24"/>
          <w:szCs w:val="24"/>
          <w:lang w:val="es-ES_tradnl"/>
        </w:rPr>
      </w:pPr>
      <w:r w:rsidRPr="00D43C76">
        <w:rPr>
          <w:rFonts w:ascii="Cambria" w:hAnsi="Cambria"/>
          <w:lang w:val="es-ES_tradnl"/>
        </w:rPr>
        <w:t xml:space="preserve">Con respecto al principio de igualdad y no discriminación, la Comisión y la Corte han afirmado que constituye un pilar central y fundamental del sistema interamericano de derechos humanos.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La jurisprudencia de la Corte ha indicado que, en la etapa actual de la evolución del derecho internacional, el principio fundamental de igualdad y no discriminación ha ingresado en el dominio del </w:t>
      </w:r>
      <w:r w:rsidRPr="00D43C76">
        <w:rPr>
          <w:rFonts w:ascii="Cambria" w:hAnsi="Cambria"/>
          <w:i/>
          <w:lang w:val="es-ES_tradnl"/>
        </w:rPr>
        <w:t>jus cogens</w:t>
      </w:r>
      <w:r w:rsidRPr="00D43C76">
        <w:rPr>
          <w:rFonts w:ascii="Cambria" w:hAnsi="Cambria"/>
          <w:lang w:val="es-ES_tradnl"/>
        </w:rPr>
        <w:t>. Este principio, sobre el cual descansa el andamiaje jurídico del orden público nacional e internacional, permea todo el ordenamiento jurídico</w:t>
      </w:r>
      <w:r w:rsidR="00920191" w:rsidRPr="00D43C76">
        <w:rPr>
          <w:rStyle w:val="FootnoteReference"/>
          <w:rFonts w:ascii="Cambria" w:hAnsi="Cambria"/>
          <w:lang w:val="es-ES_tradnl"/>
        </w:rPr>
        <w:footnoteReference w:id="31"/>
      </w:r>
      <w:r w:rsidRPr="00D43C76">
        <w:rPr>
          <w:rFonts w:ascii="Cambria" w:hAnsi="Cambria"/>
          <w:lang w:val="es-ES_tradnl"/>
        </w:rPr>
        <w:t>.</w:t>
      </w:r>
    </w:p>
    <w:p w14:paraId="539FEED2" w14:textId="77777777" w:rsidR="00D617EA" w:rsidRPr="00D43C76" w:rsidRDefault="00D617EA" w:rsidP="00C5104A">
      <w:pPr>
        <w:pStyle w:val="parrafos"/>
        <w:tabs>
          <w:tab w:val="left" w:pos="720"/>
        </w:tabs>
        <w:rPr>
          <w:rFonts w:ascii="Times New Roman" w:hAnsi="Times New Roman"/>
          <w:sz w:val="24"/>
          <w:szCs w:val="24"/>
          <w:lang w:val="es-ES_tradnl"/>
        </w:rPr>
      </w:pPr>
    </w:p>
    <w:p w14:paraId="3999D145" w14:textId="77777777" w:rsidR="00920191" w:rsidRPr="00D43C76" w:rsidRDefault="00B449C3" w:rsidP="006637A4">
      <w:pPr>
        <w:pStyle w:val="parrafos"/>
        <w:numPr>
          <w:ilvl w:val="0"/>
          <w:numId w:val="57"/>
        </w:numPr>
        <w:tabs>
          <w:tab w:val="clear" w:pos="1080"/>
          <w:tab w:val="left" w:pos="720"/>
        </w:tabs>
        <w:ind w:left="0" w:firstLine="0"/>
        <w:rPr>
          <w:rFonts w:ascii="Times New Roman" w:hAnsi="Times New Roman"/>
          <w:sz w:val="24"/>
          <w:szCs w:val="24"/>
          <w:lang w:val="es-ES_tradnl"/>
        </w:rPr>
      </w:pPr>
      <w:r w:rsidRPr="00D43C76">
        <w:rPr>
          <w:rFonts w:ascii="Cambria" w:hAnsi="Cambria"/>
          <w:lang w:val="es-ES_tradnl"/>
        </w:rPr>
        <w:t>El principio de igualdad y no discriminación abarca dos concepciones: “una concepción negativa relacionada con la prohibición de diferencias de trato arbitrarias, y una concepción positiva relacionada con la obligación de los Estados de crear condiciones de igualdad real frente a grupos que han sido históricamente excluidos o que se encuentran en mayor riesgo de ser discriminados”</w:t>
      </w:r>
      <w:r w:rsidR="00920191" w:rsidRPr="00D43C76">
        <w:rPr>
          <w:rStyle w:val="FootnoteReference"/>
          <w:rFonts w:ascii="Cambria" w:hAnsi="Cambria"/>
          <w:lang w:val="es-ES_tradnl"/>
        </w:rPr>
        <w:footnoteReference w:id="32"/>
      </w:r>
      <w:r w:rsidRPr="00D43C76">
        <w:rPr>
          <w:rFonts w:ascii="Cambria" w:hAnsi="Cambria"/>
          <w:lang w:val="es-ES_tradnl"/>
        </w:rPr>
        <w:t>.</w:t>
      </w:r>
    </w:p>
    <w:p w14:paraId="5CFE1BE2" w14:textId="77777777" w:rsidR="00E30D79" w:rsidRPr="00D43C76" w:rsidRDefault="00E30D79" w:rsidP="00E30D79">
      <w:pPr>
        <w:pStyle w:val="parrafos"/>
        <w:tabs>
          <w:tab w:val="left" w:pos="720"/>
        </w:tabs>
        <w:rPr>
          <w:rFonts w:ascii="Times New Roman" w:hAnsi="Times New Roman"/>
          <w:sz w:val="24"/>
          <w:szCs w:val="24"/>
          <w:lang w:val="es-ES_tradnl"/>
        </w:rPr>
      </w:pPr>
    </w:p>
    <w:p w14:paraId="1B808273" w14:textId="77777777" w:rsidR="00920191" w:rsidRPr="00D43C76" w:rsidRDefault="000175BE" w:rsidP="006637A4">
      <w:pPr>
        <w:pStyle w:val="parrafos"/>
        <w:numPr>
          <w:ilvl w:val="0"/>
          <w:numId w:val="57"/>
        </w:numPr>
        <w:tabs>
          <w:tab w:val="clear" w:pos="1080"/>
          <w:tab w:val="left" w:pos="720"/>
        </w:tabs>
        <w:ind w:left="0" w:firstLine="0"/>
        <w:rPr>
          <w:rFonts w:ascii="Times New Roman" w:hAnsi="Times New Roman"/>
          <w:sz w:val="24"/>
          <w:szCs w:val="24"/>
          <w:lang w:val="es-ES_tradnl"/>
        </w:rPr>
      </w:pPr>
      <w:r w:rsidRPr="00D43C76">
        <w:rPr>
          <w:rFonts w:ascii="Cambria" w:hAnsi="Cambria"/>
          <w:lang w:val="es-ES_tradnl"/>
        </w:rPr>
        <w:t>Con respecto a la primera concepción, que es pertinente para el caso de autos, la Corte Interamericana señaló, remontándose a los orígenes de la jurisprudencia en la materia, que no todo trato diferenciado es discriminatorio y que es necesario determinar si se justifica de manera objetiva y razonable</w:t>
      </w:r>
      <w:r w:rsidR="00920191" w:rsidRPr="00D43C76">
        <w:rPr>
          <w:rStyle w:val="FootnoteReference"/>
          <w:rFonts w:ascii="Cambria" w:hAnsi="Cambria"/>
          <w:lang w:val="es-ES_tradnl"/>
        </w:rPr>
        <w:footnoteReference w:id="33"/>
      </w:r>
      <w:r w:rsidRPr="00D43C76">
        <w:rPr>
          <w:rFonts w:ascii="Cambria" w:hAnsi="Cambria"/>
          <w:lang w:val="es-ES_tradnl"/>
        </w:rPr>
        <w:t>.</w:t>
      </w:r>
      <w:r w:rsidR="00920191" w:rsidRPr="00D43C76">
        <w:rPr>
          <w:rFonts w:ascii="Cambria" w:hAnsi="Cambria"/>
          <w:lang w:val="es-ES_tradnl"/>
        </w:rPr>
        <w:t xml:space="preserve"> </w:t>
      </w:r>
      <w:r w:rsidRPr="00D43C76">
        <w:rPr>
          <w:rFonts w:ascii="Cambria" w:hAnsi="Cambria"/>
          <w:lang w:val="es-ES_tradnl"/>
        </w:rPr>
        <w:t>Este análisis es especialmente estricto cuando se refiere a una diferencia de trato basada en una de las categorías establecidas en el artículo 1.1 de la Convención</w:t>
      </w:r>
      <w:r w:rsidR="00920191" w:rsidRPr="00D43C76">
        <w:rPr>
          <w:rFonts w:ascii="Cambria" w:hAnsi="Cambria"/>
          <w:lang w:val="es-ES_tradnl"/>
        </w:rPr>
        <w:t>.</w:t>
      </w:r>
    </w:p>
    <w:p w14:paraId="2C1924FC" w14:textId="77777777" w:rsidR="009606E5" w:rsidRPr="00D43C76" w:rsidRDefault="009606E5" w:rsidP="009606E5">
      <w:pPr>
        <w:pStyle w:val="parrafos"/>
        <w:tabs>
          <w:tab w:val="left" w:pos="720"/>
        </w:tabs>
        <w:rPr>
          <w:rFonts w:ascii="Times New Roman" w:hAnsi="Times New Roman"/>
          <w:sz w:val="24"/>
          <w:szCs w:val="24"/>
          <w:lang w:val="es-ES_tradnl"/>
        </w:rPr>
      </w:pPr>
    </w:p>
    <w:p w14:paraId="5BAC9BA8" w14:textId="77777777" w:rsidR="00920191" w:rsidRPr="00D43C76" w:rsidRDefault="000175BE" w:rsidP="006637A4">
      <w:pPr>
        <w:pStyle w:val="parrafos"/>
        <w:numPr>
          <w:ilvl w:val="0"/>
          <w:numId w:val="57"/>
        </w:numPr>
        <w:tabs>
          <w:tab w:val="clear" w:pos="1080"/>
          <w:tab w:val="left" w:pos="720"/>
        </w:tabs>
        <w:ind w:left="0" w:firstLine="0"/>
        <w:rPr>
          <w:rFonts w:ascii="Times New Roman" w:hAnsi="Times New Roman"/>
          <w:sz w:val="24"/>
          <w:szCs w:val="24"/>
          <w:lang w:val="es-ES_tradnl"/>
        </w:rPr>
      </w:pPr>
      <w:r w:rsidRPr="00D43C76">
        <w:rPr>
          <w:rFonts w:ascii="Cambria" w:hAnsi="Cambria"/>
          <w:lang w:val="es-ES_tradnl"/>
        </w:rPr>
        <w:t xml:space="preserve">En lo que concierne a la orientación sexual, desde el caso </w:t>
      </w:r>
      <w:r w:rsidRPr="00D43C76">
        <w:rPr>
          <w:rFonts w:ascii="Cambria" w:hAnsi="Cambria"/>
          <w:i/>
          <w:lang w:val="es-ES_tradnl"/>
        </w:rPr>
        <w:t>Atala Riffo y niñas contra Chile</w:t>
      </w:r>
      <w:r w:rsidRPr="00D43C76">
        <w:rPr>
          <w:rFonts w:ascii="Cambria" w:hAnsi="Cambria"/>
          <w:lang w:val="es-ES_tradnl"/>
        </w:rPr>
        <w:t xml:space="preserve"> y en casos subsiguientes, la Corte Interamericana aclaró lo que se entiende por la frase “cualquier otra condición social” del artículo 1.1 de la Convención</w:t>
      </w:r>
      <w:r w:rsidR="00920191" w:rsidRPr="00D43C76">
        <w:rPr>
          <w:rStyle w:val="FootnoteReference"/>
          <w:rFonts w:ascii="Cambria" w:hAnsi="Cambria"/>
          <w:lang w:val="es-ES_tradnl"/>
        </w:rPr>
        <w:footnoteReference w:id="34"/>
      </w:r>
      <w:r w:rsidRPr="00D43C76">
        <w:rPr>
          <w:rFonts w:ascii="Cambria" w:hAnsi="Cambria"/>
          <w:lang w:val="es-ES_tradnl"/>
        </w:rPr>
        <w:t>.</w:t>
      </w:r>
      <w:r w:rsidR="00920191" w:rsidRPr="00D43C76">
        <w:rPr>
          <w:rFonts w:ascii="Cambria" w:hAnsi="Cambria"/>
          <w:lang w:val="es-ES_tradnl"/>
        </w:rPr>
        <w:t xml:space="preserve"> </w:t>
      </w:r>
      <w:r w:rsidRPr="00D43C76">
        <w:rPr>
          <w:rFonts w:ascii="Cambria" w:hAnsi="Cambria"/>
          <w:lang w:val="es-ES_tradnl"/>
        </w:rPr>
        <w:t>Según la Corte</w:t>
      </w:r>
      <w:r w:rsidR="00920191" w:rsidRPr="00D43C76">
        <w:rPr>
          <w:rFonts w:ascii="Cambria" w:hAnsi="Cambria"/>
          <w:lang w:val="es-ES_tradnl"/>
        </w:rPr>
        <w:t>:</w:t>
      </w:r>
    </w:p>
    <w:p w14:paraId="07DC5A25" w14:textId="77777777" w:rsidR="00920191" w:rsidRPr="00D43C76" w:rsidRDefault="00920191" w:rsidP="00920191">
      <w:pPr>
        <w:pStyle w:val="ListParagraph"/>
        <w:rPr>
          <w:sz w:val="20"/>
          <w:szCs w:val="20"/>
          <w:lang w:val="es-ES_tradnl"/>
        </w:rPr>
      </w:pPr>
    </w:p>
    <w:p w14:paraId="2B7AF650" w14:textId="77777777" w:rsidR="00920191" w:rsidRPr="00D43C76" w:rsidRDefault="000175BE" w:rsidP="0046269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La Corte Interamericana ya ha establecido que la orientación sexual y la identidad de género de las personas son categorías protegidas por la Convención. Por ello, está proscrita por la Convención cualquier norma, acto o práctica discriminatoria basada en la orientación sexual de la persona. En consecuencia, ninguna norma, decisión </w:t>
      </w:r>
      <w:r w:rsidRPr="00D43C76">
        <w:rPr>
          <w:rFonts w:asciiTheme="majorHAnsi" w:hAnsiTheme="majorHAnsi"/>
          <w:sz w:val="18"/>
          <w:szCs w:val="18"/>
          <w:lang w:val="es-ES_tradnl"/>
        </w:rPr>
        <w:lastRenderedPageBreak/>
        <w:t>o práctica de derecho interno, sea por parte de autoridades estatales o por particulares, pueden disminuir o restringir, de modo alguno, los derechos de una persona a partir de su orientación sexual</w:t>
      </w:r>
      <w:r w:rsidR="00920191" w:rsidRPr="00D43C76">
        <w:rPr>
          <w:rFonts w:asciiTheme="majorHAnsi" w:hAnsiTheme="majorHAnsi"/>
          <w:sz w:val="18"/>
          <w:szCs w:val="18"/>
          <w:vertAlign w:val="superscript"/>
          <w:lang w:val="es-ES_tradnl"/>
        </w:rPr>
        <w:footnoteReference w:id="35"/>
      </w:r>
      <w:r w:rsidRPr="00D43C76">
        <w:rPr>
          <w:rFonts w:asciiTheme="majorHAnsi" w:hAnsiTheme="majorHAnsi"/>
          <w:sz w:val="18"/>
          <w:szCs w:val="18"/>
          <w:lang w:val="es-ES_tradnl"/>
        </w:rPr>
        <w:t>.</w:t>
      </w:r>
    </w:p>
    <w:p w14:paraId="27482FBC" w14:textId="77777777" w:rsidR="00920191" w:rsidRPr="00D43C76" w:rsidRDefault="00920191" w:rsidP="0046269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175BFC84" w14:textId="77777777" w:rsidR="00920191" w:rsidRPr="00D43C76" w:rsidRDefault="000175BE" w:rsidP="0046269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En ese sentido, el instrumento interamericano proscribe la discriminación, en general, incluyendo en ello categorías como las de la orientación sexual</w:t>
      </w:r>
      <w:r w:rsidR="00041B52" w:rsidRPr="00D43C76">
        <w:rPr>
          <w:rFonts w:asciiTheme="majorHAnsi" w:hAnsiTheme="majorHAnsi"/>
          <w:sz w:val="18"/>
          <w:szCs w:val="18"/>
          <w:lang w:val="es-ES_tradnl"/>
        </w:rPr>
        <w:t>,</w:t>
      </w:r>
      <w:r w:rsidRPr="00D43C76">
        <w:rPr>
          <w:rFonts w:asciiTheme="majorHAnsi" w:hAnsiTheme="majorHAnsi"/>
          <w:sz w:val="18"/>
          <w:szCs w:val="18"/>
          <w:lang w:val="es-ES_tradnl"/>
        </w:rPr>
        <w:t xml:space="preserve"> la que no puede servir de sustento para negar o restringir ninguno de los derechos establecidos en la Convención. Lo anterior sería contrario a lo establecido en el artículo 1.1 de la Convención Americana</w:t>
      </w:r>
      <w:r w:rsidR="00920191" w:rsidRPr="00D43C76">
        <w:rPr>
          <w:rFonts w:asciiTheme="majorHAnsi" w:hAnsiTheme="majorHAnsi"/>
          <w:sz w:val="18"/>
          <w:szCs w:val="18"/>
          <w:vertAlign w:val="superscript"/>
          <w:lang w:val="es-ES_tradnl"/>
        </w:rPr>
        <w:footnoteReference w:id="36"/>
      </w:r>
      <w:r w:rsidRPr="00D43C76">
        <w:rPr>
          <w:rFonts w:asciiTheme="majorHAnsi" w:hAnsiTheme="majorHAnsi"/>
          <w:sz w:val="18"/>
          <w:szCs w:val="18"/>
          <w:lang w:val="es-ES_tradnl"/>
        </w:rPr>
        <w:t>.</w:t>
      </w:r>
    </w:p>
    <w:p w14:paraId="3EF316CA" w14:textId="77777777" w:rsidR="005A6EFD" w:rsidRPr="00D43C76" w:rsidRDefault="005A6EFD" w:rsidP="005A6EFD">
      <w:pPr>
        <w:pStyle w:val="parrafos"/>
        <w:tabs>
          <w:tab w:val="left" w:pos="720"/>
        </w:tabs>
        <w:rPr>
          <w:rFonts w:ascii="Cambria" w:hAnsi="Cambria"/>
          <w:lang w:val="es-ES_tradnl"/>
        </w:rPr>
      </w:pPr>
    </w:p>
    <w:p w14:paraId="0EBE1E20" w14:textId="77777777" w:rsidR="005A6EFD" w:rsidRPr="00D43C76" w:rsidRDefault="000175BE"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Asimismo, la Corte ha señalado que el alcance del derecho a la no discriminación por orientación sexual no se limita a la condición de ser homosexual en sí, sino que incluye su expresión y las consecuencias necesarias en el proyecto de vida de las personas. La protección contra la discriminación basada en la orientación sexual no se relaciona únicamente con un trato menos favorable por ser lesbiana o gay, sino que abarca también la discriminación </w:t>
      </w:r>
      <w:r w:rsidR="00041B52" w:rsidRPr="00D43C76">
        <w:rPr>
          <w:rFonts w:ascii="Cambria" w:hAnsi="Cambria"/>
          <w:lang w:val="es-ES_tradnl"/>
        </w:rPr>
        <w:t xml:space="preserve">debida a que </w:t>
      </w:r>
      <w:r w:rsidRPr="00D43C76">
        <w:rPr>
          <w:rFonts w:ascii="Cambria" w:hAnsi="Cambria"/>
          <w:lang w:val="es-ES_tradnl"/>
        </w:rPr>
        <w:t>una persona actúa según su orientación sexual al optar por participar en actividades sexuales consensuales en privado o iniciar una relación de pareja a largo plazo con una persona del mismo sexo</w:t>
      </w:r>
      <w:r w:rsidR="005A6EFD" w:rsidRPr="00D43C76">
        <w:rPr>
          <w:rStyle w:val="FootnoteReference"/>
          <w:rFonts w:ascii="Cambria" w:hAnsi="Cambria"/>
          <w:lang w:val="es-ES_tradnl"/>
        </w:rPr>
        <w:footnoteReference w:id="37"/>
      </w:r>
      <w:r w:rsidRPr="00D43C76">
        <w:rPr>
          <w:rFonts w:ascii="Cambria" w:hAnsi="Cambria"/>
          <w:lang w:val="es-ES_tradnl"/>
        </w:rPr>
        <w:t>.</w:t>
      </w:r>
    </w:p>
    <w:p w14:paraId="2E9663D4" w14:textId="77777777" w:rsidR="005A6EFD" w:rsidRPr="00D43C76" w:rsidRDefault="005A6EFD" w:rsidP="005A6EFD">
      <w:pPr>
        <w:pStyle w:val="parrafos"/>
        <w:tabs>
          <w:tab w:val="left" w:pos="720"/>
        </w:tabs>
        <w:rPr>
          <w:rFonts w:ascii="Cambria" w:hAnsi="Cambria"/>
          <w:lang w:val="es-ES_tradnl"/>
        </w:rPr>
      </w:pPr>
    </w:p>
    <w:p w14:paraId="5A808A50" w14:textId="77777777" w:rsidR="005A6EFD" w:rsidRPr="00D43C76" w:rsidRDefault="000175BE" w:rsidP="006637A4">
      <w:pPr>
        <w:pStyle w:val="parrafos"/>
        <w:numPr>
          <w:ilvl w:val="0"/>
          <w:numId w:val="57"/>
        </w:numPr>
        <w:tabs>
          <w:tab w:val="clear" w:pos="1080"/>
          <w:tab w:val="left" w:pos="720"/>
        </w:tabs>
        <w:ind w:left="0" w:firstLine="0"/>
        <w:rPr>
          <w:rFonts w:ascii="Cambria" w:hAnsi="Cambria"/>
          <w:lang w:val="es-ES_tradnl"/>
        </w:rPr>
      </w:pPr>
      <w:bookmarkStart w:id="51" w:name="_Ref319669930"/>
      <w:bookmarkStart w:id="52" w:name="_Ref318127168"/>
      <w:r w:rsidRPr="00D43C76">
        <w:rPr>
          <w:rFonts w:ascii="Cambria" w:hAnsi="Cambria"/>
          <w:lang w:val="es-ES_tradnl"/>
        </w:rPr>
        <w:t>En lo que concierne al derecho a la intimidad y a la autonomía, la Corte ha señalado que el artículo 11 de la Convención prohíbe toda injerencia arbitraria o abusiva en la vida privada de las personas y enuncia diversos ámbitos de la misma, como la vida privada de su familia. En ese sentido, la Corte ha sostenido que el ámbito de la privacidad se caracteriza por quedar exento e inmune a las invasiones o agresiones abusivas o arbitrarias de terceros o de la autoridad pública</w:t>
      </w:r>
      <w:r w:rsidR="005A6EFD" w:rsidRPr="00D43C76">
        <w:rPr>
          <w:rStyle w:val="FootnoteReference"/>
          <w:rFonts w:ascii="Cambria" w:hAnsi="Cambria" w:cs="Verdana"/>
          <w:lang w:val="es-ES_tradnl"/>
        </w:rPr>
        <w:footnoteReference w:id="38"/>
      </w:r>
      <w:bookmarkEnd w:id="51"/>
      <w:bookmarkEnd w:id="52"/>
      <w:r w:rsidRPr="00D43C76">
        <w:rPr>
          <w:rFonts w:ascii="Cambria" w:hAnsi="Cambria"/>
          <w:lang w:val="es-ES_tradnl"/>
        </w:rPr>
        <w:t>.</w:t>
      </w:r>
      <w:r w:rsidR="005A6EFD" w:rsidRPr="00D43C76">
        <w:rPr>
          <w:rFonts w:ascii="Cambria" w:hAnsi="Cambria" w:cs="Verdana"/>
          <w:lang w:val="es-ES_tradnl"/>
        </w:rPr>
        <w:t xml:space="preserve"> </w:t>
      </w:r>
      <w:r w:rsidRPr="00D43C76">
        <w:rPr>
          <w:rFonts w:ascii="Cambria" w:hAnsi="Cambria"/>
          <w:lang w:val="es-ES_tradnl"/>
        </w:rPr>
        <w:t xml:space="preserve">La Corte ha señalado asimismo que </w:t>
      </w:r>
      <w:r w:rsidRPr="00D43C76">
        <w:rPr>
          <w:rFonts w:ascii="Cambria" w:hAnsi="Cambria" w:cs="Verdana"/>
          <w:lang w:val="es-ES_tradnl"/>
        </w:rPr>
        <w:t>“[l]a vida privada es un concepto amplio que no es susceptible de definiciones exhaustivas y comprende, entre otros ámbitos protegidos, la vida sexual y el derecho a establecer y desarrollar relaciones con otros seres humanos. Es decir, la vida privada incluye la forma en que el individuo se ve a sí mismo y cómo y cuándo decide proyectar a los demás”</w:t>
      </w:r>
      <w:r w:rsidR="005A6EFD" w:rsidRPr="00D43C76">
        <w:rPr>
          <w:rStyle w:val="FootnoteReference"/>
          <w:rFonts w:ascii="Cambria" w:hAnsi="Cambria"/>
          <w:lang w:val="es-ES_tradnl"/>
        </w:rPr>
        <w:footnoteReference w:id="39"/>
      </w:r>
      <w:r w:rsidRPr="00D43C76">
        <w:rPr>
          <w:rFonts w:ascii="Cambria" w:hAnsi="Cambria" w:cs="Verdana"/>
          <w:lang w:val="es-ES_tradnl"/>
        </w:rPr>
        <w:t>.</w:t>
      </w:r>
    </w:p>
    <w:p w14:paraId="10471826" w14:textId="77777777" w:rsidR="005A6EFD" w:rsidRPr="00D43C76" w:rsidRDefault="005A6EFD" w:rsidP="005A6EFD">
      <w:pPr>
        <w:pStyle w:val="ListParagraph"/>
        <w:rPr>
          <w:lang w:val="es-ES_tradnl"/>
        </w:rPr>
      </w:pPr>
    </w:p>
    <w:p w14:paraId="127631AA" w14:textId="77777777" w:rsidR="00685195" w:rsidRPr="00D43C76" w:rsidRDefault="000175BE"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Sobre la base de lo que antecede, la Corte Interamericana ha señalado que la orientación sexual forma parte de la vida privada de las personas. Por lo tanto, es una esfera en la que no puede haber una interferencia arbitraria</w:t>
      </w:r>
      <w:r w:rsidR="005A6EFD" w:rsidRPr="00D43C76">
        <w:rPr>
          <w:rStyle w:val="FootnoteReference"/>
          <w:rFonts w:ascii="Cambria" w:hAnsi="Cambria"/>
          <w:lang w:val="es-ES_tradnl"/>
        </w:rPr>
        <w:footnoteReference w:id="40"/>
      </w:r>
      <w:r w:rsidRPr="00D43C76">
        <w:rPr>
          <w:rFonts w:ascii="Cambria" w:hAnsi="Cambria"/>
          <w:lang w:val="es-ES_tradnl"/>
        </w:rPr>
        <w:t>.</w:t>
      </w:r>
      <w:r w:rsidR="005A6EFD" w:rsidRPr="00D43C76">
        <w:rPr>
          <w:rFonts w:ascii="Cambria" w:hAnsi="Cambria"/>
          <w:lang w:val="es-ES_tradnl"/>
        </w:rPr>
        <w:t xml:space="preserve"> </w:t>
      </w:r>
      <w:r w:rsidRPr="00D43C76">
        <w:rPr>
          <w:rFonts w:ascii="Cambria" w:hAnsi="Cambria"/>
          <w:lang w:val="es-ES_tradnl"/>
        </w:rPr>
        <w:t xml:space="preserve">En el caso </w:t>
      </w:r>
      <w:r w:rsidRPr="00D43C76">
        <w:rPr>
          <w:rFonts w:ascii="Cambria" w:hAnsi="Cambria"/>
          <w:i/>
          <w:lang w:val="es-ES_tradnl"/>
        </w:rPr>
        <w:t>Atala Riffo y niñas contra Chile</w:t>
      </w:r>
      <w:r w:rsidRPr="00D43C76">
        <w:rPr>
          <w:rFonts w:ascii="Cambria" w:hAnsi="Cambria"/>
          <w:lang w:val="es-ES_tradnl"/>
        </w:rPr>
        <w:t>, la Corte dictaminó que, como los tribunales internos “tuvieron como referente la orientación sexual” de la señora Atala, expusieron diversos aspectos de su vida privada</w:t>
      </w:r>
      <w:r w:rsidR="005A6EFD" w:rsidRPr="00D43C76">
        <w:rPr>
          <w:rStyle w:val="FootnoteReference"/>
          <w:rFonts w:ascii="Cambria" w:hAnsi="Cambria"/>
          <w:lang w:val="es-ES_tradnl"/>
        </w:rPr>
        <w:footnoteReference w:id="41"/>
      </w:r>
      <w:r w:rsidRPr="00D43C76">
        <w:rPr>
          <w:rFonts w:ascii="Cambria" w:hAnsi="Cambria"/>
          <w:lang w:val="es-ES_tradnl"/>
        </w:rPr>
        <w:t>.</w:t>
      </w:r>
    </w:p>
    <w:p w14:paraId="5B5C01A6" w14:textId="77777777" w:rsidR="009606E5" w:rsidRPr="00D43C76" w:rsidRDefault="009606E5" w:rsidP="009606E5">
      <w:pPr>
        <w:pStyle w:val="parrafos"/>
        <w:tabs>
          <w:tab w:val="left" w:pos="720"/>
        </w:tabs>
        <w:rPr>
          <w:rFonts w:ascii="Cambria" w:hAnsi="Cambria"/>
          <w:lang w:val="es-ES_tradnl"/>
        </w:rPr>
      </w:pPr>
    </w:p>
    <w:p w14:paraId="73B834AA" w14:textId="77777777" w:rsidR="009B39D5" w:rsidRPr="00D43C76" w:rsidRDefault="000175BE"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Además, la Comisión recuerda que la Convención protege el derecho a la integridad personal, que abarca la integridad física, psíquica y moral y es uno de los valores más fundamentales en una sociedad democrática</w:t>
      </w:r>
      <w:r w:rsidR="00DE19A7" w:rsidRPr="00D43C76">
        <w:rPr>
          <w:rStyle w:val="FootnoteReference"/>
          <w:rFonts w:ascii="Cambria" w:hAnsi="Cambria"/>
          <w:lang w:val="es-ES_tradnl"/>
        </w:rPr>
        <w:footnoteReference w:id="42"/>
      </w:r>
      <w:r w:rsidRPr="00D43C76">
        <w:rPr>
          <w:rFonts w:ascii="Cambria" w:hAnsi="Cambria"/>
          <w:lang w:val="es-ES_tradnl"/>
        </w:rPr>
        <w:t>.</w:t>
      </w:r>
      <w:r w:rsidR="00CF1A57" w:rsidRPr="00D43C76">
        <w:rPr>
          <w:rFonts w:ascii="Cambria" w:hAnsi="Cambria"/>
          <w:lang w:val="es-ES_tradnl"/>
        </w:rPr>
        <w:t xml:space="preserve"> </w:t>
      </w:r>
      <w:r w:rsidRPr="00D43C76">
        <w:rPr>
          <w:rFonts w:ascii="Cambria" w:hAnsi="Cambria"/>
          <w:lang w:val="es-ES_tradnl"/>
        </w:rPr>
        <w:t>La infracción de ese derecho puede tener diversas connotaciones de grado, que van desde la tortura hasta otros tipos de vejámenes o tratos crueles, inhumanos o degradantes cuyas secuelas físicas y psíquicas varían en intensidad según los factores endógenos y exógenos</w:t>
      </w:r>
      <w:r w:rsidR="009B39D5" w:rsidRPr="00D43C76">
        <w:rPr>
          <w:rStyle w:val="FootnoteReference"/>
          <w:rFonts w:ascii="Cambria" w:hAnsi="Cambria"/>
          <w:lang w:val="es-ES_tradnl"/>
        </w:rPr>
        <w:footnoteReference w:id="43"/>
      </w:r>
      <w:r w:rsidRPr="00D43C76">
        <w:rPr>
          <w:rFonts w:ascii="Cambria" w:hAnsi="Cambria"/>
          <w:lang w:val="es-ES_tradnl"/>
        </w:rPr>
        <w:t>.</w:t>
      </w:r>
      <w:r w:rsidR="00CF1A57" w:rsidRPr="00D43C76">
        <w:rPr>
          <w:rFonts w:ascii="Cambria" w:hAnsi="Cambria"/>
          <w:lang w:val="es-ES_tradnl"/>
        </w:rPr>
        <w:t xml:space="preserve"> </w:t>
      </w:r>
      <w:r w:rsidRPr="00D43C76">
        <w:rPr>
          <w:rFonts w:ascii="Cambria" w:hAnsi="Cambria"/>
          <w:lang w:val="es-ES_tradnl"/>
        </w:rPr>
        <w:t>En los casos de aplicación arbitraria del derecho penal, la CIDH ha considerado que la amenaza de una eventual detención o la mera emisión de una orden de arresto, aunque no sea ejecutada, pueden representar una violación de la integridad personal porque provocan incertidumbre y ansiedad, que pueden afectar la salud física y emocional de la persona</w:t>
      </w:r>
      <w:r w:rsidR="005B38A5" w:rsidRPr="00D43C76">
        <w:rPr>
          <w:rStyle w:val="FootnoteReference"/>
          <w:rFonts w:ascii="Cambria" w:hAnsi="Cambria"/>
          <w:lang w:val="es-ES_tradnl"/>
        </w:rPr>
        <w:footnoteReference w:id="44"/>
      </w:r>
      <w:r w:rsidRPr="00D43C76">
        <w:rPr>
          <w:rFonts w:ascii="Cambria" w:hAnsi="Cambria"/>
          <w:lang w:val="es-ES_tradnl"/>
        </w:rPr>
        <w:t>.</w:t>
      </w:r>
    </w:p>
    <w:p w14:paraId="7CC94528" w14:textId="77777777" w:rsidR="001B7A71" w:rsidRPr="00D43C76" w:rsidRDefault="001B7A71" w:rsidP="00113D69">
      <w:pPr>
        <w:pStyle w:val="parrafos"/>
        <w:tabs>
          <w:tab w:val="left" w:pos="720"/>
        </w:tabs>
        <w:rPr>
          <w:rFonts w:ascii="Cambria" w:hAnsi="Cambria"/>
          <w:lang w:val="es-ES_tradnl"/>
        </w:rPr>
      </w:pPr>
    </w:p>
    <w:p w14:paraId="506F02D8" w14:textId="77777777" w:rsidR="00A53CFC" w:rsidRPr="00D43C76" w:rsidRDefault="000175BE"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lastRenderedPageBreak/>
        <w:t>Tanto la Corte Interamericana como la Comisión han determinado que la penalización de las relaciones sexuales consensuales entre personas del mismo sexo viola el principio de igualdad y no discriminación y el derecho a la intimidad</w:t>
      </w:r>
      <w:r w:rsidR="00A53CFC" w:rsidRPr="00D43C76">
        <w:rPr>
          <w:rFonts w:ascii="Cambria" w:hAnsi="Cambria"/>
          <w:lang w:val="es-ES_tradnl"/>
        </w:rPr>
        <w:t xml:space="preserve">. </w:t>
      </w:r>
    </w:p>
    <w:p w14:paraId="4DCD074A" w14:textId="77777777" w:rsidR="00A53CFC" w:rsidRPr="00D43C76" w:rsidRDefault="00A53CFC" w:rsidP="00A53CFC">
      <w:pPr>
        <w:pStyle w:val="parrafos"/>
        <w:tabs>
          <w:tab w:val="left" w:pos="720"/>
        </w:tabs>
        <w:rPr>
          <w:rFonts w:ascii="Cambria" w:hAnsi="Cambria"/>
          <w:lang w:val="es-ES_tradnl"/>
        </w:rPr>
      </w:pPr>
    </w:p>
    <w:p w14:paraId="4D9D6E29" w14:textId="77777777" w:rsidR="00797A75" w:rsidRPr="00D43C76" w:rsidRDefault="000175BE"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En su opinión consultiva sobre la identidad de género y la no discriminación de parejas del mismo sexo</w:t>
      </w:r>
      <w:r w:rsidRPr="00D43C76">
        <w:rPr>
          <w:rFonts w:ascii="Cambria" w:hAnsi="Cambria"/>
          <w:i/>
          <w:lang w:val="es-ES_tradnl"/>
        </w:rPr>
        <w:t xml:space="preserve">, </w:t>
      </w:r>
      <w:r w:rsidRPr="00D43C76">
        <w:rPr>
          <w:rFonts w:ascii="Cambria" w:hAnsi="Cambria"/>
          <w:lang w:val="es-ES_tradnl"/>
        </w:rPr>
        <w:t>la Corte Interamericana señala que las personas LGBTI sufren discriminación oficial en forma de leyes y políticas estatales que tipifican la homosexualidad como delito. Agrega que</w:t>
      </w:r>
      <w:r w:rsidR="001C3CB6" w:rsidRPr="00D43C76">
        <w:rPr>
          <w:rFonts w:ascii="Cambria" w:hAnsi="Cambria"/>
          <w:lang w:val="es-ES_tradnl"/>
        </w:rPr>
        <w:t xml:space="preserve"> en la región</w:t>
      </w:r>
      <w:r w:rsidRPr="00D43C76">
        <w:rPr>
          <w:rFonts w:ascii="Cambria" w:hAnsi="Cambria"/>
          <w:lang w:val="es-ES_tradnl"/>
        </w:rPr>
        <w:t xml:space="preserve"> todavía hay varios Estados </w:t>
      </w:r>
      <w:r w:rsidR="001C3CB6" w:rsidRPr="00D43C76">
        <w:rPr>
          <w:rFonts w:ascii="Cambria" w:hAnsi="Cambria"/>
          <w:lang w:val="es-ES_tradnl"/>
        </w:rPr>
        <w:t xml:space="preserve">donde </w:t>
      </w:r>
      <w:r w:rsidRPr="00D43C76">
        <w:rPr>
          <w:rFonts w:ascii="Cambria" w:hAnsi="Cambria"/>
          <w:lang w:val="es-ES_tradnl"/>
        </w:rPr>
        <w:t>se penalizan las relaciones sexuales consensuales entre adultos del mismo sexo en privado, lo cual la Corte y diversos órganos de protección del derecho internacional de los derechos humanos han considerado contrario a los derechos humanos porque viola los derechos a la igualdad y a la no discriminación, así como el derecho a la intimidad</w:t>
      </w:r>
      <w:r w:rsidR="005E2719" w:rsidRPr="00D43C76">
        <w:rPr>
          <w:rStyle w:val="FootnoteReference"/>
          <w:rFonts w:ascii="Cambria" w:hAnsi="Cambria"/>
          <w:lang w:val="es-ES_tradnl"/>
        </w:rPr>
        <w:footnoteReference w:id="45"/>
      </w:r>
      <w:r w:rsidRPr="00D43C76">
        <w:rPr>
          <w:rFonts w:ascii="Cambria" w:hAnsi="Cambria"/>
          <w:lang w:val="es-ES_tradnl"/>
        </w:rPr>
        <w:t>.</w:t>
      </w:r>
    </w:p>
    <w:p w14:paraId="2B97F14A" w14:textId="77777777" w:rsidR="007E239A" w:rsidRPr="00D43C76" w:rsidRDefault="007E239A" w:rsidP="001F3A88">
      <w:pPr>
        <w:rPr>
          <w:lang w:val="es-ES_tradnl"/>
        </w:rPr>
      </w:pPr>
    </w:p>
    <w:p w14:paraId="7F1067EA" w14:textId="77777777" w:rsidR="007E239A" w:rsidRPr="00D43C76" w:rsidRDefault="001C3CB6"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L</w:t>
      </w:r>
      <w:r w:rsidR="000175BE" w:rsidRPr="00D43C76">
        <w:rPr>
          <w:rFonts w:ascii="Cambria" w:hAnsi="Cambria"/>
          <w:lang w:val="es-ES_tradnl"/>
        </w:rPr>
        <w:t>a Comisión ha señalado que las disposiciones que sancionan a un grupo determinado de personas por participar en un acto o práctica sexual consensual con otra persona del mismo sexo no son admisibles, ya que se oponen directamente a la prohibición de discriminar por motivos de orientación sexual</w:t>
      </w:r>
      <w:r w:rsidR="00F03911" w:rsidRPr="00D43C76">
        <w:rPr>
          <w:rStyle w:val="FootnoteReference"/>
          <w:rFonts w:ascii="Cambria" w:hAnsi="Cambria"/>
          <w:lang w:val="es-ES_tradnl"/>
        </w:rPr>
        <w:footnoteReference w:id="46"/>
      </w:r>
      <w:r w:rsidR="000175BE" w:rsidRPr="00D43C76">
        <w:rPr>
          <w:rFonts w:ascii="Cambria" w:hAnsi="Cambria"/>
          <w:lang w:val="es-ES_tradnl"/>
        </w:rPr>
        <w:t>.</w:t>
      </w:r>
      <w:r w:rsidR="00892161" w:rsidRPr="00D43C76">
        <w:rPr>
          <w:rFonts w:ascii="Cambria" w:hAnsi="Cambria"/>
          <w:lang w:val="es-ES_tradnl"/>
        </w:rPr>
        <w:t xml:space="preserve"> </w:t>
      </w:r>
      <w:r w:rsidR="000175BE" w:rsidRPr="00D43C76">
        <w:rPr>
          <w:rFonts w:ascii="Cambria" w:hAnsi="Cambria"/>
          <w:lang w:val="es-ES_tradnl"/>
        </w:rPr>
        <w:t>Específicamente, en su informe sobre la violencia contra personas lesbianas, gay, bisexuales, trans e intersex en las Américas, la Comisión indicó que</w:t>
      </w:r>
      <w:r w:rsidR="001E3B05" w:rsidRPr="00D43C76">
        <w:rPr>
          <w:rFonts w:ascii="Cambria" w:hAnsi="Cambria"/>
          <w:lang w:val="es-ES_tradnl"/>
        </w:rPr>
        <w:t>:</w:t>
      </w:r>
    </w:p>
    <w:p w14:paraId="336F7984" w14:textId="77777777" w:rsidR="001E3B05" w:rsidRPr="00D43C76" w:rsidRDefault="001E3B05" w:rsidP="001E3B05">
      <w:pPr>
        <w:pStyle w:val="ListParagraph"/>
        <w:rPr>
          <w:lang w:val="es-ES_tradnl"/>
        </w:rPr>
      </w:pPr>
    </w:p>
    <w:p w14:paraId="56957A05" w14:textId="77777777" w:rsidR="00934144" w:rsidRPr="00D43C76" w:rsidRDefault="000175BE" w:rsidP="005869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las disposiciones legales que criminalizan las relaciones sexuales consentidas entre personas del mismo sexo en privado son incompatibles con los principios de igualdad y no discriminación de acuerdo con el derecho internacional de los derechos humanos. En este sentido, y tomando en cuenta su impacto en la violencia contra personas LGBT, la CIDH insta a los Estados de la región que tienen vigentes leyes que criminalizan el sexo consensual entre personas adultas del mismo sexo, leyes contra la “indecencia grave” y la “indecencia seria”, y legislación que criminaliza el uso de prendas tradicionalmente asignadas a otro género, a derogar estas disposiciones legales, y, mientras tanto, a imponer una moratoria explícita y formal sobre la aplicación de las mismas. Esto enviaría un claro mensaje a la sociedad en general, y a los agentes encargados de hacer cumplir la ley en particular, de que estas leyes no pueden ser utilizadas para amenazar o extorsionar a las personas LGBT o aquellas que son percibidas como tales</w:t>
      </w:r>
      <w:r w:rsidR="00511377" w:rsidRPr="00D43C76">
        <w:rPr>
          <w:rStyle w:val="FootnoteReference"/>
          <w:rFonts w:asciiTheme="majorHAnsi" w:hAnsiTheme="majorHAnsi"/>
          <w:sz w:val="18"/>
          <w:szCs w:val="18"/>
          <w:lang w:val="es-ES_tradnl"/>
        </w:rPr>
        <w:footnoteReference w:id="47"/>
      </w:r>
      <w:r w:rsidRPr="00D43C76">
        <w:rPr>
          <w:rFonts w:asciiTheme="majorHAnsi" w:hAnsiTheme="majorHAnsi"/>
          <w:sz w:val="18"/>
          <w:szCs w:val="18"/>
          <w:lang w:val="es-ES_tradnl"/>
        </w:rPr>
        <w:t>.</w:t>
      </w:r>
      <w:r w:rsidR="00511377" w:rsidRPr="00D43C76">
        <w:rPr>
          <w:rFonts w:asciiTheme="majorHAnsi" w:hAnsiTheme="majorHAnsi"/>
          <w:sz w:val="18"/>
          <w:szCs w:val="18"/>
          <w:lang w:val="es-ES_tradnl"/>
        </w:rPr>
        <w:t xml:space="preserve"> </w:t>
      </w:r>
    </w:p>
    <w:p w14:paraId="3F76ED14" w14:textId="77777777" w:rsidR="00E819FB" w:rsidRPr="00D43C76" w:rsidRDefault="00586954"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Varios </w:t>
      </w:r>
      <w:r w:rsidR="000175BE" w:rsidRPr="00D43C76">
        <w:rPr>
          <w:rFonts w:ascii="Cambria" w:hAnsi="Cambria"/>
          <w:lang w:val="es-ES_tradnl"/>
        </w:rPr>
        <w:t>órganos internacionales de derechos humanos y tribunales internos superiores también han establecido la incompatibilidad de las disposiciones que sancionan prácticas sexuales entre personas del mismo sexo con el derecho a la intimidad y el principio de no discriminación y han puesto de relieve el nexo entre la penalización y la violencia contra las personas LGBTI</w:t>
      </w:r>
      <w:r w:rsidR="002B1EF2" w:rsidRPr="00D43C76">
        <w:rPr>
          <w:rFonts w:ascii="Cambria" w:hAnsi="Cambria"/>
          <w:lang w:val="es-ES_tradnl"/>
        </w:rPr>
        <w:t xml:space="preserve">. </w:t>
      </w:r>
    </w:p>
    <w:p w14:paraId="5071FB3F" w14:textId="77777777" w:rsidR="00797A75" w:rsidRPr="00D43C76" w:rsidRDefault="00797A75" w:rsidP="00E819FB">
      <w:pPr>
        <w:rPr>
          <w:lang w:val="es-ES_tradnl"/>
        </w:rPr>
      </w:pPr>
    </w:p>
    <w:p w14:paraId="3FC077B4" w14:textId="77777777" w:rsidR="00B94F89" w:rsidRPr="00D43C76" w:rsidRDefault="0011132C"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En el caso </w:t>
      </w:r>
      <w:r w:rsidRPr="00D43C76">
        <w:rPr>
          <w:rFonts w:ascii="Cambria" w:hAnsi="Cambria"/>
          <w:i/>
          <w:lang w:val="es-ES_tradnl"/>
        </w:rPr>
        <w:t>Toonen contra Australia</w:t>
      </w:r>
      <w:r w:rsidRPr="00D43C76">
        <w:rPr>
          <w:rFonts w:ascii="Cambria" w:hAnsi="Cambria"/>
          <w:lang w:val="es-ES_tradnl"/>
        </w:rPr>
        <w:t>, el Comité de Derechos Humanos dictaminó que las leyes que penalizan las relaciones sexuales consensuales privadas entre personas del mismo sexo violan los derechos a la intimidad y a la discriminación, se apliquen o no, si la víctima en el caso ha sido objeto de una investigación o un juicio. Concretamente, el Comité explicó lo siguiente</w:t>
      </w:r>
      <w:r w:rsidR="00E13134" w:rsidRPr="00D43C76">
        <w:rPr>
          <w:rFonts w:ascii="Cambria" w:hAnsi="Cambria"/>
          <w:lang w:val="es-ES_tradnl"/>
        </w:rPr>
        <w:t>:</w:t>
      </w:r>
    </w:p>
    <w:p w14:paraId="55BD09BC" w14:textId="77777777" w:rsidR="00B94F89" w:rsidRPr="00D43C76" w:rsidRDefault="00B94F89" w:rsidP="00B94F89">
      <w:pPr>
        <w:pStyle w:val="ListParagraph"/>
        <w:rPr>
          <w:lang w:val="es-ES_tradnl"/>
        </w:rPr>
      </w:pPr>
    </w:p>
    <w:p w14:paraId="502B46DD" w14:textId="77777777" w:rsidR="00B94F89" w:rsidRPr="00D43C76" w:rsidRDefault="0011132C"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En lo que atañe al artículo 17, es indiscutible que la actividad sexual consensual llevada a cabo en privado entre adultos queda incluida en el concepto de “vida privada” y que en la actualidad el Sr. Toonen se ve realmente afectado por el mantenimiento de las leyes impugnadas. El Comité considera que los apartados a) y c) del artículo 122 y el artículo 123 del Código Penal de Tasmania representan una “injerencia” en la vida privada del autor, aun cuando esas disposiciones no se apliquen desde hace un decenio. En ese contexto, el Comité señala que la política del ministerio público de no entablar acciones penales en relación con una conducta homosexual privada no constituye una garantía de que en el futuro no se iniciarán acciones contra homosexuales, especialmente si se </w:t>
      </w:r>
      <w:r w:rsidRPr="00D43C76">
        <w:rPr>
          <w:rFonts w:asciiTheme="majorHAnsi" w:hAnsiTheme="majorHAnsi"/>
          <w:sz w:val="18"/>
          <w:szCs w:val="18"/>
          <w:lang w:val="es-ES_tradnl"/>
        </w:rPr>
        <w:lastRenderedPageBreak/>
        <w:t>tienen en cuenta las declaraciones no desmentidas del Director del ministerio público de Tasmania formuladas en 1988 y las de los miembros del Parlamento de Tasmania</w:t>
      </w:r>
      <w:r w:rsidR="00B94F89" w:rsidRPr="00D43C76">
        <w:rPr>
          <w:rStyle w:val="FootnoteReference"/>
          <w:rFonts w:asciiTheme="majorHAnsi" w:hAnsiTheme="majorHAnsi"/>
          <w:sz w:val="18"/>
          <w:szCs w:val="18"/>
          <w:lang w:val="es-ES_tradnl"/>
        </w:rPr>
        <w:footnoteReference w:id="48"/>
      </w:r>
      <w:r w:rsidRPr="00D43C76">
        <w:rPr>
          <w:rFonts w:asciiTheme="majorHAnsi" w:hAnsiTheme="majorHAnsi"/>
          <w:sz w:val="18"/>
          <w:szCs w:val="18"/>
          <w:lang w:val="es-ES_tradnl"/>
        </w:rPr>
        <w:t>.</w:t>
      </w:r>
    </w:p>
    <w:p w14:paraId="274A76C3" w14:textId="77777777" w:rsidR="00CB59F1" w:rsidRPr="00D43C76" w:rsidRDefault="00CB59F1" w:rsidP="00B94F89">
      <w:pPr>
        <w:rPr>
          <w:lang w:val="es-ES_tradnl"/>
        </w:rPr>
      </w:pPr>
    </w:p>
    <w:p w14:paraId="6EBACE95" w14:textId="77777777" w:rsidR="00CB59F1" w:rsidRPr="00D43C76" w:rsidRDefault="0011132C"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El Experto Independiente sobre la protección contra la violencia y la discriminación por motivos de orientación sexual e identidad de género, de las Naciones Unidas, ha señalado que la penalización de la homosexualidad y otras formas de diversidad sexual y de género es una de las causas fundamentales de las graves y extendidas violaciones de derechos humanos por motivos de orientación sexual e identidad de género, además de ser contraria al derecho internacional de los derechos humanos</w:t>
      </w:r>
      <w:r w:rsidR="00CB59F1" w:rsidRPr="00D43C76">
        <w:rPr>
          <w:rStyle w:val="FootnoteReference"/>
          <w:rFonts w:ascii="Cambria" w:hAnsi="Cambria"/>
          <w:lang w:val="es-ES_tradnl"/>
        </w:rPr>
        <w:footnoteReference w:id="49"/>
      </w:r>
      <w:r w:rsidRPr="00D43C76">
        <w:rPr>
          <w:rFonts w:ascii="Cambria" w:hAnsi="Cambria"/>
          <w:lang w:val="es-ES_tradnl"/>
        </w:rPr>
        <w:t>.</w:t>
      </w:r>
    </w:p>
    <w:p w14:paraId="0F942FBB" w14:textId="77777777" w:rsidR="00CB59F1" w:rsidRPr="00D43C76" w:rsidRDefault="00CB59F1" w:rsidP="00CB59F1">
      <w:pPr>
        <w:pStyle w:val="ListParagraph"/>
        <w:rPr>
          <w:lang w:val="es-ES_tradnl"/>
        </w:rPr>
      </w:pPr>
    </w:p>
    <w:p w14:paraId="42F7C750" w14:textId="77777777" w:rsidR="00CB59F1" w:rsidRPr="00D43C76" w:rsidRDefault="0011132C"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Por su parte, el Alto Comisionado de las Naciones Unidas para los Derechos Humanos ha señalado que la penalización de actos homosexuales consensuales en privado constituye una conculcación de los derechos individuales a la intimidad y a la no discriminación, así como una vulneración de las normas internacionales de derechos humanos, y recuerda que los titulares de mandatos de procedimientos especiales han destacado la relación entre la penalización y los delitos de carácter homofóbico. Por ejemplo, e</w:t>
      </w:r>
      <w:r w:rsidRPr="00D43C76">
        <w:rPr>
          <w:lang w:val="es-ES_tradnl"/>
        </w:rPr>
        <w:t xml:space="preserve">l </w:t>
      </w:r>
      <w:r w:rsidR="001C3CB6" w:rsidRPr="00D43C76">
        <w:rPr>
          <w:rFonts w:ascii="Cambria" w:hAnsi="Cambria"/>
          <w:lang w:val="es-ES_tradnl"/>
        </w:rPr>
        <w:t>Relator Especial sobre el derecho de toda persona al disfrute del más alto nivel posible de salud física y mental</w:t>
      </w:r>
      <w:r w:rsidRPr="00D43C76">
        <w:rPr>
          <w:lang w:val="es-ES_tradnl"/>
        </w:rPr>
        <w:t xml:space="preserve"> observó que “cuando el Estado sanciona este tipo de castigo, los prejuicios existentes se consolidan, legitimándose la violencia comunitaria y la brutalidad policial contra los afectados”. La Relatora Especial sobre las ejecuciones extrajudiciales, sumarias o arbitrarias hizo notar que la tipificación penal agrava la estigmatización social y hace a las personas “más vulnerables a la violencia y a los abusos en materia de derechos humanos, incluidas las amenazas de muerte y las violaciones del derecho a la vida, que suelen cometerse en un clima de impunidad”</w:t>
      </w:r>
      <w:r w:rsidR="00CB59F1" w:rsidRPr="00D43C76">
        <w:rPr>
          <w:rStyle w:val="FootnoteReference"/>
          <w:lang w:val="es-ES_tradnl"/>
        </w:rPr>
        <w:footnoteReference w:id="50"/>
      </w:r>
      <w:r w:rsidRPr="00D43C76">
        <w:rPr>
          <w:lang w:val="es-ES_tradnl"/>
        </w:rPr>
        <w:t>.</w:t>
      </w:r>
    </w:p>
    <w:p w14:paraId="36A6329D" w14:textId="77777777" w:rsidR="00CB59F1" w:rsidRPr="00D43C76" w:rsidRDefault="00CB59F1" w:rsidP="00CB59F1">
      <w:pPr>
        <w:pStyle w:val="ListParagraph"/>
        <w:rPr>
          <w:lang w:val="es-ES_tradnl"/>
        </w:rPr>
      </w:pPr>
    </w:p>
    <w:p w14:paraId="20F06FC1" w14:textId="77777777" w:rsidR="00CB59F1" w:rsidRPr="00D43C76" w:rsidRDefault="0011132C"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w:t>
      </w:r>
      <w:r w:rsidRPr="00D43C76">
        <w:rPr>
          <w:lang w:val="es-ES_tradnl"/>
        </w:rPr>
        <w:t>Alto Comisionado de las Naciones Unidas para los Derechos Humanos</w:t>
      </w:r>
      <w:r w:rsidRPr="00D43C76">
        <w:rPr>
          <w:rFonts w:ascii="Cambria" w:hAnsi="Cambria"/>
          <w:lang w:val="es-ES_tradnl"/>
        </w:rPr>
        <w:t xml:space="preserve"> ha señalado que “el hecho de no aplicar la ley no significa la despenalización y sigue comportando una violación de los derechos humanos. La simple existencia de dicha ley, aun cuando no se aplique, puede infundir un efecto paralizador en el grupo al que hace referencia y resultar en la restricción de otros derechos como la libertad de expresión o de asociación. Incluso en aquellos Estados que disponen de una política de no aplicar esta legislación, se han documentado detenciones y acoso por parte de los funcionarios responsables de hacer cumplir la ley así como altos niveles de chantaje y extorsión. Con el objetivo de cumplir con el derecho internacional de derechos humanos, los Estados deben implementar la despenalización formal”</w:t>
      </w:r>
      <w:r w:rsidR="00CB59F1" w:rsidRPr="00D43C76">
        <w:rPr>
          <w:rStyle w:val="FootnoteReference"/>
          <w:rFonts w:ascii="Cambria" w:hAnsi="Cambria"/>
          <w:lang w:val="es-ES_tradnl"/>
        </w:rPr>
        <w:footnoteReference w:id="51"/>
      </w:r>
      <w:r w:rsidRPr="00D43C76">
        <w:rPr>
          <w:rFonts w:ascii="Cambria" w:hAnsi="Cambria"/>
          <w:lang w:val="es-ES_tradnl"/>
        </w:rPr>
        <w:t>.</w:t>
      </w:r>
    </w:p>
    <w:p w14:paraId="42FBF3DD" w14:textId="77777777" w:rsidR="00CB59F1" w:rsidRPr="00D43C76" w:rsidRDefault="00CB59F1" w:rsidP="00CB59F1">
      <w:pPr>
        <w:pStyle w:val="ListParagraph"/>
        <w:rPr>
          <w:lang w:val="es-ES_tradnl"/>
        </w:rPr>
      </w:pPr>
    </w:p>
    <w:p w14:paraId="56C73A54" w14:textId="77777777" w:rsidR="00CB59F1" w:rsidRPr="00D43C76" w:rsidRDefault="0011132C"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El Relator Especial sobre la tortura ha señalado que “[e]xiste una relación evidente entre la criminalización de las personas lesbianas, gais, bisexuales y transgénero y los delitos motivados por el odio, los abusos de la policía, la violencia familiar y comunitaria y la estigmatización […]. Tales leyes propician un clima en el que la violencia contra las personas lesbianas, gais, bisexuales y transgénero, tanto si es ejercida por agentes estatales como por agentes ajenos al Estado, es tolerada y recibida con impunidad”</w:t>
      </w:r>
      <w:r w:rsidR="00CB59F1" w:rsidRPr="00D43C76">
        <w:rPr>
          <w:rStyle w:val="FootnoteReference"/>
          <w:rFonts w:ascii="Cambria" w:hAnsi="Cambria"/>
          <w:lang w:val="es-ES_tradnl"/>
        </w:rPr>
        <w:footnoteReference w:id="52"/>
      </w:r>
      <w:r w:rsidRPr="00D43C76">
        <w:rPr>
          <w:rFonts w:ascii="Cambria" w:hAnsi="Cambria"/>
          <w:lang w:val="es-ES_tradnl"/>
        </w:rPr>
        <w:t>.</w:t>
      </w:r>
      <w:r w:rsidR="00CB59F1" w:rsidRPr="00D43C76">
        <w:rPr>
          <w:rFonts w:ascii="Cambria" w:hAnsi="Cambria"/>
          <w:lang w:val="es-ES_tradnl"/>
        </w:rPr>
        <w:t xml:space="preserve"> </w:t>
      </w:r>
    </w:p>
    <w:p w14:paraId="34158893" w14:textId="77777777" w:rsidR="00CB59F1" w:rsidRPr="00D43C76" w:rsidRDefault="00CB59F1" w:rsidP="00B94F89">
      <w:pPr>
        <w:rPr>
          <w:lang w:val="es-ES_tradnl"/>
        </w:rPr>
      </w:pPr>
    </w:p>
    <w:p w14:paraId="392543FF" w14:textId="77777777" w:rsidR="00B94F89" w:rsidRPr="00D43C76" w:rsidRDefault="0011132C"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Análogamente, la Corte Europea de Derechos Humanos dictaminó en el caso </w:t>
      </w:r>
      <w:r w:rsidRPr="00D43C76">
        <w:rPr>
          <w:rFonts w:ascii="Cambria" w:hAnsi="Cambria"/>
          <w:i/>
          <w:lang w:val="es-ES_tradnl"/>
        </w:rPr>
        <w:t>Dudgeon contra el Reino Unido</w:t>
      </w:r>
      <w:r w:rsidRPr="00D43C76">
        <w:rPr>
          <w:rFonts w:ascii="Cambria" w:hAnsi="Cambria"/>
          <w:lang w:val="es-ES_tradnl"/>
        </w:rPr>
        <w:t xml:space="preserve"> que las leyes de sodomía de Irlanda del Norte violaban el derecho a la intimidad establecido en la Convención Europea. Según la Corte Europea</w:t>
      </w:r>
      <w:r w:rsidR="00B94F89" w:rsidRPr="00D43C76">
        <w:rPr>
          <w:rFonts w:ascii="Cambria" w:hAnsi="Cambria"/>
          <w:lang w:val="es-ES_tradnl"/>
        </w:rPr>
        <w:t xml:space="preserve">: </w:t>
      </w:r>
    </w:p>
    <w:p w14:paraId="65AE6A3F" w14:textId="77777777" w:rsidR="00B94F89" w:rsidRPr="00D43C76" w:rsidRDefault="00B94F89" w:rsidP="00B94F89">
      <w:pPr>
        <w:pStyle w:val="parrafos"/>
        <w:tabs>
          <w:tab w:val="left" w:pos="720"/>
        </w:tabs>
        <w:rPr>
          <w:rFonts w:ascii="Cambria" w:hAnsi="Cambria"/>
          <w:lang w:val="es-ES_tradnl"/>
        </w:rPr>
      </w:pPr>
    </w:p>
    <w:p w14:paraId="6F2EE034" w14:textId="77777777" w:rsidR="00B94F89" w:rsidRPr="00D43C76" w:rsidRDefault="0011132C"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el mantenimiento en vigor de la legislación impugnada constituye una intromisión continua en el derecho del demandante al respeto de su vida privada (que incluye su vida sexual) en los términos del artículo 8.1. […] Aunque no parece que se hayan planteado en los últimos años casos respecto a aquellos actos que implicaban únicamente a adultos varones de más de veintiún años de edad, siempre que no fuesen pacientes mentales, no hay una política declarada por parte de las autoridades de no aplicar la Ley a estos sujetos (</w:t>
      </w:r>
      <w:r w:rsidR="006C0497" w:rsidRPr="00D43C76">
        <w:rPr>
          <w:rFonts w:asciiTheme="majorHAnsi" w:hAnsiTheme="majorHAnsi"/>
          <w:i/>
          <w:sz w:val="18"/>
          <w:szCs w:val="18"/>
          <w:lang w:val="es-ES_tradnl"/>
        </w:rPr>
        <w:t>ibíd.</w:t>
      </w:r>
      <w:r w:rsidRPr="00D43C76">
        <w:rPr>
          <w:rFonts w:asciiTheme="majorHAnsi" w:hAnsiTheme="majorHAnsi"/>
          <w:sz w:val="18"/>
          <w:szCs w:val="18"/>
          <w:lang w:val="es-ES_tradnl"/>
        </w:rPr>
        <w:t>). Más aún: amén de la persecución por el Director de la Oficina de Acción Pública, queda siempre la posibilidad de una acción de carácter privado</w:t>
      </w:r>
      <w:r w:rsidR="00B94F89" w:rsidRPr="00D43C76">
        <w:rPr>
          <w:rStyle w:val="FootnoteReference"/>
          <w:rFonts w:asciiTheme="majorHAnsi" w:hAnsiTheme="majorHAnsi"/>
          <w:sz w:val="18"/>
          <w:szCs w:val="18"/>
          <w:lang w:val="es-ES_tradnl"/>
        </w:rPr>
        <w:footnoteReference w:id="53"/>
      </w:r>
      <w:r w:rsidRPr="00D43C76">
        <w:rPr>
          <w:rFonts w:asciiTheme="majorHAnsi" w:hAnsiTheme="majorHAnsi"/>
          <w:sz w:val="18"/>
          <w:szCs w:val="18"/>
          <w:lang w:val="es-ES_tradnl"/>
        </w:rPr>
        <w:t>.</w:t>
      </w:r>
    </w:p>
    <w:p w14:paraId="745C2B9D" w14:textId="77777777" w:rsidR="00B94F89" w:rsidRPr="00D43C76" w:rsidRDefault="00B94F89" w:rsidP="00B94F89">
      <w:pPr>
        <w:pStyle w:val="parrafos"/>
        <w:tabs>
          <w:tab w:val="left" w:pos="720"/>
        </w:tabs>
        <w:rPr>
          <w:rFonts w:ascii="Cambria" w:hAnsi="Cambria"/>
          <w:lang w:val="es-ES_tradnl"/>
        </w:rPr>
      </w:pPr>
    </w:p>
    <w:p w14:paraId="0F0228A3" w14:textId="77777777" w:rsidR="00B94F89" w:rsidRPr="00D43C76" w:rsidRDefault="0011132C"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En el caso </w:t>
      </w:r>
      <w:r w:rsidRPr="00D43C76">
        <w:rPr>
          <w:rFonts w:ascii="Cambria" w:hAnsi="Cambria"/>
          <w:i/>
          <w:lang w:val="es-ES_tradnl"/>
        </w:rPr>
        <w:t>Norris contra Irlanda</w:t>
      </w:r>
      <w:r w:rsidRPr="00D43C76">
        <w:rPr>
          <w:rFonts w:ascii="Cambria" w:hAnsi="Cambria"/>
          <w:lang w:val="es-ES_tradnl"/>
        </w:rPr>
        <w:t>, la Corte Europea de Derechos Humanos determinó que el demandante podía invocar la condición de víctima de las leyes de sodomía aunque no hubiera sido juzgado sobre la base de dichas leyes</w:t>
      </w:r>
      <w:r w:rsidR="00B94F89" w:rsidRPr="00D43C76">
        <w:rPr>
          <w:rFonts w:ascii="Cambria" w:hAnsi="Cambria"/>
          <w:lang w:val="es-ES_tradnl"/>
        </w:rPr>
        <w:t>:</w:t>
      </w:r>
    </w:p>
    <w:p w14:paraId="60DDBFC4" w14:textId="77777777" w:rsidR="00B94F89" w:rsidRPr="00D43C76"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3612B824" w14:textId="77777777" w:rsidR="00B94F89" w:rsidRPr="00D43C76" w:rsidRDefault="00DB5E63"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el artículo 25 permite a las personas privadas sostener que una ley viola sus derechos por su propio contenido aunque no se le haya aplicado personalmente, si corren el peligro de que les afecte directamente […]. Entiende el Tribunal que el señor Norris se encuentra sustancialmente en la misma situación en que estaba el demandante en el caso Dudgeon […]</w:t>
      </w:r>
      <w:r w:rsidR="00B94F89" w:rsidRPr="00D43C76">
        <w:rPr>
          <w:rStyle w:val="FootnoteReference"/>
          <w:rFonts w:asciiTheme="majorHAnsi" w:hAnsiTheme="majorHAnsi"/>
          <w:sz w:val="18"/>
          <w:szCs w:val="18"/>
          <w:lang w:val="es-ES_tradnl"/>
        </w:rPr>
        <w:footnoteReference w:id="54"/>
      </w:r>
      <w:r w:rsidRPr="00D43C76">
        <w:rPr>
          <w:rFonts w:asciiTheme="majorHAnsi" w:hAnsiTheme="majorHAnsi"/>
          <w:sz w:val="18"/>
          <w:szCs w:val="18"/>
          <w:lang w:val="es-ES_tradnl"/>
        </w:rPr>
        <w:t>.</w:t>
      </w:r>
    </w:p>
    <w:p w14:paraId="072F132D" w14:textId="77777777" w:rsidR="002B1EF2" w:rsidRPr="00D43C76" w:rsidRDefault="002B1EF2" w:rsidP="00B94F89">
      <w:pPr>
        <w:pStyle w:val="parrafos"/>
        <w:tabs>
          <w:tab w:val="left" w:pos="720"/>
        </w:tabs>
        <w:rPr>
          <w:rFonts w:ascii="Cambria" w:hAnsi="Cambria"/>
          <w:lang w:val="es-ES_tradnl"/>
        </w:rPr>
      </w:pPr>
    </w:p>
    <w:p w14:paraId="33FF4D83" w14:textId="77777777" w:rsidR="00B94F89" w:rsidRPr="00D43C76" w:rsidRDefault="00DB5E63"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Además, varios tribunales superiores de todo el mundo han aseverado que las leyes de “sodomía” son incompatibles con el derecho a la intimidad, la libertad y el principio de no discriminación y pueden </w:t>
      </w:r>
      <w:r w:rsidR="001C3CB6" w:rsidRPr="00D43C76">
        <w:rPr>
          <w:rFonts w:ascii="Cambria" w:hAnsi="Cambria"/>
          <w:lang w:val="es-ES_tradnl"/>
        </w:rPr>
        <w:t>menoscabar</w:t>
      </w:r>
      <w:r w:rsidRPr="00D43C76">
        <w:rPr>
          <w:rFonts w:ascii="Cambria" w:hAnsi="Cambria"/>
          <w:lang w:val="es-ES_tradnl"/>
        </w:rPr>
        <w:t xml:space="preserve"> el derecho a la integridad personal de las personas afectadas por estas leyes</w:t>
      </w:r>
      <w:r w:rsidR="00CB59F1" w:rsidRPr="00D43C76">
        <w:rPr>
          <w:rFonts w:ascii="Cambria" w:hAnsi="Cambria"/>
          <w:lang w:val="es-ES_tradnl"/>
        </w:rPr>
        <w:t xml:space="preserve">. </w:t>
      </w:r>
    </w:p>
    <w:p w14:paraId="644D5BDA" w14:textId="77777777" w:rsidR="00B94F89" w:rsidRPr="00D43C76" w:rsidRDefault="00B94F89" w:rsidP="00B94F89">
      <w:pPr>
        <w:rPr>
          <w:lang w:val="es-ES_tradnl"/>
        </w:rPr>
      </w:pPr>
    </w:p>
    <w:p w14:paraId="06C99C0E" w14:textId="77777777" w:rsidR="00B94F89" w:rsidRPr="00D43C76" w:rsidRDefault="00DB5E63"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Por ejemplo, en el caso </w:t>
      </w:r>
      <w:r w:rsidRPr="00D43C76">
        <w:rPr>
          <w:rFonts w:ascii="Cambria" w:hAnsi="Cambria"/>
          <w:i/>
          <w:lang w:val="es-ES_tradnl"/>
        </w:rPr>
        <w:t>Lawrence contra Texas</w:t>
      </w:r>
      <w:r w:rsidRPr="00D43C76">
        <w:rPr>
          <w:rFonts w:ascii="Cambria" w:hAnsi="Cambria"/>
          <w:lang w:val="es-ES_tradnl"/>
        </w:rPr>
        <w:t>, la Corte Suprema de Estados Unidos determinó que una ley que tipifica como delito el hecho de que dos personas del mismo sexo realicen ciertos actos sexuales íntimos viola el derecho a la libertad establecido en la cláusula de la Constitución sobre el debido proceso. Según la Corte Suprema</w:t>
      </w:r>
      <w:r w:rsidR="00B94F89" w:rsidRPr="00D43C76">
        <w:rPr>
          <w:rFonts w:ascii="Cambria" w:hAnsi="Cambria"/>
          <w:lang w:val="es-ES_tradnl"/>
        </w:rPr>
        <w:t>:</w:t>
      </w:r>
    </w:p>
    <w:p w14:paraId="7F74811A" w14:textId="77777777" w:rsidR="00B94F89" w:rsidRPr="00D43C76" w:rsidRDefault="00B94F89" w:rsidP="00B94F89">
      <w:pPr>
        <w:pStyle w:val="ListParagraph"/>
        <w:rPr>
          <w:lang w:val="es-ES_tradnl"/>
        </w:rPr>
      </w:pPr>
    </w:p>
    <w:p w14:paraId="3389AF3E" w14:textId="77777777" w:rsidR="00DB5E63" w:rsidRPr="00D43C76" w:rsidRDefault="00DB5E63" w:rsidP="00DB5E63">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La igualdad de trato y el derecho comprendido en el debido proceso de exigir que se respete la conducta protegida por la garantía sustancial de libertad presentan vínculos importantes, y una decisión sobre el segundo punto promueve ambos intereses. Si la conducta protegida es tipificada como delito y no se examina la validez sustantiva de la ley que lo hace, el estigma que dicha ley genera podría subsistir aunque no pueda aplicarse tal como ha sido redactada por motivos relacionados con la igualdad ante la ley. Cuando una ley del Estado tipifica como delito la conducta homosexual, esa declaración en sí invita a discriminar contra las personas homosexuales tanto en la esfera pública como en el ámbito privado.</w:t>
      </w:r>
    </w:p>
    <w:p w14:paraId="4414AD79" w14:textId="77777777" w:rsidR="00DB5E63" w:rsidRPr="00D43C76" w:rsidRDefault="00DB5E63" w:rsidP="00DB5E63">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684FCD87" w14:textId="77777777" w:rsidR="00B94F89" w:rsidRPr="00D43C76" w:rsidRDefault="00DB5E63" w:rsidP="00DB5E6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los peticionarios tienen derecho a que se les respete la vida privada. El Estado no puede degradar su existencia o controlar su destino tipificando su conducta sexual privada como delito. El derecho a la libertad establecido en la cláusula sobre el debido proceso les da pleno derecho a su conducta sin injerencia del Estado. La Constitución contiene la promesa de que hay un ámbito de la libertad personal en el cual el Estado no puede entrometerse. Además, la ley de Texas no promueve ningún interés estatal legítimo que pueda justificar su intrusión en la vida personal y privada de la persona</w:t>
      </w:r>
      <w:r w:rsidR="00B94F89" w:rsidRPr="00D43C76">
        <w:rPr>
          <w:rStyle w:val="FootnoteReference"/>
          <w:rFonts w:ascii="Cambria" w:hAnsi="Cambria" w:cs="Arial"/>
          <w:color w:val="000000"/>
          <w:sz w:val="20"/>
          <w:szCs w:val="20"/>
          <w:lang w:val="es-ES_tradnl"/>
        </w:rPr>
        <w:footnoteReference w:id="55"/>
      </w:r>
      <w:r w:rsidRPr="00D43C76">
        <w:rPr>
          <w:rFonts w:asciiTheme="majorHAnsi" w:hAnsiTheme="majorHAnsi"/>
          <w:sz w:val="18"/>
          <w:szCs w:val="18"/>
          <w:lang w:val="es-ES_tradnl"/>
        </w:rPr>
        <w:t>.</w:t>
      </w:r>
    </w:p>
    <w:p w14:paraId="588C9453" w14:textId="77777777" w:rsidR="00A41B25" w:rsidRPr="00D43C76" w:rsidRDefault="00A41B25" w:rsidP="006E195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24231DA7" w14:textId="77777777" w:rsidR="00B94F89" w:rsidRPr="00D43C76" w:rsidRDefault="00DB5E63" w:rsidP="006637A4">
      <w:pPr>
        <w:pStyle w:val="parrafos"/>
        <w:numPr>
          <w:ilvl w:val="0"/>
          <w:numId w:val="57"/>
        </w:numPr>
        <w:tabs>
          <w:tab w:val="clear" w:pos="1080"/>
          <w:tab w:val="left" w:pos="720"/>
        </w:tabs>
        <w:ind w:left="0" w:firstLine="0"/>
        <w:rPr>
          <w:lang w:val="es-ES_tradnl"/>
        </w:rPr>
      </w:pPr>
      <w:r w:rsidRPr="00D43C76">
        <w:rPr>
          <w:lang w:val="es-ES_tradnl"/>
        </w:rPr>
        <w:t xml:space="preserve">El Tribunal Constitucional de Sudáfrica, en el caso </w:t>
      </w:r>
      <w:r w:rsidRPr="00D43C76">
        <w:rPr>
          <w:i/>
          <w:lang w:val="es-ES_tradnl"/>
        </w:rPr>
        <w:t>Coalición Nacional para la Igualdad de las Personas Gais y Lesbianas y otros contra el Ministro de Justicia y otros</w:t>
      </w:r>
      <w:r w:rsidRPr="00D43C76">
        <w:rPr>
          <w:lang w:val="es-ES_tradnl"/>
        </w:rPr>
        <w:t>,</w:t>
      </w:r>
      <w:r w:rsidRPr="00D43C76">
        <w:rPr>
          <w:i/>
          <w:lang w:val="es-ES_tradnl"/>
        </w:rPr>
        <w:t xml:space="preserve"> </w:t>
      </w:r>
      <w:r w:rsidRPr="00D43C76">
        <w:rPr>
          <w:lang w:val="es-ES_tradnl"/>
        </w:rPr>
        <w:t>sostuvo que las leyes de sodomía violan el derecho a la igualdad y la dignidad</w:t>
      </w:r>
      <w:r w:rsidR="00E13134" w:rsidRPr="00D43C76">
        <w:rPr>
          <w:lang w:val="es-ES_tradnl"/>
        </w:rPr>
        <w:t>:</w:t>
      </w:r>
    </w:p>
    <w:p w14:paraId="72355FEA" w14:textId="77777777" w:rsidR="00B94F89" w:rsidRPr="00D43C76" w:rsidRDefault="00B94F89" w:rsidP="00B94F89">
      <w:pPr>
        <w:pStyle w:val="parrafos"/>
        <w:tabs>
          <w:tab w:val="left" w:pos="720"/>
        </w:tabs>
        <w:rPr>
          <w:lang w:val="es-ES_tradnl"/>
        </w:rPr>
      </w:pPr>
    </w:p>
    <w:p w14:paraId="04AD8275" w14:textId="77777777" w:rsidR="00B94F89" w:rsidRPr="00D43C76" w:rsidRDefault="00DB5E63"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La prohibición discriminatoria de las relaciones sexuales entre hombres refuerza los prejuicios que ya existen en la sociedad y aumentan enormemente los efectos negativos de esos prejuicios en la vida de estos hombres</w:t>
      </w:r>
      <w:r w:rsidR="00B94F89" w:rsidRPr="00D43C76">
        <w:rPr>
          <w:rFonts w:asciiTheme="majorHAnsi" w:hAnsiTheme="majorHAnsi"/>
          <w:sz w:val="18"/>
          <w:szCs w:val="18"/>
          <w:lang w:val="es-ES_tradnl"/>
        </w:rPr>
        <w:t xml:space="preserve">. </w:t>
      </w:r>
    </w:p>
    <w:p w14:paraId="0F726C18" w14:textId="77777777" w:rsidR="00735002" w:rsidRPr="00D43C76" w:rsidRDefault="00735002" w:rsidP="007350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lang w:val="es-ES_tradnl"/>
        </w:rPr>
      </w:pPr>
    </w:p>
    <w:p w14:paraId="33A980ED" w14:textId="77777777" w:rsidR="00DB5E63" w:rsidRPr="00D43C76" w:rsidRDefault="00DB5E63" w:rsidP="00DB5E63">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el impacto es grave y afecta profundamente la dignidad, la personalidad y la identidad de los hombres gais. Se produce en muchos niveles y de muchas maneras y suele ser difícil de erradicar. La índole del poder y su finalidad </w:t>
      </w:r>
      <w:r w:rsidRPr="00D43C76">
        <w:rPr>
          <w:rFonts w:asciiTheme="majorHAnsi" w:hAnsiTheme="majorHAnsi"/>
          <w:sz w:val="18"/>
          <w:szCs w:val="18"/>
          <w:lang w:val="es-ES_tradnl"/>
        </w:rPr>
        <w:lastRenderedPageBreak/>
        <w:t>es penalizar la conducta privada consensual de adultos que no perjudica a otras personas. Su único fin es penalizar una conducta que no se ajusta a las normas morales o religiosas de un segmento de la sociedad.</w:t>
      </w:r>
    </w:p>
    <w:p w14:paraId="08C3E462" w14:textId="77777777" w:rsidR="00DB5E63" w:rsidRPr="00D43C76" w:rsidRDefault="00DB5E63" w:rsidP="00DB5E63">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5E1D46BC" w14:textId="77777777" w:rsidR="00DB5E63" w:rsidRPr="00D43C76" w:rsidRDefault="00DB5E63" w:rsidP="00DB5E63">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 He considerado únicamente el delito de sodomía en el sistema del </w:t>
      </w:r>
      <w:r w:rsidRPr="00D43C76">
        <w:rPr>
          <w:rFonts w:asciiTheme="majorHAnsi" w:hAnsiTheme="majorHAnsi"/>
          <w:i/>
          <w:sz w:val="18"/>
          <w:szCs w:val="18"/>
          <w:lang w:val="es-ES_tradnl"/>
        </w:rPr>
        <w:t>common law</w:t>
      </w:r>
      <w:r w:rsidRPr="00D43C76">
        <w:rPr>
          <w:rFonts w:asciiTheme="majorHAnsi" w:hAnsiTheme="majorHAnsi"/>
          <w:sz w:val="18"/>
          <w:szCs w:val="18"/>
          <w:lang w:val="es-ES_tradnl"/>
        </w:rPr>
        <w:t xml:space="preserve"> sobre la base de su incompatibilidad con el derecho a la igualdad. Esa fue la base principal de los argumentos expuestos en el caso. Sin embargo, en mi opinión, el delito de sodomía en el sistema del </w:t>
      </w:r>
      <w:r w:rsidRPr="00D43C76">
        <w:rPr>
          <w:rFonts w:asciiTheme="majorHAnsi" w:hAnsiTheme="majorHAnsi"/>
          <w:i/>
          <w:sz w:val="18"/>
          <w:szCs w:val="18"/>
          <w:lang w:val="es-ES_tradnl"/>
        </w:rPr>
        <w:t>common law</w:t>
      </w:r>
      <w:r w:rsidRPr="00D43C76">
        <w:rPr>
          <w:rFonts w:asciiTheme="majorHAnsi" w:hAnsiTheme="majorHAnsi"/>
          <w:sz w:val="18"/>
          <w:szCs w:val="18"/>
          <w:lang w:val="es-ES_tradnl"/>
        </w:rPr>
        <w:t xml:space="preserve"> constituye también una infracción del derecho a la dignidad, consagrado en el artículo 10 de nuestra Constitución.</w:t>
      </w:r>
    </w:p>
    <w:p w14:paraId="242F90E9" w14:textId="77777777" w:rsidR="00DB5E63" w:rsidRPr="00D43C76" w:rsidRDefault="00DB5E63" w:rsidP="00DB5E63">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4FD702BA" w14:textId="77777777" w:rsidR="00B94F89" w:rsidRPr="00D43C76" w:rsidRDefault="00DB5E63" w:rsidP="00DB5E6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La prohibición de la sodomía en el sistema del </w:t>
      </w:r>
      <w:r w:rsidRPr="00D43C76">
        <w:rPr>
          <w:rFonts w:asciiTheme="majorHAnsi" w:hAnsiTheme="majorHAnsi"/>
          <w:i/>
          <w:sz w:val="18"/>
          <w:szCs w:val="18"/>
          <w:lang w:val="es-ES_tradnl"/>
        </w:rPr>
        <w:t>common law</w:t>
      </w:r>
      <w:r w:rsidRPr="00D43C76">
        <w:rPr>
          <w:rFonts w:asciiTheme="majorHAnsi" w:hAnsiTheme="majorHAnsi"/>
          <w:sz w:val="18"/>
          <w:szCs w:val="18"/>
          <w:lang w:val="es-ES_tradnl"/>
        </w:rPr>
        <w:t xml:space="preserve"> penaliza todo tipo de copulación sexual anal entre hombres, independientemente de la relación que exista en la pareja, de la edad de la pareja, del lugar donde se haga o de cualquier otra circunstancia. De esa forma, sanciona una forma de conducta sexual que, en la sociedad en general, se atribuye a las personas homosexuales. Su efecto simbólico consiste en afirmar que, desde el punto de vista de nuestro ordenamiento jurídico, todos los hombres gais son criminales. Por lo tanto, el estigma que marca a una parte considerable de la población es evidente, pero el daño causado por la ley penal es mucho más que simbólico. Como consecuencia del delito penal, los hombres gais corren el riesgo de ser arrestados, juzgados y condenados por el delito de sodomía simplemente porque tienen una conducta sexual que forma parte de su experiencia humana</w:t>
      </w:r>
      <w:r w:rsidR="00B94F89" w:rsidRPr="00D43C76">
        <w:rPr>
          <w:rStyle w:val="FootnoteReference"/>
          <w:rFonts w:asciiTheme="majorHAnsi" w:hAnsiTheme="majorHAnsi"/>
          <w:sz w:val="18"/>
          <w:szCs w:val="18"/>
          <w:lang w:val="es-ES_tradnl"/>
        </w:rPr>
        <w:footnoteReference w:id="56"/>
      </w:r>
      <w:r w:rsidRPr="00D43C76">
        <w:rPr>
          <w:rFonts w:asciiTheme="majorHAnsi" w:hAnsiTheme="majorHAnsi"/>
          <w:sz w:val="18"/>
          <w:szCs w:val="18"/>
          <w:lang w:val="es-ES_tradnl"/>
        </w:rPr>
        <w:t>.</w:t>
      </w:r>
    </w:p>
    <w:p w14:paraId="0690695F" w14:textId="77777777" w:rsidR="00BB0A79" w:rsidRPr="00D43C76" w:rsidRDefault="00BB0A79" w:rsidP="00BB0A7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6D272625" w14:textId="77777777" w:rsidR="00B94F89" w:rsidRPr="00D43C76" w:rsidRDefault="00DB5E63" w:rsidP="006637A4">
      <w:pPr>
        <w:pStyle w:val="parrafos"/>
        <w:numPr>
          <w:ilvl w:val="0"/>
          <w:numId w:val="57"/>
        </w:numPr>
        <w:tabs>
          <w:tab w:val="clear" w:pos="1080"/>
          <w:tab w:val="left" w:pos="720"/>
        </w:tabs>
        <w:ind w:left="0" w:firstLine="0"/>
        <w:rPr>
          <w:lang w:val="es-ES_tradnl"/>
        </w:rPr>
      </w:pPr>
      <w:r w:rsidRPr="00D43C76">
        <w:rPr>
          <w:lang w:val="es-ES_tradnl"/>
        </w:rPr>
        <w:t xml:space="preserve">La Corte Suprema de la India afirmó, en el caso </w:t>
      </w:r>
      <w:r w:rsidRPr="00D43C76">
        <w:rPr>
          <w:i/>
          <w:lang w:val="es-ES_tradnl"/>
        </w:rPr>
        <w:t>Navtej Singh Johar y otros contra la Unión de la India, representada por el Secretario del Ministerio de Derecho y Justicia</w:t>
      </w:r>
      <w:r w:rsidRPr="00D43C76">
        <w:rPr>
          <w:lang w:val="es-ES_tradnl"/>
        </w:rPr>
        <w:t>, que una ley que penalizaba los actos homosexuales, entre otros, era inconstitucional. La Corte explicó</w:t>
      </w:r>
      <w:r w:rsidR="00B94F89" w:rsidRPr="00D43C76">
        <w:rPr>
          <w:lang w:val="es-ES_tradnl"/>
        </w:rPr>
        <w:t>:</w:t>
      </w:r>
    </w:p>
    <w:p w14:paraId="11EF41F8" w14:textId="77777777" w:rsidR="00B94F89" w:rsidRPr="00D43C76"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22C2898F" w14:textId="77777777" w:rsidR="00DB5E63" w:rsidRPr="00D43C76" w:rsidRDefault="00DB5E63" w:rsidP="00DB5E63">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Como mínimo se puede afirmar que la penalización de las relaciones carnales consensuales, sean entre personas homosexuales, heterosexuales, bisexuales o transgénero, no sirve a ningún fin o interés legítimo. Por el contrario, nos inclinamos a creer que, si el artículo 377 permanece en su forma actual en el digesto, permitirá el acoso y la explotación de la comunidad LGBT. Debemos dejar en claro que no se puede sabotear o cercenar la libertad de elección con la amenaza de una acción penal y convertirla en un ente parapléjico sobre la base de la volubilidad de la percepción mayoritaria. </w:t>
      </w:r>
    </w:p>
    <w:p w14:paraId="1C23EAD9" w14:textId="77777777" w:rsidR="00DB5E63" w:rsidRPr="00D43C76" w:rsidRDefault="00DB5E63" w:rsidP="00DB5E63">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28F54DA4" w14:textId="77777777" w:rsidR="00AB72E9" w:rsidRPr="00D43C76" w:rsidRDefault="00DB5E63" w:rsidP="005869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En el artículo 377 del Código Penal de la India no se tiene en cuenta que los actos consensuales entre adultos en el ámbito privado no son perjudiciales ni contagiosos para la sociedad. Por el contrario, el artículo 377 da una nota discordante con respecto a la libertad de las personas LGBT al convertirlas en parias y marginados de la sociedad</w:t>
      </w:r>
      <w:r w:rsidR="00B94F89" w:rsidRPr="00D43C76">
        <w:rPr>
          <w:rFonts w:asciiTheme="majorHAnsi" w:hAnsiTheme="majorHAnsi"/>
          <w:sz w:val="18"/>
          <w:szCs w:val="18"/>
          <w:vertAlign w:val="superscript"/>
          <w:lang w:val="es-ES_tradnl"/>
        </w:rPr>
        <w:footnoteReference w:id="57"/>
      </w:r>
      <w:r w:rsidRPr="00D43C76">
        <w:rPr>
          <w:rFonts w:asciiTheme="majorHAnsi" w:hAnsiTheme="majorHAnsi"/>
          <w:sz w:val="18"/>
          <w:szCs w:val="18"/>
          <w:lang w:val="es-ES_tradnl"/>
        </w:rPr>
        <w:t>.</w:t>
      </w:r>
    </w:p>
    <w:p w14:paraId="65B05901" w14:textId="77777777" w:rsidR="00AB72E9" w:rsidRPr="00D43C76" w:rsidRDefault="00DB5E63" w:rsidP="006637A4">
      <w:pPr>
        <w:pStyle w:val="parrafos"/>
        <w:numPr>
          <w:ilvl w:val="0"/>
          <w:numId w:val="57"/>
        </w:numPr>
        <w:tabs>
          <w:tab w:val="clear" w:pos="1080"/>
          <w:tab w:val="left" w:pos="720"/>
        </w:tabs>
        <w:ind w:left="0" w:firstLine="0"/>
        <w:rPr>
          <w:lang w:val="es-ES_tradnl"/>
        </w:rPr>
      </w:pPr>
      <w:r w:rsidRPr="00D43C76">
        <w:rPr>
          <w:lang w:val="es-ES_tradnl"/>
        </w:rPr>
        <w:t xml:space="preserve">En </w:t>
      </w:r>
      <w:r w:rsidRPr="00D43C76">
        <w:rPr>
          <w:i/>
          <w:lang w:val="es-ES_tradnl"/>
        </w:rPr>
        <w:t>Orozco contra el Procurador General de Belize</w:t>
      </w:r>
      <w:r w:rsidRPr="00D43C76">
        <w:rPr>
          <w:lang w:val="es-ES_tradnl"/>
        </w:rPr>
        <w:t>, la Corte Suprema de Belize reafirmó la inconstitucionalidad del artículo 53 del Código Penal, que tipifica como delito las relaciones sexuales “contra natura”, y determinó que dicho artículo excluye los actos sexuales consensuales entre adultos realizados en privado</w:t>
      </w:r>
      <w:r w:rsidR="003107B6" w:rsidRPr="00D43C76">
        <w:rPr>
          <w:lang w:val="es-ES_tradnl"/>
        </w:rPr>
        <w:t xml:space="preserve">. </w:t>
      </w:r>
    </w:p>
    <w:p w14:paraId="39535FB1" w14:textId="77777777" w:rsidR="000D3C8A" w:rsidRPr="00D43C76" w:rsidRDefault="000D3C8A" w:rsidP="000D3C8A">
      <w:pPr>
        <w:pStyle w:val="parrafos"/>
        <w:tabs>
          <w:tab w:val="left" w:pos="720"/>
        </w:tabs>
        <w:rPr>
          <w:lang w:val="es-ES_tradnl"/>
        </w:rPr>
      </w:pPr>
    </w:p>
    <w:p w14:paraId="4E8AEB75" w14:textId="77777777" w:rsidR="005E7B70" w:rsidRPr="00D43C76" w:rsidRDefault="00DB5E63" w:rsidP="005E7B7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Puesto que el artículo 53 abarca actos en los que participan hombres y mujeres, el impacto en la dignidad de los hombres homosexuales es desproporcionado en vista de la profunda estigmatización derivada del hecho de que ellos sean los principales destinatarios. […] Considero que el artículo 53 viola la dignidad del demandante y el artículo 3.c. Además, esta infracción influye en los demás derechos de los cuales emana el concepto de dignidad humana</w:t>
      </w:r>
      <w:r w:rsidR="003D1094" w:rsidRPr="00D43C76">
        <w:rPr>
          <w:rFonts w:asciiTheme="majorHAnsi" w:hAnsiTheme="majorHAnsi"/>
          <w:sz w:val="18"/>
          <w:szCs w:val="18"/>
          <w:vertAlign w:val="superscript"/>
          <w:lang w:val="es-ES_tradnl"/>
        </w:rPr>
        <w:footnoteReference w:id="58"/>
      </w:r>
      <w:r w:rsidRPr="00D43C76">
        <w:rPr>
          <w:rFonts w:asciiTheme="majorHAnsi" w:hAnsiTheme="majorHAnsi"/>
          <w:sz w:val="18"/>
          <w:szCs w:val="18"/>
          <w:lang w:val="es-ES_tradnl"/>
        </w:rPr>
        <w:t>.</w:t>
      </w:r>
    </w:p>
    <w:p w14:paraId="4277BF65" w14:textId="77777777" w:rsidR="00D8027F" w:rsidRPr="00D43C76" w:rsidRDefault="00D8027F" w:rsidP="006C567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lang w:val="es-ES_tradnl"/>
        </w:rPr>
      </w:pPr>
    </w:p>
    <w:p w14:paraId="06F66202" w14:textId="77777777" w:rsidR="006B1BCA" w:rsidRPr="00D43C76" w:rsidRDefault="006C0497" w:rsidP="006637A4">
      <w:pPr>
        <w:pStyle w:val="parrafos"/>
        <w:numPr>
          <w:ilvl w:val="0"/>
          <w:numId w:val="57"/>
        </w:numPr>
        <w:tabs>
          <w:tab w:val="clear" w:pos="1080"/>
          <w:tab w:val="left" w:pos="720"/>
          <w:tab w:val="left" w:pos="1440"/>
        </w:tabs>
        <w:ind w:left="0" w:right="360" w:firstLine="0"/>
        <w:rPr>
          <w:lang w:val="es-ES_tradnl"/>
        </w:rPr>
      </w:pPr>
      <w:r w:rsidRPr="00D43C76">
        <w:rPr>
          <w:lang w:val="es-ES_tradnl"/>
        </w:rPr>
        <w:t xml:space="preserve">En el caso </w:t>
      </w:r>
      <w:r w:rsidR="006B1BCA" w:rsidRPr="00D43C76">
        <w:rPr>
          <w:i/>
          <w:lang w:val="es-ES_tradnl"/>
        </w:rPr>
        <w:t xml:space="preserve">Jason Jones </w:t>
      </w:r>
      <w:r w:rsidRPr="00D43C76">
        <w:rPr>
          <w:i/>
          <w:lang w:val="es-ES_tradnl"/>
        </w:rPr>
        <w:t xml:space="preserve">contra el Procurador </w:t>
      </w:r>
      <w:r w:rsidR="006B1BCA" w:rsidRPr="00D43C76">
        <w:rPr>
          <w:i/>
          <w:lang w:val="es-ES_tradnl"/>
        </w:rPr>
        <w:t xml:space="preserve">General </w:t>
      </w:r>
      <w:r w:rsidRPr="00D43C76">
        <w:rPr>
          <w:i/>
          <w:lang w:val="es-ES_tradnl"/>
        </w:rPr>
        <w:t>de</w:t>
      </w:r>
      <w:r w:rsidR="006B1BCA" w:rsidRPr="00D43C76">
        <w:rPr>
          <w:i/>
          <w:lang w:val="es-ES_tradnl"/>
        </w:rPr>
        <w:t xml:space="preserve"> Trinidad </w:t>
      </w:r>
      <w:r w:rsidR="006A0AB9" w:rsidRPr="00D43C76">
        <w:rPr>
          <w:i/>
          <w:lang w:val="es-ES_tradnl"/>
        </w:rPr>
        <w:t>y</w:t>
      </w:r>
      <w:r w:rsidR="006B1BCA" w:rsidRPr="00D43C76">
        <w:rPr>
          <w:i/>
          <w:lang w:val="es-ES_tradnl"/>
        </w:rPr>
        <w:t xml:space="preserve"> Tobago,</w:t>
      </w:r>
      <w:r w:rsidR="006B1BCA" w:rsidRPr="00D43C76">
        <w:rPr>
          <w:lang w:val="es-ES_tradnl"/>
        </w:rPr>
        <w:t xml:space="preserve"> </w:t>
      </w:r>
      <w:r w:rsidR="00E97A68" w:rsidRPr="00D43C76">
        <w:rPr>
          <w:lang w:val="es-ES_tradnl"/>
        </w:rPr>
        <w:t xml:space="preserve">la Suprema Corte de Judicatura de </w:t>
      </w:r>
      <w:r w:rsidR="006B1BCA" w:rsidRPr="00D43C76">
        <w:rPr>
          <w:lang w:val="es-ES_tradnl"/>
        </w:rPr>
        <w:t xml:space="preserve">Trinidad </w:t>
      </w:r>
      <w:r w:rsidR="00E97A68" w:rsidRPr="00D43C76">
        <w:rPr>
          <w:lang w:val="es-ES_tradnl"/>
        </w:rPr>
        <w:t>y</w:t>
      </w:r>
      <w:r w:rsidR="006B1BCA" w:rsidRPr="00D43C76">
        <w:rPr>
          <w:lang w:val="es-ES_tradnl"/>
        </w:rPr>
        <w:t xml:space="preserve"> Tobago </w:t>
      </w:r>
      <w:r w:rsidRPr="00D43C76">
        <w:rPr>
          <w:lang w:val="es-ES_tradnl"/>
        </w:rPr>
        <w:t>declaró inconstitucionales los artículos</w:t>
      </w:r>
      <w:r w:rsidR="002C01DB" w:rsidRPr="00D43C76">
        <w:rPr>
          <w:lang w:val="es-ES_tradnl"/>
        </w:rPr>
        <w:t xml:space="preserve"> 13 </w:t>
      </w:r>
      <w:r w:rsidRPr="00D43C76">
        <w:rPr>
          <w:lang w:val="es-ES_tradnl"/>
        </w:rPr>
        <w:t>y</w:t>
      </w:r>
      <w:r w:rsidR="002C01DB" w:rsidRPr="00D43C76">
        <w:rPr>
          <w:lang w:val="es-ES_tradnl"/>
        </w:rPr>
        <w:t xml:space="preserve"> 15 </w:t>
      </w:r>
      <w:r w:rsidRPr="00D43C76">
        <w:rPr>
          <w:lang w:val="es-ES_tradnl"/>
        </w:rPr>
        <w:t xml:space="preserve">de la Ley de Delitos </w:t>
      </w:r>
      <w:r w:rsidR="002C01DB" w:rsidRPr="00D43C76">
        <w:rPr>
          <w:lang w:val="es-ES_tradnl"/>
        </w:rPr>
        <w:t>Sexual</w:t>
      </w:r>
      <w:r w:rsidRPr="00D43C76">
        <w:rPr>
          <w:lang w:val="es-ES_tradnl"/>
        </w:rPr>
        <w:t>es, en los cuales se prohibía</w:t>
      </w:r>
      <w:r w:rsidR="006A0AB9" w:rsidRPr="00D43C76">
        <w:rPr>
          <w:lang w:val="es-ES_tradnl"/>
        </w:rPr>
        <w:t>n</w:t>
      </w:r>
      <w:r w:rsidRPr="00D43C76">
        <w:rPr>
          <w:lang w:val="es-ES_tradnl"/>
        </w:rPr>
        <w:t xml:space="preserve"> la “sodomía” y los “delitos contra la moral pública” entre dos hombres y se tipificaba como delito la actividad </w:t>
      </w:r>
      <w:r w:rsidR="002C01DB" w:rsidRPr="00D43C76">
        <w:rPr>
          <w:lang w:val="es-ES_tradnl"/>
        </w:rPr>
        <w:t>consensual</w:t>
      </w:r>
      <w:r w:rsidRPr="00D43C76">
        <w:rPr>
          <w:lang w:val="es-ES_tradnl"/>
        </w:rPr>
        <w:t xml:space="preserve"> entre adultos del mismo sexo. </w:t>
      </w:r>
      <w:r w:rsidR="00E97A68" w:rsidRPr="00D43C76">
        <w:rPr>
          <w:lang w:val="es-ES_tradnl"/>
        </w:rPr>
        <w:t>La Corte expuso lo siguiente</w:t>
      </w:r>
      <w:r w:rsidR="002C01DB" w:rsidRPr="00D43C76">
        <w:rPr>
          <w:lang w:val="es-ES_tradnl"/>
        </w:rPr>
        <w:t>:</w:t>
      </w:r>
    </w:p>
    <w:p w14:paraId="351A91D0" w14:textId="77777777" w:rsidR="002C01DB" w:rsidRPr="00D43C76" w:rsidRDefault="002C01DB" w:rsidP="00AB246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lang w:val="es-ES_tradnl"/>
        </w:rPr>
      </w:pPr>
    </w:p>
    <w:p w14:paraId="57589D0C" w14:textId="77777777" w:rsidR="00AB2467" w:rsidRPr="00D43C76" w:rsidRDefault="00E97A68" w:rsidP="00AB246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 xml:space="preserve">Para este tribunal, la dignidad </w:t>
      </w:r>
      <w:r w:rsidR="00AB2467" w:rsidRPr="00D43C76">
        <w:rPr>
          <w:rFonts w:asciiTheme="majorHAnsi" w:hAnsiTheme="majorHAnsi"/>
          <w:sz w:val="18"/>
          <w:szCs w:val="18"/>
          <w:lang w:val="es-ES_tradnl"/>
        </w:rPr>
        <w:t>human</w:t>
      </w:r>
      <w:r w:rsidRPr="00D43C76">
        <w:rPr>
          <w:rFonts w:asciiTheme="majorHAnsi" w:hAnsiTheme="majorHAnsi"/>
          <w:sz w:val="18"/>
          <w:szCs w:val="18"/>
          <w:lang w:val="es-ES_tradnl"/>
        </w:rPr>
        <w:t xml:space="preserve">a es un derecho básico e </w:t>
      </w:r>
      <w:r w:rsidR="00AB2467" w:rsidRPr="00D43C76">
        <w:rPr>
          <w:rFonts w:asciiTheme="majorHAnsi" w:hAnsiTheme="majorHAnsi"/>
          <w:sz w:val="18"/>
          <w:szCs w:val="18"/>
          <w:lang w:val="es-ES_tradnl"/>
        </w:rPr>
        <w:t>inalienable r</w:t>
      </w:r>
      <w:r w:rsidRPr="00D43C76">
        <w:rPr>
          <w:rFonts w:asciiTheme="majorHAnsi" w:hAnsiTheme="majorHAnsi"/>
          <w:sz w:val="18"/>
          <w:szCs w:val="18"/>
          <w:lang w:val="es-ES_tradnl"/>
        </w:rPr>
        <w:t>econocido en todo el mundo en todas las sociedades democráticas. Ese derecho implica el concepto de autonomía y el derecho de la persona a tomar decisiones por sí misma sin intervención irrazonable de</w:t>
      </w:r>
      <w:r w:rsidR="00A365FB" w:rsidRPr="00D43C76">
        <w:rPr>
          <w:rFonts w:asciiTheme="majorHAnsi" w:hAnsiTheme="majorHAnsi"/>
          <w:sz w:val="18"/>
          <w:szCs w:val="18"/>
          <w:lang w:val="es-ES_tradnl"/>
        </w:rPr>
        <w:t>l Estado</w:t>
      </w:r>
      <w:r w:rsidR="00AB2467" w:rsidRPr="00D43C76">
        <w:rPr>
          <w:rFonts w:asciiTheme="majorHAnsi" w:hAnsiTheme="majorHAnsi"/>
          <w:sz w:val="18"/>
          <w:szCs w:val="18"/>
          <w:lang w:val="es-ES_tradnl"/>
        </w:rPr>
        <w:t xml:space="preserve">. </w:t>
      </w:r>
      <w:r w:rsidR="009A70C0" w:rsidRPr="00D43C76">
        <w:rPr>
          <w:rFonts w:asciiTheme="majorHAnsi" w:hAnsiTheme="majorHAnsi"/>
          <w:sz w:val="18"/>
          <w:szCs w:val="18"/>
          <w:lang w:val="es-ES_tradnl"/>
        </w:rPr>
        <w:t xml:space="preserve">En un caso como este, la persona debe estar en condiciones de decidir a quién ama, a quién </w:t>
      </w:r>
      <w:r w:rsidR="00AB2467" w:rsidRPr="00D43C76">
        <w:rPr>
          <w:rFonts w:asciiTheme="majorHAnsi" w:hAnsiTheme="majorHAnsi"/>
          <w:sz w:val="18"/>
          <w:szCs w:val="18"/>
          <w:lang w:val="es-ES_tradnl"/>
        </w:rPr>
        <w:t>incorpora</w:t>
      </w:r>
      <w:r w:rsidR="009A70C0" w:rsidRPr="00D43C76">
        <w:rPr>
          <w:rFonts w:asciiTheme="majorHAnsi" w:hAnsiTheme="majorHAnsi"/>
          <w:sz w:val="18"/>
          <w:szCs w:val="18"/>
          <w:lang w:val="es-ES_tradnl"/>
        </w:rPr>
        <w:t xml:space="preserve"> en su vida, con quién quiere vivir y con quién quiere formar </w:t>
      </w:r>
      <w:r w:rsidR="009A70C0" w:rsidRPr="00D43C76">
        <w:rPr>
          <w:rFonts w:asciiTheme="majorHAnsi" w:hAnsiTheme="majorHAnsi"/>
          <w:sz w:val="18"/>
          <w:szCs w:val="18"/>
          <w:lang w:val="es-ES_tradnl"/>
        </w:rPr>
        <w:lastRenderedPageBreak/>
        <w:t xml:space="preserve">una familia. Un ciudadano no debería vivir con la amenaza constante —la proverbial “espada de </w:t>
      </w:r>
      <w:r w:rsidR="00AB2467" w:rsidRPr="00D43C76">
        <w:rPr>
          <w:rFonts w:asciiTheme="majorHAnsi" w:hAnsiTheme="majorHAnsi"/>
          <w:sz w:val="18"/>
          <w:szCs w:val="18"/>
          <w:lang w:val="es-ES_tradnl"/>
        </w:rPr>
        <w:t>Damocles”</w:t>
      </w:r>
      <w:r w:rsidR="009A70C0" w:rsidRPr="00D43C76">
        <w:rPr>
          <w:rFonts w:asciiTheme="majorHAnsi" w:hAnsiTheme="majorHAnsi"/>
          <w:sz w:val="18"/>
          <w:szCs w:val="18"/>
          <w:lang w:val="es-ES_tradnl"/>
        </w:rPr>
        <w:t>— de que en cualquier momento p</w:t>
      </w:r>
      <w:r w:rsidR="006A0AB9" w:rsidRPr="00D43C76">
        <w:rPr>
          <w:rFonts w:asciiTheme="majorHAnsi" w:hAnsiTheme="majorHAnsi"/>
          <w:sz w:val="18"/>
          <w:szCs w:val="18"/>
          <w:lang w:val="es-ES_tradnl"/>
        </w:rPr>
        <w:t xml:space="preserve">ueda </w:t>
      </w:r>
      <w:r w:rsidR="009A70C0" w:rsidRPr="00D43C76">
        <w:rPr>
          <w:rFonts w:asciiTheme="majorHAnsi" w:hAnsiTheme="majorHAnsi"/>
          <w:sz w:val="18"/>
          <w:szCs w:val="18"/>
          <w:lang w:val="es-ES_tradnl"/>
        </w:rPr>
        <w:t xml:space="preserve">ser perseguida o enjuiciada. Esa es la amenaza que existe actualmente. Es una amenaza tolerada por </w:t>
      </w:r>
      <w:r w:rsidR="00A365FB" w:rsidRPr="00D43C76">
        <w:rPr>
          <w:rFonts w:asciiTheme="majorHAnsi" w:hAnsiTheme="majorHAnsi"/>
          <w:sz w:val="18"/>
          <w:szCs w:val="18"/>
          <w:lang w:val="es-ES_tradnl"/>
        </w:rPr>
        <w:t>el Estado</w:t>
      </w:r>
      <w:r w:rsidR="009A70C0" w:rsidRPr="00D43C76">
        <w:rPr>
          <w:rFonts w:asciiTheme="majorHAnsi" w:hAnsiTheme="majorHAnsi"/>
          <w:sz w:val="18"/>
          <w:szCs w:val="18"/>
          <w:lang w:val="es-ES_tradnl"/>
        </w:rPr>
        <w:t xml:space="preserve">, y esa aprobación es importante porque justifica en la mente de otros miembros de la sociedad que piensan de manera diferente que la vida, la existencia y </w:t>
      </w:r>
      <w:r w:rsidR="006A0AB9" w:rsidRPr="00D43C76">
        <w:rPr>
          <w:rFonts w:asciiTheme="majorHAnsi" w:hAnsiTheme="majorHAnsi"/>
          <w:sz w:val="18"/>
          <w:szCs w:val="18"/>
          <w:lang w:val="es-ES_tradnl"/>
        </w:rPr>
        <w:t>el estilo</w:t>
      </w:r>
      <w:r w:rsidR="009A70C0" w:rsidRPr="00D43C76">
        <w:rPr>
          <w:rFonts w:asciiTheme="majorHAnsi" w:hAnsiTheme="majorHAnsi"/>
          <w:sz w:val="18"/>
          <w:szCs w:val="18"/>
          <w:lang w:val="es-ES_tradnl"/>
        </w:rPr>
        <w:t xml:space="preserve"> de vida de una persona que decide vivir de la forma en que lo hace el demandante constituyen un delito y tienen menos valor que la vida, la existencia y </w:t>
      </w:r>
      <w:r w:rsidR="006A0AB9" w:rsidRPr="00D43C76">
        <w:rPr>
          <w:rFonts w:asciiTheme="majorHAnsi" w:hAnsiTheme="majorHAnsi"/>
          <w:sz w:val="18"/>
          <w:szCs w:val="18"/>
          <w:lang w:val="es-ES_tradnl"/>
        </w:rPr>
        <w:t>el estilo d</w:t>
      </w:r>
      <w:r w:rsidR="009A70C0" w:rsidRPr="00D43C76">
        <w:rPr>
          <w:rFonts w:asciiTheme="majorHAnsi" w:hAnsiTheme="majorHAnsi"/>
          <w:sz w:val="18"/>
          <w:szCs w:val="18"/>
          <w:lang w:val="es-ES_tradnl"/>
        </w:rPr>
        <w:t>e vida de los demás</w:t>
      </w:r>
      <w:r w:rsidR="00AB2467" w:rsidRPr="00D43C76">
        <w:rPr>
          <w:rFonts w:asciiTheme="majorHAnsi" w:hAnsiTheme="majorHAnsi"/>
          <w:sz w:val="18"/>
          <w:szCs w:val="18"/>
          <w:lang w:val="es-ES_tradnl"/>
        </w:rPr>
        <w:t xml:space="preserve">. </w:t>
      </w:r>
      <w:r w:rsidR="009A70C0" w:rsidRPr="00D43C76">
        <w:rPr>
          <w:rFonts w:asciiTheme="majorHAnsi" w:hAnsiTheme="majorHAnsi"/>
          <w:sz w:val="18"/>
          <w:szCs w:val="18"/>
          <w:lang w:val="es-ES_tradnl"/>
        </w:rPr>
        <w:t>Ha sido expresada con esas palabras en el pasado reciente por líderes de la sociedad. De esta forma, el Parlamento ha tomado la decisión deliberada de penalizar la forma de vida de personas como el demandante, cuya máxima expresión de amor y afecto se</w:t>
      </w:r>
      <w:r w:rsidR="0034591F" w:rsidRPr="00D43C76">
        <w:rPr>
          <w:rFonts w:asciiTheme="majorHAnsi" w:hAnsiTheme="majorHAnsi"/>
          <w:sz w:val="18"/>
          <w:szCs w:val="18"/>
          <w:lang w:val="es-ES_tradnl"/>
        </w:rPr>
        <w:t xml:space="preserve"> </w:t>
      </w:r>
      <w:r w:rsidR="009A70C0" w:rsidRPr="00D43C76">
        <w:rPr>
          <w:rFonts w:asciiTheme="majorHAnsi" w:hAnsiTheme="majorHAnsi"/>
          <w:sz w:val="18"/>
          <w:szCs w:val="18"/>
          <w:lang w:val="es-ES_tradnl"/>
        </w:rPr>
        <w:t xml:space="preserve">concreta en un acto </w:t>
      </w:r>
      <w:r w:rsidR="009D21CA" w:rsidRPr="00D43C76">
        <w:rPr>
          <w:rFonts w:asciiTheme="majorHAnsi" w:hAnsiTheme="majorHAnsi"/>
          <w:sz w:val="18"/>
          <w:szCs w:val="18"/>
          <w:lang w:val="es-ES_tradnl"/>
        </w:rPr>
        <w:t>considerado ilícito en la ley, se aplique o no. Este paso deliberado ha dado lugar, en este caso, a la violación de los derechos del demandante</w:t>
      </w:r>
      <w:r w:rsidR="00AB2467" w:rsidRPr="00D43C76">
        <w:rPr>
          <w:rFonts w:asciiTheme="majorHAnsi" w:hAnsiTheme="majorHAnsi"/>
          <w:sz w:val="18"/>
          <w:szCs w:val="18"/>
          <w:lang w:val="es-ES_tradnl"/>
        </w:rPr>
        <w:t>.</w:t>
      </w:r>
    </w:p>
    <w:p w14:paraId="7D8DAFF2" w14:textId="77777777" w:rsidR="00480954" w:rsidRPr="00D43C76" w:rsidRDefault="00480954" w:rsidP="00AB246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p>
    <w:p w14:paraId="3FA3C7E8" w14:textId="77777777" w:rsidR="00AB2467" w:rsidRPr="00D43C76" w:rsidRDefault="009D21CA" w:rsidP="004809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lang w:val="es-ES_tradnl"/>
        </w:rPr>
      </w:pPr>
      <w:r w:rsidRPr="00D43C76">
        <w:rPr>
          <w:rFonts w:asciiTheme="majorHAnsi" w:hAnsiTheme="majorHAnsi"/>
          <w:sz w:val="18"/>
          <w:szCs w:val="18"/>
          <w:lang w:val="es-ES_tradnl"/>
        </w:rPr>
        <w:t>[</w:t>
      </w:r>
      <w:r w:rsidR="00480954" w:rsidRPr="00D43C76">
        <w:rPr>
          <w:rFonts w:asciiTheme="majorHAnsi" w:hAnsiTheme="majorHAnsi"/>
          <w:sz w:val="18"/>
          <w:szCs w:val="18"/>
          <w:lang w:val="es-ES_tradnl"/>
        </w:rPr>
        <w:t>…</w:t>
      </w:r>
      <w:r w:rsidRPr="00D43C76">
        <w:rPr>
          <w:rFonts w:asciiTheme="majorHAnsi" w:hAnsiTheme="majorHAnsi"/>
          <w:sz w:val="18"/>
          <w:szCs w:val="18"/>
          <w:lang w:val="es-ES_tradnl"/>
        </w:rPr>
        <w:t>]</w:t>
      </w:r>
      <w:r w:rsidR="00480954" w:rsidRPr="00D43C76">
        <w:rPr>
          <w:rFonts w:asciiTheme="majorHAnsi" w:hAnsiTheme="majorHAnsi"/>
          <w:sz w:val="18"/>
          <w:szCs w:val="18"/>
          <w:lang w:val="es-ES_tradnl"/>
        </w:rPr>
        <w:t xml:space="preserve"> A</w:t>
      </w:r>
      <w:r w:rsidR="00023F16" w:rsidRPr="00D43C76">
        <w:rPr>
          <w:rFonts w:asciiTheme="majorHAnsi" w:hAnsiTheme="majorHAnsi"/>
          <w:sz w:val="18"/>
          <w:szCs w:val="18"/>
          <w:lang w:val="es-ES_tradnl"/>
        </w:rPr>
        <w:t xml:space="preserve"> esta altura, el tribunal se siente obligado a concluir que es lamentable que la sociedad valore a una persona o le asigne una identidad según su raza, color, género, edad u </w:t>
      </w:r>
      <w:r w:rsidR="00851B40" w:rsidRPr="00D43C76">
        <w:rPr>
          <w:rFonts w:asciiTheme="majorHAnsi" w:hAnsiTheme="majorHAnsi"/>
          <w:sz w:val="18"/>
          <w:szCs w:val="18"/>
          <w:lang w:val="es-ES_tradnl"/>
        </w:rPr>
        <w:t>orientación sexual</w:t>
      </w:r>
      <w:r w:rsidR="00480954" w:rsidRPr="00D43C76">
        <w:rPr>
          <w:rFonts w:asciiTheme="majorHAnsi" w:hAnsiTheme="majorHAnsi"/>
          <w:sz w:val="18"/>
          <w:szCs w:val="18"/>
          <w:lang w:val="es-ES_tradnl"/>
        </w:rPr>
        <w:t xml:space="preserve">. </w:t>
      </w:r>
      <w:r w:rsidR="00023F16" w:rsidRPr="00D43C76">
        <w:rPr>
          <w:rFonts w:asciiTheme="majorHAnsi" w:hAnsiTheme="majorHAnsi"/>
          <w:sz w:val="18"/>
          <w:szCs w:val="18"/>
          <w:lang w:val="es-ES_tradnl"/>
        </w:rPr>
        <w:t>Esa no es su identidad. Esa no es su alma. Esa no es la total</w:t>
      </w:r>
      <w:r w:rsidR="006A0AB9" w:rsidRPr="00D43C76">
        <w:rPr>
          <w:rFonts w:asciiTheme="majorHAnsi" w:hAnsiTheme="majorHAnsi"/>
          <w:sz w:val="18"/>
          <w:szCs w:val="18"/>
          <w:lang w:val="es-ES_tradnl"/>
        </w:rPr>
        <w:t>idad</w:t>
      </w:r>
      <w:r w:rsidR="00023F16" w:rsidRPr="00D43C76">
        <w:rPr>
          <w:rFonts w:asciiTheme="majorHAnsi" w:hAnsiTheme="majorHAnsi"/>
          <w:sz w:val="18"/>
          <w:szCs w:val="18"/>
          <w:lang w:val="es-ES_tradnl"/>
        </w:rPr>
        <w:t xml:space="preserve"> de su valor para la sociedad o para ella misma. La experiencia del </w:t>
      </w:r>
      <w:r w:rsidR="00480954" w:rsidRPr="00D43C76">
        <w:rPr>
          <w:rFonts w:asciiTheme="majorHAnsi" w:hAnsiTheme="majorHAnsi"/>
          <w:i/>
          <w:sz w:val="18"/>
          <w:szCs w:val="18"/>
          <w:lang w:val="es-ES_tradnl"/>
        </w:rPr>
        <w:t>apartheid</w:t>
      </w:r>
      <w:r w:rsidR="00480954" w:rsidRPr="00D43C76">
        <w:rPr>
          <w:rFonts w:asciiTheme="majorHAnsi" w:hAnsiTheme="majorHAnsi"/>
          <w:sz w:val="18"/>
          <w:szCs w:val="18"/>
          <w:lang w:val="es-ES_tradnl"/>
        </w:rPr>
        <w:t xml:space="preserve"> </w:t>
      </w:r>
      <w:r w:rsidR="00023F16" w:rsidRPr="00D43C76">
        <w:rPr>
          <w:rFonts w:asciiTheme="majorHAnsi" w:hAnsiTheme="majorHAnsi"/>
          <w:sz w:val="18"/>
          <w:szCs w:val="18"/>
          <w:lang w:val="es-ES_tradnl"/>
        </w:rPr>
        <w:t xml:space="preserve">en Sudáfrica y en Estados Unidos durante la época de la esclavitud y con posterioridad, incluso a mediados y fines del siglo </w:t>
      </w:r>
      <w:r w:rsidR="00023F16" w:rsidRPr="00D43C76">
        <w:rPr>
          <w:rFonts w:asciiTheme="majorHAnsi" w:hAnsiTheme="majorHAnsi"/>
          <w:smallCaps/>
          <w:sz w:val="18"/>
          <w:szCs w:val="18"/>
          <w:lang w:val="es-ES_tradnl"/>
        </w:rPr>
        <w:t>XX</w:t>
      </w:r>
      <w:r w:rsidR="00023F16" w:rsidRPr="00D43C76">
        <w:rPr>
          <w:rFonts w:asciiTheme="majorHAnsi" w:hAnsiTheme="majorHAnsi"/>
          <w:sz w:val="18"/>
          <w:szCs w:val="18"/>
          <w:lang w:val="es-ES_tradnl"/>
        </w:rPr>
        <w:t>, ha mostrado la profundidad a la cual la dignidad humana ha caído como consecuencia de prejuicios presupuestos y predeterminados, basados en factores que no aceptan o reconocen la humanidad. La segregación r</w:t>
      </w:r>
      <w:r w:rsidR="00480954" w:rsidRPr="00D43C76">
        <w:rPr>
          <w:rFonts w:asciiTheme="majorHAnsi" w:hAnsiTheme="majorHAnsi"/>
          <w:sz w:val="18"/>
          <w:szCs w:val="18"/>
          <w:lang w:val="es-ES_tradnl"/>
        </w:rPr>
        <w:t>acial</w:t>
      </w:r>
      <w:r w:rsidR="00023F16" w:rsidRPr="00D43C76">
        <w:rPr>
          <w:rFonts w:asciiTheme="majorHAnsi" w:hAnsiTheme="majorHAnsi"/>
          <w:sz w:val="18"/>
          <w:szCs w:val="18"/>
          <w:lang w:val="es-ES_tradnl"/>
        </w:rPr>
        <w:t xml:space="preserve">, el </w:t>
      </w:r>
      <w:r w:rsidR="00480954" w:rsidRPr="00D43C76">
        <w:rPr>
          <w:rFonts w:asciiTheme="majorHAnsi" w:hAnsiTheme="majorHAnsi"/>
          <w:i/>
          <w:sz w:val="18"/>
          <w:szCs w:val="18"/>
          <w:lang w:val="es-ES_tradnl"/>
        </w:rPr>
        <w:t>apartheid</w:t>
      </w:r>
      <w:r w:rsidR="00480954" w:rsidRPr="00D43C76">
        <w:rPr>
          <w:rFonts w:asciiTheme="majorHAnsi" w:hAnsiTheme="majorHAnsi"/>
          <w:sz w:val="18"/>
          <w:szCs w:val="18"/>
          <w:lang w:val="es-ES_tradnl"/>
        </w:rPr>
        <w:t xml:space="preserve">, </w:t>
      </w:r>
      <w:r w:rsidR="00023F16" w:rsidRPr="00D43C76">
        <w:rPr>
          <w:rFonts w:asciiTheme="majorHAnsi" w:hAnsiTheme="majorHAnsi"/>
          <w:sz w:val="18"/>
          <w:szCs w:val="18"/>
          <w:lang w:val="es-ES_tradnl"/>
        </w:rPr>
        <w:t xml:space="preserve">el </w:t>
      </w:r>
      <w:r w:rsidR="00480954" w:rsidRPr="00D43C76">
        <w:rPr>
          <w:rFonts w:asciiTheme="majorHAnsi" w:hAnsiTheme="majorHAnsi"/>
          <w:sz w:val="18"/>
          <w:szCs w:val="18"/>
          <w:lang w:val="es-ES_tradnl"/>
        </w:rPr>
        <w:t>Holocaust</w:t>
      </w:r>
      <w:r w:rsidR="00023F16" w:rsidRPr="00D43C76">
        <w:rPr>
          <w:rFonts w:asciiTheme="majorHAnsi" w:hAnsiTheme="majorHAnsi"/>
          <w:sz w:val="18"/>
          <w:szCs w:val="18"/>
          <w:lang w:val="es-ES_tradnl"/>
        </w:rPr>
        <w:t xml:space="preserve">o son recuerdos penosos de </w:t>
      </w:r>
      <w:r w:rsidR="006A0AB9" w:rsidRPr="00D43C76">
        <w:rPr>
          <w:rFonts w:asciiTheme="majorHAnsi" w:hAnsiTheme="majorHAnsi"/>
          <w:sz w:val="18"/>
          <w:szCs w:val="18"/>
          <w:lang w:val="es-ES_tradnl"/>
        </w:rPr>
        <w:t xml:space="preserve">prejuicios de </w:t>
      </w:r>
      <w:r w:rsidR="00023F16" w:rsidRPr="00D43C76">
        <w:rPr>
          <w:rFonts w:asciiTheme="majorHAnsi" w:hAnsiTheme="majorHAnsi"/>
          <w:sz w:val="18"/>
          <w:szCs w:val="18"/>
          <w:lang w:val="es-ES_tradnl"/>
        </w:rPr>
        <w:t>este tipo. Denegar ahora a una minoría percibida su derecho a la humanidad y a la dignidad</w:t>
      </w:r>
      <w:r w:rsidR="00480954" w:rsidRPr="00D43C76">
        <w:rPr>
          <w:rFonts w:asciiTheme="majorHAnsi" w:hAnsiTheme="majorHAnsi"/>
          <w:sz w:val="18"/>
          <w:szCs w:val="18"/>
          <w:lang w:val="es-ES_tradnl"/>
        </w:rPr>
        <w:t xml:space="preserve"> human</w:t>
      </w:r>
      <w:r w:rsidR="00023F16" w:rsidRPr="00D43C76">
        <w:rPr>
          <w:rFonts w:asciiTheme="majorHAnsi" w:hAnsiTheme="majorHAnsi"/>
          <w:sz w:val="18"/>
          <w:szCs w:val="18"/>
          <w:lang w:val="es-ES_tradnl"/>
        </w:rPr>
        <w:t>a</w:t>
      </w:r>
      <w:r w:rsidR="00480954" w:rsidRPr="00D43C76">
        <w:rPr>
          <w:rFonts w:asciiTheme="majorHAnsi" w:hAnsiTheme="majorHAnsi"/>
          <w:sz w:val="18"/>
          <w:szCs w:val="18"/>
          <w:lang w:val="es-ES_tradnl"/>
        </w:rPr>
        <w:t xml:space="preserve"> </w:t>
      </w:r>
      <w:r w:rsidR="00023F16" w:rsidRPr="00D43C76">
        <w:rPr>
          <w:rFonts w:asciiTheme="majorHAnsi" w:hAnsiTheme="majorHAnsi"/>
          <w:sz w:val="18"/>
          <w:szCs w:val="18"/>
          <w:lang w:val="es-ES_tradnl"/>
        </w:rPr>
        <w:t>sería continuar con este tipo de mentalidad, este tipo de superioridad percibida basada en las creencias genuinas de algunos</w:t>
      </w:r>
      <w:r w:rsidR="00480954" w:rsidRPr="00D43C76">
        <w:rPr>
          <w:rStyle w:val="FootnoteReference"/>
          <w:rFonts w:asciiTheme="majorHAnsi" w:hAnsiTheme="majorHAnsi"/>
          <w:sz w:val="18"/>
          <w:szCs w:val="18"/>
          <w:lang w:val="es-ES_tradnl"/>
        </w:rPr>
        <w:footnoteReference w:id="59"/>
      </w:r>
      <w:r w:rsidR="00023F16" w:rsidRPr="00D43C76">
        <w:rPr>
          <w:rFonts w:asciiTheme="majorHAnsi" w:hAnsiTheme="majorHAnsi"/>
          <w:sz w:val="18"/>
          <w:szCs w:val="18"/>
          <w:lang w:val="es-ES_tradnl"/>
        </w:rPr>
        <w:t>.</w:t>
      </w:r>
    </w:p>
    <w:p w14:paraId="0938E5D4" w14:textId="77777777" w:rsidR="00AB2467" w:rsidRPr="00D43C76" w:rsidRDefault="00AB2467" w:rsidP="006B1BCA">
      <w:pPr>
        <w:pStyle w:val="parrafos"/>
        <w:tabs>
          <w:tab w:val="left" w:pos="720"/>
          <w:tab w:val="left" w:pos="1440"/>
        </w:tabs>
        <w:ind w:right="360"/>
        <w:rPr>
          <w:sz w:val="18"/>
          <w:szCs w:val="18"/>
          <w:lang w:val="es-ES_tradnl"/>
        </w:rPr>
      </w:pPr>
    </w:p>
    <w:p w14:paraId="66D5A19F" w14:textId="77777777" w:rsidR="00D8027F" w:rsidRPr="00D43C76" w:rsidRDefault="00AC2A10" w:rsidP="006637A4">
      <w:pPr>
        <w:pStyle w:val="parrafos"/>
        <w:numPr>
          <w:ilvl w:val="0"/>
          <w:numId w:val="57"/>
        </w:numPr>
        <w:tabs>
          <w:tab w:val="clear" w:pos="1080"/>
          <w:tab w:val="left" w:pos="720"/>
          <w:tab w:val="left" w:pos="1440"/>
        </w:tabs>
        <w:ind w:left="0" w:right="360" w:firstLine="0"/>
        <w:rPr>
          <w:sz w:val="18"/>
          <w:szCs w:val="18"/>
          <w:lang w:val="es-ES_tradnl"/>
        </w:rPr>
      </w:pPr>
      <w:r w:rsidRPr="00D43C76">
        <w:rPr>
          <w:lang w:val="es-ES_tradnl"/>
        </w:rPr>
        <w:t xml:space="preserve">Por último, con respecto al derecho de circulación y de residencia, la Corte Interamericana ha establecido que “puede ser vulnerado de manera formal o por restricciones </w:t>
      </w:r>
      <w:r w:rsidRPr="00D43C76">
        <w:rPr>
          <w:i/>
          <w:lang w:val="es-ES_tradnl"/>
        </w:rPr>
        <w:t>de facto</w:t>
      </w:r>
      <w:r w:rsidRPr="00D43C76">
        <w:rPr>
          <w:lang w:val="es-ES_tradnl"/>
        </w:rPr>
        <w:t xml:space="preserve"> cuando el Estado no ha establecido las condiciones ni provisto los medios que permiten ejercerlo</w:t>
      </w:r>
      <w:r w:rsidRPr="00D43C76">
        <w:rPr>
          <w:rFonts w:ascii="Cambria" w:hAnsi="Cambria" w:cs="Cambria"/>
          <w:lang w:val="es-ES_tradnl"/>
        </w:rPr>
        <w:t>”</w:t>
      </w:r>
      <w:r w:rsidR="00D8027F" w:rsidRPr="00D43C76">
        <w:rPr>
          <w:rStyle w:val="FootnoteReference"/>
          <w:rFonts w:ascii="Cambria" w:hAnsi="Cambria" w:cs="Cambria"/>
          <w:lang w:val="es-ES_tradnl"/>
        </w:rPr>
        <w:footnoteReference w:id="60"/>
      </w:r>
      <w:r w:rsidRPr="00D43C76">
        <w:rPr>
          <w:rFonts w:ascii="Cambria" w:hAnsi="Cambria" w:cs="Cambria"/>
          <w:lang w:val="es-ES_tradnl"/>
        </w:rPr>
        <w:t>.</w:t>
      </w:r>
      <w:r w:rsidR="00D8027F" w:rsidRPr="00D43C76">
        <w:rPr>
          <w:rFonts w:ascii="Cambria" w:hAnsi="Cambria" w:cs="Cambria"/>
          <w:lang w:val="es-ES_tradnl"/>
        </w:rPr>
        <w:t xml:space="preserve"> </w:t>
      </w:r>
      <w:r w:rsidRPr="00D43C76">
        <w:rPr>
          <w:rFonts w:ascii="Cambria" w:hAnsi="Cambria" w:cs="Cambria"/>
          <w:lang w:val="es-ES_tradnl"/>
        </w:rPr>
        <w:t xml:space="preserve">Al respecto, la Corte ha establecido que hay una conexión entre las amenazas y el acoso </w:t>
      </w:r>
      <w:r w:rsidRPr="00D43C76">
        <w:rPr>
          <w:rFonts w:ascii="Cambria" w:hAnsi="Cambria" w:cs="Cambria"/>
          <w:i/>
          <w:iCs/>
          <w:lang w:val="es-ES_tradnl"/>
        </w:rPr>
        <w:t>de facto</w:t>
      </w:r>
      <w:r w:rsidR="00670BDF" w:rsidRPr="00D43C76">
        <w:rPr>
          <w:rFonts w:ascii="Cambria" w:hAnsi="Cambria" w:cs="Cambria"/>
          <w:iCs/>
          <w:lang w:val="es-ES_tradnl"/>
        </w:rPr>
        <w:t>, por un lado,</w:t>
      </w:r>
      <w:r w:rsidRPr="00D43C76">
        <w:rPr>
          <w:rFonts w:ascii="Cambria" w:hAnsi="Cambria" w:cs="Cambria"/>
          <w:i/>
          <w:iCs/>
          <w:lang w:val="es-ES_tradnl"/>
        </w:rPr>
        <w:t xml:space="preserve"> </w:t>
      </w:r>
      <w:r w:rsidRPr="00D43C76">
        <w:rPr>
          <w:rFonts w:ascii="Cambria" w:hAnsi="Cambria" w:cs="Cambria"/>
          <w:iCs/>
          <w:lang w:val="es-ES_tradnl"/>
        </w:rPr>
        <w:t>y el desplazamiento forzado o el exilio</w:t>
      </w:r>
      <w:r w:rsidR="00670BDF" w:rsidRPr="00D43C76">
        <w:rPr>
          <w:rFonts w:ascii="Cambria" w:hAnsi="Cambria" w:cs="Cambria"/>
          <w:iCs/>
          <w:lang w:val="es-ES_tradnl"/>
        </w:rPr>
        <w:t>, por el otro,</w:t>
      </w:r>
      <w:r w:rsidRPr="00D43C76">
        <w:rPr>
          <w:rFonts w:ascii="Cambria" w:hAnsi="Cambria" w:cs="Cambria"/>
          <w:iCs/>
          <w:lang w:val="es-ES_tradnl"/>
        </w:rPr>
        <w:t xml:space="preserve"> cuando </w:t>
      </w:r>
      <w:r w:rsidRPr="00D43C76">
        <w:rPr>
          <w:rFonts w:ascii="Cambria" w:hAnsi="Cambria" w:cs="Cambria"/>
          <w:lang w:val="es-ES_tradnl"/>
        </w:rPr>
        <w:t>“el Estado no provee las garantías necesarias para que pueda transitar y residir libremente en el territorio de que se trate”</w:t>
      </w:r>
      <w:r w:rsidR="00D8027F" w:rsidRPr="00D43C76">
        <w:rPr>
          <w:rStyle w:val="FootnoteReference"/>
          <w:rFonts w:ascii="Cambria" w:hAnsi="Cambria" w:cs="Cambria"/>
          <w:lang w:val="es-ES_tradnl"/>
        </w:rPr>
        <w:footnoteReference w:id="61"/>
      </w:r>
      <w:r w:rsidRPr="00D43C76">
        <w:rPr>
          <w:rFonts w:ascii="Cambria" w:hAnsi="Cambria" w:cs="Cambria"/>
          <w:lang w:val="es-ES_tradnl"/>
        </w:rPr>
        <w:t>.</w:t>
      </w:r>
    </w:p>
    <w:p w14:paraId="2CA64607" w14:textId="77777777" w:rsidR="00180CD2" w:rsidRPr="00D43C76" w:rsidRDefault="00AC2A10" w:rsidP="00F557EB">
      <w:pPr>
        <w:pStyle w:val="Heading3"/>
        <w:numPr>
          <w:ilvl w:val="1"/>
          <w:numId w:val="53"/>
        </w:numPr>
        <w:ind w:left="360"/>
        <w:rPr>
          <w:color w:val="auto"/>
          <w:sz w:val="20"/>
          <w:szCs w:val="20"/>
          <w:lang w:val="es-ES_tradnl"/>
        </w:rPr>
      </w:pPr>
      <w:bookmarkStart w:id="53" w:name="_Toc18144542"/>
      <w:bookmarkStart w:id="54" w:name="_Toc58491245"/>
      <w:r w:rsidRPr="00D43C76">
        <w:rPr>
          <w:color w:val="auto"/>
          <w:sz w:val="20"/>
          <w:szCs w:val="20"/>
          <w:lang w:val="es-ES_tradnl"/>
        </w:rPr>
        <w:t>Análisis de este caso</w:t>
      </w:r>
      <w:bookmarkEnd w:id="53"/>
      <w:bookmarkEnd w:id="54"/>
    </w:p>
    <w:p w14:paraId="01D9384A" w14:textId="77777777" w:rsidR="00180CD2" w:rsidRPr="00D43C76" w:rsidRDefault="00180CD2" w:rsidP="00180CD2">
      <w:pPr>
        <w:rPr>
          <w:lang w:val="es-ES_tradnl"/>
        </w:rPr>
      </w:pPr>
    </w:p>
    <w:p w14:paraId="055115C6" w14:textId="77777777" w:rsidR="00B13EB4" w:rsidRPr="00D43C76" w:rsidRDefault="00AC2A10" w:rsidP="006637A4">
      <w:pPr>
        <w:pStyle w:val="parrafos"/>
        <w:numPr>
          <w:ilvl w:val="0"/>
          <w:numId w:val="57"/>
        </w:numPr>
        <w:tabs>
          <w:tab w:val="clear" w:pos="1080"/>
          <w:tab w:val="left" w:pos="720"/>
        </w:tabs>
        <w:ind w:left="0" w:firstLine="0"/>
        <w:rPr>
          <w:rFonts w:ascii="Cambria" w:hAnsi="Cambria"/>
          <w:lang w:val="es-ES_tradnl"/>
        </w:rPr>
      </w:pPr>
      <w:r w:rsidRPr="00D43C76">
        <w:rPr>
          <w:lang w:val="es-ES_tradnl"/>
        </w:rPr>
        <w:t>Primero,</w:t>
      </w:r>
      <w:r w:rsidRPr="00D43C76">
        <w:rPr>
          <w:rFonts w:ascii="Cambria" w:hAnsi="Cambria"/>
          <w:lang w:val="es-ES_tradnl"/>
        </w:rPr>
        <w:t xml:space="preserve"> la Comisión determinará si los artículos pertinentes de la Ley de Delitos contra la Persona constituyen restricciones o diferencias de trato con respecto a los derechos reconocidos en la Convención. En ese sentido, la CIDH observa que el artículo 76 de la Ley de Delitos contra la Persona, titulado “Delito contra natura”, prohíbe “el abominable delito de sodomía” cometido por cualquier persona, sin especificar el sexo, el género o la orientación sexual. Asimismo, en el artículo 77 se sanciona el intento de cometer un acto de sodomía</w:t>
      </w:r>
      <w:r w:rsidR="003B12B2" w:rsidRPr="00D43C76">
        <w:rPr>
          <w:rFonts w:ascii="Cambria" w:hAnsi="Cambria"/>
          <w:lang w:val="es-ES_tradnl"/>
        </w:rPr>
        <w:t xml:space="preserve">. </w:t>
      </w:r>
    </w:p>
    <w:p w14:paraId="12BD0AD3" w14:textId="77777777" w:rsidR="00B13EB4" w:rsidRPr="00D43C76" w:rsidRDefault="00B13EB4" w:rsidP="00B13EB4">
      <w:pPr>
        <w:pStyle w:val="parrafos"/>
        <w:tabs>
          <w:tab w:val="left" w:pos="720"/>
        </w:tabs>
        <w:rPr>
          <w:rFonts w:ascii="Cambria" w:hAnsi="Cambria"/>
          <w:lang w:val="es-ES_tradnl"/>
        </w:rPr>
      </w:pPr>
    </w:p>
    <w:p w14:paraId="79550C78" w14:textId="77777777" w:rsidR="00110A55" w:rsidRPr="00D43C76" w:rsidRDefault="00AC2A10" w:rsidP="006637A4">
      <w:pPr>
        <w:pStyle w:val="parrafos"/>
        <w:numPr>
          <w:ilvl w:val="0"/>
          <w:numId w:val="57"/>
        </w:numPr>
        <w:tabs>
          <w:tab w:val="clear" w:pos="1080"/>
          <w:tab w:val="left" w:pos="720"/>
        </w:tabs>
        <w:ind w:left="0" w:firstLine="0"/>
        <w:rPr>
          <w:lang w:val="es-ES_tradnl"/>
        </w:rPr>
      </w:pPr>
      <w:r w:rsidRPr="00D43C76">
        <w:rPr>
          <w:lang w:val="es-ES_tradnl"/>
        </w:rPr>
        <w:t xml:space="preserve">La Comisión considera que tales normas constituyen una restricción de la vida privada que tiene un efecto diferente en las personas LGBTI </w:t>
      </w:r>
      <w:r w:rsidR="00670BDF" w:rsidRPr="00D43C76">
        <w:rPr>
          <w:lang w:val="es-ES_tradnl"/>
        </w:rPr>
        <w:t>de</w:t>
      </w:r>
      <w:r w:rsidRPr="00D43C76">
        <w:rPr>
          <w:lang w:val="es-ES_tradnl"/>
        </w:rPr>
        <w:t xml:space="preserve"> Jamaica, como las presunta víctimas, en vista del contexto antedicho y de que las referencias a prácticas innaturales en las leyes de sodomía por lo general se interpretan en el sentido de penalizar a las personas que desafían las normas tradicionales de orientación sexual, identidad y expresión de género, y diversidad corporal o que representan sexualidades e identidades que no se ciñen a la norma</w:t>
      </w:r>
      <w:r w:rsidR="00B13EB4" w:rsidRPr="00D43C76">
        <w:rPr>
          <w:vertAlign w:val="superscript"/>
          <w:lang w:val="es-ES_tradnl"/>
        </w:rPr>
        <w:footnoteReference w:id="62"/>
      </w:r>
      <w:r w:rsidRPr="00D43C76">
        <w:rPr>
          <w:lang w:val="es-ES_tradnl"/>
        </w:rPr>
        <w:t>.</w:t>
      </w:r>
      <w:r w:rsidR="00B13EB4" w:rsidRPr="00D43C76">
        <w:rPr>
          <w:lang w:val="es-ES_tradnl"/>
        </w:rPr>
        <w:t xml:space="preserve"> </w:t>
      </w:r>
      <w:r w:rsidRPr="00D43C76">
        <w:rPr>
          <w:lang w:val="es-ES_tradnl"/>
        </w:rPr>
        <w:t xml:space="preserve">Como ya ha señalado la CIDH, en la práctica, las leyes de ese tipo tienen un impacto desproporcionado en los hombres gais y en los hombres que tienen relaciones sexuales con otros hombres. </w:t>
      </w:r>
      <w:r w:rsidR="00670BDF" w:rsidRPr="00D43C76">
        <w:rPr>
          <w:lang w:val="es-ES_tradnl"/>
        </w:rPr>
        <w:t xml:space="preserve">Ha habido </w:t>
      </w:r>
      <w:r w:rsidRPr="00D43C76">
        <w:rPr>
          <w:lang w:val="es-ES_tradnl"/>
        </w:rPr>
        <w:t>casos de aplicación de estas leyes a hombres como consecuencia de su conducta homosexual</w:t>
      </w:r>
      <w:r w:rsidR="00342964" w:rsidRPr="00D43C76">
        <w:rPr>
          <w:vertAlign w:val="superscript"/>
          <w:lang w:val="es-ES_tradnl"/>
        </w:rPr>
        <w:footnoteReference w:id="63"/>
      </w:r>
      <w:r w:rsidRPr="00D43C76">
        <w:rPr>
          <w:lang w:val="es-ES_tradnl"/>
        </w:rPr>
        <w:t>.</w:t>
      </w:r>
      <w:r w:rsidR="002A13A4" w:rsidRPr="00D43C76">
        <w:rPr>
          <w:lang w:val="es-ES_tradnl"/>
        </w:rPr>
        <w:t xml:space="preserve"> </w:t>
      </w:r>
      <w:r w:rsidRPr="00D43C76">
        <w:rPr>
          <w:lang w:val="es-ES_tradnl"/>
        </w:rPr>
        <w:t xml:space="preserve">Además, aunque la mayoría de estas leyes “no abordan de manera específica los actos sexuales entre mujeres, los prejuicios hacia las sexualidades no normativas que son prevalentes en estas sociedades ponen en riesgo a las mujeres que tienen sexo con </w:t>
      </w:r>
      <w:r w:rsidRPr="00D43C76">
        <w:rPr>
          <w:lang w:val="es-ES_tradnl"/>
        </w:rPr>
        <w:lastRenderedPageBreak/>
        <w:t>mujeres, o a las mujeres que son percibidas con una identidad o expresión de género que no encaja con una noción tradicional de la femineidad. [...] las personas trans y las personas no conformes con el género, dada su alta visibilidad, también enfrentan violencia y discriminación en estos contextos”</w:t>
      </w:r>
      <w:r w:rsidR="00B13EB4" w:rsidRPr="00D43C76">
        <w:rPr>
          <w:vertAlign w:val="superscript"/>
          <w:lang w:val="es-ES_tradnl"/>
        </w:rPr>
        <w:footnoteReference w:id="64"/>
      </w:r>
      <w:r w:rsidRPr="00D43C76">
        <w:rPr>
          <w:lang w:val="es-ES_tradnl"/>
        </w:rPr>
        <w:t>.</w:t>
      </w:r>
    </w:p>
    <w:p w14:paraId="4ECC41A7" w14:textId="77777777" w:rsidR="00110A55" w:rsidRPr="00D43C76" w:rsidRDefault="00110A55" w:rsidP="00110A55">
      <w:pPr>
        <w:pStyle w:val="ListParagraph"/>
        <w:rPr>
          <w:lang w:val="es-ES_tradnl"/>
        </w:rPr>
      </w:pPr>
    </w:p>
    <w:p w14:paraId="0CFF950A" w14:textId="77777777" w:rsidR="00B13EB4" w:rsidRPr="00D43C76" w:rsidRDefault="00AC2A10" w:rsidP="006637A4">
      <w:pPr>
        <w:pStyle w:val="parrafos"/>
        <w:numPr>
          <w:ilvl w:val="0"/>
          <w:numId w:val="57"/>
        </w:numPr>
        <w:tabs>
          <w:tab w:val="clear" w:pos="1080"/>
          <w:tab w:val="left" w:pos="720"/>
        </w:tabs>
        <w:ind w:left="0" w:firstLine="0"/>
        <w:rPr>
          <w:lang w:val="es-ES_tradnl"/>
        </w:rPr>
      </w:pPr>
      <w:r w:rsidRPr="00D43C76">
        <w:rPr>
          <w:lang w:val="es-ES_tradnl"/>
        </w:rPr>
        <w:t>Por otro lado, la CIDH observa que el artículo 79 de dicha ley establece una diferencia de trato con respecto a los hombres que tienen relaciones sexuales con otros hombres o los hombres homosexuales, ya que establece una pena de dos años de cárcel como máximo para “cualquier ultraje contra la moral pública” o su intento con otra persona del sexo masculino, en público o en privado</w:t>
      </w:r>
      <w:r w:rsidR="00110A55" w:rsidRPr="00D43C76">
        <w:rPr>
          <w:lang w:val="es-ES_tradnl"/>
        </w:rPr>
        <w:t>.</w:t>
      </w:r>
    </w:p>
    <w:p w14:paraId="44054D4A" w14:textId="77777777" w:rsidR="00363DD2" w:rsidRPr="00D43C76" w:rsidRDefault="00363DD2" w:rsidP="00363DD2">
      <w:pPr>
        <w:pStyle w:val="ListParagraph"/>
        <w:rPr>
          <w:rFonts w:ascii="Arial" w:hAnsi="Arial" w:cs="Arial"/>
          <w:color w:val="222222"/>
          <w:shd w:val="clear" w:color="auto" w:fill="F8F9FA"/>
          <w:lang w:val="es-ES_tradnl"/>
        </w:rPr>
      </w:pPr>
    </w:p>
    <w:p w14:paraId="1A72F39D" w14:textId="77777777" w:rsidR="00863CD8" w:rsidRPr="00D43C76" w:rsidRDefault="00AC2A10" w:rsidP="006637A4">
      <w:pPr>
        <w:pStyle w:val="parrafos"/>
        <w:numPr>
          <w:ilvl w:val="0"/>
          <w:numId w:val="57"/>
        </w:numPr>
        <w:tabs>
          <w:tab w:val="clear" w:pos="1080"/>
          <w:tab w:val="left" w:pos="720"/>
        </w:tabs>
        <w:ind w:left="0" w:firstLine="0"/>
        <w:rPr>
          <w:rFonts w:ascii="Cambria" w:hAnsi="Cambria"/>
          <w:lang w:val="es-ES_tradnl"/>
        </w:rPr>
      </w:pPr>
      <w:r w:rsidRPr="00D43C76">
        <w:rPr>
          <w:lang w:val="es-ES_tradnl"/>
        </w:rPr>
        <w:t xml:space="preserve">En su jurisprudencia, a fin de determinar la arbitrariedad de una restricción o una diferencia de trato, la CIDH ha recurrido a una prueba de proporcionalidad, que abarca los siguientes elementos por orden de intensidad: </w:t>
      </w:r>
      <w:r w:rsidRPr="00D43C76">
        <w:rPr>
          <w:rFonts w:ascii="Cambria" w:hAnsi="Cambria"/>
          <w:lang w:val="es-ES_tradnl"/>
        </w:rPr>
        <w:t>i) la existencia de un fin legítimo; ii) la idoneidad, es decir, la determinación de la existencia o la ausencia de una relación lógica de causalidad entre el medio y el fin; iii) la necesidad, es decir, la determinación de la existencia o la ausencia de alternativas menos restrictivas e igualmente idóneas</w:t>
      </w:r>
      <w:r w:rsidR="00670BDF" w:rsidRPr="00D43C76">
        <w:rPr>
          <w:rFonts w:ascii="Cambria" w:hAnsi="Cambria"/>
          <w:lang w:val="es-ES_tradnl"/>
        </w:rPr>
        <w:t>,</w:t>
      </w:r>
      <w:r w:rsidRPr="00D43C76">
        <w:rPr>
          <w:rFonts w:ascii="Cambria" w:hAnsi="Cambria"/>
          <w:lang w:val="es-ES_tradnl"/>
        </w:rPr>
        <w:t xml:space="preserve"> y </w:t>
      </w:r>
      <w:r w:rsidR="00670BDF" w:rsidRPr="00D43C76">
        <w:rPr>
          <w:rFonts w:ascii="Cambria" w:hAnsi="Cambria"/>
          <w:lang w:val="es-ES_tradnl"/>
        </w:rPr>
        <w:t>i</w:t>
      </w:r>
      <w:r w:rsidRPr="00D43C76">
        <w:rPr>
          <w:rFonts w:ascii="Cambria" w:hAnsi="Cambria"/>
          <w:lang w:val="es-ES_tradnl"/>
        </w:rPr>
        <w:t xml:space="preserve">v) la proporcionalidad </w:t>
      </w:r>
      <w:r w:rsidRPr="00D43C76">
        <w:rPr>
          <w:rFonts w:ascii="Cambria" w:hAnsi="Cambria"/>
          <w:i/>
          <w:lang w:val="es-ES_tradnl"/>
        </w:rPr>
        <w:t>stricto sensu</w:t>
      </w:r>
      <w:r w:rsidRPr="00D43C76">
        <w:rPr>
          <w:rFonts w:ascii="Cambria" w:hAnsi="Cambria"/>
          <w:lang w:val="es-ES_tradnl"/>
        </w:rPr>
        <w:t>, es decir, un equilibrio entre los intereses en juego y el grado de sacrificio de uno respecto del grado de beneficio del otro</w:t>
      </w:r>
      <w:r w:rsidR="00863CD8" w:rsidRPr="00D43C76">
        <w:rPr>
          <w:rStyle w:val="FootnoteReference"/>
          <w:rFonts w:ascii="Cambria" w:hAnsi="Cambria"/>
          <w:lang w:val="es-ES_tradnl"/>
        </w:rPr>
        <w:footnoteReference w:id="65"/>
      </w:r>
      <w:r w:rsidRPr="00D43C76">
        <w:rPr>
          <w:rFonts w:ascii="Cambria" w:hAnsi="Cambria"/>
          <w:lang w:val="es-ES_tradnl"/>
        </w:rPr>
        <w:t>.</w:t>
      </w:r>
    </w:p>
    <w:p w14:paraId="46F89ECF" w14:textId="77777777" w:rsidR="00863CD8" w:rsidRPr="00D43C76" w:rsidRDefault="00863CD8" w:rsidP="00863CD8">
      <w:pPr>
        <w:pStyle w:val="ListParagraph"/>
        <w:rPr>
          <w:lang w:val="es-ES_tradnl"/>
        </w:rPr>
      </w:pPr>
    </w:p>
    <w:p w14:paraId="4AF13DB2" w14:textId="77777777" w:rsidR="00D252F0" w:rsidRPr="00D43C76" w:rsidRDefault="00AC2A10" w:rsidP="006637A4">
      <w:pPr>
        <w:pStyle w:val="parrafos"/>
        <w:numPr>
          <w:ilvl w:val="0"/>
          <w:numId w:val="57"/>
        </w:numPr>
        <w:tabs>
          <w:tab w:val="clear" w:pos="1080"/>
          <w:tab w:val="left" w:pos="720"/>
        </w:tabs>
        <w:ind w:left="0" w:firstLine="0"/>
        <w:rPr>
          <w:lang w:val="es-ES_tradnl"/>
        </w:rPr>
      </w:pPr>
      <w:r w:rsidRPr="00D43C76">
        <w:rPr>
          <w:rFonts w:ascii="Cambria" w:hAnsi="Cambria"/>
          <w:lang w:val="es-ES_tradnl"/>
        </w:rPr>
        <w:t xml:space="preserve">Sin embargo, en este caso la Comisión considera que no es necesario analizar la legitimidad de las restricciones y la diferencia de trato previstas en la </w:t>
      </w:r>
      <w:r w:rsidRPr="00D43C76">
        <w:rPr>
          <w:lang w:val="es-ES_tradnl"/>
        </w:rPr>
        <w:t>Ley de Delitos contra la Persona porque, por un lado, tanto la CIDH como la Corte Interamericana ya han determinado que la existencia misma de leyes de sodomía o delitos contra la moral pública va en contra de los derechos reconocidos en la Convención, como el principio de no discriminación y el derecho a la intimidad</w:t>
      </w:r>
      <w:r w:rsidR="00363DD2" w:rsidRPr="00D43C76">
        <w:rPr>
          <w:rStyle w:val="FootnoteReference"/>
          <w:lang w:val="es-ES_tradnl"/>
        </w:rPr>
        <w:footnoteReference w:id="66"/>
      </w:r>
      <w:r w:rsidR="00363DD2" w:rsidRPr="00D43C76">
        <w:rPr>
          <w:lang w:val="es-ES_tradnl"/>
        </w:rPr>
        <w:t>.</w:t>
      </w:r>
      <w:r w:rsidR="0034591F" w:rsidRPr="00D43C76">
        <w:rPr>
          <w:lang w:val="es-ES_tradnl"/>
        </w:rPr>
        <w:t xml:space="preserve"> </w:t>
      </w:r>
      <w:r w:rsidR="00363DD2" w:rsidRPr="00D43C76">
        <w:rPr>
          <w:lang w:val="es-ES_tradnl"/>
        </w:rPr>
        <w:t xml:space="preserve"> </w:t>
      </w:r>
    </w:p>
    <w:p w14:paraId="23D8AEFB" w14:textId="77777777" w:rsidR="00363DD2" w:rsidRPr="00D43C76" w:rsidRDefault="00363DD2" w:rsidP="00363DD2">
      <w:pPr>
        <w:pStyle w:val="ListParagraph"/>
        <w:rPr>
          <w:lang w:val="es-ES_tradnl"/>
        </w:rPr>
      </w:pPr>
    </w:p>
    <w:p w14:paraId="4ABD9A71" w14:textId="77777777" w:rsidR="00AA515C" w:rsidRPr="00D43C76" w:rsidRDefault="00AC2A10" w:rsidP="006637A4">
      <w:pPr>
        <w:pStyle w:val="parrafos"/>
        <w:numPr>
          <w:ilvl w:val="0"/>
          <w:numId w:val="57"/>
        </w:numPr>
        <w:tabs>
          <w:tab w:val="clear" w:pos="1080"/>
          <w:tab w:val="left" w:pos="720"/>
        </w:tabs>
        <w:ind w:left="0" w:firstLine="0"/>
        <w:rPr>
          <w:lang w:val="es-ES_tradnl"/>
        </w:rPr>
      </w:pPr>
      <w:r w:rsidRPr="00D43C76">
        <w:rPr>
          <w:lang w:val="es-ES_tradnl"/>
        </w:rPr>
        <w:t>Por otro lado, la Comisión recuerda que, en casos en que la diferencia de trato se basa en una de las categorías prohibidas en el artículo 1.1 de la Convención, como la orientación sexual, el Estado tiene la carga de justificar sus actos sobre la base de “razones de mucho peso”</w:t>
      </w:r>
      <w:r w:rsidR="00AE65BC" w:rsidRPr="00D43C76">
        <w:rPr>
          <w:rStyle w:val="FootnoteReference"/>
          <w:rFonts w:ascii="Cambria" w:hAnsi="Cambria"/>
          <w:lang w:val="es-ES_tradnl"/>
        </w:rPr>
        <w:footnoteReference w:id="67"/>
      </w:r>
      <w:r w:rsidRPr="00D43C76">
        <w:rPr>
          <w:lang w:val="es-ES_tradnl"/>
        </w:rPr>
        <w:t>,</w:t>
      </w:r>
      <w:r w:rsidR="00AE65BC" w:rsidRPr="00D43C76">
        <w:rPr>
          <w:lang w:val="es-ES_tradnl"/>
        </w:rPr>
        <w:t xml:space="preserve"> </w:t>
      </w:r>
      <w:r w:rsidRPr="00D43C76">
        <w:rPr>
          <w:lang w:val="es-ES_tradnl"/>
        </w:rPr>
        <w:t>lo cual implica que las razones que aduzca para justificar las restricciones deben ser particularmente serias y fundamentarse en argumentos pormenorizados. Ante la falta de tal justificación, se presumirá que la diferencia de trato es incompatible con la Convención</w:t>
      </w:r>
      <w:r w:rsidR="00AA515C" w:rsidRPr="00D43C76">
        <w:rPr>
          <w:rStyle w:val="FootnoteReference"/>
          <w:rFonts w:ascii="Cambria" w:hAnsi="Cambria"/>
          <w:lang w:val="es-ES_tradnl"/>
        </w:rPr>
        <w:footnoteReference w:id="68"/>
      </w:r>
      <w:r w:rsidRPr="00D43C76">
        <w:rPr>
          <w:lang w:val="es-ES_tradnl"/>
        </w:rPr>
        <w:t>.</w:t>
      </w:r>
    </w:p>
    <w:p w14:paraId="66DAB0EC" w14:textId="77777777" w:rsidR="00AA515C" w:rsidRPr="00D43C76" w:rsidRDefault="00AA515C" w:rsidP="00AA515C">
      <w:pPr>
        <w:pStyle w:val="ListParagraph"/>
        <w:rPr>
          <w:lang w:val="es-ES_tradnl"/>
        </w:rPr>
      </w:pPr>
    </w:p>
    <w:p w14:paraId="6EC23FB3" w14:textId="77777777" w:rsidR="00E743F3" w:rsidRPr="00D43C76" w:rsidRDefault="00AC2A10" w:rsidP="006637A4">
      <w:pPr>
        <w:pStyle w:val="parrafos"/>
        <w:numPr>
          <w:ilvl w:val="0"/>
          <w:numId w:val="57"/>
        </w:numPr>
        <w:tabs>
          <w:tab w:val="clear" w:pos="1080"/>
          <w:tab w:val="left" w:pos="720"/>
        </w:tabs>
        <w:ind w:left="0" w:firstLine="0"/>
        <w:rPr>
          <w:lang w:val="es-ES_tradnl"/>
        </w:rPr>
      </w:pPr>
      <w:r w:rsidRPr="00D43C76">
        <w:rPr>
          <w:lang w:val="es-ES_tradnl"/>
        </w:rPr>
        <w:t xml:space="preserve">La CIDH observa que, en el caso de autos, el Estado no presentó ninguna justificación </w:t>
      </w:r>
      <w:r w:rsidR="00670BDF" w:rsidRPr="00D43C76">
        <w:rPr>
          <w:lang w:val="es-ES_tradnl"/>
        </w:rPr>
        <w:t xml:space="preserve">de </w:t>
      </w:r>
      <w:r w:rsidRPr="00D43C76">
        <w:rPr>
          <w:lang w:val="es-ES_tradnl"/>
        </w:rPr>
        <w:t>la interferencia en la vida privada y la diferencia de trato de</w:t>
      </w:r>
      <w:r w:rsidR="00A74533" w:rsidRPr="00D43C76">
        <w:rPr>
          <w:lang w:val="es-ES_tradnl"/>
        </w:rPr>
        <w:t xml:space="preserve"> </w:t>
      </w:r>
      <w:r w:rsidR="007E65FB" w:rsidRPr="00D43C76">
        <w:rPr>
          <w:lang w:val="es-ES_tradnl"/>
        </w:rPr>
        <w:t xml:space="preserve">T. B. </w:t>
      </w:r>
      <w:r w:rsidRPr="00D43C76">
        <w:rPr>
          <w:lang w:val="es-ES_tradnl"/>
        </w:rPr>
        <w:t>y</w:t>
      </w:r>
      <w:r w:rsidR="00AA515C" w:rsidRPr="00D43C76">
        <w:rPr>
          <w:lang w:val="es-ES_tradnl"/>
        </w:rPr>
        <w:t xml:space="preserve"> </w:t>
      </w:r>
      <w:r w:rsidR="007E65FB" w:rsidRPr="00D43C76">
        <w:rPr>
          <w:rFonts w:eastAsia="Cambria" w:cs="Cambria"/>
          <w:lang w:val="es-ES_tradnl"/>
        </w:rPr>
        <w:t>S. H.</w:t>
      </w:r>
      <w:r w:rsidR="007A5B3D" w:rsidRPr="00D43C76">
        <w:rPr>
          <w:rFonts w:eastAsia="Cambria" w:cs="Cambria"/>
          <w:lang w:val="es-ES_tradnl"/>
        </w:rPr>
        <w:t xml:space="preserve"> </w:t>
      </w:r>
      <w:r w:rsidRPr="00D43C76">
        <w:rPr>
          <w:lang w:val="es-ES_tradnl"/>
        </w:rPr>
        <w:t>en el marco de la Ley de Delitos contra la Persona</w:t>
      </w:r>
      <w:r w:rsidRPr="00D43C76">
        <w:rPr>
          <w:rFonts w:eastAsia="Cambria" w:cs="Cambria"/>
          <w:lang w:val="es-ES_tradnl"/>
        </w:rPr>
        <w:t>. Por lo tanto, no se puede aplicar ni siquiera el primer paso de la prueba de proporcionalidad, es decir, la existencia de un fin legítimo, el cual, en el caso de las categorías sospechosas establecidas en el artículo 1.1 de la Convención, debe analizarse estrictamente en el sentido de una necesidad imperiosa</w:t>
      </w:r>
      <w:r w:rsidR="002A6C68" w:rsidRPr="00D43C76">
        <w:rPr>
          <w:rFonts w:eastAsia="Cambria" w:cs="Cambria"/>
          <w:lang w:val="es-ES_tradnl"/>
        </w:rPr>
        <w:t>. En consecuencia,</w:t>
      </w:r>
      <w:r w:rsidRPr="00D43C76">
        <w:rPr>
          <w:rFonts w:eastAsia="Cambria" w:cs="Cambria"/>
          <w:lang w:val="es-ES_tradnl"/>
        </w:rPr>
        <w:t xml:space="preserve"> debe presumirse que tanto la interferencia como la diferencia de trato son contrarias a la Convención</w:t>
      </w:r>
      <w:r w:rsidR="00E743F3" w:rsidRPr="00D43C76">
        <w:rPr>
          <w:rFonts w:eastAsia="Cambria" w:cs="Cambria"/>
          <w:lang w:val="es-ES_tradnl"/>
        </w:rPr>
        <w:t xml:space="preserve">. </w:t>
      </w:r>
    </w:p>
    <w:p w14:paraId="2D129A6F" w14:textId="77777777" w:rsidR="000D4786" w:rsidRPr="00D43C76" w:rsidRDefault="000D4786" w:rsidP="00A42744">
      <w:pPr>
        <w:rPr>
          <w:lang w:val="es-ES_tradnl" w:eastAsia="es-ES"/>
        </w:rPr>
      </w:pPr>
    </w:p>
    <w:p w14:paraId="3DBB5716" w14:textId="77777777" w:rsidR="00180CD2" w:rsidRPr="00D43C76" w:rsidRDefault="002918C3"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En virtud de las consideraciones precedentes, la Comisión concluye que el Estado de Jamaica es responsable de la violación del principio de igualdad y no discriminación y del derecho a la intimidad amparados en los artículos 11 y 24 de la Convención, en lo que respecta a las obligaciones establecidas en los artículos 1.1 y 2 de dicho instrumento, en perjuicio de</w:t>
      </w:r>
      <w:r w:rsidR="00E743F3" w:rsidRPr="00D43C76">
        <w:rPr>
          <w:rFonts w:ascii="Cambria" w:hAnsi="Cambria"/>
          <w:lang w:val="es-ES_tradnl"/>
        </w:rPr>
        <w:t xml:space="preserve"> </w:t>
      </w:r>
      <w:r w:rsidR="007E65FB" w:rsidRPr="00D43C76">
        <w:rPr>
          <w:rFonts w:ascii="Cambria" w:hAnsi="Cambria"/>
          <w:lang w:val="es-ES_tradnl"/>
        </w:rPr>
        <w:t xml:space="preserve">T. B. </w:t>
      </w:r>
      <w:r w:rsidRPr="00D43C76">
        <w:rPr>
          <w:rFonts w:ascii="Cambria" w:hAnsi="Cambria"/>
          <w:lang w:val="es-ES_tradnl"/>
        </w:rPr>
        <w:t>y</w:t>
      </w:r>
      <w:r w:rsidR="00A74533" w:rsidRPr="00D43C76">
        <w:rPr>
          <w:rFonts w:ascii="Cambria" w:hAnsi="Cambria"/>
          <w:lang w:val="es-ES_tradnl"/>
        </w:rPr>
        <w:t xml:space="preserve"> </w:t>
      </w:r>
      <w:r w:rsidR="007E65FB" w:rsidRPr="00D43C76">
        <w:rPr>
          <w:rFonts w:ascii="Cambria" w:hAnsi="Cambria"/>
          <w:lang w:val="es-ES_tradnl"/>
        </w:rPr>
        <w:t>S. H.</w:t>
      </w:r>
      <w:r w:rsidR="00E743F3" w:rsidRPr="00D43C76">
        <w:rPr>
          <w:rFonts w:ascii="Cambria" w:hAnsi="Cambria"/>
          <w:lang w:val="es-ES_tradnl"/>
        </w:rPr>
        <w:t xml:space="preserve"> </w:t>
      </w:r>
    </w:p>
    <w:p w14:paraId="5708BAC3" w14:textId="77777777" w:rsidR="00280F11" w:rsidRPr="00D43C76" w:rsidRDefault="00280F11" w:rsidP="00280F11">
      <w:pPr>
        <w:pStyle w:val="parrafos"/>
        <w:tabs>
          <w:tab w:val="left" w:pos="720"/>
        </w:tabs>
        <w:rPr>
          <w:rFonts w:ascii="Cambria" w:hAnsi="Cambria"/>
          <w:lang w:val="es-ES_tradnl"/>
        </w:rPr>
      </w:pPr>
    </w:p>
    <w:p w14:paraId="04F1A788" w14:textId="77777777" w:rsidR="00983268" w:rsidRPr="00D43C76" w:rsidRDefault="002918C3"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lastRenderedPageBreak/>
        <w:t xml:space="preserve">Con respecto al derecho a la integridad personal, como ya se ha indicado, tanto la Comisión como la Corte Interamericana, así como organizaciones internacionales y tribunales internos, han señalado que hay un nexo entre las leyes de sodomía y los abusos de los derechos humanos perpetrados contra personas LGBTI, puesto que tales leyes condonan la discriminación, la estigmatización y la violencia al dar aprobación social al abuso y contribuyen a la incidencia de delitos homofóbicos y transfóbicos y </w:t>
      </w:r>
      <w:r w:rsidR="002A6C68" w:rsidRPr="00D43C76">
        <w:rPr>
          <w:rFonts w:ascii="Cambria" w:hAnsi="Cambria"/>
          <w:lang w:val="es-ES_tradnl"/>
        </w:rPr>
        <w:t xml:space="preserve">a </w:t>
      </w:r>
      <w:r w:rsidRPr="00D43C76">
        <w:rPr>
          <w:rFonts w:ascii="Cambria" w:hAnsi="Cambria"/>
          <w:lang w:val="es-ES_tradnl"/>
        </w:rPr>
        <w:t>otros abusos. La CIDH ha señalado también que la mera existencia de leyes de sodomía puede perjudicar la salud mental al producir ansiedad, culpa y depresión en las personas LGBTI afectadas</w:t>
      </w:r>
      <w:r w:rsidR="002A13A4" w:rsidRPr="00D43C76">
        <w:rPr>
          <w:rStyle w:val="FootnoteReference"/>
          <w:rFonts w:ascii="Cambria" w:hAnsi="Cambria"/>
          <w:lang w:val="es-ES_tradnl"/>
        </w:rPr>
        <w:footnoteReference w:id="69"/>
      </w:r>
      <w:r w:rsidRPr="00D43C76">
        <w:rPr>
          <w:rFonts w:ascii="Cambria" w:hAnsi="Cambria"/>
          <w:lang w:val="es-ES_tradnl"/>
        </w:rPr>
        <w:t>.</w:t>
      </w:r>
      <w:r w:rsidR="000A1563" w:rsidRPr="00D43C76">
        <w:rPr>
          <w:rFonts w:ascii="Cambria" w:hAnsi="Cambria"/>
          <w:lang w:val="es-ES_tradnl"/>
        </w:rPr>
        <w:t xml:space="preserve"> </w:t>
      </w:r>
    </w:p>
    <w:p w14:paraId="45B4B3F8" w14:textId="77777777" w:rsidR="005800E2" w:rsidRPr="00D43C76" w:rsidRDefault="005800E2" w:rsidP="005800E2">
      <w:pPr>
        <w:pStyle w:val="parrafos"/>
        <w:tabs>
          <w:tab w:val="left" w:pos="720"/>
        </w:tabs>
        <w:rPr>
          <w:rFonts w:ascii="Cambria" w:hAnsi="Cambria"/>
          <w:lang w:val="es-ES_tradnl"/>
        </w:rPr>
      </w:pPr>
    </w:p>
    <w:p w14:paraId="40690756" w14:textId="77777777" w:rsidR="00B2216F" w:rsidRPr="00D43C76" w:rsidRDefault="000972E2" w:rsidP="00744105">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 </w:t>
      </w:r>
      <w:r w:rsidR="002918C3" w:rsidRPr="00D43C76">
        <w:rPr>
          <w:rFonts w:ascii="Cambria" w:hAnsi="Cambria"/>
          <w:lang w:val="es-ES_tradnl"/>
        </w:rPr>
        <w:t>En el caso de autos, la Comisión recuerda que</w:t>
      </w:r>
      <w:r w:rsidRPr="00D43C76">
        <w:rPr>
          <w:rFonts w:ascii="Cambria" w:hAnsi="Cambria"/>
          <w:lang w:val="es-ES_tradnl"/>
        </w:rPr>
        <w:t xml:space="preserve"> </w:t>
      </w:r>
      <w:r w:rsidR="007E65FB" w:rsidRPr="00D43C76">
        <w:rPr>
          <w:rFonts w:ascii="Cambria" w:hAnsi="Cambria"/>
          <w:lang w:val="es-ES_tradnl"/>
        </w:rPr>
        <w:t xml:space="preserve">T. B. </w:t>
      </w:r>
      <w:r w:rsidR="002918C3" w:rsidRPr="00D43C76">
        <w:rPr>
          <w:rFonts w:ascii="Cambria" w:hAnsi="Cambria"/>
          <w:lang w:val="es-ES_tradnl"/>
        </w:rPr>
        <w:t>y</w:t>
      </w:r>
      <w:r w:rsidRPr="00D43C76">
        <w:rPr>
          <w:rFonts w:ascii="Cambria" w:hAnsi="Cambria"/>
          <w:lang w:val="es-ES_tradnl"/>
        </w:rPr>
        <w:t xml:space="preserve"> </w:t>
      </w:r>
      <w:r w:rsidR="007E65FB" w:rsidRPr="00D43C76">
        <w:rPr>
          <w:rFonts w:ascii="Cambria" w:hAnsi="Cambria"/>
          <w:lang w:val="es-ES_tradnl"/>
        </w:rPr>
        <w:t xml:space="preserve">S. H. </w:t>
      </w:r>
      <w:r w:rsidR="002918C3" w:rsidRPr="00D43C76">
        <w:rPr>
          <w:rFonts w:ascii="Cambria" w:hAnsi="Cambria"/>
          <w:lang w:val="es-ES_tradnl"/>
        </w:rPr>
        <w:t>han sido víctimas de varios actos de violencia relacionados con su orientación sexual</w:t>
      </w:r>
      <w:r w:rsidRPr="00D43C76">
        <w:rPr>
          <w:rFonts w:ascii="Cambria" w:hAnsi="Cambria"/>
          <w:lang w:val="es-ES_tradnl"/>
        </w:rPr>
        <w:t xml:space="preserve">, </w:t>
      </w:r>
      <w:r w:rsidR="002A6C68" w:rsidRPr="00D43C76">
        <w:rPr>
          <w:rFonts w:ascii="Cambria" w:hAnsi="Cambria"/>
          <w:lang w:val="es-ES_tradnl"/>
        </w:rPr>
        <w:t xml:space="preserve">su </w:t>
      </w:r>
      <w:r w:rsidR="00851B40" w:rsidRPr="00D43C76">
        <w:rPr>
          <w:rFonts w:ascii="Cambria" w:hAnsi="Cambria"/>
          <w:lang w:val="es-ES_tradnl"/>
        </w:rPr>
        <w:t>identidad de género</w:t>
      </w:r>
      <w:r w:rsidR="00B2216F" w:rsidRPr="00D43C76">
        <w:rPr>
          <w:rFonts w:ascii="Cambria" w:hAnsi="Cambria"/>
          <w:lang w:val="es-ES_tradnl"/>
        </w:rPr>
        <w:t xml:space="preserve"> </w:t>
      </w:r>
      <w:r w:rsidR="002918C3" w:rsidRPr="00D43C76">
        <w:rPr>
          <w:rFonts w:ascii="Cambria" w:hAnsi="Cambria"/>
          <w:lang w:val="es-ES_tradnl"/>
        </w:rPr>
        <w:t>y</w:t>
      </w:r>
      <w:r w:rsidR="00B2216F" w:rsidRPr="00D43C76">
        <w:rPr>
          <w:rFonts w:ascii="Cambria" w:hAnsi="Cambria"/>
          <w:lang w:val="es-ES_tradnl"/>
        </w:rPr>
        <w:t xml:space="preserve"> </w:t>
      </w:r>
      <w:r w:rsidR="002A6C68" w:rsidRPr="00D43C76">
        <w:rPr>
          <w:rFonts w:ascii="Cambria" w:hAnsi="Cambria"/>
          <w:lang w:val="es-ES_tradnl"/>
        </w:rPr>
        <w:t xml:space="preserve">su </w:t>
      </w:r>
      <w:r w:rsidR="00851B40" w:rsidRPr="00D43C76">
        <w:rPr>
          <w:rFonts w:ascii="Cambria" w:hAnsi="Cambria"/>
          <w:lang w:val="es-ES_tradnl"/>
        </w:rPr>
        <w:t>expresión de género</w:t>
      </w:r>
      <w:r w:rsidR="002918C3" w:rsidRPr="00D43C76">
        <w:rPr>
          <w:rFonts w:ascii="Cambria" w:hAnsi="Cambria"/>
          <w:lang w:val="es-ES_tradnl"/>
        </w:rPr>
        <w:t xml:space="preserve"> —entre ellos amenazas de muerte y violencia física— y con el contexto de homofobia y violencia contra las personas LGBTI en Jamaica. Las amenazas persistentes contra su vida y su integridad los obligaron a huir de Jamaica y pedir asilo en otros países</w:t>
      </w:r>
      <w:r w:rsidR="00B2216F" w:rsidRPr="00D43C76">
        <w:rPr>
          <w:rFonts w:ascii="Cambria" w:hAnsi="Cambria"/>
          <w:lang w:val="es-ES_tradnl"/>
        </w:rPr>
        <w:t>.</w:t>
      </w:r>
    </w:p>
    <w:p w14:paraId="184B4AB5" w14:textId="77777777" w:rsidR="00744105" w:rsidRPr="00D43C76" w:rsidRDefault="00744105" w:rsidP="00744105">
      <w:pPr>
        <w:pStyle w:val="parrafos"/>
        <w:tabs>
          <w:tab w:val="left" w:pos="720"/>
        </w:tabs>
        <w:rPr>
          <w:rFonts w:ascii="Cambria" w:hAnsi="Cambria"/>
          <w:lang w:val="es-ES_tradnl"/>
        </w:rPr>
      </w:pPr>
    </w:p>
    <w:p w14:paraId="1B7DBAC7" w14:textId="77777777" w:rsidR="000972E2" w:rsidRPr="00D43C76" w:rsidRDefault="002918C3"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La CIDH cree que, al mantener la Ley de Delitos contra la Persona en su legislación, el Estado ha contribuido a la perpetración de esos actos de violencia de la forma descrita, razón por la cual considera que el Estado es responsable de la violación del derecho a la integridad personal y el derecho de circulación y de residencia establecidos en los artículos 5.1 y 22.1 de la Convención, en </w:t>
      </w:r>
      <w:r w:rsidR="002A6C68" w:rsidRPr="00D43C76">
        <w:rPr>
          <w:rFonts w:ascii="Cambria" w:hAnsi="Cambria"/>
          <w:lang w:val="es-ES_tradnl"/>
        </w:rPr>
        <w:t xml:space="preserve">lo que respecta a </w:t>
      </w:r>
      <w:r w:rsidRPr="00D43C76">
        <w:rPr>
          <w:rFonts w:ascii="Cambria" w:hAnsi="Cambria"/>
          <w:lang w:val="es-ES_tradnl"/>
        </w:rPr>
        <w:t>las disposiciones de los artículos 1.1 y 2 de dicho instrumento, en perjuicio de</w:t>
      </w:r>
      <w:r w:rsidR="0046516D" w:rsidRPr="00D43C76">
        <w:rPr>
          <w:rFonts w:ascii="Cambria" w:hAnsi="Cambria"/>
          <w:lang w:val="es-ES_tradnl"/>
        </w:rPr>
        <w:t xml:space="preserve"> </w:t>
      </w:r>
      <w:r w:rsidR="007E65FB" w:rsidRPr="00D43C76">
        <w:rPr>
          <w:rFonts w:ascii="Cambria" w:hAnsi="Cambria"/>
          <w:lang w:val="es-ES_tradnl"/>
        </w:rPr>
        <w:t xml:space="preserve">T. B. </w:t>
      </w:r>
      <w:r w:rsidRPr="00D43C76">
        <w:rPr>
          <w:rFonts w:ascii="Cambria" w:hAnsi="Cambria"/>
          <w:lang w:val="es-ES_tradnl"/>
        </w:rPr>
        <w:t>y</w:t>
      </w:r>
      <w:r w:rsidR="00744105" w:rsidRPr="00D43C76">
        <w:rPr>
          <w:rFonts w:ascii="Cambria" w:hAnsi="Cambria"/>
          <w:lang w:val="es-ES_tradnl"/>
        </w:rPr>
        <w:t xml:space="preserve"> </w:t>
      </w:r>
      <w:r w:rsidR="007E65FB" w:rsidRPr="00D43C76">
        <w:rPr>
          <w:rFonts w:ascii="Cambria" w:hAnsi="Cambria"/>
          <w:lang w:val="es-ES_tradnl"/>
        </w:rPr>
        <w:t>S. H.</w:t>
      </w:r>
    </w:p>
    <w:p w14:paraId="41732089" w14:textId="77777777" w:rsidR="00180CD2" w:rsidRPr="00D43C76" w:rsidRDefault="00180CD2" w:rsidP="00180CD2">
      <w:pPr>
        <w:rPr>
          <w:lang w:val="es-ES_tradnl" w:eastAsia="es-ES"/>
        </w:rPr>
      </w:pPr>
    </w:p>
    <w:p w14:paraId="78B4031B" w14:textId="77777777" w:rsidR="004849E6" w:rsidRPr="00D43C76" w:rsidRDefault="004665DF" w:rsidP="00586954">
      <w:pPr>
        <w:pStyle w:val="Heading2"/>
        <w:numPr>
          <w:ilvl w:val="0"/>
          <w:numId w:val="64"/>
        </w:numPr>
        <w:spacing w:before="0"/>
        <w:ind w:left="720" w:hanging="720"/>
        <w:rPr>
          <w:rFonts w:ascii="Cambria" w:eastAsia="Cambria" w:hAnsi="Cambria" w:cs="Cambria"/>
          <w:iCs/>
          <w:color w:val="auto"/>
          <w:sz w:val="20"/>
          <w:szCs w:val="20"/>
          <w:u w:color="000000"/>
          <w:lang w:val="es-ES_tradnl" w:eastAsia="es-ES"/>
        </w:rPr>
      </w:pPr>
      <w:bookmarkStart w:id="55" w:name="_Toc58491246"/>
      <w:r w:rsidRPr="00D43C76">
        <w:rPr>
          <w:rFonts w:ascii="Cambria" w:eastAsia="Cambria" w:hAnsi="Cambria" w:cs="Cambria"/>
          <w:iCs/>
          <w:color w:val="auto"/>
          <w:sz w:val="20"/>
          <w:szCs w:val="20"/>
          <w:u w:color="000000"/>
          <w:lang w:val="es-ES_tradnl" w:eastAsia="es-ES"/>
        </w:rPr>
        <w:t>El principio de legalidad</w:t>
      </w:r>
      <w:r w:rsidR="004849E6" w:rsidRPr="00D43C76">
        <w:rPr>
          <w:rFonts w:cs="Cambria"/>
          <w:color w:val="auto"/>
          <w:sz w:val="20"/>
          <w:szCs w:val="20"/>
          <w:vertAlign w:val="superscript"/>
          <w:lang w:val="es-ES_tradnl"/>
        </w:rPr>
        <w:footnoteReference w:id="70"/>
      </w:r>
      <w:bookmarkEnd w:id="55"/>
    </w:p>
    <w:p w14:paraId="2CE80CC2" w14:textId="77777777" w:rsidR="004849E6" w:rsidRPr="00D43C76" w:rsidRDefault="004849E6" w:rsidP="004849E6">
      <w:pPr>
        <w:rPr>
          <w:lang w:val="es-ES_tradnl"/>
        </w:rPr>
      </w:pPr>
    </w:p>
    <w:p w14:paraId="5D3E4252" w14:textId="77777777" w:rsidR="004849E6" w:rsidRPr="00D43C76" w:rsidRDefault="004665DF" w:rsidP="004849E6">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Con respecto al principio de legalidad, la Comisión recuerda que constituye uno de los elementos centrales de la persecución penal en una sociedad democrática</w:t>
      </w:r>
      <w:r w:rsidR="004849E6" w:rsidRPr="00D43C76">
        <w:rPr>
          <w:rStyle w:val="FootnoteReference"/>
          <w:rFonts w:ascii="Cambria" w:hAnsi="Cambria"/>
          <w:lang w:val="es-ES_tradnl"/>
        </w:rPr>
        <w:footnoteReference w:id="71"/>
      </w:r>
      <w:r w:rsidRPr="00D43C76">
        <w:rPr>
          <w:rFonts w:ascii="Cambria" w:hAnsi="Cambria"/>
          <w:lang w:val="es-ES_tradnl"/>
        </w:rPr>
        <w:t>.</w:t>
      </w:r>
      <w:r w:rsidR="004849E6" w:rsidRPr="00D43C76">
        <w:rPr>
          <w:rFonts w:ascii="Cambria" w:hAnsi="Cambria"/>
          <w:lang w:val="es-ES_tradnl"/>
        </w:rPr>
        <w:t xml:space="preserve"> </w:t>
      </w:r>
      <w:r w:rsidRPr="00D43C76">
        <w:rPr>
          <w:lang w:val="es-ES_tradnl"/>
        </w:rPr>
        <w:t xml:space="preserve">Aunque la determinación de los actos que se clasifican como delitos y respecto de los cuales se activa el poder punitivo del Estado corresponde en principio a este último en el ejercicio de su política en materia penal, basada en sus particularidades históricas, </w:t>
      </w:r>
      <w:r w:rsidRPr="00D43C76">
        <w:rPr>
          <w:rFonts w:ascii="Cambria" w:hAnsi="Cambria"/>
          <w:lang w:val="es-ES_tradnl"/>
        </w:rPr>
        <w:t>sociales y de otra índole</w:t>
      </w:r>
      <w:r w:rsidR="004849E6" w:rsidRPr="00D43C76">
        <w:rPr>
          <w:rStyle w:val="FootnoteReference"/>
          <w:rFonts w:ascii="Cambria" w:hAnsi="Cambria"/>
          <w:lang w:val="es-ES_tradnl"/>
        </w:rPr>
        <w:footnoteReference w:id="72"/>
      </w:r>
      <w:r w:rsidRPr="00D43C76">
        <w:rPr>
          <w:rFonts w:ascii="Cambria" w:hAnsi="Cambria"/>
          <w:lang w:val="es-ES_tradnl"/>
        </w:rPr>
        <w:t>, los Estados deben observar ciertas limitaciones al ejercer la potestad de definir delitos penales</w:t>
      </w:r>
      <w:r w:rsidR="004849E6" w:rsidRPr="00D43C76">
        <w:rPr>
          <w:rFonts w:ascii="Cambria" w:hAnsi="Cambria"/>
          <w:lang w:val="es-ES_tradnl"/>
        </w:rPr>
        <w:t xml:space="preserve">. </w:t>
      </w:r>
    </w:p>
    <w:p w14:paraId="38832772" w14:textId="77777777" w:rsidR="004849E6" w:rsidRPr="00D43C76" w:rsidRDefault="004849E6" w:rsidP="004849E6">
      <w:pPr>
        <w:pStyle w:val="parrafos"/>
        <w:tabs>
          <w:tab w:val="left" w:pos="720"/>
        </w:tabs>
        <w:rPr>
          <w:rFonts w:ascii="Cambria" w:hAnsi="Cambria"/>
          <w:lang w:val="es-ES_tradnl"/>
        </w:rPr>
      </w:pPr>
    </w:p>
    <w:p w14:paraId="1A8D0A39" w14:textId="77777777" w:rsidR="004849E6" w:rsidRPr="00D43C76" w:rsidRDefault="004665DF" w:rsidP="004849E6">
      <w:pPr>
        <w:pStyle w:val="parrafos"/>
        <w:numPr>
          <w:ilvl w:val="0"/>
          <w:numId w:val="57"/>
        </w:numPr>
        <w:tabs>
          <w:tab w:val="clear" w:pos="1080"/>
          <w:tab w:val="left" w:pos="720"/>
        </w:tabs>
        <w:ind w:left="0" w:firstLine="0"/>
        <w:rPr>
          <w:lang w:val="es-ES_tradnl"/>
        </w:rPr>
      </w:pPr>
      <w:r w:rsidRPr="00D43C76">
        <w:rPr>
          <w:rFonts w:ascii="Cambria" w:hAnsi="Cambria"/>
          <w:lang w:val="es-ES_tradnl"/>
        </w:rPr>
        <w:t xml:space="preserve">La Corte Interamericana ha insistido en que, </w:t>
      </w:r>
      <w:r w:rsidRPr="00D43C76">
        <w:rPr>
          <w:lang w:val="es-ES_tradnl"/>
        </w:rPr>
        <w:t>en la elaboración de los tipos penales, es preciso utilizar términos estrictos y unívocos, que acoten claramente las conductas punibles y den pleno sentido al principio de legalidad penal. Esto implica una clara definición de la conducta incriminada, que fije sus elementos y permita deslindarla de comportamientos no punibles o conductas ilícitas sancionables con medidas no penales. La ambigüedad en la formulación de los tipos penales genera dudas y abre el campo al arbitrio de la autoridad, que es particularmente indeseable cuando se trata de establecer la responsabilidad penal de los individuos y sancionarla con penas que afectan severamente derechos fundamentales, como la vida o la libertad</w:t>
      </w:r>
      <w:r w:rsidR="004849E6" w:rsidRPr="00D43C76">
        <w:rPr>
          <w:rStyle w:val="FootnoteReference"/>
          <w:lang w:val="es-ES_tradnl"/>
        </w:rPr>
        <w:footnoteReference w:id="73"/>
      </w:r>
      <w:r w:rsidRPr="00D43C76">
        <w:rPr>
          <w:lang w:val="es-ES_tradnl"/>
        </w:rPr>
        <w:t>.</w:t>
      </w:r>
    </w:p>
    <w:p w14:paraId="2FCDDCF6" w14:textId="77777777" w:rsidR="004849E6" w:rsidRPr="00D43C76" w:rsidRDefault="004849E6" w:rsidP="004849E6">
      <w:pPr>
        <w:pStyle w:val="ListParagraph"/>
        <w:rPr>
          <w:lang w:val="es-ES_tradnl"/>
        </w:rPr>
      </w:pPr>
    </w:p>
    <w:p w14:paraId="07A2A250" w14:textId="77777777" w:rsidR="004849E6" w:rsidRPr="00D43C76" w:rsidRDefault="004665DF" w:rsidP="004849E6">
      <w:pPr>
        <w:pStyle w:val="parrafos"/>
        <w:numPr>
          <w:ilvl w:val="0"/>
          <w:numId w:val="57"/>
        </w:numPr>
        <w:tabs>
          <w:tab w:val="clear" w:pos="1080"/>
          <w:tab w:val="left" w:pos="720"/>
        </w:tabs>
        <w:ind w:left="0" w:firstLine="0"/>
        <w:rPr>
          <w:lang w:val="es-ES_tradnl"/>
        </w:rPr>
      </w:pPr>
      <w:r w:rsidRPr="00D43C76">
        <w:rPr>
          <w:lang w:val="es-ES_tradnl"/>
        </w:rPr>
        <w:t>Asimismo, tanto la Comisión como la Corte han considerado que el principio de legalidad está vinculado inseparablemente al de legitimidad, en virtud del sistema internacional que se encuentra en la base de la propia Convención</w:t>
      </w:r>
      <w:r w:rsidR="004849E6" w:rsidRPr="00D43C76">
        <w:rPr>
          <w:rStyle w:val="FootnoteReference"/>
          <w:rFonts w:ascii="Cambria" w:hAnsi="Cambria"/>
          <w:lang w:val="es-ES_tradnl"/>
        </w:rPr>
        <w:footnoteReference w:id="74"/>
      </w:r>
      <w:r w:rsidR="004849E6" w:rsidRPr="00D43C76">
        <w:rPr>
          <w:lang w:val="es-ES_tradnl"/>
        </w:rPr>
        <w:t xml:space="preserve">, </w:t>
      </w:r>
      <w:r w:rsidRPr="00D43C76">
        <w:rPr>
          <w:lang w:val="es-ES_tradnl"/>
        </w:rPr>
        <w:t xml:space="preserve">lo cual implica </w:t>
      </w:r>
      <w:r w:rsidR="002A6C68" w:rsidRPr="00D43C76">
        <w:rPr>
          <w:lang w:val="es-ES_tradnl"/>
        </w:rPr>
        <w:t xml:space="preserve">que se deben adoptar </w:t>
      </w:r>
      <w:r w:rsidRPr="00D43C76">
        <w:rPr>
          <w:lang w:val="es-ES_tradnl"/>
        </w:rPr>
        <w:t>normas para el bien común y no se deben penalizar ciertos tipos de conducta</w:t>
      </w:r>
      <w:r w:rsidR="004849E6" w:rsidRPr="00D43C76">
        <w:rPr>
          <w:rStyle w:val="FootnoteReference"/>
          <w:lang w:val="es-ES_tradnl"/>
        </w:rPr>
        <w:footnoteReference w:id="75"/>
      </w:r>
      <w:r w:rsidRPr="00D43C76">
        <w:rPr>
          <w:lang w:val="es-ES_tradnl"/>
        </w:rPr>
        <w:t>.</w:t>
      </w:r>
      <w:r w:rsidR="004849E6" w:rsidRPr="00D43C76">
        <w:rPr>
          <w:lang w:val="es-ES_tradnl"/>
        </w:rPr>
        <w:t xml:space="preserve"> </w:t>
      </w:r>
      <w:r w:rsidRPr="00D43C76">
        <w:rPr>
          <w:lang w:val="es-ES_tradnl"/>
        </w:rPr>
        <w:t xml:space="preserve">Por ejemplo, en el caso </w:t>
      </w:r>
      <w:r w:rsidRPr="00D43C76">
        <w:rPr>
          <w:i/>
          <w:lang w:val="es-ES_tradnl"/>
        </w:rPr>
        <w:t>Pollo Rivera contra Perú</w:t>
      </w:r>
      <w:r w:rsidRPr="00D43C76">
        <w:rPr>
          <w:lang w:val="es-ES_tradnl"/>
        </w:rPr>
        <w:t xml:space="preserve">, la Corte dictaminó la responsabilidad del Estado por la penalización de médicos que habían atendido a personas que se sospechaba </w:t>
      </w:r>
      <w:r w:rsidRPr="00D43C76">
        <w:rPr>
          <w:lang w:val="es-ES_tradnl"/>
        </w:rPr>
        <w:lastRenderedPageBreak/>
        <w:t>que habían participado en actividades terroristas y declaró que la actividad médica terapéutica es fomentada y promovida por el derecho y que, en ciertas circunstancias, es deber de los médicos proporcionar atención, de modo que no se la puede tipificar como delito</w:t>
      </w:r>
      <w:r w:rsidR="004849E6" w:rsidRPr="00D43C76">
        <w:rPr>
          <w:rStyle w:val="FootnoteReference"/>
          <w:lang w:val="es-ES_tradnl"/>
        </w:rPr>
        <w:footnoteReference w:id="76"/>
      </w:r>
      <w:r w:rsidRPr="00D43C76">
        <w:rPr>
          <w:lang w:val="es-ES_tradnl"/>
        </w:rPr>
        <w:t>.</w:t>
      </w:r>
      <w:r w:rsidR="004849E6" w:rsidRPr="00D43C76">
        <w:rPr>
          <w:lang w:val="es-ES_tradnl"/>
        </w:rPr>
        <w:t xml:space="preserve"> </w:t>
      </w:r>
      <w:r w:rsidRPr="00D43C76">
        <w:rPr>
          <w:lang w:val="es-ES_tradnl"/>
        </w:rPr>
        <w:t>La Corte tomó en cuenta la prohibición de la penalización de las actividades médicas desarrollada en el derecho internacional humanitario y en el derecho internacional de los derechos humanos</w:t>
      </w:r>
      <w:r w:rsidR="004849E6" w:rsidRPr="00D43C76">
        <w:rPr>
          <w:rStyle w:val="FootnoteReference"/>
          <w:lang w:val="es-ES_tradnl"/>
        </w:rPr>
        <w:footnoteReference w:id="77"/>
      </w:r>
      <w:r w:rsidRPr="00D43C76">
        <w:rPr>
          <w:lang w:val="es-ES_tradnl"/>
        </w:rPr>
        <w:t>.</w:t>
      </w:r>
      <w:r w:rsidR="0034591F" w:rsidRPr="00D43C76">
        <w:rPr>
          <w:lang w:val="es-ES_tradnl"/>
        </w:rPr>
        <w:t xml:space="preserve"> </w:t>
      </w:r>
    </w:p>
    <w:p w14:paraId="05397B7B" w14:textId="77777777" w:rsidR="004849E6" w:rsidRPr="00D43C76" w:rsidRDefault="004849E6" w:rsidP="004849E6">
      <w:pPr>
        <w:pStyle w:val="ListParagraph"/>
        <w:rPr>
          <w:lang w:val="es-ES_tradnl"/>
        </w:rPr>
      </w:pPr>
    </w:p>
    <w:p w14:paraId="0942DBCE" w14:textId="77777777" w:rsidR="004849E6" w:rsidRPr="00D43C76" w:rsidRDefault="004665DF" w:rsidP="004849E6">
      <w:pPr>
        <w:pStyle w:val="parrafos"/>
        <w:numPr>
          <w:ilvl w:val="0"/>
          <w:numId w:val="57"/>
        </w:numPr>
        <w:tabs>
          <w:tab w:val="clear" w:pos="1080"/>
          <w:tab w:val="left" w:pos="720"/>
        </w:tabs>
        <w:ind w:left="0" w:firstLine="0"/>
        <w:rPr>
          <w:lang w:val="es-ES_tradnl"/>
        </w:rPr>
      </w:pPr>
      <w:r w:rsidRPr="00D43C76">
        <w:rPr>
          <w:lang w:val="es-ES_tradnl"/>
        </w:rPr>
        <w:t>La CIDH ya determinó en el apartado anterior que la penalización de la actividad sexual consensual en privado entre adultos viola el principio de igualdad y no discriminación, el derecho a la intimidad y el derecho a la integridad personal, en vista del impacto de tales normas en la integridad personal de las presuntas víctimas en este caso. La Comisión considera que la tipificación como delito de conductas que forman parte de los derechos reconocidos por el derecho internacional de los derechos humanos constituye de por sí una violación del principio de legalidad, en vista de las normas interamericanas mencionadas en los párrafos precedentes</w:t>
      </w:r>
      <w:r w:rsidR="004849E6" w:rsidRPr="00D43C76">
        <w:rPr>
          <w:lang w:val="es-ES_tradnl"/>
        </w:rPr>
        <w:t>.</w:t>
      </w:r>
    </w:p>
    <w:p w14:paraId="64F71133" w14:textId="77777777" w:rsidR="004849E6" w:rsidRPr="00D43C76" w:rsidRDefault="004849E6" w:rsidP="004849E6">
      <w:pPr>
        <w:rPr>
          <w:lang w:val="es-ES_tradnl"/>
        </w:rPr>
      </w:pPr>
    </w:p>
    <w:p w14:paraId="755BC789" w14:textId="77777777" w:rsidR="004849E6" w:rsidRPr="00D43C76" w:rsidRDefault="004665DF" w:rsidP="004849E6">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En virtud de las consideraciones precedentes, la Comisión concluye que el Estado de Jamaica es responsable de la violación del principio de legalidad amparado por el artículo 9 de la Convención, en </w:t>
      </w:r>
      <w:r w:rsidR="00E6740D" w:rsidRPr="00D43C76">
        <w:rPr>
          <w:rFonts w:ascii="Cambria" w:hAnsi="Cambria"/>
          <w:lang w:val="es-ES_tradnl"/>
        </w:rPr>
        <w:t xml:space="preserve">lo que respecta a </w:t>
      </w:r>
      <w:r w:rsidRPr="00D43C76">
        <w:rPr>
          <w:rFonts w:ascii="Cambria" w:hAnsi="Cambria"/>
          <w:lang w:val="es-ES_tradnl"/>
        </w:rPr>
        <w:t>las obligaciones establecidas en los artículos 1.1 y 2 de dicho instrumento, en perjuicio de</w:t>
      </w:r>
      <w:r w:rsidR="004849E6" w:rsidRPr="00D43C76">
        <w:rPr>
          <w:rFonts w:ascii="Cambria" w:hAnsi="Cambria"/>
          <w:lang w:val="es-ES_tradnl"/>
        </w:rPr>
        <w:t xml:space="preserve"> </w:t>
      </w:r>
      <w:r w:rsidR="007E65FB" w:rsidRPr="00D43C76">
        <w:rPr>
          <w:rFonts w:ascii="Cambria" w:hAnsi="Cambria"/>
          <w:lang w:val="es-ES_tradnl"/>
        </w:rPr>
        <w:t>T.</w:t>
      </w:r>
      <w:r w:rsidRPr="00D43C76">
        <w:rPr>
          <w:rFonts w:ascii="Cambria" w:hAnsi="Cambria"/>
          <w:lang w:val="es-ES_tradnl"/>
        </w:rPr>
        <w:t> </w:t>
      </w:r>
      <w:r w:rsidR="007E65FB" w:rsidRPr="00D43C76">
        <w:rPr>
          <w:rFonts w:ascii="Cambria" w:hAnsi="Cambria"/>
          <w:lang w:val="es-ES_tradnl"/>
        </w:rPr>
        <w:t xml:space="preserve">B. </w:t>
      </w:r>
      <w:r w:rsidRPr="00D43C76">
        <w:rPr>
          <w:rFonts w:ascii="Cambria" w:hAnsi="Cambria"/>
          <w:lang w:val="es-ES_tradnl"/>
        </w:rPr>
        <w:t>y</w:t>
      </w:r>
      <w:r w:rsidR="004849E6" w:rsidRPr="00D43C76">
        <w:rPr>
          <w:rFonts w:ascii="Cambria" w:hAnsi="Cambria"/>
          <w:lang w:val="es-ES_tradnl"/>
        </w:rPr>
        <w:t xml:space="preserve"> </w:t>
      </w:r>
      <w:r w:rsidR="007E65FB" w:rsidRPr="00D43C76">
        <w:rPr>
          <w:rFonts w:ascii="Cambria" w:hAnsi="Cambria"/>
          <w:lang w:val="es-ES_tradnl"/>
        </w:rPr>
        <w:t>S.</w:t>
      </w:r>
      <w:r w:rsidR="00E6740D" w:rsidRPr="00D43C76">
        <w:rPr>
          <w:rFonts w:ascii="Cambria" w:hAnsi="Cambria"/>
          <w:lang w:val="es-ES_tradnl"/>
        </w:rPr>
        <w:t> </w:t>
      </w:r>
      <w:r w:rsidR="007E65FB" w:rsidRPr="00D43C76">
        <w:rPr>
          <w:rFonts w:ascii="Cambria" w:hAnsi="Cambria"/>
          <w:lang w:val="es-ES_tradnl"/>
        </w:rPr>
        <w:t>H.</w:t>
      </w:r>
      <w:r w:rsidR="004849E6" w:rsidRPr="00D43C76">
        <w:rPr>
          <w:rFonts w:ascii="Cambria" w:hAnsi="Cambria"/>
          <w:lang w:val="es-ES_tradnl"/>
        </w:rPr>
        <w:t xml:space="preserve"> </w:t>
      </w:r>
    </w:p>
    <w:p w14:paraId="5D02D631" w14:textId="77777777" w:rsidR="004849E6" w:rsidRPr="00D43C76" w:rsidRDefault="004849E6" w:rsidP="004849E6">
      <w:pPr>
        <w:rPr>
          <w:lang w:val="es-ES_tradnl" w:eastAsia="es-ES"/>
        </w:rPr>
      </w:pPr>
    </w:p>
    <w:p w14:paraId="50E006B8" w14:textId="77777777" w:rsidR="00004472" w:rsidRPr="00D43C76" w:rsidRDefault="006D58BA" w:rsidP="00586954">
      <w:pPr>
        <w:pStyle w:val="Heading2"/>
        <w:numPr>
          <w:ilvl w:val="0"/>
          <w:numId w:val="64"/>
        </w:numPr>
        <w:spacing w:before="0"/>
        <w:ind w:left="720" w:hanging="720"/>
        <w:rPr>
          <w:rFonts w:ascii="Cambria" w:eastAsia="Cambria" w:hAnsi="Cambria" w:cs="Cambria"/>
          <w:iCs/>
          <w:color w:val="auto"/>
          <w:sz w:val="20"/>
          <w:szCs w:val="20"/>
          <w:u w:color="000000"/>
          <w:lang w:val="es-ES_tradnl" w:eastAsia="es-ES"/>
        </w:rPr>
      </w:pPr>
      <w:bookmarkStart w:id="56" w:name="_Toc58491247"/>
      <w:r w:rsidRPr="00D43C76">
        <w:rPr>
          <w:rFonts w:ascii="Cambria" w:eastAsia="Cambria" w:hAnsi="Cambria" w:cs="Cambria"/>
          <w:iCs/>
          <w:color w:val="auto"/>
          <w:sz w:val="20"/>
          <w:szCs w:val="20"/>
          <w:u w:color="000000"/>
          <w:lang w:val="es-ES_tradnl" w:eastAsia="es-ES"/>
        </w:rPr>
        <w:t>El derecho a la salud</w:t>
      </w:r>
      <w:r w:rsidR="00004472" w:rsidRPr="00D43C76">
        <w:rPr>
          <w:rStyle w:val="FootnoteReference"/>
          <w:rFonts w:ascii="Cambria" w:eastAsia="Cambria" w:hAnsi="Cambria"/>
          <w:iCs/>
          <w:color w:val="auto"/>
          <w:sz w:val="20"/>
          <w:szCs w:val="20"/>
          <w:u w:color="000000"/>
          <w:lang w:val="es-ES_tradnl" w:eastAsia="es-ES"/>
        </w:rPr>
        <w:footnoteReference w:id="78"/>
      </w:r>
      <w:bookmarkEnd w:id="56"/>
    </w:p>
    <w:p w14:paraId="3D6E906B" w14:textId="77777777" w:rsidR="00004472" w:rsidRPr="00D43C76" w:rsidRDefault="00004472" w:rsidP="00004472">
      <w:pPr>
        <w:rPr>
          <w:lang w:val="es-ES_tradnl" w:eastAsia="es-ES"/>
        </w:rPr>
      </w:pPr>
    </w:p>
    <w:p w14:paraId="55A72EF6" w14:textId="77777777" w:rsidR="00A73129" w:rsidRPr="00D43C76" w:rsidRDefault="00220BAE" w:rsidP="00A73129">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Con respecto al derecho a la salud, tanto </w:t>
      </w:r>
      <w:r w:rsidR="00A365FB" w:rsidRPr="00D43C76">
        <w:rPr>
          <w:rFonts w:ascii="Cambria" w:hAnsi="Cambria"/>
          <w:lang w:val="es-ES_tradnl"/>
        </w:rPr>
        <w:t>la CIDH</w:t>
      </w:r>
      <w:r w:rsidR="00B41E63" w:rsidRPr="00D43C76">
        <w:rPr>
          <w:rFonts w:ascii="Cambria" w:hAnsi="Cambria"/>
          <w:lang w:val="es-ES_tradnl"/>
        </w:rPr>
        <w:t xml:space="preserve"> </w:t>
      </w:r>
      <w:r w:rsidRPr="00D43C76">
        <w:rPr>
          <w:rFonts w:ascii="Cambria" w:hAnsi="Cambria"/>
          <w:lang w:val="es-ES_tradnl"/>
        </w:rPr>
        <w:t>como la</w:t>
      </w:r>
      <w:r w:rsidR="00B41E63" w:rsidRPr="00D43C76">
        <w:rPr>
          <w:rFonts w:ascii="Cambria" w:hAnsi="Cambria"/>
          <w:lang w:val="es-ES_tradnl"/>
        </w:rPr>
        <w:t xml:space="preserve"> </w:t>
      </w:r>
      <w:r w:rsidRPr="00D43C76">
        <w:rPr>
          <w:rFonts w:ascii="Cambria" w:hAnsi="Cambria"/>
          <w:lang w:val="es-ES_tradnl"/>
        </w:rPr>
        <w:t xml:space="preserve">Corte Interamericana </w:t>
      </w:r>
      <w:r w:rsidR="00E45485" w:rsidRPr="00D43C76">
        <w:rPr>
          <w:rFonts w:ascii="Cambria" w:hAnsi="Cambria"/>
          <w:lang w:val="es-ES_tradnl"/>
        </w:rPr>
        <w:t>ha</w:t>
      </w:r>
      <w:r w:rsidRPr="00D43C76">
        <w:rPr>
          <w:rFonts w:ascii="Cambria" w:hAnsi="Cambria"/>
          <w:lang w:val="es-ES_tradnl"/>
        </w:rPr>
        <w:t xml:space="preserve">n determinado que está protegido por el </w:t>
      </w:r>
      <w:r w:rsidR="00845E02" w:rsidRPr="00D43C76">
        <w:rPr>
          <w:rFonts w:ascii="Cambria" w:hAnsi="Cambria"/>
          <w:lang w:val="es-ES_tradnl"/>
        </w:rPr>
        <w:t>artículo</w:t>
      </w:r>
      <w:r w:rsidR="00E45485" w:rsidRPr="00D43C76">
        <w:rPr>
          <w:rFonts w:ascii="Cambria" w:hAnsi="Cambria"/>
          <w:lang w:val="es-ES_tradnl"/>
        </w:rPr>
        <w:t xml:space="preserve"> 26 </w:t>
      </w:r>
      <w:r w:rsidRPr="00D43C76">
        <w:rPr>
          <w:rFonts w:ascii="Cambria" w:hAnsi="Cambria"/>
          <w:lang w:val="es-ES_tradnl"/>
        </w:rPr>
        <w:t>de</w:t>
      </w:r>
      <w:r w:rsidR="00E45485" w:rsidRPr="00D43C76">
        <w:rPr>
          <w:rFonts w:ascii="Cambria" w:hAnsi="Cambria"/>
          <w:lang w:val="es-ES_tradnl"/>
        </w:rPr>
        <w:t xml:space="preserve"> </w:t>
      </w:r>
      <w:r w:rsidR="00845E02" w:rsidRPr="00D43C76">
        <w:rPr>
          <w:rFonts w:ascii="Cambria" w:hAnsi="Cambria"/>
          <w:lang w:val="es-ES_tradnl"/>
        </w:rPr>
        <w:t>la Convención</w:t>
      </w:r>
      <w:r w:rsidR="00E45485" w:rsidRPr="00D43C76">
        <w:rPr>
          <w:rFonts w:ascii="Cambria" w:hAnsi="Cambria"/>
          <w:lang w:val="es-ES_tradnl"/>
        </w:rPr>
        <w:t xml:space="preserve">. </w:t>
      </w:r>
    </w:p>
    <w:p w14:paraId="09C18842" w14:textId="77777777" w:rsidR="00A73129" w:rsidRPr="00D43C76" w:rsidRDefault="00A73129" w:rsidP="00A73129">
      <w:pPr>
        <w:pStyle w:val="parrafos"/>
        <w:tabs>
          <w:tab w:val="left" w:pos="720"/>
        </w:tabs>
        <w:rPr>
          <w:rFonts w:ascii="Cambria" w:hAnsi="Cambria"/>
          <w:lang w:val="es-ES_tradnl"/>
        </w:rPr>
      </w:pPr>
    </w:p>
    <w:p w14:paraId="60950D3D" w14:textId="77777777" w:rsidR="00A73129" w:rsidRPr="00D43C76" w:rsidRDefault="00A365FB" w:rsidP="00A73129">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snapToGrid w:val="0"/>
          <w:lang w:val="es-ES_tradnl"/>
        </w:rPr>
        <w:t>La Comisión</w:t>
      </w:r>
      <w:r w:rsidR="00A73129" w:rsidRPr="00D43C76">
        <w:rPr>
          <w:rFonts w:ascii="Cambria" w:hAnsi="Cambria"/>
          <w:snapToGrid w:val="0"/>
          <w:lang w:val="es-ES_tradnl"/>
        </w:rPr>
        <w:t xml:space="preserve"> reco</w:t>
      </w:r>
      <w:r w:rsidR="00D0752B" w:rsidRPr="00D43C76">
        <w:rPr>
          <w:rFonts w:ascii="Cambria" w:hAnsi="Cambria"/>
          <w:snapToGrid w:val="0"/>
          <w:lang w:val="es-ES_tradnl"/>
        </w:rPr>
        <w:t>noce que la interpretación</w:t>
      </w:r>
      <w:r w:rsidR="00A73129" w:rsidRPr="00D43C76">
        <w:rPr>
          <w:rFonts w:ascii="Cambria" w:hAnsi="Cambria"/>
          <w:snapToGrid w:val="0"/>
          <w:lang w:val="es-ES_tradnl"/>
        </w:rPr>
        <w:t xml:space="preserve"> </w:t>
      </w:r>
      <w:r w:rsidR="00D0752B" w:rsidRPr="00D43C76">
        <w:rPr>
          <w:rFonts w:ascii="Cambria" w:hAnsi="Cambria"/>
          <w:snapToGrid w:val="0"/>
          <w:lang w:val="es-ES_tradnl"/>
        </w:rPr>
        <w:t xml:space="preserve">del </w:t>
      </w:r>
      <w:r w:rsidR="00845E02" w:rsidRPr="00D43C76">
        <w:rPr>
          <w:rFonts w:ascii="Cambria" w:hAnsi="Cambria"/>
          <w:snapToGrid w:val="0"/>
          <w:lang w:val="es-ES_tradnl"/>
        </w:rPr>
        <w:t>artículo</w:t>
      </w:r>
      <w:r w:rsidR="00A73129" w:rsidRPr="00D43C76">
        <w:rPr>
          <w:rFonts w:ascii="Cambria" w:hAnsi="Cambria"/>
          <w:snapToGrid w:val="0"/>
          <w:lang w:val="es-ES_tradnl"/>
        </w:rPr>
        <w:t xml:space="preserve"> 26 </w:t>
      </w:r>
      <w:r w:rsidR="00D0752B" w:rsidRPr="00D43C76">
        <w:rPr>
          <w:rFonts w:ascii="Cambria" w:hAnsi="Cambria"/>
          <w:snapToGrid w:val="0"/>
          <w:lang w:val="es-ES_tradnl"/>
        </w:rPr>
        <w:t>de</w:t>
      </w:r>
      <w:r w:rsidR="00A73129" w:rsidRPr="00D43C76">
        <w:rPr>
          <w:rFonts w:ascii="Cambria" w:hAnsi="Cambria"/>
          <w:snapToGrid w:val="0"/>
          <w:lang w:val="es-ES_tradnl"/>
        </w:rPr>
        <w:t xml:space="preserve"> </w:t>
      </w:r>
      <w:r w:rsidR="00D0752B" w:rsidRPr="00D43C76">
        <w:rPr>
          <w:rFonts w:ascii="Cambria" w:hAnsi="Cambria"/>
          <w:snapToGrid w:val="0"/>
          <w:lang w:val="es-ES_tradnl"/>
        </w:rPr>
        <w:t>la Convención y la determinación específica de su alcance y contenido puede</w:t>
      </w:r>
      <w:r w:rsidR="00FD3DE2" w:rsidRPr="00D43C76">
        <w:rPr>
          <w:rFonts w:ascii="Cambria" w:hAnsi="Cambria"/>
          <w:snapToGrid w:val="0"/>
          <w:lang w:val="es-ES_tradnl"/>
        </w:rPr>
        <w:t>n</w:t>
      </w:r>
      <w:r w:rsidR="00D0752B" w:rsidRPr="00D43C76">
        <w:rPr>
          <w:rFonts w:ascii="Cambria" w:hAnsi="Cambria"/>
          <w:snapToGrid w:val="0"/>
          <w:lang w:val="es-ES_tradnl"/>
        </w:rPr>
        <w:t xml:space="preserve"> ser compleja</w:t>
      </w:r>
      <w:r w:rsidR="00FD3DE2" w:rsidRPr="00D43C76">
        <w:rPr>
          <w:rFonts w:ascii="Cambria" w:hAnsi="Cambria"/>
          <w:snapToGrid w:val="0"/>
          <w:lang w:val="es-ES_tradnl"/>
        </w:rPr>
        <w:t>s</w:t>
      </w:r>
      <w:r w:rsidR="00D0752B" w:rsidRPr="00D43C76">
        <w:rPr>
          <w:rFonts w:ascii="Cambria" w:hAnsi="Cambria"/>
          <w:snapToGrid w:val="0"/>
          <w:lang w:val="es-ES_tradnl"/>
        </w:rPr>
        <w:t>. Por lo tanto, considera que el análisis de un caso particular de acuerdo con el</w:t>
      </w:r>
      <w:r w:rsidR="00A73129" w:rsidRPr="00D43C76">
        <w:rPr>
          <w:rFonts w:ascii="Cambria" w:hAnsi="Cambria"/>
          <w:lang w:val="es-ES_tradnl"/>
        </w:rPr>
        <w:t xml:space="preserve"> </w:t>
      </w:r>
      <w:r w:rsidR="00845E02" w:rsidRPr="00D43C76">
        <w:rPr>
          <w:rFonts w:ascii="Cambria" w:hAnsi="Cambria"/>
          <w:lang w:val="es-ES_tradnl"/>
        </w:rPr>
        <w:t>artículo</w:t>
      </w:r>
      <w:r w:rsidR="00A73129" w:rsidRPr="00D43C76">
        <w:rPr>
          <w:rFonts w:ascii="Cambria" w:hAnsi="Cambria"/>
          <w:lang w:val="es-ES_tradnl"/>
        </w:rPr>
        <w:t xml:space="preserve"> 26 </w:t>
      </w:r>
      <w:r w:rsidR="00D0752B" w:rsidRPr="00D43C76">
        <w:rPr>
          <w:rFonts w:ascii="Cambria" w:hAnsi="Cambria"/>
          <w:lang w:val="es-ES_tradnl"/>
        </w:rPr>
        <w:t>de</w:t>
      </w:r>
      <w:r w:rsidR="00A73129" w:rsidRPr="00D43C76">
        <w:rPr>
          <w:rFonts w:ascii="Cambria" w:hAnsi="Cambria"/>
          <w:lang w:val="es-ES_tradnl"/>
        </w:rPr>
        <w:t xml:space="preserve"> </w:t>
      </w:r>
      <w:r w:rsidR="00845E02" w:rsidRPr="00D43C76">
        <w:rPr>
          <w:rFonts w:ascii="Cambria" w:hAnsi="Cambria"/>
          <w:lang w:val="es-ES_tradnl"/>
        </w:rPr>
        <w:t xml:space="preserve">la Convención </w:t>
      </w:r>
      <w:r w:rsidR="00D0752B" w:rsidRPr="00D43C76">
        <w:rPr>
          <w:rFonts w:ascii="Cambria" w:hAnsi="Cambria"/>
          <w:lang w:val="es-ES_tradnl"/>
        </w:rPr>
        <w:t xml:space="preserve">debe hacerse en dos niveles. Primero, hay que determinar si el derecho en cuestión emana de </w:t>
      </w:r>
      <w:r w:rsidR="00A73129" w:rsidRPr="00D43C76">
        <w:rPr>
          <w:rFonts w:ascii="Cambria" w:hAnsi="Cambria"/>
          <w:lang w:val="es-ES_tradnl"/>
        </w:rPr>
        <w:t>“</w:t>
      </w:r>
      <w:r w:rsidR="00D0752B" w:rsidRPr="00D43C76">
        <w:rPr>
          <w:rFonts w:ascii="Cambria" w:hAnsi="Cambria"/>
          <w:lang w:val="es-ES_tradnl"/>
        </w:rPr>
        <w:t>los derechos que se derivan de las normas ec</w:t>
      </w:r>
      <w:r w:rsidR="00A73129" w:rsidRPr="00D43C76">
        <w:rPr>
          <w:rFonts w:ascii="Cambria" w:hAnsi="Cambria"/>
          <w:lang w:val="es-ES_tradnl"/>
        </w:rPr>
        <w:t>on</w:t>
      </w:r>
      <w:r w:rsidR="00D0752B" w:rsidRPr="00D43C76">
        <w:rPr>
          <w:rFonts w:ascii="Cambria" w:hAnsi="Cambria"/>
          <w:lang w:val="es-ES_tradnl"/>
        </w:rPr>
        <w:t>ó</w:t>
      </w:r>
      <w:r w:rsidR="00A73129" w:rsidRPr="00D43C76">
        <w:rPr>
          <w:rFonts w:ascii="Cambria" w:hAnsi="Cambria"/>
          <w:lang w:val="es-ES_tradnl"/>
        </w:rPr>
        <w:t>mic</w:t>
      </w:r>
      <w:r w:rsidR="00D0752B" w:rsidRPr="00D43C76">
        <w:rPr>
          <w:rFonts w:ascii="Cambria" w:hAnsi="Cambria"/>
          <w:lang w:val="es-ES_tradnl"/>
        </w:rPr>
        <w:t>as</w:t>
      </w:r>
      <w:r w:rsidR="00A73129" w:rsidRPr="00D43C76">
        <w:rPr>
          <w:rFonts w:ascii="Cambria" w:hAnsi="Cambria"/>
          <w:lang w:val="es-ES_tradnl"/>
        </w:rPr>
        <w:t>, social</w:t>
      </w:r>
      <w:r w:rsidR="00D0752B" w:rsidRPr="00D43C76">
        <w:rPr>
          <w:rFonts w:ascii="Cambria" w:hAnsi="Cambria"/>
          <w:lang w:val="es-ES_tradnl"/>
        </w:rPr>
        <w:t>es y sobre educación, ciencia y cultura contenidas en la Carta de la Organización de los Estados Americanos</w:t>
      </w:r>
      <w:r w:rsidR="00A73129" w:rsidRPr="00D43C76">
        <w:rPr>
          <w:rFonts w:ascii="Cambria" w:hAnsi="Cambria"/>
          <w:lang w:val="es-ES_tradnl"/>
        </w:rPr>
        <w:t>”</w:t>
      </w:r>
      <w:r w:rsidR="00D0752B" w:rsidRPr="00D43C76">
        <w:rPr>
          <w:rFonts w:ascii="Cambria" w:hAnsi="Cambria"/>
          <w:lang w:val="es-ES_tradnl"/>
        </w:rPr>
        <w:t>,</w:t>
      </w:r>
      <w:r w:rsidR="00A73129" w:rsidRPr="00D43C76">
        <w:rPr>
          <w:rFonts w:ascii="Cambria" w:hAnsi="Cambria"/>
          <w:lang w:val="es-ES_tradnl"/>
        </w:rPr>
        <w:t xml:space="preserve"> </w:t>
      </w:r>
      <w:r w:rsidR="00D0752B" w:rsidRPr="00D43C76">
        <w:rPr>
          <w:rFonts w:ascii="Cambria" w:hAnsi="Cambria"/>
          <w:lang w:val="es-ES_tradnl"/>
        </w:rPr>
        <w:t xml:space="preserve">como se </w:t>
      </w:r>
      <w:r w:rsidR="00FD3DE2" w:rsidRPr="00D43C76">
        <w:rPr>
          <w:rFonts w:ascii="Cambria" w:hAnsi="Cambria"/>
          <w:lang w:val="es-ES_tradnl"/>
        </w:rPr>
        <w:t>señala</w:t>
      </w:r>
      <w:r w:rsidR="00D0752B" w:rsidRPr="00D43C76">
        <w:rPr>
          <w:rFonts w:ascii="Cambria" w:hAnsi="Cambria"/>
          <w:lang w:val="es-ES_tradnl"/>
        </w:rPr>
        <w:t xml:space="preserve"> en el </w:t>
      </w:r>
      <w:r w:rsidR="00845E02" w:rsidRPr="00D43C76">
        <w:rPr>
          <w:rFonts w:ascii="Cambria" w:hAnsi="Cambria"/>
          <w:lang w:val="es-ES_tradnl"/>
        </w:rPr>
        <w:t>artículo</w:t>
      </w:r>
      <w:r w:rsidR="00A73129" w:rsidRPr="00D43C76">
        <w:rPr>
          <w:rFonts w:ascii="Cambria" w:hAnsi="Cambria"/>
          <w:lang w:val="es-ES_tradnl"/>
        </w:rPr>
        <w:t xml:space="preserve"> 26</w:t>
      </w:r>
      <w:r w:rsidR="00D0752B" w:rsidRPr="00D43C76">
        <w:rPr>
          <w:rFonts w:ascii="Cambria" w:hAnsi="Cambria"/>
          <w:lang w:val="es-ES_tradnl"/>
        </w:rPr>
        <w:t xml:space="preserve"> de la Convención, </w:t>
      </w:r>
      <w:r w:rsidR="00FD3DE2" w:rsidRPr="00D43C76">
        <w:rPr>
          <w:rFonts w:ascii="Cambria" w:hAnsi="Cambria"/>
          <w:lang w:val="es-ES_tradnl"/>
        </w:rPr>
        <w:t xml:space="preserve">donde </w:t>
      </w:r>
      <w:r w:rsidR="00D0752B" w:rsidRPr="00D43C76">
        <w:rPr>
          <w:rFonts w:ascii="Cambria" w:hAnsi="Cambria"/>
          <w:lang w:val="es-ES_tradnl"/>
        </w:rPr>
        <w:t>se indica la Carta de la OEA como fuente directa de estos derechos y se asigna</w:t>
      </w:r>
      <w:r w:rsidR="00FD3DE2" w:rsidRPr="00D43C76">
        <w:rPr>
          <w:rFonts w:ascii="Cambria" w:hAnsi="Cambria"/>
          <w:lang w:val="es-ES_tradnl"/>
        </w:rPr>
        <w:t xml:space="preserve"> el carácter de derechos humanos</w:t>
      </w:r>
      <w:r w:rsidR="00D0752B" w:rsidRPr="00D43C76">
        <w:rPr>
          <w:rFonts w:ascii="Cambria" w:hAnsi="Cambria"/>
          <w:lang w:val="es-ES_tradnl"/>
        </w:rPr>
        <w:t xml:space="preserve"> a las disposiciones del tratado que se aplican a estos asuntos. Como el objetivo de la Carta de la OEA no era identificar derechos</w:t>
      </w:r>
      <w:r w:rsidR="00FD3DE2" w:rsidRPr="00D43C76">
        <w:rPr>
          <w:rFonts w:ascii="Cambria" w:hAnsi="Cambria"/>
          <w:lang w:val="es-ES_tradnl"/>
        </w:rPr>
        <w:t xml:space="preserve">, </w:t>
      </w:r>
      <w:r w:rsidR="00D0752B" w:rsidRPr="00D43C76">
        <w:rPr>
          <w:rFonts w:ascii="Cambria" w:hAnsi="Cambria"/>
          <w:lang w:val="es-ES_tradnl"/>
        </w:rPr>
        <w:t>sino establecer una organización internacional, se deben usar otros textos para determinar los derechos derivados de las disposiciones de dicho</w:t>
      </w:r>
      <w:r w:rsidR="00A73129" w:rsidRPr="00D43C76">
        <w:rPr>
          <w:rFonts w:ascii="Cambria" w:hAnsi="Cambria"/>
          <w:lang w:val="es-ES_tradnl"/>
        </w:rPr>
        <w:t xml:space="preserve"> instrument</w:t>
      </w:r>
      <w:r w:rsidR="00D0752B" w:rsidRPr="00D43C76">
        <w:rPr>
          <w:rFonts w:ascii="Cambria" w:hAnsi="Cambria"/>
          <w:lang w:val="es-ES_tradnl"/>
        </w:rPr>
        <w:t>o</w:t>
      </w:r>
      <w:r w:rsidR="00A73129" w:rsidRPr="00D43C76">
        <w:rPr>
          <w:rFonts w:ascii="Cambria" w:hAnsi="Cambria"/>
          <w:lang w:val="es-ES_tradnl"/>
        </w:rPr>
        <w:t xml:space="preserve">, </w:t>
      </w:r>
      <w:r w:rsidR="00D0752B" w:rsidRPr="00D43C76">
        <w:rPr>
          <w:rFonts w:ascii="Cambria" w:hAnsi="Cambria"/>
          <w:lang w:val="es-ES_tradnl"/>
        </w:rPr>
        <w:t>entre ellos fundamentalmente la Declaración</w:t>
      </w:r>
      <w:r w:rsidR="00A73129" w:rsidRPr="00D43C76">
        <w:rPr>
          <w:rFonts w:ascii="Cambria" w:hAnsi="Cambria"/>
          <w:lang w:val="es-ES_tradnl"/>
        </w:rPr>
        <w:t xml:space="preserve"> American</w:t>
      </w:r>
      <w:r w:rsidR="00D0752B" w:rsidRPr="00D43C76">
        <w:rPr>
          <w:rFonts w:ascii="Cambria" w:hAnsi="Cambria"/>
          <w:lang w:val="es-ES_tradnl"/>
        </w:rPr>
        <w:t xml:space="preserve">a </w:t>
      </w:r>
      <w:r w:rsidR="00FD3DE2" w:rsidRPr="00D43C76">
        <w:rPr>
          <w:rFonts w:ascii="Cambria" w:hAnsi="Cambria"/>
          <w:lang w:val="es-ES_tradnl"/>
        </w:rPr>
        <w:t xml:space="preserve">de los Derechos y Deberes del Hombre </w:t>
      </w:r>
      <w:r w:rsidR="00D0752B" w:rsidRPr="00D43C76">
        <w:rPr>
          <w:rFonts w:ascii="Cambria" w:hAnsi="Cambria"/>
          <w:lang w:val="es-ES_tradnl"/>
        </w:rPr>
        <w:t>y otras disposiciones pertinentes del derecho internacional</w:t>
      </w:r>
      <w:r w:rsidR="00A73129" w:rsidRPr="00D43C76">
        <w:rPr>
          <w:rFonts w:ascii="Cambria" w:hAnsi="Cambria"/>
          <w:lang w:val="es-ES_tradnl"/>
        </w:rPr>
        <w:t xml:space="preserve">. </w:t>
      </w:r>
    </w:p>
    <w:p w14:paraId="5129BF04" w14:textId="77777777" w:rsidR="00A73129" w:rsidRPr="00D43C76" w:rsidRDefault="00A73129" w:rsidP="00A73129">
      <w:pPr>
        <w:pStyle w:val="parrafos"/>
        <w:tabs>
          <w:tab w:val="left" w:pos="720"/>
        </w:tabs>
        <w:rPr>
          <w:rFonts w:ascii="Cambria" w:hAnsi="Cambria"/>
          <w:lang w:val="es-ES_tradnl"/>
        </w:rPr>
      </w:pPr>
    </w:p>
    <w:p w14:paraId="4991DED5" w14:textId="77777777" w:rsidR="00A73129" w:rsidRPr="00D43C76" w:rsidRDefault="003A75A8" w:rsidP="00A73129">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Al aplicar estos parámetros, </w:t>
      </w:r>
      <w:r w:rsidR="00A365FB" w:rsidRPr="00D43C76">
        <w:rPr>
          <w:rFonts w:ascii="Cambria" w:hAnsi="Cambria"/>
          <w:lang w:val="es-ES_tradnl"/>
        </w:rPr>
        <w:t>la Comisión</w:t>
      </w:r>
      <w:r w:rsidR="00A73129" w:rsidRPr="00D43C76">
        <w:rPr>
          <w:rFonts w:ascii="Cambria" w:hAnsi="Cambria"/>
          <w:lang w:val="es-ES_tradnl"/>
        </w:rPr>
        <w:t xml:space="preserve"> </w:t>
      </w:r>
      <w:r w:rsidRPr="00D43C76">
        <w:rPr>
          <w:rFonts w:ascii="Cambria" w:hAnsi="Cambria"/>
          <w:lang w:val="es-ES_tradnl"/>
        </w:rPr>
        <w:t>y la Corte han demostrado claramente que el derecho a la salud es uno de los derechos derivados de las disposiciones</w:t>
      </w:r>
      <w:r w:rsidR="00A73129" w:rsidRPr="00D43C76">
        <w:rPr>
          <w:rFonts w:ascii="Cambria" w:hAnsi="Cambria"/>
          <w:lang w:val="es-ES_tradnl"/>
        </w:rPr>
        <w:t xml:space="preserve"> ec</w:t>
      </w:r>
      <w:r w:rsidRPr="00D43C76">
        <w:rPr>
          <w:rFonts w:ascii="Cambria" w:hAnsi="Cambria"/>
          <w:lang w:val="es-ES_tradnl"/>
        </w:rPr>
        <w:t>o</w:t>
      </w:r>
      <w:r w:rsidR="00A73129" w:rsidRPr="00D43C76">
        <w:rPr>
          <w:rFonts w:ascii="Cambria" w:hAnsi="Cambria"/>
          <w:lang w:val="es-ES_tradnl"/>
        </w:rPr>
        <w:t>n</w:t>
      </w:r>
      <w:r w:rsidRPr="00D43C76">
        <w:rPr>
          <w:rFonts w:ascii="Cambria" w:hAnsi="Cambria"/>
          <w:lang w:val="es-ES_tradnl"/>
        </w:rPr>
        <w:t>ó</w:t>
      </w:r>
      <w:r w:rsidR="00A73129" w:rsidRPr="00D43C76">
        <w:rPr>
          <w:rFonts w:ascii="Cambria" w:hAnsi="Cambria"/>
          <w:lang w:val="es-ES_tradnl"/>
        </w:rPr>
        <w:t>mic</w:t>
      </w:r>
      <w:r w:rsidRPr="00D43C76">
        <w:rPr>
          <w:rFonts w:ascii="Cambria" w:hAnsi="Cambria"/>
          <w:lang w:val="es-ES_tradnl"/>
        </w:rPr>
        <w:t>as y</w:t>
      </w:r>
      <w:r w:rsidR="00A73129" w:rsidRPr="00D43C76">
        <w:rPr>
          <w:rFonts w:ascii="Cambria" w:hAnsi="Cambria"/>
          <w:lang w:val="es-ES_tradnl"/>
        </w:rPr>
        <w:t xml:space="preserve"> social</w:t>
      </w:r>
      <w:r w:rsidRPr="00D43C76">
        <w:rPr>
          <w:rFonts w:ascii="Cambria" w:hAnsi="Cambria"/>
          <w:lang w:val="es-ES_tradnl"/>
        </w:rPr>
        <w:t xml:space="preserve">es mencionadas en el </w:t>
      </w:r>
      <w:r w:rsidR="00845E02" w:rsidRPr="00D43C76">
        <w:rPr>
          <w:rFonts w:ascii="Cambria" w:hAnsi="Cambria"/>
          <w:lang w:val="es-ES_tradnl"/>
        </w:rPr>
        <w:t>artículo</w:t>
      </w:r>
      <w:r w:rsidR="00A73129" w:rsidRPr="00D43C76">
        <w:rPr>
          <w:rFonts w:ascii="Cambria" w:hAnsi="Cambria"/>
          <w:lang w:val="es-ES_tradnl"/>
        </w:rPr>
        <w:t xml:space="preserve"> 26 </w:t>
      </w:r>
      <w:r w:rsidRPr="00D43C76">
        <w:rPr>
          <w:rFonts w:ascii="Cambria" w:hAnsi="Cambria"/>
          <w:lang w:val="es-ES_tradnl"/>
        </w:rPr>
        <w:t>de la Convención, razón por la cual no es necesario hacer una recapitulación de ese análisis</w:t>
      </w:r>
      <w:r w:rsidR="00A73129" w:rsidRPr="00D43C76">
        <w:rPr>
          <w:rStyle w:val="FootnoteReference"/>
          <w:rFonts w:ascii="Cambria" w:eastAsia="Batang" w:hAnsi="Cambria"/>
          <w:lang w:val="es-ES_tradnl"/>
        </w:rPr>
        <w:footnoteReference w:id="79"/>
      </w:r>
      <w:r w:rsidRPr="00D43C76">
        <w:rPr>
          <w:rFonts w:ascii="Cambria" w:hAnsi="Cambria"/>
          <w:lang w:val="es-ES_tradnl"/>
        </w:rPr>
        <w:t>.</w:t>
      </w:r>
      <w:r w:rsidR="00A73129" w:rsidRPr="00D43C76">
        <w:rPr>
          <w:rFonts w:ascii="Cambria" w:hAnsi="Cambria"/>
          <w:lang w:val="es-ES_tradnl"/>
        </w:rPr>
        <w:t xml:space="preserve"> </w:t>
      </w:r>
    </w:p>
    <w:p w14:paraId="7C1E7E2C" w14:textId="77777777" w:rsidR="009D72D8" w:rsidRPr="00D43C76" w:rsidRDefault="009D72D8" w:rsidP="009D72D8">
      <w:pPr>
        <w:pStyle w:val="parrafos"/>
        <w:tabs>
          <w:tab w:val="left" w:pos="720"/>
        </w:tabs>
        <w:rPr>
          <w:rFonts w:ascii="Cambria" w:hAnsi="Cambria"/>
          <w:lang w:val="es-ES_tradnl"/>
        </w:rPr>
      </w:pPr>
    </w:p>
    <w:p w14:paraId="38DB544C" w14:textId="77777777" w:rsidR="00A73129" w:rsidRPr="00D43C76" w:rsidRDefault="003A75A8" w:rsidP="00A73129">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snapToGrid w:val="0"/>
          <w:lang w:val="es-ES_tradnl"/>
        </w:rPr>
        <w:t xml:space="preserve">De ello se puede inferir que </w:t>
      </w:r>
      <w:r w:rsidR="00A365FB" w:rsidRPr="00D43C76">
        <w:rPr>
          <w:rFonts w:ascii="Cambria" w:hAnsi="Cambria"/>
          <w:snapToGrid w:val="0"/>
          <w:lang w:val="es-ES_tradnl"/>
        </w:rPr>
        <w:t>la Comisión</w:t>
      </w:r>
      <w:r w:rsidR="00A73129" w:rsidRPr="00D43C76">
        <w:rPr>
          <w:rFonts w:ascii="Cambria" w:hAnsi="Cambria"/>
          <w:snapToGrid w:val="0"/>
          <w:lang w:val="es-ES_tradnl"/>
        </w:rPr>
        <w:t xml:space="preserve"> </w:t>
      </w:r>
      <w:r w:rsidRPr="00D43C76">
        <w:rPr>
          <w:rFonts w:ascii="Cambria" w:hAnsi="Cambria"/>
          <w:snapToGrid w:val="0"/>
          <w:lang w:val="es-ES_tradnl"/>
        </w:rPr>
        <w:t xml:space="preserve">entiende que el </w:t>
      </w:r>
      <w:r w:rsidR="00845E02" w:rsidRPr="00D43C76">
        <w:rPr>
          <w:rFonts w:ascii="Cambria" w:hAnsi="Cambria"/>
          <w:snapToGrid w:val="0"/>
          <w:lang w:val="es-ES_tradnl"/>
        </w:rPr>
        <w:t>artículo</w:t>
      </w:r>
      <w:r w:rsidR="00A73129" w:rsidRPr="00D43C76">
        <w:rPr>
          <w:rFonts w:ascii="Cambria" w:hAnsi="Cambria"/>
          <w:snapToGrid w:val="0"/>
          <w:lang w:val="es-ES_tradnl"/>
        </w:rPr>
        <w:t xml:space="preserve"> 26 </w:t>
      </w:r>
      <w:r w:rsidRPr="00D43C76">
        <w:rPr>
          <w:rFonts w:ascii="Cambria" w:hAnsi="Cambria"/>
          <w:snapToGrid w:val="0"/>
          <w:lang w:val="es-ES_tradnl"/>
        </w:rPr>
        <w:t>de</w:t>
      </w:r>
      <w:r w:rsidR="00A73129" w:rsidRPr="00D43C76">
        <w:rPr>
          <w:rFonts w:ascii="Cambria" w:hAnsi="Cambria"/>
          <w:snapToGrid w:val="0"/>
          <w:lang w:val="es-ES_tradnl"/>
        </w:rPr>
        <w:t xml:space="preserve"> </w:t>
      </w:r>
      <w:r w:rsidR="00845E02" w:rsidRPr="00D43C76">
        <w:rPr>
          <w:rFonts w:ascii="Cambria" w:hAnsi="Cambria"/>
          <w:snapToGrid w:val="0"/>
          <w:lang w:val="es-ES_tradnl"/>
        </w:rPr>
        <w:t xml:space="preserve">la Convención </w:t>
      </w:r>
      <w:r w:rsidR="00A73129" w:rsidRPr="00D43C76">
        <w:rPr>
          <w:rFonts w:ascii="Cambria" w:hAnsi="Cambria"/>
          <w:snapToGrid w:val="0"/>
          <w:lang w:val="es-ES_tradnl"/>
        </w:rPr>
        <w:t>impo</w:t>
      </w:r>
      <w:r w:rsidRPr="00D43C76">
        <w:rPr>
          <w:rFonts w:ascii="Cambria" w:hAnsi="Cambria"/>
          <w:snapToGrid w:val="0"/>
          <w:lang w:val="es-ES_tradnl"/>
        </w:rPr>
        <w:t xml:space="preserve">ne una </w:t>
      </w:r>
      <w:r w:rsidR="00A73129" w:rsidRPr="00D43C76">
        <w:rPr>
          <w:rFonts w:ascii="Cambria" w:hAnsi="Cambria"/>
          <w:snapToGrid w:val="0"/>
          <w:lang w:val="es-ES_tradnl"/>
        </w:rPr>
        <w:t>serie</w:t>
      </w:r>
      <w:r w:rsidRPr="00D43C76">
        <w:rPr>
          <w:rFonts w:ascii="Cambria" w:hAnsi="Cambria"/>
          <w:snapToGrid w:val="0"/>
          <w:lang w:val="es-ES_tradnl"/>
        </w:rPr>
        <w:t xml:space="preserve"> de obligaciones a los Estados, además de limitar la regresión: esto forma parte de la obligación de desarrollo progresivo, pero no puede entenderse como la única obligación recurrible legalmente en el sistema </w:t>
      </w:r>
      <w:r w:rsidRPr="00D43C76">
        <w:rPr>
          <w:rFonts w:ascii="Cambria" w:hAnsi="Cambria"/>
          <w:snapToGrid w:val="0"/>
          <w:lang w:val="es-ES_tradnl"/>
        </w:rPr>
        <w:lastRenderedPageBreak/>
        <w:t>i</w:t>
      </w:r>
      <w:r w:rsidR="003F130A" w:rsidRPr="00D43C76">
        <w:rPr>
          <w:rFonts w:ascii="Cambria" w:hAnsi="Cambria"/>
          <w:snapToGrid w:val="0"/>
          <w:lang w:val="es-ES_tradnl"/>
        </w:rPr>
        <w:t>nter</w:t>
      </w:r>
      <w:r w:rsidRPr="00D43C76">
        <w:rPr>
          <w:rFonts w:ascii="Cambria" w:hAnsi="Cambria"/>
          <w:snapToGrid w:val="0"/>
          <w:lang w:val="es-ES_tradnl"/>
        </w:rPr>
        <w:t>a</w:t>
      </w:r>
      <w:r w:rsidR="003F130A" w:rsidRPr="00D43C76">
        <w:rPr>
          <w:rFonts w:ascii="Cambria" w:hAnsi="Cambria"/>
          <w:snapToGrid w:val="0"/>
          <w:lang w:val="es-ES_tradnl"/>
        </w:rPr>
        <w:t>merican</w:t>
      </w:r>
      <w:r w:rsidRPr="00D43C76">
        <w:rPr>
          <w:rFonts w:ascii="Cambria" w:hAnsi="Cambria"/>
          <w:snapToGrid w:val="0"/>
          <w:lang w:val="es-ES_tradnl"/>
        </w:rPr>
        <w:t xml:space="preserve">o. Por lo tanto, </w:t>
      </w:r>
      <w:r w:rsidR="00A365FB" w:rsidRPr="00D43C76">
        <w:rPr>
          <w:rFonts w:ascii="Cambria" w:hAnsi="Cambria"/>
          <w:snapToGrid w:val="0"/>
          <w:lang w:val="es-ES_tradnl"/>
        </w:rPr>
        <w:t>la Comisión</w:t>
      </w:r>
      <w:r w:rsidR="00A73129" w:rsidRPr="00D43C76">
        <w:rPr>
          <w:rFonts w:ascii="Cambria" w:hAnsi="Cambria"/>
          <w:snapToGrid w:val="0"/>
          <w:lang w:val="es-ES_tradnl"/>
        </w:rPr>
        <w:t xml:space="preserve"> </w:t>
      </w:r>
      <w:r w:rsidRPr="00D43C76">
        <w:rPr>
          <w:rFonts w:ascii="Cambria" w:hAnsi="Cambria"/>
          <w:snapToGrid w:val="0"/>
          <w:lang w:val="es-ES_tradnl"/>
        </w:rPr>
        <w:t>concluye que, teniendo en cuenta el marco de interpretación establecido en el a</w:t>
      </w:r>
      <w:r w:rsidR="00845E02" w:rsidRPr="00D43C76">
        <w:rPr>
          <w:rFonts w:ascii="Cambria" w:hAnsi="Cambria"/>
          <w:snapToGrid w:val="0"/>
          <w:lang w:val="es-ES_tradnl"/>
        </w:rPr>
        <w:t>rtículo</w:t>
      </w:r>
      <w:r w:rsidR="00A73129" w:rsidRPr="00D43C76">
        <w:rPr>
          <w:rFonts w:ascii="Cambria" w:hAnsi="Cambria"/>
          <w:snapToGrid w:val="0"/>
          <w:lang w:val="es-ES_tradnl"/>
        </w:rPr>
        <w:t xml:space="preserve"> 29 </w:t>
      </w:r>
      <w:r w:rsidRPr="00D43C76">
        <w:rPr>
          <w:rFonts w:ascii="Cambria" w:hAnsi="Cambria"/>
          <w:snapToGrid w:val="0"/>
          <w:lang w:val="es-ES_tradnl"/>
        </w:rPr>
        <w:t>de</w:t>
      </w:r>
      <w:r w:rsidR="00A73129" w:rsidRPr="00D43C76">
        <w:rPr>
          <w:rFonts w:ascii="Cambria" w:hAnsi="Cambria"/>
          <w:snapToGrid w:val="0"/>
          <w:lang w:val="es-ES_tradnl"/>
        </w:rPr>
        <w:t xml:space="preserve"> </w:t>
      </w:r>
      <w:r w:rsidR="00845E02" w:rsidRPr="00D43C76">
        <w:rPr>
          <w:rFonts w:ascii="Cambria" w:hAnsi="Cambria"/>
          <w:snapToGrid w:val="0"/>
          <w:lang w:val="es-ES_tradnl"/>
        </w:rPr>
        <w:t>la Convención</w:t>
      </w:r>
      <w:r w:rsidRPr="00D43C76">
        <w:rPr>
          <w:rFonts w:ascii="Cambria" w:hAnsi="Cambria"/>
          <w:snapToGrid w:val="0"/>
          <w:lang w:val="es-ES_tradnl"/>
        </w:rPr>
        <w:t xml:space="preserve">, el </w:t>
      </w:r>
      <w:r w:rsidR="00845E02" w:rsidRPr="00D43C76">
        <w:rPr>
          <w:rFonts w:ascii="Cambria" w:hAnsi="Cambria"/>
          <w:snapToGrid w:val="0"/>
          <w:lang w:val="es-ES_tradnl"/>
        </w:rPr>
        <w:t>artículo</w:t>
      </w:r>
      <w:r w:rsidR="00A73129" w:rsidRPr="00D43C76">
        <w:rPr>
          <w:rFonts w:ascii="Cambria" w:hAnsi="Cambria"/>
          <w:snapToGrid w:val="0"/>
          <w:lang w:val="es-ES_tradnl"/>
        </w:rPr>
        <w:t xml:space="preserve"> 26</w:t>
      </w:r>
      <w:r w:rsidRPr="00D43C76">
        <w:rPr>
          <w:rFonts w:ascii="Cambria" w:hAnsi="Cambria"/>
          <w:snapToGrid w:val="0"/>
          <w:lang w:val="es-ES_tradnl"/>
        </w:rPr>
        <w:t>, analizado a la luz de los artículos</w:t>
      </w:r>
      <w:r w:rsidR="00A73129" w:rsidRPr="00D43C76">
        <w:rPr>
          <w:rFonts w:ascii="Cambria" w:hAnsi="Cambria"/>
          <w:snapToGrid w:val="0"/>
          <w:lang w:val="es-ES_tradnl"/>
        </w:rPr>
        <w:t xml:space="preserve"> 1</w:t>
      </w:r>
      <w:r w:rsidRPr="00D43C76">
        <w:rPr>
          <w:rFonts w:ascii="Cambria" w:hAnsi="Cambria"/>
          <w:snapToGrid w:val="0"/>
          <w:lang w:val="es-ES_tradnl"/>
        </w:rPr>
        <w:t>.</w:t>
      </w:r>
      <w:r w:rsidR="00A73129" w:rsidRPr="00D43C76">
        <w:rPr>
          <w:rFonts w:ascii="Cambria" w:hAnsi="Cambria"/>
          <w:snapToGrid w:val="0"/>
          <w:lang w:val="es-ES_tradnl"/>
        </w:rPr>
        <w:t xml:space="preserve">1 </w:t>
      </w:r>
      <w:r w:rsidRPr="00D43C76">
        <w:rPr>
          <w:rFonts w:ascii="Cambria" w:hAnsi="Cambria"/>
          <w:snapToGrid w:val="0"/>
          <w:lang w:val="es-ES_tradnl"/>
        </w:rPr>
        <w:t>y</w:t>
      </w:r>
      <w:r w:rsidR="00A73129" w:rsidRPr="00D43C76">
        <w:rPr>
          <w:rFonts w:ascii="Cambria" w:hAnsi="Cambria"/>
          <w:snapToGrid w:val="0"/>
          <w:lang w:val="es-ES_tradnl"/>
        </w:rPr>
        <w:t xml:space="preserve"> 2 </w:t>
      </w:r>
      <w:r w:rsidRPr="00D43C76">
        <w:rPr>
          <w:rFonts w:ascii="Cambria" w:hAnsi="Cambria"/>
          <w:snapToGrid w:val="0"/>
          <w:lang w:val="es-ES_tradnl"/>
        </w:rPr>
        <w:t>de este instrumento, implica como mínimo las siguientes obligaciones inmediatas y de cumplimiento exigible</w:t>
      </w:r>
      <w:r w:rsidR="00A73129" w:rsidRPr="00D43C76">
        <w:rPr>
          <w:rFonts w:ascii="Cambria" w:hAnsi="Cambria"/>
          <w:snapToGrid w:val="0"/>
          <w:lang w:val="es-ES_tradnl"/>
        </w:rPr>
        <w:t xml:space="preserve">: i) </w:t>
      </w:r>
      <w:r w:rsidRPr="00D43C76">
        <w:rPr>
          <w:rFonts w:ascii="Cambria" w:hAnsi="Cambria"/>
          <w:snapToGrid w:val="0"/>
          <w:lang w:val="es-ES_tradnl"/>
        </w:rPr>
        <w:t xml:space="preserve">obligaciones </w:t>
      </w:r>
      <w:r w:rsidR="00A73129" w:rsidRPr="00D43C76">
        <w:rPr>
          <w:rFonts w:ascii="Cambria" w:hAnsi="Cambria"/>
          <w:snapToGrid w:val="0"/>
          <w:lang w:val="es-ES_tradnl"/>
        </w:rPr>
        <w:t>general</w:t>
      </w:r>
      <w:r w:rsidRPr="00D43C76">
        <w:rPr>
          <w:rFonts w:ascii="Cambria" w:hAnsi="Cambria"/>
          <w:snapToGrid w:val="0"/>
          <w:lang w:val="es-ES_tradnl"/>
        </w:rPr>
        <w:t xml:space="preserve">es de respetar y garantizar; </w:t>
      </w:r>
      <w:r w:rsidR="00A73129" w:rsidRPr="00D43C76">
        <w:rPr>
          <w:rFonts w:ascii="Cambria" w:hAnsi="Cambria"/>
          <w:snapToGrid w:val="0"/>
          <w:lang w:val="es-ES_tradnl"/>
        </w:rPr>
        <w:t>ii) ap</w:t>
      </w:r>
      <w:r w:rsidR="00B56BBC" w:rsidRPr="00D43C76">
        <w:rPr>
          <w:rFonts w:ascii="Cambria" w:hAnsi="Cambria"/>
          <w:snapToGrid w:val="0"/>
          <w:lang w:val="es-ES_tradnl"/>
        </w:rPr>
        <w:t xml:space="preserve">licación del principio de no </w:t>
      </w:r>
      <w:r w:rsidR="00851B40" w:rsidRPr="00D43C76">
        <w:rPr>
          <w:rFonts w:ascii="Cambria" w:hAnsi="Cambria"/>
          <w:snapToGrid w:val="0"/>
          <w:lang w:val="es-ES_tradnl"/>
        </w:rPr>
        <w:t>discriminación</w:t>
      </w:r>
      <w:r w:rsidR="00A73129" w:rsidRPr="00D43C76">
        <w:rPr>
          <w:rFonts w:ascii="Cambria" w:hAnsi="Cambria"/>
          <w:snapToGrid w:val="0"/>
          <w:lang w:val="es-ES_tradnl"/>
        </w:rPr>
        <w:t xml:space="preserve"> </w:t>
      </w:r>
      <w:r w:rsidR="00B56BBC" w:rsidRPr="00D43C76">
        <w:rPr>
          <w:rFonts w:ascii="Cambria" w:hAnsi="Cambria"/>
          <w:snapToGrid w:val="0"/>
          <w:lang w:val="es-ES_tradnl"/>
        </w:rPr>
        <w:t>a los derechos</w:t>
      </w:r>
      <w:r w:rsidR="00A73129" w:rsidRPr="00D43C76">
        <w:rPr>
          <w:rFonts w:ascii="Cambria" w:hAnsi="Cambria"/>
          <w:snapToGrid w:val="0"/>
          <w:lang w:val="es-ES_tradnl"/>
        </w:rPr>
        <w:t xml:space="preserve"> econ</w:t>
      </w:r>
      <w:r w:rsidR="00B56BBC" w:rsidRPr="00D43C76">
        <w:rPr>
          <w:rFonts w:ascii="Cambria" w:hAnsi="Cambria"/>
          <w:snapToGrid w:val="0"/>
          <w:lang w:val="es-ES_tradnl"/>
        </w:rPr>
        <w:t>ó</w:t>
      </w:r>
      <w:r w:rsidR="00A73129" w:rsidRPr="00D43C76">
        <w:rPr>
          <w:rFonts w:ascii="Cambria" w:hAnsi="Cambria"/>
          <w:snapToGrid w:val="0"/>
          <w:lang w:val="es-ES_tradnl"/>
        </w:rPr>
        <w:t>mic</w:t>
      </w:r>
      <w:r w:rsidR="00B56BBC" w:rsidRPr="00D43C76">
        <w:rPr>
          <w:rFonts w:ascii="Cambria" w:hAnsi="Cambria"/>
          <w:snapToGrid w:val="0"/>
          <w:lang w:val="es-ES_tradnl"/>
        </w:rPr>
        <w:t>os</w:t>
      </w:r>
      <w:r w:rsidR="00A73129" w:rsidRPr="00D43C76">
        <w:rPr>
          <w:rFonts w:ascii="Cambria" w:hAnsi="Cambria"/>
          <w:snapToGrid w:val="0"/>
          <w:lang w:val="es-ES_tradnl"/>
        </w:rPr>
        <w:t>, social</w:t>
      </w:r>
      <w:r w:rsidR="00B56BBC" w:rsidRPr="00D43C76">
        <w:rPr>
          <w:rFonts w:ascii="Cambria" w:hAnsi="Cambria"/>
          <w:snapToGrid w:val="0"/>
          <w:lang w:val="es-ES_tradnl"/>
        </w:rPr>
        <w:t xml:space="preserve">es y </w:t>
      </w:r>
      <w:r w:rsidR="00A73129" w:rsidRPr="00D43C76">
        <w:rPr>
          <w:rFonts w:ascii="Cambria" w:hAnsi="Cambria"/>
          <w:snapToGrid w:val="0"/>
          <w:lang w:val="es-ES_tradnl"/>
        </w:rPr>
        <w:t>cultural</w:t>
      </w:r>
      <w:r w:rsidR="00B56BBC" w:rsidRPr="00D43C76">
        <w:rPr>
          <w:rFonts w:ascii="Cambria" w:hAnsi="Cambria"/>
          <w:snapToGrid w:val="0"/>
          <w:lang w:val="es-ES_tradnl"/>
        </w:rPr>
        <w:t>es</w:t>
      </w:r>
      <w:r w:rsidR="00A73129" w:rsidRPr="00D43C76">
        <w:rPr>
          <w:rFonts w:ascii="Cambria" w:hAnsi="Cambria"/>
          <w:snapToGrid w:val="0"/>
          <w:lang w:val="es-ES_tradnl"/>
        </w:rPr>
        <w:t>; iii) obliga</w:t>
      </w:r>
      <w:r w:rsidR="00B56BBC" w:rsidRPr="00D43C76">
        <w:rPr>
          <w:rFonts w:ascii="Cambria" w:hAnsi="Cambria"/>
          <w:snapToGrid w:val="0"/>
          <w:lang w:val="es-ES_tradnl"/>
        </w:rPr>
        <w:t xml:space="preserve">ción de actuar o tomar medidas para posibilitar el goce de los derechos amparados por ese artículo, y </w:t>
      </w:r>
      <w:r w:rsidR="00A73129" w:rsidRPr="00D43C76">
        <w:rPr>
          <w:rFonts w:ascii="Cambria" w:hAnsi="Cambria"/>
          <w:snapToGrid w:val="0"/>
          <w:lang w:val="es-ES_tradnl"/>
        </w:rPr>
        <w:t>iv) obliga</w:t>
      </w:r>
      <w:r w:rsidR="00B56BBC" w:rsidRPr="00D43C76">
        <w:rPr>
          <w:rFonts w:ascii="Cambria" w:hAnsi="Cambria"/>
          <w:snapToGrid w:val="0"/>
          <w:lang w:val="es-ES_tradnl"/>
        </w:rPr>
        <w:t>ción de proporcionar recursos apropiados y efectivos para proteger esos derechos. Las metodologías o las fuentes del análisis que s</w:t>
      </w:r>
      <w:r w:rsidR="00FD3DE2" w:rsidRPr="00D43C76">
        <w:rPr>
          <w:rFonts w:ascii="Cambria" w:hAnsi="Cambria"/>
          <w:snapToGrid w:val="0"/>
          <w:lang w:val="es-ES_tradnl"/>
        </w:rPr>
        <w:t>ea</w:t>
      </w:r>
      <w:r w:rsidR="00B56BBC" w:rsidRPr="00D43C76">
        <w:rPr>
          <w:rFonts w:ascii="Cambria" w:hAnsi="Cambria"/>
          <w:snapToGrid w:val="0"/>
          <w:lang w:val="es-ES_tradnl"/>
        </w:rPr>
        <w:t xml:space="preserve">n </w:t>
      </w:r>
      <w:r w:rsidR="00A73129" w:rsidRPr="00D43C76">
        <w:rPr>
          <w:rFonts w:ascii="Cambria" w:hAnsi="Cambria"/>
          <w:snapToGrid w:val="0"/>
          <w:lang w:val="es-ES_tradnl"/>
        </w:rPr>
        <w:t>pertinent</w:t>
      </w:r>
      <w:r w:rsidR="00B56BBC" w:rsidRPr="00D43C76">
        <w:rPr>
          <w:rFonts w:ascii="Cambria" w:hAnsi="Cambria"/>
          <w:snapToGrid w:val="0"/>
          <w:lang w:val="es-ES_tradnl"/>
        </w:rPr>
        <w:t>es para cada una de estas obligaciones debe</w:t>
      </w:r>
      <w:r w:rsidR="00FD3DE2" w:rsidRPr="00D43C76">
        <w:rPr>
          <w:rFonts w:ascii="Cambria" w:hAnsi="Cambria"/>
          <w:snapToGrid w:val="0"/>
          <w:lang w:val="es-ES_tradnl"/>
        </w:rPr>
        <w:t>rá</w:t>
      </w:r>
      <w:r w:rsidR="00B56BBC" w:rsidRPr="00D43C76">
        <w:rPr>
          <w:rFonts w:ascii="Cambria" w:hAnsi="Cambria"/>
          <w:snapToGrid w:val="0"/>
          <w:lang w:val="es-ES_tradnl"/>
        </w:rPr>
        <w:t>n basarse en las circunstancias particulares de cada caso</w:t>
      </w:r>
      <w:r w:rsidR="00A73129" w:rsidRPr="00D43C76">
        <w:rPr>
          <w:rFonts w:ascii="Cambria" w:hAnsi="Cambria"/>
          <w:snapToGrid w:val="0"/>
          <w:lang w:val="es-ES_tradnl"/>
        </w:rPr>
        <w:t>.</w:t>
      </w:r>
    </w:p>
    <w:p w14:paraId="513DBA41" w14:textId="77777777" w:rsidR="00A73129" w:rsidRPr="00D43C76" w:rsidRDefault="00A73129" w:rsidP="00A73129">
      <w:pPr>
        <w:pStyle w:val="parrafos"/>
        <w:tabs>
          <w:tab w:val="left" w:pos="720"/>
        </w:tabs>
        <w:rPr>
          <w:rFonts w:ascii="Cambria" w:hAnsi="Cambria"/>
          <w:lang w:val="es-ES_tradnl"/>
        </w:rPr>
      </w:pPr>
    </w:p>
    <w:p w14:paraId="481F36DD" w14:textId="77777777" w:rsidR="00A73129" w:rsidRPr="00D43C76" w:rsidRDefault="00107301" w:rsidP="00A73129">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snapToGrid w:val="0"/>
          <w:lang w:val="es-ES_tradnl"/>
        </w:rPr>
        <w:t>Con respecto a los componentes inmediatos y exigibles de la obligación de actuar o tomar medidas</w:t>
      </w:r>
      <w:r w:rsidR="00A73129" w:rsidRPr="00D43C76">
        <w:rPr>
          <w:rFonts w:ascii="Cambria" w:hAnsi="Cambria"/>
          <w:snapToGrid w:val="0"/>
          <w:lang w:val="es-ES_tradnl"/>
        </w:rPr>
        <w:t xml:space="preserve">, </w:t>
      </w:r>
      <w:r w:rsidRPr="00D43C76">
        <w:rPr>
          <w:rFonts w:ascii="Cambria" w:hAnsi="Cambria"/>
          <w:snapToGrid w:val="0"/>
          <w:lang w:val="es-ES_tradnl"/>
        </w:rPr>
        <w:t>el Comité de Derechos Económicos, Sociales y Culturales</w:t>
      </w:r>
      <w:r w:rsidR="00A73129" w:rsidRPr="00D43C76">
        <w:rPr>
          <w:rFonts w:ascii="Cambria" w:hAnsi="Cambria"/>
          <w:snapToGrid w:val="0"/>
          <w:lang w:val="es-ES_tradnl"/>
        </w:rPr>
        <w:t xml:space="preserve"> ha</w:t>
      </w:r>
      <w:r w:rsidR="003709D0" w:rsidRPr="00D43C76">
        <w:rPr>
          <w:rFonts w:ascii="Cambria" w:hAnsi="Cambria"/>
          <w:snapToGrid w:val="0"/>
          <w:lang w:val="es-ES_tradnl"/>
        </w:rPr>
        <w:t xml:space="preserve"> indicado, por ejemplo, que la adopción de medidas en sí no está limitada por otras consideraciones o supeditada a ellas. Por lo tanto, aunque se pueda lograr progresivamente la plena efectividad de los derechos pertinentes, las medidas encaminadas a esa meta deben ser deliberadas y concretas y estar focalizadas lo más claramente posible en el cumplimiento de las obligaciones. </w:t>
      </w:r>
      <w:r w:rsidR="00A365FB" w:rsidRPr="00D43C76">
        <w:rPr>
          <w:rFonts w:ascii="Cambria" w:hAnsi="Cambria"/>
          <w:shd w:val="clear" w:color="auto" w:fill="FFFFFF"/>
          <w:lang w:val="es-ES_tradnl"/>
        </w:rPr>
        <w:t>El Estado</w:t>
      </w:r>
      <w:r w:rsidR="00A73129" w:rsidRPr="00D43C76">
        <w:rPr>
          <w:rFonts w:ascii="Cambria" w:hAnsi="Cambria"/>
          <w:shd w:val="clear" w:color="auto" w:fill="FFFFFF"/>
          <w:lang w:val="es-ES_tradnl"/>
        </w:rPr>
        <w:t xml:space="preserve"> </w:t>
      </w:r>
      <w:r w:rsidR="003709D0" w:rsidRPr="00D43C76">
        <w:rPr>
          <w:rFonts w:ascii="Cambria" w:hAnsi="Cambria"/>
          <w:shd w:val="clear" w:color="auto" w:fill="FFFFFF"/>
          <w:lang w:val="es-ES_tradnl"/>
        </w:rPr>
        <w:t>tiene también obligaciones básicas para cumplir las normas mínimas relativas a estos derechos. Estas obligaciones no son pasibles de un desarrollo progresivo, sino que deben cumplirse de inmediato</w:t>
      </w:r>
      <w:r w:rsidR="00A73129" w:rsidRPr="00D43C76">
        <w:rPr>
          <w:rStyle w:val="FootnoteReference"/>
          <w:rFonts w:ascii="Cambria" w:hAnsi="Cambria" w:cs="Arial"/>
          <w:snapToGrid w:val="0"/>
          <w:lang w:val="es-ES_tradnl"/>
        </w:rPr>
        <w:footnoteReference w:id="80"/>
      </w:r>
      <w:r w:rsidR="003709D0" w:rsidRPr="00D43C76">
        <w:rPr>
          <w:rFonts w:ascii="Cambria" w:hAnsi="Cambria"/>
          <w:shd w:val="clear" w:color="auto" w:fill="FFFFFF"/>
          <w:lang w:val="es-ES_tradnl"/>
        </w:rPr>
        <w:t>.</w:t>
      </w:r>
    </w:p>
    <w:p w14:paraId="7088A1A9" w14:textId="77777777" w:rsidR="00A73129" w:rsidRPr="00D43C76" w:rsidRDefault="00A73129" w:rsidP="00A731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_tradnl"/>
        </w:rPr>
      </w:pPr>
    </w:p>
    <w:p w14:paraId="44AEC761" w14:textId="77777777" w:rsidR="00B41E63" w:rsidRPr="00D43C76" w:rsidRDefault="00C142C5" w:rsidP="00A73129">
      <w:pPr>
        <w:pStyle w:val="parrafos"/>
        <w:numPr>
          <w:ilvl w:val="0"/>
          <w:numId w:val="57"/>
        </w:numPr>
        <w:tabs>
          <w:tab w:val="clear" w:pos="1080"/>
          <w:tab w:val="left" w:pos="720"/>
        </w:tabs>
        <w:ind w:left="0" w:firstLine="0"/>
        <w:rPr>
          <w:rFonts w:ascii="Cambria" w:hAnsi="Cambria"/>
          <w:snapToGrid w:val="0"/>
          <w:lang w:val="es-ES_tradnl"/>
        </w:rPr>
      </w:pPr>
      <w:r w:rsidRPr="00D43C76">
        <w:rPr>
          <w:rFonts w:ascii="Cambria" w:hAnsi="Cambria"/>
          <w:snapToGrid w:val="0"/>
          <w:lang w:val="es-ES_tradnl"/>
        </w:rPr>
        <w:t xml:space="preserve">En el caso </w:t>
      </w:r>
      <w:r w:rsidR="001D7B08" w:rsidRPr="00D43C76">
        <w:rPr>
          <w:rFonts w:ascii="Cambria" w:hAnsi="Cambria"/>
          <w:i/>
          <w:snapToGrid w:val="0"/>
          <w:lang w:val="es-ES_tradnl"/>
        </w:rPr>
        <w:t xml:space="preserve">Poblete Vilches </w:t>
      </w:r>
      <w:r w:rsidR="00FD3DE2" w:rsidRPr="00D43C76">
        <w:rPr>
          <w:rFonts w:ascii="Cambria" w:hAnsi="Cambria"/>
          <w:i/>
          <w:snapToGrid w:val="0"/>
          <w:lang w:val="es-ES_tradnl"/>
        </w:rPr>
        <w:t>contra</w:t>
      </w:r>
      <w:r w:rsidR="001D7B08" w:rsidRPr="00D43C76">
        <w:rPr>
          <w:rFonts w:ascii="Cambria" w:hAnsi="Cambria"/>
          <w:i/>
          <w:snapToGrid w:val="0"/>
          <w:lang w:val="es-ES_tradnl"/>
        </w:rPr>
        <w:t xml:space="preserve"> Chile</w:t>
      </w:r>
      <w:r w:rsidR="001D7B08" w:rsidRPr="00D43C76">
        <w:rPr>
          <w:rFonts w:ascii="Cambria" w:hAnsi="Cambria"/>
          <w:snapToGrid w:val="0"/>
          <w:lang w:val="es-ES_tradnl"/>
        </w:rPr>
        <w:t xml:space="preserve">, </w:t>
      </w:r>
      <w:r w:rsidRPr="00D43C76">
        <w:rPr>
          <w:rFonts w:ascii="Cambria" w:hAnsi="Cambria"/>
          <w:snapToGrid w:val="0"/>
          <w:lang w:val="es-ES_tradnl"/>
        </w:rPr>
        <w:t xml:space="preserve">la Corte </w:t>
      </w:r>
      <w:r w:rsidR="001D7B08" w:rsidRPr="00D43C76">
        <w:rPr>
          <w:rFonts w:ascii="Cambria" w:hAnsi="Cambria"/>
          <w:snapToGrid w:val="0"/>
          <w:lang w:val="es-ES_tradnl"/>
        </w:rPr>
        <w:t>Inter</w:t>
      </w:r>
      <w:r w:rsidRPr="00D43C76">
        <w:rPr>
          <w:rFonts w:ascii="Cambria" w:hAnsi="Cambria"/>
          <w:snapToGrid w:val="0"/>
          <w:lang w:val="es-ES_tradnl"/>
        </w:rPr>
        <w:t>a</w:t>
      </w:r>
      <w:r w:rsidR="001D7B08" w:rsidRPr="00D43C76">
        <w:rPr>
          <w:rFonts w:ascii="Cambria" w:hAnsi="Cambria"/>
          <w:snapToGrid w:val="0"/>
          <w:lang w:val="es-ES_tradnl"/>
        </w:rPr>
        <w:t>merican</w:t>
      </w:r>
      <w:r w:rsidRPr="00D43C76">
        <w:rPr>
          <w:rFonts w:ascii="Cambria" w:hAnsi="Cambria"/>
          <w:snapToGrid w:val="0"/>
          <w:lang w:val="es-ES_tradnl"/>
        </w:rPr>
        <w:t xml:space="preserve">a, siguiendo la metodología establecida, determinó que el derecho a la salud está amparado por el artículo </w:t>
      </w:r>
      <w:r w:rsidR="00114804" w:rsidRPr="00D43C76">
        <w:rPr>
          <w:rFonts w:ascii="Cambria" w:hAnsi="Cambria"/>
          <w:snapToGrid w:val="0"/>
          <w:lang w:val="es-ES_tradnl"/>
        </w:rPr>
        <w:t xml:space="preserve">26 </w:t>
      </w:r>
      <w:r w:rsidRPr="00D43C76">
        <w:rPr>
          <w:rFonts w:ascii="Cambria" w:hAnsi="Cambria"/>
          <w:snapToGrid w:val="0"/>
          <w:lang w:val="es-ES_tradnl"/>
        </w:rPr>
        <w:t>de</w:t>
      </w:r>
      <w:r w:rsidR="00114804" w:rsidRPr="00D43C76">
        <w:rPr>
          <w:rFonts w:ascii="Cambria" w:hAnsi="Cambria"/>
          <w:snapToGrid w:val="0"/>
          <w:lang w:val="es-ES_tradnl"/>
        </w:rPr>
        <w:t xml:space="preserve"> </w:t>
      </w:r>
      <w:r w:rsidR="00845E02" w:rsidRPr="00D43C76">
        <w:rPr>
          <w:rFonts w:ascii="Cambria" w:hAnsi="Cambria"/>
          <w:snapToGrid w:val="0"/>
          <w:lang w:val="es-ES_tradnl"/>
        </w:rPr>
        <w:t xml:space="preserve">la Convención </w:t>
      </w:r>
      <w:r w:rsidRPr="00D43C76">
        <w:rPr>
          <w:rFonts w:ascii="Cambria" w:hAnsi="Cambria"/>
          <w:snapToGrid w:val="0"/>
          <w:lang w:val="es-ES_tradnl"/>
        </w:rPr>
        <w:t xml:space="preserve">y recordó que la salud es un derecho humano </w:t>
      </w:r>
      <w:r w:rsidR="00114804" w:rsidRPr="00D43C76">
        <w:rPr>
          <w:rFonts w:ascii="Cambria" w:hAnsi="Cambria"/>
          <w:snapToGrid w:val="0"/>
          <w:lang w:val="es-ES_tradnl"/>
        </w:rPr>
        <w:t xml:space="preserve">fundamental </w:t>
      </w:r>
      <w:r w:rsidRPr="00D43C76">
        <w:rPr>
          <w:rFonts w:ascii="Cambria" w:hAnsi="Cambria"/>
          <w:snapToGrid w:val="0"/>
          <w:lang w:val="es-ES_tradnl"/>
        </w:rPr>
        <w:t>para el ejercicio adecuado de los demás derechos humanos. Todo ser humano tiene derecho al disfrute del más alto nivel posible de salud que le permita vivir dignamente, entendida la salud no solo como la ausencia de enfermedades, sino también como un estado completo de bienestar físico</w:t>
      </w:r>
      <w:r w:rsidR="00114804" w:rsidRPr="00D43C76">
        <w:rPr>
          <w:rFonts w:ascii="Cambria" w:hAnsi="Cambria"/>
          <w:snapToGrid w:val="0"/>
          <w:lang w:val="es-ES_tradnl"/>
        </w:rPr>
        <w:t xml:space="preserve">, mental </w:t>
      </w:r>
      <w:r w:rsidRPr="00D43C76">
        <w:rPr>
          <w:rFonts w:ascii="Cambria" w:hAnsi="Cambria"/>
          <w:snapToGrid w:val="0"/>
          <w:lang w:val="es-ES_tradnl"/>
        </w:rPr>
        <w:t xml:space="preserve">y </w:t>
      </w:r>
      <w:r w:rsidR="00114804" w:rsidRPr="00D43C76">
        <w:rPr>
          <w:rFonts w:ascii="Cambria" w:hAnsi="Cambria"/>
          <w:snapToGrid w:val="0"/>
          <w:lang w:val="es-ES_tradnl"/>
        </w:rPr>
        <w:t xml:space="preserve">social </w:t>
      </w:r>
      <w:r w:rsidRPr="00D43C76">
        <w:rPr>
          <w:rFonts w:ascii="Cambria" w:hAnsi="Cambria"/>
          <w:snapToGrid w:val="0"/>
          <w:lang w:val="es-ES_tradnl"/>
        </w:rPr>
        <w:t>derivado de un estilo de vida que permita a las personas alcanzar un equilibrio integral</w:t>
      </w:r>
      <w:r w:rsidR="00332C3A" w:rsidRPr="00D43C76">
        <w:rPr>
          <w:snapToGrid w:val="0"/>
          <w:vertAlign w:val="superscript"/>
          <w:lang w:val="es-ES_tradnl"/>
        </w:rPr>
        <w:footnoteReference w:id="81"/>
      </w:r>
      <w:r w:rsidRPr="00D43C76">
        <w:rPr>
          <w:rFonts w:ascii="Cambria" w:hAnsi="Cambria"/>
          <w:snapToGrid w:val="0"/>
          <w:lang w:val="es-ES_tradnl"/>
        </w:rPr>
        <w:t>. La Corte también destacó la obligación de los Estados de proveer servicios de salud eficaces y de buena calidad que promuevan la mejora del estado de salud de la población</w:t>
      </w:r>
      <w:r w:rsidR="0028653A" w:rsidRPr="00D43C76">
        <w:rPr>
          <w:snapToGrid w:val="0"/>
          <w:vertAlign w:val="superscript"/>
          <w:lang w:val="es-ES_tradnl"/>
        </w:rPr>
        <w:footnoteReference w:id="82"/>
      </w:r>
      <w:r w:rsidRPr="00D43C76">
        <w:rPr>
          <w:rFonts w:ascii="Cambria" w:hAnsi="Cambria"/>
          <w:snapToGrid w:val="0"/>
          <w:lang w:val="es-ES_tradnl"/>
        </w:rPr>
        <w:t>.</w:t>
      </w:r>
      <w:r w:rsidR="0028653A" w:rsidRPr="00D43C76">
        <w:rPr>
          <w:rFonts w:ascii="Cambria" w:hAnsi="Cambria"/>
          <w:snapToGrid w:val="0"/>
          <w:lang w:val="es-ES_tradnl"/>
        </w:rPr>
        <w:t xml:space="preserve"> </w:t>
      </w:r>
    </w:p>
    <w:p w14:paraId="0023BF2A" w14:textId="77777777" w:rsidR="00771D91" w:rsidRPr="00D43C76" w:rsidRDefault="00771D91" w:rsidP="00771D91">
      <w:pPr>
        <w:pStyle w:val="ListParagraph"/>
        <w:rPr>
          <w:snapToGrid w:val="0"/>
          <w:lang w:val="es-ES_tradnl"/>
        </w:rPr>
      </w:pPr>
    </w:p>
    <w:p w14:paraId="76696973" w14:textId="77777777" w:rsidR="00771D91" w:rsidRPr="00D43C76" w:rsidRDefault="00A365FB" w:rsidP="00771D91">
      <w:pPr>
        <w:pStyle w:val="parrafos"/>
        <w:numPr>
          <w:ilvl w:val="0"/>
          <w:numId w:val="57"/>
        </w:numPr>
        <w:tabs>
          <w:tab w:val="clear" w:pos="1080"/>
          <w:tab w:val="left" w:pos="720"/>
        </w:tabs>
        <w:ind w:left="0" w:firstLine="0"/>
        <w:rPr>
          <w:rFonts w:ascii="Cambria" w:hAnsi="Cambria"/>
          <w:snapToGrid w:val="0"/>
          <w:color w:val="auto"/>
          <w:lang w:val="es-ES_tradnl"/>
        </w:rPr>
      </w:pPr>
      <w:r w:rsidRPr="00D43C76">
        <w:rPr>
          <w:rFonts w:ascii="Cambria" w:hAnsi="Cambria"/>
          <w:snapToGrid w:val="0"/>
          <w:color w:val="auto"/>
          <w:lang w:val="es-ES_tradnl"/>
        </w:rPr>
        <w:t>La Comisión</w:t>
      </w:r>
      <w:r w:rsidR="00771D91" w:rsidRPr="00D43C76">
        <w:rPr>
          <w:rFonts w:ascii="Cambria" w:hAnsi="Cambria"/>
          <w:snapToGrid w:val="0"/>
          <w:color w:val="auto"/>
          <w:lang w:val="es-ES_tradnl"/>
        </w:rPr>
        <w:t xml:space="preserve"> rec</w:t>
      </w:r>
      <w:r w:rsidR="00C142C5" w:rsidRPr="00D43C76">
        <w:rPr>
          <w:rFonts w:ascii="Cambria" w:hAnsi="Cambria"/>
          <w:snapToGrid w:val="0"/>
          <w:color w:val="auto"/>
          <w:lang w:val="es-ES_tradnl"/>
        </w:rPr>
        <w:t xml:space="preserve">uerda que, para cumplir sus </w:t>
      </w:r>
      <w:r w:rsidR="002331ED" w:rsidRPr="00D43C76">
        <w:rPr>
          <w:color w:val="auto"/>
          <w:lang w:val="es-ES_tradnl"/>
        </w:rPr>
        <w:t>obligaci</w:t>
      </w:r>
      <w:r w:rsidR="00C142C5" w:rsidRPr="00D43C76">
        <w:rPr>
          <w:color w:val="auto"/>
          <w:lang w:val="es-ES_tradnl"/>
        </w:rPr>
        <w:t xml:space="preserve">ones internacionales con respecto al derecho a la salud, los Estados deben </w:t>
      </w:r>
      <w:r w:rsidR="00AA3F97" w:rsidRPr="00D43C76">
        <w:rPr>
          <w:color w:val="auto"/>
          <w:lang w:val="es-ES_tradnl"/>
        </w:rPr>
        <w:t xml:space="preserve">no solo </w:t>
      </w:r>
      <w:r w:rsidR="00C142C5" w:rsidRPr="00D43C76">
        <w:rPr>
          <w:color w:val="auto"/>
          <w:lang w:val="es-ES_tradnl"/>
        </w:rPr>
        <w:t xml:space="preserve">garantizar el suministro de servicios de salud, sino </w:t>
      </w:r>
      <w:r w:rsidR="00AA3F97" w:rsidRPr="00D43C76">
        <w:rPr>
          <w:color w:val="auto"/>
          <w:lang w:val="es-ES_tradnl"/>
        </w:rPr>
        <w:t xml:space="preserve">también mantener condiciones que lleven a una vida digna e igualitaria en la sociedad en lo que se refiere al derecho a la salud. En otras palabras, </w:t>
      </w:r>
      <w:r w:rsidRPr="00D43C76">
        <w:rPr>
          <w:color w:val="auto"/>
          <w:lang w:val="es-ES_tradnl"/>
        </w:rPr>
        <w:t>la Comisión</w:t>
      </w:r>
      <w:r w:rsidR="00771D91" w:rsidRPr="00D43C76">
        <w:rPr>
          <w:color w:val="auto"/>
          <w:lang w:val="es-ES_tradnl"/>
        </w:rPr>
        <w:t xml:space="preserve"> </w:t>
      </w:r>
      <w:r w:rsidR="00AA3F97" w:rsidRPr="00D43C76">
        <w:rPr>
          <w:color w:val="auto"/>
          <w:lang w:val="es-ES_tradnl"/>
        </w:rPr>
        <w:t xml:space="preserve">recalca la obligación de los Estados de abarcar en sus políticas de salud y en sus marcos normativos los determinantes sociales básicos que permiten el goce efectivo del derecho a la salud. Entre dichas políticas se encuentra la garantía de otros derechos que permiten disfrutar </w:t>
      </w:r>
      <w:r w:rsidR="00F66B8C" w:rsidRPr="00D43C76">
        <w:rPr>
          <w:color w:val="auto"/>
          <w:lang w:val="es-ES_tradnl"/>
        </w:rPr>
        <w:t xml:space="preserve">de </w:t>
      </w:r>
      <w:r w:rsidR="00AA3F97" w:rsidRPr="00D43C76">
        <w:rPr>
          <w:color w:val="auto"/>
          <w:lang w:val="es-ES_tradnl"/>
        </w:rPr>
        <w:t>una vida sa</w:t>
      </w:r>
      <w:r w:rsidR="00F66B8C" w:rsidRPr="00D43C76">
        <w:rPr>
          <w:color w:val="auto"/>
          <w:lang w:val="es-ES_tradnl"/>
        </w:rPr>
        <w:t xml:space="preserve">na, como el acceso a agua y alimentos adecuados, la prohibición de la </w:t>
      </w:r>
      <w:r w:rsidR="00771D91" w:rsidRPr="00D43C76">
        <w:rPr>
          <w:color w:val="auto"/>
          <w:lang w:val="es-ES_tradnl"/>
        </w:rPr>
        <w:t>tortur</w:t>
      </w:r>
      <w:r w:rsidR="00F66B8C" w:rsidRPr="00D43C76">
        <w:rPr>
          <w:color w:val="auto"/>
          <w:lang w:val="es-ES_tradnl"/>
        </w:rPr>
        <w:t>a y las condiciones de trabajo sanas</w:t>
      </w:r>
      <w:r w:rsidR="00771D91" w:rsidRPr="00D43C76">
        <w:rPr>
          <w:color w:val="auto"/>
          <w:lang w:val="es-ES_tradnl"/>
        </w:rPr>
        <w:t xml:space="preserve">. </w:t>
      </w:r>
      <w:r w:rsidR="00F66B8C" w:rsidRPr="00D43C76">
        <w:rPr>
          <w:color w:val="auto"/>
          <w:lang w:val="es-ES_tradnl"/>
        </w:rPr>
        <w:t xml:space="preserve">Del mismo modo, es esencial integrar los determinantes sociales de la salud en las medidas que tomen los Estados con respecto a este derecho, como la distribución equitativa de recursos; las perspectivas </w:t>
      </w:r>
      <w:r w:rsidR="00771D91" w:rsidRPr="00D43C76">
        <w:rPr>
          <w:color w:val="auto"/>
          <w:lang w:val="es-ES_tradnl"/>
        </w:rPr>
        <w:t>cultural</w:t>
      </w:r>
      <w:r w:rsidR="00F66B8C" w:rsidRPr="00D43C76">
        <w:rPr>
          <w:color w:val="auto"/>
          <w:lang w:val="es-ES_tradnl"/>
        </w:rPr>
        <w:t>es</w:t>
      </w:r>
      <w:r w:rsidR="00771D91" w:rsidRPr="00D43C76">
        <w:rPr>
          <w:color w:val="auto"/>
          <w:lang w:val="es-ES_tradnl"/>
        </w:rPr>
        <w:t xml:space="preserve">, </w:t>
      </w:r>
      <w:r w:rsidR="00F66B8C" w:rsidRPr="00D43C76">
        <w:rPr>
          <w:color w:val="auto"/>
          <w:lang w:val="es-ES_tradnl"/>
        </w:rPr>
        <w:t>étnicas y de género; la participación eficaz de la población en las políticas de salud; la determinación de las relaciones de poder</w:t>
      </w:r>
      <w:r w:rsidR="00A93DBF" w:rsidRPr="00D43C76">
        <w:rPr>
          <w:color w:val="auto"/>
          <w:lang w:val="es-ES_tradnl"/>
        </w:rPr>
        <w:t>,</w:t>
      </w:r>
      <w:r w:rsidR="00F66B8C" w:rsidRPr="00D43C76">
        <w:rPr>
          <w:color w:val="auto"/>
          <w:lang w:val="es-ES_tradnl"/>
        </w:rPr>
        <w:t xml:space="preserve"> la violencia</w:t>
      </w:r>
      <w:r w:rsidR="00A93DBF" w:rsidRPr="00D43C76">
        <w:rPr>
          <w:color w:val="auto"/>
          <w:lang w:val="es-ES_tradnl"/>
        </w:rPr>
        <w:t>,</w:t>
      </w:r>
      <w:r w:rsidR="00F66B8C" w:rsidRPr="00D43C76">
        <w:rPr>
          <w:color w:val="auto"/>
          <w:lang w:val="es-ES_tradnl"/>
        </w:rPr>
        <w:t xml:space="preserve"> la normativa, la </w:t>
      </w:r>
      <w:r w:rsidR="00851B40" w:rsidRPr="00D43C76">
        <w:rPr>
          <w:color w:val="auto"/>
          <w:lang w:val="es-ES_tradnl"/>
        </w:rPr>
        <w:t>discriminación</w:t>
      </w:r>
      <w:r w:rsidR="00F66B8C" w:rsidRPr="00D43C76">
        <w:rPr>
          <w:color w:val="auto"/>
          <w:lang w:val="es-ES_tradnl"/>
        </w:rPr>
        <w:t xml:space="preserve"> institucional y social</w:t>
      </w:r>
      <w:r w:rsidR="00771D91" w:rsidRPr="00D43C76">
        <w:rPr>
          <w:color w:val="auto"/>
          <w:lang w:val="es-ES_tradnl"/>
        </w:rPr>
        <w:t xml:space="preserve"> o</w:t>
      </w:r>
      <w:r w:rsidR="00F66B8C" w:rsidRPr="00D43C76">
        <w:rPr>
          <w:color w:val="auto"/>
          <w:lang w:val="es-ES_tradnl"/>
        </w:rPr>
        <w:t xml:space="preserve"> los entornos familiares y comunitarios nocivos que obstaculizan el goce del derecho a la salud. En este marco, en opinión de </w:t>
      </w:r>
      <w:r w:rsidRPr="00D43C76">
        <w:rPr>
          <w:color w:val="auto"/>
          <w:lang w:val="es-ES_tradnl"/>
        </w:rPr>
        <w:t>la CIDH</w:t>
      </w:r>
      <w:r w:rsidR="00771D91" w:rsidRPr="00D43C76">
        <w:rPr>
          <w:color w:val="auto"/>
          <w:lang w:val="es-ES_tradnl"/>
        </w:rPr>
        <w:t xml:space="preserve">, </w:t>
      </w:r>
      <w:r w:rsidR="00F66B8C" w:rsidRPr="00D43C76">
        <w:rPr>
          <w:color w:val="auto"/>
          <w:lang w:val="es-ES_tradnl"/>
        </w:rPr>
        <w:t>los Estados deben tomar medidas con respecto no solo al suministro de bienes y servicios médicos adecuados, sino también a los entornos físicos y psicosociales que condicionan el goce individual del derecho a la salud física y mental</w:t>
      </w:r>
      <w:r w:rsidR="00771D91" w:rsidRPr="00D43C76">
        <w:rPr>
          <w:rStyle w:val="FootnoteReference"/>
          <w:color w:val="auto"/>
          <w:lang w:val="es-ES_tradnl"/>
        </w:rPr>
        <w:footnoteReference w:id="83"/>
      </w:r>
      <w:r w:rsidR="00771D91" w:rsidRPr="00D43C76">
        <w:rPr>
          <w:color w:val="auto"/>
          <w:lang w:val="es-ES_tradnl"/>
        </w:rPr>
        <w:t>.</w:t>
      </w:r>
    </w:p>
    <w:p w14:paraId="44FF4DA6" w14:textId="77777777" w:rsidR="009D72D8" w:rsidRPr="00D43C76" w:rsidRDefault="009D72D8" w:rsidP="009D72D8">
      <w:pPr>
        <w:pStyle w:val="parrafos"/>
        <w:tabs>
          <w:tab w:val="left" w:pos="720"/>
        </w:tabs>
        <w:rPr>
          <w:rFonts w:ascii="Cambria" w:hAnsi="Cambria"/>
          <w:snapToGrid w:val="0"/>
          <w:color w:val="auto"/>
          <w:lang w:val="es-ES_tradnl"/>
        </w:rPr>
      </w:pPr>
    </w:p>
    <w:p w14:paraId="1152BEB0" w14:textId="77777777" w:rsidR="00771D91" w:rsidRPr="00D43C76" w:rsidRDefault="00725386" w:rsidP="00771D91">
      <w:pPr>
        <w:pStyle w:val="parrafos"/>
        <w:numPr>
          <w:ilvl w:val="0"/>
          <w:numId w:val="57"/>
        </w:numPr>
        <w:tabs>
          <w:tab w:val="clear" w:pos="1080"/>
          <w:tab w:val="left" w:pos="720"/>
        </w:tabs>
        <w:ind w:left="0" w:firstLine="0"/>
        <w:rPr>
          <w:rFonts w:ascii="Cambria" w:hAnsi="Cambria"/>
          <w:snapToGrid w:val="0"/>
          <w:color w:val="auto"/>
          <w:lang w:val="es-ES_tradnl"/>
        </w:rPr>
      </w:pPr>
      <w:r w:rsidRPr="00D43C76">
        <w:rPr>
          <w:color w:val="auto"/>
          <w:lang w:val="es-ES_tradnl"/>
        </w:rPr>
        <w:lastRenderedPageBreak/>
        <w:t xml:space="preserve">En este </w:t>
      </w:r>
      <w:r w:rsidR="00771D91" w:rsidRPr="00D43C76">
        <w:rPr>
          <w:color w:val="auto"/>
          <w:lang w:val="es-ES_tradnl"/>
        </w:rPr>
        <w:t>context</w:t>
      </w:r>
      <w:r w:rsidRPr="00D43C76">
        <w:rPr>
          <w:color w:val="auto"/>
          <w:lang w:val="es-ES_tradnl"/>
        </w:rPr>
        <w:t>o</w:t>
      </w:r>
      <w:r w:rsidR="00771D91" w:rsidRPr="00D43C76">
        <w:rPr>
          <w:color w:val="auto"/>
          <w:lang w:val="es-ES_tradnl"/>
        </w:rPr>
        <w:t xml:space="preserve">, </w:t>
      </w:r>
      <w:r w:rsidR="00A365FB" w:rsidRPr="00D43C76">
        <w:rPr>
          <w:color w:val="auto"/>
          <w:lang w:val="es-ES_tradnl"/>
        </w:rPr>
        <w:t>la Comisión</w:t>
      </w:r>
      <w:r w:rsidR="00771D91" w:rsidRPr="00D43C76">
        <w:rPr>
          <w:color w:val="auto"/>
          <w:lang w:val="es-ES_tradnl"/>
        </w:rPr>
        <w:t xml:space="preserve"> observ</w:t>
      </w:r>
      <w:r w:rsidRPr="00D43C76">
        <w:rPr>
          <w:color w:val="auto"/>
          <w:lang w:val="es-ES_tradnl"/>
        </w:rPr>
        <w:t xml:space="preserve">a que, en muchos casos, las amenazas para el goce del derecho a la salud de las </w:t>
      </w:r>
      <w:r w:rsidR="00EB0856" w:rsidRPr="00D43C76">
        <w:rPr>
          <w:color w:val="auto"/>
          <w:lang w:val="es-ES_tradnl"/>
        </w:rPr>
        <w:t>personas LGBTI</w:t>
      </w:r>
      <w:r w:rsidRPr="00D43C76">
        <w:rPr>
          <w:color w:val="auto"/>
          <w:lang w:val="es-ES_tradnl"/>
        </w:rPr>
        <w:t xml:space="preserve">, entre otras poblaciones vulnerables, y la violación de este derecho se deben también a la omisión de los Estados </w:t>
      </w:r>
      <w:r w:rsidR="00A93DBF" w:rsidRPr="00D43C76">
        <w:rPr>
          <w:color w:val="auto"/>
          <w:lang w:val="es-ES_tradnl"/>
        </w:rPr>
        <w:t xml:space="preserve">que no </w:t>
      </w:r>
      <w:r w:rsidRPr="00D43C76">
        <w:rPr>
          <w:color w:val="auto"/>
          <w:lang w:val="es-ES_tradnl"/>
        </w:rPr>
        <w:t>aborda</w:t>
      </w:r>
      <w:r w:rsidR="00A93DBF" w:rsidRPr="00D43C76">
        <w:rPr>
          <w:color w:val="auto"/>
          <w:lang w:val="es-ES_tradnl"/>
        </w:rPr>
        <w:t>n</w:t>
      </w:r>
      <w:r w:rsidRPr="00D43C76">
        <w:rPr>
          <w:color w:val="auto"/>
          <w:lang w:val="es-ES_tradnl"/>
        </w:rPr>
        <w:t xml:space="preserve"> precisamente los determinantes sociales del derecho a la salud, como la </w:t>
      </w:r>
      <w:r w:rsidR="00771D91" w:rsidRPr="00D43C76">
        <w:rPr>
          <w:color w:val="auto"/>
          <w:lang w:val="es-ES_tradnl"/>
        </w:rPr>
        <w:t>valid</w:t>
      </w:r>
      <w:r w:rsidRPr="00D43C76">
        <w:rPr>
          <w:color w:val="auto"/>
          <w:lang w:val="es-ES_tradnl"/>
        </w:rPr>
        <w:t xml:space="preserve">ez de un marco regulatorio que discrimine contra estas personas o grupos de la población. En este </w:t>
      </w:r>
      <w:r w:rsidR="00BD3821" w:rsidRPr="00D43C76">
        <w:rPr>
          <w:color w:val="auto"/>
          <w:lang w:val="es-ES_tradnl"/>
        </w:rPr>
        <w:t xml:space="preserve">contexto, </w:t>
      </w:r>
      <w:r w:rsidR="00A365FB" w:rsidRPr="00D43C76">
        <w:rPr>
          <w:color w:val="auto"/>
          <w:lang w:val="es-ES_tradnl"/>
        </w:rPr>
        <w:t>la CIDH</w:t>
      </w:r>
      <w:r w:rsidR="00771D91" w:rsidRPr="00D43C76">
        <w:rPr>
          <w:color w:val="auto"/>
          <w:lang w:val="es-ES_tradnl"/>
        </w:rPr>
        <w:t xml:space="preserve"> consider</w:t>
      </w:r>
      <w:r w:rsidR="00BD3821" w:rsidRPr="00D43C76">
        <w:rPr>
          <w:color w:val="auto"/>
          <w:lang w:val="es-ES_tradnl"/>
        </w:rPr>
        <w:t>a que las leyes, las prácticas o las políticas que penalizan las relaciones</w:t>
      </w:r>
      <w:r w:rsidR="00771D91" w:rsidRPr="00D43C76">
        <w:rPr>
          <w:color w:val="auto"/>
          <w:lang w:val="es-ES_tradnl"/>
        </w:rPr>
        <w:t xml:space="preserve"> sexual</w:t>
      </w:r>
      <w:r w:rsidR="00BD3821" w:rsidRPr="00D43C76">
        <w:rPr>
          <w:color w:val="auto"/>
          <w:lang w:val="es-ES_tradnl"/>
        </w:rPr>
        <w:t>es entre dos personas del mismo sexo no solo impiden que los Estados formulen y apliquen políticas de salud orientadas específicamente a estos grupos, sino que también afectan de manera directa, seria y discriminatoria el goce del derecho a la salud</w:t>
      </w:r>
      <w:r w:rsidR="00771D91" w:rsidRPr="00D43C76">
        <w:rPr>
          <w:color w:val="auto"/>
          <w:lang w:val="es-ES_tradnl"/>
        </w:rPr>
        <w:t>.</w:t>
      </w:r>
    </w:p>
    <w:p w14:paraId="2E6A1033" w14:textId="77777777" w:rsidR="003F130A" w:rsidRPr="00D43C76" w:rsidRDefault="003F130A" w:rsidP="00771D91">
      <w:pPr>
        <w:rPr>
          <w:lang w:val="es-ES_tradnl"/>
        </w:rPr>
      </w:pPr>
    </w:p>
    <w:p w14:paraId="35FC3916" w14:textId="77777777" w:rsidR="00A73129" w:rsidRPr="00D43C76" w:rsidRDefault="006A0DC3" w:rsidP="00EA520B">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Con respecto al contenido del derecho a la salud, en consonancia con el cuerpo del derecho internacional, el </w:t>
      </w:r>
      <w:r w:rsidRPr="00D43C76">
        <w:rPr>
          <w:rFonts w:ascii="Cambria" w:hAnsi="Cambria"/>
          <w:snapToGrid w:val="0"/>
          <w:lang w:val="es-ES_tradnl"/>
        </w:rPr>
        <w:t>Comité de Derechos Económicos, Sociales y Culturales</w:t>
      </w:r>
      <w:r w:rsidR="00FC6BB7" w:rsidRPr="00D43C76">
        <w:rPr>
          <w:rFonts w:ascii="Cambria" w:hAnsi="Cambria"/>
          <w:lang w:val="es-ES_tradnl"/>
        </w:rPr>
        <w:t xml:space="preserve"> ha</w:t>
      </w:r>
      <w:r w:rsidRPr="00D43C76">
        <w:rPr>
          <w:rFonts w:ascii="Cambria" w:hAnsi="Cambria"/>
          <w:lang w:val="es-ES_tradnl"/>
        </w:rPr>
        <w:t xml:space="preserve"> observado que todos los servicios, bienes y establecimientos de salud deben cumplir los requisitos de disponibilidad, accesibilidad, aceptabilidad y calidad</w:t>
      </w:r>
      <w:r w:rsidR="00FC6BB7" w:rsidRPr="00D43C76">
        <w:rPr>
          <w:rStyle w:val="FootnoteReference"/>
          <w:rFonts w:ascii="Cambria" w:hAnsi="Cambria"/>
          <w:lang w:val="es-ES_tradnl"/>
        </w:rPr>
        <w:footnoteReference w:id="84"/>
      </w:r>
      <w:r w:rsidRPr="00D43C76">
        <w:rPr>
          <w:rFonts w:ascii="Cambria" w:hAnsi="Cambria"/>
          <w:lang w:val="es-ES_tradnl"/>
        </w:rPr>
        <w:t xml:space="preserve">. Tanto </w:t>
      </w:r>
      <w:r w:rsidR="00A365FB" w:rsidRPr="00D43C76">
        <w:rPr>
          <w:rFonts w:ascii="Cambria" w:hAnsi="Cambria"/>
          <w:lang w:val="es-ES_tradnl"/>
        </w:rPr>
        <w:t>la Comisión</w:t>
      </w:r>
      <w:r w:rsidR="00FC6BB7" w:rsidRPr="00D43C76">
        <w:rPr>
          <w:rFonts w:ascii="Cambria" w:hAnsi="Cambria"/>
          <w:lang w:val="es-ES_tradnl"/>
        </w:rPr>
        <w:t xml:space="preserve"> </w:t>
      </w:r>
      <w:r w:rsidRPr="00D43C76">
        <w:rPr>
          <w:rFonts w:ascii="Cambria" w:hAnsi="Cambria"/>
          <w:lang w:val="es-ES_tradnl"/>
        </w:rPr>
        <w:t>como la Corte han tomado en cuenta estos conceptos y los han incorporado en el análisis de numerosos casos</w:t>
      </w:r>
      <w:r w:rsidR="00FC6BB7" w:rsidRPr="00D43C76">
        <w:rPr>
          <w:rStyle w:val="FootnoteReference"/>
          <w:rFonts w:ascii="Cambria" w:hAnsi="Cambria"/>
          <w:lang w:val="es-ES_tradnl"/>
        </w:rPr>
        <w:footnoteReference w:id="85"/>
      </w:r>
      <w:r w:rsidRPr="00D43C76">
        <w:rPr>
          <w:rFonts w:ascii="Cambria" w:hAnsi="Cambria"/>
          <w:lang w:val="es-ES_tradnl"/>
        </w:rPr>
        <w:t>.</w:t>
      </w:r>
    </w:p>
    <w:p w14:paraId="2826E28D" w14:textId="77777777" w:rsidR="00A73129" w:rsidRPr="00D43C76" w:rsidRDefault="00A73129" w:rsidP="00A73129">
      <w:pPr>
        <w:pStyle w:val="ListParagraph"/>
        <w:rPr>
          <w:lang w:val="es-ES_tradnl"/>
        </w:rPr>
      </w:pPr>
    </w:p>
    <w:p w14:paraId="76CE01BA" w14:textId="77777777" w:rsidR="00EA520B" w:rsidRPr="00D43C76" w:rsidRDefault="002E0A45" w:rsidP="00A73129">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Específicamente, el</w:t>
      </w:r>
      <w:r w:rsidR="008F3EC3" w:rsidRPr="00D43C76">
        <w:rPr>
          <w:rFonts w:ascii="Cambria" w:hAnsi="Cambria"/>
          <w:lang w:val="es-ES_tradnl"/>
        </w:rPr>
        <w:t xml:space="preserve"> element</w:t>
      </w:r>
      <w:r w:rsidRPr="00D43C76">
        <w:rPr>
          <w:rFonts w:ascii="Cambria" w:hAnsi="Cambria"/>
          <w:lang w:val="es-ES_tradnl"/>
        </w:rPr>
        <w:t xml:space="preserve">o de </w:t>
      </w:r>
      <w:r w:rsidR="008F3EC3" w:rsidRPr="00D43C76">
        <w:rPr>
          <w:rFonts w:ascii="Cambria" w:hAnsi="Cambria"/>
          <w:lang w:val="es-ES_tradnl"/>
        </w:rPr>
        <w:t>accesibili</w:t>
      </w:r>
      <w:r w:rsidRPr="00D43C76">
        <w:rPr>
          <w:rFonts w:ascii="Cambria" w:hAnsi="Cambria"/>
          <w:lang w:val="es-ES_tradnl"/>
        </w:rPr>
        <w:t xml:space="preserve">dad implica, entre otras cosas, que los establecimientos, bienes y servicios de salud deben ser accesibles para todos, especialmente los sectores más </w:t>
      </w:r>
      <w:r w:rsidR="008F3EC3" w:rsidRPr="00D43C76">
        <w:rPr>
          <w:rFonts w:ascii="Cambria" w:hAnsi="Cambria"/>
          <w:lang w:val="es-ES_tradnl"/>
        </w:rPr>
        <w:t>vulnerable</w:t>
      </w:r>
      <w:r w:rsidRPr="00D43C76">
        <w:rPr>
          <w:rFonts w:ascii="Cambria" w:hAnsi="Cambria"/>
          <w:lang w:val="es-ES_tradnl"/>
        </w:rPr>
        <w:t>s</w:t>
      </w:r>
      <w:r w:rsidR="008F3EC3" w:rsidRPr="00D43C76">
        <w:rPr>
          <w:rFonts w:ascii="Cambria" w:hAnsi="Cambria"/>
          <w:lang w:val="es-ES_tradnl"/>
        </w:rPr>
        <w:t xml:space="preserve"> o margina</w:t>
      </w:r>
      <w:r w:rsidRPr="00D43C76">
        <w:rPr>
          <w:rFonts w:ascii="Cambria" w:hAnsi="Cambria"/>
          <w:lang w:val="es-ES_tradnl"/>
        </w:rPr>
        <w:t xml:space="preserve">dos de la población, de hecho y de derecho, sin </w:t>
      </w:r>
      <w:r w:rsidR="00851B40" w:rsidRPr="00D43C76">
        <w:rPr>
          <w:rFonts w:ascii="Cambria" w:hAnsi="Cambria"/>
          <w:lang w:val="es-ES_tradnl"/>
        </w:rPr>
        <w:t>discriminación</w:t>
      </w:r>
      <w:r w:rsidR="008F3EC3" w:rsidRPr="00D43C76">
        <w:rPr>
          <w:rFonts w:ascii="Cambria" w:hAnsi="Cambria"/>
          <w:lang w:val="es-ES_tradnl"/>
        </w:rPr>
        <w:t xml:space="preserve"> </w:t>
      </w:r>
      <w:r w:rsidRPr="00D43C76">
        <w:rPr>
          <w:rFonts w:ascii="Cambria" w:hAnsi="Cambria"/>
          <w:lang w:val="es-ES_tradnl"/>
        </w:rPr>
        <w:t>alguna por cualquiera de los motivos prohibidos</w:t>
      </w:r>
      <w:r w:rsidR="00EA5522" w:rsidRPr="00D43C76">
        <w:rPr>
          <w:rStyle w:val="FootnoteReference"/>
          <w:rFonts w:ascii="Cambria" w:hAnsi="Cambria"/>
          <w:lang w:val="es-ES_tradnl"/>
        </w:rPr>
        <w:footnoteReference w:id="86"/>
      </w:r>
      <w:r w:rsidR="001E2CB7" w:rsidRPr="00D43C76">
        <w:rPr>
          <w:rFonts w:ascii="Cambria" w:hAnsi="Cambria"/>
          <w:lang w:val="es-ES_tradnl"/>
        </w:rPr>
        <w:t>.</w:t>
      </w:r>
      <w:r w:rsidR="00A73129" w:rsidRPr="00D43C76">
        <w:rPr>
          <w:rFonts w:ascii="Cambria" w:hAnsi="Cambria"/>
          <w:color w:val="auto"/>
          <w:lang w:val="es-ES_tradnl"/>
        </w:rPr>
        <w:t xml:space="preserve"> </w:t>
      </w:r>
      <w:r w:rsidR="00A365FB" w:rsidRPr="00D43C76">
        <w:rPr>
          <w:rFonts w:ascii="Cambria" w:hAnsi="Cambria"/>
          <w:color w:val="auto"/>
          <w:lang w:val="es-ES_tradnl"/>
        </w:rPr>
        <w:t>La Comisión</w:t>
      </w:r>
      <w:r w:rsidR="00EA520B" w:rsidRPr="00D43C76">
        <w:rPr>
          <w:rFonts w:ascii="Cambria" w:hAnsi="Cambria"/>
          <w:color w:val="auto"/>
          <w:lang w:val="es-ES_tradnl"/>
        </w:rPr>
        <w:t xml:space="preserve"> consider</w:t>
      </w:r>
      <w:r w:rsidR="001E2CB7" w:rsidRPr="00D43C76">
        <w:rPr>
          <w:rFonts w:ascii="Cambria" w:hAnsi="Cambria"/>
          <w:color w:val="auto"/>
          <w:lang w:val="es-ES_tradnl"/>
        </w:rPr>
        <w:t xml:space="preserve">a procedente recordar que la norma de </w:t>
      </w:r>
      <w:r w:rsidR="00EA520B" w:rsidRPr="00D43C76">
        <w:rPr>
          <w:rFonts w:ascii="Cambria" w:hAnsi="Cambria"/>
          <w:color w:val="auto"/>
          <w:lang w:val="es-ES_tradnl"/>
        </w:rPr>
        <w:t>accesibili</w:t>
      </w:r>
      <w:r w:rsidR="001E2CB7" w:rsidRPr="00D43C76">
        <w:rPr>
          <w:rFonts w:ascii="Cambria" w:hAnsi="Cambria"/>
          <w:color w:val="auto"/>
          <w:lang w:val="es-ES_tradnl"/>
        </w:rPr>
        <w:t>dad invocada por la Corte implica que los Estados deben asegurar el trato igualitario de todas las personas que tienen acceso a los servicios de salud. En otras pala</w:t>
      </w:r>
      <w:r w:rsidR="00A93DBF" w:rsidRPr="00D43C76">
        <w:rPr>
          <w:rFonts w:ascii="Cambria" w:hAnsi="Cambria"/>
          <w:color w:val="auto"/>
          <w:lang w:val="es-ES_tradnl"/>
        </w:rPr>
        <w:t>b</w:t>
      </w:r>
      <w:r w:rsidR="001E2CB7" w:rsidRPr="00D43C76">
        <w:rPr>
          <w:rFonts w:ascii="Cambria" w:hAnsi="Cambria"/>
          <w:color w:val="auto"/>
          <w:lang w:val="es-ES_tradnl"/>
        </w:rPr>
        <w:t xml:space="preserve">ras, de acuerdo con el artículo </w:t>
      </w:r>
      <w:r w:rsidR="00EA520B" w:rsidRPr="00D43C76">
        <w:rPr>
          <w:rFonts w:ascii="Cambria" w:hAnsi="Cambria"/>
          <w:color w:val="auto"/>
          <w:lang w:val="es-ES_tradnl"/>
        </w:rPr>
        <w:t xml:space="preserve">1.1 </w:t>
      </w:r>
      <w:r w:rsidR="001E2CB7" w:rsidRPr="00D43C76">
        <w:rPr>
          <w:rFonts w:ascii="Cambria" w:hAnsi="Cambria"/>
          <w:color w:val="auto"/>
          <w:lang w:val="es-ES_tradnl"/>
        </w:rPr>
        <w:t xml:space="preserve">de </w:t>
      </w:r>
      <w:r w:rsidR="00845E02" w:rsidRPr="00D43C76">
        <w:rPr>
          <w:rFonts w:ascii="Cambria" w:hAnsi="Cambria"/>
          <w:color w:val="auto"/>
          <w:lang w:val="es-ES_tradnl"/>
        </w:rPr>
        <w:t>la Convención</w:t>
      </w:r>
      <w:r w:rsidR="001E2CB7" w:rsidRPr="00D43C76">
        <w:rPr>
          <w:rFonts w:ascii="Cambria" w:hAnsi="Cambria"/>
          <w:color w:val="auto"/>
          <w:lang w:val="es-ES_tradnl"/>
        </w:rPr>
        <w:t xml:space="preserve">, los Estados deben asegurar que todas las personas sujetas a su jurisdicción tengan acceso a servicios de salud “sin discriminación alguna por motivos de raza, color, sexo, idioma, religión, opiniones políticas o de cualquier otra índole, origen nacional o social, posición económica, nacimiento o cualquier otra condición </w:t>
      </w:r>
      <w:r w:rsidR="00EA520B" w:rsidRPr="00D43C76">
        <w:rPr>
          <w:rFonts w:ascii="Cambria" w:hAnsi="Cambria"/>
          <w:color w:val="auto"/>
          <w:lang w:val="es-ES_tradnl"/>
        </w:rPr>
        <w:t>social”</w:t>
      </w:r>
      <w:r w:rsidR="00EA520B" w:rsidRPr="00D43C76">
        <w:rPr>
          <w:rStyle w:val="FootnoteReference"/>
          <w:rFonts w:ascii="Cambria" w:hAnsi="Cambria"/>
          <w:color w:val="auto"/>
          <w:lang w:val="es-ES_tradnl"/>
        </w:rPr>
        <w:footnoteReference w:id="87"/>
      </w:r>
      <w:r w:rsidR="001E2CB7" w:rsidRPr="00D43C76">
        <w:rPr>
          <w:rFonts w:ascii="Cambria" w:hAnsi="Cambria"/>
          <w:color w:val="auto"/>
          <w:lang w:val="es-ES_tradnl"/>
        </w:rPr>
        <w:t xml:space="preserve">. La Corte ha señalado que la frase </w:t>
      </w:r>
      <w:r w:rsidR="00EA520B" w:rsidRPr="00D43C76">
        <w:rPr>
          <w:rFonts w:ascii="Cambria" w:hAnsi="Cambria"/>
          <w:lang w:val="es-ES_tradnl"/>
        </w:rPr>
        <w:t>“</w:t>
      </w:r>
      <w:r w:rsidR="001E2CB7" w:rsidRPr="00D43C76">
        <w:rPr>
          <w:rFonts w:ascii="Cambria" w:hAnsi="Cambria"/>
          <w:lang w:val="es-ES_tradnl"/>
        </w:rPr>
        <w:t>cualquier otra condición social</w:t>
      </w:r>
      <w:r w:rsidR="00EA520B" w:rsidRPr="00D43C76">
        <w:rPr>
          <w:rFonts w:ascii="Cambria" w:hAnsi="Cambria"/>
          <w:color w:val="auto"/>
          <w:lang w:val="es-ES_tradnl"/>
        </w:rPr>
        <w:t>”</w:t>
      </w:r>
      <w:r w:rsidR="004A5E82" w:rsidRPr="00D43C76">
        <w:rPr>
          <w:rFonts w:ascii="Cambria" w:hAnsi="Cambria"/>
          <w:lang w:val="es-ES_tradnl"/>
        </w:rPr>
        <w:t xml:space="preserve"> </w:t>
      </w:r>
      <w:r w:rsidR="001E2CB7" w:rsidRPr="00D43C76">
        <w:rPr>
          <w:rFonts w:ascii="Cambria" w:hAnsi="Cambria"/>
          <w:lang w:val="es-ES_tradnl"/>
        </w:rPr>
        <w:t>abarca la</w:t>
      </w:r>
      <w:r w:rsidR="00EA520B" w:rsidRPr="00D43C76">
        <w:rPr>
          <w:rFonts w:ascii="Cambria" w:hAnsi="Cambria"/>
          <w:color w:val="auto"/>
          <w:lang w:val="es-ES_tradnl"/>
        </w:rPr>
        <w:t xml:space="preserve"> </w:t>
      </w:r>
      <w:r w:rsidR="00851B40" w:rsidRPr="00D43C76">
        <w:rPr>
          <w:rFonts w:ascii="Cambria" w:hAnsi="Cambria"/>
          <w:color w:val="auto"/>
          <w:lang w:val="es-ES_tradnl"/>
        </w:rPr>
        <w:t>orientación sexual</w:t>
      </w:r>
      <w:r w:rsidR="001E2CB7" w:rsidRPr="00D43C76">
        <w:rPr>
          <w:rFonts w:ascii="Cambria" w:hAnsi="Cambria"/>
          <w:color w:val="auto"/>
          <w:lang w:val="es-ES_tradnl"/>
        </w:rPr>
        <w:t xml:space="preserve">, la cual, a su vez, no se limita al hecho de ser </w:t>
      </w:r>
      <w:r w:rsidR="00EA520B" w:rsidRPr="00D43C76">
        <w:rPr>
          <w:rFonts w:ascii="Cambria" w:hAnsi="Cambria"/>
          <w:color w:val="auto"/>
          <w:lang w:val="es-ES_tradnl"/>
        </w:rPr>
        <w:t>homosexual</w:t>
      </w:r>
      <w:r w:rsidR="001E2CB7" w:rsidRPr="00D43C76">
        <w:rPr>
          <w:rFonts w:ascii="Cambria" w:hAnsi="Cambria"/>
          <w:color w:val="auto"/>
          <w:lang w:val="es-ES_tradnl"/>
        </w:rPr>
        <w:t>, sino que incluye su expresión y sus consecuencias en la vida de la persona</w:t>
      </w:r>
      <w:r w:rsidR="00EA520B" w:rsidRPr="00D43C76">
        <w:rPr>
          <w:rStyle w:val="FootnoteReference"/>
          <w:rFonts w:ascii="Cambria" w:hAnsi="Cambria"/>
          <w:color w:val="auto"/>
          <w:lang w:val="es-ES_tradnl"/>
        </w:rPr>
        <w:footnoteReference w:id="88"/>
      </w:r>
      <w:r w:rsidR="001E2CB7" w:rsidRPr="00D43C76">
        <w:rPr>
          <w:rFonts w:ascii="Cambria" w:hAnsi="Cambria"/>
          <w:color w:val="auto"/>
          <w:lang w:val="es-ES_tradnl"/>
        </w:rPr>
        <w:t>.</w:t>
      </w:r>
    </w:p>
    <w:p w14:paraId="582539D9" w14:textId="77777777" w:rsidR="004A5E82" w:rsidRPr="00D43C76" w:rsidRDefault="004A5E82" w:rsidP="00004472">
      <w:pPr>
        <w:pStyle w:val="parrafos"/>
        <w:tabs>
          <w:tab w:val="left" w:pos="720"/>
        </w:tabs>
        <w:rPr>
          <w:rFonts w:ascii="Cambria" w:hAnsi="Cambria"/>
          <w:lang w:val="es-ES_tradnl"/>
        </w:rPr>
      </w:pPr>
    </w:p>
    <w:p w14:paraId="27292EA6" w14:textId="77777777" w:rsidR="00A73129" w:rsidRPr="00D43C76" w:rsidRDefault="00A365FB" w:rsidP="00A73129">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La Comisión</w:t>
      </w:r>
      <w:r w:rsidR="00DC07CC" w:rsidRPr="00D43C76">
        <w:rPr>
          <w:rFonts w:ascii="Cambria" w:hAnsi="Cambria"/>
          <w:lang w:val="es-ES_tradnl"/>
        </w:rPr>
        <w:t xml:space="preserve"> </w:t>
      </w:r>
      <w:r w:rsidR="001E2CB7" w:rsidRPr="00D43C76">
        <w:rPr>
          <w:rFonts w:ascii="Cambria" w:hAnsi="Cambria"/>
          <w:lang w:val="es-ES_tradnl"/>
        </w:rPr>
        <w:t xml:space="preserve">observa que tanto ella como la Corte </w:t>
      </w:r>
      <w:r w:rsidR="00A1028C" w:rsidRPr="00D43C76">
        <w:rPr>
          <w:rFonts w:ascii="Cambria" w:hAnsi="Cambria"/>
          <w:lang w:val="es-ES_tradnl"/>
        </w:rPr>
        <w:t>Inter</w:t>
      </w:r>
      <w:r w:rsidR="001E2CB7" w:rsidRPr="00D43C76">
        <w:rPr>
          <w:rFonts w:ascii="Cambria" w:hAnsi="Cambria"/>
          <w:lang w:val="es-ES_tradnl"/>
        </w:rPr>
        <w:t>a</w:t>
      </w:r>
      <w:r w:rsidR="00A1028C" w:rsidRPr="00D43C76">
        <w:rPr>
          <w:rFonts w:ascii="Cambria" w:hAnsi="Cambria"/>
          <w:lang w:val="es-ES_tradnl"/>
        </w:rPr>
        <w:t>merican</w:t>
      </w:r>
      <w:r w:rsidR="001E2CB7" w:rsidRPr="00D43C76">
        <w:rPr>
          <w:rFonts w:ascii="Cambria" w:hAnsi="Cambria"/>
          <w:lang w:val="es-ES_tradnl"/>
        </w:rPr>
        <w:t xml:space="preserve">a, así como varios órganos nacionales e internacionales, han considerado que las leyes de sodomía crean obstáculos para el acceso al derecho a la salud sin </w:t>
      </w:r>
      <w:r w:rsidR="00851B40" w:rsidRPr="00D43C76">
        <w:rPr>
          <w:rFonts w:ascii="Cambria" w:hAnsi="Cambria"/>
          <w:lang w:val="es-ES_tradnl"/>
        </w:rPr>
        <w:t>discriminación</w:t>
      </w:r>
      <w:r w:rsidR="00E853E8" w:rsidRPr="00D43C76">
        <w:rPr>
          <w:rFonts w:ascii="Cambria" w:hAnsi="Cambria"/>
          <w:lang w:val="es-ES_tradnl"/>
        </w:rPr>
        <w:t>.</w:t>
      </w:r>
      <w:r w:rsidR="00A73129" w:rsidRPr="00D43C76">
        <w:rPr>
          <w:rFonts w:ascii="Cambria" w:hAnsi="Cambria"/>
          <w:lang w:val="es-ES_tradnl"/>
        </w:rPr>
        <w:t xml:space="preserve"> </w:t>
      </w:r>
      <w:r w:rsidR="001E2CB7" w:rsidRPr="00D43C76">
        <w:rPr>
          <w:rFonts w:ascii="Cambria" w:hAnsi="Cambria"/>
          <w:lang w:val="es-ES_tradnl"/>
        </w:rPr>
        <w:t xml:space="preserve">En su informe de </w:t>
      </w:r>
      <w:r w:rsidR="00A73129" w:rsidRPr="00D43C76">
        <w:rPr>
          <w:rFonts w:ascii="Cambria" w:hAnsi="Cambria"/>
          <w:lang w:val="es-ES_tradnl"/>
        </w:rPr>
        <w:t xml:space="preserve">2012 </w:t>
      </w:r>
      <w:r w:rsidR="00FA1634" w:rsidRPr="00D43C76">
        <w:rPr>
          <w:rFonts w:ascii="Cambria" w:hAnsi="Cambria"/>
          <w:lang w:val="es-ES_tradnl"/>
        </w:rPr>
        <w:t xml:space="preserve">sobre la situación de los derechos humanos en </w:t>
      </w:r>
      <w:r w:rsidR="00A73129" w:rsidRPr="00D43C76">
        <w:rPr>
          <w:rFonts w:ascii="Cambria" w:hAnsi="Cambria"/>
          <w:lang w:val="es-ES_tradnl"/>
        </w:rPr>
        <w:t xml:space="preserve">Jamaica, </w:t>
      </w:r>
      <w:r w:rsidRPr="00D43C76">
        <w:rPr>
          <w:rFonts w:ascii="Cambria" w:hAnsi="Cambria"/>
          <w:lang w:val="es-ES_tradnl"/>
        </w:rPr>
        <w:t>la CIDH</w:t>
      </w:r>
      <w:r w:rsidR="00A73129" w:rsidRPr="00D43C76">
        <w:rPr>
          <w:rFonts w:ascii="Cambria" w:hAnsi="Cambria"/>
          <w:lang w:val="es-ES_tradnl"/>
        </w:rPr>
        <w:t xml:space="preserve"> expres</w:t>
      </w:r>
      <w:r w:rsidR="00FA1634" w:rsidRPr="00D43C76">
        <w:rPr>
          <w:rFonts w:ascii="Cambria" w:hAnsi="Cambria"/>
          <w:lang w:val="es-ES_tradnl"/>
        </w:rPr>
        <w:t>ó preocupación porque:</w:t>
      </w:r>
    </w:p>
    <w:p w14:paraId="71EF5099" w14:textId="77777777" w:rsidR="00A73129" w:rsidRPr="00D43C76" w:rsidRDefault="00A73129" w:rsidP="00A73129">
      <w:pPr>
        <w:pStyle w:val="ListParagraph"/>
        <w:rPr>
          <w:lang w:val="es-ES_tradnl"/>
        </w:rPr>
      </w:pPr>
    </w:p>
    <w:p w14:paraId="04F3E390" w14:textId="77777777" w:rsidR="00A73129" w:rsidRPr="00D43C76" w:rsidRDefault="00FA1634" w:rsidP="00A73129">
      <w:pPr>
        <w:pStyle w:val="parrafos"/>
        <w:tabs>
          <w:tab w:val="clear" w:pos="360"/>
          <w:tab w:val="left" w:pos="720"/>
        </w:tabs>
        <w:ind w:left="720" w:right="360"/>
        <w:rPr>
          <w:sz w:val="18"/>
          <w:szCs w:val="18"/>
          <w:lang w:val="es-ES_tradnl"/>
        </w:rPr>
      </w:pPr>
      <w:r w:rsidRPr="00D43C76">
        <w:rPr>
          <w:sz w:val="18"/>
          <w:szCs w:val="18"/>
          <w:lang w:val="es-ES_tradnl"/>
        </w:rPr>
        <w:t>las leyes que tipifican como delito la conducta homosexual o entre hombres —que tienen como consecuencia la obstrucción del acceso a servicios médicos— tienen un efecto directo en las tasas de infección y podrían ser un factor que contribuye sustancialmente a la epidemia de VIH en Jamaica.</w:t>
      </w:r>
      <w:r w:rsidR="0034591F" w:rsidRPr="00D43C76">
        <w:rPr>
          <w:sz w:val="18"/>
          <w:szCs w:val="18"/>
          <w:lang w:val="es-ES_tradnl"/>
        </w:rPr>
        <w:t xml:space="preserve"> </w:t>
      </w:r>
      <w:r w:rsidRPr="00D43C76">
        <w:rPr>
          <w:sz w:val="18"/>
          <w:szCs w:val="18"/>
          <w:lang w:val="es-ES_tradnl"/>
        </w:rPr>
        <w:t>En las Bahamas, el 10% de los hombres homosexuales están infectados con VIH/SIDA, un porcentaje similar a otros países del Caribe anglófono en los que los actos homosexuales</w:t>
      </w:r>
      <w:r w:rsidR="00A73129" w:rsidRPr="00D43C76">
        <w:rPr>
          <w:sz w:val="18"/>
          <w:szCs w:val="18"/>
          <w:lang w:val="es-ES_tradnl"/>
        </w:rPr>
        <w:t xml:space="preserve"> </w:t>
      </w:r>
      <w:r w:rsidRPr="00D43C76">
        <w:rPr>
          <w:sz w:val="18"/>
          <w:szCs w:val="18"/>
          <w:lang w:val="es-ES_tradnl"/>
        </w:rPr>
        <w:t>no están penados; por otro lado, los países del Caribe anglófono en los que estas conductas sí están tipificadas como delitos tienen tasas de 20‐30% o mayores de infección entre la población homosexual masculina. En Jamaica misma se reportan aproximadamente 27,000 personas infectadas con VIH, el 73% de ellas entre 20 y 49 años de edad.</w:t>
      </w:r>
      <w:r w:rsidR="0034591F" w:rsidRPr="00D43C76">
        <w:rPr>
          <w:sz w:val="18"/>
          <w:szCs w:val="18"/>
          <w:lang w:val="es-ES_tradnl"/>
        </w:rPr>
        <w:t xml:space="preserve"> </w:t>
      </w:r>
      <w:r w:rsidRPr="00D43C76">
        <w:rPr>
          <w:sz w:val="18"/>
          <w:szCs w:val="18"/>
          <w:lang w:val="es-ES_tradnl"/>
        </w:rPr>
        <w:t>Mientras que la tasa de infectados entre la población general se estima en 1,6%, se cree que el 31.1% de los hombres homosexuales están infectados con VIH/SIDA</w:t>
      </w:r>
      <w:r w:rsidR="00A73129" w:rsidRPr="00D43C76">
        <w:rPr>
          <w:sz w:val="18"/>
          <w:szCs w:val="18"/>
          <w:vertAlign w:val="superscript"/>
          <w:lang w:val="es-ES_tradnl"/>
        </w:rPr>
        <w:footnoteReference w:id="89"/>
      </w:r>
      <w:r w:rsidRPr="00D43C76">
        <w:rPr>
          <w:sz w:val="18"/>
          <w:szCs w:val="18"/>
          <w:lang w:val="es-ES_tradnl"/>
        </w:rPr>
        <w:t>.</w:t>
      </w:r>
    </w:p>
    <w:p w14:paraId="1B6DC708" w14:textId="77777777" w:rsidR="00A73129" w:rsidRPr="00D43C76" w:rsidRDefault="00A73129" w:rsidP="00A73129">
      <w:pPr>
        <w:pStyle w:val="parrafos"/>
        <w:tabs>
          <w:tab w:val="clear" w:pos="360"/>
          <w:tab w:val="left" w:pos="720"/>
        </w:tabs>
        <w:ind w:right="360"/>
        <w:rPr>
          <w:sz w:val="18"/>
          <w:szCs w:val="18"/>
          <w:lang w:val="es-ES_tradnl"/>
        </w:rPr>
      </w:pPr>
    </w:p>
    <w:p w14:paraId="5D794ED4" w14:textId="77777777" w:rsidR="00C17C1C" w:rsidRPr="00D43C76" w:rsidRDefault="00FA1634" w:rsidP="00A73129">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La Corte </w:t>
      </w:r>
      <w:r w:rsidR="00C17C1C" w:rsidRPr="00D43C76">
        <w:rPr>
          <w:rFonts w:ascii="Cambria" w:hAnsi="Cambria"/>
          <w:lang w:val="es-ES_tradnl"/>
        </w:rPr>
        <w:t>Inter</w:t>
      </w:r>
      <w:r w:rsidRPr="00D43C76">
        <w:rPr>
          <w:rFonts w:ascii="Cambria" w:hAnsi="Cambria"/>
          <w:lang w:val="es-ES_tradnl"/>
        </w:rPr>
        <w:t>a</w:t>
      </w:r>
      <w:r w:rsidR="00C17C1C" w:rsidRPr="00D43C76">
        <w:rPr>
          <w:rFonts w:ascii="Cambria" w:hAnsi="Cambria"/>
          <w:lang w:val="es-ES_tradnl"/>
        </w:rPr>
        <w:t>merican</w:t>
      </w:r>
      <w:r w:rsidRPr="00D43C76">
        <w:rPr>
          <w:rFonts w:ascii="Cambria" w:hAnsi="Cambria"/>
          <w:lang w:val="es-ES_tradnl"/>
        </w:rPr>
        <w:t xml:space="preserve">a, en su opinión consultiva sobre la </w:t>
      </w:r>
      <w:r w:rsidR="00851B40" w:rsidRPr="00D43C76">
        <w:rPr>
          <w:rFonts w:ascii="Cambria" w:hAnsi="Cambria"/>
          <w:lang w:val="es-ES_tradnl"/>
        </w:rPr>
        <w:t>identidad de género</w:t>
      </w:r>
      <w:r w:rsidR="00C17C1C" w:rsidRPr="00D43C76">
        <w:rPr>
          <w:rFonts w:ascii="Cambria" w:hAnsi="Cambria"/>
          <w:lang w:val="es-ES_tradnl"/>
        </w:rPr>
        <w:t xml:space="preserve"> </w:t>
      </w:r>
      <w:r w:rsidRPr="00D43C76">
        <w:rPr>
          <w:rFonts w:ascii="Cambria" w:hAnsi="Cambria"/>
          <w:lang w:val="es-ES_tradnl"/>
        </w:rPr>
        <w:t xml:space="preserve">y la no </w:t>
      </w:r>
      <w:r w:rsidR="00851B40" w:rsidRPr="00D43C76">
        <w:rPr>
          <w:rFonts w:ascii="Cambria" w:hAnsi="Cambria"/>
          <w:lang w:val="es-ES_tradnl"/>
        </w:rPr>
        <w:t>discriminación</w:t>
      </w:r>
      <w:r w:rsidR="00C17C1C" w:rsidRPr="00D43C76">
        <w:rPr>
          <w:rFonts w:ascii="Cambria" w:hAnsi="Cambria"/>
          <w:lang w:val="es-ES_tradnl"/>
        </w:rPr>
        <w:t xml:space="preserve"> </w:t>
      </w:r>
      <w:r w:rsidRPr="00D43C76">
        <w:rPr>
          <w:rFonts w:ascii="Cambria" w:hAnsi="Cambria"/>
          <w:lang w:val="es-ES_tradnl"/>
        </w:rPr>
        <w:t>de parejas del mismo sexo, consideró que las leyes de sodomía:</w:t>
      </w:r>
      <w:r w:rsidR="00C17C1C" w:rsidRPr="00D43C76">
        <w:rPr>
          <w:rFonts w:ascii="Cambria" w:hAnsi="Cambria"/>
          <w:lang w:val="es-ES_tradnl"/>
        </w:rPr>
        <w:t xml:space="preserve"> </w:t>
      </w:r>
    </w:p>
    <w:p w14:paraId="11D1FB74" w14:textId="77777777" w:rsidR="00C17C1C" w:rsidRPr="00D43C76" w:rsidRDefault="00C17C1C" w:rsidP="00C17C1C">
      <w:pPr>
        <w:pStyle w:val="ListParagraph"/>
        <w:rPr>
          <w:lang w:val="es-ES_tradnl"/>
        </w:rPr>
      </w:pPr>
    </w:p>
    <w:p w14:paraId="3FA83BDA" w14:textId="77777777" w:rsidR="00A1028C" w:rsidRPr="00D43C76" w:rsidRDefault="00FA1634" w:rsidP="008F34B2">
      <w:pPr>
        <w:pStyle w:val="parrafos"/>
        <w:tabs>
          <w:tab w:val="left" w:pos="720"/>
        </w:tabs>
        <w:ind w:left="720" w:right="360"/>
        <w:rPr>
          <w:sz w:val="18"/>
          <w:szCs w:val="18"/>
          <w:lang w:val="es-ES_tradnl"/>
        </w:rPr>
      </w:pPr>
      <w:r w:rsidRPr="00D43C76">
        <w:rPr>
          <w:sz w:val="18"/>
          <w:szCs w:val="18"/>
          <w:lang w:val="es-ES_tradnl"/>
        </w:rPr>
        <w:lastRenderedPageBreak/>
        <w:t>repercuten negativamente en la calidad de los servicios de salud, disuaden a las personas de recurrir a esos servicios, y pueden llevar a que se deniegue la atención o a que no existan servicios que respondan a las necesidades sanitarias específicas de las personas LGBTI e intersexuales. Además, en las jurisdicciones en las que se penaliza su comportamiento sexual, es mucho más probable que se supriman medidas preventivas que debieran ser ajustadas específicamente a estas comunidades. De la misma manera, el temor de ser juzgados y castigados puede disuadir a quienes practican un comportamiento homosexual de acceder a los servicios de salud. Estos problemas se agravan en el caso de las personas que viven con el VIH/SIDA</w:t>
      </w:r>
      <w:r w:rsidR="00C17C1C" w:rsidRPr="00D43C76">
        <w:rPr>
          <w:rStyle w:val="FootnoteReference"/>
          <w:rFonts w:ascii="Cambria" w:hAnsi="Cambria"/>
          <w:lang w:val="es-ES_tradnl"/>
        </w:rPr>
        <w:footnoteReference w:id="90"/>
      </w:r>
      <w:r w:rsidRPr="00D43C76">
        <w:rPr>
          <w:sz w:val="18"/>
          <w:szCs w:val="18"/>
          <w:lang w:val="es-ES_tradnl"/>
        </w:rPr>
        <w:t>.</w:t>
      </w:r>
    </w:p>
    <w:p w14:paraId="340CE234" w14:textId="77777777" w:rsidR="00E079F6" w:rsidRPr="00D43C76" w:rsidRDefault="00E079F6" w:rsidP="00E079F6">
      <w:pPr>
        <w:pStyle w:val="parrafos"/>
        <w:tabs>
          <w:tab w:val="left" w:pos="720"/>
        </w:tabs>
        <w:rPr>
          <w:rFonts w:ascii="Cambria" w:hAnsi="Cambria"/>
          <w:lang w:val="es-ES_tradnl"/>
        </w:rPr>
      </w:pPr>
    </w:p>
    <w:p w14:paraId="6D4EADB8" w14:textId="77777777" w:rsidR="003C23AD" w:rsidRPr="00D43C76" w:rsidRDefault="00CA1301" w:rsidP="003419BB">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w:t>
      </w:r>
      <w:r w:rsidR="003C23AD" w:rsidRPr="00D43C76">
        <w:rPr>
          <w:rFonts w:ascii="Cambria" w:hAnsi="Cambria"/>
          <w:lang w:val="es-ES_tradnl"/>
        </w:rPr>
        <w:t>n 2019</w:t>
      </w:r>
      <w:r w:rsidRPr="00D43C76">
        <w:rPr>
          <w:rFonts w:ascii="Cambria" w:hAnsi="Cambria"/>
          <w:lang w:val="es-ES_tradnl"/>
        </w:rPr>
        <w:t>,</w:t>
      </w:r>
      <w:r w:rsidR="003C23AD" w:rsidRPr="00D43C76">
        <w:rPr>
          <w:rFonts w:ascii="Cambria" w:hAnsi="Cambria"/>
          <w:lang w:val="es-ES_tradnl"/>
        </w:rPr>
        <w:t xml:space="preserve"> </w:t>
      </w:r>
      <w:r w:rsidR="003419BB" w:rsidRPr="00D43C76">
        <w:rPr>
          <w:rFonts w:ascii="Cambria" w:hAnsi="Cambria"/>
          <w:lang w:val="es-ES_tradnl"/>
        </w:rPr>
        <w:t>el Experto Independiente sobre la protección contra la violencia y la discriminación por motivos de orientación sexual e identidad de género, de las Naciones Unidas, señaló que los países que tipifica</w:t>
      </w:r>
      <w:r w:rsidR="00A93DBF" w:rsidRPr="00D43C76">
        <w:rPr>
          <w:rFonts w:ascii="Cambria" w:hAnsi="Cambria"/>
          <w:lang w:val="es-ES_tradnl"/>
        </w:rPr>
        <w:t>ba</w:t>
      </w:r>
      <w:r w:rsidR="003419BB" w:rsidRPr="00D43C76">
        <w:rPr>
          <w:rFonts w:ascii="Cambria" w:hAnsi="Cambria"/>
          <w:lang w:val="es-ES_tradnl"/>
        </w:rPr>
        <w:t xml:space="preserve">n como delito la </w:t>
      </w:r>
      <w:r w:rsidR="003C23AD" w:rsidRPr="00D43C76">
        <w:rPr>
          <w:rFonts w:ascii="Cambria" w:hAnsi="Cambria"/>
          <w:lang w:val="es-ES_tradnl"/>
        </w:rPr>
        <w:t>homosexuali</w:t>
      </w:r>
      <w:r w:rsidR="003419BB" w:rsidRPr="00D43C76">
        <w:rPr>
          <w:rFonts w:ascii="Cambria" w:hAnsi="Cambria"/>
          <w:lang w:val="es-ES_tradnl"/>
        </w:rPr>
        <w:t>dad y otras formas de</w:t>
      </w:r>
      <w:r w:rsidR="003C23AD" w:rsidRPr="00D43C76">
        <w:rPr>
          <w:rFonts w:ascii="Cambria" w:hAnsi="Cambria"/>
          <w:lang w:val="es-ES_tradnl"/>
        </w:rPr>
        <w:t xml:space="preserve"> </w:t>
      </w:r>
      <w:r w:rsidR="00851B40" w:rsidRPr="00D43C76">
        <w:rPr>
          <w:rFonts w:ascii="Cambria" w:hAnsi="Cambria"/>
          <w:lang w:val="es-ES_tradnl"/>
        </w:rPr>
        <w:t>orientación sexual</w:t>
      </w:r>
      <w:r w:rsidR="003C23AD" w:rsidRPr="00D43C76">
        <w:rPr>
          <w:rFonts w:ascii="Cambria" w:hAnsi="Cambria"/>
          <w:lang w:val="es-ES_tradnl"/>
        </w:rPr>
        <w:t xml:space="preserve"> </w:t>
      </w:r>
      <w:r w:rsidR="003419BB" w:rsidRPr="00D43C76">
        <w:rPr>
          <w:rFonts w:ascii="Cambria" w:hAnsi="Cambria"/>
          <w:lang w:val="es-ES_tradnl"/>
        </w:rPr>
        <w:t xml:space="preserve">e </w:t>
      </w:r>
      <w:r w:rsidR="00851B40" w:rsidRPr="00D43C76">
        <w:rPr>
          <w:rFonts w:ascii="Cambria" w:hAnsi="Cambria"/>
          <w:lang w:val="es-ES_tradnl"/>
        </w:rPr>
        <w:t>identidad de género</w:t>
      </w:r>
      <w:r w:rsidR="003419BB" w:rsidRPr="00D43C76">
        <w:rPr>
          <w:rFonts w:ascii="Cambria" w:hAnsi="Cambria"/>
          <w:lang w:val="es-ES_tradnl"/>
        </w:rPr>
        <w:t xml:space="preserve"> crea</w:t>
      </w:r>
      <w:r w:rsidR="00A93DBF" w:rsidRPr="00D43C76">
        <w:rPr>
          <w:rFonts w:ascii="Cambria" w:hAnsi="Cambria"/>
          <w:lang w:val="es-ES_tradnl"/>
        </w:rPr>
        <w:t>ba</w:t>
      </w:r>
      <w:r w:rsidR="003419BB" w:rsidRPr="00D43C76">
        <w:rPr>
          <w:rFonts w:ascii="Cambria" w:hAnsi="Cambria"/>
          <w:lang w:val="es-ES_tradnl"/>
        </w:rPr>
        <w:t>n importantes barreras para el acceso a la salud, el empleo, la educación y otros procesos esenciales debido a la percepción de que la identidad misma de estas personas e</w:t>
      </w:r>
      <w:r w:rsidR="000E27DC" w:rsidRPr="00D43C76">
        <w:rPr>
          <w:rFonts w:ascii="Cambria" w:hAnsi="Cambria"/>
          <w:lang w:val="es-ES_tradnl"/>
        </w:rPr>
        <w:t>ra</w:t>
      </w:r>
      <w:r w:rsidR="003419BB" w:rsidRPr="00D43C76">
        <w:rPr>
          <w:rFonts w:ascii="Cambria" w:hAnsi="Cambria"/>
          <w:lang w:val="es-ES_tradnl"/>
        </w:rPr>
        <w:t xml:space="preserve"> un delito</w:t>
      </w:r>
      <w:r w:rsidR="007B5801" w:rsidRPr="00D43C76">
        <w:rPr>
          <w:rStyle w:val="FootnoteReference"/>
          <w:rFonts w:ascii="Cambria" w:hAnsi="Cambria"/>
          <w:lang w:val="es-ES_tradnl"/>
        </w:rPr>
        <w:footnoteReference w:id="91"/>
      </w:r>
      <w:r w:rsidR="003419BB" w:rsidRPr="00D43C76">
        <w:rPr>
          <w:rFonts w:ascii="Cambria" w:hAnsi="Cambria"/>
          <w:lang w:val="es-ES_tradnl"/>
        </w:rPr>
        <w:t>.</w:t>
      </w:r>
    </w:p>
    <w:p w14:paraId="7E6B5AF5" w14:textId="77777777" w:rsidR="00273643" w:rsidRPr="00D43C76" w:rsidRDefault="00273643" w:rsidP="00273643">
      <w:pPr>
        <w:pStyle w:val="parrafos"/>
        <w:tabs>
          <w:tab w:val="left" w:pos="720"/>
        </w:tabs>
        <w:rPr>
          <w:rFonts w:ascii="Cambria" w:hAnsi="Cambria"/>
          <w:lang w:val="es-ES_tradnl"/>
        </w:rPr>
      </w:pPr>
    </w:p>
    <w:p w14:paraId="778D7797" w14:textId="77777777" w:rsidR="00801F5C" w:rsidRPr="00D43C76" w:rsidRDefault="003419BB" w:rsidP="009E5B7C">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En su informe de </w:t>
      </w:r>
      <w:r w:rsidR="00A04217" w:rsidRPr="00D43C76">
        <w:rPr>
          <w:rFonts w:ascii="Cambria" w:hAnsi="Cambria"/>
          <w:lang w:val="es-ES_tradnl"/>
        </w:rPr>
        <w:t>2010,</w:t>
      </w:r>
      <w:r w:rsidR="00E853E8" w:rsidRPr="00D43C76">
        <w:rPr>
          <w:rFonts w:ascii="Cambria" w:hAnsi="Cambria"/>
          <w:lang w:val="es-ES_tradnl"/>
        </w:rPr>
        <w:t xml:space="preserve"> </w:t>
      </w:r>
      <w:r w:rsidRPr="00D43C76">
        <w:rPr>
          <w:rFonts w:ascii="Cambria" w:hAnsi="Cambria"/>
          <w:lang w:val="es-ES_tradnl"/>
        </w:rPr>
        <w:t xml:space="preserve">el </w:t>
      </w:r>
      <w:r w:rsidR="009E5B7C" w:rsidRPr="00D43C76">
        <w:rPr>
          <w:rFonts w:ascii="Cambria" w:hAnsi="Cambria"/>
          <w:lang w:val="es-ES_tradnl"/>
        </w:rPr>
        <w:t>Informe del Relator Especial sobre el derecho de toda persona al disfrute del más alto nivel posible de salud física y mental</w:t>
      </w:r>
      <w:r w:rsidRPr="00D43C76">
        <w:rPr>
          <w:rFonts w:ascii="Cambria" w:hAnsi="Cambria"/>
          <w:lang w:val="es-ES_tradnl"/>
        </w:rPr>
        <w:t xml:space="preserve"> </w:t>
      </w:r>
      <w:r w:rsidR="00E853E8" w:rsidRPr="00D43C76">
        <w:rPr>
          <w:rFonts w:ascii="Cambria" w:hAnsi="Cambria"/>
          <w:lang w:val="es-ES_tradnl"/>
        </w:rPr>
        <w:t>c</w:t>
      </w:r>
      <w:r w:rsidR="009E5B7C" w:rsidRPr="00D43C76">
        <w:rPr>
          <w:rFonts w:ascii="Cambria" w:hAnsi="Cambria"/>
          <w:lang w:val="es-ES_tradnl"/>
        </w:rPr>
        <w:t>lasificó los efectos de la penalización de las relaciones sexuales entre personas del mismo sexo en el derecho a la salud en tres categorías: inhibición del acceso a los servicios de salud, violencia y manos tratos, y es</w:t>
      </w:r>
      <w:r w:rsidR="00634C42" w:rsidRPr="00D43C76">
        <w:rPr>
          <w:rFonts w:ascii="Cambria" w:hAnsi="Cambria"/>
          <w:lang w:val="es-ES_tradnl"/>
        </w:rPr>
        <w:t>tigmatiza</w:t>
      </w:r>
      <w:r w:rsidR="009E5B7C" w:rsidRPr="00D43C76">
        <w:rPr>
          <w:rFonts w:ascii="Cambria" w:hAnsi="Cambria"/>
          <w:lang w:val="es-ES_tradnl"/>
        </w:rPr>
        <w:t xml:space="preserve">ción. El Relator Especial </w:t>
      </w:r>
      <w:r w:rsidR="00D20C03" w:rsidRPr="00D43C76">
        <w:rPr>
          <w:rFonts w:ascii="Cambria" w:hAnsi="Cambria"/>
          <w:lang w:val="es-ES_tradnl"/>
        </w:rPr>
        <w:t>afirmó que, en los lugares donde se penaliza</w:t>
      </w:r>
      <w:r w:rsidR="000E27DC" w:rsidRPr="00D43C76">
        <w:rPr>
          <w:rFonts w:ascii="Cambria" w:hAnsi="Cambria"/>
          <w:lang w:val="es-ES_tradnl"/>
        </w:rPr>
        <w:t>ba</w:t>
      </w:r>
      <w:r w:rsidR="00D20C03" w:rsidRPr="00D43C76">
        <w:rPr>
          <w:rFonts w:ascii="Cambria" w:hAnsi="Cambria"/>
          <w:lang w:val="es-ES_tradnl"/>
        </w:rPr>
        <w:t>n las relaciones sexuales entre personas del mismo sexo, estas personas no t</w:t>
      </w:r>
      <w:r w:rsidR="000E27DC" w:rsidRPr="00D43C76">
        <w:rPr>
          <w:rFonts w:ascii="Cambria" w:hAnsi="Cambria"/>
          <w:lang w:val="es-ES_tradnl"/>
        </w:rPr>
        <w:t>enían</w:t>
      </w:r>
      <w:r w:rsidR="00D20C03" w:rsidRPr="00D43C76">
        <w:rPr>
          <w:rFonts w:ascii="Cambria" w:hAnsi="Cambria"/>
          <w:lang w:val="es-ES_tradnl"/>
        </w:rPr>
        <w:t xml:space="preserve"> acceso a servicios de salud eficaces, en tanto que las medidas preventivas no est</w:t>
      </w:r>
      <w:r w:rsidR="000E27DC" w:rsidRPr="00D43C76">
        <w:rPr>
          <w:rFonts w:ascii="Cambria" w:hAnsi="Cambria"/>
          <w:lang w:val="es-ES_tradnl"/>
        </w:rPr>
        <w:t>aba</w:t>
      </w:r>
      <w:r w:rsidR="00D20C03" w:rsidRPr="00D43C76">
        <w:rPr>
          <w:rFonts w:ascii="Cambria" w:hAnsi="Cambria"/>
          <w:lang w:val="es-ES_tradnl"/>
        </w:rPr>
        <w:t xml:space="preserve">n adaptadas a las necesidades de la comunidad </w:t>
      </w:r>
      <w:r w:rsidR="00EE5D89" w:rsidRPr="00D43C76">
        <w:rPr>
          <w:rFonts w:ascii="Cambria" w:hAnsi="Cambria"/>
          <w:lang w:val="es-ES_tradnl"/>
        </w:rPr>
        <w:t>LGBT</w:t>
      </w:r>
      <w:r w:rsidR="00D20C03" w:rsidRPr="00D43C76">
        <w:rPr>
          <w:rFonts w:ascii="Cambria" w:hAnsi="Cambria"/>
          <w:lang w:val="es-ES_tradnl"/>
        </w:rPr>
        <w:t>. Los profesionales de salud pueden negarse a tratar a clientes que tienen relaciones sexuales con personas del mismo sexo o podrían responder con hostilidad</w:t>
      </w:r>
      <w:r w:rsidR="00E853E8" w:rsidRPr="00D43C76">
        <w:rPr>
          <w:vertAlign w:val="superscript"/>
          <w:lang w:val="es-ES_tradnl"/>
        </w:rPr>
        <w:footnoteReference w:id="92"/>
      </w:r>
      <w:r w:rsidR="00D20C03" w:rsidRPr="00D43C76">
        <w:rPr>
          <w:rFonts w:ascii="Cambria" w:hAnsi="Cambria"/>
          <w:lang w:val="es-ES_tradnl"/>
        </w:rPr>
        <w:t>.</w:t>
      </w:r>
    </w:p>
    <w:p w14:paraId="0931CF2C" w14:textId="77777777" w:rsidR="00801F5C" w:rsidRPr="00D43C76" w:rsidRDefault="00801F5C" w:rsidP="00801F5C">
      <w:pPr>
        <w:pStyle w:val="ListParagraph"/>
        <w:rPr>
          <w:lang w:val="es-ES_tradnl"/>
        </w:rPr>
      </w:pPr>
    </w:p>
    <w:p w14:paraId="56E59370" w14:textId="77777777" w:rsidR="00C74732" w:rsidRPr="00D43C76" w:rsidRDefault="00D20C03" w:rsidP="00C74732">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En sus observaciones finales sobre </w:t>
      </w:r>
      <w:r w:rsidR="00C74732" w:rsidRPr="00D43C76">
        <w:rPr>
          <w:rFonts w:ascii="Cambria" w:hAnsi="Cambria"/>
          <w:lang w:val="es-ES_tradnl"/>
        </w:rPr>
        <w:t>Jamaica</w:t>
      </w:r>
      <w:r w:rsidRPr="00D43C76">
        <w:rPr>
          <w:rFonts w:ascii="Cambria" w:hAnsi="Cambria"/>
          <w:lang w:val="es-ES_tradnl"/>
        </w:rPr>
        <w:t xml:space="preserve">, el Comité de Derechos Humanos observó en 2011 que la tipificación como delito de las relaciones consensuales entre </w:t>
      </w:r>
      <w:r w:rsidR="00C74732" w:rsidRPr="00D43C76">
        <w:rPr>
          <w:rFonts w:ascii="Cambria" w:hAnsi="Cambria"/>
          <w:lang w:val="es-ES_tradnl"/>
        </w:rPr>
        <w:t>adult</w:t>
      </w:r>
      <w:r w:rsidRPr="00D43C76">
        <w:rPr>
          <w:rFonts w:ascii="Cambria" w:hAnsi="Cambria"/>
          <w:lang w:val="es-ES_tradnl"/>
        </w:rPr>
        <w:t>os t</w:t>
      </w:r>
      <w:r w:rsidR="000E27DC" w:rsidRPr="00D43C76">
        <w:rPr>
          <w:rFonts w:ascii="Cambria" w:hAnsi="Cambria"/>
          <w:lang w:val="es-ES_tradnl"/>
        </w:rPr>
        <w:t>enía</w:t>
      </w:r>
      <w:r w:rsidRPr="00D43C76">
        <w:rPr>
          <w:rFonts w:ascii="Cambria" w:hAnsi="Cambria"/>
          <w:lang w:val="es-ES_tradnl"/>
        </w:rPr>
        <w:t xml:space="preserve"> un efecto negativo no solo en el acceso de las </w:t>
      </w:r>
      <w:r w:rsidR="00EB0856" w:rsidRPr="00D43C76">
        <w:rPr>
          <w:rFonts w:ascii="Cambria" w:hAnsi="Cambria"/>
          <w:lang w:val="es-ES_tradnl"/>
        </w:rPr>
        <w:t>personas LGBTI</w:t>
      </w:r>
      <w:r w:rsidR="00C74732" w:rsidRPr="00D43C76">
        <w:rPr>
          <w:rFonts w:ascii="Cambria" w:hAnsi="Cambria"/>
          <w:lang w:val="es-ES_tradnl"/>
        </w:rPr>
        <w:t xml:space="preserve"> </w:t>
      </w:r>
      <w:r w:rsidRPr="00D43C76">
        <w:rPr>
          <w:rFonts w:ascii="Cambria" w:hAnsi="Cambria"/>
          <w:lang w:val="es-ES_tradnl"/>
        </w:rPr>
        <w:t>a los servicios de salud, sino también en las campañas de salud pública contra el VIH y el sida</w:t>
      </w:r>
      <w:r w:rsidR="00C74732" w:rsidRPr="00D43C76">
        <w:rPr>
          <w:rStyle w:val="FootnoteReference"/>
          <w:rFonts w:ascii="Cambria" w:hAnsi="Cambria"/>
          <w:lang w:val="es-ES_tradnl"/>
        </w:rPr>
        <w:footnoteReference w:id="93"/>
      </w:r>
      <w:r w:rsidRPr="00D43C76">
        <w:rPr>
          <w:rFonts w:ascii="Cambria" w:hAnsi="Cambria"/>
          <w:lang w:val="es-ES_tradnl"/>
        </w:rPr>
        <w:t>.</w:t>
      </w:r>
    </w:p>
    <w:p w14:paraId="40562254" w14:textId="77777777" w:rsidR="00EE5D89" w:rsidRPr="00D43C76" w:rsidRDefault="00EE5D89" w:rsidP="00C74732">
      <w:pPr>
        <w:pStyle w:val="parrafos"/>
        <w:tabs>
          <w:tab w:val="left" w:pos="720"/>
        </w:tabs>
        <w:rPr>
          <w:rFonts w:ascii="Cambria" w:hAnsi="Cambria"/>
          <w:lang w:val="es-ES_tradnl"/>
        </w:rPr>
      </w:pPr>
    </w:p>
    <w:p w14:paraId="436FC6E8" w14:textId="77777777" w:rsidR="006453C3" w:rsidRPr="00D43C76" w:rsidRDefault="00D20C03" w:rsidP="00E853E8">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Asimismo, según la Organización Mundial de la Salud (OMS), en los países donde se tipifican como delito las relaciones sexuales </w:t>
      </w:r>
      <w:r w:rsidR="00E853E8" w:rsidRPr="00D43C76">
        <w:rPr>
          <w:rFonts w:ascii="Cambria" w:hAnsi="Cambria"/>
          <w:lang w:val="es-ES_tradnl"/>
        </w:rPr>
        <w:t>consensual</w:t>
      </w:r>
      <w:r w:rsidRPr="00D43C76">
        <w:rPr>
          <w:rFonts w:ascii="Cambria" w:hAnsi="Cambria"/>
          <w:lang w:val="es-ES_tradnl"/>
        </w:rPr>
        <w:t>es entre personas del mismo sexo, muchas personas no acuden a los servicios de salud por temor de ser arrestadas o enjuiciadas. Asimismo, la OMS concluy</w:t>
      </w:r>
      <w:r w:rsidR="000E27DC" w:rsidRPr="00D43C76">
        <w:rPr>
          <w:rFonts w:ascii="Cambria" w:hAnsi="Cambria"/>
          <w:lang w:val="es-ES_tradnl"/>
        </w:rPr>
        <w:t>e</w:t>
      </w:r>
      <w:r w:rsidR="00B54167" w:rsidRPr="00D43C76">
        <w:rPr>
          <w:rFonts w:ascii="Cambria" w:hAnsi="Cambria"/>
          <w:lang w:val="es-ES_tradnl"/>
        </w:rPr>
        <w:t xml:space="preserve"> que, en los países donde es ilegal ser gay, los proveedores de servicios médicos suelen discriminar contra las personas percibidas como lesbianas, gais y transgénero</w:t>
      </w:r>
      <w:r w:rsidR="00E853E8" w:rsidRPr="00D43C76">
        <w:rPr>
          <w:rFonts w:ascii="Cambria" w:hAnsi="Cambria"/>
          <w:lang w:val="es-ES_tradnl"/>
        </w:rPr>
        <w:t xml:space="preserve"> </w:t>
      </w:r>
      <w:r w:rsidR="00B54167" w:rsidRPr="00D43C76">
        <w:rPr>
          <w:rFonts w:ascii="Cambria" w:hAnsi="Cambria"/>
          <w:lang w:val="es-ES_tradnl"/>
        </w:rPr>
        <w:t>y tratarlas mal, lo cual reduce la probabilidad de que vuelvan a acudir a los servicios de salud</w:t>
      </w:r>
      <w:r w:rsidR="00E853E8" w:rsidRPr="00D43C76">
        <w:rPr>
          <w:rStyle w:val="FootnoteReference"/>
          <w:rFonts w:ascii="Cambria" w:hAnsi="Cambria"/>
          <w:lang w:val="es-ES_tradnl"/>
        </w:rPr>
        <w:footnoteReference w:id="94"/>
      </w:r>
      <w:r w:rsidR="00B54167" w:rsidRPr="00D43C76">
        <w:rPr>
          <w:rFonts w:ascii="Cambria" w:hAnsi="Cambria"/>
          <w:lang w:val="es-ES_tradnl"/>
        </w:rPr>
        <w:t>. Las personas LGTBI señalan que, cuando tratan de tener acceso a establecimientos de salud, no les dan turno, les deniegan tratamiento o les faltan el respeto, se viola la privacidad médica, las avergüenzan en privado y las menosprecian en público, entre otras prácticas discriminatorias y abusos</w:t>
      </w:r>
      <w:r w:rsidR="00E853E8" w:rsidRPr="00D43C76">
        <w:rPr>
          <w:rStyle w:val="FootnoteReference"/>
          <w:rFonts w:ascii="Cambria" w:hAnsi="Cambria"/>
          <w:lang w:val="es-ES_tradnl"/>
        </w:rPr>
        <w:footnoteReference w:id="95"/>
      </w:r>
      <w:r w:rsidR="00B54167" w:rsidRPr="00D43C76">
        <w:rPr>
          <w:rFonts w:ascii="Cambria" w:hAnsi="Cambria"/>
          <w:lang w:val="es-ES_tradnl"/>
        </w:rPr>
        <w:t>.</w:t>
      </w:r>
    </w:p>
    <w:p w14:paraId="322E9CAE" w14:textId="77777777" w:rsidR="00C74732" w:rsidRPr="00D43C76" w:rsidRDefault="00C74732" w:rsidP="00C74732">
      <w:pPr>
        <w:pStyle w:val="ListParagraph"/>
        <w:rPr>
          <w:lang w:val="es-ES_tradnl"/>
        </w:rPr>
      </w:pPr>
    </w:p>
    <w:p w14:paraId="413D965A" w14:textId="77777777" w:rsidR="00C74732" w:rsidRPr="00D43C76" w:rsidRDefault="00B54167" w:rsidP="00B54167">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Por su parte, el Fondo Mundial de Lucha contra el Sida, la Tuberculosis y la Malaria</w:t>
      </w:r>
      <w:r w:rsidR="00C74732" w:rsidRPr="00D43C76">
        <w:rPr>
          <w:rFonts w:ascii="Cambria" w:hAnsi="Cambria"/>
          <w:lang w:val="es-ES_tradnl"/>
        </w:rPr>
        <w:t xml:space="preserve"> </w:t>
      </w:r>
      <w:r w:rsidRPr="00D43C76">
        <w:rPr>
          <w:rFonts w:ascii="Cambria" w:hAnsi="Cambria"/>
          <w:lang w:val="es-ES_tradnl"/>
        </w:rPr>
        <w:t>observa</w:t>
      </w:r>
      <w:r w:rsidR="00323366" w:rsidRPr="00D43C76">
        <w:rPr>
          <w:rFonts w:ascii="Cambria" w:hAnsi="Cambria"/>
          <w:lang w:val="es-ES_tradnl"/>
        </w:rPr>
        <w:t xml:space="preserve"> lo siguiente</w:t>
      </w:r>
      <w:r w:rsidRPr="00D43C76">
        <w:rPr>
          <w:rFonts w:ascii="Cambria" w:hAnsi="Cambria"/>
          <w:lang w:val="es-ES_tradnl"/>
        </w:rPr>
        <w:t>:</w:t>
      </w:r>
    </w:p>
    <w:p w14:paraId="72BDDE0C" w14:textId="77777777" w:rsidR="00273643" w:rsidRPr="00D43C76" w:rsidRDefault="00273643" w:rsidP="00273643">
      <w:pPr>
        <w:pStyle w:val="parrafos"/>
        <w:tabs>
          <w:tab w:val="clear" w:pos="360"/>
          <w:tab w:val="left" w:pos="720"/>
        </w:tabs>
        <w:ind w:right="360"/>
        <w:rPr>
          <w:sz w:val="18"/>
          <w:szCs w:val="18"/>
          <w:lang w:val="es-ES_tradnl"/>
        </w:rPr>
      </w:pPr>
    </w:p>
    <w:p w14:paraId="78FC6D04" w14:textId="77777777" w:rsidR="002B5E1B" w:rsidRPr="00D43C76" w:rsidRDefault="00323366" w:rsidP="00C03112">
      <w:pPr>
        <w:pStyle w:val="parrafos"/>
        <w:tabs>
          <w:tab w:val="clear" w:pos="360"/>
          <w:tab w:val="left" w:pos="720"/>
        </w:tabs>
        <w:ind w:left="720" w:right="360"/>
        <w:rPr>
          <w:sz w:val="18"/>
          <w:szCs w:val="18"/>
          <w:lang w:val="es-ES_tradnl"/>
        </w:rPr>
      </w:pPr>
      <w:r w:rsidRPr="00D43C76">
        <w:rPr>
          <w:sz w:val="18"/>
          <w:szCs w:val="18"/>
          <w:lang w:val="es-ES_tradnl"/>
        </w:rPr>
        <w:t xml:space="preserve">La penalización de los actos sexuales entre personas del mismo sexo puede exacerbar la violencia contra los </w:t>
      </w:r>
      <w:r w:rsidR="00E42EA3" w:rsidRPr="00D43C76">
        <w:rPr>
          <w:sz w:val="18"/>
          <w:szCs w:val="18"/>
          <w:lang w:val="es-ES_tradnl"/>
        </w:rPr>
        <w:t>hombres que tienen relaciones sexuales con otros hombres</w:t>
      </w:r>
      <w:r w:rsidR="00C74732" w:rsidRPr="00D43C76">
        <w:rPr>
          <w:sz w:val="18"/>
          <w:szCs w:val="18"/>
          <w:lang w:val="es-ES_tradnl"/>
        </w:rPr>
        <w:t xml:space="preserve"> </w:t>
      </w:r>
      <w:r w:rsidRPr="00D43C76">
        <w:rPr>
          <w:sz w:val="18"/>
          <w:szCs w:val="18"/>
          <w:lang w:val="es-ES_tradnl"/>
        </w:rPr>
        <w:t xml:space="preserve">y </w:t>
      </w:r>
      <w:r w:rsidR="000E27DC" w:rsidRPr="00D43C76">
        <w:rPr>
          <w:sz w:val="18"/>
          <w:szCs w:val="18"/>
          <w:lang w:val="es-ES_tradnl"/>
        </w:rPr>
        <w:t xml:space="preserve">contra </w:t>
      </w:r>
      <w:r w:rsidRPr="00D43C76">
        <w:rPr>
          <w:sz w:val="18"/>
          <w:szCs w:val="18"/>
          <w:lang w:val="es-ES_tradnl"/>
        </w:rPr>
        <w:t xml:space="preserve">las mujeres </w:t>
      </w:r>
      <w:r w:rsidR="00C74732" w:rsidRPr="00D43C76">
        <w:rPr>
          <w:sz w:val="18"/>
          <w:szCs w:val="18"/>
          <w:lang w:val="es-ES_tradnl"/>
        </w:rPr>
        <w:t xml:space="preserve">trans. </w:t>
      </w:r>
      <w:r w:rsidRPr="00D43C76">
        <w:rPr>
          <w:sz w:val="18"/>
          <w:szCs w:val="18"/>
          <w:lang w:val="es-ES_tradnl"/>
        </w:rPr>
        <w:t xml:space="preserve">La penalización de tales actos propicia un alto grado de violencia contra </w:t>
      </w:r>
      <w:r w:rsidR="000E27DC" w:rsidRPr="00D43C76">
        <w:rPr>
          <w:sz w:val="18"/>
          <w:szCs w:val="18"/>
          <w:lang w:val="es-ES_tradnl"/>
        </w:rPr>
        <w:t xml:space="preserve">esos hombres y contra </w:t>
      </w:r>
      <w:r w:rsidRPr="00D43C76">
        <w:rPr>
          <w:sz w:val="18"/>
          <w:szCs w:val="18"/>
          <w:lang w:val="es-ES_tradnl"/>
        </w:rPr>
        <w:t xml:space="preserve">las personas </w:t>
      </w:r>
      <w:r w:rsidR="00C74732" w:rsidRPr="00D43C76">
        <w:rPr>
          <w:sz w:val="18"/>
          <w:szCs w:val="18"/>
          <w:lang w:val="es-ES_tradnl"/>
        </w:rPr>
        <w:t>trans</w:t>
      </w:r>
      <w:r w:rsidRPr="00D43C76">
        <w:rPr>
          <w:sz w:val="18"/>
          <w:szCs w:val="18"/>
          <w:lang w:val="es-ES_tradnl"/>
        </w:rPr>
        <w:t xml:space="preserve">. Asimismo, </w:t>
      </w:r>
      <w:r w:rsidRPr="00D43C76">
        <w:rPr>
          <w:sz w:val="18"/>
          <w:szCs w:val="18"/>
          <w:lang w:val="es-ES_tradnl"/>
        </w:rPr>
        <w:lastRenderedPageBreak/>
        <w:t>crea un estigma en los establecimientos de salud</w:t>
      </w:r>
      <w:r w:rsidR="000E27DC" w:rsidRPr="00D43C76">
        <w:rPr>
          <w:sz w:val="18"/>
          <w:szCs w:val="18"/>
          <w:lang w:val="es-ES_tradnl"/>
        </w:rPr>
        <w:t xml:space="preserve">. Eso </w:t>
      </w:r>
      <w:r w:rsidRPr="00D43C76">
        <w:rPr>
          <w:sz w:val="18"/>
          <w:szCs w:val="18"/>
          <w:lang w:val="es-ES_tradnl"/>
        </w:rPr>
        <w:t xml:space="preserve">limita la revelación de la </w:t>
      </w:r>
      <w:r w:rsidR="00851B40" w:rsidRPr="00D43C76">
        <w:rPr>
          <w:sz w:val="18"/>
          <w:szCs w:val="18"/>
          <w:lang w:val="es-ES_tradnl"/>
        </w:rPr>
        <w:t>orientación sexual</w:t>
      </w:r>
      <w:r w:rsidR="00C74732" w:rsidRPr="00D43C76">
        <w:rPr>
          <w:sz w:val="18"/>
          <w:szCs w:val="18"/>
          <w:lang w:val="es-ES_tradnl"/>
        </w:rPr>
        <w:t xml:space="preserve"> </w:t>
      </w:r>
      <w:r w:rsidRPr="00D43C76">
        <w:rPr>
          <w:sz w:val="18"/>
          <w:szCs w:val="18"/>
          <w:lang w:val="es-ES_tradnl"/>
        </w:rPr>
        <w:t>de los</w:t>
      </w:r>
      <w:r w:rsidR="00C74732" w:rsidRPr="00D43C76">
        <w:rPr>
          <w:sz w:val="18"/>
          <w:szCs w:val="18"/>
          <w:lang w:val="es-ES_tradnl"/>
        </w:rPr>
        <w:t xml:space="preserve"> </w:t>
      </w:r>
      <w:r w:rsidR="00E42EA3" w:rsidRPr="00D43C76">
        <w:rPr>
          <w:sz w:val="18"/>
          <w:szCs w:val="18"/>
          <w:lang w:val="es-ES_tradnl"/>
        </w:rPr>
        <w:t>hombres que tienen relaciones sexuales con otros hombres</w:t>
      </w:r>
      <w:r w:rsidR="00C74732" w:rsidRPr="00D43C76">
        <w:rPr>
          <w:sz w:val="18"/>
          <w:szCs w:val="18"/>
          <w:lang w:val="es-ES_tradnl"/>
        </w:rPr>
        <w:t xml:space="preserve"> </w:t>
      </w:r>
      <w:r w:rsidRPr="00D43C76">
        <w:rPr>
          <w:sz w:val="18"/>
          <w:szCs w:val="18"/>
          <w:lang w:val="es-ES_tradnl"/>
        </w:rPr>
        <w:t xml:space="preserve">y de otras poblaciones </w:t>
      </w:r>
      <w:r w:rsidR="00C74732" w:rsidRPr="00D43C76">
        <w:rPr>
          <w:sz w:val="18"/>
          <w:szCs w:val="18"/>
          <w:lang w:val="es-ES_tradnl"/>
        </w:rPr>
        <w:t>LGBTI</w:t>
      </w:r>
      <w:r w:rsidRPr="00D43C76">
        <w:rPr>
          <w:sz w:val="18"/>
          <w:szCs w:val="18"/>
          <w:lang w:val="es-ES_tradnl"/>
        </w:rPr>
        <w:t>, lo cual podría reducir la probabilidad de que se hagan la prueba del VIH. Algunos</w:t>
      </w:r>
      <w:r w:rsidR="00C74732" w:rsidRPr="00D43C76">
        <w:rPr>
          <w:sz w:val="18"/>
          <w:szCs w:val="18"/>
          <w:lang w:val="es-ES_tradnl"/>
        </w:rPr>
        <w:t xml:space="preserve"> </w:t>
      </w:r>
      <w:r w:rsidR="00E42EA3" w:rsidRPr="00D43C76">
        <w:rPr>
          <w:sz w:val="18"/>
          <w:szCs w:val="18"/>
          <w:lang w:val="es-ES_tradnl"/>
        </w:rPr>
        <w:t>hombres que tienen relaciones sexuales con otros hombres</w:t>
      </w:r>
      <w:r w:rsidR="00C74732" w:rsidRPr="00D43C76">
        <w:rPr>
          <w:sz w:val="18"/>
          <w:szCs w:val="18"/>
          <w:lang w:val="es-ES_tradnl"/>
        </w:rPr>
        <w:t xml:space="preserve"> </w:t>
      </w:r>
      <w:r w:rsidRPr="00D43C76">
        <w:rPr>
          <w:sz w:val="18"/>
          <w:szCs w:val="18"/>
          <w:lang w:val="es-ES_tradnl"/>
        </w:rPr>
        <w:t xml:space="preserve">enfrentan problemas de estigma y discriminación no verbal con el personal de salud, </w:t>
      </w:r>
      <w:r w:rsidR="00C74732" w:rsidRPr="00D43C76">
        <w:rPr>
          <w:sz w:val="18"/>
          <w:szCs w:val="18"/>
          <w:lang w:val="es-ES_tradnl"/>
        </w:rPr>
        <w:t>c</w:t>
      </w:r>
      <w:r w:rsidRPr="00D43C76">
        <w:rPr>
          <w:sz w:val="18"/>
          <w:szCs w:val="18"/>
          <w:lang w:val="es-ES_tradnl"/>
        </w:rPr>
        <w:t>omo chismes, lenguaje corporal que comunica falta de respeto y rechazo</w:t>
      </w:r>
      <w:r w:rsidR="00C74732" w:rsidRPr="00D43C76">
        <w:rPr>
          <w:rStyle w:val="FootnoteReference"/>
          <w:sz w:val="18"/>
          <w:szCs w:val="18"/>
          <w:lang w:val="es-ES_tradnl"/>
        </w:rPr>
        <w:footnoteReference w:id="96"/>
      </w:r>
      <w:r w:rsidRPr="00D43C76">
        <w:rPr>
          <w:sz w:val="18"/>
          <w:szCs w:val="18"/>
          <w:lang w:val="es-ES_tradnl"/>
        </w:rPr>
        <w:t>.</w:t>
      </w:r>
    </w:p>
    <w:p w14:paraId="06EF19A2" w14:textId="77777777" w:rsidR="00C03112" w:rsidRPr="00D43C76" w:rsidRDefault="00C03112" w:rsidP="00C03112">
      <w:pPr>
        <w:pStyle w:val="parrafos"/>
        <w:tabs>
          <w:tab w:val="clear" w:pos="360"/>
          <w:tab w:val="left" w:pos="720"/>
        </w:tabs>
        <w:ind w:left="720" w:right="360"/>
        <w:rPr>
          <w:rFonts w:ascii="Cambria" w:hAnsi="Cambria"/>
          <w:sz w:val="18"/>
          <w:szCs w:val="18"/>
          <w:lang w:val="es-ES_tradnl"/>
        </w:rPr>
      </w:pPr>
    </w:p>
    <w:p w14:paraId="1DB713FA" w14:textId="77777777" w:rsidR="00B4038B" w:rsidRPr="00D43C76" w:rsidRDefault="008A409B" w:rsidP="00B67D5E">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En el caso de autos, </w:t>
      </w:r>
      <w:r w:rsidR="007E65FB" w:rsidRPr="00D43C76">
        <w:rPr>
          <w:rFonts w:ascii="Cambria" w:hAnsi="Cambria"/>
          <w:lang w:val="es-ES_tradnl"/>
        </w:rPr>
        <w:t xml:space="preserve">T. B. </w:t>
      </w:r>
      <w:r w:rsidRPr="00D43C76">
        <w:rPr>
          <w:rFonts w:ascii="Cambria" w:hAnsi="Cambria"/>
          <w:lang w:val="es-ES_tradnl"/>
        </w:rPr>
        <w:t xml:space="preserve">y </w:t>
      </w:r>
      <w:r w:rsidR="007E65FB" w:rsidRPr="00D43C76">
        <w:rPr>
          <w:rFonts w:ascii="Cambria" w:hAnsi="Cambria"/>
          <w:lang w:val="es-ES_tradnl"/>
        </w:rPr>
        <w:t>S. H.</w:t>
      </w:r>
      <w:r w:rsidR="00AA5675" w:rsidRPr="00D43C76">
        <w:rPr>
          <w:rFonts w:ascii="Cambria" w:hAnsi="Cambria"/>
          <w:lang w:val="es-ES_tradnl"/>
        </w:rPr>
        <w:t xml:space="preserve"> </w:t>
      </w:r>
      <w:r w:rsidRPr="00D43C76">
        <w:rPr>
          <w:rFonts w:ascii="Cambria" w:hAnsi="Cambria"/>
          <w:lang w:val="es-ES_tradnl"/>
        </w:rPr>
        <w:t>señala</w:t>
      </w:r>
      <w:r w:rsidR="000E27DC" w:rsidRPr="00D43C76">
        <w:rPr>
          <w:rFonts w:ascii="Cambria" w:hAnsi="Cambria"/>
          <w:lang w:val="es-ES_tradnl"/>
        </w:rPr>
        <w:t>n</w:t>
      </w:r>
      <w:r w:rsidRPr="00D43C76">
        <w:rPr>
          <w:rFonts w:ascii="Cambria" w:hAnsi="Cambria"/>
          <w:lang w:val="es-ES_tradnl"/>
        </w:rPr>
        <w:t xml:space="preserve"> que han enfrentado varias restricciones al acceso a servicios de salud derivadas del contexto de </w:t>
      </w:r>
      <w:r w:rsidR="00851B40" w:rsidRPr="00D43C76">
        <w:rPr>
          <w:rFonts w:ascii="Cambria" w:hAnsi="Cambria"/>
          <w:lang w:val="es-ES_tradnl"/>
        </w:rPr>
        <w:t>discriminación</w:t>
      </w:r>
      <w:r w:rsidR="00AA5675" w:rsidRPr="00D43C76">
        <w:rPr>
          <w:rFonts w:ascii="Cambria" w:hAnsi="Cambria"/>
          <w:lang w:val="es-ES_tradnl"/>
        </w:rPr>
        <w:t xml:space="preserve"> </w:t>
      </w:r>
      <w:r w:rsidRPr="00D43C76">
        <w:rPr>
          <w:rFonts w:ascii="Cambria" w:hAnsi="Cambria"/>
          <w:lang w:val="es-ES_tradnl"/>
        </w:rPr>
        <w:t xml:space="preserve">contra las </w:t>
      </w:r>
      <w:r w:rsidR="00EB0856" w:rsidRPr="00D43C76">
        <w:rPr>
          <w:rFonts w:ascii="Cambria" w:hAnsi="Cambria"/>
          <w:lang w:val="es-ES_tradnl"/>
        </w:rPr>
        <w:t>personas LGBTI</w:t>
      </w:r>
      <w:r w:rsidR="00AA5675" w:rsidRPr="00D43C76">
        <w:rPr>
          <w:rFonts w:ascii="Cambria" w:hAnsi="Cambria"/>
          <w:lang w:val="es-ES_tradnl"/>
        </w:rPr>
        <w:t xml:space="preserve"> </w:t>
      </w:r>
      <w:r w:rsidRPr="00D43C76">
        <w:rPr>
          <w:rFonts w:ascii="Cambria" w:hAnsi="Cambria"/>
          <w:lang w:val="es-ES_tradnl"/>
        </w:rPr>
        <w:t>e</w:t>
      </w:r>
      <w:r w:rsidR="00AA5675" w:rsidRPr="00D43C76">
        <w:rPr>
          <w:rFonts w:ascii="Cambria" w:hAnsi="Cambria"/>
          <w:lang w:val="es-ES_tradnl"/>
        </w:rPr>
        <w:t xml:space="preserve">n Jamaica </w:t>
      </w:r>
      <w:r w:rsidRPr="00D43C76">
        <w:rPr>
          <w:rFonts w:ascii="Cambria" w:hAnsi="Cambria"/>
          <w:lang w:val="es-ES_tradnl"/>
        </w:rPr>
        <w:t xml:space="preserve">y de la vigencia de la </w:t>
      </w:r>
      <w:r w:rsidR="005A4C18" w:rsidRPr="00D43C76">
        <w:rPr>
          <w:rFonts w:ascii="Cambria" w:hAnsi="Cambria"/>
          <w:lang w:val="es-ES_tradnl"/>
        </w:rPr>
        <w:t>Ley de Delitos contra la Persona</w:t>
      </w:r>
      <w:r w:rsidR="00B67D5E" w:rsidRPr="00D43C76">
        <w:rPr>
          <w:rFonts w:ascii="Cambria" w:hAnsi="Cambria"/>
          <w:lang w:val="es-ES_tradnl"/>
        </w:rPr>
        <w:t xml:space="preserve">. </w:t>
      </w:r>
      <w:r w:rsidRPr="00D43C76">
        <w:rPr>
          <w:rFonts w:ascii="Cambria" w:hAnsi="Cambria"/>
          <w:lang w:val="es-ES_tradnl"/>
        </w:rPr>
        <w:t>Concretamente</w:t>
      </w:r>
      <w:r w:rsidR="00B67D5E" w:rsidRPr="00D43C76">
        <w:rPr>
          <w:rFonts w:ascii="Cambria" w:hAnsi="Cambria"/>
          <w:lang w:val="es-ES_tradnl"/>
        </w:rPr>
        <w:t>:</w:t>
      </w:r>
      <w:r w:rsidR="0034591F" w:rsidRPr="00D43C76">
        <w:rPr>
          <w:rFonts w:ascii="Cambria" w:hAnsi="Cambria"/>
          <w:lang w:val="es-ES_tradnl"/>
        </w:rPr>
        <w:t xml:space="preserve"> </w:t>
      </w:r>
    </w:p>
    <w:p w14:paraId="1386132C" w14:textId="77777777" w:rsidR="006842E2" w:rsidRPr="00D43C76" w:rsidRDefault="006842E2" w:rsidP="006842E2">
      <w:pPr>
        <w:pStyle w:val="parrafos"/>
        <w:tabs>
          <w:tab w:val="left" w:pos="720"/>
        </w:tabs>
        <w:rPr>
          <w:rFonts w:ascii="Cambria" w:hAnsi="Cambria"/>
          <w:lang w:val="es-ES_tradnl"/>
        </w:rPr>
      </w:pPr>
    </w:p>
    <w:p w14:paraId="199A3F0D" w14:textId="77777777" w:rsidR="00B67D5E" w:rsidRPr="00D43C76" w:rsidRDefault="00B4038B" w:rsidP="00B67D5E">
      <w:pPr>
        <w:pStyle w:val="parrafos"/>
        <w:tabs>
          <w:tab w:val="left" w:pos="720"/>
        </w:tabs>
        <w:ind w:right="180"/>
        <w:rPr>
          <w:rFonts w:ascii="Cambria" w:hAnsi="Cambria"/>
          <w:sz w:val="18"/>
          <w:szCs w:val="18"/>
          <w:lang w:val="es-ES_tradnl"/>
        </w:rPr>
      </w:pPr>
      <w:r w:rsidRPr="00D43C76">
        <w:rPr>
          <w:rFonts w:ascii="Cambria" w:hAnsi="Cambria"/>
          <w:lang w:val="es-ES_tradnl"/>
        </w:rPr>
        <w:tab/>
      </w:r>
      <w:r w:rsidRPr="00D43C76">
        <w:rPr>
          <w:rFonts w:ascii="Cambria" w:hAnsi="Cambria"/>
          <w:lang w:val="es-ES_tradnl"/>
        </w:rPr>
        <w:tab/>
      </w:r>
      <w:r w:rsidRPr="00D43C76">
        <w:rPr>
          <w:rFonts w:ascii="Cambria" w:hAnsi="Cambria"/>
          <w:sz w:val="18"/>
          <w:szCs w:val="18"/>
          <w:lang w:val="es-ES_tradnl"/>
        </w:rPr>
        <w:t>-</w:t>
      </w:r>
      <w:r w:rsidR="007E65FB" w:rsidRPr="00D43C76">
        <w:rPr>
          <w:rFonts w:ascii="Cambria" w:hAnsi="Cambria"/>
          <w:sz w:val="18"/>
          <w:szCs w:val="18"/>
          <w:lang w:val="es-ES_tradnl"/>
        </w:rPr>
        <w:t xml:space="preserve">S. H. </w:t>
      </w:r>
      <w:r w:rsidR="0020347B" w:rsidRPr="00D43C76">
        <w:rPr>
          <w:rFonts w:ascii="Cambria" w:hAnsi="Cambria"/>
          <w:sz w:val="18"/>
          <w:szCs w:val="18"/>
          <w:lang w:val="es-ES_tradnl"/>
        </w:rPr>
        <w:t>dijo qu</w:t>
      </w:r>
      <w:r w:rsidR="00216668" w:rsidRPr="00D43C76">
        <w:rPr>
          <w:rFonts w:ascii="Cambria" w:hAnsi="Cambria"/>
          <w:sz w:val="18"/>
          <w:szCs w:val="18"/>
          <w:lang w:val="es-ES_tradnl"/>
        </w:rPr>
        <w:t xml:space="preserve">e tiene miedo de hacerse la prueba del VIH o </w:t>
      </w:r>
      <w:r w:rsidR="000E27DC" w:rsidRPr="00D43C76">
        <w:rPr>
          <w:rFonts w:ascii="Cambria" w:hAnsi="Cambria"/>
          <w:sz w:val="18"/>
          <w:szCs w:val="18"/>
          <w:lang w:val="es-ES_tradnl"/>
        </w:rPr>
        <w:t xml:space="preserve">pruebas </w:t>
      </w:r>
      <w:r w:rsidR="00216668" w:rsidRPr="00D43C76">
        <w:rPr>
          <w:rFonts w:ascii="Cambria" w:hAnsi="Cambria"/>
          <w:sz w:val="18"/>
          <w:szCs w:val="18"/>
          <w:lang w:val="es-ES_tradnl"/>
        </w:rPr>
        <w:t>para detectar otras infecciones de transmisión sexual porque los hombres</w:t>
      </w:r>
      <w:r w:rsidR="00B67D5E" w:rsidRPr="00D43C76">
        <w:rPr>
          <w:rFonts w:ascii="Cambria" w:hAnsi="Cambria"/>
          <w:sz w:val="18"/>
          <w:szCs w:val="18"/>
          <w:lang w:val="es-ES_tradnl"/>
        </w:rPr>
        <w:t xml:space="preserve"> ga</w:t>
      </w:r>
      <w:r w:rsidR="00216668" w:rsidRPr="00D43C76">
        <w:rPr>
          <w:rFonts w:ascii="Cambria" w:hAnsi="Cambria"/>
          <w:sz w:val="18"/>
          <w:szCs w:val="18"/>
          <w:lang w:val="es-ES_tradnl"/>
        </w:rPr>
        <w:t xml:space="preserve">is y los </w:t>
      </w:r>
      <w:r w:rsidR="00E42EA3" w:rsidRPr="00D43C76">
        <w:rPr>
          <w:rFonts w:ascii="Cambria" w:hAnsi="Cambria"/>
          <w:sz w:val="18"/>
          <w:szCs w:val="18"/>
          <w:lang w:val="es-ES_tradnl"/>
        </w:rPr>
        <w:t>hombres que tienen relaciones sexuales con otros hombres</w:t>
      </w:r>
      <w:r w:rsidR="00B67D5E" w:rsidRPr="00D43C76">
        <w:rPr>
          <w:rFonts w:ascii="Cambria" w:hAnsi="Cambria"/>
          <w:sz w:val="18"/>
          <w:szCs w:val="18"/>
          <w:lang w:val="es-ES_tradnl"/>
        </w:rPr>
        <w:t xml:space="preserve"> </w:t>
      </w:r>
      <w:r w:rsidR="00216668" w:rsidRPr="00D43C76">
        <w:rPr>
          <w:rFonts w:ascii="Cambria" w:hAnsi="Cambria"/>
          <w:sz w:val="18"/>
          <w:szCs w:val="18"/>
          <w:lang w:val="es-ES_tradnl"/>
        </w:rPr>
        <w:t xml:space="preserve">suelen recibir un trato discriminatorio. </w:t>
      </w:r>
      <w:r w:rsidR="007E65FB" w:rsidRPr="00D43C76">
        <w:rPr>
          <w:rFonts w:ascii="Cambria" w:hAnsi="Cambria"/>
          <w:sz w:val="18"/>
          <w:szCs w:val="18"/>
          <w:lang w:val="es-ES_tradnl"/>
        </w:rPr>
        <w:t xml:space="preserve">T. B. </w:t>
      </w:r>
      <w:r w:rsidR="00216668" w:rsidRPr="00D43C76">
        <w:rPr>
          <w:rFonts w:ascii="Cambria" w:hAnsi="Cambria"/>
          <w:sz w:val="18"/>
          <w:szCs w:val="18"/>
          <w:lang w:val="es-ES_tradnl"/>
        </w:rPr>
        <w:t xml:space="preserve">dijo que, cuando fue a un hospital público, experimentó </w:t>
      </w:r>
      <w:r w:rsidR="00851B40" w:rsidRPr="00D43C76">
        <w:rPr>
          <w:rFonts w:ascii="Cambria" w:hAnsi="Cambria"/>
          <w:sz w:val="18"/>
          <w:szCs w:val="18"/>
          <w:lang w:val="es-ES_tradnl"/>
        </w:rPr>
        <w:t>discriminación</w:t>
      </w:r>
      <w:r w:rsidR="00B67D5E" w:rsidRPr="00D43C76">
        <w:rPr>
          <w:rFonts w:ascii="Cambria" w:hAnsi="Cambria"/>
          <w:sz w:val="18"/>
          <w:szCs w:val="18"/>
          <w:lang w:val="es-ES_tradnl"/>
        </w:rPr>
        <w:t xml:space="preserve"> </w:t>
      </w:r>
      <w:r w:rsidR="00216668" w:rsidRPr="00D43C76">
        <w:rPr>
          <w:rFonts w:ascii="Cambria" w:hAnsi="Cambria"/>
          <w:sz w:val="18"/>
          <w:szCs w:val="18"/>
          <w:lang w:val="es-ES_tradnl"/>
        </w:rPr>
        <w:t>debido a su aspecto y sus gestos</w:t>
      </w:r>
      <w:r w:rsidR="00B67D5E" w:rsidRPr="00D43C76">
        <w:rPr>
          <w:rFonts w:ascii="Cambria" w:hAnsi="Cambria"/>
          <w:sz w:val="18"/>
          <w:szCs w:val="18"/>
          <w:lang w:val="es-ES_tradnl"/>
        </w:rPr>
        <w:t xml:space="preserve">. </w:t>
      </w:r>
    </w:p>
    <w:p w14:paraId="4D7194D0" w14:textId="77777777" w:rsidR="00AE7653" w:rsidRPr="00D43C76" w:rsidRDefault="00B67D5E" w:rsidP="00C03112">
      <w:pPr>
        <w:pStyle w:val="parrafos"/>
        <w:tabs>
          <w:tab w:val="left" w:pos="720"/>
        </w:tabs>
        <w:ind w:right="180"/>
        <w:rPr>
          <w:rFonts w:ascii="Cambria" w:hAnsi="Cambria"/>
          <w:sz w:val="18"/>
          <w:szCs w:val="18"/>
          <w:lang w:val="es-ES_tradnl"/>
        </w:rPr>
      </w:pPr>
      <w:r w:rsidRPr="00D43C76">
        <w:rPr>
          <w:rFonts w:ascii="Cambria" w:hAnsi="Cambria"/>
          <w:sz w:val="18"/>
          <w:szCs w:val="18"/>
          <w:lang w:val="es-ES_tradnl"/>
        </w:rPr>
        <w:tab/>
      </w:r>
      <w:r w:rsidRPr="00D43C76">
        <w:rPr>
          <w:rFonts w:ascii="Cambria" w:hAnsi="Cambria"/>
          <w:sz w:val="18"/>
          <w:szCs w:val="18"/>
          <w:lang w:val="es-ES_tradnl"/>
        </w:rPr>
        <w:tab/>
        <w:t>-</w:t>
      </w:r>
      <w:r w:rsidR="00216668" w:rsidRPr="00D43C76">
        <w:rPr>
          <w:rFonts w:ascii="Cambria" w:hAnsi="Cambria"/>
          <w:sz w:val="18"/>
          <w:szCs w:val="18"/>
          <w:lang w:val="es-ES_tradnl"/>
        </w:rPr>
        <w:t>Ambos dijeron que, para recibir servicios de salud</w:t>
      </w:r>
      <w:r w:rsidRPr="00D43C76">
        <w:rPr>
          <w:rFonts w:ascii="Cambria" w:hAnsi="Cambria"/>
          <w:sz w:val="18"/>
          <w:szCs w:val="18"/>
          <w:lang w:val="es-ES_tradnl"/>
        </w:rPr>
        <w:t xml:space="preserve"> sexual</w:t>
      </w:r>
      <w:r w:rsidR="00216668" w:rsidRPr="00D43C76">
        <w:rPr>
          <w:rFonts w:ascii="Cambria" w:hAnsi="Cambria"/>
          <w:sz w:val="18"/>
          <w:szCs w:val="18"/>
          <w:lang w:val="es-ES_tradnl"/>
        </w:rPr>
        <w:t>, se exige que los pacientes respondan a preguntas sobre el compañero sexual. Por lo tanto, se enfrentan con el dilema de que, si dicen la verdad</w:t>
      </w:r>
      <w:r w:rsidR="000E27DC" w:rsidRPr="00D43C76">
        <w:rPr>
          <w:rFonts w:ascii="Cambria" w:hAnsi="Cambria"/>
          <w:sz w:val="18"/>
          <w:szCs w:val="18"/>
          <w:lang w:val="es-ES_tradnl"/>
        </w:rPr>
        <w:t xml:space="preserve"> —</w:t>
      </w:r>
      <w:r w:rsidR="00216668" w:rsidRPr="00D43C76">
        <w:rPr>
          <w:rFonts w:ascii="Cambria" w:hAnsi="Cambria"/>
          <w:sz w:val="18"/>
          <w:szCs w:val="18"/>
          <w:lang w:val="es-ES_tradnl"/>
        </w:rPr>
        <w:t>es decir, que han tenido relaciones sexuales con hombres</w:t>
      </w:r>
      <w:r w:rsidR="000E27DC" w:rsidRPr="00D43C76">
        <w:rPr>
          <w:rFonts w:ascii="Cambria" w:hAnsi="Cambria"/>
          <w:sz w:val="18"/>
          <w:szCs w:val="18"/>
          <w:lang w:val="es-ES_tradnl"/>
        </w:rPr>
        <w:t>—</w:t>
      </w:r>
      <w:r w:rsidR="00216668" w:rsidRPr="00D43C76">
        <w:rPr>
          <w:rFonts w:ascii="Cambria" w:hAnsi="Cambria"/>
          <w:sz w:val="18"/>
          <w:szCs w:val="18"/>
          <w:lang w:val="es-ES_tradnl"/>
        </w:rPr>
        <w:t xml:space="preserve">, estarán confesando un comportamiento que, en Jamaica, constituye un delito que puede castigarse con </w:t>
      </w:r>
      <w:r w:rsidRPr="00D43C76">
        <w:rPr>
          <w:rFonts w:ascii="Cambria" w:hAnsi="Cambria"/>
          <w:sz w:val="18"/>
          <w:szCs w:val="18"/>
          <w:lang w:val="es-ES_tradnl"/>
        </w:rPr>
        <w:t xml:space="preserve">10 </w:t>
      </w:r>
      <w:r w:rsidR="00216668" w:rsidRPr="00D43C76">
        <w:rPr>
          <w:rFonts w:ascii="Cambria" w:hAnsi="Cambria"/>
          <w:sz w:val="18"/>
          <w:szCs w:val="18"/>
          <w:lang w:val="es-ES_tradnl"/>
        </w:rPr>
        <w:t>años de cárcel. Por otro lado, si no dicen la verdad, no pueden recibir atención apropiada para su situación particular</w:t>
      </w:r>
      <w:r w:rsidRPr="00D43C76">
        <w:rPr>
          <w:rFonts w:ascii="Cambria" w:hAnsi="Cambria"/>
          <w:sz w:val="18"/>
          <w:szCs w:val="18"/>
          <w:lang w:val="es-ES_tradnl"/>
        </w:rPr>
        <w:t>.</w:t>
      </w:r>
    </w:p>
    <w:p w14:paraId="1966C728" w14:textId="77777777" w:rsidR="003566C5" w:rsidRPr="00D43C76" w:rsidRDefault="003566C5" w:rsidP="00C03112">
      <w:pPr>
        <w:pStyle w:val="parrafos"/>
        <w:tabs>
          <w:tab w:val="left" w:pos="720"/>
        </w:tabs>
        <w:ind w:right="180"/>
        <w:rPr>
          <w:rFonts w:ascii="Cambria" w:hAnsi="Cambria"/>
          <w:sz w:val="18"/>
          <w:szCs w:val="18"/>
          <w:lang w:val="es-ES_tradnl"/>
        </w:rPr>
      </w:pPr>
    </w:p>
    <w:p w14:paraId="16F309F9" w14:textId="77777777" w:rsidR="00240336" w:rsidRPr="00D43C76" w:rsidRDefault="00A365FB" w:rsidP="00E853E8">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La Comisión</w:t>
      </w:r>
      <w:r w:rsidR="00F4002C" w:rsidRPr="00D43C76">
        <w:rPr>
          <w:rFonts w:ascii="Cambria" w:hAnsi="Cambria"/>
          <w:lang w:val="es-ES_tradnl"/>
        </w:rPr>
        <w:t xml:space="preserve"> </w:t>
      </w:r>
      <w:r w:rsidR="00216668" w:rsidRPr="00D43C76">
        <w:rPr>
          <w:rFonts w:ascii="Cambria" w:hAnsi="Cambria"/>
          <w:lang w:val="es-ES_tradnl"/>
        </w:rPr>
        <w:t xml:space="preserve">ya ha señalado en apartados anteriores que la vigencia de la </w:t>
      </w:r>
      <w:r w:rsidR="005A4C18" w:rsidRPr="00D43C76">
        <w:rPr>
          <w:rFonts w:ascii="Cambria" w:hAnsi="Cambria"/>
          <w:lang w:val="es-ES_tradnl"/>
        </w:rPr>
        <w:t>Ley de Delitos contra la Persona</w:t>
      </w:r>
      <w:r w:rsidR="00D24207" w:rsidRPr="00D43C76">
        <w:rPr>
          <w:rFonts w:ascii="Cambria" w:hAnsi="Cambria"/>
          <w:lang w:val="es-ES_tradnl"/>
        </w:rPr>
        <w:t xml:space="preserve"> ha</w:t>
      </w:r>
      <w:r w:rsidR="00216668" w:rsidRPr="00D43C76">
        <w:rPr>
          <w:rFonts w:ascii="Cambria" w:hAnsi="Cambria"/>
          <w:lang w:val="es-ES_tradnl"/>
        </w:rPr>
        <w:t xml:space="preserve"> contribuido a un contexto de violencia y </w:t>
      </w:r>
      <w:r w:rsidR="00851B40" w:rsidRPr="00D43C76">
        <w:rPr>
          <w:rFonts w:ascii="Cambria" w:hAnsi="Cambria"/>
          <w:lang w:val="es-ES_tradnl"/>
        </w:rPr>
        <w:t>discriminación</w:t>
      </w:r>
      <w:r w:rsidR="00F4002C" w:rsidRPr="00D43C76">
        <w:rPr>
          <w:rFonts w:ascii="Cambria" w:hAnsi="Cambria"/>
          <w:lang w:val="es-ES_tradnl"/>
        </w:rPr>
        <w:t xml:space="preserve"> </w:t>
      </w:r>
      <w:r w:rsidR="00216668" w:rsidRPr="00D43C76">
        <w:rPr>
          <w:rFonts w:ascii="Cambria" w:hAnsi="Cambria"/>
          <w:lang w:val="es-ES_tradnl"/>
        </w:rPr>
        <w:t>contra las</w:t>
      </w:r>
      <w:r w:rsidR="00F4002C" w:rsidRPr="00D43C76">
        <w:rPr>
          <w:rFonts w:ascii="Cambria" w:hAnsi="Cambria"/>
          <w:lang w:val="es-ES_tradnl"/>
        </w:rPr>
        <w:t xml:space="preserve"> </w:t>
      </w:r>
      <w:r w:rsidR="00EB0856" w:rsidRPr="00D43C76">
        <w:rPr>
          <w:rFonts w:ascii="Cambria" w:hAnsi="Cambria"/>
          <w:lang w:val="es-ES_tradnl"/>
        </w:rPr>
        <w:t>personas LGBTI</w:t>
      </w:r>
      <w:r w:rsidR="00216668" w:rsidRPr="00D43C76">
        <w:rPr>
          <w:rFonts w:ascii="Cambria" w:hAnsi="Cambria"/>
          <w:lang w:val="es-ES_tradnl"/>
        </w:rPr>
        <w:t xml:space="preserve"> y, e</w:t>
      </w:r>
      <w:r w:rsidR="00F4002C" w:rsidRPr="00D43C76">
        <w:rPr>
          <w:rFonts w:ascii="Cambria" w:hAnsi="Cambria"/>
          <w:lang w:val="es-ES_tradnl"/>
        </w:rPr>
        <w:t>n particular</w:t>
      </w:r>
      <w:r w:rsidR="00216668" w:rsidRPr="00D43C76">
        <w:rPr>
          <w:rFonts w:ascii="Cambria" w:hAnsi="Cambria"/>
          <w:lang w:val="es-ES_tradnl"/>
        </w:rPr>
        <w:t xml:space="preserve">, a actos de violencia que </w:t>
      </w:r>
      <w:r w:rsidR="009A0AE8" w:rsidRPr="00D43C76">
        <w:rPr>
          <w:rFonts w:ascii="Cambria" w:hAnsi="Cambria"/>
          <w:lang w:val="es-ES_tradnl"/>
        </w:rPr>
        <w:t>las presuntas víctimas</w:t>
      </w:r>
      <w:r w:rsidR="00F4002C" w:rsidRPr="00D43C76">
        <w:rPr>
          <w:rFonts w:ascii="Cambria" w:hAnsi="Cambria"/>
          <w:lang w:val="es-ES_tradnl"/>
        </w:rPr>
        <w:t xml:space="preserve"> ha</w:t>
      </w:r>
      <w:r w:rsidR="00216668" w:rsidRPr="00D43C76">
        <w:rPr>
          <w:rFonts w:ascii="Cambria" w:hAnsi="Cambria"/>
          <w:lang w:val="es-ES_tradnl"/>
        </w:rPr>
        <w:t>n sufrido</w:t>
      </w:r>
      <w:r w:rsidR="00B117CA" w:rsidRPr="00D43C76">
        <w:rPr>
          <w:rFonts w:ascii="Cambria" w:hAnsi="Cambria"/>
          <w:lang w:val="es-ES_tradnl"/>
        </w:rPr>
        <w:t>.</w:t>
      </w:r>
      <w:r w:rsidR="00240336" w:rsidRPr="00D43C76">
        <w:rPr>
          <w:rFonts w:ascii="Cambria" w:hAnsi="Cambria"/>
          <w:lang w:val="es-ES_tradnl"/>
        </w:rPr>
        <w:t xml:space="preserve"> </w:t>
      </w:r>
      <w:r w:rsidRPr="00D43C76">
        <w:rPr>
          <w:rFonts w:ascii="Cambria" w:hAnsi="Cambria"/>
          <w:lang w:val="es-ES_tradnl"/>
        </w:rPr>
        <w:t>La CIDH</w:t>
      </w:r>
      <w:r w:rsidR="00240336" w:rsidRPr="00D43C76">
        <w:rPr>
          <w:rFonts w:ascii="Cambria" w:hAnsi="Cambria"/>
          <w:lang w:val="es-ES_tradnl"/>
        </w:rPr>
        <w:t xml:space="preserve"> </w:t>
      </w:r>
      <w:r w:rsidR="00216668" w:rsidRPr="00D43C76">
        <w:rPr>
          <w:rFonts w:ascii="Cambria" w:hAnsi="Cambria"/>
          <w:lang w:val="es-ES_tradnl"/>
        </w:rPr>
        <w:t>c</w:t>
      </w:r>
      <w:r w:rsidR="00240336" w:rsidRPr="00D43C76">
        <w:rPr>
          <w:rFonts w:ascii="Cambria" w:hAnsi="Cambria"/>
          <w:lang w:val="es-ES_tradnl"/>
        </w:rPr>
        <w:t>onsider</w:t>
      </w:r>
      <w:r w:rsidR="00216668" w:rsidRPr="00D43C76">
        <w:rPr>
          <w:rFonts w:ascii="Cambria" w:hAnsi="Cambria"/>
          <w:lang w:val="es-ES_tradnl"/>
        </w:rPr>
        <w:t xml:space="preserve">a asimismo que la existencia de dicha ley ha contribuido a la </w:t>
      </w:r>
      <w:r w:rsidR="00851B40" w:rsidRPr="00D43C76">
        <w:rPr>
          <w:rFonts w:ascii="Cambria" w:hAnsi="Cambria"/>
          <w:lang w:val="es-ES_tradnl"/>
        </w:rPr>
        <w:t>discriminación</w:t>
      </w:r>
      <w:r w:rsidR="00240336" w:rsidRPr="00D43C76">
        <w:rPr>
          <w:rFonts w:ascii="Cambria" w:hAnsi="Cambria"/>
          <w:lang w:val="es-ES_tradnl"/>
        </w:rPr>
        <w:t xml:space="preserve"> suf</w:t>
      </w:r>
      <w:r w:rsidR="00216668" w:rsidRPr="00D43C76">
        <w:rPr>
          <w:rFonts w:ascii="Cambria" w:hAnsi="Cambria"/>
          <w:lang w:val="es-ES_tradnl"/>
        </w:rPr>
        <w:t xml:space="preserve">rida por </w:t>
      </w:r>
      <w:r w:rsidR="009A0AE8" w:rsidRPr="00D43C76">
        <w:rPr>
          <w:rFonts w:ascii="Cambria" w:hAnsi="Cambria"/>
          <w:lang w:val="es-ES_tradnl"/>
        </w:rPr>
        <w:t>las presuntas víctimas</w:t>
      </w:r>
      <w:r w:rsidR="00240336" w:rsidRPr="00D43C76">
        <w:rPr>
          <w:rFonts w:ascii="Cambria" w:hAnsi="Cambria"/>
          <w:lang w:val="es-ES_tradnl"/>
        </w:rPr>
        <w:t xml:space="preserve"> </w:t>
      </w:r>
      <w:r w:rsidR="00216668" w:rsidRPr="00D43C76">
        <w:rPr>
          <w:rFonts w:ascii="Cambria" w:hAnsi="Cambria"/>
          <w:lang w:val="es-ES_tradnl"/>
        </w:rPr>
        <w:t>cuando acudieron a servicios de salud</w:t>
      </w:r>
      <w:r w:rsidR="000E27DC" w:rsidRPr="00D43C76">
        <w:rPr>
          <w:rFonts w:ascii="Cambria" w:hAnsi="Cambria"/>
          <w:lang w:val="es-ES_tradnl"/>
        </w:rPr>
        <w:t>,</w:t>
      </w:r>
      <w:r w:rsidR="00216668" w:rsidRPr="00D43C76">
        <w:rPr>
          <w:rFonts w:ascii="Cambria" w:hAnsi="Cambria"/>
          <w:lang w:val="es-ES_tradnl"/>
        </w:rPr>
        <w:t xml:space="preserve"> debido a su </w:t>
      </w:r>
      <w:r w:rsidR="00851B40" w:rsidRPr="00D43C76">
        <w:rPr>
          <w:rFonts w:ascii="Cambria" w:hAnsi="Cambria"/>
          <w:lang w:val="es-ES_tradnl"/>
        </w:rPr>
        <w:t>orientación sexual</w:t>
      </w:r>
      <w:r w:rsidR="00BC2339" w:rsidRPr="00D43C76">
        <w:rPr>
          <w:rFonts w:ascii="Cambria" w:hAnsi="Cambria"/>
          <w:lang w:val="es-ES_tradnl"/>
        </w:rPr>
        <w:t xml:space="preserve">, </w:t>
      </w:r>
      <w:r w:rsidR="00216668" w:rsidRPr="00D43C76">
        <w:rPr>
          <w:rFonts w:ascii="Cambria" w:hAnsi="Cambria"/>
          <w:lang w:val="es-ES_tradnl"/>
        </w:rPr>
        <w:t xml:space="preserve">su </w:t>
      </w:r>
      <w:r w:rsidR="00851B40" w:rsidRPr="00D43C76">
        <w:rPr>
          <w:rFonts w:ascii="Cambria" w:hAnsi="Cambria"/>
          <w:lang w:val="es-ES_tradnl"/>
        </w:rPr>
        <w:t>identidad de género</w:t>
      </w:r>
      <w:r w:rsidR="00BC2339" w:rsidRPr="00D43C76">
        <w:rPr>
          <w:rFonts w:ascii="Cambria" w:hAnsi="Cambria"/>
          <w:lang w:val="es-ES_tradnl"/>
        </w:rPr>
        <w:t xml:space="preserve"> o </w:t>
      </w:r>
      <w:r w:rsidR="00216668" w:rsidRPr="00D43C76">
        <w:rPr>
          <w:rFonts w:ascii="Cambria" w:hAnsi="Cambria"/>
          <w:lang w:val="es-ES_tradnl"/>
        </w:rPr>
        <w:t xml:space="preserve">su </w:t>
      </w:r>
      <w:r w:rsidR="00851B40" w:rsidRPr="00D43C76">
        <w:rPr>
          <w:rFonts w:ascii="Cambria" w:hAnsi="Cambria"/>
          <w:lang w:val="es-ES_tradnl"/>
        </w:rPr>
        <w:t>expresión de género</w:t>
      </w:r>
      <w:r w:rsidR="00BC2339" w:rsidRPr="00D43C76">
        <w:rPr>
          <w:rFonts w:ascii="Cambria" w:hAnsi="Cambria"/>
          <w:lang w:val="es-ES_tradnl"/>
        </w:rPr>
        <w:t xml:space="preserve">. </w:t>
      </w:r>
    </w:p>
    <w:p w14:paraId="04D25107" w14:textId="77777777" w:rsidR="00F4002C" w:rsidRPr="00D43C76" w:rsidRDefault="00F4002C" w:rsidP="00F4002C">
      <w:pPr>
        <w:pStyle w:val="parrafos"/>
        <w:tabs>
          <w:tab w:val="left" w:pos="720"/>
        </w:tabs>
        <w:rPr>
          <w:rFonts w:ascii="Cambria" w:hAnsi="Cambria"/>
          <w:lang w:val="es-ES_tradnl"/>
        </w:rPr>
      </w:pPr>
    </w:p>
    <w:p w14:paraId="137B3C88" w14:textId="77777777" w:rsidR="00877B12" w:rsidRPr="00D43C76" w:rsidRDefault="00A365FB" w:rsidP="00FD70F6">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La Comisión</w:t>
      </w:r>
      <w:r w:rsidR="00566E0E" w:rsidRPr="00D43C76">
        <w:rPr>
          <w:rFonts w:ascii="Cambria" w:hAnsi="Cambria"/>
          <w:lang w:val="es-ES_tradnl"/>
        </w:rPr>
        <w:t xml:space="preserve"> consider</w:t>
      </w:r>
      <w:r w:rsidR="00216668" w:rsidRPr="00D43C76">
        <w:rPr>
          <w:rFonts w:ascii="Cambria" w:hAnsi="Cambria"/>
          <w:lang w:val="es-ES_tradnl"/>
        </w:rPr>
        <w:t xml:space="preserve">a que la vigencia de la </w:t>
      </w:r>
      <w:r w:rsidR="005A4C18" w:rsidRPr="00D43C76">
        <w:rPr>
          <w:rFonts w:ascii="Cambria" w:hAnsi="Cambria"/>
          <w:lang w:val="es-ES_tradnl"/>
        </w:rPr>
        <w:t>Ley de Delitos contra la Persona</w:t>
      </w:r>
      <w:r w:rsidR="00566E0E" w:rsidRPr="00D43C76">
        <w:rPr>
          <w:rFonts w:ascii="Cambria" w:hAnsi="Cambria"/>
          <w:lang w:val="es-ES_tradnl"/>
        </w:rPr>
        <w:t xml:space="preserve"> ha</w:t>
      </w:r>
      <w:r w:rsidR="00216668" w:rsidRPr="00D43C76">
        <w:rPr>
          <w:rFonts w:ascii="Cambria" w:hAnsi="Cambria"/>
          <w:lang w:val="es-ES_tradnl"/>
        </w:rPr>
        <w:t xml:space="preserve"> creado por lo menos tres obstáculos para el acceso a la salud</w:t>
      </w:r>
      <w:r w:rsidR="00E43D3F" w:rsidRPr="00D43C76">
        <w:rPr>
          <w:rFonts w:ascii="Cambria" w:hAnsi="Cambria"/>
          <w:lang w:val="es-ES_tradnl"/>
        </w:rPr>
        <w:t xml:space="preserve">: 1) </w:t>
      </w:r>
      <w:r w:rsidR="00A358C6" w:rsidRPr="00D43C76">
        <w:rPr>
          <w:rFonts w:ascii="Cambria" w:hAnsi="Cambria"/>
          <w:lang w:val="es-ES_tradnl"/>
        </w:rPr>
        <w:t xml:space="preserve">ha menoscabado el acceso de </w:t>
      </w:r>
      <w:r w:rsidR="007E65FB" w:rsidRPr="00D43C76">
        <w:rPr>
          <w:rFonts w:ascii="Cambria" w:hAnsi="Cambria"/>
          <w:lang w:val="es-ES_tradnl"/>
        </w:rPr>
        <w:t xml:space="preserve">T. B. </w:t>
      </w:r>
      <w:r w:rsidR="00A358C6" w:rsidRPr="00D43C76">
        <w:rPr>
          <w:rFonts w:ascii="Cambria" w:hAnsi="Cambria"/>
          <w:lang w:val="es-ES_tradnl"/>
        </w:rPr>
        <w:t xml:space="preserve">y </w:t>
      </w:r>
      <w:r w:rsidR="007E65FB" w:rsidRPr="00D43C76">
        <w:rPr>
          <w:rFonts w:ascii="Cambria" w:hAnsi="Cambria"/>
          <w:lang w:val="es-ES_tradnl"/>
        </w:rPr>
        <w:t xml:space="preserve">S. H. </w:t>
      </w:r>
      <w:r w:rsidR="00A358C6" w:rsidRPr="00D43C76">
        <w:rPr>
          <w:rFonts w:ascii="Cambria" w:hAnsi="Cambria"/>
          <w:lang w:val="es-ES_tradnl"/>
        </w:rPr>
        <w:t xml:space="preserve">a la salud porque temen que sufrirán discriminación si buscan atención médica en el </w:t>
      </w:r>
      <w:r w:rsidR="009F1C1A" w:rsidRPr="00D43C76">
        <w:rPr>
          <w:rFonts w:ascii="Cambria" w:hAnsi="Cambria"/>
          <w:lang w:val="es-ES_tradnl"/>
        </w:rPr>
        <w:t>context</w:t>
      </w:r>
      <w:r w:rsidR="00A358C6" w:rsidRPr="00D43C76">
        <w:rPr>
          <w:rFonts w:ascii="Cambria" w:hAnsi="Cambria"/>
          <w:lang w:val="es-ES_tradnl"/>
        </w:rPr>
        <w:t xml:space="preserve">o de </w:t>
      </w:r>
      <w:r w:rsidR="00851B40" w:rsidRPr="00D43C76">
        <w:rPr>
          <w:rFonts w:ascii="Cambria" w:hAnsi="Cambria"/>
          <w:lang w:val="es-ES_tradnl"/>
        </w:rPr>
        <w:t>discriminación</w:t>
      </w:r>
      <w:r w:rsidR="009F1C1A" w:rsidRPr="00D43C76">
        <w:rPr>
          <w:rFonts w:ascii="Cambria" w:hAnsi="Cambria"/>
          <w:lang w:val="es-ES_tradnl"/>
        </w:rPr>
        <w:t xml:space="preserve"> </w:t>
      </w:r>
      <w:r w:rsidR="00A358C6" w:rsidRPr="00D43C76">
        <w:rPr>
          <w:rFonts w:ascii="Cambria" w:hAnsi="Cambria"/>
          <w:lang w:val="es-ES_tradnl"/>
        </w:rPr>
        <w:t>contra las</w:t>
      </w:r>
      <w:r w:rsidR="009F1C1A" w:rsidRPr="00D43C76">
        <w:rPr>
          <w:rFonts w:ascii="Cambria" w:hAnsi="Cambria"/>
          <w:lang w:val="es-ES_tradnl"/>
        </w:rPr>
        <w:t xml:space="preserve"> </w:t>
      </w:r>
      <w:r w:rsidR="00EB0856" w:rsidRPr="00D43C76">
        <w:rPr>
          <w:rFonts w:ascii="Cambria" w:hAnsi="Cambria"/>
          <w:lang w:val="es-ES_tradnl"/>
        </w:rPr>
        <w:t>personas LGBTI</w:t>
      </w:r>
      <w:r w:rsidR="009F1C1A" w:rsidRPr="00D43C76">
        <w:rPr>
          <w:rFonts w:ascii="Cambria" w:hAnsi="Cambria"/>
          <w:lang w:val="es-ES_tradnl"/>
        </w:rPr>
        <w:t xml:space="preserve"> </w:t>
      </w:r>
      <w:r w:rsidR="00A358C6" w:rsidRPr="00D43C76">
        <w:rPr>
          <w:rFonts w:ascii="Cambria" w:hAnsi="Cambria"/>
          <w:lang w:val="es-ES_tradnl"/>
        </w:rPr>
        <w:t>e</w:t>
      </w:r>
      <w:r w:rsidR="009F1C1A" w:rsidRPr="00D43C76">
        <w:rPr>
          <w:rFonts w:ascii="Cambria" w:hAnsi="Cambria"/>
          <w:lang w:val="es-ES_tradnl"/>
        </w:rPr>
        <w:t xml:space="preserve">n Jamaica; 2) </w:t>
      </w:r>
      <w:r w:rsidR="002E013A" w:rsidRPr="00D43C76">
        <w:rPr>
          <w:rFonts w:ascii="Cambria" w:hAnsi="Cambria"/>
          <w:lang w:val="es-ES_tradnl"/>
        </w:rPr>
        <w:t xml:space="preserve">en ciertas ocasiones en que </w:t>
      </w:r>
      <w:r w:rsidR="009A0AE8" w:rsidRPr="00D43C76">
        <w:rPr>
          <w:rFonts w:ascii="Cambria" w:hAnsi="Cambria"/>
          <w:lang w:val="es-ES_tradnl"/>
        </w:rPr>
        <w:t>las presuntas víctimas</w:t>
      </w:r>
      <w:r w:rsidR="003566C5" w:rsidRPr="00D43C76">
        <w:rPr>
          <w:rFonts w:ascii="Cambria" w:hAnsi="Cambria"/>
          <w:lang w:val="es-ES_tradnl"/>
        </w:rPr>
        <w:t xml:space="preserve"> </w:t>
      </w:r>
      <w:r w:rsidR="002E013A" w:rsidRPr="00D43C76">
        <w:rPr>
          <w:rFonts w:ascii="Cambria" w:hAnsi="Cambria"/>
          <w:lang w:val="es-ES_tradnl"/>
        </w:rPr>
        <w:t>acudieron a servicios de salud, sufrieron discriminación</w:t>
      </w:r>
      <w:r w:rsidR="003566C5" w:rsidRPr="00D43C76">
        <w:rPr>
          <w:rFonts w:ascii="Cambria" w:hAnsi="Cambria"/>
          <w:lang w:val="es-ES_tradnl"/>
        </w:rPr>
        <w:t>; 3)</w:t>
      </w:r>
      <w:r w:rsidR="009F1C1A" w:rsidRPr="00D43C76">
        <w:rPr>
          <w:rFonts w:ascii="Cambria" w:hAnsi="Cambria"/>
          <w:lang w:val="es-ES_tradnl"/>
        </w:rPr>
        <w:t xml:space="preserve"> </w:t>
      </w:r>
      <w:r w:rsidR="002E013A" w:rsidRPr="00D43C76">
        <w:rPr>
          <w:rFonts w:ascii="Cambria" w:hAnsi="Cambria"/>
          <w:lang w:val="es-ES_tradnl"/>
        </w:rPr>
        <w:t xml:space="preserve">les ha planteado el dilema de elegir entre recibir atención de salud adecuada, corriendo el riesgo de ser enjuiciadas en el ámbito penal por una conducta protegida por la Convención, y </w:t>
      </w:r>
      <w:r w:rsidR="007057A9" w:rsidRPr="00D43C76">
        <w:rPr>
          <w:rFonts w:ascii="Cambria" w:hAnsi="Cambria"/>
          <w:lang w:val="es-ES_tradnl"/>
        </w:rPr>
        <w:t xml:space="preserve">no </w:t>
      </w:r>
      <w:r w:rsidR="002E013A" w:rsidRPr="00D43C76">
        <w:rPr>
          <w:rFonts w:ascii="Cambria" w:hAnsi="Cambria"/>
          <w:lang w:val="es-ES_tradnl"/>
        </w:rPr>
        <w:t xml:space="preserve">revelar la información necesaria, pero no recibir tratamiento médico apropiado. </w:t>
      </w:r>
      <w:r w:rsidRPr="00D43C76">
        <w:rPr>
          <w:rFonts w:ascii="Cambria" w:hAnsi="Cambria"/>
          <w:lang w:val="es-ES_tradnl"/>
        </w:rPr>
        <w:t>La CIDH</w:t>
      </w:r>
      <w:r w:rsidR="009F1C1A" w:rsidRPr="00D43C76">
        <w:rPr>
          <w:rFonts w:ascii="Cambria" w:hAnsi="Cambria"/>
          <w:lang w:val="es-ES_tradnl"/>
        </w:rPr>
        <w:t xml:space="preserve"> consider</w:t>
      </w:r>
      <w:r w:rsidR="002E013A" w:rsidRPr="00D43C76">
        <w:rPr>
          <w:rFonts w:ascii="Cambria" w:hAnsi="Cambria"/>
          <w:lang w:val="es-ES_tradnl"/>
        </w:rPr>
        <w:t xml:space="preserve">a que, al mantener la vigencia de la </w:t>
      </w:r>
      <w:r w:rsidR="005A4C18" w:rsidRPr="00D43C76">
        <w:rPr>
          <w:rFonts w:ascii="Cambria" w:hAnsi="Cambria"/>
          <w:lang w:val="es-ES_tradnl"/>
        </w:rPr>
        <w:t>Ley de Delitos contra la Persona</w:t>
      </w:r>
      <w:r w:rsidR="00877B12" w:rsidRPr="00D43C76">
        <w:rPr>
          <w:rFonts w:ascii="Cambria" w:hAnsi="Cambria"/>
          <w:lang w:val="es-ES_tradnl"/>
        </w:rPr>
        <w:t xml:space="preserve">, </w:t>
      </w:r>
      <w:r w:rsidRPr="00D43C76">
        <w:rPr>
          <w:rFonts w:ascii="Cambria" w:hAnsi="Cambria"/>
          <w:lang w:val="es-ES_tradnl"/>
        </w:rPr>
        <w:t>el Estado</w:t>
      </w:r>
      <w:r w:rsidR="00877B12" w:rsidRPr="00D43C76">
        <w:rPr>
          <w:rFonts w:ascii="Cambria" w:hAnsi="Cambria"/>
          <w:lang w:val="es-ES_tradnl"/>
        </w:rPr>
        <w:t xml:space="preserve"> </w:t>
      </w:r>
      <w:r w:rsidR="002E013A" w:rsidRPr="00D43C76">
        <w:rPr>
          <w:rFonts w:ascii="Cambria" w:hAnsi="Cambria"/>
          <w:lang w:val="es-ES_tradnl"/>
        </w:rPr>
        <w:t xml:space="preserve">no </w:t>
      </w:r>
      <w:r w:rsidR="00877B12" w:rsidRPr="00D43C76">
        <w:rPr>
          <w:rFonts w:ascii="Cambria" w:hAnsi="Cambria"/>
          <w:lang w:val="es-ES_tradnl"/>
        </w:rPr>
        <w:t>ha</w:t>
      </w:r>
      <w:r w:rsidR="002E013A" w:rsidRPr="00D43C76">
        <w:rPr>
          <w:rFonts w:ascii="Cambria" w:hAnsi="Cambria"/>
          <w:lang w:val="es-ES_tradnl"/>
        </w:rPr>
        <w:t xml:space="preserve"> respetado el derecho de </w:t>
      </w:r>
      <w:r w:rsidR="009A0AE8" w:rsidRPr="00D43C76">
        <w:rPr>
          <w:rFonts w:ascii="Cambria" w:hAnsi="Cambria"/>
          <w:lang w:val="es-ES_tradnl"/>
        </w:rPr>
        <w:t>las presuntas víctimas</w:t>
      </w:r>
      <w:r w:rsidR="002E013A" w:rsidRPr="00D43C76">
        <w:rPr>
          <w:rFonts w:ascii="Cambria" w:hAnsi="Cambria"/>
          <w:lang w:val="es-ES_tradnl"/>
        </w:rPr>
        <w:t xml:space="preserve"> a la salud en condiciones de a</w:t>
      </w:r>
      <w:r w:rsidR="00877B12" w:rsidRPr="00D43C76">
        <w:rPr>
          <w:rFonts w:ascii="Cambria" w:hAnsi="Cambria"/>
          <w:lang w:val="es-ES_tradnl"/>
        </w:rPr>
        <w:t>ccesibili</w:t>
      </w:r>
      <w:r w:rsidR="002E013A" w:rsidRPr="00D43C76">
        <w:rPr>
          <w:rFonts w:ascii="Cambria" w:hAnsi="Cambria"/>
          <w:lang w:val="es-ES_tradnl"/>
        </w:rPr>
        <w:t xml:space="preserve">dad que prohíban la </w:t>
      </w:r>
      <w:r w:rsidR="00877B12" w:rsidRPr="00D43C76">
        <w:rPr>
          <w:rFonts w:ascii="Cambria" w:hAnsi="Cambria"/>
          <w:lang w:val="es-ES_tradnl"/>
        </w:rPr>
        <w:t>no</w:t>
      </w:r>
      <w:r w:rsidR="002E013A" w:rsidRPr="00D43C76">
        <w:rPr>
          <w:rFonts w:ascii="Cambria" w:hAnsi="Cambria"/>
          <w:lang w:val="es-ES_tradnl"/>
        </w:rPr>
        <w:t xml:space="preserve"> </w:t>
      </w:r>
      <w:r w:rsidR="00851B40" w:rsidRPr="00D43C76">
        <w:rPr>
          <w:rFonts w:ascii="Cambria" w:hAnsi="Cambria"/>
          <w:lang w:val="es-ES_tradnl"/>
        </w:rPr>
        <w:t>discriminación</w:t>
      </w:r>
      <w:r w:rsidR="00877B12" w:rsidRPr="00D43C76">
        <w:rPr>
          <w:rFonts w:ascii="Cambria" w:hAnsi="Cambria"/>
          <w:lang w:val="es-ES_tradnl"/>
        </w:rPr>
        <w:t xml:space="preserve">. </w:t>
      </w:r>
    </w:p>
    <w:p w14:paraId="79CDEFB7" w14:textId="77777777" w:rsidR="00F20F5C" w:rsidRPr="00D43C76" w:rsidRDefault="00F20F5C" w:rsidP="00F20F5C">
      <w:pPr>
        <w:pStyle w:val="parrafos"/>
        <w:tabs>
          <w:tab w:val="left" w:pos="720"/>
        </w:tabs>
        <w:rPr>
          <w:rFonts w:ascii="Cambria" w:hAnsi="Cambria"/>
          <w:lang w:val="es-ES_tradnl"/>
        </w:rPr>
      </w:pPr>
    </w:p>
    <w:p w14:paraId="6C72362A" w14:textId="77777777" w:rsidR="002853CC" w:rsidRPr="00D43C76" w:rsidRDefault="002E013A" w:rsidP="002E013A">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En virtud de las consideraciones precedentes, la Comisión concluye que</w:t>
      </w:r>
      <w:r w:rsidR="002853CC" w:rsidRPr="00D43C76">
        <w:rPr>
          <w:rFonts w:ascii="Cambria" w:hAnsi="Cambria"/>
          <w:lang w:val="es-ES_tradnl"/>
        </w:rPr>
        <w:t xml:space="preserve"> </w:t>
      </w:r>
      <w:r w:rsidR="00A365FB" w:rsidRPr="00D43C76">
        <w:rPr>
          <w:rFonts w:ascii="Cambria" w:hAnsi="Cambria"/>
          <w:lang w:val="es-ES_tradnl"/>
        </w:rPr>
        <w:t>el Estado</w:t>
      </w:r>
      <w:r w:rsidR="002853CC" w:rsidRPr="00D43C76">
        <w:rPr>
          <w:rFonts w:ascii="Cambria" w:hAnsi="Cambria"/>
          <w:lang w:val="es-ES_tradnl"/>
        </w:rPr>
        <w:t xml:space="preserve"> </w:t>
      </w:r>
      <w:r w:rsidRPr="00D43C76">
        <w:rPr>
          <w:rFonts w:ascii="Cambria" w:hAnsi="Cambria"/>
          <w:lang w:val="es-ES_tradnl"/>
        </w:rPr>
        <w:t xml:space="preserve">de </w:t>
      </w:r>
      <w:r w:rsidR="002853CC" w:rsidRPr="00D43C76">
        <w:rPr>
          <w:rFonts w:ascii="Cambria" w:hAnsi="Cambria"/>
          <w:lang w:val="es-ES_tradnl"/>
        </w:rPr>
        <w:t xml:space="preserve">Jamaica </w:t>
      </w:r>
      <w:r w:rsidRPr="00D43C76">
        <w:rPr>
          <w:rFonts w:ascii="Cambria" w:hAnsi="Cambria"/>
          <w:lang w:val="es-ES_tradnl"/>
        </w:rPr>
        <w:t>e</w:t>
      </w:r>
      <w:r w:rsidR="002853CC" w:rsidRPr="00D43C76">
        <w:rPr>
          <w:rFonts w:ascii="Cambria" w:hAnsi="Cambria"/>
          <w:lang w:val="es-ES_tradnl"/>
        </w:rPr>
        <w:t>s respons</w:t>
      </w:r>
      <w:r w:rsidRPr="00D43C76">
        <w:rPr>
          <w:rFonts w:ascii="Cambria" w:hAnsi="Cambria"/>
          <w:lang w:val="es-ES_tradnl"/>
        </w:rPr>
        <w:t>a</w:t>
      </w:r>
      <w:r w:rsidR="002853CC" w:rsidRPr="00D43C76">
        <w:rPr>
          <w:rFonts w:ascii="Cambria" w:hAnsi="Cambria"/>
          <w:lang w:val="es-ES_tradnl"/>
        </w:rPr>
        <w:t xml:space="preserve">ble </w:t>
      </w:r>
      <w:r w:rsidRPr="00D43C76">
        <w:rPr>
          <w:rFonts w:ascii="Cambria" w:hAnsi="Cambria"/>
          <w:lang w:val="es-ES_tradnl"/>
        </w:rPr>
        <w:t>de la violación del derecho a la salud amparado en el</w:t>
      </w:r>
      <w:r w:rsidR="002853CC" w:rsidRPr="00D43C76">
        <w:rPr>
          <w:rFonts w:ascii="Cambria" w:hAnsi="Cambria"/>
          <w:lang w:val="es-ES_tradnl"/>
        </w:rPr>
        <w:t xml:space="preserve"> </w:t>
      </w:r>
      <w:r w:rsidR="00845E02" w:rsidRPr="00D43C76">
        <w:rPr>
          <w:rFonts w:ascii="Cambria" w:hAnsi="Cambria"/>
          <w:lang w:val="es-ES_tradnl"/>
        </w:rPr>
        <w:t>artículo</w:t>
      </w:r>
      <w:r w:rsidR="002853CC" w:rsidRPr="00D43C76">
        <w:rPr>
          <w:rFonts w:ascii="Cambria" w:hAnsi="Cambria"/>
          <w:lang w:val="es-ES_tradnl"/>
        </w:rPr>
        <w:t xml:space="preserve"> 26 </w:t>
      </w:r>
      <w:r w:rsidRPr="00D43C76">
        <w:rPr>
          <w:rFonts w:ascii="Cambria" w:hAnsi="Cambria"/>
          <w:lang w:val="es-ES_tradnl"/>
        </w:rPr>
        <w:t>de</w:t>
      </w:r>
      <w:r w:rsidR="002853CC" w:rsidRPr="00D43C76">
        <w:rPr>
          <w:rFonts w:ascii="Cambria" w:hAnsi="Cambria"/>
          <w:lang w:val="es-ES_tradnl"/>
        </w:rPr>
        <w:t xml:space="preserve"> </w:t>
      </w:r>
      <w:r w:rsidR="00845E02" w:rsidRPr="00D43C76">
        <w:rPr>
          <w:rFonts w:ascii="Cambria" w:hAnsi="Cambria"/>
          <w:lang w:val="es-ES_tradnl"/>
        </w:rPr>
        <w:t>la Convención Americana</w:t>
      </w:r>
      <w:r w:rsidR="002853CC" w:rsidRPr="00D43C76">
        <w:rPr>
          <w:rFonts w:ascii="Cambria" w:hAnsi="Cambria"/>
          <w:lang w:val="es-ES_tradnl"/>
        </w:rPr>
        <w:t xml:space="preserve">, </w:t>
      </w:r>
      <w:r w:rsidRPr="00D43C76">
        <w:rPr>
          <w:rFonts w:ascii="Cambria" w:hAnsi="Cambria"/>
          <w:lang w:val="es-ES_tradnl"/>
        </w:rPr>
        <w:t>e</w:t>
      </w:r>
      <w:r w:rsidR="002853CC" w:rsidRPr="00D43C76">
        <w:rPr>
          <w:rFonts w:ascii="Cambria" w:hAnsi="Cambria"/>
          <w:lang w:val="es-ES_tradnl"/>
        </w:rPr>
        <w:t xml:space="preserve">n </w:t>
      </w:r>
      <w:r w:rsidRPr="00D43C76">
        <w:rPr>
          <w:rFonts w:ascii="Cambria" w:hAnsi="Cambria"/>
          <w:lang w:val="es-ES_tradnl"/>
        </w:rPr>
        <w:t>lo que respecta a las obligaciones establecidas en el a</w:t>
      </w:r>
      <w:r w:rsidR="00845E02" w:rsidRPr="00D43C76">
        <w:rPr>
          <w:rFonts w:ascii="Cambria" w:hAnsi="Cambria"/>
          <w:lang w:val="es-ES_tradnl"/>
        </w:rPr>
        <w:t>rtículo</w:t>
      </w:r>
      <w:r w:rsidR="002853CC" w:rsidRPr="00D43C76">
        <w:rPr>
          <w:rFonts w:ascii="Cambria" w:hAnsi="Cambria"/>
          <w:lang w:val="es-ES_tradnl"/>
        </w:rPr>
        <w:t xml:space="preserve"> 1.1 </w:t>
      </w:r>
      <w:r w:rsidRPr="00D43C76">
        <w:rPr>
          <w:rFonts w:ascii="Cambria" w:hAnsi="Cambria"/>
          <w:lang w:val="es-ES_tradnl"/>
        </w:rPr>
        <w:t xml:space="preserve">de dicho instrumento, en perjuicio de </w:t>
      </w:r>
      <w:r w:rsidR="007E65FB" w:rsidRPr="00D43C76">
        <w:rPr>
          <w:rFonts w:ascii="Cambria" w:hAnsi="Cambria"/>
          <w:lang w:val="es-ES_tradnl"/>
        </w:rPr>
        <w:t xml:space="preserve">T. B. </w:t>
      </w:r>
      <w:r w:rsidRPr="00D43C76">
        <w:rPr>
          <w:rFonts w:ascii="Cambria" w:hAnsi="Cambria"/>
          <w:lang w:val="es-ES_tradnl"/>
        </w:rPr>
        <w:t>y</w:t>
      </w:r>
      <w:r w:rsidR="002853CC" w:rsidRPr="00D43C76">
        <w:rPr>
          <w:rFonts w:ascii="Cambria" w:hAnsi="Cambria"/>
          <w:lang w:val="es-ES_tradnl"/>
        </w:rPr>
        <w:t xml:space="preserve"> </w:t>
      </w:r>
      <w:r w:rsidR="007E65FB" w:rsidRPr="00D43C76">
        <w:rPr>
          <w:rFonts w:ascii="Cambria" w:hAnsi="Cambria"/>
          <w:lang w:val="es-ES_tradnl"/>
        </w:rPr>
        <w:t>S.</w:t>
      </w:r>
      <w:r w:rsidRPr="00D43C76">
        <w:rPr>
          <w:rFonts w:ascii="Cambria" w:hAnsi="Cambria"/>
          <w:lang w:val="es-ES_tradnl"/>
        </w:rPr>
        <w:t> </w:t>
      </w:r>
      <w:r w:rsidR="007E65FB" w:rsidRPr="00D43C76">
        <w:rPr>
          <w:rFonts w:ascii="Cambria" w:hAnsi="Cambria"/>
          <w:lang w:val="es-ES_tradnl"/>
        </w:rPr>
        <w:t>H.</w:t>
      </w:r>
      <w:r w:rsidR="002853CC" w:rsidRPr="00D43C76">
        <w:rPr>
          <w:rFonts w:ascii="Cambria" w:hAnsi="Cambria"/>
          <w:lang w:val="es-ES_tradnl"/>
        </w:rPr>
        <w:t xml:space="preserve"> </w:t>
      </w:r>
    </w:p>
    <w:p w14:paraId="7494DEAB" w14:textId="77777777" w:rsidR="00DC07CC" w:rsidRPr="00D43C76" w:rsidRDefault="00DC07CC" w:rsidP="00004472">
      <w:pPr>
        <w:pStyle w:val="parrafos"/>
        <w:tabs>
          <w:tab w:val="left" w:pos="720"/>
        </w:tabs>
        <w:rPr>
          <w:lang w:val="es-ES_tradnl" w:eastAsia="es-ES"/>
        </w:rPr>
      </w:pPr>
    </w:p>
    <w:p w14:paraId="0E2F383E" w14:textId="77777777" w:rsidR="00B926A0" w:rsidRPr="00D43C76" w:rsidRDefault="009D72D8" w:rsidP="00FC346A">
      <w:pPr>
        <w:pStyle w:val="Heading2"/>
        <w:numPr>
          <w:ilvl w:val="0"/>
          <w:numId w:val="64"/>
        </w:numPr>
        <w:spacing w:before="0"/>
        <w:ind w:left="720" w:hanging="720"/>
        <w:rPr>
          <w:rFonts w:ascii="Cambria" w:eastAsia="Cambria" w:hAnsi="Cambria" w:cs="Cambria"/>
          <w:iCs/>
          <w:color w:val="000000"/>
          <w:sz w:val="20"/>
          <w:szCs w:val="20"/>
          <w:u w:color="000000"/>
          <w:lang w:val="es-ES_tradnl" w:eastAsia="es-ES"/>
        </w:rPr>
      </w:pPr>
      <w:bookmarkStart w:id="57" w:name="_Toc58491248"/>
      <w:bookmarkEnd w:id="46"/>
      <w:bookmarkEnd w:id="47"/>
      <w:r w:rsidRPr="00D43C76">
        <w:rPr>
          <w:rFonts w:ascii="Cambria" w:eastAsia="Cambria" w:hAnsi="Cambria" w:cs="Cambria"/>
          <w:iCs/>
          <w:color w:val="000000"/>
          <w:sz w:val="20"/>
          <w:szCs w:val="20"/>
          <w:u w:color="000000"/>
          <w:lang w:val="es-ES_tradnl" w:eastAsia="es-ES"/>
        </w:rPr>
        <w:t>El derecho a la protección judicial</w:t>
      </w:r>
      <w:r w:rsidR="003604FE" w:rsidRPr="00D43C76">
        <w:rPr>
          <w:rStyle w:val="FootnoteReference"/>
          <w:rFonts w:ascii="Cambria" w:eastAsia="Cambria" w:hAnsi="Cambria"/>
          <w:iCs/>
          <w:color w:val="000000"/>
          <w:sz w:val="20"/>
          <w:szCs w:val="20"/>
          <w:u w:color="000000"/>
          <w:lang w:val="es-ES_tradnl" w:eastAsia="es-ES"/>
        </w:rPr>
        <w:footnoteReference w:id="97"/>
      </w:r>
      <w:bookmarkEnd w:id="57"/>
    </w:p>
    <w:p w14:paraId="448D4836" w14:textId="77777777" w:rsidR="003604FE" w:rsidRPr="00D43C76" w:rsidRDefault="003604FE" w:rsidP="003604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_tradnl"/>
        </w:rPr>
      </w:pPr>
    </w:p>
    <w:p w14:paraId="7B182777" w14:textId="77777777" w:rsidR="00141103" w:rsidRPr="00D43C76" w:rsidRDefault="009D72D8" w:rsidP="00141103">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La CIDH recuerda que los Estados tienen la obligación general de proporcionar recursos judiciales efectivos a las personas que aleguen que han sido víctimas de violaciones de derechos humanos (artículo 25), los cuales deben concordar con las garantías procesales debidas (artículo 8.1). Para que exista un recurso no basta con que esté previsto en la ley, sino que debe ser realmente idóneo para determinar si se ha incurrido en una violación de derechos humanos y proveer lo necesario para repararla</w:t>
      </w:r>
      <w:r w:rsidR="00B926A0" w:rsidRPr="00D43C76">
        <w:rPr>
          <w:rFonts w:ascii="Cambria" w:hAnsi="Cambria"/>
          <w:vertAlign w:val="superscript"/>
          <w:lang w:val="es-ES_tradnl"/>
        </w:rPr>
        <w:footnoteReference w:id="98"/>
      </w:r>
      <w:r w:rsidRPr="00D43C76">
        <w:rPr>
          <w:rFonts w:ascii="Cambria" w:hAnsi="Cambria"/>
          <w:lang w:val="es-ES_tradnl"/>
        </w:rPr>
        <w:t>.</w:t>
      </w:r>
    </w:p>
    <w:p w14:paraId="68AEF6FD" w14:textId="77777777" w:rsidR="009D72D8" w:rsidRPr="00D43C76" w:rsidRDefault="009D72D8" w:rsidP="009D72D8">
      <w:pPr>
        <w:pStyle w:val="parrafos"/>
        <w:tabs>
          <w:tab w:val="left" w:pos="720"/>
        </w:tabs>
        <w:rPr>
          <w:rFonts w:ascii="Cambria" w:hAnsi="Cambria"/>
          <w:lang w:val="es-ES_tradnl"/>
        </w:rPr>
      </w:pPr>
    </w:p>
    <w:p w14:paraId="1B46445E" w14:textId="77777777" w:rsidR="009B56A0" w:rsidRPr="00D43C76" w:rsidRDefault="005A4C18"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En </w:t>
      </w:r>
      <w:r w:rsidRPr="00D43C76">
        <w:rPr>
          <w:rFonts w:ascii="Cambria" w:hAnsi="Cambria"/>
          <w:i/>
          <w:lang w:val="es-ES_tradnl"/>
        </w:rPr>
        <w:t>Boyce y otros contra Barbados</w:t>
      </w:r>
      <w:r w:rsidRPr="00D43C76">
        <w:rPr>
          <w:rFonts w:ascii="Cambria" w:hAnsi="Cambria"/>
          <w:lang w:val="es-ES_tradnl"/>
        </w:rPr>
        <w:t xml:space="preserve">, la Corte Interamericana determinó que Barbados no había cumplido las obligaciones asumidas de conformidad con el artículo 2 de la Convención, en </w:t>
      </w:r>
      <w:r w:rsidR="007057A9" w:rsidRPr="00D43C76">
        <w:rPr>
          <w:rFonts w:ascii="Cambria" w:hAnsi="Cambria"/>
          <w:lang w:val="es-ES_tradnl"/>
        </w:rPr>
        <w:t xml:space="preserve">lo que respecta a </w:t>
      </w:r>
      <w:r w:rsidRPr="00D43C76">
        <w:rPr>
          <w:rFonts w:ascii="Cambria" w:hAnsi="Cambria"/>
          <w:lang w:val="es-ES_tradnl"/>
        </w:rPr>
        <w:t>los artículos 1.1, 4.1 y 25.1, en vista de que la Constitución impedía toda impugnación judicial del artículo 2 de la Ley de Delitos contra la Persona, en la cual se establecía la pena de muerte obligatoria para toda persona condenada por homicidio. Según la Corte</w:t>
      </w:r>
      <w:r w:rsidR="00EE74B4" w:rsidRPr="00D43C76">
        <w:rPr>
          <w:rFonts w:ascii="Cambria" w:hAnsi="Cambria"/>
          <w:lang w:val="es-ES_tradnl"/>
        </w:rPr>
        <w:t>:</w:t>
      </w:r>
    </w:p>
    <w:p w14:paraId="71B998AC" w14:textId="77777777" w:rsidR="009B56A0" w:rsidRPr="00D43C76" w:rsidRDefault="009B56A0" w:rsidP="009B56A0">
      <w:pPr>
        <w:pStyle w:val="parrafos"/>
        <w:tabs>
          <w:tab w:val="left" w:pos="720"/>
        </w:tabs>
        <w:ind w:left="360" w:right="360"/>
        <w:rPr>
          <w:lang w:val="es-ES_tradnl"/>
        </w:rPr>
      </w:pPr>
    </w:p>
    <w:p w14:paraId="7822E61B" w14:textId="77777777" w:rsidR="005A4C18" w:rsidRPr="00D43C76" w:rsidRDefault="005A4C18" w:rsidP="005A4C18">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color w:val="000000" w:themeColor="text1"/>
          <w:sz w:val="18"/>
          <w:szCs w:val="18"/>
          <w:lang w:val="es-ES_tradnl"/>
        </w:rPr>
      </w:pPr>
      <w:r w:rsidRPr="00D43C76">
        <w:rPr>
          <w:rFonts w:asciiTheme="majorHAnsi" w:hAnsiTheme="majorHAnsi"/>
          <w:color w:val="000000" w:themeColor="text1"/>
          <w:sz w:val="18"/>
          <w:szCs w:val="18"/>
          <w:lang w:val="es-ES_tradnl"/>
        </w:rPr>
        <w:t>El artículo 26 de la Constitución de Barbados previene que tribunales puedan declarar la inconstitucionalidad de leyes existentes que hayan sido promulgadas antes de la entrada en vigor de la Constitución, esto es, antes del 30 de noviembre de 1966. Dicho artículo se conoce como una “cláusula de exclusión” dado que no permite que dichas leyes se sometan a una revisión de constitucionalidad de normas, y por lo tanto, las “excluye” de tal proceso. En efecto, el artículo 26 no permite la impugnación de aquellas leyes vigentes, previas a la constitución, con el propósito de revisar su constitucionalidad aun cuando el fin de dicha revisión sea analizar si la ley viola derechos y libertades fundamentales. Este es el caso del artículo 2 de la LDCP, que entró en vigor al momento de la promulgación de la Ley de Delitos Contra la Persona de 1868. Es decir, el artículo 2 de la LDCP es una ley previa a la constitución actual, y que continúa siendo ley en Barbados. Por lo tanto, en virtud de la “cláusula de exclusión”, la constitucionalidad del artículo 2 de la LDCP no puede ser impugnada a nivel interno.</w:t>
      </w:r>
    </w:p>
    <w:p w14:paraId="6DE2A21A" w14:textId="77777777" w:rsidR="005A4C18" w:rsidRPr="00D43C76" w:rsidRDefault="005A4C18" w:rsidP="005A4C18">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color w:val="000000" w:themeColor="text1"/>
          <w:sz w:val="18"/>
          <w:szCs w:val="18"/>
          <w:lang w:val="es-ES_tradnl"/>
        </w:rPr>
      </w:pPr>
    </w:p>
    <w:p w14:paraId="2A71A8DF" w14:textId="77777777" w:rsidR="00EE74B4" w:rsidRPr="00D43C76" w:rsidRDefault="005A4C18" w:rsidP="005A4C18">
      <w:pPr>
        <w:pStyle w:val="parrafos"/>
        <w:tabs>
          <w:tab w:val="left" w:pos="720"/>
        </w:tabs>
        <w:ind w:left="360" w:right="360"/>
        <w:rPr>
          <w:sz w:val="18"/>
          <w:szCs w:val="18"/>
          <w:lang w:val="es-ES_tradnl"/>
        </w:rPr>
      </w:pPr>
      <w:r w:rsidRPr="00D43C76">
        <w:rPr>
          <w:color w:val="auto"/>
          <w:sz w:val="18"/>
          <w:szCs w:val="18"/>
          <w:lang w:val="es-ES_tradnl"/>
        </w:rPr>
        <w:t>En este sentido, a la luz de la jurisprudencia de la Corte y en tanto que el artículo 26 de la Constitución de Barbados impide el escrutinio judicial sobre el artículo 2 de la Ley de Delitos contra la Persona, que a su vez es violatoria del derecho a no ser privado, arbitrariamente, de la vida, la Corte considera que el Estado no ha cumplido con el deber establecido en el artículo 2 de la Convención en relación con los artículos 1.1, 4.1, 4.2 y 25.1 de dicho instrumento</w:t>
      </w:r>
      <w:r w:rsidR="009B56A0" w:rsidRPr="00D43C76">
        <w:rPr>
          <w:rStyle w:val="FootnoteReference"/>
          <w:sz w:val="18"/>
          <w:szCs w:val="18"/>
          <w:lang w:val="es-ES_tradnl"/>
        </w:rPr>
        <w:footnoteReference w:id="99"/>
      </w:r>
      <w:r w:rsidRPr="00D43C76">
        <w:rPr>
          <w:color w:val="auto"/>
          <w:sz w:val="18"/>
          <w:szCs w:val="18"/>
          <w:lang w:val="es-ES_tradnl"/>
        </w:rPr>
        <w:t>.</w:t>
      </w:r>
    </w:p>
    <w:p w14:paraId="65683C5D" w14:textId="77777777" w:rsidR="00EE74B4" w:rsidRPr="00D43C76" w:rsidRDefault="00EE74B4" w:rsidP="00656562">
      <w:pPr>
        <w:pStyle w:val="parrafos"/>
        <w:tabs>
          <w:tab w:val="left" w:pos="720"/>
        </w:tabs>
        <w:rPr>
          <w:rFonts w:ascii="Cambria" w:hAnsi="Cambria"/>
          <w:lang w:val="es-ES_tradnl"/>
        </w:rPr>
      </w:pPr>
    </w:p>
    <w:p w14:paraId="6AE0B551" w14:textId="77777777" w:rsidR="00BC5E97" w:rsidRPr="00D43C76" w:rsidRDefault="005A4C18"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En el caso de autos, la Comisión observa que la Constitución de Jamaica dispone que no se puede declarar que las leyes sobre delitos sexuales son incompatibles con la Constitución o contravienen sus disposiciones. El Estado argumentó que es posible impugnar los artículos pertinentes de la Ley de Delitos contra la Persona, pero no aportó pruebas de la existencia de un recurso efectivo</w:t>
      </w:r>
      <w:r w:rsidR="0041301B" w:rsidRPr="00D43C76">
        <w:rPr>
          <w:rFonts w:ascii="Cambria" w:hAnsi="Cambria"/>
          <w:lang w:val="es-ES_tradnl"/>
        </w:rPr>
        <w:t xml:space="preserve">. </w:t>
      </w:r>
    </w:p>
    <w:p w14:paraId="4998D617" w14:textId="77777777" w:rsidR="008C00E3" w:rsidRPr="00D43C76" w:rsidRDefault="008C00E3" w:rsidP="008C00E3">
      <w:pPr>
        <w:rPr>
          <w:lang w:val="es-ES_tradnl"/>
        </w:rPr>
      </w:pPr>
    </w:p>
    <w:p w14:paraId="075A1F54" w14:textId="77777777" w:rsidR="00924F1F" w:rsidRPr="00D43C76" w:rsidRDefault="005A4C18" w:rsidP="00AF203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La Comisión recuerda que en 2013 se impugnaron los artículos 76, 77 y 79 de la Ley de Delitos contra la Persona, pero que la impugnación fue retirada, y que se interpuso otra en 2015, que todavía está pendiente</w:t>
      </w:r>
      <w:r w:rsidR="002C1841" w:rsidRPr="00D43C76">
        <w:rPr>
          <w:rFonts w:ascii="Cambria" w:hAnsi="Cambria"/>
          <w:lang w:val="es-ES_tradnl"/>
        </w:rPr>
        <w:t xml:space="preserve">. </w:t>
      </w:r>
    </w:p>
    <w:p w14:paraId="27708D5E" w14:textId="77777777" w:rsidR="00AF2034" w:rsidRPr="00D43C76" w:rsidRDefault="00AF2034" w:rsidP="00AF2034">
      <w:pPr>
        <w:pStyle w:val="parrafos"/>
        <w:tabs>
          <w:tab w:val="left" w:pos="720"/>
        </w:tabs>
        <w:rPr>
          <w:rFonts w:ascii="Cambria" w:hAnsi="Cambria"/>
          <w:lang w:val="es-ES_tradnl"/>
        </w:rPr>
      </w:pPr>
    </w:p>
    <w:p w14:paraId="23EC1D4D" w14:textId="77777777" w:rsidR="00393955" w:rsidRPr="00D43C76" w:rsidRDefault="005A4C18"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La CIDH considera que la mera presentación de una acción no es prueba de la existencia y la efectividad de un recurso, especialmente en vista del texto de una ley que dice expresamente que no se puede declarar la inconstitucionalidad de los delitos sexuales, como los que se reglamentan en los artículos antedichos de la Ley de Delitos contra la Persona. Por consiguiente, la Comisión considera que</w:t>
      </w:r>
      <w:r w:rsidR="00393955" w:rsidRPr="00D43C76">
        <w:rPr>
          <w:rFonts w:ascii="Cambria" w:hAnsi="Cambria"/>
          <w:lang w:val="es-ES_tradnl"/>
        </w:rPr>
        <w:t xml:space="preserve"> </w:t>
      </w:r>
      <w:r w:rsidR="007E65FB" w:rsidRPr="00D43C76">
        <w:rPr>
          <w:rFonts w:ascii="Cambria" w:hAnsi="Cambria"/>
          <w:lang w:val="es-ES_tradnl"/>
        </w:rPr>
        <w:t xml:space="preserve">T. B. </w:t>
      </w:r>
      <w:r w:rsidRPr="00D43C76">
        <w:rPr>
          <w:rFonts w:ascii="Cambria" w:hAnsi="Cambria"/>
          <w:lang w:val="es-ES_tradnl"/>
        </w:rPr>
        <w:t>y</w:t>
      </w:r>
      <w:r w:rsidR="00DE312E" w:rsidRPr="00D43C76">
        <w:rPr>
          <w:rFonts w:ascii="Cambria" w:hAnsi="Cambria"/>
          <w:lang w:val="es-ES_tradnl"/>
        </w:rPr>
        <w:t xml:space="preserve"> </w:t>
      </w:r>
      <w:r w:rsidR="007E65FB" w:rsidRPr="00D43C76">
        <w:rPr>
          <w:rFonts w:ascii="Cambria" w:hAnsi="Cambria"/>
          <w:lang w:val="es-ES_tradnl"/>
        </w:rPr>
        <w:t xml:space="preserve">S. H. </w:t>
      </w:r>
      <w:r w:rsidRPr="00D43C76">
        <w:rPr>
          <w:rFonts w:ascii="Cambria" w:hAnsi="Cambria"/>
          <w:lang w:val="es-ES_tradnl"/>
        </w:rPr>
        <w:t>no contaron con un recurso efectivo que los protegiera contra actos violatorios de sus derechos humanos</w:t>
      </w:r>
      <w:r w:rsidR="00393955" w:rsidRPr="00D43C76">
        <w:rPr>
          <w:rFonts w:ascii="Cambria" w:hAnsi="Cambria"/>
          <w:lang w:val="es-ES_tradnl"/>
        </w:rPr>
        <w:t xml:space="preserve">. </w:t>
      </w:r>
    </w:p>
    <w:p w14:paraId="342CD7C2" w14:textId="77777777" w:rsidR="00924F1F" w:rsidRPr="00D43C76" w:rsidRDefault="00924F1F" w:rsidP="00924F1F">
      <w:pPr>
        <w:pStyle w:val="ListParagraph"/>
        <w:rPr>
          <w:lang w:val="es-ES_tradnl"/>
        </w:rPr>
      </w:pPr>
    </w:p>
    <w:p w14:paraId="375DFD93" w14:textId="77777777" w:rsidR="00924F1F" w:rsidRPr="00D43C76" w:rsidRDefault="005A4C18" w:rsidP="006637A4">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En virtud de las consideraciones precedentes, la Comisión concluye que el Estado de Jamaica es responsable de la violación del derecho a la protección judicial amparado por el artículo 25.1 de la Convención, en </w:t>
      </w:r>
      <w:r w:rsidR="003177F3" w:rsidRPr="00D43C76">
        <w:rPr>
          <w:rFonts w:ascii="Cambria" w:hAnsi="Cambria"/>
          <w:lang w:val="es-ES_tradnl"/>
        </w:rPr>
        <w:t xml:space="preserve">lo que respecta a </w:t>
      </w:r>
      <w:r w:rsidRPr="00D43C76">
        <w:rPr>
          <w:rFonts w:ascii="Cambria" w:hAnsi="Cambria"/>
          <w:lang w:val="es-ES_tradnl"/>
        </w:rPr>
        <w:t>las obligaciones establecidas en los artículos 1.1 y 2 de dicho instrumento, en perjuicio de</w:t>
      </w:r>
      <w:r w:rsidR="00924F1F" w:rsidRPr="00D43C76">
        <w:rPr>
          <w:rFonts w:ascii="Cambria" w:hAnsi="Cambria"/>
          <w:lang w:val="es-ES_tradnl"/>
        </w:rPr>
        <w:t xml:space="preserve"> </w:t>
      </w:r>
      <w:r w:rsidR="007E65FB" w:rsidRPr="00D43C76">
        <w:rPr>
          <w:rFonts w:ascii="Cambria" w:hAnsi="Cambria"/>
          <w:lang w:val="es-ES_tradnl"/>
        </w:rPr>
        <w:t xml:space="preserve">T. B. </w:t>
      </w:r>
      <w:r w:rsidRPr="00D43C76">
        <w:rPr>
          <w:rFonts w:ascii="Cambria" w:hAnsi="Cambria"/>
          <w:lang w:val="es-ES_tradnl"/>
        </w:rPr>
        <w:t>y</w:t>
      </w:r>
      <w:r w:rsidR="00924F1F" w:rsidRPr="00D43C76">
        <w:rPr>
          <w:rFonts w:ascii="Cambria" w:hAnsi="Cambria"/>
          <w:lang w:val="es-ES_tradnl"/>
        </w:rPr>
        <w:t xml:space="preserve"> </w:t>
      </w:r>
      <w:r w:rsidR="007E65FB" w:rsidRPr="00D43C76">
        <w:rPr>
          <w:rFonts w:ascii="Cambria" w:hAnsi="Cambria"/>
          <w:lang w:val="es-ES_tradnl"/>
        </w:rPr>
        <w:t>S. H.</w:t>
      </w:r>
      <w:r w:rsidR="00924F1F" w:rsidRPr="00D43C76">
        <w:rPr>
          <w:rFonts w:ascii="Cambria" w:hAnsi="Cambria"/>
          <w:lang w:val="es-ES_tradnl"/>
        </w:rPr>
        <w:t xml:space="preserve"> </w:t>
      </w:r>
    </w:p>
    <w:p w14:paraId="2BD5D0E9" w14:textId="77777777" w:rsidR="00E079F6" w:rsidRPr="00D43C76" w:rsidRDefault="00E079F6" w:rsidP="00E079F6">
      <w:pPr>
        <w:pStyle w:val="Heading1"/>
        <w:numPr>
          <w:ilvl w:val="0"/>
          <w:numId w:val="0"/>
        </w:numPr>
        <w:spacing w:before="0"/>
        <w:rPr>
          <w:color w:val="auto"/>
          <w:sz w:val="20"/>
          <w:szCs w:val="20"/>
          <w:lang w:val="es-ES_tradnl"/>
        </w:rPr>
      </w:pPr>
      <w:bookmarkStart w:id="58" w:name="_Toc16152290"/>
      <w:bookmarkStart w:id="59" w:name="_Toc18144545"/>
    </w:p>
    <w:p w14:paraId="44BC52AF" w14:textId="77777777" w:rsidR="00E079F6" w:rsidRPr="00D43C76" w:rsidRDefault="00E079F6" w:rsidP="00E079F6">
      <w:pPr>
        <w:pStyle w:val="Heading1"/>
        <w:spacing w:before="0"/>
        <w:ind w:left="360"/>
        <w:rPr>
          <w:color w:val="auto"/>
          <w:sz w:val="20"/>
          <w:szCs w:val="20"/>
          <w:lang w:val="es-ES_tradnl"/>
        </w:rPr>
      </w:pPr>
      <w:bookmarkStart w:id="60" w:name="_Toc58491249"/>
      <w:bookmarkStart w:id="61" w:name="_Toc25336679"/>
      <w:r w:rsidRPr="00D43C76">
        <w:rPr>
          <w:color w:val="auto"/>
          <w:sz w:val="20"/>
          <w:szCs w:val="20"/>
          <w:lang w:val="es-ES_tradnl"/>
        </w:rPr>
        <w:t>ACCIONES POSTERIORES AL INFORME N</w:t>
      </w:r>
      <w:r w:rsidR="003717F0" w:rsidRPr="00D43C76">
        <w:rPr>
          <w:color w:val="auto"/>
          <w:sz w:val="20"/>
          <w:szCs w:val="20"/>
          <w:lang w:val="es-ES_tradnl"/>
        </w:rPr>
        <w:t>o</w:t>
      </w:r>
      <w:r w:rsidRPr="00D43C76">
        <w:rPr>
          <w:color w:val="auto"/>
          <w:sz w:val="20"/>
          <w:szCs w:val="20"/>
          <w:lang w:val="es-ES_tradnl"/>
        </w:rPr>
        <w:t>. 240/19</w:t>
      </w:r>
      <w:bookmarkEnd w:id="60"/>
    </w:p>
    <w:p w14:paraId="07BCEDD4" w14:textId="77777777" w:rsidR="00E079F6" w:rsidRPr="00D43C76" w:rsidRDefault="00E079F6" w:rsidP="00E079F6">
      <w:pPr>
        <w:pStyle w:val="Heading1"/>
        <w:numPr>
          <w:ilvl w:val="0"/>
          <w:numId w:val="0"/>
        </w:numPr>
        <w:spacing w:before="0"/>
        <w:rPr>
          <w:color w:val="auto"/>
          <w:sz w:val="20"/>
          <w:szCs w:val="20"/>
          <w:lang w:val="es-ES_tradnl"/>
        </w:rPr>
      </w:pPr>
    </w:p>
    <w:p w14:paraId="75FC80DB" w14:textId="77777777" w:rsidR="00E079F6" w:rsidRPr="00D43C76" w:rsidRDefault="00E079F6" w:rsidP="00E079F6">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5 de diciembre de 2019 la Comisión aprobó el Informe No. 240/19 sobre el fondo de este caso, que abarca los párrafos 1 a 131 </w:t>
      </w:r>
      <w:r w:rsidRPr="00D43C76">
        <w:rPr>
          <w:rFonts w:ascii="Cambria" w:hAnsi="Cambria"/>
          <w:i/>
          <w:iCs/>
          <w:lang w:val="es-ES_tradnl"/>
        </w:rPr>
        <w:t>supra</w:t>
      </w:r>
      <w:r w:rsidRPr="00D43C76">
        <w:rPr>
          <w:rFonts w:ascii="Cambria" w:hAnsi="Cambria"/>
          <w:lang w:val="es-ES_tradnl"/>
        </w:rPr>
        <w:t xml:space="preserve"> y emitió las siguientes recomendaciones al Estado. </w:t>
      </w:r>
    </w:p>
    <w:p w14:paraId="72E83D27" w14:textId="77777777" w:rsidR="00E079F6" w:rsidRPr="00D43C76" w:rsidRDefault="00E079F6" w:rsidP="00E079F6">
      <w:pPr>
        <w:jc w:val="both"/>
        <w:rPr>
          <w:rFonts w:ascii="Cambria" w:hAnsi="Cambria"/>
          <w:b/>
          <w:sz w:val="20"/>
          <w:szCs w:val="20"/>
          <w:lang w:val="es-ES_tradnl"/>
        </w:rPr>
      </w:pPr>
    </w:p>
    <w:p w14:paraId="527EFB13" w14:textId="77777777" w:rsidR="00E079F6" w:rsidRPr="00D43C76" w:rsidRDefault="00E079F6" w:rsidP="00E079F6">
      <w:pPr>
        <w:pStyle w:val="BodyText3"/>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810"/>
          <w:tab w:val="left" w:pos="1440"/>
          <w:tab w:val="left" w:pos="9360"/>
        </w:tabs>
        <w:spacing w:after="0"/>
        <w:ind w:left="0" w:firstLine="0"/>
        <w:jc w:val="both"/>
        <w:rPr>
          <w:sz w:val="20"/>
          <w:szCs w:val="20"/>
          <w:lang w:val="es-ES_tradnl"/>
        </w:rPr>
      </w:pPr>
      <w:r w:rsidRPr="00D43C76">
        <w:rPr>
          <w:sz w:val="20"/>
          <w:szCs w:val="20"/>
          <w:lang w:val="es-ES_tradnl"/>
        </w:rPr>
        <w:t>Reparar integralmente las violaciones de derechos humanos señaladas en el presente informe, en el aspecto tanto material como inmaterial. Ello debe incluir una indemnización pecuniaria así como medidas de satisfacción.</w:t>
      </w:r>
    </w:p>
    <w:p w14:paraId="6C72F61F" w14:textId="77777777" w:rsidR="00E079F6" w:rsidRPr="00D43C76" w:rsidRDefault="00E079F6" w:rsidP="00E079F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s-ES_tradnl"/>
        </w:rPr>
      </w:pPr>
    </w:p>
    <w:p w14:paraId="1158E486" w14:textId="77777777" w:rsidR="00E079F6" w:rsidRPr="00D43C76" w:rsidRDefault="00E079F6" w:rsidP="00E079F6">
      <w:pPr>
        <w:pStyle w:val="BodyText3"/>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0"/>
        <w:jc w:val="both"/>
        <w:rPr>
          <w:sz w:val="20"/>
          <w:szCs w:val="20"/>
          <w:lang w:val="es-ES_tradnl"/>
        </w:rPr>
      </w:pPr>
      <w:r w:rsidRPr="00D43C76">
        <w:rPr>
          <w:sz w:val="20"/>
          <w:szCs w:val="20"/>
          <w:lang w:val="es-ES_tradnl"/>
        </w:rPr>
        <w:t>Adoptar las medidas de no repetición necesarias para evitar que se produzcan incidentes similares en el futuro, específicamente:</w:t>
      </w:r>
    </w:p>
    <w:p w14:paraId="1A439377" w14:textId="77777777" w:rsidR="00E079F6" w:rsidRPr="00D43C76" w:rsidRDefault="00E079F6" w:rsidP="00E079F6">
      <w:pPr>
        <w:pStyle w:val="ListParagraph"/>
        <w:rPr>
          <w:sz w:val="20"/>
          <w:szCs w:val="20"/>
          <w:lang w:val="es-ES_tradnl"/>
        </w:rPr>
      </w:pPr>
    </w:p>
    <w:p w14:paraId="2D7D0B35" w14:textId="77777777" w:rsidR="00E079F6" w:rsidRPr="00D43C76" w:rsidRDefault="00E079F6" w:rsidP="00E079F6">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1440"/>
        <w:jc w:val="both"/>
        <w:rPr>
          <w:sz w:val="20"/>
          <w:szCs w:val="20"/>
          <w:lang w:val="es-ES_tradnl"/>
        </w:rPr>
      </w:pPr>
      <w:r w:rsidRPr="00D43C76">
        <w:rPr>
          <w:sz w:val="20"/>
          <w:szCs w:val="20"/>
          <w:lang w:val="es-ES_tradnl"/>
        </w:rPr>
        <w:t>Derogar los artículos de la Ley de Delitos contra la Persona que tipifican como delito la actividad sexual consensual realizada en privado entre adultos y la conducta sexual consensual entre hombres que tienen sexo con otros hombres o con homosexuales;</w:t>
      </w:r>
    </w:p>
    <w:p w14:paraId="3123B4F7" w14:textId="77777777" w:rsidR="00E079F6" w:rsidRPr="00D43C76" w:rsidRDefault="00E079F6" w:rsidP="00E079F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1080"/>
        <w:jc w:val="both"/>
        <w:rPr>
          <w:sz w:val="20"/>
          <w:szCs w:val="20"/>
          <w:lang w:val="es-ES_tradnl"/>
        </w:rPr>
      </w:pPr>
    </w:p>
    <w:p w14:paraId="41E230DC" w14:textId="77777777" w:rsidR="00E079F6" w:rsidRPr="00D43C76" w:rsidRDefault="00E079F6" w:rsidP="00E079F6">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1440"/>
        <w:jc w:val="both"/>
        <w:rPr>
          <w:sz w:val="20"/>
          <w:szCs w:val="20"/>
          <w:lang w:val="es-ES_tradnl"/>
        </w:rPr>
      </w:pPr>
      <w:r w:rsidRPr="00D43C76">
        <w:rPr>
          <w:sz w:val="20"/>
          <w:szCs w:val="20"/>
          <w:lang w:val="es-ES_tradnl"/>
        </w:rPr>
        <w:t>Establecer un marco jurídico o modificar las leyes vigentes a fin de prohibir y sancionar todas las formas de discriminación basadas en la orientación sexual, la identidad o la expresión de género, tanto real como percibida, y la diversidad corporal;</w:t>
      </w:r>
    </w:p>
    <w:p w14:paraId="1D794C8E" w14:textId="77777777" w:rsidR="00E079F6" w:rsidRPr="00D43C76" w:rsidRDefault="00E079F6" w:rsidP="00E079F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360"/>
        <w:jc w:val="both"/>
        <w:rPr>
          <w:sz w:val="20"/>
          <w:szCs w:val="20"/>
          <w:u w:val="single"/>
          <w:lang w:val="es-ES_tradnl"/>
        </w:rPr>
      </w:pPr>
    </w:p>
    <w:p w14:paraId="517A94E3" w14:textId="77777777" w:rsidR="00E079F6" w:rsidRPr="00D43C76" w:rsidRDefault="00E079F6" w:rsidP="00E079F6">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1440"/>
        <w:jc w:val="both"/>
        <w:rPr>
          <w:sz w:val="20"/>
          <w:szCs w:val="20"/>
          <w:lang w:val="es-ES_tradnl"/>
        </w:rPr>
      </w:pPr>
      <w:r w:rsidRPr="00D43C76">
        <w:rPr>
          <w:sz w:val="20"/>
          <w:szCs w:val="20"/>
          <w:lang w:val="es-ES_tradnl"/>
        </w:rPr>
        <w:t>Recopilar y analizar de manera sistemática y desglosada datos estadísticos del censo de Jamaica sobre la prevalencia y la índole de la violencia y la discriminación basadas en prejuicios, en la orientación sexual y la identidad o expresión de género tanto real como percibida y en la diversidad corporal;</w:t>
      </w:r>
    </w:p>
    <w:p w14:paraId="66AEB63C" w14:textId="77777777" w:rsidR="00E079F6" w:rsidRPr="00D43C76" w:rsidRDefault="00E079F6" w:rsidP="00E079F6">
      <w:pPr>
        <w:pStyle w:val="ListParagraph"/>
        <w:rPr>
          <w:sz w:val="20"/>
          <w:szCs w:val="20"/>
          <w:lang w:val="es-ES_tradnl"/>
        </w:rPr>
      </w:pPr>
    </w:p>
    <w:p w14:paraId="5791F99B" w14:textId="77777777" w:rsidR="00E079F6" w:rsidRPr="00D43C76" w:rsidRDefault="00E079F6" w:rsidP="00E079F6">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1440"/>
        <w:jc w:val="both"/>
        <w:rPr>
          <w:sz w:val="20"/>
          <w:szCs w:val="20"/>
          <w:lang w:val="es-ES_tradnl"/>
        </w:rPr>
      </w:pPr>
      <w:r w:rsidRPr="00D43C76">
        <w:rPr>
          <w:sz w:val="20"/>
          <w:szCs w:val="20"/>
          <w:lang w:val="es-ES_tradnl"/>
        </w:rPr>
        <w:t>Tomar las medidas necesarias para asegurar el acceso efectivo de las personas LGBTI a los servicios de salud sin discriminación;</w:t>
      </w:r>
    </w:p>
    <w:p w14:paraId="16219909" w14:textId="77777777" w:rsidR="00E079F6" w:rsidRPr="00D43C76" w:rsidRDefault="00E079F6" w:rsidP="00E079F6">
      <w:pPr>
        <w:pStyle w:val="ListParagraph"/>
        <w:rPr>
          <w:sz w:val="20"/>
          <w:szCs w:val="20"/>
          <w:lang w:val="es-ES_tradnl"/>
        </w:rPr>
      </w:pPr>
    </w:p>
    <w:p w14:paraId="21F8AD10" w14:textId="77777777" w:rsidR="00E079F6" w:rsidRPr="00D43C76" w:rsidRDefault="00E079F6" w:rsidP="00E079F6">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1440"/>
        <w:jc w:val="both"/>
        <w:rPr>
          <w:sz w:val="20"/>
          <w:szCs w:val="20"/>
          <w:lang w:val="es-ES_tradnl"/>
        </w:rPr>
      </w:pPr>
      <w:r w:rsidRPr="00D43C76">
        <w:rPr>
          <w:sz w:val="20"/>
          <w:szCs w:val="20"/>
          <w:lang w:val="es-ES_tradnl"/>
        </w:rPr>
        <w:t>Aplicar el estándar de la debida diligencia en la prevención, la investigación, la sanción y la reparación de actos de violencia contra las personas LGBTI independientemente de que la violencia se produzca en el contexto de la familia, la comunidad o la esfera pública, incluidos el trabajo, y los sectores de la educación y la salud. Asegurar que en las investigaciones no influyan prejuicios basados en la orientación sexual y/ o la identidad de género real o percibida de la víctima o del perpetrador;</w:t>
      </w:r>
    </w:p>
    <w:p w14:paraId="5C13FA87" w14:textId="77777777" w:rsidR="00E079F6" w:rsidRPr="00D43C76" w:rsidRDefault="00E079F6" w:rsidP="00E079F6">
      <w:pPr>
        <w:pStyle w:val="BodyText3"/>
        <w:spacing w:after="0"/>
        <w:ind w:left="1080" w:hanging="720"/>
        <w:jc w:val="both"/>
        <w:rPr>
          <w:color w:val="000000"/>
          <w:sz w:val="20"/>
          <w:szCs w:val="20"/>
          <w:lang w:val="es-ES_tradnl"/>
        </w:rPr>
      </w:pPr>
    </w:p>
    <w:p w14:paraId="057F0455" w14:textId="77777777" w:rsidR="00E079F6" w:rsidRPr="00D43C76" w:rsidRDefault="00E079F6" w:rsidP="00E079F6">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ind w:left="1440"/>
        <w:jc w:val="both"/>
        <w:rPr>
          <w:color w:val="000000"/>
          <w:sz w:val="20"/>
          <w:szCs w:val="20"/>
          <w:lang w:val="es-ES_tradnl"/>
        </w:rPr>
      </w:pPr>
      <w:r w:rsidRPr="00D43C76">
        <w:rPr>
          <w:color w:val="000000"/>
          <w:sz w:val="20"/>
          <w:szCs w:val="20"/>
          <w:lang w:val="es-ES_tradnl"/>
        </w:rPr>
        <w:t>Llevar a cabo</w:t>
      </w:r>
      <w:r w:rsidRPr="00D43C76">
        <w:rPr>
          <w:rFonts w:ascii="Times New Roman" w:hAnsi="Times New Roman"/>
          <w:sz w:val="20"/>
          <w:szCs w:val="20"/>
          <w:lang w:val="es-ES_tradnl" w:eastAsia="en-US"/>
        </w:rPr>
        <w:t xml:space="preserve"> </w:t>
      </w:r>
      <w:r w:rsidRPr="00D43C76">
        <w:rPr>
          <w:color w:val="000000"/>
          <w:sz w:val="20"/>
          <w:szCs w:val="20"/>
          <w:lang w:val="es-ES_tradnl"/>
        </w:rPr>
        <w:t>actividades de capacitación periódicas y sostenidas para funcionarios públicos jamaiquinos, en particular jueces, fiscales, defensores públicos, otros operadores de justicia, las fuerzas de seguridad y los sectores de la educación, el empleo y la salud, sobre orientación sexual, identidad de género y expresión de género, diversidad corporal y las dificultades que enfrentan estas personas;</w:t>
      </w:r>
    </w:p>
    <w:p w14:paraId="74D5EAF2" w14:textId="77777777" w:rsidR="00E079F6" w:rsidRPr="00D43C76" w:rsidRDefault="00E079F6" w:rsidP="00E079F6">
      <w:pPr>
        <w:pStyle w:val="ListParagraph"/>
        <w:rPr>
          <w:sz w:val="20"/>
          <w:szCs w:val="20"/>
          <w:lang w:val="es-ES_tradnl"/>
        </w:rPr>
      </w:pPr>
    </w:p>
    <w:p w14:paraId="4DA33D59" w14:textId="77777777" w:rsidR="00E079F6" w:rsidRPr="00D43C76" w:rsidRDefault="00E079F6" w:rsidP="00E079F6">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ind w:left="1440"/>
        <w:jc w:val="both"/>
        <w:rPr>
          <w:sz w:val="20"/>
          <w:szCs w:val="20"/>
          <w:lang w:val="es-ES_tradnl"/>
        </w:rPr>
      </w:pPr>
      <w:r w:rsidRPr="00D43C76">
        <w:rPr>
          <w:sz w:val="20"/>
          <w:szCs w:val="20"/>
          <w:lang w:val="es-ES_tradnl"/>
        </w:rPr>
        <w:t>Asegurar</w:t>
      </w:r>
      <w:r w:rsidRPr="00D43C76">
        <w:rPr>
          <w:rFonts w:ascii="Times New Roman" w:hAnsi="Times New Roman"/>
          <w:sz w:val="20"/>
          <w:szCs w:val="20"/>
          <w:lang w:val="es-ES_tradnl" w:eastAsia="en-US"/>
        </w:rPr>
        <w:t xml:space="preserve"> </w:t>
      </w:r>
      <w:r w:rsidRPr="00D43C76">
        <w:rPr>
          <w:sz w:val="20"/>
          <w:szCs w:val="20"/>
          <w:lang w:val="es-ES_tradnl"/>
        </w:rPr>
        <w:t>que los programas de educación de Jamaica se formulen con una perspectiva de género, a fin de garantizar la disolución de estereotipos y prejuicios y sobre la base de un modelo que garantice la autonomía de todas las personas, especialmente las LGBTI, e incluir la educación integral sobre la sexualidad en el programa de estudios escolares, de acuerdo con la capacidad progresiva de los niños, con una perspectiva de diversidad corporal, sexual y de género, a fin de asegurar que las políticas y los programas de educación estén formulados especialmente para modificar los esquemas sociales y culturales de comportamientos dañinos.</w:t>
      </w:r>
    </w:p>
    <w:p w14:paraId="0A756DDB" w14:textId="77777777" w:rsidR="00E079F6" w:rsidRPr="00D43C76" w:rsidRDefault="00E079F6" w:rsidP="00E079F6">
      <w:pPr>
        <w:pStyle w:val="ListParagraph"/>
        <w:rPr>
          <w:sz w:val="20"/>
          <w:szCs w:val="20"/>
          <w:lang w:val="es-ES_tradnl"/>
        </w:rPr>
      </w:pPr>
    </w:p>
    <w:p w14:paraId="56041AF6" w14:textId="77777777" w:rsidR="00E079F6" w:rsidRPr="00D43C76" w:rsidRDefault="00E079F6" w:rsidP="00E67236">
      <w:pPr>
        <w:pStyle w:val="parrafos"/>
        <w:numPr>
          <w:ilvl w:val="0"/>
          <w:numId w:val="57"/>
        </w:numPr>
        <w:tabs>
          <w:tab w:val="clear" w:pos="1080"/>
          <w:tab w:val="left" w:pos="720"/>
        </w:tabs>
        <w:ind w:left="0" w:firstLine="0"/>
        <w:rPr>
          <w:rFonts w:ascii="Cambria" w:hAnsi="Cambria"/>
          <w:lang w:val="es-ES_tradnl"/>
        </w:rPr>
      </w:pPr>
      <w:r w:rsidRPr="00D43C76">
        <w:rPr>
          <w:rFonts w:ascii="Cambria" w:hAnsi="Cambria"/>
          <w:lang w:val="es-ES_tradnl"/>
        </w:rPr>
        <w:t xml:space="preserve">El 26 de febrero de 2020, la Comisión transmitió el informe al Estado con un plazo de dos meses para informar a la Comisión Interamericana sobre las medidas adoptadas para cumplir con sus recomendaciones. En esa misma fecha, la CIDH notificó a los peticionarios sobre la aprobación del informe. A la fecha, la CIDH no ha recibido ninguna respuesta de Jamaica en relación </w:t>
      </w:r>
      <w:r w:rsidR="003717F0" w:rsidRPr="00D43C76">
        <w:rPr>
          <w:rFonts w:ascii="Cambria" w:hAnsi="Cambria"/>
          <w:lang w:val="es-ES_tradnl"/>
        </w:rPr>
        <w:t>con el</w:t>
      </w:r>
      <w:r w:rsidRPr="00D43C76">
        <w:rPr>
          <w:rFonts w:ascii="Cambria" w:hAnsi="Cambria"/>
          <w:lang w:val="es-ES_tradnl"/>
        </w:rPr>
        <w:t xml:space="preserve"> Informe No. 240/19.</w:t>
      </w:r>
    </w:p>
    <w:p w14:paraId="768B363E" w14:textId="77777777" w:rsidR="00E67236" w:rsidRPr="00D43C76" w:rsidRDefault="00E67236" w:rsidP="00E67236">
      <w:pPr>
        <w:rPr>
          <w:lang w:val="es-ES_tradnl"/>
        </w:rPr>
      </w:pPr>
    </w:p>
    <w:p w14:paraId="55ACD16C" w14:textId="77777777" w:rsidR="00E67236" w:rsidRPr="00D43C76" w:rsidRDefault="00E67236" w:rsidP="00E67236">
      <w:pPr>
        <w:pStyle w:val="Heading1"/>
        <w:spacing w:before="0"/>
        <w:ind w:left="360"/>
        <w:rPr>
          <w:color w:val="auto"/>
          <w:sz w:val="20"/>
          <w:szCs w:val="20"/>
          <w:lang w:val="es-ES_tradnl"/>
        </w:rPr>
      </w:pPr>
      <w:bookmarkStart w:id="62" w:name="_Toc47700539"/>
      <w:bookmarkStart w:id="63" w:name="_Toc58425601"/>
      <w:bookmarkStart w:id="64" w:name="_Toc58491250"/>
      <w:r w:rsidRPr="00D43C76">
        <w:rPr>
          <w:color w:val="auto"/>
          <w:sz w:val="20"/>
          <w:szCs w:val="20"/>
          <w:lang w:val="es-ES_tradnl"/>
        </w:rPr>
        <w:t>INFORME No. 250/20 E INFORMACIÓN SOBRE CUMPLIMIENTO</w:t>
      </w:r>
      <w:bookmarkEnd w:id="62"/>
      <w:bookmarkEnd w:id="63"/>
      <w:bookmarkEnd w:id="64"/>
    </w:p>
    <w:p w14:paraId="61EB0176" w14:textId="77777777" w:rsidR="00E67236" w:rsidRPr="00D43C76" w:rsidRDefault="00E67236" w:rsidP="00E67236">
      <w:pPr>
        <w:rPr>
          <w:bCs/>
          <w:sz w:val="20"/>
          <w:szCs w:val="20"/>
          <w:lang w:val="es-ES_tradnl"/>
        </w:rPr>
      </w:pPr>
    </w:p>
    <w:p w14:paraId="0FA3F4EC" w14:textId="77777777" w:rsidR="00E67236" w:rsidRPr="00D43C76" w:rsidRDefault="00E67236" w:rsidP="00E67236">
      <w:pPr>
        <w:pStyle w:val="parrafos"/>
        <w:numPr>
          <w:ilvl w:val="0"/>
          <w:numId w:val="57"/>
        </w:numPr>
        <w:tabs>
          <w:tab w:val="clear" w:pos="360"/>
          <w:tab w:val="clear" w:pos="1080"/>
          <w:tab w:val="left" w:pos="90"/>
          <w:tab w:val="left" w:pos="270"/>
          <w:tab w:val="left" w:pos="450"/>
        </w:tabs>
        <w:ind w:left="0" w:firstLine="0"/>
        <w:rPr>
          <w:color w:val="000000"/>
          <w:lang w:val="es-ES_tradnl"/>
        </w:rPr>
      </w:pPr>
      <w:r w:rsidRPr="00D43C76">
        <w:rPr>
          <w:rFonts w:ascii="Cambria" w:hAnsi="Cambria"/>
          <w:lang w:val="es-ES_tradnl"/>
        </w:rPr>
        <w:t>El</w:t>
      </w:r>
      <w:r w:rsidRPr="00D43C76">
        <w:rPr>
          <w:lang w:val="es-ES_tradnl"/>
        </w:rPr>
        <w:t xml:space="preserve"> 14 de septiembre de 2020, la Comisión aprobó el Informe Final de Fondo No. 250/20 en el cual la Comisión reiteró todas sus recomendaciones al Estado. El 2 de octubre de 2020, la CIDH transmitió el Informe al Estado y a los peticionarios con el plazo de dos meses para informar a la Comisión sobre las medidas adoptadas para cumplir con sus recomendaciones. Hasta la fecha la Comisión no ha recibido respuesta del Estado de Jamaica ni de los peticionarios con respecto al Informe No. 250/20.</w:t>
      </w:r>
    </w:p>
    <w:p w14:paraId="1FF7A82D" w14:textId="77777777" w:rsidR="00E67236" w:rsidRPr="00D43C76" w:rsidRDefault="00E67236" w:rsidP="00E67236">
      <w:pPr>
        <w:pStyle w:val="parrafos"/>
        <w:tabs>
          <w:tab w:val="left" w:pos="720"/>
        </w:tabs>
        <w:rPr>
          <w:color w:val="auto"/>
          <w:lang w:val="es-ES_tradnl"/>
        </w:rPr>
      </w:pPr>
    </w:p>
    <w:p w14:paraId="7AFB80CA" w14:textId="77777777" w:rsidR="00E079F6" w:rsidRPr="00D43C76" w:rsidRDefault="00E079F6" w:rsidP="00E079F6">
      <w:pPr>
        <w:pStyle w:val="Heading1"/>
        <w:spacing w:before="0"/>
        <w:ind w:left="360"/>
        <w:rPr>
          <w:color w:val="auto"/>
          <w:sz w:val="20"/>
          <w:szCs w:val="20"/>
          <w:lang w:val="es-ES_tradnl"/>
        </w:rPr>
      </w:pPr>
      <w:bookmarkStart w:id="65" w:name="_Toc58491251"/>
      <w:r w:rsidRPr="00D43C76">
        <w:rPr>
          <w:color w:val="auto"/>
          <w:sz w:val="20"/>
          <w:szCs w:val="20"/>
          <w:lang w:val="es-ES_tradnl"/>
        </w:rPr>
        <w:t>CONCLUSIONES FINALES Y RECOMENDACIONES</w:t>
      </w:r>
      <w:bookmarkEnd w:id="65"/>
    </w:p>
    <w:bookmarkEnd w:id="61"/>
    <w:p w14:paraId="1D88B94D" w14:textId="77777777" w:rsidR="00E079F6" w:rsidRPr="00D43C76" w:rsidRDefault="00E079F6" w:rsidP="00E079F6">
      <w:pPr>
        <w:tabs>
          <w:tab w:val="left" w:pos="360"/>
        </w:tabs>
        <w:suppressAutoHyphens/>
        <w:rPr>
          <w:rFonts w:asciiTheme="majorHAnsi" w:hAnsiTheme="majorHAnsi"/>
          <w:sz w:val="20"/>
          <w:szCs w:val="20"/>
          <w:lang w:val="es-ES_tradnl"/>
        </w:rPr>
      </w:pPr>
    </w:p>
    <w:p w14:paraId="21397273" w14:textId="77777777" w:rsidR="00E079F6" w:rsidRPr="00D43C76" w:rsidRDefault="00E079F6" w:rsidP="00E079F6">
      <w:pPr>
        <w:pStyle w:val="parrafos"/>
        <w:numPr>
          <w:ilvl w:val="0"/>
          <w:numId w:val="57"/>
        </w:numPr>
        <w:tabs>
          <w:tab w:val="clear" w:pos="1080"/>
          <w:tab w:val="left" w:pos="450"/>
          <w:tab w:val="left" w:pos="720"/>
        </w:tabs>
        <w:ind w:left="0" w:firstLine="0"/>
        <w:rPr>
          <w:lang w:val="es-ES_tradnl"/>
        </w:rPr>
      </w:pPr>
      <w:r w:rsidRPr="00D43C76">
        <w:rPr>
          <w:lang w:val="es-ES_tradnl"/>
        </w:rPr>
        <w:lastRenderedPageBreak/>
        <w:t>Sobre la base de las determinaciones de hecho y de derecho, la Comisión Inter-Americana concluye que el Estado es responsable por la violación de los artículos 5.1 (Derecho a la Integridad Persona), 11 (Protección de la Honra y de la Dignidad), 22.1 (Derecho de Circulación y Residencia), 24 (Igualdad ante la Ley), 25.1 (Protección Judicial) y 26 (Derecho a la Salud) de la Convención Americana, en relación con las obligaciones establecidas en los Artículos 1.1 y 2 del mismo instrumento, en perjuicio de T.B. y S.H.</w:t>
      </w:r>
    </w:p>
    <w:p w14:paraId="33E87773" w14:textId="77777777" w:rsidR="00E079F6" w:rsidRPr="00D43C76" w:rsidRDefault="00E079F6" w:rsidP="00E079F6">
      <w:pPr>
        <w:pStyle w:val="parrafos"/>
        <w:tabs>
          <w:tab w:val="left" w:pos="450"/>
          <w:tab w:val="left" w:pos="720"/>
        </w:tabs>
        <w:rPr>
          <w:lang w:val="es-ES_tradnl"/>
        </w:rPr>
      </w:pPr>
    </w:p>
    <w:p w14:paraId="783B502A" w14:textId="77777777" w:rsidR="00E079F6" w:rsidRPr="00D43C76" w:rsidRDefault="00E079F6" w:rsidP="00E079F6">
      <w:pPr>
        <w:pStyle w:val="parrafos"/>
        <w:tabs>
          <w:tab w:val="left" w:pos="720"/>
        </w:tabs>
        <w:rPr>
          <w:rFonts w:ascii="Cambria" w:hAnsi="Cambria"/>
          <w:b/>
          <w:lang w:val="es-ES_tradnl"/>
        </w:rPr>
      </w:pPr>
      <w:r w:rsidRPr="00D43C76">
        <w:rPr>
          <w:rFonts w:ascii="Cambria" w:hAnsi="Cambria"/>
          <w:b/>
          <w:lang w:val="es-ES_tradnl"/>
        </w:rPr>
        <w:t xml:space="preserve">LA </w:t>
      </w:r>
      <w:r w:rsidR="003717F0" w:rsidRPr="00D43C76">
        <w:rPr>
          <w:rFonts w:ascii="Cambria" w:hAnsi="Cambria"/>
          <w:b/>
          <w:lang w:val="es-ES_tradnl"/>
        </w:rPr>
        <w:t>COMISIÓN</w:t>
      </w:r>
      <w:r w:rsidRPr="00D43C76">
        <w:rPr>
          <w:rFonts w:ascii="Cambria" w:hAnsi="Cambria"/>
          <w:b/>
          <w:lang w:val="es-ES_tradnl"/>
        </w:rPr>
        <w:t xml:space="preserve"> INTERAMERICANA DE DERECHOS HUMANOS </w:t>
      </w:r>
      <w:r w:rsidR="00AC59B4" w:rsidRPr="00D43C76">
        <w:rPr>
          <w:rFonts w:ascii="Cambria" w:hAnsi="Cambria"/>
          <w:b/>
          <w:lang w:val="es-ES_tradnl"/>
        </w:rPr>
        <w:t>REITERA AL</w:t>
      </w:r>
      <w:r w:rsidRPr="00D43C76">
        <w:rPr>
          <w:rFonts w:ascii="Cambria" w:hAnsi="Cambria"/>
          <w:b/>
          <w:lang w:val="es-ES_tradnl"/>
        </w:rPr>
        <w:t xml:space="preserve"> ESTADO DE JAMAICA</w:t>
      </w:r>
      <w:r w:rsidR="00AC59B4" w:rsidRPr="00D43C76">
        <w:rPr>
          <w:rFonts w:ascii="Cambria" w:hAnsi="Cambria"/>
          <w:b/>
          <w:lang w:val="es-ES_tradnl"/>
        </w:rPr>
        <w:t xml:space="preserve"> SUS RECOMENDACIONES DE:</w:t>
      </w:r>
      <w:r w:rsidRPr="00D43C76">
        <w:rPr>
          <w:rFonts w:ascii="Cambria" w:hAnsi="Cambria"/>
          <w:b/>
          <w:lang w:val="es-ES_tradnl"/>
        </w:rPr>
        <w:t xml:space="preserve"> </w:t>
      </w:r>
    </w:p>
    <w:p w14:paraId="167F4FD9" w14:textId="77777777" w:rsidR="00E079F6" w:rsidRPr="00D43C76" w:rsidRDefault="00E079F6" w:rsidP="00E079F6">
      <w:pPr>
        <w:jc w:val="both"/>
        <w:rPr>
          <w:rFonts w:ascii="Cambria" w:hAnsi="Cambria"/>
          <w:b/>
          <w:sz w:val="20"/>
          <w:szCs w:val="20"/>
          <w:lang w:val="es-ES_tradnl"/>
        </w:rPr>
      </w:pPr>
    </w:p>
    <w:p w14:paraId="2D270396" w14:textId="77777777" w:rsidR="00E079F6" w:rsidRPr="00D43C76" w:rsidRDefault="00E079F6" w:rsidP="00AC59B4">
      <w:pPr>
        <w:pStyle w:val="BodyText3"/>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0" w:firstLine="6"/>
        <w:jc w:val="both"/>
        <w:rPr>
          <w:sz w:val="20"/>
          <w:szCs w:val="20"/>
          <w:lang w:val="es-ES_tradnl"/>
        </w:rPr>
      </w:pPr>
      <w:r w:rsidRPr="00D43C76">
        <w:rPr>
          <w:sz w:val="20"/>
          <w:szCs w:val="20"/>
          <w:lang w:val="es-ES_tradnl"/>
        </w:rPr>
        <w:t>Reparar integralmente las violaciones de derechos humanos señaladas en el presente informe, en el aspecto tanto material como inmaterial. Ello debe incluir una indemnización pecuniaria así como medidas de satisfacción.</w:t>
      </w:r>
    </w:p>
    <w:p w14:paraId="4CC15D78" w14:textId="77777777" w:rsidR="00E079F6" w:rsidRPr="00D43C76" w:rsidRDefault="00E079F6" w:rsidP="00E079F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s-ES_tradnl"/>
        </w:rPr>
      </w:pPr>
    </w:p>
    <w:p w14:paraId="312BA57A" w14:textId="77777777" w:rsidR="00E079F6" w:rsidRPr="00D43C76" w:rsidRDefault="00E079F6" w:rsidP="00AC59B4">
      <w:pPr>
        <w:pStyle w:val="BodyText3"/>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440"/>
          <w:tab w:val="left" w:pos="9360"/>
        </w:tabs>
        <w:spacing w:after="0"/>
        <w:ind w:left="0" w:firstLine="0"/>
        <w:jc w:val="both"/>
        <w:rPr>
          <w:sz w:val="20"/>
          <w:szCs w:val="20"/>
          <w:lang w:val="es-ES_tradnl"/>
        </w:rPr>
      </w:pPr>
      <w:r w:rsidRPr="00D43C76">
        <w:rPr>
          <w:sz w:val="20"/>
          <w:szCs w:val="20"/>
          <w:lang w:val="es-ES_tradnl"/>
        </w:rPr>
        <w:t>Adoptar las medidas de no repetición necesarias para evitar que se produzcan incidentes similares en el futuro, específicamente:</w:t>
      </w:r>
    </w:p>
    <w:p w14:paraId="72780DD6" w14:textId="77777777" w:rsidR="00E079F6" w:rsidRPr="00D43C76" w:rsidRDefault="00E079F6" w:rsidP="00E079F6">
      <w:pPr>
        <w:pStyle w:val="ListParagraph"/>
        <w:rPr>
          <w:sz w:val="20"/>
          <w:szCs w:val="20"/>
          <w:lang w:val="es-ES_tradnl"/>
        </w:rPr>
      </w:pPr>
    </w:p>
    <w:p w14:paraId="02B7C6C1" w14:textId="77777777" w:rsidR="00E079F6" w:rsidRPr="00D43C76" w:rsidRDefault="00E079F6" w:rsidP="00AC59B4">
      <w:pPr>
        <w:pStyle w:val="BodyText3"/>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s-ES_tradnl"/>
        </w:rPr>
      </w:pPr>
      <w:r w:rsidRPr="00D43C76">
        <w:rPr>
          <w:sz w:val="20"/>
          <w:szCs w:val="20"/>
          <w:lang w:val="es-ES_tradnl"/>
        </w:rPr>
        <w:t>Derogar los artículos de la Ley de Delitos contra la Persona que tipifican como delito la actividad sexual consensual realizada en privado entre adultos y la conducta sexual consensual entre hombres que tienen sexo con otros hombres o con homosexuales;</w:t>
      </w:r>
    </w:p>
    <w:p w14:paraId="5F507EE7" w14:textId="77777777" w:rsidR="00E079F6" w:rsidRPr="00D43C76" w:rsidRDefault="00E079F6" w:rsidP="00E079F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1080"/>
        <w:jc w:val="both"/>
        <w:rPr>
          <w:sz w:val="20"/>
          <w:szCs w:val="20"/>
          <w:lang w:val="es-ES_tradnl"/>
        </w:rPr>
      </w:pPr>
    </w:p>
    <w:p w14:paraId="2E2144E1" w14:textId="77777777" w:rsidR="00E079F6" w:rsidRPr="00D43C76" w:rsidRDefault="00E079F6" w:rsidP="00AC59B4">
      <w:pPr>
        <w:pStyle w:val="BodyText3"/>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s-ES_tradnl"/>
        </w:rPr>
      </w:pPr>
      <w:r w:rsidRPr="00D43C76">
        <w:rPr>
          <w:sz w:val="20"/>
          <w:szCs w:val="20"/>
          <w:lang w:val="es-ES_tradnl"/>
        </w:rPr>
        <w:t>Establecer un marco jurídico o modificar las leyes vigentes a fin de prohibir y sancionar todas las formas de discriminación basadas en la orientación sexual, la identidad o la expresión de género, tanto real como percibida, y la diversidad corporal;</w:t>
      </w:r>
    </w:p>
    <w:p w14:paraId="4D5C37DD" w14:textId="77777777" w:rsidR="00E079F6" w:rsidRPr="00D43C76" w:rsidRDefault="00E079F6" w:rsidP="00E079F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360"/>
        <w:jc w:val="both"/>
        <w:rPr>
          <w:sz w:val="20"/>
          <w:szCs w:val="20"/>
          <w:u w:val="single"/>
          <w:lang w:val="es-ES_tradnl"/>
        </w:rPr>
      </w:pPr>
    </w:p>
    <w:p w14:paraId="65D8081A" w14:textId="77777777" w:rsidR="00E079F6" w:rsidRPr="00D43C76" w:rsidRDefault="00E079F6" w:rsidP="00AC59B4">
      <w:pPr>
        <w:pStyle w:val="BodyText3"/>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s-ES_tradnl"/>
        </w:rPr>
      </w:pPr>
      <w:r w:rsidRPr="00D43C76">
        <w:rPr>
          <w:sz w:val="20"/>
          <w:szCs w:val="20"/>
          <w:lang w:val="es-ES_tradnl"/>
        </w:rPr>
        <w:t>Recopilar y analizar de manera sistemática y desglosada datos estadísticos del censo de Jamaica sobre la prevalencia y la índole de la violencia y la discriminación basadas en prejuicios, en la orientación sexual y la identidad o expresión de género tanto real como percibida y en la diversidad corporal;</w:t>
      </w:r>
    </w:p>
    <w:p w14:paraId="2BBBC016" w14:textId="77777777" w:rsidR="00E079F6" w:rsidRPr="00D43C76" w:rsidRDefault="00E079F6" w:rsidP="00E079F6">
      <w:pPr>
        <w:pStyle w:val="ListParagraph"/>
        <w:rPr>
          <w:sz w:val="20"/>
          <w:szCs w:val="20"/>
          <w:lang w:val="es-ES_tradnl"/>
        </w:rPr>
      </w:pPr>
    </w:p>
    <w:p w14:paraId="5CC4E262" w14:textId="77777777" w:rsidR="00E079F6" w:rsidRPr="00D43C76" w:rsidRDefault="00E079F6" w:rsidP="00AC59B4">
      <w:pPr>
        <w:pStyle w:val="BodyText3"/>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s-ES_tradnl"/>
        </w:rPr>
      </w:pPr>
      <w:r w:rsidRPr="00D43C76">
        <w:rPr>
          <w:sz w:val="20"/>
          <w:szCs w:val="20"/>
          <w:lang w:val="es-ES_tradnl"/>
        </w:rPr>
        <w:t>Tomar las medidas necesarias para asegurar el acceso efectivo de las personas LGBTI a los servicios de salud sin discriminación;</w:t>
      </w:r>
    </w:p>
    <w:p w14:paraId="082DB401" w14:textId="77777777" w:rsidR="00E079F6" w:rsidRPr="00D43C76" w:rsidRDefault="00E079F6" w:rsidP="00E079F6">
      <w:pPr>
        <w:pStyle w:val="ListParagraph"/>
        <w:rPr>
          <w:sz w:val="20"/>
          <w:szCs w:val="20"/>
          <w:lang w:val="es-ES_tradnl"/>
        </w:rPr>
      </w:pPr>
    </w:p>
    <w:p w14:paraId="5C5F3B24" w14:textId="77777777" w:rsidR="00E079F6" w:rsidRPr="00D43C76" w:rsidRDefault="00E079F6" w:rsidP="00AC59B4">
      <w:pPr>
        <w:pStyle w:val="BodyText3"/>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s-ES_tradnl"/>
        </w:rPr>
      </w:pPr>
      <w:r w:rsidRPr="00D43C76">
        <w:rPr>
          <w:sz w:val="20"/>
          <w:szCs w:val="20"/>
          <w:lang w:val="es-ES_tradnl"/>
        </w:rPr>
        <w:t>Aplicar el estándar de la debida diligencia en la prevención, la investigación, la sanción y la reparación de actos de violencia contra las personas LGBTI independientemente de que la violencia se produzca en el contexto de la familia, la comunidad o la esfera pública, incluidos el trabajo, y los sectores de la educación y la salud. Asegurar que en las investigaciones no influyan prejuicios basados en la orientación sexual y/ o la identidad de género real o percibida de la víctima o del perpetrador;</w:t>
      </w:r>
    </w:p>
    <w:p w14:paraId="4C6CB76F" w14:textId="77777777" w:rsidR="00E079F6" w:rsidRPr="00D43C76" w:rsidRDefault="00E079F6" w:rsidP="00E079F6">
      <w:pPr>
        <w:pStyle w:val="BodyText3"/>
        <w:spacing w:after="0"/>
        <w:ind w:left="1080" w:hanging="720"/>
        <w:jc w:val="both"/>
        <w:rPr>
          <w:color w:val="000000"/>
          <w:sz w:val="20"/>
          <w:szCs w:val="20"/>
          <w:lang w:val="es-ES_tradnl"/>
        </w:rPr>
      </w:pPr>
    </w:p>
    <w:p w14:paraId="01C5F19F" w14:textId="77777777" w:rsidR="00E079F6" w:rsidRPr="00D43C76" w:rsidRDefault="00E079F6" w:rsidP="00AC59B4">
      <w:pPr>
        <w:pStyle w:val="BodyText3"/>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color w:val="000000"/>
          <w:sz w:val="20"/>
          <w:szCs w:val="20"/>
          <w:lang w:val="es-ES_tradnl"/>
        </w:rPr>
      </w:pPr>
      <w:r w:rsidRPr="00D43C76">
        <w:rPr>
          <w:color w:val="000000"/>
          <w:sz w:val="20"/>
          <w:szCs w:val="20"/>
          <w:lang w:val="es-ES_tradnl"/>
        </w:rPr>
        <w:t>Llevar a cabo</w:t>
      </w:r>
      <w:r w:rsidRPr="00D43C76">
        <w:rPr>
          <w:rFonts w:ascii="Times New Roman" w:hAnsi="Times New Roman"/>
          <w:sz w:val="20"/>
          <w:szCs w:val="20"/>
          <w:lang w:val="es-ES_tradnl" w:eastAsia="en-US"/>
        </w:rPr>
        <w:t xml:space="preserve"> </w:t>
      </w:r>
      <w:r w:rsidRPr="00D43C76">
        <w:rPr>
          <w:color w:val="000000"/>
          <w:sz w:val="20"/>
          <w:szCs w:val="20"/>
          <w:lang w:val="es-ES_tradnl"/>
        </w:rPr>
        <w:t>actividades de capacitación periódicas y sostenidas para funcionarios públicos jamaiquinos, en particular jueces, fiscales, defensores públicos, otros operadores de justicia, las fuerzas de seguridad y los sectores de la educación, el empleo y la salud, sobre orientación sexual, identidad de género y expresión de género, diversidad corporal y las dificultades que enfrentan estas personas;</w:t>
      </w:r>
    </w:p>
    <w:p w14:paraId="21D32180" w14:textId="77777777" w:rsidR="00E079F6" w:rsidRPr="00D43C76" w:rsidRDefault="00E079F6" w:rsidP="00E079F6">
      <w:pPr>
        <w:pStyle w:val="ListParagraph"/>
        <w:rPr>
          <w:sz w:val="20"/>
          <w:szCs w:val="20"/>
          <w:lang w:val="es-ES_tradnl"/>
        </w:rPr>
      </w:pPr>
    </w:p>
    <w:p w14:paraId="3BB902F2" w14:textId="77777777" w:rsidR="00E079F6" w:rsidRPr="00D43C76" w:rsidRDefault="00E079F6" w:rsidP="00AC59B4">
      <w:pPr>
        <w:pStyle w:val="BodyText3"/>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sz w:val="20"/>
          <w:szCs w:val="20"/>
          <w:lang w:val="es-ES_tradnl"/>
        </w:rPr>
      </w:pPr>
      <w:r w:rsidRPr="00D43C76">
        <w:rPr>
          <w:sz w:val="20"/>
          <w:szCs w:val="20"/>
          <w:lang w:val="es-ES_tradnl"/>
        </w:rPr>
        <w:t>Asegurar</w:t>
      </w:r>
      <w:r w:rsidRPr="00D43C76">
        <w:rPr>
          <w:rFonts w:ascii="Times New Roman" w:hAnsi="Times New Roman"/>
          <w:sz w:val="20"/>
          <w:szCs w:val="20"/>
          <w:lang w:val="es-ES_tradnl" w:eastAsia="en-US"/>
        </w:rPr>
        <w:t xml:space="preserve"> </w:t>
      </w:r>
      <w:r w:rsidRPr="00D43C76">
        <w:rPr>
          <w:sz w:val="20"/>
          <w:szCs w:val="20"/>
          <w:lang w:val="es-ES_tradnl"/>
        </w:rPr>
        <w:t>que los programas de educación de Jamaica se formulen con una perspectiva de género, a fin de garantizar la disolución de estereotipos y prejuicios y sobre la base de un modelo que garantice la autonomía de todas las personas, especialmente las LGBTI, e incluir la educación integral sobre la sexualidad en el programa de estudios escolares, de acuerdo con la capacidad progresiva de los niños, con una perspectiva de diversidad corporal, sexual y de género, a fin de asegurar que las políticas y los programas de educación estén formulados especialmente para modificar los esquemas sociales y culturales de comportamientos dañinos.</w:t>
      </w:r>
    </w:p>
    <w:bookmarkEnd w:id="58"/>
    <w:bookmarkEnd w:id="59"/>
    <w:p w14:paraId="43B2C76B" w14:textId="77777777" w:rsidR="003717F0" w:rsidRPr="00D43C76" w:rsidRDefault="003717F0" w:rsidP="003717F0">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jc w:val="both"/>
        <w:rPr>
          <w:sz w:val="20"/>
          <w:szCs w:val="20"/>
          <w:lang w:val="es-ES_tradnl"/>
        </w:rPr>
      </w:pPr>
    </w:p>
    <w:p w14:paraId="3C9934FB" w14:textId="77777777" w:rsidR="003717F0" w:rsidRPr="00D43C76" w:rsidRDefault="003717F0" w:rsidP="003717F0">
      <w:pPr>
        <w:pStyle w:val="Heading1"/>
        <w:spacing w:before="0"/>
        <w:ind w:left="360"/>
        <w:rPr>
          <w:rFonts w:eastAsia="Times New Roman" w:cs="Tahoma"/>
          <w:color w:val="auto"/>
          <w:sz w:val="20"/>
          <w:szCs w:val="20"/>
          <w:bdr w:val="none" w:sz="0" w:space="0" w:color="auto" w:frame="1"/>
          <w:lang w:val="es-ES_tradnl"/>
        </w:rPr>
      </w:pPr>
      <w:bookmarkStart w:id="66" w:name="_Toc47700541"/>
      <w:bookmarkStart w:id="67" w:name="_Toc58425603"/>
      <w:bookmarkStart w:id="68" w:name="_Toc58491252"/>
      <w:r w:rsidRPr="00D43C76">
        <w:rPr>
          <w:rFonts w:eastAsia="Times New Roman" w:cs="Tahoma"/>
          <w:color w:val="auto"/>
          <w:sz w:val="20"/>
          <w:szCs w:val="20"/>
          <w:bdr w:val="none" w:sz="0" w:space="0" w:color="auto" w:frame="1"/>
          <w:lang w:val="es-ES_tradnl"/>
        </w:rPr>
        <w:lastRenderedPageBreak/>
        <w:t>PUBLICACIÓN</w:t>
      </w:r>
      <w:bookmarkEnd w:id="66"/>
      <w:bookmarkEnd w:id="67"/>
      <w:bookmarkEnd w:id="68"/>
    </w:p>
    <w:p w14:paraId="5C92443E" w14:textId="77777777" w:rsidR="003717F0" w:rsidRPr="00D43C76" w:rsidRDefault="003717F0" w:rsidP="003717F0">
      <w:pPr>
        <w:rPr>
          <w:lang w:val="es-ES_tradnl"/>
        </w:rPr>
      </w:pPr>
    </w:p>
    <w:p w14:paraId="7250EE2A" w14:textId="77777777" w:rsidR="003717F0" w:rsidRPr="00D43C76" w:rsidRDefault="003717F0" w:rsidP="003717F0">
      <w:pPr>
        <w:pStyle w:val="parrafos"/>
        <w:numPr>
          <w:ilvl w:val="0"/>
          <w:numId w:val="57"/>
        </w:numPr>
        <w:tabs>
          <w:tab w:val="clear" w:pos="360"/>
          <w:tab w:val="clear" w:pos="1080"/>
          <w:tab w:val="left" w:pos="90"/>
          <w:tab w:val="left" w:pos="270"/>
          <w:tab w:val="left" w:pos="450"/>
        </w:tabs>
        <w:ind w:left="0" w:firstLine="0"/>
        <w:rPr>
          <w:lang w:val="es-ES_tradnl"/>
        </w:rPr>
      </w:pPr>
      <w:r w:rsidRPr="00D43C76">
        <w:rPr>
          <w:rFonts w:ascii="Cambria" w:hAnsi="Cambria"/>
          <w:lang w:val="es-ES_tradnl"/>
        </w:rPr>
        <w:t>En</w:t>
      </w:r>
      <w:r w:rsidRPr="00D43C76">
        <w:rPr>
          <w:lang w:val="es-ES_tradnl"/>
        </w:rPr>
        <w:t xml:space="preserve"> vista de lo anterior y de conformidad con el artículo 47.3 de su Reglamento, la CIDH decide hacer público este informe e incluirlo en su Informe Anual a la Asamblea General de la Organización de los Estados Americanos. La Comisión Interamericana, de acuerdo con las normas contenidas en los instrumentos que rigen su mandato, continuará evaluando las medidas adoptadas por Jamaica con respecto a las recomendaciones anteriores hasta que determine que se ha cumplido plenamente.</w:t>
      </w:r>
    </w:p>
    <w:p w14:paraId="25CDB3D3" w14:textId="77777777" w:rsidR="0055226A" w:rsidRPr="00D43C76" w:rsidRDefault="0055226A" w:rsidP="0055226A">
      <w:pPr>
        <w:pStyle w:val="parrafos"/>
        <w:tabs>
          <w:tab w:val="clear" w:pos="360"/>
          <w:tab w:val="left" w:pos="90"/>
          <w:tab w:val="left" w:pos="270"/>
          <w:tab w:val="left" w:pos="450"/>
        </w:tabs>
        <w:rPr>
          <w:lang w:val="es-ES_tradnl"/>
        </w:rPr>
      </w:pPr>
    </w:p>
    <w:p w14:paraId="5F787526" w14:textId="77777777" w:rsidR="00E6766E" w:rsidRPr="00D43C76" w:rsidRDefault="00E6766E" w:rsidP="00E6766E">
      <w:pPr>
        <w:jc w:val="both"/>
        <w:rPr>
          <w:rFonts w:ascii="Cambria" w:hAnsi="Cambria"/>
          <w:spacing w:val="-2"/>
          <w:sz w:val="20"/>
          <w:szCs w:val="20"/>
          <w:lang w:val="es-ES_tradnl"/>
        </w:rPr>
      </w:pPr>
      <w:r w:rsidRPr="00D43C76">
        <w:rPr>
          <w:rFonts w:ascii="Cambria" w:hAnsi="Cambria"/>
          <w:spacing w:val="-2"/>
          <w:sz w:val="20"/>
          <w:szCs w:val="20"/>
          <w:lang w:val="es-ES_tradnl"/>
        </w:rPr>
        <w:t>Aprobado por la Comisión Interamericana de Derechos Humanos, a los 31 días del mes de diciembre de 2020.  (Firmado): Joel Hernández García, Presidente; Antonia Urrejola Noguera, Primera Vicepresidenta; Flávia Piovesan, Segunda Vice Presidenta y Julissa Mantilla, Comisionada.</w:t>
      </w:r>
      <w:r w:rsidRPr="00D43C76">
        <w:rPr>
          <w:rFonts w:ascii="Cambria" w:hAnsi="Cambria"/>
          <w:sz w:val="20"/>
          <w:szCs w:val="20"/>
          <w:lang w:val="es-ES_tradnl"/>
        </w:rPr>
        <w:t xml:space="preserve"> </w:t>
      </w:r>
    </w:p>
    <w:p w14:paraId="2B33284B" w14:textId="77777777" w:rsidR="0055226A" w:rsidRPr="00D43C76" w:rsidRDefault="0055226A" w:rsidP="0055226A">
      <w:pPr>
        <w:pStyle w:val="parrafos"/>
        <w:tabs>
          <w:tab w:val="clear" w:pos="360"/>
          <w:tab w:val="left" w:pos="90"/>
          <w:tab w:val="left" w:pos="270"/>
          <w:tab w:val="left" w:pos="450"/>
        </w:tabs>
        <w:rPr>
          <w:lang w:val="es-ES_tradnl"/>
        </w:rPr>
      </w:pPr>
    </w:p>
    <w:p w14:paraId="649D97E4" w14:textId="77777777" w:rsidR="00062E57" w:rsidRPr="00D43C76" w:rsidRDefault="00062E57" w:rsidP="00B61AF0">
      <w:pPr>
        <w:rPr>
          <w:rFonts w:ascii="Cambria" w:hAnsi="Cambria"/>
          <w:sz w:val="20"/>
          <w:szCs w:val="20"/>
          <w:lang w:val="es-ES_tradnl"/>
        </w:rPr>
      </w:pPr>
    </w:p>
    <w:sectPr w:rsidR="00062E57" w:rsidRPr="00D43C76" w:rsidSect="00A533F2">
      <w:footerReference w:type="first" r:id="rId14"/>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78FFE" w14:textId="77777777" w:rsidR="004C1734" w:rsidRDefault="004C1734" w:rsidP="00036A8A">
      <w:r>
        <w:separator/>
      </w:r>
    </w:p>
  </w:endnote>
  <w:endnote w:type="continuationSeparator" w:id="0">
    <w:p w14:paraId="7D0EEF95" w14:textId="77777777" w:rsidR="004C1734" w:rsidRDefault="004C173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163477"/>
      <w:docPartObj>
        <w:docPartGallery w:val="Page Numbers (Bottom of Page)"/>
        <w:docPartUnique/>
      </w:docPartObj>
    </w:sdtPr>
    <w:sdtEndPr>
      <w:rPr>
        <w:noProof/>
        <w:sz w:val="16"/>
      </w:rPr>
    </w:sdtEndPr>
    <w:sdtContent>
      <w:p w14:paraId="7A2ECBA6" w14:textId="77777777" w:rsidR="0055226A" w:rsidRPr="006311DA" w:rsidRDefault="0055226A">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Pr>
            <w:noProof/>
            <w:sz w:val="16"/>
          </w:rPr>
          <w:t>31</w:t>
        </w:r>
        <w:r>
          <w:rPr>
            <w:noProof/>
            <w:sz w:val="16"/>
          </w:rPr>
          <w:fldChar w:fldCharType="end"/>
        </w:r>
      </w:p>
    </w:sdtContent>
  </w:sdt>
  <w:p w14:paraId="70479038" w14:textId="77777777" w:rsidR="0055226A" w:rsidRDefault="00552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4233" w14:textId="77777777" w:rsidR="0055226A" w:rsidRDefault="0055226A">
    <w:pPr>
      <w:pStyle w:val="Footer"/>
      <w:jc w:val="center"/>
    </w:pPr>
  </w:p>
  <w:p w14:paraId="59D04989" w14:textId="77777777" w:rsidR="0055226A" w:rsidRDefault="00552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EF04" w14:textId="77777777" w:rsidR="0055226A" w:rsidRDefault="0055226A">
    <w:pPr>
      <w:pStyle w:val="Footer"/>
      <w:jc w:val="center"/>
    </w:pPr>
  </w:p>
  <w:p w14:paraId="057336B6" w14:textId="77777777" w:rsidR="0055226A" w:rsidRDefault="0055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71818" w14:textId="77777777" w:rsidR="004C1734" w:rsidRPr="00036A8A" w:rsidRDefault="004C173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413AF33" w14:textId="77777777" w:rsidR="004C1734" w:rsidRPr="00036A8A" w:rsidRDefault="004C1734" w:rsidP="00036A8A">
      <w:pPr>
        <w:rPr>
          <w:rFonts w:asciiTheme="majorHAnsi" w:hAnsiTheme="majorHAnsi"/>
          <w:sz w:val="16"/>
          <w:szCs w:val="16"/>
        </w:rPr>
      </w:pPr>
      <w:r w:rsidRPr="00036A8A">
        <w:rPr>
          <w:rFonts w:asciiTheme="majorHAnsi" w:hAnsiTheme="majorHAnsi"/>
          <w:sz w:val="16"/>
          <w:szCs w:val="16"/>
        </w:rPr>
        <w:separator/>
      </w:r>
    </w:p>
    <w:p w14:paraId="32351BA2" w14:textId="77777777" w:rsidR="004C1734" w:rsidRPr="00036A8A" w:rsidRDefault="004C173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E2240B3" w14:textId="77777777" w:rsidR="004C1734" w:rsidRPr="0093441A" w:rsidRDefault="004C173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54CB572"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El 7 de octubre de 2011, </w:t>
      </w:r>
      <w:r>
        <w:rPr>
          <w:rFonts w:asciiTheme="majorHAnsi" w:hAnsiTheme="majorHAnsi"/>
          <w:sz w:val="16"/>
          <w:szCs w:val="16"/>
          <w:lang w:val="es-ES"/>
        </w:rPr>
        <w:t>la peticionaria</w:t>
      </w:r>
      <w:r w:rsidRPr="00B905BE">
        <w:rPr>
          <w:rFonts w:asciiTheme="majorHAnsi" w:hAnsiTheme="majorHAnsi"/>
          <w:sz w:val="16"/>
          <w:szCs w:val="16"/>
          <w:lang w:val="es-ES"/>
        </w:rPr>
        <w:t xml:space="preserve"> presentó información adicional para complementar la petición inicial. </w:t>
      </w:r>
    </w:p>
  </w:footnote>
  <w:footnote w:id="3">
    <w:p w14:paraId="0AD9968E" w14:textId="77777777" w:rsidR="0055226A" w:rsidRPr="00B905BE" w:rsidRDefault="0055226A" w:rsidP="00DC4D27">
      <w:pPr>
        <w:pStyle w:val="FootnoteText"/>
        <w:jc w:val="both"/>
        <w:rPr>
          <w:rFonts w:asciiTheme="majorHAnsi" w:hAnsiTheme="majorHAnsi"/>
          <w:color w:val="auto"/>
          <w:sz w:val="16"/>
          <w:szCs w:val="16"/>
          <w:lang w:val="es-ES"/>
        </w:rPr>
      </w:pPr>
      <w:r w:rsidRPr="00B905BE">
        <w:rPr>
          <w:rStyle w:val="FootnoteReference"/>
          <w:rFonts w:asciiTheme="majorHAnsi" w:hAnsiTheme="majorHAnsi"/>
          <w:color w:val="auto"/>
          <w:sz w:val="16"/>
          <w:szCs w:val="16"/>
          <w:lang w:val="es-ES"/>
        </w:rPr>
        <w:footnoteRef/>
      </w:r>
      <w:r w:rsidRPr="00B905BE">
        <w:rPr>
          <w:rFonts w:asciiTheme="majorHAnsi" w:hAnsiTheme="majorHAnsi"/>
          <w:color w:val="auto"/>
          <w:sz w:val="16"/>
          <w:szCs w:val="16"/>
          <w:lang w:val="es-ES"/>
        </w:rPr>
        <w:t xml:space="preserve"> De conformidad con lo dispuesto en el artículo 17.2 del Reglamento de la Comisión, la comisionada Margarette May Macaulay, de nacionalidad jamaiquina, no participó en el debate ni en la decisión sobre este caso. </w:t>
      </w:r>
    </w:p>
  </w:footnote>
  <w:footnote w:id="4">
    <w:p w14:paraId="58718BA5"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MC</w:t>
      </w:r>
      <w:r w:rsidRPr="00B905BE">
        <w:rPr>
          <w:rFonts w:asciiTheme="majorHAnsi" w:hAnsiTheme="majorHAnsi"/>
          <w:sz w:val="16"/>
          <w:szCs w:val="16"/>
          <w:lang w:val="es-ES"/>
        </w:rPr>
        <w:t xml:space="preserve"> 153/11, X </w:t>
      </w:r>
      <w:r>
        <w:rPr>
          <w:rFonts w:asciiTheme="majorHAnsi" w:hAnsiTheme="majorHAnsi"/>
          <w:sz w:val="16"/>
          <w:szCs w:val="16"/>
          <w:lang w:val="es-ES"/>
        </w:rPr>
        <w:t>y</w:t>
      </w:r>
      <w:r w:rsidRPr="00B905BE">
        <w:rPr>
          <w:rFonts w:asciiTheme="majorHAnsi" w:hAnsiTheme="majorHAnsi"/>
          <w:sz w:val="16"/>
          <w:szCs w:val="16"/>
          <w:lang w:val="es-ES"/>
        </w:rPr>
        <w:t xml:space="preserve"> Z, Jamaica.</w:t>
      </w:r>
    </w:p>
  </w:footnote>
  <w:footnote w:id="5">
    <w:p w14:paraId="17070C6A"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 xml:space="preserve">Carta de la CIDH del </w:t>
      </w:r>
      <w:r w:rsidRPr="00B905BE">
        <w:rPr>
          <w:rFonts w:asciiTheme="majorHAnsi" w:hAnsiTheme="majorHAnsi"/>
          <w:sz w:val="16"/>
          <w:szCs w:val="16"/>
          <w:lang w:val="es-ES"/>
        </w:rPr>
        <w:t>6</w:t>
      </w:r>
      <w:r>
        <w:rPr>
          <w:rFonts w:asciiTheme="majorHAnsi" w:hAnsiTheme="majorHAnsi"/>
          <w:sz w:val="16"/>
          <w:szCs w:val="16"/>
          <w:lang w:val="es-ES"/>
        </w:rPr>
        <w:t xml:space="preserve"> de junio de</w:t>
      </w:r>
      <w:r w:rsidRPr="00B905BE">
        <w:rPr>
          <w:rFonts w:asciiTheme="majorHAnsi" w:hAnsiTheme="majorHAnsi"/>
          <w:sz w:val="16"/>
          <w:szCs w:val="16"/>
          <w:lang w:val="es-ES"/>
        </w:rPr>
        <w:t xml:space="preserve"> 2017. </w:t>
      </w:r>
    </w:p>
  </w:footnote>
  <w:footnote w:id="6">
    <w:p w14:paraId="0473FF53" w14:textId="77777777" w:rsidR="0055226A" w:rsidRPr="00B905BE" w:rsidRDefault="0055226A" w:rsidP="00ED36CC">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 xml:space="preserve">El Estado no asistió a la audiencia. El </w:t>
      </w:r>
      <w:r w:rsidRPr="00B905BE">
        <w:rPr>
          <w:rFonts w:asciiTheme="majorHAnsi" w:hAnsiTheme="majorHAnsi"/>
          <w:sz w:val="16"/>
          <w:szCs w:val="16"/>
          <w:lang w:val="es-ES"/>
        </w:rPr>
        <w:t>24</w:t>
      </w:r>
      <w:r>
        <w:rPr>
          <w:rFonts w:asciiTheme="majorHAnsi" w:hAnsiTheme="majorHAnsi"/>
          <w:sz w:val="16"/>
          <w:szCs w:val="16"/>
          <w:lang w:val="es-ES"/>
        </w:rPr>
        <w:t xml:space="preserve"> de octubre de</w:t>
      </w:r>
      <w:r w:rsidRPr="00B905BE">
        <w:rPr>
          <w:rFonts w:asciiTheme="majorHAnsi" w:hAnsiTheme="majorHAnsi"/>
          <w:sz w:val="16"/>
          <w:szCs w:val="16"/>
          <w:lang w:val="es-ES"/>
        </w:rPr>
        <w:t xml:space="preserve"> 2019</w:t>
      </w:r>
      <w:r>
        <w:rPr>
          <w:rFonts w:asciiTheme="majorHAnsi" w:hAnsiTheme="majorHAnsi"/>
          <w:sz w:val="16"/>
          <w:szCs w:val="16"/>
          <w:lang w:val="es-ES"/>
        </w:rPr>
        <w:t xml:space="preserve">, el Estado pidió que se convocara una audiencia para una fecha posterior y que se le avisara con suficiente anticipación. La CIDH decidió celebrar la audiencia de conformidad con el artículo </w:t>
      </w:r>
      <w:r w:rsidRPr="00B905BE">
        <w:rPr>
          <w:rFonts w:asciiTheme="majorHAnsi" w:hAnsiTheme="majorHAnsi"/>
          <w:sz w:val="16"/>
          <w:szCs w:val="16"/>
          <w:lang w:val="es-ES"/>
        </w:rPr>
        <w:t xml:space="preserve">64.3 </w:t>
      </w:r>
      <w:r>
        <w:rPr>
          <w:rFonts w:asciiTheme="majorHAnsi" w:hAnsiTheme="majorHAnsi"/>
          <w:sz w:val="16"/>
          <w:szCs w:val="16"/>
          <w:lang w:val="es-ES"/>
        </w:rPr>
        <w:t>de su Reglamento, en el cual se dispone que “</w:t>
      </w:r>
      <w:r w:rsidRPr="00D61759">
        <w:rPr>
          <w:rFonts w:asciiTheme="majorHAnsi" w:hAnsiTheme="majorHAnsi"/>
          <w:sz w:val="16"/>
          <w:szCs w:val="16"/>
          <w:lang w:val="es-VE"/>
        </w:rPr>
        <w:t>[</w:t>
      </w:r>
      <w:r>
        <w:rPr>
          <w:rFonts w:asciiTheme="majorHAnsi" w:hAnsiTheme="majorHAnsi"/>
          <w:sz w:val="16"/>
          <w:szCs w:val="16"/>
          <w:lang w:val="es-ES"/>
        </w:rPr>
        <w:t xml:space="preserve">s]i </w:t>
      </w:r>
      <w:r w:rsidRPr="00ED36CC">
        <w:rPr>
          <w:rFonts w:asciiTheme="majorHAnsi" w:hAnsiTheme="majorHAnsi"/>
          <w:sz w:val="16"/>
          <w:szCs w:val="16"/>
          <w:lang w:val="es-ES"/>
        </w:rPr>
        <w:t>una parte debidamente notificada no comparece, la Comisión proseguirá</w:t>
      </w:r>
      <w:r>
        <w:rPr>
          <w:rFonts w:asciiTheme="majorHAnsi" w:hAnsiTheme="majorHAnsi"/>
          <w:sz w:val="16"/>
          <w:szCs w:val="16"/>
          <w:lang w:val="es-ES"/>
        </w:rPr>
        <w:t xml:space="preserve"> </w:t>
      </w:r>
      <w:r w:rsidRPr="00ED36CC">
        <w:rPr>
          <w:rFonts w:asciiTheme="majorHAnsi" w:hAnsiTheme="majorHAnsi"/>
          <w:sz w:val="16"/>
          <w:szCs w:val="16"/>
          <w:lang w:val="es-ES"/>
        </w:rPr>
        <w:t>con la audiencia</w:t>
      </w:r>
      <w:r>
        <w:rPr>
          <w:rFonts w:asciiTheme="majorHAnsi" w:hAnsiTheme="majorHAnsi"/>
          <w:sz w:val="16"/>
          <w:szCs w:val="16"/>
          <w:lang w:val="es-ES"/>
        </w:rPr>
        <w:t>”.</w:t>
      </w:r>
    </w:p>
  </w:footnote>
  <w:footnote w:id="7">
    <w:p w14:paraId="7116CB32"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V</w:t>
      </w:r>
      <w:r>
        <w:rPr>
          <w:rFonts w:asciiTheme="majorHAnsi" w:hAnsiTheme="majorHAnsi"/>
          <w:sz w:val="16"/>
          <w:szCs w:val="16"/>
          <w:lang w:val="es-ES"/>
        </w:rPr>
        <w:t xml:space="preserve">éase </w:t>
      </w:r>
      <w:r w:rsidRPr="00B905BE">
        <w:rPr>
          <w:rFonts w:asciiTheme="majorHAnsi" w:hAnsiTheme="majorHAnsi"/>
          <w:sz w:val="16"/>
          <w:szCs w:val="16"/>
          <w:lang w:val="es-ES"/>
        </w:rPr>
        <w:t xml:space="preserve">CIDH, Informe No. 80/18, Petición 1850-11. Admisibilidad. Gareth Henry, Simone Carline Edwards </w:t>
      </w:r>
      <w:r>
        <w:rPr>
          <w:rFonts w:asciiTheme="majorHAnsi" w:hAnsiTheme="majorHAnsi"/>
          <w:sz w:val="16"/>
          <w:szCs w:val="16"/>
          <w:lang w:val="es-ES"/>
        </w:rPr>
        <w:t>y familiares</w:t>
      </w:r>
      <w:r w:rsidRPr="00B905BE">
        <w:rPr>
          <w:rFonts w:asciiTheme="majorHAnsi" w:hAnsiTheme="majorHAnsi"/>
          <w:sz w:val="16"/>
          <w:szCs w:val="16"/>
          <w:lang w:val="es-ES"/>
        </w:rPr>
        <w:t>. Jamaica. 2</w:t>
      </w:r>
      <w:r>
        <w:rPr>
          <w:rFonts w:asciiTheme="majorHAnsi" w:hAnsiTheme="majorHAnsi"/>
          <w:sz w:val="16"/>
          <w:szCs w:val="16"/>
          <w:lang w:val="es-ES"/>
        </w:rPr>
        <w:t xml:space="preserve"> de julio de</w:t>
      </w:r>
      <w:r w:rsidRPr="00B905BE">
        <w:rPr>
          <w:rFonts w:asciiTheme="majorHAnsi" w:hAnsiTheme="majorHAnsi"/>
          <w:sz w:val="16"/>
          <w:szCs w:val="16"/>
          <w:lang w:val="es-ES"/>
        </w:rPr>
        <w:t xml:space="preserve"> 2018.</w:t>
      </w:r>
    </w:p>
  </w:footnote>
  <w:footnote w:id="8">
    <w:p w14:paraId="127E3846"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Offences Against the Person Act [Ley de Delitos contra la Persona]. </w:t>
      </w:r>
    </w:p>
  </w:footnote>
  <w:footnote w:id="9">
    <w:p w14:paraId="0F4199B1"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hyperlink r:id="rId1" w:history="1">
        <w:r w:rsidRPr="00B905BE">
          <w:rPr>
            <w:rStyle w:val="Hyperlink"/>
            <w:rFonts w:asciiTheme="majorHAnsi" w:hAnsiTheme="majorHAnsi"/>
            <w:sz w:val="16"/>
            <w:szCs w:val="16"/>
            <w:lang w:val="es-ES"/>
          </w:rPr>
          <w:t>Constitución de Jamaica de 1962 con las enmiendas introducidas hasta 2011 inclusive</w:t>
        </w:r>
        <w:r w:rsidRPr="00B905BE">
          <w:rPr>
            <w:rStyle w:val="Hyperlink"/>
            <w:rFonts w:asciiTheme="majorHAnsi" w:hAnsiTheme="majorHAnsi"/>
            <w:sz w:val="16"/>
            <w:szCs w:val="16"/>
            <w:u w:val="none"/>
            <w:lang w:val="es-ES"/>
          </w:rPr>
          <w:t>.</w:t>
        </w:r>
      </w:hyperlink>
    </w:p>
  </w:footnote>
  <w:footnote w:id="10">
    <w:p w14:paraId="62B1E0FB"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2" w:history="1">
        <w:r w:rsidRPr="00B905BE">
          <w:rPr>
            <w:rStyle w:val="Hyperlink"/>
            <w:rFonts w:asciiTheme="majorHAnsi" w:hAnsiTheme="majorHAnsi"/>
            <w:i/>
            <w:sz w:val="16"/>
            <w:szCs w:val="16"/>
            <w:lang w:val="es-ES"/>
          </w:rPr>
          <w:t>Avances y desafíos hacia el reconocimiento de los derechos de las personas LGBTI en las Américas</w:t>
        </w:r>
      </w:hyperlink>
      <w:r w:rsidRPr="00B905BE">
        <w:rPr>
          <w:rFonts w:asciiTheme="majorHAnsi" w:hAnsiTheme="majorHAnsi"/>
          <w:sz w:val="16"/>
          <w:szCs w:val="16"/>
          <w:lang w:val="es-ES"/>
        </w:rPr>
        <w:t>. OEA/ser.L/V/II.170, Doc. 184, 7 de diciembre de 2018, párr. 241.</w:t>
      </w:r>
    </w:p>
  </w:footnote>
  <w:footnote w:id="11">
    <w:p w14:paraId="5D10FA8A"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3" w:history="1">
        <w:r w:rsidRPr="00B905BE">
          <w:rPr>
            <w:rStyle w:val="Hyperlink"/>
            <w:rFonts w:asciiTheme="majorHAnsi" w:hAnsiTheme="majorHAnsi"/>
            <w:i/>
            <w:sz w:val="16"/>
            <w:szCs w:val="16"/>
            <w:lang w:val="es-ES"/>
          </w:rPr>
          <w:t>Informe sobre la situación de los derechos humanos en Jamaica</w:t>
        </w:r>
      </w:hyperlink>
      <w:r w:rsidRPr="00B905BE">
        <w:rPr>
          <w:rFonts w:asciiTheme="majorHAnsi" w:hAnsiTheme="majorHAnsi"/>
          <w:sz w:val="16"/>
          <w:szCs w:val="16"/>
          <w:lang w:val="es-ES"/>
        </w:rPr>
        <w:t xml:space="preserve">. </w:t>
      </w:r>
      <w:r w:rsidRPr="00D61759">
        <w:rPr>
          <w:rFonts w:asciiTheme="majorHAnsi" w:hAnsiTheme="majorHAnsi"/>
          <w:sz w:val="16"/>
          <w:szCs w:val="16"/>
          <w:lang w:val="pt-BR"/>
        </w:rPr>
        <w:t xml:space="preserve">OEA/Ser.L/v/II.144, Doc. 12, 10 de agosto de 2012, párrs. </w:t>
      </w:r>
      <w:r w:rsidRPr="00B905BE">
        <w:rPr>
          <w:rFonts w:asciiTheme="majorHAnsi" w:hAnsiTheme="majorHAnsi"/>
          <w:sz w:val="16"/>
          <w:szCs w:val="16"/>
          <w:lang w:val="es-ES"/>
        </w:rPr>
        <w:t>264 y 271.</w:t>
      </w:r>
    </w:p>
  </w:footnote>
  <w:footnote w:id="12">
    <w:p w14:paraId="6F68558C"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4" w:history="1">
        <w:r w:rsidRPr="00B905BE">
          <w:rPr>
            <w:rStyle w:val="Hyperlink"/>
            <w:rFonts w:asciiTheme="majorHAnsi" w:hAnsiTheme="majorHAnsi"/>
            <w:i/>
            <w:sz w:val="16"/>
            <w:szCs w:val="16"/>
            <w:lang w:val="es-ES"/>
          </w:rPr>
          <w:t>Informe sobre el 153 Período de Sesiones de la CIDH. Seguimiento del Informe de la CIDH sobre la situación de derechos humanos en Jamaica</w:t>
        </w:r>
      </w:hyperlink>
      <w:r w:rsidRPr="00B905BE">
        <w:rPr>
          <w:rFonts w:asciiTheme="majorHAnsi" w:hAnsiTheme="majorHAnsi"/>
          <w:sz w:val="16"/>
          <w:szCs w:val="16"/>
          <w:lang w:val="es-ES"/>
        </w:rPr>
        <w:t>. 29 de diciembre de 2014.</w:t>
      </w:r>
      <w:r>
        <w:rPr>
          <w:rFonts w:asciiTheme="majorHAnsi" w:hAnsiTheme="majorHAnsi"/>
          <w:sz w:val="16"/>
          <w:szCs w:val="16"/>
          <w:lang w:val="es-ES"/>
        </w:rPr>
        <w:t xml:space="preserve"> </w:t>
      </w:r>
    </w:p>
  </w:footnote>
  <w:footnote w:id="13">
    <w:p w14:paraId="10A6DEC3"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5" w:history="1">
        <w:r w:rsidRPr="00B905BE">
          <w:rPr>
            <w:rStyle w:val="Hyperlink"/>
            <w:rFonts w:asciiTheme="majorHAnsi" w:hAnsiTheme="majorHAnsi"/>
            <w:i/>
            <w:sz w:val="16"/>
            <w:szCs w:val="16"/>
            <w:lang w:val="es-ES"/>
          </w:rPr>
          <w:t>Violencia contra personas lesbianas, gay, bisexuales, trans e intersex en América</w:t>
        </w:r>
      </w:hyperlink>
      <w:r w:rsidRPr="00B905BE">
        <w:rPr>
          <w:rStyle w:val="Hyperlink"/>
          <w:rFonts w:asciiTheme="majorHAnsi" w:hAnsiTheme="majorHAnsi"/>
          <w:i/>
          <w:sz w:val="16"/>
          <w:szCs w:val="16"/>
          <w:u w:val="none"/>
          <w:lang w:val="es-ES"/>
        </w:rPr>
        <w:t>.</w:t>
      </w:r>
      <w:r w:rsidRPr="00B905BE">
        <w:rPr>
          <w:rFonts w:asciiTheme="majorHAnsi" w:hAnsiTheme="majorHAnsi"/>
          <w:sz w:val="16"/>
          <w:szCs w:val="16"/>
          <w:lang w:val="es-ES"/>
        </w:rPr>
        <w:t xml:space="preserve"> OEA/Ser.L/V/II.rev.1, Doc. 36, 12 de noviembre de 2015, párrs. 56, 74 y 75; véase también </w:t>
      </w:r>
      <w:hyperlink r:id="rId6" w:history="1">
        <w:r w:rsidRPr="00B905BE">
          <w:rPr>
            <w:rStyle w:val="Hyperlink"/>
            <w:rFonts w:asciiTheme="majorHAnsi" w:hAnsiTheme="majorHAnsi"/>
            <w:i/>
            <w:sz w:val="16"/>
            <w:szCs w:val="16"/>
            <w:lang w:val="es-ES"/>
          </w:rPr>
          <w:t>No dejar a ninguna persona LGBT atrás</w:t>
        </w:r>
      </w:hyperlink>
      <w:r w:rsidRPr="00B905BE">
        <w:rPr>
          <w:rFonts w:asciiTheme="majorHAnsi" w:hAnsiTheme="majorHAnsi"/>
          <w:sz w:val="16"/>
          <w:szCs w:val="16"/>
          <w:lang w:val="es-ES"/>
        </w:rPr>
        <w:t xml:space="preserve">. Declaración de expertos en derechos humanos en el Día Internacional contra la homofobia, la transfobia y la bifobia, 16 de mayo de 2018. </w:t>
      </w:r>
    </w:p>
  </w:footnote>
  <w:footnote w:id="14">
    <w:p w14:paraId="6CBC9EE7" w14:textId="77777777" w:rsidR="0055226A" w:rsidRPr="00D61759" w:rsidRDefault="0055226A" w:rsidP="00DC4D27">
      <w:pPr>
        <w:pStyle w:val="FootnoteText"/>
        <w:jc w:val="both"/>
        <w:rPr>
          <w:rFonts w:asciiTheme="majorHAnsi" w:hAnsiTheme="majorHAnsi"/>
          <w:sz w:val="16"/>
          <w:szCs w:val="16"/>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rPr>
        <w:t xml:space="preserve"> Human Rights Watch. </w:t>
      </w:r>
      <w:r w:rsidRPr="00D61759">
        <w:rPr>
          <w:rFonts w:asciiTheme="majorHAnsi" w:hAnsiTheme="majorHAnsi"/>
          <w:i/>
          <w:sz w:val="16"/>
          <w:szCs w:val="16"/>
        </w:rPr>
        <w:t>Not Safe at Home, Violence and Discrimination against LGBT people in Jamaica,</w:t>
      </w:r>
      <w:r w:rsidRPr="00D61759">
        <w:rPr>
          <w:rFonts w:asciiTheme="majorHAnsi" w:hAnsiTheme="majorHAnsi"/>
          <w:sz w:val="16"/>
          <w:szCs w:val="16"/>
        </w:rPr>
        <w:t xml:space="preserve"> p. 2.</w:t>
      </w:r>
    </w:p>
  </w:footnote>
  <w:footnote w:id="15">
    <w:p w14:paraId="1B28E960" w14:textId="77777777" w:rsidR="0055226A" w:rsidRPr="00D61759" w:rsidRDefault="0055226A" w:rsidP="00DC4D27">
      <w:pPr>
        <w:pStyle w:val="FootnoteText"/>
        <w:jc w:val="both"/>
        <w:rPr>
          <w:rFonts w:asciiTheme="majorHAnsi" w:hAnsiTheme="majorHAnsi"/>
          <w:sz w:val="16"/>
          <w:szCs w:val="16"/>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rPr>
        <w:t xml:space="preserve"> Human Rights Watch. </w:t>
      </w:r>
      <w:r w:rsidRPr="00D61759">
        <w:rPr>
          <w:rFonts w:asciiTheme="majorHAnsi" w:hAnsiTheme="majorHAnsi"/>
          <w:i/>
          <w:sz w:val="16"/>
          <w:szCs w:val="16"/>
        </w:rPr>
        <w:t>Not Safe at Home, Violence and Discrimination against LGBT people in Jamaica,</w:t>
      </w:r>
      <w:r w:rsidRPr="00D61759">
        <w:rPr>
          <w:rFonts w:asciiTheme="majorHAnsi" w:hAnsiTheme="majorHAnsi"/>
          <w:sz w:val="16"/>
          <w:szCs w:val="16"/>
        </w:rPr>
        <w:t xml:space="preserve"> p. 48.</w:t>
      </w:r>
    </w:p>
  </w:footnote>
  <w:footnote w:id="16">
    <w:p w14:paraId="0B8DB942"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rPr>
        <w:t xml:space="preserve"> Human Rights First. </w:t>
      </w:r>
      <w:r w:rsidRPr="00D61759">
        <w:rPr>
          <w:rFonts w:asciiTheme="majorHAnsi" w:hAnsiTheme="majorHAnsi"/>
          <w:i/>
          <w:sz w:val="16"/>
          <w:szCs w:val="16"/>
        </w:rPr>
        <w:t>The World as it Should Be. Advancing the Human Rights of LGBT People in Jamaica</w:t>
      </w:r>
      <w:r w:rsidRPr="00D61759">
        <w:rPr>
          <w:rFonts w:asciiTheme="majorHAnsi" w:hAnsiTheme="majorHAnsi"/>
          <w:sz w:val="16"/>
          <w:szCs w:val="16"/>
        </w:rPr>
        <w:t xml:space="preserve">. </w:t>
      </w:r>
      <w:r w:rsidRPr="00B905BE">
        <w:rPr>
          <w:rFonts w:asciiTheme="majorHAnsi" w:hAnsiTheme="majorHAnsi"/>
          <w:sz w:val="16"/>
          <w:szCs w:val="16"/>
          <w:lang w:val="es-ES"/>
        </w:rPr>
        <w:t xml:space="preserve">Julio de 2015. </w:t>
      </w:r>
    </w:p>
  </w:footnote>
  <w:footnote w:id="17">
    <w:p w14:paraId="5708C0FD"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Véanse los informes del Departamento de Estado de Estados Unidos sobre la situación de los derechos humanos en Jamaica (2017 y 2018). </w:t>
      </w:r>
    </w:p>
  </w:footnote>
  <w:footnote w:id="18">
    <w:p w14:paraId="05E0839A"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rPr>
        <w:t xml:space="preserve"> UK Home Office. </w:t>
      </w:r>
      <w:r w:rsidRPr="00D61759">
        <w:rPr>
          <w:rFonts w:asciiTheme="majorHAnsi" w:hAnsiTheme="majorHAnsi"/>
          <w:i/>
          <w:sz w:val="16"/>
          <w:szCs w:val="16"/>
        </w:rPr>
        <w:t xml:space="preserve">Country Policy and Information Note. </w:t>
      </w:r>
      <w:r w:rsidRPr="00D43C76">
        <w:rPr>
          <w:rFonts w:asciiTheme="majorHAnsi" w:hAnsiTheme="majorHAnsi"/>
          <w:i/>
          <w:sz w:val="16"/>
          <w:szCs w:val="16"/>
        </w:rPr>
        <w:t>Jamaica: Sexual orientation and gender identity</w:t>
      </w:r>
      <w:r w:rsidRPr="00D43C76">
        <w:rPr>
          <w:rFonts w:asciiTheme="majorHAnsi" w:hAnsiTheme="majorHAnsi"/>
          <w:sz w:val="16"/>
          <w:szCs w:val="16"/>
        </w:rPr>
        <w:t xml:space="preserve">. </w:t>
      </w:r>
      <w:r w:rsidRPr="00B905BE">
        <w:rPr>
          <w:rFonts w:asciiTheme="majorHAnsi" w:hAnsiTheme="majorHAnsi"/>
          <w:sz w:val="16"/>
          <w:szCs w:val="16"/>
          <w:lang w:val="es-ES"/>
        </w:rPr>
        <w:t xml:space="preserve">Febrero de 2017. </w:t>
      </w:r>
    </w:p>
  </w:footnote>
  <w:footnote w:id="19">
    <w:p w14:paraId="11256EAF"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Declaración </w:t>
      </w:r>
      <w:r>
        <w:rPr>
          <w:rFonts w:asciiTheme="majorHAnsi" w:hAnsiTheme="majorHAnsi"/>
          <w:sz w:val="16"/>
          <w:szCs w:val="16"/>
          <w:lang w:val="es-ES"/>
        </w:rPr>
        <w:t xml:space="preserve">de </w:t>
      </w:r>
      <w:r w:rsidRPr="00B905BE">
        <w:rPr>
          <w:rFonts w:asciiTheme="majorHAnsi" w:hAnsiTheme="majorHAnsi"/>
          <w:sz w:val="16"/>
          <w:szCs w:val="16"/>
          <w:lang w:val="es-ES"/>
        </w:rPr>
        <w:t>S.</w:t>
      </w:r>
      <w:r>
        <w:rPr>
          <w:rFonts w:asciiTheme="majorHAnsi" w:hAnsiTheme="majorHAnsi"/>
          <w:sz w:val="16"/>
          <w:szCs w:val="16"/>
          <w:lang w:val="es-ES"/>
        </w:rPr>
        <w:t xml:space="preserve"> </w:t>
      </w:r>
      <w:r w:rsidRPr="00B905BE">
        <w:rPr>
          <w:rFonts w:asciiTheme="majorHAnsi" w:hAnsiTheme="majorHAnsi"/>
          <w:sz w:val="16"/>
          <w:szCs w:val="16"/>
          <w:lang w:val="es-ES"/>
        </w:rPr>
        <w:t>H</w:t>
      </w:r>
      <w:r>
        <w:rPr>
          <w:rFonts w:asciiTheme="majorHAnsi" w:hAnsiTheme="majorHAnsi"/>
          <w:sz w:val="16"/>
          <w:szCs w:val="16"/>
          <w:lang w:val="es-ES"/>
        </w:rPr>
        <w:t>.</w:t>
      </w:r>
      <w:r w:rsidRPr="00B905BE">
        <w:rPr>
          <w:rFonts w:asciiTheme="majorHAnsi" w:hAnsiTheme="majorHAnsi"/>
          <w:sz w:val="16"/>
          <w:szCs w:val="16"/>
          <w:lang w:val="es-ES"/>
        </w:rPr>
        <w:t>, 4</w:t>
      </w:r>
      <w:r>
        <w:rPr>
          <w:rFonts w:asciiTheme="majorHAnsi" w:hAnsiTheme="majorHAnsi"/>
          <w:sz w:val="16"/>
          <w:szCs w:val="16"/>
          <w:lang w:val="es-ES"/>
        </w:rPr>
        <w:t xml:space="preserve"> de septiembre de</w:t>
      </w:r>
      <w:r w:rsidRPr="00B905BE">
        <w:rPr>
          <w:rFonts w:asciiTheme="majorHAnsi" w:hAnsiTheme="majorHAnsi"/>
          <w:sz w:val="16"/>
          <w:szCs w:val="16"/>
          <w:lang w:val="es-ES"/>
        </w:rPr>
        <w:t xml:space="preserve"> 2011.</w:t>
      </w:r>
    </w:p>
  </w:footnote>
  <w:footnote w:id="20">
    <w:p w14:paraId="6413EAD7"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Declaración </w:t>
      </w:r>
      <w:r>
        <w:rPr>
          <w:rFonts w:asciiTheme="majorHAnsi" w:hAnsiTheme="majorHAnsi"/>
          <w:sz w:val="16"/>
          <w:szCs w:val="16"/>
          <w:lang w:val="es-ES"/>
        </w:rPr>
        <w:t>de</w:t>
      </w:r>
      <w:r w:rsidRPr="00B905BE">
        <w:rPr>
          <w:rFonts w:asciiTheme="majorHAnsi" w:hAnsiTheme="majorHAnsi"/>
          <w:sz w:val="16"/>
          <w:szCs w:val="16"/>
          <w:lang w:val="es-ES"/>
        </w:rPr>
        <w:t xml:space="preserve"> T.</w:t>
      </w:r>
      <w:r>
        <w:rPr>
          <w:rFonts w:asciiTheme="majorHAnsi" w:hAnsiTheme="majorHAnsi"/>
          <w:sz w:val="16"/>
          <w:szCs w:val="16"/>
          <w:lang w:val="es-ES"/>
        </w:rPr>
        <w:t xml:space="preserve"> </w:t>
      </w:r>
      <w:r w:rsidRPr="00B905BE">
        <w:rPr>
          <w:rFonts w:asciiTheme="majorHAnsi" w:hAnsiTheme="majorHAnsi"/>
          <w:sz w:val="16"/>
          <w:szCs w:val="16"/>
          <w:lang w:val="es-ES"/>
        </w:rPr>
        <w:t>B</w:t>
      </w:r>
      <w:r>
        <w:rPr>
          <w:rFonts w:asciiTheme="majorHAnsi" w:hAnsiTheme="majorHAnsi"/>
          <w:sz w:val="16"/>
          <w:szCs w:val="16"/>
          <w:lang w:val="es-ES"/>
        </w:rPr>
        <w:t>.</w:t>
      </w:r>
      <w:r w:rsidRPr="00B905BE">
        <w:rPr>
          <w:rFonts w:asciiTheme="majorHAnsi" w:hAnsiTheme="majorHAnsi"/>
          <w:sz w:val="16"/>
          <w:szCs w:val="16"/>
          <w:lang w:val="es-ES"/>
        </w:rPr>
        <w:t>, 29</w:t>
      </w:r>
      <w:r>
        <w:rPr>
          <w:rFonts w:asciiTheme="majorHAnsi" w:hAnsiTheme="majorHAnsi"/>
          <w:sz w:val="16"/>
          <w:szCs w:val="16"/>
          <w:lang w:val="es-ES"/>
        </w:rPr>
        <w:t xml:space="preserve"> de septiembre de</w:t>
      </w:r>
      <w:r w:rsidRPr="00B905BE">
        <w:rPr>
          <w:rFonts w:asciiTheme="majorHAnsi" w:hAnsiTheme="majorHAnsi"/>
          <w:sz w:val="16"/>
          <w:szCs w:val="16"/>
          <w:lang w:val="es-ES"/>
        </w:rPr>
        <w:t xml:space="preserve"> 2011, p</w:t>
      </w:r>
      <w:r>
        <w:rPr>
          <w:rFonts w:asciiTheme="majorHAnsi" w:hAnsiTheme="majorHAnsi"/>
          <w:sz w:val="16"/>
          <w:szCs w:val="16"/>
          <w:lang w:val="es-ES"/>
        </w:rPr>
        <w:t xml:space="preserve">árrs. </w:t>
      </w:r>
      <w:r w:rsidRPr="00B905BE">
        <w:rPr>
          <w:rFonts w:asciiTheme="majorHAnsi" w:hAnsiTheme="majorHAnsi"/>
          <w:sz w:val="16"/>
          <w:szCs w:val="16"/>
          <w:lang w:val="es-ES"/>
        </w:rPr>
        <w:t>15</w:t>
      </w:r>
      <w:r>
        <w:rPr>
          <w:rFonts w:asciiTheme="majorHAnsi" w:hAnsiTheme="majorHAnsi"/>
          <w:sz w:val="16"/>
          <w:szCs w:val="16"/>
          <w:lang w:val="es-ES"/>
        </w:rPr>
        <w:t xml:space="preserve"> a </w:t>
      </w:r>
      <w:r w:rsidRPr="00B905BE">
        <w:rPr>
          <w:rFonts w:asciiTheme="majorHAnsi" w:hAnsiTheme="majorHAnsi"/>
          <w:sz w:val="16"/>
          <w:szCs w:val="16"/>
          <w:lang w:val="es-ES"/>
        </w:rPr>
        <w:t>19.</w:t>
      </w:r>
    </w:p>
  </w:footnote>
  <w:footnote w:id="21">
    <w:p w14:paraId="6B252DF1"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Declaración </w:t>
      </w:r>
      <w:r>
        <w:rPr>
          <w:rFonts w:asciiTheme="majorHAnsi" w:hAnsiTheme="majorHAnsi"/>
          <w:sz w:val="16"/>
          <w:szCs w:val="16"/>
          <w:lang w:val="es-ES"/>
        </w:rPr>
        <w:t>de</w:t>
      </w:r>
      <w:r w:rsidRPr="00B905BE">
        <w:rPr>
          <w:rFonts w:asciiTheme="majorHAnsi" w:hAnsiTheme="majorHAnsi"/>
          <w:sz w:val="16"/>
          <w:szCs w:val="16"/>
          <w:lang w:val="es-ES"/>
        </w:rPr>
        <w:t xml:space="preserve"> T.</w:t>
      </w:r>
      <w:r>
        <w:rPr>
          <w:rFonts w:asciiTheme="majorHAnsi" w:hAnsiTheme="majorHAnsi"/>
          <w:sz w:val="16"/>
          <w:szCs w:val="16"/>
          <w:lang w:val="es-ES"/>
        </w:rPr>
        <w:t xml:space="preserve"> </w:t>
      </w:r>
      <w:r w:rsidRPr="00B905BE">
        <w:rPr>
          <w:rFonts w:asciiTheme="majorHAnsi" w:hAnsiTheme="majorHAnsi"/>
          <w:sz w:val="16"/>
          <w:szCs w:val="16"/>
          <w:lang w:val="es-ES"/>
        </w:rPr>
        <w:t>B</w:t>
      </w:r>
      <w:r>
        <w:rPr>
          <w:rFonts w:asciiTheme="majorHAnsi" w:hAnsiTheme="majorHAnsi"/>
          <w:sz w:val="16"/>
          <w:szCs w:val="16"/>
          <w:lang w:val="es-ES"/>
        </w:rPr>
        <w:t>.</w:t>
      </w:r>
      <w:r w:rsidRPr="00B905BE">
        <w:rPr>
          <w:rFonts w:asciiTheme="majorHAnsi" w:hAnsiTheme="majorHAnsi"/>
          <w:sz w:val="16"/>
          <w:szCs w:val="16"/>
          <w:lang w:val="es-ES"/>
        </w:rPr>
        <w:t>, 6</w:t>
      </w:r>
      <w:r>
        <w:rPr>
          <w:rFonts w:asciiTheme="majorHAnsi" w:hAnsiTheme="majorHAnsi"/>
          <w:sz w:val="16"/>
          <w:szCs w:val="16"/>
          <w:lang w:val="es-ES"/>
        </w:rPr>
        <w:t xml:space="preserve"> de noviembre de</w:t>
      </w:r>
      <w:r w:rsidRPr="00B905BE">
        <w:rPr>
          <w:rFonts w:asciiTheme="majorHAnsi" w:hAnsiTheme="majorHAnsi"/>
          <w:sz w:val="16"/>
          <w:szCs w:val="16"/>
          <w:lang w:val="es-ES"/>
        </w:rPr>
        <w:t xml:space="preserve"> 2019. </w:t>
      </w:r>
    </w:p>
  </w:footnote>
  <w:footnote w:id="22">
    <w:p w14:paraId="0C606FB7"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Declaración </w:t>
      </w:r>
      <w:r>
        <w:rPr>
          <w:rFonts w:asciiTheme="majorHAnsi" w:hAnsiTheme="majorHAnsi"/>
          <w:sz w:val="16"/>
          <w:szCs w:val="16"/>
          <w:lang w:val="es-ES"/>
        </w:rPr>
        <w:t>de</w:t>
      </w:r>
      <w:r w:rsidRPr="00B905BE">
        <w:rPr>
          <w:rFonts w:asciiTheme="majorHAnsi" w:hAnsiTheme="majorHAnsi"/>
          <w:sz w:val="16"/>
          <w:szCs w:val="16"/>
          <w:lang w:val="es-ES"/>
        </w:rPr>
        <w:t xml:space="preserve"> Ernest Massiah, </w:t>
      </w:r>
      <w:r>
        <w:rPr>
          <w:rFonts w:asciiTheme="majorHAnsi" w:hAnsiTheme="majorHAnsi"/>
          <w:sz w:val="16"/>
          <w:szCs w:val="16"/>
          <w:lang w:val="es-ES"/>
        </w:rPr>
        <w:t>d</w:t>
      </w:r>
      <w:r w:rsidRPr="00805621">
        <w:rPr>
          <w:rFonts w:asciiTheme="majorHAnsi" w:hAnsiTheme="majorHAnsi"/>
          <w:sz w:val="16"/>
          <w:szCs w:val="16"/>
          <w:lang w:val="es-ES"/>
        </w:rPr>
        <w:t>irector del Equipo de apoyo regional de ONUSIDA para el Carib</w:t>
      </w:r>
      <w:r>
        <w:rPr>
          <w:rFonts w:asciiTheme="majorHAnsi" w:hAnsiTheme="majorHAnsi"/>
          <w:sz w:val="16"/>
          <w:szCs w:val="16"/>
          <w:lang w:val="es-ES"/>
        </w:rPr>
        <w:t xml:space="preserve">e, </w:t>
      </w:r>
      <w:r w:rsidRPr="00B905BE">
        <w:rPr>
          <w:rFonts w:asciiTheme="majorHAnsi" w:hAnsiTheme="majorHAnsi"/>
          <w:sz w:val="16"/>
          <w:szCs w:val="16"/>
          <w:lang w:val="es-ES"/>
        </w:rPr>
        <w:t>29</w:t>
      </w:r>
      <w:r>
        <w:rPr>
          <w:rFonts w:asciiTheme="majorHAnsi" w:hAnsiTheme="majorHAnsi"/>
          <w:sz w:val="16"/>
          <w:szCs w:val="16"/>
          <w:lang w:val="es-ES"/>
        </w:rPr>
        <w:t xml:space="preserve"> de septiembre de</w:t>
      </w:r>
      <w:r w:rsidRPr="00B905BE">
        <w:rPr>
          <w:rFonts w:asciiTheme="majorHAnsi" w:hAnsiTheme="majorHAnsi"/>
          <w:sz w:val="16"/>
          <w:szCs w:val="16"/>
          <w:lang w:val="es-ES"/>
        </w:rPr>
        <w:t xml:space="preserve"> 2011, p</w:t>
      </w:r>
      <w:r>
        <w:rPr>
          <w:rFonts w:asciiTheme="majorHAnsi" w:hAnsiTheme="majorHAnsi"/>
          <w:sz w:val="16"/>
          <w:szCs w:val="16"/>
          <w:lang w:val="es-ES"/>
        </w:rPr>
        <w:t xml:space="preserve">árrs. </w:t>
      </w:r>
      <w:r w:rsidRPr="00B905BE">
        <w:rPr>
          <w:rFonts w:asciiTheme="majorHAnsi" w:hAnsiTheme="majorHAnsi"/>
          <w:sz w:val="16"/>
          <w:szCs w:val="16"/>
          <w:lang w:val="es-ES"/>
        </w:rPr>
        <w:t>15</w:t>
      </w:r>
      <w:r>
        <w:rPr>
          <w:rFonts w:asciiTheme="majorHAnsi" w:hAnsiTheme="majorHAnsi"/>
          <w:sz w:val="16"/>
          <w:szCs w:val="16"/>
          <w:lang w:val="es-ES"/>
        </w:rPr>
        <w:t xml:space="preserve"> a </w:t>
      </w:r>
      <w:r w:rsidRPr="00B905BE">
        <w:rPr>
          <w:rFonts w:asciiTheme="majorHAnsi" w:hAnsiTheme="majorHAnsi"/>
          <w:sz w:val="16"/>
          <w:szCs w:val="16"/>
          <w:lang w:val="es-ES"/>
        </w:rPr>
        <w:t>19.</w:t>
      </w:r>
    </w:p>
  </w:footnote>
  <w:footnote w:id="23">
    <w:p w14:paraId="6AAA6804"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Declaración </w:t>
      </w:r>
      <w:r>
        <w:rPr>
          <w:rFonts w:asciiTheme="majorHAnsi" w:hAnsiTheme="majorHAnsi"/>
          <w:sz w:val="16"/>
          <w:szCs w:val="16"/>
          <w:lang w:val="es-ES"/>
        </w:rPr>
        <w:t>de</w:t>
      </w:r>
      <w:r w:rsidRPr="00B905BE">
        <w:rPr>
          <w:rFonts w:asciiTheme="majorHAnsi" w:hAnsiTheme="majorHAnsi"/>
          <w:sz w:val="16"/>
          <w:szCs w:val="16"/>
          <w:lang w:val="es-ES"/>
        </w:rPr>
        <w:t xml:space="preserve"> Carolyn Gomes </w:t>
      </w:r>
      <w:r>
        <w:rPr>
          <w:rFonts w:asciiTheme="majorHAnsi" w:hAnsiTheme="majorHAnsi"/>
          <w:sz w:val="16"/>
          <w:szCs w:val="16"/>
          <w:lang w:val="es-ES"/>
        </w:rPr>
        <w:t>y</w:t>
      </w:r>
      <w:r w:rsidRPr="00B905BE">
        <w:rPr>
          <w:rFonts w:asciiTheme="majorHAnsi" w:hAnsiTheme="majorHAnsi"/>
          <w:sz w:val="16"/>
          <w:szCs w:val="16"/>
          <w:lang w:val="es-ES"/>
        </w:rPr>
        <w:t xml:space="preserve"> Susan Goffe, 29</w:t>
      </w:r>
      <w:r>
        <w:rPr>
          <w:rFonts w:asciiTheme="majorHAnsi" w:hAnsiTheme="majorHAnsi"/>
          <w:sz w:val="16"/>
          <w:szCs w:val="16"/>
          <w:lang w:val="es-ES"/>
        </w:rPr>
        <w:t xml:space="preserve"> de septiembre de</w:t>
      </w:r>
      <w:r w:rsidRPr="00B905BE">
        <w:rPr>
          <w:rFonts w:asciiTheme="majorHAnsi" w:hAnsiTheme="majorHAnsi"/>
          <w:sz w:val="16"/>
          <w:szCs w:val="16"/>
          <w:lang w:val="es-ES"/>
        </w:rPr>
        <w:t xml:space="preserve"> 2011, p</w:t>
      </w:r>
      <w:r>
        <w:rPr>
          <w:rFonts w:asciiTheme="majorHAnsi" w:hAnsiTheme="majorHAnsi"/>
          <w:sz w:val="16"/>
          <w:szCs w:val="16"/>
          <w:lang w:val="es-ES"/>
        </w:rPr>
        <w:t xml:space="preserve">árrs. </w:t>
      </w:r>
      <w:r w:rsidRPr="00B905BE">
        <w:rPr>
          <w:rFonts w:asciiTheme="majorHAnsi" w:hAnsiTheme="majorHAnsi"/>
          <w:sz w:val="16"/>
          <w:szCs w:val="16"/>
          <w:lang w:val="es-ES"/>
        </w:rPr>
        <w:t>26, 27</w:t>
      </w:r>
      <w:r>
        <w:rPr>
          <w:rFonts w:asciiTheme="majorHAnsi" w:hAnsiTheme="majorHAnsi"/>
          <w:sz w:val="16"/>
          <w:szCs w:val="16"/>
          <w:lang w:val="es-ES"/>
        </w:rPr>
        <w:t xml:space="preserve"> y </w:t>
      </w:r>
      <w:r w:rsidRPr="00B905BE">
        <w:rPr>
          <w:rFonts w:asciiTheme="majorHAnsi" w:hAnsiTheme="majorHAnsi"/>
          <w:sz w:val="16"/>
          <w:szCs w:val="16"/>
          <w:lang w:val="es-ES"/>
        </w:rPr>
        <w:t xml:space="preserve">32. </w:t>
      </w:r>
    </w:p>
  </w:footnote>
  <w:footnote w:id="24">
    <w:p w14:paraId="2665458F"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Declaración </w:t>
      </w:r>
      <w:r>
        <w:rPr>
          <w:rFonts w:asciiTheme="majorHAnsi" w:hAnsiTheme="majorHAnsi"/>
          <w:sz w:val="16"/>
          <w:szCs w:val="16"/>
          <w:lang w:val="es-ES"/>
        </w:rPr>
        <w:t>de</w:t>
      </w:r>
      <w:r w:rsidRPr="00B905BE">
        <w:rPr>
          <w:rFonts w:asciiTheme="majorHAnsi" w:hAnsiTheme="majorHAnsi"/>
          <w:sz w:val="16"/>
          <w:szCs w:val="16"/>
          <w:lang w:val="es-ES"/>
        </w:rPr>
        <w:t xml:space="preserve"> Kandasi Walton-Levermore, </w:t>
      </w:r>
      <w:r>
        <w:rPr>
          <w:rFonts w:asciiTheme="majorHAnsi" w:hAnsiTheme="majorHAnsi"/>
          <w:sz w:val="16"/>
          <w:szCs w:val="16"/>
          <w:lang w:val="es-ES"/>
        </w:rPr>
        <w:t xml:space="preserve">septiembre de </w:t>
      </w:r>
      <w:r w:rsidRPr="00B905BE">
        <w:rPr>
          <w:rFonts w:asciiTheme="majorHAnsi" w:hAnsiTheme="majorHAnsi"/>
          <w:sz w:val="16"/>
          <w:szCs w:val="16"/>
          <w:lang w:val="es-ES"/>
        </w:rPr>
        <w:t>2011, p</w:t>
      </w:r>
      <w:r>
        <w:rPr>
          <w:rFonts w:asciiTheme="majorHAnsi" w:hAnsiTheme="majorHAnsi"/>
          <w:sz w:val="16"/>
          <w:szCs w:val="16"/>
          <w:lang w:val="es-ES"/>
        </w:rPr>
        <w:t xml:space="preserve">árrs. </w:t>
      </w:r>
      <w:r w:rsidRPr="00B905BE">
        <w:rPr>
          <w:rFonts w:asciiTheme="majorHAnsi" w:hAnsiTheme="majorHAnsi"/>
          <w:sz w:val="16"/>
          <w:szCs w:val="16"/>
          <w:lang w:val="es-ES"/>
        </w:rPr>
        <w:t>26</w:t>
      </w:r>
      <w:r>
        <w:rPr>
          <w:rFonts w:asciiTheme="majorHAnsi" w:hAnsiTheme="majorHAnsi"/>
          <w:sz w:val="16"/>
          <w:szCs w:val="16"/>
          <w:lang w:val="es-ES"/>
        </w:rPr>
        <w:t xml:space="preserve"> y </w:t>
      </w:r>
      <w:r w:rsidRPr="00B905BE">
        <w:rPr>
          <w:rFonts w:asciiTheme="majorHAnsi" w:hAnsiTheme="majorHAnsi"/>
          <w:sz w:val="16"/>
          <w:szCs w:val="16"/>
          <w:lang w:val="es-ES"/>
        </w:rPr>
        <w:t>27.</w:t>
      </w:r>
    </w:p>
  </w:footnote>
  <w:footnote w:id="25">
    <w:p w14:paraId="162A4C34"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Declaración jurada de Javed Saunja Jaghai en la cual indica las razones por las cuales retira la demanda, 28 de agosto de 2014. Apéndice de la comunicación de los peticionarios del 15 de octubre de 2014.</w:t>
      </w:r>
    </w:p>
  </w:footnote>
  <w:footnote w:id="26">
    <w:p w14:paraId="6FBA24C7"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rPr>
        <w:t xml:space="preserve"> Library of Congress. </w:t>
      </w:r>
      <w:hyperlink r:id="rId7" w:history="1">
        <w:r w:rsidRPr="00D61759">
          <w:rPr>
            <w:rStyle w:val="Hyperlink"/>
            <w:rFonts w:asciiTheme="majorHAnsi" w:hAnsiTheme="majorHAnsi"/>
            <w:i/>
            <w:sz w:val="16"/>
            <w:szCs w:val="16"/>
          </w:rPr>
          <w:t>Jamaica: challenge to Law on Homosexuality</w:t>
        </w:r>
      </w:hyperlink>
      <w:r w:rsidRPr="00D61759">
        <w:rPr>
          <w:rStyle w:val="Hyperlink"/>
          <w:rFonts w:asciiTheme="majorHAnsi" w:hAnsiTheme="majorHAnsi"/>
          <w:sz w:val="16"/>
          <w:szCs w:val="16"/>
          <w:u w:val="none"/>
        </w:rPr>
        <w:t>.</w:t>
      </w:r>
      <w:r w:rsidRPr="00D61759">
        <w:rPr>
          <w:rFonts w:asciiTheme="majorHAnsi" w:hAnsiTheme="majorHAnsi"/>
          <w:sz w:val="16"/>
          <w:szCs w:val="16"/>
        </w:rPr>
        <w:t xml:space="preserve"> </w:t>
      </w:r>
      <w:r w:rsidRPr="00B905BE">
        <w:rPr>
          <w:rFonts w:asciiTheme="majorHAnsi" w:hAnsiTheme="majorHAnsi"/>
          <w:sz w:val="16"/>
          <w:szCs w:val="16"/>
          <w:lang w:val="es-ES"/>
        </w:rPr>
        <w:t>14 de diciembre de 2015.</w:t>
      </w:r>
    </w:p>
  </w:footnote>
  <w:footnote w:id="27">
    <w:p w14:paraId="5321E7D8"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El artículo 24 de la Convención dice: “Todas las personas son iguales ante la ley. En consecuencia, tienen derecho, sin discriminación, a igual protección de la ley”. Por su parte, el artículo 7 de la Convención de Belém do Pará dice: </w:t>
      </w:r>
      <w:r w:rsidRPr="00B905BE">
        <w:rPr>
          <w:rFonts w:asciiTheme="majorHAnsi" w:hAnsiTheme="majorHAnsi"/>
          <w:sz w:val="16"/>
          <w:szCs w:val="16"/>
          <w:shd w:val="clear" w:color="auto" w:fill="FFFFFF"/>
          <w:lang w:val="es-ES"/>
        </w:rPr>
        <w:t xml:space="preserve">“Los Estados Partes condenan todas las formas de violencia contra la mujer y convienen en adoptar, por todos los medios apropiados y sin dilaciones, políticas orientadas a prevenir, sancionar y erradicar dicha violencia y en llevar a cabo lo siguiente: [...] b. actuar con la debida diligencia para prevenir, investigar y sancionar la violencia contra la mujer”. </w:t>
      </w:r>
    </w:p>
  </w:footnote>
  <w:footnote w:id="28">
    <w:p w14:paraId="56C8258E"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El artículo 11, en la parte pertinente, dice: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 </w:t>
      </w:r>
    </w:p>
  </w:footnote>
  <w:footnote w:id="29">
    <w:p w14:paraId="57559B7D"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El artículo 5, en la parte pertinente, dice: “1. Toda persona tiene derecho a que se respete su integridad física, psíquica y moral”. </w:t>
      </w:r>
    </w:p>
  </w:footnote>
  <w:footnote w:id="30">
    <w:p w14:paraId="0A3B01A0"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El artículo 22 de la Convención dispone en el inciso 1: “Toda persona que se halle legalmente en el territorio de un Estado tiene derecho a circular por el mismo y a residir en él con sujeción a las disposiciones legales”. </w:t>
      </w:r>
    </w:p>
  </w:footnote>
  <w:footnote w:id="31">
    <w:p w14:paraId="14BA0A3B" w14:textId="77777777" w:rsidR="0055226A" w:rsidRPr="00B905BE" w:rsidRDefault="0055226A" w:rsidP="00DC4D27">
      <w:pPr>
        <w:jc w:val="both"/>
        <w:rPr>
          <w:rFonts w:asciiTheme="majorHAnsi" w:hAnsiTheme="majorHAnsi"/>
          <w:bCs/>
          <w:sz w:val="16"/>
          <w:szCs w:val="16"/>
          <w:lang w:val="es-ES"/>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lang w:val="pt-BR"/>
        </w:rPr>
        <w:t xml:space="preserve"> Corte IDH. </w:t>
      </w:r>
      <w:r w:rsidRPr="00D61759">
        <w:rPr>
          <w:rFonts w:asciiTheme="majorHAnsi" w:hAnsiTheme="majorHAnsi"/>
          <w:i/>
          <w:sz w:val="16"/>
          <w:szCs w:val="16"/>
          <w:lang w:val="pt-BR"/>
        </w:rPr>
        <w:t xml:space="preserve">Caso </w:t>
      </w:r>
      <w:r w:rsidRPr="00D61759">
        <w:rPr>
          <w:rStyle w:val="Strong"/>
          <w:rFonts w:asciiTheme="majorHAnsi" w:hAnsiTheme="majorHAnsi"/>
          <w:b w:val="0"/>
          <w:i/>
          <w:sz w:val="16"/>
          <w:szCs w:val="16"/>
          <w:lang w:val="pt-BR"/>
        </w:rPr>
        <w:t>Flor Freire vs. Ecuador</w:t>
      </w:r>
      <w:r w:rsidRPr="00D61759">
        <w:rPr>
          <w:rStyle w:val="Strong"/>
          <w:rFonts w:asciiTheme="majorHAnsi" w:hAnsiTheme="majorHAnsi"/>
          <w:b w:val="0"/>
          <w:sz w:val="16"/>
          <w:szCs w:val="16"/>
          <w:lang w:val="pt-BR"/>
        </w:rPr>
        <w:t xml:space="preserve">. </w:t>
      </w:r>
      <w:r w:rsidRPr="00B905BE">
        <w:rPr>
          <w:rStyle w:val="Strong"/>
          <w:rFonts w:asciiTheme="majorHAnsi" w:hAnsiTheme="majorHAnsi"/>
          <w:b w:val="0"/>
          <w:sz w:val="16"/>
          <w:szCs w:val="16"/>
          <w:lang w:val="es-ES"/>
        </w:rPr>
        <w:t>Excepción Preliminar, Fondo, Reparaciones y Costas. Sentencia de 31 de agosto de 2016. Serie C No. 315, párr. 109.</w:t>
      </w:r>
      <w:r w:rsidRPr="00B905BE">
        <w:rPr>
          <w:rStyle w:val="Strong"/>
          <w:rFonts w:asciiTheme="majorHAnsi" w:hAnsiTheme="majorHAnsi"/>
          <w:sz w:val="16"/>
          <w:szCs w:val="16"/>
          <w:lang w:val="es-ES"/>
        </w:rPr>
        <w:t xml:space="preserve"> </w:t>
      </w:r>
    </w:p>
  </w:footnote>
  <w:footnote w:id="32">
    <w:p w14:paraId="40272844"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sidRPr="00B905BE">
        <w:rPr>
          <w:rFonts w:asciiTheme="majorHAnsi" w:eastAsia="Times New Roman" w:hAnsiTheme="majorHAnsi"/>
          <w:bCs/>
          <w:sz w:val="16"/>
          <w:szCs w:val="16"/>
          <w:lang w:val="es-ES"/>
        </w:rPr>
        <w:t xml:space="preserve">Corte IDH. </w:t>
      </w:r>
      <w:r w:rsidRPr="00B905BE">
        <w:rPr>
          <w:rFonts w:asciiTheme="majorHAnsi" w:eastAsia="Times New Roman" w:hAnsiTheme="majorHAnsi"/>
          <w:bCs/>
          <w:i/>
          <w:sz w:val="16"/>
          <w:szCs w:val="16"/>
          <w:lang w:val="es-ES"/>
        </w:rPr>
        <w:t>Caso Furlan y familiares vs. Argentina</w:t>
      </w:r>
      <w:r w:rsidRPr="00B905BE">
        <w:rPr>
          <w:rFonts w:asciiTheme="majorHAnsi" w:eastAsia="Times New Roman" w:hAnsiTheme="majorHAnsi"/>
          <w:bCs/>
          <w:sz w:val="16"/>
          <w:szCs w:val="16"/>
          <w:lang w:val="es-ES"/>
        </w:rPr>
        <w:t>. Excepciones Preliminares, Fondo, Reparaciones y Costas. Sentencia de 31 de agosto de 2012. Serie C No. 246, párr. 267.</w:t>
      </w:r>
    </w:p>
  </w:footnote>
  <w:footnote w:id="33">
    <w:p w14:paraId="39408056" w14:textId="77777777" w:rsidR="0055226A" w:rsidRPr="00B905BE" w:rsidRDefault="0055226A" w:rsidP="00DC4D27">
      <w:pPr>
        <w:jc w:val="both"/>
        <w:rPr>
          <w:rFonts w:asciiTheme="majorHAnsi" w:eastAsia="Times New Roman"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sidRPr="00B905BE">
        <w:rPr>
          <w:rFonts w:asciiTheme="majorHAnsi" w:eastAsia="Times New Roman" w:hAnsiTheme="majorHAnsi"/>
          <w:bCs/>
          <w:color w:val="000000"/>
          <w:sz w:val="16"/>
          <w:szCs w:val="16"/>
          <w:lang w:val="es-ES"/>
        </w:rPr>
        <w:t xml:space="preserve">Corte IDH. </w:t>
      </w:r>
      <w:r w:rsidRPr="00B905BE">
        <w:rPr>
          <w:rFonts w:asciiTheme="majorHAnsi" w:eastAsia="Times New Roman" w:hAnsiTheme="majorHAnsi"/>
          <w:bCs/>
          <w:i/>
          <w:color w:val="000000"/>
          <w:sz w:val="16"/>
          <w:szCs w:val="16"/>
          <w:lang w:val="es-ES"/>
        </w:rPr>
        <w:t>Propuesta de modificación a la constitución política de Costa Rica relacionada con la naturalización</w:t>
      </w:r>
      <w:r w:rsidRPr="00B905BE">
        <w:rPr>
          <w:rFonts w:asciiTheme="majorHAnsi" w:eastAsia="Times New Roman" w:hAnsiTheme="majorHAnsi"/>
          <w:bCs/>
          <w:color w:val="000000"/>
          <w:sz w:val="16"/>
          <w:szCs w:val="16"/>
          <w:lang w:val="es-ES"/>
        </w:rPr>
        <w:t xml:space="preserve">. Opinión Consultiva OC-4/84 del 19 de enero de 1984. Serie A No. 4, párrs. 55 y 56. </w:t>
      </w:r>
    </w:p>
  </w:footnote>
  <w:footnote w:id="34">
    <w:p w14:paraId="7A882F97" w14:textId="77777777" w:rsidR="0055226A" w:rsidRPr="00B905BE" w:rsidRDefault="0055226A" w:rsidP="00DC4D27">
      <w:pPr>
        <w:pStyle w:val="FootnoteText"/>
        <w:jc w:val="both"/>
        <w:rPr>
          <w:rFonts w:asciiTheme="majorHAnsi" w:hAnsiTheme="majorHAnsi"/>
          <w:b/>
          <w:sz w:val="16"/>
          <w:szCs w:val="16"/>
          <w:lang w:val="es-ES"/>
        </w:rPr>
      </w:pPr>
      <w:r w:rsidRPr="00B905BE">
        <w:rPr>
          <w:rStyle w:val="FootnoteReference"/>
          <w:rFonts w:asciiTheme="majorHAnsi" w:hAnsiTheme="majorHAnsi"/>
          <w:b/>
          <w:sz w:val="16"/>
          <w:szCs w:val="16"/>
          <w:lang w:val="es-ES"/>
        </w:rPr>
        <w:footnoteRef/>
      </w:r>
      <w:r w:rsidRPr="00B905BE">
        <w:rPr>
          <w:rFonts w:asciiTheme="majorHAnsi" w:hAnsiTheme="majorHAnsi"/>
          <w:b/>
          <w:sz w:val="16"/>
          <w:szCs w:val="16"/>
          <w:lang w:val="es-ES"/>
        </w:rPr>
        <w:t xml:space="preserve"> </w:t>
      </w:r>
      <w:r w:rsidRPr="00B905BE">
        <w:rPr>
          <w:rStyle w:val="Strong"/>
          <w:rFonts w:asciiTheme="majorHAnsi" w:hAnsiTheme="majorHAnsi"/>
          <w:b w:val="0"/>
          <w:sz w:val="16"/>
          <w:szCs w:val="16"/>
          <w:lang w:val="es-ES"/>
        </w:rPr>
        <w:t xml:space="preserve">Corte IDH. </w:t>
      </w:r>
      <w:r w:rsidRPr="00B905BE">
        <w:rPr>
          <w:rStyle w:val="Strong"/>
          <w:rFonts w:asciiTheme="majorHAnsi" w:hAnsiTheme="majorHAnsi"/>
          <w:b w:val="0"/>
          <w:i/>
          <w:sz w:val="16"/>
          <w:szCs w:val="16"/>
          <w:lang w:val="es-ES"/>
        </w:rPr>
        <w:t>Caso Atala Riffo y niñas vs. Chile</w:t>
      </w:r>
      <w:r w:rsidRPr="00B905BE">
        <w:rPr>
          <w:rStyle w:val="Strong"/>
          <w:rFonts w:asciiTheme="majorHAnsi" w:hAnsiTheme="majorHAnsi"/>
          <w:b w:val="0"/>
          <w:sz w:val="16"/>
          <w:szCs w:val="16"/>
          <w:lang w:val="es-ES"/>
        </w:rPr>
        <w:t xml:space="preserve">. </w:t>
      </w:r>
      <w:r w:rsidRPr="00B905BE">
        <w:rPr>
          <w:rFonts w:asciiTheme="majorHAnsi" w:hAnsiTheme="majorHAnsi"/>
          <w:bCs/>
          <w:sz w:val="16"/>
          <w:szCs w:val="16"/>
          <w:lang w:val="es-ES"/>
        </w:rPr>
        <w:t>Fondo, Reparaciones y Costas. Sentencia de</w:t>
      </w:r>
      <w:r w:rsidRPr="00B905BE">
        <w:rPr>
          <w:rStyle w:val="Strong"/>
          <w:rFonts w:asciiTheme="majorHAnsi" w:hAnsiTheme="majorHAnsi"/>
          <w:b w:val="0"/>
          <w:sz w:val="16"/>
          <w:szCs w:val="16"/>
          <w:lang w:val="es-ES"/>
        </w:rPr>
        <w:t xml:space="preserve"> 24 de febrero de 2012. Serie C No. 239, párrs. </w:t>
      </w:r>
      <w:r w:rsidRPr="00B905BE">
        <w:rPr>
          <w:rFonts w:asciiTheme="majorHAnsi" w:hAnsiTheme="majorHAnsi"/>
          <w:sz w:val="16"/>
          <w:szCs w:val="16"/>
          <w:lang w:val="es-ES"/>
        </w:rPr>
        <w:t>91 y 93.</w:t>
      </w:r>
      <w:r w:rsidRPr="00B905BE">
        <w:rPr>
          <w:rFonts w:asciiTheme="majorHAnsi" w:hAnsiTheme="majorHAnsi"/>
          <w:b/>
          <w:sz w:val="16"/>
          <w:szCs w:val="16"/>
          <w:lang w:val="es-ES"/>
        </w:rPr>
        <w:t xml:space="preserve"> </w:t>
      </w:r>
    </w:p>
  </w:footnote>
  <w:footnote w:id="35">
    <w:p w14:paraId="5596B794" w14:textId="77777777" w:rsidR="0055226A" w:rsidRPr="00B905BE" w:rsidRDefault="0055226A" w:rsidP="00DC4D27">
      <w:pPr>
        <w:pStyle w:val="FootnoteText"/>
        <w:jc w:val="both"/>
        <w:rPr>
          <w:rFonts w:asciiTheme="majorHAnsi" w:hAnsiTheme="majorHAnsi"/>
          <w:b/>
          <w:sz w:val="16"/>
          <w:szCs w:val="16"/>
          <w:lang w:val="es-ES"/>
        </w:rPr>
      </w:pPr>
      <w:r w:rsidRPr="00B905BE">
        <w:rPr>
          <w:rStyle w:val="FootnoteReference"/>
          <w:rFonts w:asciiTheme="majorHAnsi" w:hAnsiTheme="majorHAnsi"/>
          <w:b/>
          <w:sz w:val="16"/>
          <w:szCs w:val="16"/>
          <w:lang w:val="es-ES"/>
        </w:rPr>
        <w:footnoteRef/>
      </w:r>
      <w:r w:rsidRPr="00B905BE">
        <w:rPr>
          <w:rFonts w:asciiTheme="majorHAnsi" w:hAnsiTheme="majorHAnsi"/>
          <w:b/>
          <w:sz w:val="16"/>
          <w:szCs w:val="16"/>
          <w:lang w:val="es-ES"/>
        </w:rPr>
        <w:t xml:space="preserve"> </w:t>
      </w:r>
      <w:r w:rsidRPr="00B905BE">
        <w:rPr>
          <w:rStyle w:val="Strong"/>
          <w:rFonts w:asciiTheme="majorHAnsi" w:hAnsiTheme="majorHAnsi"/>
          <w:b w:val="0"/>
          <w:sz w:val="16"/>
          <w:szCs w:val="16"/>
          <w:lang w:val="es-ES"/>
        </w:rPr>
        <w:t xml:space="preserve">Corte IDH. </w:t>
      </w:r>
      <w:r w:rsidRPr="00B905BE">
        <w:rPr>
          <w:rStyle w:val="Strong"/>
          <w:rFonts w:asciiTheme="majorHAnsi" w:hAnsiTheme="majorHAnsi"/>
          <w:b w:val="0"/>
          <w:i/>
          <w:sz w:val="16"/>
          <w:szCs w:val="16"/>
          <w:lang w:val="es-ES"/>
        </w:rPr>
        <w:t>Caso Duque vs. Colombia</w:t>
      </w:r>
      <w:r w:rsidRPr="00B905BE">
        <w:rPr>
          <w:rStyle w:val="Strong"/>
          <w:rFonts w:asciiTheme="majorHAnsi" w:hAnsiTheme="majorHAnsi"/>
          <w:b w:val="0"/>
          <w:sz w:val="16"/>
          <w:szCs w:val="16"/>
          <w:lang w:val="es-ES"/>
        </w:rPr>
        <w:t>. Excepciones Preliminares, Fondo, Reparaciones y Costas. Sentencia de 26 de febrero de 2016. Serie C No. 310, párr.</w:t>
      </w:r>
      <w:r w:rsidRPr="00B905BE">
        <w:rPr>
          <w:rFonts w:asciiTheme="majorHAnsi" w:hAnsiTheme="majorHAnsi"/>
          <w:b/>
          <w:sz w:val="16"/>
          <w:szCs w:val="16"/>
          <w:lang w:val="es-ES"/>
        </w:rPr>
        <w:t xml:space="preserve"> </w:t>
      </w:r>
      <w:r w:rsidRPr="00B905BE">
        <w:rPr>
          <w:rFonts w:asciiTheme="majorHAnsi" w:hAnsiTheme="majorHAnsi"/>
          <w:sz w:val="16"/>
          <w:szCs w:val="16"/>
          <w:lang w:val="es-ES"/>
        </w:rPr>
        <w:t>104.</w:t>
      </w:r>
      <w:r w:rsidRPr="00B905BE">
        <w:rPr>
          <w:rFonts w:asciiTheme="majorHAnsi" w:hAnsiTheme="majorHAnsi"/>
          <w:b/>
          <w:sz w:val="16"/>
          <w:szCs w:val="16"/>
          <w:lang w:val="es-ES"/>
        </w:rPr>
        <w:t xml:space="preserve"> </w:t>
      </w:r>
    </w:p>
  </w:footnote>
  <w:footnote w:id="36">
    <w:p w14:paraId="120D8F32" w14:textId="77777777" w:rsidR="0055226A" w:rsidRPr="00B905BE" w:rsidRDefault="0055226A" w:rsidP="00DC4D27">
      <w:pPr>
        <w:pStyle w:val="FootnoteText"/>
        <w:jc w:val="both"/>
        <w:rPr>
          <w:rFonts w:asciiTheme="majorHAnsi" w:hAnsiTheme="majorHAnsi"/>
          <w:b/>
          <w:sz w:val="16"/>
          <w:szCs w:val="16"/>
          <w:lang w:val="es-ES"/>
        </w:rPr>
      </w:pPr>
      <w:r w:rsidRPr="00B905BE">
        <w:rPr>
          <w:rStyle w:val="FootnoteReference"/>
          <w:rFonts w:asciiTheme="majorHAnsi" w:hAnsiTheme="majorHAnsi"/>
          <w:b/>
          <w:sz w:val="16"/>
          <w:szCs w:val="16"/>
          <w:lang w:val="es-ES"/>
        </w:rPr>
        <w:footnoteRef/>
      </w:r>
      <w:r w:rsidRPr="00B905BE">
        <w:rPr>
          <w:rFonts w:asciiTheme="majorHAnsi" w:hAnsiTheme="majorHAnsi"/>
          <w:b/>
          <w:sz w:val="16"/>
          <w:szCs w:val="16"/>
          <w:lang w:val="es-ES"/>
        </w:rPr>
        <w:t xml:space="preserve"> </w:t>
      </w:r>
      <w:r w:rsidRPr="00B905BE">
        <w:rPr>
          <w:rStyle w:val="Strong"/>
          <w:rFonts w:asciiTheme="majorHAnsi" w:hAnsiTheme="majorHAnsi"/>
          <w:b w:val="0"/>
          <w:sz w:val="16"/>
          <w:szCs w:val="16"/>
          <w:lang w:val="es-ES"/>
        </w:rPr>
        <w:t xml:space="preserve">Corte IDH. </w:t>
      </w:r>
      <w:r w:rsidRPr="00B905BE">
        <w:rPr>
          <w:rStyle w:val="Strong"/>
          <w:rFonts w:asciiTheme="majorHAnsi" w:hAnsiTheme="majorHAnsi"/>
          <w:b w:val="0"/>
          <w:i/>
          <w:sz w:val="16"/>
          <w:szCs w:val="16"/>
          <w:lang w:val="es-ES"/>
        </w:rPr>
        <w:t>Caso Duque vs. Colombia</w:t>
      </w:r>
      <w:r w:rsidRPr="00B905BE">
        <w:rPr>
          <w:rStyle w:val="Strong"/>
          <w:rFonts w:asciiTheme="majorHAnsi" w:hAnsiTheme="majorHAnsi"/>
          <w:b w:val="0"/>
          <w:sz w:val="16"/>
          <w:szCs w:val="16"/>
          <w:lang w:val="es-ES"/>
        </w:rPr>
        <w:t xml:space="preserve">. </w:t>
      </w:r>
      <w:r w:rsidRPr="00B905BE">
        <w:rPr>
          <w:rFonts w:asciiTheme="majorHAnsi" w:hAnsiTheme="majorHAnsi"/>
          <w:bCs/>
          <w:sz w:val="16"/>
          <w:szCs w:val="16"/>
          <w:lang w:val="es-ES"/>
        </w:rPr>
        <w:t>Excepciones Preliminares, Fondo, Reparaciones y Costas. Sentencia de</w:t>
      </w:r>
      <w:r w:rsidRPr="00B905BE">
        <w:rPr>
          <w:rStyle w:val="Strong"/>
          <w:rFonts w:asciiTheme="majorHAnsi" w:hAnsiTheme="majorHAnsi"/>
          <w:b w:val="0"/>
          <w:sz w:val="16"/>
          <w:szCs w:val="16"/>
          <w:lang w:val="es-ES"/>
        </w:rPr>
        <w:t xml:space="preserve"> 26 de febrero de 2016. Serie C No. 310, párr.</w:t>
      </w:r>
      <w:r w:rsidRPr="00B905BE">
        <w:rPr>
          <w:rFonts w:asciiTheme="majorHAnsi" w:hAnsiTheme="majorHAnsi"/>
          <w:sz w:val="16"/>
          <w:szCs w:val="16"/>
          <w:lang w:val="es-ES"/>
        </w:rPr>
        <w:t xml:space="preserve"> 105.</w:t>
      </w:r>
      <w:r w:rsidRPr="00B905BE">
        <w:rPr>
          <w:rFonts w:asciiTheme="majorHAnsi" w:hAnsiTheme="majorHAnsi"/>
          <w:b/>
          <w:sz w:val="16"/>
          <w:szCs w:val="16"/>
          <w:lang w:val="es-ES"/>
        </w:rPr>
        <w:t xml:space="preserve"> </w:t>
      </w:r>
    </w:p>
  </w:footnote>
  <w:footnote w:id="37">
    <w:p w14:paraId="2D3B3041" w14:textId="77777777" w:rsidR="0055226A" w:rsidRPr="00B905BE" w:rsidRDefault="0055226A" w:rsidP="00DC4D27">
      <w:pPr>
        <w:pStyle w:val="FootnoteText"/>
        <w:jc w:val="both"/>
        <w:rPr>
          <w:rFonts w:asciiTheme="majorHAnsi" w:hAnsiTheme="majorHAnsi"/>
          <w:b/>
          <w:sz w:val="16"/>
          <w:szCs w:val="16"/>
          <w:lang w:val="es-ES"/>
        </w:rPr>
      </w:pPr>
      <w:r w:rsidRPr="00B905BE">
        <w:rPr>
          <w:rStyle w:val="FootnoteReference"/>
          <w:rFonts w:asciiTheme="majorHAnsi" w:hAnsiTheme="majorHAnsi"/>
          <w:b/>
          <w:sz w:val="16"/>
          <w:szCs w:val="16"/>
          <w:lang w:val="es-ES"/>
        </w:rPr>
        <w:footnoteRef/>
      </w:r>
      <w:r w:rsidRPr="00B905BE">
        <w:rPr>
          <w:rFonts w:asciiTheme="majorHAnsi" w:hAnsiTheme="majorHAnsi"/>
          <w:b/>
          <w:sz w:val="16"/>
          <w:szCs w:val="16"/>
          <w:lang w:val="es-ES"/>
        </w:rPr>
        <w:t xml:space="preserve"> </w:t>
      </w:r>
      <w:r w:rsidRPr="00B905BE">
        <w:rPr>
          <w:rFonts w:asciiTheme="majorHAnsi" w:hAnsiTheme="majorHAnsi"/>
          <w:bCs/>
          <w:sz w:val="16"/>
          <w:szCs w:val="16"/>
          <w:lang w:val="es-ES"/>
        </w:rPr>
        <w:t xml:space="preserve">Corte IDH. </w:t>
      </w:r>
      <w:r w:rsidRPr="00B905BE">
        <w:rPr>
          <w:rFonts w:asciiTheme="majorHAnsi" w:hAnsiTheme="majorHAnsi"/>
          <w:bCs/>
          <w:i/>
          <w:sz w:val="16"/>
          <w:szCs w:val="16"/>
          <w:lang w:val="es-ES"/>
        </w:rPr>
        <w:t>Caso Atala Riffo y niñas vs. Chile</w:t>
      </w:r>
      <w:r w:rsidRPr="00B905BE">
        <w:rPr>
          <w:rFonts w:asciiTheme="majorHAnsi" w:hAnsiTheme="majorHAnsi"/>
          <w:bCs/>
          <w:sz w:val="16"/>
          <w:szCs w:val="16"/>
          <w:lang w:val="es-ES"/>
        </w:rPr>
        <w:t>. Fondo, Reparaciones y Costas. Sentencia de 24 de febrero de 2012. Serie C No. 239,</w:t>
      </w:r>
      <w:r w:rsidRPr="00B905BE">
        <w:rPr>
          <w:rFonts w:asciiTheme="majorHAnsi" w:hAnsiTheme="majorHAnsi"/>
          <w:sz w:val="16"/>
          <w:szCs w:val="16"/>
          <w:lang w:val="es-ES"/>
        </w:rPr>
        <w:t xml:space="preserve"> párrs. 133 y 134.</w:t>
      </w:r>
    </w:p>
  </w:footnote>
  <w:footnote w:id="38">
    <w:p w14:paraId="52B70534" w14:textId="77777777" w:rsidR="0055226A" w:rsidRPr="00B905BE" w:rsidRDefault="0055226A" w:rsidP="00DC4D27">
      <w:pPr>
        <w:pStyle w:val="FootnoteText"/>
        <w:tabs>
          <w:tab w:val="left" w:pos="426"/>
          <w:tab w:val="left" w:pos="540"/>
        </w:tabs>
        <w:ind w:right="43"/>
        <w:jc w:val="both"/>
        <w:rPr>
          <w:rFonts w:asciiTheme="majorHAnsi" w:hAnsiTheme="majorHAnsi"/>
          <w:b/>
          <w:sz w:val="16"/>
          <w:szCs w:val="16"/>
          <w:lang w:val="es-ES"/>
        </w:rPr>
      </w:pPr>
      <w:r w:rsidRPr="00B905BE">
        <w:rPr>
          <w:rStyle w:val="FootnoteReference"/>
          <w:rFonts w:asciiTheme="majorHAnsi" w:hAnsiTheme="majorHAnsi"/>
          <w:b/>
          <w:sz w:val="16"/>
          <w:szCs w:val="16"/>
          <w:lang w:val="es-ES"/>
        </w:rPr>
        <w:footnoteRef/>
      </w:r>
      <w:r w:rsidRPr="00B905BE">
        <w:rPr>
          <w:rFonts w:asciiTheme="majorHAnsi" w:hAnsiTheme="majorHAnsi"/>
          <w:b/>
          <w:sz w:val="16"/>
          <w:szCs w:val="16"/>
          <w:lang w:val="es-ES"/>
        </w:rPr>
        <w:t xml:space="preserve"> </w:t>
      </w:r>
      <w:r w:rsidRPr="00B905BE">
        <w:rPr>
          <w:rStyle w:val="Strong"/>
          <w:rFonts w:asciiTheme="majorHAnsi" w:hAnsiTheme="majorHAnsi"/>
          <w:b w:val="0"/>
          <w:sz w:val="16"/>
          <w:szCs w:val="16"/>
          <w:lang w:val="es-ES"/>
        </w:rPr>
        <w:t xml:space="preserve">Corte IDH. </w:t>
      </w:r>
      <w:r w:rsidRPr="00B905BE">
        <w:rPr>
          <w:rStyle w:val="Strong"/>
          <w:rFonts w:asciiTheme="majorHAnsi" w:hAnsiTheme="majorHAnsi"/>
          <w:b w:val="0"/>
          <w:i/>
          <w:sz w:val="16"/>
          <w:szCs w:val="16"/>
          <w:lang w:val="es-ES"/>
        </w:rPr>
        <w:t>Caso Atala Riffo y niñas vs. Chile</w:t>
      </w:r>
      <w:r w:rsidRPr="00B905BE">
        <w:rPr>
          <w:rStyle w:val="Strong"/>
          <w:rFonts w:asciiTheme="majorHAnsi" w:hAnsiTheme="majorHAnsi"/>
          <w:b w:val="0"/>
          <w:sz w:val="16"/>
          <w:szCs w:val="16"/>
          <w:lang w:val="es-ES"/>
        </w:rPr>
        <w:t xml:space="preserve">. Fondo, Reparaciones y Costas. Sentencia de 24 de febrero de 2012. Serie C No. 239, párr. </w:t>
      </w:r>
      <w:r w:rsidRPr="00B905BE">
        <w:rPr>
          <w:rFonts w:asciiTheme="majorHAnsi" w:hAnsiTheme="majorHAnsi"/>
          <w:sz w:val="16"/>
          <w:szCs w:val="16"/>
          <w:lang w:val="es-ES"/>
        </w:rPr>
        <w:t>161.</w:t>
      </w:r>
      <w:r w:rsidRPr="00B905BE">
        <w:rPr>
          <w:rFonts w:asciiTheme="majorHAnsi" w:hAnsiTheme="majorHAnsi"/>
          <w:b/>
          <w:sz w:val="16"/>
          <w:szCs w:val="16"/>
          <w:lang w:val="es-ES"/>
        </w:rPr>
        <w:t xml:space="preserve"> </w:t>
      </w:r>
    </w:p>
  </w:footnote>
  <w:footnote w:id="39">
    <w:p w14:paraId="524F82B1" w14:textId="77777777" w:rsidR="0055226A" w:rsidRPr="00B905BE" w:rsidRDefault="0055226A" w:rsidP="00DC4D27">
      <w:pPr>
        <w:pStyle w:val="FootnoteText"/>
        <w:tabs>
          <w:tab w:val="left" w:pos="720"/>
        </w:tabs>
        <w:jc w:val="both"/>
        <w:rPr>
          <w:rFonts w:asciiTheme="majorHAnsi" w:hAnsiTheme="majorHAnsi" w:cs="Verdana"/>
          <w:b/>
          <w:sz w:val="16"/>
          <w:szCs w:val="16"/>
          <w:lang w:val="es-ES" w:bidi="en-US"/>
        </w:rPr>
      </w:pPr>
      <w:r w:rsidRPr="00B905BE">
        <w:rPr>
          <w:rStyle w:val="FootnoteReference"/>
          <w:rFonts w:asciiTheme="majorHAnsi" w:hAnsiTheme="majorHAnsi"/>
          <w:b/>
          <w:sz w:val="16"/>
          <w:szCs w:val="16"/>
          <w:lang w:val="es-ES"/>
        </w:rPr>
        <w:footnoteRef/>
      </w:r>
      <w:r w:rsidRPr="00B905BE">
        <w:rPr>
          <w:rFonts w:asciiTheme="majorHAnsi" w:hAnsiTheme="majorHAnsi"/>
          <w:b/>
          <w:sz w:val="16"/>
          <w:szCs w:val="16"/>
          <w:lang w:val="es-ES"/>
        </w:rPr>
        <w:t xml:space="preserve"> </w:t>
      </w:r>
      <w:r w:rsidRPr="00B905BE">
        <w:rPr>
          <w:rStyle w:val="Strong"/>
          <w:rFonts w:asciiTheme="majorHAnsi" w:hAnsiTheme="majorHAnsi"/>
          <w:b w:val="0"/>
          <w:sz w:val="16"/>
          <w:szCs w:val="16"/>
          <w:lang w:val="es-ES"/>
        </w:rPr>
        <w:t xml:space="preserve">Corte IDH. </w:t>
      </w:r>
      <w:r w:rsidRPr="00B905BE">
        <w:rPr>
          <w:rStyle w:val="Strong"/>
          <w:rFonts w:asciiTheme="majorHAnsi" w:hAnsiTheme="majorHAnsi"/>
          <w:b w:val="0"/>
          <w:i/>
          <w:sz w:val="16"/>
          <w:szCs w:val="16"/>
          <w:lang w:val="es-ES"/>
        </w:rPr>
        <w:t>Caso Atala Riffo y niñas vs. Chile</w:t>
      </w:r>
      <w:r w:rsidRPr="00B905BE">
        <w:rPr>
          <w:rStyle w:val="Strong"/>
          <w:rFonts w:asciiTheme="majorHAnsi" w:hAnsiTheme="majorHAnsi"/>
          <w:b w:val="0"/>
          <w:sz w:val="16"/>
          <w:szCs w:val="16"/>
          <w:lang w:val="es-ES"/>
        </w:rPr>
        <w:t xml:space="preserve">. Fondo, Reparaciones y Costas. Sentencia de 24 de febrero de 2012. Serie C No. 239, párr. </w:t>
      </w:r>
      <w:r w:rsidRPr="00B905BE">
        <w:rPr>
          <w:rFonts w:asciiTheme="majorHAnsi" w:hAnsiTheme="majorHAnsi"/>
          <w:sz w:val="16"/>
          <w:szCs w:val="16"/>
          <w:lang w:val="es-ES"/>
        </w:rPr>
        <w:t>162.</w:t>
      </w:r>
      <w:r w:rsidRPr="00B905BE">
        <w:rPr>
          <w:rFonts w:asciiTheme="majorHAnsi" w:hAnsiTheme="majorHAnsi"/>
          <w:b/>
          <w:sz w:val="16"/>
          <w:szCs w:val="16"/>
          <w:lang w:val="es-ES"/>
        </w:rPr>
        <w:t xml:space="preserve"> </w:t>
      </w:r>
    </w:p>
  </w:footnote>
  <w:footnote w:id="40">
    <w:p w14:paraId="4F55A23B"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b/>
          <w:sz w:val="16"/>
          <w:szCs w:val="16"/>
          <w:lang w:val="es-ES"/>
        </w:rPr>
        <w:footnoteRef/>
      </w:r>
      <w:r w:rsidRPr="00B905BE">
        <w:rPr>
          <w:rFonts w:asciiTheme="majorHAnsi" w:hAnsiTheme="majorHAnsi"/>
          <w:b/>
          <w:sz w:val="16"/>
          <w:szCs w:val="16"/>
          <w:lang w:val="es-ES"/>
        </w:rPr>
        <w:t xml:space="preserve"> </w:t>
      </w:r>
      <w:r w:rsidRPr="00B905BE">
        <w:rPr>
          <w:rStyle w:val="Strong"/>
          <w:rFonts w:asciiTheme="majorHAnsi" w:hAnsiTheme="majorHAnsi"/>
          <w:b w:val="0"/>
          <w:sz w:val="16"/>
          <w:szCs w:val="16"/>
          <w:lang w:val="es-ES"/>
        </w:rPr>
        <w:t xml:space="preserve">Corte IDH. </w:t>
      </w:r>
      <w:r w:rsidRPr="00B905BE">
        <w:rPr>
          <w:rStyle w:val="Strong"/>
          <w:rFonts w:asciiTheme="majorHAnsi" w:hAnsiTheme="majorHAnsi"/>
          <w:b w:val="0"/>
          <w:i/>
          <w:sz w:val="16"/>
          <w:szCs w:val="16"/>
          <w:lang w:val="es-ES"/>
        </w:rPr>
        <w:t>Caso Atala Riffo y niñas vs. Chile</w:t>
      </w:r>
      <w:r w:rsidRPr="00B905BE">
        <w:rPr>
          <w:rStyle w:val="Strong"/>
          <w:rFonts w:asciiTheme="majorHAnsi" w:hAnsiTheme="majorHAnsi"/>
          <w:b w:val="0"/>
          <w:sz w:val="16"/>
          <w:szCs w:val="16"/>
          <w:lang w:val="es-ES"/>
        </w:rPr>
        <w:t xml:space="preserve">. Fondo, Reparaciones y Costas. Sentencia de 24 de febrero de 2012. Serie C No. 239, párr. </w:t>
      </w:r>
      <w:r w:rsidRPr="00B905BE">
        <w:rPr>
          <w:rFonts w:asciiTheme="majorHAnsi" w:hAnsiTheme="majorHAnsi"/>
          <w:sz w:val="16"/>
          <w:szCs w:val="16"/>
          <w:lang w:val="es-ES"/>
        </w:rPr>
        <w:t xml:space="preserve">165. </w:t>
      </w:r>
    </w:p>
  </w:footnote>
  <w:footnote w:id="41">
    <w:p w14:paraId="233D9AC9" w14:textId="77777777" w:rsidR="0055226A" w:rsidRPr="00B905BE" w:rsidRDefault="0055226A" w:rsidP="00DC4D27">
      <w:pPr>
        <w:pStyle w:val="FootnoteText"/>
        <w:jc w:val="both"/>
        <w:rPr>
          <w:rFonts w:asciiTheme="majorHAnsi" w:hAnsiTheme="majorHAnsi"/>
          <w:b/>
          <w:sz w:val="16"/>
          <w:szCs w:val="16"/>
          <w:lang w:val="es-ES"/>
        </w:rPr>
      </w:pPr>
      <w:r w:rsidRPr="00B905BE">
        <w:rPr>
          <w:rStyle w:val="FootnoteReference"/>
          <w:rFonts w:asciiTheme="majorHAnsi" w:hAnsiTheme="majorHAnsi"/>
          <w:b/>
          <w:sz w:val="16"/>
          <w:szCs w:val="16"/>
          <w:lang w:val="es-ES"/>
        </w:rPr>
        <w:footnoteRef/>
      </w:r>
      <w:r w:rsidRPr="00B905BE">
        <w:rPr>
          <w:rFonts w:asciiTheme="majorHAnsi" w:hAnsiTheme="majorHAnsi"/>
          <w:b/>
          <w:sz w:val="16"/>
          <w:szCs w:val="16"/>
          <w:lang w:val="es-ES"/>
        </w:rPr>
        <w:t xml:space="preserve"> </w:t>
      </w:r>
      <w:r w:rsidRPr="00B905BE">
        <w:rPr>
          <w:rStyle w:val="Strong"/>
          <w:rFonts w:asciiTheme="majorHAnsi" w:hAnsiTheme="majorHAnsi"/>
          <w:b w:val="0"/>
          <w:sz w:val="16"/>
          <w:szCs w:val="16"/>
          <w:lang w:val="es-ES"/>
        </w:rPr>
        <w:t xml:space="preserve">Corte IDH. </w:t>
      </w:r>
      <w:r w:rsidRPr="00B905BE">
        <w:rPr>
          <w:rStyle w:val="Strong"/>
          <w:rFonts w:asciiTheme="majorHAnsi" w:hAnsiTheme="majorHAnsi"/>
          <w:b w:val="0"/>
          <w:i/>
          <w:sz w:val="16"/>
          <w:szCs w:val="16"/>
          <w:lang w:val="es-ES"/>
        </w:rPr>
        <w:t>Caso Atala Riffo y niñas vs. Chile</w:t>
      </w:r>
      <w:r w:rsidRPr="00B905BE">
        <w:rPr>
          <w:rStyle w:val="Strong"/>
          <w:rFonts w:asciiTheme="majorHAnsi" w:hAnsiTheme="majorHAnsi"/>
          <w:b w:val="0"/>
          <w:sz w:val="16"/>
          <w:szCs w:val="16"/>
          <w:lang w:val="es-ES"/>
        </w:rPr>
        <w:t>. Fondo, Reparaciones y Costas. Sentencia de 24 de febrero de 2012. Serie C No. 239, párr.</w:t>
      </w:r>
      <w:r w:rsidRPr="00B905BE">
        <w:rPr>
          <w:rStyle w:val="Strong"/>
          <w:rFonts w:asciiTheme="majorHAnsi" w:hAnsiTheme="majorHAnsi"/>
          <w:sz w:val="16"/>
          <w:szCs w:val="16"/>
          <w:lang w:val="es-ES"/>
        </w:rPr>
        <w:t xml:space="preserve"> </w:t>
      </w:r>
      <w:r w:rsidRPr="00B905BE">
        <w:rPr>
          <w:rFonts w:asciiTheme="majorHAnsi" w:hAnsiTheme="majorHAnsi"/>
          <w:sz w:val="16"/>
          <w:szCs w:val="16"/>
          <w:lang w:val="es-ES"/>
        </w:rPr>
        <w:t>166.</w:t>
      </w:r>
      <w:r w:rsidRPr="00B905BE">
        <w:rPr>
          <w:rFonts w:asciiTheme="majorHAnsi" w:hAnsiTheme="majorHAnsi"/>
          <w:b/>
          <w:sz w:val="16"/>
          <w:szCs w:val="16"/>
          <w:lang w:val="es-ES"/>
        </w:rPr>
        <w:t xml:space="preserve"> </w:t>
      </w:r>
    </w:p>
  </w:footnote>
  <w:footnote w:id="42">
    <w:p w14:paraId="0D67D356"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sidRPr="00B905BE">
        <w:rPr>
          <w:rFonts w:asciiTheme="majorHAnsi" w:hAnsiTheme="majorHAnsi"/>
          <w:bCs/>
          <w:sz w:val="16"/>
          <w:szCs w:val="16"/>
          <w:lang w:val="es-ES"/>
        </w:rPr>
        <w:t>Corte IDH</w:t>
      </w:r>
      <w:r w:rsidRPr="00B905BE">
        <w:rPr>
          <w:rFonts w:asciiTheme="majorHAnsi" w:hAnsiTheme="majorHAnsi"/>
          <w:sz w:val="16"/>
          <w:szCs w:val="16"/>
          <w:lang w:val="es-ES"/>
        </w:rPr>
        <w:t xml:space="preserve">. </w:t>
      </w:r>
      <w:r w:rsidRPr="00B905BE">
        <w:rPr>
          <w:rFonts w:asciiTheme="majorHAnsi" w:hAnsiTheme="majorHAnsi"/>
          <w:i/>
          <w:sz w:val="16"/>
          <w:szCs w:val="16"/>
          <w:lang w:val="es-ES"/>
        </w:rPr>
        <w:t>Caso Montero Aranguren y otros (Retén de Catia) Vs. Venezuela</w:t>
      </w:r>
      <w:r w:rsidRPr="00B905BE">
        <w:rPr>
          <w:rFonts w:asciiTheme="majorHAnsi" w:hAnsiTheme="majorHAnsi"/>
          <w:sz w:val="16"/>
          <w:szCs w:val="16"/>
          <w:lang w:val="es-ES"/>
        </w:rPr>
        <w:t xml:space="preserve">. </w:t>
      </w:r>
      <w:r w:rsidRPr="00B905BE">
        <w:rPr>
          <w:rFonts w:asciiTheme="majorHAnsi" w:hAnsiTheme="majorHAnsi"/>
          <w:bCs/>
          <w:sz w:val="16"/>
          <w:szCs w:val="16"/>
          <w:lang w:val="es-ES"/>
        </w:rPr>
        <w:t>Excepciones Preliminares, Fondo, Reparaciones y Costas. Sentencia de 5 de julio de 2006</w:t>
      </w:r>
      <w:r w:rsidRPr="00B905BE">
        <w:rPr>
          <w:rFonts w:asciiTheme="majorHAnsi" w:hAnsiTheme="majorHAnsi"/>
          <w:sz w:val="16"/>
          <w:szCs w:val="16"/>
          <w:lang w:val="es-ES"/>
        </w:rPr>
        <w:t xml:space="preserve">, párr. 85. </w:t>
      </w:r>
    </w:p>
  </w:footnote>
  <w:footnote w:id="43">
    <w:p w14:paraId="63233433"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sidRPr="00B905BE">
        <w:rPr>
          <w:rFonts w:asciiTheme="majorHAnsi" w:hAnsiTheme="majorHAnsi"/>
          <w:bCs/>
          <w:sz w:val="16"/>
          <w:szCs w:val="16"/>
          <w:lang w:val="es-ES"/>
        </w:rPr>
        <w:t>Corte IDH</w:t>
      </w:r>
      <w:r w:rsidRPr="00B905BE">
        <w:rPr>
          <w:rFonts w:asciiTheme="majorHAnsi" w:hAnsiTheme="majorHAnsi"/>
          <w:sz w:val="16"/>
          <w:szCs w:val="16"/>
          <w:lang w:val="es-ES"/>
        </w:rPr>
        <w:t xml:space="preserve">. </w:t>
      </w:r>
      <w:r w:rsidRPr="00B905BE">
        <w:rPr>
          <w:rFonts w:asciiTheme="majorHAnsi" w:hAnsiTheme="majorHAnsi"/>
          <w:i/>
          <w:sz w:val="16"/>
          <w:szCs w:val="16"/>
          <w:lang w:val="es-ES"/>
        </w:rPr>
        <w:t>Caso Loayza-Tamayo Vs. Perú</w:t>
      </w:r>
      <w:r w:rsidRPr="00B905BE">
        <w:rPr>
          <w:rFonts w:asciiTheme="majorHAnsi" w:hAnsiTheme="majorHAnsi"/>
          <w:sz w:val="16"/>
          <w:szCs w:val="16"/>
          <w:lang w:val="es-ES"/>
        </w:rPr>
        <w:t>. Fondo. Sentencia de 17 de septiembre de 1997, párr. 57.</w:t>
      </w:r>
    </w:p>
  </w:footnote>
  <w:footnote w:id="44">
    <w:p w14:paraId="58967DF0"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8" w:history="1">
        <w:r w:rsidRPr="00B905BE">
          <w:rPr>
            <w:rStyle w:val="Hyperlink"/>
            <w:rFonts w:asciiTheme="majorHAnsi" w:hAnsiTheme="majorHAnsi"/>
            <w:i/>
            <w:sz w:val="16"/>
            <w:szCs w:val="16"/>
            <w:lang w:val="es-ES"/>
          </w:rPr>
          <w:t>Criminalización de defensoras y defensores de derechos humanos</w:t>
        </w:r>
      </w:hyperlink>
      <w:r w:rsidRPr="00B905BE">
        <w:rPr>
          <w:rStyle w:val="Hyperlink"/>
          <w:rFonts w:asciiTheme="majorHAnsi" w:hAnsiTheme="majorHAnsi"/>
          <w:sz w:val="16"/>
          <w:szCs w:val="16"/>
          <w:u w:val="none"/>
          <w:lang w:val="es-ES"/>
        </w:rPr>
        <w:t>.</w:t>
      </w:r>
      <w:r w:rsidRPr="00B905BE">
        <w:rPr>
          <w:rFonts w:asciiTheme="majorHAnsi" w:hAnsiTheme="majorHAnsi"/>
          <w:sz w:val="16"/>
          <w:szCs w:val="16"/>
          <w:lang w:val="es-ES"/>
        </w:rPr>
        <w:t xml:space="preserve"> OEA/Ser.L/V/II.Doc.49/15, 31 de diciembre del 2015, párr. 214.</w:t>
      </w:r>
    </w:p>
  </w:footnote>
  <w:footnote w:id="45">
    <w:p w14:paraId="206A523B"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IDH. Opinión Consultiva OC-24/17 de 24 de noviembre de 2017 solicitada por la República de Costa Rica.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párr. 39.</w:t>
      </w:r>
    </w:p>
  </w:footnote>
  <w:footnote w:id="46">
    <w:p w14:paraId="29E16672" w14:textId="77777777" w:rsidR="0055226A" w:rsidRPr="00B905BE" w:rsidRDefault="0055226A" w:rsidP="00DC4D27">
      <w:pPr>
        <w:pStyle w:val="Title"/>
        <w:ind w:firstLine="0"/>
        <w:jc w:val="both"/>
        <w:rPr>
          <w:rFonts w:asciiTheme="majorHAnsi" w:hAnsiTheme="majorHAnsi" w:cs="Arial"/>
          <w:b w:val="0"/>
          <w:sz w:val="16"/>
          <w:szCs w:val="16"/>
          <w:lang w:val="es-ES"/>
        </w:rPr>
      </w:pPr>
      <w:r w:rsidRPr="00B905BE">
        <w:rPr>
          <w:rStyle w:val="FootnoteReference"/>
          <w:rFonts w:asciiTheme="majorHAnsi" w:hAnsiTheme="majorHAnsi"/>
          <w:b w:val="0"/>
          <w:sz w:val="16"/>
          <w:szCs w:val="16"/>
          <w:lang w:val="es-ES"/>
        </w:rPr>
        <w:footnoteRef/>
      </w:r>
      <w:r w:rsidRPr="00B905BE">
        <w:rPr>
          <w:rFonts w:asciiTheme="majorHAnsi" w:hAnsiTheme="majorHAnsi"/>
          <w:b w:val="0"/>
          <w:sz w:val="16"/>
          <w:szCs w:val="16"/>
          <w:lang w:val="es-ES"/>
        </w:rPr>
        <w:t xml:space="preserve"> CIDH. Informe</w:t>
      </w:r>
      <w:r w:rsidRPr="00B905BE">
        <w:rPr>
          <w:rFonts w:asciiTheme="majorHAnsi" w:hAnsiTheme="majorHAnsi" w:cs="Arial"/>
          <w:b w:val="0"/>
          <w:sz w:val="16"/>
          <w:szCs w:val="16"/>
          <w:lang w:val="es-ES"/>
        </w:rPr>
        <w:t xml:space="preserve"> No. 81/13, Caso 12.743. Fondo. Homero Flor Freire. Ecuador. 4 de noviembre de 2013, párr. 114.</w:t>
      </w:r>
    </w:p>
  </w:footnote>
  <w:footnote w:id="47">
    <w:p w14:paraId="4723E20E"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9" w:history="1">
        <w:r w:rsidRPr="00B905BE">
          <w:rPr>
            <w:rStyle w:val="Hyperlink"/>
            <w:rFonts w:asciiTheme="majorHAnsi" w:hAnsiTheme="majorHAnsi"/>
            <w:i/>
            <w:sz w:val="16"/>
            <w:szCs w:val="16"/>
            <w:lang w:val="es-ES"/>
          </w:rPr>
          <w:t>Violencia contra personas lesbianas, gay, bisexuales, trans e intersex en América</w:t>
        </w:r>
      </w:hyperlink>
      <w:r w:rsidRPr="00B905BE">
        <w:rPr>
          <w:rFonts w:asciiTheme="majorHAnsi" w:hAnsiTheme="majorHAnsi"/>
          <w:i/>
          <w:sz w:val="16"/>
          <w:szCs w:val="16"/>
          <w:lang w:val="es-ES"/>
        </w:rPr>
        <w:t>.</w:t>
      </w:r>
      <w:r w:rsidRPr="00B905BE">
        <w:rPr>
          <w:rFonts w:asciiTheme="majorHAnsi" w:hAnsiTheme="majorHAnsi"/>
          <w:sz w:val="16"/>
          <w:szCs w:val="16"/>
          <w:lang w:val="es-ES"/>
        </w:rPr>
        <w:t xml:space="preserve"> OEA/Ser.L/V/II.rev.1, Doc. 36, 12 de noviembre de 2015, párr. 85; véase también </w:t>
      </w:r>
      <w:hyperlink r:id="rId10" w:history="1">
        <w:r w:rsidRPr="00B905BE">
          <w:rPr>
            <w:rStyle w:val="Hyperlink"/>
            <w:rFonts w:asciiTheme="majorHAnsi" w:hAnsiTheme="majorHAnsi"/>
            <w:i/>
            <w:sz w:val="16"/>
            <w:szCs w:val="16"/>
            <w:lang w:val="es-ES"/>
          </w:rPr>
          <w:t>CIDH saluda inconstitucionalidad de la criminalización de relaciones sexuales consentidas entre adultos del mismo sexo en Belice</w:t>
        </w:r>
      </w:hyperlink>
      <w:r w:rsidRPr="00B905BE">
        <w:rPr>
          <w:rStyle w:val="Hyperlink"/>
          <w:rFonts w:asciiTheme="majorHAnsi" w:hAnsiTheme="majorHAnsi"/>
          <w:i/>
          <w:sz w:val="16"/>
          <w:szCs w:val="16"/>
          <w:u w:val="none"/>
          <w:lang w:val="es-ES"/>
        </w:rPr>
        <w:t>.</w:t>
      </w:r>
      <w:r w:rsidRPr="00B905BE">
        <w:rPr>
          <w:rFonts w:asciiTheme="majorHAnsi" w:hAnsiTheme="majorHAnsi"/>
          <w:sz w:val="16"/>
          <w:szCs w:val="16"/>
          <w:lang w:val="es-ES"/>
        </w:rPr>
        <w:t xml:space="preserve"> 22 de agosto de 2016; CIDH. </w:t>
      </w:r>
      <w:hyperlink r:id="rId11" w:history="1">
        <w:r w:rsidRPr="00B905BE">
          <w:rPr>
            <w:rStyle w:val="Hyperlink"/>
            <w:rFonts w:asciiTheme="majorHAnsi" w:hAnsiTheme="majorHAnsi"/>
            <w:i/>
            <w:sz w:val="16"/>
            <w:szCs w:val="16"/>
            <w:lang w:val="es-ES"/>
          </w:rPr>
          <w:t>Informe sobre la situación de los derechos humanos en Jamaica</w:t>
        </w:r>
      </w:hyperlink>
      <w:r w:rsidRPr="00B905BE">
        <w:rPr>
          <w:rFonts w:asciiTheme="majorHAnsi" w:hAnsiTheme="majorHAnsi"/>
          <w:sz w:val="16"/>
          <w:szCs w:val="16"/>
          <w:lang w:val="es-ES"/>
        </w:rPr>
        <w:t xml:space="preserve">. </w:t>
      </w:r>
      <w:r w:rsidRPr="00D61759">
        <w:rPr>
          <w:rFonts w:asciiTheme="majorHAnsi" w:hAnsiTheme="majorHAnsi"/>
          <w:sz w:val="16"/>
          <w:szCs w:val="16"/>
          <w:lang w:val="pt-BR"/>
        </w:rPr>
        <w:t xml:space="preserve">OEA/Ser.L/V/II.144 Doc. 12, 10 de agosto de 2012, párr. </w:t>
      </w:r>
      <w:r w:rsidRPr="00B905BE">
        <w:rPr>
          <w:rFonts w:asciiTheme="majorHAnsi" w:hAnsiTheme="majorHAnsi"/>
          <w:sz w:val="16"/>
          <w:szCs w:val="16"/>
          <w:lang w:val="es-ES"/>
        </w:rPr>
        <w:t xml:space="preserve">271; CIDH. </w:t>
      </w:r>
      <w:hyperlink r:id="rId12" w:history="1">
        <w:r w:rsidRPr="00B905BE">
          <w:rPr>
            <w:rStyle w:val="Hyperlink"/>
            <w:rFonts w:asciiTheme="majorHAnsi" w:hAnsiTheme="majorHAnsi"/>
            <w:i/>
            <w:sz w:val="16"/>
            <w:szCs w:val="16"/>
            <w:lang w:val="es-ES"/>
          </w:rPr>
          <w:t>Criminalización de defensoras y defensores de derechos humanos</w:t>
        </w:r>
      </w:hyperlink>
      <w:r w:rsidRPr="00B905BE">
        <w:rPr>
          <w:rFonts w:asciiTheme="majorHAnsi" w:hAnsiTheme="majorHAnsi"/>
          <w:sz w:val="16"/>
          <w:szCs w:val="16"/>
          <w:lang w:val="es-ES"/>
        </w:rPr>
        <w:t xml:space="preserve">. OEA/Ser.L/V/II.Doc.49/15, 31 de diciembre del 2015, párr. 163. </w:t>
      </w:r>
    </w:p>
  </w:footnote>
  <w:footnote w:id="48">
    <w:p w14:paraId="46A4073B" w14:textId="77777777" w:rsidR="0055226A" w:rsidRPr="003717F0"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Comité de Derechos Humanos.</w:t>
      </w:r>
      <w:r w:rsidRPr="00B905BE">
        <w:rPr>
          <w:rFonts w:ascii="Times New Roman" w:eastAsia="Arial Unicode MS" w:hAnsi="Times New Roman" w:cs="Times New Roman"/>
          <w:sz w:val="27"/>
          <w:szCs w:val="27"/>
          <w:shd w:val="clear" w:color="auto" w:fill="FFFFFF"/>
          <w:lang w:val="es-ES" w:eastAsia="en-US"/>
        </w:rPr>
        <w:t xml:space="preserve"> </w:t>
      </w:r>
      <w:hyperlink r:id="rId13" w:history="1">
        <w:r w:rsidRPr="00B905BE">
          <w:rPr>
            <w:rStyle w:val="Hyperlink"/>
            <w:rFonts w:asciiTheme="majorHAnsi" w:hAnsiTheme="majorHAnsi"/>
            <w:i/>
            <w:sz w:val="16"/>
            <w:szCs w:val="16"/>
            <w:lang w:val="es-ES"/>
          </w:rPr>
          <w:t>Toonen v. Australia</w:t>
        </w:r>
      </w:hyperlink>
      <w:r w:rsidRPr="00B905BE">
        <w:rPr>
          <w:rFonts w:asciiTheme="majorHAnsi" w:hAnsiTheme="majorHAnsi"/>
          <w:sz w:val="16"/>
          <w:szCs w:val="16"/>
          <w:lang w:val="es-ES"/>
        </w:rPr>
        <w:t xml:space="preserve">. Comunicación No. 488/1992. 31, CCPR/C/50/D/488/1992, marzo de 1994, párr. 8.2; véase también Comité de Derechos Humanos. </w:t>
      </w:r>
      <w:hyperlink r:id="rId14" w:history="1">
        <w:r w:rsidRPr="00B905BE">
          <w:rPr>
            <w:rStyle w:val="Hyperlink"/>
            <w:rFonts w:asciiTheme="majorHAnsi" w:hAnsiTheme="majorHAnsi"/>
            <w:i/>
            <w:sz w:val="16"/>
            <w:szCs w:val="16"/>
            <w:lang w:val="es-ES"/>
          </w:rPr>
          <w:t>Observaciones finales sobre el informe inicial de Sierra Leona</w:t>
        </w:r>
      </w:hyperlink>
      <w:r w:rsidRPr="00B905BE">
        <w:rPr>
          <w:rFonts w:asciiTheme="majorHAnsi" w:hAnsiTheme="majorHAnsi"/>
          <w:sz w:val="16"/>
          <w:szCs w:val="16"/>
          <w:lang w:val="es-ES"/>
        </w:rPr>
        <w:t xml:space="preserve">. </w:t>
      </w:r>
      <w:r w:rsidRPr="00E079F6">
        <w:rPr>
          <w:rFonts w:asciiTheme="majorHAnsi" w:hAnsiTheme="majorHAnsi"/>
          <w:sz w:val="16"/>
          <w:szCs w:val="16"/>
          <w:lang w:val="es-ES"/>
        </w:rPr>
        <w:t xml:space="preserve">17 de abril de 2014, CCPR/C/SLE/CO/1, párr. </w:t>
      </w:r>
      <w:r w:rsidRPr="003717F0">
        <w:rPr>
          <w:rFonts w:asciiTheme="majorHAnsi" w:hAnsiTheme="majorHAnsi"/>
          <w:sz w:val="16"/>
          <w:szCs w:val="16"/>
          <w:lang w:val="es-ES"/>
        </w:rPr>
        <w:t xml:space="preserve">11. </w:t>
      </w:r>
    </w:p>
  </w:footnote>
  <w:footnote w:id="49">
    <w:p w14:paraId="1DB63B9A"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3717F0">
        <w:rPr>
          <w:rFonts w:asciiTheme="majorHAnsi" w:hAnsiTheme="majorHAnsi"/>
          <w:sz w:val="16"/>
          <w:szCs w:val="16"/>
          <w:lang w:val="es-ES"/>
        </w:rPr>
        <w:t xml:space="preserve"> </w:t>
      </w:r>
      <w:hyperlink r:id="rId15" w:history="1">
        <w:r w:rsidRPr="003717F0">
          <w:rPr>
            <w:rFonts w:asciiTheme="majorHAnsi" w:hAnsiTheme="majorHAnsi"/>
            <w:sz w:val="16"/>
            <w:szCs w:val="16"/>
            <w:lang w:val="es-ES"/>
          </w:rPr>
          <w:t>UN Independent Expert on Protection against violence and discrimination based on sexual orientation and gender identity</w:t>
        </w:r>
      </w:hyperlink>
      <w:r w:rsidRPr="003717F0">
        <w:rPr>
          <w:rFonts w:asciiTheme="majorHAnsi" w:hAnsiTheme="majorHAnsi"/>
          <w:sz w:val="16"/>
          <w:szCs w:val="16"/>
          <w:lang w:val="es-ES"/>
        </w:rPr>
        <w:t>.</w:t>
      </w:r>
      <w:r w:rsidRPr="003717F0">
        <w:rPr>
          <w:rFonts w:ascii="Cambria" w:hAnsi="Cambria"/>
          <w:sz w:val="16"/>
          <w:szCs w:val="16"/>
          <w:lang w:val="es-ES"/>
        </w:rPr>
        <w:t xml:space="preserve"> </w:t>
      </w:r>
      <w:hyperlink r:id="rId16" w:history="1">
        <w:r w:rsidRPr="00D61759">
          <w:rPr>
            <w:rStyle w:val="Hyperlink"/>
            <w:rFonts w:ascii="Cambria" w:hAnsi="Cambria"/>
            <w:i/>
            <w:sz w:val="16"/>
            <w:szCs w:val="16"/>
          </w:rPr>
          <w:t>Botswana ruling to decriminalize same-sex relations a landmark, says UN expert</w:t>
        </w:r>
      </w:hyperlink>
      <w:r w:rsidRPr="00D61759">
        <w:rPr>
          <w:rFonts w:ascii="Cambria" w:hAnsi="Cambria"/>
          <w:sz w:val="16"/>
          <w:szCs w:val="16"/>
        </w:rPr>
        <w:t xml:space="preserve">. </w:t>
      </w:r>
      <w:r w:rsidRPr="00B905BE">
        <w:rPr>
          <w:rFonts w:ascii="Cambria" w:hAnsi="Cambria"/>
          <w:sz w:val="16"/>
          <w:szCs w:val="16"/>
          <w:lang w:val="es-ES"/>
        </w:rPr>
        <w:t>11 de junio de 2019</w:t>
      </w:r>
      <w:r w:rsidRPr="00B905BE">
        <w:rPr>
          <w:rFonts w:asciiTheme="majorHAnsi" w:hAnsiTheme="majorHAnsi"/>
          <w:sz w:val="16"/>
          <w:szCs w:val="16"/>
          <w:lang w:val="es-ES"/>
        </w:rPr>
        <w:t>.</w:t>
      </w:r>
    </w:p>
  </w:footnote>
  <w:footnote w:id="50">
    <w:p w14:paraId="73193C43"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sidRPr="00B905BE">
        <w:rPr>
          <w:rFonts w:ascii="Cambria" w:hAnsi="Cambria"/>
          <w:sz w:val="16"/>
          <w:szCs w:val="16"/>
          <w:lang w:val="es-ES"/>
        </w:rPr>
        <w:t xml:space="preserve">Consejo de Derechos Humanos. </w:t>
      </w:r>
      <w:hyperlink r:id="rId17" w:history="1">
        <w:r w:rsidRPr="00B905BE">
          <w:rPr>
            <w:rStyle w:val="Hyperlink"/>
            <w:rFonts w:ascii="Cambria" w:hAnsi="Cambria"/>
            <w:i/>
            <w:sz w:val="16"/>
            <w:szCs w:val="16"/>
            <w:lang w:val="es-ES"/>
          </w:rPr>
          <w:t>Leyes y prácticas discriminatorias y actos de violencia cometidos contra personas por su orientación sexual e identidad de género. Informe del Alto Comisionado de las Naciones Unidas para los Derechos Humanos</w:t>
        </w:r>
      </w:hyperlink>
      <w:r w:rsidRPr="00B905BE">
        <w:rPr>
          <w:rFonts w:ascii="Cambria" w:hAnsi="Cambria"/>
          <w:sz w:val="16"/>
          <w:szCs w:val="16"/>
          <w:lang w:val="es-ES"/>
        </w:rPr>
        <w:t xml:space="preserve">. A/HRC/19/41, 17 de noviembre de 2011, párrs. 41 y 42; </w:t>
      </w:r>
      <w:hyperlink r:id="rId18" w:history="1">
        <w:r w:rsidRPr="00B905BE">
          <w:rPr>
            <w:rStyle w:val="Hyperlink"/>
            <w:rFonts w:ascii="Cambria" w:hAnsi="Cambria"/>
            <w:i/>
            <w:sz w:val="16"/>
            <w:szCs w:val="16"/>
            <w:lang w:val="es-ES"/>
          </w:rPr>
          <w:t>Discriminación y violencia contra las personas por motivos de orientación sexual e identidad de género. Informe de la Oficina del Alto Comisionado de las Naciones Unidas para los Derechos Humanos</w:t>
        </w:r>
      </w:hyperlink>
      <w:r w:rsidRPr="00B905BE">
        <w:rPr>
          <w:rFonts w:ascii="Cambria" w:hAnsi="Cambria"/>
          <w:sz w:val="16"/>
          <w:szCs w:val="16"/>
          <w:lang w:val="es-ES"/>
        </w:rPr>
        <w:t xml:space="preserve">. A/HRC/29/23, 4 de mayo de 2015, párr. 43; véase también </w:t>
      </w:r>
      <w:hyperlink r:id="rId19" w:history="1">
        <w:r w:rsidRPr="00B905BE">
          <w:rPr>
            <w:rStyle w:val="Hyperlink"/>
            <w:rFonts w:ascii="Cambria" w:hAnsi="Cambria"/>
            <w:i/>
            <w:sz w:val="16"/>
            <w:szCs w:val="16"/>
            <w:lang w:val="es-ES"/>
          </w:rPr>
          <w:t>Informe del Relator Especial sobre la libertad de religión o de creencias, Heiner Bielefeldt</w:t>
        </w:r>
      </w:hyperlink>
      <w:r w:rsidRPr="00B905BE">
        <w:rPr>
          <w:rFonts w:ascii="Cambria" w:hAnsi="Cambria"/>
          <w:sz w:val="16"/>
          <w:szCs w:val="16"/>
          <w:lang w:val="es-ES"/>
        </w:rPr>
        <w:t>. A/HRC//28/66, 29 de diciembre de 2014, párr. 42</w:t>
      </w:r>
      <w:r w:rsidRPr="00B905BE">
        <w:rPr>
          <w:rFonts w:asciiTheme="majorHAnsi" w:hAnsiTheme="majorHAnsi"/>
          <w:sz w:val="16"/>
          <w:szCs w:val="16"/>
          <w:lang w:val="es-ES"/>
        </w:rPr>
        <w:t>.</w:t>
      </w:r>
    </w:p>
  </w:footnote>
  <w:footnote w:id="51">
    <w:p w14:paraId="2A29D4D2"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sidRPr="00B905BE">
        <w:rPr>
          <w:rFonts w:ascii="Cambria" w:hAnsi="Cambria"/>
          <w:sz w:val="16"/>
          <w:szCs w:val="16"/>
          <w:lang w:val="es-ES"/>
        </w:rPr>
        <w:t xml:space="preserve">Naciones Unidas. </w:t>
      </w:r>
      <w:hyperlink r:id="rId20" w:history="1">
        <w:r w:rsidRPr="00B905BE">
          <w:rPr>
            <w:rStyle w:val="Hyperlink"/>
            <w:rFonts w:ascii="Cambria" w:hAnsi="Cambria"/>
            <w:i/>
            <w:sz w:val="16"/>
            <w:szCs w:val="16"/>
            <w:lang w:val="es-ES"/>
          </w:rPr>
          <w:t>Vivir libres e iguales. Qué están haciendo los Estados para abordar la violencia y discriminación contra las personas lesbianas, gays, bisexuales, transgénero e intersex</w:t>
        </w:r>
      </w:hyperlink>
      <w:r>
        <w:rPr>
          <w:rFonts w:ascii="Cambria" w:hAnsi="Cambria"/>
          <w:sz w:val="16"/>
          <w:szCs w:val="16"/>
          <w:lang w:val="es-ES"/>
        </w:rPr>
        <w:t>, pá</w:t>
      </w:r>
      <w:r w:rsidRPr="00B905BE">
        <w:rPr>
          <w:rFonts w:ascii="Cambria" w:hAnsi="Cambria"/>
          <w:sz w:val="16"/>
          <w:szCs w:val="16"/>
          <w:lang w:val="es-ES"/>
        </w:rPr>
        <w:t>g. 59</w:t>
      </w:r>
      <w:r w:rsidRPr="00B905BE">
        <w:rPr>
          <w:rFonts w:asciiTheme="majorHAnsi" w:hAnsiTheme="majorHAnsi"/>
          <w:sz w:val="16"/>
          <w:szCs w:val="16"/>
          <w:lang w:val="es-ES"/>
        </w:rPr>
        <w:t>.</w:t>
      </w:r>
    </w:p>
  </w:footnote>
  <w:footnote w:id="52">
    <w:p w14:paraId="21D64725"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sidRPr="00B905BE">
        <w:rPr>
          <w:rFonts w:ascii="Cambria" w:hAnsi="Cambria"/>
          <w:sz w:val="16"/>
          <w:szCs w:val="16"/>
          <w:lang w:val="es-ES"/>
        </w:rPr>
        <w:t xml:space="preserve">Consejo de Derechos Humanos. </w:t>
      </w:r>
      <w:hyperlink r:id="rId21" w:history="1">
        <w:r w:rsidRPr="00B905BE">
          <w:rPr>
            <w:rStyle w:val="Hyperlink"/>
            <w:rFonts w:ascii="Cambria" w:hAnsi="Cambria"/>
            <w:i/>
            <w:sz w:val="16"/>
            <w:szCs w:val="16"/>
            <w:lang w:val="es-ES"/>
          </w:rPr>
          <w:t>Informe del Relator Especial sobre la tortura y otros tratos o penas crueles, inhumanos o degradantes</w:t>
        </w:r>
      </w:hyperlink>
      <w:r w:rsidRPr="00B905BE">
        <w:rPr>
          <w:rFonts w:ascii="Cambria" w:hAnsi="Cambria"/>
          <w:sz w:val="16"/>
          <w:szCs w:val="16"/>
          <w:lang w:val="es-ES"/>
        </w:rPr>
        <w:t xml:space="preserve">. A/HRC/31/57, párr. 15. Véase también </w:t>
      </w:r>
      <w:hyperlink r:id="rId22" w:history="1">
        <w:r w:rsidRPr="00B905BE">
          <w:rPr>
            <w:rStyle w:val="Hyperlink"/>
            <w:rFonts w:ascii="Cambria" w:hAnsi="Cambria"/>
            <w:i/>
            <w:sz w:val="16"/>
            <w:szCs w:val="16"/>
            <w:lang w:val="es-ES"/>
          </w:rPr>
          <w:t>Press release on the implications of the anti-homosexuality Act on the work of Human Rights Defenders in the Republic of Uganda</w:t>
        </w:r>
      </w:hyperlink>
      <w:r w:rsidRPr="00B905BE">
        <w:rPr>
          <w:rFonts w:ascii="Cambria" w:hAnsi="Cambria"/>
          <w:sz w:val="16"/>
          <w:szCs w:val="16"/>
          <w:lang w:val="es-ES"/>
        </w:rPr>
        <w:t>, Relatora Especial sobre los Defensores de los Derechos Humanos de la Comisión Africana sobre Derechos Humanos y de los Pueblos, 11 de marzo de 2014</w:t>
      </w:r>
      <w:r w:rsidRPr="00B905BE">
        <w:rPr>
          <w:rFonts w:asciiTheme="majorHAnsi" w:hAnsiTheme="majorHAnsi"/>
          <w:sz w:val="16"/>
          <w:szCs w:val="16"/>
          <w:lang w:val="es-ES"/>
        </w:rPr>
        <w:t xml:space="preserve">. </w:t>
      </w:r>
    </w:p>
  </w:footnote>
  <w:footnote w:id="53">
    <w:p w14:paraId="34741B87"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Europea de Derechos Humanos. </w:t>
      </w:r>
      <w:hyperlink r:id="rId23" w:anchor="{%22languageisocode%22:[%22SPA%22],%22appno%22:[%227525/76%22],%22documentcollectionid2%22:[%22CHAMBER%22],%22itemid%22:[%22001-165167%22]}" w:history="1">
        <w:r w:rsidRPr="0063504A">
          <w:rPr>
            <w:rStyle w:val="Hyperlink"/>
            <w:rFonts w:asciiTheme="majorHAnsi" w:hAnsiTheme="majorHAnsi"/>
            <w:i/>
            <w:sz w:val="16"/>
            <w:szCs w:val="16"/>
            <w:lang w:val="es-ES"/>
          </w:rPr>
          <w:t>Caso Dudgeon v. Reino Unido</w:t>
        </w:r>
        <w:r w:rsidRPr="00B905BE">
          <w:rPr>
            <w:rStyle w:val="Hyperlink"/>
            <w:rFonts w:asciiTheme="majorHAnsi" w:hAnsiTheme="majorHAnsi"/>
            <w:sz w:val="16"/>
            <w:szCs w:val="16"/>
            <w:u w:val="none"/>
            <w:lang w:val="es-ES"/>
          </w:rPr>
          <w:t>. Sentencia de 22 de octubre de 1981</w:t>
        </w:r>
      </w:hyperlink>
      <w:r w:rsidRPr="00B905BE">
        <w:rPr>
          <w:rFonts w:asciiTheme="majorHAnsi" w:hAnsiTheme="majorHAnsi"/>
          <w:sz w:val="16"/>
          <w:szCs w:val="16"/>
          <w:lang w:val="es-ES"/>
        </w:rPr>
        <w:t xml:space="preserve">, párr. 41; véase también Corte Europea de Derechos Humanos. </w:t>
      </w:r>
      <w:r w:rsidRPr="0063504A">
        <w:rPr>
          <w:rFonts w:asciiTheme="majorHAnsi" w:hAnsiTheme="majorHAnsi"/>
          <w:i/>
          <w:sz w:val="16"/>
          <w:szCs w:val="16"/>
          <w:lang w:val="es-ES"/>
        </w:rPr>
        <w:t>Caso Modinos vs. Chipre</w:t>
      </w:r>
      <w:r w:rsidRPr="00B905BE">
        <w:rPr>
          <w:rFonts w:asciiTheme="majorHAnsi" w:hAnsiTheme="majorHAnsi"/>
          <w:sz w:val="16"/>
          <w:szCs w:val="16"/>
          <w:lang w:val="es-ES"/>
        </w:rPr>
        <w:t xml:space="preserve">. Sentencia de 22 de abril de 1993, párr. 23. </w:t>
      </w:r>
    </w:p>
  </w:footnote>
  <w:footnote w:id="54">
    <w:p w14:paraId="6550CFA6"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Europea de Derechos Humanos. </w:t>
      </w:r>
      <w:hyperlink r:id="rId24" w:history="1">
        <w:r w:rsidRPr="0063504A">
          <w:rPr>
            <w:rStyle w:val="Hyperlink"/>
            <w:rFonts w:asciiTheme="majorHAnsi" w:hAnsiTheme="majorHAnsi"/>
            <w:i/>
            <w:sz w:val="16"/>
            <w:szCs w:val="16"/>
            <w:lang w:val="es-ES"/>
          </w:rPr>
          <w:t>Caso Norris v. Irlanda</w:t>
        </w:r>
        <w:r w:rsidRPr="00B905BE">
          <w:rPr>
            <w:rStyle w:val="Hyperlink"/>
            <w:rFonts w:asciiTheme="majorHAnsi" w:hAnsiTheme="majorHAnsi"/>
            <w:sz w:val="16"/>
            <w:szCs w:val="16"/>
            <w:u w:val="none"/>
            <w:lang w:val="es-ES"/>
          </w:rPr>
          <w:t>. Sentencia de 26 de octubre de 1988</w:t>
        </w:r>
      </w:hyperlink>
      <w:r w:rsidRPr="00B905BE">
        <w:rPr>
          <w:rFonts w:asciiTheme="majorHAnsi" w:hAnsiTheme="majorHAnsi"/>
          <w:sz w:val="16"/>
          <w:szCs w:val="16"/>
          <w:lang w:val="es-ES"/>
        </w:rPr>
        <w:t xml:space="preserve">, párrs. 31 y 32. </w:t>
      </w:r>
    </w:p>
  </w:footnote>
  <w:footnote w:id="55">
    <w:p w14:paraId="683B09B0"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sidRPr="00B905BE">
        <w:rPr>
          <w:rFonts w:asciiTheme="majorHAnsi" w:hAnsiTheme="majorHAnsi"/>
          <w:i/>
          <w:sz w:val="16"/>
          <w:szCs w:val="16"/>
          <w:lang w:val="es-ES"/>
        </w:rPr>
        <w:t>Case Lawrence v. Texas</w:t>
      </w:r>
      <w:r w:rsidRPr="00B905BE">
        <w:rPr>
          <w:rFonts w:asciiTheme="majorHAnsi" w:hAnsiTheme="majorHAnsi"/>
          <w:sz w:val="16"/>
          <w:szCs w:val="16"/>
          <w:lang w:val="es-ES"/>
        </w:rPr>
        <w:t>. Supreme Court of the United States</w:t>
      </w:r>
      <w:r>
        <w:rPr>
          <w:rFonts w:asciiTheme="majorHAnsi" w:hAnsiTheme="majorHAnsi"/>
          <w:sz w:val="16"/>
          <w:szCs w:val="16"/>
          <w:lang w:val="es-ES"/>
        </w:rPr>
        <w:t xml:space="preserve">, </w:t>
      </w:r>
      <w:r w:rsidRPr="00B905BE">
        <w:rPr>
          <w:rFonts w:asciiTheme="majorHAnsi" w:hAnsiTheme="majorHAnsi"/>
          <w:sz w:val="16"/>
          <w:szCs w:val="16"/>
          <w:lang w:val="es-ES"/>
        </w:rPr>
        <w:t xml:space="preserve">26 de junio de 2003, p. 14 y 18 (traducción de la CIDH). </w:t>
      </w:r>
      <w:r w:rsidRPr="00D61759">
        <w:rPr>
          <w:rFonts w:asciiTheme="majorHAnsi" w:hAnsiTheme="majorHAnsi"/>
          <w:sz w:val="16"/>
          <w:szCs w:val="16"/>
        </w:rPr>
        <w:t xml:space="preserve">Véase </w:t>
      </w:r>
      <w:r w:rsidRPr="00D61759">
        <w:rPr>
          <w:rFonts w:asciiTheme="majorHAnsi" w:hAnsiTheme="majorHAnsi"/>
          <w:i/>
          <w:sz w:val="16"/>
          <w:szCs w:val="16"/>
        </w:rPr>
        <w:t>Obergefell v. Hodges</w:t>
      </w:r>
      <w:r w:rsidRPr="00D61759">
        <w:rPr>
          <w:rFonts w:asciiTheme="majorHAnsi" w:hAnsiTheme="majorHAnsi"/>
          <w:sz w:val="16"/>
          <w:szCs w:val="16"/>
        </w:rPr>
        <w:t xml:space="preserve">. Supreme Court of the United States, 26 de junio de 2015. </w:t>
      </w:r>
      <w:r w:rsidRPr="00B905BE">
        <w:rPr>
          <w:rFonts w:asciiTheme="majorHAnsi" w:hAnsiTheme="majorHAnsi"/>
          <w:sz w:val="16"/>
          <w:szCs w:val="16"/>
          <w:lang w:val="es-ES"/>
        </w:rPr>
        <w:t xml:space="preserve">En este caso, la Corte Suprema de Estados Unidos consideró que, aunque el caso Lawrence confirmó una dimensión de la libertad que permite a las personas tener una asociación íntima sin incurrir en responsabilidad penal, no se deduce de ello que la libertad termine allí. La transición de bandido a paria podría ser un avance, pero no llega a la plena promesa de libertad. </w:t>
      </w:r>
    </w:p>
  </w:footnote>
  <w:footnote w:id="56">
    <w:p w14:paraId="3BEFA4D7"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rPr>
        <w:t xml:space="preserve"> Constitutional Court of South Africa. </w:t>
      </w:r>
      <w:r w:rsidRPr="00D61759">
        <w:rPr>
          <w:rFonts w:asciiTheme="majorHAnsi" w:hAnsiTheme="majorHAnsi"/>
          <w:i/>
          <w:sz w:val="16"/>
          <w:szCs w:val="16"/>
        </w:rPr>
        <w:t>Case of National Coalition Gay and Lesbian Equality and another v. Minister of Justice and others</w:t>
      </w:r>
      <w:r w:rsidRPr="00D61759">
        <w:rPr>
          <w:rFonts w:asciiTheme="majorHAnsi" w:hAnsiTheme="majorHAnsi"/>
          <w:sz w:val="16"/>
          <w:szCs w:val="16"/>
        </w:rPr>
        <w:t xml:space="preserve">. </w:t>
      </w:r>
      <w:r w:rsidRPr="00B905BE">
        <w:rPr>
          <w:rFonts w:asciiTheme="majorHAnsi" w:hAnsiTheme="majorHAnsi"/>
          <w:sz w:val="16"/>
          <w:szCs w:val="16"/>
          <w:lang w:val="es-ES"/>
        </w:rPr>
        <w:t>9 de octubre de 1998, párrs. 23, 26 y 28 (traducción de la CIDH).</w:t>
      </w:r>
    </w:p>
  </w:footnote>
  <w:footnote w:id="57">
    <w:p w14:paraId="7393A844" w14:textId="77777777" w:rsidR="0055226A" w:rsidRPr="00D61759" w:rsidRDefault="0055226A" w:rsidP="00DC4D27">
      <w:pPr>
        <w:pStyle w:val="FootnoteText"/>
        <w:jc w:val="both"/>
        <w:rPr>
          <w:rFonts w:asciiTheme="majorHAnsi" w:hAnsiTheme="majorHAnsi"/>
          <w:sz w:val="16"/>
          <w:szCs w:val="16"/>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Supreme Court of India. </w:t>
      </w:r>
      <w:r w:rsidRPr="00D61759">
        <w:rPr>
          <w:rFonts w:asciiTheme="majorHAnsi" w:hAnsiTheme="majorHAnsi"/>
          <w:i/>
          <w:sz w:val="16"/>
          <w:szCs w:val="16"/>
        </w:rPr>
        <w:t xml:space="preserve">Case of </w:t>
      </w:r>
      <w:r w:rsidRPr="00D61759">
        <w:rPr>
          <w:rFonts w:asciiTheme="majorHAnsi" w:hAnsiTheme="majorHAnsi" w:cs="Times New Roman"/>
          <w:i/>
          <w:color w:val="000000" w:themeColor="text1"/>
          <w:sz w:val="16"/>
          <w:szCs w:val="16"/>
        </w:rPr>
        <w:t>Navtej Singh Johar &amp; Ors. v. Union of India thr. Secretary Ministry of Law and Justice</w:t>
      </w:r>
      <w:r w:rsidRPr="00D61759">
        <w:rPr>
          <w:rFonts w:asciiTheme="majorHAnsi" w:hAnsiTheme="majorHAnsi" w:cs="Times New Roman"/>
          <w:color w:val="000000" w:themeColor="text1"/>
          <w:sz w:val="16"/>
          <w:szCs w:val="16"/>
        </w:rPr>
        <w:t>. 6 de septiembre de 2018,</w:t>
      </w:r>
      <w:r w:rsidRPr="00D61759">
        <w:rPr>
          <w:rFonts w:asciiTheme="majorHAnsi" w:hAnsiTheme="majorHAnsi"/>
          <w:sz w:val="16"/>
          <w:szCs w:val="16"/>
        </w:rPr>
        <w:t xml:space="preserve"> párrs. 223 y 239 (traducción de la CIDH). </w:t>
      </w:r>
    </w:p>
  </w:footnote>
  <w:footnote w:id="58">
    <w:p w14:paraId="02AB2295"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rPr>
        <w:t xml:space="preserve"> </w:t>
      </w:r>
      <w:r w:rsidRPr="00D61759">
        <w:rPr>
          <w:rFonts w:ascii="Cambria" w:hAnsi="Cambria"/>
          <w:sz w:val="16"/>
          <w:szCs w:val="16"/>
        </w:rPr>
        <w:t xml:space="preserve">Supreme Court of Belize. </w:t>
      </w:r>
      <w:r w:rsidRPr="00D61759">
        <w:rPr>
          <w:rFonts w:ascii="Cambria" w:hAnsi="Cambria"/>
          <w:i/>
          <w:sz w:val="16"/>
          <w:szCs w:val="16"/>
        </w:rPr>
        <w:t>Caleb Orozco and the Attorney General of Belize</w:t>
      </w:r>
      <w:r w:rsidRPr="00D61759">
        <w:rPr>
          <w:rFonts w:ascii="Cambria" w:hAnsi="Cambria"/>
          <w:sz w:val="16"/>
          <w:szCs w:val="16"/>
        </w:rPr>
        <w:t xml:space="preserve">. </w:t>
      </w:r>
      <w:r w:rsidRPr="00B905BE">
        <w:rPr>
          <w:rFonts w:ascii="Cambria" w:hAnsi="Cambria"/>
          <w:sz w:val="16"/>
          <w:szCs w:val="16"/>
          <w:lang w:val="es-ES"/>
        </w:rPr>
        <w:t>10 de agosto de 2016, pág. 27 (traducción de la CIDH)</w:t>
      </w:r>
      <w:r w:rsidRPr="00B905BE">
        <w:rPr>
          <w:rFonts w:asciiTheme="majorHAnsi" w:hAnsiTheme="majorHAnsi"/>
          <w:sz w:val="16"/>
          <w:szCs w:val="16"/>
          <w:lang w:val="es-ES"/>
        </w:rPr>
        <w:t>.</w:t>
      </w:r>
    </w:p>
  </w:footnote>
  <w:footnote w:id="59">
    <w:p w14:paraId="7A5A5490"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High Court of Justice. </w:t>
      </w:r>
      <w:r w:rsidRPr="00D61759">
        <w:rPr>
          <w:rFonts w:asciiTheme="majorHAnsi" w:hAnsiTheme="majorHAnsi"/>
          <w:i/>
          <w:sz w:val="16"/>
          <w:szCs w:val="16"/>
        </w:rPr>
        <w:t>Jason Jones and the Attorney General of Trinidad and Tobago</w:t>
      </w:r>
      <w:r w:rsidRPr="00D61759">
        <w:rPr>
          <w:rFonts w:asciiTheme="majorHAnsi" w:hAnsiTheme="majorHAnsi"/>
          <w:sz w:val="16"/>
          <w:szCs w:val="16"/>
        </w:rPr>
        <w:t xml:space="preserve">, párr. </w:t>
      </w:r>
      <w:r w:rsidRPr="00B905BE">
        <w:rPr>
          <w:rFonts w:asciiTheme="majorHAnsi" w:hAnsiTheme="majorHAnsi"/>
          <w:sz w:val="16"/>
          <w:szCs w:val="16"/>
          <w:lang w:val="es-ES"/>
        </w:rPr>
        <w:t>173</w:t>
      </w:r>
      <w:r>
        <w:rPr>
          <w:rFonts w:asciiTheme="majorHAnsi" w:hAnsiTheme="majorHAnsi"/>
          <w:sz w:val="16"/>
          <w:szCs w:val="16"/>
          <w:lang w:val="es-ES"/>
        </w:rPr>
        <w:t xml:space="preserve"> (traducción de la CIDH).</w:t>
      </w:r>
    </w:p>
  </w:footnote>
  <w:footnote w:id="60">
    <w:p w14:paraId="766B1F7C" w14:textId="77777777" w:rsidR="0055226A" w:rsidRPr="00B905BE" w:rsidRDefault="0055226A" w:rsidP="00DC4D27">
      <w:pPr>
        <w:pStyle w:val="FootnoteText"/>
        <w:tabs>
          <w:tab w:val="left" w:pos="720"/>
        </w:tabs>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IDH. </w:t>
      </w:r>
      <w:r w:rsidRPr="00B905BE">
        <w:rPr>
          <w:rFonts w:asciiTheme="majorHAnsi" w:hAnsiTheme="majorHAnsi"/>
          <w:i/>
          <w:iCs/>
          <w:sz w:val="16"/>
          <w:szCs w:val="16"/>
          <w:lang w:val="es-ES"/>
        </w:rPr>
        <w:t>Caso Vélez Restrepo y familiares vs. Colombia</w:t>
      </w:r>
      <w:r w:rsidRPr="00B905BE">
        <w:rPr>
          <w:rFonts w:asciiTheme="majorHAnsi" w:hAnsiTheme="majorHAnsi"/>
          <w:sz w:val="16"/>
          <w:szCs w:val="16"/>
          <w:lang w:val="es-ES"/>
        </w:rPr>
        <w:t xml:space="preserve">. Excepción Preliminar, Fondo, Reparaciones y Costas. Sentencia de 3 de septiembre de 2012. Serie C No. 248, párr. 220; véanse también </w:t>
      </w:r>
      <w:r w:rsidRPr="00B905BE">
        <w:rPr>
          <w:rFonts w:asciiTheme="majorHAnsi" w:hAnsiTheme="majorHAnsi"/>
          <w:i/>
          <w:iCs/>
          <w:sz w:val="16"/>
          <w:szCs w:val="16"/>
          <w:lang w:val="es-ES"/>
        </w:rPr>
        <w:t>Caso de la Comunidad Moiwana Vs. Suriname</w:t>
      </w:r>
      <w:r w:rsidRPr="00B905BE">
        <w:rPr>
          <w:rFonts w:asciiTheme="majorHAnsi" w:hAnsiTheme="majorHAnsi"/>
          <w:sz w:val="16"/>
          <w:szCs w:val="16"/>
          <w:lang w:val="es-ES"/>
        </w:rPr>
        <w:t xml:space="preserve">. Excepciones Preliminares, Fondo, Reparaciones y Costas. Sentencia de 15 de junio de 2005. Serie C No. 124, párrs. 119 y 120; </w:t>
      </w:r>
      <w:r w:rsidRPr="00B905BE">
        <w:rPr>
          <w:rFonts w:asciiTheme="majorHAnsi" w:hAnsiTheme="majorHAnsi"/>
          <w:i/>
          <w:iCs/>
          <w:sz w:val="16"/>
          <w:szCs w:val="16"/>
          <w:lang w:val="es-ES"/>
        </w:rPr>
        <w:t>Caso Manuel Cepeda Vargas vs. Colombia.</w:t>
      </w:r>
      <w:r w:rsidRPr="00B905BE">
        <w:rPr>
          <w:rFonts w:asciiTheme="majorHAnsi" w:hAnsiTheme="majorHAnsi"/>
          <w:sz w:val="16"/>
          <w:szCs w:val="16"/>
          <w:lang w:val="es-ES"/>
        </w:rPr>
        <w:t xml:space="preserve"> Excepciones Preliminares, Fondo, Reparaciones y Costas, párr. 197.</w:t>
      </w:r>
    </w:p>
  </w:footnote>
  <w:footnote w:id="61">
    <w:p w14:paraId="06A3BCAE" w14:textId="77777777" w:rsidR="0055226A" w:rsidRPr="00B905BE" w:rsidRDefault="0055226A" w:rsidP="00DC4D27">
      <w:pPr>
        <w:pStyle w:val="FootnoteText"/>
        <w:tabs>
          <w:tab w:val="left" w:pos="720"/>
        </w:tabs>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IDH. </w:t>
      </w:r>
      <w:r w:rsidRPr="00B905BE">
        <w:rPr>
          <w:rFonts w:asciiTheme="majorHAnsi" w:hAnsiTheme="majorHAnsi"/>
          <w:i/>
          <w:iCs/>
          <w:sz w:val="16"/>
          <w:szCs w:val="16"/>
          <w:lang w:val="es-ES"/>
        </w:rPr>
        <w:t>Caso Vélez Restrepo y familiares vs. Colombia.</w:t>
      </w:r>
      <w:r w:rsidRPr="00B905BE">
        <w:rPr>
          <w:rFonts w:asciiTheme="majorHAnsi" w:hAnsiTheme="majorHAnsi"/>
          <w:sz w:val="16"/>
          <w:szCs w:val="16"/>
          <w:lang w:val="es-ES"/>
        </w:rPr>
        <w:t xml:space="preserve"> Excepción Preliminar, Fondo, Reparaciones y Costas. Sentencia de 3 de septiembre de 2012. Serie C No. 248, párr. 220; véanse también </w:t>
      </w:r>
      <w:r w:rsidRPr="00B905BE">
        <w:rPr>
          <w:rFonts w:asciiTheme="majorHAnsi" w:hAnsiTheme="majorHAnsi"/>
          <w:i/>
          <w:iCs/>
          <w:sz w:val="16"/>
          <w:szCs w:val="16"/>
          <w:lang w:val="es-ES"/>
        </w:rPr>
        <w:t>Caso Valle Jaramillo y otros Vs. Colombia.</w:t>
      </w:r>
      <w:r w:rsidRPr="00B905BE">
        <w:rPr>
          <w:rFonts w:asciiTheme="majorHAnsi" w:hAnsiTheme="majorHAnsi"/>
          <w:sz w:val="16"/>
          <w:szCs w:val="16"/>
          <w:lang w:val="es-ES"/>
        </w:rPr>
        <w:t xml:space="preserve"> Fondo, Reparaciones y Costas, párr. 139; </w:t>
      </w:r>
      <w:r w:rsidRPr="00B905BE">
        <w:rPr>
          <w:rFonts w:asciiTheme="majorHAnsi" w:hAnsiTheme="majorHAnsi"/>
          <w:i/>
          <w:iCs/>
          <w:sz w:val="16"/>
          <w:szCs w:val="16"/>
          <w:lang w:val="es-ES"/>
        </w:rPr>
        <w:t>Caso Manuel Cepeda Vargas vs. Colombia.</w:t>
      </w:r>
      <w:r w:rsidRPr="00B905BE">
        <w:rPr>
          <w:rFonts w:asciiTheme="majorHAnsi" w:hAnsiTheme="majorHAnsi"/>
          <w:sz w:val="16"/>
          <w:szCs w:val="16"/>
          <w:lang w:val="es-ES"/>
        </w:rPr>
        <w:t xml:space="preserve"> Excepciones Preliminares, Fondo, Reparaciones y Costas, párr. 197.</w:t>
      </w:r>
    </w:p>
  </w:footnote>
  <w:footnote w:id="62">
    <w:p w14:paraId="528A1096"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Véase, por ejemplo, ACLU, </w:t>
      </w:r>
      <w:hyperlink r:id="rId25" w:history="1">
        <w:r w:rsidRPr="00B905BE">
          <w:rPr>
            <w:rStyle w:val="Hyperlink"/>
            <w:rFonts w:asciiTheme="majorHAnsi" w:hAnsiTheme="majorHAnsi"/>
            <w:i/>
            <w:sz w:val="16"/>
            <w:szCs w:val="16"/>
            <w:lang w:val="es-ES"/>
          </w:rPr>
          <w:t>Why Sodomy Laws Matter</w:t>
        </w:r>
      </w:hyperlink>
      <w:r w:rsidRPr="00B905BE">
        <w:rPr>
          <w:rFonts w:asciiTheme="majorHAnsi" w:hAnsiTheme="majorHAnsi"/>
          <w:sz w:val="16"/>
          <w:szCs w:val="16"/>
          <w:lang w:val="es-ES"/>
        </w:rPr>
        <w:t xml:space="preserve">, donde se explica la forma en que las leyes de sodomía comenzaron a usarse contra las personas gais en Estados Unidos a fines de los años sesenta, cuando se puso en marcha el movimiento de defensa de los derechos de las personas gais. </w:t>
      </w:r>
    </w:p>
  </w:footnote>
  <w:footnote w:id="63">
    <w:p w14:paraId="15AB3F3C" w14:textId="77777777" w:rsidR="0055226A" w:rsidRPr="00D61759" w:rsidRDefault="0055226A" w:rsidP="00DC4D27">
      <w:pPr>
        <w:pStyle w:val="FootnoteText"/>
        <w:jc w:val="both"/>
        <w:rPr>
          <w:rFonts w:asciiTheme="majorHAnsi" w:hAnsiTheme="majorHAnsi"/>
          <w:sz w:val="16"/>
          <w:szCs w:val="16"/>
          <w:lang w:val="pt-BR"/>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Véase CIDH. </w:t>
      </w:r>
      <w:hyperlink r:id="rId26" w:history="1">
        <w:r w:rsidRPr="00B905BE">
          <w:rPr>
            <w:rStyle w:val="Hyperlink"/>
            <w:rFonts w:asciiTheme="majorHAnsi" w:hAnsiTheme="majorHAnsi"/>
            <w:i/>
            <w:sz w:val="16"/>
            <w:szCs w:val="16"/>
            <w:lang w:val="es-ES"/>
          </w:rPr>
          <w:t>Informe sobre la situación de los derechos humanos en Jamaica</w:t>
        </w:r>
      </w:hyperlink>
      <w:r w:rsidRPr="00B905BE">
        <w:rPr>
          <w:rFonts w:asciiTheme="majorHAnsi" w:hAnsiTheme="majorHAnsi"/>
          <w:sz w:val="16"/>
          <w:szCs w:val="16"/>
          <w:lang w:val="es-ES"/>
        </w:rPr>
        <w:t xml:space="preserve">. </w:t>
      </w:r>
      <w:r w:rsidRPr="00D61759">
        <w:rPr>
          <w:rFonts w:asciiTheme="majorHAnsi" w:hAnsiTheme="majorHAnsi"/>
          <w:sz w:val="16"/>
          <w:szCs w:val="16"/>
          <w:lang w:val="pt-BR"/>
        </w:rPr>
        <w:t>OEA/Ser.L/v/II.144, Doc. 12, 10 de agosto de 2012, párr. 270.</w:t>
      </w:r>
    </w:p>
  </w:footnote>
  <w:footnote w:id="64">
    <w:p w14:paraId="65A5941F"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lang w:val="pt-BR"/>
        </w:rPr>
        <w:t xml:space="preserve"> CIDH. </w:t>
      </w:r>
      <w:hyperlink r:id="rId27" w:history="1">
        <w:r w:rsidRPr="00D61759">
          <w:rPr>
            <w:rStyle w:val="Hyperlink"/>
            <w:rFonts w:asciiTheme="majorHAnsi" w:hAnsiTheme="majorHAnsi"/>
            <w:i/>
            <w:sz w:val="16"/>
            <w:szCs w:val="16"/>
            <w:lang w:val="pt-BR"/>
          </w:rPr>
          <w:t>Violencia contra personas lesbianas, gay, bisexuales, trans e intersex en América</w:t>
        </w:r>
      </w:hyperlink>
      <w:r w:rsidRPr="00D61759">
        <w:rPr>
          <w:rFonts w:asciiTheme="majorHAnsi" w:hAnsiTheme="majorHAnsi"/>
          <w:i/>
          <w:sz w:val="16"/>
          <w:szCs w:val="16"/>
          <w:lang w:val="pt-BR"/>
        </w:rPr>
        <w:t>.</w:t>
      </w:r>
      <w:r w:rsidRPr="00D61759">
        <w:rPr>
          <w:rFonts w:asciiTheme="majorHAnsi" w:hAnsiTheme="majorHAnsi"/>
          <w:sz w:val="16"/>
          <w:szCs w:val="16"/>
          <w:lang w:val="pt-BR"/>
        </w:rPr>
        <w:t xml:space="preserve"> OEA/Ser.L/V/II.rev.1, Doc. 36, 12 de noviembre de 2015, párr. </w:t>
      </w:r>
      <w:r w:rsidRPr="00B905BE">
        <w:rPr>
          <w:rFonts w:asciiTheme="majorHAnsi" w:hAnsiTheme="majorHAnsi"/>
          <w:sz w:val="16"/>
          <w:szCs w:val="16"/>
          <w:lang w:val="es-ES"/>
        </w:rPr>
        <w:t xml:space="preserve">61; CIDH. </w:t>
      </w:r>
      <w:hyperlink r:id="rId28" w:history="1">
        <w:r w:rsidRPr="00B905BE">
          <w:rPr>
            <w:rStyle w:val="Hyperlink"/>
            <w:rFonts w:asciiTheme="majorHAnsi" w:hAnsiTheme="majorHAnsi"/>
            <w:i/>
            <w:sz w:val="16"/>
            <w:szCs w:val="16"/>
            <w:lang w:val="es-ES"/>
          </w:rPr>
          <w:t>Informe sobre la situación de los derechos humanos en Jamaica</w:t>
        </w:r>
      </w:hyperlink>
      <w:r w:rsidRPr="00B905BE">
        <w:rPr>
          <w:rFonts w:asciiTheme="majorHAnsi" w:hAnsiTheme="majorHAnsi"/>
          <w:sz w:val="16"/>
          <w:szCs w:val="16"/>
          <w:lang w:val="es-ES"/>
        </w:rPr>
        <w:t xml:space="preserve">. </w:t>
      </w:r>
      <w:r w:rsidRPr="00D61759">
        <w:rPr>
          <w:rFonts w:asciiTheme="majorHAnsi" w:hAnsiTheme="majorHAnsi"/>
          <w:sz w:val="16"/>
          <w:szCs w:val="16"/>
          <w:lang w:val="pt-BR"/>
        </w:rPr>
        <w:t xml:space="preserve">OEA/Ser.L/v/II.144, Doc. 12, 10 de agosto de 2012, párr. </w:t>
      </w:r>
      <w:r w:rsidRPr="00B905BE">
        <w:rPr>
          <w:rFonts w:asciiTheme="majorHAnsi" w:hAnsiTheme="majorHAnsi"/>
          <w:sz w:val="16"/>
          <w:szCs w:val="16"/>
          <w:lang w:val="es-ES"/>
        </w:rPr>
        <w:t>287.</w:t>
      </w:r>
    </w:p>
  </w:footnote>
  <w:footnote w:id="65">
    <w:p w14:paraId="1C30535D"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IDH. </w:t>
      </w:r>
      <w:r w:rsidRPr="00B905BE">
        <w:rPr>
          <w:rFonts w:asciiTheme="majorHAnsi" w:hAnsiTheme="majorHAnsi"/>
          <w:i/>
          <w:sz w:val="16"/>
          <w:szCs w:val="16"/>
          <w:lang w:val="es-ES"/>
        </w:rPr>
        <w:t>Caso Artavia Murillo y otros (“Fecundación in vitro”) vs. Costa Rica</w:t>
      </w:r>
      <w:r w:rsidRPr="00B905BE">
        <w:rPr>
          <w:rFonts w:asciiTheme="majorHAnsi" w:hAnsiTheme="majorHAnsi"/>
          <w:sz w:val="16"/>
          <w:szCs w:val="16"/>
          <w:lang w:val="es-ES"/>
        </w:rPr>
        <w:t xml:space="preserve">. Excepciones Preliminares, Fondo, Reparaciones y Costas. Sentencia de 28 de noviembre de 2012. Serie C No. 257, párr. 273; </w:t>
      </w:r>
      <w:r w:rsidRPr="00B905BE">
        <w:rPr>
          <w:rStyle w:val="Strong"/>
          <w:rFonts w:asciiTheme="majorHAnsi" w:hAnsiTheme="majorHAnsi"/>
          <w:b w:val="0"/>
          <w:sz w:val="16"/>
          <w:szCs w:val="16"/>
          <w:lang w:val="es-ES"/>
        </w:rPr>
        <w:t xml:space="preserve">Corte IDH. </w:t>
      </w:r>
      <w:r w:rsidRPr="00B905BE">
        <w:rPr>
          <w:rStyle w:val="Strong"/>
          <w:rFonts w:asciiTheme="majorHAnsi" w:hAnsiTheme="majorHAnsi"/>
          <w:b w:val="0"/>
          <w:i/>
          <w:sz w:val="16"/>
          <w:szCs w:val="16"/>
          <w:lang w:val="es-ES"/>
        </w:rPr>
        <w:t>Caso Atala Riffo y niñas vs. Chile</w:t>
      </w:r>
      <w:r w:rsidRPr="00B905BE">
        <w:rPr>
          <w:rStyle w:val="Strong"/>
          <w:rFonts w:asciiTheme="majorHAnsi" w:hAnsiTheme="majorHAnsi"/>
          <w:b w:val="0"/>
          <w:sz w:val="16"/>
          <w:szCs w:val="16"/>
          <w:lang w:val="es-ES"/>
        </w:rPr>
        <w:t>. Fondo, Reparaciones y Costas. Sentencia de 24 de febrero de 2012. Serie C No. 239, párr.</w:t>
      </w:r>
      <w:r w:rsidRPr="00B905BE">
        <w:rPr>
          <w:rFonts w:asciiTheme="majorHAnsi" w:hAnsiTheme="majorHAnsi"/>
          <w:sz w:val="16"/>
          <w:szCs w:val="16"/>
          <w:lang w:val="es-ES"/>
        </w:rPr>
        <w:t xml:space="preserve"> 146.</w:t>
      </w:r>
      <w:r w:rsidRPr="00B905BE">
        <w:rPr>
          <w:rFonts w:asciiTheme="majorHAnsi" w:hAnsiTheme="majorHAnsi"/>
          <w:b/>
          <w:sz w:val="16"/>
          <w:szCs w:val="16"/>
          <w:lang w:val="es-ES"/>
        </w:rPr>
        <w:t xml:space="preserve"> </w:t>
      </w:r>
    </w:p>
  </w:footnote>
  <w:footnote w:id="66">
    <w:p w14:paraId="04FAD20F"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29" w:history="1">
        <w:r w:rsidRPr="00B905BE">
          <w:rPr>
            <w:rStyle w:val="Hyperlink"/>
            <w:rFonts w:asciiTheme="majorHAnsi" w:hAnsiTheme="majorHAnsi"/>
            <w:i/>
            <w:sz w:val="16"/>
            <w:szCs w:val="16"/>
            <w:lang w:val="es-ES"/>
          </w:rPr>
          <w:t>Violencia contra personas lesbianas, gay, bisexuales, trans e intersex en América</w:t>
        </w:r>
      </w:hyperlink>
      <w:r w:rsidRPr="00B905BE">
        <w:rPr>
          <w:rFonts w:asciiTheme="majorHAnsi" w:hAnsiTheme="majorHAnsi"/>
          <w:i/>
          <w:sz w:val="16"/>
          <w:szCs w:val="16"/>
          <w:lang w:val="es-ES"/>
        </w:rPr>
        <w:t>.</w:t>
      </w:r>
      <w:r w:rsidRPr="00B905BE">
        <w:rPr>
          <w:rFonts w:asciiTheme="majorHAnsi" w:hAnsiTheme="majorHAnsi"/>
          <w:sz w:val="16"/>
          <w:szCs w:val="16"/>
          <w:lang w:val="es-ES"/>
        </w:rPr>
        <w:t xml:space="preserve"> OEA/Ser.L/V/II.rev.1, Doc. 36, 12 de noviembre de 2015, párr. 85; Corte IDH. </w:t>
      </w:r>
      <w:r w:rsidRPr="00B905BE">
        <w:rPr>
          <w:rFonts w:asciiTheme="majorHAnsi" w:hAnsiTheme="majorHAnsi"/>
          <w:i/>
          <w:sz w:val="16"/>
          <w:szCs w:val="16"/>
          <w:lang w:val="es-ES"/>
        </w:rPr>
        <w:t>Caso Flor Freire vs. Ecuador</w:t>
      </w:r>
      <w:r w:rsidRPr="00B905BE">
        <w:rPr>
          <w:rFonts w:asciiTheme="majorHAnsi" w:hAnsiTheme="majorHAnsi"/>
          <w:sz w:val="16"/>
          <w:szCs w:val="16"/>
          <w:lang w:val="es-ES"/>
        </w:rPr>
        <w:t xml:space="preserve">. Excepción Preliminar, Fondo, Reparaciones y Costas. Sentencia de 31 de agosto de 2016, párr. 23. </w:t>
      </w:r>
    </w:p>
  </w:footnote>
  <w:footnote w:id="67">
    <w:p w14:paraId="25593090"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30" w:history="1">
        <w:r w:rsidRPr="00B905BE">
          <w:rPr>
            <w:rStyle w:val="Hyperlink"/>
            <w:rFonts w:asciiTheme="majorHAnsi" w:hAnsiTheme="majorHAnsi"/>
            <w:i/>
            <w:sz w:val="16"/>
            <w:szCs w:val="16"/>
            <w:lang w:val="es-ES"/>
          </w:rPr>
          <w:t>Demanda ante la Corte Interamericana de Derechos Humanos en el caso Karen Atala e hijas contra el Estado de Chile</w:t>
        </w:r>
      </w:hyperlink>
      <w:r w:rsidRPr="00B905BE">
        <w:rPr>
          <w:rFonts w:asciiTheme="majorHAnsi" w:hAnsiTheme="majorHAnsi"/>
          <w:sz w:val="16"/>
          <w:szCs w:val="16"/>
          <w:lang w:val="es-ES"/>
        </w:rPr>
        <w:t>. Caso 12.502. 17 de septiembre de 2010, párr. 88.</w:t>
      </w:r>
    </w:p>
  </w:footnote>
  <w:footnote w:id="68">
    <w:p w14:paraId="69A8D71B"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31" w:history="1">
        <w:r w:rsidRPr="00B905BE">
          <w:rPr>
            <w:rStyle w:val="Hyperlink"/>
            <w:rFonts w:asciiTheme="majorHAnsi" w:hAnsiTheme="majorHAnsi"/>
            <w:i/>
            <w:sz w:val="16"/>
            <w:szCs w:val="16"/>
            <w:lang w:val="es-ES"/>
          </w:rPr>
          <w:t>Demanda ante la Corte Interamericana de Derechos Humanos en el caso Karen Atala e hijas contra el Estado de Chile</w:t>
        </w:r>
      </w:hyperlink>
      <w:r w:rsidRPr="00B905BE">
        <w:rPr>
          <w:rFonts w:asciiTheme="majorHAnsi" w:hAnsiTheme="majorHAnsi"/>
          <w:sz w:val="16"/>
          <w:szCs w:val="16"/>
          <w:lang w:val="es-ES"/>
        </w:rPr>
        <w:t>. Caso 12.502. 17 de septiembre de 2010, párr. 88.</w:t>
      </w:r>
    </w:p>
  </w:footnote>
  <w:footnote w:id="69">
    <w:p w14:paraId="0D511C00" w14:textId="77777777" w:rsidR="0055226A" w:rsidRPr="00B905BE" w:rsidRDefault="0055226A" w:rsidP="002A13A4">
      <w:pPr>
        <w:pStyle w:val="FootnoteText"/>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32" w:history="1">
        <w:r w:rsidRPr="00B905BE">
          <w:rPr>
            <w:rStyle w:val="Hyperlink"/>
            <w:rFonts w:asciiTheme="majorHAnsi" w:hAnsiTheme="majorHAnsi"/>
            <w:i/>
            <w:sz w:val="16"/>
            <w:szCs w:val="16"/>
            <w:lang w:val="es-ES"/>
          </w:rPr>
          <w:t>Violencia contra personas lesbianas, gay, bisexuales, trans e intersex en América</w:t>
        </w:r>
      </w:hyperlink>
      <w:r w:rsidRPr="00B905BE">
        <w:rPr>
          <w:rFonts w:asciiTheme="majorHAnsi" w:hAnsiTheme="majorHAnsi"/>
          <w:i/>
          <w:sz w:val="16"/>
          <w:szCs w:val="16"/>
          <w:lang w:val="es-ES"/>
        </w:rPr>
        <w:t>.</w:t>
      </w:r>
      <w:r w:rsidRPr="00B905BE">
        <w:rPr>
          <w:rFonts w:asciiTheme="majorHAnsi" w:hAnsiTheme="majorHAnsi"/>
          <w:sz w:val="16"/>
          <w:szCs w:val="16"/>
          <w:lang w:val="es-ES"/>
        </w:rPr>
        <w:t xml:space="preserve"> OEA/Ser.L/V/II.rev.1, Doc. 36, 12 de noviembre de 2015, párr. 68. </w:t>
      </w:r>
    </w:p>
  </w:footnote>
  <w:footnote w:id="70">
    <w:p w14:paraId="7BABE2C5"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El artículo 9 de la Convención Americana dice: “Nadie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footnote>
  <w:footnote w:id="71">
    <w:p w14:paraId="0C27974E"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IDH. </w:t>
      </w:r>
      <w:r w:rsidRPr="00B905BE">
        <w:rPr>
          <w:rFonts w:asciiTheme="majorHAnsi" w:hAnsiTheme="majorHAnsi"/>
          <w:i/>
          <w:sz w:val="16"/>
          <w:szCs w:val="16"/>
          <w:lang w:val="es-ES"/>
        </w:rPr>
        <w:t>Caso Norín Catrimán y otros (dirigentes, miembros y activistas del pueblo indígena Mapuche) vs. Chile</w:t>
      </w:r>
      <w:r w:rsidRPr="00B905BE">
        <w:rPr>
          <w:rFonts w:asciiTheme="majorHAnsi" w:hAnsiTheme="majorHAnsi"/>
          <w:sz w:val="16"/>
          <w:szCs w:val="16"/>
          <w:lang w:val="es-ES"/>
        </w:rPr>
        <w:t xml:space="preserve">. Fondo, Reparaciones y Costas. Sentencia de 29 de mayo de 2014, párr. 161. </w:t>
      </w:r>
    </w:p>
  </w:footnote>
  <w:footnote w:id="72">
    <w:p w14:paraId="65E44900" w14:textId="77777777" w:rsidR="0055226A" w:rsidRPr="00B905BE" w:rsidRDefault="0055226A" w:rsidP="00DC4D27">
      <w:pPr>
        <w:pStyle w:val="Title"/>
        <w:ind w:firstLine="0"/>
        <w:jc w:val="both"/>
        <w:rPr>
          <w:rFonts w:asciiTheme="majorHAnsi" w:hAnsiTheme="majorHAnsi" w:cs="Arial"/>
          <w:b w:val="0"/>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sidRPr="00B905BE">
        <w:rPr>
          <w:rFonts w:asciiTheme="majorHAnsi" w:hAnsiTheme="majorHAnsi"/>
          <w:b w:val="0"/>
          <w:sz w:val="16"/>
          <w:szCs w:val="16"/>
          <w:lang w:val="es-ES"/>
        </w:rPr>
        <w:t>CIDH. Informe No.176/10. Casos 12.576, 12.611 y 12.612. Segundo Aniceto Norín Catrimán, Juan Patricio Marileo Saravia, Víctor Ancalaf Llaupe y otros. Fondo. 5 de noviembre de 2010, párr. 116.</w:t>
      </w:r>
    </w:p>
  </w:footnote>
  <w:footnote w:id="73">
    <w:p w14:paraId="01D171A6"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IDH. </w:t>
      </w:r>
      <w:r w:rsidRPr="00B905BE">
        <w:rPr>
          <w:rFonts w:asciiTheme="majorHAnsi" w:hAnsiTheme="majorHAnsi"/>
          <w:i/>
          <w:sz w:val="16"/>
          <w:szCs w:val="16"/>
          <w:lang w:val="es-ES"/>
        </w:rPr>
        <w:t>Caso J. vs. Perú</w:t>
      </w:r>
      <w:r w:rsidRPr="00B905BE">
        <w:rPr>
          <w:rFonts w:asciiTheme="majorHAnsi" w:hAnsiTheme="majorHAnsi"/>
          <w:sz w:val="16"/>
          <w:szCs w:val="16"/>
          <w:lang w:val="es-ES"/>
        </w:rPr>
        <w:t>. Excepción Preliminar, Fondo, Reparaciones y Costas. Sentencia de 27 de noviembre de 2013, párr. 287.</w:t>
      </w:r>
    </w:p>
  </w:footnote>
  <w:footnote w:id="74">
    <w:p w14:paraId="5B01AF51"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IDH. </w:t>
      </w:r>
      <w:r w:rsidRPr="00B905BE">
        <w:rPr>
          <w:rFonts w:asciiTheme="majorHAnsi" w:hAnsiTheme="majorHAnsi"/>
          <w:i/>
          <w:sz w:val="16"/>
          <w:szCs w:val="16"/>
          <w:lang w:val="es-ES"/>
        </w:rPr>
        <w:t>Opinión Consultiva OC-6/86 del 9 de mayo de 1986. La expresión “leyes” en el artículo 30 de la Convención Americana sobre Derechos Humanos</w:t>
      </w:r>
      <w:r w:rsidRPr="00B905BE">
        <w:rPr>
          <w:rFonts w:asciiTheme="majorHAnsi" w:hAnsiTheme="majorHAnsi"/>
          <w:sz w:val="16"/>
          <w:szCs w:val="16"/>
          <w:lang w:val="es-ES"/>
        </w:rPr>
        <w:t>, párr. 32.</w:t>
      </w:r>
    </w:p>
  </w:footnote>
  <w:footnote w:id="75">
    <w:p w14:paraId="6AAF913D"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33" w:history="1">
        <w:r w:rsidRPr="00B905BE">
          <w:rPr>
            <w:rStyle w:val="Hyperlink"/>
            <w:rFonts w:asciiTheme="majorHAnsi" w:hAnsiTheme="majorHAnsi"/>
            <w:i/>
            <w:sz w:val="16"/>
            <w:szCs w:val="16"/>
            <w:lang w:val="es-ES"/>
          </w:rPr>
          <w:t>Criminalización de defensoras y defensores de derechos humanos</w:t>
        </w:r>
      </w:hyperlink>
      <w:r w:rsidRPr="00B905BE">
        <w:rPr>
          <w:rFonts w:asciiTheme="majorHAnsi" w:hAnsiTheme="majorHAnsi"/>
          <w:sz w:val="16"/>
          <w:szCs w:val="16"/>
          <w:lang w:val="es-ES"/>
        </w:rPr>
        <w:t xml:space="preserve">. OEA/Ser.L/V/II.Doc.49/15, 31 de diciembre del 2015, párr. 241. </w:t>
      </w:r>
    </w:p>
  </w:footnote>
  <w:footnote w:id="76">
    <w:p w14:paraId="6C63C7B2"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IDH. </w:t>
      </w:r>
      <w:r w:rsidRPr="00B905BE">
        <w:rPr>
          <w:rFonts w:asciiTheme="majorHAnsi" w:hAnsiTheme="majorHAnsi"/>
          <w:i/>
          <w:sz w:val="16"/>
          <w:szCs w:val="16"/>
          <w:lang w:val="es-ES"/>
        </w:rPr>
        <w:t>Caso Pollo Rivera y otros vs. Perú</w:t>
      </w:r>
      <w:r w:rsidRPr="00B905BE">
        <w:rPr>
          <w:rFonts w:asciiTheme="majorHAnsi" w:hAnsiTheme="majorHAnsi"/>
          <w:sz w:val="16"/>
          <w:szCs w:val="16"/>
          <w:lang w:val="es-ES"/>
        </w:rPr>
        <w:t xml:space="preserve">. Fondo, Reparaciones y Costas. Sentencia de 21 de octubre de 2016. Serie C No. 319, párr. 256. </w:t>
      </w:r>
    </w:p>
  </w:footnote>
  <w:footnote w:id="77">
    <w:p w14:paraId="4AF0DF24"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IDH. </w:t>
      </w:r>
      <w:r w:rsidRPr="00B905BE">
        <w:rPr>
          <w:rFonts w:asciiTheme="majorHAnsi" w:hAnsiTheme="majorHAnsi"/>
          <w:i/>
          <w:sz w:val="16"/>
          <w:szCs w:val="16"/>
          <w:lang w:val="es-ES"/>
        </w:rPr>
        <w:t>Caso Pollo Rivera y otros vs. Perú</w:t>
      </w:r>
      <w:r w:rsidRPr="00B905BE">
        <w:rPr>
          <w:rFonts w:asciiTheme="majorHAnsi" w:hAnsiTheme="majorHAnsi"/>
          <w:sz w:val="16"/>
          <w:szCs w:val="16"/>
          <w:lang w:val="es-ES"/>
        </w:rPr>
        <w:t xml:space="preserve">. Fondo, Reparaciones y Costas. Sentencia de 21 de octubre de 2016. Serie C No. 319, párr. 256; véase también Corte IDH. </w:t>
      </w:r>
      <w:r w:rsidRPr="00B905BE">
        <w:rPr>
          <w:rFonts w:asciiTheme="majorHAnsi" w:hAnsiTheme="majorHAnsi"/>
          <w:i/>
          <w:sz w:val="16"/>
          <w:szCs w:val="16"/>
          <w:lang w:val="es-ES"/>
        </w:rPr>
        <w:t>Caso De la Cruz Flores Vs. Perú</w:t>
      </w:r>
      <w:r w:rsidRPr="00B905BE">
        <w:rPr>
          <w:rFonts w:asciiTheme="majorHAnsi" w:hAnsiTheme="majorHAnsi"/>
          <w:sz w:val="16"/>
          <w:szCs w:val="16"/>
          <w:lang w:val="es-ES"/>
        </w:rPr>
        <w:t>. Fondo, Reparaciones y Costas. Sentencia de 18 de noviembre de 2004, párr. 102.</w:t>
      </w:r>
    </w:p>
  </w:footnote>
  <w:footnote w:id="78">
    <w:p w14:paraId="15AD3C13"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 xml:space="preserve">El artículo </w:t>
      </w:r>
      <w:r w:rsidRPr="00B905BE">
        <w:rPr>
          <w:rFonts w:asciiTheme="majorHAnsi" w:hAnsiTheme="majorHAnsi"/>
          <w:sz w:val="16"/>
          <w:szCs w:val="16"/>
          <w:lang w:val="es-ES"/>
        </w:rPr>
        <w:t xml:space="preserve">26 </w:t>
      </w:r>
      <w:r>
        <w:rPr>
          <w:rFonts w:asciiTheme="majorHAnsi" w:hAnsiTheme="majorHAnsi"/>
          <w:sz w:val="16"/>
          <w:szCs w:val="16"/>
          <w:lang w:val="es-ES"/>
        </w:rPr>
        <w:t>dice: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footnote>
  <w:footnote w:id="79">
    <w:p w14:paraId="31E67022" w14:textId="77777777" w:rsidR="0055226A" w:rsidRPr="00B905BE" w:rsidRDefault="0055226A" w:rsidP="00A73129">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 xml:space="preserve">Véanse, entre otros, CIDH, Informe No. </w:t>
      </w:r>
      <w:r w:rsidRPr="00B905BE">
        <w:rPr>
          <w:rFonts w:asciiTheme="majorHAnsi" w:hAnsiTheme="majorHAnsi"/>
          <w:sz w:val="16"/>
          <w:szCs w:val="16"/>
          <w:lang w:val="es-ES"/>
        </w:rPr>
        <w:t>110/18</w:t>
      </w:r>
      <w:r>
        <w:rPr>
          <w:rFonts w:asciiTheme="majorHAnsi" w:hAnsiTheme="majorHAnsi"/>
          <w:sz w:val="16"/>
          <w:szCs w:val="16"/>
          <w:lang w:val="es-ES"/>
        </w:rPr>
        <w:t>,</w:t>
      </w:r>
      <w:r w:rsidRPr="00B905BE">
        <w:rPr>
          <w:rFonts w:asciiTheme="majorHAnsi" w:hAnsiTheme="majorHAnsi"/>
          <w:sz w:val="16"/>
          <w:szCs w:val="16"/>
          <w:lang w:val="es-ES"/>
        </w:rPr>
        <w:t xml:space="preserve"> Cas</w:t>
      </w:r>
      <w:r>
        <w:rPr>
          <w:rFonts w:asciiTheme="majorHAnsi" w:hAnsiTheme="majorHAnsi"/>
          <w:sz w:val="16"/>
          <w:szCs w:val="16"/>
          <w:lang w:val="es-ES"/>
        </w:rPr>
        <w:t>o</w:t>
      </w:r>
      <w:r w:rsidRPr="00B905BE">
        <w:rPr>
          <w:rFonts w:asciiTheme="majorHAnsi" w:hAnsiTheme="majorHAnsi"/>
          <w:sz w:val="16"/>
          <w:szCs w:val="16"/>
          <w:lang w:val="es-ES"/>
        </w:rPr>
        <w:t xml:space="preserve"> 12.678</w:t>
      </w:r>
      <w:r>
        <w:rPr>
          <w:rFonts w:asciiTheme="majorHAnsi" w:hAnsiTheme="majorHAnsi"/>
          <w:sz w:val="16"/>
          <w:szCs w:val="16"/>
          <w:lang w:val="es-ES"/>
        </w:rPr>
        <w:t>. Fondo</w:t>
      </w:r>
      <w:r w:rsidRPr="00B905BE">
        <w:rPr>
          <w:rFonts w:asciiTheme="majorHAnsi" w:hAnsiTheme="majorHAnsi"/>
          <w:sz w:val="16"/>
          <w:szCs w:val="16"/>
          <w:lang w:val="es-ES"/>
        </w:rPr>
        <w:t xml:space="preserve">. Paola del Rosario Albarracín Guzmán </w:t>
      </w:r>
      <w:r>
        <w:rPr>
          <w:rFonts w:asciiTheme="majorHAnsi" w:hAnsiTheme="majorHAnsi"/>
          <w:sz w:val="16"/>
          <w:szCs w:val="16"/>
          <w:lang w:val="es-ES"/>
        </w:rPr>
        <w:t xml:space="preserve">y familiares, </w:t>
      </w:r>
      <w:r w:rsidRPr="00B905BE">
        <w:rPr>
          <w:rFonts w:asciiTheme="majorHAnsi" w:hAnsiTheme="majorHAnsi"/>
          <w:sz w:val="16"/>
          <w:szCs w:val="16"/>
          <w:lang w:val="es-ES"/>
        </w:rPr>
        <w:t>5</w:t>
      </w:r>
      <w:r>
        <w:rPr>
          <w:rFonts w:asciiTheme="majorHAnsi" w:hAnsiTheme="majorHAnsi"/>
          <w:sz w:val="16"/>
          <w:szCs w:val="16"/>
          <w:lang w:val="es-ES"/>
        </w:rPr>
        <w:t xml:space="preserve"> de octubre de</w:t>
      </w:r>
      <w:r w:rsidRPr="00B905BE">
        <w:rPr>
          <w:rFonts w:asciiTheme="majorHAnsi" w:hAnsiTheme="majorHAnsi"/>
          <w:sz w:val="16"/>
          <w:szCs w:val="16"/>
          <w:lang w:val="es-ES"/>
        </w:rPr>
        <w:t xml:space="preserve"> 2018, p</w:t>
      </w:r>
      <w:r>
        <w:rPr>
          <w:rFonts w:asciiTheme="majorHAnsi" w:hAnsiTheme="majorHAnsi"/>
          <w:sz w:val="16"/>
          <w:szCs w:val="16"/>
          <w:lang w:val="es-ES"/>
        </w:rPr>
        <w:t xml:space="preserve">árr. </w:t>
      </w:r>
      <w:r w:rsidRPr="00B905BE">
        <w:rPr>
          <w:rFonts w:asciiTheme="majorHAnsi" w:hAnsiTheme="majorHAnsi"/>
          <w:sz w:val="16"/>
          <w:szCs w:val="16"/>
          <w:lang w:val="es-ES"/>
        </w:rPr>
        <w:t xml:space="preserve">120; </w:t>
      </w:r>
      <w:r w:rsidRPr="00C7383C">
        <w:rPr>
          <w:rFonts w:asciiTheme="majorHAnsi" w:hAnsiTheme="majorHAnsi"/>
          <w:sz w:val="16"/>
          <w:szCs w:val="16"/>
          <w:lang w:val="es-ES"/>
        </w:rPr>
        <w:t>CIDH, Informe</w:t>
      </w:r>
      <w:r w:rsidRPr="00B905BE">
        <w:rPr>
          <w:rFonts w:asciiTheme="majorHAnsi" w:hAnsiTheme="majorHAnsi"/>
          <w:sz w:val="16"/>
          <w:szCs w:val="16"/>
          <w:lang w:val="es-ES"/>
        </w:rPr>
        <w:t xml:space="preserve"> No. 64/18</w:t>
      </w:r>
      <w:r>
        <w:rPr>
          <w:rFonts w:asciiTheme="majorHAnsi" w:hAnsiTheme="majorHAnsi"/>
          <w:sz w:val="16"/>
          <w:szCs w:val="16"/>
          <w:lang w:val="es-ES"/>
        </w:rPr>
        <w:t>,</w:t>
      </w:r>
      <w:r w:rsidRPr="00B905BE">
        <w:rPr>
          <w:rFonts w:asciiTheme="majorHAnsi" w:hAnsiTheme="majorHAnsi"/>
          <w:sz w:val="16"/>
          <w:szCs w:val="16"/>
          <w:lang w:val="es-ES"/>
        </w:rPr>
        <w:t xml:space="preserve"> Cas</w:t>
      </w:r>
      <w:r>
        <w:rPr>
          <w:rFonts w:asciiTheme="majorHAnsi" w:hAnsiTheme="majorHAnsi"/>
          <w:sz w:val="16"/>
          <w:szCs w:val="16"/>
          <w:lang w:val="es-ES"/>
        </w:rPr>
        <w:t>o</w:t>
      </w:r>
      <w:r w:rsidRPr="00B905BE">
        <w:rPr>
          <w:rFonts w:asciiTheme="majorHAnsi" w:hAnsiTheme="majorHAnsi"/>
          <w:sz w:val="16"/>
          <w:szCs w:val="16"/>
          <w:lang w:val="es-ES"/>
        </w:rPr>
        <w:t xml:space="preserve"> 12.738. </w:t>
      </w:r>
      <w:r>
        <w:rPr>
          <w:rFonts w:asciiTheme="majorHAnsi" w:hAnsiTheme="majorHAnsi"/>
          <w:sz w:val="16"/>
          <w:szCs w:val="16"/>
          <w:lang w:val="es-ES"/>
        </w:rPr>
        <w:t>Fondo</w:t>
      </w:r>
      <w:r w:rsidRPr="00B905BE">
        <w:rPr>
          <w:rFonts w:asciiTheme="majorHAnsi" w:hAnsiTheme="majorHAnsi"/>
          <w:sz w:val="16"/>
          <w:szCs w:val="16"/>
          <w:lang w:val="es-ES"/>
        </w:rPr>
        <w:t xml:space="preserve">. Opario Lemoth Morris </w:t>
      </w:r>
      <w:r>
        <w:rPr>
          <w:rFonts w:asciiTheme="majorHAnsi" w:hAnsiTheme="majorHAnsi"/>
          <w:sz w:val="16"/>
          <w:szCs w:val="16"/>
          <w:lang w:val="es-ES"/>
        </w:rPr>
        <w:t>y otros</w:t>
      </w:r>
      <w:r w:rsidRPr="00B905BE">
        <w:rPr>
          <w:rFonts w:asciiTheme="majorHAnsi" w:hAnsiTheme="majorHAnsi"/>
          <w:sz w:val="16"/>
          <w:szCs w:val="16"/>
          <w:lang w:val="es-ES"/>
        </w:rPr>
        <w:t xml:space="preserve"> (</w:t>
      </w:r>
      <w:r>
        <w:rPr>
          <w:rFonts w:asciiTheme="majorHAnsi" w:hAnsiTheme="majorHAnsi"/>
          <w:sz w:val="16"/>
          <w:szCs w:val="16"/>
          <w:lang w:val="es-ES"/>
        </w:rPr>
        <w:t xml:space="preserve">Buzos </w:t>
      </w:r>
      <w:r w:rsidRPr="00B905BE">
        <w:rPr>
          <w:rFonts w:asciiTheme="majorHAnsi" w:hAnsiTheme="majorHAnsi"/>
          <w:sz w:val="16"/>
          <w:szCs w:val="16"/>
          <w:lang w:val="es-ES"/>
        </w:rPr>
        <w:t>Miskitos). Honduras. 8</w:t>
      </w:r>
      <w:r>
        <w:rPr>
          <w:rFonts w:asciiTheme="majorHAnsi" w:hAnsiTheme="majorHAnsi"/>
          <w:sz w:val="16"/>
          <w:szCs w:val="16"/>
          <w:lang w:val="es-ES"/>
        </w:rPr>
        <w:t xml:space="preserve"> de mayo de</w:t>
      </w:r>
      <w:r w:rsidRPr="00B905BE">
        <w:rPr>
          <w:rFonts w:asciiTheme="majorHAnsi" w:hAnsiTheme="majorHAnsi"/>
          <w:sz w:val="16"/>
          <w:szCs w:val="16"/>
          <w:lang w:val="es-ES"/>
        </w:rPr>
        <w:t xml:space="preserve"> 2019</w:t>
      </w:r>
      <w:r>
        <w:rPr>
          <w:rFonts w:asciiTheme="majorHAnsi" w:hAnsiTheme="majorHAnsi"/>
          <w:sz w:val="16"/>
          <w:szCs w:val="16"/>
          <w:lang w:val="es-ES"/>
        </w:rPr>
        <w:t xml:space="preserve">; Corte IDH, </w:t>
      </w:r>
      <w:r w:rsidRPr="00FD3DE2">
        <w:rPr>
          <w:rFonts w:asciiTheme="majorHAnsi" w:hAnsiTheme="majorHAnsi"/>
          <w:i/>
          <w:sz w:val="16"/>
          <w:szCs w:val="16"/>
          <w:lang w:val="es-ES"/>
        </w:rPr>
        <w:t>Caso Poblete Vilches y otros vs. Chile</w:t>
      </w:r>
      <w:r w:rsidRPr="00B905BE">
        <w:rPr>
          <w:rFonts w:asciiTheme="majorHAnsi" w:hAnsiTheme="majorHAnsi"/>
          <w:sz w:val="16"/>
          <w:szCs w:val="16"/>
          <w:lang w:val="es-ES"/>
        </w:rPr>
        <w:t xml:space="preserve">. </w:t>
      </w:r>
      <w:r>
        <w:rPr>
          <w:rFonts w:asciiTheme="majorHAnsi" w:hAnsiTheme="majorHAnsi"/>
          <w:sz w:val="16"/>
          <w:szCs w:val="16"/>
          <w:lang w:val="es-ES"/>
        </w:rPr>
        <w:t xml:space="preserve">Fondo, Reparaciones y Costas. Sentencia de </w:t>
      </w:r>
      <w:r w:rsidRPr="00B905BE">
        <w:rPr>
          <w:rFonts w:asciiTheme="majorHAnsi" w:hAnsiTheme="majorHAnsi"/>
          <w:sz w:val="16"/>
          <w:szCs w:val="16"/>
          <w:lang w:val="es-ES"/>
        </w:rPr>
        <w:t>8</w:t>
      </w:r>
      <w:r>
        <w:rPr>
          <w:rFonts w:asciiTheme="majorHAnsi" w:hAnsiTheme="majorHAnsi"/>
          <w:sz w:val="16"/>
          <w:szCs w:val="16"/>
          <w:lang w:val="es-ES"/>
        </w:rPr>
        <w:t xml:space="preserve"> de marzo de</w:t>
      </w:r>
      <w:r w:rsidRPr="00B905BE">
        <w:rPr>
          <w:rFonts w:asciiTheme="majorHAnsi" w:hAnsiTheme="majorHAnsi"/>
          <w:sz w:val="16"/>
          <w:szCs w:val="16"/>
          <w:lang w:val="es-ES"/>
        </w:rPr>
        <w:t xml:space="preserve"> 2018. Serie C No. 349</w:t>
      </w:r>
      <w:r>
        <w:rPr>
          <w:rFonts w:asciiTheme="majorHAnsi" w:hAnsiTheme="majorHAnsi"/>
          <w:sz w:val="16"/>
          <w:szCs w:val="16"/>
          <w:lang w:val="es-ES"/>
        </w:rPr>
        <w:t>, párr</w:t>
      </w:r>
      <w:r w:rsidRPr="00B905BE">
        <w:rPr>
          <w:rFonts w:asciiTheme="majorHAnsi" w:hAnsiTheme="majorHAnsi"/>
          <w:sz w:val="16"/>
          <w:szCs w:val="16"/>
          <w:lang w:val="es-ES"/>
        </w:rPr>
        <w:t xml:space="preserve">. 110; </w:t>
      </w:r>
      <w:r w:rsidRPr="00C7383C">
        <w:rPr>
          <w:rFonts w:asciiTheme="majorHAnsi" w:hAnsiTheme="majorHAnsi"/>
          <w:sz w:val="16"/>
          <w:szCs w:val="16"/>
          <w:lang w:val="es-ES"/>
        </w:rPr>
        <w:t xml:space="preserve">Corte IDH, </w:t>
      </w:r>
      <w:r w:rsidRPr="00FD3DE2">
        <w:rPr>
          <w:rFonts w:asciiTheme="majorHAnsi" w:hAnsiTheme="majorHAnsi"/>
          <w:i/>
          <w:sz w:val="16"/>
          <w:szCs w:val="16"/>
          <w:lang w:val="es-ES"/>
        </w:rPr>
        <w:t>Caso Cuscul Pivaral y otros vs. Guatemala</w:t>
      </w:r>
      <w:r w:rsidRPr="00B905BE">
        <w:rPr>
          <w:rFonts w:asciiTheme="majorHAnsi" w:hAnsiTheme="majorHAnsi"/>
          <w:sz w:val="16"/>
          <w:szCs w:val="16"/>
          <w:lang w:val="es-ES"/>
        </w:rPr>
        <w:t xml:space="preserve">. </w:t>
      </w:r>
      <w:r>
        <w:rPr>
          <w:rFonts w:asciiTheme="majorHAnsi" w:hAnsiTheme="majorHAnsi"/>
          <w:sz w:val="16"/>
          <w:szCs w:val="16"/>
          <w:lang w:val="es-ES"/>
        </w:rPr>
        <w:t xml:space="preserve">Excepciones </w:t>
      </w:r>
      <w:r w:rsidRPr="00B905BE">
        <w:rPr>
          <w:rFonts w:asciiTheme="majorHAnsi" w:hAnsiTheme="majorHAnsi"/>
          <w:sz w:val="16"/>
          <w:szCs w:val="16"/>
          <w:lang w:val="es-ES"/>
        </w:rPr>
        <w:t>Preliminar</w:t>
      </w:r>
      <w:r>
        <w:rPr>
          <w:rFonts w:asciiTheme="majorHAnsi" w:hAnsiTheme="majorHAnsi"/>
          <w:sz w:val="16"/>
          <w:szCs w:val="16"/>
          <w:lang w:val="es-ES"/>
        </w:rPr>
        <w:t>es, Fondo, Reparaciones y Costas. Sentencia de</w:t>
      </w:r>
      <w:r w:rsidRPr="00B905BE">
        <w:rPr>
          <w:rFonts w:asciiTheme="majorHAnsi" w:hAnsiTheme="majorHAnsi"/>
          <w:sz w:val="16"/>
          <w:szCs w:val="16"/>
          <w:lang w:val="es-ES"/>
        </w:rPr>
        <w:t xml:space="preserve"> 23</w:t>
      </w:r>
      <w:r>
        <w:rPr>
          <w:rFonts w:asciiTheme="majorHAnsi" w:hAnsiTheme="majorHAnsi"/>
          <w:sz w:val="16"/>
          <w:szCs w:val="16"/>
          <w:lang w:val="es-ES"/>
        </w:rPr>
        <w:t xml:space="preserve"> de agosto de</w:t>
      </w:r>
      <w:r w:rsidRPr="00B905BE">
        <w:rPr>
          <w:rFonts w:asciiTheme="majorHAnsi" w:hAnsiTheme="majorHAnsi"/>
          <w:sz w:val="16"/>
          <w:szCs w:val="16"/>
          <w:lang w:val="es-ES"/>
        </w:rPr>
        <w:t xml:space="preserve"> 2018. Serie C No. 359</w:t>
      </w:r>
      <w:r>
        <w:rPr>
          <w:rFonts w:asciiTheme="majorHAnsi" w:hAnsiTheme="majorHAnsi"/>
          <w:sz w:val="16"/>
          <w:szCs w:val="16"/>
          <w:lang w:val="es-ES"/>
        </w:rPr>
        <w:t>, párr</w:t>
      </w:r>
      <w:r w:rsidRPr="00B905BE">
        <w:rPr>
          <w:rFonts w:asciiTheme="majorHAnsi" w:hAnsiTheme="majorHAnsi"/>
          <w:sz w:val="16"/>
          <w:szCs w:val="16"/>
          <w:lang w:val="es-ES"/>
        </w:rPr>
        <w:t>. 99.</w:t>
      </w:r>
    </w:p>
  </w:footnote>
  <w:footnote w:id="80">
    <w:p w14:paraId="706889E9" w14:textId="77777777" w:rsidR="0055226A" w:rsidRPr="00B905BE" w:rsidRDefault="0055226A" w:rsidP="00A73129">
      <w:pPr>
        <w:jc w:val="both"/>
        <w:rPr>
          <w:rFonts w:asciiTheme="majorHAnsi" w:eastAsia="Times New Roman"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Comité de Derechos Económicos, Sociales y Culturales</w:t>
      </w:r>
      <w:r>
        <w:rPr>
          <w:rFonts w:asciiTheme="majorHAnsi" w:hAnsiTheme="majorHAnsi"/>
          <w:color w:val="000000"/>
          <w:sz w:val="16"/>
          <w:szCs w:val="16"/>
          <w:lang w:val="es-ES"/>
        </w:rPr>
        <w:t xml:space="preserve">. </w:t>
      </w:r>
      <w:hyperlink r:id="rId34" w:anchor="GEN3" w:history="1">
        <w:r w:rsidRPr="009E2E84">
          <w:rPr>
            <w:rStyle w:val="Hyperlink"/>
            <w:rFonts w:asciiTheme="majorHAnsi" w:hAnsiTheme="majorHAnsi"/>
            <w:i/>
            <w:sz w:val="16"/>
            <w:szCs w:val="16"/>
            <w:lang w:val="es-ES"/>
          </w:rPr>
          <w:t>Observación general No. 3. La índole de las obligaciones de los Estados Partes (párrafo 1 del artículo 2 del Pacto)</w:t>
        </w:r>
      </w:hyperlink>
      <w:r w:rsidRPr="00B905BE">
        <w:rPr>
          <w:rFonts w:asciiTheme="majorHAnsi" w:hAnsiTheme="majorHAnsi"/>
          <w:color w:val="000000"/>
          <w:sz w:val="16"/>
          <w:szCs w:val="16"/>
          <w:lang w:val="es-ES"/>
        </w:rPr>
        <w:t xml:space="preserve">, 1990. </w:t>
      </w:r>
      <w:r>
        <w:rPr>
          <w:rFonts w:asciiTheme="majorHAnsi" w:hAnsiTheme="majorHAnsi"/>
          <w:color w:val="000000"/>
          <w:sz w:val="16"/>
          <w:szCs w:val="16"/>
          <w:lang w:val="es-ES"/>
        </w:rPr>
        <w:t xml:space="preserve">En ese sentido, véase CIDH, </w:t>
      </w:r>
      <w:hyperlink r:id="rId35" w:history="1">
        <w:r w:rsidRPr="003709D0">
          <w:rPr>
            <w:rStyle w:val="Hyperlink"/>
            <w:rFonts w:asciiTheme="majorHAnsi" w:hAnsiTheme="majorHAnsi"/>
            <w:i/>
            <w:sz w:val="16"/>
            <w:szCs w:val="16"/>
            <w:lang w:val="es-ES"/>
          </w:rPr>
          <w:t>Informe sobre pobreza y derechos humanos en las Américas</w:t>
        </w:r>
      </w:hyperlink>
      <w:r w:rsidRPr="00B905BE">
        <w:rPr>
          <w:rFonts w:asciiTheme="majorHAnsi" w:hAnsiTheme="majorHAnsi"/>
          <w:sz w:val="16"/>
          <w:szCs w:val="16"/>
          <w:lang w:val="es-ES"/>
        </w:rPr>
        <w:t>, OEA/Ser.L/V/II.164 Doc. 147 (7</w:t>
      </w:r>
      <w:r>
        <w:rPr>
          <w:rFonts w:asciiTheme="majorHAnsi" w:hAnsiTheme="majorHAnsi"/>
          <w:sz w:val="16"/>
          <w:szCs w:val="16"/>
          <w:lang w:val="es-ES"/>
        </w:rPr>
        <w:t xml:space="preserve"> de septiembre de</w:t>
      </w:r>
      <w:r w:rsidRPr="00B905BE">
        <w:rPr>
          <w:rFonts w:asciiTheme="majorHAnsi" w:hAnsiTheme="majorHAnsi"/>
          <w:sz w:val="16"/>
          <w:szCs w:val="16"/>
          <w:lang w:val="es-ES"/>
        </w:rPr>
        <w:t xml:space="preserve"> 2017) p</w:t>
      </w:r>
      <w:r>
        <w:rPr>
          <w:rFonts w:asciiTheme="majorHAnsi" w:hAnsiTheme="majorHAnsi"/>
          <w:sz w:val="16"/>
          <w:szCs w:val="16"/>
          <w:lang w:val="es-ES"/>
        </w:rPr>
        <w:t>árrs</w:t>
      </w:r>
      <w:r w:rsidRPr="00B905BE">
        <w:rPr>
          <w:rFonts w:asciiTheme="majorHAnsi" w:hAnsiTheme="majorHAnsi"/>
          <w:sz w:val="16"/>
          <w:szCs w:val="16"/>
          <w:lang w:val="es-ES"/>
        </w:rPr>
        <w:t xml:space="preserve">. 236 </w:t>
      </w:r>
      <w:r>
        <w:rPr>
          <w:rFonts w:asciiTheme="majorHAnsi" w:hAnsiTheme="majorHAnsi"/>
          <w:sz w:val="16"/>
          <w:szCs w:val="16"/>
          <w:lang w:val="es-ES"/>
        </w:rPr>
        <w:t>y</w:t>
      </w:r>
      <w:r w:rsidRPr="00B905BE">
        <w:rPr>
          <w:rFonts w:asciiTheme="majorHAnsi" w:hAnsiTheme="majorHAnsi"/>
          <w:sz w:val="16"/>
          <w:szCs w:val="16"/>
          <w:lang w:val="es-ES"/>
        </w:rPr>
        <w:t xml:space="preserve"> 237.</w:t>
      </w:r>
    </w:p>
  </w:footnote>
  <w:footnote w:id="81">
    <w:p w14:paraId="757FAD5F"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 xml:space="preserve">Corte IDH, </w:t>
      </w:r>
      <w:hyperlink r:id="rId36" w:history="1">
        <w:r w:rsidRPr="00A93DBF">
          <w:rPr>
            <w:rStyle w:val="Hyperlink"/>
            <w:rFonts w:asciiTheme="majorHAnsi" w:hAnsiTheme="majorHAnsi"/>
            <w:i/>
            <w:sz w:val="16"/>
            <w:szCs w:val="16"/>
            <w:lang w:val="es-ES"/>
          </w:rPr>
          <w:t>Caso Poblete Vilches y otros vs. Chile</w:t>
        </w:r>
        <w:r w:rsidRPr="00A93DBF">
          <w:rPr>
            <w:rStyle w:val="Hyperlink"/>
            <w:rFonts w:asciiTheme="majorHAnsi" w:hAnsiTheme="majorHAnsi"/>
            <w:sz w:val="16"/>
            <w:szCs w:val="16"/>
            <w:u w:val="none"/>
            <w:lang w:val="es-ES"/>
          </w:rPr>
          <w:t>. Fondo, Reparaciones y Costas. Sentencia de 8 de marzo de 2018</w:t>
        </w:r>
      </w:hyperlink>
      <w:r w:rsidRPr="00B905BE">
        <w:rPr>
          <w:rFonts w:asciiTheme="majorHAnsi" w:hAnsiTheme="majorHAnsi"/>
          <w:sz w:val="16"/>
          <w:szCs w:val="16"/>
          <w:lang w:val="es-ES"/>
        </w:rPr>
        <w:t>. Serie C No. 349</w:t>
      </w:r>
      <w:r>
        <w:rPr>
          <w:rFonts w:asciiTheme="majorHAnsi" w:hAnsiTheme="majorHAnsi"/>
          <w:sz w:val="16"/>
          <w:szCs w:val="16"/>
          <w:lang w:val="es-ES"/>
        </w:rPr>
        <w:t>, párr</w:t>
      </w:r>
      <w:r w:rsidRPr="00B905BE">
        <w:rPr>
          <w:rFonts w:asciiTheme="majorHAnsi" w:hAnsiTheme="majorHAnsi"/>
          <w:sz w:val="16"/>
          <w:szCs w:val="16"/>
          <w:lang w:val="es-ES"/>
        </w:rPr>
        <w:t>. 1</w:t>
      </w:r>
      <w:r>
        <w:rPr>
          <w:rFonts w:asciiTheme="majorHAnsi" w:hAnsiTheme="majorHAnsi"/>
          <w:sz w:val="16"/>
          <w:szCs w:val="16"/>
          <w:lang w:val="es-ES"/>
        </w:rPr>
        <w:t>18</w:t>
      </w:r>
      <w:r w:rsidRPr="00B905BE">
        <w:rPr>
          <w:rFonts w:asciiTheme="majorHAnsi" w:hAnsiTheme="majorHAnsi"/>
          <w:sz w:val="16"/>
          <w:szCs w:val="16"/>
          <w:lang w:val="es-ES"/>
        </w:rPr>
        <w:t>.</w:t>
      </w:r>
    </w:p>
  </w:footnote>
  <w:footnote w:id="82">
    <w:p w14:paraId="3E2B0DEC" w14:textId="77777777" w:rsidR="0055226A" w:rsidRPr="00B905BE" w:rsidRDefault="0055226A" w:rsidP="0028653A">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 xml:space="preserve">Corte IDH, </w:t>
      </w:r>
      <w:hyperlink r:id="rId37" w:history="1">
        <w:r w:rsidRPr="00A93DBF">
          <w:rPr>
            <w:rStyle w:val="Hyperlink"/>
            <w:rFonts w:asciiTheme="majorHAnsi" w:hAnsiTheme="majorHAnsi"/>
            <w:i/>
            <w:sz w:val="16"/>
            <w:szCs w:val="16"/>
            <w:lang w:val="es-ES"/>
          </w:rPr>
          <w:t>Caso Poblete Vilches y otros vs. Chile</w:t>
        </w:r>
        <w:r w:rsidRPr="00A93DBF">
          <w:rPr>
            <w:rStyle w:val="Hyperlink"/>
            <w:rFonts w:asciiTheme="majorHAnsi" w:hAnsiTheme="majorHAnsi"/>
            <w:sz w:val="16"/>
            <w:szCs w:val="16"/>
            <w:u w:val="none"/>
            <w:lang w:val="es-ES"/>
          </w:rPr>
          <w:t>. Fondo, Reparaciones y Costas. Sentencia de 8 de marzo de 2018</w:t>
        </w:r>
      </w:hyperlink>
      <w:r w:rsidRPr="00B905BE">
        <w:rPr>
          <w:rFonts w:asciiTheme="majorHAnsi" w:hAnsiTheme="majorHAnsi"/>
          <w:sz w:val="16"/>
          <w:szCs w:val="16"/>
          <w:lang w:val="es-ES"/>
        </w:rPr>
        <w:t>. Serie C No. 349</w:t>
      </w:r>
      <w:r>
        <w:rPr>
          <w:rFonts w:asciiTheme="majorHAnsi" w:hAnsiTheme="majorHAnsi"/>
          <w:sz w:val="16"/>
          <w:szCs w:val="16"/>
          <w:lang w:val="es-ES"/>
        </w:rPr>
        <w:t>, párr</w:t>
      </w:r>
      <w:r w:rsidRPr="00B905BE">
        <w:rPr>
          <w:rFonts w:asciiTheme="majorHAnsi" w:hAnsiTheme="majorHAnsi"/>
          <w:sz w:val="16"/>
          <w:szCs w:val="16"/>
          <w:lang w:val="es-ES"/>
        </w:rPr>
        <w:t>. 1</w:t>
      </w:r>
      <w:r>
        <w:rPr>
          <w:rFonts w:asciiTheme="majorHAnsi" w:hAnsiTheme="majorHAnsi"/>
          <w:sz w:val="16"/>
          <w:szCs w:val="16"/>
          <w:lang w:val="es-ES"/>
        </w:rPr>
        <w:t>18</w:t>
      </w:r>
      <w:r w:rsidRPr="00B905BE">
        <w:rPr>
          <w:rFonts w:asciiTheme="majorHAnsi" w:hAnsiTheme="majorHAnsi"/>
          <w:sz w:val="16"/>
          <w:szCs w:val="16"/>
          <w:lang w:val="es-ES"/>
        </w:rPr>
        <w:t>.</w:t>
      </w:r>
    </w:p>
  </w:footnote>
  <w:footnote w:id="83">
    <w:p w14:paraId="14C1ECAE" w14:textId="77777777" w:rsidR="0055226A" w:rsidRPr="00B905BE" w:rsidRDefault="0055226A" w:rsidP="009D72D8">
      <w:pPr>
        <w:jc w:val="both"/>
        <w:rPr>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 xml:space="preserve">En ese sentido, véase </w:t>
      </w:r>
      <w:r w:rsidRPr="003709D0">
        <w:rPr>
          <w:rFonts w:asciiTheme="majorHAnsi" w:hAnsiTheme="majorHAnsi"/>
          <w:sz w:val="16"/>
          <w:szCs w:val="16"/>
          <w:lang w:val="es-ES"/>
        </w:rPr>
        <w:t>Comité de Derechos Económicos, Sociales y Culturales</w:t>
      </w:r>
      <w:r w:rsidRPr="00B905BE">
        <w:rPr>
          <w:rFonts w:asciiTheme="majorHAnsi" w:hAnsiTheme="majorHAnsi"/>
          <w:sz w:val="16"/>
          <w:szCs w:val="16"/>
          <w:lang w:val="es-ES"/>
        </w:rPr>
        <w:t>.</w:t>
      </w:r>
      <w:r w:rsidRPr="00B905BE">
        <w:rPr>
          <w:rFonts w:asciiTheme="majorHAnsi" w:hAnsiTheme="majorHAnsi"/>
          <w:i/>
          <w:iCs/>
          <w:sz w:val="16"/>
          <w:szCs w:val="16"/>
          <w:lang w:val="es-ES" w:eastAsia="es-CO"/>
        </w:rPr>
        <w:t xml:space="preserve"> </w:t>
      </w:r>
      <w:hyperlink r:id="rId38" w:history="1">
        <w:r w:rsidRPr="00C142C5">
          <w:rPr>
            <w:rStyle w:val="Hyperlink"/>
            <w:rFonts w:asciiTheme="majorHAnsi" w:hAnsiTheme="majorHAnsi"/>
            <w:i/>
            <w:iCs/>
            <w:sz w:val="16"/>
            <w:szCs w:val="16"/>
            <w:lang w:val="es-ES" w:eastAsia="es-CO"/>
          </w:rPr>
          <w:t>Observación general No. 14. El derecho al disfrute del más alto nivel posible de salud</w:t>
        </w:r>
      </w:hyperlink>
      <w:r w:rsidRPr="00B905BE">
        <w:rPr>
          <w:rFonts w:asciiTheme="majorHAnsi" w:hAnsiTheme="majorHAnsi"/>
          <w:i/>
          <w:iCs/>
          <w:sz w:val="16"/>
          <w:szCs w:val="16"/>
          <w:lang w:val="es-ES" w:eastAsia="es-CO"/>
        </w:rPr>
        <w:t xml:space="preserve">. </w:t>
      </w:r>
      <w:r w:rsidRPr="00B905BE">
        <w:rPr>
          <w:rFonts w:asciiTheme="majorHAnsi" w:hAnsiTheme="majorHAnsi"/>
          <w:sz w:val="16"/>
          <w:szCs w:val="16"/>
          <w:lang w:val="es-ES"/>
        </w:rPr>
        <w:t xml:space="preserve">E/C.12/2000/4, 11 </w:t>
      </w:r>
      <w:r>
        <w:rPr>
          <w:rFonts w:asciiTheme="majorHAnsi" w:hAnsiTheme="majorHAnsi"/>
          <w:sz w:val="16"/>
          <w:szCs w:val="16"/>
          <w:lang w:val="es-ES"/>
        </w:rPr>
        <w:t xml:space="preserve">de agosto de </w:t>
      </w:r>
      <w:r w:rsidRPr="00B905BE">
        <w:rPr>
          <w:rFonts w:asciiTheme="majorHAnsi" w:hAnsiTheme="majorHAnsi"/>
          <w:sz w:val="16"/>
          <w:szCs w:val="16"/>
          <w:lang w:val="es-ES"/>
        </w:rPr>
        <w:t>2000, p</w:t>
      </w:r>
      <w:r>
        <w:rPr>
          <w:rFonts w:asciiTheme="majorHAnsi" w:hAnsiTheme="majorHAnsi"/>
          <w:sz w:val="16"/>
          <w:szCs w:val="16"/>
          <w:lang w:val="es-ES"/>
        </w:rPr>
        <w:t>árrs</w:t>
      </w:r>
      <w:r w:rsidRPr="00B905BE">
        <w:rPr>
          <w:rFonts w:asciiTheme="majorHAnsi" w:hAnsiTheme="majorHAnsi"/>
          <w:sz w:val="16"/>
          <w:szCs w:val="16"/>
          <w:lang w:val="es-ES"/>
        </w:rPr>
        <w:t xml:space="preserve">. 4, 11, 16 </w:t>
      </w:r>
      <w:r>
        <w:rPr>
          <w:rFonts w:asciiTheme="majorHAnsi" w:hAnsiTheme="majorHAnsi"/>
          <w:sz w:val="16"/>
          <w:szCs w:val="16"/>
          <w:lang w:val="es-ES"/>
        </w:rPr>
        <w:t>y</w:t>
      </w:r>
      <w:r w:rsidRPr="00B905BE">
        <w:rPr>
          <w:rFonts w:asciiTheme="majorHAnsi" w:hAnsiTheme="majorHAnsi"/>
          <w:sz w:val="16"/>
          <w:szCs w:val="16"/>
          <w:lang w:val="es-ES"/>
        </w:rPr>
        <w:t xml:space="preserve"> 18; </w:t>
      </w:r>
      <w:r>
        <w:rPr>
          <w:rFonts w:asciiTheme="majorHAnsi" w:hAnsiTheme="majorHAnsi"/>
          <w:sz w:val="16"/>
          <w:szCs w:val="16"/>
          <w:lang w:val="es-ES"/>
        </w:rPr>
        <w:t>OMS</w:t>
      </w:r>
      <w:r w:rsidRPr="00B905BE">
        <w:rPr>
          <w:rFonts w:asciiTheme="majorHAnsi" w:hAnsiTheme="majorHAnsi"/>
          <w:sz w:val="16"/>
          <w:szCs w:val="16"/>
          <w:lang w:val="es-ES"/>
        </w:rPr>
        <w:t xml:space="preserve">, </w:t>
      </w:r>
      <w:hyperlink r:id="rId39" w:history="1">
        <w:r w:rsidRPr="00AA3F97">
          <w:rPr>
            <w:rStyle w:val="Hyperlink"/>
            <w:rFonts w:asciiTheme="majorHAnsi" w:hAnsiTheme="majorHAnsi"/>
            <w:i/>
            <w:sz w:val="16"/>
            <w:szCs w:val="16"/>
            <w:lang w:val="es-ES"/>
          </w:rPr>
          <w:t>Subsanar las desigualdades en una generación: Alcanzar la equidad sanitaria actuando sobre los determinantes sociales de la salud</w:t>
        </w:r>
      </w:hyperlink>
      <w:r w:rsidRPr="00AA3F97">
        <w:rPr>
          <w:rFonts w:asciiTheme="majorHAnsi" w:hAnsiTheme="majorHAnsi"/>
          <w:sz w:val="16"/>
          <w:szCs w:val="16"/>
          <w:lang w:val="es-ES"/>
        </w:rPr>
        <w:t>. Informe Final de la Comisión sobre Determinantes Sociales de la Salud</w:t>
      </w:r>
      <w:r w:rsidRPr="00B905BE">
        <w:rPr>
          <w:rFonts w:asciiTheme="majorHAnsi" w:hAnsiTheme="majorHAnsi"/>
          <w:sz w:val="16"/>
          <w:szCs w:val="16"/>
          <w:lang w:val="es-ES"/>
        </w:rPr>
        <w:t xml:space="preserve"> (G</w:t>
      </w:r>
      <w:r>
        <w:rPr>
          <w:rFonts w:asciiTheme="majorHAnsi" w:hAnsiTheme="majorHAnsi"/>
          <w:sz w:val="16"/>
          <w:szCs w:val="16"/>
          <w:lang w:val="es-ES"/>
        </w:rPr>
        <w:t>inebra</w:t>
      </w:r>
      <w:r w:rsidRPr="00B905BE">
        <w:rPr>
          <w:rFonts w:asciiTheme="majorHAnsi" w:hAnsiTheme="majorHAnsi"/>
          <w:sz w:val="16"/>
          <w:szCs w:val="16"/>
          <w:lang w:val="es-ES"/>
        </w:rPr>
        <w:t xml:space="preserve">, 2008); </w:t>
      </w:r>
      <w:r>
        <w:rPr>
          <w:rFonts w:asciiTheme="majorHAnsi" w:hAnsiTheme="majorHAnsi"/>
          <w:sz w:val="16"/>
          <w:szCs w:val="16"/>
          <w:lang w:val="es-ES"/>
        </w:rPr>
        <w:t xml:space="preserve">Consejo de Derechos Humanos. </w:t>
      </w:r>
      <w:hyperlink r:id="rId40" w:history="1">
        <w:r w:rsidRPr="00F66B8C">
          <w:rPr>
            <w:rStyle w:val="Hyperlink"/>
            <w:rFonts w:asciiTheme="majorHAnsi" w:hAnsiTheme="majorHAnsi"/>
            <w:i/>
            <w:sz w:val="16"/>
            <w:szCs w:val="16"/>
            <w:lang w:val="es-ES"/>
          </w:rPr>
          <w:t>Informe del Relator Especial sobre el derecho de toda persona al disfrute del más alto nivel posible de salud física y mental</w:t>
        </w:r>
      </w:hyperlink>
      <w:r w:rsidRPr="00B905BE">
        <w:rPr>
          <w:rFonts w:asciiTheme="majorHAnsi" w:hAnsiTheme="majorHAnsi"/>
          <w:sz w:val="16"/>
          <w:szCs w:val="16"/>
          <w:lang w:val="es-ES"/>
        </w:rPr>
        <w:t xml:space="preserve">. A/HRC/41/34, 12 </w:t>
      </w:r>
      <w:r>
        <w:rPr>
          <w:rFonts w:asciiTheme="majorHAnsi" w:hAnsiTheme="majorHAnsi"/>
          <w:sz w:val="16"/>
          <w:szCs w:val="16"/>
          <w:lang w:val="es-ES"/>
        </w:rPr>
        <w:t xml:space="preserve">de abril de </w:t>
      </w:r>
      <w:r w:rsidRPr="00B905BE">
        <w:rPr>
          <w:rFonts w:asciiTheme="majorHAnsi" w:hAnsiTheme="majorHAnsi"/>
          <w:sz w:val="16"/>
          <w:szCs w:val="16"/>
          <w:lang w:val="es-ES"/>
        </w:rPr>
        <w:t xml:space="preserve">2019. </w:t>
      </w:r>
    </w:p>
  </w:footnote>
  <w:footnote w:id="84">
    <w:p w14:paraId="6EA18FCC" w14:textId="77777777" w:rsidR="0055226A" w:rsidRPr="00D61759" w:rsidRDefault="0055226A" w:rsidP="00DC4D27">
      <w:pPr>
        <w:pStyle w:val="FootnoteText"/>
        <w:jc w:val="both"/>
        <w:rPr>
          <w:rFonts w:asciiTheme="majorHAnsi" w:hAnsiTheme="majorHAnsi"/>
          <w:sz w:val="16"/>
          <w:szCs w:val="16"/>
          <w:lang w:val="pt-BR"/>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sidRPr="003709D0">
        <w:rPr>
          <w:rFonts w:asciiTheme="majorHAnsi" w:hAnsiTheme="majorHAnsi"/>
          <w:sz w:val="16"/>
          <w:szCs w:val="16"/>
          <w:lang w:val="es-ES"/>
        </w:rPr>
        <w:t>Comité de Derechos Económicos, Sociales y Culturales</w:t>
      </w:r>
      <w:r w:rsidRPr="00B905BE">
        <w:rPr>
          <w:rFonts w:asciiTheme="majorHAnsi" w:hAnsiTheme="majorHAnsi"/>
          <w:sz w:val="16"/>
          <w:szCs w:val="16"/>
          <w:lang w:val="es-ES"/>
        </w:rPr>
        <w:t>.</w:t>
      </w:r>
      <w:r w:rsidRPr="00B905BE">
        <w:rPr>
          <w:rFonts w:asciiTheme="majorHAnsi" w:hAnsiTheme="majorHAnsi"/>
          <w:i/>
          <w:iCs/>
          <w:sz w:val="16"/>
          <w:szCs w:val="16"/>
          <w:lang w:val="es-ES" w:eastAsia="es-CO"/>
        </w:rPr>
        <w:t xml:space="preserve"> </w:t>
      </w:r>
      <w:hyperlink r:id="rId41" w:history="1">
        <w:r w:rsidRPr="00C142C5">
          <w:rPr>
            <w:rStyle w:val="Hyperlink"/>
            <w:rFonts w:asciiTheme="majorHAnsi" w:hAnsiTheme="majorHAnsi"/>
            <w:i/>
            <w:iCs/>
            <w:sz w:val="16"/>
            <w:szCs w:val="16"/>
            <w:lang w:val="es-ES" w:eastAsia="es-CO"/>
          </w:rPr>
          <w:t>Observación general No. 14. El derecho al disfrute del más alto nivel posible de salud</w:t>
        </w:r>
      </w:hyperlink>
      <w:r w:rsidRPr="00B905BE">
        <w:rPr>
          <w:rFonts w:asciiTheme="majorHAnsi" w:hAnsiTheme="majorHAnsi"/>
          <w:i/>
          <w:iCs/>
          <w:sz w:val="16"/>
          <w:szCs w:val="16"/>
          <w:lang w:val="es-ES" w:eastAsia="es-CO"/>
        </w:rPr>
        <w:t xml:space="preserve">. </w:t>
      </w:r>
      <w:r w:rsidRPr="00D61759">
        <w:rPr>
          <w:rFonts w:asciiTheme="majorHAnsi" w:hAnsiTheme="majorHAnsi"/>
          <w:sz w:val="16"/>
          <w:szCs w:val="16"/>
          <w:lang w:val="pt-BR"/>
        </w:rPr>
        <w:t>E/C.12/2000/4, 11 de agosto de 2000, párr. 12.</w:t>
      </w:r>
    </w:p>
  </w:footnote>
  <w:footnote w:id="85">
    <w:p w14:paraId="471674FA"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lang w:val="pt-BR"/>
        </w:rPr>
        <w:t xml:space="preserve"> CIDH. Informe 2/16. Caso 12.484. Fondo. </w:t>
      </w:r>
      <w:r w:rsidRPr="00B905BE">
        <w:rPr>
          <w:rFonts w:asciiTheme="majorHAnsi" w:hAnsiTheme="majorHAnsi"/>
          <w:sz w:val="16"/>
          <w:szCs w:val="16"/>
          <w:lang w:val="es-ES"/>
        </w:rPr>
        <w:t>Cuscul Pivaral</w:t>
      </w:r>
      <w:r>
        <w:rPr>
          <w:rFonts w:asciiTheme="majorHAnsi" w:hAnsiTheme="majorHAnsi"/>
          <w:sz w:val="16"/>
          <w:szCs w:val="16"/>
          <w:lang w:val="es-ES"/>
        </w:rPr>
        <w:t xml:space="preserve"> y otros.</w:t>
      </w:r>
      <w:r w:rsidRPr="00B905BE">
        <w:rPr>
          <w:rFonts w:asciiTheme="majorHAnsi" w:hAnsiTheme="majorHAnsi"/>
          <w:sz w:val="16"/>
          <w:szCs w:val="16"/>
          <w:lang w:val="es-ES"/>
        </w:rPr>
        <w:t xml:space="preserve"> Guatemala</w:t>
      </w:r>
      <w:r>
        <w:rPr>
          <w:rFonts w:asciiTheme="majorHAnsi" w:hAnsiTheme="majorHAnsi"/>
          <w:sz w:val="16"/>
          <w:szCs w:val="16"/>
          <w:lang w:val="es-ES"/>
        </w:rPr>
        <w:t xml:space="preserve">. </w:t>
      </w:r>
      <w:r w:rsidRPr="00B905BE">
        <w:rPr>
          <w:rFonts w:asciiTheme="majorHAnsi" w:hAnsiTheme="majorHAnsi"/>
          <w:sz w:val="16"/>
          <w:szCs w:val="16"/>
          <w:lang w:val="es-ES"/>
        </w:rPr>
        <w:t>13</w:t>
      </w:r>
      <w:r>
        <w:rPr>
          <w:rFonts w:asciiTheme="majorHAnsi" w:hAnsiTheme="majorHAnsi"/>
          <w:sz w:val="16"/>
          <w:szCs w:val="16"/>
          <w:lang w:val="es-ES"/>
        </w:rPr>
        <w:t xml:space="preserve"> de abril de</w:t>
      </w:r>
      <w:r w:rsidRPr="00B905BE">
        <w:rPr>
          <w:rFonts w:asciiTheme="majorHAnsi" w:hAnsiTheme="majorHAnsi"/>
          <w:sz w:val="16"/>
          <w:szCs w:val="16"/>
          <w:lang w:val="es-ES"/>
        </w:rPr>
        <w:t xml:space="preserve"> 2016, p</w:t>
      </w:r>
      <w:r>
        <w:rPr>
          <w:rFonts w:asciiTheme="majorHAnsi" w:hAnsiTheme="majorHAnsi"/>
          <w:sz w:val="16"/>
          <w:szCs w:val="16"/>
          <w:lang w:val="es-ES"/>
        </w:rPr>
        <w:t>árr</w:t>
      </w:r>
      <w:r w:rsidRPr="00B905BE">
        <w:rPr>
          <w:rFonts w:asciiTheme="majorHAnsi" w:hAnsiTheme="majorHAnsi"/>
          <w:sz w:val="16"/>
          <w:szCs w:val="16"/>
          <w:lang w:val="es-ES"/>
        </w:rPr>
        <w:t xml:space="preserve">. 106; </w:t>
      </w:r>
      <w:r>
        <w:rPr>
          <w:rFonts w:asciiTheme="majorHAnsi" w:hAnsiTheme="majorHAnsi"/>
          <w:sz w:val="16"/>
          <w:szCs w:val="16"/>
          <w:lang w:val="es-ES"/>
        </w:rPr>
        <w:t xml:space="preserve">Corte IDH, </w:t>
      </w:r>
      <w:hyperlink r:id="rId42" w:history="1">
        <w:r w:rsidRPr="00A93DBF">
          <w:rPr>
            <w:rStyle w:val="Hyperlink"/>
            <w:rFonts w:asciiTheme="majorHAnsi" w:hAnsiTheme="majorHAnsi"/>
            <w:i/>
            <w:sz w:val="16"/>
            <w:szCs w:val="16"/>
            <w:lang w:val="es-ES"/>
          </w:rPr>
          <w:t>Caso Poblete Vilches y otros vs. Chile</w:t>
        </w:r>
        <w:r w:rsidRPr="00A93DBF">
          <w:rPr>
            <w:rStyle w:val="Hyperlink"/>
            <w:rFonts w:asciiTheme="majorHAnsi" w:hAnsiTheme="majorHAnsi"/>
            <w:sz w:val="16"/>
            <w:szCs w:val="16"/>
            <w:u w:val="none"/>
            <w:lang w:val="es-ES"/>
          </w:rPr>
          <w:t>. Fondo, Reparaciones y Costas. Sentencia de 8 de marzo de 2018</w:t>
        </w:r>
      </w:hyperlink>
      <w:r w:rsidRPr="00B905BE">
        <w:rPr>
          <w:rFonts w:asciiTheme="majorHAnsi" w:hAnsiTheme="majorHAnsi"/>
          <w:sz w:val="16"/>
          <w:szCs w:val="16"/>
          <w:lang w:val="es-ES"/>
        </w:rPr>
        <w:t>. Serie C No. 349</w:t>
      </w:r>
      <w:r>
        <w:rPr>
          <w:rFonts w:asciiTheme="majorHAnsi" w:hAnsiTheme="majorHAnsi"/>
          <w:sz w:val="16"/>
          <w:szCs w:val="16"/>
          <w:lang w:val="es-ES"/>
        </w:rPr>
        <w:t>, párr</w:t>
      </w:r>
      <w:r w:rsidRPr="00B905BE">
        <w:rPr>
          <w:rFonts w:asciiTheme="majorHAnsi" w:hAnsiTheme="majorHAnsi"/>
          <w:sz w:val="16"/>
          <w:szCs w:val="16"/>
          <w:lang w:val="es-ES"/>
        </w:rPr>
        <w:t>. 120.</w:t>
      </w:r>
    </w:p>
  </w:footnote>
  <w:footnote w:id="86">
    <w:p w14:paraId="43927C01" w14:textId="77777777" w:rsidR="0055226A" w:rsidRPr="001E2CB7"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 xml:space="preserve">Corte IDH. </w:t>
      </w:r>
      <w:hyperlink r:id="rId43" w:history="1">
        <w:r w:rsidRPr="00A93DBF">
          <w:rPr>
            <w:rStyle w:val="Hyperlink"/>
            <w:rFonts w:asciiTheme="majorHAnsi" w:hAnsiTheme="majorHAnsi"/>
            <w:i/>
            <w:sz w:val="16"/>
            <w:szCs w:val="16"/>
            <w:lang w:val="es-ES"/>
          </w:rPr>
          <w:t>Caso Gonzales Lluy y otros vs. Ecuador</w:t>
        </w:r>
        <w:r w:rsidRPr="00A93DBF">
          <w:rPr>
            <w:rStyle w:val="Hyperlink"/>
            <w:rFonts w:asciiTheme="majorHAnsi" w:hAnsiTheme="majorHAnsi"/>
            <w:sz w:val="16"/>
            <w:szCs w:val="16"/>
            <w:u w:val="none"/>
            <w:lang w:val="es-ES"/>
          </w:rPr>
          <w:t>. Excepciones Preliminares, Fondo, Reparaciones y Costas. Sentencia de 1 de septiembre de 2015</w:t>
        </w:r>
      </w:hyperlink>
      <w:r w:rsidRPr="00B905BE">
        <w:rPr>
          <w:rFonts w:asciiTheme="majorHAnsi" w:hAnsiTheme="majorHAnsi"/>
          <w:sz w:val="16"/>
          <w:szCs w:val="16"/>
          <w:lang w:val="es-ES"/>
        </w:rPr>
        <w:t>,</w:t>
      </w:r>
      <w:r>
        <w:rPr>
          <w:rFonts w:asciiTheme="majorHAnsi" w:hAnsiTheme="majorHAnsi"/>
          <w:sz w:val="16"/>
          <w:szCs w:val="16"/>
          <w:lang w:val="es-ES"/>
        </w:rPr>
        <w:t xml:space="preserve"> párr</w:t>
      </w:r>
      <w:r w:rsidRPr="00B905BE">
        <w:rPr>
          <w:rFonts w:asciiTheme="majorHAnsi" w:hAnsiTheme="majorHAnsi"/>
          <w:sz w:val="16"/>
          <w:szCs w:val="16"/>
          <w:lang w:val="es-ES"/>
        </w:rPr>
        <w:t>. 173.</w:t>
      </w:r>
    </w:p>
  </w:footnote>
  <w:footnote w:id="87">
    <w:p w14:paraId="65ABFC64" w14:textId="77777777" w:rsidR="0055226A" w:rsidRPr="00B905BE" w:rsidRDefault="0055226A" w:rsidP="00DC4D27">
      <w:pPr>
        <w:pStyle w:val="FootnoteText"/>
        <w:jc w:val="both"/>
        <w:rPr>
          <w:rFonts w:asciiTheme="majorHAnsi" w:hAnsiTheme="majorHAnsi"/>
          <w:b/>
          <w:sz w:val="16"/>
          <w:szCs w:val="16"/>
          <w:lang w:val="es-ES"/>
        </w:rPr>
      </w:pPr>
      <w:r w:rsidRPr="001E2CB7">
        <w:rPr>
          <w:rStyle w:val="FootnoteReference"/>
          <w:rFonts w:asciiTheme="majorHAnsi" w:hAnsiTheme="majorHAnsi"/>
          <w:sz w:val="16"/>
          <w:szCs w:val="16"/>
          <w:lang w:val="es-ES"/>
        </w:rPr>
        <w:footnoteRef/>
      </w:r>
      <w:r w:rsidRPr="001E2CB7">
        <w:rPr>
          <w:rFonts w:asciiTheme="majorHAnsi" w:hAnsiTheme="majorHAnsi"/>
          <w:sz w:val="16"/>
          <w:szCs w:val="16"/>
          <w:lang w:val="es-ES"/>
        </w:rPr>
        <w:t xml:space="preserve"> Convención </w:t>
      </w:r>
      <w:r w:rsidRPr="00B905BE">
        <w:rPr>
          <w:rFonts w:asciiTheme="majorHAnsi" w:hAnsiTheme="majorHAnsi"/>
          <w:sz w:val="16"/>
          <w:szCs w:val="16"/>
          <w:lang w:val="es-ES"/>
        </w:rPr>
        <w:t>American</w:t>
      </w:r>
      <w:r>
        <w:rPr>
          <w:rFonts w:asciiTheme="majorHAnsi" w:hAnsiTheme="majorHAnsi"/>
          <w:sz w:val="16"/>
          <w:szCs w:val="16"/>
          <w:lang w:val="es-ES"/>
        </w:rPr>
        <w:t xml:space="preserve">a de Derechos Humanos, artículo </w:t>
      </w:r>
      <w:r w:rsidRPr="00B905BE">
        <w:rPr>
          <w:rFonts w:asciiTheme="majorHAnsi" w:hAnsiTheme="majorHAnsi"/>
          <w:sz w:val="16"/>
          <w:szCs w:val="16"/>
          <w:lang w:val="es-ES"/>
        </w:rPr>
        <w:t>1.1.</w:t>
      </w:r>
    </w:p>
  </w:footnote>
  <w:footnote w:id="88">
    <w:p w14:paraId="11FE73DA" w14:textId="77777777" w:rsidR="0055226A" w:rsidRPr="00B905BE" w:rsidRDefault="0055226A" w:rsidP="00DC4D27">
      <w:pPr>
        <w:pStyle w:val="FootnoteText"/>
        <w:jc w:val="both"/>
        <w:rPr>
          <w:rFonts w:asciiTheme="majorHAnsi" w:hAnsiTheme="majorHAnsi"/>
          <w:b/>
          <w:sz w:val="16"/>
          <w:szCs w:val="16"/>
          <w:lang w:val="es-ES"/>
        </w:rPr>
      </w:pPr>
      <w:r w:rsidRPr="00B905BE">
        <w:rPr>
          <w:rStyle w:val="FootnoteReference"/>
          <w:rFonts w:asciiTheme="majorHAnsi" w:hAnsiTheme="majorHAnsi"/>
          <w:b/>
          <w:sz w:val="16"/>
          <w:szCs w:val="16"/>
          <w:lang w:val="es-ES"/>
        </w:rPr>
        <w:footnoteRef/>
      </w:r>
      <w:r w:rsidRPr="00B905BE">
        <w:rPr>
          <w:rFonts w:asciiTheme="majorHAnsi" w:hAnsiTheme="majorHAnsi"/>
          <w:b/>
          <w:sz w:val="16"/>
          <w:szCs w:val="16"/>
          <w:lang w:val="es-ES"/>
        </w:rPr>
        <w:t xml:space="preserve"> </w:t>
      </w:r>
      <w:r>
        <w:rPr>
          <w:rFonts w:asciiTheme="majorHAnsi" w:hAnsiTheme="majorHAnsi"/>
          <w:sz w:val="16"/>
          <w:szCs w:val="16"/>
          <w:lang w:val="es-ES"/>
        </w:rPr>
        <w:t>Corte IDH</w:t>
      </w:r>
      <w:r w:rsidRPr="00B905BE">
        <w:rPr>
          <w:rStyle w:val="Strong"/>
          <w:rFonts w:asciiTheme="majorHAnsi" w:hAnsiTheme="majorHAnsi"/>
          <w:b w:val="0"/>
          <w:sz w:val="16"/>
          <w:szCs w:val="16"/>
          <w:lang w:val="es-ES"/>
        </w:rPr>
        <w:t xml:space="preserve">. </w:t>
      </w:r>
      <w:r w:rsidRPr="00A93DBF">
        <w:rPr>
          <w:rStyle w:val="Strong"/>
          <w:rFonts w:asciiTheme="majorHAnsi" w:hAnsiTheme="majorHAnsi"/>
          <w:b w:val="0"/>
          <w:i/>
          <w:sz w:val="16"/>
          <w:szCs w:val="16"/>
          <w:lang w:val="es-ES"/>
        </w:rPr>
        <w:t>Caso Atala Riffo y niñas v. Chile</w:t>
      </w:r>
      <w:r w:rsidRPr="00B905BE">
        <w:rPr>
          <w:rStyle w:val="Strong"/>
          <w:rFonts w:asciiTheme="majorHAnsi" w:hAnsiTheme="majorHAnsi"/>
          <w:b w:val="0"/>
          <w:sz w:val="16"/>
          <w:szCs w:val="16"/>
          <w:lang w:val="es-ES"/>
        </w:rPr>
        <w:t xml:space="preserve">. </w:t>
      </w:r>
      <w:r w:rsidRPr="001E2CB7">
        <w:rPr>
          <w:rFonts w:asciiTheme="majorHAnsi" w:hAnsiTheme="majorHAnsi"/>
          <w:bCs/>
          <w:sz w:val="16"/>
          <w:szCs w:val="16"/>
          <w:lang w:val="es-ES"/>
        </w:rPr>
        <w:t>Fondo, Reparaciones y Costas. Sentencia de</w:t>
      </w:r>
      <w:r w:rsidRPr="00B905BE">
        <w:rPr>
          <w:rStyle w:val="Strong"/>
          <w:rFonts w:asciiTheme="majorHAnsi" w:hAnsiTheme="majorHAnsi"/>
          <w:b w:val="0"/>
          <w:sz w:val="16"/>
          <w:szCs w:val="16"/>
          <w:lang w:val="es-ES"/>
        </w:rPr>
        <w:t xml:space="preserve"> 24</w:t>
      </w:r>
      <w:r>
        <w:rPr>
          <w:rStyle w:val="Strong"/>
          <w:rFonts w:asciiTheme="majorHAnsi" w:hAnsiTheme="majorHAnsi"/>
          <w:b w:val="0"/>
          <w:sz w:val="16"/>
          <w:szCs w:val="16"/>
          <w:lang w:val="es-ES"/>
        </w:rPr>
        <w:t xml:space="preserve"> de febrero de</w:t>
      </w:r>
      <w:r w:rsidRPr="00B905BE">
        <w:rPr>
          <w:rStyle w:val="Strong"/>
          <w:rFonts w:asciiTheme="majorHAnsi" w:hAnsiTheme="majorHAnsi"/>
          <w:b w:val="0"/>
          <w:sz w:val="16"/>
          <w:szCs w:val="16"/>
          <w:lang w:val="es-ES"/>
        </w:rPr>
        <w:t xml:space="preserve"> 2012. Serie C No. 239</w:t>
      </w:r>
      <w:r>
        <w:rPr>
          <w:rStyle w:val="Strong"/>
          <w:rFonts w:asciiTheme="majorHAnsi" w:hAnsiTheme="majorHAnsi"/>
          <w:b w:val="0"/>
          <w:sz w:val="16"/>
          <w:szCs w:val="16"/>
          <w:lang w:val="es-ES"/>
        </w:rPr>
        <w:t>, párrs</w:t>
      </w:r>
      <w:r w:rsidRPr="00B905BE">
        <w:rPr>
          <w:rStyle w:val="Strong"/>
          <w:rFonts w:asciiTheme="majorHAnsi" w:hAnsiTheme="majorHAnsi"/>
          <w:b w:val="0"/>
          <w:sz w:val="16"/>
          <w:szCs w:val="16"/>
          <w:lang w:val="es-ES"/>
        </w:rPr>
        <w:t xml:space="preserve">. </w:t>
      </w:r>
      <w:r w:rsidRPr="00B905BE">
        <w:rPr>
          <w:rFonts w:asciiTheme="majorHAnsi" w:hAnsiTheme="majorHAnsi"/>
          <w:sz w:val="16"/>
          <w:szCs w:val="16"/>
          <w:lang w:val="es-ES"/>
        </w:rPr>
        <w:t xml:space="preserve">91 </w:t>
      </w:r>
      <w:r>
        <w:rPr>
          <w:rFonts w:asciiTheme="majorHAnsi" w:hAnsiTheme="majorHAnsi"/>
          <w:sz w:val="16"/>
          <w:szCs w:val="16"/>
          <w:lang w:val="es-ES"/>
        </w:rPr>
        <w:t>y</w:t>
      </w:r>
      <w:r w:rsidRPr="00B905BE">
        <w:rPr>
          <w:rFonts w:asciiTheme="majorHAnsi" w:hAnsiTheme="majorHAnsi"/>
          <w:sz w:val="16"/>
          <w:szCs w:val="16"/>
          <w:lang w:val="es-ES"/>
        </w:rPr>
        <w:t xml:space="preserve"> 93.</w:t>
      </w:r>
      <w:r w:rsidRPr="00B905BE">
        <w:rPr>
          <w:rFonts w:asciiTheme="majorHAnsi" w:hAnsiTheme="majorHAnsi"/>
          <w:b/>
          <w:sz w:val="16"/>
          <w:szCs w:val="16"/>
          <w:lang w:val="es-ES"/>
        </w:rPr>
        <w:t xml:space="preserve"> </w:t>
      </w:r>
    </w:p>
  </w:footnote>
  <w:footnote w:id="89">
    <w:p w14:paraId="69AF3EC5" w14:textId="77777777" w:rsidR="0055226A" w:rsidRPr="00B905BE" w:rsidRDefault="0055226A" w:rsidP="00A73129">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CIDH. </w:t>
      </w:r>
      <w:hyperlink r:id="rId44" w:history="1">
        <w:r w:rsidRPr="00B905BE">
          <w:rPr>
            <w:rStyle w:val="Hyperlink"/>
            <w:rFonts w:asciiTheme="majorHAnsi" w:hAnsiTheme="majorHAnsi"/>
            <w:i/>
            <w:sz w:val="16"/>
            <w:szCs w:val="16"/>
            <w:lang w:val="es-ES"/>
          </w:rPr>
          <w:t>Informe sobre la situación de los derechos humanos en Jamaica</w:t>
        </w:r>
      </w:hyperlink>
      <w:r w:rsidRPr="00B905BE">
        <w:rPr>
          <w:rFonts w:asciiTheme="majorHAnsi" w:hAnsiTheme="majorHAnsi"/>
          <w:sz w:val="16"/>
          <w:szCs w:val="16"/>
          <w:lang w:val="es-ES"/>
        </w:rPr>
        <w:t xml:space="preserve">. </w:t>
      </w:r>
      <w:r w:rsidRPr="00D61759">
        <w:rPr>
          <w:rFonts w:asciiTheme="majorHAnsi" w:hAnsiTheme="majorHAnsi"/>
          <w:sz w:val="16"/>
          <w:szCs w:val="16"/>
          <w:lang w:val="pt-BR"/>
        </w:rPr>
        <w:t xml:space="preserve">OEA/Ser.L/v/II.144, Doc. 12, 10 de agosto de 2012, párr. </w:t>
      </w:r>
      <w:r w:rsidRPr="00B905BE">
        <w:rPr>
          <w:rFonts w:asciiTheme="majorHAnsi" w:hAnsiTheme="majorHAnsi"/>
          <w:sz w:val="16"/>
          <w:szCs w:val="16"/>
          <w:lang w:val="es-ES"/>
        </w:rPr>
        <w:t>292.</w:t>
      </w:r>
    </w:p>
  </w:footnote>
  <w:footnote w:id="90">
    <w:p w14:paraId="0307FDD6" w14:textId="77777777" w:rsidR="0055226A" w:rsidRPr="00D61759" w:rsidRDefault="0055226A" w:rsidP="00C17C1C">
      <w:pPr>
        <w:pStyle w:val="FootnoteText"/>
        <w:jc w:val="both"/>
        <w:rPr>
          <w:rFonts w:ascii="Cambria" w:hAnsi="Cambria"/>
          <w:sz w:val="16"/>
          <w:szCs w:val="16"/>
        </w:rPr>
      </w:pPr>
      <w:r w:rsidRPr="00B905BE">
        <w:rPr>
          <w:rStyle w:val="FootnoteReference"/>
          <w:rFonts w:ascii="Cambria" w:hAnsi="Cambria"/>
          <w:sz w:val="16"/>
          <w:szCs w:val="16"/>
          <w:lang w:val="es-ES"/>
        </w:rPr>
        <w:footnoteRef/>
      </w:r>
      <w:r w:rsidRPr="00B905BE">
        <w:rPr>
          <w:rFonts w:ascii="Cambria" w:hAnsi="Cambria"/>
          <w:sz w:val="16"/>
          <w:szCs w:val="16"/>
          <w:lang w:val="es-ES"/>
        </w:rPr>
        <w:t xml:space="preserve"> </w:t>
      </w:r>
      <w:r w:rsidRPr="00B905BE">
        <w:rPr>
          <w:rFonts w:asciiTheme="majorHAnsi" w:hAnsiTheme="majorHAnsi"/>
          <w:sz w:val="16"/>
          <w:szCs w:val="16"/>
          <w:lang w:val="es-ES"/>
        </w:rPr>
        <w:t xml:space="preserve">Corte IDH. </w:t>
      </w:r>
      <w:hyperlink r:id="rId45" w:history="1">
        <w:r w:rsidRPr="00FA1634">
          <w:rPr>
            <w:rStyle w:val="Hyperlink"/>
            <w:rFonts w:asciiTheme="majorHAnsi" w:hAnsiTheme="majorHAnsi"/>
            <w:i/>
            <w:sz w:val="16"/>
            <w:szCs w:val="16"/>
            <w:lang w:val="es-ES"/>
          </w:rPr>
          <w:t>Opinión Consultiva OC-24/17 de 24 de noviembre de 2017 solicitada por la República de Costa Rica.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hyperlink>
      <w:r w:rsidRPr="00B905BE">
        <w:rPr>
          <w:rFonts w:asciiTheme="majorHAnsi" w:hAnsiTheme="majorHAnsi"/>
          <w:sz w:val="16"/>
          <w:szCs w:val="16"/>
          <w:lang w:val="es-ES"/>
        </w:rPr>
        <w:t xml:space="preserve">, párr. </w:t>
      </w:r>
      <w:r w:rsidRPr="00D61759">
        <w:rPr>
          <w:rFonts w:asciiTheme="majorHAnsi" w:hAnsiTheme="majorHAnsi"/>
          <w:sz w:val="16"/>
          <w:szCs w:val="16"/>
        </w:rPr>
        <w:t>39.</w:t>
      </w:r>
    </w:p>
  </w:footnote>
  <w:footnote w:id="91">
    <w:p w14:paraId="64A1AE4A" w14:textId="77777777" w:rsidR="0055226A" w:rsidRPr="00D61759" w:rsidRDefault="0055226A">
      <w:pPr>
        <w:pStyle w:val="FootnoteText"/>
        <w:rPr>
          <w:rFonts w:asciiTheme="majorHAnsi" w:hAnsiTheme="majorHAnsi"/>
          <w:sz w:val="16"/>
          <w:szCs w:val="16"/>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rPr>
        <w:t xml:space="preserve"> </w:t>
      </w:r>
      <w:r w:rsidRPr="003419BB">
        <w:rPr>
          <w:rFonts w:asciiTheme="majorHAnsi" w:hAnsiTheme="majorHAnsi"/>
          <w:sz w:val="16"/>
          <w:szCs w:val="16"/>
        </w:rPr>
        <w:t>United Nations High Commissioner for Human Rights</w:t>
      </w:r>
      <w:r w:rsidRPr="00D61759">
        <w:rPr>
          <w:rFonts w:asciiTheme="majorHAnsi" w:hAnsiTheme="majorHAnsi"/>
          <w:sz w:val="16"/>
          <w:szCs w:val="16"/>
        </w:rPr>
        <w:t xml:space="preserve">, </w:t>
      </w:r>
      <w:hyperlink r:id="rId46" w:history="1">
        <w:r w:rsidRPr="00D61759">
          <w:rPr>
            <w:rStyle w:val="Hyperlink"/>
            <w:rFonts w:asciiTheme="majorHAnsi" w:hAnsiTheme="majorHAnsi"/>
            <w:i/>
            <w:sz w:val="16"/>
            <w:szCs w:val="16"/>
          </w:rPr>
          <w:t>Angola: Decriminalising same sex relations a welcome step for equality, UN Independent Expert on Protection against violence and discrimination based on sexual orientation and gender identity</w:t>
        </w:r>
      </w:hyperlink>
      <w:r w:rsidRPr="00D61759">
        <w:rPr>
          <w:rFonts w:asciiTheme="majorHAnsi" w:hAnsiTheme="majorHAnsi"/>
          <w:sz w:val="16"/>
          <w:szCs w:val="16"/>
        </w:rPr>
        <w:t xml:space="preserve">, 25 de enero de 2019. </w:t>
      </w:r>
    </w:p>
  </w:footnote>
  <w:footnote w:id="92">
    <w:p w14:paraId="29A84BE4" w14:textId="77777777" w:rsidR="0055226A" w:rsidRPr="00B905BE" w:rsidRDefault="0055226A" w:rsidP="003419BB">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 xml:space="preserve">Consejo de Derechos Humanos. </w:t>
      </w:r>
      <w:hyperlink r:id="rId47" w:history="1">
        <w:r w:rsidRPr="009E5B7C">
          <w:rPr>
            <w:rStyle w:val="Hyperlink"/>
            <w:rFonts w:asciiTheme="majorHAnsi" w:hAnsiTheme="majorHAnsi"/>
            <w:i/>
            <w:sz w:val="16"/>
            <w:szCs w:val="16"/>
            <w:lang w:val="es-ES"/>
          </w:rPr>
          <w:t>Informe del Relator Especial sobre el derecho de toda persona al disfrute del más alto nivel posible de salud física y mental, Anand Grover</w:t>
        </w:r>
      </w:hyperlink>
      <w:r w:rsidRPr="00B905BE">
        <w:rPr>
          <w:rFonts w:asciiTheme="majorHAnsi" w:hAnsiTheme="majorHAnsi"/>
          <w:sz w:val="16"/>
          <w:szCs w:val="16"/>
          <w:lang w:val="es-ES"/>
        </w:rPr>
        <w:t xml:space="preserve"> (A/HRC/14/20), </w:t>
      </w:r>
      <w:r>
        <w:rPr>
          <w:rFonts w:asciiTheme="majorHAnsi" w:hAnsiTheme="majorHAnsi"/>
          <w:sz w:val="16"/>
          <w:szCs w:val="16"/>
          <w:lang w:val="es-ES"/>
        </w:rPr>
        <w:t xml:space="preserve">párrs. </w:t>
      </w:r>
      <w:r w:rsidRPr="00B905BE">
        <w:rPr>
          <w:rFonts w:asciiTheme="majorHAnsi" w:hAnsiTheme="majorHAnsi"/>
          <w:sz w:val="16"/>
          <w:szCs w:val="16"/>
          <w:lang w:val="es-ES"/>
        </w:rPr>
        <w:t>17</w:t>
      </w:r>
      <w:r>
        <w:rPr>
          <w:rFonts w:asciiTheme="majorHAnsi" w:hAnsiTheme="majorHAnsi"/>
          <w:sz w:val="16"/>
          <w:szCs w:val="16"/>
          <w:lang w:val="es-ES"/>
        </w:rPr>
        <w:t xml:space="preserve"> a </w:t>
      </w:r>
      <w:r w:rsidRPr="00B905BE">
        <w:rPr>
          <w:rFonts w:asciiTheme="majorHAnsi" w:hAnsiTheme="majorHAnsi"/>
          <w:sz w:val="16"/>
          <w:szCs w:val="16"/>
          <w:lang w:val="es-ES"/>
        </w:rPr>
        <w:t>21.</w:t>
      </w:r>
    </w:p>
  </w:footnote>
  <w:footnote w:id="93">
    <w:p w14:paraId="38742FBD" w14:textId="77777777" w:rsidR="0055226A" w:rsidRPr="00B905BE" w:rsidRDefault="0055226A" w:rsidP="00C74732">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Pr>
          <w:rFonts w:asciiTheme="majorHAnsi" w:hAnsiTheme="majorHAnsi"/>
          <w:sz w:val="16"/>
          <w:szCs w:val="16"/>
          <w:lang w:val="es-ES"/>
        </w:rPr>
        <w:t xml:space="preserve">Comité de Derechos Humanos. </w:t>
      </w:r>
      <w:hyperlink r:id="rId48" w:history="1">
        <w:r w:rsidRPr="00D20C03">
          <w:rPr>
            <w:rStyle w:val="Hyperlink"/>
            <w:rFonts w:asciiTheme="majorHAnsi" w:hAnsiTheme="majorHAnsi"/>
            <w:i/>
            <w:sz w:val="16"/>
            <w:szCs w:val="16"/>
            <w:lang w:val="es-ES"/>
          </w:rPr>
          <w:t>Examen de los informes presentados por los Estados partes en virtud del artículo 40 del Pacto. Observaciones finales del Comité de Derechos Humanos</w:t>
        </w:r>
      </w:hyperlink>
      <w:r>
        <w:rPr>
          <w:rFonts w:asciiTheme="majorHAnsi" w:hAnsiTheme="majorHAnsi"/>
          <w:sz w:val="16"/>
          <w:szCs w:val="16"/>
          <w:lang w:val="es-ES"/>
        </w:rPr>
        <w:t xml:space="preserve"> </w:t>
      </w:r>
      <w:r w:rsidRPr="00B905BE">
        <w:rPr>
          <w:rFonts w:asciiTheme="majorHAnsi" w:hAnsiTheme="majorHAnsi"/>
          <w:sz w:val="16"/>
          <w:szCs w:val="16"/>
          <w:lang w:val="es-ES"/>
        </w:rPr>
        <w:t xml:space="preserve">(CCPR/C/JAM/CO/3), </w:t>
      </w:r>
      <w:r>
        <w:rPr>
          <w:rFonts w:asciiTheme="majorHAnsi" w:hAnsiTheme="majorHAnsi"/>
          <w:sz w:val="16"/>
          <w:szCs w:val="16"/>
          <w:lang w:val="es-ES"/>
        </w:rPr>
        <w:t>párr</w:t>
      </w:r>
      <w:r w:rsidRPr="00B905BE">
        <w:rPr>
          <w:rFonts w:asciiTheme="majorHAnsi" w:hAnsiTheme="majorHAnsi"/>
          <w:sz w:val="16"/>
          <w:szCs w:val="16"/>
          <w:lang w:val="es-ES"/>
        </w:rPr>
        <w:t>. 9.</w:t>
      </w:r>
    </w:p>
  </w:footnote>
  <w:footnote w:id="94">
    <w:p w14:paraId="5C582B31" w14:textId="77777777" w:rsidR="0055226A" w:rsidRPr="00D61759" w:rsidRDefault="0055226A" w:rsidP="00DC4D27">
      <w:pPr>
        <w:pStyle w:val="FootnoteText"/>
        <w:jc w:val="both"/>
        <w:rPr>
          <w:rFonts w:asciiTheme="majorHAnsi" w:hAnsiTheme="majorHAnsi"/>
          <w:sz w:val="16"/>
          <w:szCs w:val="16"/>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w:t>
      </w:r>
      <w:r w:rsidRPr="009E5B7C">
        <w:rPr>
          <w:rFonts w:asciiTheme="majorHAnsi" w:hAnsiTheme="majorHAnsi"/>
          <w:i/>
          <w:sz w:val="16"/>
          <w:szCs w:val="16"/>
          <w:lang w:val="es-ES"/>
        </w:rPr>
        <w:t>Informe del Relator Especial sobre el derecho de toda persona al disfrute del más alto nivel posible de salud física y mental, Anand Grover</w:t>
      </w:r>
      <w:r w:rsidRPr="00B905BE">
        <w:rPr>
          <w:rFonts w:asciiTheme="majorHAnsi" w:hAnsiTheme="majorHAnsi"/>
          <w:sz w:val="16"/>
          <w:szCs w:val="16"/>
          <w:lang w:val="es-ES"/>
        </w:rPr>
        <w:t>. N</w:t>
      </w:r>
      <w:r>
        <w:rPr>
          <w:rFonts w:asciiTheme="majorHAnsi" w:hAnsiTheme="majorHAnsi"/>
          <w:sz w:val="16"/>
          <w:szCs w:val="16"/>
          <w:lang w:val="es-ES"/>
        </w:rPr>
        <w:t>ueva Y</w:t>
      </w:r>
      <w:r w:rsidRPr="00B905BE">
        <w:rPr>
          <w:rFonts w:asciiTheme="majorHAnsi" w:hAnsiTheme="majorHAnsi"/>
          <w:sz w:val="16"/>
          <w:szCs w:val="16"/>
          <w:lang w:val="es-ES"/>
        </w:rPr>
        <w:t xml:space="preserve">ork: </w:t>
      </w:r>
      <w:r>
        <w:rPr>
          <w:rFonts w:asciiTheme="majorHAnsi" w:hAnsiTheme="majorHAnsi"/>
          <w:sz w:val="16"/>
          <w:szCs w:val="16"/>
          <w:lang w:val="es-ES"/>
        </w:rPr>
        <w:t>Naciones Unidas,</w:t>
      </w:r>
      <w:r w:rsidRPr="00B905BE">
        <w:rPr>
          <w:rFonts w:asciiTheme="majorHAnsi" w:hAnsiTheme="majorHAnsi"/>
          <w:sz w:val="16"/>
          <w:szCs w:val="16"/>
          <w:lang w:val="es-ES"/>
        </w:rPr>
        <w:t xml:space="preserve"> 2010. </w:t>
      </w:r>
      <w:r w:rsidRPr="009E5B7C">
        <w:rPr>
          <w:rFonts w:asciiTheme="majorHAnsi" w:hAnsiTheme="majorHAnsi"/>
          <w:i/>
          <w:sz w:val="16"/>
          <w:szCs w:val="16"/>
          <w:lang w:val="es-ES"/>
        </w:rPr>
        <w:t>Informe del Relator Especial sobre el derecho de toda persona al disfrute del más alto nivel posible de salud física y mental, Anand Grover</w:t>
      </w:r>
      <w:r w:rsidRPr="00B905BE">
        <w:rPr>
          <w:rFonts w:asciiTheme="majorHAnsi" w:hAnsiTheme="majorHAnsi"/>
          <w:sz w:val="16"/>
          <w:szCs w:val="16"/>
          <w:lang w:val="es-ES"/>
        </w:rPr>
        <w:t xml:space="preserve">. </w:t>
      </w:r>
      <w:r w:rsidRPr="00D61759">
        <w:rPr>
          <w:rFonts w:asciiTheme="majorHAnsi" w:hAnsiTheme="majorHAnsi"/>
          <w:sz w:val="16"/>
          <w:szCs w:val="16"/>
        </w:rPr>
        <w:t>Nueva York: Naciones Unidas, 2011.</w:t>
      </w:r>
    </w:p>
  </w:footnote>
  <w:footnote w:id="95">
    <w:p w14:paraId="3D7DE638" w14:textId="77777777" w:rsidR="0055226A" w:rsidRPr="00D61759" w:rsidRDefault="0055226A" w:rsidP="00DC4D27">
      <w:pPr>
        <w:pStyle w:val="FootnoteText"/>
        <w:jc w:val="both"/>
        <w:rPr>
          <w:rFonts w:asciiTheme="majorHAnsi" w:hAnsiTheme="majorHAnsi"/>
          <w:sz w:val="16"/>
          <w:szCs w:val="16"/>
        </w:rPr>
      </w:pPr>
      <w:r w:rsidRPr="00B905BE">
        <w:rPr>
          <w:rStyle w:val="FootnoteReference"/>
          <w:rFonts w:asciiTheme="majorHAnsi" w:hAnsiTheme="majorHAnsi"/>
          <w:sz w:val="16"/>
          <w:szCs w:val="16"/>
          <w:lang w:val="es-ES"/>
        </w:rPr>
        <w:footnoteRef/>
      </w:r>
      <w:r w:rsidRPr="00D61759">
        <w:rPr>
          <w:rFonts w:asciiTheme="majorHAnsi" w:hAnsiTheme="majorHAnsi"/>
          <w:sz w:val="16"/>
          <w:szCs w:val="16"/>
        </w:rPr>
        <w:t xml:space="preserve"> WHO. </w:t>
      </w:r>
      <w:r w:rsidRPr="00D61759">
        <w:rPr>
          <w:rFonts w:asciiTheme="majorHAnsi" w:hAnsiTheme="majorHAnsi"/>
          <w:i/>
          <w:sz w:val="16"/>
          <w:szCs w:val="16"/>
        </w:rPr>
        <w:t>Sexual Health, human rights and the law</w:t>
      </w:r>
      <w:r w:rsidRPr="00D61759">
        <w:rPr>
          <w:rFonts w:asciiTheme="majorHAnsi" w:hAnsiTheme="majorHAnsi"/>
          <w:sz w:val="16"/>
          <w:szCs w:val="16"/>
        </w:rPr>
        <w:t>. 2015, pág. 23.</w:t>
      </w:r>
    </w:p>
  </w:footnote>
  <w:footnote w:id="96">
    <w:p w14:paraId="21F5D002" w14:textId="77777777" w:rsidR="0055226A" w:rsidRPr="00D61759" w:rsidRDefault="0055226A">
      <w:pPr>
        <w:pStyle w:val="FootnoteText"/>
      </w:pPr>
      <w:r w:rsidRPr="00B905BE">
        <w:rPr>
          <w:rStyle w:val="FootnoteReference"/>
          <w:rFonts w:asciiTheme="majorHAnsi" w:hAnsiTheme="majorHAnsi"/>
          <w:sz w:val="16"/>
          <w:szCs w:val="16"/>
          <w:lang w:val="es-ES"/>
        </w:rPr>
        <w:footnoteRef/>
      </w:r>
      <w:r w:rsidRPr="00D61759">
        <w:rPr>
          <w:rFonts w:asciiTheme="majorHAnsi" w:hAnsiTheme="majorHAnsi"/>
          <w:sz w:val="16"/>
          <w:szCs w:val="16"/>
        </w:rPr>
        <w:t xml:space="preserve"> The Global Fund. </w:t>
      </w:r>
      <w:r w:rsidRPr="00D61759">
        <w:rPr>
          <w:rFonts w:asciiTheme="majorHAnsi" w:hAnsiTheme="majorHAnsi"/>
          <w:i/>
          <w:sz w:val="16"/>
          <w:szCs w:val="16"/>
        </w:rPr>
        <w:t>Baseline Assessment-Jamaica, Scaling up Programs to Reduce Human Rights Related Barriers to HIV Services</w:t>
      </w:r>
      <w:r w:rsidRPr="00D61759">
        <w:rPr>
          <w:rFonts w:asciiTheme="majorHAnsi" w:hAnsiTheme="majorHAnsi"/>
          <w:sz w:val="16"/>
          <w:szCs w:val="16"/>
        </w:rPr>
        <w:t>, septiembre de 2019, p. 40 (traducción de la CIDH).</w:t>
      </w:r>
    </w:p>
  </w:footnote>
  <w:footnote w:id="97">
    <w:p w14:paraId="6E399226"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El artículo 25 de la Convención Americana dice: “1.</w:t>
      </w:r>
      <w:r w:rsidRPr="00B905BE">
        <w:rPr>
          <w:lang w:val="es-ES"/>
        </w:rPr>
        <w:t xml:space="preserve"> </w:t>
      </w:r>
      <w:r w:rsidRPr="00B905BE">
        <w:rPr>
          <w:rFonts w:asciiTheme="majorHAnsi" w:hAnsiTheme="majorHAnsi"/>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98">
    <w:p w14:paraId="31A8A934" w14:textId="77777777" w:rsidR="0055226A" w:rsidRPr="00B905BE" w:rsidRDefault="0055226A" w:rsidP="00DC4D27">
      <w:pPr>
        <w:tabs>
          <w:tab w:val="left" w:pos="180"/>
          <w:tab w:val="left" w:pos="900"/>
          <w:tab w:val="left" w:pos="1080"/>
        </w:tabs>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color w:val="000000"/>
          <w:sz w:val="16"/>
          <w:szCs w:val="16"/>
          <w:lang w:val="es-ES"/>
        </w:rPr>
        <w:t xml:space="preserve"> Corte IDH. </w:t>
      </w:r>
      <w:r w:rsidRPr="00B905BE">
        <w:rPr>
          <w:rFonts w:asciiTheme="majorHAnsi" w:hAnsiTheme="majorHAnsi"/>
          <w:i/>
          <w:color w:val="000000"/>
          <w:sz w:val="16"/>
          <w:szCs w:val="16"/>
          <w:lang w:val="es-ES"/>
        </w:rPr>
        <w:t>Caso Trabajadores Cesados del Congreso (Aguado Alfaro y otros) Vs. Perú</w:t>
      </w:r>
      <w:r w:rsidRPr="00B905BE">
        <w:rPr>
          <w:rFonts w:asciiTheme="majorHAnsi" w:hAnsiTheme="majorHAnsi"/>
          <w:color w:val="000000"/>
          <w:sz w:val="16"/>
          <w:szCs w:val="16"/>
          <w:lang w:val="es-ES"/>
        </w:rPr>
        <w:t xml:space="preserve">. Excepciones Preliminares, Fondo, Reparaciones y Costas. Sentencia de 24 de noviembre de 2006. Serie C No. 158, párr. 125; Corte IDH. </w:t>
      </w:r>
      <w:r w:rsidRPr="00B905BE">
        <w:rPr>
          <w:rFonts w:asciiTheme="majorHAnsi" w:hAnsiTheme="majorHAnsi"/>
          <w:i/>
          <w:color w:val="000000"/>
          <w:sz w:val="16"/>
          <w:szCs w:val="16"/>
          <w:lang w:val="es-ES"/>
        </w:rPr>
        <w:t>Caso Comunidad indígena Yakye Axa Vs. Paraguay</w:t>
      </w:r>
      <w:r w:rsidRPr="00B905BE">
        <w:rPr>
          <w:rFonts w:asciiTheme="majorHAnsi" w:hAnsiTheme="majorHAnsi"/>
          <w:color w:val="000000"/>
          <w:sz w:val="16"/>
          <w:szCs w:val="16"/>
          <w:lang w:val="es-ES"/>
        </w:rPr>
        <w:t>. Fondo, Reparaciones y Costas. Sentencia de 17 de junio de 2005. Serie C No. 125</w:t>
      </w:r>
      <w:r w:rsidRPr="00B905BE">
        <w:rPr>
          <w:rFonts w:asciiTheme="majorHAnsi" w:hAnsiTheme="majorHAnsi"/>
          <w:sz w:val="16"/>
          <w:szCs w:val="16"/>
          <w:lang w:val="es-ES"/>
        </w:rPr>
        <w:t xml:space="preserve">, párr. 61; Corte IDH. </w:t>
      </w:r>
      <w:r w:rsidRPr="00B905BE">
        <w:rPr>
          <w:rFonts w:asciiTheme="majorHAnsi" w:hAnsiTheme="majorHAnsi"/>
          <w:i/>
          <w:sz w:val="16"/>
          <w:szCs w:val="16"/>
          <w:lang w:val="es-ES"/>
        </w:rPr>
        <w:t>Caso “Cinco Pensionistas” Vs. Perú</w:t>
      </w:r>
      <w:r w:rsidRPr="00B905BE">
        <w:rPr>
          <w:rFonts w:asciiTheme="majorHAnsi" w:hAnsiTheme="majorHAnsi"/>
          <w:sz w:val="16"/>
          <w:szCs w:val="16"/>
          <w:lang w:val="es-ES"/>
        </w:rPr>
        <w:t>.</w:t>
      </w:r>
      <w:r w:rsidRPr="00B905BE">
        <w:rPr>
          <w:rFonts w:asciiTheme="majorHAnsi" w:hAnsiTheme="majorHAnsi"/>
          <w:color w:val="000000"/>
          <w:sz w:val="16"/>
          <w:szCs w:val="16"/>
          <w:lang w:val="es-ES"/>
        </w:rPr>
        <w:t xml:space="preserve"> Fondo, Reparaciones y Costas. Sentencia de 28 de febrero de 2003. Serie C No. 98</w:t>
      </w:r>
      <w:r w:rsidRPr="00B905BE">
        <w:rPr>
          <w:rFonts w:asciiTheme="majorHAnsi" w:hAnsiTheme="majorHAnsi"/>
          <w:sz w:val="16"/>
          <w:szCs w:val="16"/>
          <w:lang w:val="es-ES"/>
        </w:rPr>
        <w:t>, párr. 136.</w:t>
      </w:r>
    </w:p>
  </w:footnote>
  <w:footnote w:id="99">
    <w:p w14:paraId="2E6FEADC" w14:textId="77777777" w:rsidR="0055226A" w:rsidRPr="00B905BE" w:rsidRDefault="0055226A" w:rsidP="00DC4D27">
      <w:pPr>
        <w:pStyle w:val="FootnoteText"/>
        <w:jc w:val="both"/>
        <w:rPr>
          <w:rFonts w:asciiTheme="majorHAnsi" w:hAnsiTheme="majorHAnsi"/>
          <w:sz w:val="16"/>
          <w:szCs w:val="16"/>
          <w:lang w:val="es-ES"/>
        </w:rPr>
      </w:pPr>
      <w:r w:rsidRPr="00B905BE">
        <w:rPr>
          <w:rStyle w:val="FootnoteReference"/>
          <w:rFonts w:asciiTheme="majorHAnsi" w:hAnsiTheme="majorHAnsi"/>
          <w:sz w:val="16"/>
          <w:szCs w:val="16"/>
          <w:lang w:val="es-ES"/>
        </w:rPr>
        <w:footnoteRef/>
      </w:r>
      <w:r w:rsidRPr="00B905BE">
        <w:rPr>
          <w:rFonts w:asciiTheme="majorHAnsi" w:hAnsiTheme="majorHAnsi"/>
          <w:sz w:val="16"/>
          <w:szCs w:val="16"/>
          <w:lang w:val="es-ES"/>
        </w:rPr>
        <w:t xml:space="preserve"> Corte IDH. </w:t>
      </w:r>
      <w:hyperlink r:id="rId49" w:history="1">
        <w:r w:rsidRPr="00B905BE">
          <w:rPr>
            <w:rStyle w:val="Hyperlink"/>
            <w:rFonts w:asciiTheme="majorHAnsi" w:hAnsiTheme="majorHAnsi"/>
            <w:i/>
            <w:sz w:val="16"/>
            <w:szCs w:val="16"/>
            <w:lang w:val="es-ES"/>
          </w:rPr>
          <w:t>Caso Boyce y otros vs. Barbados</w:t>
        </w:r>
      </w:hyperlink>
      <w:r w:rsidRPr="00B905BE">
        <w:rPr>
          <w:rFonts w:asciiTheme="majorHAnsi" w:hAnsiTheme="majorHAnsi"/>
          <w:sz w:val="16"/>
          <w:szCs w:val="16"/>
          <w:lang w:val="es-ES"/>
        </w:rPr>
        <w:t xml:space="preserve">. Excepción Preliminar, Fondo, Reparaciones y Costas. Sentencia de 20 de noviembre de 2007, párrs. 75 y 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78D3F" w14:textId="77777777" w:rsidR="0055226A" w:rsidRDefault="0055226A"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4E288F8" w14:textId="77777777" w:rsidR="0055226A" w:rsidRDefault="00552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54042" w14:textId="77777777" w:rsidR="0055226A" w:rsidRDefault="0055226A" w:rsidP="002C1641">
    <w:pPr>
      <w:pStyle w:val="Header"/>
      <w:tabs>
        <w:tab w:val="clear" w:pos="4320"/>
        <w:tab w:val="clear" w:pos="8640"/>
      </w:tabs>
      <w:jc w:val="center"/>
      <w:rPr>
        <w:sz w:val="22"/>
        <w:szCs w:val="22"/>
      </w:rPr>
    </w:pPr>
    <w:r>
      <w:rPr>
        <w:noProof/>
      </w:rPr>
      <w:drawing>
        <wp:inline distT="0" distB="0" distL="0" distR="0" wp14:anchorId="462808E4" wp14:editId="08E9E22E">
          <wp:extent cx="1971675" cy="104775"/>
          <wp:effectExtent l="0" t="0" r="9525" b="9525"/>
          <wp:docPr id="9" name="Picture 9"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3" name="Picture 3" descr="C:\Users\mfontana\Documents\Eva Fontana\GRAFICA CIDH\cartas\logos\cidh-peq.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46AF0C6D" w14:textId="77777777" w:rsidR="0055226A" w:rsidRPr="00EC7D62" w:rsidRDefault="002E2F47" w:rsidP="002C1641">
    <w:pPr>
      <w:pStyle w:val="Header"/>
      <w:tabs>
        <w:tab w:val="clear" w:pos="4320"/>
        <w:tab w:val="clear" w:pos="8640"/>
      </w:tabs>
      <w:jc w:val="center"/>
      <w:rPr>
        <w:sz w:val="22"/>
        <w:szCs w:val="22"/>
      </w:rPr>
    </w:pPr>
    <w:r>
      <w:rPr>
        <w:noProof/>
        <w:sz w:val="22"/>
        <w:szCs w:val="22"/>
        <w:bdr w:val="nil"/>
      </w:rPr>
      <w:pict w14:anchorId="0F96BFE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4" w15:restartNumberingAfterBreak="0">
    <w:nsid w:val="12322AA3"/>
    <w:multiLevelType w:val="hybridMultilevel"/>
    <w:tmpl w:val="06BA8E26"/>
    <w:lvl w:ilvl="0" w:tplc="BDDE7ADE">
      <w:start w:val="8"/>
      <w:numFmt w:val="decimal"/>
      <w:lvlText w:val="%1."/>
      <w:lvlJc w:val="left"/>
      <w:pPr>
        <w:tabs>
          <w:tab w:val="num" w:pos="1080"/>
        </w:tabs>
        <w:ind w:left="360" w:firstLine="720"/>
      </w:pPr>
      <w:rPr>
        <w:rFonts w:asciiTheme="majorHAnsi" w:hAnsiTheme="majorHAnsi" w:hint="default"/>
        <w:color w:val="auto"/>
        <w:sz w:val="20"/>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6" w15:restartNumberingAfterBreak="0">
    <w:nsid w:val="18A0629A"/>
    <w:multiLevelType w:val="hybridMultilevel"/>
    <w:tmpl w:val="2EF609B6"/>
    <w:lvl w:ilvl="0" w:tplc="F2C619CA">
      <w:start w:val="1"/>
      <w:numFmt w:val="decimal"/>
      <w:lvlText w:val="%1."/>
      <w:lvlJc w:val="left"/>
      <w:pPr>
        <w:ind w:left="45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Tahoma"/>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4" w15:restartNumberingAfterBreak="0">
    <w:nsid w:val="21E86F0F"/>
    <w:multiLevelType w:val="hybridMultilevel"/>
    <w:tmpl w:val="D39828EA"/>
    <w:styleLink w:val="ImportedStyle6"/>
    <w:lvl w:ilvl="0" w:tplc="1F008A38">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BB4C0FE">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D8AD98">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0A8B96E">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DC85C6C">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AE27590">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62A24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41C683C">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B65770">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7" w15:restartNumberingAfterBreak="0">
    <w:nsid w:val="23256FA9"/>
    <w:multiLevelType w:val="hybridMultilevel"/>
    <w:tmpl w:val="FE522B12"/>
    <w:lvl w:ilvl="0" w:tplc="361AE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0" w15:restartNumberingAfterBreak="0">
    <w:nsid w:val="2B3F49C6"/>
    <w:multiLevelType w:val="singleLevel"/>
    <w:tmpl w:val="720CB540"/>
    <w:lvl w:ilvl="0">
      <w:start w:val="1"/>
      <w:numFmt w:val="lowerRoman"/>
      <w:pStyle w:val="Rom2"/>
      <w:lvlText w:val="(%1)"/>
      <w:lvlJc w:val="right"/>
      <w:pPr>
        <w:tabs>
          <w:tab w:val="num" w:pos="2046"/>
        </w:tabs>
        <w:ind w:left="2046" w:hanging="516"/>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7" w15:restartNumberingAfterBreak="0">
    <w:nsid w:val="33D4192E"/>
    <w:multiLevelType w:val="hybridMultilevel"/>
    <w:tmpl w:val="FE522B12"/>
    <w:lvl w:ilvl="0" w:tplc="361AEF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32" w15:restartNumberingAfterBreak="0">
    <w:nsid w:val="3A35477D"/>
    <w:multiLevelType w:val="hybridMultilevel"/>
    <w:tmpl w:val="73727A48"/>
    <w:styleLink w:val="ImportedStyle5"/>
    <w:lvl w:ilvl="0" w:tplc="8B888242">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7361202">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486038E">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407FD4">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9EE6B6A">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3AF742">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3A4A1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5CD5B0">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841E64">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34" w15:restartNumberingAfterBreak="0">
    <w:nsid w:val="3BD10F52"/>
    <w:multiLevelType w:val="hybridMultilevel"/>
    <w:tmpl w:val="F76477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152F7B"/>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1" w15:restartNumberingAfterBreak="0">
    <w:nsid w:val="47DF6AAA"/>
    <w:multiLevelType w:val="hybridMultilevel"/>
    <w:tmpl w:val="F76477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Tahoma"/>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9"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063FFC"/>
    <w:multiLevelType w:val="hybridMultilevel"/>
    <w:tmpl w:val="BB6A699E"/>
    <w:styleLink w:val="ImportedStyle4"/>
    <w:lvl w:ilvl="0" w:tplc="4D38D32A">
      <w:start w:val="1"/>
      <w:numFmt w:val="decimal"/>
      <w:lvlText w:val="%1."/>
      <w:lvlJc w:val="left"/>
      <w:pPr>
        <w:tabs>
          <w:tab w:val="num" w:pos="1440"/>
        </w:tabs>
        <w:ind w:left="705" w:firstLine="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5499D0">
      <w:start w:val="1"/>
      <w:numFmt w:val="lowerLetter"/>
      <w:lvlText w:val="%2."/>
      <w:lvlJc w:val="left"/>
      <w:pPr>
        <w:tabs>
          <w:tab w:val="num" w:pos="1095"/>
        </w:tabs>
        <w:ind w:left="360"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AA06A2">
      <w:start w:val="1"/>
      <w:numFmt w:val="lowerRoman"/>
      <w:lvlText w:val="%3."/>
      <w:lvlJc w:val="left"/>
      <w:pPr>
        <w:tabs>
          <w:tab w:val="num" w:pos="1770"/>
        </w:tabs>
        <w:ind w:left="103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64ABDBE">
      <w:start w:val="1"/>
      <w:numFmt w:val="upperLetter"/>
      <w:lvlText w:val="%4."/>
      <w:lvlJc w:val="left"/>
      <w:pPr>
        <w:tabs>
          <w:tab w:val="num" w:pos="2850"/>
        </w:tabs>
        <w:ind w:left="211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B2059AA">
      <w:start w:val="1"/>
      <w:numFmt w:val="upperRoman"/>
      <w:lvlText w:val="%5."/>
      <w:lvlJc w:val="left"/>
      <w:pPr>
        <w:tabs>
          <w:tab w:val="num" w:pos="3570"/>
        </w:tabs>
        <w:ind w:left="283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9E490CC">
      <w:start w:val="1"/>
      <w:numFmt w:val="lowerRoman"/>
      <w:lvlText w:val="%6."/>
      <w:lvlJc w:val="left"/>
      <w:pPr>
        <w:tabs>
          <w:tab w:val="num" w:pos="3930"/>
        </w:tabs>
        <w:ind w:left="319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5286372">
      <w:start w:val="1"/>
      <w:numFmt w:val="decimal"/>
      <w:lvlText w:val="%7."/>
      <w:lvlJc w:val="left"/>
      <w:pPr>
        <w:tabs>
          <w:tab w:val="num" w:pos="4650"/>
        </w:tabs>
        <w:ind w:left="391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8CA4DA4">
      <w:start w:val="1"/>
      <w:numFmt w:val="lowerLetter"/>
      <w:lvlText w:val="%8."/>
      <w:lvlJc w:val="left"/>
      <w:pPr>
        <w:tabs>
          <w:tab w:val="num" w:pos="5370"/>
        </w:tabs>
        <w:ind w:left="463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440353E">
      <w:start w:val="1"/>
      <w:numFmt w:val="lowerRoman"/>
      <w:lvlText w:val="%9."/>
      <w:lvlJc w:val="left"/>
      <w:pPr>
        <w:tabs>
          <w:tab w:val="num" w:pos="6090"/>
        </w:tabs>
        <w:ind w:left="535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5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4" w15:restartNumberingAfterBreak="0">
    <w:nsid w:val="5C5E459A"/>
    <w:multiLevelType w:val="hybridMultilevel"/>
    <w:tmpl w:val="DFA2DF36"/>
    <w:styleLink w:val="ImportedStyle8"/>
    <w:lvl w:ilvl="0" w:tplc="AD90ED56">
      <w:start w:val="1"/>
      <w:numFmt w:val="decimal"/>
      <w:lvlText w:val="%1."/>
      <w:lvlJc w:val="left"/>
      <w:pPr>
        <w:ind w:left="1500" w:hanging="7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014B632">
      <w:start w:val="1"/>
      <w:numFmt w:val="lowerLetter"/>
      <w:lvlText w:val="%2."/>
      <w:lvlJc w:val="left"/>
      <w:pPr>
        <w:tabs>
          <w:tab w:val="left" w:pos="1500"/>
        </w:tabs>
        <w:ind w:left="18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58011E">
      <w:start w:val="1"/>
      <w:numFmt w:val="lowerRoman"/>
      <w:lvlText w:val="%3."/>
      <w:lvlJc w:val="left"/>
      <w:pPr>
        <w:tabs>
          <w:tab w:val="left" w:pos="1500"/>
        </w:tabs>
        <w:ind w:left="253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E2ADB6">
      <w:start w:val="1"/>
      <w:numFmt w:val="upperLetter"/>
      <w:lvlText w:val="%4."/>
      <w:lvlJc w:val="left"/>
      <w:pPr>
        <w:tabs>
          <w:tab w:val="left" w:pos="1500"/>
        </w:tabs>
        <w:ind w:left="361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52CB328">
      <w:start w:val="1"/>
      <w:numFmt w:val="upperRoman"/>
      <w:lvlText w:val="%5."/>
      <w:lvlJc w:val="left"/>
      <w:pPr>
        <w:tabs>
          <w:tab w:val="left" w:pos="1500"/>
        </w:tabs>
        <w:ind w:left="433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9E88C54">
      <w:start w:val="1"/>
      <w:numFmt w:val="lowerRoman"/>
      <w:lvlText w:val="%6."/>
      <w:lvlJc w:val="left"/>
      <w:pPr>
        <w:tabs>
          <w:tab w:val="left" w:pos="1500"/>
        </w:tabs>
        <w:ind w:left="469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405738">
      <w:start w:val="1"/>
      <w:numFmt w:val="decimal"/>
      <w:lvlText w:val="%7."/>
      <w:lvlJc w:val="left"/>
      <w:pPr>
        <w:tabs>
          <w:tab w:val="left" w:pos="1500"/>
        </w:tabs>
        <w:ind w:left="54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70B0D0">
      <w:start w:val="1"/>
      <w:numFmt w:val="lowerLetter"/>
      <w:lvlText w:val="%8."/>
      <w:lvlJc w:val="left"/>
      <w:pPr>
        <w:tabs>
          <w:tab w:val="left" w:pos="1500"/>
        </w:tabs>
        <w:ind w:left="613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A88B4D8">
      <w:start w:val="1"/>
      <w:numFmt w:val="lowerRoman"/>
      <w:lvlText w:val="%9."/>
      <w:lvlJc w:val="left"/>
      <w:pPr>
        <w:tabs>
          <w:tab w:val="left" w:pos="1500"/>
        </w:tabs>
        <w:ind w:left="685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8"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6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1" w15:restartNumberingAfterBreak="0">
    <w:nsid w:val="70786ED7"/>
    <w:multiLevelType w:val="hybridMultilevel"/>
    <w:tmpl w:val="893AFD0C"/>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ahoma"/>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b/>
        <w:bCs/>
        <w:color w:val="000000"/>
        <w:position w:val="0"/>
        <w:sz w:val="22"/>
        <w:szCs w:val="22"/>
        <w:u w:color="000000"/>
        <w:lang w:val="es-ES_tradnl"/>
      </w:rPr>
    </w:lvl>
  </w:abstractNum>
  <w:abstractNum w:abstractNumId="6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6" w15:restartNumberingAfterBreak="0">
    <w:nsid w:val="7C051419"/>
    <w:multiLevelType w:val="hybridMultilevel"/>
    <w:tmpl w:val="66148FEE"/>
    <w:styleLink w:val="ImportedStyle3"/>
    <w:lvl w:ilvl="0" w:tplc="15D02884">
      <w:start w:val="1"/>
      <w:numFmt w:val="decimal"/>
      <w:lvlText w:val="%1."/>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1DCCBF6">
      <w:start w:val="1"/>
      <w:numFmt w:val="lowerLetter"/>
      <w:lvlText w:val="%2."/>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9A4F8BC">
      <w:start w:val="1"/>
      <w:numFmt w:val="lowerRoman"/>
      <w:lvlText w:val="%3."/>
      <w:lvlJc w:val="left"/>
      <w:pPr>
        <w:tabs>
          <w:tab w:val="left" w:pos="1260"/>
          <w:tab w:val="num" w:pos="1620"/>
          <w:tab w:val="left" w:pos="2040"/>
        </w:tabs>
        <w:ind w:left="900" w:firstLine="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A443A76">
      <w:start w:val="1"/>
      <w:numFmt w:val="decimal"/>
      <w:lvlText w:val="%4."/>
      <w:lvlJc w:val="left"/>
      <w:pPr>
        <w:tabs>
          <w:tab w:val="left" w:pos="1260"/>
          <w:tab w:val="left" w:pos="1440"/>
          <w:tab w:val="num" w:pos="2340"/>
        </w:tabs>
        <w:ind w:left="162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D267004">
      <w:start w:val="1"/>
      <w:numFmt w:val="lowerLetter"/>
      <w:lvlText w:val="%5."/>
      <w:lvlJc w:val="left"/>
      <w:pPr>
        <w:tabs>
          <w:tab w:val="left" w:pos="1260"/>
          <w:tab w:val="left" w:pos="1440"/>
          <w:tab w:val="left" w:pos="2040"/>
          <w:tab w:val="num" w:pos="3060"/>
        </w:tabs>
        <w:ind w:left="23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AFEA3FC">
      <w:start w:val="1"/>
      <w:numFmt w:val="lowerRoman"/>
      <w:lvlText w:val="%6."/>
      <w:lvlJc w:val="left"/>
      <w:pPr>
        <w:tabs>
          <w:tab w:val="left" w:pos="1260"/>
          <w:tab w:val="left" w:pos="1440"/>
          <w:tab w:val="left" w:pos="2040"/>
          <w:tab w:val="num" w:pos="3780"/>
        </w:tabs>
        <w:ind w:left="306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62C94E">
      <w:start w:val="1"/>
      <w:numFmt w:val="decimal"/>
      <w:lvlText w:val="%7."/>
      <w:lvlJc w:val="left"/>
      <w:pPr>
        <w:tabs>
          <w:tab w:val="left" w:pos="1260"/>
          <w:tab w:val="left" w:pos="1440"/>
          <w:tab w:val="left" w:pos="2040"/>
          <w:tab w:val="num" w:pos="4500"/>
        </w:tabs>
        <w:ind w:left="378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DB87126">
      <w:start w:val="1"/>
      <w:numFmt w:val="lowerLetter"/>
      <w:lvlText w:val="%8."/>
      <w:lvlJc w:val="left"/>
      <w:pPr>
        <w:tabs>
          <w:tab w:val="left" w:pos="1260"/>
          <w:tab w:val="left" w:pos="1440"/>
          <w:tab w:val="left" w:pos="2040"/>
          <w:tab w:val="num" w:pos="5220"/>
        </w:tabs>
        <w:ind w:left="450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3CAD92A">
      <w:start w:val="1"/>
      <w:numFmt w:val="lowerRoman"/>
      <w:lvlText w:val="%9."/>
      <w:lvlJc w:val="left"/>
      <w:pPr>
        <w:tabs>
          <w:tab w:val="left" w:pos="1260"/>
          <w:tab w:val="left" w:pos="1440"/>
          <w:tab w:val="left" w:pos="2040"/>
          <w:tab w:val="num" w:pos="5940"/>
        </w:tabs>
        <w:ind w:left="522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9" w15:restartNumberingAfterBreak="0">
    <w:nsid w:val="7CE64D32"/>
    <w:multiLevelType w:val="hybridMultilevel"/>
    <w:tmpl w:val="9F8AF72C"/>
    <w:lvl w:ilvl="0" w:tplc="996A088A">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2C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4202A1AC">
      <w:start w:val="1"/>
      <w:numFmt w:val="lowerRoman"/>
      <w:pStyle w:val="Estilo7"/>
      <w:lvlText w:val="%3."/>
      <w:lvlJc w:val="right"/>
      <w:pPr>
        <w:tabs>
          <w:tab w:val="num" w:pos="2160"/>
        </w:tabs>
        <w:ind w:left="2160" w:hanging="180"/>
      </w:pPr>
      <w:rPr>
        <w:rFonts w:cs="Times New Roman"/>
      </w:rPr>
    </w:lvl>
    <w:lvl w:ilvl="3" w:tplc="3F0893E6">
      <w:start w:val="1"/>
      <w:numFmt w:val="decimal"/>
      <w:lvlText w:val="%4."/>
      <w:lvlJc w:val="left"/>
      <w:pPr>
        <w:tabs>
          <w:tab w:val="num" w:pos="2880"/>
        </w:tabs>
        <w:ind w:left="2880" w:hanging="360"/>
      </w:pPr>
      <w:rPr>
        <w:rFonts w:cs="Times New Roman"/>
      </w:rPr>
    </w:lvl>
    <w:lvl w:ilvl="4" w:tplc="E7BA4BB6">
      <w:start w:val="1"/>
      <w:numFmt w:val="lowerLetter"/>
      <w:lvlText w:val="%5."/>
      <w:lvlJc w:val="left"/>
      <w:pPr>
        <w:tabs>
          <w:tab w:val="num" w:pos="3600"/>
        </w:tabs>
        <w:ind w:left="3600" w:hanging="360"/>
      </w:pPr>
      <w:rPr>
        <w:rFonts w:cs="Times New Roman"/>
      </w:rPr>
    </w:lvl>
    <w:lvl w:ilvl="5" w:tplc="2C0A001B">
      <w:start w:val="1"/>
      <w:numFmt w:val="lowerRoman"/>
      <w:lvlText w:val="%6."/>
      <w:lvlJc w:val="right"/>
      <w:pPr>
        <w:tabs>
          <w:tab w:val="num" w:pos="4320"/>
        </w:tabs>
        <w:ind w:left="4320" w:hanging="18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lowerLetter"/>
      <w:lvlText w:val="%8."/>
      <w:lvlJc w:val="left"/>
      <w:pPr>
        <w:tabs>
          <w:tab w:val="num" w:pos="5760"/>
        </w:tabs>
        <w:ind w:left="5760" w:hanging="360"/>
      </w:pPr>
      <w:rPr>
        <w:rFonts w:cs="Times New Roman"/>
      </w:rPr>
    </w:lvl>
    <w:lvl w:ilvl="8" w:tplc="2C0A001B">
      <w:start w:val="1"/>
      <w:numFmt w:val="lowerRoman"/>
      <w:lvlText w:val="%9."/>
      <w:lvlJc w:val="right"/>
      <w:pPr>
        <w:tabs>
          <w:tab w:val="num" w:pos="6480"/>
        </w:tabs>
        <w:ind w:left="6480" w:hanging="180"/>
      </w:pPr>
      <w:rPr>
        <w:rFonts w:cs="Times New Roman"/>
      </w:rPr>
    </w:lvl>
  </w:abstractNum>
  <w:abstractNum w:abstractNumId="70" w15:restartNumberingAfterBreak="0">
    <w:nsid w:val="7D4C2BA8"/>
    <w:multiLevelType w:val="hybridMultilevel"/>
    <w:tmpl w:val="4C467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num w:numId="1">
    <w:abstractNumId w:val="3"/>
  </w:num>
  <w:num w:numId="2">
    <w:abstractNumId w:val="5"/>
  </w:num>
  <w:num w:numId="3">
    <w:abstractNumId w:val="64"/>
  </w:num>
  <w:num w:numId="4">
    <w:abstractNumId w:val="25"/>
  </w:num>
  <w:num w:numId="5">
    <w:abstractNumId w:val="57"/>
  </w:num>
  <w:num w:numId="6">
    <w:abstractNumId w:val="31"/>
  </w:num>
  <w:num w:numId="7">
    <w:abstractNumId w:val="8"/>
  </w:num>
  <w:num w:numId="8">
    <w:abstractNumId w:val="21"/>
  </w:num>
  <w:num w:numId="9">
    <w:abstractNumId w:val="51"/>
  </w:num>
  <w:num w:numId="10">
    <w:abstractNumId w:val="0"/>
  </w:num>
  <w:num w:numId="11">
    <w:abstractNumId w:val="44"/>
  </w:num>
  <w:num w:numId="12">
    <w:abstractNumId w:val="45"/>
  </w:num>
  <w:num w:numId="13">
    <w:abstractNumId w:val="52"/>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8"/>
  </w:num>
  <w:num w:numId="24">
    <w:abstractNumId w:val="19"/>
  </w:num>
  <w:num w:numId="25">
    <w:abstractNumId w:val="22"/>
  </w:num>
  <w:num w:numId="26">
    <w:abstractNumId w:val="23"/>
  </w:num>
  <w:num w:numId="27">
    <w:abstractNumId w:val="26"/>
  </w:num>
  <w:num w:numId="28">
    <w:abstractNumId w:val="28"/>
  </w:num>
  <w:num w:numId="29">
    <w:abstractNumId w:val="29"/>
  </w:num>
  <w:num w:numId="30">
    <w:abstractNumId w:val="30"/>
  </w:num>
  <w:num w:numId="31">
    <w:abstractNumId w:val="33"/>
  </w:num>
  <w:num w:numId="32">
    <w:abstractNumId w:val="36"/>
  </w:num>
  <w:num w:numId="33">
    <w:abstractNumId w:val="37"/>
  </w:num>
  <w:num w:numId="34">
    <w:abstractNumId w:val="38"/>
  </w:num>
  <w:num w:numId="35">
    <w:abstractNumId w:val="39"/>
  </w:num>
  <w:num w:numId="36">
    <w:abstractNumId w:val="40"/>
  </w:num>
  <w:num w:numId="37">
    <w:abstractNumId w:val="42"/>
  </w:num>
  <w:num w:numId="38">
    <w:abstractNumId w:val="43"/>
  </w:num>
  <w:num w:numId="39">
    <w:abstractNumId w:val="46"/>
  </w:num>
  <w:num w:numId="40">
    <w:abstractNumId w:val="47"/>
  </w:num>
  <w:num w:numId="41">
    <w:abstractNumId w:val="56"/>
  </w:num>
  <w:num w:numId="42">
    <w:abstractNumId w:val="59"/>
  </w:num>
  <w:num w:numId="43">
    <w:abstractNumId w:val="60"/>
  </w:num>
  <w:num w:numId="44">
    <w:abstractNumId w:val="62"/>
  </w:num>
  <w:num w:numId="45">
    <w:abstractNumId w:val="63"/>
  </w:num>
  <w:num w:numId="46">
    <w:abstractNumId w:val="65"/>
  </w:num>
  <w:num w:numId="47">
    <w:abstractNumId w:val="67"/>
  </w:num>
  <w:num w:numId="48">
    <w:abstractNumId w:val="68"/>
  </w:num>
  <w:num w:numId="49">
    <w:abstractNumId w:val="71"/>
  </w:num>
  <w:num w:numId="50">
    <w:abstractNumId w:val="72"/>
  </w:num>
  <w:num w:numId="51">
    <w:abstractNumId w:val="24"/>
  </w:num>
  <w:num w:numId="52">
    <w:abstractNumId w:val="48"/>
  </w:num>
  <w:num w:numId="53">
    <w:abstractNumId w:val="61"/>
  </w:num>
  <w:num w:numId="54">
    <w:abstractNumId w:val="53"/>
  </w:num>
  <w:num w:numId="55">
    <w:abstractNumId w:val="58"/>
  </w:num>
  <w:num w:numId="56">
    <w:abstractNumId w:val="49"/>
  </w:num>
  <w:num w:numId="57">
    <w:abstractNumId w:val="4"/>
  </w:num>
  <w:num w:numId="58">
    <w:abstractNumId w:val="66"/>
  </w:num>
  <w:num w:numId="59">
    <w:abstractNumId w:val="50"/>
  </w:num>
  <w:num w:numId="60">
    <w:abstractNumId w:val="32"/>
  </w:num>
  <w:num w:numId="61">
    <w:abstractNumId w:val="14"/>
  </w:num>
  <w:num w:numId="62">
    <w:abstractNumId w:val="54"/>
  </w:num>
  <w:num w:numId="63">
    <w:abstractNumId w:val="41"/>
  </w:num>
  <w:num w:numId="64">
    <w:abstractNumId w:val="34"/>
  </w:num>
  <w:num w:numId="65">
    <w:abstractNumId w:val="70"/>
  </w:num>
  <w:num w:numId="66">
    <w:abstractNumId w:val="55"/>
  </w:num>
  <w:num w:numId="67">
    <w:abstractNumId w:val="17"/>
  </w:num>
  <w:num w:numId="68">
    <w:abstractNumId w:val="7"/>
    <w:lvlOverride w:ilvl="0">
      <w:startOverride w:val="1"/>
    </w:lvlOverride>
  </w:num>
  <w:num w:numId="69">
    <w:abstractNumId w:val="6"/>
  </w:num>
  <w:num w:numId="70">
    <w:abstractNumId w:val="69"/>
  </w:num>
  <w:num w:numId="71">
    <w:abstractNumId w:val="20"/>
  </w:num>
  <w:num w:numId="72">
    <w:abstractNumId w:val="35"/>
  </w:num>
  <w:num w:numId="73">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8BC"/>
    <w:rsid w:val="00001B5B"/>
    <w:rsid w:val="00002328"/>
    <w:rsid w:val="000024D8"/>
    <w:rsid w:val="000030DC"/>
    <w:rsid w:val="00004472"/>
    <w:rsid w:val="000050CC"/>
    <w:rsid w:val="000053B9"/>
    <w:rsid w:val="00006922"/>
    <w:rsid w:val="00006D69"/>
    <w:rsid w:val="00006DD7"/>
    <w:rsid w:val="00006E50"/>
    <w:rsid w:val="00006EDD"/>
    <w:rsid w:val="000070D7"/>
    <w:rsid w:val="00007690"/>
    <w:rsid w:val="00007B4D"/>
    <w:rsid w:val="00010877"/>
    <w:rsid w:val="00010A7E"/>
    <w:rsid w:val="00010DEA"/>
    <w:rsid w:val="000111A8"/>
    <w:rsid w:val="00011E4C"/>
    <w:rsid w:val="00011EB8"/>
    <w:rsid w:val="000122F8"/>
    <w:rsid w:val="00012470"/>
    <w:rsid w:val="00012683"/>
    <w:rsid w:val="00012ADD"/>
    <w:rsid w:val="00012E4F"/>
    <w:rsid w:val="000135C7"/>
    <w:rsid w:val="00013F78"/>
    <w:rsid w:val="000157B5"/>
    <w:rsid w:val="00015F42"/>
    <w:rsid w:val="00016310"/>
    <w:rsid w:val="0001632A"/>
    <w:rsid w:val="00017552"/>
    <w:rsid w:val="000175BE"/>
    <w:rsid w:val="0001788C"/>
    <w:rsid w:val="00021050"/>
    <w:rsid w:val="00021201"/>
    <w:rsid w:val="00022424"/>
    <w:rsid w:val="00022AAD"/>
    <w:rsid w:val="0002357A"/>
    <w:rsid w:val="00023F11"/>
    <w:rsid w:val="00023F16"/>
    <w:rsid w:val="00024730"/>
    <w:rsid w:val="00024BB7"/>
    <w:rsid w:val="000253EF"/>
    <w:rsid w:val="00026242"/>
    <w:rsid w:val="000265CB"/>
    <w:rsid w:val="0002681D"/>
    <w:rsid w:val="00027222"/>
    <w:rsid w:val="0003022F"/>
    <w:rsid w:val="000303F4"/>
    <w:rsid w:val="000304FD"/>
    <w:rsid w:val="00030834"/>
    <w:rsid w:val="000319F2"/>
    <w:rsid w:val="00031A82"/>
    <w:rsid w:val="00032BDA"/>
    <w:rsid w:val="0003324D"/>
    <w:rsid w:val="000332F4"/>
    <w:rsid w:val="00033FD9"/>
    <w:rsid w:val="00034B54"/>
    <w:rsid w:val="00034C73"/>
    <w:rsid w:val="000350BE"/>
    <w:rsid w:val="00036A8A"/>
    <w:rsid w:val="00037CC9"/>
    <w:rsid w:val="000400AB"/>
    <w:rsid w:val="00040416"/>
    <w:rsid w:val="00040A7D"/>
    <w:rsid w:val="00040C3A"/>
    <w:rsid w:val="00040ECB"/>
    <w:rsid w:val="000418CA"/>
    <w:rsid w:val="00041B52"/>
    <w:rsid w:val="000427EE"/>
    <w:rsid w:val="0004390C"/>
    <w:rsid w:val="00045601"/>
    <w:rsid w:val="000459E0"/>
    <w:rsid w:val="0004681B"/>
    <w:rsid w:val="00046B36"/>
    <w:rsid w:val="0004761C"/>
    <w:rsid w:val="000476CF"/>
    <w:rsid w:val="00047F35"/>
    <w:rsid w:val="00050F42"/>
    <w:rsid w:val="000516F4"/>
    <w:rsid w:val="000517B2"/>
    <w:rsid w:val="00051EB4"/>
    <w:rsid w:val="000520FB"/>
    <w:rsid w:val="00052A24"/>
    <w:rsid w:val="00053172"/>
    <w:rsid w:val="00053EFA"/>
    <w:rsid w:val="00054E1B"/>
    <w:rsid w:val="000550C0"/>
    <w:rsid w:val="00055980"/>
    <w:rsid w:val="000559E9"/>
    <w:rsid w:val="00056307"/>
    <w:rsid w:val="000564E1"/>
    <w:rsid w:val="00057298"/>
    <w:rsid w:val="000576AA"/>
    <w:rsid w:val="00057ABB"/>
    <w:rsid w:val="00057D4F"/>
    <w:rsid w:val="00057EDB"/>
    <w:rsid w:val="00060666"/>
    <w:rsid w:val="000607E4"/>
    <w:rsid w:val="0006097A"/>
    <w:rsid w:val="0006147D"/>
    <w:rsid w:val="00062C0F"/>
    <w:rsid w:val="00062C28"/>
    <w:rsid w:val="00062E57"/>
    <w:rsid w:val="00062FEC"/>
    <w:rsid w:val="000630E1"/>
    <w:rsid w:val="000639C0"/>
    <w:rsid w:val="00063DD8"/>
    <w:rsid w:val="0006411F"/>
    <w:rsid w:val="000644B1"/>
    <w:rsid w:val="00064BE5"/>
    <w:rsid w:val="000657E1"/>
    <w:rsid w:val="00067767"/>
    <w:rsid w:val="000679BC"/>
    <w:rsid w:val="0007019C"/>
    <w:rsid w:val="0007030B"/>
    <w:rsid w:val="00070ABD"/>
    <w:rsid w:val="00070F3A"/>
    <w:rsid w:val="0007127E"/>
    <w:rsid w:val="000716C5"/>
    <w:rsid w:val="00071A9D"/>
    <w:rsid w:val="00071E45"/>
    <w:rsid w:val="00073088"/>
    <w:rsid w:val="00073E2C"/>
    <w:rsid w:val="00074669"/>
    <w:rsid w:val="0007575B"/>
    <w:rsid w:val="00075E23"/>
    <w:rsid w:val="00075E9A"/>
    <w:rsid w:val="000764E3"/>
    <w:rsid w:val="00077448"/>
    <w:rsid w:val="00077A87"/>
    <w:rsid w:val="00080249"/>
    <w:rsid w:val="00080357"/>
    <w:rsid w:val="00081EC3"/>
    <w:rsid w:val="000823DA"/>
    <w:rsid w:val="00082CBB"/>
    <w:rsid w:val="000830D5"/>
    <w:rsid w:val="00083411"/>
    <w:rsid w:val="00083E3C"/>
    <w:rsid w:val="00084A11"/>
    <w:rsid w:val="00084C5B"/>
    <w:rsid w:val="00084FE7"/>
    <w:rsid w:val="00085F60"/>
    <w:rsid w:val="00085F65"/>
    <w:rsid w:val="00086458"/>
    <w:rsid w:val="00086BA4"/>
    <w:rsid w:val="00086BFA"/>
    <w:rsid w:val="0008733D"/>
    <w:rsid w:val="00090720"/>
    <w:rsid w:val="00091707"/>
    <w:rsid w:val="000917D2"/>
    <w:rsid w:val="000919DF"/>
    <w:rsid w:val="000922C5"/>
    <w:rsid w:val="000924E3"/>
    <w:rsid w:val="00092817"/>
    <w:rsid w:val="000929B1"/>
    <w:rsid w:val="000929D9"/>
    <w:rsid w:val="00092F32"/>
    <w:rsid w:val="00093055"/>
    <w:rsid w:val="0009344A"/>
    <w:rsid w:val="00093974"/>
    <w:rsid w:val="0009454E"/>
    <w:rsid w:val="00094AFA"/>
    <w:rsid w:val="00095575"/>
    <w:rsid w:val="0009575D"/>
    <w:rsid w:val="0009594B"/>
    <w:rsid w:val="00096FA0"/>
    <w:rsid w:val="0009719E"/>
    <w:rsid w:val="000972E2"/>
    <w:rsid w:val="000973C5"/>
    <w:rsid w:val="000A0EF3"/>
    <w:rsid w:val="000A1126"/>
    <w:rsid w:val="000A1563"/>
    <w:rsid w:val="000A16DB"/>
    <w:rsid w:val="000A1E84"/>
    <w:rsid w:val="000A2085"/>
    <w:rsid w:val="000A24A2"/>
    <w:rsid w:val="000A254B"/>
    <w:rsid w:val="000A3276"/>
    <w:rsid w:val="000A349A"/>
    <w:rsid w:val="000A3C3B"/>
    <w:rsid w:val="000A3E84"/>
    <w:rsid w:val="000A4138"/>
    <w:rsid w:val="000A4DDD"/>
    <w:rsid w:val="000A575F"/>
    <w:rsid w:val="000A57C2"/>
    <w:rsid w:val="000A584B"/>
    <w:rsid w:val="000A5B0F"/>
    <w:rsid w:val="000A62C0"/>
    <w:rsid w:val="000A650D"/>
    <w:rsid w:val="000A65A3"/>
    <w:rsid w:val="000A66ED"/>
    <w:rsid w:val="000A6C50"/>
    <w:rsid w:val="000A71D9"/>
    <w:rsid w:val="000A7A76"/>
    <w:rsid w:val="000A7DBA"/>
    <w:rsid w:val="000B040F"/>
    <w:rsid w:val="000B25FC"/>
    <w:rsid w:val="000B276D"/>
    <w:rsid w:val="000B2EF7"/>
    <w:rsid w:val="000B459E"/>
    <w:rsid w:val="000B478D"/>
    <w:rsid w:val="000B4CB4"/>
    <w:rsid w:val="000B4DAF"/>
    <w:rsid w:val="000B4EAA"/>
    <w:rsid w:val="000B50C3"/>
    <w:rsid w:val="000B5673"/>
    <w:rsid w:val="000B5B77"/>
    <w:rsid w:val="000B64A7"/>
    <w:rsid w:val="000B7C57"/>
    <w:rsid w:val="000B7E36"/>
    <w:rsid w:val="000C0077"/>
    <w:rsid w:val="000C0092"/>
    <w:rsid w:val="000C0149"/>
    <w:rsid w:val="000C0497"/>
    <w:rsid w:val="000C04CF"/>
    <w:rsid w:val="000C05F2"/>
    <w:rsid w:val="000C1094"/>
    <w:rsid w:val="000C1B5A"/>
    <w:rsid w:val="000C2607"/>
    <w:rsid w:val="000C2798"/>
    <w:rsid w:val="000C29E2"/>
    <w:rsid w:val="000C376B"/>
    <w:rsid w:val="000C5BA0"/>
    <w:rsid w:val="000C6FFD"/>
    <w:rsid w:val="000D0860"/>
    <w:rsid w:val="000D10DB"/>
    <w:rsid w:val="000D1FC7"/>
    <w:rsid w:val="000D36AF"/>
    <w:rsid w:val="000D3921"/>
    <w:rsid w:val="000D3B27"/>
    <w:rsid w:val="000D3C8A"/>
    <w:rsid w:val="000D4348"/>
    <w:rsid w:val="000D4786"/>
    <w:rsid w:val="000D4818"/>
    <w:rsid w:val="000D5691"/>
    <w:rsid w:val="000D6817"/>
    <w:rsid w:val="000D68F4"/>
    <w:rsid w:val="000D6EEF"/>
    <w:rsid w:val="000E0F8F"/>
    <w:rsid w:val="000E1356"/>
    <w:rsid w:val="000E1572"/>
    <w:rsid w:val="000E27DC"/>
    <w:rsid w:val="000E359E"/>
    <w:rsid w:val="000E3937"/>
    <w:rsid w:val="000E3AE9"/>
    <w:rsid w:val="000E44C7"/>
    <w:rsid w:val="000E48E6"/>
    <w:rsid w:val="000E56C3"/>
    <w:rsid w:val="000E69B3"/>
    <w:rsid w:val="000E6EDD"/>
    <w:rsid w:val="000E7140"/>
    <w:rsid w:val="000E7636"/>
    <w:rsid w:val="000E7BFF"/>
    <w:rsid w:val="000E7ED0"/>
    <w:rsid w:val="000E7F69"/>
    <w:rsid w:val="000F0A25"/>
    <w:rsid w:val="000F0E34"/>
    <w:rsid w:val="000F0E52"/>
    <w:rsid w:val="000F0EEC"/>
    <w:rsid w:val="000F2276"/>
    <w:rsid w:val="000F253D"/>
    <w:rsid w:val="000F2638"/>
    <w:rsid w:val="000F2BBB"/>
    <w:rsid w:val="000F3422"/>
    <w:rsid w:val="000F44DE"/>
    <w:rsid w:val="000F4547"/>
    <w:rsid w:val="000F4D36"/>
    <w:rsid w:val="000F6E7F"/>
    <w:rsid w:val="000F7409"/>
    <w:rsid w:val="00100397"/>
    <w:rsid w:val="00100575"/>
    <w:rsid w:val="00101553"/>
    <w:rsid w:val="00102348"/>
    <w:rsid w:val="001024E3"/>
    <w:rsid w:val="00102521"/>
    <w:rsid w:val="001025B1"/>
    <w:rsid w:val="001032AB"/>
    <w:rsid w:val="00103526"/>
    <w:rsid w:val="001044C8"/>
    <w:rsid w:val="00104889"/>
    <w:rsid w:val="00104896"/>
    <w:rsid w:val="00104C50"/>
    <w:rsid w:val="00105433"/>
    <w:rsid w:val="001063FA"/>
    <w:rsid w:val="00106990"/>
    <w:rsid w:val="00107301"/>
    <w:rsid w:val="001079FB"/>
    <w:rsid w:val="00110623"/>
    <w:rsid w:val="00110679"/>
    <w:rsid w:val="00110A55"/>
    <w:rsid w:val="0011132C"/>
    <w:rsid w:val="00111FBB"/>
    <w:rsid w:val="00112617"/>
    <w:rsid w:val="001126EB"/>
    <w:rsid w:val="00113149"/>
    <w:rsid w:val="00113242"/>
    <w:rsid w:val="001134A8"/>
    <w:rsid w:val="00113D69"/>
    <w:rsid w:val="00114527"/>
    <w:rsid w:val="00114804"/>
    <w:rsid w:val="00115009"/>
    <w:rsid w:val="00117093"/>
    <w:rsid w:val="00122644"/>
    <w:rsid w:val="00123D96"/>
    <w:rsid w:val="00123ECD"/>
    <w:rsid w:val="00124EE1"/>
    <w:rsid w:val="001253DA"/>
    <w:rsid w:val="00125D3B"/>
    <w:rsid w:val="001267FB"/>
    <w:rsid w:val="001303D8"/>
    <w:rsid w:val="00130A27"/>
    <w:rsid w:val="00130DE9"/>
    <w:rsid w:val="00131042"/>
    <w:rsid w:val="0013104F"/>
    <w:rsid w:val="0013178F"/>
    <w:rsid w:val="00131A3E"/>
    <w:rsid w:val="00131B01"/>
    <w:rsid w:val="00133465"/>
    <w:rsid w:val="0013403C"/>
    <w:rsid w:val="00134072"/>
    <w:rsid w:val="00134B21"/>
    <w:rsid w:val="00134FF0"/>
    <w:rsid w:val="001357AD"/>
    <w:rsid w:val="001365B6"/>
    <w:rsid w:val="00136DFB"/>
    <w:rsid w:val="00137A3C"/>
    <w:rsid w:val="00137EBA"/>
    <w:rsid w:val="00137FBC"/>
    <w:rsid w:val="00140921"/>
    <w:rsid w:val="00141103"/>
    <w:rsid w:val="00141DEA"/>
    <w:rsid w:val="00142AE8"/>
    <w:rsid w:val="00143E4B"/>
    <w:rsid w:val="00143EB9"/>
    <w:rsid w:val="001448F7"/>
    <w:rsid w:val="00144954"/>
    <w:rsid w:val="0014495A"/>
    <w:rsid w:val="00145363"/>
    <w:rsid w:val="00145EDC"/>
    <w:rsid w:val="001475B0"/>
    <w:rsid w:val="00147723"/>
    <w:rsid w:val="001503E0"/>
    <w:rsid w:val="00150DD0"/>
    <w:rsid w:val="00150FA9"/>
    <w:rsid w:val="00152085"/>
    <w:rsid w:val="00152829"/>
    <w:rsid w:val="00152944"/>
    <w:rsid w:val="0015335C"/>
    <w:rsid w:val="001539B8"/>
    <w:rsid w:val="00154179"/>
    <w:rsid w:val="00154493"/>
    <w:rsid w:val="00154DAD"/>
    <w:rsid w:val="00155CAB"/>
    <w:rsid w:val="00155F1D"/>
    <w:rsid w:val="001572F2"/>
    <w:rsid w:val="00157341"/>
    <w:rsid w:val="0015757B"/>
    <w:rsid w:val="001577B2"/>
    <w:rsid w:val="00157A9F"/>
    <w:rsid w:val="001600A4"/>
    <w:rsid w:val="0016085A"/>
    <w:rsid w:val="0016108B"/>
    <w:rsid w:val="00161150"/>
    <w:rsid w:val="00162AAD"/>
    <w:rsid w:val="00162CEF"/>
    <w:rsid w:val="0016322C"/>
    <w:rsid w:val="001638DF"/>
    <w:rsid w:val="0016440B"/>
    <w:rsid w:val="00164631"/>
    <w:rsid w:val="0016465A"/>
    <w:rsid w:val="00166F26"/>
    <w:rsid w:val="00167378"/>
    <w:rsid w:val="00167A34"/>
    <w:rsid w:val="00170952"/>
    <w:rsid w:val="00170976"/>
    <w:rsid w:val="001710D1"/>
    <w:rsid w:val="0017144A"/>
    <w:rsid w:val="00171725"/>
    <w:rsid w:val="00172419"/>
    <w:rsid w:val="001729F2"/>
    <w:rsid w:val="001733D5"/>
    <w:rsid w:val="0017348C"/>
    <w:rsid w:val="001739DA"/>
    <w:rsid w:val="001739F5"/>
    <w:rsid w:val="001747B4"/>
    <w:rsid w:val="00174911"/>
    <w:rsid w:val="00174F72"/>
    <w:rsid w:val="00175827"/>
    <w:rsid w:val="00175FF3"/>
    <w:rsid w:val="0017642E"/>
    <w:rsid w:val="0018037F"/>
    <w:rsid w:val="001805B4"/>
    <w:rsid w:val="00180CD2"/>
    <w:rsid w:val="00180D3C"/>
    <w:rsid w:val="00180E3B"/>
    <w:rsid w:val="00180E3F"/>
    <w:rsid w:val="00180E6D"/>
    <w:rsid w:val="001819A8"/>
    <w:rsid w:val="00182F27"/>
    <w:rsid w:val="00184083"/>
    <w:rsid w:val="00184BFA"/>
    <w:rsid w:val="00184C6F"/>
    <w:rsid w:val="00185910"/>
    <w:rsid w:val="00186ED5"/>
    <w:rsid w:val="00187268"/>
    <w:rsid w:val="00187702"/>
    <w:rsid w:val="00190214"/>
    <w:rsid w:val="00190DC0"/>
    <w:rsid w:val="00191201"/>
    <w:rsid w:val="001917D9"/>
    <w:rsid w:val="0019182E"/>
    <w:rsid w:val="00191F07"/>
    <w:rsid w:val="00192DB0"/>
    <w:rsid w:val="0019332D"/>
    <w:rsid w:val="001937A5"/>
    <w:rsid w:val="00193AA9"/>
    <w:rsid w:val="001947D8"/>
    <w:rsid w:val="00194F22"/>
    <w:rsid w:val="00195976"/>
    <w:rsid w:val="001965CC"/>
    <w:rsid w:val="0019748D"/>
    <w:rsid w:val="00197E4F"/>
    <w:rsid w:val="001A10CD"/>
    <w:rsid w:val="001A2434"/>
    <w:rsid w:val="001A2543"/>
    <w:rsid w:val="001A512A"/>
    <w:rsid w:val="001A5F27"/>
    <w:rsid w:val="001A6423"/>
    <w:rsid w:val="001A64EB"/>
    <w:rsid w:val="001A7439"/>
    <w:rsid w:val="001A768E"/>
    <w:rsid w:val="001A7870"/>
    <w:rsid w:val="001A7EDC"/>
    <w:rsid w:val="001B0BF8"/>
    <w:rsid w:val="001B17B9"/>
    <w:rsid w:val="001B180A"/>
    <w:rsid w:val="001B185A"/>
    <w:rsid w:val="001B1E51"/>
    <w:rsid w:val="001B3279"/>
    <w:rsid w:val="001B3495"/>
    <w:rsid w:val="001B3A8D"/>
    <w:rsid w:val="001B4974"/>
    <w:rsid w:val="001B5426"/>
    <w:rsid w:val="001B56BC"/>
    <w:rsid w:val="001B5F45"/>
    <w:rsid w:val="001B688B"/>
    <w:rsid w:val="001B6CAA"/>
    <w:rsid w:val="001B7A71"/>
    <w:rsid w:val="001B7BA1"/>
    <w:rsid w:val="001C04BF"/>
    <w:rsid w:val="001C1B41"/>
    <w:rsid w:val="001C2003"/>
    <w:rsid w:val="001C2173"/>
    <w:rsid w:val="001C241E"/>
    <w:rsid w:val="001C255E"/>
    <w:rsid w:val="001C3032"/>
    <w:rsid w:val="001C38BC"/>
    <w:rsid w:val="001C3B2D"/>
    <w:rsid w:val="001C3B95"/>
    <w:rsid w:val="001C3CB6"/>
    <w:rsid w:val="001C4006"/>
    <w:rsid w:val="001C48AF"/>
    <w:rsid w:val="001C6025"/>
    <w:rsid w:val="001C68E7"/>
    <w:rsid w:val="001C6E0E"/>
    <w:rsid w:val="001C6F52"/>
    <w:rsid w:val="001D1343"/>
    <w:rsid w:val="001D1A17"/>
    <w:rsid w:val="001D1FC1"/>
    <w:rsid w:val="001D20F6"/>
    <w:rsid w:val="001D2946"/>
    <w:rsid w:val="001D3D21"/>
    <w:rsid w:val="001D4204"/>
    <w:rsid w:val="001D48AD"/>
    <w:rsid w:val="001D4D75"/>
    <w:rsid w:val="001D59B1"/>
    <w:rsid w:val="001D606A"/>
    <w:rsid w:val="001D7B08"/>
    <w:rsid w:val="001D7B45"/>
    <w:rsid w:val="001E0270"/>
    <w:rsid w:val="001E0A37"/>
    <w:rsid w:val="001E10CA"/>
    <w:rsid w:val="001E19B5"/>
    <w:rsid w:val="001E1DC2"/>
    <w:rsid w:val="001E2867"/>
    <w:rsid w:val="001E2CB7"/>
    <w:rsid w:val="001E3060"/>
    <w:rsid w:val="001E3B05"/>
    <w:rsid w:val="001E3F3E"/>
    <w:rsid w:val="001E477E"/>
    <w:rsid w:val="001E4D7D"/>
    <w:rsid w:val="001E50A7"/>
    <w:rsid w:val="001E53FB"/>
    <w:rsid w:val="001E5A1A"/>
    <w:rsid w:val="001E5C68"/>
    <w:rsid w:val="001E5F04"/>
    <w:rsid w:val="001E61E9"/>
    <w:rsid w:val="001E6855"/>
    <w:rsid w:val="001E699E"/>
    <w:rsid w:val="001E6C37"/>
    <w:rsid w:val="001F0B72"/>
    <w:rsid w:val="001F1530"/>
    <w:rsid w:val="001F1F7E"/>
    <w:rsid w:val="001F3A88"/>
    <w:rsid w:val="001F3B00"/>
    <w:rsid w:val="001F3CD7"/>
    <w:rsid w:val="001F3D15"/>
    <w:rsid w:val="001F5563"/>
    <w:rsid w:val="001F5848"/>
    <w:rsid w:val="001F62D9"/>
    <w:rsid w:val="001F6767"/>
    <w:rsid w:val="002012FE"/>
    <w:rsid w:val="00201BC7"/>
    <w:rsid w:val="002025DC"/>
    <w:rsid w:val="002027D1"/>
    <w:rsid w:val="00202A19"/>
    <w:rsid w:val="0020347B"/>
    <w:rsid w:val="002035AA"/>
    <w:rsid w:val="00203841"/>
    <w:rsid w:val="00204924"/>
    <w:rsid w:val="00204DFD"/>
    <w:rsid w:val="002056C8"/>
    <w:rsid w:val="0020602D"/>
    <w:rsid w:val="002060BB"/>
    <w:rsid w:val="00207544"/>
    <w:rsid w:val="00207E1E"/>
    <w:rsid w:val="0021055A"/>
    <w:rsid w:val="00210C9B"/>
    <w:rsid w:val="00210E0E"/>
    <w:rsid w:val="00212721"/>
    <w:rsid w:val="00212CAA"/>
    <w:rsid w:val="00212CF8"/>
    <w:rsid w:val="00213A2F"/>
    <w:rsid w:val="00214A40"/>
    <w:rsid w:val="0021591D"/>
    <w:rsid w:val="00215CE2"/>
    <w:rsid w:val="00216668"/>
    <w:rsid w:val="00217D6A"/>
    <w:rsid w:val="00220BAE"/>
    <w:rsid w:val="0022169F"/>
    <w:rsid w:val="00222050"/>
    <w:rsid w:val="002226AA"/>
    <w:rsid w:val="00223226"/>
    <w:rsid w:val="00223245"/>
    <w:rsid w:val="00224B5E"/>
    <w:rsid w:val="00225375"/>
    <w:rsid w:val="002256AE"/>
    <w:rsid w:val="00225B08"/>
    <w:rsid w:val="002277C3"/>
    <w:rsid w:val="00227F75"/>
    <w:rsid w:val="0023061B"/>
    <w:rsid w:val="00231CD1"/>
    <w:rsid w:val="002331ED"/>
    <w:rsid w:val="00233E74"/>
    <w:rsid w:val="002351E7"/>
    <w:rsid w:val="002369B8"/>
    <w:rsid w:val="00236FA5"/>
    <w:rsid w:val="00237C54"/>
    <w:rsid w:val="00237F27"/>
    <w:rsid w:val="00240336"/>
    <w:rsid w:val="0024070A"/>
    <w:rsid w:val="00241B9E"/>
    <w:rsid w:val="0024247E"/>
    <w:rsid w:val="00242663"/>
    <w:rsid w:val="0024379B"/>
    <w:rsid w:val="00245446"/>
    <w:rsid w:val="002458B2"/>
    <w:rsid w:val="00245A42"/>
    <w:rsid w:val="00246179"/>
    <w:rsid w:val="00246514"/>
    <w:rsid w:val="00246E7D"/>
    <w:rsid w:val="00247019"/>
    <w:rsid w:val="00247403"/>
    <w:rsid w:val="00247542"/>
    <w:rsid w:val="00247592"/>
    <w:rsid w:val="00250662"/>
    <w:rsid w:val="00250B61"/>
    <w:rsid w:val="00250F0E"/>
    <w:rsid w:val="00250F42"/>
    <w:rsid w:val="002517BF"/>
    <w:rsid w:val="00251963"/>
    <w:rsid w:val="00252FB1"/>
    <w:rsid w:val="00253F1B"/>
    <w:rsid w:val="00254C67"/>
    <w:rsid w:val="00255140"/>
    <w:rsid w:val="002552DF"/>
    <w:rsid w:val="0025532E"/>
    <w:rsid w:val="00255475"/>
    <w:rsid w:val="00255609"/>
    <w:rsid w:val="00255759"/>
    <w:rsid w:val="00256377"/>
    <w:rsid w:val="00256813"/>
    <w:rsid w:val="00256D45"/>
    <w:rsid w:val="00257893"/>
    <w:rsid w:val="0026109F"/>
    <w:rsid w:val="0026154C"/>
    <w:rsid w:val="00261863"/>
    <w:rsid w:val="002626A2"/>
    <w:rsid w:val="002626F5"/>
    <w:rsid w:val="00262910"/>
    <w:rsid w:val="00262ECA"/>
    <w:rsid w:val="00263B2B"/>
    <w:rsid w:val="00264033"/>
    <w:rsid w:val="00264225"/>
    <w:rsid w:val="00264870"/>
    <w:rsid w:val="00264944"/>
    <w:rsid w:val="00264C00"/>
    <w:rsid w:val="002651E4"/>
    <w:rsid w:val="00266092"/>
    <w:rsid w:val="00266806"/>
    <w:rsid w:val="00266B61"/>
    <w:rsid w:val="00267094"/>
    <w:rsid w:val="0026712A"/>
    <w:rsid w:val="00267891"/>
    <w:rsid w:val="00267EF0"/>
    <w:rsid w:val="002701A7"/>
    <w:rsid w:val="002704DB"/>
    <w:rsid w:val="002704E0"/>
    <w:rsid w:val="00270C7A"/>
    <w:rsid w:val="00271175"/>
    <w:rsid w:val="00272596"/>
    <w:rsid w:val="00272854"/>
    <w:rsid w:val="00272A02"/>
    <w:rsid w:val="00272DEF"/>
    <w:rsid w:val="00272F7D"/>
    <w:rsid w:val="00273032"/>
    <w:rsid w:val="002730F6"/>
    <w:rsid w:val="00273643"/>
    <w:rsid w:val="00273817"/>
    <w:rsid w:val="00274587"/>
    <w:rsid w:val="00274F86"/>
    <w:rsid w:val="00275FC9"/>
    <w:rsid w:val="00276C31"/>
    <w:rsid w:val="002775BE"/>
    <w:rsid w:val="0028046B"/>
    <w:rsid w:val="00280A25"/>
    <w:rsid w:val="00280CA2"/>
    <w:rsid w:val="00280F11"/>
    <w:rsid w:val="0028111A"/>
    <w:rsid w:val="00281C7C"/>
    <w:rsid w:val="00282BEA"/>
    <w:rsid w:val="00283909"/>
    <w:rsid w:val="00284829"/>
    <w:rsid w:val="00284E33"/>
    <w:rsid w:val="00284E86"/>
    <w:rsid w:val="002853CC"/>
    <w:rsid w:val="00285EC8"/>
    <w:rsid w:val="0028653A"/>
    <w:rsid w:val="002869C6"/>
    <w:rsid w:val="00286E49"/>
    <w:rsid w:val="00287642"/>
    <w:rsid w:val="00287680"/>
    <w:rsid w:val="00290094"/>
    <w:rsid w:val="002918C3"/>
    <w:rsid w:val="00291C7D"/>
    <w:rsid w:val="00292239"/>
    <w:rsid w:val="00292CEC"/>
    <w:rsid w:val="0029397E"/>
    <w:rsid w:val="00293A80"/>
    <w:rsid w:val="00293AEB"/>
    <w:rsid w:val="00293B75"/>
    <w:rsid w:val="0029466E"/>
    <w:rsid w:val="00294727"/>
    <w:rsid w:val="00294B4A"/>
    <w:rsid w:val="00294FA9"/>
    <w:rsid w:val="0029615A"/>
    <w:rsid w:val="002963E4"/>
    <w:rsid w:val="00296580"/>
    <w:rsid w:val="00296C1B"/>
    <w:rsid w:val="00296D6B"/>
    <w:rsid w:val="0029715B"/>
    <w:rsid w:val="00297288"/>
    <w:rsid w:val="0029754B"/>
    <w:rsid w:val="002A00C2"/>
    <w:rsid w:val="002A036F"/>
    <w:rsid w:val="002A05B1"/>
    <w:rsid w:val="002A0FF3"/>
    <w:rsid w:val="002A13A4"/>
    <w:rsid w:val="002A1C6E"/>
    <w:rsid w:val="002A1D6A"/>
    <w:rsid w:val="002A24D4"/>
    <w:rsid w:val="002A2720"/>
    <w:rsid w:val="002A2E09"/>
    <w:rsid w:val="002A3CD5"/>
    <w:rsid w:val="002A5FE2"/>
    <w:rsid w:val="002A6C68"/>
    <w:rsid w:val="002A6D5A"/>
    <w:rsid w:val="002A733A"/>
    <w:rsid w:val="002A749A"/>
    <w:rsid w:val="002A7A01"/>
    <w:rsid w:val="002A7E04"/>
    <w:rsid w:val="002B008D"/>
    <w:rsid w:val="002B01A2"/>
    <w:rsid w:val="002B0BE7"/>
    <w:rsid w:val="002B110C"/>
    <w:rsid w:val="002B1184"/>
    <w:rsid w:val="002B1EF2"/>
    <w:rsid w:val="002B2AB5"/>
    <w:rsid w:val="002B30E6"/>
    <w:rsid w:val="002B382E"/>
    <w:rsid w:val="002B4B61"/>
    <w:rsid w:val="002B4BBC"/>
    <w:rsid w:val="002B5E1B"/>
    <w:rsid w:val="002B5F8A"/>
    <w:rsid w:val="002C01DB"/>
    <w:rsid w:val="002C09D0"/>
    <w:rsid w:val="002C10D7"/>
    <w:rsid w:val="002C1641"/>
    <w:rsid w:val="002C1705"/>
    <w:rsid w:val="002C1841"/>
    <w:rsid w:val="002C1EB3"/>
    <w:rsid w:val="002C1FE5"/>
    <w:rsid w:val="002C3312"/>
    <w:rsid w:val="002C3671"/>
    <w:rsid w:val="002C3D66"/>
    <w:rsid w:val="002C4070"/>
    <w:rsid w:val="002C4F62"/>
    <w:rsid w:val="002C5364"/>
    <w:rsid w:val="002C58D2"/>
    <w:rsid w:val="002C5A89"/>
    <w:rsid w:val="002C5EC4"/>
    <w:rsid w:val="002C7B08"/>
    <w:rsid w:val="002D033F"/>
    <w:rsid w:val="002D2317"/>
    <w:rsid w:val="002D45C2"/>
    <w:rsid w:val="002D4CA0"/>
    <w:rsid w:val="002D5B26"/>
    <w:rsid w:val="002D628F"/>
    <w:rsid w:val="002D6E69"/>
    <w:rsid w:val="002D6E99"/>
    <w:rsid w:val="002D71ED"/>
    <w:rsid w:val="002D7DC4"/>
    <w:rsid w:val="002D7EA2"/>
    <w:rsid w:val="002E013A"/>
    <w:rsid w:val="002E03A4"/>
    <w:rsid w:val="002E0A45"/>
    <w:rsid w:val="002E0A82"/>
    <w:rsid w:val="002E10DC"/>
    <w:rsid w:val="002E15DF"/>
    <w:rsid w:val="002E187C"/>
    <w:rsid w:val="002E18E3"/>
    <w:rsid w:val="002E1CDE"/>
    <w:rsid w:val="002E1DCB"/>
    <w:rsid w:val="002E24EF"/>
    <w:rsid w:val="002E2B08"/>
    <w:rsid w:val="002E2F47"/>
    <w:rsid w:val="002E307B"/>
    <w:rsid w:val="002E349E"/>
    <w:rsid w:val="002E35D7"/>
    <w:rsid w:val="002E3C15"/>
    <w:rsid w:val="002E432F"/>
    <w:rsid w:val="002E43C9"/>
    <w:rsid w:val="002E4F78"/>
    <w:rsid w:val="002E61E7"/>
    <w:rsid w:val="002E6267"/>
    <w:rsid w:val="002E6E57"/>
    <w:rsid w:val="002E71E1"/>
    <w:rsid w:val="002E755E"/>
    <w:rsid w:val="002E78C1"/>
    <w:rsid w:val="002E7E79"/>
    <w:rsid w:val="002F0198"/>
    <w:rsid w:val="002F0459"/>
    <w:rsid w:val="002F097A"/>
    <w:rsid w:val="002F0B39"/>
    <w:rsid w:val="002F1351"/>
    <w:rsid w:val="002F15EA"/>
    <w:rsid w:val="002F1716"/>
    <w:rsid w:val="002F17C9"/>
    <w:rsid w:val="002F1B00"/>
    <w:rsid w:val="002F2267"/>
    <w:rsid w:val="002F25BB"/>
    <w:rsid w:val="002F2D41"/>
    <w:rsid w:val="002F3202"/>
    <w:rsid w:val="002F3554"/>
    <w:rsid w:val="002F3598"/>
    <w:rsid w:val="002F35CB"/>
    <w:rsid w:val="002F3D27"/>
    <w:rsid w:val="002F414B"/>
    <w:rsid w:val="002F443F"/>
    <w:rsid w:val="002F44AB"/>
    <w:rsid w:val="002F503E"/>
    <w:rsid w:val="002F56BB"/>
    <w:rsid w:val="002F5E45"/>
    <w:rsid w:val="002F6201"/>
    <w:rsid w:val="002F63D9"/>
    <w:rsid w:val="002F6C1E"/>
    <w:rsid w:val="002F6ECD"/>
    <w:rsid w:val="002F7B0F"/>
    <w:rsid w:val="00301075"/>
    <w:rsid w:val="00301B3D"/>
    <w:rsid w:val="00301DFA"/>
    <w:rsid w:val="00301F71"/>
    <w:rsid w:val="00302577"/>
    <w:rsid w:val="00302733"/>
    <w:rsid w:val="00303707"/>
    <w:rsid w:val="00303AB8"/>
    <w:rsid w:val="00303B04"/>
    <w:rsid w:val="00303B8C"/>
    <w:rsid w:val="0030446B"/>
    <w:rsid w:val="00304EED"/>
    <w:rsid w:val="0030600F"/>
    <w:rsid w:val="00306D2A"/>
    <w:rsid w:val="00307C8D"/>
    <w:rsid w:val="003103D0"/>
    <w:rsid w:val="003107B6"/>
    <w:rsid w:val="00310803"/>
    <w:rsid w:val="00310E56"/>
    <w:rsid w:val="0031103F"/>
    <w:rsid w:val="003112C6"/>
    <w:rsid w:val="00311A4F"/>
    <w:rsid w:val="003131E1"/>
    <w:rsid w:val="00313332"/>
    <w:rsid w:val="00314078"/>
    <w:rsid w:val="00314713"/>
    <w:rsid w:val="003151F8"/>
    <w:rsid w:val="003158EC"/>
    <w:rsid w:val="00315905"/>
    <w:rsid w:val="00316559"/>
    <w:rsid w:val="00316BFA"/>
    <w:rsid w:val="0031724D"/>
    <w:rsid w:val="00317255"/>
    <w:rsid w:val="003177F3"/>
    <w:rsid w:val="00317E8A"/>
    <w:rsid w:val="00320402"/>
    <w:rsid w:val="00320A64"/>
    <w:rsid w:val="00321560"/>
    <w:rsid w:val="00321A96"/>
    <w:rsid w:val="00322398"/>
    <w:rsid w:val="00322450"/>
    <w:rsid w:val="00323366"/>
    <w:rsid w:val="00323D46"/>
    <w:rsid w:val="003241CF"/>
    <w:rsid w:val="003245A7"/>
    <w:rsid w:val="003246B5"/>
    <w:rsid w:val="003249CF"/>
    <w:rsid w:val="003267B5"/>
    <w:rsid w:val="00326DB8"/>
    <w:rsid w:val="00327424"/>
    <w:rsid w:val="00327501"/>
    <w:rsid w:val="00330196"/>
    <w:rsid w:val="00330E0E"/>
    <w:rsid w:val="0033161A"/>
    <w:rsid w:val="00331687"/>
    <w:rsid w:val="0033169F"/>
    <w:rsid w:val="00332152"/>
    <w:rsid w:val="00332727"/>
    <w:rsid w:val="00332C3A"/>
    <w:rsid w:val="003330D2"/>
    <w:rsid w:val="0033574D"/>
    <w:rsid w:val="00336085"/>
    <w:rsid w:val="00337546"/>
    <w:rsid w:val="003378E0"/>
    <w:rsid w:val="00337961"/>
    <w:rsid w:val="00337C43"/>
    <w:rsid w:val="003407E0"/>
    <w:rsid w:val="00340A95"/>
    <w:rsid w:val="003410A6"/>
    <w:rsid w:val="003414AC"/>
    <w:rsid w:val="003414E6"/>
    <w:rsid w:val="00341676"/>
    <w:rsid w:val="003419BB"/>
    <w:rsid w:val="00341C39"/>
    <w:rsid w:val="00342070"/>
    <w:rsid w:val="0034228B"/>
    <w:rsid w:val="00342964"/>
    <w:rsid w:val="0034347C"/>
    <w:rsid w:val="0034357F"/>
    <w:rsid w:val="003447BB"/>
    <w:rsid w:val="00344B38"/>
    <w:rsid w:val="0034591F"/>
    <w:rsid w:val="0034593B"/>
    <w:rsid w:val="003464A2"/>
    <w:rsid w:val="00346D16"/>
    <w:rsid w:val="0034711B"/>
    <w:rsid w:val="0034772D"/>
    <w:rsid w:val="00347742"/>
    <w:rsid w:val="00351660"/>
    <w:rsid w:val="003520F3"/>
    <w:rsid w:val="00352984"/>
    <w:rsid w:val="00353AA7"/>
    <w:rsid w:val="003544BC"/>
    <w:rsid w:val="0035485A"/>
    <w:rsid w:val="00354C44"/>
    <w:rsid w:val="00355779"/>
    <w:rsid w:val="00355DBF"/>
    <w:rsid w:val="00356185"/>
    <w:rsid w:val="003566C5"/>
    <w:rsid w:val="00356ADE"/>
    <w:rsid w:val="00357206"/>
    <w:rsid w:val="0035782F"/>
    <w:rsid w:val="00357C4D"/>
    <w:rsid w:val="00357D78"/>
    <w:rsid w:val="00360380"/>
    <w:rsid w:val="003604FE"/>
    <w:rsid w:val="0036137D"/>
    <w:rsid w:val="00361EB7"/>
    <w:rsid w:val="00362113"/>
    <w:rsid w:val="003627FC"/>
    <w:rsid w:val="00362FE0"/>
    <w:rsid w:val="0036346A"/>
    <w:rsid w:val="00363DD2"/>
    <w:rsid w:val="00364759"/>
    <w:rsid w:val="00365D52"/>
    <w:rsid w:val="00366182"/>
    <w:rsid w:val="00366CF0"/>
    <w:rsid w:val="00366DBE"/>
    <w:rsid w:val="00367444"/>
    <w:rsid w:val="003675B8"/>
    <w:rsid w:val="00367FBF"/>
    <w:rsid w:val="0037070D"/>
    <w:rsid w:val="003709D0"/>
    <w:rsid w:val="00370DD4"/>
    <w:rsid w:val="003712A0"/>
    <w:rsid w:val="003712A7"/>
    <w:rsid w:val="003717F0"/>
    <w:rsid w:val="00371EFD"/>
    <w:rsid w:val="003724FD"/>
    <w:rsid w:val="00372C5E"/>
    <w:rsid w:val="00372F8E"/>
    <w:rsid w:val="00373790"/>
    <w:rsid w:val="003741EF"/>
    <w:rsid w:val="003745F9"/>
    <w:rsid w:val="00374940"/>
    <w:rsid w:val="003750C8"/>
    <w:rsid w:val="003759D2"/>
    <w:rsid w:val="00376244"/>
    <w:rsid w:val="00377AD8"/>
    <w:rsid w:val="00380582"/>
    <w:rsid w:val="00380645"/>
    <w:rsid w:val="00380A1D"/>
    <w:rsid w:val="00380B67"/>
    <w:rsid w:val="00380B68"/>
    <w:rsid w:val="00380ECF"/>
    <w:rsid w:val="00381B43"/>
    <w:rsid w:val="0038209A"/>
    <w:rsid w:val="00382598"/>
    <w:rsid w:val="00382CE7"/>
    <w:rsid w:val="0038330F"/>
    <w:rsid w:val="00383FA4"/>
    <w:rsid w:val="00384072"/>
    <w:rsid w:val="0038421B"/>
    <w:rsid w:val="00384B4D"/>
    <w:rsid w:val="00385B08"/>
    <w:rsid w:val="00386CF0"/>
    <w:rsid w:val="00386FEA"/>
    <w:rsid w:val="00387480"/>
    <w:rsid w:val="00387722"/>
    <w:rsid w:val="003902B2"/>
    <w:rsid w:val="0039061F"/>
    <w:rsid w:val="00390A8A"/>
    <w:rsid w:val="00390D19"/>
    <w:rsid w:val="00390E14"/>
    <w:rsid w:val="00390EE7"/>
    <w:rsid w:val="00391CD8"/>
    <w:rsid w:val="0039274F"/>
    <w:rsid w:val="00393955"/>
    <w:rsid w:val="00393C8E"/>
    <w:rsid w:val="00394041"/>
    <w:rsid w:val="00394608"/>
    <w:rsid w:val="0039471C"/>
    <w:rsid w:val="00394A5D"/>
    <w:rsid w:val="003957E0"/>
    <w:rsid w:val="00395A03"/>
    <w:rsid w:val="00396106"/>
    <w:rsid w:val="003964BF"/>
    <w:rsid w:val="003A14C8"/>
    <w:rsid w:val="003A187E"/>
    <w:rsid w:val="003A1AE3"/>
    <w:rsid w:val="003A27F4"/>
    <w:rsid w:val="003A2DC1"/>
    <w:rsid w:val="003A3C43"/>
    <w:rsid w:val="003A4790"/>
    <w:rsid w:val="003A485E"/>
    <w:rsid w:val="003A4B42"/>
    <w:rsid w:val="003A513C"/>
    <w:rsid w:val="003A527A"/>
    <w:rsid w:val="003A6019"/>
    <w:rsid w:val="003A632E"/>
    <w:rsid w:val="003A71F1"/>
    <w:rsid w:val="003A75A8"/>
    <w:rsid w:val="003A7BFE"/>
    <w:rsid w:val="003B12B2"/>
    <w:rsid w:val="003B1D02"/>
    <w:rsid w:val="003B294A"/>
    <w:rsid w:val="003B2C86"/>
    <w:rsid w:val="003B349D"/>
    <w:rsid w:val="003B3E94"/>
    <w:rsid w:val="003B5C8C"/>
    <w:rsid w:val="003B63A0"/>
    <w:rsid w:val="003B640E"/>
    <w:rsid w:val="003B6423"/>
    <w:rsid w:val="003B66DC"/>
    <w:rsid w:val="003B6950"/>
    <w:rsid w:val="003B7028"/>
    <w:rsid w:val="003B7EB1"/>
    <w:rsid w:val="003C0DCD"/>
    <w:rsid w:val="003C23AD"/>
    <w:rsid w:val="003C32BC"/>
    <w:rsid w:val="003C3303"/>
    <w:rsid w:val="003C3722"/>
    <w:rsid w:val="003C4BC0"/>
    <w:rsid w:val="003C4D18"/>
    <w:rsid w:val="003C54AD"/>
    <w:rsid w:val="003C5E1D"/>
    <w:rsid w:val="003C6480"/>
    <w:rsid w:val="003C6866"/>
    <w:rsid w:val="003C6FCC"/>
    <w:rsid w:val="003C7061"/>
    <w:rsid w:val="003C7B23"/>
    <w:rsid w:val="003D0C05"/>
    <w:rsid w:val="003D0D3E"/>
    <w:rsid w:val="003D1094"/>
    <w:rsid w:val="003D1B14"/>
    <w:rsid w:val="003D1E49"/>
    <w:rsid w:val="003D20B1"/>
    <w:rsid w:val="003D2871"/>
    <w:rsid w:val="003D2BA4"/>
    <w:rsid w:val="003D2C7F"/>
    <w:rsid w:val="003D3435"/>
    <w:rsid w:val="003D3507"/>
    <w:rsid w:val="003D3E1C"/>
    <w:rsid w:val="003D40A7"/>
    <w:rsid w:val="003D4A67"/>
    <w:rsid w:val="003D51A2"/>
    <w:rsid w:val="003D5A38"/>
    <w:rsid w:val="003D5CD7"/>
    <w:rsid w:val="003D5F18"/>
    <w:rsid w:val="003D6644"/>
    <w:rsid w:val="003D79BC"/>
    <w:rsid w:val="003E06A3"/>
    <w:rsid w:val="003E0852"/>
    <w:rsid w:val="003E086D"/>
    <w:rsid w:val="003E1FEC"/>
    <w:rsid w:val="003E2564"/>
    <w:rsid w:val="003E296F"/>
    <w:rsid w:val="003E2DA9"/>
    <w:rsid w:val="003E366F"/>
    <w:rsid w:val="003E452B"/>
    <w:rsid w:val="003E4D93"/>
    <w:rsid w:val="003E4E8A"/>
    <w:rsid w:val="003E520F"/>
    <w:rsid w:val="003E60B8"/>
    <w:rsid w:val="003E613A"/>
    <w:rsid w:val="003E65E7"/>
    <w:rsid w:val="003E68BB"/>
    <w:rsid w:val="003E6EB4"/>
    <w:rsid w:val="003E6FB6"/>
    <w:rsid w:val="003E70A6"/>
    <w:rsid w:val="003E7380"/>
    <w:rsid w:val="003F0153"/>
    <w:rsid w:val="003F03FA"/>
    <w:rsid w:val="003F0B2B"/>
    <w:rsid w:val="003F1230"/>
    <w:rsid w:val="003F128B"/>
    <w:rsid w:val="003F130A"/>
    <w:rsid w:val="003F1820"/>
    <w:rsid w:val="003F1BBF"/>
    <w:rsid w:val="003F2D46"/>
    <w:rsid w:val="003F34CF"/>
    <w:rsid w:val="003F3C64"/>
    <w:rsid w:val="003F5E78"/>
    <w:rsid w:val="003F6707"/>
    <w:rsid w:val="003F7001"/>
    <w:rsid w:val="003F7161"/>
    <w:rsid w:val="00400881"/>
    <w:rsid w:val="00400E6B"/>
    <w:rsid w:val="00400EA4"/>
    <w:rsid w:val="004010E9"/>
    <w:rsid w:val="004020C2"/>
    <w:rsid w:val="004022E4"/>
    <w:rsid w:val="00403061"/>
    <w:rsid w:val="004042EA"/>
    <w:rsid w:val="00404333"/>
    <w:rsid w:val="00404A51"/>
    <w:rsid w:val="00404EFC"/>
    <w:rsid w:val="00404F22"/>
    <w:rsid w:val="00405991"/>
    <w:rsid w:val="00405F19"/>
    <w:rsid w:val="00406721"/>
    <w:rsid w:val="004069C7"/>
    <w:rsid w:val="00406CB6"/>
    <w:rsid w:val="0040735D"/>
    <w:rsid w:val="0040759C"/>
    <w:rsid w:val="00407C03"/>
    <w:rsid w:val="00407F3D"/>
    <w:rsid w:val="00410808"/>
    <w:rsid w:val="00410925"/>
    <w:rsid w:val="00410BC8"/>
    <w:rsid w:val="00410D88"/>
    <w:rsid w:val="00411FE3"/>
    <w:rsid w:val="004122AE"/>
    <w:rsid w:val="0041301B"/>
    <w:rsid w:val="00413B37"/>
    <w:rsid w:val="00413FD2"/>
    <w:rsid w:val="004142F6"/>
    <w:rsid w:val="00415033"/>
    <w:rsid w:val="004155D1"/>
    <w:rsid w:val="00415BAE"/>
    <w:rsid w:val="004165C2"/>
    <w:rsid w:val="00417263"/>
    <w:rsid w:val="00417356"/>
    <w:rsid w:val="0041797E"/>
    <w:rsid w:val="00417A36"/>
    <w:rsid w:val="00417E33"/>
    <w:rsid w:val="00420510"/>
    <w:rsid w:val="00421BA4"/>
    <w:rsid w:val="0042244A"/>
    <w:rsid w:val="00423909"/>
    <w:rsid w:val="004256D7"/>
    <w:rsid w:val="004258CE"/>
    <w:rsid w:val="0042692E"/>
    <w:rsid w:val="00426A93"/>
    <w:rsid w:val="00426DB7"/>
    <w:rsid w:val="0042717E"/>
    <w:rsid w:val="00427406"/>
    <w:rsid w:val="0042749C"/>
    <w:rsid w:val="00427B63"/>
    <w:rsid w:val="00430A6B"/>
    <w:rsid w:val="00432731"/>
    <w:rsid w:val="00432D26"/>
    <w:rsid w:val="004332C3"/>
    <w:rsid w:val="004333AC"/>
    <w:rsid w:val="004336EA"/>
    <w:rsid w:val="0043380C"/>
    <w:rsid w:val="00436950"/>
    <w:rsid w:val="00436C44"/>
    <w:rsid w:val="00436C66"/>
    <w:rsid w:val="004401E5"/>
    <w:rsid w:val="004404D0"/>
    <w:rsid w:val="004405AE"/>
    <w:rsid w:val="00440603"/>
    <w:rsid w:val="0044139C"/>
    <w:rsid w:val="004413C0"/>
    <w:rsid w:val="00441D48"/>
    <w:rsid w:val="00441E7C"/>
    <w:rsid w:val="00443E6F"/>
    <w:rsid w:val="00444596"/>
    <w:rsid w:val="00445C74"/>
    <w:rsid w:val="0044656D"/>
    <w:rsid w:val="00446F15"/>
    <w:rsid w:val="0044706E"/>
    <w:rsid w:val="00447468"/>
    <w:rsid w:val="00447B8F"/>
    <w:rsid w:val="00450A4A"/>
    <w:rsid w:val="00450D96"/>
    <w:rsid w:val="00451A25"/>
    <w:rsid w:val="00451DEB"/>
    <w:rsid w:val="004526C7"/>
    <w:rsid w:val="004529E6"/>
    <w:rsid w:val="00453466"/>
    <w:rsid w:val="00454492"/>
    <w:rsid w:val="0045481D"/>
    <w:rsid w:val="00455165"/>
    <w:rsid w:val="0045524E"/>
    <w:rsid w:val="00457228"/>
    <w:rsid w:val="00457B89"/>
    <w:rsid w:val="00460177"/>
    <w:rsid w:val="0046041C"/>
    <w:rsid w:val="0046072C"/>
    <w:rsid w:val="00461C77"/>
    <w:rsid w:val="0046208F"/>
    <w:rsid w:val="00462248"/>
    <w:rsid w:val="0046269E"/>
    <w:rsid w:val="00462781"/>
    <w:rsid w:val="00462F9A"/>
    <w:rsid w:val="004630F5"/>
    <w:rsid w:val="004642EF"/>
    <w:rsid w:val="00464AC3"/>
    <w:rsid w:val="0046516D"/>
    <w:rsid w:val="004654E1"/>
    <w:rsid w:val="00465637"/>
    <w:rsid w:val="0046574C"/>
    <w:rsid w:val="00465954"/>
    <w:rsid w:val="004665DF"/>
    <w:rsid w:val="004666FB"/>
    <w:rsid w:val="00467542"/>
    <w:rsid w:val="00467B7E"/>
    <w:rsid w:val="00467CF1"/>
    <w:rsid w:val="00467FED"/>
    <w:rsid w:val="0047006D"/>
    <w:rsid w:val="00471927"/>
    <w:rsid w:val="00471BC8"/>
    <w:rsid w:val="004721EE"/>
    <w:rsid w:val="004730AF"/>
    <w:rsid w:val="00476B10"/>
    <w:rsid w:val="00476CBD"/>
    <w:rsid w:val="00477BE3"/>
    <w:rsid w:val="00477C46"/>
    <w:rsid w:val="00477D29"/>
    <w:rsid w:val="00480954"/>
    <w:rsid w:val="0048119E"/>
    <w:rsid w:val="00481C1F"/>
    <w:rsid w:val="00482208"/>
    <w:rsid w:val="00482528"/>
    <w:rsid w:val="00482644"/>
    <w:rsid w:val="00483146"/>
    <w:rsid w:val="00483697"/>
    <w:rsid w:val="00483974"/>
    <w:rsid w:val="00483D9E"/>
    <w:rsid w:val="004849E6"/>
    <w:rsid w:val="00484B2F"/>
    <w:rsid w:val="00484F80"/>
    <w:rsid w:val="004850C2"/>
    <w:rsid w:val="00486A15"/>
    <w:rsid w:val="0048701C"/>
    <w:rsid w:val="0048728E"/>
    <w:rsid w:val="004907E1"/>
    <w:rsid w:val="00490BE7"/>
    <w:rsid w:val="00490C98"/>
    <w:rsid w:val="0049232D"/>
    <w:rsid w:val="00492AE4"/>
    <w:rsid w:val="00493D82"/>
    <w:rsid w:val="0049419D"/>
    <w:rsid w:val="00495029"/>
    <w:rsid w:val="00495396"/>
    <w:rsid w:val="00495CD7"/>
    <w:rsid w:val="0049602B"/>
    <w:rsid w:val="004962B8"/>
    <w:rsid w:val="00496687"/>
    <w:rsid w:val="00496C01"/>
    <w:rsid w:val="00496C69"/>
    <w:rsid w:val="00496DBC"/>
    <w:rsid w:val="0049749D"/>
    <w:rsid w:val="004977D3"/>
    <w:rsid w:val="00497D68"/>
    <w:rsid w:val="004A0977"/>
    <w:rsid w:val="004A17A5"/>
    <w:rsid w:val="004A1B66"/>
    <w:rsid w:val="004A1EEA"/>
    <w:rsid w:val="004A2B9D"/>
    <w:rsid w:val="004A37A5"/>
    <w:rsid w:val="004A3806"/>
    <w:rsid w:val="004A3DC4"/>
    <w:rsid w:val="004A3F9D"/>
    <w:rsid w:val="004A4A3E"/>
    <w:rsid w:val="004A4DB0"/>
    <w:rsid w:val="004A514F"/>
    <w:rsid w:val="004A5E82"/>
    <w:rsid w:val="004A7C29"/>
    <w:rsid w:val="004B0E68"/>
    <w:rsid w:val="004B1705"/>
    <w:rsid w:val="004B2634"/>
    <w:rsid w:val="004B2762"/>
    <w:rsid w:val="004B2B7F"/>
    <w:rsid w:val="004B2DE8"/>
    <w:rsid w:val="004B388C"/>
    <w:rsid w:val="004B40A9"/>
    <w:rsid w:val="004B45B7"/>
    <w:rsid w:val="004B4E6F"/>
    <w:rsid w:val="004B4F74"/>
    <w:rsid w:val="004B5331"/>
    <w:rsid w:val="004B545B"/>
    <w:rsid w:val="004B5E19"/>
    <w:rsid w:val="004B6077"/>
    <w:rsid w:val="004B66D7"/>
    <w:rsid w:val="004B7EB6"/>
    <w:rsid w:val="004C0029"/>
    <w:rsid w:val="004C0FE4"/>
    <w:rsid w:val="004C127B"/>
    <w:rsid w:val="004C1734"/>
    <w:rsid w:val="004C17B4"/>
    <w:rsid w:val="004C1D25"/>
    <w:rsid w:val="004C27E2"/>
    <w:rsid w:val="004C42F3"/>
    <w:rsid w:val="004C4B62"/>
    <w:rsid w:val="004C599D"/>
    <w:rsid w:val="004C68B8"/>
    <w:rsid w:val="004C7257"/>
    <w:rsid w:val="004C758F"/>
    <w:rsid w:val="004C77DC"/>
    <w:rsid w:val="004C7EE2"/>
    <w:rsid w:val="004D0229"/>
    <w:rsid w:val="004D2DCF"/>
    <w:rsid w:val="004D3135"/>
    <w:rsid w:val="004D337D"/>
    <w:rsid w:val="004D37B1"/>
    <w:rsid w:val="004D394B"/>
    <w:rsid w:val="004D3F81"/>
    <w:rsid w:val="004D4782"/>
    <w:rsid w:val="004D4A6A"/>
    <w:rsid w:val="004D4D1B"/>
    <w:rsid w:val="004D5E9F"/>
    <w:rsid w:val="004D5F30"/>
    <w:rsid w:val="004D6025"/>
    <w:rsid w:val="004D6123"/>
    <w:rsid w:val="004D657F"/>
    <w:rsid w:val="004D660E"/>
    <w:rsid w:val="004D72BC"/>
    <w:rsid w:val="004D78B4"/>
    <w:rsid w:val="004D7DD9"/>
    <w:rsid w:val="004E038C"/>
    <w:rsid w:val="004E2452"/>
    <w:rsid w:val="004E29FA"/>
    <w:rsid w:val="004E2BB5"/>
    <w:rsid w:val="004E3A16"/>
    <w:rsid w:val="004E4761"/>
    <w:rsid w:val="004E5303"/>
    <w:rsid w:val="004E58DB"/>
    <w:rsid w:val="004E6130"/>
    <w:rsid w:val="004E6C9C"/>
    <w:rsid w:val="004F01F0"/>
    <w:rsid w:val="004F04A5"/>
    <w:rsid w:val="004F0842"/>
    <w:rsid w:val="004F0928"/>
    <w:rsid w:val="004F1334"/>
    <w:rsid w:val="004F15C4"/>
    <w:rsid w:val="004F16E8"/>
    <w:rsid w:val="004F1DAD"/>
    <w:rsid w:val="004F2694"/>
    <w:rsid w:val="004F2B91"/>
    <w:rsid w:val="004F2FC4"/>
    <w:rsid w:val="004F3195"/>
    <w:rsid w:val="004F37CA"/>
    <w:rsid w:val="004F3905"/>
    <w:rsid w:val="004F3DBE"/>
    <w:rsid w:val="004F439E"/>
    <w:rsid w:val="004F43A1"/>
    <w:rsid w:val="004F441A"/>
    <w:rsid w:val="004F4C1C"/>
    <w:rsid w:val="004F530D"/>
    <w:rsid w:val="004F5466"/>
    <w:rsid w:val="004F6949"/>
    <w:rsid w:val="004F69EA"/>
    <w:rsid w:val="004F69ED"/>
    <w:rsid w:val="004F73A7"/>
    <w:rsid w:val="004F763B"/>
    <w:rsid w:val="005008C7"/>
    <w:rsid w:val="00500F42"/>
    <w:rsid w:val="0050128F"/>
    <w:rsid w:val="00501399"/>
    <w:rsid w:val="00501DFB"/>
    <w:rsid w:val="005028FE"/>
    <w:rsid w:val="00502E35"/>
    <w:rsid w:val="00503C4C"/>
    <w:rsid w:val="0050536C"/>
    <w:rsid w:val="0050562E"/>
    <w:rsid w:val="00505B63"/>
    <w:rsid w:val="00506017"/>
    <w:rsid w:val="0050624E"/>
    <w:rsid w:val="005066A4"/>
    <w:rsid w:val="005068B0"/>
    <w:rsid w:val="00507534"/>
    <w:rsid w:val="00507BC4"/>
    <w:rsid w:val="00507BF9"/>
    <w:rsid w:val="005101A7"/>
    <w:rsid w:val="00510311"/>
    <w:rsid w:val="00510AA9"/>
    <w:rsid w:val="00511377"/>
    <w:rsid w:val="00511A13"/>
    <w:rsid w:val="005121CC"/>
    <w:rsid w:val="00512224"/>
    <w:rsid w:val="005128E4"/>
    <w:rsid w:val="00512A35"/>
    <w:rsid w:val="00513229"/>
    <w:rsid w:val="00513B75"/>
    <w:rsid w:val="005152B7"/>
    <w:rsid w:val="005159CF"/>
    <w:rsid w:val="0051633B"/>
    <w:rsid w:val="00516BBE"/>
    <w:rsid w:val="0052063F"/>
    <w:rsid w:val="00521909"/>
    <w:rsid w:val="005223AF"/>
    <w:rsid w:val="00523977"/>
    <w:rsid w:val="00524268"/>
    <w:rsid w:val="00524748"/>
    <w:rsid w:val="00525278"/>
    <w:rsid w:val="00525560"/>
    <w:rsid w:val="00525C32"/>
    <w:rsid w:val="00525F05"/>
    <w:rsid w:val="00526204"/>
    <w:rsid w:val="005267AC"/>
    <w:rsid w:val="00527461"/>
    <w:rsid w:val="00527BB3"/>
    <w:rsid w:val="00530295"/>
    <w:rsid w:val="00530B2B"/>
    <w:rsid w:val="00531008"/>
    <w:rsid w:val="0053187E"/>
    <w:rsid w:val="00531BC6"/>
    <w:rsid w:val="00531FDC"/>
    <w:rsid w:val="005325F6"/>
    <w:rsid w:val="00532D2D"/>
    <w:rsid w:val="00532F64"/>
    <w:rsid w:val="00533CF3"/>
    <w:rsid w:val="00533D17"/>
    <w:rsid w:val="00533F63"/>
    <w:rsid w:val="005343C0"/>
    <w:rsid w:val="005346E1"/>
    <w:rsid w:val="00535135"/>
    <w:rsid w:val="005357A6"/>
    <w:rsid w:val="0053592E"/>
    <w:rsid w:val="00535FF9"/>
    <w:rsid w:val="005366E5"/>
    <w:rsid w:val="005367D0"/>
    <w:rsid w:val="00536848"/>
    <w:rsid w:val="00536B9E"/>
    <w:rsid w:val="00536F9B"/>
    <w:rsid w:val="005401F2"/>
    <w:rsid w:val="00540AEC"/>
    <w:rsid w:val="00540D36"/>
    <w:rsid w:val="005410DA"/>
    <w:rsid w:val="00541B01"/>
    <w:rsid w:val="005422EF"/>
    <w:rsid w:val="005430A6"/>
    <w:rsid w:val="00543705"/>
    <w:rsid w:val="005439C3"/>
    <w:rsid w:val="00544038"/>
    <w:rsid w:val="005442AD"/>
    <w:rsid w:val="00544C49"/>
    <w:rsid w:val="0054561F"/>
    <w:rsid w:val="005456B2"/>
    <w:rsid w:val="0054591A"/>
    <w:rsid w:val="005463BC"/>
    <w:rsid w:val="00547EB7"/>
    <w:rsid w:val="00550141"/>
    <w:rsid w:val="00550A2B"/>
    <w:rsid w:val="0055160C"/>
    <w:rsid w:val="0055226A"/>
    <w:rsid w:val="00552FC3"/>
    <w:rsid w:val="005531BB"/>
    <w:rsid w:val="00553D72"/>
    <w:rsid w:val="00553EC6"/>
    <w:rsid w:val="005541E1"/>
    <w:rsid w:val="00554AD8"/>
    <w:rsid w:val="00554BAB"/>
    <w:rsid w:val="005557F2"/>
    <w:rsid w:val="00555A6E"/>
    <w:rsid w:val="00557C07"/>
    <w:rsid w:val="005625D4"/>
    <w:rsid w:val="005627FD"/>
    <w:rsid w:val="00562E4A"/>
    <w:rsid w:val="005633E7"/>
    <w:rsid w:val="00563605"/>
    <w:rsid w:val="00563F04"/>
    <w:rsid w:val="0056432A"/>
    <w:rsid w:val="005649BB"/>
    <w:rsid w:val="005653C0"/>
    <w:rsid w:val="00565909"/>
    <w:rsid w:val="00565B4B"/>
    <w:rsid w:val="00566E0E"/>
    <w:rsid w:val="00567D03"/>
    <w:rsid w:val="005706EF"/>
    <w:rsid w:val="00570AF2"/>
    <w:rsid w:val="00570B0D"/>
    <w:rsid w:val="00571247"/>
    <w:rsid w:val="005737AD"/>
    <w:rsid w:val="00573D77"/>
    <w:rsid w:val="0057402A"/>
    <w:rsid w:val="00574148"/>
    <w:rsid w:val="005744A4"/>
    <w:rsid w:val="005755D5"/>
    <w:rsid w:val="00575B84"/>
    <w:rsid w:val="00575C82"/>
    <w:rsid w:val="00576205"/>
    <w:rsid w:val="005764DD"/>
    <w:rsid w:val="00576832"/>
    <w:rsid w:val="00576D19"/>
    <w:rsid w:val="005771D0"/>
    <w:rsid w:val="005800E2"/>
    <w:rsid w:val="0058022B"/>
    <w:rsid w:val="005808A8"/>
    <w:rsid w:val="00580FD1"/>
    <w:rsid w:val="00581ACD"/>
    <w:rsid w:val="00581C7F"/>
    <w:rsid w:val="00582750"/>
    <w:rsid w:val="00582FEA"/>
    <w:rsid w:val="0058343A"/>
    <w:rsid w:val="005847E1"/>
    <w:rsid w:val="00584C28"/>
    <w:rsid w:val="00585684"/>
    <w:rsid w:val="005856D3"/>
    <w:rsid w:val="00585DED"/>
    <w:rsid w:val="00586954"/>
    <w:rsid w:val="00587964"/>
    <w:rsid w:val="00587D7B"/>
    <w:rsid w:val="00587FDF"/>
    <w:rsid w:val="0059019F"/>
    <w:rsid w:val="005902A3"/>
    <w:rsid w:val="0059066D"/>
    <w:rsid w:val="00590BF3"/>
    <w:rsid w:val="00590C43"/>
    <w:rsid w:val="005910C0"/>
    <w:rsid w:val="005916E2"/>
    <w:rsid w:val="0059177B"/>
    <w:rsid w:val="0059191A"/>
    <w:rsid w:val="0059191D"/>
    <w:rsid w:val="00591B96"/>
    <w:rsid w:val="00591F60"/>
    <w:rsid w:val="005921FF"/>
    <w:rsid w:val="0059318E"/>
    <w:rsid w:val="005937E2"/>
    <w:rsid w:val="00594CE1"/>
    <w:rsid w:val="0059548C"/>
    <w:rsid w:val="00596514"/>
    <w:rsid w:val="0059670F"/>
    <w:rsid w:val="00596ABE"/>
    <w:rsid w:val="00596AD3"/>
    <w:rsid w:val="00596F42"/>
    <w:rsid w:val="00597106"/>
    <w:rsid w:val="00597162"/>
    <w:rsid w:val="0059770B"/>
    <w:rsid w:val="00597C8A"/>
    <w:rsid w:val="00597E00"/>
    <w:rsid w:val="005A0108"/>
    <w:rsid w:val="005A038F"/>
    <w:rsid w:val="005A0410"/>
    <w:rsid w:val="005A05DB"/>
    <w:rsid w:val="005A0E4A"/>
    <w:rsid w:val="005A1D02"/>
    <w:rsid w:val="005A2B76"/>
    <w:rsid w:val="005A2C3B"/>
    <w:rsid w:val="005A2E9B"/>
    <w:rsid w:val="005A35B4"/>
    <w:rsid w:val="005A482E"/>
    <w:rsid w:val="005A4C18"/>
    <w:rsid w:val="005A4F80"/>
    <w:rsid w:val="005A5234"/>
    <w:rsid w:val="005A6205"/>
    <w:rsid w:val="005A6D0E"/>
    <w:rsid w:val="005A6E50"/>
    <w:rsid w:val="005A6EFD"/>
    <w:rsid w:val="005A734E"/>
    <w:rsid w:val="005B0001"/>
    <w:rsid w:val="005B0656"/>
    <w:rsid w:val="005B0DC1"/>
    <w:rsid w:val="005B222D"/>
    <w:rsid w:val="005B28A7"/>
    <w:rsid w:val="005B38A5"/>
    <w:rsid w:val="005B3D3E"/>
    <w:rsid w:val="005B3DEC"/>
    <w:rsid w:val="005B3E39"/>
    <w:rsid w:val="005B3EF2"/>
    <w:rsid w:val="005B416A"/>
    <w:rsid w:val="005B52B0"/>
    <w:rsid w:val="005B5C8B"/>
    <w:rsid w:val="005B5F01"/>
    <w:rsid w:val="005B67DE"/>
    <w:rsid w:val="005B6806"/>
    <w:rsid w:val="005B6B81"/>
    <w:rsid w:val="005B711D"/>
    <w:rsid w:val="005B76FC"/>
    <w:rsid w:val="005C00F9"/>
    <w:rsid w:val="005C05FA"/>
    <w:rsid w:val="005C0F65"/>
    <w:rsid w:val="005C164F"/>
    <w:rsid w:val="005C17D6"/>
    <w:rsid w:val="005C1853"/>
    <w:rsid w:val="005C1A8D"/>
    <w:rsid w:val="005C1D3C"/>
    <w:rsid w:val="005C1D8E"/>
    <w:rsid w:val="005C207A"/>
    <w:rsid w:val="005C23BD"/>
    <w:rsid w:val="005C23D5"/>
    <w:rsid w:val="005C2A55"/>
    <w:rsid w:val="005C2BA2"/>
    <w:rsid w:val="005C2D08"/>
    <w:rsid w:val="005C2E02"/>
    <w:rsid w:val="005C3149"/>
    <w:rsid w:val="005C3C6C"/>
    <w:rsid w:val="005C4011"/>
    <w:rsid w:val="005C4225"/>
    <w:rsid w:val="005C4AF4"/>
    <w:rsid w:val="005C5F93"/>
    <w:rsid w:val="005C79E9"/>
    <w:rsid w:val="005D0AC5"/>
    <w:rsid w:val="005D0FBF"/>
    <w:rsid w:val="005D1076"/>
    <w:rsid w:val="005D1464"/>
    <w:rsid w:val="005D2666"/>
    <w:rsid w:val="005D2B08"/>
    <w:rsid w:val="005D50AD"/>
    <w:rsid w:val="005D53CB"/>
    <w:rsid w:val="005D55A5"/>
    <w:rsid w:val="005D5C54"/>
    <w:rsid w:val="005D5DED"/>
    <w:rsid w:val="005D629A"/>
    <w:rsid w:val="005D67EC"/>
    <w:rsid w:val="005D6891"/>
    <w:rsid w:val="005D6A03"/>
    <w:rsid w:val="005D6AC4"/>
    <w:rsid w:val="005D6B2C"/>
    <w:rsid w:val="005D7191"/>
    <w:rsid w:val="005D7280"/>
    <w:rsid w:val="005E09BC"/>
    <w:rsid w:val="005E154B"/>
    <w:rsid w:val="005E1D4B"/>
    <w:rsid w:val="005E2719"/>
    <w:rsid w:val="005E2BDE"/>
    <w:rsid w:val="005E4A95"/>
    <w:rsid w:val="005E4F8B"/>
    <w:rsid w:val="005E5196"/>
    <w:rsid w:val="005E5258"/>
    <w:rsid w:val="005E5419"/>
    <w:rsid w:val="005E6912"/>
    <w:rsid w:val="005E6C0C"/>
    <w:rsid w:val="005E6EE3"/>
    <w:rsid w:val="005E74C5"/>
    <w:rsid w:val="005E7642"/>
    <w:rsid w:val="005E772D"/>
    <w:rsid w:val="005E7B70"/>
    <w:rsid w:val="005F0F33"/>
    <w:rsid w:val="005F14E1"/>
    <w:rsid w:val="005F1C54"/>
    <w:rsid w:val="005F2A0D"/>
    <w:rsid w:val="005F32A0"/>
    <w:rsid w:val="005F36B8"/>
    <w:rsid w:val="005F3F11"/>
    <w:rsid w:val="005F4ED7"/>
    <w:rsid w:val="005F5456"/>
    <w:rsid w:val="005F55DC"/>
    <w:rsid w:val="005F5DDA"/>
    <w:rsid w:val="005F66C7"/>
    <w:rsid w:val="005F6958"/>
    <w:rsid w:val="005F7C35"/>
    <w:rsid w:val="0060040E"/>
    <w:rsid w:val="006004D3"/>
    <w:rsid w:val="006005C1"/>
    <w:rsid w:val="00600A96"/>
    <w:rsid w:val="00600DEB"/>
    <w:rsid w:val="00600EE3"/>
    <w:rsid w:val="00600FC6"/>
    <w:rsid w:val="00601688"/>
    <w:rsid w:val="006018C9"/>
    <w:rsid w:val="00602146"/>
    <w:rsid w:val="00602B9B"/>
    <w:rsid w:val="00603D6F"/>
    <w:rsid w:val="00603E46"/>
    <w:rsid w:val="00603E8D"/>
    <w:rsid w:val="0060473C"/>
    <w:rsid w:val="00604B83"/>
    <w:rsid w:val="006059FA"/>
    <w:rsid w:val="00605ACC"/>
    <w:rsid w:val="00605AD7"/>
    <w:rsid w:val="00606651"/>
    <w:rsid w:val="00606AA4"/>
    <w:rsid w:val="00607523"/>
    <w:rsid w:val="00607F83"/>
    <w:rsid w:val="00610F4E"/>
    <w:rsid w:val="006112EF"/>
    <w:rsid w:val="0061250B"/>
    <w:rsid w:val="00612B43"/>
    <w:rsid w:val="00612D7A"/>
    <w:rsid w:val="00613027"/>
    <w:rsid w:val="00613120"/>
    <w:rsid w:val="0061340C"/>
    <w:rsid w:val="00613A08"/>
    <w:rsid w:val="00613B96"/>
    <w:rsid w:val="0061412F"/>
    <w:rsid w:val="00614153"/>
    <w:rsid w:val="00614808"/>
    <w:rsid w:val="00614AE8"/>
    <w:rsid w:val="00615073"/>
    <w:rsid w:val="0061546B"/>
    <w:rsid w:val="006157CF"/>
    <w:rsid w:val="00615B3E"/>
    <w:rsid w:val="00616320"/>
    <w:rsid w:val="00617156"/>
    <w:rsid w:val="006206FF"/>
    <w:rsid w:val="00620A30"/>
    <w:rsid w:val="00620A65"/>
    <w:rsid w:val="00620B75"/>
    <w:rsid w:val="006225B7"/>
    <w:rsid w:val="00623324"/>
    <w:rsid w:val="006238CB"/>
    <w:rsid w:val="00623A8D"/>
    <w:rsid w:val="00624716"/>
    <w:rsid w:val="006247DB"/>
    <w:rsid w:val="00624E66"/>
    <w:rsid w:val="00626360"/>
    <w:rsid w:val="006263C9"/>
    <w:rsid w:val="006263CE"/>
    <w:rsid w:val="00626A1D"/>
    <w:rsid w:val="00627A51"/>
    <w:rsid w:val="00627C9F"/>
    <w:rsid w:val="006307DF"/>
    <w:rsid w:val="00630B42"/>
    <w:rsid w:val="00630C75"/>
    <w:rsid w:val="00630F01"/>
    <w:rsid w:val="00630F7D"/>
    <w:rsid w:val="006311DA"/>
    <w:rsid w:val="006311E9"/>
    <w:rsid w:val="00631477"/>
    <w:rsid w:val="006322B9"/>
    <w:rsid w:val="00632354"/>
    <w:rsid w:val="00632429"/>
    <w:rsid w:val="00632A3E"/>
    <w:rsid w:val="00632BF2"/>
    <w:rsid w:val="00633261"/>
    <w:rsid w:val="00634C42"/>
    <w:rsid w:val="0063504A"/>
    <w:rsid w:val="006354CD"/>
    <w:rsid w:val="00635733"/>
    <w:rsid w:val="00636406"/>
    <w:rsid w:val="00636E0C"/>
    <w:rsid w:val="00636F4A"/>
    <w:rsid w:val="00637539"/>
    <w:rsid w:val="00637B7B"/>
    <w:rsid w:val="00637E84"/>
    <w:rsid w:val="00640173"/>
    <w:rsid w:val="0064021F"/>
    <w:rsid w:val="00640F76"/>
    <w:rsid w:val="006418C1"/>
    <w:rsid w:val="006420B7"/>
    <w:rsid w:val="00642810"/>
    <w:rsid w:val="006439BF"/>
    <w:rsid w:val="00643CE7"/>
    <w:rsid w:val="00643F66"/>
    <w:rsid w:val="00644643"/>
    <w:rsid w:val="0064467F"/>
    <w:rsid w:val="00644B04"/>
    <w:rsid w:val="006453C3"/>
    <w:rsid w:val="006458AD"/>
    <w:rsid w:val="0064712F"/>
    <w:rsid w:val="0064793C"/>
    <w:rsid w:val="00647E09"/>
    <w:rsid w:val="00650FA3"/>
    <w:rsid w:val="006516A4"/>
    <w:rsid w:val="006516FE"/>
    <w:rsid w:val="00651D1D"/>
    <w:rsid w:val="00652333"/>
    <w:rsid w:val="00653AC7"/>
    <w:rsid w:val="00654805"/>
    <w:rsid w:val="006549A4"/>
    <w:rsid w:val="00654F6F"/>
    <w:rsid w:val="006557B3"/>
    <w:rsid w:val="00656085"/>
    <w:rsid w:val="00656446"/>
    <w:rsid w:val="00656562"/>
    <w:rsid w:val="00656570"/>
    <w:rsid w:val="0065672B"/>
    <w:rsid w:val="00656FE7"/>
    <w:rsid w:val="0065765B"/>
    <w:rsid w:val="006605AC"/>
    <w:rsid w:val="00661035"/>
    <w:rsid w:val="00661522"/>
    <w:rsid w:val="0066239C"/>
    <w:rsid w:val="00662737"/>
    <w:rsid w:val="00662F5D"/>
    <w:rsid w:val="006634C1"/>
    <w:rsid w:val="006637A4"/>
    <w:rsid w:val="00663DEA"/>
    <w:rsid w:val="006642AC"/>
    <w:rsid w:val="00664C08"/>
    <w:rsid w:val="00664DDE"/>
    <w:rsid w:val="00666536"/>
    <w:rsid w:val="00666AEF"/>
    <w:rsid w:val="00670548"/>
    <w:rsid w:val="00670BDF"/>
    <w:rsid w:val="0067329C"/>
    <w:rsid w:val="006735FD"/>
    <w:rsid w:val="00674465"/>
    <w:rsid w:val="00674514"/>
    <w:rsid w:val="0067472A"/>
    <w:rsid w:val="0067486A"/>
    <w:rsid w:val="00675846"/>
    <w:rsid w:val="006759A5"/>
    <w:rsid w:val="00676D37"/>
    <w:rsid w:val="006775E3"/>
    <w:rsid w:val="00677938"/>
    <w:rsid w:val="00677C5D"/>
    <w:rsid w:val="0068009E"/>
    <w:rsid w:val="0068136E"/>
    <w:rsid w:val="00683305"/>
    <w:rsid w:val="00683F6F"/>
    <w:rsid w:val="006841CF"/>
    <w:rsid w:val="006842E2"/>
    <w:rsid w:val="00684434"/>
    <w:rsid w:val="006847BC"/>
    <w:rsid w:val="0068493E"/>
    <w:rsid w:val="006849BF"/>
    <w:rsid w:val="00685130"/>
    <w:rsid w:val="00685184"/>
    <w:rsid w:val="00685195"/>
    <w:rsid w:val="00685CB2"/>
    <w:rsid w:val="00685D8D"/>
    <w:rsid w:val="00687329"/>
    <w:rsid w:val="006873B0"/>
    <w:rsid w:val="00687432"/>
    <w:rsid w:val="00687725"/>
    <w:rsid w:val="006901ED"/>
    <w:rsid w:val="00690DCA"/>
    <w:rsid w:val="0069244C"/>
    <w:rsid w:val="00692996"/>
    <w:rsid w:val="00692A55"/>
    <w:rsid w:val="0069578C"/>
    <w:rsid w:val="006964DF"/>
    <w:rsid w:val="00696C94"/>
    <w:rsid w:val="006972FB"/>
    <w:rsid w:val="00697C1D"/>
    <w:rsid w:val="00697F91"/>
    <w:rsid w:val="006A0548"/>
    <w:rsid w:val="006A0AB9"/>
    <w:rsid w:val="006A0DC3"/>
    <w:rsid w:val="006A0F00"/>
    <w:rsid w:val="006A0F77"/>
    <w:rsid w:val="006A11FD"/>
    <w:rsid w:val="006A17D2"/>
    <w:rsid w:val="006A1A58"/>
    <w:rsid w:val="006A3B33"/>
    <w:rsid w:val="006A4B86"/>
    <w:rsid w:val="006A508B"/>
    <w:rsid w:val="006A538E"/>
    <w:rsid w:val="006A58D1"/>
    <w:rsid w:val="006A6E1A"/>
    <w:rsid w:val="006A70B4"/>
    <w:rsid w:val="006A72B7"/>
    <w:rsid w:val="006A73E6"/>
    <w:rsid w:val="006A7408"/>
    <w:rsid w:val="006A7764"/>
    <w:rsid w:val="006B010E"/>
    <w:rsid w:val="006B0169"/>
    <w:rsid w:val="006B01E7"/>
    <w:rsid w:val="006B057B"/>
    <w:rsid w:val="006B130C"/>
    <w:rsid w:val="006B17B3"/>
    <w:rsid w:val="006B1BCA"/>
    <w:rsid w:val="006B248C"/>
    <w:rsid w:val="006B2623"/>
    <w:rsid w:val="006B265D"/>
    <w:rsid w:val="006B295E"/>
    <w:rsid w:val="006B2D5C"/>
    <w:rsid w:val="006B339A"/>
    <w:rsid w:val="006B4324"/>
    <w:rsid w:val="006B4BBA"/>
    <w:rsid w:val="006B544B"/>
    <w:rsid w:val="006B6C10"/>
    <w:rsid w:val="006B6D64"/>
    <w:rsid w:val="006B6FFA"/>
    <w:rsid w:val="006B7993"/>
    <w:rsid w:val="006C0497"/>
    <w:rsid w:val="006C0F5D"/>
    <w:rsid w:val="006C1815"/>
    <w:rsid w:val="006C2346"/>
    <w:rsid w:val="006C2B38"/>
    <w:rsid w:val="006C3D28"/>
    <w:rsid w:val="006C4233"/>
    <w:rsid w:val="006C4596"/>
    <w:rsid w:val="006C4EB1"/>
    <w:rsid w:val="006C5675"/>
    <w:rsid w:val="006C682F"/>
    <w:rsid w:val="006C6E31"/>
    <w:rsid w:val="006C7E62"/>
    <w:rsid w:val="006D0195"/>
    <w:rsid w:val="006D01E3"/>
    <w:rsid w:val="006D0424"/>
    <w:rsid w:val="006D06DD"/>
    <w:rsid w:val="006D1A3C"/>
    <w:rsid w:val="006D27EC"/>
    <w:rsid w:val="006D2C28"/>
    <w:rsid w:val="006D2D13"/>
    <w:rsid w:val="006D3110"/>
    <w:rsid w:val="006D3F51"/>
    <w:rsid w:val="006D41EE"/>
    <w:rsid w:val="006D48BB"/>
    <w:rsid w:val="006D58BA"/>
    <w:rsid w:val="006D5D5D"/>
    <w:rsid w:val="006D6E36"/>
    <w:rsid w:val="006D6E3A"/>
    <w:rsid w:val="006D7976"/>
    <w:rsid w:val="006E00AB"/>
    <w:rsid w:val="006E0166"/>
    <w:rsid w:val="006E0D5D"/>
    <w:rsid w:val="006E1163"/>
    <w:rsid w:val="006E18B8"/>
    <w:rsid w:val="006E1952"/>
    <w:rsid w:val="006E2C76"/>
    <w:rsid w:val="006E35A0"/>
    <w:rsid w:val="006E4B61"/>
    <w:rsid w:val="006E4CCE"/>
    <w:rsid w:val="006E5A36"/>
    <w:rsid w:val="006E5C58"/>
    <w:rsid w:val="006E6048"/>
    <w:rsid w:val="006E67F6"/>
    <w:rsid w:val="006E6A09"/>
    <w:rsid w:val="006E6C78"/>
    <w:rsid w:val="006E6F1E"/>
    <w:rsid w:val="006E7B34"/>
    <w:rsid w:val="006E7EA4"/>
    <w:rsid w:val="006F1190"/>
    <w:rsid w:val="006F1453"/>
    <w:rsid w:val="006F157C"/>
    <w:rsid w:val="006F3265"/>
    <w:rsid w:val="006F3590"/>
    <w:rsid w:val="006F3597"/>
    <w:rsid w:val="006F374D"/>
    <w:rsid w:val="006F45BE"/>
    <w:rsid w:val="006F672E"/>
    <w:rsid w:val="006F7488"/>
    <w:rsid w:val="006F7564"/>
    <w:rsid w:val="006F7ACC"/>
    <w:rsid w:val="0070045F"/>
    <w:rsid w:val="00700471"/>
    <w:rsid w:val="0070050F"/>
    <w:rsid w:val="00700C65"/>
    <w:rsid w:val="007012DB"/>
    <w:rsid w:val="00701610"/>
    <w:rsid w:val="00701971"/>
    <w:rsid w:val="00701B24"/>
    <w:rsid w:val="0070233C"/>
    <w:rsid w:val="00702565"/>
    <w:rsid w:val="0070267B"/>
    <w:rsid w:val="00702A7C"/>
    <w:rsid w:val="00702CD7"/>
    <w:rsid w:val="00702DE6"/>
    <w:rsid w:val="00702EA5"/>
    <w:rsid w:val="00703946"/>
    <w:rsid w:val="00703B59"/>
    <w:rsid w:val="00703F90"/>
    <w:rsid w:val="0070404E"/>
    <w:rsid w:val="00704098"/>
    <w:rsid w:val="0070456C"/>
    <w:rsid w:val="007057A9"/>
    <w:rsid w:val="0070603C"/>
    <w:rsid w:val="007064C9"/>
    <w:rsid w:val="00706591"/>
    <w:rsid w:val="00706698"/>
    <w:rsid w:val="00706D7E"/>
    <w:rsid w:val="00706ED9"/>
    <w:rsid w:val="00707486"/>
    <w:rsid w:val="007076FB"/>
    <w:rsid w:val="00707BAF"/>
    <w:rsid w:val="00707E8E"/>
    <w:rsid w:val="00710376"/>
    <w:rsid w:val="00710ED5"/>
    <w:rsid w:val="00711137"/>
    <w:rsid w:val="00712AEC"/>
    <w:rsid w:val="007139C5"/>
    <w:rsid w:val="007140C0"/>
    <w:rsid w:val="007141C5"/>
    <w:rsid w:val="00715928"/>
    <w:rsid w:val="00715945"/>
    <w:rsid w:val="00716BEC"/>
    <w:rsid w:val="00716D62"/>
    <w:rsid w:val="00717453"/>
    <w:rsid w:val="00717B70"/>
    <w:rsid w:val="0072003B"/>
    <w:rsid w:val="00720E4A"/>
    <w:rsid w:val="0072130B"/>
    <w:rsid w:val="007214A7"/>
    <w:rsid w:val="007229B0"/>
    <w:rsid w:val="0072335A"/>
    <w:rsid w:val="00723636"/>
    <w:rsid w:val="007237C3"/>
    <w:rsid w:val="0072472F"/>
    <w:rsid w:val="007247E2"/>
    <w:rsid w:val="00725386"/>
    <w:rsid w:val="00727827"/>
    <w:rsid w:val="00727D80"/>
    <w:rsid w:val="00730731"/>
    <w:rsid w:val="00731DA0"/>
    <w:rsid w:val="007346A2"/>
    <w:rsid w:val="00735002"/>
    <w:rsid w:val="007359CB"/>
    <w:rsid w:val="00737A15"/>
    <w:rsid w:val="00737C1B"/>
    <w:rsid w:val="007400D8"/>
    <w:rsid w:val="00740E84"/>
    <w:rsid w:val="0074145C"/>
    <w:rsid w:val="00741D4C"/>
    <w:rsid w:val="007433B0"/>
    <w:rsid w:val="00744105"/>
    <w:rsid w:val="007451C8"/>
    <w:rsid w:val="0074535C"/>
    <w:rsid w:val="0074572F"/>
    <w:rsid w:val="0074581C"/>
    <w:rsid w:val="00745899"/>
    <w:rsid w:val="0074614D"/>
    <w:rsid w:val="0074619C"/>
    <w:rsid w:val="00746AB9"/>
    <w:rsid w:val="00746B32"/>
    <w:rsid w:val="0074762F"/>
    <w:rsid w:val="00750078"/>
    <w:rsid w:val="00750568"/>
    <w:rsid w:val="00750BB6"/>
    <w:rsid w:val="00751379"/>
    <w:rsid w:val="0075164B"/>
    <w:rsid w:val="00751AB7"/>
    <w:rsid w:val="0075205D"/>
    <w:rsid w:val="007538FC"/>
    <w:rsid w:val="007542BA"/>
    <w:rsid w:val="007549F4"/>
    <w:rsid w:val="00754A18"/>
    <w:rsid w:val="00754A2A"/>
    <w:rsid w:val="00754E95"/>
    <w:rsid w:val="00755F05"/>
    <w:rsid w:val="007561AD"/>
    <w:rsid w:val="00756737"/>
    <w:rsid w:val="007570FA"/>
    <w:rsid w:val="00757F66"/>
    <w:rsid w:val="007607C4"/>
    <w:rsid w:val="007607DC"/>
    <w:rsid w:val="007607EC"/>
    <w:rsid w:val="00761A58"/>
    <w:rsid w:val="00762A2F"/>
    <w:rsid w:val="007649AF"/>
    <w:rsid w:val="00765219"/>
    <w:rsid w:val="00765584"/>
    <w:rsid w:val="00765CB7"/>
    <w:rsid w:val="0076643F"/>
    <w:rsid w:val="007668EC"/>
    <w:rsid w:val="00771045"/>
    <w:rsid w:val="00771205"/>
    <w:rsid w:val="00771D91"/>
    <w:rsid w:val="00773C5A"/>
    <w:rsid w:val="00773DFC"/>
    <w:rsid w:val="00773E82"/>
    <w:rsid w:val="00774375"/>
    <w:rsid w:val="007744CC"/>
    <w:rsid w:val="00774BAD"/>
    <w:rsid w:val="00776E4C"/>
    <w:rsid w:val="00777095"/>
    <w:rsid w:val="007771C5"/>
    <w:rsid w:val="007776FF"/>
    <w:rsid w:val="0078069F"/>
    <w:rsid w:val="0078085D"/>
    <w:rsid w:val="007809DA"/>
    <w:rsid w:val="00780ED7"/>
    <w:rsid w:val="00781024"/>
    <w:rsid w:val="00781C89"/>
    <w:rsid w:val="007820BB"/>
    <w:rsid w:val="0078259B"/>
    <w:rsid w:val="00782E68"/>
    <w:rsid w:val="0078426B"/>
    <w:rsid w:val="00784600"/>
    <w:rsid w:val="00784AF8"/>
    <w:rsid w:val="00784DE5"/>
    <w:rsid w:val="00784FEC"/>
    <w:rsid w:val="0078587E"/>
    <w:rsid w:val="0078595F"/>
    <w:rsid w:val="00785F8D"/>
    <w:rsid w:val="00785FBF"/>
    <w:rsid w:val="00786501"/>
    <w:rsid w:val="00790499"/>
    <w:rsid w:val="00790CF9"/>
    <w:rsid w:val="007912DF"/>
    <w:rsid w:val="007928DA"/>
    <w:rsid w:val="00792BE0"/>
    <w:rsid w:val="00792DDB"/>
    <w:rsid w:val="00793A12"/>
    <w:rsid w:val="007940B6"/>
    <w:rsid w:val="00794719"/>
    <w:rsid w:val="00794A5C"/>
    <w:rsid w:val="00795940"/>
    <w:rsid w:val="00795E01"/>
    <w:rsid w:val="00795F67"/>
    <w:rsid w:val="00796E7A"/>
    <w:rsid w:val="00796F15"/>
    <w:rsid w:val="00797456"/>
    <w:rsid w:val="007977A5"/>
    <w:rsid w:val="00797A75"/>
    <w:rsid w:val="007A0F9D"/>
    <w:rsid w:val="007A13D7"/>
    <w:rsid w:val="007A17C8"/>
    <w:rsid w:val="007A18EB"/>
    <w:rsid w:val="007A2423"/>
    <w:rsid w:val="007A2EC7"/>
    <w:rsid w:val="007A2F70"/>
    <w:rsid w:val="007A31B0"/>
    <w:rsid w:val="007A3293"/>
    <w:rsid w:val="007A333F"/>
    <w:rsid w:val="007A3478"/>
    <w:rsid w:val="007A4240"/>
    <w:rsid w:val="007A44FF"/>
    <w:rsid w:val="007A4980"/>
    <w:rsid w:val="007A538E"/>
    <w:rsid w:val="007A57A6"/>
    <w:rsid w:val="007A5B3D"/>
    <w:rsid w:val="007A6865"/>
    <w:rsid w:val="007A7F31"/>
    <w:rsid w:val="007B04BF"/>
    <w:rsid w:val="007B151C"/>
    <w:rsid w:val="007B16CC"/>
    <w:rsid w:val="007B186C"/>
    <w:rsid w:val="007B19A1"/>
    <w:rsid w:val="007B19FE"/>
    <w:rsid w:val="007B1B6A"/>
    <w:rsid w:val="007B2769"/>
    <w:rsid w:val="007B366E"/>
    <w:rsid w:val="007B3C72"/>
    <w:rsid w:val="007B430B"/>
    <w:rsid w:val="007B4826"/>
    <w:rsid w:val="007B4C00"/>
    <w:rsid w:val="007B55D0"/>
    <w:rsid w:val="007B5801"/>
    <w:rsid w:val="007B5867"/>
    <w:rsid w:val="007B6279"/>
    <w:rsid w:val="007B62BE"/>
    <w:rsid w:val="007B6C22"/>
    <w:rsid w:val="007B762A"/>
    <w:rsid w:val="007C10AC"/>
    <w:rsid w:val="007C16AB"/>
    <w:rsid w:val="007C22DF"/>
    <w:rsid w:val="007C2513"/>
    <w:rsid w:val="007C2BBE"/>
    <w:rsid w:val="007C3334"/>
    <w:rsid w:val="007C3481"/>
    <w:rsid w:val="007C3580"/>
    <w:rsid w:val="007C4F88"/>
    <w:rsid w:val="007C50F6"/>
    <w:rsid w:val="007C52BB"/>
    <w:rsid w:val="007C5476"/>
    <w:rsid w:val="007C57B1"/>
    <w:rsid w:val="007C58E8"/>
    <w:rsid w:val="007C5BDB"/>
    <w:rsid w:val="007C7402"/>
    <w:rsid w:val="007C757E"/>
    <w:rsid w:val="007C798F"/>
    <w:rsid w:val="007C7B95"/>
    <w:rsid w:val="007D0207"/>
    <w:rsid w:val="007D0309"/>
    <w:rsid w:val="007D06CB"/>
    <w:rsid w:val="007D13A8"/>
    <w:rsid w:val="007D1783"/>
    <w:rsid w:val="007D1E4F"/>
    <w:rsid w:val="007D238E"/>
    <w:rsid w:val="007D278F"/>
    <w:rsid w:val="007D2B98"/>
    <w:rsid w:val="007D2FEE"/>
    <w:rsid w:val="007D3E9B"/>
    <w:rsid w:val="007D4C93"/>
    <w:rsid w:val="007D4FA5"/>
    <w:rsid w:val="007D69AC"/>
    <w:rsid w:val="007D7270"/>
    <w:rsid w:val="007D7D65"/>
    <w:rsid w:val="007E13CE"/>
    <w:rsid w:val="007E1856"/>
    <w:rsid w:val="007E239A"/>
    <w:rsid w:val="007E2FDE"/>
    <w:rsid w:val="007E42C4"/>
    <w:rsid w:val="007E5338"/>
    <w:rsid w:val="007E65FB"/>
    <w:rsid w:val="007E6DAC"/>
    <w:rsid w:val="007E783F"/>
    <w:rsid w:val="007F05E6"/>
    <w:rsid w:val="007F074A"/>
    <w:rsid w:val="007F09CC"/>
    <w:rsid w:val="007F2DA5"/>
    <w:rsid w:val="007F410D"/>
    <w:rsid w:val="007F42BF"/>
    <w:rsid w:val="007F4A54"/>
    <w:rsid w:val="007F4B82"/>
    <w:rsid w:val="007F4F2C"/>
    <w:rsid w:val="007F4FE2"/>
    <w:rsid w:val="007F6EEA"/>
    <w:rsid w:val="00800983"/>
    <w:rsid w:val="00800E57"/>
    <w:rsid w:val="0080124E"/>
    <w:rsid w:val="00801A8F"/>
    <w:rsid w:val="00801B96"/>
    <w:rsid w:val="00801F5C"/>
    <w:rsid w:val="0080393B"/>
    <w:rsid w:val="008039AE"/>
    <w:rsid w:val="00803F1C"/>
    <w:rsid w:val="0080459E"/>
    <w:rsid w:val="00804EDB"/>
    <w:rsid w:val="00805621"/>
    <w:rsid w:val="00805784"/>
    <w:rsid w:val="00805885"/>
    <w:rsid w:val="0080600E"/>
    <w:rsid w:val="008067F5"/>
    <w:rsid w:val="00810BAC"/>
    <w:rsid w:val="0081181A"/>
    <w:rsid w:val="0081219A"/>
    <w:rsid w:val="00812216"/>
    <w:rsid w:val="00812EAF"/>
    <w:rsid w:val="00813CCC"/>
    <w:rsid w:val="0081472E"/>
    <w:rsid w:val="00817612"/>
    <w:rsid w:val="008177D5"/>
    <w:rsid w:val="00817D2F"/>
    <w:rsid w:val="00820298"/>
    <w:rsid w:val="00820D73"/>
    <w:rsid w:val="00820D7B"/>
    <w:rsid w:val="008215C0"/>
    <w:rsid w:val="008218A2"/>
    <w:rsid w:val="00822A96"/>
    <w:rsid w:val="00822CBD"/>
    <w:rsid w:val="00823A91"/>
    <w:rsid w:val="00823CB9"/>
    <w:rsid w:val="00823EB6"/>
    <w:rsid w:val="008250A5"/>
    <w:rsid w:val="00825B7F"/>
    <w:rsid w:val="0082792A"/>
    <w:rsid w:val="00827DB7"/>
    <w:rsid w:val="00830E88"/>
    <w:rsid w:val="00830ED9"/>
    <w:rsid w:val="00833067"/>
    <w:rsid w:val="0083565F"/>
    <w:rsid w:val="00835F5A"/>
    <w:rsid w:val="0083716D"/>
    <w:rsid w:val="008373B6"/>
    <w:rsid w:val="00837C45"/>
    <w:rsid w:val="00840540"/>
    <w:rsid w:val="00840F80"/>
    <w:rsid w:val="008414A3"/>
    <w:rsid w:val="008426FE"/>
    <w:rsid w:val="00844880"/>
    <w:rsid w:val="00845C1A"/>
    <w:rsid w:val="00845E02"/>
    <w:rsid w:val="00846865"/>
    <w:rsid w:val="00846E47"/>
    <w:rsid w:val="008472FB"/>
    <w:rsid w:val="00847A8B"/>
    <w:rsid w:val="00847B26"/>
    <w:rsid w:val="008509CC"/>
    <w:rsid w:val="00850B3B"/>
    <w:rsid w:val="00851B40"/>
    <w:rsid w:val="00853419"/>
    <w:rsid w:val="0085383F"/>
    <w:rsid w:val="00853A23"/>
    <w:rsid w:val="00854FE3"/>
    <w:rsid w:val="00855A97"/>
    <w:rsid w:val="008560E1"/>
    <w:rsid w:val="008560F5"/>
    <w:rsid w:val="008564D1"/>
    <w:rsid w:val="00857363"/>
    <w:rsid w:val="00857AA7"/>
    <w:rsid w:val="00857F75"/>
    <w:rsid w:val="00860233"/>
    <w:rsid w:val="00860750"/>
    <w:rsid w:val="00861437"/>
    <w:rsid w:val="0086147D"/>
    <w:rsid w:val="00861972"/>
    <w:rsid w:val="00861EC2"/>
    <w:rsid w:val="008628FD"/>
    <w:rsid w:val="00863142"/>
    <w:rsid w:val="00863CD8"/>
    <w:rsid w:val="00863E61"/>
    <w:rsid w:val="00864236"/>
    <w:rsid w:val="00864785"/>
    <w:rsid w:val="00865279"/>
    <w:rsid w:val="00865368"/>
    <w:rsid w:val="00865A1C"/>
    <w:rsid w:val="00865C97"/>
    <w:rsid w:val="00865C9B"/>
    <w:rsid w:val="0086628D"/>
    <w:rsid w:val="008665EC"/>
    <w:rsid w:val="00866D7E"/>
    <w:rsid w:val="008678EF"/>
    <w:rsid w:val="0087014C"/>
    <w:rsid w:val="00871372"/>
    <w:rsid w:val="00871EBE"/>
    <w:rsid w:val="008741A2"/>
    <w:rsid w:val="00874BEE"/>
    <w:rsid w:val="00874CCC"/>
    <w:rsid w:val="00875ABB"/>
    <w:rsid w:val="00875BAF"/>
    <w:rsid w:val="00875EC6"/>
    <w:rsid w:val="00876085"/>
    <w:rsid w:val="00877551"/>
    <w:rsid w:val="00877B12"/>
    <w:rsid w:val="00877E1B"/>
    <w:rsid w:val="00877E5C"/>
    <w:rsid w:val="00880B21"/>
    <w:rsid w:val="00880F95"/>
    <w:rsid w:val="0088124B"/>
    <w:rsid w:val="008828E4"/>
    <w:rsid w:val="0088294C"/>
    <w:rsid w:val="00882952"/>
    <w:rsid w:val="00882C32"/>
    <w:rsid w:val="0088373B"/>
    <w:rsid w:val="00883E89"/>
    <w:rsid w:val="00883EA4"/>
    <w:rsid w:val="00884270"/>
    <w:rsid w:val="0088447C"/>
    <w:rsid w:val="008869BA"/>
    <w:rsid w:val="00887731"/>
    <w:rsid w:val="00887B7D"/>
    <w:rsid w:val="00887CAE"/>
    <w:rsid w:val="00887E70"/>
    <w:rsid w:val="008903D5"/>
    <w:rsid w:val="0089156D"/>
    <w:rsid w:val="008917C2"/>
    <w:rsid w:val="00892161"/>
    <w:rsid w:val="00893E24"/>
    <w:rsid w:val="00893E44"/>
    <w:rsid w:val="008945B4"/>
    <w:rsid w:val="0089514B"/>
    <w:rsid w:val="0089554B"/>
    <w:rsid w:val="00895966"/>
    <w:rsid w:val="00896898"/>
    <w:rsid w:val="008969D3"/>
    <w:rsid w:val="008971D8"/>
    <w:rsid w:val="00897E12"/>
    <w:rsid w:val="00897EF6"/>
    <w:rsid w:val="008A065A"/>
    <w:rsid w:val="008A1C4B"/>
    <w:rsid w:val="008A31F3"/>
    <w:rsid w:val="008A3434"/>
    <w:rsid w:val="008A36FA"/>
    <w:rsid w:val="008A409B"/>
    <w:rsid w:val="008A4FAC"/>
    <w:rsid w:val="008A5A80"/>
    <w:rsid w:val="008A5BF4"/>
    <w:rsid w:val="008A67CF"/>
    <w:rsid w:val="008A6B50"/>
    <w:rsid w:val="008A6D88"/>
    <w:rsid w:val="008A6DA2"/>
    <w:rsid w:val="008A7CB2"/>
    <w:rsid w:val="008A7F97"/>
    <w:rsid w:val="008A7FC7"/>
    <w:rsid w:val="008B0E6D"/>
    <w:rsid w:val="008B0EE7"/>
    <w:rsid w:val="008B14CB"/>
    <w:rsid w:val="008B24D5"/>
    <w:rsid w:val="008B25FC"/>
    <w:rsid w:val="008B2DA9"/>
    <w:rsid w:val="008B3466"/>
    <w:rsid w:val="008B435A"/>
    <w:rsid w:val="008B4425"/>
    <w:rsid w:val="008B44C5"/>
    <w:rsid w:val="008B5124"/>
    <w:rsid w:val="008B539A"/>
    <w:rsid w:val="008B58C8"/>
    <w:rsid w:val="008B7949"/>
    <w:rsid w:val="008C00E3"/>
    <w:rsid w:val="008C00EE"/>
    <w:rsid w:val="008C03C8"/>
    <w:rsid w:val="008C1E7C"/>
    <w:rsid w:val="008C2789"/>
    <w:rsid w:val="008C2DF6"/>
    <w:rsid w:val="008C4A8C"/>
    <w:rsid w:val="008C56CB"/>
    <w:rsid w:val="008C606A"/>
    <w:rsid w:val="008C6FC4"/>
    <w:rsid w:val="008C7564"/>
    <w:rsid w:val="008C795F"/>
    <w:rsid w:val="008C7E78"/>
    <w:rsid w:val="008D0556"/>
    <w:rsid w:val="008D2DF2"/>
    <w:rsid w:val="008D307A"/>
    <w:rsid w:val="008D33C9"/>
    <w:rsid w:val="008D3F88"/>
    <w:rsid w:val="008D43BA"/>
    <w:rsid w:val="008D6249"/>
    <w:rsid w:val="008D6708"/>
    <w:rsid w:val="008D7317"/>
    <w:rsid w:val="008D7596"/>
    <w:rsid w:val="008D7DF4"/>
    <w:rsid w:val="008E0428"/>
    <w:rsid w:val="008E10AE"/>
    <w:rsid w:val="008E135F"/>
    <w:rsid w:val="008E160E"/>
    <w:rsid w:val="008E3602"/>
    <w:rsid w:val="008E3759"/>
    <w:rsid w:val="008E4DBE"/>
    <w:rsid w:val="008E53E4"/>
    <w:rsid w:val="008E5615"/>
    <w:rsid w:val="008E6598"/>
    <w:rsid w:val="008E6D06"/>
    <w:rsid w:val="008E71E6"/>
    <w:rsid w:val="008F122E"/>
    <w:rsid w:val="008F25BD"/>
    <w:rsid w:val="008F298E"/>
    <w:rsid w:val="008F2A35"/>
    <w:rsid w:val="008F2A73"/>
    <w:rsid w:val="008F2E03"/>
    <w:rsid w:val="008F2E1C"/>
    <w:rsid w:val="008F34B2"/>
    <w:rsid w:val="008F38AA"/>
    <w:rsid w:val="008F3BF9"/>
    <w:rsid w:val="008F3E4A"/>
    <w:rsid w:val="008F3EC3"/>
    <w:rsid w:val="008F40A5"/>
    <w:rsid w:val="008F4101"/>
    <w:rsid w:val="008F4522"/>
    <w:rsid w:val="008F49E6"/>
    <w:rsid w:val="008F559D"/>
    <w:rsid w:val="008F5CFD"/>
    <w:rsid w:val="008F6470"/>
    <w:rsid w:val="008F6C9D"/>
    <w:rsid w:val="008F7B4C"/>
    <w:rsid w:val="008F7C41"/>
    <w:rsid w:val="008F7CEC"/>
    <w:rsid w:val="008F7D4D"/>
    <w:rsid w:val="008F7F3F"/>
    <w:rsid w:val="008F7F50"/>
    <w:rsid w:val="00901880"/>
    <w:rsid w:val="00901BF4"/>
    <w:rsid w:val="009021D6"/>
    <w:rsid w:val="009041DC"/>
    <w:rsid w:val="009047EE"/>
    <w:rsid w:val="00904B4B"/>
    <w:rsid w:val="0090648F"/>
    <w:rsid w:val="0090668D"/>
    <w:rsid w:val="00907CCD"/>
    <w:rsid w:val="009104B4"/>
    <w:rsid w:val="00912171"/>
    <w:rsid w:val="00912311"/>
    <w:rsid w:val="00912642"/>
    <w:rsid w:val="00912B38"/>
    <w:rsid w:val="00913B6D"/>
    <w:rsid w:val="0091454E"/>
    <w:rsid w:val="00914A98"/>
    <w:rsid w:val="00914AB5"/>
    <w:rsid w:val="0091522F"/>
    <w:rsid w:val="00915CDE"/>
    <w:rsid w:val="00915FDE"/>
    <w:rsid w:val="0091677E"/>
    <w:rsid w:val="009168F5"/>
    <w:rsid w:val="0091728F"/>
    <w:rsid w:val="009174A4"/>
    <w:rsid w:val="0091789D"/>
    <w:rsid w:val="00917AE3"/>
    <w:rsid w:val="00920191"/>
    <w:rsid w:val="00921023"/>
    <w:rsid w:val="00921DCE"/>
    <w:rsid w:val="00922A9F"/>
    <w:rsid w:val="00923920"/>
    <w:rsid w:val="00924F0A"/>
    <w:rsid w:val="00924F1F"/>
    <w:rsid w:val="0092541F"/>
    <w:rsid w:val="00925564"/>
    <w:rsid w:val="00925FCD"/>
    <w:rsid w:val="00927739"/>
    <w:rsid w:val="00927B0B"/>
    <w:rsid w:val="0093035E"/>
    <w:rsid w:val="00930ED0"/>
    <w:rsid w:val="00931EC6"/>
    <w:rsid w:val="009322FE"/>
    <w:rsid w:val="00932B36"/>
    <w:rsid w:val="00933B73"/>
    <w:rsid w:val="00934144"/>
    <w:rsid w:val="0093441A"/>
    <w:rsid w:val="00934829"/>
    <w:rsid w:val="0093555A"/>
    <w:rsid w:val="009356F2"/>
    <w:rsid w:val="00935735"/>
    <w:rsid w:val="009359E3"/>
    <w:rsid w:val="00935A29"/>
    <w:rsid w:val="0093658A"/>
    <w:rsid w:val="00936C4F"/>
    <w:rsid w:val="00940DC4"/>
    <w:rsid w:val="009412E0"/>
    <w:rsid w:val="0094199B"/>
    <w:rsid w:val="009424BD"/>
    <w:rsid w:val="00942AA6"/>
    <w:rsid w:val="00942BBC"/>
    <w:rsid w:val="009435DC"/>
    <w:rsid w:val="0094417C"/>
    <w:rsid w:val="00944CD7"/>
    <w:rsid w:val="00945F51"/>
    <w:rsid w:val="0094702E"/>
    <w:rsid w:val="00947E10"/>
    <w:rsid w:val="00950D77"/>
    <w:rsid w:val="00951A16"/>
    <w:rsid w:val="009521DF"/>
    <w:rsid w:val="00952CAA"/>
    <w:rsid w:val="00952DC4"/>
    <w:rsid w:val="00952E89"/>
    <w:rsid w:val="0095466D"/>
    <w:rsid w:val="009546BF"/>
    <w:rsid w:val="00954BF7"/>
    <w:rsid w:val="00955093"/>
    <w:rsid w:val="009554F0"/>
    <w:rsid w:val="0095556E"/>
    <w:rsid w:val="00955EA3"/>
    <w:rsid w:val="0095641C"/>
    <w:rsid w:val="00956965"/>
    <w:rsid w:val="00956E65"/>
    <w:rsid w:val="00957A32"/>
    <w:rsid w:val="00957A63"/>
    <w:rsid w:val="00960555"/>
    <w:rsid w:val="009606E5"/>
    <w:rsid w:val="00962BFF"/>
    <w:rsid w:val="00963233"/>
    <w:rsid w:val="009648CF"/>
    <w:rsid w:val="009653A0"/>
    <w:rsid w:val="009655B7"/>
    <w:rsid w:val="009658DB"/>
    <w:rsid w:val="00965F42"/>
    <w:rsid w:val="009668D9"/>
    <w:rsid w:val="009668E5"/>
    <w:rsid w:val="0096706E"/>
    <w:rsid w:val="00967ECF"/>
    <w:rsid w:val="009700E6"/>
    <w:rsid w:val="00970865"/>
    <w:rsid w:val="009714F6"/>
    <w:rsid w:val="0097237F"/>
    <w:rsid w:val="009724C3"/>
    <w:rsid w:val="00972740"/>
    <w:rsid w:val="00973675"/>
    <w:rsid w:val="00973798"/>
    <w:rsid w:val="00973E1D"/>
    <w:rsid w:val="00975377"/>
    <w:rsid w:val="009753D7"/>
    <w:rsid w:val="0097562E"/>
    <w:rsid w:val="00976E74"/>
    <w:rsid w:val="00977100"/>
    <w:rsid w:val="00981FBA"/>
    <w:rsid w:val="00982E24"/>
    <w:rsid w:val="00982F66"/>
    <w:rsid w:val="00983268"/>
    <w:rsid w:val="009835AD"/>
    <w:rsid w:val="0098382E"/>
    <w:rsid w:val="00983AF6"/>
    <w:rsid w:val="00983E92"/>
    <w:rsid w:val="009843A2"/>
    <w:rsid w:val="00985459"/>
    <w:rsid w:val="00985A4B"/>
    <w:rsid w:val="00986129"/>
    <w:rsid w:val="00986662"/>
    <w:rsid w:val="009869A4"/>
    <w:rsid w:val="00986AEE"/>
    <w:rsid w:val="009879D3"/>
    <w:rsid w:val="009908FF"/>
    <w:rsid w:val="00991198"/>
    <w:rsid w:val="00991846"/>
    <w:rsid w:val="009923C3"/>
    <w:rsid w:val="009935B0"/>
    <w:rsid w:val="009937A7"/>
    <w:rsid w:val="00994092"/>
    <w:rsid w:val="0099457C"/>
    <w:rsid w:val="00994ECF"/>
    <w:rsid w:val="00995BC7"/>
    <w:rsid w:val="009967AF"/>
    <w:rsid w:val="0099714E"/>
    <w:rsid w:val="00997E99"/>
    <w:rsid w:val="009A03E7"/>
    <w:rsid w:val="009A0816"/>
    <w:rsid w:val="009A0AE8"/>
    <w:rsid w:val="009A0B09"/>
    <w:rsid w:val="009A0F04"/>
    <w:rsid w:val="009A11A0"/>
    <w:rsid w:val="009A1A5D"/>
    <w:rsid w:val="009A1D2A"/>
    <w:rsid w:val="009A28FA"/>
    <w:rsid w:val="009A36D7"/>
    <w:rsid w:val="009A3B62"/>
    <w:rsid w:val="009A41FF"/>
    <w:rsid w:val="009A45B3"/>
    <w:rsid w:val="009A5111"/>
    <w:rsid w:val="009A6130"/>
    <w:rsid w:val="009A67CC"/>
    <w:rsid w:val="009A70C0"/>
    <w:rsid w:val="009A71B1"/>
    <w:rsid w:val="009A7953"/>
    <w:rsid w:val="009B07BE"/>
    <w:rsid w:val="009B1206"/>
    <w:rsid w:val="009B1525"/>
    <w:rsid w:val="009B1943"/>
    <w:rsid w:val="009B26C8"/>
    <w:rsid w:val="009B2F9E"/>
    <w:rsid w:val="009B351F"/>
    <w:rsid w:val="009B381B"/>
    <w:rsid w:val="009B39D5"/>
    <w:rsid w:val="009B3FD7"/>
    <w:rsid w:val="009B4EFE"/>
    <w:rsid w:val="009B5129"/>
    <w:rsid w:val="009B541A"/>
    <w:rsid w:val="009B56A0"/>
    <w:rsid w:val="009B5D09"/>
    <w:rsid w:val="009B5F55"/>
    <w:rsid w:val="009B61B2"/>
    <w:rsid w:val="009B6F9D"/>
    <w:rsid w:val="009B71D5"/>
    <w:rsid w:val="009B74A4"/>
    <w:rsid w:val="009B7926"/>
    <w:rsid w:val="009C0189"/>
    <w:rsid w:val="009C1086"/>
    <w:rsid w:val="009C1615"/>
    <w:rsid w:val="009C1691"/>
    <w:rsid w:val="009C1877"/>
    <w:rsid w:val="009C1D8B"/>
    <w:rsid w:val="009C1EB2"/>
    <w:rsid w:val="009C2068"/>
    <w:rsid w:val="009C2780"/>
    <w:rsid w:val="009C2F9F"/>
    <w:rsid w:val="009C41FF"/>
    <w:rsid w:val="009C4486"/>
    <w:rsid w:val="009C458A"/>
    <w:rsid w:val="009C4893"/>
    <w:rsid w:val="009C4A91"/>
    <w:rsid w:val="009C4D68"/>
    <w:rsid w:val="009C6BF9"/>
    <w:rsid w:val="009C6F59"/>
    <w:rsid w:val="009C722C"/>
    <w:rsid w:val="009D0946"/>
    <w:rsid w:val="009D0DEE"/>
    <w:rsid w:val="009D0EB8"/>
    <w:rsid w:val="009D15C7"/>
    <w:rsid w:val="009D16D3"/>
    <w:rsid w:val="009D2072"/>
    <w:rsid w:val="009D21CA"/>
    <w:rsid w:val="009D2342"/>
    <w:rsid w:val="009D280B"/>
    <w:rsid w:val="009D3680"/>
    <w:rsid w:val="009D3728"/>
    <w:rsid w:val="009D561E"/>
    <w:rsid w:val="009D5EC0"/>
    <w:rsid w:val="009D6116"/>
    <w:rsid w:val="009D6C96"/>
    <w:rsid w:val="009D72D8"/>
    <w:rsid w:val="009D7611"/>
    <w:rsid w:val="009E075C"/>
    <w:rsid w:val="009E0E11"/>
    <w:rsid w:val="009E27A9"/>
    <w:rsid w:val="009E2E84"/>
    <w:rsid w:val="009E3488"/>
    <w:rsid w:val="009E374A"/>
    <w:rsid w:val="009E38CE"/>
    <w:rsid w:val="009E3957"/>
    <w:rsid w:val="009E3A41"/>
    <w:rsid w:val="009E3ABD"/>
    <w:rsid w:val="009E3C23"/>
    <w:rsid w:val="009E46AE"/>
    <w:rsid w:val="009E4906"/>
    <w:rsid w:val="009E5227"/>
    <w:rsid w:val="009E53DE"/>
    <w:rsid w:val="009E5B7C"/>
    <w:rsid w:val="009E6FD9"/>
    <w:rsid w:val="009E77B7"/>
    <w:rsid w:val="009E7A69"/>
    <w:rsid w:val="009F0226"/>
    <w:rsid w:val="009F08C8"/>
    <w:rsid w:val="009F0AED"/>
    <w:rsid w:val="009F0CF2"/>
    <w:rsid w:val="009F0D2A"/>
    <w:rsid w:val="009F114F"/>
    <w:rsid w:val="009F1B62"/>
    <w:rsid w:val="009F1C1A"/>
    <w:rsid w:val="009F1D73"/>
    <w:rsid w:val="009F1ED5"/>
    <w:rsid w:val="009F24AF"/>
    <w:rsid w:val="009F24FF"/>
    <w:rsid w:val="009F2967"/>
    <w:rsid w:val="009F297A"/>
    <w:rsid w:val="009F2CC4"/>
    <w:rsid w:val="009F3705"/>
    <w:rsid w:val="009F4521"/>
    <w:rsid w:val="009F6A56"/>
    <w:rsid w:val="009F7113"/>
    <w:rsid w:val="009F76DF"/>
    <w:rsid w:val="009F76E5"/>
    <w:rsid w:val="00A003AD"/>
    <w:rsid w:val="00A008BB"/>
    <w:rsid w:val="00A0091A"/>
    <w:rsid w:val="00A00DEF"/>
    <w:rsid w:val="00A011DF"/>
    <w:rsid w:val="00A014DA"/>
    <w:rsid w:val="00A03579"/>
    <w:rsid w:val="00A03B6C"/>
    <w:rsid w:val="00A03DA5"/>
    <w:rsid w:val="00A04217"/>
    <w:rsid w:val="00A04432"/>
    <w:rsid w:val="00A05255"/>
    <w:rsid w:val="00A05C64"/>
    <w:rsid w:val="00A05DEE"/>
    <w:rsid w:val="00A06B1A"/>
    <w:rsid w:val="00A06FEB"/>
    <w:rsid w:val="00A07CAA"/>
    <w:rsid w:val="00A07E90"/>
    <w:rsid w:val="00A07EAF"/>
    <w:rsid w:val="00A10246"/>
    <w:rsid w:val="00A1028C"/>
    <w:rsid w:val="00A10403"/>
    <w:rsid w:val="00A10450"/>
    <w:rsid w:val="00A10A25"/>
    <w:rsid w:val="00A10C01"/>
    <w:rsid w:val="00A10DA5"/>
    <w:rsid w:val="00A12250"/>
    <w:rsid w:val="00A12423"/>
    <w:rsid w:val="00A13A94"/>
    <w:rsid w:val="00A13E93"/>
    <w:rsid w:val="00A14CA4"/>
    <w:rsid w:val="00A14D37"/>
    <w:rsid w:val="00A15A52"/>
    <w:rsid w:val="00A15A9B"/>
    <w:rsid w:val="00A15C9A"/>
    <w:rsid w:val="00A163A4"/>
    <w:rsid w:val="00A1688B"/>
    <w:rsid w:val="00A17503"/>
    <w:rsid w:val="00A17625"/>
    <w:rsid w:val="00A17E82"/>
    <w:rsid w:val="00A17F15"/>
    <w:rsid w:val="00A2015A"/>
    <w:rsid w:val="00A20804"/>
    <w:rsid w:val="00A20B65"/>
    <w:rsid w:val="00A20F5F"/>
    <w:rsid w:val="00A2213C"/>
    <w:rsid w:val="00A22B7B"/>
    <w:rsid w:val="00A23425"/>
    <w:rsid w:val="00A23924"/>
    <w:rsid w:val="00A23B83"/>
    <w:rsid w:val="00A24331"/>
    <w:rsid w:val="00A2456A"/>
    <w:rsid w:val="00A25B2E"/>
    <w:rsid w:val="00A25C0A"/>
    <w:rsid w:val="00A270CE"/>
    <w:rsid w:val="00A27314"/>
    <w:rsid w:val="00A31451"/>
    <w:rsid w:val="00A317BC"/>
    <w:rsid w:val="00A31C64"/>
    <w:rsid w:val="00A31CB0"/>
    <w:rsid w:val="00A32364"/>
    <w:rsid w:val="00A3286C"/>
    <w:rsid w:val="00A32D38"/>
    <w:rsid w:val="00A333B5"/>
    <w:rsid w:val="00A34273"/>
    <w:rsid w:val="00A34700"/>
    <w:rsid w:val="00A34B20"/>
    <w:rsid w:val="00A34F17"/>
    <w:rsid w:val="00A358C6"/>
    <w:rsid w:val="00A36168"/>
    <w:rsid w:val="00A365FB"/>
    <w:rsid w:val="00A36E16"/>
    <w:rsid w:val="00A37DA9"/>
    <w:rsid w:val="00A4021B"/>
    <w:rsid w:val="00A40463"/>
    <w:rsid w:val="00A40CED"/>
    <w:rsid w:val="00A4119E"/>
    <w:rsid w:val="00A41B25"/>
    <w:rsid w:val="00A41CA1"/>
    <w:rsid w:val="00A42744"/>
    <w:rsid w:val="00A42747"/>
    <w:rsid w:val="00A42803"/>
    <w:rsid w:val="00A43458"/>
    <w:rsid w:val="00A438C4"/>
    <w:rsid w:val="00A438F6"/>
    <w:rsid w:val="00A44440"/>
    <w:rsid w:val="00A444C4"/>
    <w:rsid w:val="00A445B3"/>
    <w:rsid w:val="00A447CD"/>
    <w:rsid w:val="00A47174"/>
    <w:rsid w:val="00A47D0B"/>
    <w:rsid w:val="00A500DA"/>
    <w:rsid w:val="00A50201"/>
    <w:rsid w:val="00A5028C"/>
    <w:rsid w:val="00A50CF2"/>
    <w:rsid w:val="00A51E7A"/>
    <w:rsid w:val="00A52375"/>
    <w:rsid w:val="00A5251F"/>
    <w:rsid w:val="00A526A1"/>
    <w:rsid w:val="00A527E1"/>
    <w:rsid w:val="00A528D1"/>
    <w:rsid w:val="00A53025"/>
    <w:rsid w:val="00A533F2"/>
    <w:rsid w:val="00A53CFC"/>
    <w:rsid w:val="00A53D23"/>
    <w:rsid w:val="00A542D1"/>
    <w:rsid w:val="00A54E22"/>
    <w:rsid w:val="00A55776"/>
    <w:rsid w:val="00A56758"/>
    <w:rsid w:val="00A56827"/>
    <w:rsid w:val="00A56DD2"/>
    <w:rsid w:val="00A57D4E"/>
    <w:rsid w:val="00A60093"/>
    <w:rsid w:val="00A612D4"/>
    <w:rsid w:val="00A6151F"/>
    <w:rsid w:val="00A618DF"/>
    <w:rsid w:val="00A6269C"/>
    <w:rsid w:val="00A6287A"/>
    <w:rsid w:val="00A63958"/>
    <w:rsid w:val="00A64DA8"/>
    <w:rsid w:val="00A64EE8"/>
    <w:rsid w:val="00A64F5F"/>
    <w:rsid w:val="00A650D1"/>
    <w:rsid w:val="00A669C6"/>
    <w:rsid w:val="00A66BE5"/>
    <w:rsid w:val="00A6732A"/>
    <w:rsid w:val="00A67844"/>
    <w:rsid w:val="00A709DB"/>
    <w:rsid w:val="00A70FA6"/>
    <w:rsid w:val="00A71D99"/>
    <w:rsid w:val="00A73129"/>
    <w:rsid w:val="00A731AE"/>
    <w:rsid w:val="00A738AB"/>
    <w:rsid w:val="00A74533"/>
    <w:rsid w:val="00A7505B"/>
    <w:rsid w:val="00A7605D"/>
    <w:rsid w:val="00A774E2"/>
    <w:rsid w:val="00A778EB"/>
    <w:rsid w:val="00A80C1E"/>
    <w:rsid w:val="00A81373"/>
    <w:rsid w:val="00A81D28"/>
    <w:rsid w:val="00A8335C"/>
    <w:rsid w:val="00A83588"/>
    <w:rsid w:val="00A844A9"/>
    <w:rsid w:val="00A84A45"/>
    <w:rsid w:val="00A84A53"/>
    <w:rsid w:val="00A84B01"/>
    <w:rsid w:val="00A860A5"/>
    <w:rsid w:val="00A871CA"/>
    <w:rsid w:val="00A8763E"/>
    <w:rsid w:val="00A87FF5"/>
    <w:rsid w:val="00A9162F"/>
    <w:rsid w:val="00A918F2"/>
    <w:rsid w:val="00A91C87"/>
    <w:rsid w:val="00A91F89"/>
    <w:rsid w:val="00A92714"/>
    <w:rsid w:val="00A92DCA"/>
    <w:rsid w:val="00A93A6E"/>
    <w:rsid w:val="00A93DBF"/>
    <w:rsid w:val="00A947C6"/>
    <w:rsid w:val="00A94851"/>
    <w:rsid w:val="00A949C6"/>
    <w:rsid w:val="00A95F1A"/>
    <w:rsid w:val="00A96D69"/>
    <w:rsid w:val="00A978E7"/>
    <w:rsid w:val="00A97CDE"/>
    <w:rsid w:val="00AA0249"/>
    <w:rsid w:val="00AA21ED"/>
    <w:rsid w:val="00AA23D3"/>
    <w:rsid w:val="00AA33AF"/>
    <w:rsid w:val="00AA3F97"/>
    <w:rsid w:val="00AA4746"/>
    <w:rsid w:val="00AA515C"/>
    <w:rsid w:val="00AA5675"/>
    <w:rsid w:val="00AA5C88"/>
    <w:rsid w:val="00AA66A4"/>
    <w:rsid w:val="00AA7338"/>
    <w:rsid w:val="00AA792C"/>
    <w:rsid w:val="00AA7A2C"/>
    <w:rsid w:val="00AA7E8A"/>
    <w:rsid w:val="00AB0745"/>
    <w:rsid w:val="00AB097B"/>
    <w:rsid w:val="00AB1A18"/>
    <w:rsid w:val="00AB22BC"/>
    <w:rsid w:val="00AB2467"/>
    <w:rsid w:val="00AB2F3B"/>
    <w:rsid w:val="00AB3118"/>
    <w:rsid w:val="00AB352F"/>
    <w:rsid w:val="00AB3712"/>
    <w:rsid w:val="00AB3F6C"/>
    <w:rsid w:val="00AB42A6"/>
    <w:rsid w:val="00AB4A84"/>
    <w:rsid w:val="00AB55B8"/>
    <w:rsid w:val="00AB5777"/>
    <w:rsid w:val="00AB585F"/>
    <w:rsid w:val="00AB6166"/>
    <w:rsid w:val="00AB664B"/>
    <w:rsid w:val="00AB72E9"/>
    <w:rsid w:val="00AB7F41"/>
    <w:rsid w:val="00AC0531"/>
    <w:rsid w:val="00AC2A10"/>
    <w:rsid w:val="00AC2C74"/>
    <w:rsid w:val="00AC313B"/>
    <w:rsid w:val="00AC388E"/>
    <w:rsid w:val="00AC4106"/>
    <w:rsid w:val="00AC463B"/>
    <w:rsid w:val="00AC4E50"/>
    <w:rsid w:val="00AC4F7C"/>
    <w:rsid w:val="00AC59B4"/>
    <w:rsid w:val="00AC5F8E"/>
    <w:rsid w:val="00AC619C"/>
    <w:rsid w:val="00AC63E3"/>
    <w:rsid w:val="00AC6AE3"/>
    <w:rsid w:val="00AC6AE6"/>
    <w:rsid w:val="00AC6B3E"/>
    <w:rsid w:val="00AC704E"/>
    <w:rsid w:val="00AC7F4D"/>
    <w:rsid w:val="00AD06CE"/>
    <w:rsid w:val="00AD142E"/>
    <w:rsid w:val="00AD1B3F"/>
    <w:rsid w:val="00AD1E27"/>
    <w:rsid w:val="00AD29F5"/>
    <w:rsid w:val="00AD2BC6"/>
    <w:rsid w:val="00AD32E0"/>
    <w:rsid w:val="00AD34D9"/>
    <w:rsid w:val="00AD37C1"/>
    <w:rsid w:val="00AD38AF"/>
    <w:rsid w:val="00AD38E9"/>
    <w:rsid w:val="00AD4435"/>
    <w:rsid w:val="00AD452E"/>
    <w:rsid w:val="00AD493E"/>
    <w:rsid w:val="00AD4A7C"/>
    <w:rsid w:val="00AD4CD7"/>
    <w:rsid w:val="00AD4E05"/>
    <w:rsid w:val="00AD5771"/>
    <w:rsid w:val="00AD5EB5"/>
    <w:rsid w:val="00AD70E5"/>
    <w:rsid w:val="00AD7A33"/>
    <w:rsid w:val="00AE0DEC"/>
    <w:rsid w:val="00AE1276"/>
    <w:rsid w:val="00AE1302"/>
    <w:rsid w:val="00AE15A9"/>
    <w:rsid w:val="00AE1B48"/>
    <w:rsid w:val="00AE1F0C"/>
    <w:rsid w:val="00AE1F2F"/>
    <w:rsid w:val="00AE38BC"/>
    <w:rsid w:val="00AE46AC"/>
    <w:rsid w:val="00AE4C43"/>
    <w:rsid w:val="00AE6271"/>
    <w:rsid w:val="00AE65BC"/>
    <w:rsid w:val="00AE66EC"/>
    <w:rsid w:val="00AE6AE5"/>
    <w:rsid w:val="00AE6F91"/>
    <w:rsid w:val="00AE7653"/>
    <w:rsid w:val="00AE7C77"/>
    <w:rsid w:val="00AF0440"/>
    <w:rsid w:val="00AF1C0F"/>
    <w:rsid w:val="00AF2034"/>
    <w:rsid w:val="00AF22CE"/>
    <w:rsid w:val="00AF2782"/>
    <w:rsid w:val="00AF2864"/>
    <w:rsid w:val="00AF2FCE"/>
    <w:rsid w:val="00AF3344"/>
    <w:rsid w:val="00AF5571"/>
    <w:rsid w:val="00AF725B"/>
    <w:rsid w:val="00AF79FA"/>
    <w:rsid w:val="00B004D6"/>
    <w:rsid w:val="00B009C9"/>
    <w:rsid w:val="00B016BF"/>
    <w:rsid w:val="00B016EF"/>
    <w:rsid w:val="00B01D8D"/>
    <w:rsid w:val="00B033E8"/>
    <w:rsid w:val="00B034D6"/>
    <w:rsid w:val="00B051F3"/>
    <w:rsid w:val="00B0667E"/>
    <w:rsid w:val="00B06BF4"/>
    <w:rsid w:val="00B06F7F"/>
    <w:rsid w:val="00B07F69"/>
    <w:rsid w:val="00B1073F"/>
    <w:rsid w:val="00B117CA"/>
    <w:rsid w:val="00B11CB9"/>
    <w:rsid w:val="00B124E6"/>
    <w:rsid w:val="00B13EB4"/>
    <w:rsid w:val="00B1479A"/>
    <w:rsid w:val="00B147B1"/>
    <w:rsid w:val="00B14837"/>
    <w:rsid w:val="00B15A3D"/>
    <w:rsid w:val="00B160A4"/>
    <w:rsid w:val="00B167E9"/>
    <w:rsid w:val="00B16FF4"/>
    <w:rsid w:val="00B1724A"/>
    <w:rsid w:val="00B207F5"/>
    <w:rsid w:val="00B20B83"/>
    <w:rsid w:val="00B21064"/>
    <w:rsid w:val="00B21BC5"/>
    <w:rsid w:val="00B2216F"/>
    <w:rsid w:val="00B22202"/>
    <w:rsid w:val="00B22C40"/>
    <w:rsid w:val="00B22E6B"/>
    <w:rsid w:val="00B23A86"/>
    <w:rsid w:val="00B24843"/>
    <w:rsid w:val="00B251FF"/>
    <w:rsid w:val="00B27127"/>
    <w:rsid w:val="00B2728E"/>
    <w:rsid w:val="00B27A89"/>
    <w:rsid w:val="00B301E8"/>
    <w:rsid w:val="00B30278"/>
    <w:rsid w:val="00B314DB"/>
    <w:rsid w:val="00B315C5"/>
    <w:rsid w:val="00B316A7"/>
    <w:rsid w:val="00B31EBE"/>
    <w:rsid w:val="00B3297C"/>
    <w:rsid w:val="00B32F8B"/>
    <w:rsid w:val="00B34B9E"/>
    <w:rsid w:val="00B34D82"/>
    <w:rsid w:val="00B355D0"/>
    <w:rsid w:val="00B36C9C"/>
    <w:rsid w:val="00B36E37"/>
    <w:rsid w:val="00B3718B"/>
    <w:rsid w:val="00B37C3B"/>
    <w:rsid w:val="00B402D2"/>
    <w:rsid w:val="00B4038B"/>
    <w:rsid w:val="00B4081B"/>
    <w:rsid w:val="00B41329"/>
    <w:rsid w:val="00B41722"/>
    <w:rsid w:val="00B419C8"/>
    <w:rsid w:val="00B41AAC"/>
    <w:rsid w:val="00B41D63"/>
    <w:rsid w:val="00B41E63"/>
    <w:rsid w:val="00B424CD"/>
    <w:rsid w:val="00B424D2"/>
    <w:rsid w:val="00B42ABC"/>
    <w:rsid w:val="00B432D6"/>
    <w:rsid w:val="00B43D72"/>
    <w:rsid w:val="00B43DB5"/>
    <w:rsid w:val="00B44277"/>
    <w:rsid w:val="00B449C3"/>
    <w:rsid w:val="00B44F4C"/>
    <w:rsid w:val="00B45BE7"/>
    <w:rsid w:val="00B45ECD"/>
    <w:rsid w:val="00B46033"/>
    <w:rsid w:val="00B46313"/>
    <w:rsid w:val="00B4632A"/>
    <w:rsid w:val="00B473C7"/>
    <w:rsid w:val="00B478B1"/>
    <w:rsid w:val="00B478C4"/>
    <w:rsid w:val="00B47AD2"/>
    <w:rsid w:val="00B506F8"/>
    <w:rsid w:val="00B50B12"/>
    <w:rsid w:val="00B50F68"/>
    <w:rsid w:val="00B5149E"/>
    <w:rsid w:val="00B515A8"/>
    <w:rsid w:val="00B5162C"/>
    <w:rsid w:val="00B53B23"/>
    <w:rsid w:val="00B540E8"/>
    <w:rsid w:val="00B54167"/>
    <w:rsid w:val="00B541D1"/>
    <w:rsid w:val="00B55E95"/>
    <w:rsid w:val="00B5611B"/>
    <w:rsid w:val="00B56BBC"/>
    <w:rsid w:val="00B574EE"/>
    <w:rsid w:val="00B575D6"/>
    <w:rsid w:val="00B602C1"/>
    <w:rsid w:val="00B60E25"/>
    <w:rsid w:val="00B61951"/>
    <w:rsid w:val="00B61AF0"/>
    <w:rsid w:val="00B62894"/>
    <w:rsid w:val="00B62BC0"/>
    <w:rsid w:val="00B63572"/>
    <w:rsid w:val="00B63577"/>
    <w:rsid w:val="00B6470C"/>
    <w:rsid w:val="00B64D22"/>
    <w:rsid w:val="00B64EAB"/>
    <w:rsid w:val="00B66444"/>
    <w:rsid w:val="00B673F4"/>
    <w:rsid w:val="00B67539"/>
    <w:rsid w:val="00B67D5E"/>
    <w:rsid w:val="00B70462"/>
    <w:rsid w:val="00B71500"/>
    <w:rsid w:val="00B7292E"/>
    <w:rsid w:val="00B72E00"/>
    <w:rsid w:val="00B73C13"/>
    <w:rsid w:val="00B74836"/>
    <w:rsid w:val="00B74DAF"/>
    <w:rsid w:val="00B759BC"/>
    <w:rsid w:val="00B75D57"/>
    <w:rsid w:val="00B765F1"/>
    <w:rsid w:val="00B76BE8"/>
    <w:rsid w:val="00B77B09"/>
    <w:rsid w:val="00B801CB"/>
    <w:rsid w:val="00B8135A"/>
    <w:rsid w:val="00B8295F"/>
    <w:rsid w:val="00B83A9C"/>
    <w:rsid w:val="00B83B0A"/>
    <w:rsid w:val="00B84FC7"/>
    <w:rsid w:val="00B85B6B"/>
    <w:rsid w:val="00B8601D"/>
    <w:rsid w:val="00B8646F"/>
    <w:rsid w:val="00B86577"/>
    <w:rsid w:val="00B8664E"/>
    <w:rsid w:val="00B868A4"/>
    <w:rsid w:val="00B8786D"/>
    <w:rsid w:val="00B90178"/>
    <w:rsid w:val="00B905BE"/>
    <w:rsid w:val="00B9099D"/>
    <w:rsid w:val="00B91173"/>
    <w:rsid w:val="00B920B7"/>
    <w:rsid w:val="00B92296"/>
    <w:rsid w:val="00B926A0"/>
    <w:rsid w:val="00B926B1"/>
    <w:rsid w:val="00B92B24"/>
    <w:rsid w:val="00B92DC9"/>
    <w:rsid w:val="00B933E4"/>
    <w:rsid w:val="00B933F3"/>
    <w:rsid w:val="00B94F89"/>
    <w:rsid w:val="00BA0256"/>
    <w:rsid w:val="00BA0E3E"/>
    <w:rsid w:val="00BA11D2"/>
    <w:rsid w:val="00BA1760"/>
    <w:rsid w:val="00BA198F"/>
    <w:rsid w:val="00BA1D41"/>
    <w:rsid w:val="00BA276C"/>
    <w:rsid w:val="00BA2988"/>
    <w:rsid w:val="00BA3099"/>
    <w:rsid w:val="00BA3133"/>
    <w:rsid w:val="00BA31DF"/>
    <w:rsid w:val="00BA36E3"/>
    <w:rsid w:val="00BA3806"/>
    <w:rsid w:val="00BA53CB"/>
    <w:rsid w:val="00BA59A4"/>
    <w:rsid w:val="00BA6489"/>
    <w:rsid w:val="00BA6FFA"/>
    <w:rsid w:val="00BA7984"/>
    <w:rsid w:val="00BA7F0F"/>
    <w:rsid w:val="00BA7F72"/>
    <w:rsid w:val="00BB03E7"/>
    <w:rsid w:val="00BB042B"/>
    <w:rsid w:val="00BB0A79"/>
    <w:rsid w:val="00BB0D51"/>
    <w:rsid w:val="00BB0E79"/>
    <w:rsid w:val="00BB151F"/>
    <w:rsid w:val="00BB1804"/>
    <w:rsid w:val="00BB285D"/>
    <w:rsid w:val="00BB3066"/>
    <w:rsid w:val="00BB306F"/>
    <w:rsid w:val="00BB31F9"/>
    <w:rsid w:val="00BB3466"/>
    <w:rsid w:val="00BB356D"/>
    <w:rsid w:val="00BB36D4"/>
    <w:rsid w:val="00BB4587"/>
    <w:rsid w:val="00BB487D"/>
    <w:rsid w:val="00BB4D8F"/>
    <w:rsid w:val="00BB521F"/>
    <w:rsid w:val="00BB53AD"/>
    <w:rsid w:val="00BB5A59"/>
    <w:rsid w:val="00BB5F28"/>
    <w:rsid w:val="00BB6D96"/>
    <w:rsid w:val="00BB78FE"/>
    <w:rsid w:val="00BB7B0A"/>
    <w:rsid w:val="00BB7C52"/>
    <w:rsid w:val="00BC04B9"/>
    <w:rsid w:val="00BC04F8"/>
    <w:rsid w:val="00BC2154"/>
    <w:rsid w:val="00BC2339"/>
    <w:rsid w:val="00BC243A"/>
    <w:rsid w:val="00BC2BBE"/>
    <w:rsid w:val="00BC35EB"/>
    <w:rsid w:val="00BC397C"/>
    <w:rsid w:val="00BC4866"/>
    <w:rsid w:val="00BC4BF7"/>
    <w:rsid w:val="00BC5E97"/>
    <w:rsid w:val="00BC68ED"/>
    <w:rsid w:val="00BC6FB1"/>
    <w:rsid w:val="00BC7156"/>
    <w:rsid w:val="00BC73B5"/>
    <w:rsid w:val="00BD0AA3"/>
    <w:rsid w:val="00BD0E5A"/>
    <w:rsid w:val="00BD1044"/>
    <w:rsid w:val="00BD10AC"/>
    <w:rsid w:val="00BD169F"/>
    <w:rsid w:val="00BD2254"/>
    <w:rsid w:val="00BD232B"/>
    <w:rsid w:val="00BD2C5B"/>
    <w:rsid w:val="00BD3469"/>
    <w:rsid w:val="00BD3821"/>
    <w:rsid w:val="00BD393F"/>
    <w:rsid w:val="00BD4B89"/>
    <w:rsid w:val="00BD57D6"/>
    <w:rsid w:val="00BD5B66"/>
    <w:rsid w:val="00BD7F14"/>
    <w:rsid w:val="00BE0098"/>
    <w:rsid w:val="00BE014C"/>
    <w:rsid w:val="00BE020B"/>
    <w:rsid w:val="00BE118B"/>
    <w:rsid w:val="00BE1438"/>
    <w:rsid w:val="00BE14B2"/>
    <w:rsid w:val="00BE1AD9"/>
    <w:rsid w:val="00BE201A"/>
    <w:rsid w:val="00BE309A"/>
    <w:rsid w:val="00BE35D9"/>
    <w:rsid w:val="00BE36D7"/>
    <w:rsid w:val="00BE4872"/>
    <w:rsid w:val="00BE4C89"/>
    <w:rsid w:val="00BE5974"/>
    <w:rsid w:val="00BE60A3"/>
    <w:rsid w:val="00BE6182"/>
    <w:rsid w:val="00BE6B74"/>
    <w:rsid w:val="00BE6DA0"/>
    <w:rsid w:val="00BE7E23"/>
    <w:rsid w:val="00BF0063"/>
    <w:rsid w:val="00BF08CB"/>
    <w:rsid w:val="00BF0AAB"/>
    <w:rsid w:val="00BF1F10"/>
    <w:rsid w:val="00BF2523"/>
    <w:rsid w:val="00BF2939"/>
    <w:rsid w:val="00BF2ECF"/>
    <w:rsid w:val="00BF4865"/>
    <w:rsid w:val="00BF4871"/>
    <w:rsid w:val="00BF4AF7"/>
    <w:rsid w:val="00BF54C6"/>
    <w:rsid w:val="00BF7C42"/>
    <w:rsid w:val="00C0028D"/>
    <w:rsid w:val="00C01451"/>
    <w:rsid w:val="00C01BA5"/>
    <w:rsid w:val="00C01ED9"/>
    <w:rsid w:val="00C01FB1"/>
    <w:rsid w:val="00C03059"/>
    <w:rsid w:val="00C03112"/>
    <w:rsid w:val="00C0332A"/>
    <w:rsid w:val="00C0391B"/>
    <w:rsid w:val="00C03A29"/>
    <w:rsid w:val="00C04159"/>
    <w:rsid w:val="00C04473"/>
    <w:rsid w:val="00C05579"/>
    <w:rsid w:val="00C070BA"/>
    <w:rsid w:val="00C07884"/>
    <w:rsid w:val="00C101BC"/>
    <w:rsid w:val="00C130DB"/>
    <w:rsid w:val="00C142C5"/>
    <w:rsid w:val="00C144E7"/>
    <w:rsid w:val="00C14557"/>
    <w:rsid w:val="00C14574"/>
    <w:rsid w:val="00C14701"/>
    <w:rsid w:val="00C14BAB"/>
    <w:rsid w:val="00C14CE0"/>
    <w:rsid w:val="00C14D75"/>
    <w:rsid w:val="00C14E09"/>
    <w:rsid w:val="00C1525C"/>
    <w:rsid w:val="00C1586E"/>
    <w:rsid w:val="00C16D95"/>
    <w:rsid w:val="00C171E0"/>
    <w:rsid w:val="00C17C1C"/>
    <w:rsid w:val="00C2124B"/>
    <w:rsid w:val="00C2142B"/>
    <w:rsid w:val="00C21762"/>
    <w:rsid w:val="00C224DF"/>
    <w:rsid w:val="00C22AA2"/>
    <w:rsid w:val="00C22DD6"/>
    <w:rsid w:val="00C23809"/>
    <w:rsid w:val="00C23BA8"/>
    <w:rsid w:val="00C24049"/>
    <w:rsid w:val="00C24543"/>
    <w:rsid w:val="00C2543C"/>
    <w:rsid w:val="00C256A2"/>
    <w:rsid w:val="00C25808"/>
    <w:rsid w:val="00C26A69"/>
    <w:rsid w:val="00C31770"/>
    <w:rsid w:val="00C31CDD"/>
    <w:rsid w:val="00C3238A"/>
    <w:rsid w:val="00C3299B"/>
    <w:rsid w:val="00C32A61"/>
    <w:rsid w:val="00C33109"/>
    <w:rsid w:val="00C338B0"/>
    <w:rsid w:val="00C338E4"/>
    <w:rsid w:val="00C33EB0"/>
    <w:rsid w:val="00C340DC"/>
    <w:rsid w:val="00C343DA"/>
    <w:rsid w:val="00C3492D"/>
    <w:rsid w:val="00C34F68"/>
    <w:rsid w:val="00C35CD6"/>
    <w:rsid w:val="00C35CE1"/>
    <w:rsid w:val="00C3629F"/>
    <w:rsid w:val="00C366D5"/>
    <w:rsid w:val="00C36E35"/>
    <w:rsid w:val="00C4062A"/>
    <w:rsid w:val="00C4068A"/>
    <w:rsid w:val="00C41AB9"/>
    <w:rsid w:val="00C423E4"/>
    <w:rsid w:val="00C42B45"/>
    <w:rsid w:val="00C43FC7"/>
    <w:rsid w:val="00C443E8"/>
    <w:rsid w:val="00C44886"/>
    <w:rsid w:val="00C44ECB"/>
    <w:rsid w:val="00C45555"/>
    <w:rsid w:val="00C45976"/>
    <w:rsid w:val="00C45A93"/>
    <w:rsid w:val="00C4696E"/>
    <w:rsid w:val="00C469D7"/>
    <w:rsid w:val="00C46A80"/>
    <w:rsid w:val="00C4716E"/>
    <w:rsid w:val="00C47791"/>
    <w:rsid w:val="00C4793D"/>
    <w:rsid w:val="00C47E39"/>
    <w:rsid w:val="00C506EB"/>
    <w:rsid w:val="00C50A5C"/>
    <w:rsid w:val="00C50C1E"/>
    <w:rsid w:val="00C5104A"/>
    <w:rsid w:val="00C5190F"/>
    <w:rsid w:val="00C528E7"/>
    <w:rsid w:val="00C52B08"/>
    <w:rsid w:val="00C53F60"/>
    <w:rsid w:val="00C546AB"/>
    <w:rsid w:val="00C5474E"/>
    <w:rsid w:val="00C548FA"/>
    <w:rsid w:val="00C55378"/>
    <w:rsid w:val="00C55560"/>
    <w:rsid w:val="00C573C7"/>
    <w:rsid w:val="00C60644"/>
    <w:rsid w:val="00C60E64"/>
    <w:rsid w:val="00C61035"/>
    <w:rsid w:val="00C61997"/>
    <w:rsid w:val="00C62393"/>
    <w:rsid w:val="00C6266E"/>
    <w:rsid w:val="00C62BF4"/>
    <w:rsid w:val="00C63B25"/>
    <w:rsid w:val="00C6491F"/>
    <w:rsid w:val="00C64B19"/>
    <w:rsid w:val="00C64F8B"/>
    <w:rsid w:val="00C664E0"/>
    <w:rsid w:val="00C66543"/>
    <w:rsid w:val="00C66996"/>
    <w:rsid w:val="00C669C1"/>
    <w:rsid w:val="00C66B72"/>
    <w:rsid w:val="00C674CD"/>
    <w:rsid w:val="00C67AAD"/>
    <w:rsid w:val="00C67F18"/>
    <w:rsid w:val="00C7047B"/>
    <w:rsid w:val="00C7066C"/>
    <w:rsid w:val="00C714BB"/>
    <w:rsid w:val="00C7275B"/>
    <w:rsid w:val="00C7281A"/>
    <w:rsid w:val="00C73487"/>
    <w:rsid w:val="00C7383C"/>
    <w:rsid w:val="00C74732"/>
    <w:rsid w:val="00C74AAA"/>
    <w:rsid w:val="00C74C37"/>
    <w:rsid w:val="00C7526E"/>
    <w:rsid w:val="00C75A4F"/>
    <w:rsid w:val="00C75E68"/>
    <w:rsid w:val="00C76135"/>
    <w:rsid w:val="00C76151"/>
    <w:rsid w:val="00C766C8"/>
    <w:rsid w:val="00C768EA"/>
    <w:rsid w:val="00C77013"/>
    <w:rsid w:val="00C77789"/>
    <w:rsid w:val="00C77F47"/>
    <w:rsid w:val="00C77FE5"/>
    <w:rsid w:val="00C80BAC"/>
    <w:rsid w:val="00C81339"/>
    <w:rsid w:val="00C81FBE"/>
    <w:rsid w:val="00C82B0B"/>
    <w:rsid w:val="00C84513"/>
    <w:rsid w:val="00C84B0E"/>
    <w:rsid w:val="00C84E16"/>
    <w:rsid w:val="00C850FD"/>
    <w:rsid w:val="00C85897"/>
    <w:rsid w:val="00C85CF6"/>
    <w:rsid w:val="00C85DDE"/>
    <w:rsid w:val="00C866C0"/>
    <w:rsid w:val="00C86C06"/>
    <w:rsid w:val="00C8737F"/>
    <w:rsid w:val="00C9008C"/>
    <w:rsid w:val="00C9055F"/>
    <w:rsid w:val="00C90A71"/>
    <w:rsid w:val="00C90AB9"/>
    <w:rsid w:val="00C90B7C"/>
    <w:rsid w:val="00C92CF7"/>
    <w:rsid w:val="00C93070"/>
    <w:rsid w:val="00C936C3"/>
    <w:rsid w:val="00C93F50"/>
    <w:rsid w:val="00C949E2"/>
    <w:rsid w:val="00C94BF5"/>
    <w:rsid w:val="00C9500C"/>
    <w:rsid w:val="00C9567A"/>
    <w:rsid w:val="00C957E5"/>
    <w:rsid w:val="00C95BF6"/>
    <w:rsid w:val="00C9670F"/>
    <w:rsid w:val="00C96AF3"/>
    <w:rsid w:val="00C96BFF"/>
    <w:rsid w:val="00CA0092"/>
    <w:rsid w:val="00CA0E2F"/>
    <w:rsid w:val="00CA1301"/>
    <w:rsid w:val="00CA249C"/>
    <w:rsid w:val="00CA28C5"/>
    <w:rsid w:val="00CA2AFD"/>
    <w:rsid w:val="00CA44E8"/>
    <w:rsid w:val="00CA53A8"/>
    <w:rsid w:val="00CA53D1"/>
    <w:rsid w:val="00CA599F"/>
    <w:rsid w:val="00CA5A1B"/>
    <w:rsid w:val="00CA61E3"/>
    <w:rsid w:val="00CA65F1"/>
    <w:rsid w:val="00CA6E49"/>
    <w:rsid w:val="00CA7FA8"/>
    <w:rsid w:val="00CB13BC"/>
    <w:rsid w:val="00CB17C1"/>
    <w:rsid w:val="00CB2422"/>
    <w:rsid w:val="00CB2660"/>
    <w:rsid w:val="00CB2A1A"/>
    <w:rsid w:val="00CB3738"/>
    <w:rsid w:val="00CB3827"/>
    <w:rsid w:val="00CB3A1A"/>
    <w:rsid w:val="00CB4134"/>
    <w:rsid w:val="00CB46A5"/>
    <w:rsid w:val="00CB4710"/>
    <w:rsid w:val="00CB596A"/>
    <w:rsid w:val="00CB59F1"/>
    <w:rsid w:val="00CB5C32"/>
    <w:rsid w:val="00CB5F9C"/>
    <w:rsid w:val="00CB712B"/>
    <w:rsid w:val="00CB7A42"/>
    <w:rsid w:val="00CC1440"/>
    <w:rsid w:val="00CC30E5"/>
    <w:rsid w:val="00CC5E13"/>
    <w:rsid w:val="00CC5E90"/>
    <w:rsid w:val="00CD046C"/>
    <w:rsid w:val="00CD04EA"/>
    <w:rsid w:val="00CD08CD"/>
    <w:rsid w:val="00CD30E5"/>
    <w:rsid w:val="00CD36BA"/>
    <w:rsid w:val="00CD6BCF"/>
    <w:rsid w:val="00CD6C80"/>
    <w:rsid w:val="00CD6D0F"/>
    <w:rsid w:val="00CE1390"/>
    <w:rsid w:val="00CE2330"/>
    <w:rsid w:val="00CE2BA0"/>
    <w:rsid w:val="00CE3468"/>
    <w:rsid w:val="00CE3F25"/>
    <w:rsid w:val="00CE4868"/>
    <w:rsid w:val="00CE4999"/>
    <w:rsid w:val="00CE5199"/>
    <w:rsid w:val="00CE66D5"/>
    <w:rsid w:val="00CE6764"/>
    <w:rsid w:val="00CE6E2C"/>
    <w:rsid w:val="00CE7969"/>
    <w:rsid w:val="00CE7E06"/>
    <w:rsid w:val="00CF100C"/>
    <w:rsid w:val="00CF1A57"/>
    <w:rsid w:val="00CF1FF5"/>
    <w:rsid w:val="00CF2824"/>
    <w:rsid w:val="00CF28D1"/>
    <w:rsid w:val="00CF29A0"/>
    <w:rsid w:val="00CF3EBB"/>
    <w:rsid w:val="00CF4138"/>
    <w:rsid w:val="00CF439C"/>
    <w:rsid w:val="00CF5539"/>
    <w:rsid w:val="00CF6754"/>
    <w:rsid w:val="00CF768E"/>
    <w:rsid w:val="00D002FC"/>
    <w:rsid w:val="00D00AE9"/>
    <w:rsid w:val="00D01E08"/>
    <w:rsid w:val="00D029D6"/>
    <w:rsid w:val="00D02E9F"/>
    <w:rsid w:val="00D03633"/>
    <w:rsid w:val="00D03C39"/>
    <w:rsid w:val="00D04137"/>
    <w:rsid w:val="00D04674"/>
    <w:rsid w:val="00D05066"/>
    <w:rsid w:val="00D07044"/>
    <w:rsid w:val="00D07439"/>
    <w:rsid w:val="00D0752B"/>
    <w:rsid w:val="00D07604"/>
    <w:rsid w:val="00D0799B"/>
    <w:rsid w:val="00D07A1B"/>
    <w:rsid w:val="00D07C0D"/>
    <w:rsid w:val="00D105B5"/>
    <w:rsid w:val="00D1130B"/>
    <w:rsid w:val="00D11349"/>
    <w:rsid w:val="00D1169D"/>
    <w:rsid w:val="00D11888"/>
    <w:rsid w:val="00D127E5"/>
    <w:rsid w:val="00D12BC1"/>
    <w:rsid w:val="00D12D6C"/>
    <w:rsid w:val="00D14582"/>
    <w:rsid w:val="00D14B21"/>
    <w:rsid w:val="00D15ABB"/>
    <w:rsid w:val="00D15E54"/>
    <w:rsid w:val="00D15EA1"/>
    <w:rsid w:val="00D16299"/>
    <w:rsid w:val="00D16C41"/>
    <w:rsid w:val="00D1738B"/>
    <w:rsid w:val="00D20C03"/>
    <w:rsid w:val="00D20D54"/>
    <w:rsid w:val="00D211D9"/>
    <w:rsid w:val="00D2131F"/>
    <w:rsid w:val="00D21D95"/>
    <w:rsid w:val="00D21DA2"/>
    <w:rsid w:val="00D21E25"/>
    <w:rsid w:val="00D2250C"/>
    <w:rsid w:val="00D22969"/>
    <w:rsid w:val="00D22F94"/>
    <w:rsid w:val="00D2345D"/>
    <w:rsid w:val="00D23505"/>
    <w:rsid w:val="00D23785"/>
    <w:rsid w:val="00D24207"/>
    <w:rsid w:val="00D24291"/>
    <w:rsid w:val="00D24498"/>
    <w:rsid w:val="00D2456B"/>
    <w:rsid w:val="00D252F0"/>
    <w:rsid w:val="00D25889"/>
    <w:rsid w:val="00D25C75"/>
    <w:rsid w:val="00D27C5B"/>
    <w:rsid w:val="00D27FBF"/>
    <w:rsid w:val="00D30B57"/>
    <w:rsid w:val="00D31A13"/>
    <w:rsid w:val="00D32D94"/>
    <w:rsid w:val="00D3306F"/>
    <w:rsid w:val="00D33780"/>
    <w:rsid w:val="00D34020"/>
    <w:rsid w:val="00D340AA"/>
    <w:rsid w:val="00D34786"/>
    <w:rsid w:val="00D35114"/>
    <w:rsid w:val="00D35609"/>
    <w:rsid w:val="00D36696"/>
    <w:rsid w:val="00D36A2C"/>
    <w:rsid w:val="00D37539"/>
    <w:rsid w:val="00D37F9A"/>
    <w:rsid w:val="00D4040F"/>
    <w:rsid w:val="00D40A1E"/>
    <w:rsid w:val="00D41308"/>
    <w:rsid w:val="00D41747"/>
    <w:rsid w:val="00D427B7"/>
    <w:rsid w:val="00D42BAB"/>
    <w:rsid w:val="00D43C76"/>
    <w:rsid w:val="00D43C78"/>
    <w:rsid w:val="00D44A80"/>
    <w:rsid w:val="00D44B04"/>
    <w:rsid w:val="00D44BDF"/>
    <w:rsid w:val="00D4512A"/>
    <w:rsid w:val="00D45150"/>
    <w:rsid w:val="00D45500"/>
    <w:rsid w:val="00D46CDC"/>
    <w:rsid w:val="00D47631"/>
    <w:rsid w:val="00D47E97"/>
    <w:rsid w:val="00D5025B"/>
    <w:rsid w:val="00D50AFF"/>
    <w:rsid w:val="00D512DC"/>
    <w:rsid w:val="00D52B5B"/>
    <w:rsid w:val="00D537DA"/>
    <w:rsid w:val="00D53F3D"/>
    <w:rsid w:val="00D54580"/>
    <w:rsid w:val="00D5466A"/>
    <w:rsid w:val="00D54814"/>
    <w:rsid w:val="00D54883"/>
    <w:rsid w:val="00D54FD9"/>
    <w:rsid w:val="00D558C4"/>
    <w:rsid w:val="00D55BF0"/>
    <w:rsid w:val="00D55D01"/>
    <w:rsid w:val="00D56170"/>
    <w:rsid w:val="00D568A0"/>
    <w:rsid w:val="00D56B44"/>
    <w:rsid w:val="00D57019"/>
    <w:rsid w:val="00D57833"/>
    <w:rsid w:val="00D6092C"/>
    <w:rsid w:val="00D61163"/>
    <w:rsid w:val="00D6144B"/>
    <w:rsid w:val="00D61759"/>
    <w:rsid w:val="00D617EA"/>
    <w:rsid w:val="00D61880"/>
    <w:rsid w:val="00D6299C"/>
    <w:rsid w:val="00D62BD0"/>
    <w:rsid w:val="00D63033"/>
    <w:rsid w:val="00D63233"/>
    <w:rsid w:val="00D63BBA"/>
    <w:rsid w:val="00D65E4F"/>
    <w:rsid w:val="00D6603B"/>
    <w:rsid w:val="00D67330"/>
    <w:rsid w:val="00D677D5"/>
    <w:rsid w:val="00D67E5B"/>
    <w:rsid w:val="00D70C28"/>
    <w:rsid w:val="00D712D3"/>
    <w:rsid w:val="00D71422"/>
    <w:rsid w:val="00D7145E"/>
    <w:rsid w:val="00D728BB"/>
    <w:rsid w:val="00D72985"/>
    <w:rsid w:val="00D73376"/>
    <w:rsid w:val="00D73AEF"/>
    <w:rsid w:val="00D73E27"/>
    <w:rsid w:val="00D73FF7"/>
    <w:rsid w:val="00D74A1F"/>
    <w:rsid w:val="00D74B5B"/>
    <w:rsid w:val="00D74C93"/>
    <w:rsid w:val="00D74F68"/>
    <w:rsid w:val="00D75267"/>
    <w:rsid w:val="00D7558D"/>
    <w:rsid w:val="00D75719"/>
    <w:rsid w:val="00D75D35"/>
    <w:rsid w:val="00D76163"/>
    <w:rsid w:val="00D76232"/>
    <w:rsid w:val="00D7649A"/>
    <w:rsid w:val="00D76E2F"/>
    <w:rsid w:val="00D77A92"/>
    <w:rsid w:val="00D8027F"/>
    <w:rsid w:val="00D80440"/>
    <w:rsid w:val="00D80C60"/>
    <w:rsid w:val="00D811FF"/>
    <w:rsid w:val="00D81D92"/>
    <w:rsid w:val="00D826A0"/>
    <w:rsid w:val="00D82EA8"/>
    <w:rsid w:val="00D838BE"/>
    <w:rsid w:val="00D83DD3"/>
    <w:rsid w:val="00D83FFE"/>
    <w:rsid w:val="00D85C75"/>
    <w:rsid w:val="00D86569"/>
    <w:rsid w:val="00D86F9C"/>
    <w:rsid w:val="00D87371"/>
    <w:rsid w:val="00D87416"/>
    <w:rsid w:val="00D8763F"/>
    <w:rsid w:val="00D9040B"/>
    <w:rsid w:val="00D9087A"/>
    <w:rsid w:val="00D915AB"/>
    <w:rsid w:val="00D91B1E"/>
    <w:rsid w:val="00D93047"/>
    <w:rsid w:val="00D93446"/>
    <w:rsid w:val="00D9382D"/>
    <w:rsid w:val="00D946AA"/>
    <w:rsid w:val="00D94A75"/>
    <w:rsid w:val="00D94D1C"/>
    <w:rsid w:val="00D9539C"/>
    <w:rsid w:val="00D95402"/>
    <w:rsid w:val="00D96245"/>
    <w:rsid w:val="00D978E5"/>
    <w:rsid w:val="00DA06A2"/>
    <w:rsid w:val="00DA1520"/>
    <w:rsid w:val="00DA1947"/>
    <w:rsid w:val="00DA2A7C"/>
    <w:rsid w:val="00DA3005"/>
    <w:rsid w:val="00DA300A"/>
    <w:rsid w:val="00DA341C"/>
    <w:rsid w:val="00DA4A24"/>
    <w:rsid w:val="00DA4E4E"/>
    <w:rsid w:val="00DA520B"/>
    <w:rsid w:val="00DA5ECF"/>
    <w:rsid w:val="00DA6645"/>
    <w:rsid w:val="00DA67A8"/>
    <w:rsid w:val="00DA6AB3"/>
    <w:rsid w:val="00DA7151"/>
    <w:rsid w:val="00DA77AA"/>
    <w:rsid w:val="00DA7982"/>
    <w:rsid w:val="00DA79D0"/>
    <w:rsid w:val="00DA7B5F"/>
    <w:rsid w:val="00DB0017"/>
    <w:rsid w:val="00DB025C"/>
    <w:rsid w:val="00DB0D73"/>
    <w:rsid w:val="00DB0F13"/>
    <w:rsid w:val="00DB187F"/>
    <w:rsid w:val="00DB18A8"/>
    <w:rsid w:val="00DB3050"/>
    <w:rsid w:val="00DB30EC"/>
    <w:rsid w:val="00DB3374"/>
    <w:rsid w:val="00DB4A1E"/>
    <w:rsid w:val="00DB4D80"/>
    <w:rsid w:val="00DB50F7"/>
    <w:rsid w:val="00DB5C3C"/>
    <w:rsid w:val="00DB5E63"/>
    <w:rsid w:val="00DB6BE6"/>
    <w:rsid w:val="00DB710E"/>
    <w:rsid w:val="00DB78C2"/>
    <w:rsid w:val="00DC008A"/>
    <w:rsid w:val="00DC009E"/>
    <w:rsid w:val="00DC07A4"/>
    <w:rsid w:val="00DC07CC"/>
    <w:rsid w:val="00DC174D"/>
    <w:rsid w:val="00DC28C0"/>
    <w:rsid w:val="00DC2FF2"/>
    <w:rsid w:val="00DC3121"/>
    <w:rsid w:val="00DC402C"/>
    <w:rsid w:val="00DC4839"/>
    <w:rsid w:val="00DC4D27"/>
    <w:rsid w:val="00DC4FD5"/>
    <w:rsid w:val="00DC5080"/>
    <w:rsid w:val="00DC6453"/>
    <w:rsid w:val="00DC6D2C"/>
    <w:rsid w:val="00DC7597"/>
    <w:rsid w:val="00DC7693"/>
    <w:rsid w:val="00DC78C5"/>
    <w:rsid w:val="00DC7A08"/>
    <w:rsid w:val="00DD045E"/>
    <w:rsid w:val="00DD072F"/>
    <w:rsid w:val="00DD1E65"/>
    <w:rsid w:val="00DD2615"/>
    <w:rsid w:val="00DD2635"/>
    <w:rsid w:val="00DD2AD4"/>
    <w:rsid w:val="00DD2B24"/>
    <w:rsid w:val="00DD2BE4"/>
    <w:rsid w:val="00DD2C54"/>
    <w:rsid w:val="00DD300E"/>
    <w:rsid w:val="00DD556D"/>
    <w:rsid w:val="00DD5DEE"/>
    <w:rsid w:val="00DD6285"/>
    <w:rsid w:val="00DD66BE"/>
    <w:rsid w:val="00DD6DEF"/>
    <w:rsid w:val="00DD6F04"/>
    <w:rsid w:val="00DD759E"/>
    <w:rsid w:val="00DD7AC8"/>
    <w:rsid w:val="00DE0266"/>
    <w:rsid w:val="00DE13A8"/>
    <w:rsid w:val="00DE19A7"/>
    <w:rsid w:val="00DE2271"/>
    <w:rsid w:val="00DE26A2"/>
    <w:rsid w:val="00DE312E"/>
    <w:rsid w:val="00DE3C5E"/>
    <w:rsid w:val="00DE4C65"/>
    <w:rsid w:val="00DE62F2"/>
    <w:rsid w:val="00DE67FF"/>
    <w:rsid w:val="00DE6BE1"/>
    <w:rsid w:val="00DE735D"/>
    <w:rsid w:val="00DE7417"/>
    <w:rsid w:val="00DE783D"/>
    <w:rsid w:val="00DE7D2E"/>
    <w:rsid w:val="00DF0460"/>
    <w:rsid w:val="00DF0A97"/>
    <w:rsid w:val="00DF0AE6"/>
    <w:rsid w:val="00DF1843"/>
    <w:rsid w:val="00DF1CDD"/>
    <w:rsid w:val="00DF1DF9"/>
    <w:rsid w:val="00DF37E5"/>
    <w:rsid w:val="00DF4BDE"/>
    <w:rsid w:val="00DF5077"/>
    <w:rsid w:val="00DF53A8"/>
    <w:rsid w:val="00DF66DD"/>
    <w:rsid w:val="00DF68E0"/>
    <w:rsid w:val="00DF732B"/>
    <w:rsid w:val="00DF7793"/>
    <w:rsid w:val="00E01937"/>
    <w:rsid w:val="00E01B40"/>
    <w:rsid w:val="00E01BB4"/>
    <w:rsid w:val="00E02360"/>
    <w:rsid w:val="00E023DF"/>
    <w:rsid w:val="00E052B0"/>
    <w:rsid w:val="00E067A6"/>
    <w:rsid w:val="00E068D1"/>
    <w:rsid w:val="00E06DDE"/>
    <w:rsid w:val="00E0702F"/>
    <w:rsid w:val="00E0734B"/>
    <w:rsid w:val="00E0740A"/>
    <w:rsid w:val="00E079F6"/>
    <w:rsid w:val="00E07D21"/>
    <w:rsid w:val="00E10362"/>
    <w:rsid w:val="00E10D76"/>
    <w:rsid w:val="00E11392"/>
    <w:rsid w:val="00E11667"/>
    <w:rsid w:val="00E11D68"/>
    <w:rsid w:val="00E13134"/>
    <w:rsid w:val="00E1451D"/>
    <w:rsid w:val="00E152BE"/>
    <w:rsid w:val="00E1542D"/>
    <w:rsid w:val="00E15FBA"/>
    <w:rsid w:val="00E16D9B"/>
    <w:rsid w:val="00E16F9D"/>
    <w:rsid w:val="00E17683"/>
    <w:rsid w:val="00E200F9"/>
    <w:rsid w:val="00E2121C"/>
    <w:rsid w:val="00E21902"/>
    <w:rsid w:val="00E21B90"/>
    <w:rsid w:val="00E22278"/>
    <w:rsid w:val="00E226FF"/>
    <w:rsid w:val="00E2284A"/>
    <w:rsid w:val="00E22D9B"/>
    <w:rsid w:val="00E22E4E"/>
    <w:rsid w:val="00E230FD"/>
    <w:rsid w:val="00E2398E"/>
    <w:rsid w:val="00E23A98"/>
    <w:rsid w:val="00E25A41"/>
    <w:rsid w:val="00E2673A"/>
    <w:rsid w:val="00E26F97"/>
    <w:rsid w:val="00E26FCD"/>
    <w:rsid w:val="00E27AA4"/>
    <w:rsid w:val="00E30281"/>
    <w:rsid w:val="00E30D79"/>
    <w:rsid w:val="00E3317B"/>
    <w:rsid w:val="00E337D9"/>
    <w:rsid w:val="00E33E64"/>
    <w:rsid w:val="00E3622A"/>
    <w:rsid w:val="00E364C4"/>
    <w:rsid w:val="00E3757F"/>
    <w:rsid w:val="00E37980"/>
    <w:rsid w:val="00E4161F"/>
    <w:rsid w:val="00E41EE4"/>
    <w:rsid w:val="00E42B78"/>
    <w:rsid w:val="00E42C74"/>
    <w:rsid w:val="00E42CA7"/>
    <w:rsid w:val="00E42EA3"/>
    <w:rsid w:val="00E43157"/>
    <w:rsid w:val="00E43212"/>
    <w:rsid w:val="00E4347E"/>
    <w:rsid w:val="00E4390D"/>
    <w:rsid w:val="00E43C54"/>
    <w:rsid w:val="00E43C96"/>
    <w:rsid w:val="00E43D3F"/>
    <w:rsid w:val="00E45485"/>
    <w:rsid w:val="00E4587E"/>
    <w:rsid w:val="00E45D29"/>
    <w:rsid w:val="00E461F9"/>
    <w:rsid w:val="00E46307"/>
    <w:rsid w:val="00E4781D"/>
    <w:rsid w:val="00E47AAE"/>
    <w:rsid w:val="00E50136"/>
    <w:rsid w:val="00E518D4"/>
    <w:rsid w:val="00E533FF"/>
    <w:rsid w:val="00E53BD8"/>
    <w:rsid w:val="00E53DC6"/>
    <w:rsid w:val="00E53E5E"/>
    <w:rsid w:val="00E54CE1"/>
    <w:rsid w:val="00E54EF8"/>
    <w:rsid w:val="00E55087"/>
    <w:rsid w:val="00E56477"/>
    <w:rsid w:val="00E57833"/>
    <w:rsid w:val="00E57B31"/>
    <w:rsid w:val="00E57B6B"/>
    <w:rsid w:val="00E57ECF"/>
    <w:rsid w:val="00E57F21"/>
    <w:rsid w:val="00E602CC"/>
    <w:rsid w:val="00E6049E"/>
    <w:rsid w:val="00E608CA"/>
    <w:rsid w:val="00E61067"/>
    <w:rsid w:val="00E6106E"/>
    <w:rsid w:val="00E61732"/>
    <w:rsid w:val="00E61DC3"/>
    <w:rsid w:val="00E61FC3"/>
    <w:rsid w:val="00E62965"/>
    <w:rsid w:val="00E6356C"/>
    <w:rsid w:val="00E6364D"/>
    <w:rsid w:val="00E63B98"/>
    <w:rsid w:val="00E64645"/>
    <w:rsid w:val="00E64863"/>
    <w:rsid w:val="00E648F3"/>
    <w:rsid w:val="00E64AF6"/>
    <w:rsid w:val="00E64E6F"/>
    <w:rsid w:val="00E654A2"/>
    <w:rsid w:val="00E65CB4"/>
    <w:rsid w:val="00E67236"/>
    <w:rsid w:val="00E6740D"/>
    <w:rsid w:val="00E6766E"/>
    <w:rsid w:val="00E67989"/>
    <w:rsid w:val="00E709B3"/>
    <w:rsid w:val="00E70B54"/>
    <w:rsid w:val="00E711AB"/>
    <w:rsid w:val="00E7126F"/>
    <w:rsid w:val="00E71E57"/>
    <w:rsid w:val="00E71FD7"/>
    <w:rsid w:val="00E738EA"/>
    <w:rsid w:val="00E74123"/>
    <w:rsid w:val="00E74177"/>
    <w:rsid w:val="00E743F3"/>
    <w:rsid w:val="00E753FA"/>
    <w:rsid w:val="00E75BA9"/>
    <w:rsid w:val="00E7676B"/>
    <w:rsid w:val="00E767BD"/>
    <w:rsid w:val="00E7739E"/>
    <w:rsid w:val="00E774E4"/>
    <w:rsid w:val="00E77FBC"/>
    <w:rsid w:val="00E8058F"/>
    <w:rsid w:val="00E80E83"/>
    <w:rsid w:val="00E81771"/>
    <w:rsid w:val="00E819FB"/>
    <w:rsid w:val="00E81A3E"/>
    <w:rsid w:val="00E82F32"/>
    <w:rsid w:val="00E830CC"/>
    <w:rsid w:val="00E83682"/>
    <w:rsid w:val="00E853E8"/>
    <w:rsid w:val="00E8617E"/>
    <w:rsid w:val="00E86ABD"/>
    <w:rsid w:val="00E86E84"/>
    <w:rsid w:val="00E86EAF"/>
    <w:rsid w:val="00E87515"/>
    <w:rsid w:val="00E8789F"/>
    <w:rsid w:val="00E908CF"/>
    <w:rsid w:val="00E91BE2"/>
    <w:rsid w:val="00E91EB8"/>
    <w:rsid w:val="00E920D0"/>
    <w:rsid w:val="00E92215"/>
    <w:rsid w:val="00E92291"/>
    <w:rsid w:val="00E92993"/>
    <w:rsid w:val="00E9316D"/>
    <w:rsid w:val="00E9318F"/>
    <w:rsid w:val="00E9323B"/>
    <w:rsid w:val="00E93BDB"/>
    <w:rsid w:val="00E94203"/>
    <w:rsid w:val="00E94D19"/>
    <w:rsid w:val="00E94E3D"/>
    <w:rsid w:val="00E959ED"/>
    <w:rsid w:val="00E96942"/>
    <w:rsid w:val="00E978C5"/>
    <w:rsid w:val="00E97A68"/>
    <w:rsid w:val="00E97B71"/>
    <w:rsid w:val="00EA0181"/>
    <w:rsid w:val="00EA01E7"/>
    <w:rsid w:val="00EA077D"/>
    <w:rsid w:val="00EA1089"/>
    <w:rsid w:val="00EA1283"/>
    <w:rsid w:val="00EA14BA"/>
    <w:rsid w:val="00EA14DA"/>
    <w:rsid w:val="00EA1551"/>
    <w:rsid w:val="00EA178D"/>
    <w:rsid w:val="00EA1CD7"/>
    <w:rsid w:val="00EA26BA"/>
    <w:rsid w:val="00EA330D"/>
    <w:rsid w:val="00EA406F"/>
    <w:rsid w:val="00EA425E"/>
    <w:rsid w:val="00EA4410"/>
    <w:rsid w:val="00EA47C8"/>
    <w:rsid w:val="00EA520B"/>
    <w:rsid w:val="00EA5364"/>
    <w:rsid w:val="00EA5522"/>
    <w:rsid w:val="00EA5A04"/>
    <w:rsid w:val="00EA5FE2"/>
    <w:rsid w:val="00EA603E"/>
    <w:rsid w:val="00EA64CA"/>
    <w:rsid w:val="00EA66B7"/>
    <w:rsid w:val="00EA6A6E"/>
    <w:rsid w:val="00EA70E0"/>
    <w:rsid w:val="00EB0252"/>
    <w:rsid w:val="00EB077F"/>
    <w:rsid w:val="00EB0856"/>
    <w:rsid w:val="00EB24D7"/>
    <w:rsid w:val="00EB2E99"/>
    <w:rsid w:val="00EB4080"/>
    <w:rsid w:val="00EB454D"/>
    <w:rsid w:val="00EB454F"/>
    <w:rsid w:val="00EB4B7E"/>
    <w:rsid w:val="00EB51DC"/>
    <w:rsid w:val="00EB51EA"/>
    <w:rsid w:val="00EB55C1"/>
    <w:rsid w:val="00EB5608"/>
    <w:rsid w:val="00EB6170"/>
    <w:rsid w:val="00EB62D9"/>
    <w:rsid w:val="00EB6B06"/>
    <w:rsid w:val="00EB7E24"/>
    <w:rsid w:val="00EB7F0A"/>
    <w:rsid w:val="00EC0BA4"/>
    <w:rsid w:val="00EC0E37"/>
    <w:rsid w:val="00EC112E"/>
    <w:rsid w:val="00EC1628"/>
    <w:rsid w:val="00EC20C2"/>
    <w:rsid w:val="00EC27D8"/>
    <w:rsid w:val="00EC2AAD"/>
    <w:rsid w:val="00EC31F9"/>
    <w:rsid w:val="00EC45C1"/>
    <w:rsid w:val="00EC5570"/>
    <w:rsid w:val="00EC68B2"/>
    <w:rsid w:val="00EC6931"/>
    <w:rsid w:val="00EC74EB"/>
    <w:rsid w:val="00ED0E31"/>
    <w:rsid w:val="00ED1405"/>
    <w:rsid w:val="00ED147C"/>
    <w:rsid w:val="00ED18FD"/>
    <w:rsid w:val="00ED19E9"/>
    <w:rsid w:val="00ED1A76"/>
    <w:rsid w:val="00ED1EC6"/>
    <w:rsid w:val="00ED258E"/>
    <w:rsid w:val="00ED2D1D"/>
    <w:rsid w:val="00ED36CC"/>
    <w:rsid w:val="00ED3A8E"/>
    <w:rsid w:val="00ED3AB2"/>
    <w:rsid w:val="00ED51FD"/>
    <w:rsid w:val="00ED56AB"/>
    <w:rsid w:val="00ED5BE1"/>
    <w:rsid w:val="00ED5D95"/>
    <w:rsid w:val="00EE04C1"/>
    <w:rsid w:val="00EE0B8E"/>
    <w:rsid w:val="00EE0BA9"/>
    <w:rsid w:val="00EE0D3E"/>
    <w:rsid w:val="00EE140F"/>
    <w:rsid w:val="00EE2D07"/>
    <w:rsid w:val="00EE3522"/>
    <w:rsid w:val="00EE36D7"/>
    <w:rsid w:val="00EE39AD"/>
    <w:rsid w:val="00EE39F1"/>
    <w:rsid w:val="00EE4E4B"/>
    <w:rsid w:val="00EE526D"/>
    <w:rsid w:val="00EE599E"/>
    <w:rsid w:val="00EE5A74"/>
    <w:rsid w:val="00EE5BA0"/>
    <w:rsid w:val="00EE5C5E"/>
    <w:rsid w:val="00EE5D7E"/>
    <w:rsid w:val="00EE5D89"/>
    <w:rsid w:val="00EE5E58"/>
    <w:rsid w:val="00EE74B4"/>
    <w:rsid w:val="00EE7A25"/>
    <w:rsid w:val="00EF04A0"/>
    <w:rsid w:val="00EF0CEF"/>
    <w:rsid w:val="00EF1247"/>
    <w:rsid w:val="00EF21F8"/>
    <w:rsid w:val="00EF2493"/>
    <w:rsid w:val="00EF36AC"/>
    <w:rsid w:val="00EF49F0"/>
    <w:rsid w:val="00EF49F8"/>
    <w:rsid w:val="00EF4EC3"/>
    <w:rsid w:val="00EF52C2"/>
    <w:rsid w:val="00EF56CE"/>
    <w:rsid w:val="00EF5AA9"/>
    <w:rsid w:val="00EF619B"/>
    <w:rsid w:val="00EF6972"/>
    <w:rsid w:val="00EF7231"/>
    <w:rsid w:val="00EF7AE2"/>
    <w:rsid w:val="00F005EE"/>
    <w:rsid w:val="00F00B55"/>
    <w:rsid w:val="00F0246A"/>
    <w:rsid w:val="00F03911"/>
    <w:rsid w:val="00F044AA"/>
    <w:rsid w:val="00F0498B"/>
    <w:rsid w:val="00F04AFE"/>
    <w:rsid w:val="00F0528D"/>
    <w:rsid w:val="00F059CF"/>
    <w:rsid w:val="00F068F4"/>
    <w:rsid w:val="00F06961"/>
    <w:rsid w:val="00F1005F"/>
    <w:rsid w:val="00F10ED1"/>
    <w:rsid w:val="00F11242"/>
    <w:rsid w:val="00F11944"/>
    <w:rsid w:val="00F1380F"/>
    <w:rsid w:val="00F13CDA"/>
    <w:rsid w:val="00F14F0E"/>
    <w:rsid w:val="00F14F98"/>
    <w:rsid w:val="00F15799"/>
    <w:rsid w:val="00F15B41"/>
    <w:rsid w:val="00F15B6A"/>
    <w:rsid w:val="00F16AD4"/>
    <w:rsid w:val="00F16DDB"/>
    <w:rsid w:val="00F175ED"/>
    <w:rsid w:val="00F1763D"/>
    <w:rsid w:val="00F17799"/>
    <w:rsid w:val="00F17E5B"/>
    <w:rsid w:val="00F17F09"/>
    <w:rsid w:val="00F20236"/>
    <w:rsid w:val="00F2059E"/>
    <w:rsid w:val="00F20D2B"/>
    <w:rsid w:val="00F20F5C"/>
    <w:rsid w:val="00F213DC"/>
    <w:rsid w:val="00F21553"/>
    <w:rsid w:val="00F21703"/>
    <w:rsid w:val="00F2196E"/>
    <w:rsid w:val="00F22969"/>
    <w:rsid w:val="00F22A78"/>
    <w:rsid w:val="00F2328B"/>
    <w:rsid w:val="00F239C4"/>
    <w:rsid w:val="00F24C29"/>
    <w:rsid w:val="00F250BD"/>
    <w:rsid w:val="00F25192"/>
    <w:rsid w:val="00F253CC"/>
    <w:rsid w:val="00F25C31"/>
    <w:rsid w:val="00F26072"/>
    <w:rsid w:val="00F267BE"/>
    <w:rsid w:val="00F26833"/>
    <w:rsid w:val="00F26D14"/>
    <w:rsid w:val="00F27458"/>
    <w:rsid w:val="00F277DB"/>
    <w:rsid w:val="00F27ACD"/>
    <w:rsid w:val="00F27CD8"/>
    <w:rsid w:val="00F31117"/>
    <w:rsid w:val="00F311E2"/>
    <w:rsid w:val="00F3120D"/>
    <w:rsid w:val="00F31814"/>
    <w:rsid w:val="00F3203E"/>
    <w:rsid w:val="00F32F87"/>
    <w:rsid w:val="00F3379A"/>
    <w:rsid w:val="00F33C08"/>
    <w:rsid w:val="00F34265"/>
    <w:rsid w:val="00F35C2A"/>
    <w:rsid w:val="00F35E2A"/>
    <w:rsid w:val="00F36059"/>
    <w:rsid w:val="00F36115"/>
    <w:rsid w:val="00F3664E"/>
    <w:rsid w:val="00F366AD"/>
    <w:rsid w:val="00F36D40"/>
    <w:rsid w:val="00F36F27"/>
    <w:rsid w:val="00F37481"/>
    <w:rsid w:val="00F37C7F"/>
    <w:rsid w:val="00F37F99"/>
    <w:rsid w:val="00F4002C"/>
    <w:rsid w:val="00F40B92"/>
    <w:rsid w:val="00F427E6"/>
    <w:rsid w:val="00F42A87"/>
    <w:rsid w:val="00F434F9"/>
    <w:rsid w:val="00F438CD"/>
    <w:rsid w:val="00F441B9"/>
    <w:rsid w:val="00F44C8A"/>
    <w:rsid w:val="00F44EC9"/>
    <w:rsid w:val="00F45EBF"/>
    <w:rsid w:val="00F46498"/>
    <w:rsid w:val="00F503B5"/>
    <w:rsid w:val="00F5092E"/>
    <w:rsid w:val="00F511F7"/>
    <w:rsid w:val="00F51F0D"/>
    <w:rsid w:val="00F522E4"/>
    <w:rsid w:val="00F523CA"/>
    <w:rsid w:val="00F52735"/>
    <w:rsid w:val="00F530C9"/>
    <w:rsid w:val="00F545AC"/>
    <w:rsid w:val="00F548A6"/>
    <w:rsid w:val="00F5497B"/>
    <w:rsid w:val="00F55507"/>
    <w:rsid w:val="00F557EB"/>
    <w:rsid w:val="00F55F3B"/>
    <w:rsid w:val="00F5694D"/>
    <w:rsid w:val="00F56A06"/>
    <w:rsid w:val="00F56A40"/>
    <w:rsid w:val="00F56BA5"/>
    <w:rsid w:val="00F56BE1"/>
    <w:rsid w:val="00F56D59"/>
    <w:rsid w:val="00F57538"/>
    <w:rsid w:val="00F57F4C"/>
    <w:rsid w:val="00F6022A"/>
    <w:rsid w:val="00F6040D"/>
    <w:rsid w:val="00F6042D"/>
    <w:rsid w:val="00F60E01"/>
    <w:rsid w:val="00F61379"/>
    <w:rsid w:val="00F6160F"/>
    <w:rsid w:val="00F61998"/>
    <w:rsid w:val="00F61BE4"/>
    <w:rsid w:val="00F6255A"/>
    <w:rsid w:val="00F62C42"/>
    <w:rsid w:val="00F630BD"/>
    <w:rsid w:val="00F637BF"/>
    <w:rsid w:val="00F63F1D"/>
    <w:rsid w:val="00F644E6"/>
    <w:rsid w:val="00F6589A"/>
    <w:rsid w:val="00F66118"/>
    <w:rsid w:val="00F664DE"/>
    <w:rsid w:val="00F66B8C"/>
    <w:rsid w:val="00F66BDC"/>
    <w:rsid w:val="00F66CF0"/>
    <w:rsid w:val="00F67BBA"/>
    <w:rsid w:val="00F706B0"/>
    <w:rsid w:val="00F70809"/>
    <w:rsid w:val="00F71643"/>
    <w:rsid w:val="00F71C14"/>
    <w:rsid w:val="00F71CB2"/>
    <w:rsid w:val="00F71F53"/>
    <w:rsid w:val="00F725D1"/>
    <w:rsid w:val="00F73661"/>
    <w:rsid w:val="00F737D9"/>
    <w:rsid w:val="00F7392C"/>
    <w:rsid w:val="00F746CA"/>
    <w:rsid w:val="00F74B0B"/>
    <w:rsid w:val="00F760C8"/>
    <w:rsid w:val="00F769C7"/>
    <w:rsid w:val="00F7730A"/>
    <w:rsid w:val="00F7784C"/>
    <w:rsid w:val="00F778ED"/>
    <w:rsid w:val="00F77995"/>
    <w:rsid w:val="00F77BFA"/>
    <w:rsid w:val="00F77E6F"/>
    <w:rsid w:val="00F80AF0"/>
    <w:rsid w:val="00F820EF"/>
    <w:rsid w:val="00F82683"/>
    <w:rsid w:val="00F83D11"/>
    <w:rsid w:val="00F84DAD"/>
    <w:rsid w:val="00F8560D"/>
    <w:rsid w:val="00F85752"/>
    <w:rsid w:val="00F857F6"/>
    <w:rsid w:val="00F86E36"/>
    <w:rsid w:val="00F86EE8"/>
    <w:rsid w:val="00F87A1C"/>
    <w:rsid w:val="00F87A9A"/>
    <w:rsid w:val="00F90018"/>
    <w:rsid w:val="00F916AC"/>
    <w:rsid w:val="00F92CA1"/>
    <w:rsid w:val="00F93826"/>
    <w:rsid w:val="00F93D9E"/>
    <w:rsid w:val="00F94A0A"/>
    <w:rsid w:val="00F9653B"/>
    <w:rsid w:val="00F97B89"/>
    <w:rsid w:val="00F97C28"/>
    <w:rsid w:val="00F97D53"/>
    <w:rsid w:val="00FA025B"/>
    <w:rsid w:val="00FA081A"/>
    <w:rsid w:val="00FA1634"/>
    <w:rsid w:val="00FA1759"/>
    <w:rsid w:val="00FA1ADA"/>
    <w:rsid w:val="00FA1B08"/>
    <w:rsid w:val="00FA2245"/>
    <w:rsid w:val="00FA2C02"/>
    <w:rsid w:val="00FA2C1D"/>
    <w:rsid w:val="00FA310E"/>
    <w:rsid w:val="00FA359A"/>
    <w:rsid w:val="00FA3BDF"/>
    <w:rsid w:val="00FA5712"/>
    <w:rsid w:val="00FA5BD5"/>
    <w:rsid w:val="00FA5EB6"/>
    <w:rsid w:val="00FA63CD"/>
    <w:rsid w:val="00FA6731"/>
    <w:rsid w:val="00FA7982"/>
    <w:rsid w:val="00FA7CCD"/>
    <w:rsid w:val="00FB0E27"/>
    <w:rsid w:val="00FB0F94"/>
    <w:rsid w:val="00FB10AF"/>
    <w:rsid w:val="00FB163E"/>
    <w:rsid w:val="00FB17F8"/>
    <w:rsid w:val="00FB1A16"/>
    <w:rsid w:val="00FB1A3C"/>
    <w:rsid w:val="00FB2597"/>
    <w:rsid w:val="00FB2B9F"/>
    <w:rsid w:val="00FB4EE9"/>
    <w:rsid w:val="00FB62CF"/>
    <w:rsid w:val="00FB7E59"/>
    <w:rsid w:val="00FC052E"/>
    <w:rsid w:val="00FC084F"/>
    <w:rsid w:val="00FC0B21"/>
    <w:rsid w:val="00FC1E3D"/>
    <w:rsid w:val="00FC2BA0"/>
    <w:rsid w:val="00FC3262"/>
    <w:rsid w:val="00FC3283"/>
    <w:rsid w:val="00FC346A"/>
    <w:rsid w:val="00FC3499"/>
    <w:rsid w:val="00FC3EB4"/>
    <w:rsid w:val="00FC5156"/>
    <w:rsid w:val="00FC544A"/>
    <w:rsid w:val="00FC6578"/>
    <w:rsid w:val="00FC6BB7"/>
    <w:rsid w:val="00FC6C58"/>
    <w:rsid w:val="00FC78B0"/>
    <w:rsid w:val="00FD1C8A"/>
    <w:rsid w:val="00FD1DD0"/>
    <w:rsid w:val="00FD243D"/>
    <w:rsid w:val="00FD279F"/>
    <w:rsid w:val="00FD38C2"/>
    <w:rsid w:val="00FD3BD1"/>
    <w:rsid w:val="00FD3BEF"/>
    <w:rsid w:val="00FD3DE2"/>
    <w:rsid w:val="00FD4385"/>
    <w:rsid w:val="00FD480E"/>
    <w:rsid w:val="00FD49B3"/>
    <w:rsid w:val="00FD5518"/>
    <w:rsid w:val="00FD635E"/>
    <w:rsid w:val="00FD70F6"/>
    <w:rsid w:val="00FD71F0"/>
    <w:rsid w:val="00FD746F"/>
    <w:rsid w:val="00FE09CA"/>
    <w:rsid w:val="00FE0B55"/>
    <w:rsid w:val="00FE144F"/>
    <w:rsid w:val="00FE157F"/>
    <w:rsid w:val="00FE1C20"/>
    <w:rsid w:val="00FE1EAD"/>
    <w:rsid w:val="00FE21AB"/>
    <w:rsid w:val="00FE3B59"/>
    <w:rsid w:val="00FE3CEC"/>
    <w:rsid w:val="00FE40DE"/>
    <w:rsid w:val="00FE4841"/>
    <w:rsid w:val="00FE5165"/>
    <w:rsid w:val="00FE5603"/>
    <w:rsid w:val="00FE5CE4"/>
    <w:rsid w:val="00FE5EA9"/>
    <w:rsid w:val="00FE6B45"/>
    <w:rsid w:val="00FE6B58"/>
    <w:rsid w:val="00FE6EBC"/>
    <w:rsid w:val="00FE769E"/>
    <w:rsid w:val="00FF05BC"/>
    <w:rsid w:val="00FF0651"/>
    <w:rsid w:val="00FF1B5F"/>
    <w:rsid w:val="00FF1C1C"/>
    <w:rsid w:val="00FF2F75"/>
    <w:rsid w:val="00FF3615"/>
    <w:rsid w:val="00FF379A"/>
    <w:rsid w:val="00FF3FB7"/>
    <w:rsid w:val="00FF4B22"/>
    <w:rsid w:val="00FF4DAD"/>
    <w:rsid w:val="00FF529B"/>
    <w:rsid w:val="00FF5724"/>
    <w:rsid w:val="00FF5851"/>
    <w:rsid w:val="00FF6C89"/>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39C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1" w:uiPriority="9" w:qFormat="1"/>
    <w:lsdException w:name="heading 2" w:uiPriority="9" w:unhideWhenUsed="1" w:qFormat="1"/>
    <w:lsdException w:name="heading 3" w:uiPriority="9" w:unhideWhenUsed="1" w:qFormat="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0CEF"/>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E33"/>
    <w:rPr>
      <w:u w:val="single"/>
    </w:rPr>
  </w:style>
  <w:style w:type="paragraph" w:customStyle="1" w:styleId="Cabeceraypie">
    <w:name w:val="Cabecera y pie"/>
    <w:rsid w:val="00284E33"/>
    <w:pPr>
      <w:tabs>
        <w:tab w:val="right" w:pos="9020"/>
      </w:tabs>
    </w:pPr>
    <w:rPr>
      <w:rFonts w:ascii="Helvetica" w:hAnsi="Arial Unicode MS" w:cs="Arial Unicode MS"/>
      <w:color w:val="000000"/>
    </w:rPr>
  </w:style>
  <w:style w:type="paragraph" w:styleId="Footer">
    <w:name w:val="footer"/>
    <w:link w:val="FooterChar"/>
    <w:uiPriority w:val="99"/>
    <w:rsid w:val="00284E33"/>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284E33"/>
    <w:rPr>
      <w:rFonts w:ascii="Cambria" w:eastAsia="Cambria" w:hAnsi="Cambria" w:cs="Cambria"/>
      <w:color w:val="000000"/>
      <w:u w:color="000000"/>
    </w:rPr>
  </w:style>
  <w:style w:type="paragraph" w:styleId="BodyTextIndent">
    <w:name w:val="Body Text Indent"/>
    <w:rsid w:val="00284E33"/>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uiPriority w:val="99"/>
    <w:qFormat/>
    <w:rsid w:val="00284E33"/>
    <w:pPr>
      <w:ind w:left="720"/>
    </w:pPr>
    <w:rPr>
      <w:rFonts w:ascii="Cambria" w:eastAsia="Cambria" w:hAnsi="Cambria" w:cs="Cambria"/>
      <w:color w:val="000000"/>
      <w:u w:color="000000"/>
      <w:lang w:val="en-US"/>
    </w:rPr>
  </w:style>
  <w:style w:type="numbering" w:customStyle="1" w:styleId="List0">
    <w:name w:val="List 0"/>
    <w:basedOn w:val="Estiloimportado1"/>
    <w:rsid w:val="00284E33"/>
    <w:pPr>
      <w:numPr>
        <w:numId w:val="31"/>
      </w:numPr>
    </w:pPr>
  </w:style>
  <w:style w:type="numbering" w:customStyle="1" w:styleId="Estiloimportado1">
    <w:name w:val="Estilo importado 1"/>
    <w:rsid w:val="00284E33"/>
  </w:style>
  <w:style w:type="numbering" w:customStyle="1" w:styleId="List1">
    <w:name w:val="List 1"/>
    <w:basedOn w:val="Estiloimportado2"/>
    <w:rsid w:val="00284E33"/>
    <w:pPr>
      <w:numPr>
        <w:numId w:val="1"/>
      </w:numPr>
    </w:pPr>
  </w:style>
  <w:style w:type="numbering" w:customStyle="1" w:styleId="Estiloimportado2">
    <w:name w:val="Estilo importado 2"/>
    <w:rsid w:val="00284E33"/>
  </w:style>
  <w:style w:type="numbering" w:customStyle="1" w:styleId="List210">
    <w:name w:val="List 21"/>
    <w:basedOn w:val="Estiloimportado3"/>
    <w:rsid w:val="00284E33"/>
    <w:pPr>
      <w:numPr>
        <w:numId w:val="52"/>
      </w:numPr>
    </w:pPr>
  </w:style>
  <w:style w:type="numbering" w:customStyle="1" w:styleId="Estiloimportado3">
    <w:name w:val="Estilo importado 3"/>
    <w:rsid w:val="00284E33"/>
  </w:style>
  <w:style w:type="numbering" w:customStyle="1" w:styleId="List31">
    <w:name w:val="List 31"/>
    <w:basedOn w:val="Estiloimportado4"/>
    <w:rsid w:val="00284E33"/>
    <w:pPr>
      <w:numPr>
        <w:numId w:val="51"/>
      </w:numPr>
    </w:pPr>
  </w:style>
  <w:style w:type="numbering" w:customStyle="1" w:styleId="Estiloimportado4">
    <w:name w:val="Estilo importado 4"/>
    <w:rsid w:val="00284E33"/>
  </w:style>
  <w:style w:type="numbering" w:customStyle="1" w:styleId="List41">
    <w:name w:val="List 41"/>
    <w:basedOn w:val="Estiloimportado5"/>
    <w:rsid w:val="00284E33"/>
    <w:pPr>
      <w:numPr>
        <w:numId w:val="2"/>
      </w:numPr>
    </w:pPr>
  </w:style>
  <w:style w:type="numbering" w:customStyle="1" w:styleId="Estiloimportado5">
    <w:name w:val="Estilo importado 5"/>
    <w:rsid w:val="00284E33"/>
  </w:style>
  <w:style w:type="numbering" w:customStyle="1" w:styleId="List510">
    <w:name w:val="List 51"/>
    <w:basedOn w:val="Estiloimportado6"/>
    <w:rsid w:val="00284E33"/>
    <w:pPr>
      <w:numPr>
        <w:numId w:val="54"/>
      </w:numPr>
    </w:pPr>
  </w:style>
  <w:style w:type="numbering" w:customStyle="1" w:styleId="Estiloimportado6">
    <w:name w:val="Estilo importado 6"/>
    <w:rsid w:val="00284E33"/>
  </w:style>
  <w:style w:type="numbering" w:customStyle="1" w:styleId="List6">
    <w:name w:val="List 6"/>
    <w:basedOn w:val="Estiloimportado7"/>
    <w:rsid w:val="00284E33"/>
    <w:pPr>
      <w:numPr>
        <w:numId w:val="3"/>
      </w:numPr>
    </w:pPr>
  </w:style>
  <w:style w:type="numbering" w:customStyle="1" w:styleId="Estiloimportado7">
    <w:name w:val="Estilo importado 7"/>
    <w:rsid w:val="00284E33"/>
  </w:style>
  <w:style w:type="numbering" w:customStyle="1" w:styleId="List7">
    <w:name w:val="List 7"/>
    <w:basedOn w:val="Estiloimportado8"/>
    <w:rsid w:val="00284E33"/>
    <w:pPr>
      <w:numPr>
        <w:numId w:val="4"/>
      </w:numPr>
    </w:pPr>
  </w:style>
  <w:style w:type="numbering" w:customStyle="1" w:styleId="Estiloimportado8">
    <w:name w:val="Estilo importado 8"/>
    <w:rsid w:val="00284E33"/>
  </w:style>
  <w:style w:type="numbering" w:customStyle="1" w:styleId="List8">
    <w:name w:val="List 8"/>
    <w:basedOn w:val="Estiloimportado9"/>
    <w:rsid w:val="00284E33"/>
    <w:pPr>
      <w:numPr>
        <w:numId w:val="5"/>
      </w:numPr>
    </w:pPr>
  </w:style>
  <w:style w:type="numbering" w:customStyle="1" w:styleId="Estiloimportado9">
    <w:name w:val="Estilo importado 9"/>
    <w:rsid w:val="00284E33"/>
  </w:style>
  <w:style w:type="numbering" w:customStyle="1" w:styleId="List9">
    <w:name w:val="List 9"/>
    <w:basedOn w:val="Estiloimportado10"/>
    <w:rsid w:val="00284E33"/>
    <w:pPr>
      <w:numPr>
        <w:numId w:val="22"/>
      </w:numPr>
    </w:pPr>
  </w:style>
  <w:style w:type="numbering" w:customStyle="1" w:styleId="Estiloimportado10">
    <w:name w:val="Estilo importado 10"/>
    <w:rsid w:val="00284E33"/>
  </w:style>
  <w:style w:type="numbering" w:customStyle="1" w:styleId="List10">
    <w:name w:val="List 10"/>
    <w:basedOn w:val="Estiloimportado11"/>
    <w:rsid w:val="00284E33"/>
    <w:pPr>
      <w:numPr>
        <w:numId w:val="6"/>
      </w:numPr>
    </w:pPr>
  </w:style>
  <w:style w:type="numbering" w:customStyle="1" w:styleId="Estiloimportado11">
    <w:name w:val="Estilo importado 11"/>
    <w:rsid w:val="00284E33"/>
  </w:style>
  <w:style w:type="numbering" w:customStyle="1" w:styleId="List11">
    <w:name w:val="List 11"/>
    <w:basedOn w:val="Estiloimportado12"/>
    <w:rsid w:val="00284E33"/>
    <w:pPr>
      <w:numPr>
        <w:numId w:val="7"/>
      </w:numPr>
    </w:pPr>
  </w:style>
  <w:style w:type="numbering" w:customStyle="1" w:styleId="Estiloimportado12">
    <w:name w:val="Estilo importado 12"/>
    <w:rsid w:val="00284E33"/>
  </w:style>
  <w:style w:type="numbering" w:customStyle="1" w:styleId="List12">
    <w:name w:val="List 12"/>
    <w:basedOn w:val="Estiloimportado13"/>
    <w:rsid w:val="00284E33"/>
    <w:pPr>
      <w:numPr>
        <w:numId w:val="36"/>
      </w:numPr>
    </w:pPr>
  </w:style>
  <w:style w:type="numbering" w:customStyle="1" w:styleId="Estiloimportado13">
    <w:name w:val="Estilo importado 13"/>
    <w:rsid w:val="00284E33"/>
  </w:style>
  <w:style w:type="numbering" w:customStyle="1" w:styleId="List13">
    <w:name w:val="List 13"/>
    <w:basedOn w:val="Estiloimportado14"/>
    <w:rsid w:val="00284E33"/>
    <w:pPr>
      <w:numPr>
        <w:numId w:val="42"/>
      </w:numPr>
    </w:pPr>
  </w:style>
  <w:style w:type="numbering" w:customStyle="1" w:styleId="Estiloimportado14">
    <w:name w:val="Estilo importado 14"/>
    <w:rsid w:val="00284E33"/>
  </w:style>
  <w:style w:type="numbering" w:customStyle="1" w:styleId="List14">
    <w:name w:val="List 14"/>
    <w:basedOn w:val="Estiloimportado15"/>
    <w:rsid w:val="00284E33"/>
    <w:pPr>
      <w:numPr>
        <w:numId w:val="17"/>
      </w:numPr>
    </w:pPr>
  </w:style>
  <w:style w:type="numbering" w:customStyle="1" w:styleId="Estiloimportado15">
    <w:name w:val="Estilo importado 15"/>
    <w:rsid w:val="00284E33"/>
  </w:style>
  <w:style w:type="numbering" w:customStyle="1" w:styleId="List15">
    <w:name w:val="List 15"/>
    <w:basedOn w:val="Estiloimportado16"/>
    <w:rsid w:val="00284E33"/>
    <w:pPr>
      <w:numPr>
        <w:numId w:val="16"/>
      </w:numPr>
    </w:pPr>
  </w:style>
  <w:style w:type="numbering" w:customStyle="1" w:styleId="Estiloimportado16">
    <w:name w:val="Estilo importado 16"/>
    <w:rsid w:val="00284E33"/>
  </w:style>
  <w:style w:type="numbering" w:customStyle="1" w:styleId="List16">
    <w:name w:val="List 16"/>
    <w:basedOn w:val="Estiloimportado16"/>
    <w:rsid w:val="00284E33"/>
    <w:pPr>
      <w:numPr>
        <w:numId w:val="10"/>
      </w:numPr>
    </w:pPr>
  </w:style>
  <w:style w:type="numbering" w:customStyle="1" w:styleId="List17">
    <w:name w:val="List 17"/>
    <w:basedOn w:val="Estiloimportado17"/>
    <w:rsid w:val="00284E33"/>
    <w:pPr>
      <w:numPr>
        <w:numId w:val="25"/>
      </w:numPr>
    </w:pPr>
  </w:style>
  <w:style w:type="numbering" w:customStyle="1" w:styleId="Estiloimportado17">
    <w:name w:val="Estilo importado 17"/>
    <w:rsid w:val="00284E33"/>
  </w:style>
  <w:style w:type="numbering" w:customStyle="1" w:styleId="List18">
    <w:name w:val="List 18"/>
    <w:basedOn w:val="Estiloimportado18"/>
    <w:rsid w:val="00284E33"/>
    <w:pPr>
      <w:numPr>
        <w:numId w:val="27"/>
      </w:numPr>
    </w:pPr>
  </w:style>
  <w:style w:type="numbering" w:customStyle="1" w:styleId="Estiloimportado18">
    <w:name w:val="Estilo importado 18"/>
    <w:rsid w:val="00284E33"/>
  </w:style>
  <w:style w:type="numbering" w:customStyle="1" w:styleId="List19">
    <w:name w:val="List 19"/>
    <w:basedOn w:val="Estiloimportado10"/>
    <w:rsid w:val="00284E33"/>
    <w:pPr>
      <w:numPr>
        <w:numId w:val="19"/>
      </w:numPr>
    </w:pPr>
  </w:style>
  <w:style w:type="numbering" w:customStyle="1" w:styleId="List20">
    <w:name w:val="List 20"/>
    <w:basedOn w:val="Estiloimportado12"/>
    <w:rsid w:val="00284E33"/>
    <w:pPr>
      <w:numPr>
        <w:numId w:val="43"/>
      </w:numPr>
    </w:pPr>
  </w:style>
  <w:style w:type="numbering" w:customStyle="1" w:styleId="List21">
    <w:name w:val="List 21"/>
    <w:basedOn w:val="Estiloimportado19"/>
    <w:rsid w:val="00284E33"/>
    <w:pPr>
      <w:numPr>
        <w:numId w:val="38"/>
      </w:numPr>
    </w:pPr>
  </w:style>
  <w:style w:type="numbering" w:customStyle="1" w:styleId="Estiloimportado19">
    <w:name w:val="Estilo importado 19"/>
    <w:rsid w:val="00284E33"/>
  </w:style>
  <w:style w:type="numbering" w:customStyle="1" w:styleId="List22">
    <w:name w:val="List 22"/>
    <w:basedOn w:val="Estiloimportado19"/>
    <w:rsid w:val="00284E33"/>
    <w:pPr>
      <w:numPr>
        <w:numId w:val="28"/>
      </w:numPr>
    </w:pPr>
  </w:style>
  <w:style w:type="numbering" w:customStyle="1" w:styleId="List23">
    <w:name w:val="List 23"/>
    <w:basedOn w:val="Estiloimportado19"/>
    <w:rsid w:val="00284E33"/>
    <w:pPr>
      <w:numPr>
        <w:numId w:val="18"/>
      </w:numPr>
    </w:pPr>
  </w:style>
  <w:style w:type="numbering" w:customStyle="1" w:styleId="List24">
    <w:name w:val="List 24"/>
    <w:basedOn w:val="Estiloimportado20"/>
    <w:rsid w:val="00284E33"/>
    <w:pPr>
      <w:numPr>
        <w:numId w:val="13"/>
      </w:numPr>
    </w:pPr>
  </w:style>
  <w:style w:type="numbering" w:customStyle="1" w:styleId="Estiloimportado20">
    <w:name w:val="Estilo importado 20"/>
    <w:rsid w:val="00284E33"/>
  </w:style>
  <w:style w:type="numbering" w:customStyle="1" w:styleId="List25">
    <w:name w:val="List 25"/>
    <w:basedOn w:val="Estiloimportado21"/>
    <w:rsid w:val="00284E33"/>
    <w:pPr>
      <w:numPr>
        <w:numId w:val="15"/>
      </w:numPr>
    </w:pPr>
  </w:style>
  <w:style w:type="numbering" w:customStyle="1" w:styleId="Estiloimportado21">
    <w:name w:val="Estilo importado 21"/>
    <w:rsid w:val="00284E33"/>
  </w:style>
  <w:style w:type="numbering" w:customStyle="1" w:styleId="List26">
    <w:name w:val="List 26"/>
    <w:basedOn w:val="Estiloimportado22"/>
    <w:rsid w:val="00284E33"/>
    <w:pPr>
      <w:numPr>
        <w:numId w:val="49"/>
      </w:numPr>
    </w:pPr>
  </w:style>
  <w:style w:type="numbering" w:customStyle="1" w:styleId="Estiloimportado22">
    <w:name w:val="Estilo importado 22"/>
    <w:rsid w:val="00284E33"/>
  </w:style>
  <w:style w:type="numbering" w:customStyle="1" w:styleId="List27">
    <w:name w:val="List 27"/>
    <w:basedOn w:val="Estiloimportado23"/>
    <w:rsid w:val="00284E33"/>
    <w:pPr>
      <w:numPr>
        <w:numId w:val="41"/>
      </w:numPr>
    </w:pPr>
  </w:style>
  <w:style w:type="numbering" w:customStyle="1" w:styleId="Estiloimportado23">
    <w:name w:val="Estilo importado 23"/>
    <w:rsid w:val="00284E33"/>
  </w:style>
  <w:style w:type="numbering" w:customStyle="1" w:styleId="List28">
    <w:name w:val="List 28"/>
    <w:basedOn w:val="Estiloimportado24"/>
    <w:rsid w:val="00284E33"/>
    <w:pPr>
      <w:numPr>
        <w:numId w:val="30"/>
      </w:numPr>
    </w:pPr>
  </w:style>
  <w:style w:type="numbering" w:customStyle="1" w:styleId="Estiloimportado24">
    <w:name w:val="Estilo importado 24"/>
    <w:rsid w:val="00284E33"/>
  </w:style>
  <w:style w:type="numbering" w:customStyle="1" w:styleId="List29">
    <w:name w:val="List 29"/>
    <w:basedOn w:val="Estiloimportado25"/>
    <w:rsid w:val="00284E33"/>
    <w:pPr>
      <w:numPr>
        <w:numId w:val="34"/>
      </w:numPr>
    </w:pPr>
  </w:style>
  <w:style w:type="numbering" w:customStyle="1" w:styleId="Estiloimportado25">
    <w:name w:val="Estilo importado 25"/>
    <w:rsid w:val="00284E33"/>
  </w:style>
  <w:style w:type="numbering" w:customStyle="1" w:styleId="List30">
    <w:name w:val="List 30"/>
    <w:basedOn w:val="Estiloimportado26"/>
    <w:rsid w:val="00284E33"/>
    <w:pPr>
      <w:numPr>
        <w:numId w:val="32"/>
      </w:numPr>
    </w:pPr>
  </w:style>
  <w:style w:type="numbering" w:customStyle="1" w:styleId="Estiloimportado26">
    <w:name w:val="Estilo importado 26"/>
    <w:rsid w:val="00284E33"/>
  </w:style>
  <w:style w:type="numbering" w:customStyle="1" w:styleId="List310">
    <w:name w:val="List 31"/>
    <w:basedOn w:val="Estiloimportado27"/>
    <w:rsid w:val="00284E33"/>
    <w:pPr>
      <w:numPr>
        <w:numId w:val="45"/>
      </w:numPr>
    </w:pPr>
  </w:style>
  <w:style w:type="numbering" w:customStyle="1" w:styleId="Estiloimportado27">
    <w:name w:val="Estilo importado 27"/>
    <w:rsid w:val="00284E33"/>
  </w:style>
  <w:style w:type="numbering" w:customStyle="1" w:styleId="List32">
    <w:name w:val="List 32"/>
    <w:basedOn w:val="Estiloimportado28"/>
    <w:rsid w:val="00284E33"/>
    <w:pPr>
      <w:numPr>
        <w:numId w:val="48"/>
      </w:numPr>
    </w:pPr>
  </w:style>
  <w:style w:type="numbering" w:customStyle="1" w:styleId="Estiloimportado28">
    <w:name w:val="Estilo importado 28"/>
    <w:rsid w:val="00284E3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284E33"/>
    <w:rPr>
      <w:rFonts w:ascii="Calibri" w:eastAsia="Calibri" w:hAnsi="Calibri" w:cs="Calibri"/>
      <w:color w:val="000000"/>
      <w:u w:color="000000"/>
      <w:lang w:val="en-US"/>
    </w:rPr>
  </w:style>
  <w:style w:type="numbering" w:customStyle="1" w:styleId="List33">
    <w:name w:val="List 33"/>
    <w:basedOn w:val="Estiloimportado29"/>
    <w:rsid w:val="00284E33"/>
    <w:pPr>
      <w:numPr>
        <w:numId w:val="26"/>
      </w:numPr>
    </w:pPr>
  </w:style>
  <w:style w:type="numbering" w:customStyle="1" w:styleId="Estiloimportado29">
    <w:name w:val="Estilo importado 29"/>
    <w:rsid w:val="00284E33"/>
  </w:style>
  <w:style w:type="numbering" w:customStyle="1" w:styleId="List34">
    <w:name w:val="List 34"/>
    <w:basedOn w:val="Estiloimportado30"/>
    <w:rsid w:val="00284E33"/>
    <w:pPr>
      <w:numPr>
        <w:numId w:val="11"/>
      </w:numPr>
    </w:pPr>
  </w:style>
  <w:style w:type="numbering" w:customStyle="1" w:styleId="Estiloimportado30">
    <w:name w:val="Estilo importado 30"/>
    <w:rsid w:val="00284E33"/>
  </w:style>
  <w:style w:type="numbering" w:customStyle="1" w:styleId="List35">
    <w:name w:val="List 35"/>
    <w:basedOn w:val="Estiloimportado31"/>
    <w:rsid w:val="00284E33"/>
    <w:pPr>
      <w:numPr>
        <w:numId w:val="8"/>
      </w:numPr>
    </w:pPr>
  </w:style>
  <w:style w:type="numbering" w:customStyle="1" w:styleId="Estiloimportado31">
    <w:name w:val="Estilo importado 31"/>
    <w:rsid w:val="00284E33"/>
  </w:style>
  <w:style w:type="numbering" w:customStyle="1" w:styleId="List36">
    <w:name w:val="List 36"/>
    <w:basedOn w:val="Estiloimportado32"/>
    <w:rsid w:val="00284E33"/>
    <w:pPr>
      <w:numPr>
        <w:numId w:val="14"/>
      </w:numPr>
    </w:pPr>
  </w:style>
  <w:style w:type="numbering" w:customStyle="1" w:styleId="Estiloimportado32">
    <w:name w:val="Estilo importado 32"/>
    <w:rsid w:val="00284E33"/>
  </w:style>
  <w:style w:type="numbering" w:customStyle="1" w:styleId="List37">
    <w:name w:val="List 37"/>
    <w:basedOn w:val="Estiloimportado33"/>
    <w:rsid w:val="00284E33"/>
    <w:pPr>
      <w:numPr>
        <w:numId w:val="47"/>
      </w:numPr>
    </w:pPr>
  </w:style>
  <w:style w:type="numbering" w:customStyle="1" w:styleId="Estiloimportado33">
    <w:name w:val="Estilo importado 33"/>
    <w:rsid w:val="00284E33"/>
  </w:style>
  <w:style w:type="numbering" w:customStyle="1" w:styleId="List38">
    <w:name w:val="List 38"/>
    <w:basedOn w:val="Estiloimportado34"/>
    <w:rsid w:val="00284E33"/>
    <w:pPr>
      <w:numPr>
        <w:numId w:val="35"/>
      </w:numPr>
    </w:pPr>
  </w:style>
  <w:style w:type="numbering" w:customStyle="1" w:styleId="Estiloimportado34">
    <w:name w:val="Estilo importado 34"/>
    <w:rsid w:val="00284E33"/>
  </w:style>
  <w:style w:type="numbering" w:customStyle="1" w:styleId="List39">
    <w:name w:val="List 39"/>
    <w:basedOn w:val="Estiloimportado35"/>
    <w:rsid w:val="00284E33"/>
    <w:pPr>
      <w:numPr>
        <w:numId w:val="46"/>
      </w:numPr>
    </w:pPr>
  </w:style>
  <w:style w:type="numbering" w:customStyle="1" w:styleId="Estiloimportado35">
    <w:name w:val="Estilo importado 35"/>
    <w:rsid w:val="00284E33"/>
  </w:style>
  <w:style w:type="numbering" w:customStyle="1" w:styleId="List40">
    <w:name w:val="List 40"/>
    <w:basedOn w:val="Estiloimportado36"/>
    <w:rsid w:val="00284E33"/>
    <w:pPr>
      <w:numPr>
        <w:numId w:val="21"/>
      </w:numPr>
    </w:pPr>
  </w:style>
  <w:style w:type="numbering" w:customStyle="1" w:styleId="Estiloimportado36">
    <w:name w:val="Estilo importado 36"/>
    <w:rsid w:val="00284E33"/>
  </w:style>
  <w:style w:type="numbering" w:customStyle="1" w:styleId="List410">
    <w:name w:val="List 41"/>
    <w:basedOn w:val="Estiloimportado37"/>
    <w:rsid w:val="00284E33"/>
    <w:pPr>
      <w:numPr>
        <w:numId w:val="44"/>
      </w:numPr>
    </w:pPr>
  </w:style>
  <w:style w:type="numbering" w:customStyle="1" w:styleId="Estiloimportado37">
    <w:name w:val="Estilo importado 37"/>
    <w:rsid w:val="00284E33"/>
  </w:style>
  <w:style w:type="numbering" w:customStyle="1" w:styleId="List42">
    <w:name w:val="List 42"/>
    <w:basedOn w:val="Estiloimportado12"/>
    <w:rsid w:val="00284E33"/>
    <w:pPr>
      <w:numPr>
        <w:numId w:val="12"/>
      </w:numPr>
    </w:pPr>
  </w:style>
  <w:style w:type="numbering" w:customStyle="1" w:styleId="List43">
    <w:name w:val="List 43"/>
    <w:basedOn w:val="Estiloimportado38"/>
    <w:rsid w:val="00284E33"/>
    <w:pPr>
      <w:numPr>
        <w:numId w:val="23"/>
      </w:numPr>
    </w:pPr>
  </w:style>
  <w:style w:type="numbering" w:customStyle="1" w:styleId="Estiloimportado38">
    <w:name w:val="Estilo importado 38"/>
    <w:rsid w:val="00284E33"/>
  </w:style>
  <w:style w:type="numbering" w:customStyle="1" w:styleId="List44">
    <w:name w:val="List 44"/>
    <w:basedOn w:val="Estiloimportado39"/>
    <w:rsid w:val="00284E33"/>
    <w:pPr>
      <w:numPr>
        <w:numId w:val="40"/>
      </w:numPr>
    </w:pPr>
  </w:style>
  <w:style w:type="numbering" w:customStyle="1" w:styleId="Estiloimportado39">
    <w:name w:val="Estilo importado 39"/>
    <w:rsid w:val="00284E33"/>
  </w:style>
  <w:style w:type="numbering" w:customStyle="1" w:styleId="List45">
    <w:name w:val="List 45"/>
    <w:basedOn w:val="Estiloimportado40"/>
    <w:rsid w:val="00284E33"/>
    <w:pPr>
      <w:numPr>
        <w:numId w:val="20"/>
      </w:numPr>
    </w:pPr>
  </w:style>
  <w:style w:type="numbering" w:customStyle="1" w:styleId="Estiloimportado40">
    <w:name w:val="Estilo importado 40"/>
    <w:rsid w:val="00284E33"/>
  </w:style>
  <w:style w:type="numbering" w:customStyle="1" w:styleId="List46">
    <w:name w:val="List 46"/>
    <w:basedOn w:val="Estiloimportado41"/>
    <w:rsid w:val="00284E33"/>
    <w:pPr>
      <w:numPr>
        <w:numId w:val="24"/>
      </w:numPr>
    </w:pPr>
  </w:style>
  <w:style w:type="numbering" w:customStyle="1" w:styleId="Estiloimportado41">
    <w:name w:val="Estilo importado 41"/>
    <w:rsid w:val="00284E33"/>
  </w:style>
  <w:style w:type="numbering" w:customStyle="1" w:styleId="List47">
    <w:name w:val="List 47"/>
    <w:basedOn w:val="Estiloimportado42"/>
    <w:rsid w:val="00284E33"/>
    <w:pPr>
      <w:numPr>
        <w:numId w:val="29"/>
      </w:numPr>
    </w:pPr>
  </w:style>
  <w:style w:type="numbering" w:customStyle="1" w:styleId="Estiloimportado42">
    <w:name w:val="Estilo importado 42"/>
    <w:rsid w:val="00284E33"/>
  </w:style>
  <w:style w:type="numbering" w:customStyle="1" w:styleId="List48">
    <w:name w:val="List 48"/>
    <w:basedOn w:val="Estiloimportado43"/>
    <w:rsid w:val="00284E33"/>
    <w:pPr>
      <w:numPr>
        <w:numId w:val="50"/>
      </w:numPr>
    </w:pPr>
  </w:style>
  <w:style w:type="numbering" w:customStyle="1" w:styleId="Estiloimportado43">
    <w:name w:val="Estilo importado 43"/>
    <w:rsid w:val="00284E33"/>
  </w:style>
  <w:style w:type="numbering" w:customStyle="1" w:styleId="List49">
    <w:name w:val="List 49"/>
    <w:basedOn w:val="Estiloimportado44"/>
    <w:rsid w:val="00284E33"/>
    <w:pPr>
      <w:numPr>
        <w:numId w:val="39"/>
      </w:numPr>
    </w:pPr>
  </w:style>
  <w:style w:type="numbering" w:customStyle="1" w:styleId="Estiloimportado44">
    <w:name w:val="Estilo importado 44"/>
    <w:rsid w:val="00284E33"/>
  </w:style>
  <w:style w:type="numbering" w:customStyle="1" w:styleId="List50">
    <w:name w:val="List 50"/>
    <w:basedOn w:val="Estiloimportado45"/>
    <w:rsid w:val="00284E33"/>
    <w:pPr>
      <w:numPr>
        <w:numId w:val="37"/>
      </w:numPr>
    </w:pPr>
  </w:style>
  <w:style w:type="numbering" w:customStyle="1" w:styleId="Estiloimportado45">
    <w:name w:val="Estilo importado 45"/>
    <w:rsid w:val="00284E33"/>
  </w:style>
  <w:style w:type="numbering" w:customStyle="1" w:styleId="List51">
    <w:name w:val="List 51"/>
    <w:basedOn w:val="Estiloimportado46"/>
    <w:rsid w:val="00284E33"/>
    <w:pPr>
      <w:numPr>
        <w:numId w:val="33"/>
      </w:numPr>
    </w:pPr>
  </w:style>
  <w:style w:type="numbering" w:customStyle="1" w:styleId="Estiloimportado46">
    <w:name w:val="Estilo importado 46"/>
    <w:rsid w:val="00284E33"/>
  </w:style>
  <w:style w:type="numbering" w:customStyle="1" w:styleId="List52">
    <w:name w:val="List 52"/>
    <w:basedOn w:val="Estiloimportado1"/>
    <w:rsid w:val="00284E3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864785"/>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BF2939"/>
    <w:pPr>
      <w:tabs>
        <w:tab w:val="left" w:pos="1440"/>
        <w:tab w:val="right" w:leader="dot" w:pos="9350"/>
      </w:tabs>
      <w:spacing w:after="100"/>
      <w:ind w:left="720"/>
    </w:pPr>
    <w:rPr>
      <w:rFonts w:asciiTheme="majorHAnsi" w:hAnsiTheme="majorHAnsi"/>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uiPriority w:val="99"/>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5"/>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character" w:styleId="Strong">
    <w:name w:val="Strong"/>
    <w:basedOn w:val="DefaultParagraphFont"/>
    <w:uiPriority w:val="22"/>
    <w:qFormat/>
    <w:rsid w:val="006A538E"/>
    <w:rPr>
      <w:b/>
      <w:bCs/>
    </w:rPr>
  </w:style>
  <w:style w:type="paragraph" w:customStyle="1" w:styleId="Body">
    <w:name w:val="Body"/>
    <w:rsid w:val="00191F07"/>
    <w:rPr>
      <w:rFonts w:cs="Arial Unicode MS"/>
      <w:color w:val="000000"/>
      <w:u w:color="000000"/>
      <w:lang w:val="en-US" w:eastAsia="en-US"/>
    </w:rPr>
  </w:style>
  <w:style w:type="numbering" w:customStyle="1" w:styleId="ImportedStyle3">
    <w:name w:val="Imported Style 3"/>
    <w:rsid w:val="006A72B7"/>
    <w:pPr>
      <w:numPr>
        <w:numId w:val="58"/>
      </w:numPr>
    </w:pPr>
  </w:style>
  <w:style w:type="numbering" w:customStyle="1" w:styleId="ImportedStyle4">
    <w:name w:val="Imported Style 4"/>
    <w:rsid w:val="00EA425E"/>
    <w:pPr>
      <w:numPr>
        <w:numId w:val="59"/>
      </w:numPr>
    </w:pPr>
  </w:style>
  <w:style w:type="numbering" w:customStyle="1" w:styleId="ImportedStyle5">
    <w:name w:val="Imported Style 5"/>
    <w:rsid w:val="00C80BAC"/>
    <w:pPr>
      <w:numPr>
        <w:numId w:val="60"/>
      </w:numPr>
    </w:pPr>
  </w:style>
  <w:style w:type="numbering" w:customStyle="1" w:styleId="ImportedStyle6">
    <w:name w:val="Imported Style 6"/>
    <w:rsid w:val="00264225"/>
    <w:pPr>
      <w:numPr>
        <w:numId w:val="61"/>
      </w:numPr>
    </w:pPr>
  </w:style>
  <w:style w:type="numbering" w:customStyle="1" w:styleId="ImportedStyle8">
    <w:name w:val="Imported Style 8"/>
    <w:rsid w:val="00037CC9"/>
    <w:pPr>
      <w:numPr>
        <w:numId w:val="62"/>
      </w:numPr>
    </w:pPr>
  </w:style>
  <w:style w:type="character" w:customStyle="1" w:styleId="Hyperlink0">
    <w:name w:val="Hyperlink.0"/>
    <w:basedOn w:val="DefaultParagraphFont"/>
    <w:rsid w:val="000A1126"/>
    <w:rPr>
      <w:rFonts w:ascii="Cambria" w:eastAsia="Cambria" w:hAnsi="Cambria" w:cs="Cambria"/>
      <w:color w:val="0000FF"/>
      <w:sz w:val="16"/>
      <w:szCs w:val="16"/>
      <w:u w:val="single" w:color="0000FF"/>
    </w:rPr>
  </w:style>
  <w:style w:type="paragraph" w:styleId="Index1">
    <w:name w:val="index 1"/>
    <w:basedOn w:val="Normal"/>
    <w:next w:val="Normal"/>
    <w:autoRedefine/>
    <w:uiPriority w:val="99"/>
    <w:semiHidden/>
    <w:unhideWhenUsed/>
    <w:rsid w:val="00C01BA5"/>
    <w:pPr>
      <w:ind w:left="240" w:hanging="240"/>
    </w:pPr>
  </w:style>
  <w:style w:type="paragraph" w:styleId="Index2">
    <w:name w:val="index 2"/>
    <w:basedOn w:val="Normal"/>
    <w:next w:val="Normal"/>
    <w:autoRedefine/>
    <w:uiPriority w:val="99"/>
    <w:semiHidden/>
    <w:unhideWhenUsed/>
    <w:rsid w:val="00C01BA5"/>
    <w:pPr>
      <w:ind w:left="480" w:hanging="240"/>
    </w:pPr>
  </w:style>
  <w:style w:type="paragraph" w:styleId="Index3">
    <w:name w:val="index 3"/>
    <w:basedOn w:val="Normal"/>
    <w:next w:val="Normal"/>
    <w:autoRedefine/>
    <w:uiPriority w:val="99"/>
    <w:semiHidden/>
    <w:unhideWhenUsed/>
    <w:rsid w:val="00C01BA5"/>
    <w:pPr>
      <w:ind w:left="720" w:hanging="240"/>
    </w:pPr>
  </w:style>
  <w:style w:type="paragraph" w:styleId="Index4">
    <w:name w:val="index 4"/>
    <w:basedOn w:val="Normal"/>
    <w:next w:val="Normal"/>
    <w:autoRedefine/>
    <w:uiPriority w:val="99"/>
    <w:semiHidden/>
    <w:unhideWhenUsed/>
    <w:rsid w:val="00C01BA5"/>
    <w:pPr>
      <w:ind w:left="960" w:hanging="240"/>
    </w:pPr>
  </w:style>
  <w:style w:type="paragraph" w:styleId="Index5">
    <w:name w:val="index 5"/>
    <w:basedOn w:val="Normal"/>
    <w:next w:val="Normal"/>
    <w:autoRedefine/>
    <w:uiPriority w:val="99"/>
    <w:semiHidden/>
    <w:unhideWhenUsed/>
    <w:rsid w:val="00C01BA5"/>
    <w:pPr>
      <w:ind w:left="1200" w:hanging="240"/>
    </w:pPr>
  </w:style>
  <w:style w:type="paragraph" w:styleId="Index6">
    <w:name w:val="index 6"/>
    <w:basedOn w:val="Normal"/>
    <w:next w:val="Normal"/>
    <w:autoRedefine/>
    <w:uiPriority w:val="99"/>
    <w:semiHidden/>
    <w:unhideWhenUsed/>
    <w:rsid w:val="00C01BA5"/>
    <w:pPr>
      <w:ind w:left="1440" w:hanging="240"/>
    </w:pPr>
  </w:style>
  <w:style w:type="paragraph" w:styleId="Index7">
    <w:name w:val="index 7"/>
    <w:basedOn w:val="Normal"/>
    <w:next w:val="Normal"/>
    <w:autoRedefine/>
    <w:uiPriority w:val="99"/>
    <w:semiHidden/>
    <w:unhideWhenUsed/>
    <w:rsid w:val="00C01BA5"/>
    <w:pPr>
      <w:ind w:left="1680" w:hanging="240"/>
    </w:pPr>
  </w:style>
  <w:style w:type="paragraph" w:styleId="Index8">
    <w:name w:val="index 8"/>
    <w:basedOn w:val="Normal"/>
    <w:next w:val="Normal"/>
    <w:autoRedefine/>
    <w:uiPriority w:val="99"/>
    <w:semiHidden/>
    <w:unhideWhenUsed/>
    <w:rsid w:val="00C01BA5"/>
    <w:pPr>
      <w:ind w:left="1920" w:hanging="240"/>
    </w:pPr>
  </w:style>
  <w:style w:type="paragraph" w:styleId="Index9">
    <w:name w:val="index 9"/>
    <w:basedOn w:val="Normal"/>
    <w:next w:val="Normal"/>
    <w:autoRedefine/>
    <w:uiPriority w:val="99"/>
    <w:semiHidden/>
    <w:unhideWhenUsed/>
    <w:rsid w:val="00C01BA5"/>
    <w:pPr>
      <w:ind w:left="2160" w:hanging="240"/>
    </w:pPr>
  </w:style>
  <w:style w:type="paragraph" w:styleId="IndexHeading">
    <w:name w:val="index heading"/>
    <w:basedOn w:val="Normal"/>
    <w:next w:val="Index1"/>
    <w:uiPriority w:val="99"/>
    <w:semiHidden/>
    <w:unhideWhenUsed/>
    <w:rsid w:val="00C01BA5"/>
  </w:style>
  <w:style w:type="paragraph" w:styleId="TOC5">
    <w:name w:val="toc 5"/>
    <w:basedOn w:val="Normal"/>
    <w:next w:val="Normal"/>
    <w:autoRedefine/>
    <w:rsid w:val="00E200F9"/>
    <w:pPr>
      <w:ind w:left="960"/>
    </w:pPr>
  </w:style>
  <w:style w:type="paragraph" w:styleId="TOC6">
    <w:name w:val="toc 6"/>
    <w:basedOn w:val="Normal"/>
    <w:next w:val="Normal"/>
    <w:autoRedefine/>
    <w:rsid w:val="00E200F9"/>
    <w:pPr>
      <w:ind w:left="1200"/>
    </w:pPr>
  </w:style>
  <w:style w:type="paragraph" w:styleId="TOC7">
    <w:name w:val="toc 7"/>
    <w:basedOn w:val="Normal"/>
    <w:next w:val="Normal"/>
    <w:autoRedefine/>
    <w:rsid w:val="00E200F9"/>
    <w:pPr>
      <w:ind w:left="1440"/>
    </w:pPr>
  </w:style>
  <w:style w:type="paragraph" w:styleId="TOC8">
    <w:name w:val="toc 8"/>
    <w:basedOn w:val="Normal"/>
    <w:next w:val="Normal"/>
    <w:autoRedefine/>
    <w:rsid w:val="00E200F9"/>
    <w:pPr>
      <w:ind w:left="1680"/>
    </w:pPr>
  </w:style>
  <w:style w:type="paragraph" w:styleId="TOC9">
    <w:name w:val="toc 9"/>
    <w:basedOn w:val="Normal"/>
    <w:next w:val="Normal"/>
    <w:autoRedefine/>
    <w:rsid w:val="00E200F9"/>
    <w:pPr>
      <w:ind w:left="1920"/>
    </w:pPr>
  </w:style>
  <w:style w:type="paragraph" w:customStyle="1" w:styleId="parrafos">
    <w:name w:val="parrafos"/>
    <w:basedOn w:val="Normal"/>
    <w:link w:val="parrafosChar"/>
    <w:qFormat/>
    <w:rsid w:val="0051222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512224"/>
    <w:rPr>
      <w:rFonts w:asciiTheme="majorHAnsi" w:hAnsiTheme="majorHAnsi"/>
      <w:color w:val="000000" w:themeColor="text1"/>
      <w:sz w:val="20"/>
      <w:szCs w:val="20"/>
      <w:lang w:val="es-VE" w:eastAsia="en-US"/>
    </w:rPr>
  </w:style>
  <w:style w:type="paragraph" w:styleId="HTMLPreformatted">
    <w:name w:val="HTML Preformatted"/>
    <w:basedOn w:val="Normal"/>
    <w:link w:val="HTMLPreformattedChar"/>
    <w:uiPriority w:val="99"/>
    <w:unhideWhenUsed/>
    <w:rsid w:val="00ED51F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ED51FD"/>
    <w:rPr>
      <w:rFonts w:ascii="Courier New" w:eastAsia="Times New Roman" w:hAnsi="Courier New" w:cs="Courier New"/>
      <w:sz w:val="20"/>
      <w:szCs w:val="20"/>
      <w:bdr w:val="none" w:sz="0" w:space="0" w:color="auto"/>
      <w:lang w:val="en-US" w:eastAsia="en-US"/>
    </w:rPr>
  </w:style>
  <w:style w:type="character" w:styleId="FollowedHyperlink">
    <w:name w:val="FollowedHyperlink"/>
    <w:basedOn w:val="DefaultParagraphFont"/>
    <w:rsid w:val="00B22E6B"/>
    <w:rPr>
      <w:color w:val="800080" w:themeColor="followedHyperlink"/>
      <w:u w:val="single"/>
    </w:rPr>
  </w:style>
  <w:style w:type="paragraph" w:styleId="Title">
    <w:name w:val="Title"/>
    <w:basedOn w:val="Normal"/>
    <w:next w:val="Subtitle"/>
    <w:link w:val="TitleChar"/>
    <w:qFormat/>
    <w:rsid w:val="00F0391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2"/>
      <w:bdr w:val="none" w:sz="0" w:space="0" w:color="auto"/>
      <w:lang w:val="es-ES_tradnl" w:eastAsia="ar-SA"/>
    </w:rPr>
  </w:style>
  <w:style w:type="character" w:customStyle="1" w:styleId="TitleChar">
    <w:name w:val="Title Char"/>
    <w:basedOn w:val="DefaultParagraphFont"/>
    <w:link w:val="Title"/>
    <w:rsid w:val="00F03911"/>
    <w:rPr>
      <w:rFonts w:ascii="Univers" w:eastAsia="MS Mincho" w:hAnsi="Univers"/>
      <w:b/>
      <w:sz w:val="22"/>
      <w:bdr w:val="none" w:sz="0" w:space="0" w:color="auto"/>
      <w:lang w:val="es-ES_tradnl" w:eastAsia="ar-SA"/>
    </w:rPr>
  </w:style>
  <w:style w:type="paragraph" w:styleId="Subtitle">
    <w:name w:val="Subtitle"/>
    <w:basedOn w:val="Normal"/>
    <w:next w:val="Normal"/>
    <w:link w:val="SubtitleChar"/>
    <w:rsid w:val="00F0391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03911"/>
    <w:rPr>
      <w:rFonts w:asciiTheme="majorHAnsi" w:eastAsiaTheme="majorEastAsia" w:hAnsiTheme="majorHAnsi" w:cstheme="majorBidi"/>
      <w:i/>
      <w:iCs/>
      <w:color w:val="4F81BD" w:themeColor="accent1"/>
      <w:spacing w:val="15"/>
      <w:lang w:val="en-US" w:eastAsia="en-US"/>
    </w:rPr>
  </w:style>
  <w:style w:type="paragraph" w:styleId="BodyText3">
    <w:name w:val="Body Text 3"/>
    <w:basedOn w:val="Normal"/>
    <w:link w:val="BodyText3Char"/>
    <w:uiPriority w:val="99"/>
    <w:unhideWhenUsed/>
    <w:rsid w:val="00607523"/>
    <w:pPr>
      <w:spacing w:after="120"/>
    </w:pPr>
    <w:rPr>
      <w:rFonts w:ascii="Cambria" w:hAnsi="Cambria"/>
      <w:sz w:val="16"/>
      <w:szCs w:val="16"/>
      <w:lang w:val="es-ES" w:eastAsia="es-ES"/>
    </w:rPr>
  </w:style>
  <w:style w:type="character" w:customStyle="1" w:styleId="BodyText3Char">
    <w:name w:val="Body Text 3 Char"/>
    <w:basedOn w:val="DefaultParagraphFont"/>
    <w:link w:val="BodyText3"/>
    <w:uiPriority w:val="99"/>
    <w:rsid w:val="00607523"/>
    <w:rPr>
      <w:rFonts w:ascii="Cambria" w:hAnsi="Cambria"/>
      <w:sz w:val="16"/>
      <w:szCs w:val="16"/>
    </w:rPr>
  </w:style>
  <w:style w:type="paragraph" w:styleId="NoSpacing">
    <w:name w:val="No Spacing"/>
    <w:uiPriority w:val="1"/>
    <w:qFormat/>
    <w:rsid w:val="002F0198"/>
    <w:rPr>
      <w:lang w:val="en-US" w:eastAsia="en-US"/>
    </w:rPr>
  </w:style>
  <w:style w:type="paragraph" w:customStyle="1" w:styleId="Estilo7">
    <w:name w:val="Estilo7"/>
    <w:basedOn w:val="Normal"/>
    <w:qFormat/>
    <w:rsid w:val="00FC6BB7"/>
    <w:pPr>
      <w:numPr>
        <w:ilvl w:val="2"/>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noProof/>
      <w:sz w:val="20"/>
      <w:szCs w:val="20"/>
      <w:bdr w:val="none" w:sz="0" w:space="0" w:color="auto"/>
      <w:lang w:val="es-ES_tradnl" w:eastAsia="es-MX"/>
    </w:rPr>
  </w:style>
  <w:style w:type="paragraph" w:customStyle="1" w:styleId="Rom2">
    <w:name w:val="Rom2"/>
    <w:basedOn w:val="Normal"/>
    <w:rsid w:val="00FC6BB7"/>
    <w:pPr>
      <w:numPr>
        <w:numId w:val="7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169806594">
      <w:bodyDiv w:val="1"/>
      <w:marLeft w:val="0"/>
      <w:marRight w:val="0"/>
      <w:marTop w:val="0"/>
      <w:marBottom w:val="0"/>
      <w:divBdr>
        <w:top w:val="none" w:sz="0" w:space="0" w:color="auto"/>
        <w:left w:val="none" w:sz="0" w:space="0" w:color="auto"/>
        <w:bottom w:val="none" w:sz="0" w:space="0" w:color="auto"/>
        <w:right w:val="none" w:sz="0" w:space="0" w:color="auto"/>
      </w:divBdr>
    </w:div>
    <w:div w:id="284310188">
      <w:bodyDiv w:val="1"/>
      <w:marLeft w:val="0"/>
      <w:marRight w:val="0"/>
      <w:marTop w:val="0"/>
      <w:marBottom w:val="0"/>
      <w:divBdr>
        <w:top w:val="none" w:sz="0" w:space="0" w:color="auto"/>
        <w:left w:val="none" w:sz="0" w:space="0" w:color="auto"/>
        <w:bottom w:val="none" w:sz="0" w:space="0" w:color="auto"/>
        <w:right w:val="none" w:sz="0" w:space="0" w:color="auto"/>
      </w:divBdr>
    </w:div>
    <w:div w:id="453790944">
      <w:bodyDiv w:val="1"/>
      <w:marLeft w:val="0"/>
      <w:marRight w:val="0"/>
      <w:marTop w:val="0"/>
      <w:marBottom w:val="0"/>
      <w:divBdr>
        <w:top w:val="none" w:sz="0" w:space="0" w:color="auto"/>
        <w:left w:val="none" w:sz="0" w:space="0" w:color="auto"/>
        <w:bottom w:val="none" w:sz="0" w:space="0" w:color="auto"/>
        <w:right w:val="none" w:sz="0" w:space="0" w:color="auto"/>
      </w:divBdr>
    </w:div>
    <w:div w:id="455176948">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1671971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659431177">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01408694">
      <w:bodyDiv w:val="1"/>
      <w:marLeft w:val="0"/>
      <w:marRight w:val="0"/>
      <w:marTop w:val="0"/>
      <w:marBottom w:val="0"/>
      <w:divBdr>
        <w:top w:val="none" w:sz="0" w:space="0" w:color="auto"/>
        <w:left w:val="none" w:sz="0" w:space="0" w:color="auto"/>
        <w:bottom w:val="none" w:sz="0" w:space="0" w:color="auto"/>
        <w:right w:val="none" w:sz="0" w:space="0" w:color="auto"/>
      </w:divBdr>
    </w:div>
    <w:div w:id="902183040">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42099419">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5100330">
      <w:bodyDiv w:val="1"/>
      <w:marLeft w:val="0"/>
      <w:marRight w:val="0"/>
      <w:marTop w:val="0"/>
      <w:marBottom w:val="0"/>
      <w:divBdr>
        <w:top w:val="none" w:sz="0" w:space="0" w:color="auto"/>
        <w:left w:val="none" w:sz="0" w:space="0" w:color="auto"/>
        <w:bottom w:val="none" w:sz="0" w:space="0" w:color="auto"/>
        <w:right w:val="none" w:sz="0" w:space="0" w:color="auto"/>
      </w:divBdr>
    </w:div>
    <w:div w:id="1553468312">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8194880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879509757">
      <w:bodyDiv w:val="1"/>
      <w:marLeft w:val="0"/>
      <w:marRight w:val="0"/>
      <w:marTop w:val="0"/>
      <w:marBottom w:val="0"/>
      <w:divBdr>
        <w:top w:val="none" w:sz="0" w:space="0" w:color="auto"/>
        <w:left w:val="none" w:sz="0" w:space="0" w:color="auto"/>
        <w:bottom w:val="none" w:sz="0" w:space="0" w:color="auto"/>
        <w:right w:val="none" w:sz="0" w:space="0" w:color="auto"/>
      </w:divBdr>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09671455">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3142300">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37991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hrlibrary.umn.edu/hrcommittee/spanish/488-1992.html" TargetMode="External"/><Relationship Id="rId18" Type="http://schemas.openxmlformats.org/officeDocument/2006/relationships/hyperlink" Target="https://www.ohchr.org/EN/HRBodies/HRC/RegularSessions/Session29/Documents/A_HRC_29_23_sp.doc" TargetMode="External"/><Relationship Id="rId26" Type="http://schemas.openxmlformats.org/officeDocument/2006/relationships/hyperlink" Target="https://www.oas.org/es/cidh/docs/pdfs/Jamaica2012esp.pdf" TargetMode="External"/><Relationship Id="rId39" Type="http://schemas.openxmlformats.org/officeDocument/2006/relationships/hyperlink" Target="https://apps.who.int/iris/bitstream/handle/10665/69830/WHO_IER_CSDH_08.1_spa.pdf?sequence=1&amp;isAllowed=y" TargetMode="External"/><Relationship Id="rId21" Type="http://schemas.openxmlformats.org/officeDocument/2006/relationships/hyperlink" Target="https://www.refworld.org.es/docid/56c4358d4.html" TargetMode="External"/><Relationship Id="rId34" Type="http://schemas.openxmlformats.org/officeDocument/2006/relationships/hyperlink" Target="https://conf-dts1.unog.ch/1%20SPA/Tradutek/Derechos_hum_Base/CESCR/00_1_obs_grales_Cte%20Dchos%20Ec%20Soc%20Cult.html" TargetMode="External"/><Relationship Id="rId42" Type="http://schemas.openxmlformats.org/officeDocument/2006/relationships/hyperlink" Target="http://www.corteidh.or.cr/docs/casos/articulos/seriec_349_esp.pdf" TargetMode="External"/><Relationship Id="rId47" Type="http://schemas.openxmlformats.org/officeDocument/2006/relationships/hyperlink" Target="https://undocs.org/es/A/HRC/14/20" TargetMode="External"/><Relationship Id="rId7" Type="http://schemas.openxmlformats.org/officeDocument/2006/relationships/hyperlink" Target="https://www.loc.gov/law/foreign-news/article/jamaica-challenge-to-law-on-homosexuality/" TargetMode="External"/><Relationship Id="rId2" Type="http://schemas.openxmlformats.org/officeDocument/2006/relationships/hyperlink" Target="http://www.oas.org/es/cidh/informes/pdfs/LGBTI-ReconocimientoDerechos2019.pdf" TargetMode="External"/><Relationship Id="rId16" Type="http://schemas.openxmlformats.org/officeDocument/2006/relationships/hyperlink" Target="https://www.ohchr.org/EN/NewsEvents/Pages/DisplayNews.aspx?NewsID=24688&amp;LangID=E" TargetMode="External"/><Relationship Id="rId29" Type="http://schemas.openxmlformats.org/officeDocument/2006/relationships/hyperlink" Target="http://www.oas.org/es/cidh/informes/pdfs/ViolenciaPersonasLGBTI.pdf" TargetMode="External"/><Relationship Id="rId11" Type="http://schemas.openxmlformats.org/officeDocument/2006/relationships/hyperlink" Target="https://www.acnur.org/fileadmin/Documentos/BDL/2016/10496.pdf" TargetMode="External"/><Relationship Id="rId24" Type="http://schemas.openxmlformats.org/officeDocument/2006/relationships/hyperlink" Target="http://hudoc.echr.coe.int/app/conversion/docx/pdf?library=ECHR&amp;id=001-164764&amp;filename=CASE%20OF%20NORRIS%20v.%20IRELAND%20-%20%5BSpanish%20Translation%5D%20summary%20by%20the%20Spanish%20Cortes%20Generales.pdf&amp;logEvent=False" TargetMode="External"/><Relationship Id="rId32" Type="http://schemas.openxmlformats.org/officeDocument/2006/relationships/hyperlink" Target="http://www.oas.org/es/cidh/informes/pdfs/ViolenciaPersonasLGBTI.pdf" TargetMode="External"/><Relationship Id="rId37" Type="http://schemas.openxmlformats.org/officeDocument/2006/relationships/hyperlink" Target="http://www.corteidh.or.cr/docs/casos/articulos/seriec_349_esp.pdf" TargetMode="External"/><Relationship Id="rId40" Type="http://schemas.openxmlformats.org/officeDocument/2006/relationships/hyperlink" Target="https://documents-dds-ny.un.org/doc/UNDOC/GEN/G19/106/01/PDF/G1910601.pdf?OpenElement" TargetMode="External"/><Relationship Id="rId45" Type="http://schemas.openxmlformats.org/officeDocument/2006/relationships/hyperlink" Target="http://www.corteidh.or.cr/docs/opiniones/seriea_24_esp.pdf" TargetMode="External"/><Relationship Id="rId5" Type="http://schemas.openxmlformats.org/officeDocument/2006/relationships/hyperlink" Target="http://www.oas.org/es/cidh/informes/pdfs/ViolenciaPersonasLGBTI.pdf" TargetMode="External"/><Relationship Id="rId15" Type="http://schemas.openxmlformats.org/officeDocument/2006/relationships/hyperlink" Target="https://www.ohchr.org/EN/NewsEvents/Pages/DisplayNews.aspx?NewsID=24688&amp;LangID=E" TargetMode="External"/><Relationship Id="rId23" Type="http://schemas.openxmlformats.org/officeDocument/2006/relationships/hyperlink" Target="https://hudoc.echr.coe.int/eng" TargetMode="External"/><Relationship Id="rId28" Type="http://schemas.openxmlformats.org/officeDocument/2006/relationships/hyperlink" Target="https://www.oas.org/es/cidh/docs/pdfs/Jamaica2012esp.pdf" TargetMode="External"/><Relationship Id="rId36" Type="http://schemas.openxmlformats.org/officeDocument/2006/relationships/hyperlink" Target="http://www.corteidh.or.cr/docs/casos/articulos/seriec_349_esp.pdf" TargetMode="External"/><Relationship Id="rId49" Type="http://schemas.openxmlformats.org/officeDocument/2006/relationships/hyperlink" Target="http://www.corteidh.or.cr/docs/casos/articulos/seriec_169_esp.pdf" TargetMode="External"/><Relationship Id="rId10" Type="http://schemas.openxmlformats.org/officeDocument/2006/relationships/hyperlink" Target="https://www.oas.org/es/cidh/prensa/Comunicados/2016/119.asp" TargetMode="External"/><Relationship Id="rId19" Type="http://schemas.openxmlformats.org/officeDocument/2006/relationships/hyperlink" Target="https://undocs.org/pdf?symbol=es/A/HRC/28/66" TargetMode="External"/><Relationship Id="rId31" Type="http://schemas.openxmlformats.org/officeDocument/2006/relationships/hyperlink" Target="http://www.cidh.oas.org/demandas/12.502SP.pdf" TargetMode="External"/><Relationship Id="rId44" Type="http://schemas.openxmlformats.org/officeDocument/2006/relationships/hyperlink" Target="https://www.oas.org/es/cidh/docs/pdfs/Jamaica2012esp.pdf" TargetMode="External"/><Relationship Id="rId4" Type="http://schemas.openxmlformats.org/officeDocument/2006/relationships/hyperlink" Target="http://www.oas.org/es/cidh/prensa/docs/Informe-153.pdf" TargetMode="External"/><Relationship Id="rId9" Type="http://schemas.openxmlformats.org/officeDocument/2006/relationships/hyperlink" Target="http://www.oas.org/es/cidh/informes/pdfs/ViolenciaPersonasLGBTI.pdf" TargetMode="External"/><Relationship Id="rId14" Type="http://schemas.openxmlformats.org/officeDocument/2006/relationships/hyperlink" Target="http://docstore.ohchr.org/SelfServices/FilesHandler.ashx?enc=6QkG1d%2FPPRiCAqhKb7yhsrNEHisprpIVrkwdn%2B9ifTMXMzNZX8YAQHwMpF%2BRLteM8eamP2Ed95b3VsWvr2i9PB3BLkZ7x48BbJvZnhwOHACRe3jM%2FzVSGRrNdMKDR8N%2B" TargetMode="External"/><Relationship Id="rId22" Type="http://schemas.openxmlformats.org/officeDocument/2006/relationships/hyperlink" Target="https://www.achpr.org/pressrelease/detail?id=228" TargetMode="External"/><Relationship Id="rId27" Type="http://schemas.openxmlformats.org/officeDocument/2006/relationships/hyperlink" Target="http://www.oas.org/es/cidh/informes/pdfs/ViolenciaPersonasLGBTI.pdf" TargetMode="External"/><Relationship Id="rId30" Type="http://schemas.openxmlformats.org/officeDocument/2006/relationships/hyperlink" Target="http://www.cidh.oas.org/demandas/12.502SP.pdf" TargetMode="External"/><Relationship Id="rId35" Type="http://schemas.openxmlformats.org/officeDocument/2006/relationships/hyperlink" Target="http://www.oas.org/es/cidh/informes/pdfs/PobrezaDDHH2017.pdf" TargetMode="External"/><Relationship Id="rId43" Type="http://schemas.openxmlformats.org/officeDocument/2006/relationships/hyperlink" Target="http://www.corteidh.or.cr/docs/casos/articulos/seriec_298_esp.pdf" TargetMode="External"/><Relationship Id="rId48" Type="http://schemas.openxmlformats.org/officeDocument/2006/relationships/hyperlink" Target="https://www.acnur.org/fileadmin/Documentos/BDL/2012/8502.pdf?view=1" TargetMode="External"/><Relationship Id="rId8" Type="http://schemas.openxmlformats.org/officeDocument/2006/relationships/hyperlink" Target="https://www.refworld.org.es/docid/59022d324.html" TargetMode="External"/><Relationship Id="rId3" Type="http://schemas.openxmlformats.org/officeDocument/2006/relationships/hyperlink" Target="https://www.oas.org/es/cidh/docs/pdfs/Jamaica2012esp.pdf" TargetMode="External"/><Relationship Id="rId12" Type="http://schemas.openxmlformats.org/officeDocument/2006/relationships/hyperlink" Target="https://www.refworld.org.es/docid/59022d324.html" TargetMode="External"/><Relationship Id="rId17" Type="http://schemas.openxmlformats.org/officeDocument/2006/relationships/hyperlink" Target="https://www.ohchr.org/Documents/Issues/Discrimination/A.HRC.19.41_spanish.pdf" TargetMode="External"/><Relationship Id="rId25" Type="http://schemas.openxmlformats.org/officeDocument/2006/relationships/hyperlink" Target="https://www.aclu.org/other/why-sodomy-laws-matter" TargetMode="External"/><Relationship Id="rId33" Type="http://schemas.openxmlformats.org/officeDocument/2006/relationships/hyperlink" Target="https://www.refworld.org.es/docid/59022d324.html" TargetMode="External"/><Relationship Id="rId38" Type="http://schemas.openxmlformats.org/officeDocument/2006/relationships/hyperlink" Target="https://www.acnur.org/fileadmin/Documentos/BDL/2001/1451.pdf" TargetMode="External"/><Relationship Id="rId46" Type="http://schemas.openxmlformats.org/officeDocument/2006/relationships/hyperlink" Target="https://www.ohchr.org/en/NewsEvents/Pages/DisplayNews.aspx?NewsID=24120&amp;LangID=E" TargetMode="External"/><Relationship Id="rId20" Type="http://schemas.openxmlformats.org/officeDocument/2006/relationships/hyperlink" Target="https://www.ohchr.org/Documents/Publications/LivingFreeAndEqual_SP.pdf" TargetMode="External"/><Relationship Id="rId41" Type="http://schemas.openxmlformats.org/officeDocument/2006/relationships/hyperlink" Target="https://www.acnur.org/fileadmin/Documentos/BDL/2001/1451.pdf" TargetMode="External"/><Relationship Id="rId1" Type="http://schemas.openxmlformats.org/officeDocument/2006/relationships/hyperlink" Target="https://www.constituteproject.org/constitution/Jamaica_2011.pdf" TargetMode="External"/><Relationship Id="rId6" Type="http://schemas.openxmlformats.org/officeDocument/2006/relationships/hyperlink" Target="http://www.oas.org/es/cidh/prensa/Comunicados/2018/110.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CF5A-5E87-C747-BD13-B7EACA08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17707</Words>
  <Characters>100936</Characters>
  <Application>Microsoft Office Word</Application>
  <DocSecurity>0</DocSecurity>
  <Lines>841</Lines>
  <Paragraphs>236</Paragraphs>
  <ScaleCrop>false</ScaleCrop>
  <Company/>
  <LinksUpToDate>false</LinksUpToDate>
  <CharactersWithSpaces>118407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2021-02-24T15:40:00Z</dcterms:created>
  <dcterms:modified xsi:type="dcterms:W3CDTF">2021-02-24T15:40:00Z</dcterms:modified>
</cp:coreProperties>
</file>