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6E1A4" w14:textId="0464FC74" w:rsidR="00040C3A" w:rsidRPr="00CD3501" w:rsidRDefault="00293FA6" w:rsidP="001E4D7D">
      <w:pPr>
        <w:jc w:val="both"/>
        <w:rPr>
          <w:rFonts w:asciiTheme="majorHAnsi" w:hAnsiTheme="majorHAnsi" w:cs="Univers"/>
          <w:b/>
          <w:bCs/>
          <w:sz w:val="22"/>
          <w:szCs w:val="22"/>
          <w:lang w:val="es-ES_tradnl"/>
        </w:rPr>
      </w:pPr>
      <w:r w:rsidRPr="00CD3501">
        <w:rPr>
          <w:rFonts w:asciiTheme="majorHAnsi" w:hAnsiTheme="majorHAnsi"/>
          <w:noProof/>
          <w:sz w:val="20"/>
          <w:szCs w:val="20"/>
          <w:lang w:val="es-ES_tradnl"/>
        </w:rPr>
        <mc:AlternateContent>
          <mc:Choice Requires="wps">
            <w:drawing>
              <wp:anchor distT="0" distB="0" distL="114300" distR="114300" simplePos="0" relativeHeight="251688960" behindDoc="0" locked="0" layoutInCell="1" allowOverlap="1" wp14:anchorId="48BBCB52" wp14:editId="7338088A">
                <wp:simplePos x="0" y="0"/>
                <wp:positionH relativeFrom="column">
                  <wp:posOffset>-575310</wp:posOffset>
                </wp:positionH>
                <wp:positionV relativeFrom="paragraph">
                  <wp:posOffset>-490220</wp:posOffset>
                </wp:positionV>
                <wp:extent cx="1595755" cy="9096375"/>
                <wp:effectExtent l="0" t="0" r="444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5755"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88787" id="Rectangle 4" o:spid="_x0000_s1026" style="position:absolute;margin-left:-45.3pt;margin-top:-38.6pt;width:125.65pt;height:71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" fillcolor="#4a7194" stroked="f" strokeweight="2pt"/>
            </w:pict>
          </mc:Fallback>
        </mc:AlternateContent>
      </w:r>
      <w:r w:rsidR="00083E3C" w:rsidRPr="00CD3501">
        <w:rPr>
          <w:rFonts w:asciiTheme="majorHAnsi" w:hAnsiTheme="majorHAnsi"/>
          <w:noProof/>
          <w:sz w:val="22"/>
          <w:szCs w:val="22"/>
          <w:lang w:val="es-ES_tradnl"/>
        </w:rPr>
        <mc:AlternateContent>
          <mc:Choice Requires="wps">
            <w:drawing>
              <wp:anchor distT="0" distB="0" distL="114300" distR="114300" simplePos="0" relativeHeight="251673600" behindDoc="0" locked="0" layoutInCell="1" allowOverlap="1" wp14:anchorId="07188930" wp14:editId="1E1BD9E9">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4BB851" w14:textId="4A190AF3" w:rsidR="00BE380F" w:rsidRDefault="00BE380F">
                            <w:r>
                              <w:t xml:space="preserve"> </w:t>
                            </w:r>
                            <w:r>
                              <w:rPr>
                                <w:noProof/>
                              </w:rPr>
                              <w:drawing>
                                <wp:inline distT="0" distB="0" distL="0" distR="0" wp14:anchorId="7C5EBEB6" wp14:editId="59C745F3">
                                  <wp:extent cx="2647666" cy="509676"/>
                                  <wp:effectExtent l="0" t="0" r="635" b="5080"/>
                                  <wp:docPr id="9" name="Picture 9"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88930"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" filled="f" stroked="f" strokeweight=".5pt">
                <v:textbox>
                  <w:txbxContent>
                    <w:p w14:paraId="3E4BB851" w14:textId="4A190AF3" w:rsidR="00BE380F" w:rsidRDefault="00BE380F">
                      <w:r>
                        <w:t xml:space="preserve"> </w:t>
                      </w:r>
                      <w:r>
                        <w:rPr>
                          <w:noProof/>
                        </w:rPr>
                        <w:drawing>
                          <wp:inline distT="0" distB="0" distL="0" distR="0" wp14:anchorId="7C5EBEB6" wp14:editId="59C745F3">
                            <wp:extent cx="2647666" cy="509676"/>
                            <wp:effectExtent l="0" t="0" r="635" b="5080"/>
                            <wp:docPr id="9" name="Picture 9"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 xml:space="preserve">                       </w:t>
                      </w:r>
                    </w:p>
                  </w:txbxContent>
                </v:textbox>
              </v:shape>
            </w:pict>
          </mc:Fallback>
        </mc:AlternateContent>
      </w:r>
    </w:p>
    <w:p w14:paraId="18CB54C1" w14:textId="77777777" w:rsidR="00040C3A" w:rsidRPr="00CD3501" w:rsidRDefault="00040C3A" w:rsidP="00040C3A">
      <w:pPr>
        <w:tabs>
          <w:tab w:val="center" w:pos="5400"/>
        </w:tabs>
        <w:suppressAutoHyphens/>
        <w:jc w:val="both"/>
        <w:rPr>
          <w:rFonts w:asciiTheme="majorHAnsi" w:hAnsiTheme="majorHAnsi"/>
          <w:sz w:val="22"/>
          <w:szCs w:val="22"/>
          <w:lang w:val="es-ES_tradnl"/>
        </w:rPr>
      </w:pPr>
    </w:p>
    <w:p w14:paraId="4B7F3379" w14:textId="77777777" w:rsidR="00040C3A" w:rsidRPr="00CD3501" w:rsidRDefault="00040C3A" w:rsidP="00040C3A">
      <w:pPr>
        <w:tabs>
          <w:tab w:val="center" w:pos="5400"/>
        </w:tabs>
        <w:suppressAutoHyphens/>
        <w:jc w:val="both"/>
        <w:rPr>
          <w:rFonts w:asciiTheme="majorHAnsi" w:hAnsiTheme="majorHAnsi"/>
          <w:sz w:val="22"/>
          <w:szCs w:val="22"/>
          <w:lang w:val="es-ES_tradnl"/>
        </w:rPr>
      </w:pPr>
    </w:p>
    <w:p w14:paraId="69E68E1C" w14:textId="77777777" w:rsidR="005128E4" w:rsidRPr="00CD3501" w:rsidRDefault="005128E4" w:rsidP="00040C3A">
      <w:pPr>
        <w:tabs>
          <w:tab w:val="center" w:pos="5400"/>
        </w:tabs>
        <w:suppressAutoHyphens/>
        <w:rPr>
          <w:rFonts w:asciiTheme="majorHAnsi" w:hAnsiTheme="majorHAnsi"/>
          <w:sz w:val="22"/>
          <w:szCs w:val="22"/>
          <w:lang w:val="es-ES_tradnl"/>
        </w:rPr>
      </w:pPr>
    </w:p>
    <w:p w14:paraId="4CE6AA41" w14:textId="77777777" w:rsidR="005128E4" w:rsidRPr="00CD3501" w:rsidRDefault="005128E4" w:rsidP="00040C3A">
      <w:pPr>
        <w:tabs>
          <w:tab w:val="center" w:pos="5400"/>
        </w:tabs>
        <w:suppressAutoHyphens/>
        <w:rPr>
          <w:rFonts w:asciiTheme="majorHAnsi" w:hAnsiTheme="majorHAnsi"/>
          <w:sz w:val="22"/>
          <w:szCs w:val="22"/>
          <w:lang w:val="es-ES_tradnl"/>
        </w:rPr>
      </w:pPr>
    </w:p>
    <w:p w14:paraId="481E5089" w14:textId="77777777" w:rsidR="005128E4" w:rsidRPr="00CD3501" w:rsidRDefault="005128E4" w:rsidP="00040C3A">
      <w:pPr>
        <w:tabs>
          <w:tab w:val="center" w:pos="5400"/>
        </w:tabs>
        <w:suppressAutoHyphens/>
        <w:rPr>
          <w:rFonts w:asciiTheme="majorHAnsi" w:hAnsiTheme="majorHAnsi"/>
          <w:sz w:val="22"/>
          <w:szCs w:val="22"/>
          <w:lang w:val="es-ES_tradnl"/>
        </w:rPr>
      </w:pPr>
    </w:p>
    <w:p w14:paraId="4E047834" w14:textId="53A204DA" w:rsidR="00040C3A" w:rsidRPr="00CD3501" w:rsidRDefault="00040C3A" w:rsidP="005128E4">
      <w:pPr>
        <w:tabs>
          <w:tab w:val="center" w:pos="5400"/>
        </w:tabs>
        <w:suppressAutoHyphens/>
        <w:jc w:val="center"/>
        <w:rPr>
          <w:rFonts w:asciiTheme="majorHAnsi" w:hAnsiTheme="majorHAnsi"/>
          <w:sz w:val="22"/>
          <w:szCs w:val="22"/>
          <w:lang w:val="es-ES_tradnl"/>
        </w:rPr>
      </w:pPr>
    </w:p>
    <w:p w14:paraId="1C8433F7" w14:textId="1D423ED8" w:rsidR="00040C3A" w:rsidRPr="00CD3501" w:rsidRDefault="00083E3C" w:rsidP="005128E4">
      <w:pPr>
        <w:tabs>
          <w:tab w:val="center" w:pos="5400"/>
        </w:tabs>
        <w:suppressAutoHyphens/>
        <w:jc w:val="center"/>
        <w:rPr>
          <w:rFonts w:asciiTheme="majorHAnsi" w:hAnsiTheme="majorHAnsi"/>
          <w:sz w:val="22"/>
          <w:szCs w:val="22"/>
          <w:lang w:val="es-ES_tradnl"/>
        </w:rPr>
      </w:pPr>
      <w:r w:rsidRPr="00CD3501">
        <w:rPr>
          <w:rFonts w:asciiTheme="majorHAnsi" w:hAnsiTheme="majorHAnsi"/>
          <w:noProof/>
          <w:sz w:val="22"/>
          <w:szCs w:val="22"/>
          <w:lang w:val="es-ES_tradnl"/>
        </w:rPr>
        <mc:AlternateContent>
          <mc:Choice Requires="wps">
            <w:drawing>
              <wp:anchor distT="0" distB="0" distL="114300" distR="114300" simplePos="0" relativeHeight="251657216" behindDoc="0" locked="0" layoutInCell="1" allowOverlap="1" wp14:anchorId="5353A27F" wp14:editId="7CBA9710">
                <wp:simplePos x="0" y="0"/>
                <wp:positionH relativeFrom="column">
                  <wp:posOffset>1078230</wp:posOffset>
                </wp:positionH>
                <wp:positionV relativeFrom="paragraph">
                  <wp:posOffset>88900</wp:posOffset>
                </wp:positionV>
                <wp:extent cx="4333875" cy="36779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3677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9CBC85" w14:textId="77777777" w:rsidR="00BE380F" w:rsidRPr="00D63CF8" w:rsidRDefault="00BE380F" w:rsidP="004B7EB6">
                            <w:pPr>
                              <w:spacing w:line="276" w:lineRule="auto"/>
                              <w:rPr>
                                <w:rFonts w:asciiTheme="majorHAnsi" w:hAnsiTheme="majorHAnsi" w:cs="Arial"/>
                                <w:b/>
                                <w:bCs/>
                                <w:color w:val="0D0D0D" w:themeColor="text1" w:themeTint="F2"/>
                                <w:sz w:val="36"/>
                                <w:szCs w:val="40"/>
                                <w:lang w:val="es-ES"/>
                              </w:rPr>
                            </w:pPr>
                          </w:p>
                          <w:p w14:paraId="34F91F8C" w14:textId="77777777" w:rsidR="00BE380F" w:rsidRPr="00D63CF8" w:rsidRDefault="00BE380F" w:rsidP="004B7EB6">
                            <w:pPr>
                              <w:spacing w:line="276" w:lineRule="auto"/>
                              <w:rPr>
                                <w:rFonts w:asciiTheme="majorHAnsi" w:hAnsiTheme="majorHAnsi" w:cs="Arial"/>
                                <w:b/>
                                <w:bCs/>
                                <w:color w:val="0D0D0D" w:themeColor="text1" w:themeTint="F2"/>
                                <w:sz w:val="36"/>
                                <w:szCs w:val="40"/>
                                <w:lang w:val="es-ES"/>
                              </w:rPr>
                            </w:pPr>
                          </w:p>
                          <w:p w14:paraId="543C008B" w14:textId="77777777" w:rsidR="00BE380F" w:rsidRPr="00D63CF8" w:rsidRDefault="00BE380F" w:rsidP="004B7EB6">
                            <w:pPr>
                              <w:spacing w:line="276" w:lineRule="auto"/>
                              <w:rPr>
                                <w:rFonts w:asciiTheme="majorHAnsi" w:hAnsiTheme="majorHAnsi" w:cs="Arial"/>
                                <w:b/>
                                <w:bCs/>
                                <w:color w:val="0D0D0D" w:themeColor="text1" w:themeTint="F2"/>
                                <w:sz w:val="36"/>
                                <w:szCs w:val="40"/>
                                <w:lang w:val="es-ES"/>
                              </w:rPr>
                            </w:pPr>
                          </w:p>
                          <w:p w14:paraId="1CEDC7AA" w14:textId="77777777" w:rsidR="00BE380F" w:rsidRPr="00D63CF8" w:rsidRDefault="00BE380F" w:rsidP="004B7EB6">
                            <w:pPr>
                              <w:spacing w:line="276" w:lineRule="auto"/>
                              <w:rPr>
                                <w:rFonts w:asciiTheme="majorHAnsi" w:hAnsiTheme="majorHAnsi" w:cs="Arial"/>
                                <w:b/>
                                <w:bCs/>
                                <w:color w:val="0D0D0D" w:themeColor="text1" w:themeTint="F2"/>
                                <w:sz w:val="36"/>
                                <w:szCs w:val="40"/>
                                <w:lang w:val="es-ES"/>
                              </w:rPr>
                            </w:pPr>
                          </w:p>
                          <w:p w14:paraId="69117F33" w14:textId="6A751AA3" w:rsidR="00BE380F" w:rsidRPr="00D63CF8" w:rsidRDefault="00BE380F" w:rsidP="004B7EB6">
                            <w:pPr>
                              <w:spacing w:line="276" w:lineRule="auto"/>
                              <w:rPr>
                                <w:rFonts w:asciiTheme="majorHAnsi" w:hAnsiTheme="majorHAnsi" w:cs="Arial"/>
                                <w:b/>
                                <w:bCs/>
                                <w:color w:val="0D0D0D" w:themeColor="text1" w:themeTint="F2"/>
                                <w:sz w:val="36"/>
                                <w:szCs w:val="40"/>
                                <w:lang w:val="es-ES"/>
                              </w:rPr>
                            </w:pPr>
                            <w:r>
                              <w:rPr>
                                <w:rFonts w:asciiTheme="majorHAnsi" w:hAnsiTheme="majorHAnsi" w:cs="Arial"/>
                                <w:b/>
                                <w:bCs/>
                                <w:color w:val="0D0D0D" w:themeColor="text1" w:themeTint="F2"/>
                                <w:sz w:val="36"/>
                                <w:szCs w:val="40"/>
                                <w:lang w:val="es-ES"/>
                              </w:rPr>
                              <w:t xml:space="preserve">INFORME No. </w:t>
                            </w:r>
                            <w:r w:rsidR="007019EF">
                              <w:rPr>
                                <w:rFonts w:asciiTheme="majorHAnsi" w:hAnsiTheme="majorHAnsi" w:cs="Arial"/>
                                <w:b/>
                                <w:bCs/>
                                <w:color w:val="0D0D0D" w:themeColor="text1" w:themeTint="F2"/>
                                <w:sz w:val="36"/>
                                <w:szCs w:val="40"/>
                                <w:lang w:val="es-ES"/>
                              </w:rPr>
                              <w:t>400</w:t>
                            </w:r>
                            <w:r>
                              <w:rPr>
                                <w:rFonts w:asciiTheme="majorHAnsi" w:hAnsiTheme="majorHAnsi" w:cs="Arial"/>
                                <w:b/>
                                <w:bCs/>
                                <w:color w:val="0D0D0D" w:themeColor="text1" w:themeTint="F2"/>
                                <w:sz w:val="36"/>
                                <w:szCs w:val="40"/>
                                <w:lang w:val="es-ES"/>
                              </w:rPr>
                              <w:t>/20</w:t>
                            </w:r>
                          </w:p>
                          <w:p w14:paraId="5F49BB71" w14:textId="2FE2578C" w:rsidR="00BE380F" w:rsidRPr="00D63CF8" w:rsidRDefault="00BE380F" w:rsidP="004B7EB6">
                            <w:pPr>
                              <w:spacing w:line="276" w:lineRule="auto"/>
                              <w:rPr>
                                <w:rFonts w:asciiTheme="majorHAnsi" w:hAnsiTheme="majorHAnsi" w:cs="Arial"/>
                                <w:b/>
                                <w:bCs/>
                                <w:color w:val="0D0D0D" w:themeColor="text1" w:themeTint="F2"/>
                                <w:sz w:val="36"/>
                                <w:szCs w:val="40"/>
                                <w:lang w:val="es-ES"/>
                              </w:rPr>
                            </w:pPr>
                            <w:r w:rsidRPr="00D63CF8">
                              <w:rPr>
                                <w:rFonts w:asciiTheme="majorHAnsi" w:hAnsiTheme="majorHAnsi" w:cs="Arial"/>
                                <w:b/>
                                <w:bCs/>
                                <w:color w:val="0D0D0D" w:themeColor="text1" w:themeTint="F2"/>
                                <w:sz w:val="36"/>
                                <w:szCs w:val="40"/>
                                <w:lang w:val="es-ES"/>
                              </w:rPr>
                              <w:t>CASO 13.637</w:t>
                            </w:r>
                          </w:p>
                          <w:p w14:paraId="2AA8B7D1" w14:textId="76600E37" w:rsidR="00BE380F" w:rsidRPr="00D63CF8" w:rsidRDefault="00BE380F" w:rsidP="00F45EBF">
                            <w:pPr>
                              <w:spacing w:line="276" w:lineRule="auto"/>
                              <w:rPr>
                                <w:rFonts w:asciiTheme="majorHAnsi" w:hAnsiTheme="majorHAnsi" w:cs="Arial"/>
                                <w:color w:val="0D0D0D" w:themeColor="text1" w:themeTint="F2"/>
                                <w:szCs w:val="22"/>
                                <w:lang w:val="es-ES"/>
                              </w:rPr>
                            </w:pPr>
                            <w:r w:rsidRPr="00D63CF8">
                              <w:rPr>
                                <w:rFonts w:asciiTheme="majorHAnsi" w:hAnsiTheme="majorHAnsi" w:cs="Arial"/>
                                <w:color w:val="0D0D0D" w:themeColor="text1" w:themeTint="F2"/>
                                <w:szCs w:val="22"/>
                                <w:lang w:val="es-ES"/>
                              </w:rPr>
                              <w:t xml:space="preserve">INFORME DE FONDO </w:t>
                            </w:r>
                            <w:r>
                              <w:rPr>
                                <w:rFonts w:asciiTheme="majorHAnsi" w:hAnsiTheme="majorHAnsi" w:cs="Arial"/>
                                <w:color w:val="0D0D0D" w:themeColor="text1" w:themeTint="F2"/>
                                <w:szCs w:val="22"/>
                                <w:lang w:val="es-ES"/>
                              </w:rPr>
                              <w:t>(</w:t>
                            </w:r>
                            <w:r w:rsidRPr="007019EF">
                              <w:rPr>
                                <w:rFonts w:asciiTheme="majorHAnsi" w:hAnsiTheme="majorHAnsi" w:cs="Arial"/>
                                <w:color w:val="0D0D0D" w:themeColor="text1" w:themeTint="F2"/>
                                <w:szCs w:val="22"/>
                                <w:lang w:val="es-ES"/>
                              </w:rPr>
                              <w:t>PUBLICA</w:t>
                            </w:r>
                            <w:r w:rsidR="00FE5347" w:rsidRPr="007019EF">
                              <w:rPr>
                                <w:rFonts w:asciiTheme="majorHAnsi" w:hAnsiTheme="majorHAnsi" w:cs="Arial"/>
                                <w:color w:val="0D0D0D" w:themeColor="text1" w:themeTint="F2"/>
                                <w:szCs w:val="22"/>
                                <w:lang w:val="es-ES"/>
                              </w:rPr>
                              <w:t>C</w:t>
                            </w:r>
                            <w:r w:rsidRPr="007019EF">
                              <w:rPr>
                                <w:rFonts w:asciiTheme="majorHAnsi" w:hAnsiTheme="majorHAnsi" w:cs="Arial"/>
                                <w:color w:val="0D0D0D" w:themeColor="text1" w:themeTint="F2"/>
                                <w:szCs w:val="22"/>
                                <w:lang w:val="es-ES"/>
                              </w:rPr>
                              <w:t>I</w:t>
                            </w:r>
                            <w:r w:rsidR="00FE5347" w:rsidRPr="007019EF">
                              <w:rPr>
                                <w:rFonts w:asciiTheme="majorHAnsi" w:hAnsiTheme="majorHAnsi" w:cs="Arial"/>
                                <w:color w:val="0D0D0D" w:themeColor="text1" w:themeTint="F2"/>
                                <w:szCs w:val="22"/>
                                <w:lang w:val="es-ES"/>
                              </w:rPr>
                              <w:t>Ó</w:t>
                            </w:r>
                            <w:r w:rsidRPr="007019EF">
                              <w:rPr>
                                <w:rFonts w:asciiTheme="majorHAnsi" w:hAnsiTheme="majorHAnsi" w:cs="Arial"/>
                                <w:color w:val="0D0D0D" w:themeColor="text1" w:themeTint="F2"/>
                                <w:szCs w:val="22"/>
                                <w:lang w:val="es-ES"/>
                              </w:rPr>
                              <w:t>N</w:t>
                            </w:r>
                            <w:r>
                              <w:rPr>
                                <w:rFonts w:asciiTheme="majorHAnsi" w:hAnsiTheme="majorHAnsi" w:cs="Arial"/>
                                <w:color w:val="0D0D0D" w:themeColor="text1" w:themeTint="F2"/>
                                <w:szCs w:val="22"/>
                                <w:lang w:val="es-ES"/>
                              </w:rPr>
                              <w:t>)</w:t>
                            </w:r>
                          </w:p>
                          <w:p w14:paraId="25A097A2" w14:textId="77777777" w:rsidR="00BE380F" w:rsidRPr="00D63CF8" w:rsidRDefault="00BE380F" w:rsidP="004B7EB6">
                            <w:pPr>
                              <w:spacing w:line="276" w:lineRule="auto"/>
                              <w:rPr>
                                <w:rFonts w:asciiTheme="majorHAnsi" w:hAnsiTheme="majorHAnsi" w:cs="Arial"/>
                                <w:color w:val="0D0D0D" w:themeColor="text1" w:themeTint="F2"/>
                                <w:szCs w:val="22"/>
                                <w:lang w:val="es-ES"/>
                              </w:rPr>
                            </w:pPr>
                          </w:p>
                          <w:p w14:paraId="1CE5D900" w14:textId="11092FD7" w:rsidR="00BE380F" w:rsidRPr="00D63CF8" w:rsidRDefault="00BE380F" w:rsidP="00191F07">
                            <w:pPr>
                              <w:pStyle w:val="Body"/>
                              <w:suppressAutoHyphens/>
                              <w:rPr>
                                <w:rFonts w:ascii="Cambria" w:eastAsia="Cambria" w:hAnsi="Cambria" w:cs="Cambria"/>
                                <w:lang w:val="es-ES"/>
                              </w:rPr>
                            </w:pPr>
                            <w:r>
                              <w:rPr>
                                <w:rFonts w:ascii="Cambria" w:eastAsia="Cambria" w:hAnsi="Cambria" w:cs="Cambria"/>
                                <w:lang w:val="es-ES"/>
                              </w:rPr>
                              <w:t>GARETH HENRY Y</w:t>
                            </w:r>
                            <w:r w:rsidRPr="00D63CF8">
                              <w:rPr>
                                <w:rFonts w:ascii="Cambria" w:eastAsia="Cambria" w:hAnsi="Cambria" w:cs="Cambria"/>
                                <w:lang w:val="es-ES"/>
                              </w:rPr>
                              <w:t xml:space="preserve"> SIMONE CARLINE EDWARDS </w:t>
                            </w:r>
                          </w:p>
                          <w:p w14:paraId="38C2A2DA" w14:textId="7225FEC8" w:rsidR="00BE380F" w:rsidRPr="00D63CF8" w:rsidRDefault="00BE380F" w:rsidP="004B7EB6">
                            <w:pPr>
                              <w:spacing w:line="276" w:lineRule="auto"/>
                              <w:rPr>
                                <w:rFonts w:asciiTheme="majorHAnsi" w:hAnsiTheme="majorHAnsi" w:cs="Arial"/>
                                <w:color w:val="0D0D0D" w:themeColor="text1" w:themeTint="F2"/>
                                <w:szCs w:val="22"/>
                                <w:lang w:val="es-ES"/>
                              </w:rPr>
                            </w:pPr>
                            <w:r w:rsidRPr="00D63CF8">
                              <w:rPr>
                                <w:rFonts w:asciiTheme="majorHAnsi" w:hAnsiTheme="majorHAnsi" w:cs="Arial"/>
                                <w:color w:val="0D0D0D" w:themeColor="text1" w:themeTint="F2"/>
                                <w:szCs w:val="22"/>
                                <w:lang w:val="es-ES"/>
                              </w:rPr>
                              <w:t>JAMAICA</w:t>
                            </w:r>
                          </w:p>
                          <w:p w14:paraId="1DEE5479" w14:textId="77777777" w:rsidR="00BE380F" w:rsidRPr="00D63CF8" w:rsidRDefault="00BE380F" w:rsidP="004B7EB6">
                            <w:pPr>
                              <w:spacing w:line="276" w:lineRule="auto"/>
                              <w:rPr>
                                <w:rFonts w:asciiTheme="majorHAnsi" w:hAnsiTheme="majorHAnsi"/>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3A27F" id="Text Box 5" o:spid="_x0000_s1027" type="#_x0000_t202" style="position:absolute;left:0;text-align:left;margin-left:84.9pt;margin-top:7pt;width:341.25pt;height:28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" filled="f" stroked="f" strokeweight=".5pt">
                <v:textbox>
                  <w:txbxContent>
                    <w:p w14:paraId="419CBC85" w14:textId="77777777" w:rsidR="00BE380F" w:rsidRPr="00D63CF8" w:rsidRDefault="00BE380F" w:rsidP="004B7EB6">
                      <w:pPr>
                        <w:spacing w:line="276" w:lineRule="auto"/>
                        <w:rPr>
                          <w:rFonts w:asciiTheme="majorHAnsi" w:hAnsiTheme="majorHAnsi" w:cs="Arial"/>
                          <w:b/>
                          <w:bCs/>
                          <w:color w:val="0D0D0D" w:themeColor="text1" w:themeTint="F2"/>
                          <w:sz w:val="36"/>
                          <w:szCs w:val="40"/>
                          <w:lang w:val="es-ES"/>
                        </w:rPr>
                      </w:pPr>
                    </w:p>
                    <w:p w14:paraId="34F91F8C" w14:textId="77777777" w:rsidR="00BE380F" w:rsidRPr="00D63CF8" w:rsidRDefault="00BE380F" w:rsidP="004B7EB6">
                      <w:pPr>
                        <w:spacing w:line="276" w:lineRule="auto"/>
                        <w:rPr>
                          <w:rFonts w:asciiTheme="majorHAnsi" w:hAnsiTheme="majorHAnsi" w:cs="Arial"/>
                          <w:b/>
                          <w:bCs/>
                          <w:color w:val="0D0D0D" w:themeColor="text1" w:themeTint="F2"/>
                          <w:sz w:val="36"/>
                          <w:szCs w:val="40"/>
                          <w:lang w:val="es-ES"/>
                        </w:rPr>
                      </w:pPr>
                    </w:p>
                    <w:p w14:paraId="543C008B" w14:textId="77777777" w:rsidR="00BE380F" w:rsidRPr="00D63CF8" w:rsidRDefault="00BE380F" w:rsidP="004B7EB6">
                      <w:pPr>
                        <w:spacing w:line="276" w:lineRule="auto"/>
                        <w:rPr>
                          <w:rFonts w:asciiTheme="majorHAnsi" w:hAnsiTheme="majorHAnsi" w:cs="Arial"/>
                          <w:b/>
                          <w:bCs/>
                          <w:color w:val="0D0D0D" w:themeColor="text1" w:themeTint="F2"/>
                          <w:sz w:val="36"/>
                          <w:szCs w:val="40"/>
                          <w:lang w:val="es-ES"/>
                        </w:rPr>
                      </w:pPr>
                    </w:p>
                    <w:p w14:paraId="1CEDC7AA" w14:textId="77777777" w:rsidR="00BE380F" w:rsidRPr="00D63CF8" w:rsidRDefault="00BE380F" w:rsidP="004B7EB6">
                      <w:pPr>
                        <w:spacing w:line="276" w:lineRule="auto"/>
                        <w:rPr>
                          <w:rFonts w:asciiTheme="majorHAnsi" w:hAnsiTheme="majorHAnsi" w:cs="Arial"/>
                          <w:b/>
                          <w:bCs/>
                          <w:color w:val="0D0D0D" w:themeColor="text1" w:themeTint="F2"/>
                          <w:sz w:val="36"/>
                          <w:szCs w:val="40"/>
                          <w:lang w:val="es-ES"/>
                        </w:rPr>
                      </w:pPr>
                    </w:p>
                    <w:p w14:paraId="69117F33" w14:textId="6A751AA3" w:rsidR="00BE380F" w:rsidRPr="00D63CF8" w:rsidRDefault="00BE380F" w:rsidP="004B7EB6">
                      <w:pPr>
                        <w:spacing w:line="276" w:lineRule="auto"/>
                        <w:rPr>
                          <w:rFonts w:asciiTheme="majorHAnsi" w:hAnsiTheme="majorHAnsi" w:cs="Arial"/>
                          <w:b/>
                          <w:bCs/>
                          <w:color w:val="0D0D0D" w:themeColor="text1" w:themeTint="F2"/>
                          <w:sz w:val="36"/>
                          <w:szCs w:val="40"/>
                          <w:lang w:val="es-ES"/>
                        </w:rPr>
                      </w:pPr>
                      <w:r>
                        <w:rPr>
                          <w:rFonts w:asciiTheme="majorHAnsi" w:hAnsiTheme="majorHAnsi" w:cs="Arial"/>
                          <w:b/>
                          <w:bCs/>
                          <w:color w:val="0D0D0D" w:themeColor="text1" w:themeTint="F2"/>
                          <w:sz w:val="36"/>
                          <w:szCs w:val="40"/>
                          <w:lang w:val="es-ES"/>
                        </w:rPr>
                        <w:t xml:space="preserve">INFORME No. </w:t>
                      </w:r>
                      <w:r w:rsidR="007019EF">
                        <w:rPr>
                          <w:rFonts w:asciiTheme="majorHAnsi" w:hAnsiTheme="majorHAnsi" w:cs="Arial"/>
                          <w:b/>
                          <w:bCs/>
                          <w:color w:val="0D0D0D" w:themeColor="text1" w:themeTint="F2"/>
                          <w:sz w:val="36"/>
                          <w:szCs w:val="40"/>
                          <w:lang w:val="es-ES"/>
                        </w:rPr>
                        <w:t>400</w:t>
                      </w:r>
                      <w:r>
                        <w:rPr>
                          <w:rFonts w:asciiTheme="majorHAnsi" w:hAnsiTheme="majorHAnsi" w:cs="Arial"/>
                          <w:b/>
                          <w:bCs/>
                          <w:color w:val="0D0D0D" w:themeColor="text1" w:themeTint="F2"/>
                          <w:sz w:val="36"/>
                          <w:szCs w:val="40"/>
                          <w:lang w:val="es-ES"/>
                        </w:rPr>
                        <w:t>/20</w:t>
                      </w:r>
                    </w:p>
                    <w:p w14:paraId="5F49BB71" w14:textId="2FE2578C" w:rsidR="00BE380F" w:rsidRPr="00D63CF8" w:rsidRDefault="00BE380F" w:rsidP="004B7EB6">
                      <w:pPr>
                        <w:spacing w:line="276" w:lineRule="auto"/>
                        <w:rPr>
                          <w:rFonts w:asciiTheme="majorHAnsi" w:hAnsiTheme="majorHAnsi" w:cs="Arial"/>
                          <w:b/>
                          <w:bCs/>
                          <w:color w:val="0D0D0D" w:themeColor="text1" w:themeTint="F2"/>
                          <w:sz w:val="36"/>
                          <w:szCs w:val="40"/>
                          <w:lang w:val="es-ES"/>
                        </w:rPr>
                      </w:pPr>
                      <w:r w:rsidRPr="00D63CF8">
                        <w:rPr>
                          <w:rFonts w:asciiTheme="majorHAnsi" w:hAnsiTheme="majorHAnsi" w:cs="Arial"/>
                          <w:b/>
                          <w:bCs/>
                          <w:color w:val="0D0D0D" w:themeColor="text1" w:themeTint="F2"/>
                          <w:sz w:val="36"/>
                          <w:szCs w:val="40"/>
                          <w:lang w:val="es-ES"/>
                        </w:rPr>
                        <w:t>CASO 13.637</w:t>
                      </w:r>
                    </w:p>
                    <w:p w14:paraId="2AA8B7D1" w14:textId="76600E37" w:rsidR="00BE380F" w:rsidRPr="00D63CF8" w:rsidRDefault="00BE380F" w:rsidP="00F45EBF">
                      <w:pPr>
                        <w:spacing w:line="276" w:lineRule="auto"/>
                        <w:rPr>
                          <w:rFonts w:asciiTheme="majorHAnsi" w:hAnsiTheme="majorHAnsi" w:cs="Arial"/>
                          <w:color w:val="0D0D0D" w:themeColor="text1" w:themeTint="F2"/>
                          <w:szCs w:val="22"/>
                          <w:lang w:val="es-ES"/>
                        </w:rPr>
                      </w:pPr>
                      <w:r w:rsidRPr="00D63CF8">
                        <w:rPr>
                          <w:rFonts w:asciiTheme="majorHAnsi" w:hAnsiTheme="majorHAnsi" w:cs="Arial"/>
                          <w:color w:val="0D0D0D" w:themeColor="text1" w:themeTint="F2"/>
                          <w:szCs w:val="22"/>
                          <w:lang w:val="es-ES"/>
                        </w:rPr>
                        <w:t xml:space="preserve">INFORME DE FONDO </w:t>
                      </w:r>
                      <w:r>
                        <w:rPr>
                          <w:rFonts w:asciiTheme="majorHAnsi" w:hAnsiTheme="majorHAnsi" w:cs="Arial"/>
                          <w:color w:val="0D0D0D" w:themeColor="text1" w:themeTint="F2"/>
                          <w:szCs w:val="22"/>
                          <w:lang w:val="es-ES"/>
                        </w:rPr>
                        <w:t>(</w:t>
                      </w:r>
                      <w:r w:rsidRPr="007019EF">
                        <w:rPr>
                          <w:rFonts w:asciiTheme="majorHAnsi" w:hAnsiTheme="majorHAnsi" w:cs="Arial"/>
                          <w:color w:val="0D0D0D" w:themeColor="text1" w:themeTint="F2"/>
                          <w:szCs w:val="22"/>
                          <w:lang w:val="es-ES"/>
                        </w:rPr>
                        <w:t>PUBLICA</w:t>
                      </w:r>
                      <w:r w:rsidR="00FE5347" w:rsidRPr="007019EF">
                        <w:rPr>
                          <w:rFonts w:asciiTheme="majorHAnsi" w:hAnsiTheme="majorHAnsi" w:cs="Arial"/>
                          <w:color w:val="0D0D0D" w:themeColor="text1" w:themeTint="F2"/>
                          <w:szCs w:val="22"/>
                          <w:lang w:val="es-ES"/>
                        </w:rPr>
                        <w:t>C</w:t>
                      </w:r>
                      <w:r w:rsidRPr="007019EF">
                        <w:rPr>
                          <w:rFonts w:asciiTheme="majorHAnsi" w:hAnsiTheme="majorHAnsi" w:cs="Arial"/>
                          <w:color w:val="0D0D0D" w:themeColor="text1" w:themeTint="F2"/>
                          <w:szCs w:val="22"/>
                          <w:lang w:val="es-ES"/>
                        </w:rPr>
                        <w:t>I</w:t>
                      </w:r>
                      <w:r w:rsidR="00FE5347" w:rsidRPr="007019EF">
                        <w:rPr>
                          <w:rFonts w:asciiTheme="majorHAnsi" w:hAnsiTheme="majorHAnsi" w:cs="Arial"/>
                          <w:color w:val="0D0D0D" w:themeColor="text1" w:themeTint="F2"/>
                          <w:szCs w:val="22"/>
                          <w:lang w:val="es-ES"/>
                        </w:rPr>
                        <w:t>Ó</w:t>
                      </w:r>
                      <w:r w:rsidRPr="007019EF">
                        <w:rPr>
                          <w:rFonts w:asciiTheme="majorHAnsi" w:hAnsiTheme="majorHAnsi" w:cs="Arial"/>
                          <w:color w:val="0D0D0D" w:themeColor="text1" w:themeTint="F2"/>
                          <w:szCs w:val="22"/>
                          <w:lang w:val="es-ES"/>
                        </w:rPr>
                        <w:t>N</w:t>
                      </w:r>
                      <w:r>
                        <w:rPr>
                          <w:rFonts w:asciiTheme="majorHAnsi" w:hAnsiTheme="majorHAnsi" w:cs="Arial"/>
                          <w:color w:val="0D0D0D" w:themeColor="text1" w:themeTint="F2"/>
                          <w:szCs w:val="22"/>
                          <w:lang w:val="es-ES"/>
                        </w:rPr>
                        <w:t>)</w:t>
                      </w:r>
                    </w:p>
                    <w:p w14:paraId="25A097A2" w14:textId="77777777" w:rsidR="00BE380F" w:rsidRPr="00D63CF8" w:rsidRDefault="00BE380F" w:rsidP="004B7EB6">
                      <w:pPr>
                        <w:spacing w:line="276" w:lineRule="auto"/>
                        <w:rPr>
                          <w:rFonts w:asciiTheme="majorHAnsi" w:hAnsiTheme="majorHAnsi" w:cs="Arial"/>
                          <w:color w:val="0D0D0D" w:themeColor="text1" w:themeTint="F2"/>
                          <w:szCs w:val="22"/>
                          <w:lang w:val="es-ES"/>
                        </w:rPr>
                      </w:pPr>
                    </w:p>
                    <w:p w14:paraId="1CE5D900" w14:textId="11092FD7" w:rsidR="00BE380F" w:rsidRPr="00D63CF8" w:rsidRDefault="00BE380F" w:rsidP="00191F07">
                      <w:pPr>
                        <w:pStyle w:val="Body"/>
                        <w:suppressAutoHyphens/>
                        <w:rPr>
                          <w:rFonts w:ascii="Cambria" w:eastAsia="Cambria" w:hAnsi="Cambria" w:cs="Cambria"/>
                          <w:lang w:val="es-ES"/>
                        </w:rPr>
                      </w:pPr>
                      <w:r>
                        <w:rPr>
                          <w:rFonts w:ascii="Cambria" w:eastAsia="Cambria" w:hAnsi="Cambria" w:cs="Cambria"/>
                          <w:lang w:val="es-ES"/>
                        </w:rPr>
                        <w:t>GARETH HENRY Y</w:t>
                      </w:r>
                      <w:r w:rsidRPr="00D63CF8">
                        <w:rPr>
                          <w:rFonts w:ascii="Cambria" w:eastAsia="Cambria" w:hAnsi="Cambria" w:cs="Cambria"/>
                          <w:lang w:val="es-ES"/>
                        </w:rPr>
                        <w:t xml:space="preserve"> SIMONE CARLINE EDWARDS </w:t>
                      </w:r>
                    </w:p>
                    <w:p w14:paraId="38C2A2DA" w14:textId="7225FEC8" w:rsidR="00BE380F" w:rsidRPr="00D63CF8" w:rsidRDefault="00BE380F" w:rsidP="004B7EB6">
                      <w:pPr>
                        <w:spacing w:line="276" w:lineRule="auto"/>
                        <w:rPr>
                          <w:rFonts w:asciiTheme="majorHAnsi" w:hAnsiTheme="majorHAnsi" w:cs="Arial"/>
                          <w:color w:val="0D0D0D" w:themeColor="text1" w:themeTint="F2"/>
                          <w:szCs w:val="22"/>
                          <w:lang w:val="es-ES"/>
                        </w:rPr>
                      </w:pPr>
                      <w:r w:rsidRPr="00D63CF8">
                        <w:rPr>
                          <w:rFonts w:asciiTheme="majorHAnsi" w:hAnsiTheme="majorHAnsi" w:cs="Arial"/>
                          <w:color w:val="0D0D0D" w:themeColor="text1" w:themeTint="F2"/>
                          <w:szCs w:val="22"/>
                          <w:lang w:val="es-ES"/>
                        </w:rPr>
                        <w:t>JAMAICA</w:t>
                      </w:r>
                    </w:p>
                    <w:p w14:paraId="1DEE5479" w14:textId="77777777" w:rsidR="00BE380F" w:rsidRPr="00D63CF8" w:rsidRDefault="00BE380F" w:rsidP="004B7EB6">
                      <w:pPr>
                        <w:spacing w:line="276" w:lineRule="auto"/>
                        <w:rPr>
                          <w:rFonts w:asciiTheme="majorHAnsi" w:hAnsiTheme="majorHAnsi"/>
                          <w:color w:val="0D0D0D" w:themeColor="text1" w:themeTint="F2"/>
                          <w:lang w:val="es-ES"/>
                        </w:rPr>
                      </w:pPr>
                    </w:p>
                  </w:txbxContent>
                </v:textbox>
              </v:shape>
            </w:pict>
          </mc:Fallback>
        </mc:AlternateContent>
      </w:r>
    </w:p>
    <w:p w14:paraId="16CA52BD" w14:textId="77777777" w:rsidR="005B52B0" w:rsidRPr="00CD3501" w:rsidRDefault="005B52B0" w:rsidP="005128E4">
      <w:pPr>
        <w:tabs>
          <w:tab w:val="center" w:pos="5400"/>
        </w:tabs>
        <w:suppressAutoHyphens/>
        <w:jc w:val="center"/>
        <w:rPr>
          <w:rFonts w:asciiTheme="majorHAnsi" w:hAnsiTheme="majorHAnsi"/>
          <w:sz w:val="22"/>
          <w:szCs w:val="22"/>
          <w:lang w:val="es-ES_tradnl"/>
        </w:rPr>
      </w:pPr>
    </w:p>
    <w:p w14:paraId="6AD4E57D" w14:textId="77777777" w:rsidR="005B52B0" w:rsidRPr="00CD3501" w:rsidRDefault="005B52B0" w:rsidP="005128E4">
      <w:pPr>
        <w:tabs>
          <w:tab w:val="center" w:pos="5400"/>
        </w:tabs>
        <w:suppressAutoHyphens/>
        <w:jc w:val="center"/>
        <w:rPr>
          <w:rFonts w:asciiTheme="majorHAnsi" w:hAnsiTheme="majorHAnsi"/>
          <w:sz w:val="22"/>
          <w:szCs w:val="22"/>
          <w:lang w:val="es-ES_tradnl"/>
        </w:rPr>
      </w:pPr>
    </w:p>
    <w:p w14:paraId="0474DB88" w14:textId="77777777" w:rsidR="005B52B0" w:rsidRPr="00CD3501" w:rsidRDefault="005B52B0" w:rsidP="005128E4">
      <w:pPr>
        <w:tabs>
          <w:tab w:val="center" w:pos="5400"/>
        </w:tabs>
        <w:suppressAutoHyphens/>
        <w:jc w:val="center"/>
        <w:rPr>
          <w:rFonts w:asciiTheme="majorHAnsi" w:hAnsiTheme="majorHAnsi"/>
          <w:sz w:val="22"/>
          <w:szCs w:val="22"/>
          <w:lang w:val="es-ES_tradnl"/>
        </w:rPr>
      </w:pPr>
    </w:p>
    <w:p w14:paraId="1216B245" w14:textId="77777777" w:rsidR="00040C3A" w:rsidRPr="00CD3501" w:rsidRDefault="00040C3A" w:rsidP="00040C3A">
      <w:pPr>
        <w:tabs>
          <w:tab w:val="center" w:pos="5400"/>
        </w:tabs>
        <w:suppressAutoHyphens/>
        <w:jc w:val="center"/>
        <w:rPr>
          <w:rFonts w:asciiTheme="majorHAnsi" w:hAnsiTheme="majorHAnsi"/>
          <w:sz w:val="22"/>
          <w:szCs w:val="22"/>
          <w:lang w:val="es-ES_tradnl"/>
        </w:rPr>
      </w:pPr>
    </w:p>
    <w:p w14:paraId="0BC1CDF2" w14:textId="77777777" w:rsidR="00040C3A" w:rsidRPr="00CD3501" w:rsidRDefault="00040C3A" w:rsidP="00040C3A">
      <w:pPr>
        <w:tabs>
          <w:tab w:val="center" w:pos="5400"/>
        </w:tabs>
        <w:suppressAutoHyphens/>
        <w:jc w:val="center"/>
        <w:rPr>
          <w:rFonts w:asciiTheme="majorHAnsi" w:hAnsiTheme="majorHAnsi"/>
          <w:sz w:val="22"/>
          <w:szCs w:val="22"/>
          <w:lang w:val="es-ES_tradnl"/>
        </w:rPr>
      </w:pPr>
    </w:p>
    <w:p w14:paraId="25067E54" w14:textId="77777777" w:rsidR="00040C3A" w:rsidRPr="00CD3501" w:rsidRDefault="00040C3A" w:rsidP="00040C3A">
      <w:pPr>
        <w:tabs>
          <w:tab w:val="center" w:pos="5400"/>
        </w:tabs>
        <w:suppressAutoHyphens/>
        <w:jc w:val="center"/>
        <w:rPr>
          <w:rFonts w:asciiTheme="majorHAnsi" w:hAnsiTheme="majorHAnsi"/>
          <w:sz w:val="22"/>
          <w:szCs w:val="22"/>
          <w:lang w:val="es-ES_tradnl"/>
        </w:rPr>
      </w:pPr>
    </w:p>
    <w:p w14:paraId="052925F3" w14:textId="77777777" w:rsidR="00040C3A" w:rsidRPr="00CD3501" w:rsidRDefault="00040C3A" w:rsidP="00040C3A">
      <w:pPr>
        <w:tabs>
          <w:tab w:val="center" w:pos="5400"/>
        </w:tabs>
        <w:suppressAutoHyphens/>
        <w:jc w:val="center"/>
        <w:rPr>
          <w:rFonts w:asciiTheme="majorHAnsi" w:hAnsiTheme="majorHAnsi"/>
          <w:sz w:val="22"/>
          <w:szCs w:val="22"/>
          <w:lang w:val="es-ES_tradnl"/>
        </w:rPr>
      </w:pPr>
    </w:p>
    <w:p w14:paraId="16A18F0E" w14:textId="3135ACEF" w:rsidR="00040C3A" w:rsidRPr="00CD3501" w:rsidRDefault="00293FA6" w:rsidP="00040C3A">
      <w:pPr>
        <w:tabs>
          <w:tab w:val="center" w:pos="5400"/>
        </w:tabs>
        <w:suppressAutoHyphens/>
        <w:jc w:val="center"/>
        <w:rPr>
          <w:rFonts w:asciiTheme="majorHAnsi" w:hAnsiTheme="majorHAnsi"/>
          <w:sz w:val="22"/>
          <w:szCs w:val="22"/>
          <w:lang w:val="es-ES_tradnl"/>
        </w:rPr>
      </w:pPr>
      <w:r w:rsidRPr="00CD3501">
        <w:rPr>
          <w:rFonts w:asciiTheme="majorHAnsi" w:hAnsiTheme="majorHAnsi"/>
          <w:noProof/>
          <w:sz w:val="20"/>
          <w:szCs w:val="20"/>
          <w:lang w:val="es-ES_tradnl"/>
        </w:rPr>
        <mc:AlternateContent>
          <mc:Choice Requires="wps">
            <w:drawing>
              <wp:anchor distT="0" distB="0" distL="114300" distR="114300" simplePos="0" relativeHeight="251693056" behindDoc="0" locked="0" layoutInCell="1" allowOverlap="1" wp14:anchorId="7CEB3E18" wp14:editId="47AC8D6B">
                <wp:simplePos x="0" y="0"/>
                <wp:positionH relativeFrom="column">
                  <wp:posOffset>-466090</wp:posOffset>
                </wp:positionH>
                <wp:positionV relativeFrom="paragraph">
                  <wp:posOffset>93345</wp:posOffset>
                </wp:positionV>
                <wp:extent cx="1390650" cy="137731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txbx>
                        <w:txbxContent>
                          <w:p w14:paraId="5DA8F661" w14:textId="7A681326" w:rsidR="00BE380F" w:rsidRPr="0094120E" w:rsidRDefault="00BE380F" w:rsidP="00293FA6">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OEA/Ser.L/V/II.173</w:t>
                            </w:r>
                          </w:p>
                          <w:p w14:paraId="3600D23D" w14:textId="28BABA4A" w:rsidR="00BE380F" w:rsidRPr="0094120E" w:rsidRDefault="00BE380F" w:rsidP="00293FA6">
                            <w:pPr>
                              <w:spacing w:line="276" w:lineRule="auto"/>
                              <w:jc w:val="right"/>
                              <w:rPr>
                                <w:rFonts w:asciiTheme="minorHAnsi" w:hAnsiTheme="minorHAnsi"/>
                                <w:color w:val="FFFFFF" w:themeColor="background1"/>
                                <w:sz w:val="22"/>
                                <w:lang w:val="pt-BR"/>
                              </w:rPr>
                            </w:pPr>
                            <w:r w:rsidRPr="0094120E">
                              <w:rPr>
                                <w:rFonts w:asciiTheme="minorHAnsi" w:hAnsiTheme="minorHAnsi"/>
                                <w:color w:val="FFFFFF" w:themeColor="background1"/>
                                <w:sz w:val="22"/>
                                <w:lang w:val="pt-BR"/>
                              </w:rPr>
                              <w:t xml:space="preserve">Doc. </w:t>
                            </w:r>
                            <w:r w:rsidR="007019EF">
                              <w:rPr>
                                <w:rFonts w:asciiTheme="minorHAnsi" w:hAnsiTheme="minorHAnsi"/>
                                <w:color w:val="FFFFFF" w:themeColor="background1"/>
                                <w:sz w:val="22"/>
                                <w:lang w:val="pt-BR"/>
                              </w:rPr>
                              <w:t>418</w:t>
                            </w:r>
                          </w:p>
                          <w:p w14:paraId="588E3052" w14:textId="21C58073" w:rsidR="00BE380F" w:rsidRPr="00B06C1C" w:rsidRDefault="007019EF" w:rsidP="00293FA6">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31 de diciembre</w:t>
                            </w:r>
                            <w:r w:rsidR="00D8250B">
                              <w:rPr>
                                <w:rFonts w:asciiTheme="minorHAnsi" w:hAnsiTheme="minorHAnsi"/>
                                <w:color w:val="FFFFFF" w:themeColor="background1"/>
                                <w:sz w:val="22"/>
                                <w:lang w:val="pt-BR"/>
                              </w:rPr>
                              <w:t xml:space="preserve"> de</w:t>
                            </w:r>
                            <w:r w:rsidR="00BE380F">
                              <w:rPr>
                                <w:rFonts w:asciiTheme="minorHAnsi" w:hAnsiTheme="minorHAnsi"/>
                                <w:color w:val="FFFFFF" w:themeColor="background1"/>
                                <w:sz w:val="22"/>
                                <w:lang w:val="pt-BR"/>
                              </w:rPr>
                              <w:t xml:space="preserve"> 2020</w:t>
                            </w:r>
                          </w:p>
                          <w:p w14:paraId="61E0A289" w14:textId="5F3DDD67" w:rsidR="00BE380F" w:rsidRPr="000C5BC3" w:rsidRDefault="00BE380F" w:rsidP="00293FA6">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Original: 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B3E18" id="Text Box 13" o:spid="_x0000_s1028" type="#_x0000_t202" style="position:absolute;left:0;text-align:left;margin-left:-36.7pt;margin-top:7.35pt;width:109.5pt;height:108.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" filled="f" stroked="f" strokeweight=".5pt">
                <v:textbox>
                  <w:txbxContent>
                    <w:p w14:paraId="5DA8F661" w14:textId="7A681326" w:rsidR="00BE380F" w:rsidRPr="0094120E" w:rsidRDefault="00BE380F" w:rsidP="00293FA6">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OEA/Ser.L/V/II.173</w:t>
                      </w:r>
                    </w:p>
                    <w:p w14:paraId="3600D23D" w14:textId="28BABA4A" w:rsidR="00BE380F" w:rsidRPr="0094120E" w:rsidRDefault="00BE380F" w:rsidP="00293FA6">
                      <w:pPr>
                        <w:spacing w:line="276" w:lineRule="auto"/>
                        <w:jc w:val="right"/>
                        <w:rPr>
                          <w:rFonts w:asciiTheme="minorHAnsi" w:hAnsiTheme="minorHAnsi"/>
                          <w:color w:val="FFFFFF" w:themeColor="background1"/>
                          <w:sz w:val="22"/>
                          <w:lang w:val="pt-BR"/>
                        </w:rPr>
                      </w:pPr>
                      <w:r w:rsidRPr="0094120E">
                        <w:rPr>
                          <w:rFonts w:asciiTheme="minorHAnsi" w:hAnsiTheme="minorHAnsi"/>
                          <w:color w:val="FFFFFF" w:themeColor="background1"/>
                          <w:sz w:val="22"/>
                          <w:lang w:val="pt-BR"/>
                        </w:rPr>
                        <w:t xml:space="preserve">Doc. </w:t>
                      </w:r>
                      <w:r w:rsidR="007019EF">
                        <w:rPr>
                          <w:rFonts w:asciiTheme="minorHAnsi" w:hAnsiTheme="minorHAnsi"/>
                          <w:color w:val="FFFFFF" w:themeColor="background1"/>
                          <w:sz w:val="22"/>
                          <w:lang w:val="pt-BR"/>
                        </w:rPr>
                        <w:t>418</w:t>
                      </w:r>
                    </w:p>
                    <w:p w14:paraId="588E3052" w14:textId="21C58073" w:rsidR="00BE380F" w:rsidRPr="00B06C1C" w:rsidRDefault="007019EF" w:rsidP="00293FA6">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31 de diciembre</w:t>
                      </w:r>
                      <w:r w:rsidR="00D8250B">
                        <w:rPr>
                          <w:rFonts w:asciiTheme="minorHAnsi" w:hAnsiTheme="minorHAnsi"/>
                          <w:color w:val="FFFFFF" w:themeColor="background1"/>
                          <w:sz w:val="22"/>
                          <w:lang w:val="pt-BR"/>
                        </w:rPr>
                        <w:t xml:space="preserve"> de</w:t>
                      </w:r>
                      <w:r w:rsidR="00BE380F">
                        <w:rPr>
                          <w:rFonts w:asciiTheme="minorHAnsi" w:hAnsiTheme="minorHAnsi"/>
                          <w:color w:val="FFFFFF" w:themeColor="background1"/>
                          <w:sz w:val="22"/>
                          <w:lang w:val="pt-BR"/>
                        </w:rPr>
                        <w:t xml:space="preserve"> 2020</w:t>
                      </w:r>
                    </w:p>
                    <w:p w14:paraId="61E0A289" w14:textId="5F3DDD67" w:rsidR="00BE380F" w:rsidRPr="000C5BC3" w:rsidRDefault="00BE380F" w:rsidP="00293FA6">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Original: inglés</w:t>
                      </w:r>
                    </w:p>
                  </w:txbxContent>
                </v:textbox>
              </v:shape>
            </w:pict>
          </mc:Fallback>
        </mc:AlternateContent>
      </w:r>
      <w:r w:rsidR="00083E3C" w:rsidRPr="00CD3501">
        <w:rPr>
          <w:rFonts w:asciiTheme="majorHAnsi" w:hAnsiTheme="majorHAnsi"/>
          <w:noProof/>
          <w:sz w:val="22"/>
          <w:szCs w:val="22"/>
          <w:lang w:val="es-ES_tradnl"/>
        </w:rPr>
        <mc:AlternateContent>
          <mc:Choice Requires="wps">
            <w:drawing>
              <wp:anchor distT="0" distB="0" distL="114300" distR="114300" simplePos="0" relativeHeight="251671552" behindDoc="0" locked="0" layoutInCell="1" allowOverlap="1" wp14:anchorId="4A8DBFFC" wp14:editId="68140AF0">
                <wp:simplePos x="0" y="0"/>
                <wp:positionH relativeFrom="column">
                  <wp:posOffset>-370205</wp:posOffset>
                </wp:positionH>
                <wp:positionV relativeFrom="paragraph">
                  <wp:posOffset>43180</wp:posOffset>
                </wp:positionV>
                <wp:extent cx="1334135" cy="835025"/>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835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57D5C" w14:textId="77777777" w:rsidR="00BE380F" w:rsidRPr="003067F3" w:rsidRDefault="00BE380F" w:rsidP="002C1641">
                            <w:pPr>
                              <w:jc w:val="right"/>
                              <w:rPr>
                                <w:rFonts w:asciiTheme="minorHAnsi" w:hAnsiTheme="minorHAnsi"/>
                                <w:color w:val="FFFFFF" w:themeColor="background1"/>
                                <w:sz w:val="22"/>
                                <w:lang w:val="es-ES"/>
                              </w:rPr>
                            </w:pPr>
                            <w:r w:rsidRPr="003067F3">
                              <w:rPr>
                                <w:rFonts w:asciiTheme="minorHAnsi" w:hAnsiTheme="minorHAnsi"/>
                                <w:color w:val="FFFFFF" w:themeColor="background1"/>
                                <w:sz w:val="22"/>
                                <w:lang w:val="es-ES"/>
                              </w:rPr>
                              <w:t>OEA/Ser.L/V/II.XX</w:t>
                            </w:r>
                          </w:p>
                          <w:p w14:paraId="1576F230" w14:textId="77777777" w:rsidR="00BE380F" w:rsidRPr="003067F3" w:rsidRDefault="00BE380F" w:rsidP="002C1641">
                            <w:pPr>
                              <w:jc w:val="right"/>
                              <w:rPr>
                                <w:rFonts w:asciiTheme="minorHAnsi" w:hAnsiTheme="minorHAnsi"/>
                                <w:color w:val="FFFFFF" w:themeColor="background1"/>
                                <w:sz w:val="22"/>
                                <w:lang w:val="es-ES"/>
                              </w:rPr>
                            </w:pPr>
                            <w:r w:rsidRPr="003067F3">
                              <w:rPr>
                                <w:rFonts w:asciiTheme="minorHAnsi" w:hAnsiTheme="minorHAnsi"/>
                                <w:color w:val="FFFFFF" w:themeColor="background1"/>
                                <w:sz w:val="22"/>
                                <w:lang w:val="es-ES"/>
                              </w:rPr>
                              <w:t>Doc. XX</w:t>
                            </w:r>
                          </w:p>
                          <w:p w14:paraId="0F35E505" w14:textId="5F090E1A" w:rsidR="00BE380F" w:rsidRPr="003067F3" w:rsidRDefault="00BE380F" w:rsidP="002C1641">
                            <w:pPr>
                              <w:jc w:val="right"/>
                              <w:rPr>
                                <w:rFonts w:asciiTheme="minorHAnsi" w:hAnsiTheme="minorHAnsi"/>
                                <w:color w:val="FFFFFF" w:themeColor="background1"/>
                                <w:sz w:val="22"/>
                                <w:lang w:val="es-ES"/>
                              </w:rPr>
                            </w:pPr>
                            <w:r w:rsidRPr="003067F3">
                              <w:rPr>
                                <w:rFonts w:asciiTheme="minorHAnsi" w:hAnsiTheme="minorHAnsi"/>
                                <w:color w:val="FFFFFF" w:themeColor="background1"/>
                                <w:sz w:val="22"/>
                                <w:lang w:val="es-ES"/>
                              </w:rPr>
                              <w:t xml:space="preserve">XX </w:t>
                            </w:r>
                            <w:r>
                              <w:rPr>
                                <w:rFonts w:asciiTheme="minorHAnsi" w:hAnsiTheme="minorHAnsi"/>
                                <w:color w:val="FFFFFF" w:themeColor="background1"/>
                                <w:sz w:val="22"/>
                                <w:lang w:val="es-ES"/>
                              </w:rPr>
                              <w:t>mes</w:t>
                            </w:r>
                            <w:r w:rsidRPr="003067F3">
                              <w:rPr>
                                <w:rFonts w:asciiTheme="minorHAnsi" w:hAnsiTheme="minorHAnsi"/>
                                <w:color w:val="FFFFFF" w:themeColor="background1"/>
                                <w:sz w:val="22"/>
                                <w:lang w:val="es-ES"/>
                              </w:rPr>
                              <w:t xml:space="preserve"> 2019</w:t>
                            </w:r>
                          </w:p>
                          <w:p w14:paraId="219FB288" w14:textId="69842FE6" w:rsidR="00BE380F" w:rsidRPr="003067F3" w:rsidRDefault="00BE380F" w:rsidP="002C1641">
                            <w:pPr>
                              <w:jc w:val="right"/>
                              <w:rPr>
                                <w:rFonts w:asciiTheme="minorHAnsi" w:hAnsiTheme="minorHAnsi"/>
                                <w:color w:val="FFFFFF" w:themeColor="background1"/>
                                <w:sz w:val="22"/>
                                <w:lang w:val="es-ES"/>
                              </w:rPr>
                            </w:pPr>
                            <w:r w:rsidRPr="003067F3">
                              <w:rPr>
                                <w:rFonts w:asciiTheme="minorHAnsi" w:hAnsiTheme="minorHAnsi"/>
                                <w:color w:val="FFFFFF" w:themeColor="background1"/>
                                <w:sz w:val="22"/>
                                <w:lang w:val="es-ES"/>
                              </w:rPr>
                              <w:t>Original: 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DBFFC" id="Text Box 8" o:spid="_x0000_s1029" type="#_x0000_t202" style="position:absolute;left:0;text-align:left;margin-left:-29.15pt;margin-top:3.4pt;width:105.05pt;height:6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" filled="f" stroked="f" strokeweight=".5pt">
                <v:textbox>
                  <w:txbxContent>
                    <w:p w14:paraId="2A157D5C" w14:textId="77777777" w:rsidR="00BE380F" w:rsidRPr="003067F3" w:rsidRDefault="00BE380F" w:rsidP="002C1641">
                      <w:pPr>
                        <w:jc w:val="right"/>
                        <w:rPr>
                          <w:rFonts w:asciiTheme="minorHAnsi" w:hAnsiTheme="minorHAnsi"/>
                          <w:color w:val="FFFFFF" w:themeColor="background1"/>
                          <w:sz w:val="22"/>
                          <w:lang w:val="es-ES"/>
                        </w:rPr>
                      </w:pPr>
                      <w:r w:rsidRPr="003067F3">
                        <w:rPr>
                          <w:rFonts w:asciiTheme="minorHAnsi" w:hAnsiTheme="minorHAnsi"/>
                          <w:color w:val="FFFFFF" w:themeColor="background1"/>
                          <w:sz w:val="22"/>
                          <w:lang w:val="es-ES"/>
                        </w:rPr>
                        <w:t>OEA/Ser.L/V/II.XX</w:t>
                      </w:r>
                    </w:p>
                    <w:p w14:paraId="1576F230" w14:textId="77777777" w:rsidR="00BE380F" w:rsidRPr="003067F3" w:rsidRDefault="00BE380F" w:rsidP="002C1641">
                      <w:pPr>
                        <w:jc w:val="right"/>
                        <w:rPr>
                          <w:rFonts w:asciiTheme="minorHAnsi" w:hAnsiTheme="minorHAnsi"/>
                          <w:color w:val="FFFFFF" w:themeColor="background1"/>
                          <w:sz w:val="22"/>
                          <w:lang w:val="es-ES"/>
                        </w:rPr>
                      </w:pPr>
                      <w:r w:rsidRPr="003067F3">
                        <w:rPr>
                          <w:rFonts w:asciiTheme="minorHAnsi" w:hAnsiTheme="minorHAnsi"/>
                          <w:color w:val="FFFFFF" w:themeColor="background1"/>
                          <w:sz w:val="22"/>
                          <w:lang w:val="es-ES"/>
                        </w:rPr>
                        <w:t>Doc. XX</w:t>
                      </w:r>
                    </w:p>
                    <w:p w14:paraId="0F35E505" w14:textId="5F090E1A" w:rsidR="00BE380F" w:rsidRPr="003067F3" w:rsidRDefault="00BE380F" w:rsidP="002C1641">
                      <w:pPr>
                        <w:jc w:val="right"/>
                        <w:rPr>
                          <w:rFonts w:asciiTheme="minorHAnsi" w:hAnsiTheme="minorHAnsi"/>
                          <w:color w:val="FFFFFF" w:themeColor="background1"/>
                          <w:sz w:val="22"/>
                          <w:lang w:val="es-ES"/>
                        </w:rPr>
                      </w:pPr>
                      <w:r w:rsidRPr="003067F3">
                        <w:rPr>
                          <w:rFonts w:asciiTheme="minorHAnsi" w:hAnsiTheme="minorHAnsi"/>
                          <w:color w:val="FFFFFF" w:themeColor="background1"/>
                          <w:sz w:val="22"/>
                          <w:lang w:val="es-ES"/>
                        </w:rPr>
                        <w:t xml:space="preserve">XX </w:t>
                      </w:r>
                      <w:r>
                        <w:rPr>
                          <w:rFonts w:asciiTheme="minorHAnsi" w:hAnsiTheme="minorHAnsi"/>
                          <w:color w:val="FFFFFF" w:themeColor="background1"/>
                          <w:sz w:val="22"/>
                          <w:lang w:val="es-ES"/>
                        </w:rPr>
                        <w:t>mes</w:t>
                      </w:r>
                      <w:r w:rsidRPr="003067F3">
                        <w:rPr>
                          <w:rFonts w:asciiTheme="minorHAnsi" w:hAnsiTheme="minorHAnsi"/>
                          <w:color w:val="FFFFFF" w:themeColor="background1"/>
                          <w:sz w:val="22"/>
                          <w:lang w:val="es-ES"/>
                        </w:rPr>
                        <w:t xml:space="preserve"> 2019</w:t>
                      </w:r>
                    </w:p>
                    <w:p w14:paraId="219FB288" w14:textId="69842FE6" w:rsidR="00BE380F" w:rsidRPr="003067F3" w:rsidRDefault="00BE380F" w:rsidP="002C1641">
                      <w:pPr>
                        <w:jc w:val="right"/>
                        <w:rPr>
                          <w:rFonts w:asciiTheme="minorHAnsi" w:hAnsiTheme="minorHAnsi"/>
                          <w:color w:val="FFFFFF" w:themeColor="background1"/>
                          <w:sz w:val="22"/>
                          <w:lang w:val="es-ES"/>
                        </w:rPr>
                      </w:pPr>
                      <w:r w:rsidRPr="003067F3">
                        <w:rPr>
                          <w:rFonts w:asciiTheme="minorHAnsi" w:hAnsiTheme="minorHAnsi"/>
                          <w:color w:val="FFFFFF" w:themeColor="background1"/>
                          <w:sz w:val="22"/>
                          <w:lang w:val="es-ES"/>
                        </w:rPr>
                        <w:t>Original: inglés</w:t>
                      </w:r>
                    </w:p>
                  </w:txbxContent>
                </v:textbox>
              </v:shape>
            </w:pict>
          </mc:Fallback>
        </mc:AlternateContent>
      </w:r>
    </w:p>
    <w:p w14:paraId="4EF9D344" w14:textId="77777777" w:rsidR="00040C3A" w:rsidRPr="00CD3501" w:rsidRDefault="00040C3A" w:rsidP="00040C3A">
      <w:pPr>
        <w:tabs>
          <w:tab w:val="center" w:pos="5400"/>
        </w:tabs>
        <w:suppressAutoHyphens/>
        <w:jc w:val="center"/>
        <w:rPr>
          <w:rFonts w:asciiTheme="majorHAnsi" w:hAnsiTheme="majorHAnsi" w:cs="Arial"/>
          <w:sz w:val="22"/>
          <w:szCs w:val="22"/>
          <w:lang w:val="es-ES_tradnl"/>
        </w:rPr>
      </w:pPr>
    </w:p>
    <w:p w14:paraId="612AC6F8" w14:textId="77777777" w:rsidR="00040C3A" w:rsidRPr="00CD3501" w:rsidRDefault="00040C3A" w:rsidP="00040C3A">
      <w:pPr>
        <w:tabs>
          <w:tab w:val="center" w:pos="5400"/>
        </w:tabs>
        <w:suppressAutoHyphens/>
        <w:jc w:val="center"/>
        <w:rPr>
          <w:rFonts w:asciiTheme="majorHAnsi" w:hAnsiTheme="majorHAnsi"/>
          <w:sz w:val="22"/>
          <w:szCs w:val="22"/>
          <w:lang w:val="es-ES_tradnl"/>
        </w:rPr>
      </w:pPr>
    </w:p>
    <w:p w14:paraId="41200E2E" w14:textId="77777777" w:rsidR="00040C3A" w:rsidRPr="00CD3501" w:rsidRDefault="00040C3A" w:rsidP="00040C3A">
      <w:pPr>
        <w:tabs>
          <w:tab w:val="center" w:pos="5400"/>
        </w:tabs>
        <w:suppressAutoHyphens/>
        <w:jc w:val="center"/>
        <w:rPr>
          <w:rFonts w:asciiTheme="majorHAnsi" w:hAnsiTheme="majorHAnsi"/>
          <w:sz w:val="22"/>
          <w:szCs w:val="22"/>
          <w:lang w:val="es-ES_tradnl"/>
        </w:rPr>
      </w:pPr>
    </w:p>
    <w:p w14:paraId="05CCDEBE" w14:textId="77777777" w:rsidR="00040C3A" w:rsidRPr="00CD3501" w:rsidRDefault="00040C3A" w:rsidP="00040C3A">
      <w:pPr>
        <w:tabs>
          <w:tab w:val="center" w:pos="5400"/>
        </w:tabs>
        <w:suppressAutoHyphens/>
        <w:jc w:val="center"/>
        <w:rPr>
          <w:rFonts w:asciiTheme="majorHAnsi" w:hAnsiTheme="majorHAnsi"/>
          <w:sz w:val="22"/>
          <w:szCs w:val="22"/>
          <w:lang w:val="es-ES_tradnl"/>
        </w:rPr>
      </w:pPr>
    </w:p>
    <w:p w14:paraId="1F89E54F" w14:textId="77777777" w:rsidR="00040C3A" w:rsidRPr="00CD3501" w:rsidRDefault="00040C3A" w:rsidP="00040C3A">
      <w:pPr>
        <w:tabs>
          <w:tab w:val="center" w:pos="5400"/>
        </w:tabs>
        <w:suppressAutoHyphens/>
        <w:jc w:val="center"/>
        <w:rPr>
          <w:rFonts w:asciiTheme="majorHAnsi" w:hAnsiTheme="majorHAnsi"/>
          <w:sz w:val="22"/>
          <w:szCs w:val="22"/>
          <w:lang w:val="es-ES_tradnl"/>
        </w:rPr>
      </w:pPr>
    </w:p>
    <w:p w14:paraId="082EC9B7" w14:textId="77777777" w:rsidR="005128E4" w:rsidRPr="00CD3501" w:rsidRDefault="005128E4" w:rsidP="00040C3A">
      <w:pPr>
        <w:tabs>
          <w:tab w:val="center" w:pos="5400"/>
        </w:tabs>
        <w:suppressAutoHyphens/>
        <w:jc w:val="center"/>
        <w:rPr>
          <w:rFonts w:asciiTheme="majorHAnsi" w:hAnsiTheme="majorHAnsi"/>
          <w:sz w:val="22"/>
          <w:szCs w:val="22"/>
          <w:lang w:val="es-ES_tradnl"/>
        </w:rPr>
      </w:pPr>
    </w:p>
    <w:p w14:paraId="05FD25EF" w14:textId="77777777" w:rsidR="00040C3A" w:rsidRPr="00CD3501" w:rsidRDefault="00040C3A" w:rsidP="00040C3A">
      <w:pPr>
        <w:tabs>
          <w:tab w:val="center" w:pos="5400"/>
        </w:tabs>
        <w:suppressAutoHyphens/>
        <w:jc w:val="center"/>
        <w:rPr>
          <w:rFonts w:asciiTheme="majorHAnsi" w:hAnsiTheme="majorHAnsi"/>
          <w:sz w:val="22"/>
          <w:szCs w:val="22"/>
          <w:lang w:val="es-ES_tradnl"/>
        </w:rPr>
      </w:pPr>
    </w:p>
    <w:p w14:paraId="5BA4FAFE" w14:textId="77777777" w:rsidR="005128E4" w:rsidRPr="00CD3501" w:rsidRDefault="005128E4" w:rsidP="00040C3A">
      <w:pPr>
        <w:tabs>
          <w:tab w:val="center" w:pos="5400"/>
        </w:tabs>
        <w:suppressAutoHyphens/>
        <w:jc w:val="center"/>
        <w:rPr>
          <w:rFonts w:asciiTheme="majorHAnsi" w:hAnsiTheme="majorHAnsi"/>
          <w:sz w:val="22"/>
          <w:szCs w:val="22"/>
          <w:lang w:val="es-ES_tradnl"/>
        </w:rPr>
      </w:pPr>
    </w:p>
    <w:p w14:paraId="633DD2D0" w14:textId="77777777" w:rsidR="005128E4" w:rsidRPr="00CD3501" w:rsidRDefault="005128E4" w:rsidP="00040C3A">
      <w:pPr>
        <w:tabs>
          <w:tab w:val="center" w:pos="5400"/>
        </w:tabs>
        <w:suppressAutoHyphens/>
        <w:jc w:val="center"/>
        <w:rPr>
          <w:rFonts w:asciiTheme="majorHAnsi" w:hAnsiTheme="majorHAnsi"/>
          <w:sz w:val="22"/>
          <w:szCs w:val="22"/>
          <w:lang w:val="es-ES_tradnl"/>
        </w:rPr>
      </w:pPr>
    </w:p>
    <w:p w14:paraId="55CD6F05" w14:textId="77777777" w:rsidR="005128E4" w:rsidRPr="00CD3501" w:rsidRDefault="005128E4" w:rsidP="00040C3A">
      <w:pPr>
        <w:tabs>
          <w:tab w:val="center" w:pos="5400"/>
        </w:tabs>
        <w:suppressAutoHyphens/>
        <w:jc w:val="center"/>
        <w:rPr>
          <w:rFonts w:asciiTheme="majorHAnsi" w:hAnsiTheme="majorHAnsi"/>
          <w:sz w:val="22"/>
          <w:szCs w:val="22"/>
          <w:lang w:val="es-ES_tradnl"/>
        </w:rPr>
      </w:pPr>
    </w:p>
    <w:p w14:paraId="4528FD84" w14:textId="77777777" w:rsidR="00040C3A" w:rsidRPr="00CD3501" w:rsidRDefault="00040C3A" w:rsidP="00040C3A">
      <w:pPr>
        <w:tabs>
          <w:tab w:val="center" w:pos="5400"/>
        </w:tabs>
        <w:suppressAutoHyphens/>
        <w:jc w:val="center"/>
        <w:rPr>
          <w:rFonts w:asciiTheme="majorHAnsi" w:hAnsiTheme="majorHAnsi"/>
          <w:sz w:val="22"/>
          <w:szCs w:val="22"/>
          <w:lang w:val="es-ES_tradnl"/>
        </w:rPr>
      </w:pPr>
    </w:p>
    <w:p w14:paraId="50927D9B" w14:textId="77777777" w:rsidR="00040C3A" w:rsidRPr="00CD3501" w:rsidRDefault="00040C3A" w:rsidP="00040C3A">
      <w:pPr>
        <w:tabs>
          <w:tab w:val="center" w:pos="5400"/>
        </w:tabs>
        <w:suppressAutoHyphens/>
        <w:jc w:val="center"/>
        <w:rPr>
          <w:rFonts w:asciiTheme="majorHAnsi" w:hAnsiTheme="majorHAnsi"/>
          <w:sz w:val="22"/>
          <w:szCs w:val="22"/>
          <w:lang w:val="es-ES_tradnl"/>
        </w:rPr>
      </w:pPr>
    </w:p>
    <w:p w14:paraId="1EE9762E" w14:textId="77777777" w:rsidR="002C1641" w:rsidRPr="00CD3501" w:rsidRDefault="002C1641" w:rsidP="00040C3A">
      <w:pPr>
        <w:tabs>
          <w:tab w:val="center" w:pos="5400"/>
        </w:tabs>
        <w:suppressAutoHyphens/>
        <w:jc w:val="center"/>
        <w:rPr>
          <w:rFonts w:asciiTheme="majorHAnsi" w:hAnsiTheme="majorHAnsi"/>
          <w:sz w:val="18"/>
          <w:szCs w:val="22"/>
          <w:lang w:val="es-ES_tradnl"/>
        </w:rPr>
      </w:pPr>
    </w:p>
    <w:p w14:paraId="7D679880" w14:textId="77777777" w:rsidR="002C1641" w:rsidRPr="00CD3501" w:rsidRDefault="002C1641" w:rsidP="00040C3A">
      <w:pPr>
        <w:tabs>
          <w:tab w:val="center" w:pos="5400"/>
        </w:tabs>
        <w:suppressAutoHyphens/>
        <w:jc w:val="center"/>
        <w:rPr>
          <w:rFonts w:asciiTheme="majorHAnsi" w:hAnsiTheme="majorHAnsi"/>
          <w:sz w:val="18"/>
          <w:szCs w:val="22"/>
          <w:lang w:val="es-ES_tradnl"/>
        </w:rPr>
      </w:pPr>
    </w:p>
    <w:p w14:paraId="0A5265E2" w14:textId="77777777" w:rsidR="002C1641" w:rsidRPr="00CD3501" w:rsidRDefault="002C1641" w:rsidP="00040C3A">
      <w:pPr>
        <w:tabs>
          <w:tab w:val="center" w:pos="5400"/>
        </w:tabs>
        <w:suppressAutoHyphens/>
        <w:jc w:val="center"/>
        <w:rPr>
          <w:rFonts w:asciiTheme="majorHAnsi" w:hAnsiTheme="majorHAnsi"/>
          <w:sz w:val="18"/>
          <w:szCs w:val="22"/>
          <w:lang w:val="es-ES_tradnl"/>
        </w:rPr>
      </w:pPr>
    </w:p>
    <w:p w14:paraId="161B3A7D" w14:textId="77777777" w:rsidR="002C1641" w:rsidRPr="00CD3501" w:rsidRDefault="002C1641" w:rsidP="00040C3A">
      <w:pPr>
        <w:tabs>
          <w:tab w:val="center" w:pos="5400"/>
        </w:tabs>
        <w:suppressAutoHyphens/>
        <w:jc w:val="center"/>
        <w:rPr>
          <w:rFonts w:asciiTheme="majorHAnsi" w:hAnsiTheme="majorHAnsi"/>
          <w:sz w:val="18"/>
          <w:szCs w:val="22"/>
          <w:lang w:val="es-ES_tradnl"/>
        </w:rPr>
      </w:pPr>
    </w:p>
    <w:p w14:paraId="2D9F8768" w14:textId="77777777" w:rsidR="002C1641" w:rsidRPr="00CD3501" w:rsidRDefault="002C1641" w:rsidP="00040C3A">
      <w:pPr>
        <w:tabs>
          <w:tab w:val="center" w:pos="5400"/>
        </w:tabs>
        <w:suppressAutoHyphens/>
        <w:jc w:val="center"/>
        <w:rPr>
          <w:rFonts w:asciiTheme="majorHAnsi" w:hAnsiTheme="majorHAnsi"/>
          <w:sz w:val="18"/>
          <w:szCs w:val="22"/>
          <w:lang w:val="es-ES_tradnl"/>
        </w:rPr>
      </w:pPr>
    </w:p>
    <w:p w14:paraId="5C1A6AE2" w14:textId="77777777" w:rsidR="002C1641" w:rsidRPr="00CD3501" w:rsidRDefault="002C1641" w:rsidP="00040C3A">
      <w:pPr>
        <w:tabs>
          <w:tab w:val="center" w:pos="5400"/>
        </w:tabs>
        <w:suppressAutoHyphens/>
        <w:jc w:val="center"/>
        <w:rPr>
          <w:rFonts w:asciiTheme="majorHAnsi" w:hAnsiTheme="majorHAnsi"/>
          <w:sz w:val="18"/>
          <w:szCs w:val="22"/>
          <w:lang w:val="es-ES_tradnl"/>
        </w:rPr>
      </w:pPr>
    </w:p>
    <w:p w14:paraId="7C835297" w14:textId="77777777" w:rsidR="002C1641" w:rsidRPr="00CD3501" w:rsidRDefault="002C1641" w:rsidP="00040C3A">
      <w:pPr>
        <w:tabs>
          <w:tab w:val="center" w:pos="5400"/>
        </w:tabs>
        <w:suppressAutoHyphens/>
        <w:jc w:val="center"/>
        <w:rPr>
          <w:rFonts w:asciiTheme="majorHAnsi" w:hAnsiTheme="majorHAnsi"/>
          <w:sz w:val="18"/>
          <w:szCs w:val="22"/>
          <w:lang w:val="es-ES_tradnl"/>
        </w:rPr>
      </w:pPr>
    </w:p>
    <w:p w14:paraId="550459AC" w14:textId="77777777" w:rsidR="002C1641" w:rsidRPr="00CD3501" w:rsidRDefault="002C1641" w:rsidP="00040C3A">
      <w:pPr>
        <w:tabs>
          <w:tab w:val="center" w:pos="5400"/>
        </w:tabs>
        <w:suppressAutoHyphens/>
        <w:jc w:val="center"/>
        <w:rPr>
          <w:rFonts w:asciiTheme="majorHAnsi" w:hAnsiTheme="majorHAnsi"/>
          <w:sz w:val="18"/>
          <w:szCs w:val="22"/>
          <w:lang w:val="es-ES_tradnl"/>
        </w:rPr>
      </w:pPr>
    </w:p>
    <w:p w14:paraId="22F10E34" w14:textId="77777777" w:rsidR="002C1641" w:rsidRPr="00CD3501" w:rsidRDefault="002C1641" w:rsidP="00040C3A">
      <w:pPr>
        <w:tabs>
          <w:tab w:val="center" w:pos="5400"/>
        </w:tabs>
        <w:suppressAutoHyphens/>
        <w:jc w:val="center"/>
        <w:rPr>
          <w:rFonts w:asciiTheme="majorHAnsi" w:hAnsiTheme="majorHAnsi"/>
          <w:sz w:val="18"/>
          <w:szCs w:val="22"/>
          <w:lang w:val="es-ES_tradnl"/>
        </w:rPr>
      </w:pPr>
    </w:p>
    <w:p w14:paraId="14BA97E4" w14:textId="77777777" w:rsidR="002C1641" w:rsidRPr="00CD3501" w:rsidRDefault="002C1641" w:rsidP="00040C3A">
      <w:pPr>
        <w:tabs>
          <w:tab w:val="center" w:pos="5400"/>
        </w:tabs>
        <w:suppressAutoHyphens/>
        <w:jc w:val="center"/>
        <w:rPr>
          <w:rFonts w:asciiTheme="majorHAnsi" w:hAnsiTheme="majorHAnsi"/>
          <w:sz w:val="18"/>
          <w:szCs w:val="22"/>
          <w:lang w:val="es-ES_tradnl"/>
        </w:rPr>
      </w:pPr>
    </w:p>
    <w:p w14:paraId="5561C5BE" w14:textId="77777777" w:rsidR="002C1641" w:rsidRPr="00CD3501" w:rsidRDefault="002C1641" w:rsidP="00040C3A">
      <w:pPr>
        <w:tabs>
          <w:tab w:val="center" w:pos="5400"/>
        </w:tabs>
        <w:suppressAutoHyphens/>
        <w:jc w:val="center"/>
        <w:rPr>
          <w:rFonts w:asciiTheme="majorHAnsi" w:hAnsiTheme="majorHAnsi"/>
          <w:sz w:val="18"/>
          <w:szCs w:val="22"/>
          <w:lang w:val="es-ES_tradnl"/>
        </w:rPr>
      </w:pPr>
    </w:p>
    <w:p w14:paraId="22EBE18B" w14:textId="77777777" w:rsidR="002C1641" w:rsidRPr="00CD3501" w:rsidRDefault="002C1641" w:rsidP="00040C3A">
      <w:pPr>
        <w:tabs>
          <w:tab w:val="center" w:pos="5400"/>
        </w:tabs>
        <w:suppressAutoHyphens/>
        <w:jc w:val="center"/>
        <w:rPr>
          <w:rFonts w:asciiTheme="majorHAnsi" w:hAnsiTheme="majorHAnsi"/>
          <w:sz w:val="18"/>
          <w:szCs w:val="22"/>
          <w:lang w:val="es-ES_tradnl"/>
        </w:rPr>
      </w:pPr>
    </w:p>
    <w:p w14:paraId="4E384AF7" w14:textId="27392FDB" w:rsidR="002C1641" w:rsidRPr="00CD3501" w:rsidRDefault="00083E3C" w:rsidP="00040C3A">
      <w:pPr>
        <w:tabs>
          <w:tab w:val="center" w:pos="5400"/>
        </w:tabs>
        <w:suppressAutoHyphens/>
        <w:jc w:val="center"/>
        <w:rPr>
          <w:rFonts w:asciiTheme="majorHAnsi" w:hAnsiTheme="majorHAnsi"/>
          <w:sz w:val="18"/>
          <w:szCs w:val="22"/>
          <w:lang w:val="es-ES_tradnl"/>
        </w:rPr>
      </w:pPr>
      <w:r w:rsidRPr="00CD3501">
        <w:rPr>
          <w:rFonts w:asciiTheme="majorHAnsi" w:hAnsiTheme="majorHAnsi"/>
          <w:noProof/>
          <w:sz w:val="22"/>
          <w:szCs w:val="22"/>
          <w:lang w:val="es-ES_tradnl"/>
        </w:rPr>
        <mc:AlternateContent>
          <mc:Choice Requires="wps">
            <w:drawing>
              <wp:anchor distT="0" distB="0" distL="114300" distR="114300" simplePos="0" relativeHeight="251670528" behindDoc="0" locked="0" layoutInCell="1" allowOverlap="1" wp14:anchorId="3B0B009C" wp14:editId="02057A80">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AF81FC" w14:textId="4BA9C378" w:rsidR="00BE380F" w:rsidRPr="007019EF" w:rsidRDefault="00BE380F" w:rsidP="004165C2">
                            <w:pPr>
                              <w:tabs>
                                <w:tab w:val="center" w:pos="5400"/>
                              </w:tabs>
                              <w:suppressAutoHyphens/>
                              <w:spacing w:before="60"/>
                              <w:rPr>
                                <w:rFonts w:asciiTheme="majorHAnsi" w:hAnsiTheme="majorHAnsi"/>
                                <w:color w:val="0D0D0D" w:themeColor="text1" w:themeTint="F2"/>
                                <w:sz w:val="18"/>
                                <w:szCs w:val="22"/>
                                <w:lang w:val="es-US"/>
                              </w:rPr>
                            </w:pPr>
                            <w:r w:rsidRPr="00D63CF8">
                              <w:rPr>
                                <w:rFonts w:asciiTheme="majorHAnsi" w:hAnsiTheme="majorHAnsi"/>
                                <w:color w:val="0D0D0D" w:themeColor="text1" w:themeTint="F2"/>
                                <w:sz w:val="18"/>
                                <w:szCs w:val="20"/>
                                <w:lang w:val="es-ES"/>
                              </w:rPr>
                              <w:t xml:space="preserve">Aprobado </w:t>
                            </w:r>
                            <w:r w:rsidR="007019EF">
                              <w:rPr>
                                <w:rFonts w:asciiTheme="majorHAnsi" w:hAnsiTheme="majorHAnsi"/>
                                <w:color w:val="0D0D0D" w:themeColor="text1" w:themeTint="F2"/>
                                <w:sz w:val="18"/>
                                <w:szCs w:val="20"/>
                                <w:lang w:val="es-ES"/>
                              </w:rPr>
                              <w:t xml:space="preserve">electrónicamente </w:t>
                            </w:r>
                            <w:r w:rsidRPr="00D63CF8">
                              <w:rPr>
                                <w:rFonts w:asciiTheme="majorHAnsi" w:hAnsiTheme="majorHAnsi"/>
                                <w:color w:val="0D0D0D" w:themeColor="text1" w:themeTint="F2"/>
                                <w:sz w:val="18"/>
                                <w:szCs w:val="20"/>
                                <w:lang w:val="es-ES"/>
                              </w:rPr>
                              <w:t xml:space="preserve">por la Comisión el </w:t>
                            </w:r>
                            <w:r w:rsidR="007019EF">
                              <w:rPr>
                                <w:rFonts w:asciiTheme="majorHAnsi" w:hAnsiTheme="majorHAnsi"/>
                                <w:color w:val="0D0D0D" w:themeColor="text1" w:themeTint="F2"/>
                                <w:sz w:val="18"/>
                                <w:szCs w:val="20"/>
                                <w:lang w:val="es-ES"/>
                              </w:rPr>
                              <w:t>31</w:t>
                            </w:r>
                            <w:r w:rsidRPr="00D63CF8">
                              <w:rPr>
                                <w:rFonts w:asciiTheme="majorHAnsi" w:hAnsiTheme="majorHAnsi"/>
                                <w:color w:val="0D0D0D" w:themeColor="text1" w:themeTint="F2"/>
                                <w:sz w:val="18"/>
                                <w:szCs w:val="20"/>
                                <w:lang w:val="es-ES"/>
                              </w:rPr>
                              <w:t xml:space="preserve"> de </w:t>
                            </w:r>
                            <w:r w:rsidR="007019EF">
                              <w:rPr>
                                <w:rFonts w:asciiTheme="majorHAnsi" w:hAnsiTheme="majorHAnsi"/>
                                <w:color w:val="0D0D0D" w:themeColor="text1" w:themeTint="F2"/>
                                <w:sz w:val="18"/>
                                <w:szCs w:val="20"/>
                                <w:lang w:val="es-ES"/>
                              </w:rPr>
                              <w:t>diciembre</w:t>
                            </w:r>
                            <w:r w:rsidRPr="00D63CF8">
                              <w:rPr>
                                <w:rFonts w:asciiTheme="majorHAnsi" w:hAnsiTheme="majorHAnsi"/>
                                <w:color w:val="0D0D0D" w:themeColor="text1" w:themeTint="F2"/>
                                <w:sz w:val="18"/>
                                <w:szCs w:val="20"/>
                                <w:lang w:val="es-ES"/>
                              </w:rPr>
                              <w:t xml:space="preserve"> de</w:t>
                            </w:r>
                            <w:r w:rsidRPr="00293FA6">
                              <w:rPr>
                                <w:rFonts w:asciiTheme="majorHAnsi" w:hAnsiTheme="majorHAnsi"/>
                                <w:color w:val="0D0D0D" w:themeColor="text1" w:themeTint="F2"/>
                                <w:sz w:val="18"/>
                                <w:szCs w:val="20"/>
                                <w:lang w:val="es-VE"/>
                              </w:rPr>
                              <w:t xml:space="preserve"> 20</w:t>
                            </w:r>
                            <w:r>
                              <w:rPr>
                                <w:rFonts w:asciiTheme="majorHAnsi" w:hAnsiTheme="majorHAnsi"/>
                                <w:color w:val="0D0D0D" w:themeColor="text1" w:themeTint="F2"/>
                                <w:sz w:val="18"/>
                                <w:szCs w:val="20"/>
                                <w:lang w:val="es-VE"/>
                              </w:rPr>
                              <w:t>20</w:t>
                            </w:r>
                            <w:r w:rsidRPr="00293FA6">
                              <w:rPr>
                                <w:rFonts w:asciiTheme="majorHAnsi" w:hAnsiTheme="majorHAnsi"/>
                                <w:color w:val="0D0D0D" w:themeColor="text1" w:themeTint="F2"/>
                                <w:sz w:val="18"/>
                                <w:szCs w:val="20"/>
                                <w:lang w:val="es-V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B009C" id="Text Box 7" o:spid="_x0000_s1030"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" filled="f" stroked="f" strokeweight=".5pt">
                <v:textbox>
                  <w:txbxContent>
                    <w:p w14:paraId="7BAF81FC" w14:textId="4BA9C378" w:rsidR="00BE380F" w:rsidRPr="007019EF" w:rsidRDefault="00BE380F" w:rsidP="004165C2">
                      <w:pPr>
                        <w:tabs>
                          <w:tab w:val="center" w:pos="5400"/>
                        </w:tabs>
                        <w:suppressAutoHyphens/>
                        <w:spacing w:before="60"/>
                        <w:rPr>
                          <w:rFonts w:asciiTheme="majorHAnsi" w:hAnsiTheme="majorHAnsi"/>
                          <w:color w:val="0D0D0D" w:themeColor="text1" w:themeTint="F2"/>
                          <w:sz w:val="18"/>
                          <w:szCs w:val="22"/>
                          <w:lang w:val="es-US"/>
                        </w:rPr>
                      </w:pPr>
                      <w:r w:rsidRPr="00D63CF8">
                        <w:rPr>
                          <w:rFonts w:asciiTheme="majorHAnsi" w:hAnsiTheme="majorHAnsi"/>
                          <w:color w:val="0D0D0D" w:themeColor="text1" w:themeTint="F2"/>
                          <w:sz w:val="18"/>
                          <w:szCs w:val="20"/>
                          <w:lang w:val="es-ES"/>
                        </w:rPr>
                        <w:t xml:space="preserve">Aprobado </w:t>
                      </w:r>
                      <w:r w:rsidR="007019EF">
                        <w:rPr>
                          <w:rFonts w:asciiTheme="majorHAnsi" w:hAnsiTheme="majorHAnsi"/>
                          <w:color w:val="0D0D0D" w:themeColor="text1" w:themeTint="F2"/>
                          <w:sz w:val="18"/>
                          <w:szCs w:val="20"/>
                          <w:lang w:val="es-ES"/>
                        </w:rPr>
                        <w:t xml:space="preserve">electrónicamente </w:t>
                      </w:r>
                      <w:r w:rsidRPr="00D63CF8">
                        <w:rPr>
                          <w:rFonts w:asciiTheme="majorHAnsi" w:hAnsiTheme="majorHAnsi"/>
                          <w:color w:val="0D0D0D" w:themeColor="text1" w:themeTint="F2"/>
                          <w:sz w:val="18"/>
                          <w:szCs w:val="20"/>
                          <w:lang w:val="es-ES"/>
                        </w:rPr>
                        <w:t xml:space="preserve">por la Comisión el </w:t>
                      </w:r>
                      <w:r w:rsidR="007019EF">
                        <w:rPr>
                          <w:rFonts w:asciiTheme="majorHAnsi" w:hAnsiTheme="majorHAnsi"/>
                          <w:color w:val="0D0D0D" w:themeColor="text1" w:themeTint="F2"/>
                          <w:sz w:val="18"/>
                          <w:szCs w:val="20"/>
                          <w:lang w:val="es-ES"/>
                        </w:rPr>
                        <w:t>31</w:t>
                      </w:r>
                      <w:r w:rsidRPr="00D63CF8">
                        <w:rPr>
                          <w:rFonts w:asciiTheme="majorHAnsi" w:hAnsiTheme="majorHAnsi"/>
                          <w:color w:val="0D0D0D" w:themeColor="text1" w:themeTint="F2"/>
                          <w:sz w:val="18"/>
                          <w:szCs w:val="20"/>
                          <w:lang w:val="es-ES"/>
                        </w:rPr>
                        <w:t xml:space="preserve"> de </w:t>
                      </w:r>
                      <w:r w:rsidR="007019EF">
                        <w:rPr>
                          <w:rFonts w:asciiTheme="majorHAnsi" w:hAnsiTheme="majorHAnsi"/>
                          <w:color w:val="0D0D0D" w:themeColor="text1" w:themeTint="F2"/>
                          <w:sz w:val="18"/>
                          <w:szCs w:val="20"/>
                          <w:lang w:val="es-ES"/>
                        </w:rPr>
                        <w:t>diciembre</w:t>
                      </w:r>
                      <w:r w:rsidRPr="00D63CF8">
                        <w:rPr>
                          <w:rFonts w:asciiTheme="majorHAnsi" w:hAnsiTheme="majorHAnsi"/>
                          <w:color w:val="0D0D0D" w:themeColor="text1" w:themeTint="F2"/>
                          <w:sz w:val="18"/>
                          <w:szCs w:val="20"/>
                          <w:lang w:val="es-ES"/>
                        </w:rPr>
                        <w:t xml:space="preserve"> de</w:t>
                      </w:r>
                      <w:r w:rsidRPr="00293FA6">
                        <w:rPr>
                          <w:rFonts w:asciiTheme="majorHAnsi" w:hAnsiTheme="majorHAnsi"/>
                          <w:color w:val="0D0D0D" w:themeColor="text1" w:themeTint="F2"/>
                          <w:sz w:val="18"/>
                          <w:szCs w:val="20"/>
                          <w:lang w:val="es-VE"/>
                        </w:rPr>
                        <w:t xml:space="preserve"> 20</w:t>
                      </w:r>
                      <w:r>
                        <w:rPr>
                          <w:rFonts w:asciiTheme="majorHAnsi" w:hAnsiTheme="majorHAnsi"/>
                          <w:color w:val="0D0D0D" w:themeColor="text1" w:themeTint="F2"/>
                          <w:sz w:val="18"/>
                          <w:szCs w:val="20"/>
                          <w:lang w:val="es-VE"/>
                        </w:rPr>
                        <w:t>20</w:t>
                      </w:r>
                      <w:r w:rsidRPr="00293FA6">
                        <w:rPr>
                          <w:rFonts w:asciiTheme="majorHAnsi" w:hAnsiTheme="majorHAnsi"/>
                          <w:color w:val="0D0D0D" w:themeColor="text1" w:themeTint="F2"/>
                          <w:sz w:val="18"/>
                          <w:szCs w:val="20"/>
                          <w:lang w:val="es-VE"/>
                        </w:rPr>
                        <w:t>.</w:t>
                      </w:r>
                    </w:p>
                  </w:txbxContent>
                </v:textbox>
              </v:shape>
            </w:pict>
          </mc:Fallback>
        </mc:AlternateContent>
      </w:r>
    </w:p>
    <w:p w14:paraId="60A0CBC8" w14:textId="77777777" w:rsidR="002C1641" w:rsidRPr="00CD3501" w:rsidRDefault="002C1641" w:rsidP="00040C3A">
      <w:pPr>
        <w:tabs>
          <w:tab w:val="center" w:pos="5400"/>
        </w:tabs>
        <w:suppressAutoHyphens/>
        <w:jc w:val="center"/>
        <w:rPr>
          <w:rFonts w:asciiTheme="majorHAnsi" w:hAnsiTheme="majorHAnsi"/>
          <w:sz w:val="18"/>
          <w:szCs w:val="22"/>
          <w:lang w:val="es-ES_tradnl"/>
        </w:rPr>
      </w:pPr>
    </w:p>
    <w:p w14:paraId="13B6A0A2" w14:textId="77777777" w:rsidR="002C1641" w:rsidRPr="00CD3501" w:rsidRDefault="002C1641" w:rsidP="00040C3A">
      <w:pPr>
        <w:tabs>
          <w:tab w:val="center" w:pos="5400"/>
        </w:tabs>
        <w:suppressAutoHyphens/>
        <w:jc w:val="center"/>
        <w:rPr>
          <w:rFonts w:asciiTheme="majorHAnsi" w:hAnsiTheme="majorHAnsi"/>
          <w:sz w:val="18"/>
          <w:szCs w:val="22"/>
          <w:lang w:val="es-ES_tradnl"/>
        </w:rPr>
      </w:pPr>
    </w:p>
    <w:p w14:paraId="603D2CAF" w14:textId="77777777" w:rsidR="002C1641" w:rsidRPr="00CD3501" w:rsidRDefault="002C1641" w:rsidP="00040C3A">
      <w:pPr>
        <w:tabs>
          <w:tab w:val="center" w:pos="5400"/>
        </w:tabs>
        <w:suppressAutoHyphens/>
        <w:jc w:val="center"/>
        <w:rPr>
          <w:rFonts w:asciiTheme="majorHAnsi" w:hAnsiTheme="majorHAnsi"/>
          <w:sz w:val="18"/>
          <w:szCs w:val="22"/>
          <w:lang w:val="es-ES_tradnl"/>
        </w:rPr>
      </w:pPr>
    </w:p>
    <w:p w14:paraId="25E81A81" w14:textId="77777777" w:rsidR="002C1641" w:rsidRPr="00CD3501" w:rsidRDefault="002C1641" w:rsidP="00040C3A">
      <w:pPr>
        <w:tabs>
          <w:tab w:val="center" w:pos="5400"/>
        </w:tabs>
        <w:suppressAutoHyphens/>
        <w:jc w:val="center"/>
        <w:rPr>
          <w:rFonts w:asciiTheme="majorHAnsi" w:hAnsiTheme="majorHAnsi"/>
          <w:sz w:val="18"/>
          <w:szCs w:val="22"/>
          <w:lang w:val="es-ES_tradnl"/>
        </w:rPr>
      </w:pPr>
    </w:p>
    <w:p w14:paraId="544D940A" w14:textId="2A6AC5AA" w:rsidR="002C1641" w:rsidRPr="00CD3501" w:rsidRDefault="00083E3C" w:rsidP="00040C3A">
      <w:pPr>
        <w:tabs>
          <w:tab w:val="center" w:pos="5400"/>
        </w:tabs>
        <w:suppressAutoHyphens/>
        <w:jc w:val="center"/>
        <w:rPr>
          <w:rFonts w:asciiTheme="majorHAnsi" w:hAnsiTheme="majorHAnsi"/>
          <w:sz w:val="18"/>
          <w:szCs w:val="22"/>
          <w:lang w:val="es-ES_tradnl"/>
        </w:rPr>
      </w:pPr>
      <w:r w:rsidRPr="00CD3501">
        <w:rPr>
          <w:rFonts w:asciiTheme="majorHAnsi" w:hAnsiTheme="majorHAnsi"/>
          <w:noProof/>
          <w:sz w:val="18"/>
          <w:szCs w:val="22"/>
          <w:lang w:val="es-ES_tradnl"/>
        </w:rPr>
        <mc:AlternateContent>
          <mc:Choice Requires="wps">
            <w:drawing>
              <wp:anchor distT="0" distB="0" distL="114300" distR="114300" simplePos="0" relativeHeight="251683840" behindDoc="0" locked="0" layoutInCell="1" allowOverlap="1" wp14:anchorId="30234740" wp14:editId="2E0FACF4">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03752F" w14:textId="7F724541" w:rsidR="00BE380F" w:rsidRPr="00D63CF8" w:rsidRDefault="00BE380F" w:rsidP="00F45EBF">
                            <w:pPr>
                              <w:spacing w:line="276" w:lineRule="auto"/>
                              <w:jc w:val="both"/>
                              <w:rPr>
                                <w:rFonts w:asciiTheme="majorHAnsi" w:hAnsiTheme="majorHAnsi"/>
                                <w:color w:val="595959" w:themeColor="text1" w:themeTint="A6"/>
                                <w:sz w:val="18"/>
                                <w:lang w:val="es-ES"/>
                              </w:rPr>
                            </w:pPr>
                            <w:r w:rsidRPr="00293FA6">
                              <w:rPr>
                                <w:rFonts w:asciiTheme="majorHAnsi" w:hAnsiTheme="majorHAnsi"/>
                                <w:b/>
                                <w:color w:val="595959" w:themeColor="text1" w:themeTint="A6"/>
                                <w:sz w:val="18"/>
                                <w:lang w:val="pt-BR"/>
                              </w:rPr>
                              <w:t xml:space="preserve">Citar como: </w:t>
                            </w:r>
                            <w:r w:rsidRPr="00293FA6">
                              <w:rPr>
                                <w:rFonts w:asciiTheme="majorHAnsi" w:hAnsiTheme="majorHAnsi"/>
                                <w:color w:val="595959" w:themeColor="text1" w:themeTint="A6"/>
                                <w:sz w:val="18"/>
                                <w:lang w:val="pt-BR"/>
                              </w:rPr>
                              <w:t xml:space="preserve">CIDH, Informe No. </w:t>
                            </w:r>
                            <w:r w:rsidR="007019EF" w:rsidRPr="007019EF">
                              <w:rPr>
                                <w:rFonts w:asciiTheme="majorHAnsi" w:hAnsiTheme="majorHAnsi"/>
                                <w:color w:val="595959" w:themeColor="text1" w:themeTint="A6"/>
                                <w:sz w:val="18"/>
                                <w:lang w:val="pt-BR"/>
                              </w:rPr>
                              <w:t>400</w:t>
                            </w:r>
                            <w:r w:rsidRPr="007019EF">
                              <w:rPr>
                                <w:rFonts w:asciiTheme="majorHAnsi" w:hAnsiTheme="majorHAnsi"/>
                                <w:color w:val="595959" w:themeColor="text1" w:themeTint="A6"/>
                                <w:sz w:val="18"/>
                                <w:lang w:val="pt-BR"/>
                              </w:rPr>
                              <w:t>/</w:t>
                            </w:r>
                            <w:r w:rsidR="00FE5347" w:rsidRPr="007019EF">
                              <w:rPr>
                                <w:rFonts w:asciiTheme="majorHAnsi" w:hAnsiTheme="majorHAnsi"/>
                                <w:color w:val="595959" w:themeColor="text1" w:themeTint="A6"/>
                                <w:sz w:val="18"/>
                                <w:lang w:val="pt-BR"/>
                              </w:rPr>
                              <w:t>20</w:t>
                            </w:r>
                            <w:r w:rsidRPr="007019EF">
                              <w:rPr>
                                <w:rFonts w:asciiTheme="majorHAnsi" w:hAnsiTheme="majorHAnsi"/>
                                <w:color w:val="595959" w:themeColor="text1" w:themeTint="A6"/>
                                <w:sz w:val="18"/>
                                <w:lang w:val="pt-BR"/>
                              </w:rPr>
                              <w:t xml:space="preserve">. </w:t>
                            </w:r>
                            <w:r w:rsidRPr="00D63CF8">
                              <w:rPr>
                                <w:rFonts w:asciiTheme="majorHAnsi" w:hAnsiTheme="majorHAnsi"/>
                                <w:color w:val="595959" w:themeColor="text1" w:themeTint="A6"/>
                                <w:sz w:val="18"/>
                                <w:lang w:val="es-ES"/>
                              </w:rPr>
                              <w:t>Caso 13.637. Fondo</w:t>
                            </w:r>
                            <w:r w:rsidR="0075398D">
                              <w:rPr>
                                <w:rFonts w:asciiTheme="majorHAnsi" w:hAnsiTheme="majorHAnsi"/>
                                <w:color w:val="595959" w:themeColor="text1" w:themeTint="A6"/>
                                <w:sz w:val="18"/>
                                <w:lang w:val="es-ES"/>
                              </w:rPr>
                              <w:t xml:space="preserve"> (</w:t>
                            </w:r>
                            <w:r w:rsidR="0075398D" w:rsidRPr="007019EF">
                              <w:rPr>
                                <w:rFonts w:asciiTheme="majorHAnsi" w:hAnsiTheme="majorHAnsi"/>
                                <w:color w:val="595959" w:themeColor="text1" w:themeTint="A6"/>
                                <w:sz w:val="18"/>
                                <w:lang w:val="es-ES"/>
                              </w:rPr>
                              <w:t>Publicación</w:t>
                            </w:r>
                            <w:r w:rsidR="0075398D">
                              <w:rPr>
                                <w:rFonts w:asciiTheme="majorHAnsi" w:hAnsiTheme="majorHAnsi"/>
                                <w:color w:val="595959" w:themeColor="text1" w:themeTint="A6"/>
                                <w:sz w:val="18"/>
                                <w:lang w:val="es-ES"/>
                              </w:rPr>
                              <w:t>)</w:t>
                            </w:r>
                            <w:r w:rsidRPr="00D63CF8">
                              <w:rPr>
                                <w:rFonts w:asciiTheme="majorHAnsi" w:hAnsiTheme="majorHAnsi"/>
                                <w:color w:val="595959" w:themeColor="text1" w:themeTint="A6"/>
                                <w:sz w:val="18"/>
                                <w:lang w:val="es-ES"/>
                              </w:rPr>
                              <w:t>. Garet</w:t>
                            </w:r>
                            <w:r w:rsidR="00FE5347">
                              <w:rPr>
                                <w:rFonts w:asciiTheme="majorHAnsi" w:hAnsiTheme="majorHAnsi"/>
                                <w:color w:val="595959" w:themeColor="text1" w:themeTint="A6"/>
                                <w:sz w:val="18"/>
                                <w:lang w:val="es-ES"/>
                              </w:rPr>
                              <w:t>h</w:t>
                            </w:r>
                            <w:r w:rsidRPr="00D63CF8">
                              <w:rPr>
                                <w:rFonts w:asciiTheme="majorHAnsi" w:hAnsiTheme="majorHAnsi"/>
                                <w:color w:val="595959" w:themeColor="text1" w:themeTint="A6"/>
                                <w:sz w:val="18"/>
                                <w:lang w:val="es-ES"/>
                              </w:rPr>
                              <w:t xml:space="preserve"> Henry</w:t>
                            </w:r>
                            <w:r w:rsidR="007019EF">
                              <w:rPr>
                                <w:rFonts w:asciiTheme="majorHAnsi" w:hAnsiTheme="majorHAnsi"/>
                                <w:color w:val="595959" w:themeColor="text1" w:themeTint="A6"/>
                                <w:sz w:val="18"/>
                                <w:lang w:val="es-ES"/>
                              </w:rPr>
                              <w:t xml:space="preserve"> y</w:t>
                            </w:r>
                            <w:r w:rsidRPr="00D63CF8">
                              <w:rPr>
                                <w:rFonts w:asciiTheme="majorHAnsi" w:hAnsiTheme="majorHAnsi"/>
                                <w:color w:val="595959" w:themeColor="text1" w:themeTint="A6"/>
                                <w:sz w:val="18"/>
                                <w:lang w:val="es-ES"/>
                              </w:rPr>
                              <w:t xml:space="preserve"> Simone Carline Edwards. Jamaica. </w:t>
                            </w:r>
                            <w:r w:rsidR="007019EF">
                              <w:rPr>
                                <w:rFonts w:asciiTheme="majorHAnsi" w:hAnsiTheme="majorHAnsi"/>
                                <w:color w:val="595959" w:themeColor="text1" w:themeTint="A6"/>
                                <w:sz w:val="18"/>
                                <w:lang w:val="es-ES"/>
                              </w:rPr>
                              <w:t>31</w:t>
                            </w:r>
                            <w:r w:rsidRPr="00D63CF8">
                              <w:rPr>
                                <w:rFonts w:asciiTheme="majorHAnsi" w:hAnsiTheme="majorHAnsi"/>
                                <w:color w:val="595959" w:themeColor="text1" w:themeTint="A6"/>
                                <w:sz w:val="18"/>
                                <w:lang w:val="es-ES"/>
                              </w:rPr>
                              <w:t xml:space="preserve"> de </w:t>
                            </w:r>
                            <w:r w:rsidR="007019EF">
                              <w:rPr>
                                <w:rFonts w:asciiTheme="majorHAnsi" w:hAnsiTheme="majorHAnsi"/>
                                <w:color w:val="595959" w:themeColor="text1" w:themeTint="A6"/>
                                <w:sz w:val="18"/>
                                <w:lang w:val="es-ES"/>
                              </w:rPr>
                              <w:t>diciembre</w:t>
                            </w:r>
                            <w:r w:rsidRPr="00D63CF8">
                              <w:rPr>
                                <w:rFonts w:asciiTheme="majorHAnsi" w:hAnsiTheme="majorHAnsi"/>
                                <w:color w:val="595959" w:themeColor="text1" w:themeTint="A6"/>
                                <w:sz w:val="18"/>
                                <w:lang w:val="es-ES"/>
                              </w:rPr>
                              <w:t xml:space="preserve"> de 20</w:t>
                            </w:r>
                            <w:r w:rsidR="0075398D">
                              <w:rPr>
                                <w:rFonts w:asciiTheme="majorHAnsi" w:hAnsiTheme="majorHAnsi"/>
                                <w:color w:val="595959" w:themeColor="text1" w:themeTint="A6"/>
                                <w:sz w:val="18"/>
                                <w:lang w:val="es-ES"/>
                              </w:rPr>
                              <w:t>20</w:t>
                            </w:r>
                            <w:r w:rsidRPr="00D63CF8">
                              <w:rPr>
                                <w:rFonts w:asciiTheme="majorHAnsi" w:hAnsiTheme="majorHAnsi"/>
                                <w:color w:val="595959" w:themeColor="text1" w:themeTint="A6"/>
                                <w:sz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34740" id="Text Box 14" o:spid="_x0000_s1031"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" filled="f" stroked="f" strokeweight=".5pt">
                <v:textbox>
                  <w:txbxContent>
                    <w:p w14:paraId="7103752F" w14:textId="7F724541" w:rsidR="00BE380F" w:rsidRPr="00D63CF8" w:rsidRDefault="00BE380F" w:rsidP="00F45EBF">
                      <w:pPr>
                        <w:spacing w:line="276" w:lineRule="auto"/>
                        <w:jc w:val="both"/>
                        <w:rPr>
                          <w:rFonts w:asciiTheme="majorHAnsi" w:hAnsiTheme="majorHAnsi"/>
                          <w:color w:val="595959" w:themeColor="text1" w:themeTint="A6"/>
                          <w:sz w:val="18"/>
                          <w:lang w:val="es-ES"/>
                        </w:rPr>
                      </w:pPr>
                      <w:r w:rsidRPr="00293FA6">
                        <w:rPr>
                          <w:rFonts w:asciiTheme="majorHAnsi" w:hAnsiTheme="majorHAnsi"/>
                          <w:b/>
                          <w:color w:val="595959" w:themeColor="text1" w:themeTint="A6"/>
                          <w:sz w:val="18"/>
                          <w:lang w:val="pt-BR"/>
                        </w:rPr>
                        <w:t xml:space="preserve">Citar como: </w:t>
                      </w:r>
                      <w:r w:rsidRPr="00293FA6">
                        <w:rPr>
                          <w:rFonts w:asciiTheme="majorHAnsi" w:hAnsiTheme="majorHAnsi"/>
                          <w:color w:val="595959" w:themeColor="text1" w:themeTint="A6"/>
                          <w:sz w:val="18"/>
                          <w:lang w:val="pt-BR"/>
                        </w:rPr>
                        <w:t xml:space="preserve">CIDH, Informe No. </w:t>
                      </w:r>
                      <w:r w:rsidR="007019EF" w:rsidRPr="007019EF">
                        <w:rPr>
                          <w:rFonts w:asciiTheme="majorHAnsi" w:hAnsiTheme="majorHAnsi"/>
                          <w:color w:val="595959" w:themeColor="text1" w:themeTint="A6"/>
                          <w:sz w:val="18"/>
                          <w:lang w:val="pt-BR"/>
                        </w:rPr>
                        <w:t>400</w:t>
                      </w:r>
                      <w:r w:rsidRPr="007019EF">
                        <w:rPr>
                          <w:rFonts w:asciiTheme="majorHAnsi" w:hAnsiTheme="majorHAnsi"/>
                          <w:color w:val="595959" w:themeColor="text1" w:themeTint="A6"/>
                          <w:sz w:val="18"/>
                          <w:lang w:val="pt-BR"/>
                        </w:rPr>
                        <w:t>/</w:t>
                      </w:r>
                      <w:r w:rsidR="00FE5347" w:rsidRPr="007019EF">
                        <w:rPr>
                          <w:rFonts w:asciiTheme="majorHAnsi" w:hAnsiTheme="majorHAnsi"/>
                          <w:color w:val="595959" w:themeColor="text1" w:themeTint="A6"/>
                          <w:sz w:val="18"/>
                          <w:lang w:val="pt-BR"/>
                        </w:rPr>
                        <w:t>20</w:t>
                      </w:r>
                      <w:r w:rsidRPr="007019EF">
                        <w:rPr>
                          <w:rFonts w:asciiTheme="majorHAnsi" w:hAnsiTheme="majorHAnsi"/>
                          <w:color w:val="595959" w:themeColor="text1" w:themeTint="A6"/>
                          <w:sz w:val="18"/>
                          <w:lang w:val="pt-BR"/>
                        </w:rPr>
                        <w:t xml:space="preserve">. </w:t>
                      </w:r>
                      <w:r w:rsidRPr="00D63CF8">
                        <w:rPr>
                          <w:rFonts w:asciiTheme="majorHAnsi" w:hAnsiTheme="majorHAnsi"/>
                          <w:color w:val="595959" w:themeColor="text1" w:themeTint="A6"/>
                          <w:sz w:val="18"/>
                          <w:lang w:val="es-ES"/>
                        </w:rPr>
                        <w:t>Caso 13.637. Fondo</w:t>
                      </w:r>
                      <w:r w:rsidR="0075398D">
                        <w:rPr>
                          <w:rFonts w:asciiTheme="majorHAnsi" w:hAnsiTheme="majorHAnsi"/>
                          <w:color w:val="595959" w:themeColor="text1" w:themeTint="A6"/>
                          <w:sz w:val="18"/>
                          <w:lang w:val="es-ES"/>
                        </w:rPr>
                        <w:t xml:space="preserve"> (</w:t>
                      </w:r>
                      <w:r w:rsidR="0075398D" w:rsidRPr="007019EF">
                        <w:rPr>
                          <w:rFonts w:asciiTheme="majorHAnsi" w:hAnsiTheme="majorHAnsi"/>
                          <w:color w:val="595959" w:themeColor="text1" w:themeTint="A6"/>
                          <w:sz w:val="18"/>
                          <w:lang w:val="es-ES"/>
                        </w:rPr>
                        <w:t>Publicación</w:t>
                      </w:r>
                      <w:r w:rsidR="0075398D">
                        <w:rPr>
                          <w:rFonts w:asciiTheme="majorHAnsi" w:hAnsiTheme="majorHAnsi"/>
                          <w:color w:val="595959" w:themeColor="text1" w:themeTint="A6"/>
                          <w:sz w:val="18"/>
                          <w:lang w:val="es-ES"/>
                        </w:rPr>
                        <w:t>)</w:t>
                      </w:r>
                      <w:r w:rsidRPr="00D63CF8">
                        <w:rPr>
                          <w:rFonts w:asciiTheme="majorHAnsi" w:hAnsiTheme="majorHAnsi"/>
                          <w:color w:val="595959" w:themeColor="text1" w:themeTint="A6"/>
                          <w:sz w:val="18"/>
                          <w:lang w:val="es-ES"/>
                        </w:rPr>
                        <w:t>. Garet</w:t>
                      </w:r>
                      <w:r w:rsidR="00FE5347">
                        <w:rPr>
                          <w:rFonts w:asciiTheme="majorHAnsi" w:hAnsiTheme="majorHAnsi"/>
                          <w:color w:val="595959" w:themeColor="text1" w:themeTint="A6"/>
                          <w:sz w:val="18"/>
                          <w:lang w:val="es-ES"/>
                        </w:rPr>
                        <w:t>h</w:t>
                      </w:r>
                      <w:r w:rsidRPr="00D63CF8">
                        <w:rPr>
                          <w:rFonts w:asciiTheme="majorHAnsi" w:hAnsiTheme="majorHAnsi"/>
                          <w:color w:val="595959" w:themeColor="text1" w:themeTint="A6"/>
                          <w:sz w:val="18"/>
                          <w:lang w:val="es-ES"/>
                        </w:rPr>
                        <w:t xml:space="preserve"> Henry</w:t>
                      </w:r>
                      <w:r w:rsidR="007019EF">
                        <w:rPr>
                          <w:rFonts w:asciiTheme="majorHAnsi" w:hAnsiTheme="majorHAnsi"/>
                          <w:color w:val="595959" w:themeColor="text1" w:themeTint="A6"/>
                          <w:sz w:val="18"/>
                          <w:lang w:val="es-ES"/>
                        </w:rPr>
                        <w:t xml:space="preserve"> y</w:t>
                      </w:r>
                      <w:r w:rsidRPr="00D63CF8">
                        <w:rPr>
                          <w:rFonts w:asciiTheme="majorHAnsi" w:hAnsiTheme="majorHAnsi"/>
                          <w:color w:val="595959" w:themeColor="text1" w:themeTint="A6"/>
                          <w:sz w:val="18"/>
                          <w:lang w:val="es-ES"/>
                        </w:rPr>
                        <w:t xml:space="preserve"> Simone Carline Edwards. Jamaica. </w:t>
                      </w:r>
                      <w:r w:rsidR="007019EF">
                        <w:rPr>
                          <w:rFonts w:asciiTheme="majorHAnsi" w:hAnsiTheme="majorHAnsi"/>
                          <w:color w:val="595959" w:themeColor="text1" w:themeTint="A6"/>
                          <w:sz w:val="18"/>
                          <w:lang w:val="es-ES"/>
                        </w:rPr>
                        <w:t>31</w:t>
                      </w:r>
                      <w:r w:rsidRPr="00D63CF8">
                        <w:rPr>
                          <w:rFonts w:asciiTheme="majorHAnsi" w:hAnsiTheme="majorHAnsi"/>
                          <w:color w:val="595959" w:themeColor="text1" w:themeTint="A6"/>
                          <w:sz w:val="18"/>
                          <w:lang w:val="es-ES"/>
                        </w:rPr>
                        <w:t xml:space="preserve"> de </w:t>
                      </w:r>
                      <w:r w:rsidR="007019EF">
                        <w:rPr>
                          <w:rFonts w:asciiTheme="majorHAnsi" w:hAnsiTheme="majorHAnsi"/>
                          <w:color w:val="595959" w:themeColor="text1" w:themeTint="A6"/>
                          <w:sz w:val="18"/>
                          <w:lang w:val="es-ES"/>
                        </w:rPr>
                        <w:t>diciembre</w:t>
                      </w:r>
                      <w:r w:rsidRPr="00D63CF8">
                        <w:rPr>
                          <w:rFonts w:asciiTheme="majorHAnsi" w:hAnsiTheme="majorHAnsi"/>
                          <w:color w:val="595959" w:themeColor="text1" w:themeTint="A6"/>
                          <w:sz w:val="18"/>
                          <w:lang w:val="es-ES"/>
                        </w:rPr>
                        <w:t xml:space="preserve"> de 20</w:t>
                      </w:r>
                      <w:r w:rsidR="0075398D">
                        <w:rPr>
                          <w:rFonts w:asciiTheme="majorHAnsi" w:hAnsiTheme="majorHAnsi"/>
                          <w:color w:val="595959" w:themeColor="text1" w:themeTint="A6"/>
                          <w:sz w:val="18"/>
                          <w:lang w:val="es-ES"/>
                        </w:rPr>
                        <w:t>20</w:t>
                      </w:r>
                      <w:r w:rsidRPr="00D63CF8">
                        <w:rPr>
                          <w:rFonts w:asciiTheme="majorHAnsi" w:hAnsiTheme="majorHAnsi"/>
                          <w:color w:val="595959" w:themeColor="text1" w:themeTint="A6"/>
                          <w:sz w:val="18"/>
                          <w:lang w:val="es-ES"/>
                        </w:rPr>
                        <w:t>.</w:t>
                      </w:r>
                    </w:p>
                  </w:txbxContent>
                </v:textbox>
              </v:shape>
            </w:pict>
          </mc:Fallback>
        </mc:AlternateContent>
      </w:r>
    </w:p>
    <w:p w14:paraId="3F3520EB" w14:textId="77777777" w:rsidR="002C1641" w:rsidRPr="00CD3501" w:rsidRDefault="002C1641" w:rsidP="00040C3A">
      <w:pPr>
        <w:tabs>
          <w:tab w:val="center" w:pos="5400"/>
        </w:tabs>
        <w:suppressAutoHyphens/>
        <w:jc w:val="center"/>
        <w:rPr>
          <w:rFonts w:asciiTheme="majorHAnsi" w:hAnsiTheme="majorHAnsi"/>
          <w:sz w:val="18"/>
          <w:szCs w:val="22"/>
          <w:lang w:val="es-ES_tradnl"/>
        </w:rPr>
      </w:pPr>
    </w:p>
    <w:p w14:paraId="743CB6AD" w14:textId="77777777" w:rsidR="002C1641" w:rsidRPr="00CD3501" w:rsidRDefault="002C1641" w:rsidP="00040C3A">
      <w:pPr>
        <w:tabs>
          <w:tab w:val="center" w:pos="5400"/>
        </w:tabs>
        <w:suppressAutoHyphens/>
        <w:jc w:val="center"/>
        <w:rPr>
          <w:rFonts w:asciiTheme="majorHAnsi" w:hAnsiTheme="majorHAnsi"/>
          <w:sz w:val="18"/>
          <w:szCs w:val="22"/>
          <w:lang w:val="es-ES_tradnl"/>
        </w:rPr>
      </w:pPr>
    </w:p>
    <w:p w14:paraId="58390CD9" w14:textId="77777777" w:rsidR="003C32BC" w:rsidRPr="00CD3501" w:rsidRDefault="003C32BC" w:rsidP="003C32BC">
      <w:pPr>
        <w:tabs>
          <w:tab w:val="center" w:pos="5400"/>
        </w:tabs>
        <w:suppressAutoHyphens/>
        <w:jc w:val="center"/>
        <w:rPr>
          <w:rFonts w:asciiTheme="majorHAnsi" w:hAnsiTheme="majorHAnsi"/>
          <w:sz w:val="18"/>
          <w:szCs w:val="22"/>
          <w:lang w:val="es-ES_tradnl"/>
        </w:rPr>
      </w:pPr>
    </w:p>
    <w:p w14:paraId="1FAEC05E" w14:textId="205CAB14" w:rsidR="003C32BC" w:rsidRPr="00CD3501" w:rsidRDefault="00293FA6" w:rsidP="003C32BC">
      <w:pPr>
        <w:tabs>
          <w:tab w:val="center" w:pos="5400"/>
        </w:tabs>
        <w:suppressAutoHyphens/>
        <w:jc w:val="center"/>
        <w:rPr>
          <w:rFonts w:asciiTheme="majorHAnsi" w:hAnsiTheme="majorHAnsi"/>
          <w:sz w:val="18"/>
          <w:szCs w:val="22"/>
          <w:lang w:val="es-ES_tradnl"/>
        </w:rPr>
      </w:pPr>
      <w:r w:rsidRPr="00CD3501">
        <w:rPr>
          <w:rFonts w:asciiTheme="majorHAnsi" w:hAnsiTheme="majorHAnsi"/>
          <w:noProof/>
          <w:sz w:val="20"/>
          <w:szCs w:val="20"/>
          <w:lang w:val="es-ES_tradnl"/>
        </w:rPr>
        <mc:AlternateContent>
          <mc:Choice Requires="wps">
            <w:drawing>
              <wp:anchor distT="0" distB="0" distL="114300" distR="114300" simplePos="0" relativeHeight="251691008" behindDoc="0" locked="0" layoutInCell="1" allowOverlap="1" wp14:anchorId="1279A00A" wp14:editId="2D83899A">
                <wp:simplePos x="0" y="0"/>
                <wp:positionH relativeFrom="column">
                  <wp:posOffset>-297180</wp:posOffset>
                </wp:positionH>
                <wp:positionV relativeFrom="paragraph">
                  <wp:posOffset>727710</wp:posOffset>
                </wp:positionV>
                <wp:extent cx="1181100" cy="3327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14:paraId="6BD43A3F" w14:textId="77777777" w:rsidR="00BE380F" w:rsidRPr="004B7EB6" w:rsidRDefault="00BE380F" w:rsidP="00293FA6">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9A00A" id="Text Box 6" o:spid="_x0000_s1032" type="#_x0000_t202" style="position:absolute;left:0;text-align:left;margin-left:-23.4pt;margin-top:57.3pt;width:93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" filled="f" stroked="f" strokeweight=".5pt">
                <v:textbox>
                  <w:txbxContent>
                    <w:p w14:paraId="6BD43A3F" w14:textId="77777777" w:rsidR="00BE380F" w:rsidRPr="004B7EB6" w:rsidRDefault="00BE380F" w:rsidP="00293FA6">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083E3C" w:rsidRPr="00CD3501">
        <w:rPr>
          <w:rFonts w:asciiTheme="majorHAnsi" w:hAnsiTheme="majorHAnsi"/>
          <w:noProof/>
          <w:sz w:val="22"/>
          <w:szCs w:val="22"/>
          <w:lang w:val="es-ES_tradnl"/>
        </w:rPr>
        <mc:AlternateContent>
          <mc:Choice Requires="wps">
            <w:drawing>
              <wp:anchor distT="0" distB="0" distL="114300" distR="114300" simplePos="0" relativeHeight="251686912" behindDoc="0" locked="0" layoutInCell="1" allowOverlap="1" wp14:anchorId="54712F46" wp14:editId="01EF94A7">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D174D8" w14:textId="77777777" w:rsidR="00BE380F" w:rsidRPr="004B7EB6" w:rsidRDefault="00BE380F"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12F46" id="Text Box 3" o:spid="_x0000_s1033"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0iK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" filled="f" stroked="f" strokeweight=".5pt">
                <v:textbox>
                  <w:txbxContent>
                    <w:p w14:paraId="7ED174D8" w14:textId="77777777" w:rsidR="00BE380F" w:rsidRPr="004B7EB6" w:rsidRDefault="00BE380F"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083E3C" w:rsidRPr="00CD3501">
        <w:rPr>
          <w:rFonts w:asciiTheme="majorHAnsi" w:hAnsiTheme="majorHAnsi"/>
          <w:noProof/>
          <w:sz w:val="22"/>
          <w:szCs w:val="22"/>
          <w:lang w:val="es-ES_tradnl"/>
        </w:rPr>
        <mc:AlternateContent>
          <mc:Choice Requires="wps">
            <w:drawing>
              <wp:anchor distT="0" distB="0" distL="114300" distR="114300" simplePos="0" relativeHeight="251684864" behindDoc="0" locked="0" layoutInCell="1" allowOverlap="1" wp14:anchorId="152F8625" wp14:editId="1B80E71A">
                <wp:simplePos x="0" y="0"/>
                <wp:positionH relativeFrom="column">
                  <wp:posOffset>1208405</wp:posOffset>
                </wp:positionH>
                <wp:positionV relativeFrom="paragraph">
                  <wp:posOffset>722630</wp:posOffset>
                </wp:positionV>
                <wp:extent cx="2085975" cy="4857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E46FD9" w14:textId="32880EF1" w:rsidR="00BE380F" w:rsidRDefault="00BE380F">
                            <w:r w:rsidRPr="00D72DC6">
                              <w:rPr>
                                <w:noProof/>
                                <w:color w:val="FFFFFF" w:themeColor="background1"/>
                                <w14:textFill>
                                  <w14:noFill/>
                                </w14:textFill>
                              </w:rPr>
                              <w:drawing>
                                <wp:inline distT="0" distB="0" distL="0" distR="0" wp14:anchorId="28B1F08B" wp14:editId="4D65D8CA">
                                  <wp:extent cx="1338942" cy="390525"/>
                                  <wp:effectExtent l="0" t="0" r="0" b="0"/>
                                  <wp:docPr id="10" name="Picture 10"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F8625" id="Text Box 2" o:spid="_x0000_s1034"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" fillcolor="white [3201]" stroked="f" strokeweight=".5pt">
                <v:textbox>
                  <w:txbxContent>
                    <w:p w14:paraId="77E46FD9" w14:textId="32880EF1" w:rsidR="00BE380F" w:rsidRDefault="00BE380F">
                      <w:r w:rsidRPr="00D72DC6">
                        <w:rPr>
                          <w:noProof/>
                          <w:color w:val="FFFFFF" w:themeColor="background1"/>
                          <w14:textFill>
                            <w14:noFill/>
                          </w14:textFill>
                        </w:rPr>
                        <w:drawing>
                          <wp:inline distT="0" distB="0" distL="0" distR="0" wp14:anchorId="28B1F08B" wp14:editId="4D65D8CA">
                            <wp:extent cx="1338942" cy="390525"/>
                            <wp:effectExtent l="0" t="0" r="0" b="0"/>
                            <wp:docPr id="10" name="Picture 10"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p>
    <w:p w14:paraId="0E16A055" w14:textId="77777777" w:rsidR="007607C4" w:rsidRPr="00CD3501" w:rsidRDefault="007607C4" w:rsidP="003C32BC">
      <w:pPr>
        <w:tabs>
          <w:tab w:val="center" w:pos="5400"/>
        </w:tabs>
        <w:suppressAutoHyphens/>
        <w:jc w:val="center"/>
        <w:rPr>
          <w:rFonts w:asciiTheme="majorHAnsi" w:hAnsiTheme="majorHAnsi"/>
          <w:sz w:val="18"/>
          <w:szCs w:val="22"/>
          <w:lang w:val="es-ES_tradnl"/>
        </w:rPr>
        <w:sectPr w:rsidR="007607C4" w:rsidRPr="00CD3501">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5CD9105E" w14:textId="4B166D78" w:rsidR="007607C4" w:rsidRPr="00CD3501" w:rsidRDefault="00497B9A" w:rsidP="00B22580">
      <w:pPr>
        <w:tabs>
          <w:tab w:val="center" w:pos="5400"/>
        </w:tabs>
        <w:suppressAutoHyphens/>
        <w:spacing w:line="276" w:lineRule="auto"/>
        <w:jc w:val="center"/>
        <w:rPr>
          <w:rFonts w:asciiTheme="majorHAnsi" w:hAnsiTheme="majorHAnsi"/>
          <w:b/>
          <w:szCs w:val="18"/>
          <w:lang w:val="es-ES_tradnl"/>
        </w:rPr>
      </w:pPr>
      <w:r w:rsidRPr="00CD3501">
        <w:rPr>
          <w:rFonts w:asciiTheme="majorHAnsi" w:hAnsiTheme="majorHAnsi"/>
          <w:b/>
          <w:szCs w:val="18"/>
          <w:lang w:val="es-ES_tradnl"/>
        </w:rPr>
        <w:lastRenderedPageBreak/>
        <w:t>ÍNDICE</w:t>
      </w:r>
    </w:p>
    <w:p w14:paraId="0E55D92B" w14:textId="77777777" w:rsidR="007607C4" w:rsidRPr="00CD3501" w:rsidRDefault="007607C4" w:rsidP="00145EDC">
      <w:pPr>
        <w:tabs>
          <w:tab w:val="center" w:pos="5400"/>
        </w:tabs>
        <w:suppressAutoHyphens/>
        <w:spacing w:line="276" w:lineRule="auto"/>
        <w:rPr>
          <w:rFonts w:asciiTheme="majorHAnsi" w:hAnsiTheme="majorHAnsi"/>
          <w:sz w:val="20"/>
          <w:szCs w:val="20"/>
          <w:lang w:val="es-ES_tradnl"/>
        </w:rPr>
      </w:pPr>
    </w:p>
    <w:p w14:paraId="1CAA0F2B" w14:textId="4334E08C" w:rsidR="0078210C" w:rsidRPr="00CD3501" w:rsidRDefault="00E200F9">
      <w:pPr>
        <w:pStyle w:val="TOC1"/>
        <w:rPr>
          <w:rFonts w:eastAsiaTheme="minorEastAsia" w:cstheme="minorBidi"/>
          <w:bdr w:val="none" w:sz="0" w:space="0" w:color="auto"/>
          <w:lang w:eastAsia="zh-CN"/>
        </w:rPr>
      </w:pPr>
      <w:r w:rsidRPr="00CD3501">
        <w:rPr>
          <w:noProof w:val="0"/>
        </w:rPr>
        <w:fldChar w:fldCharType="begin"/>
      </w:r>
      <w:r w:rsidRPr="00CD3501">
        <w:rPr>
          <w:noProof w:val="0"/>
        </w:rPr>
        <w:instrText xml:space="preserve"> TOC \o "1-3" </w:instrText>
      </w:r>
      <w:r w:rsidRPr="00CD3501">
        <w:rPr>
          <w:noProof w:val="0"/>
        </w:rPr>
        <w:fldChar w:fldCharType="separate"/>
      </w:r>
      <w:r w:rsidR="0078210C" w:rsidRPr="00CD3501">
        <w:t>I.</w:t>
      </w:r>
      <w:r w:rsidR="0078210C" w:rsidRPr="00CD3501">
        <w:rPr>
          <w:rFonts w:eastAsiaTheme="minorEastAsia" w:cstheme="minorBidi"/>
          <w:bdr w:val="none" w:sz="0" w:space="0" w:color="auto"/>
          <w:lang w:eastAsia="zh-CN"/>
        </w:rPr>
        <w:tab/>
      </w:r>
      <w:r w:rsidR="0078210C" w:rsidRPr="00CD3501">
        <w:t>INTRODUCCIÓN</w:t>
      </w:r>
      <w:r w:rsidR="0078210C" w:rsidRPr="00CD3501">
        <w:tab/>
      </w:r>
      <w:r w:rsidR="0078210C" w:rsidRPr="00CD3501">
        <w:fldChar w:fldCharType="begin"/>
      </w:r>
      <w:r w:rsidR="0078210C" w:rsidRPr="00CD3501">
        <w:instrText xml:space="preserve"> PAGEREF _Toc58425585 \h </w:instrText>
      </w:r>
      <w:r w:rsidR="0078210C" w:rsidRPr="00CD3501">
        <w:fldChar w:fldCharType="separate"/>
      </w:r>
      <w:r w:rsidR="00113BBD">
        <w:t>2</w:t>
      </w:r>
      <w:r w:rsidR="0078210C" w:rsidRPr="00CD3501">
        <w:fldChar w:fldCharType="end"/>
      </w:r>
    </w:p>
    <w:p w14:paraId="4314A9C8" w14:textId="67F05E2A" w:rsidR="0078210C" w:rsidRPr="00CD3501" w:rsidRDefault="0078210C">
      <w:pPr>
        <w:pStyle w:val="TOC1"/>
        <w:rPr>
          <w:rFonts w:eastAsiaTheme="minorEastAsia" w:cstheme="minorBidi"/>
          <w:bdr w:val="none" w:sz="0" w:space="0" w:color="auto"/>
          <w:lang w:eastAsia="zh-CN"/>
        </w:rPr>
      </w:pPr>
      <w:r w:rsidRPr="00CD3501">
        <w:t>II.</w:t>
      </w:r>
      <w:r w:rsidRPr="00CD3501">
        <w:rPr>
          <w:rFonts w:eastAsiaTheme="minorEastAsia" w:cstheme="minorBidi"/>
          <w:bdr w:val="none" w:sz="0" w:space="0" w:color="auto"/>
          <w:lang w:eastAsia="zh-CN"/>
        </w:rPr>
        <w:tab/>
      </w:r>
      <w:r w:rsidRPr="00CD3501">
        <w:t>POSICIONES DE LAS PARTES</w:t>
      </w:r>
      <w:r w:rsidRPr="00CD3501">
        <w:tab/>
      </w:r>
      <w:r w:rsidRPr="00CD3501">
        <w:fldChar w:fldCharType="begin"/>
      </w:r>
      <w:r w:rsidRPr="00CD3501">
        <w:instrText xml:space="preserve"> PAGEREF _Toc58425586 \h </w:instrText>
      </w:r>
      <w:r w:rsidRPr="00CD3501">
        <w:fldChar w:fldCharType="separate"/>
      </w:r>
      <w:r w:rsidR="00113BBD">
        <w:t>2</w:t>
      </w:r>
      <w:r w:rsidRPr="00CD3501">
        <w:fldChar w:fldCharType="end"/>
      </w:r>
    </w:p>
    <w:p w14:paraId="0AC22A3D" w14:textId="005A1971" w:rsidR="0078210C" w:rsidRPr="00CD3501" w:rsidRDefault="0078210C">
      <w:pPr>
        <w:pStyle w:val="TOC2"/>
        <w:rPr>
          <w:rFonts w:asciiTheme="majorHAnsi" w:eastAsiaTheme="minorEastAsia" w:hAnsiTheme="majorHAnsi" w:cstheme="minorBidi"/>
          <w:noProof/>
          <w:sz w:val="20"/>
          <w:szCs w:val="20"/>
          <w:bdr w:val="none" w:sz="0" w:space="0" w:color="auto"/>
          <w:lang w:val="es-ES_tradnl" w:eastAsia="zh-CN"/>
        </w:rPr>
      </w:pPr>
      <w:r w:rsidRPr="00CD3501">
        <w:rPr>
          <w:rFonts w:asciiTheme="majorHAnsi" w:hAnsiTheme="majorHAnsi"/>
          <w:noProof/>
          <w:sz w:val="20"/>
          <w:szCs w:val="20"/>
          <w:lang w:val="es-ES_tradnl"/>
        </w:rPr>
        <w:t>A.</w:t>
      </w:r>
      <w:r w:rsidRPr="00CD3501">
        <w:rPr>
          <w:rFonts w:asciiTheme="majorHAnsi" w:eastAsiaTheme="minorEastAsia" w:hAnsiTheme="majorHAnsi" w:cstheme="minorBidi"/>
          <w:noProof/>
          <w:sz w:val="20"/>
          <w:szCs w:val="20"/>
          <w:bdr w:val="none" w:sz="0" w:space="0" w:color="auto"/>
          <w:lang w:val="es-ES_tradnl" w:eastAsia="zh-CN"/>
        </w:rPr>
        <w:tab/>
      </w:r>
      <w:r w:rsidRPr="00CD3501">
        <w:rPr>
          <w:rFonts w:asciiTheme="majorHAnsi" w:hAnsiTheme="majorHAnsi"/>
          <w:noProof/>
          <w:sz w:val="20"/>
          <w:szCs w:val="20"/>
          <w:lang w:val="es-ES_tradnl"/>
        </w:rPr>
        <w:t>Posición de los peticionarios</w:t>
      </w:r>
      <w:r w:rsidRPr="00CD3501">
        <w:rPr>
          <w:rFonts w:asciiTheme="majorHAnsi" w:hAnsiTheme="majorHAnsi"/>
          <w:noProof/>
          <w:sz w:val="20"/>
          <w:szCs w:val="20"/>
          <w:lang w:val="es-ES_tradnl"/>
        </w:rPr>
        <w:tab/>
      </w:r>
      <w:r w:rsidRPr="00CD3501">
        <w:rPr>
          <w:rFonts w:asciiTheme="majorHAnsi" w:hAnsiTheme="majorHAnsi"/>
          <w:noProof/>
          <w:sz w:val="20"/>
          <w:szCs w:val="20"/>
          <w:lang w:val="es-ES_tradnl"/>
        </w:rPr>
        <w:fldChar w:fldCharType="begin"/>
      </w:r>
      <w:r w:rsidRPr="00CD3501">
        <w:rPr>
          <w:rFonts w:asciiTheme="majorHAnsi" w:hAnsiTheme="majorHAnsi"/>
          <w:noProof/>
          <w:sz w:val="20"/>
          <w:szCs w:val="20"/>
          <w:lang w:val="es-ES_tradnl"/>
        </w:rPr>
        <w:instrText xml:space="preserve"> PAGEREF _Toc58425587 \h </w:instrText>
      </w:r>
      <w:r w:rsidRPr="00CD3501">
        <w:rPr>
          <w:rFonts w:asciiTheme="majorHAnsi" w:hAnsiTheme="majorHAnsi"/>
          <w:noProof/>
          <w:sz w:val="20"/>
          <w:szCs w:val="20"/>
          <w:lang w:val="es-ES_tradnl"/>
        </w:rPr>
      </w:r>
      <w:r w:rsidRPr="00CD3501">
        <w:rPr>
          <w:rFonts w:asciiTheme="majorHAnsi" w:hAnsiTheme="majorHAnsi"/>
          <w:noProof/>
          <w:sz w:val="20"/>
          <w:szCs w:val="20"/>
          <w:lang w:val="es-ES_tradnl"/>
        </w:rPr>
        <w:fldChar w:fldCharType="separate"/>
      </w:r>
      <w:r w:rsidR="00113BBD">
        <w:rPr>
          <w:rFonts w:asciiTheme="majorHAnsi" w:hAnsiTheme="majorHAnsi"/>
          <w:noProof/>
          <w:sz w:val="20"/>
          <w:szCs w:val="20"/>
          <w:lang w:val="es-ES_tradnl"/>
        </w:rPr>
        <w:t>2</w:t>
      </w:r>
      <w:r w:rsidRPr="00CD3501">
        <w:rPr>
          <w:rFonts w:asciiTheme="majorHAnsi" w:hAnsiTheme="majorHAnsi"/>
          <w:noProof/>
          <w:sz w:val="20"/>
          <w:szCs w:val="20"/>
          <w:lang w:val="es-ES_tradnl"/>
        </w:rPr>
        <w:fldChar w:fldCharType="end"/>
      </w:r>
    </w:p>
    <w:p w14:paraId="55DB0BB3" w14:textId="4C65D040" w:rsidR="0078210C" w:rsidRPr="00CD3501" w:rsidRDefault="0078210C">
      <w:pPr>
        <w:pStyle w:val="TOC2"/>
        <w:rPr>
          <w:rFonts w:asciiTheme="majorHAnsi" w:eastAsiaTheme="minorEastAsia" w:hAnsiTheme="majorHAnsi" w:cstheme="minorBidi"/>
          <w:noProof/>
          <w:sz w:val="20"/>
          <w:szCs w:val="20"/>
          <w:bdr w:val="none" w:sz="0" w:space="0" w:color="auto"/>
          <w:lang w:val="es-ES_tradnl" w:eastAsia="zh-CN"/>
        </w:rPr>
      </w:pPr>
      <w:r w:rsidRPr="00CD3501">
        <w:rPr>
          <w:rFonts w:asciiTheme="majorHAnsi" w:hAnsiTheme="majorHAnsi"/>
          <w:noProof/>
          <w:sz w:val="20"/>
          <w:szCs w:val="20"/>
          <w:lang w:val="es-ES_tradnl"/>
        </w:rPr>
        <w:t>B.</w:t>
      </w:r>
      <w:r w:rsidRPr="00CD3501">
        <w:rPr>
          <w:rFonts w:asciiTheme="majorHAnsi" w:eastAsiaTheme="minorEastAsia" w:hAnsiTheme="majorHAnsi" w:cstheme="minorBidi"/>
          <w:noProof/>
          <w:sz w:val="20"/>
          <w:szCs w:val="20"/>
          <w:bdr w:val="none" w:sz="0" w:space="0" w:color="auto"/>
          <w:lang w:val="es-ES_tradnl" w:eastAsia="zh-CN"/>
        </w:rPr>
        <w:tab/>
      </w:r>
      <w:r w:rsidRPr="00CD3501">
        <w:rPr>
          <w:rFonts w:asciiTheme="majorHAnsi" w:hAnsiTheme="majorHAnsi"/>
          <w:noProof/>
          <w:sz w:val="20"/>
          <w:szCs w:val="20"/>
          <w:lang w:val="es-ES_tradnl"/>
        </w:rPr>
        <w:t>Posición del Estado</w:t>
      </w:r>
      <w:r w:rsidRPr="00CD3501">
        <w:rPr>
          <w:rFonts w:asciiTheme="majorHAnsi" w:hAnsiTheme="majorHAnsi"/>
          <w:noProof/>
          <w:sz w:val="20"/>
          <w:szCs w:val="20"/>
          <w:lang w:val="es-ES_tradnl"/>
        </w:rPr>
        <w:tab/>
      </w:r>
      <w:r w:rsidRPr="00CD3501">
        <w:rPr>
          <w:rFonts w:asciiTheme="majorHAnsi" w:hAnsiTheme="majorHAnsi"/>
          <w:noProof/>
          <w:sz w:val="20"/>
          <w:szCs w:val="20"/>
          <w:lang w:val="es-ES_tradnl"/>
        </w:rPr>
        <w:fldChar w:fldCharType="begin"/>
      </w:r>
      <w:r w:rsidRPr="00CD3501">
        <w:rPr>
          <w:rFonts w:asciiTheme="majorHAnsi" w:hAnsiTheme="majorHAnsi"/>
          <w:noProof/>
          <w:sz w:val="20"/>
          <w:szCs w:val="20"/>
          <w:lang w:val="es-ES_tradnl"/>
        </w:rPr>
        <w:instrText xml:space="preserve"> PAGEREF _Toc58425588 \h </w:instrText>
      </w:r>
      <w:r w:rsidRPr="00CD3501">
        <w:rPr>
          <w:rFonts w:asciiTheme="majorHAnsi" w:hAnsiTheme="majorHAnsi"/>
          <w:noProof/>
          <w:sz w:val="20"/>
          <w:szCs w:val="20"/>
          <w:lang w:val="es-ES_tradnl"/>
        </w:rPr>
      </w:r>
      <w:r w:rsidRPr="00CD3501">
        <w:rPr>
          <w:rFonts w:asciiTheme="majorHAnsi" w:hAnsiTheme="majorHAnsi"/>
          <w:noProof/>
          <w:sz w:val="20"/>
          <w:szCs w:val="20"/>
          <w:lang w:val="es-ES_tradnl"/>
        </w:rPr>
        <w:fldChar w:fldCharType="separate"/>
      </w:r>
      <w:r w:rsidR="00113BBD">
        <w:rPr>
          <w:rFonts w:asciiTheme="majorHAnsi" w:hAnsiTheme="majorHAnsi"/>
          <w:noProof/>
          <w:sz w:val="20"/>
          <w:szCs w:val="20"/>
          <w:lang w:val="es-ES_tradnl"/>
        </w:rPr>
        <w:t>4</w:t>
      </w:r>
      <w:r w:rsidRPr="00CD3501">
        <w:rPr>
          <w:rFonts w:asciiTheme="majorHAnsi" w:hAnsiTheme="majorHAnsi"/>
          <w:noProof/>
          <w:sz w:val="20"/>
          <w:szCs w:val="20"/>
          <w:lang w:val="es-ES_tradnl"/>
        </w:rPr>
        <w:fldChar w:fldCharType="end"/>
      </w:r>
    </w:p>
    <w:p w14:paraId="4F5CABF1" w14:textId="20188307" w:rsidR="0078210C" w:rsidRPr="00CD3501" w:rsidRDefault="0078210C">
      <w:pPr>
        <w:pStyle w:val="TOC1"/>
        <w:rPr>
          <w:rFonts w:eastAsiaTheme="minorEastAsia" w:cstheme="minorBidi"/>
          <w:bdr w:val="none" w:sz="0" w:space="0" w:color="auto"/>
          <w:lang w:eastAsia="zh-CN"/>
        </w:rPr>
      </w:pPr>
      <w:r w:rsidRPr="00CD3501">
        <w:t>III.</w:t>
      </w:r>
      <w:r w:rsidRPr="00CD3501">
        <w:rPr>
          <w:rFonts w:eastAsiaTheme="minorEastAsia" w:cstheme="minorBidi"/>
          <w:bdr w:val="none" w:sz="0" w:space="0" w:color="auto"/>
          <w:lang w:eastAsia="zh-CN"/>
        </w:rPr>
        <w:tab/>
      </w:r>
      <w:r w:rsidRPr="00CD3501">
        <w:t>DETERMINACIONES DE HECHO</w:t>
      </w:r>
      <w:r w:rsidRPr="00CD3501">
        <w:tab/>
      </w:r>
      <w:r w:rsidRPr="00CD3501">
        <w:fldChar w:fldCharType="begin"/>
      </w:r>
      <w:r w:rsidRPr="00CD3501">
        <w:instrText xml:space="preserve"> PAGEREF _Toc58425589 \h </w:instrText>
      </w:r>
      <w:r w:rsidRPr="00CD3501">
        <w:fldChar w:fldCharType="separate"/>
      </w:r>
      <w:r w:rsidR="00113BBD">
        <w:t>5</w:t>
      </w:r>
      <w:r w:rsidRPr="00CD3501">
        <w:fldChar w:fldCharType="end"/>
      </w:r>
    </w:p>
    <w:p w14:paraId="313D1531" w14:textId="02E9A7D6" w:rsidR="0078210C" w:rsidRPr="00CD3501" w:rsidRDefault="0078210C">
      <w:pPr>
        <w:pStyle w:val="TOC2"/>
        <w:rPr>
          <w:rFonts w:asciiTheme="majorHAnsi" w:eastAsiaTheme="minorEastAsia" w:hAnsiTheme="majorHAnsi" w:cstheme="minorBidi"/>
          <w:noProof/>
          <w:sz w:val="20"/>
          <w:szCs w:val="20"/>
          <w:bdr w:val="none" w:sz="0" w:space="0" w:color="auto"/>
          <w:lang w:val="es-ES_tradnl" w:eastAsia="zh-CN"/>
        </w:rPr>
      </w:pPr>
      <w:r w:rsidRPr="00CD3501">
        <w:rPr>
          <w:rFonts w:asciiTheme="majorHAnsi" w:hAnsiTheme="majorHAnsi"/>
          <w:noProof/>
          <w:sz w:val="20"/>
          <w:szCs w:val="20"/>
          <w:lang w:val="es-ES_tradnl"/>
        </w:rPr>
        <w:t>A.</w:t>
      </w:r>
      <w:r w:rsidRPr="00CD3501">
        <w:rPr>
          <w:rFonts w:asciiTheme="majorHAnsi" w:eastAsiaTheme="minorEastAsia" w:hAnsiTheme="majorHAnsi" w:cstheme="minorBidi"/>
          <w:noProof/>
          <w:sz w:val="20"/>
          <w:szCs w:val="20"/>
          <w:bdr w:val="none" w:sz="0" w:space="0" w:color="auto"/>
          <w:lang w:val="es-ES_tradnl" w:eastAsia="zh-CN"/>
        </w:rPr>
        <w:tab/>
      </w:r>
      <w:r w:rsidRPr="00CD3501">
        <w:rPr>
          <w:rFonts w:asciiTheme="majorHAnsi" w:hAnsiTheme="majorHAnsi"/>
          <w:noProof/>
          <w:sz w:val="20"/>
          <w:szCs w:val="20"/>
          <w:lang w:val="es-ES_tradnl"/>
        </w:rPr>
        <w:t>La ley de “sodomía” de Jamaica</w:t>
      </w:r>
      <w:r w:rsidRPr="00CD3501">
        <w:rPr>
          <w:rFonts w:asciiTheme="majorHAnsi" w:hAnsiTheme="majorHAnsi"/>
          <w:noProof/>
          <w:sz w:val="20"/>
          <w:szCs w:val="20"/>
          <w:lang w:val="es-ES_tradnl"/>
        </w:rPr>
        <w:tab/>
      </w:r>
      <w:r w:rsidRPr="00CD3501">
        <w:rPr>
          <w:rFonts w:asciiTheme="majorHAnsi" w:hAnsiTheme="majorHAnsi"/>
          <w:noProof/>
          <w:sz w:val="20"/>
          <w:szCs w:val="20"/>
          <w:lang w:val="es-ES_tradnl"/>
        </w:rPr>
        <w:fldChar w:fldCharType="begin"/>
      </w:r>
      <w:r w:rsidRPr="00CD3501">
        <w:rPr>
          <w:rFonts w:asciiTheme="majorHAnsi" w:hAnsiTheme="majorHAnsi"/>
          <w:noProof/>
          <w:sz w:val="20"/>
          <w:szCs w:val="20"/>
          <w:lang w:val="es-ES_tradnl"/>
        </w:rPr>
        <w:instrText xml:space="preserve"> PAGEREF _Toc58425590 \h </w:instrText>
      </w:r>
      <w:r w:rsidRPr="00CD3501">
        <w:rPr>
          <w:rFonts w:asciiTheme="majorHAnsi" w:hAnsiTheme="majorHAnsi"/>
          <w:noProof/>
          <w:sz w:val="20"/>
          <w:szCs w:val="20"/>
          <w:lang w:val="es-ES_tradnl"/>
        </w:rPr>
      </w:r>
      <w:r w:rsidRPr="00CD3501">
        <w:rPr>
          <w:rFonts w:asciiTheme="majorHAnsi" w:hAnsiTheme="majorHAnsi"/>
          <w:noProof/>
          <w:sz w:val="20"/>
          <w:szCs w:val="20"/>
          <w:lang w:val="es-ES_tradnl"/>
        </w:rPr>
        <w:fldChar w:fldCharType="separate"/>
      </w:r>
      <w:r w:rsidR="00113BBD">
        <w:rPr>
          <w:rFonts w:asciiTheme="majorHAnsi" w:hAnsiTheme="majorHAnsi"/>
          <w:noProof/>
          <w:sz w:val="20"/>
          <w:szCs w:val="20"/>
          <w:lang w:val="es-ES_tradnl"/>
        </w:rPr>
        <w:t>5</w:t>
      </w:r>
      <w:r w:rsidRPr="00CD3501">
        <w:rPr>
          <w:rFonts w:asciiTheme="majorHAnsi" w:hAnsiTheme="majorHAnsi"/>
          <w:noProof/>
          <w:sz w:val="20"/>
          <w:szCs w:val="20"/>
          <w:lang w:val="es-ES_tradnl"/>
        </w:rPr>
        <w:fldChar w:fldCharType="end"/>
      </w:r>
    </w:p>
    <w:p w14:paraId="0F62CE13" w14:textId="03081E01" w:rsidR="0078210C" w:rsidRPr="00CD3501" w:rsidRDefault="0078210C">
      <w:pPr>
        <w:pStyle w:val="TOC2"/>
        <w:rPr>
          <w:rFonts w:asciiTheme="majorHAnsi" w:eastAsiaTheme="minorEastAsia" w:hAnsiTheme="majorHAnsi" w:cstheme="minorBidi"/>
          <w:noProof/>
          <w:sz w:val="20"/>
          <w:szCs w:val="20"/>
          <w:bdr w:val="none" w:sz="0" w:space="0" w:color="auto"/>
          <w:lang w:val="es-ES_tradnl" w:eastAsia="zh-CN"/>
        </w:rPr>
      </w:pPr>
      <w:r w:rsidRPr="00CD3501">
        <w:rPr>
          <w:rFonts w:asciiTheme="majorHAnsi" w:hAnsiTheme="majorHAnsi"/>
          <w:noProof/>
          <w:sz w:val="20"/>
          <w:szCs w:val="20"/>
          <w:lang w:val="es-ES_tradnl"/>
        </w:rPr>
        <w:t>B.</w:t>
      </w:r>
      <w:r w:rsidRPr="00CD3501">
        <w:rPr>
          <w:rFonts w:asciiTheme="majorHAnsi" w:eastAsiaTheme="minorEastAsia" w:hAnsiTheme="majorHAnsi" w:cstheme="minorBidi"/>
          <w:noProof/>
          <w:sz w:val="20"/>
          <w:szCs w:val="20"/>
          <w:bdr w:val="none" w:sz="0" w:space="0" w:color="auto"/>
          <w:lang w:val="es-ES_tradnl" w:eastAsia="zh-CN"/>
        </w:rPr>
        <w:tab/>
      </w:r>
      <w:r w:rsidRPr="00CD3501">
        <w:rPr>
          <w:rFonts w:asciiTheme="majorHAnsi" w:hAnsiTheme="majorHAnsi"/>
          <w:noProof/>
          <w:sz w:val="20"/>
          <w:szCs w:val="20"/>
          <w:lang w:val="es-ES_tradnl"/>
        </w:rPr>
        <w:t>Las personas LGBTI en Jamaica</w:t>
      </w:r>
      <w:r w:rsidRPr="00CD3501">
        <w:rPr>
          <w:rFonts w:asciiTheme="majorHAnsi" w:hAnsiTheme="majorHAnsi"/>
          <w:noProof/>
          <w:sz w:val="20"/>
          <w:szCs w:val="20"/>
          <w:lang w:val="es-ES_tradnl"/>
        </w:rPr>
        <w:tab/>
      </w:r>
      <w:r w:rsidRPr="00CD3501">
        <w:rPr>
          <w:rFonts w:asciiTheme="majorHAnsi" w:hAnsiTheme="majorHAnsi"/>
          <w:noProof/>
          <w:sz w:val="20"/>
          <w:szCs w:val="20"/>
          <w:lang w:val="es-ES_tradnl"/>
        </w:rPr>
        <w:fldChar w:fldCharType="begin"/>
      </w:r>
      <w:r w:rsidRPr="00CD3501">
        <w:rPr>
          <w:rFonts w:asciiTheme="majorHAnsi" w:hAnsiTheme="majorHAnsi"/>
          <w:noProof/>
          <w:sz w:val="20"/>
          <w:szCs w:val="20"/>
          <w:lang w:val="es-ES_tradnl"/>
        </w:rPr>
        <w:instrText xml:space="preserve"> PAGEREF _Toc58425591 \h </w:instrText>
      </w:r>
      <w:r w:rsidRPr="00CD3501">
        <w:rPr>
          <w:rFonts w:asciiTheme="majorHAnsi" w:hAnsiTheme="majorHAnsi"/>
          <w:noProof/>
          <w:sz w:val="20"/>
          <w:szCs w:val="20"/>
          <w:lang w:val="es-ES_tradnl"/>
        </w:rPr>
      </w:r>
      <w:r w:rsidRPr="00CD3501">
        <w:rPr>
          <w:rFonts w:asciiTheme="majorHAnsi" w:hAnsiTheme="majorHAnsi"/>
          <w:noProof/>
          <w:sz w:val="20"/>
          <w:szCs w:val="20"/>
          <w:lang w:val="es-ES_tradnl"/>
        </w:rPr>
        <w:fldChar w:fldCharType="separate"/>
      </w:r>
      <w:r w:rsidR="00113BBD">
        <w:rPr>
          <w:rFonts w:asciiTheme="majorHAnsi" w:hAnsiTheme="majorHAnsi"/>
          <w:noProof/>
          <w:sz w:val="20"/>
          <w:szCs w:val="20"/>
          <w:lang w:val="es-ES_tradnl"/>
        </w:rPr>
        <w:t>6</w:t>
      </w:r>
      <w:r w:rsidRPr="00CD3501">
        <w:rPr>
          <w:rFonts w:asciiTheme="majorHAnsi" w:hAnsiTheme="majorHAnsi"/>
          <w:noProof/>
          <w:sz w:val="20"/>
          <w:szCs w:val="20"/>
          <w:lang w:val="es-ES_tradnl"/>
        </w:rPr>
        <w:fldChar w:fldCharType="end"/>
      </w:r>
    </w:p>
    <w:p w14:paraId="5C885723" w14:textId="18291191" w:rsidR="0078210C" w:rsidRPr="00CD3501" w:rsidRDefault="0078210C">
      <w:pPr>
        <w:pStyle w:val="TOC2"/>
        <w:rPr>
          <w:rFonts w:asciiTheme="majorHAnsi" w:eastAsiaTheme="minorEastAsia" w:hAnsiTheme="majorHAnsi" w:cstheme="minorBidi"/>
          <w:noProof/>
          <w:sz w:val="20"/>
          <w:szCs w:val="20"/>
          <w:bdr w:val="none" w:sz="0" w:space="0" w:color="auto"/>
          <w:lang w:val="es-ES_tradnl" w:eastAsia="zh-CN"/>
        </w:rPr>
      </w:pPr>
      <w:r w:rsidRPr="00CD3501">
        <w:rPr>
          <w:rFonts w:asciiTheme="majorHAnsi" w:hAnsiTheme="majorHAnsi"/>
          <w:noProof/>
          <w:sz w:val="20"/>
          <w:szCs w:val="20"/>
          <w:lang w:val="es-ES_tradnl"/>
        </w:rPr>
        <w:t>C.</w:t>
      </w:r>
      <w:r w:rsidRPr="00CD3501">
        <w:rPr>
          <w:rFonts w:asciiTheme="majorHAnsi" w:eastAsiaTheme="minorEastAsia" w:hAnsiTheme="majorHAnsi" w:cstheme="minorBidi"/>
          <w:noProof/>
          <w:sz w:val="20"/>
          <w:szCs w:val="20"/>
          <w:bdr w:val="none" w:sz="0" w:space="0" w:color="auto"/>
          <w:lang w:val="es-ES_tradnl" w:eastAsia="zh-CN"/>
        </w:rPr>
        <w:tab/>
      </w:r>
      <w:r w:rsidRPr="00CD3501">
        <w:rPr>
          <w:rFonts w:asciiTheme="majorHAnsi" w:hAnsiTheme="majorHAnsi"/>
          <w:noProof/>
          <w:sz w:val="20"/>
          <w:szCs w:val="20"/>
          <w:lang w:val="es-ES_tradnl"/>
        </w:rPr>
        <w:t>La situación de Gareth Henry y Simone Edwards</w:t>
      </w:r>
      <w:r w:rsidRPr="00CD3501">
        <w:rPr>
          <w:rFonts w:asciiTheme="majorHAnsi" w:hAnsiTheme="majorHAnsi"/>
          <w:noProof/>
          <w:sz w:val="20"/>
          <w:szCs w:val="20"/>
          <w:lang w:val="es-ES_tradnl"/>
        </w:rPr>
        <w:tab/>
      </w:r>
      <w:r w:rsidRPr="00CD3501">
        <w:rPr>
          <w:rFonts w:asciiTheme="majorHAnsi" w:hAnsiTheme="majorHAnsi"/>
          <w:noProof/>
          <w:sz w:val="20"/>
          <w:szCs w:val="20"/>
          <w:lang w:val="es-ES_tradnl"/>
        </w:rPr>
        <w:fldChar w:fldCharType="begin"/>
      </w:r>
      <w:r w:rsidRPr="00CD3501">
        <w:rPr>
          <w:rFonts w:asciiTheme="majorHAnsi" w:hAnsiTheme="majorHAnsi"/>
          <w:noProof/>
          <w:sz w:val="20"/>
          <w:szCs w:val="20"/>
          <w:lang w:val="es-ES_tradnl"/>
        </w:rPr>
        <w:instrText xml:space="preserve"> PAGEREF _Toc58425592 \h </w:instrText>
      </w:r>
      <w:r w:rsidRPr="00CD3501">
        <w:rPr>
          <w:rFonts w:asciiTheme="majorHAnsi" w:hAnsiTheme="majorHAnsi"/>
          <w:noProof/>
          <w:sz w:val="20"/>
          <w:szCs w:val="20"/>
          <w:lang w:val="es-ES_tradnl"/>
        </w:rPr>
      </w:r>
      <w:r w:rsidRPr="00CD3501">
        <w:rPr>
          <w:rFonts w:asciiTheme="majorHAnsi" w:hAnsiTheme="majorHAnsi"/>
          <w:noProof/>
          <w:sz w:val="20"/>
          <w:szCs w:val="20"/>
          <w:lang w:val="es-ES_tradnl"/>
        </w:rPr>
        <w:fldChar w:fldCharType="separate"/>
      </w:r>
      <w:r w:rsidR="00113BBD">
        <w:rPr>
          <w:rFonts w:asciiTheme="majorHAnsi" w:hAnsiTheme="majorHAnsi"/>
          <w:noProof/>
          <w:sz w:val="20"/>
          <w:szCs w:val="20"/>
          <w:lang w:val="es-ES_tradnl"/>
        </w:rPr>
        <w:t>7</w:t>
      </w:r>
      <w:r w:rsidRPr="00CD3501">
        <w:rPr>
          <w:rFonts w:asciiTheme="majorHAnsi" w:hAnsiTheme="majorHAnsi"/>
          <w:noProof/>
          <w:sz w:val="20"/>
          <w:szCs w:val="20"/>
          <w:lang w:val="es-ES_tradnl"/>
        </w:rPr>
        <w:fldChar w:fldCharType="end"/>
      </w:r>
    </w:p>
    <w:p w14:paraId="7583C84E" w14:textId="0EEFD399" w:rsidR="0078210C" w:rsidRPr="00CD3501" w:rsidRDefault="0078210C">
      <w:pPr>
        <w:pStyle w:val="TOC2"/>
        <w:rPr>
          <w:rFonts w:asciiTheme="majorHAnsi" w:eastAsiaTheme="minorEastAsia" w:hAnsiTheme="majorHAnsi" w:cstheme="minorBidi"/>
          <w:noProof/>
          <w:sz w:val="20"/>
          <w:szCs w:val="20"/>
          <w:bdr w:val="none" w:sz="0" w:space="0" w:color="auto"/>
          <w:lang w:val="es-ES_tradnl" w:eastAsia="zh-CN"/>
        </w:rPr>
      </w:pPr>
      <w:r w:rsidRPr="00CD3501">
        <w:rPr>
          <w:rFonts w:asciiTheme="majorHAnsi" w:hAnsiTheme="majorHAnsi"/>
          <w:noProof/>
          <w:sz w:val="20"/>
          <w:szCs w:val="20"/>
          <w:lang w:val="es-ES_tradnl"/>
        </w:rPr>
        <w:t>D.</w:t>
      </w:r>
      <w:r w:rsidRPr="00CD3501">
        <w:rPr>
          <w:rFonts w:asciiTheme="majorHAnsi" w:eastAsiaTheme="minorEastAsia" w:hAnsiTheme="majorHAnsi" w:cstheme="minorBidi"/>
          <w:noProof/>
          <w:sz w:val="20"/>
          <w:szCs w:val="20"/>
          <w:bdr w:val="none" w:sz="0" w:space="0" w:color="auto"/>
          <w:lang w:val="es-ES_tradnl" w:eastAsia="zh-CN"/>
        </w:rPr>
        <w:tab/>
      </w:r>
      <w:r w:rsidRPr="00CD3501">
        <w:rPr>
          <w:rFonts w:asciiTheme="majorHAnsi" w:hAnsiTheme="majorHAnsi"/>
          <w:noProof/>
          <w:sz w:val="20"/>
          <w:szCs w:val="20"/>
          <w:lang w:val="es-ES_tradnl"/>
        </w:rPr>
        <w:t>Impugnaciones de la Ley de Delitos contra la Persona</w:t>
      </w:r>
      <w:r w:rsidRPr="00CD3501">
        <w:rPr>
          <w:rFonts w:asciiTheme="majorHAnsi" w:hAnsiTheme="majorHAnsi"/>
          <w:noProof/>
          <w:sz w:val="20"/>
          <w:szCs w:val="20"/>
          <w:lang w:val="es-ES_tradnl"/>
        </w:rPr>
        <w:tab/>
      </w:r>
      <w:r w:rsidRPr="00CD3501">
        <w:rPr>
          <w:rFonts w:asciiTheme="majorHAnsi" w:hAnsiTheme="majorHAnsi"/>
          <w:noProof/>
          <w:sz w:val="20"/>
          <w:szCs w:val="20"/>
          <w:lang w:val="es-ES_tradnl"/>
        </w:rPr>
        <w:fldChar w:fldCharType="begin"/>
      </w:r>
      <w:r w:rsidRPr="00CD3501">
        <w:rPr>
          <w:rFonts w:asciiTheme="majorHAnsi" w:hAnsiTheme="majorHAnsi"/>
          <w:noProof/>
          <w:sz w:val="20"/>
          <w:szCs w:val="20"/>
          <w:lang w:val="es-ES_tradnl"/>
        </w:rPr>
        <w:instrText xml:space="preserve"> PAGEREF _Toc58425593 \h </w:instrText>
      </w:r>
      <w:r w:rsidRPr="00CD3501">
        <w:rPr>
          <w:rFonts w:asciiTheme="majorHAnsi" w:hAnsiTheme="majorHAnsi"/>
          <w:noProof/>
          <w:sz w:val="20"/>
          <w:szCs w:val="20"/>
          <w:lang w:val="es-ES_tradnl"/>
        </w:rPr>
      </w:r>
      <w:r w:rsidRPr="00CD3501">
        <w:rPr>
          <w:rFonts w:asciiTheme="majorHAnsi" w:hAnsiTheme="majorHAnsi"/>
          <w:noProof/>
          <w:sz w:val="20"/>
          <w:szCs w:val="20"/>
          <w:lang w:val="es-ES_tradnl"/>
        </w:rPr>
        <w:fldChar w:fldCharType="separate"/>
      </w:r>
      <w:r w:rsidR="00113BBD">
        <w:rPr>
          <w:rFonts w:asciiTheme="majorHAnsi" w:hAnsiTheme="majorHAnsi"/>
          <w:noProof/>
          <w:sz w:val="20"/>
          <w:szCs w:val="20"/>
          <w:lang w:val="es-ES_tradnl"/>
        </w:rPr>
        <w:t>9</w:t>
      </w:r>
      <w:r w:rsidRPr="00CD3501">
        <w:rPr>
          <w:rFonts w:asciiTheme="majorHAnsi" w:hAnsiTheme="majorHAnsi"/>
          <w:noProof/>
          <w:sz w:val="20"/>
          <w:szCs w:val="20"/>
          <w:lang w:val="es-ES_tradnl"/>
        </w:rPr>
        <w:fldChar w:fldCharType="end"/>
      </w:r>
    </w:p>
    <w:p w14:paraId="5BA85C6F" w14:textId="774AB57F" w:rsidR="0078210C" w:rsidRPr="00CD3501" w:rsidRDefault="0078210C">
      <w:pPr>
        <w:pStyle w:val="TOC1"/>
        <w:rPr>
          <w:rFonts w:eastAsiaTheme="minorEastAsia" w:cstheme="minorBidi"/>
          <w:bdr w:val="none" w:sz="0" w:space="0" w:color="auto"/>
          <w:lang w:eastAsia="zh-CN"/>
        </w:rPr>
      </w:pPr>
      <w:r w:rsidRPr="00CD3501">
        <w:t>IV.</w:t>
      </w:r>
      <w:r w:rsidRPr="00CD3501">
        <w:rPr>
          <w:rFonts w:eastAsiaTheme="minorEastAsia" w:cstheme="minorBidi"/>
          <w:bdr w:val="none" w:sz="0" w:space="0" w:color="auto"/>
          <w:lang w:eastAsia="zh-CN"/>
        </w:rPr>
        <w:tab/>
      </w:r>
      <w:r w:rsidRPr="00CD3501">
        <w:t>ANÁLISIS DE DERECHO</w:t>
      </w:r>
      <w:r w:rsidRPr="00CD3501">
        <w:tab/>
      </w:r>
      <w:r w:rsidRPr="00CD3501">
        <w:fldChar w:fldCharType="begin"/>
      </w:r>
      <w:r w:rsidRPr="00CD3501">
        <w:instrText xml:space="preserve"> PAGEREF _Toc58425594 \h </w:instrText>
      </w:r>
      <w:r w:rsidRPr="00CD3501">
        <w:fldChar w:fldCharType="separate"/>
      </w:r>
      <w:r w:rsidR="00113BBD">
        <w:t>9</w:t>
      </w:r>
      <w:r w:rsidRPr="00CD3501">
        <w:fldChar w:fldCharType="end"/>
      </w:r>
    </w:p>
    <w:p w14:paraId="64EEF127" w14:textId="131921A6" w:rsidR="0078210C" w:rsidRPr="00CD3501" w:rsidRDefault="0078210C">
      <w:pPr>
        <w:pStyle w:val="TOC2"/>
        <w:rPr>
          <w:rFonts w:asciiTheme="majorHAnsi" w:eastAsiaTheme="minorEastAsia" w:hAnsiTheme="majorHAnsi" w:cstheme="minorBidi"/>
          <w:noProof/>
          <w:sz w:val="20"/>
          <w:szCs w:val="20"/>
          <w:bdr w:val="none" w:sz="0" w:space="0" w:color="auto"/>
          <w:lang w:val="es-ES_tradnl" w:eastAsia="zh-CN"/>
        </w:rPr>
      </w:pPr>
      <w:r w:rsidRPr="00CD3501">
        <w:rPr>
          <w:rFonts w:asciiTheme="majorHAnsi" w:eastAsia="Cambria" w:hAnsiTheme="majorHAnsi" w:cs="Cambria"/>
          <w:iCs/>
          <w:noProof/>
          <w:sz w:val="20"/>
          <w:szCs w:val="20"/>
          <w:u w:color="000000"/>
          <w:lang w:val="es-ES_tradnl" w:eastAsia="es-ES"/>
        </w:rPr>
        <w:t>A.</w:t>
      </w:r>
      <w:r w:rsidRPr="00CD3501">
        <w:rPr>
          <w:rFonts w:asciiTheme="majorHAnsi" w:eastAsiaTheme="minorEastAsia" w:hAnsiTheme="majorHAnsi" w:cstheme="minorBidi"/>
          <w:noProof/>
          <w:sz w:val="20"/>
          <w:szCs w:val="20"/>
          <w:bdr w:val="none" w:sz="0" w:space="0" w:color="auto"/>
          <w:lang w:val="es-ES_tradnl" w:eastAsia="zh-CN"/>
        </w:rPr>
        <w:tab/>
      </w:r>
      <w:r w:rsidRPr="00CD3501">
        <w:rPr>
          <w:rFonts w:asciiTheme="majorHAnsi" w:eastAsia="Cambria" w:hAnsiTheme="majorHAnsi" w:cs="Cambria"/>
          <w:iCs/>
          <w:noProof/>
          <w:sz w:val="20"/>
          <w:szCs w:val="20"/>
          <w:u w:color="000000"/>
          <w:lang w:val="es-ES_tradnl" w:eastAsia="es-ES"/>
        </w:rPr>
        <w:t>El principio de igualdad y no discriminación, el derecho a la protección de la honra y de la dignidad, el derecho a la integridad personal y el derecho de circulación y de residencia</w:t>
      </w:r>
      <w:r w:rsidRPr="00CD3501">
        <w:rPr>
          <w:rFonts w:asciiTheme="majorHAnsi" w:hAnsiTheme="majorHAnsi"/>
          <w:noProof/>
          <w:sz w:val="20"/>
          <w:szCs w:val="20"/>
          <w:lang w:val="es-ES_tradnl"/>
        </w:rPr>
        <w:tab/>
      </w:r>
      <w:r w:rsidRPr="00CD3501">
        <w:rPr>
          <w:rFonts w:asciiTheme="majorHAnsi" w:hAnsiTheme="majorHAnsi"/>
          <w:noProof/>
          <w:sz w:val="20"/>
          <w:szCs w:val="20"/>
          <w:lang w:val="es-ES_tradnl"/>
        </w:rPr>
        <w:fldChar w:fldCharType="begin"/>
      </w:r>
      <w:r w:rsidRPr="00CD3501">
        <w:rPr>
          <w:rFonts w:asciiTheme="majorHAnsi" w:hAnsiTheme="majorHAnsi"/>
          <w:noProof/>
          <w:sz w:val="20"/>
          <w:szCs w:val="20"/>
          <w:lang w:val="es-ES_tradnl"/>
        </w:rPr>
        <w:instrText xml:space="preserve"> PAGEREF _Toc58425595 \h </w:instrText>
      </w:r>
      <w:r w:rsidRPr="00CD3501">
        <w:rPr>
          <w:rFonts w:asciiTheme="majorHAnsi" w:hAnsiTheme="majorHAnsi"/>
          <w:noProof/>
          <w:sz w:val="20"/>
          <w:szCs w:val="20"/>
          <w:lang w:val="es-ES_tradnl"/>
        </w:rPr>
      </w:r>
      <w:r w:rsidRPr="00CD3501">
        <w:rPr>
          <w:rFonts w:asciiTheme="majorHAnsi" w:hAnsiTheme="majorHAnsi"/>
          <w:noProof/>
          <w:sz w:val="20"/>
          <w:szCs w:val="20"/>
          <w:lang w:val="es-ES_tradnl"/>
        </w:rPr>
        <w:fldChar w:fldCharType="separate"/>
      </w:r>
      <w:r w:rsidR="00113BBD">
        <w:rPr>
          <w:rFonts w:asciiTheme="majorHAnsi" w:hAnsiTheme="majorHAnsi"/>
          <w:noProof/>
          <w:sz w:val="20"/>
          <w:szCs w:val="20"/>
          <w:lang w:val="es-ES_tradnl"/>
        </w:rPr>
        <w:t>9</w:t>
      </w:r>
      <w:r w:rsidRPr="00CD3501">
        <w:rPr>
          <w:rFonts w:asciiTheme="majorHAnsi" w:hAnsiTheme="majorHAnsi"/>
          <w:noProof/>
          <w:sz w:val="20"/>
          <w:szCs w:val="20"/>
          <w:lang w:val="es-ES_tradnl"/>
        </w:rPr>
        <w:fldChar w:fldCharType="end"/>
      </w:r>
    </w:p>
    <w:p w14:paraId="3DA65569" w14:textId="38226A2A" w:rsidR="0078210C" w:rsidRPr="00CD3501" w:rsidRDefault="0078210C">
      <w:pPr>
        <w:pStyle w:val="TOC3"/>
        <w:rPr>
          <w:rFonts w:asciiTheme="majorHAnsi" w:eastAsiaTheme="minorEastAsia" w:hAnsiTheme="majorHAnsi" w:cstheme="minorBidi"/>
          <w:noProof/>
          <w:sz w:val="20"/>
          <w:szCs w:val="20"/>
          <w:bdr w:val="none" w:sz="0" w:space="0" w:color="auto"/>
          <w:lang w:val="es-ES_tradnl" w:eastAsia="zh-CN"/>
        </w:rPr>
      </w:pPr>
      <w:r w:rsidRPr="00CD3501">
        <w:rPr>
          <w:rFonts w:asciiTheme="majorHAnsi" w:hAnsiTheme="majorHAnsi"/>
          <w:noProof/>
          <w:sz w:val="20"/>
          <w:szCs w:val="20"/>
          <w:lang w:val="es-ES_tradnl"/>
        </w:rPr>
        <w:t>1.</w:t>
      </w:r>
      <w:r w:rsidRPr="00CD3501">
        <w:rPr>
          <w:rFonts w:asciiTheme="majorHAnsi" w:eastAsiaTheme="minorEastAsia" w:hAnsiTheme="majorHAnsi" w:cstheme="minorBidi"/>
          <w:noProof/>
          <w:sz w:val="20"/>
          <w:szCs w:val="20"/>
          <w:bdr w:val="none" w:sz="0" w:space="0" w:color="auto"/>
          <w:lang w:val="es-ES_tradnl" w:eastAsia="zh-CN"/>
        </w:rPr>
        <w:tab/>
      </w:r>
      <w:r w:rsidRPr="00CD3501">
        <w:rPr>
          <w:rFonts w:asciiTheme="majorHAnsi" w:hAnsiTheme="majorHAnsi"/>
          <w:noProof/>
          <w:sz w:val="20"/>
          <w:szCs w:val="20"/>
          <w:lang w:val="es-ES_tradnl"/>
        </w:rPr>
        <w:t>Consideraciones generales</w:t>
      </w:r>
      <w:r w:rsidRPr="00CD3501">
        <w:rPr>
          <w:rFonts w:asciiTheme="majorHAnsi" w:hAnsiTheme="majorHAnsi"/>
          <w:noProof/>
          <w:sz w:val="20"/>
          <w:szCs w:val="20"/>
          <w:lang w:val="es-ES_tradnl"/>
        </w:rPr>
        <w:tab/>
      </w:r>
      <w:r w:rsidRPr="00CD3501">
        <w:rPr>
          <w:rFonts w:asciiTheme="majorHAnsi" w:hAnsiTheme="majorHAnsi"/>
          <w:noProof/>
          <w:sz w:val="20"/>
          <w:szCs w:val="20"/>
          <w:lang w:val="es-ES_tradnl"/>
        </w:rPr>
        <w:fldChar w:fldCharType="begin"/>
      </w:r>
      <w:r w:rsidRPr="00CD3501">
        <w:rPr>
          <w:rFonts w:asciiTheme="majorHAnsi" w:hAnsiTheme="majorHAnsi"/>
          <w:noProof/>
          <w:sz w:val="20"/>
          <w:szCs w:val="20"/>
          <w:lang w:val="es-ES_tradnl"/>
        </w:rPr>
        <w:instrText xml:space="preserve"> PAGEREF _Toc58425596 \h </w:instrText>
      </w:r>
      <w:r w:rsidRPr="00CD3501">
        <w:rPr>
          <w:rFonts w:asciiTheme="majorHAnsi" w:hAnsiTheme="majorHAnsi"/>
          <w:noProof/>
          <w:sz w:val="20"/>
          <w:szCs w:val="20"/>
          <w:lang w:val="es-ES_tradnl"/>
        </w:rPr>
      </w:r>
      <w:r w:rsidRPr="00CD3501">
        <w:rPr>
          <w:rFonts w:asciiTheme="majorHAnsi" w:hAnsiTheme="majorHAnsi"/>
          <w:noProof/>
          <w:sz w:val="20"/>
          <w:szCs w:val="20"/>
          <w:lang w:val="es-ES_tradnl"/>
        </w:rPr>
        <w:fldChar w:fldCharType="separate"/>
      </w:r>
      <w:r w:rsidR="00113BBD">
        <w:rPr>
          <w:rFonts w:asciiTheme="majorHAnsi" w:hAnsiTheme="majorHAnsi"/>
          <w:noProof/>
          <w:sz w:val="20"/>
          <w:szCs w:val="20"/>
          <w:lang w:val="es-ES_tradnl"/>
        </w:rPr>
        <w:t>9</w:t>
      </w:r>
      <w:r w:rsidRPr="00CD3501">
        <w:rPr>
          <w:rFonts w:asciiTheme="majorHAnsi" w:hAnsiTheme="majorHAnsi"/>
          <w:noProof/>
          <w:sz w:val="20"/>
          <w:szCs w:val="20"/>
          <w:lang w:val="es-ES_tradnl"/>
        </w:rPr>
        <w:fldChar w:fldCharType="end"/>
      </w:r>
    </w:p>
    <w:p w14:paraId="31277ABB" w14:textId="574378DA" w:rsidR="0078210C" w:rsidRPr="00CD3501" w:rsidRDefault="0078210C">
      <w:pPr>
        <w:pStyle w:val="TOC3"/>
        <w:rPr>
          <w:rFonts w:asciiTheme="majorHAnsi" w:eastAsiaTheme="minorEastAsia" w:hAnsiTheme="majorHAnsi" w:cstheme="minorBidi"/>
          <w:noProof/>
          <w:sz w:val="20"/>
          <w:szCs w:val="20"/>
          <w:bdr w:val="none" w:sz="0" w:space="0" w:color="auto"/>
          <w:lang w:val="es-ES_tradnl" w:eastAsia="zh-CN"/>
        </w:rPr>
      </w:pPr>
      <w:r w:rsidRPr="00CD3501">
        <w:rPr>
          <w:rFonts w:asciiTheme="majorHAnsi" w:hAnsiTheme="majorHAnsi"/>
          <w:noProof/>
          <w:sz w:val="20"/>
          <w:szCs w:val="20"/>
          <w:lang w:val="es-ES_tradnl"/>
        </w:rPr>
        <w:t>2.</w:t>
      </w:r>
      <w:r w:rsidRPr="00CD3501">
        <w:rPr>
          <w:rFonts w:asciiTheme="majorHAnsi" w:eastAsiaTheme="minorEastAsia" w:hAnsiTheme="majorHAnsi" w:cstheme="minorBidi"/>
          <w:noProof/>
          <w:sz w:val="20"/>
          <w:szCs w:val="20"/>
          <w:bdr w:val="none" w:sz="0" w:space="0" w:color="auto"/>
          <w:lang w:val="es-ES_tradnl" w:eastAsia="zh-CN"/>
        </w:rPr>
        <w:tab/>
      </w:r>
      <w:r w:rsidRPr="00CD3501">
        <w:rPr>
          <w:rFonts w:asciiTheme="majorHAnsi" w:hAnsiTheme="majorHAnsi"/>
          <w:noProof/>
          <w:sz w:val="20"/>
          <w:szCs w:val="20"/>
          <w:lang w:val="es-ES_tradnl"/>
        </w:rPr>
        <w:t>Análisis de este caso</w:t>
      </w:r>
      <w:r w:rsidRPr="00CD3501">
        <w:rPr>
          <w:rFonts w:asciiTheme="majorHAnsi" w:hAnsiTheme="majorHAnsi"/>
          <w:noProof/>
          <w:sz w:val="20"/>
          <w:szCs w:val="20"/>
          <w:lang w:val="es-ES_tradnl"/>
        </w:rPr>
        <w:tab/>
      </w:r>
      <w:r w:rsidRPr="00CD3501">
        <w:rPr>
          <w:rFonts w:asciiTheme="majorHAnsi" w:hAnsiTheme="majorHAnsi"/>
          <w:noProof/>
          <w:sz w:val="20"/>
          <w:szCs w:val="20"/>
          <w:lang w:val="es-ES_tradnl"/>
        </w:rPr>
        <w:fldChar w:fldCharType="begin"/>
      </w:r>
      <w:r w:rsidRPr="00CD3501">
        <w:rPr>
          <w:rFonts w:asciiTheme="majorHAnsi" w:hAnsiTheme="majorHAnsi"/>
          <w:noProof/>
          <w:sz w:val="20"/>
          <w:szCs w:val="20"/>
          <w:lang w:val="es-ES_tradnl"/>
        </w:rPr>
        <w:instrText xml:space="preserve"> PAGEREF _Toc58425597 \h </w:instrText>
      </w:r>
      <w:r w:rsidRPr="00CD3501">
        <w:rPr>
          <w:rFonts w:asciiTheme="majorHAnsi" w:hAnsiTheme="majorHAnsi"/>
          <w:noProof/>
          <w:sz w:val="20"/>
          <w:szCs w:val="20"/>
          <w:lang w:val="es-ES_tradnl"/>
        </w:rPr>
      </w:r>
      <w:r w:rsidRPr="00CD3501">
        <w:rPr>
          <w:rFonts w:asciiTheme="majorHAnsi" w:hAnsiTheme="majorHAnsi"/>
          <w:noProof/>
          <w:sz w:val="20"/>
          <w:szCs w:val="20"/>
          <w:lang w:val="es-ES_tradnl"/>
        </w:rPr>
        <w:fldChar w:fldCharType="separate"/>
      </w:r>
      <w:r w:rsidR="00113BBD">
        <w:rPr>
          <w:rFonts w:asciiTheme="majorHAnsi" w:hAnsiTheme="majorHAnsi"/>
          <w:noProof/>
          <w:sz w:val="20"/>
          <w:szCs w:val="20"/>
          <w:lang w:val="es-ES_tradnl"/>
        </w:rPr>
        <w:t>16</w:t>
      </w:r>
      <w:r w:rsidRPr="00CD3501">
        <w:rPr>
          <w:rFonts w:asciiTheme="majorHAnsi" w:hAnsiTheme="majorHAnsi"/>
          <w:noProof/>
          <w:sz w:val="20"/>
          <w:szCs w:val="20"/>
          <w:lang w:val="es-ES_tradnl"/>
        </w:rPr>
        <w:fldChar w:fldCharType="end"/>
      </w:r>
    </w:p>
    <w:p w14:paraId="529C2CC0" w14:textId="18CF8978" w:rsidR="0078210C" w:rsidRPr="00CD3501" w:rsidRDefault="0078210C">
      <w:pPr>
        <w:pStyle w:val="TOC2"/>
        <w:rPr>
          <w:rFonts w:asciiTheme="majorHAnsi" w:eastAsiaTheme="minorEastAsia" w:hAnsiTheme="majorHAnsi" w:cstheme="minorBidi"/>
          <w:noProof/>
          <w:sz w:val="20"/>
          <w:szCs w:val="20"/>
          <w:bdr w:val="none" w:sz="0" w:space="0" w:color="auto"/>
          <w:lang w:val="es-ES_tradnl" w:eastAsia="zh-CN"/>
        </w:rPr>
      </w:pPr>
      <w:r w:rsidRPr="00CD3501">
        <w:rPr>
          <w:rFonts w:asciiTheme="majorHAnsi" w:eastAsia="Cambria" w:hAnsiTheme="majorHAnsi" w:cs="Cambria"/>
          <w:iCs/>
          <w:noProof/>
          <w:sz w:val="20"/>
          <w:szCs w:val="20"/>
          <w:u w:color="000000"/>
          <w:lang w:val="es-ES_tradnl" w:eastAsia="es-ES"/>
        </w:rPr>
        <w:t>B.</w:t>
      </w:r>
      <w:r w:rsidRPr="00CD3501">
        <w:rPr>
          <w:rFonts w:asciiTheme="majorHAnsi" w:eastAsiaTheme="minorEastAsia" w:hAnsiTheme="majorHAnsi" w:cstheme="minorBidi"/>
          <w:noProof/>
          <w:sz w:val="20"/>
          <w:szCs w:val="20"/>
          <w:bdr w:val="none" w:sz="0" w:space="0" w:color="auto"/>
          <w:lang w:val="es-ES_tradnl" w:eastAsia="zh-CN"/>
        </w:rPr>
        <w:tab/>
      </w:r>
      <w:r w:rsidRPr="00CD3501">
        <w:rPr>
          <w:rFonts w:asciiTheme="majorHAnsi" w:eastAsia="Cambria" w:hAnsiTheme="majorHAnsi" w:cs="Cambria"/>
          <w:iCs/>
          <w:noProof/>
          <w:sz w:val="20"/>
          <w:szCs w:val="20"/>
          <w:u w:color="000000"/>
          <w:lang w:val="es-ES_tradnl" w:eastAsia="es-ES"/>
        </w:rPr>
        <w:t>El principio de legalidad</w:t>
      </w:r>
      <w:r w:rsidRPr="00CD3501">
        <w:rPr>
          <w:rFonts w:asciiTheme="majorHAnsi" w:hAnsiTheme="majorHAnsi"/>
          <w:noProof/>
          <w:sz w:val="20"/>
          <w:szCs w:val="20"/>
          <w:lang w:val="es-ES_tradnl"/>
        </w:rPr>
        <w:tab/>
      </w:r>
      <w:r w:rsidRPr="00CD3501">
        <w:rPr>
          <w:rFonts w:asciiTheme="majorHAnsi" w:hAnsiTheme="majorHAnsi"/>
          <w:noProof/>
          <w:sz w:val="20"/>
          <w:szCs w:val="20"/>
          <w:lang w:val="es-ES_tradnl"/>
        </w:rPr>
        <w:fldChar w:fldCharType="begin"/>
      </w:r>
      <w:r w:rsidRPr="00CD3501">
        <w:rPr>
          <w:rFonts w:asciiTheme="majorHAnsi" w:hAnsiTheme="majorHAnsi"/>
          <w:noProof/>
          <w:sz w:val="20"/>
          <w:szCs w:val="20"/>
          <w:lang w:val="es-ES_tradnl"/>
        </w:rPr>
        <w:instrText xml:space="preserve"> PAGEREF _Toc58425598 \h </w:instrText>
      </w:r>
      <w:r w:rsidRPr="00CD3501">
        <w:rPr>
          <w:rFonts w:asciiTheme="majorHAnsi" w:hAnsiTheme="majorHAnsi"/>
          <w:noProof/>
          <w:sz w:val="20"/>
          <w:szCs w:val="20"/>
          <w:lang w:val="es-ES_tradnl"/>
        </w:rPr>
      </w:r>
      <w:r w:rsidRPr="00CD3501">
        <w:rPr>
          <w:rFonts w:asciiTheme="majorHAnsi" w:hAnsiTheme="majorHAnsi"/>
          <w:noProof/>
          <w:sz w:val="20"/>
          <w:szCs w:val="20"/>
          <w:lang w:val="es-ES_tradnl"/>
        </w:rPr>
        <w:fldChar w:fldCharType="separate"/>
      </w:r>
      <w:r w:rsidR="00113BBD">
        <w:rPr>
          <w:rFonts w:asciiTheme="majorHAnsi" w:hAnsiTheme="majorHAnsi"/>
          <w:noProof/>
          <w:sz w:val="20"/>
          <w:szCs w:val="20"/>
          <w:lang w:val="es-ES_tradnl"/>
        </w:rPr>
        <w:t>18</w:t>
      </w:r>
      <w:r w:rsidRPr="00CD3501">
        <w:rPr>
          <w:rFonts w:asciiTheme="majorHAnsi" w:hAnsiTheme="majorHAnsi"/>
          <w:noProof/>
          <w:sz w:val="20"/>
          <w:szCs w:val="20"/>
          <w:lang w:val="es-ES_tradnl"/>
        </w:rPr>
        <w:fldChar w:fldCharType="end"/>
      </w:r>
    </w:p>
    <w:p w14:paraId="4C6DB344" w14:textId="6EED3533" w:rsidR="0078210C" w:rsidRPr="00CD3501" w:rsidRDefault="0078210C">
      <w:pPr>
        <w:pStyle w:val="TOC2"/>
        <w:rPr>
          <w:rFonts w:asciiTheme="majorHAnsi" w:eastAsiaTheme="minorEastAsia" w:hAnsiTheme="majorHAnsi" w:cstheme="minorBidi"/>
          <w:noProof/>
          <w:sz w:val="20"/>
          <w:szCs w:val="20"/>
          <w:bdr w:val="none" w:sz="0" w:space="0" w:color="auto"/>
          <w:lang w:val="es-ES_tradnl" w:eastAsia="zh-CN"/>
        </w:rPr>
      </w:pPr>
      <w:r w:rsidRPr="00CD3501">
        <w:rPr>
          <w:rFonts w:asciiTheme="majorHAnsi" w:eastAsia="Cambria" w:hAnsiTheme="majorHAnsi" w:cs="Cambria"/>
          <w:iCs/>
          <w:noProof/>
          <w:color w:val="000000"/>
          <w:sz w:val="20"/>
          <w:szCs w:val="20"/>
          <w:u w:color="000000"/>
          <w:lang w:val="es-ES_tradnl" w:eastAsia="es-ES"/>
        </w:rPr>
        <w:t>C.</w:t>
      </w:r>
      <w:r w:rsidRPr="00CD3501">
        <w:rPr>
          <w:rFonts w:asciiTheme="majorHAnsi" w:eastAsiaTheme="minorEastAsia" w:hAnsiTheme="majorHAnsi" w:cstheme="minorBidi"/>
          <w:noProof/>
          <w:sz w:val="20"/>
          <w:szCs w:val="20"/>
          <w:bdr w:val="none" w:sz="0" w:space="0" w:color="auto"/>
          <w:lang w:val="es-ES_tradnl" w:eastAsia="zh-CN"/>
        </w:rPr>
        <w:tab/>
      </w:r>
      <w:r w:rsidRPr="00CD3501">
        <w:rPr>
          <w:rFonts w:asciiTheme="majorHAnsi" w:eastAsia="Cambria" w:hAnsiTheme="majorHAnsi" w:cs="Cambria"/>
          <w:iCs/>
          <w:noProof/>
          <w:color w:val="000000"/>
          <w:sz w:val="20"/>
          <w:szCs w:val="20"/>
          <w:u w:color="000000"/>
          <w:lang w:val="es-ES_tradnl" w:eastAsia="es-ES"/>
        </w:rPr>
        <w:t>El derecho a la protección judicial</w:t>
      </w:r>
      <w:r w:rsidRPr="00CD3501">
        <w:rPr>
          <w:rFonts w:asciiTheme="majorHAnsi" w:hAnsiTheme="majorHAnsi"/>
          <w:noProof/>
          <w:sz w:val="20"/>
          <w:szCs w:val="20"/>
          <w:lang w:val="es-ES_tradnl"/>
        </w:rPr>
        <w:tab/>
      </w:r>
      <w:r w:rsidRPr="00CD3501">
        <w:rPr>
          <w:rFonts w:asciiTheme="majorHAnsi" w:hAnsiTheme="majorHAnsi"/>
          <w:noProof/>
          <w:sz w:val="20"/>
          <w:szCs w:val="20"/>
          <w:lang w:val="es-ES_tradnl"/>
        </w:rPr>
        <w:fldChar w:fldCharType="begin"/>
      </w:r>
      <w:r w:rsidRPr="00CD3501">
        <w:rPr>
          <w:rFonts w:asciiTheme="majorHAnsi" w:hAnsiTheme="majorHAnsi"/>
          <w:noProof/>
          <w:sz w:val="20"/>
          <w:szCs w:val="20"/>
          <w:lang w:val="es-ES_tradnl"/>
        </w:rPr>
        <w:instrText xml:space="preserve"> PAGEREF _Toc58425599 \h </w:instrText>
      </w:r>
      <w:r w:rsidRPr="00CD3501">
        <w:rPr>
          <w:rFonts w:asciiTheme="majorHAnsi" w:hAnsiTheme="majorHAnsi"/>
          <w:noProof/>
          <w:sz w:val="20"/>
          <w:szCs w:val="20"/>
          <w:lang w:val="es-ES_tradnl"/>
        </w:rPr>
      </w:r>
      <w:r w:rsidRPr="00CD3501">
        <w:rPr>
          <w:rFonts w:asciiTheme="majorHAnsi" w:hAnsiTheme="majorHAnsi"/>
          <w:noProof/>
          <w:sz w:val="20"/>
          <w:szCs w:val="20"/>
          <w:lang w:val="es-ES_tradnl"/>
        </w:rPr>
        <w:fldChar w:fldCharType="separate"/>
      </w:r>
      <w:r w:rsidR="00113BBD">
        <w:rPr>
          <w:rFonts w:asciiTheme="majorHAnsi" w:hAnsiTheme="majorHAnsi"/>
          <w:noProof/>
          <w:sz w:val="20"/>
          <w:szCs w:val="20"/>
          <w:lang w:val="es-ES_tradnl"/>
        </w:rPr>
        <w:t>19</w:t>
      </w:r>
      <w:r w:rsidRPr="00CD3501">
        <w:rPr>
          <w:rFonts w:asciiTheme="majorHAnsi" w:hAnsiTheme="majorHAnsi"/>
          <w:noProof/>
          <w:sz w:val="20"/>
          <w:szCs w:val="20"/>
          <w:lang w:val="es-ES_tradnl"/>
        </w:rPr>
        <w:fldChar w:fldCharType="end"/>
      </w:r>
    </w:p>
    <w:p w14:paraId="278318AA" w14:textId="40C57DB4" w:rsidR="0078210C" w:rsidRPr="00CD3501" w:rsidRDefault="0078210C">
      <w:pPr>
        <w:pStyle w:val="TOC1"/>
        <w:rPr>
          <w:rFonts w:eastAsiaTheme="minorEastAsia" w:cstheme="minorBidi"/>
          <w:bdr w:val="none" w:sz="0" w:space="0" w:color="auto"/>
          <w:lang w:eastAsia="zh-CN"/>
        </w:rPr>
      </w:pPr>
      <w:r w:rsidRPr="00CD3501">
        <w:t>V.</w:t>
      </w:r>
      <w:r w:rsidRPr="00CD3501">
        <w:rPr>
          <w:rFonts w:eastAsiaTheme="minorEastAsia" w:cstheme="minorBidi"/>
          <w:bdr w:val="none" w:sz="0" w:space="0" w:color="auto"/>
          <w:lang w:eastAsia="zh-CN"/>
        </w:rPr>
        <w:tab/>
      </w:r>
      <w:r w:rsidRPr="00CD3501">
        <w:t>ACCIONES POSTERIORES AL INFORME NO. 159/19</w:t>
      </w:r>
      <w:r w:rsidRPr="00CD3501">
        <w:tab/>
      </w:r>
      <w:r w:rsidRPr="00CD3501">
        <w:fldChar w:fldCharType="begin"/>
      </w:r>
      <w:r w:rsidRPr="00CD3501">
        <w:instrText xml:space="preserve"> PAGEREF _Toc58425600 \h </w:instrText>
      </w:r>
      <w:r w:rsidRPr="00CD3501">
        <w:fldChar w:fldCharType="separate"/>
      </w:r>
      <w:r w:rsidR="00113BBD">
        <w:t>20</w:t>
      </w:r>
      <w:r w:rsidRPr="00CD3501">
        <w:fldChar w:fldCharType="end"/>
      </w:r>
    </w:p>
    <w:p w14:paraId="6B55E6E1" w14:textId="4E70C702" w:rsidR="0078210C" w:rsidRPr="00CD3501" w:rsidRDefault="0078210C">
      <w:pPr>
        <w:pStyle w:val="TOC1"/>
        <w:rPr>
          <w:rFonts w:eastAsiaTheme="minorEastAsia" w:cstheme="minorBidi"/>
          <w:bdr w:val="none" w:sz="0" w:space="0" w:color="auto"/>
          <w:lang w:eastAsia="zh-CN"/>
        </w:rPr>
      </w:pPr>
      <w:r w:rsidRPr="00CD3501">
        <w:t>VI.</w:t>
      </w:r>
      <w:r w:rsidRPr="00CD3501">
        <w:rPr>
          <w:rFonts w:eastAsiaTheme="minorEastAsia" w:cstheme="minorBidi"/>
          <w:bdr w:val="none" w:sz="0" w:space="0" w:color="auto"/>
          <w:lang w:eastAsia="zh-CN"/>
        </w:rPr>
        <w:tab/>
      </w:r>
      <w:r w:rsidRPr="00CD3501">
        <w:t>INFORME No. 199/20 E INFORMACIÓN SOBRE CUMPLIMIENTO</w:t>
      </w:r>
      <w:r w:rsidRPr="00CD3501">
        <w:tab/>
      </w:r>
      <w:r w:rsidRPr="00CD3501">
        <w:fldChar w:fldCharType="begin"/>
      </w:r>
      <w:r w:rsidRPr="00CD3501">
        <w:instrText xml:space="preserve"> PAGEREF _Toc58425601 \h </w:instrText>
      </w:r>
      <w:r w:rsidRPr="00CD3501">
        <w:fldChar w:fldCharType="separate"/>
      </w:r>
      <w:r w:rsidR="00113BBD">
        <w:t>24</w:t>
      </w:r>
      <w:r w:rsidRPr="00CD3501">
        <w:fldChar w:fldCharType="end"/>
      </w:r>
    </w:p>
    <w:p w14:paraId="59873D9F" w14:textId="36A286BA" w:rsidR="0078210C" w:rsidRPr="00CD3501" w:rsidRDefault="0078210C">
      <w:pPr>
        <w:pStyle w:val="TOC1"/>
        <w:rPr>
          <w:rFonts w:eastAsiaTheme="minorEastAsia" w:cstheme="minorBidi"/>
          <w:bdr w:val="none" w:sz="0" w:space="0" w:color="auto"/>
          <w:lang w:eastAsia="zh-CN"/>
        </w:rPr>
      </w:pPr>
      <w:r w:rsidRPr="00CD3501">
        <w:t>VII.</w:t>
      </w:r>
      <w:r w:rsidRPr="00CD3501">
        <w:rPr>
          <w:rFonts w:eastAsiaTheme="minorEastAsia" w:cstheme="minorBidi"/>
          <w:bdr w:val="none" w:sz="0" w:space="0" w:color="auto"/>
          <w:lang w:eastAsia="zh-CN"/>
        </w:rPr>
        <w:tab/>
      </w:r>
      <w:r w:rsidRPr="00CD3501">
        <w:t>CONCLUSIONES Y RECOMENDACIONES FINALES</w:t>
      </w:r>
      <w:r w:rsidRPr="00CD3501">
        <w:tab/>
      </w:r>
      <w:r w:rsidRPr="00CD3501">
        <w:fldChar w:fldCharType="begin"/>
      </w:r>
      <w:r w:rsidRPr="00CD3501">
        <w:instrText xml:space="preserve"> PAGEREF _Toc58425602 \h </w:instrText>
      </w:r>
      <w:r w:rsidRPr="00CD3501">
        <w:fldChar w:fldCharType="separate"/>
      </w:r>
      <w:r w:rsidR="00113BBD">
        <w:t>24</w:t>
      </w:r>
      <w:r w:rsidRPr="00CD3501">
        <w:fldChar w:fldCharType="end"/>
      </w:r>
    </w:p>
    <w:p w14:paraId="3453EE94" w14:textId="5E23D8A1" w:rsidR="0078210C" w:rsidRPr="00CD3501" w:rsidRDefault="0078210C">
      <w:pPr>
        <w:pStyle w:val="TOC1"/>
        <w:rPr>
          <w:rFonts w:eastAsiaTheme="minorEastAsia" w:cstheme="minorBidi"/>
          <w:bdr w:val="none" w:sz="0" w:space="0" w:color="auto"/>
          <w:lang w:eastAsia="zh-CN"/>
        </w:rPr>
      </w:pPr>
      <w:r w:rsidRPr="00CD3501">
        <w:rPr>
          <w:rFonts w:eastAsia="Times New Roman" w:cs="Tahoma"/>
          <w:bdr w:val="none" w:sz="0" w:space="0" w:color="auto" w:frame="1"/>
        </w:rPr>
        <w:t>VIII.</w:t>
      </w:r>
      <w:r w:rsidRPr="00CD3501">
        <w:rPr>
          <w:rFonts w:eastAsiaTheme="minorEastAsia" w:cstheme="minorBidi"/>
          <w:bdr w:val="none" w:sz="0" w:space="0" w:color="auto"/>
          <w:lang w:eastAsia="zh-CN"/>
        </w:rPr>
        <w:tab/>
      </w:r>
      <w:r w:rsidRPr="00CD3501">
        <w:rPr>
          <w:rFonts w:eastAsia="Times New Roman" w:cs="Tahoma"/>
          <w:bdr w:val="none" w:sz="0" w:space="0" w:color="auto" w:frame="1"/>
        </w:rPr>
        <w:t>PUBLICACIÓN</w:t>
      </w:r>
      <w:r w:rsidRPr="00CD3501">
        <w:tab/>
      </w:r>
      <w:r w:rsidRPr="00CD3501">
        <w:fldChar w:fldCharType="begin"/>
      </w:r>
      <w:r w:rsidRPr="00CD3501">
        <w:instrText xml:space="preserve"> PAGEREF _Toc58425603 \h </w:instrText>
      </w:r>
      <w:r w:rsidRPr="00CD3501">
        <w:fldChar w:fldCharType="separate"/>
      </w:r>
      <w:r w:rsidR="00113BBD">
        <w:t>25</w:t>
      </w:r>
      <w:r w:rsidRPr="00CD3501">
        <w:fldChar w:fldCharType="end"/>
      </w:r>
    </w:p>
    <w:p w14:paraId="2158A129" w14:textId="12F47A3C" w:rsidR="007607C4" w:rsidRPr="00CD3501" w:rsidRDefault="00E200F9" w:rsidP="00145EDC">
      <w:pPr>
        <w:tabs>
          <w:tab w:val="center" w:pos="5400"/>
        </w:tabs>
        <w:suppressAutoHyphens/>
        <w:spacing w:line="276" w:lineRule="auto"/>
        <w:rPr>
          <w:rFonts w:asciiTheme="majorHAnsi" w:hAnsiTheme="majorHAnsi"/>
          <w:sz w:val="20"/>
          <w:szCs w:val="18"/>
          <w:lang w:val="es-ES_tradnl"/>
        </w:rPr>
      </w:pPr>
      <w:r w:rsidRPr="00CD3501">
        <w:rPr>
          <w:rFonts w:asciiTheme="majorHAnsi" w:hAnsiTheme="majorHAnsi"/>
          <w:sz w:val="20"/>
          <w:szCs w:val="20"/>
          <w:lang w:val="es-ES_tradnl"/>
        </w:rPr>
        <w:fldChar w:fldCharType="end"/>
      </w:r>
    </w:p>
    <w:p w14:paraId="602B59F0" w14:textId="77777777" w:rsidR="007607C4" w:rsidRPr="00CD3501" w:rsidRDefault="007607C4" w:rsidP="00145EDC">
      <w:pPr>
        <w:tabs>
          <w:tab w:val="center" w:pos="5400"/>
        </w:tabs>
        <w:suppressAutoHyphens/>
        <w:spacing w:line="276" w:lineRule="auto"/>
        <w:rPr>
          <w:rFonts w:asciiTheme="majorHAnsi" w:hAnsiTheme="majorHAnsi"/>
          <w:sz w:val="20"/>
          <w:szCs w:val="18"/>
          <w:lang w:val="es-ES_tradnl"/>
        </w:rPr>
      </w:pPr>
    </w:p>
    <w:p w14:paraId="7A26474B" w14:textId="77777777" w:rsidR="007607C4" w:rsidRPr="00CD3501" w:rsidRDefault="007607C4" w:rsidP="00145EDC">
      <w:pPr>
        <w:tabs>
          <w:tab w:val="center" w:pos="5400"/>
        </w:tabs>
        <w:suppressAutoHyphens/>
        <w:spacing w:line="276" w:lineRule="auto"/>
        <w:rPr>
          <w:rFonts w:asciiTheme="majorHAnsi" w:hAnsiTheme="majorHAnsi"/>
          <w:sz w:val="20"/>
          <w:szCs w:val="18"/>
          <w:lang w:val="es-ES_tradnl"/>
        </w:rPr>
      </w:pPr>
    </w:p>
    <w:p w14:paraId="2989F2CC" w14:textId="77777777" w:rsidR="007607C4" w:rsidRPr="00CD3501" w:rsidRDefault="007607C4" w:rsidP="00145EDC">
      <w:pPr>
        <w:tabs>
          <w:tab w:val="center" w:pos="5400"/>
        </w:tabs>
        <w:suppressAutoHyphens/>
        <w:spacing w:line="276" w:lineRule="auto"/>
        <w:rPr>
          <w:rFonts w:asciiTheme="majorHAnsi" w:hAnsiTheme="majorHAnsi"/>
          <w:sz w:val="20"/>
          <w:szCs w:val="20"/>
          <w:lang w:val="es-ES_tradnl"/>
        </w:rPr>
      </w:pPr>
    </w:p>
    <w:p w14:paraId="2C343AFA" w14:textId="77777777" w:rsidR="007607C4" w:rsidRPr="00CD3501" w:rsidRDefault="007607C4" w:rsidP="00145EDC">
      <w:pPr>
        <w:tabs>
          <w:tab w:val="center" w:pos="5400"/>
        </w:tabs>
        <w:suppressAutoHyphens/>
        <w:spacing w:line="276" w:lineRule="auto"/>
        <w:rPr>
          <w:rFonts w:asciiTheme="majorHAnsi" w:hAnsiTheme="majorHAnsi"/>
          <w:sz w:val="20"/>
          <w:szCs w:val="20"/>
          <w:lang w:val="es-ES_tradnl"/>
        </w:rPr>
      </w:pPr>
    </w:p>
    <w:p w14:paraId="6AC74B81" w14:textId="77777777" w:rsidR="007607C4" w:rsidRPr="00CD3501" w:rsidRDefault="007607C4" w:rsidP="00145EDC">
      <w:pPr>
        <w:tabs>
          <w:tab w:val="center" w:pos="5400"/>
        </w:tabs>
        <w:suppressAutoHyphens/>
        <w:spacing w:line="276" w:lineRule="auto"/>
        <w:rPr>
          <w:rFonts w:asciiTheme="majorHAnsi" w:hAnsiTheme="majorHAnsi"/>
          <w:sz w:val="20"/>
          <w:szCs w:val="20"/>
          <w:lang w:val="es-ES_tradnl"/>
        </w:rPr>
      </w:pPr>
    </w:p>
    <w:p w14:paraId="7AA88706" w14:textId="77777777" w:rsidR="007607C4" w:rsidRPr="00CD3501" w:rsidRDefault="007607C4" w:rsidP="00145EDC">
      <w:pPr>
        <w:tabs>
          <w:tab w:val="center" w:pos="5400"/>
        </w:tabs>
        <w:suppressAutoHyphens/>
        <w:spacing w:line="276" w:lineRule="auto"/>
        <w:rPr>
          <w:rFonts w:asciiTheme="majorHAnsi" w:hAnsiTheme="majorHAnsi"/>
          <w:sz w:val="20"/>
          <w:szCs w:val="20"/>
          <w:lang w:val="es-ES_tradnl"/>
        </w:rPr>
      </w:pPr>
    </w:p>
    <w:p w14:paraId="2E50F86D" w14:textId="77777777" w:rsidR="00A84A45" w:rsidRPr="00CD3501" w:rsidRDefault="00A84A45">
      <w:pPr>
        <w:rPr>
          <w:rFonts w:asciiTheme="majorHAnsi" w:hAnsiTheme="majorHAnsi"/>
          <w:b/>
          <w:sz w:val="18"/>
          <w:szCs w:val="20"/>
          <w:lang w:val="es-ES_tradnl"/>
        </w:rPr>
      </w:pPr>
      <w:r w:rsidRPr="00CD3501">
        <w:rPr>
          <w:rFonts w:asciiTheme="majorHAnsi" w:hAnsiTheme="majorHAnsi"/>
          <w:b/>
          <w:sz w:val="18"/>
          <w:szCs w:val="20"/>
          <w:lang w:val="es-ES_tradnl"/>
        </w:rPr>
        <w:br w:type="page"/>
      </w:r>
    </w:p>
    <w:p w14:paraId="1233D30A" w14:textId="53F1A3C1" w:rsidR="001C4006" w:rsidRPr="00CD3501" w:rsidRDefault="00830E88" w:rsidP="00A167CF">
      <w:pPr>
        <w:pStyle w:val="Heading1"/>
        <w:spacing w:before="0"/>
        <w:ind w:left="360"/>
        <w:rPr>
          <w:color w:val="auto"/>
          <w:sz w:val="20"/>
          <w:szCs w:val="20"/>
          <w:lang w:val="es-ES_tradnl"/>
        </w:rPr>
      </w:pPr>
      <w:bookmarkStart w:id="0" w:name="_Toc58425585"/>
      <w:r w:rsidRPr="00CD3501">
        <w:rPr>
          <w:color w:val="auto"/>
          <w:sz w:val="20"/>
          <w:szCs w:val="20"/>
          <w:lang w:val="es-ES_tradnl"/>
        </w:rPr>
        <w:lastRenderedPageBreak/>
        <w:t>INTRODUC</w:t>
      </w:r>
      <w:r w:rsidR="00497B9A" w:rsidRPr="00CD3501">
        <w:rPr>
          <w:color w:val="auto"/>
          <w:sz w:val="20"/>
          <w:szCs w:val="20"/>
          <w:lang w:val="es-ES_tradnl"/>
        </w:rPr>
        <w:t>CIÓN</w:t>
      </w:r>
      <w:bookmarkEnd w:id="0"/>
    </w:p>
    <w:p w14:paraId="6933F48E" w14:textId="77777777" w:rsidR="001C4006" w:rsidRPr="00CD3501" w:rsidRDefault="001C4006" w:rsidP="00EC50E9">
      <w:pPr>
        <w:suppressAutoHyphens/>
        <w:rPr>
          <w:rFonts w:asciiTheme="majorHAnsi" w:hAnsiTheme="majorHAnsi"/>
          <w:b/>
          <w:sz w:val="20"/>
          <w:szCs w:val="20"/>
          <w:lang w:val="es-ES_tradnl"/>
        </w:rPr>
      </w:pPr>
    </w:p>
    <w:p w14:paraId="2D336958" w14:textId="63D10DE8" w:rsidR="00BB0A79" w:rsidRPr="00CD3501" w:rsidRDefault="009E5620"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 xml:space="preserve">El </w:t>
      </w:r>
      <w:r w:rsidR="00E11667" w:rsidRPr="00CD3501">
        <w:rPr>
          <w:rFonts w:ascii="Cambria" w:hAnsi="Cambria"/>
          <w:lang w:val="es-ES_tradnl"/>
        </w:rPr>
        <w:t>22</w:t>
      </w:r>
      <w:r w:rsidRPr="00CD3501">
        <w:rPr>
          <w:rFonts w:ascii="Cambria" w:hAnsi="Cambria"/>
          <w:lang w:val="es-ES_tradnl"/>
        </w:rPr>
        <w:t xml:space="preserve"> de diciembre de</w:t>
      </w:r>
      <w:r w:rsidR="00E11667" w:rsidRPr="00CD3501">
        <w:rPr>
          <w:rFonts w:ascii="Cambria" w:hAnsi="Cambria"/>
          <w:lang w:val="es-ES_tradnl"/>
        </w:rPr>
        <w:t xml:space="preserve"> 2011</w:t>
      </w:r>
      <w:r w:rsidR="00D75719" w:rsidRPr="00CD3501">
        <w:rPr>
          <w:vertAlign w:val="superscript"/>
          <w:lang w:val="es-ES_tradnl"/>
        </w:rPr>
        <w:footnoteReference w:id="2"/>
      </w:r>
      <w:r w:rsidR="006A72B7" w:rsidRPr="00CD3501">
        <w:rPr>
          <w:rFonts w:ascii="Cambria" w:hAnsi="Cambria"/>
          <w:lang w:val="es-ES_tradnl"/>
        </w:rPr>
        <w:t xml:space="preserve">, </w:t>
      </w:r>
      <w:r w:rsidR="00497B9A" w:rsidRPr="00CD3501">
        <w:rPr>
          <w:rFonts w:ascii="Cambria" w:hAnsi="Cambria"/>
          <w:lang w:val="es-ES_tradnl"/>
        </w:rPr>
        <w:t>la Comisión Interamericana de Derechos Humanos</w:t>
      </w:r>
      <w:r w:rsidR="006A72B7" w:rsidRPr="00CD3501">
        <w:rPr>
          <w:rFonts w:ascii="Cambria" w:hAnsi="Cambria"/>
          <w:lang w:val="es-ES_tradnl"/>
        </w:rPr>
        <w:t xml:space="preserve"> (“</w:t>
      </w:r>
      <w:r w:rsidR="00497B9A" w:rsidRPr="00CD3501">
        <w:rPr>
          <w:rFonts w:ascii="Cambria" w:hAnsi="Cambria"/>
          <w:lang w:val="es-ES_tradnl"/>
        </w:rPr>
        <w:t>la Comisión</w:t>
      </w:r>
      <w:r w:rsidR="006A72B7" w:rsidRPr="00CD3501">
        <w:rPr>
          <w:rFonts w:ascii="Cambria" w:hAnsi="Cambria"/>
          <w:lang w:val="es-ES_tradnl"/>
        </w:rPr>
        <w:t>” o “</w:t>
      </w:r>
      <w:r w:rsidR="00497B9A" w:rsidRPr="00CD3501">
        <w:rPr>
          <w:rFonts w:ascii="Cambria" w:hAnsi="Cambria"/>
          <w:lang w:val="es-ES_tradnl"/>
        </w:rPr>
        <w:t>la CIDH</w:t>
      </w:r>
      <w:r w:rsidR="006A72B7" w:rsidRPr="00CD3501">
        <w:rPr>
          <w:rFonts w:ascii="Cambria" w:hAnsi="Cambria"/>
          <w:lang w:val="es-ES_tradnl"/>
        </w:rPr>
        <w:t xml:space="preserve">”) </w:t>
      </w:r>
      <w:r w:rsidR="00497B9A" w:rsidRPr="00CD3501">
        <w:rPr>
          <w:rFonts w:ascii="Cambria" w:hAnsi="Cambria"/>
          <w:lang w:val="es-ES_tradnl"/>
        </w:rPr>
        <w:t>recibió una petición</w:t>
      </w:r>
      <w:r w:rsidR="006A72B7" w:rsidRPr="00CD3501">
        <w:rPr>
          <w:rFonts w:ascii="Cambria" w:hAnsi="Cambria"/>
          <w:lang w:val="es-ES_tradnl"/>
        </w:rPr>
        <w:t xml:space="preserve"> </w:t>
      </w:r>
      <w:r w:rsidR="00497B9A" w:rsidRPr="00CD3501">
        <w:rPr>
          <w:rFonts w:ascii="Cambria" w:hAnsi="Cambria"/>
          <w:lang w:val="es-ES_tradnl"/>
        </w:rPr>
        <w:t>presentada por</w:t>
      </w:r>
      <w:r w:rsidR="00C14574" w:rsidRPr="00CD3501">
        <w:rPr>
          <w:rFonts w:ascii="Cambria" w:hAnsi="Cambria"/>
          <w:lang w:val="es-ES_tradnl"/>
        </w:rPr>
        <w:t xml:space="preserve"> Gareth Henry, The Jamaica Forum of Lesbians, All-Sexuals and Gays (J-Flag)</w:t>
      </w:r>
      <w:r w:rsidR="00063DD8" w:rsidRPr="00CD3501">
        <w:rPr>
          <w:vertAlign w:val="superscript"/>
          <w:lang w:val="es-ES_tradnl"/>
        </w:rPr>
        <w:footnoteReference w:id="3"/>
      </w:r>
      <w:r w:rsidR="00063DD8" w:rsidRPr="00CD3501">
        <w:rPr>
          <w:rFonts w:ascii="Cambria" w:hAnsi="Cambria"/>
          <w:lang w:val="es-ES_tradnl"/>
        </w:rPr>
        <w:t>,</w:t>
      </w:r>
      <w:r w:rsidR="00C14574" w:rsidRPr="00CD3501">
        <w:rPr>
          <w:rFonts w:ascii="Cambria" w:hAnsi="Cambria"/>
          <w:lang w:val="es-ES_tradnl"/>
        </w:rPr>
        <w:t xml:space="preserve"> Human Dignity Trust </w:t>
      </w:r>
      <w:r w:rsidRPr="00CD3501">
        <w:rPr>
          <w:rFonts w:ascii="Cambria" w:hAnsi="Cambria"/>
          <w:lang w:val="es-ES_tradnl"/>
        </w:rPr>
        <w:t>y</w:t>
      </w:r>
      <w:r w:rsidR="00C14574" w:rsidRPr="00CD3501">
        <w:rPr>
          <w:rFonts w:ascii="Cambria" w:hAnsi="Cambria"/>
          <w:lang w:val="es-ES_tradnl"/>
        </w:rPr>
        <w:t xml:space="preserve"> Fre</w:t>
      </w:r>
      <w:r w:rsidR="00451DEB" w:rsidRPr="00CD3501">
        <w:rPr>
          <w:rFonts w:ascii="Cambria" w:hAnsi="Cambria"/>
          <w:lang w:val="es-ES_tradnl"/>
        </w:rPr>
        <w:t>shfields Bruckhaus Deringer LLP (</w:t>
      </w:r>
      <w:r w:rsidR="009A3641" w:rsidRPr="00CD3501">
        <w:rPr>
          <w:rFonts w:ascii="Cambria" w:hAnsi="Cambria"/>
          <w:lang w:val="es-ES_tradnl"/>
        </w:rPr>
        <w:t>“los peticionarios</w:t>
      </w:r>
      <w:r w:rsidR="00451DEB" w:rsidRPr="00CD3501">
        <w:rPr>
          <w:rFonts w:ascii="Cambria" w:hAnsi="Cambria"/>
          <w:lang w:val="es-ES_tradnl"/>
        </w:rPr>
        <w:t>”)</w:t>
      </w:r>
      <w:r w:rsidR="009A3641" w:rsidRPr="00CD3501">
        <w:rPr>
          <w:rFonts w:ascii="Cambria" w:hAnsi="Cambria"/>
          <w:lang w:val="es-ES_tradnl"/>
        </w:rPr>
        <w:t>,</w:t>
      </w:r>
      <w:r w:rsidR="00451DEB" w:rsidRPr="00CD3501">
        <w:rPr>
          <w:rFonts w:ascii="Cambria" w:hAnsi="Cambria"/>
          <w:lang w:val="es-ES_tradnl"/>
        </w:rPr>
        <w:t xml:space="preserve"> </w:t>
      </w:r>
      <w:r w:rsidR="009A3641" w:rsidRPr="00CD3501">
        <w:rPr>
          <w:rFonts w:ascii="Cambria" w:hAnsi="Cambria"/>
          <w:lang w:val="es-ES_tradnl"/>
        </w:rPr>
        <w:t>en la cual se alega la responsabilidad internacional de</w:t>
      </w:r>
      <w:r w:rsidR="000253EF" w:rsidRPr="00CD3501">
        <w:rPr>
          <w:rFonts w:ascii="Cambria" w:hAnsi="Cambria"/>
          <w:lang w:val="es-ES_tradnl"/>
        </w:rPr>
        <w:t xml:space="preserve"> Jamaica</w:t>
      </w:r>
      <w:r w:rsidR="00695602" w:rsidRPr="00CD3501">
        <w:rPr>
          <w:rStyle w:val="FootnoteReference"/>
          <w:sz w:val="18"/>
          <w:lang w:val="es-ES_tradnl"/>
        </w:rPr>
        <w:footnoteReference w:id="4"/>
      </w:r>
      <w:r w:rsidR="000253EF" w:rsidRPr="00CD3501">
        <w:rPr>
          <w:rFonts w:ascii="Cambria" w:hAnsi="Cambria"/>
          <w:lang w:val="es-ES_tradnl"/>
        </w:rPr>
        <w:t xml:space="preserve"> (</w:t>
      </w:r>
      <w:r w:rsidR="00F0246A" w:rsidRPr="00CD3501">
        <w:rPr>
          <w:rFonts w:ascii="Cambria" w:hAnsi="Cambria"/>
          <w:lang w:val="es-ES_tradnl"/>
        </w:rPr>
        <w:t>“</w:t>
      </w:r>
      <w:r w:rsidR="009A3641" w:rsidRPr="00CD3501">
        <w:rPr>
          <w:rFonts w:ascii="Cambria" w:hAnsi="Cambria"/>
          <w:lang w:val="es-ES_tradnl"/>
        </w:rPr>
        <w:t>el Estado</w:t>
      </w:r>
      <w:r w:rsidR="000253EF" w:rsidRPr="00CD3501">
        <w:rPr>
          <w:rFonts w:ascii="Cambria" w:hAnsi="Cambria"/>
          <w:lang w:val="es-ES_tradnl"/>
        </w:rPr>
        <w:t xml:space="preserve">” o “Jamaica”) </w:t>
      </w:r>
      <w:r w:rsidR="009A3641" w:rsidRPr="00CD3501">
        <w:rPr>
          <w:rFonts w:ascii="Cambria" w:hAnsi="Cambria"/>
          <w:lang w:val="es-ES_tradnl"/>
        </w:rPr>
        <w:t>por la violación de</w:t>
      </w:r>
      <w:r w:rsidR="003067F3" w:rsidRPr="00CD3501">
        <w:rPr>
          <w:rFonts w:ascii="Cambria" w:hAnsi="Cambria"/>
          <w:lang w:val="es-ES_tradnl"/>
        </w:rPr>
        <w:t xml:space="preserve"> </w:t>
      </w:r>
      <w:r w:rsidRPr="00CD3501">
        <w:rPr>
          <w:rFonts w:ascii="Cambria" w:hAnsi="Cambria"/>
          <w:lang w:val="es-ES_tradnl"/>
        </w:rPr>
        <w:t>varios derechos de</w:t>
      </w:r>
      <w:r w:rsidR="00063DD8" w:rsidRPr="00CD3501">
        <w:rPr>
          <w:rFonts w:ascii="Cambria" w:hAnsi="Cambria"/>
          <w:lang w:val="es-ES_tradnl"/>
        </w:rPr>
        <w:t xml:space="preserve"> Gareth Henry </w:t>
      </w:r>
      <w:r w:rsidRPr="00CD3501">
        <w:rPr>
          <w:rFonts w:ascii="Cambria" w:hAnsi="Cambria"/>
          <w:lang w:val="es-ES_tradnl"/>
        </w:rPr>
        <w:t>y</w:t>
      </w:r>
      <w:r w:rsidR="001B3495" w:rsidRPr="00CD3501">
        <w:rPr>
          <w:rFonts w:ascii="Cambria" w:hAnsi="Cambria"/>
          <w:lang w:val="es-ES_tradnl"/>
        </w:rPr>
        <w:t xml:space="preserve"> </w:t>
      </w:r>
      <w:r w:rsidR="005C79E9" w:rsidRPr="00CD3501">
        <w:rPr>
          <w:rFonts w:eastAsia="Cambria" w:cs="Cambria"/>
          <w:lang w:val="es-ES_tradnl"/>
        </w:rPr>
        <w:t>Simone Carline Edwards</w:t>
      </w:r>
      <w:r w:rsidR="001B3495" w:rsidRPr="00CD3501">
        <w:rPr>
          <w:rFonts w:ascii="Cambria" w:hAnsi="Cambria"/>
          <w:lang w:val="es-ES_tradnl"/>
        </w:rPr>
        <w:t xml:space="preserve"> </w:t>
      </w:r>
      <w:r w:rsidRPr="00CD3501">
        <w:rPr>
          <w:rFonts w:ascii="Cambria" w:hAnsi="Cambria"/>
          <w:lang w:val="es-ES_tradnl"/>
        </w:rPr>
        <w:t>como consecuencia de las leyes que</w:t>
      </w:r>
      <w:r w:rsidR="001B3495" w:rsidRPr="00CD3501">
        <w:rPr>
          <w:rFonts w:ascii="Cambria" w:hAnsi="Cambria"/>
          <w:lang w:val="es-ES_tradnl"/>
        </w:rPr>
        <w:t xml:space="preserve"> </w:t>
      </w:r>
      <w:r w:rsidRPr="00CD3501">
        <w:rPr>
          <w:rFonts w:ascii="Cambria" w:hAnsi="Cambria"/>
          <w:lang w:val="es-ES_tradnl"/>
        </w:rPr>
        <w:t>tipifican como delito las relaciones sexuales consensuales entre adultos del mismo sexo y crean un contexto adverso para las personas LGBTI</w:t>
      </w:r>
      <w:r w:rsidR="009A3B62" w:rsidRPr="00CD3501">
        <w:rPr>
          <w:rFonts w:ascii="Cambria" w:hAnsi="Cambria"/>
          <w:lang w:val="es-ES_tradnl"/>
        </w:rPr>
        <w:t xml:space="preserve">. </w:t>
      </w:r>
    </w:p>
    <w:p w14:paraId="169232A3" w14:textId="77777777" w:rsidR="00BB0A79" w:rsidRPr="00CD3501" w:rsidRDefault="00BB0A79" w:rsidP="00A167CF">
      <w:pPr>
        <w:pStyle w:val="parrafos"/>
        <w:tabs>
          <w:tab w:val="clear" w:pos="360"/>
        </w:tabs>
        <w:rPr>
          <w:rFonts w:ascii="Cambria" w:hAnsi="Cambria"/>
          <w:lang w:val="es-ES_tradnl"/>
        </w:rPr>
      </w:pPr>
    </w:p>
    <w:p w14:paraId="42BB2197" w14:textId="516D9C9A" w:rsidR="004C1D25" w:rsidRPr="00CD3501" w:rsidRDefault="009E5620"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eastAsia="Cambria" w:hAnsi="Cambria" w:cs="Cambria"/>
          <w:lang w:val="es-ES_tradnl"/>
        </w:rPr>
        <w:t>El 2 de julio de 2018, l</w:t>
      </w:r>
      <w:r w:rsidR="00497B9A" w:rsidRPr="00CD3501">
        <w:rPr>
          <w:rFonts w:ascii="Cambria" w:eastAsia="Cambria" w:hAnsi="Cambria" w:cs="Cambria"/>
          <w:lang w:val="es-ES_tradnl"/>
        </w:rPr>
        <w:t>a Comisión</w:t>
      </w:r>
      <w:r w:rsidR="005C79E9" w:rsidRPr="00CD3501">
        <w:rPr>
          <w:rFonts w:ascii="Cambria" w:eastAsia="Cambria" w:hAnsi="Cambria" w:cs="Cambria"/>
          <w:lang w:val="es-ES_tradnl"/>
        </w:rPr>
        <w:t xml:space="preserve"> </w:t>
      </w:r>
      <w:r w:rsidR="009A3641" w:rsidRPr="00CD3501">
        <w:rPr>
          <w:rFonts w:ascii="Cambria" w:eastAsia="Cambria" w:hAnsi="Cambria" w:cs="Cambria"/>
          <w:bCs/>
          <w:lang w:val="es-ES_tradnl"/>
        </w:rPr>
        <w:t>aprobó su Informe de Admisibilidad</w:t>
      </w:r>
      <w:r w:rsidR="009A3641" w:rsidRPr="00CD3501">
        <w:rPr>
          <w:rFonts w:ascii="Cambria" w:eastAsia="Cambria" w:hAnsi="Cambria" w:cs="Cambria"/>
          <w:lang w:val="es-ES_tradnl"/>
        </w:rPr>
        <w:t xml:space="preserve"> </w:t>
      </w:r>
      <w:r w:rsidR="005C79E9" w:rsidRPr="00CD3501">
        <w:rPr>
          <w:rFonts w:ascii="Cambria" w:eastAsia="Cambria" w:hAnsi="Cambria" w:cs="Cambria"/>
          <w:lang w:val="es-ES_tradnl"/>
        </w:rPr>
        <w:t>N</w:t>
      </w:r>
      <w:r w:rsidR="001B3495" w:rsidRPr="00CD3501">
        <w:rPr>
          <w:rFonts w:ascii="Cambria" w:eastAsia="Cambria" w:hAnsi="Cambria" w:cs="Cambria"/>
          <w:lang w:val="es-ES_tradnl"/>
        </w:rPr>
        <w:t>o. 80/18</w:t>
      </w:r>
      <w:r w:rsidR="004D660E" w:rsidRPr="00CD3501">
        <w:rPr>
          <w:rStyle w:val="FootnoteReference"/>
          <w:rFonts w:ascii="Cambria" w:eastAsia="Cambria" w:hAnsi="Cambria"/>
          <w:lang w:val="es-ES_tradnl"/>
        </w:rPr>
        <w:footnoteReference w:id="5"/>
      </w:r>
      <w:r w:rsidR="003067F3" w:rsidRPr="00CD3501">
        <w:rPr>
          <w:rFonts w:ascii="Cambria" w:eastAsia="Cambria" w:hAnsi="Cambria" w:cs="Cambria"/>
          <w:lang w:val="es-ES_tradnl"/>
        </w:rPr>
        <w:t>. E</w:t>
      </w:r>
      <w:r w:rsidRPr="00CD3501">
        <w:rPr>
          <w:rFonts w:ascii="Cambria" w:eastAsia="Cambria" w:hAnsi="Cambria" w:cs="Cambria"/>
          <w:lang w:val="es-ES_tradnl"/>
        </w:rPr>
        <w:t xml:space="preserve">l </w:t>
      </w:r>
      <w:r w:rsidR="00EA1089" w:rsidRPr="00CD3501">
        <w:rPr>
          <w:rFonts w:ascii="Cambria" w:eastAsia="Cambria" w:hAnsi="Cambria" w:cs="Cambria"/>
          <w:lang w:val="es-ES_tradnl"/>
        </w:rPr>
        <w:t>17</w:t>
      </w:r>
      <w:r w:rsidRPr="00CD3501">
        <w:rPr>
          <w:rFonts w:ascii="Cambria" w:eastAsia="Cambria" w:hAnsi="Cambria" w:cs="Cambria"/>
          <w:lang w:val="es-ES_tradnl"/>
        </w:rPr>
        <w:t xml:space="preserve"> de julio de</w:t>
      </w:r>
      <w:r w:rsidR="00EA1089" w:rsidRPr="00CD3501">
        <w:rPr>
          <w:rFonts w:ascii="Cambria" w:eastAsia="Cambria" w:hAnsi="Cambria" w:cs="Cambria"/>
          <w:lang w:val="es-ES_tradnl"/>
        </w:rPr>
        <w:t xml:space="preserve"> 2018 </w:t>
      </w:r>
      <w:r w:rsidR="00497B9A" w:rsidRPr="00CD3501">
        <w:rPr>
          <w:rFonts w:ascii="Cambria" w:eastAsia="Cambria" w:hAnsi="Cambria" w:cs="Cambria"/>
          <w:lang w:val="es-ES_tradnl"/>
        </w:rPr>
        <w:t>l</w:t>
      </w:r>
      <w:r w:rsidRPr="00CD3501">
        <w:rPr>
          <w:rFonts w:ascii="Cambria" w:eastAsia="Cambria" w:hAnsi="Cambria" w:cs="Cambria"/>
          <w:lang w:val="es-ES_tradnl"/>
        </w:rPr>
        <w:t xml:space="preserve">o cursó </w:t>
      </w:r>
      <w:r w:rsidR="009A3641" w:rsidRPr="00CD3501">
        <w:rPr>
          <w:rFonts w:ascii="Cambria" w:eastAsia="Cambria" w:hAnsi="Cambria" w:cs="Cambria"/>
          <w:bCs/>
          <w:lang w:val="es-ES_tradnl"/>
        </w:rPr>
        <w:t>a las partes y se puso a su disposición para llegar a una solución amistosa</w:t>
      </w:r>
      <w:r w:rsidR="00BF2ECF" w:rsidRPr="00CD3501">
        <w:rPr>
          <w:rFonts w:ascii="Cambria" w:eastAsia="Cambria" w:hAnsi="Cambria" w:cs="Cambria"/>
          <w:lang w:val="es-ES_tradnl"/>
        </w:rPr>
        <w:t>,</w:t>
      </w:r>
      <w:r w:rsidR="000D0860" w:rsidRPr="00CD3501">
        <w:rPr>
          <w:rFonts w:ascii="Cambria" w:eastAsia="Cambria" w:hAnsi="Cambria" w:cs="Cambria"/>
          <w:lang w:val="es-ES_tradnl"/>
        </w:rPr>
        <w:t xml:space="preserve"> </w:t>
      </w:r>
      <w:r w:rsidRPr="00CD3501">
        <w:rPr>
          <w:rFonts w:ascii="Cambria" w:eastAsia="Cambria" w:hAnsi="Cambria" w:cs="Cambria"/>
          <w:lang w:val="es-ES_tradnl"/>
        </w:rPr>
        <w:t>pero no se llegó a un acuerdo</w:t>
      </w:r>
      <w:r w:rsidR="000D0860" w:rsidRPr="00CD3501">
        <w:rPr>
          <w:rFonts w:ascii="Cambria" w:eastAsia="Cambria" w:hAnsi="Cambria" w:cs="Cambria"/>
          <w:lang w:val="es-ES_tradnl"/>
        </w:rPr>
        <w:t xml:space="preserve">. </w:t>
      </w:r>
      <w:r w:rsidR="009A3641" w:rsidRPr="00CD3501">
        <w:rPr>
          <w:rFonts w:ascii="Cambria" w:eastAsia="Cambria" w:hAnsi="Cambria" w:cs="Cambria"/>
          <w:bCs/>
          <w:lang w:val="es-ES_tradnl"/>
        </w:rPr>
        <w:t>Las partes contaron con los plazos dispuestos en el Reglamento de la CIDH para presentar observaciones adicionales sobre el fondo</w:t>
      </w:r>
      <w:r w:rsidR="004C1D25" w:rsidRPr="00CD3501">
        <w:rPr>
          <w:rFonts w:ascii="Cambria" w:eastAsia="Cambria" w:hAnsi="Cambria" w:cs="Cambria"/>
          <w:lang w:val="es-ES_tradnl"/>
        </w:rPr>
        <w:t xml:space="preserve">. </w:t>
      </w:r>
      <w:r w:rsidR="009A3641" w:rsidRPr="00CD3501">
        <w:rPr>
          <w:rFonts w:ascii="Cambria" w:eastAsia="Cambria" w:hAnsi="Cambria" w:cs="Cambria"/>
          <w:bCs/>
          <w:lang w:val="es-ES_tradnl"/>
        </w:rPr>
        <w:t>Toda la información recibida por la Comisión fue transmitida debidamente a las partes</w:t>
      </w:r>
      <w:r w:rsidR="004C1D25" w:rsidRPr="00CD3501">
        <w:rPr>
          <w:rFonts w:ascii="Cambria" w:eastAsia="Cambria" w:hAnsi="Cambria" w:cs="Cambria"/>
          <w:lang w:val="es-ES_tradnl"/>
        </w:rPr>
        <w:t xml:space="preserve">. </w:t>
      </w:r>
    </w:p>
    <w:p w14:paraId="75B39CCF" w14:textId="019E218E" w:rsidR="001C4006" w:rsidRPr="00CD3501" w:rsidRDefault="001C4006" w:rsidP="00A167C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lang w:val="es-ES_tradnl"/>
        </w:rPr>
      </w:pPr>
    </w:p>
    <w:p w14:paraId="0693B2E7" w14:textId="6D12704A" w:rsidR="001C4006" w:rsidRPr="00CD3501" w:rsidRDefault="00293FA6" w:rsidP="00A167CF">
      <w:pPr>
        <w:pStyle w:val="Heading1"/>
        <w:spacing w:before="0"/>
        <w:ind w:left="360"/>
        <w:rPr>
          <w:color w:val="auto"/>
          <w:sz w:val="20"/>
          <w:szCs w:val="20"/>
          <w:lang w:val="es-ES_tradnl"/>
        </w:rPr>
      </w:pPr>
      <w:bookmarkStart w:id="1" w:name="_Toc16152263"/>
      <w:bookmarkStart w:id="2" w:name="_Toc58425586"/>
      <w:r w:rsidRPr="00CD3501">
        <w:rPr>
          <w:color w:val="auto"/>
          <w:sz w:val="20"/>
          <w:szCs w:val="20"/>
          <w:lang w:val="es-ES_tradnl"/>
        </w:rPr>
        <w:t xml:space="preserve">POSICIONES </w:t>
      </w:r>
      <w:r w:rsidR="009A3641" w:rsidRPr="00CD3501">
        <w:rPr>
          <w:color w:val="auto"/>
          <w:sz w:val="20"/>
          <w:szCs w:val="20"/>
          <w:lang w:val="es-ES_tradnl"/>
        </w:rPr>
        <w:t>DE LAS PARTES</w:t>
      </w:r>
      <w:bookmarkEnd w:id="1"/>
      <w:bookmarkEnd w:id="2"/>
    </w:p>
    <w:p w14:paraId="6B430B93" w14:textId="77777777" w:rsidR="001C4006" w:rsidRPr="00CD3501" w:rsidRDefault="001C4006" w:rsidP="00EC50E9">
      <w:pPr>
        <w:suppressAutoHyphens/>
        <w:rPr>
          <w:rFonts w:asciiTheme="majorHAnsi" w:hAnsiTheme="majorHAnsi"/>
          <w:sz w:val="20"/>
          <w:szCs w:val="20"/>
          <w:lang w:val="es-ES_tradnl"/>
        </w:rPr>
      </w:pPr>
    </w:p>
    <w:p w14:paraId="0620076F" w14:textId="6428B8E1" w:rsidR="005C164F" w:rsidRPr="00CD3501" w:rsidRDefault="009A3641" w:rsidP="00C12E55">
      <w:pPr>
        <w:pStyle w:val="Heading2"/>
        <w:numPr>
          <w:ilvl w:val="0"/>
          <w:numId w:val="56"/>
        </w:numPr>
        <w:spacing w:before="0"/>
        <w:ind w:left="360"/>
        <w:rPr>
          <w:color w:val="auto"/>
          <w:sz w:val="20"/>
          <w:szCs w:val="20"/>
          <w:lang w:val="es-ES_tradnl"/>
        </w:rPr>
      </w:pPr>
      <w:bookmarkStart w:id="3" w:name="_Toc7803295"/>
      <w:bookmarkStart w:id="4" w:name="_Toc58425587"/>
      <w:r w:rsidRPr="00CD3501">
        <w:rPr>
          <w:color w:val="auto"/>
          <w:sz w:val="20"/>
          <w:szCs w:val="20"/>
          <w:lang w:val="es-ES_tradnl"/>
        </w:rPr>
        <w:t>Posición de los peticionarios</w:t>
      </w:r>
      <w:bookmarkEnd w:id="3"/>
      <w:bookmarkEnd w:id="4"/>
    </w:p>
    <w:p w14:paraId="7B947FCE" w14:textId="77777777" w:rsidR="006D27EC" w:rsidRPr="00CD3501" w:rsidRDefault="006D27EC" w:rsidP="00A167CF">
      <w:pPr>
        <w:suppressAutoHyphens/>
        <w:rPr>
          <w:rFonts w:ascii="Cambria" w:eastAsia="Cambria" w:hAnsi="Cambria" w:cs="Cambria"/>
          <w:color w:val="000000"/>
          <w:sz w:val="20"/>
          <w:szCs w:val="20"/>
          <w:u w:color="000000"/>
          <w:lang w:val="es-ES_tradnl" w:eastAsia="es-ES"/>
        </w:rPr>
      </w:pPr>
    </w:p>
    <w:p w14:paraId="3B4BE0B5" w14:textId="59A8C438" w:rsidR="00BB0A79" w:rsidRPr="00CD3501" w:rsidRDefault="009A3641" w:rsidP="00C12E55">
      <w:pPr>
        <w:pStyle w:val="parrafos"/>
        <w:numPr>
          <w:ilvl w:val="0"/>
          <w:numId w:val="57"/>
        </w:numPr>
        <w:tabs>
          <w:tab w:val="clear" w:pos="360"/>
          <w:tab w:val="clear" w:pos="1080"/>
        </w:tabs>
        <w:ind w:left="0" w:firstLine="0"/>
        <w:rPr>
          <w:lang w:val="es-ES_tradnl"/>
        </w:rPr>
      </w:pPr>
      <w:r w:rsidRPr="00CD3501">
        <w:rPr>
          <w:lang w:val="es-ES_tradnl"/>
        </w:rPr>
        <w:t>L</w:t>
      </w:r>
      <w:r w:rsidR="003A5C8E" w:rsidRPr="00CD3501">
        <w:rPr>
          <w:lang w:val="es-ES_tradnl"/>
        </w:rPr>
        <w:t>a parte peticionaria alega</w:t>
      </w:r>
      <w:r w:rsidR="005F06A1" w:rsidRPr="00CD3501">
        <w:rPr>
          <w:lang w:val="es-ES_tradnl"/>
        </w:rPr>
        <w:t xml:space="preserve"> que</w:t>
      </w:r>
      <w:r w:rsidR="00C338E4" w:rsidRPr="00CD3501">
        <w:rPr>
          <w:lang w:val="es-ES_tradnl"/>
        </w:rPr>
        <w:t xml:space="preserve"> Jamaica </w:t>
      </w:r>
      <w:r w:rsidR="002D6716" w:rsidRPr="00CD3501">
        <w:rPr>
          <w:lang w:val="es-ES_tradnl"/>
        </w:rPr>
        <w:t xml:space="preserve">está </w:t>
      </w:r>
      <w:r w:rsidR="003A5C8E" w:rsidRPr="00CD3501">
        <w:rPr>
          <w:lang w:val="es-ES_tradnl"/>
        </w:rPr>
        <w:t>in</w:t>
      </w:r>
      <w:r w:rsidR="002D6716" w:rsidRPr="00CD3501">
        <w:rPr>
          <w:lang w:val="es-ES_tradnl"/>
        </w:rPr>
        <w:t>cumpliendo las obligaciones asumidas en el marco de la</w:t>
      </w:r>
      <w:r w:rsidR="00C338E4" w:rsidRPr="00CD3501">
        <w:rPr>
          <w:lang w:val="es-ES_tradnl"/>
        </w:rPr>
        <w:t xml:space="preserve"> </w:t>
      </w:r>
      <w:r w:rsidR="002D03B6" w:rsidRPr="00CD3501">
        <w:rPr>
          <w:lang w:val="es-ES_tradnl"/>
        </w:rPr>
        <w:t>Convención Americana</w:t>
      </w:r>
      <w:r w:rsidR="00C338E4" w:rsidRPr="00CD3501">
        <w:rPr>
          <w:lang w:val="es-ES_tradnl"/>
        </w:rPr>
        <w:t xml:space="preserve"> </w:t>
      </w:r>
      <w:r w:rsidR="002D6716" w:rsidRPr="00CD3501">
        <w:rPr>
          <w:lang w:val="es-ES_tradnl"/>
        </w:rPr>
        <w:t xml:space="preserve">porque sigue penalizando </w:t>
      </w:r>
      <w:r w:rsidR="002D03B6" w:rsidRPr="00CD3501">
        <w:rPr>
          <w:lang w:val="es-ES_tradnl"/>
        </w:rPr>
        <w:t xml:space="preserve">la actividad sexual </w:t>
      </w:r>
      <w:r w:rsidR="002D6716" w:rsidRPr="00CD3501">
        <w:rPr>
          <w:lang w:val="es-ES_tradnl"/>
        </w:rPr>
        <w:t>con</w:t>
      </w:r>
      <w:r w:rsidR="00C338E4" w:rsidRPr="00CD3501">
        <w:rPr>
          <w:lang w:val="es-ES_tradnl"/>
        </w:rPr>
        <w:t xml:space="preserve">sensual </w:t>
      </w:r>
      <w:r w:rsidR="003067F3" w:rsidRPr="00CD3501">
        <w:rPr>
          <w:lang w:val="es-ES_tradnl"/>
        </w:rPr>
        <w:t xml:space="preserve">en privado </w:t>
      </w:r>
      <w:r w:rsidR="002D03B6" w:rsidRPr="00CD3501">
        <w:rPr>
          <w:lang w:val="es-ES_tradnl"/>
        </w:rPr>
        <w:t xml:space="preserve">entre </w:t>
      </w:r>
      <w:r w:rsidR="003067F3" w:rsidRPr="00CD3501">
        <w:rPr>
          <w:lang w:val="es-ES_tradnl"/>
        </w:rPr>
        <w:t>hombres</w:t>
      </w:r>
      <w:r w:rsidR="002D03B6" w:rsidRPr="00CD3501">
        <w:rPr>
          <w:lang w:val="es-ES_tradnl"/>
        </w:rPr>
        <w:t xml:space="preserve"> adultos</w:t>
      </w:r>
      <w:r w:rsidR="002D6716" w:rsidRPr="00CD3501">
        <w:rPr>
          <w:lang w:val="es-ES_tradnl"/>
        </w:rPr>
        <w:t xml:space="preserve"> y protege </w:t>
      </w:r>
      <w:r w:rsidR="003A5C8E" w:rsidRPr="00CD3501">
        <w:rPr>
          <w:lang w:val="es-ES_tradnl"/>
        </w:rPr>
        <w:t xml:space="preserve">de impugnaciones en el ordenamiento jurídico interno </w:t>
      </w:r>
      <w:r w:rsidR="008D4C90" w:rsidRPr="00CD3501">
        <w:rPr>
          <w:lang w:val="es-ES_tradnl"/>
        </w:rPr>
        <w:t>l</w:t>
      </w:r>
      <w:r w:rsidR="002D6716" w:rsidRPr="00CD3501">
        <w:rPr>
          <w:lang w:val="es-ES_tradnl"/>
        </w:rPr>
        <w:t xml:space="preserve">as leyes de </w:t>
      </w:r>
      <w:r w:rsidR="00C338E4" w:rsidRPr="00CD3501">
        <w:rPr>
          <w:lang w:val="es-ES_tradnl"/>
        </w:rPr>
        <w:t>“</w:t>
      </w:r>
      <w:r w:rsidR="000A3FB7" w:rsidRPr="00CD3501">
        <w:rPr>
          <w:lang w:val="es-ES_tradnl"/>
        </w:rPr>
        <w:t>sodomía</w:t>
      </w:r>
      <w:r w:rsidR="00C338E4" w:rsidRPr="00CD3501">
        <w:rPr>
          <w:lang w:val="es-ES_tradnl"/>
        </w:rPr>
        <w:t xml:space="preserve">” </w:t>
      </w:r>
      <w:r w:rsidR="002D6716" w:rsidRPr="00CD3501">
        <w:rPr>
          <w:lang w:val="es-ES_tradnl"/>
        </w:rPr>
        <w:t>y</w:t>
      </w:r>
      <w:r w:rsidR="00C338E4" w:rsidRPr="00CD3501">
        <w:rPr>
          <w:lang w:val="es-ES_tradnl"/>
        </w:rPr>
        <w:t xml:space="preserve"> </w:t>
      </w:r>
      <w:r w:rsidR="003A5C8E" w:rsidRPr="00CD3501">
        <w:rPr>
          <w:lang w:val="es-ES_tradnl"/>
        </w:rPr>
        <w:t>los</w:t>
      </w:r>
      <w:r w:rsidR="009654C0" w:rsidRPr="00CD3501">
        <w:rPr>
          <w:lang w:val="es-ES_tradnl"/>
        </w:rPr>
        <w:t xml:space="preserve"> </w:t>
      </w:r>
      <w:r w:rsidR="00C338E4" w:rsidRPr="00CD3501">
        <w:rPr>
          <w:lang w:val="es-ES_tradnl"/>
        </w:rPr>
        <w:t>“</w:t>
      </w:r>
      <w:r w:rsidR="009654C0" w:rsidRPr="00CD3501">
        <w:rPr>
          <w:lang w:val="es-ES_tradnl"/>
        </w:rPr>
        <w:t>delitos contra la moral pública</w:t>
      </w:r>
      <w:r w:rsidR="00C338E4" w:rsidRPr="00CD3501">
        <w:rPr>
          <w:lang w:val="es-ES_tradnl"/>
        </w:rPr>
        <w:t>”</w:t>
      </w:r>
      <w:r w:rsidR="002D03B6" w:rsidRPr="00CD3501">
        <w:rPr>
          <w:lang w:val="es-ES_tradnl"/>
        </w:rPr>
        <w:t xml:space="preserve"> de la época colonial</w:t>
      </w:r>
      <w:r w:rsidR="003A5C8E" w:rsidRPr="00CD3501">
        <w:rPr>
          <w:lang w:val="es-ES_tradnl"/>
        </w:rPr>
        <w:t>.</w:t>
      </w:r>
      <w:r w:rsidR="00C338E4" w:rsidRPr="00CD3501">
        <w:rPr>
          <w:lang w:val="es-ES_tradnl"/>
        </w:rPr>
        <w:t xml:space="preserve"> </w:t>
      </w:r>
      <w:r w:rsidR="000A3FB7" w:rsidRPr="00CD3501">
        <w:rPr>
          <w:lang w:val="es-ES_tradnl"/>
        </w:rPr>
        <w:t>Los peticionarios</w:t>
      </w:r>
      <w:r w:rsidR="00C338E4" w:rsidRPr="00CD3501">
        <w:rPr>
          <w:lang w:val="es-ES_tradnl"/>
        </w:rPr>
        <w:t xml:space="preserve"> </w:t>
      </w:r>
      <w:r w:rsidR="009654C0" w:rsidRPr="00CD3501">
        <w:rPr>
          <w:lang w:val="es-ES_tradnl"/>
        </w:rPr>
        <w:t>afirman que eso</w:t>
      </w:r>
      <w:r w:rsidR="00C338E4" w:rsidRPr="00CD3501">
        <w:rPr>
          <w:lang w:val="es-ES_tradnl"/>
        </w:rPr>
        <w:t xml:space="preserve"> perpet</w:t>
      </w:r>
      <w:r w:rsidR="009654C0" w:rsidRPr="00CD3501">
        <w:rPr>
          <w:lang w:val="es-ES_tradnl"/>
        </w:rPr>
        <w:t xml:space="preserve">úa </w:t>
      </w:r>
      <w:r w:rsidR="003A5C8E" w:rsidRPr="00CD3501">
        <w:rPr>
          <w:lang w:val="es-ES_tradnl"/>
        </w:rPr>
        <w:t>una</w:t>
      </w:r>
      <w:r w:rsidR="00C338E4" w:rsidRPr="00CD3501">
        <w:rPr>
          <w:lang w:val="es-ES_tradnl"/>
        </w:rPr>
        <w:t xml:space="preserve"> cultur</w:t>
      </w:r>
      <w:r w:rsidR="009654C0" w:rsidRPr="00CD3501">
        <w:rPr>
          <w:lang w:val="es-ES_tradnl"/>
        </w:rPr>
        <w:t>a</w:t>
      </w:r>
      <w:r w:rsidR="00C338E4" w:rsidRPr="00CD3501">
        <w:rPr>
          <w:lang w:val="es-ES_tradnl"/>
        </w:rPr>
        <w:t xml:space="preserve"> </w:t>
      </w:r>
      <w:r w:rsidR="009654C0" w:rsidRPr="00CD3501">
        <w:rPr>
          <w:lang w:val="es-ES_tradnl"/>
        </w:rPr>
        <w:t xml:space="preserve">de </w:t>
      </w:r>
      <w:r w:rsidR="003A5C8E" w:rsidRPr="00CD3501">
        <w:rPr>
          <w:lang w:val="es-ES_tradnl"/>
        </w:rPr>
        <w:t>violencia homofóbica en</w:t>
      </w:r>
      <w:r w:rsidR="009654C0" w:rsidRPr="00CD3501">
        <w:rPr>
          <w:lang w:val="es-ES_tradnl"/>
        </w:rPr>
        <w:t xml:space="preserve"> Jamaica e incentiva a</w:t>
      </w:r>
      <w:r w:rsidRPr="00CD3501">
        <w:rPr>
          <w:lang w:val="es-ES_tradnl"/>
        </w:rPr>
        <w:t>l Estado</w:t>
      </w:r>
      <w:r w:rsidR="00C338E4" w:rsidRPr="00CD3501">
        <w:rPr>
          <w:lang w:val="es-ES_tradnl"/>
        </w:rPr>
        <w:t xml:space="preserve"> </w:t>
      </w:r>
      <w:r w:rsidR="009654C0" w:rsidRPr="00CD3501">
        <w:rPr>
          <w:lang w:val="es-ES_tradnl"/>
        </w:rPr>
        <w:t xml:space="preserve">y a la </w:t>
      </w:r>
      <w:r w:rsidR="002D03B6" w:rsidRPr="00CD3501">
        <w:rPr>
          <w:lang w:val="es-ES_tradnl"/>
        </w:rPr>
        <w:t>población general</w:t>
      </w:r>
      <w:r w:rsidR="00C338E4" w:rsidRPr="00CD3501">
        <w:rPr>
          <w:lang w:val="es-ES_tradnl"/>
        </w:rPr>
        <w:t xml:space="preserve"> </w:t>
      </w:r>
      <w:r w:rsidR="009654C0" w:rsidRPr="00CD3501">
        <w:rPr>
          <w:lang w:val="es-ES_tradnl"/>
        </w:rPr>
        <w:t>a perseguir no solo a</w:t>
      </w:r>
      <w:r w:rsidR="00C338E4" w:rsidRPr="00CD3501">
        <w:rPr>
          <w:lang w:val="es-ES_tradnl"/>
        </w:rPr>
        <w:t xml:space="preserve"> </w:t>
      </w:r>
      <w:r w:rsidR="002D03B6" w:rsidRPr="00CD3501">
        <w:rPr>
          <w:lang w:val="es-ES_tradnl"/>
        </w:rPr>
        <w:t>hombres homosexuales</w:t>
      </w:r>
      <w:r w:rsidR="00C338E4" w:rsidRPr="00CD3501">
        <w:rPr>
          <w:lang w:val="es-ES_tradnl"/>
        </w:rPr>
        <w:t xml:space="preserve">, </w:t>
      </w:r>
      <w:r w:rsidR="009654C0" w:rsidRPr="00CD3501">
        <w:rPr>
          <w:lang w:val="es-ES_tradnl"/>
        </w:rPr>
        <w:t xml:space="preserve">sino también a las personas </w:t>
      </w:r>
      <w:r w:rsidR="00C338E4" w:rsidRPr="00CD3501">
        <w:rPr>
          <w:lang w:val="es-ES_tradnl"/>
        </w:rPr>
        <w:t>lesbian</w:t>
      </w:r>
      <w:r w:rsidR="009654C0" w:rsidRPr="00CD3501">
        <w:rPr>
          <w:lang w:val="es-ES_tradnl"/>
        </w:rPr>
        <w:t>as</w:t>
      </w:r>
      <w:r w:rsidR="00C338E4" w:rsidRPr="00CD3501">
        <w:rPr>
          <w:lang w:val="es-ES_tradnl"/>
        </w:rPr>
        <w:t xml:space="preserve">, </w:t>
      </w:r>
      <w:r w:rsidR="00F46DA8" w:rsidRPr="00CD3501">
        <w:rPr>
          <w:lang w:val="es-ES_tradnl"/>
        </w:rPr>
        <w:t>gais</w:t>
      </w:r>
      <w:r w:rsidR="00C338E4" w:rsidRPr="00CD3501">
        <w:rPr>
          <w:lang w:val="es-ES_tradnl"/>
        </w:rPr>
        <w:t>, bisexual</w:t>
      </w:r>
      <w:r w:rsidR="009654C0" w:rsidRPr="00CD3501">
        <w:rPr>
          <w:lang w:val="es-ES_tradnl"/>
        </w:rPr>
        <w:t>es</w:t>
      </w:r>
      <w:r w:rsidR="00C338E4" w:rsidRPr="00CD3501">
        <w:rPr>
          <w:lang w:val="es-ES_tradnl"/>
        </w:rPr>
        <w:t>, trans</w:t>
      </w:r>
      <w:r w:rsidR="009654C0" w:rsidRPr="00CD3501">
        <w:rPr>
          <w:lang w:val="es-ES_tradnl"/>
        </w:rPr>
        <w:t xml:space="preserve"> e </w:t>
      </w:r>
      <w:r w:rsidR="00BB0A79" w:rsidRPr="00CD3501">
        <w:rPr>
          <w:lang w:val="es-ES_tradnl"/>
        </w:rPr>
        <w:t xml:space="preserve">intersex (LGBTI) </w:t>
      </w:r>
      <w:r w:rsidR="009654C0" w:rsidRPr="00CD3501">
        <w:rPr>
          <w:lang w:val="es-ES_tradnl"/>
        </w:rPr>
        <w:t>en general</w:t>
      </w:r>
      <w:r w:rsidR="00BB0A79" w:rsidRPr="00CD3501">
        <w:rPr>
          <w:lang w:val="es-ES_tradnl"/>
        </w:rPr>
        <w:t>.</w:t>
      </w:r>
    </w:p>
    <w:p w14:paraId="19167EF7" w14:textId="77777777" w:rsidR="00BB0A79" w:rsidRPr="00CD3501" w:rsidRDefault="00BB0A79" w:rsidP="00A167CF">
      <w:pPr>
        <w:pStyle w:val="parrafos"/>
        <w:tabs>
          <w:tab w:val="clear" w:pos="360"/>
        </w:tabs>
        <w:rPr>
          <w:lang w:val="es-ES_tradnl"/>
        </w:rPr>
      </w:pPr>
    </w:p>
    <w:p w14:paraId="7BC4DFB4" w14:textId="133F5489" w:rsidR="00BB0A79" w:rsidRPr="00CD3501" w:rsidRDefault="009A3641" w:rsidP="00C12E55">
      <w:pPr>
        <w:pStyle w:val="parrafos"/>
        <w:numPr>
          <w:ilvl w:val="0"/>
          <w:numId w:val="57"/>
        </w:numPr>
        <w:tabs>
          <w:tab w:val="clear" w:pos="360"/>
          <w:tab w:val="clear" w:pos="1080"/>
        </w:tabs>
        <w:ind w:left="0" w:firstLine="0"/>
        <w:rPr>
          <w:lang w:val="es-ES_tradnl"/>
        </w:rPr>
      </w:pPr>
      <w:r w:rsidRPr="00CD3501">
        <w:rPr>
          <w:lang w:val="es-ES_tradnl"/>
        </w:rPr>
        <w:t>L</w:t>
      </w:r>
      <w:r w:rsidR="003A5C8E" w:rsidRPr="00CD3501">
        <w:rPr>
          <w:lang w:val="es-ES_tradnl"/>
        </w:rPr>
        <w:t>a parte peticionaria</w:t>
      </w:r>
      <w:r w:rsidR="00BF2ECF" w:rsidRPr="00CD3501">
        <w:rPr>
          <w:lang w:val="es-ES_tradnl"/>
        </w:rPr>
        <w:t xml:space="preserve"> </w:t>
      </w:r>
      <w:r w:rsidR="003A5C8E" w:rsidRPr="00CD3501">
        <w:rPr>
          <w:lang w:val="es-ES_tradnl"/>
        </w:rPr>
        <w:t>aduce</w:t>
      </w:r>
      <w:r w:rsidR="005F06A1" w:rsidRPr="00CD3501">
        <w:rPr>
          <w:lang w:val="es-ES_tradnl"/>
        </w:rPr>
        <w:t xml:space="preserve"> que</w:t>
      </w:r>
      <w:r w:rsidR="002D03B6" w:rsidRPr="00CD3501">
        <w:rPr>
          <w:lang w:val="es-ES_tradnl"/>
        </w:rPr>
        <w:t>, en algunos artículos de la Ley de Delitos contra la Persona</w:t>
      </w:r>
      <w:r w:rsidR="00C338E4" w:rsidRPr="00CD3501">
        <w:rPr>
          <w:lang w:val="es-ES_tradnl"/>
        </w:rPr>
        <w:t xml:space="preserve"> </w:t>
      </w:r>
      <w:r w:rsidR="002D03B6" w:rsidRPr="00CD3501">
        <w:rPr>
          <w:lang w:val="es-ES_tradnl"/>
        </w:rPr>
        <w:t>de</w:t>
      </w:r>
      <w:r w:rsidR="00C338E4" w:rsidRPr="00CD3501">
        <w:rPr>
          <w:lang w:val="es-ES_tradnl"/>
        </w:rPr>
        <w:t xml:space="preserve"> 1864 (</w:t>
      </w:r>
      <w:r w:rsidR="009654C0" w:rsidRPr="00CD3501">
        <w:rPr>
          <w:lang w:val="es-ES_tradnl"/>
        </w:rPr>
        <w:t xml:space="preserve">también denominada </w:t>
      </w:r>
      <w:r w:rsidR="00C338E4" w:rsidRPr="00CD3501">
        <w:rPr>
          <w:lang w:val="es-ES_tradnl"/>
        </w:rPr>
        <w:t>“</w:t>
      </w:r>
      <w:r w:rsidR="000A3FB7" w:rsidRPr="00CD3501">
        <w:rPr>
          <w:lang w:val="es-ES_tradnl"/>
        </w:rPr>
        <w:t>ley</w:t>
      </w:r>
      <w:r w:rsidR="002F1404" w:rsidRPr="00CD3501">
        <w:rPr>
          <w:lang w:val="es-ES_tradnl"/>
        </w:rPr>
        <w:t>es</w:t>
      </w:r>
      <w:r w:rsidR="000A3FB7" w:rsidRPr="00CD3501">
        <w:rPr>
          <w:lang w:val="es-ES_tradnl"/>
        </w:rPr>
        <w:t xml:space="preserve"> de sodomía</w:t>
      </w:r>
      <w:r w:rsidR="00C338E4" w:rsidRPr="00CD3501">
        <w:rPr>
          <w:lang w:val="es-ES_tradnl"/>
        </w:rPr>
        <w:t>”)</w:t>
      </w:r>
      <w:r w:rsidR="009654C0" w:rsidRPr="00CD3501">
        <w:rPr>
          <w:lang w:val="es-ES_tradnl"/>
        </w:rPr>
        <w:t>, se tipifican como delito la sodomía</w:t>
      </w:r>
      <w:r w:rsidR="00C338E4" w:rsidRPr="00CD3501">
        <w:rPr>
          <w:lang w:val="es-ES_tradnl"/>
        </w:rPr>
        <w:t>, defin</w:t>
      </w:r>
      <w:r w:rsidR="009654C0" w:rsidRPr="00CD3501">
        <w:rPr>
          <w:lang w:val="es-ES_tradnl"/>
        </w:rPr>
        <w:t xml:space="preserve">ida como relaciones sexuales anales, y los </w:t>
      </w:r>
      <w:r w:rsidR="00C338E4" w:rsidRPr="00CD3501">
        <w:rPr>
          <w:lang w:val="es-ES_tradnl"/>
        </w:rPr>
        <w:t>“</w:t>
      </w:r>
      <w:r w:rsidR="00EC50E9" w:rsidRPr="00CD3501">
        <w:rPr>
          <w:lang w:val="es-ES_tradnl"/>
        </w:rPr>
        <w:t>ultrajes contra la moral pública</w:t>
      </w:r>
      <w:r w:rsidR="00C338E4" w:rsidRPr="00CD3501">
        <w:rPr>
          <w:lang w:val="es-ES_tradnl"/>
        </w:rPr>
        <w:t xml:space="preserve">” </w:t>
      </w:r>
      <w:r w:rsidR="00EC50E9" w:rsidRPr="00CD3501">
        <w:rPr>
          <w:lang w:val="es-ES_tradnl"/>
        </w:rPr>
        <w:t xml:space="preserve">entre hombres, en público o en privado, y se les aplica una pena máxima de </w:t>
      </w:r>
      <w:r w:rsidR="004E048E" w:rsidRPr="00CD3501">
        <w:rPr>
          <w:lang w:val="es-ES_tradnl"/>
        </w:rPr>
        <w:t>diez</w:t>
      </w:r>
      <w:r w:rsidR="00C338E4" w:rsidRPr="00CD3501">
        <w:rPr>
          <w:lang w:val="es-ES_tradnl"/>
        </w:rPr>
        <w:t xml:space="preserve"> </w:t>
      </w:r>
      <w:r w:rsidR="003A5C8E" w:rsidRPr="00CD3501">
        <w:rPr>
          <w:lang w:val="es-ES_tradnl"/>
        </w:rPr>
        <w:t>años de cárcel. Agrega</w:t>
      </w:r>
      <w:r w:rsidR="00EC50E9" w:rsidRPr="00CD3501">
        <w:rPr>
          <w:lang w:val="es-ES_tradnl"/>
        </w:rPr>
        <w:t xml:space="preserve"> que la</w:t>
      </w:r>
      <w:r w:rsidR="002F1404" w:rsidRPr="00CD3501">
        <w:rPr>
          <w:lang w:val="es-ES_tradnl"/>
        </w:rPr>
        <w:t>s</w:t>
      </w:r>
      <w:r w:rsidR="00EC50E9" w:rsidRPr="00CD3501">
        <w:rPr>
          <w:lang w:val="es-ES_tradnl"/>
        </w:rPr>
        <w:t xml:space="preserve"> </w:t>
      </w:r>
      <w:r w:rsidR="000A3FB7" w:rsidRPr="00CD3501">
        <w:rPr>
          <w:lang w:val="es-ES_tradnl"/>
        </w:rPr>
        <w:t>ley</w:t>
      </w:r>
      <w:r w:rsidR="002F1404" w:rsidRPr="00CD3501">
        <w:rPr>
          <w:lang w:val="es-ES_tradnl"/>
        </w:rPr>
        <w:t>es</w:t>
      </w:r>
      <w:r w:rsidR="000A3FB7" w:rsidRPr="00CD3501">
        <w:rPr>
          <w:lang w:val="es-ES_tradnl"/>
        </w:rPr>
        <w:t xml:space="preserve"> de sodomía</w:t>
      </w:r>
      <w:r w:rsidR="00C338E4" w:rsidRPr="00CD3501">
        <w:rPr>
          <w:lang w:val="es-ES_tradnl"/>
        </w:rPr>
        <w:t xml:space="preserve"> </w:t>
      </w:r>
      <w:r w:rsidR="00EC50E9" w:rsidRPr="00CD3501">
        <w:rPr>
          <w:lang w:val="es-ES_tradnl"/>
        </w:rPr>
        <w:t>se usa</w:t>
      </w:r>
      <w:r w:rsidR="002F1404" w:rsidRPr="00CD3501">
        <w:rPr>
          <w:lang w:val="es-ES_tradnl"/>
        </w:rPr>
        <w:t>n</w:t>
      </w:r>
      <w:r w:rsidR="00EC50E9" w:rsidRPr="00CD3501">
        <w:rPr>
          <w:lang w:val="es-ES_tradnl"/>
        </w:rPr>
        <w:t xml:space="preserve"> para juzgar y</w:t>
      </w:r>
      <w:r w:rsidR="00C338E4" w:rsidRPr="00CD3501">
        <w:rPr>
          <w:lang w:val="es-ES_tradnl"/>
        </w:rPr>
        <w:t xml:space="preserve"> legitim</w:t>
      </w:r>
      <w:r w:rsidR="00EC50E9" w:rsidRPr="00CD3501">
        <w:rPr>
          <w:lang w:val="es-ES_tradnl"/>
        </w:rPr>
        <w:t>ar la discriminación</w:t>
      </w:r>
      <w:r w:rsidR="00C338E4" w:rsidRPr="00CD3501">
        <w:rPr>
          <w:lang w:val="es-ES_tradnl"/>
        </w:rPr>
        <w:t xml:space="preserve"> </w:t>
      </w:r>
      <w:r w:rsidR="00EC50E9" w:rsidRPr="00CD3501">
        <w:rPr>
          <w:lang w:val="es-ES_tradnl"/>
        </w:rPr>
        <w:t>y la</w:t>
      </w:r>
      <w:r w:rsidR="00C338E4" w:rsidRPr="00CD3501">
        <w:rPr>
          <w:lang w:val="es-ES_tradnl"/>
        </w:rPr>
        <w:t xml:space="preserve"> </w:t>
      </w:r>
      <w:r w:rsidR="00EC50E9" w:rsidRPr="00CD3501">
        <w:rPr>
          <w:lang w:val="es-ES_tradnl"/>
        </w:rPr>
        <w:t>violencia</w:t>
      </w:r>
      <w:r w:rsidR="00C338E4" w:rsidRPr="00CD3501">
        <w:rPr>
          <w:lang w:val="es-ES_tradnl"/>
        </w:rPr>
        <w:t xml:space="preserve"> </w:t>
      </w:r>
      <w:r w:rsidR="00EC50E9" w:rsidRPr="00CD3501">
        <w:rPr>
          <w:lang w:val="es-ES_tradnl"/>
        </w:rPr>
        <w:t xml:space="preserve">contra las </w:t>
      </w:r>
      <w:r w:rsidR="009E5620" w:rsidRPr="00CD3501">
        <w:rPr>
          <w:lang w:val="es-ES_tradnl"/>
        </w:rPr>
        <w:t>personas LGBTI</w:t>
      </w:r>
      <w:r w:rsidR="00C338E4" w:rsidRPr="00CD3501">
        <w:rPr>
          <w:lang w:val="es-ES_tradnl"/>
        </w:rPr>
        <w:t xml:space="preserve"> </w:t>
      </w:r>
      <w:r w:rsidR="00EC50E9" w:rsidRPr="00CD3501">
        <w:rPr>
          <w:lang w:val="es-ES_tradnl"/>
        </w:rPr>
        <w:t xml:space="preserve">motivadas por la </w:t>
      </w:r>
      <w:r w:rsidR="000A3FB7" w:rsidRPr="00CD3501">
        <w:rPr>
          <w:lang w:val="es-ES_tradnl"/>
        </w:rPr>
        <w:t>orientación sexual</w:t>
      </w:r>
      <w:r w:rsidR="00512224" w:rsidRPr="00CD3501">
        <w:rPr>
          <w:lang w:val="es-ES_tradnl"/>
        </w:rPr>
        <w:t xml:space="preserve"> </w:t>
      </w:r>
      <w:r w:rsidR="00EC50E9" w:rsidRPr="00CD3501">
        <w:rPr>
          <w:lang w:val="es-ES_tradnl"/>
        </w:rPr>
        <w:t>o la identidad de género</w:t>
      </w:r>
      <w:r w:rsidR="00512224" w:rsidRPr="00CD3501">
        <w:rPr>
          <w:lang w:val="es-ES_tradnl"/>
        </w:rPr>
        <w:t>.</w:t>
      </w:r>
    </w:p>
    <w:p w14:paraId="4B516D85" w14:textId="77777777" w:rsidR="00BB0A79" w:rsidRPr="00CD3501" w:rsidRDefault="00BB0A79" w:rsidP="00EC50E9">
      <w:pPr>
        <w:rPr>
          <w:lang w:val="es-ES_tradnl"/>
        </w:rPr>
      </w:pPr>
    </w:p>
    <w:p w14:paraId="54C6B5B0" w14:textId="33FC7956" w:rsidR="00BB0A79" w:rsidRPr="00CD3501" w:rsidRDefault="009A3641" w:rsidP="00C12E55">
      <w:pPr>
        <w:pStyle w:val="parrafos"/>
        <w:numPr>
          <w:ilvl w:val="0"/>
          <w:numId w:val="57"/>
        </w:numPr>
        <w:tabs>
          <w:tab w:val="clear" w:pos="360"/>
          <w:tab w:val="clear" w:pos="1080"/>
        </w:tabs>
        <w:ind w:left="0" w:firstLine="0"/>
        <w:rPr>
          <w:lang w:val="es-ES_tradnl"/>
        </w:rPr>
      </w:pPr>
      <w:r w:rsidRPr="00CD3501">
        <w:rPr>
          <w:rFonts w:eastAsia="Cambria" w:cs="Cambria"/>
          <w:color w:val="000000"/>
          <w:u w:color="000000"/>
          <w:lang w:val="es-ES_tradnl" w:eastAsia="es-ES"/>
        </w:rPr>
        <w:t>L</w:t>
      </w:r>
      <w:r w:rsidR="003A5C8E" w:rsidRPr="00CD3501">
        <w:rPr>
          <w:rFonts w:eastAsia="Cambria" w:cs="Cambria"/>
          <w:color w:val="000000"/>
          <w:u w:color="000000"/>
          <w:lang w:val="es-ES_tradnl" w:eastAsia="es-ES"/>
        </w:rPr>
        <w:t>a parte peticionaria</w:t>
      </w:r>
      <w:r w:rsidR="00C338E4" w:rsidRPr="00CD3501">
        <w:rPr>
          <w:rFonts w:eastAsia="Cambria" w:cs="Cambria"/>
          <w:color w:val="000000"/>
          <w:u w:color="000000"/>
          <w:lang w:val="es-ES_tradnl" w:eastAsia="es-ES"/>
        </w:rPr>
        <w:t xml:space="preserve"> </w:t>
      </w:r>
      <w:r w:rsidR="003A5C8E" w:rsidRPr="00CD3501">
        <w:rPr>
          <w:rFonts w:eastAsia="Cambria" w:cs="Cambria"/>
          <w:color w:val="000000"/>
          <w:u w:color="000000"/>
          <w:lang w:val="es-ES_tradnl" w:eastAsia="es-ES"/>
        </w:rPr>
        <w:t>sostiene</w:t>
      </w:r>
      <w:r w:rsidR="005F06A1" w:rsidRPr="00CD3501">
        <w:rPr>
          <w:rFonts w:eastAsia="Cambria" w:cs="Cambria"/>
          <w:color w:val="000000"/>
          <w:u w:color="000000"/>
          <w:lang w:val="es-ES_tradnl" w:eastAsia="es-ES"/>
        </w:rPr>
        <w:t xml:space="preserve"> que</w:t>
      </w:r>
      <w:r w:rsidR="00C338E4" w:rsidRPr="00CD3501">
        <w:rPr>
          <w:rFonts w:eastAsia="Cambria" w:cs="Cambria"/>
          <w:color w:val="000000"/>
          <w:u w:color="000000"/>
          <w:lang w:val="es-ES_tradnl" w:eastAsia="es-ES"/>
        </w:rPr>
        <w:t xml:space="preserve"> </w:t>
      </w:r>
      <w:r w:rsidR="005F06A1" w:rsidRPr="00CD3501">
        <w:rPr>
          <w:rFonts w:eastAsia="Cambria" w:cs="Cambria"/>
          <w:color w:val="000000"/>
          <w:u w:color="000000"/>
          <w:lang w:val="es-ES_tradnl" w:eastAsia="es-ES"/>
        </w:rPr>
        <w:t>el señor</w:t>
      </w:r>
      <w:r w:rsidR="00C338E4" w:rsidRPr="00CD3501">
        <w:rPr>
          <w:rFonts w:eastAsia="Cambria" w:cs="Cambria"/>
          <w:color w:val="000000"/>
          <w:u w:color="000000"/>
          <w:lang w:val="es-ES_tradnl" w:eastAsia="es-ES"/>
        </w:rPr>
        <w:t xml:space="preserve"> Henry, </w:t>
      </w:r>
      <w:r w:rsidR="00CC2262" w:rsidRPr="00CD3501">
        <w:rPr>
          <w:rFonts w:eastAsia="Cambria" w:cs="Cambria"/>
          <w:color w:val="000000"/>
          <w:u w:color="000000"/>
          <w:lang w:val="es-ES_tradnl" w:eastAsia="es-ES"/>
        </w:rPr>
        <w:t>que es</w:t>
      </w:r>
      <w:r w:rsidR="00C338E4" w:rsidRPr="00CD3501">
        <w:rPr>
          <w:rFonts w:eastAsia="Cambria" w:cs="Cambria"/>
          <w:color w:val="000000"/>
          <w:u w:color="000000"/>
          <w:lang w:val="es-ES_tradnl" w:eastAsia="es-ES"/>
        </w:rPr>
        <w:t xml:space="preserve"> gay</w:t>
      </w:r>
      <w:r w:rsidR="00CC2262" w:rsidRPr="00CD3501">
        <w:rPr>
          <w:rFonts w:eastAsia="Cambria" w:cs="Cambria"/>
          <w:color w:val="000000"/>
          <w:u w:color="000000"/>
          <w:lang w:val="es-ES_tradnl" w:eastAsia="es-ES"/>
        </w:rPr>
        <w:t xml:space="preserve">, fue objeto de acoso y golpizas frecuentes desde que era niño debido a su </w:t>
      </w:r>
      <w:r w:rsidR="000A3FB7" w:rsidRPr="00CD3501">
        <w:rPr>
          <w:rFonts w:eastAsia="Cambria" w:cs="Cambria"/>
          <w:color w:val="000000"/>
          <w:u w:color="000000"/>
          <w:lang w:val="es-ES_tradnl" w:eastAsia="es-ES"/>
        </w:rPr>
        <w:t>orientación sexual</w:t>
      </w:r>
      <w:r w:rsidR="00C338E4" w:rsidRPr="00CD3501">
        <w:rPr>
          <w:rFonts w:eastAsia="Cambria" w:cs="Cambria"/>
          <w:color w:val="000000"/>
          <w:u w:color="000000"/>
          <w:lang w:val="es-ES_tradnl" w:eastAsia="es-ES"/>
        </w:rPr>
        <w:t xml:space="preserve">. </w:t>
      </w:r>
      <w:r w:rsidR="00CC2262" w:rsidRPr="00CD3501">
        <w:rPr>
          <w:rFonts w:eastAsia="Cambria" w:cs="Cambria"/>
          <w:color w:val="000000"/>
          <w:u w:color="000000"/>
          <w:lang w:val="es-ES_tradnl" w:eastAsia="es-ES"/>
        </w:rPr>
        <w:t>A</w:t>
      </w:r>
      <w:r w:rsidR="003A5C8E" w:rsidRPr="00CD3501">
        <w:rPr>
          <w:rFonts w:eastAsia="Cambria" w:cs="Cambria"/>
          <w:color w:val="000000"/>
          <w:u w:color="000000"/>
          <w:lang w:val="es-ES_tradnl" w:eastAsia="es-ES"/>
        </w:rPr>
        <w:t>lega</w:t>
      </w:r>
      <w:r w:rsidR="005F06A1" w:rsidRPr="00CD3501">
        <w:rPr>
          <w:rFonts w:eastAsia="Cambria" w:cs="Cambria"/>
          <w:color w:val="000000"/>
          <w:u w:color="000000"/>
          <w:lang w:val="es-ES_tradnl" w:eastAsia="es-ES"/>
        </w:rPr>
        <w:t xml:space="preserve"> que</w:t>
      </w:r>
      <w:r w:rsidR="00C338E4" w:rsidRPr="00CD3501">
        <w:rPr>
          <w:rFonts w:eastAsia="Cambria" w:cs="Cambria"/>
          <w:color w:val="000000"/>
          <w:u w:color="000000"/>
          <w:lang w:val="es-ES_tradnl" w:eastAsia="es-ES"/>
        </w:rPr>
        <w:t xml:space="preserve"> </w:t>
      </w:r>
      <w:r w:rsidR="005F06A1" w:rsidRPr="00CD3501">
        <w:rPr>
          <w:rFonts w:eastAsia="Cambria" w:cs="Cambria"/>
          <w:color w:val="000000"/>
          <w:u w:color="000000"/>
          <w:lang w:val="es-ES_tradnl" w:eastAsia="es-ES"/>
        </w:rPr>
        <w:t>el señor</w:t>
      </w:r>
      <w:r w:rsidR="00C338E4" w:rsidRPr="00CD3501">
        <w:rPr>
          <w:rFonts w:eastAsia="Cambria" w:cs="Cambria"/>
          <w:color w:val="000000"/>
          <w:u w:color="000000"/>
          <w:lang w:val="es-ES_tradnl" w:eastAsia="es-ES"/>
        </w:rPr>
        <w:t xml:space="preserve"> Henry </w:t>
      </w:r>
      <w:r w:rsidR="00CC2262" w:rsidRPr="00CD3501">
        <w:rPr>
          <w:rFonts w:eastAsia="Cambria" w:cs="Cambria"/>
          <w:color w:val="000000"/>
          <w:u w:color="000000"/>
          <w:lang w:val="es-ES_tradnl" w:eastAsia="es-ES"/>
        </w:rPr>
        <w:t xml:space="preserve">se vio obligado a abandonar su ciudad natal y su familia debido a los ataque homofóbicos y a mudarse </w:t>
      </w:r>
      <w:r w:rsidR="00DA59E0" w:rsidRPr="00CD3501">
        <w:rPr>
          <w:rFonts w:eastAsia="Cambria" w:cs="Cambria"/>
          <w:color w:val="000000"/>
          <w:u w:color="000000"/>
          <w:lang w:val="es-ES_tradnl" w:eastAsia="es-ES"/>
        </w:rPr>
        <w:t>constantemente</w:t>
      </w:r>
      <w:r w:rsidR="00CC2262" w:rsidRPr="00CD3501">
        <w:rPr>
          <w:rFonts w:eastAsia="Cambria" w:cs="Cambria"/>
          <w:color w:val="000000"/>
          <w:u w:color="000000"/>
          <w:lang w:val="es-ES_tradnl" w:eastAsia="es-ES"/>
        </w:rPr>
        <w:t xml:space="preserve">. </w:t>
      </w:r>
      <w:r w:rsidR="003A5C8E" w:rsidRPr="00CD3501">
        <w:rPr>
          <w:rFonts w:eastAsia="Cambria" w:cs="Cambria"/>
          <w:color w:val="000000"/>
          <w:u w:color="000000"/>
          <w:lang w:val="es-ES_tradnl" w:eastAsia="es-ES"/>
        </w:rPr>
        <w:t>Agrega</w:t>
      </w:r>
      <w:r w:rsidR="004E048E" w:rsidRPr="00CD3501">
        <w:rPr>
          <w:rFonts w:eastAsia="Cambria" w:cs="Cambria"/>
          <w:color w:val="000000"/>
          <w:u w:color="000000"/>
          <w:lang w:val="es-ES_tradnl" w:eastAsia="es-ES"/>
        </w:rPr>
        <w:t xml:space="preserve"> </w:t>
      </w:r>
      <w:r w:rsidR="00CC2262" w:rsidRPr="00CD3501">
        <w:rPr>
          <w:rFonts w:eastAsia="Cambria" w:cs="Cambria"/>
          <w:color w:val="000000"/>
          <w:u w:color="000000"/>
          <w:lang w:val="es-ES_tradnl" w:eastAsia="es-ES"/>
        </w:rPr>
        <w:t xml:space="preserve">que, entre diciembre de </w:t>
      </w:r>
      <w:r w:rsidR="00C338E4" w:rsidRPr="00CD3501">
        <w:rPr>
          <w:rFonts w:eastAsia="Cambria" w:cs="Cambria"/>
          <w:color w:val="000000"/>
          <w:u w:color="000000"/>
          <w:lang w:val="es-ES_tradnl" w:eastAsia="es-ES"/>
        </w:rPr>
        <w:t xml:space="preserve">2003 </w:t>
      </w:r>
      <w:r w:rsidR="004E048E" w:rsidRPr="00CD3501">
        <w:rPr>
          <w:rFonts w:eastAsia="Cambria" w:cs="Cambria"/>
          <w:color w:val="000000"/>
          <w:u w:color="000000"/>
          <w:lang w:val="es-ES_tradnl" w:eastAsia="es-ES"/>
        </w:rPr>
        <w:t>y</w:t>
      </w:r>
      <w:r w:rsidR="00CC2262" w:rsidRPr="00CD3501">
        <w:rPr>
          <w:rFonts w:eastAsia="Cambria" w:cs="Cambria"/>
          <w:color w:val="000000"/>
          <w:u w:color="000000"/>
          <w:lang w:val="es-ES_tradnl" w:eastAsia="es-ES"/>
        </w:rPr>
        <w:t xml:space="preserve"> marzo de</w:t>
      </w:r>
      <w:r w:rsidR="00C338E4" w:rsidRPr="00CD3501">
        <w:rPr>
          <w:rFonts w:eastAsia="Cambria" w:cs="Cambria"/>
          <w:color w:val="000000"/>
          <w:u w:color="000000"/>
          <w:lang w:val="es-ES_tradnl" w:eastAsia="es-ES"/>
        </w:rPr>
        <w:t xml:space="preserve"> 2007, </w:t>
      </w:r>
      <w:r w:rsidR="005F06A1" w:rsidRPr="00CD3501">
        <w:rPr>
          <w:rFonts w:eastAsia="Cambria" w:cs="Cambria"/>
          <w:color w:val="000000"/>
          <w:u w:color="000000"/>
          <w:lang w:val="es-ES_tradnl" w:eastAsia="es-ES"/>
        </w:rPr>
        <w:t>el señor</w:t>
      </w:r>
      <w:r w:rsidR="00C338E4" w:rsidRPr="00CD3501">
        <w:rPr>
          <w:rFonts w:eastAsia="Cambria" w:cs="Cambria"/>
          <w:color w:val="000000"/>
          <w:u w:color="000000"/>
          <w:lang w:val="es-ES_tradnl" w:eastAsia="es-ES"/>
        </w:rPr>
        <w:t xml:space="preserve"> Henry </w:t>
      </w:r>
      <w:r w:rsidR="00CC2262" w:rsidRPr="00CD3501">
        <w:rPr>
          <w:rFonts w:eastAsia="Cambria" w:cs="Cambria"/>
          <w:color w:val="000000"/>
          <w:u w:color="000000"/>
          <w:lang w:val="es-ES_tradnl" w:eastAsia="es-ES"/>
        </w:rPr>
        <w:t>fue acosado con frecuencia por agentes de policía</w:t>
      </w:r>
      <w:r w:rsidR="00C338E4" w:rsidRPr="00CD3501">
        <w:rPr>
          <w:rFonts w:eastAsia="Cambria" w:cs="Cambria"/>
          <w:color w:val="000000"/>
          <w:u w:color="000000"/>
          <w:lang w:val="es-ES_tradnl" w:eastAsia="es-ES"/>
        </w:rPr>
        <w:t xml:space="preserve">. </w:t>
      </w:r>
      <w:r w:rsidR="00CC2262" w:rsidRPr="00CD3501">
        <w:rPr>
          <w:rFonts w:eastAsia="Cambria" w:cs="Cambria"/>
          <w:color w:val="000000"/>
          <w:u w:color="000000"/>
          <w:lang w:val="es-ES_tradnl" w:eastAsia="es-ES"/>
        </w:rPr>
        <w:t>E</w:t>
      </w:r>
      <w:r w:rsidR="00C338E4" w:rsidRPr="00CD3501">
        <w:rPr>
          <w:rFonts w:eastAsia="Cambria" w:cs="Cambria"/>
          <w:color w:val="000000"/>
          <w:u w:color="000000"/>
          <w:lang w:val="es-ES_tradnl" w:eastAsia="es-ES"/>
        </w:rPr>
        <w:t xml:space="preserve">n particular, </w:t>
      </w:r>
      <w:r w:rsidR="003A5C8E" w:rsidRPr="00CD3501">
        <w:rPr>
          <w:rFonts w:eastAsia="Cambria" w:cs="Cambria"/>
          <w:color w:val="000000"/>
          <w:u w:color="000000"/>
          <w:lang w:val="es-ES_tradnl" w:eastAsia="es-ES"/>
        </w:rPr>
        <w:t>señala</w:t>
      </w:r>
      <w:r w:rsidR="004E048E" w:rsidRPr="00CD3501">
        <w:rPr>
          <w:rFonts w:eastAsia="Cambria" w:cs="Cambria"/>
          <w:color w:val="000000"/>
          <w:u w:color="000000"/>
          <w:lang w:val="es-ES_tradnl" w:eastAsia="es-ES"/>
        </w:rPr>
        <w:t xml:space="preserve"> </w:t>
      </w:r>
      <w:r w:rsidR="005F06A1" w:rsidRPr="00CD3501">
        <w:rPr>
          <w:rFonts w:eastAsia="Cambria" w:cs="Cambria"/>
          <w:color w:val="000000"/>
          <w:u w:color="000000"/>
          <w:lang w:val="es-ES_tradnl" w:eastAsia="es-ES"/>
        </w:rPr>
        <w:t>que</w:t>
      </w:r>
      <w:r w:rsidR="00C338E4" w:rsidRPr="00CD3501">
        <w:rPr>
          <w:rFonts w:eastAsia="Cambria" w:cs="Cambria"/>
          <w:color w:val="000000"/>
          <w:u w:color="000000"/>
          <w:lang w:val="es-ES_tradnl" w:eastAsia="es-ES"/>
        </w:rPr>
        <w:t xml:space="preserve"> </w:t>
      </w:r>
      <w:r w:rsidR="005F06A1" w:rsidRPr="00CD3501">
        <w:rPr>
          <w:rFonts w:eastAsia="Cambria" w:cs="Cambria"/>
          <w:color w:val="000000"/>
          <w:u w:color="000000"/>
          <w:lang w:val="es-ES_tradnl" w:eastAsia="es-ES"/>
        </w:rPr>
        <w:t>el señor</w:t>
      </w:r>
      <w:r w:rsidR="00C338E4" w:rsidRPr="00CD3501">
        <w:rPr>
          <w:rFonts w:eastAsia="Cambria" w:cs="Cambria"/>
          <w:color w:val="000000"/>
          <w:u w:color="000000"/>
          <w:lang w:val="es-ES_tradnl" w:eastAsia="es-ES"/>
        </w:rPr>
        <w:t xml:space="preserve"> Henry </w:t>
      </w:r>
      <w:r w:rsidR="00CC2262" w:rsidRPr="00CD3501">
        <w:rPr>
          <w:rFonts w:eastAsia="Cambria" w:cs="Cambria"/>
          <w:color w:val="000000"/>
          <w:u w:color="000000"/>
          <w:lang w:val="es-ES_tradnl" w:eastAsia="es-ES"/>
        </w:rPr>
        <w:t>fue atacado brutalmente dos veces por</w:t>
      </w:r>
      <w:r w:rsidR="00C338E4" w:rsidRPr="00CD3501">
        <w:rPr>
          <w:rFonts w:eastAsia="Cambria" w:cs="Cambria"/>
          <w:color w:val="000000"/>
          <w:u w:color="000000"/>
          <w:lang w:val="es-ES_tradnl" w:eastAsia="es-ES"/>
        </w:rPr>
        <w:t xml:space="preserve"> </w:t>
      </w:r>
      <w:r w:rsidR="00CC2262" w:rsidRPr="00CD3501">
        <w:rPr>
          <w:rFonts w:eastAsia="Cambria" w:cs="Cambria"/>
          <w:color w:val="000000"/>
          <w:u w:color="000000"/>
          <w:lang w:val="es-ES_tradnl" w:eastAsia="es-ES"/>
        </w:rPr>
        <w:t>agentes de policía</w:t>
      </w:r>
      <w:r w:rsidR="00C338E4" w:rsidRPr="00CD3501">
        <w:rPr>
          <w:rFonts w:eastAsia="Cambria" w:cs="Cambria"/>
          <w:color w:val="000000"/>
          <w:u w:color="000000"/>
          <w:lang w:val="es-ES_tradnl" w:eastAsia="es-ES"/>
        </w:rPr>
        <w:t xml:space="preserve"> </w:t>
      </w:r>
      <w:r w:rsidR="00CC2262" w:rsidRPr="00CD3501">
        <w:rPr>
          <w:rFonts w:eastAsia="Cambria" w:cs="Cambria"/>
          <w:color w:val="000000"/>
          <w:u w:color="000000"/>
          <w:lang w:val="es-ES_tradnl" w:eastAsia="es-ES"/>
        </w:rPr>
        <w:t xml:space="preserve">debido a su </w:t>
      </w:r>
      <w:r w:rsidR="000A3FB7" w:rsidRPr="00CD3501">
        <w:rPr>
          <w:rFonts w:eastAsia="Cambria" w:cs="Cambria"/>
          <w:color w:val="000000"/>
          <w:u w:color="000000"/>
          <w:lang w:val="es-ES_tradnl" w:eastAsia="es-ES"/>
        </w:rPr>
        <w:t>orientación sexual</w:t>
      </w:r>
      <w:r w:rsidR="00C338E4" w:rsidRPr="00CD3501">
        <w:rPr>
          <w:rFonts w:eastAsia="Cambria" w:cs="Cambria"/>
          <w:color w:val="000000"/>
          <w:u w:color="000000"/>
          <w:lang w:val="es-ES_tradnl" w:eastAsia="es-ES"/>
        </w:rPr>
        <w:t xml:space="preserve">. </w:t>
      </w:r>
    </w:p>
    <w:p w14:paraId="18632308" w14:textId="77777777" w:rsidR="00BB0A79" w:rsidRPr="00CD3501" w:rsidRDefault="00BB0A79" w:rsidP="000D499E">
      <w:pPr>
        <w:rPr>
          <w:lang w:val="es-ES_tradnl"/>
        </w:rPr>
      </w:pPr>
    </w:p>
    <w:p w14:paraId="1B155A68" w14:textId="139E9235" w:rsidR="00BB0A79" w:rsidRPr="00CD3501" w:rsidRDefault="003A5C8E" w:rsidP="00C12E55">
      <w:pPr>
        <w:pStyle w:val="parrafos"/>
        <w:numPr>
          <w:ilvl w:val="0"/>
          <w:numId w:val="57"/>
        </w:numPr>
        <w:tabs>
          <w:tab w:val="clear" w:pos="360"/>
          <w:tab w:val="clear" w:pos="1080"/>
        </w:tabs>
        <w:ind w:left="0" w:firstLine="0"/>
        <w:rPr>
          <w:lang w:val="es-ES_tradnl"/>
        </w:rPr>
      </w:pPr>
      <w:r w:rsidRPr="00CD3501">
        <w:rPr>
          <w:rFonts w:eastAsia="Cambria" w:cs="Cambria"/>
          <w:color w:val="000000"/>
          <w:u w:color="000000"/>
          <w:lang w:val="es-ES_tradnl" w:eastAsia="es-ES"/>
        </w:rPr>
        <w:t>La parte peticionaria</w:t>
      </w:r>
      <w:r w:rsidR="00286E49" w:rsidRPr="00CD3501">
        <w:rPr>
          <w:rFonts w:eastAsia="Cambria" w:cs="Cambria"/>
          <w:color w:val="000000"/>
          <w:u w:color="000000"/>
          <w:lang w:val="es-ES_tradnl" w:eastAsia="es-ES"/>
        </w:rPr>
        <w:t xml:space="preserve"> </w:t>
      </w:r>
      <w:r w:rsidRPr="00CD3501">
        <w:rPr>
          <w:rFonts w:eastAsia="Cambria" w:cs="Cambria"/>
          <w:color w:val="000000"/>
          <w:u w:color="000000"/>
          <w:lang w:val="es-ES_tradnl" w:eastAsia="es-ES"/>
        </w:rPr>
        <w:t>afirma</w:t>
      </w:r>
      <w:r w:rsidR="005F06A1" w:rsidRPr="00CD3501">
        <w:rPr>
          <w:rFonts w:eastAsia="Cambria" w:cs="Cambria"/>
          <w:color w:val="000000"/>
          <w:u w:color="000000"/>
          <w:lang w:val="es-ES_tradnl" w:eastAsia="es-ES"/>
        </w:rPr>
        <w:t xml:space="preserve"> que</w:t>
      </w:r>
      <w:r w:rsidR="00C338E4" w:rsidRPr="00CD3501">
        <w:rPr>
          <w:rFonts w:eastAsia="Cambria" w:cs="Cambria"/>
          <w:color w:val="000000"/>
          <w:u w:color="000000"/>
          <w:lang w:val="es-ES_tradnl" w:eastAsia="es-ES"/>
        </w:rPr>
        <w:t xml:space="preserve"> </w:t>
      </w:r>
      <w:r w:rsidR="00CC2262" w:rsidRPr="00CD3501">
        <w:rPr>
          <w:rFonts w:eastAsia="Cambria" w:cs="Cambria"/>
          <w:color w:val="000000"/>
          <w:u w:color="000000"/>
          <w:lang w:val="es-ES_tradnl" w:eastAsia="es-ES"/>
        </w:rPr>
        <w:t xml:space="preserve">el primer ataque se produjo </w:t>
      </w:r>
      <w:r w:rsidRPr="00CD3501">
        <w:rPr>
          <w:rFonts w:eastAsia="Cambria" w:cs="Cambria"/>
          <w:color w:val="000000"/>
          <w:u w:color="000000"/>
          <w:lang w:val="es-ES_tradnl" w:eastAsia="es-ES"/>
        </w:rPr>
        <w:t>el d</w:t>
      </w:r>
      <w:r w:rsidR="00ED5E9D" w:rsidRPr="00CD3501">
        <w:rPr>
          <w:rFonts w:eastAsia="Cambria" w:cs="Cambria"/>
          <w:color w:val="000000"/>
          <w:u w:color="000000"/>
          <w:lang w:val="es-ES_tradnl" w:eastAsia="es-ES"/>
        </w:rPr>
        <w:t xml:space="preserve">ía de Navidad de </w:t>
      </w:r>
      <w:r w:rsidR="00C338E4" w:rsidRPr="00CD3501">
        <w:rPr>
          <w:rFonts w:eastAsia="Cambria" w:cs="Cambria"/>
          <w:color w:val="000000"/>
          <w:u w:color="000000"/>
          <w:lang w:val="es-ES_tradnl" w:eastAsia="es-ES"/>
        </w:rPr>
        <w:t xml:space="preserve">2003, </w:t>
      </w:r>
      <w:r w:rsidR="00ED5E9D" w:rsidRPr="00CD3501">
        <w:rPr>
          <w:rFonts w:eastAsia="Cambria" w:cs="Cambria"/>
          <w:color w:val="000000"/>
          <w:u w:color="000000"/>
          <w:lang w:val="es-ES_tradnl" w:eastAsia="es-ES"/>
        </w:rPr>
        <w:t>cuando un agente de policía golpeó a</w:t>
      </w:r>
      <w:r w:rsidR="005F06A1" w:rsidRPr="00CD3501">
        <w:rPr>
          <w:rFonts w:eastAsia="Cambria" w:cs="Cambria"/>
          <w:color w:val="000000"/>
          <w:u w:color="000000"/>
          <w:lang w:val="es-ES_tradnl" w:eastAsia="es-ES"/>
        </w:rPr>
        <w:t>l señor</w:t>
      </w:r>
      <w:r w:rsidR="00C338E4" w:rsidRPr="00CD3501">
        <w:rPr>
          <w:rFonts w:eastAsia="Cambria" w:cs="Cambria"/>
          <w:color w:val="000000"/>
          <w:u w:color="000000"/>
          <w:lang w:val="es-ES_tradnl" w:eastAsia="es-ES"/>
        </w:rPr>
        <w:t xml:space="preserve"> Henry </w:t>
      </w:r>
      <w:r w:rsidR="00ED5E9D" w:rsidRPr="00CD3501">
        <w:rPr>
          <w:rFonts w:eastAsia="Cambria" w:cs="Cambria"/>
          <w:color w:val="000000"/>
          <w:u w:color="000000"/>
          <w:lang w:val="es-ES_tradnl" w:eastAsia="es-ES"/>
        </w:rPr>
        <w:t xml:space="preserve">frente a </w:t>
      </w:r>
      <w:r w:rsidR="00C338E4" w:rsidRPr="00CD3501">
        <w:rPr>
          <w:rFonts w:eastAsia="Cambria" w:cs="Cambria"/>
          <w:color w:val="000000"/>
          <w:u w:color="000000"/>
          <w:lang w:val="es-ES_tradnl" w:eastAsia="es-ES"/>
        </w:rPr>
        <w:t>70 pe</w:t>
      </w:r>
      <w:r w:rsidR="00ED5E9D" w:rsidRPr="00CD3501">
        <w:rPr>
          <w:rFonts w:eastAsia="Cambria" w:cs="Cambria"/>
          <w:color w:val="000000"/>
          <w:u w:color="000000"/>
          <w:lang w:val="es-ES_tradnl" w:eastAsia="es-ES"/>
        </w:rPr>
        <w:t>rsonas que lo incitaron</w:t>
      </w:r>
      <w:r w:rsidR="00C338E4" w:rsidRPr="00CD3501">
        <w:rPr>
          <w:rFonts w:eastAsia="Cambria" w:cs="Cambria"/>
          <w:color w:val="000000"/>
          <w:u w:color="000000"/>
          <w:lang w:val="es-ES_tradnl" w:eastAsia="es-ES"/>
        </w:rPr>
        <w:t xml:space="preserve">. </w:t>
      </w:r>
      <w:r w:rsidR="00ED5E9D" w:rsidRPr="00CD3501">
        <w:rPr>
          <w:rFonts w:eastAsia="Cambria" w:cs="Cambria"/>
          <w:color w:val="000000"/>
          <w:u w:color="000000"/>
          <w:lang w:val="es-ES_tradnl" w:eastAsia="es-ES"/>
        </w:rPr>
        <w:t>S</w:t>
      </w:r>
      <w:r w:rsidRPr="00CD3501">
        <w:rPr>
          <w:rFonts w:eastAsia="Cambria" w:cs="Cambria"/>
          <w:color w:val="000000"/>
          <w:u w:color="000000"/>
          <w:lang w:val="es-ES_tradnl" w:eastAsia="es-ES"/>
        </w:rPr>
        <w:t>ostiene</w:t>
      </w:r>
      <w:r w:rsidR="005F06A1" w:rsidRPr="00CD3501">
        <w:rPr>
          <w:rFonts w:eastAsia="Cambria" w:cs="Cambria"/>
          <w:color w:val="000000"/>
          <w:u w:color="000000"/>
          <w:lang w:val="es-ES_tradnl" w:eastAsia="es-ES"/>
        </w:rPr>
        <w:t xml:space="preserve"> que</w:t>
      </w:r>
      <w:r w:rsidR="00C338E4" w:rsidRPr="00CD3501">
        <w:rPr>
          <w:rFonts w:eastAsia="Cambria" w:cs="Cambria"/>
          <w:color w:val="000000"/>
          <w:u w:color="000000"/>
          <w:lang w:val="es-ES_tradnl" w:eastAsia="es-ES"/>
        </w:rPr>
        <w:t xml:space="preserve"> </w:t>
      </w:r>
      <w:r w:rsidR="005F06A1" w:rsidRPr="00CD3501">
        <w:rPr>
          <w:rFonts w:eastAsia="Cambria" w:cs="Cambria"/>
          <w:color w:val="000000"/>
          <w:u w:color="000000"/>
          <w:lang w:val="es-ES_tradnl" w:eastAsia="es-ES"/>
        </w:rPr>
        <w:t>el señor</w:t>
      </w:r>
      <w:r w:rsidR="00C338E4" w:rsidRPr="00CD3501">
        <w:rPr>
          <w:rFonts w:eastAsia="Cambria" w:cs="Cambria"/>
          <w:color w:val="000000"/>
          <w:u w:color="000000"/>
          <w:lang w:val="es-ES_tradnl" w:eastAsia="es-ES"/>
        </w:rPr>
        <w:t xml:space="preserve"> Henry </w:t>
      </w:r>
      <w:r w:rsidR="005D3140" w:rsidRPr="00CD3501">
        <w:rPr>
          <w:rFonts w:eastAsia="Cambria" w:cs="Cambria"/>
          <w:color w:val="000000"/>
          <w:u w:color="000000"/>
          <w:lang w:val="es-ES_tradnl" w:eastAsia="es-ES"/>
        </w:rPr>
        <w:t xml:space="preserve">trató de denunciar el incidente dos veces, pero no lo logró porque la policía se negó a </w:t>
      </w:r>
      <w:r w:rsidR="00DA59E0" w:rsidRPr="00CD3501">
        <w:rPr>
          <w:rFonts w:eastAsia="Cambria" w:cs="Cambria"/>
          <w:color w:val="000000"/>
          <w:u w:color="000000"/>
          <w:lang w:val="es-ES_tradnl" w:eastAsia="es-ES"/>
        </w:rPr>
        <w:t xml:space="preserve">tomarle </w:t>
      </w:r>
      <w:r w:rsidR="005D3140" w:rsidRPr="00CD3501">
        <w:rPr>
          <w:rFonts w:eastAsia="Cambria" w:cs="Cambria"/>
          <w:color w:val="000000"/>
          <w:u w:color="000000"/>
          <w:lang w:val="es-ES_tradnl" w:eastAsia="es-ES"/>
        </w:rPr>
        <w:t xml:space="preserve">la denuncia o le pedía información sobre el atacante que </w:t>
      </w:r>
      <w:r w:rsidR="00DA59E0" w:rsidRPr="00CD3501">
        <w:rPr>
          <w:rFonts w:eastAsia="Cambria" w:cs="Cambria"/>
          <w:color w:val="000000"/>
          <w:u w:color="000000"/>
          <w:lang w:val="es-ES_tradnl" w:eastAsia="es-ES"/>
        </w:rPr>
        <w:t xml:space="preserve">él </w:t>
      </w:r>
      <w:r w:rsidR="005D3140" w:rsidRPr="00CD3501">
        <w:rPr>
          <w:rFonts w:eastAsia="Cambria" w:cs="Cambria"/>
          <w:color w:val="000000"/>
          <w:u w:color="000000"/>
          <w:lang w:val="es-ES_tradnl" w:eastAsia="es-ES"/>
        </w:rPr>
        <w:t xml:space="preserve">no </w:t>
      </w:r>
      <w:r w:rsidR="00DA59E0" w:rsidRPr="00CD3501">
        <w:rPr>
          <w:rFonts w:eastAsia="Cambria" w:cs="Cambria"/>
          <w:color w:val="000000"/>
          <w:u w:color="000000"/>
          <w:lang w:val="es-ES_tradnl" w:eastAsia="es-ES"/>
        </w:rPr>
        <w:t>tenía</w:t>
      </w:r>
      <w:r w:rsidR="00C338E4" w:rsidRPr="00CD3501">
        <w:rPr>
          <w:rFonts w:eastAsia="Cambria" w:cs="Cambria"/>
          <w:color w:val="000000"/>
          <w:u w:color="000000"/>
          <w:lang w:val="es-ES_tradnl" w:eastAsia="es-ES"/>
        </w:rPr>
        <w:t xml:space="preserve">. </w:t>
      </w:r>
    </w:p>
    <w:p w14:paraId="54D4AFCC" w14:textId="77777777" w:rsidR="00BB0A79" w:rsidRPr="00CD3501" w:rsidRDefault="00BB0A79" w:rsidP="000D499E">
      <w:pPr>
        <w:rPr>
          <w:lang w:val="es-ES_tradnl"/>
        </w:rPr>
      </w:pPr>
    </w:p>
    <w:p w14:paraId="4CB4BC1A" w14:textId="44B03567" w:rsidR="00BB0A79" w:rsidRPr="00CD3501" w:rsidRDefault="009A3641" w:rsidP="000D6F4F">
      <w:pPr>
        <w:pStyle w:val="parrafos"/>
        <w:numPr>
          <w:ilvl w:val="0"/>
          <w:numId w:val="57"/>
        </w:numPr>
        <w:tabs>
          <w:tab w:val="clear" w:pos="360"/>
          <w:tab w:val="clear" w:pos="1080"/>
        </w:tabs>
        <w:ind w:left="0" w:firstLine="0"/>
        <w:rPr>
          <w:rFonts w:eastAsia="Cambria" w:cs="Cambria"/>
          <w:color w:val="000000"/>
          <w:u w:color="000000"/>
          <w:lang w:val="es-ES_tradnl" w:eastAsia="es-ES"/>
        </w:rPr>
      </w:pPr>
      <w:r w:rsidRPr="00CD3501">
        <w:rPr>
          <w:rFonts w:eastAsia="Cambria" w:cs="Cambria"/>
          <w:color w:val="000000"/>
          <w:u w:color="000000"/>
          <w:lang w:val="es-ES_tradnl" w:eastAsia="es-ES"/>
        </w:rPr>
        <w:lastRenderedPageBreak/>
        <w:t>L</w:t>
      </w:r>
      <w:r w:rsidR="003A5C8E" w:rsidRPr="00CD3501">
        <w:rPr>
          <w:rFonts w:eastAsia="Cambria" w:cs="Cambria"/>
          <w:color w:val="000000"/>
          <w:u w:color="000000"/>
          <w:lang w:val="es-ES_tradnl" w:eastAsia="es-ES"/>
        </w:rPr>
        <w:t>a parte peticionaria</w:t>
      </w:r>
      <w:r w:rsidR="00286E49" w:rsidRPr="00CD3501">
        <w:rPr>
          <w:rFonts w:eastAsia="Cambria" w:cs="Cambria"/>
          <w:color w:val="000000"/>
          <w:u w:color="000000"/>
          <w:lang w:val="es-ES_tradnl" w:eastAsia="es-ES"/>
        </w:rPr>
        <w:t xml:space="preserve"> </w:t>
      </w:r>
      <w:r w:rsidR="003A5C8E" w:rsidRPr="00CD3501">
        <w:rPr>
          <w:rFonts w:eastAsia="Cambria" w:cs="Cambria"/>
          <w:color w:val="000000"/>
          <w:u w:color="000000"/>
          <w:lang w:val="es-ES_tradnl" w:eastAsia="es-ES"/>
        </w:rPr>
        <w:t>señala</w:t>
      </w:r>
      <w:r w:rsidR="005D3140" w:rsidRPr="00CD3501">
        <w:rPr>
          <w:rFonts w:eastAsia="Cambria" w:cs="Cambria"/>
          <w:color w:val="000000"/>
          <w:u w:color="000000"/>
          <w:lang w:val="es-ES_tradnl" w:eastAsia="es-ES"/>
        </w:rPr>
        <w:t xml:space="preserve"> que el segundo ataque se produjo el </w:t>
      </w:r>
      <w:r w:rsidR="00C338E4" w:rsidRPr="00CD3501">
        <w:rPr>
          <w:rFonts w:eastAsia="Cambria" w:cs="Cambria"/>
          <w:color w:val="000000"/>
          <w:u w:color="000000"/>
          <w:lang w:val="es-ES_tradnl" w:eastAsia="es-ES"/>
        </w:rPr>
        <w:t>14</w:t>
      </w:r>
      <w:r w:rsidR="005D3140" w:rsidRPr="00CD3501">
        <w:rPr>
          <w:rFonts w:eastAsia="Cambria" w:cs="Cambria"/>
          <w:color w:val="000000"/>
          <w:u w:color="000000"/>
          <w:lang w:val="es-ES_tradnl" w:eastAsia="es-ES"/>
        </w:rPr>
        <w:t xml:space="preserve"> de febrero de</w:t>
      </w:r>
      <w:r w:rsidR="00C338E4" w:rsidRPr="00CD3501">
        <w:rPr>
          <w:rFonts w:eastAsia="Cambria" w:cs="Cambria"/>
          <w:color w:val="000000"/>
          <w:u w:color="000000"/>
          <w:lang w:val="es-ES_tradnl" w:eastAsia="es-ES"/>
        </w:rPr>
        <w:t xml:space="preserve"> 2007, just</w:t>
      </w:r>
      <w:r w:rsidR="005D3140" w:rsidRPr="00CD3501">
        <w:rPr>
          <w:rFonts w:eastAsia="Cambria" w:cs="Cambria"/>
          <w:color w:val="000000"/>
          <w:u w:color="000000"/>
          <w:lang w:val="es-ES_tradnl" w:eastAsia="es-ES"/>
        </w:rPr>
        <w:t xml:space="preserve">o después de que algunos agentes de policía lo identificaron como </w:t>
      </w:r>
      <w:r w:rsidR="00C338E4" w:rsidRPr="00CD3501">
        <w:rPr>
          <w:rFonts w:eastAsia="Cambria" w:cs="Cambria"/>
          <w:color w:val="000000"/>
          <w:u w:color="000000"/>
          <w:lang w:val="es-ES_tradnl" w:eastAsia="es-ES"/>
        </w:rPr>
        <w:t>gay</w:t>
      </w:r>
      <w:r w:rsidR="005D3140" w:rsidRPr="00CD3501">
        <w:rPr>
          <w:rFonts w:eastAsia="Cambria" w:cs="Cambria"/>
          <w:color w:val="000000"/>
          <w:u w:color="000000"/>
          <w:lang w:val="es-ES_tradnl" w:eastAsia="es-ES"/>
        </w:rPr>
        <w:t>. A</w:t>
      </w:r>
      <w:r w:rsidR="000D6F4F" w:rsidRPr="00CD3501">
        <w:rPr>
          <w:rFonts w:eastAsia="Cambria" w:cs="Cambria"/>
          <w:color w:val="000000"/>
          <w:u w:color="000000"/>
          <w:lang w:val="es-ES_tradnl" w:eastAsia="es-ES"/>
        </w:rPr>
        <w:t>lega</w:t>
      </w:r>
      <w:r w:rsidR="005F06A1" w:rsidRPr="00CD3501">
        <w:rPr>
          <w:rFonts w:eastAsia="Cambria" w:cs="Cambria"/>
          <w:color w:val="000000"/>
          <w:u w:color="000000"/>
          <w:lang w:val="es-ES_tradnl" w:eastAsia="es-ES"/>
        </w:rPr>
        <w:t xml:space="preserve"> que</w:t>
      </w:r>
      <w:r w:rsidR="00C338E4" w:rsidRPr="00CD3501">
        <w:rPr>
          <w:rFonts w:eastAsia="Cambria" w:cs="Cambria"/>
          <w:color w:val="000000"/>
          <w:u w:color="000000"/>
          <w:lang w:val="es-ES_tradnl" w:eastAsia="es-ES"/>
        </w:rPr>
        <w:t xml:space="preserve"> </w:t>
      </w:r>
      <w:r w:rsidR="005D3140" w:rsidRPr="00CD3501">
        <w:rPr>
          <w:rFonts w:eastAsia="Cambria" w:cs="Cambria"/>
          <w:color w:val="000000"/>
          <w:u w:color="000000"/>
          <w:lang w:val="es-ES_tradnl" w:eastAsia="es-ES"/>
        </w:rPr>
        <w:t>un</w:t>
      </w:r>
      <w:r w:rsidR="00C338E4" w:rsidRPr="00CD3501">
        <w:rPr>
          <w:rFonts w:eastAsia="Cambria" w:cs="Cambria"/>
          <w:color w:val="000000"/>
          <w:u w:color="000000"/>
          <w:lang w:val="es-ES_tradnl" w:eastAsia="es-ES"/>
        </w:rPr>
        <w:t xml:space="preserve">a </w:t>
      </w:r>
      <w:r w:rsidR="005D3140" w:rsidRPr="00CD3501">
        <w:rPr>
          <w:rFonts w:eastAsia="Cambria" w:cs="Cambria"/>
          <w:color w:val="000000"/>
          <w:u w:color="000000"/>
          <w:lang w:val="es-ES_tradnl" w:eastAsia="es-ES"/>
        </w:rPr>
        <w:t xml:space="preserve">turba de </w:t>
      </w:r>
      <w:r w:rsidR="00C338E4" w:rsidRPr="00CD3501">
        <w:rPr>
          <w:rFonts w:eastAsia="Cambria" w:cs="Cambria"/>
          <w:color w:val="000000"/>
          <w:u w:color="000000"/>
          <w:lang w:val="es-ES_tradnl" w:eastAsia="es-ES"/>
        </w:rPr>
        <w:t>200 pe</w:t>
      </w:r>
      <w:r w:rsidR="005D3140" w:rsidRPr="00CD3501">
        <w:rPr>
          <w:rFonts w:eastAsia="Cambria" w:cs="Cambria"/>
          <w:color w:val="000000"/>
          <w:u w:color="000000"/>
          <w:lang w:val="es-ES_tradnl" w:eastAsia="es-ES"/>
        </w:rPr>
        <w:t xml:space="preserve">rsonas estaba persiguiendo a otros hombres </w:t>
      </w:r>
      <w:r w:rsidR="00F46DA8" w:rsidRPr="00CD3501">
        <w:rPr>
          <w:rFonts w:eastAsia="Cambria" w:cs="Cambria"/>
          <w:color w:val="000000"/>
          <w:u w:color="000000"/>
          <w:lang w:val="es-ES_tradnl" w:eastAsia="es-ES"/>
        </w:rPr>
        <w:t>gais</w:t>
      </w:r>
      <w:r w:rsidR="005D3140" w:rsidRPr="00CD3501">
        <w:rPr>
          <w:rFonts w:eastAsia="Cambria" w:cs="Cambria"/>
          <w:color w:val="000000"/>
          <w:u w:color="000000"/>
          <w:lang w:val="es-ES_tradnl" w:eastAsia="es-ES"/>
        </w:rPr>
        <w:t xml:space="preserve">, gritando que había que matarlos, y que los agentes de policía, en vez de proteger al </w:t>
      </w:r>
      <w:r w:rsidR="005F06A1" w:rsidRPr="00CD3501">
        <w:rPr>
          <w:rFonts w:eastAsia="Cambria" w:cs="Cambria"/>
          <w:color w:val="000000"/>
          <w:u w:color="000000"/>
          <w:lang w:val="es-ES_tradnl" w:eastAsia="es-ES"/>
        </w:rPr>
        <w:t>señor</w:t>
      </w:r>
      <w:r w:rsidR="00C338E4" w:rsidRPr="00CD3501">
        <w:rPr>
          <w:rFonts w:eastAsia="Cambria" w:cs="Cambria"/>
          <w:color w:val="000000"/>
          <w:u w:color="000000"/>
          <w:lang w:val="es-ES_tradnl" w:eastAsia="es-ES"/>
        </w:rPr>
        <w:t xml:space="preserve"> Henry, </w:t>
      </w:r>
      <w:r w:rsidR="005D3140" w:rsidRPr="00CD3501">
        <w:rPr>
          <w:rFonts w:eastAsia="Cambria" w:cs="Cambria"/>
          <w:color w:val="000000"/>
          <w:u w:color="000000"/>
          <w:lang w:val="es-ES_tradnl" w:eastAsia="es-ES"/>
        </w:rPr>
        <w:t>lo insultaron y lo golpearon</w:t>
      </w:r>
      <w:r w:rsidR="00C338E4" w:rsidRPr="00CD3501">
        <w:rPr>
          <w:rFonts w:eastAsia="Cambria" w:cs="Cambria"/>
          <w:color w:val="000000"/>
          <w:u w:color="000000"/>
          <w:lang w:val="es-ES_tradnl" w:eastAsia="es-ES"/>
        </w:rPr>
        <w:t xml:space="preserve">. </w:t>
      </w:r>
      <w:r w:rsidR="005D3140" w:rsidRPr="00CD3501">
        <w:rPr>
          <w:rFonts w:eastAsia="Cambria" w:cs="Cambria"/>
          <w:color w:val="000000"/>
          <w:u w:color="000000"/>
          <w:lang w:val="es-ES_tradnl" w:eastAsia="es-ES"/>
        </w:rPr>
        <w:t>S</w:t>
      </w:r>
      <w:r w:rsidR="000D6F4F" w:rsidRPr="00CD3501">
        <w:rPr>
          <w:rFonts w:eastAsia="Cambria" w:cs="Cambria"/>
          <w:color w:val="000000"/>
          <w:u w:color="000000"/>
          <w:lang w:val="es-ES_tradnl" w:eastAsia="es-ES"/>
        </w:rPr>
        <w:t>ostiene</w:t>
      </w:r>
      <w:r w:rsidR="005F06A1" w:rsidRPr="00CD3501">
        <w:rPr>
          <w:rFonts w:eastAsia="Cambria" w:cs="Cambria"/>
          <w:color w:val="000000"/>
          <w:u w:color="000000"/>
          <w:lang w:val="es-ES_tradnl" w:eastAsia="es-ES"/>
        </w:rPr>
        <w:t xml:space="preserve"> que</w:t>
      </w:r>
      <w:r w:rsidR="00C338E4" w:rsidRPr="00CD3501">
        <w:rPr>
          <w:rFonts w:eastAsia="Cambria" w:cs="Cambria"/>
          <w:color w:val="000000"/>
          <w:u w:color="000000"/>
          <w:lang w:val="es-ES_tradnl" w:eastAsia="es-ES"/>
        </w:rPr>
        <w:t xml:space="preserve"> </w:t>
      </w:r>
      <w:r w:rsidR="005F06A1" w:rsidRPr="00CD3501">
        <w:rPr>
          <w:rFonts w:eastAsia="Cambria" w:cs="Cambria"/>
          <w:color w:val="000000"/>
          <w:u w:color="000000"/>
          <w:lang w:val="es-ES_tradnl" w:eastAsia="es-ES"/>
        </w:rPr>
        <w:t>el señor</w:t>
      </w:r>
      <w:r w:rsidR="00C338E4" w:rsidRPr="00CD3501">
        <w:rPr>
          <w:rFonts w:eastAsia="Cambria" w:cs="Cambria"/>
          <w:color w:val="000000"/>
          <w:u w:color="000000"/>
          <w:lang w:val="es-ES_tradnl" w:eastAsia="es-ES"/>
        </w:rPr>
        <w:t xml:space="preserve"> Henry </w:t>
      </w:r>
      <w:r w:rsidR="0041398A" w:rsidRPr="00CD3501">
        <w:rPr>
          <w:rFonts w:eastAsia="Cambria" w:cs="Cambria"/>
          <w:color w:val="000000"/>
          <w:u w:color="000000"/>
          <w:lang w:val="es-ES_tradnl" w:eastAsia="es-ES"/>
        </w:rPr>
        <w:t>logró hacer la denuncia a la policía después de dos intentos, pero le pidieron que presentara un testigo para que se iniciara la investigación. A</w:t>
      </w:r>
      <w:r w:rsidR="000D6F4F" w:rsidRPr="00CD3501">
        <w:rPr>
          <w:rFonts w:eastAsia="Cambria" w:cs="Cambria"/>
          <w:color w:val="000000"/>
          <w:u w:color="000000"/>
          <w:lang w:val="es-ES_tradnl" w:eastAsia="es-ES"/>
        </w:rPr>
        <w:t>lega</w:t>
      </w:r>
      <w:r w:rsidR="005F06A1" w:rsidRPr="00CD3501">
        <w:rPr>
          <w:rFonts w:eastAsia="Cambria" w:cs="Cambria"/>
          <w:color w:val="000000"/>
          <w:u w:color="000000"/>
          <w:lang w:val="es-ES_tradnl" w:eastAsia="es-ES"/>
        </w:rPr>
        <w:t xml:space="preserve"> que</w:t>
      </w:r>
      <w:r w:rsidR="0041398A" w:rsidRPr="00CD3501">
        <w:rPr>
          <w:rFonts w:eastAsia="Cambria" w:cs="Cambria"/>
          <w:color w:val="000000"/>
          <w:u w:color="000000"/>
          <w:lang w:val="es-ES_tradnl" w:eastAsia="es-ES"/>
        </w:rPr>
        <w:t>, el mismo día del ataque y al día siguiente</w:t>
      </w:r>
      <w:r w:rsidR="00C338E4" w:rsidRPr="00CD3501">
        <w:rPr>
          <w:rFonts w:eastAsia="Cambria" w:cs="Cambria"/>
          <w:color w:val="000000"/>
          <w:u w:color="000000"/>
          <w:lang w:val="es-ES_tradnl" w:eastAsia="es-ES"/>
        </w:rPr>
        <w:t xml:space="preserve">, </w:t>
      </w:r>
      <w:r w:rsidR="0041398A" w:rsidRPr="00CD3501">
        <w:rPr>
          <w:rFonts w:eastAsia="Cambria" w:cs="Cambria"/>
          <w:color w:val="000000"/>
          <w:u w:color="000000"/>
          <w:lang w:val="es-ES_tradnl" w:eastAsia="es-ES"/>
        </w:rPr>
        <w:t xml:space="preserve">varios </w:t>
      </w:r>
      <w:r w:rsidR="00CC2262" w:rsidRPr="00CD3501">
        <w:rPr>
          <w:rFonts w:eastAsia="Cambria" w:cs="Cambria"/>
          <w:color w:val="000000"/>
          <w:u w:color="000000"/>
          <w:lang w:val="es-ES_tradnl" w:eastAsia="es-ES"/>
        </w:rPr>
        <w:t>agentes de policía</w:t>
      </w:r>
      <w:r w:rsidR="00C338E4" w:rsidRPr="00CD3501">
        <w:rPr>
          <w:rFonts w:eastAsia="Cambria" w:cs="Cambria"/>
          <w:color w:val="000000"/>
          <w:u w:color="000000"/>
          <w:lang w:val="es-ES_tradnl" w:eastAsia="es-ES"/>
        </w:rPr>
        <w:t xml:space="preserve"> </w:t>
      </w:r>
      <w:r w:rsidR="0041398A" w:rsidRPr="00CD3501">
        <w:rPr>
          <w:rFonts w:eastAsia="Cambria" w:cs="Cambria"/>
          <w:color w:val="000000"/>
          <w:u w:color="000000"/>
          <w:lang w:val="es-ES_tradnl" w:eastAsia="es-ES"/>
        </w:rPr>
        <w:t>fueron a su casa y lo amenazaron. A</w:t>
      </w:r>
      <w:r w:rsidR="000D6F4F" w:rsidRPr="00CD3501">
        <w:rPr>
          <w:rFonts w:eastAsia="Cambria" w:cs="Cambria"/>
          <w:color w:val="000000"/>
          <w:u w:color="000000"/>
          <w:lang w:val="es-ES_tradnl" w:eastAsia="es-ES"/>
        </w:rPr>
        <w:t>firma</w:t>
      </w:r>
      <w:r w:rsidR="005F06A1" w:rsidRPr="00CD3501">
        <w:rPr>
          <w:rFonts w:eastAsia="Cambria" w:cs="Cambria"/>
          <w:color w:val="000000"/>
          <w:u w:color="000000"/>
          <w:lang w:val="es-ES_tradnl" w:eastAsia="es-ES"/>
        </w:rPr>
        <w:t xml:space="preserve"> que</w:t>
      </w:r>
      <w:r w:rsidR="00C338E4" w:rsidRPr="00CD3501">
        <w:rPr>
          <w:rFonts w:eastAsia="Cambria" w:cs="Cambria"/>
          <w:color w:val="000000"/>
          <w:u w:color="000000"/>
          <w:lang w:val="es-ES_tradnl" w:eastAsia="es-ES"/>
        </w:rPr>
        <w:t xml:space="preserve"> </w:t>
      </w:r>
      <w:r w:rsidR="005F06A1" w:rsidRPr="00CD3501">
        <w:rPr>
          <w:rFonts w:eastAsia="Cambria" w:cs="Cambria"/>
          <w:color w:val="000000"/>
          <w:u w:color="000000"/>
          <w:lang w:val="es-ES_tradnl" w:eastAsia="es-ES"/>
        </w:rPr>
        <w:t>el señor</w:t>
      </w:r>
      <w:r w:rsidR="00C338E4" w:rsidRPr="00CD3501">
        <w:rPr>
          <w:rFonts w:eastAsia="Cambria" w:cs="Cambria"/>
          <w:color w:val="000000"/>
          <w:u w:color="000000"/>
          <w:lang w:val="es-ES_tradnl" w:eastAsia="es-ES"/>
        </w:rPr>
        <w:t xml:space="preserve"> Henry suf</w:t>
      </w:r>
      <w:r w:rsidR="0041398A" w:rsidRPr="00CD3501">
        <w:rPr>
          <w:rFonts w:eastAsia="Cambria" w:cs="Cambria"/>
          <w:color w:val="000000"/>
          <w:u w:color="000000"/>
          <w:lang w:val="es-ES_tradnl" w:eastAsia="es-ES"/>
        </w:rPr>
        <w:t>rió lesiones graves como consecu</w:t>
      </w:r>
      <w:r w:rsidR="000D6F4F" w:rsidRPr="00CD3501">
        <w:rPr>
          <w:rFonts w:eastAsia="Cambria" w:cs="Cambria"/>
          <w:color w:val="000000"/>
          <w:u w:color="000000"/>
          <w:lang w:val="es-ES_tradnl" w:eastAsia="es-ES"/>
        </w:rPr>
        <w:t>encia del segundo ataque y que esta fue la primera vez que acudió a un médico después de un ataque. Agrega</w:t>
      </w:r>
      <w:r w:rsidR="0041398A" w:rsidRPr="00CD3501">
        <w:rPr>
          <w:rFonts w:eastAsia="Cambria" w:cs="Cambria"/>
          <w:color w:val="000000"/>
          <w:u w:color="000000"/>
          <w:lang w:val="es-ES_tradnl" w:eastAsia="es-ES"/>
        </w:rPr>
        <w:t xml:space="preserve"> </w:t>
      </w:r>
      <w:r w:rsidR="005F06A1" w:rsidRPr="00CD3501">
        <w:rPr>
          <w:rFonts w:eastAsia="Cambria" w:cs="Cambria"/>
          <w:color w:val="000000"/>
          <w:u w:color="000000"/>
          <w:lang w:val="es-ES_tradnl" w:eastAsia="es-ES"/>
        </w:rPr>
        <w:t>que</w:t>
      </w:r>
      <w:r w:rsidR="00C338E4" w:rsidRPr="00CD3501">
        <w:rPr>
          <w:rFonts w:eastAsia="Cambria" w:cs="Cambria"/>
          <w:color w:val="000000"/>
          <w:u w:color="000000"/>
          <w:lang w:val="es-ES_tradnl" w:eastAsia="es-ES"/>
        </w:rPr>
        <w:t xml:space="preserve"> </w:t>
      </w:r>
      <w:r w:rsidR="0041398A" w:rsidRPr="00CD3501">
        <w:rPr>
          <w:rFonts w:eastAsia="Cambria" w:cs="Cambria"/>
          <w:color w:val="000000"/>
          <w:u w:color="000000"/>
          <w:lang w:val="es-ES_tradnl" w:eastAsia="es-ES"/>
        </w:rPr>
        <w:t>no lo había hecho</w:t>
      </w:r>
      <w:r w:rsidR="000D6F4F" w:rsidRPr="00CD3501">
        <w:rPr>
          <w:rFonts w:eastAsia="Cambria" w:cs="Cambria"/>
          <w:color w:val="000000"/>
          <w:u w:color="000000"/>
          <w:lang w:val="es-ES_tradnl" w:eastAsia="es-ES"/>
        </w:rPr>
        <w:t xml:space="preserve"> con anterioridad</w:t>
      </w:r>
      <w:r w:rsidR="0041398A" w:rsidRPr="00CD3501">
        <w:rPr>
          <w:rFonts w:eastAsia="Cambria" w:cs="Cambria"/>
          <w:color w:val="000000"/>
          <w:u w:color="000000"/>
          <w:lang w:val="es-ES_tradnl" w:eastAsia="es-ES"/>
        </w:rPr>
        <w:t xml:space="preserve"> porque el personal de salud también discrimina contra las personas</w:t>
      </w:r>
      <w:r w:rsidR="00C338E4" w:rsidRPr="00CD3501">
        <w:rPr>
          <w:rFonts w:eastAsia="Cambria" w:cs="Cambria"/>
          <w:color w:val="000000"/>
          <w:u w:color="000000"/>
          <w:lang w:val="es-ES_tradnl" w:eastAsia="es-ES"/>
        </w:rPr>
        <w:t xml:space="preserve"> LGBTI. </w:t>
      </w:r>
    </w:p>
    <w:p w14:paraId="582C8D59" w14:textId="77777777" w:rsidR="00BB0A79" w:rsidRPr="00CD3501" w:rsidRDefault="00BB0A79" w:rsidP="000D499E">
      <w:pPr>
        <w:rPr>
          <w:lang w:val="es-ES_tradnl"/>
        </w:rPr>
      </w:pPr>
    </w:p>
    <w:p w14:paraId="521D1456" w14:textId="76452EB4" w:rsidR="00BB0A79" w:rsidRPr="00CD3501" w:rsidRDefault="009A3641" w:rsidP="00C12E55">
      <w:pPr>
        <w:pStyle w:val="parrafos"/>
        <w:numPr>
          <w:ilvl w:val="0"/>
          <w:numId w:val="57"/>
        </w:numPr>
        <w:tabs>
          <w:tab w:val="clear" w:pos="360"/>
          <w:tab w:val="clear" w:pos="1080"/>
        </w:tabs>
        <w:ind w:left="0" w:firstLine="0"/>
        <w:rPr>
          <w:lang w:val="es-ES_tradnl"/>
        </w:rPr>
      </w:pPr>
      <w:r w:rsidRPr="00CD3501">
        <w:rPr>
          <w:rFonts w:eastAsia="Cambria" w:cs="Cambria"/>
          <w:color w:val="000000"/>
          <w:u w:color="000000"/>
          <w:lang w:val="es-ES_tradnl" w:eastAsia="es-ES"/>
        </w:rPr>
        <w:t>L</w:t>
      </w:r>
      <w:r w:rsidR="000D6F4F" w:rsidRPr="00CD3501">
        <w:rPr>
          <w:rFonts w:eastAsia="Cambria" w:cs="Cambria"/>
          <w:color w:val="000000"/>
          <w:u w:color="000000"/>
          <w:lang w:val="es-ES_tradnl" w:eastAsia="es-ES"/>
        </w:rPr>
        <w:t>a parte peticionaria</w:t>
      </w:r>
      <w:r w:rsidR="00C338E4" w:rsidRPr="00CD3501">
        <w:rPr>
          <w:rFonts w:eastAsia="Cambria" w:cs="Cambria"/>
          <w:color w:val="000000"/>
          <w:u w:color="000000"/>
          <w:lang w:val="es-ES_tradnl" w:eastAsia="es-ES"/>
        </w:rPr>
        <w:t xml:space="preserve"> </w:t>
      </w:r>
      <w:r w:rsidR="000D6F4F" w:rsidRPr="00CD3501">
        <w:rPr>
          <w:rFonts w:eastAsia="Cambria" w:cs="Cambria"/>
          <w:color w:val="000000"/>
          <w:u w:color="000000"/>
          <w:lang w:val="es-ES_tradnl" w:eastAsia="es-ES"/>
        </w:rPr>
        <w:t>afirma</w:t>
      </w:r>
      <w:r w:rsidR="00E638CA" w:rsidRPr="00CD3501">
        <w:rPr>
          <w:rFonts w:eastAsia="Cambria" w:cs="Cambria"/>
          <w:color w:val="000000"/>
          <w:u w:color="000000"/>
          <w:lang w:val="es-ES_tradnl" w:eastAsia="es-ES"/>
        </w:rPr>
        <w:t xml:space="preserve"> que</w:t>
      </w:r>
      <w:r w:rsidR="00F44162" w:rsidRPr="00CD3501">
        <w:rPr>
          <w:rFonts w:ascii="Times New Roman" w:eastAsia="Cambria" w:hAnsi="Times New Roman" w:cs="Cambria"/>
          <w:color w:val="000000"/>
          <w:sz w:val="24"/>
          <w:szCs w:val="24"/>
          <w:u w:color="000000"/>
          <w:lang w:val="es-ES_tradnl" w:eastAsia="es-ES"/>
        </w:rPr>
        <w:t xml:space="preserve"> </w:t>
      </w:r>
      <w:r w:rsidR="004632C8" w:rsidRPr="00CD3501">
        <w:rPr>
          <w:rFonts w:eastAsia="Cambria" w:cs="Cambria"/>
          <w:color w:val="000000"/>
          <w:u w:color="000000"/>
          <w:lang w:val="es-ES_tradnl" w:eastAsia="es-ES"/>
        </w:rPr>
        <w:t>al</w:t>
      </w:r>
      <w:r w:rsidR="00F44162" w:rsidRPr="00CD3501">
        <w:rPr>
          <w:rFonts w:eastAsia="Cambria" w:cs="Cambria"/>
          <w:color w:val="000000"/>
          <w:u w:color="000000"/>
          <w:lang w:val="es-ES_tradnl" w:eastAsia="es-ES"/>
        </w:rPr>
        <w:t xml:space="preserve"> señor Henry y sus colegas</w:t>
      </w:r>
      <w:r w:rsidR="00C338E4" w:rsidRPr="00CD3501">
        <w:rPr>
          <w:rFonts w:eastAsia="Cambria" w:cs="Cambria"/>
          <w:color w:val="000000"/>
          <w:u w:color="000000"/>
          <w:lang w:val="es-ES_tradnl" w:eastAsia="es-ES"/>
        </w:rPr>
        <w:t xml:space="preserve">, </w:t>
      </w:r>
      <w:r w:rsidR="004632C8" w:rsidRPr="00CD3501">
        <w:rPr>
          <w:rFonts w:eastAsia="Cambria" w:cs="Cambria"/>
          <w:color w:val="000000"/>
          <w:u w:color="000000"/>
          <w:lang w:val="es-ES_tradnl" w:eastAsia="es-ES"/>
        </w:rPr>
        <w:t xml:space="preserve">que eran </w:t>
      </w:r>
      <w:r w:rsidR="00F44162" w:rsidRPr="00CD3501">
        <w:rPr>
          <w:rFonts w:eastAsia="Cambria" w:cs="Cambria"/>
          <w:color w:val="000000"/>
          <w:u w:color="000000"/>
          <w:lang w:val="es-ES_tradnl" w:eastAsia="es-ES"/>
        </w:rPr>
        <w:t xml:space="preserve">promotores de los derechos de las personas </w:t>
      </w:r>
      <w:r w:rsidR="00C338E4" w:rsidRPr="00CD3501">
        <w:rPr>
          <w:rFonts w:eastAsia="Cambria" w:cs="Cambria"/>
          <w:color w:val="000000"/>
          <w:u w:color="000000"/>
          <w:lang w:val="es-ES_tradnl" w:eastAsia="es-ES"/>
        </w:rPr>
        <w:t xml:space="preserve">LGBTI </w:t>
      </w:r>
      <w:r w:rsidR="00F44162" w:rsidRPr="00CD3501">
        <w:rPr>
          <w:rFonts w:eastAsia="Cambria" w:cs="Cambria"/>
          <w:color w:val="000000"/>
          <w:u w:color="000000"/>
          <w:lang w:val="es-ES_tradnl" w:eastAsia="es-ES"/>
        </w:rPr>
        <w:t xml:space="preserve">y de la prevención de la infección por el VIH y el sida, no </w:t>
      </w:r>
      <w:r w:rsidR="004632C8" w:rsidRPr="00CD3501">
        <w:rPr>
          <w:rFonts w:eastAsia="Cambria" w:cs="Cambria"/>
          <w:color w:val="000000"/>
          <w:u w:color="000000"/>
          <w:lang w:val="es-ES_tradnl" w:eastAsia="es-ES"/>
        </w:rPr>
        <w:t xml:space="preserve">les permitían </w:t>
      </w:r>
      <w:r w:rsidR="00F44162" w:rsidRPr="00CD3501">
        <w:rPr>
          <w:rFonts w:eastAsia="Cambria" w:cs="Cambria"/>
          <w:color w:val="000000"/>
          <w:u w:color="000000"/>
          <w:lang w:val="es-ES_tradnl" w:eastAsia="es-ES"/>
        </w:rPr>
        <w:t>proporcionar información y expresar sus opiniones sobre esos temas</w:t>
      </w:r>
      <w:r w:rsidR="00C338E4" w:rsidRPr="00CD3501">
        <w:rPr>
          <w:rFonts w:eastAsia="Cambria" w:cs="Cambria"/>
          <w:color w:val="000000"/>
          <w:u w:color="000000"/>
          <w:lang w:val="es-ES_tradnl" w:eastAsia="es-ES"/>
        </w:rPr>
        <w:t xml:space="preserve">, </w:t>
      </w:r>
      <w:r w:rsidR="00F44162" w:rsidRPr="00CD3501">
        <w:rPr>
          <w:rFonts w:eastAsia="Cambria" w:cs="Cambria"/>
          <w:color w:val="000000"/>
          <w:u w:color="000000"/>
          <w:lang w:val="es-ES_tradnl" w:eastAsia="es-ES"/>
        </w:rPr>
        <w:t xml:space="preserve">y varias veces fueron objeto de ataques verbales y físicos en espacios públicos, perpetrados por </w:t>
      </w:r>
      <w:r w:rsidR="00CC2262" w:rsidRPr="00CD3501">
        <w:rPr>
          <w:rFonts w:eastAsia="Cambria" w:cs="Cambria"/>
          <w:color w:val="000000"/>
          <w:u w:color="000000"/>
          <w:lang w:val="es-ES_tradnl" w:eastAsia="es-ES"/>
        </w:rPr>
        <w:t>agentes de policía</w:t>
      </w:r>
      <w:r w:rsidR="00C338E4" w:rsidRPr="00CD3501">
        <w:rPr>
          <w:rFonts w:eastAsia="Cambria" w:cs="Cambria"/>
          <w:color w:val="000000"/>
          <w:u w:color="000000"/>
          <w:lang w:val="es-ES_tradnl" w:eastAsia="es-ES"/>
        </w:rPr>
        <w:t xml:space="preserve"> </w:t>
      </w:r>
      <w:r w:rsidR="00F44162" w:rsidRPr="00CD3501">
        <w:rPr>
          <w:rFonts w:eastAsia="Cambria" w:cs="Cambria"/>
          <w:color w:val="000000"/>
          <w:u w:color="000000"/>
          <w:lang w:val="es-ES_tradnl" w:eastAsia="es-ES"/>
        </w:rPr>
        <w:t>y terceros, cuando estaban realizando su</w:t>
      </w:r>
      <w:r w:rsidR="000D6F4F" w:rsidRPr="00CD3501">
        <w:rPr>
          <w:rFonts w:eastAsia="Cambria" w:cs="Cambria"/>
          <w:color w:val="000000"/>
          <w:u w:color="000000"/>
          <w:lang w:val="es-ES_tradnl" w:eastAsia="es-ES"/>
        </w:rPr>
        <w:t>s</w:t>
      </w:r>
      <w:r w:rsidR="00F44162" w:rsidRPr="00CD3501">
        <w:rPr>
          <w:rFonts w:eastAsia="Cambria" w:cs="Cambria"/>
          <w:color w:val="000000"/>
          <w:u w:color="000000"/>
          <w:lang w:val="es-ES_tradnl" w:eastAsia="es-ES"/>
        </w:rPr>
        <w:t xml:space="preserve"> tarea</w:t>
      </w:r>
      <w:r w:rsidR="000D6F4F" w:rsidRPr="00CD3501">
        <w:rPr>
          <w:rFonts w:eastAsia="Cambria" w:cs="Cambria"/>
          <w:color w:val="000000"/>
          <w:u w:color="000000"/>
          <w:lang w:val="es-ES_tradnl" w:eastAsia="es-ES"/>
        </w:rPr>
        <w:t>s</w:t>
      </w:r>
      <w:r w:rsidR="00F44162" w:rsidRPr="00CD3501">
        <w:rPr>
          <w:rFonts w:eastAsia="Cambria" w:cs="Cambria"/>
          <w:color w:val="000000"/>
          <w:u w:color="000000"/>
          <w:lang w:val="es-ES_tradnl" w:eastAsia="es-ES"/>
        </w:rPr>
        <w:t xml:space="preserve"> de promoción en la comunidad</w:t>
      </w:r>
      <w:r w:rsidR="00C338E4" w:rsidRPr="00CD3501">
        <w:rPr>
          <w:rFonts w:eastAsia="Cambria" w:cs="Cambria"/>
          <w:color w:val="000000"/>
          <w:u w:color="000000"/>
          <w:lang w:val="es-ES_tradnl" w:eastAsia="es-ES"/>
        </w:rPr>
        <w:t xml:space="preserve">. </w:t>
      </w:r>
      <w:r w:rsidR="000A3FB7" w:rsidRPr="00CD3501">
        <w:rPr>
          <w:rFonts w:eastAsia="Cambria" w:cs="Cambria"/>
          <w:color w:val="000000"/>
          <w:u w:color="000000"/>
          <w:lang w:val="es-ES_tradnl" w:eastAsia="es-ES"/>
        </w:rPr>
        <w:t>L</w:t>
      </w:r>
      <w:r w:rsidR="000D6F4F" w:rsidRPr="00CD3501">
        <w:rPr>
          <w:rFonts w:eastAsia="Cambria" w:cs="Cambria"/>
          <w:color w:val="000000"/>
          <w:u w:color="000000"/>
          <w:lang w:val="es-ES_tradnl" w:eastAsia="es-ES"/>
        </w:rPr>
        <w:t>a parte peticionaria</w:t>
      </w:r>
      <w:r w:rsidR="00C338E4" w:rsidRPr="00CD3501">
        <w:rPr>
          <w:rFonts w:eastAsia="Cambria" w:cs="Cambria"/>
          <w:color w:val="000000"/>
          <w:u w:color="000000"/>
          <w:lang w:val="es-ES_tradnl" w:eastAsia="es-ES"/>
        </w:rPr>
        <w:t xml:space="preserve"> </w:t>
      </w:r>
      <w:r w:rsidR="000D6F4F" w:rsidRPr="00CD3501">
        <w:rPr>
          <w:rFonts w:eastAsia="Cambria" w:cs="Cambria"/>
          <w:color w:val="000000"/>
          <w:u w:color="000000"/>
          <w:lang w:val="es-ES_tradnl" w:eastAsia="es-ES"/>
        </w:rPr>
        <w:t>alega</w:t>
      </w:r>
      <w:r w:rsidR="005F06A1" w:rsidRPr="00CD3501">
        <w:rPr>
          <w:rFonts w:eastAsia="Cambria" w:cs="Cambria"/>
          <w:color w:val="000000"/>
          <w:u w:color="000000"/>
          <w:lang w:val="es-ES_tradnl" w:eastAsia="es-ES"/>
        </w:rPr>
        <w:t xml:space="preserve"> que</w:t>
      </w:r>
      <w:r w:rsidR="00C338E4" w:rsidRPr="00CD3501">
        <w:rPr>
          <w:rFonts w:eastAsia="Cambria" w:cs="Cambria"/>
          <w:color w:val="000000"/>
          <w:u w:color="000000"/>
          <w:lang w:val="es-ES_tradnl" w:eastAsia="es-ES"/>
        </w:rPr>
        <w:t xml:space="preserve"> </w:t>
      </w:r>
      <w:r w:rsidR="005F06A1" w:rsidRPr="00CD3501">
        <w:rPr>
          <w:rFonts w:eastAsia="Cambria" w:cs="Cambria"/>
          <w:color w:val="000000"/>
          <w:u w:color="000000"/>
          <w:lang w:val="es-ES_tradnl" w:eastAsia="es-ES"/>
        </w:rPr>
        <w:t>el señor</w:t>
      </w:r>
      <w:r w:rsidR="00C338E4" w:rsidRPr="00CD3501">
        <w:rPr>
          <w:rFonts w:eastAsia="Cambria" w:cs="Cambria"/>
          <w:color w:val="000000"/>
          <w:u w:color="000000"/>
          <w:lang w:val="es-ES_tradnl" w:eastAsia="es-ES"/>
        </w:rPr>
        <w:t xml:space="preserve"> Henry </w:t>
      </w:r>
      <w:r w:rsidR="00F44162" w:rsidRPr="00CD3501">
        <w:rPr>
          <w:rFonts w:eastAsia="Cambria" w:cs="Cambria"/>
          <w:color w:val="000000"/>
          <w:u w:color="000000"/>
          <w:lang w:val="es-ES_tradnl" w:eastAsia="es-ES"/>
        </w:rPr>
        <w:t>denunció muchos de esos ataques, pero la policía no los investigó</w:t>
      </w:r>
      <w:r w:rsidR="00C338E4" w:rsidRPr="00CD3501">
        <w:rPr>
          <w:rFonts w:eastAsia="Cambria" w:cs="Cambria"/>
          <w:color w:val="000000"/>
          <w:u w:color="000000"/>
          <w:lang w:val="es-ES_tradnl" w:eastAsia="es-ES"/>
        </w:rPr>
        <w:t xml:space="preserve">. </w:t>
      </w:r>
      <w:r w:rsidR="000D6F4F" w:rsidRPr="00CD3501">
        <w:rPr>
          <w:rFonts w:eastAsia="Cambria" w:cs="Cambria"/>
          <w:color w:val="000000"/>
          <w:u w:color="000000"/>
          <w:lang w:val="es-ES_tradnl" w:eastAsia="es-ES"/>
        </w:rPr>
        <w:t>Agrega</w:t>
      </w:r>
      <w:r w:rsidR="004632C8" w:rsidRPr="00CD3501">
        <w:rPr>
          <w:rFonts w:eastAsia="Cambria" w:cs="Cambria"/>
          <w:color w:val="000000"/>
          <w:u w:color="000000"/>
          <w:lang w:val="es-ES_tradnl" w:eastAsia="es-ES"/>
        </w:rPr>
        <w:t xml:space="preserve"> </w:t>
      </w:r>
      <w:r w:rsidR="005F06A1" w:rsidRPr="00CD3501">
        <w:rPr>
          <w:rFonts w:eastAsia="Cambria" w:cs="Cambria"/>
          <w:color w:val="000000"/>
          <w:u w:color="000000"/>
          <w:lang w:val="es-ES_tradnl" w:eastAsia="es-ES"/>
        </w:rPr>
        <w:t>que</w:t>
      </w:r>
      <w:r w:rsidR="00C338E4" w:rsidRPr="00CD3501">
        <w:rPr>
          <w:rFonts w:eastAsia="Cambria" w:cs="Cambria"/>
          <w:color w:val="000000"/>
          <w:u w:color="000000"/>
          <w:lang w:val="es-ES_tradnl" w:eastAsia="es-ES"/>
        </w:rPr>
        <w:t xml:space="preserve"> </w:t>
      </w:r>
      <w:r w:rsidR="00F44162" w:rsidRPr="00CD3501">
        <w:rPr>
          <w:rFonts w:eastAsia="Cambria" w:cs="Cambria"/>
          <w:color w:val="000000"/>
          <w:u w:color="000000"/>
          <w:lang w:val="es-ES_tradnl" w:eastAsia="es-ES"/>
        </w:rPr>
        <w:t xml:space="preserve">la repetición de actos de agresión homofóbica llevaron al </w:t>
      </w:r>
      <w:r w:rsidR="005F06A1" w:rsidRPr="00CD3501">
        <w:rPr>
          <w:rFonts w:eastAsia="Cambria" w:cs="Cambria"/>
          <w:color w:val="000000"/>
          <w:u w:color="000000"/>
          <w:lang w:val="es-ES_tradnl" w:eastAsia="es-ES"/>
        </w:rPr>
        <w:t>señor</w:t>
      </w:r>
      <w:r w:rsidR="00C338E4" w:rsidRPr="00CD3501">
        <w:rPr>
          <w:rFonts w:eastAsia="Cambria" w:cs="Cambria"/>
          <w:color w:val="000000"/>
          <w:u w:color="000000"/>
          <w:lang w:val="es-ES_tradnl" w:eastAsia="es-ES"/>
        </w:rPr>
        <w:t xml:space="preserve"> Henry </w:t>
      </w:r>
      <w:r w:rsidR="00F44162" w:rsidRPr="00CD3501">
        <w:rPr>
          <w:rFonts w:eastAsia="Cambria" w:cs="Cambria"/>
          <w:color w:val="000000"/>
          <w:u w:color="000000"/>
          <w:lang w:val="es-ES_tradnl" w:eastAsia="es-ES"/>
        </w:rPr>
        <w:t>a huir del país. En junio de 2008, el señor Henry recibió asilo en Canadá</w:t>
      </w:r>
      <w:r w:rsidR="00A844A9" w:rsidRPr="00CD3501">
        <w:rPr>
          <w:rFonts w:eastAsia="Cambria" w:cs="Cambria"/>
          <w:color w:val="000000"/>
          <w:u w:color="000000"/>
          <w:lang w:val="es-ES_tradnl" w:eastAsia="es-ES"/>
        </w:rPr>
        <w:t xml:space="preserve"> </w:t>
      </w:r>
      <w:r w:rsidR="00F44162" w:rsidRPr="00CD3501">
        <w:rPr>
          <w:rFonts w:eastAsia="Cambria" w:cs="Cambria"/>
          <w:color w:val="000000"/>
          <w:u w:color="000000"/>
          <w:lang w:val="es-ES_tradnl" w:eastAsia="es-ES"/>
        </w:rPr>
        <w:t>y en 2015 obtuvo la ciudadanía</w:t>
      </w:r>
      <w:r w:rsidR="00A844A9" w:rsidRPr="00CD3501">
        <w:rPr>
          <w:rFonts w:eastAsia="Cambria" w:cs="Cambria"/>
          <w:color w:val="000000"/>
          <w:u w:color="000000"/>
          <w:lang w:val="es-ES_tradnl" w:eastAsia="es-ES"/>
        </w:rPr>
        <w:t>.</w:t>
      </w:r>
      <w:r w:rsidR="00C338E4" w:rsidRPr="00CD3501">
        <w:rPr>
          <w:rFonts w:eastAsia="Cambria" w:cs="Cambria"/>
          <w:color w:val="000000"/>
          <w:u w:color="000000"/>
          <w:lang w:val="es-ES_tradnl" w:eastAsia="es-ES"/>
        </w:rPr>
        <w:t xml:space="preserve"> </w:t>
      </w:r>
    </w:p>
    <w:p w14:paraId="25E48834" w14:textId="77777777" w:rsidR="00BB0A79" w:rsidRPr="00CD3501" w:rsidRDefault="00BB0A79" w:rsidP="00A167CF">
      <w:pPr>
        <w:pStyle w:val="ListParagraph"/>
        <w:rPr>
          <w:lang w:val="es-ES_tradnl"/>
        </w:rPr>
      </w:pPr>
    </w:p>
    <w:p w14:paraId="228BF4F4" w14:textId="7120DEDE" w:rsidR="00512224" w:rsidRPr="00CD3501" w:rsidRDefault="000D6F4F" w:rsidP="00C12E55">
      <w:pPr>
        <w:pStyle w:val="parrafos"/>
        <w:numPr>
          <w:ilvl w:val="0"/>
          <w:numId w:val="57"/>
        </w:numPr>
        <w:tabs>
          <w:tab w:val="clear" w:pos="360"/>
          <w:tab w:val="clear" w:pos="1080"/>
        </w:tabs>
        <w:ind w:left="0" w:firstLine="0"/>
        <w:rPr>
          <w:lang w:val="es-ES_tradnl"/>
        </w:rPr>
      </w:pPr>
      <w:r w:rsidRPr="00CD3501">
        <w:rPr>
          <w:rFonts w:eastAsia="Cambria" w:cs="Cambria"/>
          <w:lang w:val="es-ES_tradnl"/>
        </w:rPr>
        <w:t>Por otra parte, la parte peticionaria</w:t>
      </w:r>
      <w:r w:rsidR="00C338E4" w:rsidRPr="00CD3501">
        <w:rPr>
          <w:rFonts w:eastAsia="Cambria" w:cs="Cambria"/>
          <w:lang w:val="es-ES_tradnl"/>
        </w:rPr>
        <w:t xml:space="preserve"> </w:t>
      </w:r>
      <w:r w:rsidR="005F06A1" w:rsidRPr="00CD3501">
        <w:rPr>
          <w:rFonts w:eastAsia="Cambria" w:cs="Cambria"/>
          <w:lang w:val="es-ES_tradnl"/>
        </w:rPr>
        <w:t>a</w:t>
      </w:r>
      <w:r w:rsidR="004632C8" w:rsidRPr="00CD3501">
        <w:rPr>
          <w:rFonts w:eastAsia="Cambria" w:cs="Cambria"/>
          <w:lang w:val="es-ES_tradnl"/>
        </w:rPr>
        <w:t xml:space="preserve">firman </w:t>
      </w:r>
      <w:r w:rsidR="005F06A1" w:rsidRPr="00CD3501">
        <w:rPr>
          <w:rFonts w:eastAsia="Cambria" w:cs="Cambria"/>
          <w:lang w:val="es-ES_tradnl"/>
        </w:rPr>
        <w:t>que</w:t>
      </w:r>
      <w:r w:rsidR="00C338E4" w:rsidRPr="00CD3501">
        <w:rPr>
          <w:rFonts w:eastAsia="Cambria" w:cs="Cambria"/>
          <w:lang w:val="es-ES_tradnl"/>
        </w:rPr>
        <w:t xml:space="preserve"> Simone Carline Edwards </w:t>
      </w:r>
      <w:r w:rsidR="00F44162" w:rsidRPr="00CD3501">
        <w:rPr>
          <w:rFonts w:eastAsia="Cambria" w:cs="Cambria"/>
          <w:lang w:val="es-ES_tradnl"/>
        </w:rPr>
        <w:t xml:space="preserve">es una mujer </w:t>
      </w:r>
      <w:r w:rsidR="00C338E4" w:rsidRPr="00CD3501">
        <w:rPr>
          <w:rFonts w:eastAsia="Cambria" w:cs="Cambria"/>
          <w:lang w:val="es-ES_tradnl"/>
        </w:rPr>
        <w:t>lesbian</w:t>
      </w:r>
      <w:r w:rsidR="00F44162" w:rsidRPr="00CD3501">
        <w:rPr>
          <w:rFonts w:eastAsia="Cambria" w:cs="Cambria"/>
          <w:lang w:val="es-ES_tradnl"/>
        </w:rPr>
        <w:t>a</w:t>
      </w:r>
      <w:r w:rsidR="004632C8" w:rsidRPr="00CD3501">
        <w:rPr>
          <w:rFonts w:eastAsia="Cambria" w:cs="Cambria"/>
          <w:lang w:val="es-ES_tradnl"/>
        </w:rPr>
        <w:t xml:space="preserve"> y que, e</w:t>
      </w:r>
      <w:r w:rsidR="00BC492C" w:rsidRPr="00CD3501">
        <w:rPr>
          <w:rFonts w:eastAsia="Cambria" w:cs="Cambria"/>
          <w:lang w:val="es-ES_tradnl"/>
        </w:rPr>
        <w:t>l 29 de agosto de 2008</w:t>
      </w:r>
      <w:r w:rsidR="004632C8" w:rsidRPr="00CD3501">
        <w:rPr>
          <w:rFonts w:eastAsia="Cambria" w:cs="Cambria"/>
          <w:lang w:val="es-ES_tradnl"/>
        </w:rPr>
        <w:t>,</w:t>
      </w:r>
      <w:r w:rsidR="00D92ABF" w:rsidRPr="00CD3501">
        <w:rPr>
          <w:rFonts w:eastAsia="Cambria" w:cs="Cambria"/>
          <w:lang w:val="es-ES_tradnl"/>
        </w:rPr>
        <w:t xml:space="preserve"> sufrió un ataque homofóbico que casi </w:t>
      </w:r>
      <w:r w:rsidRPr="00CD3501">
        <w:rPr>
          <w:rFonts w:eastAsia="Cambria" w:cs="Cambria"/>
          <w:lang w:val="es-ES_tradnl"/>
        </w:rPr>
        <w:t>terminó con su vida</w:t>
      </w:r>
      <w:r w:rsidR="00BC492C" w:rsidRPr="00CD3501">
        <w:rPr>
          <w:rFonts w:eastAsia="Cambria" w:cs="Cambria"/>
          <w:lang w:val="es-ES_tradnl"/>
        </w:rPr>
        <w:t xml:space="preserve">. </w:t>
      </w:r>
      <w:r w:rsidRPr="00CD3501">
        <w:rPr>
          <w:rFonts w:eastAsia="Cambria" w:cs="Cambria"/>
          <w:lang w:val="es-ES_tradnl"/>
        </w:rPr>
        <w:t>La</w:t>
      </w:r>
      <w:r w:rsidR="000A3FB7" w:rsidRPr="00CD3501">
        <w:rPr>
          <w:rFonts w:eastAsia="Cambria" w:cs="Cambria"/>
          <w:lang w:val="es-ES_tradnl"/>
        </w:rPr>
        <w:t xml:space="preserve"> </w:t>
      </w:r>
      <w:r w:rsidRPr="00CD3501">
        <w:rPr>
          <w:rFonts w:eastAsia="Cambria" w:cs="Cambria"/>
          <w:lang w:val="es-ES_tradnl"/>
        </w:rPr>
        <w:t>parte peticionaria</w:t>
      </w:r>
      <w:r w:rsidR="00C338E4" w:rsidRPr="00CD3501">
        <w:rPr>
          <w:rFonts w:eastAsia="Cambria" w:cs="Cambria"/>
          <w:lang w:val="es-ES_tradnl"/>
        </w:rPr>
        <w:t xml:space="preserve"> </w:t>
      </w:r>
      <w:r w:rsidRPr="00CD3501">
        <w:rPr>
          <w:rFonts w:eastAsia="Cambria" w:cs="Cambria"/>
          <w:lang w:val="es-ES_tradnl"/>
        </w:rPr>
        <w:t>sostiene</w:t>
      </w:r>
      <w:r w:rsidR="005F06A1" w:rsidRPr="00CD3501">
        <w:rPr>
          <w:rFonts w:eastAsia="Cambria" w:cs="Cambria"/>
          <w:lang w:val="es-ES_tradnl"/>
        </w:rPr>
        <w:t xml:space="preserve"> que</w:t>
      </w:r>
      <w:r w:rsidR="00C338E4" w:rsidRPr="00CD3501">
        <w:rPr>
          <w:rFonts w:eastAsia="Cambria" w:cs="Cambria"/>
          <w:lang w:val="es-ES_tradnl"/>
        </w:rPr>
        <w:t xml:space="preserve"> </w:t>
      </w:r>
      <w:r w:rsidR="00BC492C" w:rsidRPr="00CD3501">
        <w:rPr>
          <w:rFonts w:eastAsia="Cambria" w:cs="Cambria"/>
          <w:lang w:val="es-ES_tradnl"/>
        </w:rPr>
        <w:t xml:space="preserve">dos integrantes de una banda homofóbica le dispararon varias veces a </w:t>
      </w:r>
      <w:r w:rsidR="00D92ABF" w:rsidRPr="00CD3501">
        <w:rPr>
          <w:rFonts w:eastAsia="Cambria" w:cs="Cambria"/>
          <w:lang w:val="es-ES_tradnl"/>
        </w:rPr>
        <w:t>la señora</w:t>
      </w:r>
      <w:r w:rsidR="00C338E4" w:rsidRPr="00CD3501">
        <w:rPr>
          <w:rFonts w:eastAsia="Cambria" w:cs="Cambria"/>
          <w:lang w:val="es-ES_tradnl"/>
        </w:rPr>
        <w:t xml:space="preserve"> Edwards </w:t>
      </w:r>
      <w:r w:rsidR="00BC492C" w:rsidRPr="00CD3501">
        <w:rPr>
          <w:rFonts w:eastAsia="Cambria" w:cs="Cambria"/>
          <w:lang w:val="es-ES_tradnl"/>
        </w:rPr>
        <w:t>y a sus hermanos, uno de los cuales también es</w:t>
      </w:r>
      <w:r w:rsidR="00C338E4" w:rsidRPr="00CD3501">
        <w:rPr>
          <w:rFonts w:eastAsia="Cambria" w:cs="Cambria"/>
          <w:lang w:val="es-ES_tradnl"/>
        </w:rPr>
        <w:t xml:space="preserve"> gay, </w:t>
      </w:r>
      <w:r w:rsidR="00BC492C" w:rsidRPr="00CD3501">
        <w:rPr>
          <w:rFonts w:eastAsia="Cambria" w:cs="Cambria"/>
          <w:lang w:val="es-ES_tradnl"/>
        </w:rPr>
        <w:t xml:space="preserve">mientras estaban en su casa, en </w:t>
      </w:r>
      <w:r w:rsidR="00C338E4" w:rsidRPr="00CD3501">
        <w:rPr>
          <w:rFonts w:eastAsia="Cambria" w:cs="Cambria"/>
          <w:lang w:val="es-ES_tradnl"/>
        </w:rPr>
        <w:t>Spanish Town</w:t>
      </w:r>
      <w:r w:rsidR="00BC492C" w:rsidRPr="00CD3501">
        <w:rPr>
          <w:rFonts w:eastAsia="Cambria" w:cs="Cambria"/>
          <w:lang w:val="es-ES_tradnl"/>
        </w:rPr>
        <w:t>. S</w:t>
      </w:r>
      <w:r w:rsidR="004632C8" w:rsidRPr="00CD3501">
        <w:rPr>
          <w:rFonts w:eastAsia="Cambria" w:cs="Cambria"/>
          <w:lang w:val="es-ES_tradnl"/>
        </w:rPr>
        <w:t xml:space="preserve">eñalan </w:t>
      </w:r>
      <w:r w:rsidR="005F06A1" w:rsidRPr="00CD3501">
        <w:rPr>
          <w:rFonts w:eastAsia="Cambria" w:cs="Cambria"/>
          <w:lang w:val="es-ES_tradnl"/>
        </w:rPr>
        <w:t>que</w:t>
      </w:r>
      <w:r w:rsidR="00C338E4" w:rsidRPr="00CD3501">
        <w:rPr>
          <w:rFonts w:eastAsia="Cambria" w:cs="Cambria"/>
          <w:lang w:val="es-ES_tradnl"/>
        </w:rPr>
        <w:t xml:space="preserve"> </w:t>
      </w:r>
      <w:r w:rsidR="00D92ABF" w:rsidRPr="00CD3501">
        <w:rPr>
          <w:rFonts w:eastAsia="Cambria" w:cs="Cambria"/>
          <w:lang w:val="es-ES_tradnl"/>
        </w:rPr>
        <w:t>la señora</w:t>
      </w:r>
      <w:r w:rsidR="00C338E4" w:rsidRPr="00CD3501">
        <w:rPr>
          <w:rFonts w:eastAsia="Cambria" w:cs="Cambria"/>
          <w:lang w:val="es-ES_tradnl"/>
        </w:rPr>
        <w:t xml:space="preserve"> Edwards </w:t>
      </w:r>
      <w:r w:rsidR="00BC492C" w:rsidRPr="00CD3501">
        <w:rPr>
          <w:rFonts w:eastAsia="Cambria" w:cs="Cambria"/>
          <w:lang w:val="es-ES_tradnl"/>
        </w:rPr>
        <w:t>perdió un riñón y parte del hígado como consecuencia del atentado</w:t>
      </w:r>
      <w:r w:rsidR="00C338E4" w:rsidRPr="00CD3501">
        <w:rPr>
          <w:rFonts w:eastAsia="Cambria" w:cs="Cambria"/>
          <w:lang w:val="es-ES_tradnl"/>
        </w:rPr>
        <w:t xml:space="preserve">. </w:t>
      </w:r>
      <w:r w:rsidR="000A3FB7" w:rsidRPr="00CD3501">
        <w:rPr>
          <w:rFonts w:eastAsia="Cambria" w:cs="Cambria"/>
          <w:lang w:val="es-ES_tradnl"/>
        </w:rPr>
        <w:t>L</w:t>
      </w:r>
      <w:r w:rsidR="006A2290" w:rsidRPr="00CD3501">
        <w:rPr>
          <w:rFonts w:eastAsia="Cambria" w:cs="Cambria"/>
          <w:lang w:val="es-ES_tradnl"/>
        </w:rPr>
        <w:t>a parte peticionaria</w:t>
      </w:r>
      <w:r w:rsidR="00C338E4" w:rsidRPr="00CD3501">
        <w:rPr>
          <w:rFonts w:eastAsia="Cambria" w:cs="Cambria"/>
          <w:lang w:val="es-ES_tradnl"/>
        </w:rPr>
        <w:t xml:space="preserve"> </w:t>
      </w:r>
      <w:r w:rsidR="006A2290" w:rsidRPr="00CD3501">
        <w:rPr>
          <w:rFonts w:eastAsia="Cambria" w:cs="Cambria"/>
          <w:lang w:val="es-ES_tradnl"/>
        </w:rPr>
        <w:t>alega</w:t>
      </w:r>
      <w:r w:rsidR="005F06A1" w:rsidRPr="00CD3501">
        <w:rPr>
          <w:rFonts w:eastAsia="Cambria" w:cs="Cambria"/>
          <w:lang w:val="es-ES_tradnl"/>
        </w:rPr>
        <w:t xml:space="preserve"> que</w:t>
      </w:r>
      <w:r w:rsidR="00C338E4" w:rsidRPr="00CD3501">
        <w:rPr>
          <w:rFonts w:eastAsia="Cambria" w:cs="Cambria"/>
          <w:lang w:val="es-ES_tradnl"/>
        </w:rPr>
        <w:t xml:space="preserve"> </w:t>
      </w:r>
      <w:r w:rsidR="00D92ABF" w:rsidRPr="00CD3501">
        <w:rPr>
          <w:rFonts w:eastAsia="Cambria" w:cs="Cambria"/>
          <w:lang w:val="es-ES_tradnl"/>
        </w:rPr>
        <w:t>la señora</w:t>
      </w:r>
      <w:r w:rsidR="00C338E4" w:rsidRPr="00CD3501">
        <w:rPr>
          <w:rFonts w:eastAsia="Cambria" w:cs="Cambria"/>
          <w:lang w:val="es-ES_tradnl"/>
        </w:rPr>
        <w:t xml:space="preserve"> Edwards reco</w:t>
      </w:r>
      <w:r w:rsidR="00BC492C" w:rsidRPr="00CD3501">
        <w:rPr>
          <w:rFonts w:eastAsia="Cambria" w:cs="Cambria"/>
          <w:lang w:val="es-ES_tradnl"/>
        </w:rPr>
        <w:t xml:space="preserve">noció a uno de los atacantes y que su hermano identificó a uno de los pistoleros en </w:t>
      </w:r>
      <w:r w:rsidR="006A2290" w:rsidRPr="00CD3501">
        <w:rPr>
          <w:rFonts w:eastAsia="Cambria" w:cs="Cambria"/>
          <w:lang w:val="es-ES_tradnl"/>
        </w:rPr>
        <w:t>una fila de sospechosos. Agrega</w:t>
      </w:r>
      <w:r w:rsidR="00117802" w:rsidRPr="00CD3501">
        <w:rPr>
          <w:rFonts w:eastAsia="Cambria" w:cs="Cambria"/>
          <w:lang w:val="es-ES_tradnl"/>
        </w:rPr>
        <w:t xml:space="preserve"> que el hermano de </w:t>
      </w:r>
      <w:r w:rsidR="00D92ABF" w:rsidRPr="00CD3501">
        <w:rPr>
          <w:rFonts w:eastAsia="Cambria" w:cs="Cambria"/>
          <w:lang w:val="es-ES_tradnl"/>
        </w:rPr>
        <w:t>la señora</w:t>
      </w:r>
      <w:r w:rsidR="00C338E4" w:rsidRPr="00CD3501">
        <w:rPr>
          <w:rFonts w:eastAsia="Cambria" w:cs="Cambria"/>
          <w:lang w:val="es-ES_tradnl"/>
        </w:rPr>
        <w:t xml:space="preserve"> Edwards</w:t>
      </w:r>
      <w:r w:rsidR="00117802" w:rsidRPr="00CD3501">
        <w:rPr>
          <w:rFonts w:eastAsia="Cambria" w:cs="Cambria"/>
          <w:lang w:val="es-ES_tradnl"/>
        </w:rPr>
        <w:t xml:space="preserve"> solicitó protección en calidad de testigo, pero se la negaron. A</w:t>
      </w:r>
      <w:r w:rsidR="006A2290" w:rsidRPr="00CD3501">
        <w:rPr>
          <w:rFonts w:eastAsia="Cambria" w:cs="Cambria"/>
          <w:lang w:val="es-ES_tradnl"/>
        </w:rPr>
        <w:t>duce</w:t>
      </w:r>
      <w:r w:rsidR="005F06A1" w:rsidRPr="00CD3501">
        <w:rPr>
          <w:rFonts w:eastAsia="Cambria" w:cs="Cambria"/>
          <w:lang w:val="es-ES_tradnl"/>
        </w:rPr>
        <w:t xml:space="preserve"> que</w:t>
      </w:r>
      <w:r w:rsidR="00C338E4" w:rsidRPr="00CD3501">
        <w:rPr>
          <w:rFonts w:eastAsia="Cambria" w:cs="Cambria"/>
          <w:lang w:val="es-ES_tradnl"/>
        </w:rPr>
        <w:t xml:space="preserve"> </w:t>
      </w:r>
      <w:r w:rsidR="00117802" w:rsidRPr="00CD3501">
        <w:rPr>
          <w:rFonts w:eastAsia="Cambria" w:cs="Cambria"/>
          <w:lang w:val="es-ES_tradnl"/>
        </w:rPr>
        <w:t xml:space="preserve">a </w:t>
      </w:r>
      <w:r w:rsidR="00D92ABF" w:rsidRPr="00CD3501">
        <w:rPr>
          <w:rFonts w:eastAsia="Cambria" w:cs="Cambria"/>
          <w:lang w:val="es-ES_tradnl"/>
        </w:rPr>
        <w:t>la señora</w:t>
      </w:r>
      <w:r w:rsidR="00C338E4" w:rsidRPr="00CD3501">
        <w:rPr>
          <w:rFonts w:eastAsia="Cambria" w:cs="Cambria"/>
          <w:lang w:val="es-ES_tradnl"/>
        </w:rPr>
        <w:t xml:space="preserve"> Edwards </w:t>
      </w:r>
      <w:r w:rsidR="00117802" w:rsidRPr="00CD3501">
        <w:rPr>
          <w:rFonts w:eastAsia="Cambria" w:cs="Cambria"/>
          <w:lang w:val="es-ES_tradnl"/>
        </w:rPr>
        <w:t>nunca le informaron sobre el progreso de la investigación policial y que ni a ella ni a su hermano le</w:t>
      </w:r>
      <w:r w:rsidR="006A2290" w:rsidRPr="00CD3501">
        <w:rPr>
          <w:rFonts w:eastAsia="Cambria" w:cs="Cambria"/>
          <w:lang w:val="es-ES_tradnl"/>
        </w:rPr>
        <w:t>s</w:t>
      </w:r>
      <w:r w:rsidR="00117802" w:rsidRPr="00CD3501">
        <w:rPr>
          <w:rFonts w:eastAsia="Cambria" w:cs="Cambria"/>
          <w:lang w:val="es-ES_tradnl"/>
        </w:rPr>
        <w:t xml:space="preserve"> pidieron que comparecieran ante los tribunales</w:t>
      </w:r>
      <w:r w:rsidR="00C338E4" w:rsidRPr="00CD3501">
        <w:rPr>
          <w:rFonts w:eastAsia="Cambria" w:cs="Cambria"/>
          <w:lang w:val="es-ES_tradnl"/>
        </w:rPr>
        <w:t xml:space="preserve">. </w:t>
      </w:r>
      <w:r w:rsidR="006A2290" w:rsidRPr="00CD3501">
        <w:rPr>
          <w:rFonts w:eastAsia="Cambria" w:cs="Cambria"/>
          <w:lang w:val="es-ES_tradnl"/>
        </w:rPr>
        <w:t>Indica</w:t>
      </w:r>
      <w:r w:rsidR="00117802" w:rsidRPr="00CD3501">
        <w:rPr>
          <w:rFonts w:eastAsia="Cambria" w:cs="Cambria"/>
          <w:lang w:val="es-ES_tradnl"/>
        </w:rPr>
        <w:t xml:space="preserve"> que, a pesar de que l</w:t>
      </w:r>
      <w:r w:rsidR="004632C8" w:rsidRPr="00CD3501">
        <w:rPr>
          <w:rFonts w:eastAsia="Cambria" w:cs="Cambria"/>
          <w:lang w:val="es-ES_tradnl"/>
        </w:rPr>
        <w:t xml:space="preserve">a señora </w:t>
      </w:r>
      <w:r w:rsidR="00C338E4" w:rsidRPr="00CD3501">
        <w:rPr>
          <w:rFonts w:eastAsia="Cambria" w:cs="Cambria"/>
          <w:lang w:val="es-ES_tradnl"/>
        </w:rPr>
        <w:t>Edwards</w:t>
      </w:r>
      <w:r w:rsidR="00117802" w:rsidRPr="00CD3501">
        <w:rPr>
          <w:rFonts w:eastAsia="Cambria" w:cs="Cambria"/>
          <w:lang w:val="es-ES_tradnl"/>
        </w:rPr>
        <w:t xml:space="preserve"> </w:t>
      </w:r>
      <w:r w:rsidR="004632C8" w:rsidRPr="00CD3501">
        <w:rPr>
          <w:rFonts w:eastAsia="Cambria" w:cs="Cambria"/>
          <w:lang w:val="es-ES_tradnl"/>
        </w:rPr>
        <w:t xml:space="preserve">y su hermano </w:t>
      </w:r>
      <w:r w:rsidR="00117802" w:rsidRPr="00CD3501">
        <w:rPr>
          <w:rFonts w:eastAsia="Cambria" w:cs="Cambria"/>
          <w:lang w:val="es-ES_tradnl"/>
        </w:rPr>
        <w:t>habían identificado al agresor,</w:t>
      </w:r>
      <w:r w:rsidR="00C338E4" w:rsidRPr="00CD3501">
        <w:rPr>
          <w:rFonts w:eastAsia="Cambria" w:cs="Cambria"/>
          <w:lang w:val="es-ES_tradnl"/>
        </w:rPr>
        <w:t xml:space="preserve"> </w:t>
      </w:r>
      <w:r w:rsidR="00117802" w:rsidRPr="00CD3501">
        <w:rPr>
          <w:rFonts w:eastAsia="Cambria" w:cs="Cambria"/>
          <w:lang w:val="es-ES_tradnl"/>
        </w:rPr>
        <w:t>el único atacante que había sido capturado fue puesto en libertad y al segundo pistolero n</w:t>
      </w:r>
      <w:r w:rsidR="006A2290" w:rsidRPr="00CD3501">
        <w:rPr>
          <w:rFonts w:eastAsia="Cambria" w:cs="Cambria"/>
          <w:lang w:val="es-ES_tradnl"/>
        </w:rPr>
        <w:t xml:space="preserve">unca lo </w:t>
      </w:r>
      <w:r w:rsidR="00117802" w:rsidRPr="00CD3501">
        <w:rPr>
          <w:rFonts w:eastAsia="Cambria" w:cs="Cambria"/>
          <w:lang w:val="es-ES_tradnl"/>
        </w:rPr>
        <w:t>arrestaron. S</w:t>
      </w:r>
      <w:r w:rsidR="006A2290" w:rsidRPr="00CD3501">
        <w:rPr>
          <w:rFonts w:eastAsia="Cambria" w:cs="Cambria"/>
          <w:lang w:val="es-ES_tradnl"/>
        </w:rPr>
        <w:t>ostiene</w:t>
      </w:r>
      <w:r w:rsidR="005F06A1" w:rsidRPr="00CD3501">
        <w:rPr>
          <w:rFonts w:eastAsia="Cambria" w:cs="Cambria"/>
          <w:lang w:val="es-ES_tradnl"/>
        </w:rPr>
        <w:t xml:space="preserve"> que</w:t>
      </w:r>
      <w:r w:rsidR="00C338E4" w:rsidRPr="00CD3501">
        <w:rPr>
          <w:rFonts w:eastAsia="Cambria" w:cs="Cambria"/>
          <w:lang w:val="es-ES_tradnl"/>
        </w:rPr>
        <w:t xml:space="preserve"> </w:t>
      </w:r>
      <w:r w:rsidR="00D92ABF" w:rsidRPr="00CD3501">
        <w:rPr>
          <w:rFonts w:eastAsia="Cambria" w:cs="Cambria"/>
          <w:lang w:val="es-ES_tradnl"/>
        </w:rPr>
        <w:t>la señora</w:t>
      </w:r>
      <w:r w:rsidR="00C338E4" w:rsidRPr="00CD3501">
        <w:rPr>
          <w:rFonts w:eastAsia="Cambria" w:cs="Cambria"/>
          <w:lang w:val="es-ES_tradnl"/>
        </w:rPr>
        <w:t xml:space="preserve"> Edwards </w:t>
      </w:r>
      <w:r w:rsidR="00117802" w:rsidRPr="00CD3501">
        <w:rPr>
          <w:rFonts w:eastAsia="Cambria" w:cs="Cambria"/>
          <w:lang w:val="es-ES_tradnl"/>
        </w:rPr>
        <w:t>y sus familiares</w:t>
      </w:r>
      <w:r w:rsidR="00C338E4" w:rsidRPr="00CD3501">
        <w:rPr>
          <w:rFonts w:eastAsia="Cambria" w:cs="Cambria"/>
          <w:lang w:val="es-ES_tradnl"/>
        </w:rPr>
        <w:t xml:space="preserve"> </w:t>
      </w:r>
      <w:r w:rsidR="00117802" w:rsidRPr="00CD3501">
        <w:rPr>
          <w:rFonts w:eastAsia="Cambria" w:cs="Cambria"/>
          <w:lang w:val="es-ES_tradnl"/>
        </w:rPr>
        <w:t>no pudieron volver a su casa después del tiroteo porque temían represalias y que ella y su hija se vieron obligadas a</w:t>
      </w:r>
      <w:r w:rsidR="006A2290" w:rsidRPr="00CD3501">
        <w:rPr>
          <w:rFonts w:eastAsia="Cambria" w:cs="Cambria"/>
          <w:lang w:val="es-ES_tradnl"/>
        </w:rPr>
        <w:t xml:space="preserve"> mudarse constantemente. Agrega</w:t>
      </w:r>
      <w:r w:rsidR="00117802" w:rsidRPr="00CD3501">
        <w:rPr>
          <w:rFonts w:eastAsia="Cambria" w:cs="Cambria"/>
          <w:lang w:val="es-ES_tradnl"/>
        </w:rPr>
        <w:t xml:space="preserve"> que la señora Edwards huyó de </w:t>
      </w:r>
      <w:r w:rsidR="00C338E4" w:rsidRPr="00CD3501">
        <w:rPr>
          <w:rFonts w:eastAsia="Cambria" w:cs="Cambria"/>
          <w:lang w:val="es-ES_tradnl"/>
        </w:rPr>
        <w:t xml:space="preserve">Jamaica </w:t>
      </w:r>
      <w:r w:rsidR="00117802" w:rsidRPr="00CD3501">
        <w:rPr>
          <w:rFonts w:eastAsia="Cambria" w:cs="Cambria"/>
          <w:lang w:val="es-ES_tradnl"/>
        </w:rPr>
        <w:t>e</w:t>
      </w:r>
      <w:r w:rsidR="00C338E4" w:rsidRPr="00CD3501">
        <w:rPr>
          <w:rFonts w:eastAsia="Cambria" w:cs="Cambria"/>
          <w:lang w:val="es-ES_tradnl"/>
        </w:rPr>
        <w:t xml:space="preserve">n </w:t>
      </w:r>
      <w:r w:rsidR="00117802" w:rsidRPr="00CD3501">
        <w:rPr>
          <w:rFonts w:eastAsia="Cambria" w:cs="Cambria"/>
          <w:lang w:val="es-ES_tradnl"/>
        </w:rPr>
        <w:t>septiembre de</w:t>
      </w:r>
      <w:r w:rsidR="00C338E4" w:rsidRPr="00CD3501">
        <w:rPr>
          <w:rFonts w:eastAsia="Cambria" w:cs="Cambria"/>
          <w:lang w:val="es-ES_tradnl"/>
        </w:rPr>
        <w:t xml:space="preserve"> 2009 </w:t>
      </w:r>
      <w:r w:rsidR="00117802" w:rsidRPr="00CD3501">
        <w:rPr>
          <w:rFonts w:eastAsia="Cambria" w:cs="Cambria"/>
          <w:lang w:val="es-ES_tradnl"/>
        </w:rPr>
        <w:t xml:space="preserve">después de recibir </w:t>
      </w:r>
      <w:r w:rsidR="004632C8" w:rsidRPr="00CD3501">
        <w:rPr>
          <w:rFonts w:eastAsia="Cambria" w:cs="Cambria"/>
          <w:lang w:val="es-ES_tradnl"/>
        </w:rPr>
        <w:t xml:space="preserve">otras </w:t>
      </w:r>
      <w:r w:rsidR="00FB672B" w:rsidRPr="00CD3501">
        <w:rPr>
          <w:rFonts w:eastAsia="Cambria" w:cs="Cambria"/>
          <w:lang w:val="es-ES_tradnl"/>
        </w:rPr>
        <w:t xml:space="preserve">dos amenazas homofóbicas </w:t>
      </w:r>
      <w:r w:rsidR="00464D85" w:rsidRPr="00CD3501">
        <w:rPr>
          <w:rFonts w:eastAsia="Cambria" w:cs="Cambria"/>
          <w:lang w:val="es-ES_tradnl"/>
        </w:rPr>
        <w:t>y se asiló en los Países Bajos</w:t>
      </w:r>
      <w:r w:rsidR="00C338E4" w:rsidRPr="00CD3501">
        <w:rPr>
          <w:rFonts w:eastAsia="Cambria" w:cs="Cambria"/>
          <w:lang w:val="es-ES_tradnl"/>
        </w:rPr>
        <w:t xml:space="preserve">. </w:t>
      </w:r>
    </w:p>
    <w:p w14:paraId="4EC46E27" w14:textId="77777777" w:rsidR="00512224" w:rsidRPr="00CD3501" w:rsidRDefault="00512224" w:rsidP="00A167CF">
      <w:pPr>
        <w:pStyle w:val="parrafos"/>
        <w:tabs>
          <w:tab w:val="clear" w:pos="360"/>
        </w:tabs>
        <w:rPr>
          <w:lang w:val="es-ES_tradnl"/>
        </w:rPr>
      </w:pPr>
    </w:p>
    <w:p w14:paraId="0A53FD71" w14:textId="7847B330" w:rsidR="00512224" w:rsidRPr="00CD3501" w:rsidRDefault="009A3641" w:rsidP="00C12E55">
      <w:pPr>
        <w:pStyle w:val="parrafos"/>
        <w:numPr>
          <w:ilvl w:val="0"/>
          <w:numId w:val="57"/>
        </w:numPr>
        <w:tabs>
          <w:tab w:val="clear" w:pos="360"/>
          <w:tab w:val="clear" w:pos="1080"/>
        </w:tabs>
        <w:ind w:left="0" w:firstLine="0"/>
        <w:rPr>
          <w:lang w:val="es-ES_tradnl"/>
        </w:rPr>
      </w:pPr>
      <w:r w:rsidRPr="00CD3501">
        <w:rPr>
          <w:rFonts w:eastAsia="Cambria" w:cs="Cambria"/>
          <w:lang w:val="es-ES_tradnl"/>
        </w:rPr>
        <w:t>L</w:t>
      </w:r>
      <w:r w:rsidR="006A2290" w:rsidRPr="00CD3501">
        <w:rPr>
          <w:rFonts w:eastAsia="Cambria" w:cs="Cambria"/>
          <w:lang w:val="es-ES_tradnl"/>
        </w:rPr>
        <w:t xml:space="preserve">a parte peticionaria </w:t>
      </w:r>
      <w:r w:rsidR="005F06A1" w:rsidRPr="00CD3501">
        <w:rPr>
          <w:rFonts w:eastAsia="Cambria" w:cs="Cambria"/>
          <w:lang w:val="es-ES_tradnl"/>
        </w:rPr>
        <w:t>s</w:t>
      </w:r>
      <w:r w:rsidR="006A2290" w:rsidRPr="00CD3501">
        <w:rPr>
          <w:rFonts w:eastAsia="Cambria" w:cs="Cambria"/>
          <w:lang w:val="es-ES_tradnl"/>
        </w:rPr>
        <w:t>eñala</w:t>
      </w:r>
      <w:r w:rsidR="001B6F5A" w:rsidRPr="00CD3501">
        <w:rPr>
          <w:rFonts w:eastAsia="Cambria" w:cs="Cambria"/>
          <w:lang w:val="es-ES_tradnl"/>
        </w:rPr>
        <w:t xml:space="preserve"> </w:t>
      </w:r>
      <w:r w:rsidR="005F06A1" w:rsidRPr="00CD3501">
        <w:rPr>
          <w:rFonts w:eastAsia="Cambria" w:cs="Cambria"/>
          <w:lang w:val="es-ES_tradnl"/>
        </w:rPr>
        <w:t>que</w:t>
      </w:r>
      <w:r w:rsidR="00C338E4" w:rsidRPr="00CD3501">
        <w:rPr>
          <w:rFonts w:eastAsia="Cambria" w:cs="Cambria"/>
          <w:lang w:val="es-ES_tradnl"/>
        </w:rPr>
        <w:t xml:space="preserve"> </w:t>
      </w:r>
      <w:r w:rsidR="00D92ABF" w:rsidRPr="00CD3501">
        <w:rPr>
          <w:rFonts w:eastAsia="Cambria" w:cs="Cambria"/>
          <w:lang w:val="es-ES_tradnl"/>
        </w:rPr>
        <w:t>los familiares d</w:t>
      </w:r>
      <w:r w:rsidR="005F06A1" w:rsidRPr="00CD3501">
        <w:rPr>
          <w:rFonts w:eastAsia="Cambria" w:cs="Cambria"/>
          <w:lang w:val="es-ES_tradnl"/>
        </w:rPr>
        <w:t>el señor</w:t>
      </w:r>
      <w:r w:rsidR="00C338E4" w:rsidRPr="00CD3501">
        <w:rPr>
          <w:rFonts w:eastAsia="Cambria" w:cs="Cambria"/>
          <w:lang w:val="es-ES_tradnl"/>
        </w:rPr>
        <w:t xml:space="preserve"> Henry</w:t>
      </w:r>
      <w:r w:rsidR="00D92ABF" w:rsidRPr="00CD3501">
        <w:rPr>
          <w:rFonts w:eastAsia="Cambria" w:cs="Cambria"/>
          <w:lang w:val="es-ES_tradnl"/>
        </w:rPr>
        <w:t xml:space="preserve"> y de la señora</w:t>
      </w:r>
      <w:r w:rsidR="00C338E4" w:rsidRPr="00CD3501">
        <w:rPr>
          <w:rFonts w:eastAsia="Cambria" w:cs="Cambria"/>
          <w:lang w:val="es-ES_tradnl"/>
        </w:rPr>
        <w:t xml:space="preserve"> Edwards</w:t>
      </w:r>
      <w:r w:rsidR="00D92ABF" w:rsidRPr="00CD3501">
        <w:rPr>
          <w:rFonts w:eastAsia="Cambria" w:cs="Cambria"/>
          <w:lang w:val="es-ES_tradnl"/>
        </w:rPr>
        <w:t xml:space="preserve"> </w:t>
      </w:r>
      <w:r w:rsidR="0064379D" w:rsidRPr="00CD3501">
        <w:rPr>
          <w:rFonts w:eastAsia="Cambria" w:cs="Cambria"/>
          <w:lang w:val="es-ES_tradnl"/>
        </w:rPr>
        <w:t xml:space="preserve">también fueron víctimas de actos de </w:t>
      </w:r>
      <w:r w:rsidR="00EC50E9" w:rsidRPr="00CD3501">
        <w:rPr>
          <w:rFonts w:eastAsia="Cambria" w:cs="Cambria"/>
          <w:lang w:val="es-ES_tradnl"/>
        </w:rPr>
        <w:t>discriminación</w:t>
      </w:r>
      <w:r w:rsidR="00C338E4" w:rsidRPr="00CD3501">
        <w:rPr>
          <w:rFonts w:eastAsia="Cambria" w:cs="Cambria"/>
          <w:lang w:val="es-ES_tradnl"/>
        </w:rPr>
        <w:t xml:space="preserve"> </w:t>
      </w:r>
      <w:r w:rsidR="0064379D" w:rsidRPr="00CD3501">
        <w:rPr>
          <w:rFonts w:eastAsia="Cambria" w:cs="Cambria"/>
          <w:lang w:val="es-ES_tradnl"/>
        </w:rPr>
        <w:t>y</w:t>
      </w:r>
      <w:r w:rsidR="00C338E4" w:rsidRPr="00CD3501">
        <w:rPr>
          <w:rFonts w:eastAsia="Cambria" w:cs="Cambria"/>
          <w:lang w:val="es-ES_tradnl"/>
        </w:rPr>
        <w:t xml:space="preserve"> </w:t>
      </w:r>
      <w:r w:rsidR="00EC50E9" w:rsidRPr="00CD3501">
        <w:rPr>
          <w:rFonts w:eastAsia="Cambria" w:cs="Cambria"/>
          <w:lang w:val="es-ES_tradnl"/>
        </w:rPr>
        <w:t>violencia</w:t>
      </w:r>
      <w:r w:rsidR="00C338E4" w:rsidRPr="00CD3501">
        <w:rPr>
          <w:rFonts w:eastAsia="Cambria" w:cs="Cambria"/>
          <w:lang w:val="es-ES_tradnl"/>
        </w:rPr>
        <w:t xml:space="preserve"> </w:t>
      </w:r>
      <w:r w:rsidR="0064379D" w:rsidRPr="00CD3501">
        <w:rPr>
          <w:rFonts w:eastAsia="Cambria" w:cs="Cambria"/>
          <w:lang w:val="es-ES_tradnl"/>
        </w:rPr>
        <w:t xml:space="preserve">motivados por la </w:t>
      </w:r>
      <w:r w:rsidR="00D92ABF" w:rsidRPr="00CD3501">
        <w:rPr>
          <w:rFonts w:eastAsia="Cambria" w:cs="Cambria"/>
          <w:lang w:val="es-ES_tradnl"/>
        </w:rPr>
        <w:t>orientación sexual d</w:t>
      </w:r>
      <w:r w:rsidR="005F06A1" w:rsidRPr="00CD3501">
        <w:rPr>
          <w:rFonts w:eastAsia="Cambria" w:cs="Cambria"/>
          <w:lang w:val="es-ES_tradnl"/>
        </w:rPr>
        <w:t>e</w:t>
      </w:r>
      <w:r w:rsidR="001B6F5A" w:rsidRPr="00CD3501">
        <w:rPr>
          <w:rFonts w:eastAsia="Cambria" w:cs="Cambria"/>
          <w:lang w:val="es-ES_tradnl"/>
        </w:rPr>
        <w:t xml:space="preserve"> ellos</w:t>
      </w:r>
      <w:r w:rsidR="00C338E4" w:rsidRPr="00CD3501">
        <w:rPr>
          <w:rFonts w:eastAsia="Cambria" w:cs="Cambria"/>
          <w:lang w:val="es-ES_tradnl"/>
        </w:rPr>
        <w:t xml:space="preserve">. </w:t>
      </w:r>
      <w:r w:rsidR="0064379D" w:rsidRPr="00CD3501">
        <w:rPr>
          <w:rFonts w:eastAsia="Cambria" w:cs="Cambria"/>
          <w:lang w:val="es-ES_tradnl"/>
        </w:rPr>
        <w:t>A</w:t>
      </w:r>
      <w:r w:rsidR="006A2290" w:rsidRPr="00CD3501">
        <w:rPr>
          <w:rFonts w:eastAsia="Cambria" w:cs="Cambria"/>
          <w:lang w:val="es-ES_tradnl"/>
        </w:rPr>
        <w:t>lega</w:t>
      </w:r>
      <w:r w:rsidR="005F06A1" w:rsidRPr="00CD3501">
        <w:rPr>
          <w:rFonts w:eastAsia="Cambria" w:cs="Cambria"/>
          <w:lang w:val="es-ES_tradnl"/>
        </w:rPr>
        <w:t xml:space="preserve"> que</w:t>
      </w:r>
      <w:r w:rsidR="00C338E4" w:rsidRPr="00CD3501">
        <w:rPr>
          <w:rFonts w:eastAsia="Cambria" w:cs="Cambria"/>
          <w:lang w:val="es-ES_tradnl"/>
        </w:rPr>
        <w:t xml:space="preserve"> </w:t>
      </w:r>
      <w:r w:rsidR="0064379D" w:rsidRPr="00CD3501">
        <w:rPr>
          <w:rFonts w:eastAsia="Cambria" w:cs="Cambria"/>
          <w:lang w:val="es-ES_tradnl"/>
        </w:rPr>
        <w:t>la madre, la hermana y otros familiares d</w:t>
      </w:r>
      <w:r w:rsidR="005F06A1" w:rsidRPr="00CD3501">
        <w:rPr>
          <w:rFonts w:eastAsia="Cambria" w:cs="Cambria"/>
          <w:lang w:val="es-ES_tradnl"/>
        </w:rPr>
        <w:t>el señor</w:t>
      </w:r>
      <w:r w:rsidR="00C338E4" w:rsidRPr="00CD3501">
        <w:rPr>
          <w:rFonts w:eastAsia="Cambria" w:cs="Cambria"/>
          <w:lang w:val="es-ES_tradnl"/>
        </w:rPr>
        <w:t xml:space="preserve"> Henry</w:t>
      </w:r>
      <w:r w:rsidR="0064379D" w:rsidRPr="00CD3501">
        <w:rPr>
          <w:rFonts w:eastAsia="Cambria" w:cs="Cambria"/>
          <w:lang w:val="es-ES_tradnl"/>
        </w:rPr>
        <w:t xml:space="preserve"> también pidieron asilo en Canadá</w:t>
      </w:r>
      <w:r w:rsidR="00C338E4" w:rsidRPr="00CD3501">
        <w:rPr>
          <w:rFonts w:eastAsia="Cambria" w:cs="Cambria"/>
          <w:lang w:val="es-ES_tradnl"/>
        </w:rPr>
        <w:t xml:space="preserve"> d</w:t>
      </w:r>
      <w:r w:rsidR="0064379D" w:rsidRPr="00CD3501">
        <w:rPr>
          <w:rFonts w:eastAsia="Cambria" w:cs="Cambria"/>
          <w:lang w:val="es-ES_tradnl"/>
        </w:rPr>
        <w:t xml:space="preserve">ebido a la </w:t>
      </w:r>
      <w:r w:rsidR="00EC50E9" w:rsidRPr="00CD3501">
        <w:rPr>
          <w:rFonts w:eastAsia="Cambria" w:cs="Cambria"/>
          <w:lang w:val="es-ES_tradnl"/>
        </w:rPr>
        <w:t>discriminación</w:t>
      </w:r>
      <w:r w:rsidR="00C338E4" w:rsidRPr="00CD3501">
        <w:rPr>
          <w:rFonts w:eastAsia="Cambria" w:cs="Cambria"/>
          <w:lang w:val="es-ES_tradnl"/>
        </w:rPr>
        <w:t xml:space="preserve"> </w:t>
      </w:r>
      <w:r w:rsidR="0064379D" w:rsidRPr="00CD3501">
        <w:rPr>
          <w:rFonts w:eastAsia="Cambria" w:cs="Cambria"/>
          <w:lang w:val="es-ES_tradnl"/>
        </w:rPr>
        <w:t xml:space="preserve">que sufrieron </w:t>
      </w:r>
      <w:r w:rsidR="001B6F5A" w:rsidRPr="00CD3501">
        <w:rPr>
          <w:rFonts w:eastAsia="Cambria" w:cs="Cambria"/>
          <w:lang w:val="es-ES_tradnl"/>
        </w:rPr>
        <w:t>como consecuencia del</w:t>
      </w:r>
      <w:r w:rsidR="0064379D" w:rsidRPr="00CD3501">
        <w:rPr>
          <w:rFonts w:eastAsia="Cambria" w:cs="Cambria"/>
          <w:lang w:val="es-ES_tradnl"/>
        </w:rPr>
        <w:t xml:space="preserve"> </w:t>
      </w:r>
      <w:r w:rsidR="001B6F5A" w:rsidRPr="00CD3501">
        <w:rPr>
          <w:rFonts w:eastAsia="Cambria" w:cs="Cambria"/>
          <w:lang w:val="es-ES_tradnl"/>
        </w:rPr>
        <w:t>parentesco</w:t>
      </w:r>
      <w:r w:rsidR="00C338E4" w:rsidRPr="00CD3501">
        <w:rPr>
          <w:rFonts w:eastAsia="Cambria" w:cs="Cambria"/>
          <w:lang w:val="es-ES_tradnl"/>
        </w:rPr>
        <w:t xml:space="preserve">. </w:t>
      </w:r>
      <w:r w:rsidR="0064379D" w:rsidRPr="00CD3501">
        <w:rPr>
          <w:rFonts w:eastAsia="Cambria" w:cs="Cambria"/>
          <w:lang w:val="es-ES_tradnl"/>
        </w:rPr>
        <w:t>Asimismo, l</w:t>
      </w:r>
      <w:r w:rsidR="006A2290" w:rsidRPr="00CD3501">
        <w:rPr>
          <w:rFonts w:eastAsia="Cambria" w:cs="Cambria"/>
          <w:lang w:val="es-ES_tradnl"/>
        </w:rPr>
        <w:t>a</w:t>
      </w:r>
      <w:r w:rsidRPr="00CD3501">
        <w:rPr>
          <w:rFonts w:eastAsia="Cambria" w:cs="Cambria"/>
          <w:lang w:val="es-ES_tradnl"/>
        </w:rPr>
        <w:t xml:space="preserve"> </w:t>
      </w:r>
      <w:r w:rsidR="006A2290" w:rsidRPr="00CD3501">
        <w:rPr>
          <w:rFonts w:eastAsia="Cambria" w:cs="Cambria"/>
          <w:lang w:val="es-ES_tradnl"/>
        </w:rPr>
        <w:t>parte peticionaria</w:t>
      </w:r>
      <w:r w:rsidR="00C338E4" w:rsidRPr="00CD3501">
        <w:rPr>
          <w:rFonts w:eastAsia="Cambria" w:cs="Cambria"/>
          <w:lang w:val="es-ES_tradnl"/>
        </w:rPr>
        <w:t xml:space="preserve"> </w:t>
      </w:r>
      <w:r w:rsidR="006A2290" w:rsidRPr="00CD3501">
        <w:rPr>
          <w:rFonts w:eastAsia="Cambria" w:cs="Cambria"/>
          <w:lang w:val="es-ES_tradnl"/>
        </w:rPr>
        <w:t>alega</w:t>
      </w:r>
      <w:r w:rsidR="005F06A1" w:rsidRPr="00CD3501">
        <w:rPr>
          <w:rFonts w:eastAsia="Cambria" w:cs="Cambria"/>
          <w:lang w:val="es-ES_tradnl"/>
        </w:rPr>
        <w:t xml:space="preserve"> que</w:t>
      </w:r>
      <w:r w:rsidR="00C338E4" w:rsidRPr="00CD3501">
        <w:rPr>
          <w:rFonts w:eastAsia="Cambria" w:cs="Cambria"/>
          <w:lang w:val="es-ES_tradnl"/>
        </w:rPr>
        <w:t xml:space="preserve"> </w:t>
      </w:r>
      <w:r w:rsidR="00D92ABF" w:rsidRPr="00CD3501">
        <w:rPr>
          <w:rFonts w:eastAsia="Cambria" w:cs="Cambria"/>
          <w:lang w:val="es-ES_tradnl"/>
        </w:rPr>
        <w:t>la señora</w:t>
      </w:r>
      <w:r w:rsidR="00C338E4" w:rsidRPr="00CD3501">
        <w:rPr>
          <w:rFonts w:eastAsia="Cambria" w:cs="Cambria"/>
          <w:lang w:val="es-ES_tradnl"/>
        </w:rPr>
        <w:t xml:space="preserve"> Edwards </w:t>
      </w:r>
      <w:r w:rsidR="0064379D" w:rsidRPr="00CD3501">
        <w:rPr>
          <w:rFonts w:eastAsia="Cambria" w:cs="Cambria"/>
          <w:lang w:val="es-ES_tradnl"/>
        </w:rPr>
        <w:t>y su hija se vieron obligadas a permanecer separadas durante dos años hasta que ella logró llevar</w:t>
      </w:r>
      <w:r w:rsidR="006A2290" w:rsidRPr="00CD3501">
        <w:rPr>
          <w:rFonts w:eastAsia="Cambria" w:cs="Cambria"/>
          <w:lang w:val="es-ES_tradnl"/>
        </w:rPr>
        <w:t>la</w:t>
      </w:r>
      <w:r w:rsidR="0064379D" w:rsidRPr="00CD3501">
        <w:rPr>
          <w:rFonts w:eastAsia="Cambria" w:cs="Cambria"/>
          <w:lang w:val="es-ES_tradnl"/>
        </w:rPr>
        <w:t xml:space="preserve"> a los Países Bajos. A</w:t>
      </w:r>
      <w:r w:rsidR="006A2290" w:rsidRPr="00CD3501">
        <w:rPr>
          <w:rFonts w:eastAsia="Cambria" w:cs="Cambria"/>
          <w:lang w:val="es-ES_tradnl"/>
        </w:rPr>
        <w:t>firma</w:t>
      </w:r>
      <w:r w:rsidR="005F06A1" w:rsidRPr="00CD3501">
        <w:rPr>
          <w:rFonts w:eastAsia="Cambria" w:cs="Cambria"/>
          <w:lang w:val="es-ES_tradnl"/>
        </w:rPr>
        <w:t xml:space="preserve"> que</w:t>
      </w:r>
      <w:r w:rsidR="00C338E4" w:rsidRPr="00CD3501">
        <w:rPr>
          <w:rFonts w:eastAsia="Cambria" w:cs="Cambria"/>
          <w:lang w:val="es-ES_tradnl"/>
        </w:rPr>
        <w:t xml:space="preserve"> </w:t>
      </w:r>
      <w:r w:rsidR="0064379D" w:rsidRPr="00CD3501">
        <w:rPr>
          <w:rFonts w:eastAsia="Cambria" w:cs="Cambria"/>
          <w:lang w:val="es-ES_tradnl"/>
        </w:rPr>
        <w:t xml:space="preserve">uno de los hermanos de </w:t>
      </w:r>
      <w:r w:rsidR="00D92ABF" w:rsidRPr="00CD3501">
        <w:rPr>
          <w:rFonts w:eastAsia="Cambria" w:cs="Cambria"/>
          <w:lang w:val="es-ES_tradnl"/>
        </w:rPr>
        <w:t>la señora</w:t>
      </w:r>
      <w:r w:rsidR="00C338E4" w:rsidRPr="00CD3501">
        <w:rPr>
          <w:rFonts w:eastAsia="Cambria" w:cs="Cambria"/>
          <w:lang w:val="es-ES_tradnl"/>
        </w:rPr>
        <w:t xml:space="preserve"> Edwards</w:t>
      </w:r>
      <w:r w:rsidR="0064379D" w:rsidRPr="00CD3501">
        <w:rPr>
          <w:rFonts w:eastAsia="Cambria" w:cs="Cambria"/>
          <w:lang w:val="es-ES_tradnl"/>
        </w:rPr>
        <w:t xml:space="preserve"> también pidió asilo en los Países Bajos porque fue herido en el tiroteo del </w:t>
      </w:r>
      <w:r w:rsidR="00C338E4" w:rsidRPr="00CD3501">
        <w:rPr>
          <w:rFonts w:eastAsia="Cambria" w:cs="Cambria"/>
          <w:lang w:val="es-ES_tradnl"/>
        </w:rPr>
        <w:t>29</w:t>
      </w:r>
      <w:r w:rsidR="0064379D" w:rsidRPr="00CD3501">
        <w:rPr>
          <w:rFonts w:eastAsia="Cambria" w:cs="Cambria"/>
          <w:lang w:val="es-ES_tradnl"/>
        </w:rPr>
        <w:t xml:space="preserve"> de agosto de</w:t>
      </w:r>
      <w:r w:rsidR="00C338E4" w:rsidRPr="00CD3501">
        <w:rPr>
          <w:rFonts w:eastAsia="Cambria" w:cs="Cambria"/>
          <w:lang w:val="es-ES_tradnl"/>
        </w:rPr>
        <w:t xml:space="preserve"> 2008 </w:t>
      </w:r>
      <w:r w:rsidR="0064379D" w:rsidRPr="00CD3501">
        <w:rPr>
          <w:rFonts w:eastAsia="Cambria" w:cs="Cambria"/>
          <w:lang w:val="es-ES_tradnl"/>
        </w:rPr>
        <w:t xml:space="preserve">debido a que es </w:t>
      </w:r>
      <w:r w:rsidR="00C338E4" w:rsidRPr="00CD3501">
        <w:rPr>
          <w:rFonts w:eastAsia="Cambria" w:cs="Cambria"/>
          <w:lang w:val="es-ES_tradnl"/>
        </w:rPr>
        <w:t xml:space="preserve">gay. </w:t>
      </w:r>
      <w:r w:rsidR="006A2290" w:rsidRPr="00CD3501">
        <w:rPr>
          <w:rFonts w:eastAsia="Cambria" w:cs="Cambria"/>
          <w:lang w:val="es-ES_tradnl"/>
        </w:rPr>
        <w:t>Agrega</w:t>
      </w:r>
      <w:r w:rsidR="0064379D" w:rsidRPr="00CD3501">
        <w:rPr>
          <w:rFonts w:eastAsia="Cambria" w:cs="Cambria"/>
          <w:lang w:val="es-ES_tradnl"/>
        </w:rPr>
        <w:t xml:space="preserve"> que otro de los hermanos de la </w:t>
      </w:r>
      <w:r w:rsidR="00D92ABF" w:rsidRPr="00CD3501">
        <w:rPr>
          <w:rFonts w:eastAsia="Cambria" w:cs="Cambria"/>
          <w:lang w:val="es-ES_tradnl"/>
        </w:rPr>
        <w:t>señora</w:t>
      </w:r>
      <w:r w:rsidR="00C338E4" w:rsidRPr="00CD3501">
        <w:rPr>
          <w:rFonts w:eastAsia="Cambria" w:cs="Cambria"/>
          <w:lang w:val="es-ES_tradnl"/>
        </w:rPr>
        <w:t xml:space="preserve"> Edwards</w:t>
      </w:r>
      <w:r w:rsidR="0064379D" w:rsidRPr="00CD3501">
        <w:rPr>
          <w:rFonts w:eastAsia="Cambria" w:cs="Cambria"/>
          <w:lang w:val="es-ES_tradnl"/>
        </w:rPr>
        <w:t xml:space="preserve"> tuvo que dejar su trabajo porque lo acosaban como consecuencia de la </w:t>
      </w:r>
      <w:r w:rsidR="000A3FB7" w:rsidRPr="00CD3501">
        <w:rPr>
          <w:rFonts w:eastAsia="Cambria" w:cs="Cambria"/>
          <w:lang w:val="es-ES_tradnl"/>
        </w:rPr>
        <w:t>orientación sexual</w:t>
      </w:r>
      <w:r w:rsidR="0064379D" w:rsidRPr="00CD3501">
        <w:rPr>
          <w:rFonts w:eastAsia="Cambria" w:cs="Cambria"/>
          <w:lang w:val="es-ES_tradnl"/>
        </w:rPr>
        <w:t xml:space="preserve"> de sus hermanos.</w:t>
      </w:r>
    </w:p>
    <w:p w14:paraId="3C77A289" w14:textId="77777777" w:rsidR="00512224" w:rsidRPr="00CD3501" w:rsidRDefault="00512224" w:rsidP="000D499E">
      <w:pPr>
        <w:rPr>
          <w:lang w:val="es-ES_tradnl"/>
        </w:rPr>
      </w:pPr>
    </w:p>
    <w:p w14:paraId="0F0391DE" w14:textId="0792A4FE" w:rsidR="00512224" w:rsidRPr="00CD3501" w:rsidRDefault="006A2290" w:rsidP="00C12E55">
      <w:pPr>
        <w:pStyle w:val="parrafos"/>
        <w:numPr>
          <w:ilvl w:val="0"/>
          <w:numId w:val="57"/>
        </w:numPr>
        <w:tabs>
          <w:tab w:val="clear" w:pos="360"/>
          <w:tab w:val="clear" w:pos="1080"/>
        </w:tabs>
        <w:ind w:left="0" w:firstLine="0"/>
        <w:rPr>
          <w:lang w:val="es-ES_tradnl"/>
        </w:rPr>
      </w:pPr>
      <w:r w:rsidRPr="00CD3501">
        <w:rPr>
          <w:rFonts w:eastAsia="Cambria" w:cs="Cambria"/>
          <w:lang w:val="es-ES_tradnl"/>
        </w:rPr>
        <w:t>En cuanto al derecho, la</w:t>
      </w:r>
      <w:r w:rsidR="009A3641" w:rsidRPr="00CD3501">
        <w:rPr>
          <w:rFonts w:eastAsia="Cambria" w:cs="Cambria"/>
          <w:lang w:val="es-ES_tradnl"/>
        </w:rPr>
        <w:t xml:space="preserve"> </w:t>
      </w:r>
      <w:r w:rsidRPr="00CD3501">
        <w:rPr>
          <w:rFonts w:eastAsia="Cambria" w:cs="Cambria"/>
          <w:lang w:val="es-ES_tradnl"/>
        </w:rPr>
        <w:t>parte peticionaria</w:t>
      </w:r>
      <w:r w:rsidR="00512224" w:rsidRPr="00CD3501">
        <w:rPr>
          <w:rFonts w:eastAsia="Cambria" w:cs="Cambria"/>
          <w:lang w:val="es-ES_tradnl"/>
        </w:rPr>
        <w:t xml:space="preserve"> </w:t>
      </w:r>
      <w:r w:rsidRPr="00CD3501">
        <w:rPr>
          <w:rFonts w:eastAsia="Cambria" w:cs="Cambria"/>
          <w:lang w:val="es-ES_tradnl"/>
        </w:rPr>
        <w:t>afirma</w:t>
      </w:r>
      <w:r w:rsidR="0064379D" w:rsidRPr="00CD3501">
        <w:rPr>
          <w:rFonts w:eastAsia="Cambria" w:cs="Cambria"/>
          <w:lang w:val="es-ES_tradnl"/>
        </w:rPr>
        <w:t xml:space="preserve"> que la</w:t>
      </w:r>
      <w:r w:rsidR="002F1404" w:rsidRPr="00CD3501">
        <w:rPr>
          <w:rFonts w:eastAsia="Cambria" w:cs="Cambria"/>
          <w:lang w:val="es-ES_tradnl"/>
        </w:rPr>
        <w:t>s</w:t>
      </w:r>
      <w:r w:rsidR="0064379D" w:rsidRPr="00CD3501">
        <w:rPr>
          <w:rFonts w:eastAsia="Cambria" w:cs="Cambria"/>
          <w:lang w:val="es-ES_tradnl"/>
        </w:rPr>
        <w:t xml:space="preserve"> </w:t>
      </w:r>
      <w:r w:rsidR="000A3FB7" w:rsidRPr="00CD3501">
        <w:rPr>
          <w:rFonts w:eastAsia="Cambria" w:cs="Cambria"/>
          <w:lang w:val="es-ES_tradnl"/>
        </w:rPr>
        <w:t>ley</w:t>
      </w:r>
      <w:r w:rsidR="002F1404" w:rsidRPr="00CD3501">
        <w:rPr>
          <w:rFonts w:eastAsia="Cambria" w:cs="Cambria"/>
          <w:lang w:val="es-ES_tradnl"/>
        </w:rPr>
        <w:t>es</w:t>
      </w:r>
      <w:r w:rsidR="000A3FB7" w:rsidRPr="00CD3501">
        <w:rPr>
          <w:rFonts w:eastAsia="Cambria" w:cs="Cambria"/>
          <w:lang w:val="es-ES_tradnl"/>
        </w:rPr>
        <w:t xml:space="preserve"> de sodomía</w:t>
      </w:r>
      <w:r w:rsidR="003E2DA9" w:rsidRPr="00CD3501">
        <w:rPr>
          <w:rFonts w:eastAsia="Cambria" w:cs="Cambria"/>
          <w:lang w:val="es-ES_tradnl"/>
        </w:rPr>
        <w:t xml:space="preserve"> viola</w:t>
      </w:r>
      <w:r w:rsidR="002F1404" w:rsidRPr="00CD3501">
        <w:rPr>
          <w:rFonts w:eastAsia="Cambria" w:cs="Cambria"/>
          <w:lang w:val="es-ES_tradnl"/>
        </w:rPr>
        <w:t>n</w:t>
      </w:r>
      <w:r w:rsidR="0064379D" w:rsidRPr="00CD3501">
        <w:rPr>
          <w:rFonts w:eastAsia="Cambria" w:cs="Cambria"/>
          <w:lang w:val="es-ES_tradnl"/>
        </w:rPr>
        <w:t xml:space="preserve"> el </w:t>
      </w:r>
      <w:r w:rsidR="003E2DA9" w:rsidRPr="00CD3501">
        <w:rPr>
          <w:rFonts w:eastAsia="Cambria" w:cs="Cambria"/>
          <w:b/>
          <w:lang w:val="es-ES_tradnl"/>
        </w:rPr>
        <w:t>princip</w:t>
      </w:r>
      <w:r w:rsidR="00D92ABF" w:rsidRPr="00CD3501">
        <w:rPr>
          <w:rFonts w:eastAsia="Cambria" w:cs="Cambria"/>
          <w:b/>
          <w:lang w:val="es-ES_tradnl"/>
        </w:rPr>
        <w:t>io de</w:t>
      </w:r>
      <w:r w:rsidR="003E2DA9" w:rsidRPr="00CD3501">
        <w:rPr>
          <w:rFonts w:eastAsia="Cambria" w:cs="Cambria"/>
          <w:b/>
          <w:lang w:val="es-ES_tradnl"/>
        </w:rPr>
        <w:t xml:space="preserve"> </w:t>
      </w:r>
      <w:r w:rsidR="000A3FB7" w:rsidRPr="00CD3501">
        <w:rPr>
          <w:rFonts w:eastAsia="Cambria" w:cs="Cambria"/>
          <w:b/>
          <w:lang w:val="es-ES_tradnl"/>
        </w:rPr>
        <w:t>no discriminación</w:t>
      </w:r>
      <w:r w:rsidR="003E2DA9" w:rsidRPr="00CD3501">
        <w:rPr>
          <w:rFonts w:eastAsia="Cambria" w:cs="Cambria"/>
          <w:b/>
          <w:lang w:val="es-ES_tradnl"/>
        </w:rPr>
        <w:t xml:space="preserve"> </w:t>
      </w:r>
      <w:r w:rsidR="0064379D" w:rsidRPr="00CD3501">
        <w:rPr>
          <w:rFonts w:eastAsia="Cambria" w:cs="Cambria"/>
          <w:b/>
          <w:lang w:val="es-ES_tradnl"/>
        </w:rPr>
        <w:t xml:space="preserve">e </w:t>
      </w:r>
      <w:r w:rsidR="00910B10" w:rsidRPr="00CD3501">
        <w:rPr>
          <w:rFonts w:eastAsia="Cambria" w:cs="Cambria"/>
          <w:b/>
          <w:lang w:val="es-ES_tradnl"/>
        </w:rPr>
        <w:t>igualdad ante la ley</w:t>
      </w:r>
      <w:r w:rsidR="003E2DA9" w:rsidRPr="00CD3501">
        <w:rPr>
          <w:rFonts w:eastAsia="Cambria" w:cs="Cambria"/>
          <w:lang w:val="es-ES_tradnl"/>
        </w:rPr>
        <w:t xml:space="preserve"> </w:t>
      </w:r>
      <w:r w:rsidR="0064379D" w:rsidRPr="00CD3501">
        <w:rPr>
          <w:rFonts w:eastAsia="Cambria" w:cs="Cambria"/>
          <w:lang w:val="es-ES_tradnl"/>
        </w:rPr>
        <w:t>porque perpetúa</w:t>
      </w:r>
      <w:r w:rsidR="002F1404" w:rsidRPr="00CD3501">
        <w:rPr>
          <w:rFonts w:eastAsia="Cambria" w:cs="Cambria"/>
          <w:lang w:val="es-ES_tradnl"/>
        </w:rPr>
        <w:t>n</w:t>
      </w:r>
      <w:r w:rsidR="0064379D" w:rsidRPr="00CD3501">
        <w:rPr>
          <w:rFonts w:eastAsia="Cambria" w:cs="Cambria"/>
          <w:lang w:val="es-ES_tradnl"/>
        </w:rPr>
        <w:t xml:space="preserve"> una diferencia de trato injusta e ilegítima motivada por la </w:t>
      </w:r>
      <w:r w:rsidR="000A3FB7" w:rsidRPr="00CD3501">
        <w:rPr>
          <w:rFonts w:eastAsia="Cambria" w:cs="Cambria"/>
          <w:lang w:val="es-ES_tradnl"/>
        </w:rPr>
        <w:t>orientación sexual</w:t>
      </w:r>
      <w:r w:rsidR="003E2DA9" w:rsidRPr="00CD3501">
        <w:rPr>
          <w:rFonts w:eastAsia="Cambria" w:cs="Cambria"/>
          <w:lang w:val="es-ES_tradnl"/>
        </w:rPr>
        <w:t xml:space="preserve"> </w:t>
      </w:r>
      <w:r w:rsidR="0064379D" w:rsidRPr="00CD3501">
        <w:rPr>
          <w:rFonts w:eastAsia="Cambria" w:cs="Cambria"/>
          <w:lang w:val="es-ES_tradnl"/>
        </w:rPr>
        <w:t>y pone</w:t>
      </w:r>
      <w:r w:rsidR="002F1404" w:rsidRPr="00CD3501">
        <w:rPr>
          <w:rFonts w:eastAsia="Cambria" w:cs="Cambria"/>
          <w:lang w:val="es-ES_tradnl"/>
        </w:rPr>
        <w:t>n</w:t>
      </w:r>
      <w:r w:rsidR="0064379D" w:rsidRPr="00CD3501">
        <w:rPr>
          <w:rFonts w:eastAsia="Cambria" w:cs="Cambria"/>
          <w:lang w:val="es-ES_tradnl"/>
        </w:rPr>
        <w:t xml:space="preserve"> en peligro la integridad física de los hombres</w:t>
      </w:r>
      <w:r w:rsidR="003E2DA9" w:rsidRPr="00CD3501">
        <w:rPr>
          <w:rFonts w:eastAsia="Cambria" w:cs="Cambria"/>
          <w:lang w:val="es-ES_tradnl"/>
        </w:rPr>
        <w:t xml:space="preserve"> homosexual</w:t>
      </w:r>
      <w:r w:rsidR="0064379D" w:rsidRPr="00CD3501">
        <w:rPr>
          <w:rFonts w:eastAsia="Cambria" w:cs="Cambria"/>
          <w:lang w:val="es-ES_tradnl"/>
        </w:rPr>
        <w:t>es e</w:t>
      </w:r>
      <w:r w:rsidR="003E2DA9" w:rsidRPr="00CD3501">
        <w:rPr>
          <w:rFonts w:eastAsia="Cambria" w:cs="Cambria"/>
          <w:lang w:val="es-ES_tradnl"/>
        </w:rPr>
        <w:t xml:space="preserve">n Jamaica. </w:t>
      </w:r>
      <w:r w:rsidR="0064379D" w:rsidRPr="00CD3501">
        <w:rPr>
          <w:rFonts w:eastAsia="Cambria" w:cs="Cambria"/>
          <w:lang w:val="es-ES_tradnl"/>
        </w:rPr>
        <w:t>S</w:t>
      </w:r>
      <w:r w:rsidR="005F06A1" w:rsidRPr="00CD3501">
        <w:rPr>
          <w:rFonts w:eastAsia="Cambria" w:cs="Cambria"/>
          <w:lang w:val="es-ES_tradnl"/>
        </w:rPr>
        <w:t>ostienen que</w:t>
      </w:r>
      <w:r w:rsidR="001B6F5A" w:rsidRPr="00CD3501">
        <w:rPr>
          <w:rFonts w:eastAsia="Cambria" w:cs="Cambria"/>
          <w:lang w:val="es-ES_tradnl"/>
        </w:rPr>
        <w:t>, en el país, h</w:t>
      </w:r>
      <w:r w:rsidR="0064379D" w:rsidRPr="00CD3501">
        <w:rPr>
          <w:rFonts w:eastAsia="Cambria" w:cs="Cambria"/>
          <w:lang w:val="es-ES_tradnl"/>
        </w:rPr>
        <w:t>ay una relación entre el efecto discriminatorio de la</w:t>
      </w:r>
      <w:r w:rsidR="002F1404" w:rsidRPr="00CD3501">
        <w:rPr>
          <w:rFonts w:eastAsia="Cambria" w:cs="Cambria"/>
          <w:lang w:val="es-ES_tradnl"/>
        </w:rPr>
        <w:t>s</w:t>
      </w:r>
      <w:r w:rsidR="0064379D" w:rsidRPr="00CD3501">
        <w:rPr>
          <w:rFonts w:eastAsia="Cambria" w:cs="Cambria"/>
          <w:lang w:val="es-ES_tradnl"/>
        </w:rPr>
        <w:t xml:space="preserve"> </w:t>
      </w:r>
      <w:r w:rsidR="000A3FB7" w:rsidRPr="00CD3501">
        <w:rPr>
          <w:rFonts w:eastAsia="Cambria" w:cs="Cambria"/>
          <w:lang w:val="es-ES_tradnl"/>
        </w:rPr>
        <w:t>ley</w:t>
      </w:r>
      <w:r w:rsidR="002F1404" w:rsidRPr="00CD3501">
        <w:rPr>
          <w:rFonts w:eastAsia="Cambria" w:cs="Cambria"/>
          <w:lang w:val="es-ES_tradnl"/>
        </w:rPr>
        <w:t>es</w:t>
      </w:r>
      <w:r w:rsidR="000A3FB7" w:rsidRPr="00CD3501">
        <w:rPr>
          <w:rFonts w:eastAsia="Cambria" w:cs="Cambria"/>
          <w:lang w:val="es-ES_tradnl"/>
        </w:rPr>
        <w:t xml:space="preserve"> de sodomía</w:t>
      </w:r>
      <w:r w:rsidR="00214A40" w:rsidRPr="00CD3501">
        <w:rPr>
          <w:rFonts w:eastAsia="Cambria" w:cs="Cambria"/>
          <w:lang w:val="es-ES_tradnl"/>
        </w:rPr>
        <w:t xml:space="preserve"> </w:t>
      </w:r>
      <w:r w:rsidR="0064379D" w:rsidRPr="00CD3501">
        <w:rPr>
          <w:rFonts w:eastAsia="Cambria" w:cs="Cambria"/>
          <w:lang w:val="es-ES_tradnl"/>
        </w:rPr>
        <w:t xml:space="preserve">y la </w:t>
      </w:r>
      <w:r w:rsidR="00D92ABF" w:rsidRPr="00CD3501">
        <w:rPr>
          <w:rFonts w:eastAsia="Cambria" w:cs="Cambria"/>
          <w:lang w:val="es-ES_tradnl"/>
        </w:rPr>
        <w:t>homofobia</w:t>
      </w:r>
      <w:r w:rsidR="00214A40" w:rsidRPr="00CD3501">
        <w:rPr>
          <w:rFonts w:eastAsia="Cambria" w:cs="Cambria"/>
          <w:lang w:val="es-ES_tradnl"/>
        </w:rPr>
        <w:t>.</w:t>
      </w:r>
      <w:r w:rsidR="003067F3" w:rsidRPr="00CD3501">
        <w:rPr>
          <w:rFonts w:eastAsia="Cambria" w:cs="Cambria"/>
          <w:lang w:val="es-ES_tradnl"/>
        </w:rPr>
        <w:t xml:space="preserve"> </w:t>
      </w:r>
    </w:p>
    <w:p w14:paraId="68323103" w14:textId="77777777" w:rsidR="00512224" w:rsidRPr="00CD3501" w:rsidRDefault="00512224" w:rsidP="000D499E">
      <w:pPr>
        <w:rPr>
          <w:lang w:val="es-ES_tradnl"/>
        </w:rPr>
      </w:pPr>
    </w:p>
    <w:p w14:paraId="4EEC2DAF" w14:textId="6C98A624" w:rsidR="00512224" w:rsidRPr="00CD3501" w:rsidRDefault="00F046CA" w:rsidP="00C12E55">
      <w:pPr>
        <w:pStyle w:val="parrafos"/>
        <w:numPr>
          <w:ilvl w:val="0"/>
          <w:numId w:val="57"/>
        </w:numPr>
        <w:tabs>
          <w:tab w:val="clear" w:pos="360"/>
          <w:tab w:val="clear" w:pos="1080"/>
        </w:tabs>
        <w:ind w:left="0" w:firstLine="0"/>
        <w:rPr>
          <w:lang w:val="es-ES_tradnl"/>
        </w:rPr>
      </w:pPr>
      <w:r w:rsidRPr="00CD3501">
        <w:rPr>
          <w:rFonts w:eastAsia="Cambria" w:cs="Cambria"/>
          <w:lang w:val="es-ES_tradnl"/>
        </w:rPr>
        <w:t>L</w:t>
      </w:r>
      <w:r w:rsidR="000A0419" w:rsidRPr="00CD3501">
        <w:rPr>
          <w:rFonts w:eastAsia="Cambria" w:cs="Cambria"/>
          <w:lang w:val="es-ES_tradnl"/>
        </w:rPr>
        <w:t>a parte peticionaria</w:t>
      </w:r>
      <w:r w:rsidRPr="00CD3501">
        <w:rPr>
          <w:rFonts w:eastAsia="Cambria" w:cs="Cambria"/>
          <w:lang w:val="es-ES_tradnl"/>
        </w:rPr>
        <w:t xml:space="preserve"> a</w:t>
      </w:r>
      <w:r w:rsidR="005F06A1" w:rsidRPr="00CD3501">
        <w:rPr>
          <w:rFonts w:eastAsia="Cambria" w:cs="Cambria"/>
          <w:lang w:val="es-ES_tradnl"/>
        </w:rPr>
        <w:t>duce que</w:t>
      </w:r>
      <w:r w:rsidR="00214A40" w:rsidRPr="00CD3501">
        <w:rPr>
          <w:rFonts w:eastAsia="Cambria" w:cs="Cambria"/>
          <w:lang w:val="es-ES_tradnl"/>
        </w:rPr>
        <w:t xml:space="preserve"> </w:t>
      </w:r>
      <w:r w:rsidR="0001151C" w:rsidRPr="00CD3501">
        <w:rPr>
          <w:rFonts w:eastAsia="Cambria" w:cs="Cambria"/>
          <w:lang w:val="es-ES_tradnl"/>
        </w:rPr>
        <w:t>la</w:t>
      </w:r>
      <w:r w:rsidR="002F1404" w:rsidRPr="00CD3501">
        <w:rPr>
          <w:rFonts w:eastAsia="Cambria" w:cs="Cambria"/>
          <w:lang w:val="es-ES_tradnl"/>
        </w:rPr>
        <w:t>s</w:t>
      </w:r>
      <w:r w:rsidR="0001151C" w:rsidRPr="00CD3501">
        <w:rPr>
          <w:rFonts w:eastAsia="Cambria" w:cs="Cambria"/>
          <w:lang w:val="es-ES_tradnl"/>
        </w:rPr>
        <w:t xml:space="preserve"> </w:t>
      </w:r>
      <w:r w:rsidR="000A3FB7" w:rsidRPr="00CD3501">
        <w:rPr>
          <w:rFonts w:eastAsia="Cambria" w:cs="Cambria"/>
          <w:lang w:val="es-ES_tradnl"/>
        </w:rPr>
        <w:t>ley</w:t>
      </w:r>
      <w:r w:rsidR="002F1404" w:rsidRPr="00CD3501">
        <w:rPr>
          <w:rFonts w:eastAsia="Cambria" w:cs="Cambria"/>
          <w:lang w:val="es-ES_tradnl"/>
        </w:rPr>
        <w:t>es</w:t>
      </w:r>
      <w:r w:rsidR="000A3FB7" w:rsidRPr="00CD3501">
        <w:rPr>
          <w:rFonts w:eastAsia="Cambria" w:cs="Cambria"/>
          <w:lang w:val="es-ES_tradnl"/>
        </w:rPr>
        <w:t xml:space="preserve"> de sodomía</w:t>
      </w:r>
      <w:r w:rsidR="00214A40" w:rsidRPr="00CD3501">
        <w:rPr>
          <w:rFonts w:eastAsia="Cambria" w:cs="Cambria"/>
          <w:lang w:val="es-ES_tradnl"/>
        </w:rPr>
        <w:t xml:space="preserve"> viola</w:t>
      </w:r>
      <w:r w:rsidR="002F1404" w:rsidRPr="00CD3501">
        <w:rPr>
          <w:rFonts w:eastAsia="Cambria" w:cs="Cambria"/>
          <w:lang w:val="es-ES_tradnl"/>
        </w:rPr>
        <w:t>n</w:t>
      </w:r>
      <w:r w:rsidR="0001151C" w:rsidRPr="00CD3501">
        <w:rPr>
          <w:rFonts w:eastAsia="Cambria" w:cs="Cambria"/>
          <w:lang w:val="es-ES_tradnl"/>
        </w:rPr>
        <w:t xml:space="preserve"> el </w:t>
      </w:r>
      <w:r w:rsidR="00E33D82" w:rsidRPr="00CD3501">
        <w:rPr>
          <w:rFonts w:eastAsia="Cambria" w:cs="Cambria"/>
          <w:b/>
          <w:lang w:val="es-ES_tradnl"/>
        </w:rPr>
        <w:t>derecho a la vida</w:t>
      </w:r>
      <w:r w:rsidR="005649BB" w:rsidRPr="00CD3501">
        <w:rPr>
          <w:rFonts w:eastAsia="Cambria" w:cs="Cambria"/>
          <w:b/>
          <w:lang w:val="es-ES_tradnl"/>
        </w:rPr>
        <w:t xml:space="preserve"> </w:t>
      </w:r>
      <w:r w:rsidR="0001151C" w:rsidRPr="00CD3501">
        <w:rPr>
          <w:rFonts w:eastAsia="Cambria" w:cs="Cambria"/>
          <w:b/>
          <w:lang w:val="es-ES_tradnl"/>
        </w:rPr>
        <w:t>y a</w:t>
      </w:r>
      <w:r w:rsidR="005474ED" w:rsidRPr="00CD3501">
        <w:rPr>
          <w:rFonts w:eastAsia="Cambria" w:cs="Cambria"/>
          <w:b/>
          <w:lang w:val="es-ES_tradnl"/>
        </w:rPr>
        <w:t xml:space="preserve"> la integridad personal</w:t>
      </w:r>
      <w:r w:rsidR="00214A40" w:rsidRPr="00CD3501">
        <w:rPr>
          <w:rFonts w:eastAsia="Cambria" w:cs="Cambria"/>
          <w:lang w:val="es-ES_tradnl"/>
        </w:rPr>
        <w:t xml:space="preserve"> </w:t>
      </w:r>
      <w:r w:rsidR="0001151C" w:rsidRPr="00CD3501">
        <w:rPr>
          <w:rFonts w:eastAsia="Cambria" w:cs="Cambria"/>
          <w:lang w:val="es-ES_tradnl"/>
        </w:rPr>
        <w:t>porque constituye</w:t>
      </w:r>
      <w:r w:rsidR="002F1404" w:rsidRPr="00CD3501">
        <w:rPr>
          <w:rFonts w:eastAsia="Cambria" w:cs="Cambria"/>
          <w:lang w:val="es-ES_tradnl"/>
        </w:rPr>
        <w:t>n</w:t>
      </w:r>
      <w:r w:rsidR="0001151C" w:rsidRPr="00CD3501">
        <w:rPr>
          <w:rFonts w:eastAsia="Cambria" w:cs="Cambria"/>
          <w:lang w:val="es-ES_tradnl"/>
        </w:rPr>
        <w:t xml:space="preserve"> una invitación y una autorización </w:t>
      </w:r>
      <w:r w:rsidR="001B6F5A" w:rsidRPr="00CD3501">
        <w:rPr>
          <w:rFonts w:eastAsia="Cambria" w:cs="Cambria"/>
          <w:lang w:val="es-ES_tradnl"/>
        </w:rPr>
        <w:t>para que</w:t>
      </w:r>
      <w:r w:rsidR="0001151C" w:rsidRPr="00CD3501">
        <w:rPr>
          <w:rFonts w:eastAsia="Cambria" w:cs="Cambria"/>
          <w:lang w:val="es-ES_tradnl"/>
        </w:rPr>
        <w:t xml:space="preserve"> órganos públicos y particulares actúen con violencia contra los </w:t>
      </w:r>
      <w:r w:rsidR="00225B08" w:rsidRPr="00CD3501">
        <w:rPr>
          <w:rFonts w:eastAsia="Cambria" w:cs="Cambria"/>
          <w:lang w:val="es-ES_tradnl"/>
        </w:rPr>
        <w:t>homosexual</w:t>
      </w:r>
      <w:r w:rsidR="0001151C" w:rsidRPr="00CD3501">
        <w:rPr>
          <w:rFonts w:eastAsia="Cambria" w:cs="Cambria"/>
          <w:lang w:val="es-ES_tradnl"/>
        </w:rPr>
        <w:t>es y no asegura</w:t>
      </w:r>
      <w:r w:rsidR="002F1404" w:rsidRPr="00CD3501">
        <w:rPr>
          <w:rFonts w:eastAsia="Cambria" w:cs="Cambria"/>
          <w:lang w:val="es-ES_tradnl"/>
        </w:rPr>
        <w:t>n</w:t>
      </w:r>
      <w:r w:rsidR="0001151C" w:rsidRPr="00CD3501">
        <w:rPr>
          <w:rFonts w:eastAsia="Cambria" w:cs="Cambria"/>
          <w:lang w:val="es-ES_tradnl"/>
        </w:rPr>
        <w:t xml:space="preserve"> que los ciudadanos</w:t>
      </w:r>
      <w:r w:rsidR="00225B08" w:rsidRPr="00CD3501">
        <w:rPr>
          <w:rFonts w:eastAsia="Cambria" w:cs="Cambria"/>
          <w:lang w:val="es-ES_tradnl"/>
        </w:rPr>
        <w:t xml:space="preserve"> </w:t>
      </w:r>
      <w:r w:rsidR="00F46DA8" w:rsidRPr="00CD3501">
        <w:rPr>
          <w:rFonts w:eastAsia="Cambria" w:cs="Cambria"/>
          <w:lang w:val="es-ES_tradnl"/>
        </w:rPr>
        <w:t>gais</w:t>
      </w:r>
      <w:r w:rsidR="0001151C" w:rsidRPr="00CD3501">
        <w:rPr>
          <w:rFonts w:eastAsia="Cambria" w:cs="Cambria"/>
          <w:lang w:val="es-ES_tradnl"/>
        </w:rPr>
        <w:t xml:space="preserve"> tengan una vida digna</w:t>
      </w:r>
      <w:r w:rsidR="00225B08" w:rsidRPr="00CD3501">
        <w:rPr>
          <w:rFonts w:eastAsia="Cambria" w:cs="Cambria"/>
          <w:lang w:val="es-ES_tradnl"/>
        </w:rPr>
        <w:t xml:space="preserve">. </w:t>
      </w:r>
      <w:r w:rsidR="0001151C" w:rsidRPr="00CD3501">
        <w:rPr>
          <w:rFonts w:eastAsia="Cambria" w:cs="Cambria"/>
          <w:lang w:val="es-ES_tradnl"/>
        </w:rPr>
        <w:t>E</w:t>
      </w:r>
      <w:r w:rsidR="00225B08" w:rsidRPr="00CD3501">
        <w:rPr>
          <w:rFonts w:eastAsia="Cambria" w:cs="Cambria"/>
          <w:lang w:val="es-ES_tradnl"/>
        </w:rPr>
        <w:t xml:space="preserve">n </w:t>
      </w:r>
      <w:r w:rsidR="00225B08" w:rsidRPr="00CD3501">
        <w:rPr>
          <w:rFonts w:eastAsia="Cambria" w:cs="Cambria"/>
          <w:lang w:val="es-ES_tradnl"/>
        </w:rPr>
        <w:lastRenderedPageBreak/>
        <w:t xml:space="preserve">particular, </w:t>
      </w:r>
      <w:r w:rsidR="005F06A1" w:rsidRPr="00CD3501">
        <w:rPr>
          <w:rFonts w:eastAsia="Cambria" w:cs="Cambria"/>
          <w:lang w:val="es-ES_tradnl"/>
        </w:rPr>
        <w:t>el señor</w:t>
      </w:r>
      <w:r w:rsidR="00225B08" w:rsidRPr="00CD3501">
        <w:rPr>
          <w:rFonts w:eastAsia="Cambria" w:cs="Cambria"/>
          <w:lang w:val="es-ES_tradnl"/>
        </w:rPr>
        <w:t xml:space="preserve"> Henry ha</w:t>
      </w:r>
      <w:r w:rsidR="0001151C" w:rsidRPr="00CD3501">
        <w:rPr>
          <w:rFonts w:eastAsia="Cambria" w:cs="Cambria"/>
          <w:lang w:val="es-ES_tradnl"/>
        </w:rPr>
        <w:t xml:space="preserve"> recibido amenazas de muerte, ha sufrido abusos físicos y v</w:t>
      </w:r>
      <w:r w:rsidR="005649BB" w:rsidRPr="00CD3501">
        <w:rPr>
          <w:rFonts w:eastAsia="Cambria" w:cs="Cambria"/>
          <w:lang w:val="es-ES_tradnl"/>
        </w:rPr>
        <w:t>erbal</w:t>
      </w:r>
      <w:r w:rsidR="0001151C" w:rsidRPr="00CD3501">
        <w:rPr>
          <w:rFonts w:eastAsia="Cambria" w:cs="Cambria"/>
          <w:lang w:val="es-ES_tradnl"/>
        </w:rPr>
        <w:t>es y, debido a los riesgos que enfrenta</w:t>
      </w:r>
      <w:r w:rsidR="005172CC" w:rsidRPr="00CD3501">
        <w:rPr>
          <w:rFonts w:eastAsia="Cambria" w:cs="Cambria"/>
          <w:lang w:val="es-ES_tradnl"/>
        </w:rPr>
        <w:t xml:space="preserve"> en </w:t>
      </w:r>
      <w:r w:rsidR="00225B08" w:rsidRPr="00CD3501">
        <w:rPr>
          <w:rFonts w:eastAsia="Cambria" w:cs="Cambria"/>
          <w:lang w:val="es-ES_tradnl"/>
        </w:rPr>
        <w:t>Jamaica</w:t>
      </w:r>
      <w:r w:rsidR="005172CC" w:rsidRPr="00CD3501">
        <w:rPr>
          <w:rFonts w:eastAsia="Cambria" w:cs="Cambria"/>
          <w:lang w:val="es-ES_tradnl"/>
        </w:rPr>
        <w:t>, pidió y recibió asilo en Canadá</w:t>
      </w:r>
      <w:r w:rsidR="00225B08" w:rsidRPr="00CD3501">
        <w:rPr>
          <w:rFonts w:eastAsia="Cambria" w:cs="Cambria"/>
          <w:lang w:val="es-ES_tradnl"/>
        </w:rPr>
        <w:t>.</w:t>
      </w:r>
      <w:r w:rsidR="005649BB" w:rsidRPr="00CD3501">
        <w:rPr>
          <w:rFonts w:eastAsia="Cambria" w:cs="Cambria"/>
          <w:lang w:val="es-ES_tradnl"/>
        </w:rPr>
        <w:t xml:space="preserve"> </w:t>
      </w:r>
    </w:p>
    <w:p w14:paraId="2FA5EF34" w14:textId="77777777" w:rsidR="00512224" w:rsidRPr="00CD3501" w:rsidRDefault="00512224" w:rsidP="000D499E">
      <w:pPr>
        <w:rPr>
          <w:lang w:val="es-ES_tradnl"/>
        </w:rPr>
      </w:pPr>
    </w:p>
    <w:p w14:paraId="476C4989" w14:textId="5409FD2D" w:rsidR="00512224" w:rsidRPr="00CD3501" w:rsidRDefault="008B69F2" w:rsidP="00C12E55">
      <w:pPr>
        <w:pStyle w:val="parrafos"/>
        <w:numPr>
          <w:ilvl w:val="0"/>
          <w:numId w:val="57"/>
        </w:numPr>
        <w:tabs>
          <w:tab w:val="clear" w:pos="360"/>
          <w:tab w:val="clear" w:pos="1080"/>
        </w:tabs>
        <w:ind w:left="0" w:firstLine="0"/>
        <w:rPr>
          <w:lang w:val="es-ES_tradnl"/>
        </w:rPr>
      </w:pPr>
      <w:r w:rsidRPr="00CD3501">
        <w:rPr>
          <w:rFonts w:eastAsia="Cambria" w:cs="Cambria"/>
          <w:lang w:val="es-ES_tradnl"/>
        </w:rPr>
        <w:t xml:space="preserve">Asimismo, </w:t>
      </w:r>
      <w:r w:rsidR="00F046CA" w:rsidRPr="00CD3501">
        <w:rPr>
          <w:rFonts w:eastAsia="Cambria" w:cs="Cambria"/>
          <w:lang w:val="es-ES_tradnl"/>
        </w:rPr>
        <w:t>l</w:t>
      </w:r>
      <w:r w:rsidR="000A0419" w:rsidRPr="00CD3501">
        <w:rPr>
          <w:rFonts w:eastAsia="Cambria" w:cs="Cambria"/>
          <w:lang w:val="es-ES_tradnl"/>
        </w:rPr>
        <w:t>a parte peticionaria</w:t>
      </w:r>
      <w:r w:rsidR="00F046CA" w:rsidRPr="00CD3501">
        <w:rPr>
          <w:rFonts w:eastAsia="Cambria" w:cs="Cambria"/>
          <w:lang w:val="es-ES_tradnl"/>
        </w:rPr>
        <w:t xml:space="preserve"> </w:t>
      </w:r>
      <w:r w:rsidR="000A0419" w:rsidRPr="00CD3501">
        <w:rPr>
          <w:rFonts w:eastAsia="Cambria" w:cs="Cambria"/>
          <w:lang w:val="es-ES_tradnl"/>
        </w:rPr>
        <w:t>alega</w:t>
      </w:r>
      <w:r w:rsidR="005F06A1" w:rsidRPr="00CD3501">
        <w:rPr>
          <w:rFonts w:eastAsia="Cambria" w:cs="Cambria"/>
          <w:lang w:val="es-ES_tradnl"/>
        </w:rPr>
        <w:t xml:space="preserve"> que</w:t>
      </w:r>
      <w:r w:rsidR="005649BB" w:rsidRPr="00CD3501">
        <w:rPr>
          <w:rFonts w:eastAsia="Cambria" w:cs="Cambria"/>
          <w:lang w:val="es-ES_tradnl"/>
        </w:rPr>
        <w:t xml:space="preserve"> Jamaica ha viola</w:t>
      </w:r>
      <w:r w:rsidRPr="00CD3501">
        <w:rPr>
          <w:rFonts w:eastAsia="Cambria" w:cs="Cambria"/>
          <w:lang w:val="es-ES_tradnl"/>
        </w:rPr>
        <w:t xml:space="preserve">do el </w:t>
      </w:r>
      <w:r w:rsidRPr="00CD3501">
        <w:rPr>
          <w:rFonts w:eastAsia="Cambria" w:cs="Cambria"/>
          <w:b/>
          <w:lang w:val="es-ES_tradnl"/>
        </w:rPr>
        <w:t xml:space="preserve">derecho a la </w:t>
      </w:r>
      <w:r w:rsidR="00F046CA" w:rsidRPr="00CD3501">
        <w:rPr>
          <w:rFonts w:eastAsia="Cambria" w:cs="Cambria"/>
          <w:b/>
          <w:lang w:val="es-ES_tradnl"/>
        </w:rPr>
        <w:t>protección de la honra y de la dignidad</w:t>
      </w:r>
      <w:r w:rsidR="007940B6" w:rsidRPr="00CD3501">
        <w:rPr>
          <w:rFonts w:eastAsia="Cambria" w:cs="Cambria"/>
          <w:lang w:val="es-ES_tradnl"/>
        </w:rPr>
        <w:t xml:space="preserve"> </w:t>
      </w:r>
      <w:r w:rsidR="00F046CA" w:rsidRPr="00CD3501">
        <w:rPr>
          <w:rFonts w:eastAsia="Cambria" w:cs="Cambria"/>
          <w:lang w:val="es-ES_tradnl"/>
        </w:rPr>
        <w:t>porque la</w:t>
      </w:r>
      <w:r w:rsidR="002F1404" w:rsidRPr="00CD3501">
        <w:rPr>
          <w:rFonts w:eastAsia="Cambria" w:cs="Cambria"/>
          <w:lang w:val="es-ES_tradnl"/>
        </w:rPr>
        <w:t>s</w:t>
      </w:r>
      <w:r w:rsidR="00F046CA" w:rsidRPr="00CD3501">
        <w:rPr>
          <w:rFonts w:eastAsia="Cambria" w:cs="Cambria"/>
          <w:lang w:val="es-ES_tradnl"/>
        </w:rPr>
        <w:t xml:space="preserve"> ley</w:t>
      </w:r>
      <w:r w:rsidR="002F1404" w:rsidRPr="00CD3501">
        <w:rPr>
          <w:rFonts w:eastAsia="Cambria" w:cs="Cambria"/>
          <w:lang w:val="es-ES_tradnl"/>
        </w:rPr>
        <w:t>es</w:t>
      </w:r>
      <w:r w:rsidR="00F046CA" w:rsidRPr="00CD3501">
        <w:rPr>
          <w:rFonts w:eastAsia="Cambria" w:cs="Cambria"/>
          <w:lang w:val="es-ES_tradnl"/>
        </w:rPr>
        <w:t xml:space="preserve"> de sodomía viola</w:t>
      </w:r>
      <w:r w:rsidR="002F1404" w:rsidRPr="00CD3501">
        <w:rPr>
          <w:rFonts w:eastAsia="Cambria" w:cs="Cambria"/>
          <w:lang w:val="es-ES_tradnl"/>
        </w:rPr>
        <w:t>n</w:t>
      </w:r>
      <w:r w:rsidR="00F046CA" w:rsidRPr="00CD3501">
        <w:rPr>
          <w:rFonts w:eastAsia="Cambria" w:cs="Cambria"/>
          <w:lang w:val="es-ES_tradnl"/>
        </w:rPr>
        <w:t xml:space="preserve"> el derecho </w:t>
      </w:r>
      <w:r w:rsidR="00285EC8" w:rsidRPr="00CD3501">
        <w:rPr>
          <w:rFonts w:eastAsia="Cambria" w:cs="Cambria"/>
          <w:lang w:val="es-ES_tradnl"/>
        </w:rPr>
        <w:t xml:space="preserve">fundamental </w:t>
      </w:r>
      <w:r w:rsidRPr="00CD3501">
        <w:rPr>
          <w:rFonts w:eastAsia="Cambria" w:cs="Cambria"/>
          <w:lang w:val="es-ES_tradnl"/>
        </w:rPr>
        <w:t>a la intimidad</w:t>
      </w:r>
      <w:r w:rsidR="00F046CA" w:rsidRPr="00CD3501">
        <w:rPr>
          <w:rFonts w:eastAsia="Cambria" w:cs="Cambria"/>
          <w:lang w:val="es-ES_tradnl"/>
        </w:rPr>
        <w:t xml:space="preserve">, que protege las decisiones </w:t>
      </w:r>
      <w:r w:rsidR="00285EC8" w:rsidRPr="00CD3501">
        <w:rPr>
          <w:rFonts w:eastAsia="Cambria" w:cs="Cambria"/>
          <w:lang w:val="es-ES_tradnl"/>
        </w:rPr>
        <w:t>personal</w:t>
      </w:r>
      <w:r w:rsidR="00F046CA" w:rsidRPr="00CD3501">
        <w:rPr>
          <w:rFonts w:eastAsia="Cambria" w:cs="Cambria"/>
          <w:lang w:val="es-ES_tradnl"/>
        </w:rPr>
        <w:t>es</w:t>
      </w:r>
      <w:r w:rsidR="00285EC8" w:rsidRPr="00CD3501">
        <w:rPr>
          <w:rFonts w:eastAsia="Cambria" w:cs="Cambria"/>
          <w:lang w:val="es-ES_tradnl"/>
        </w:rPr>
        <w:t xml:space="preserve"> </w:t>
      </w:r>
      <w:r w:rsidR="00F046CA" w:rsidRPr="00CD3501">
        <w:rPr>
          <w:rFonts w:eastAsia="Cambria" w:cs="Cambria"/>
          <w:lang w:val="es-ES_tradnl"/>
        </w:rPr>
        <w:t>y la autonomía y requiere que los Estados tomen medidas para proteger a las persona</w:t>
      </w:r>
      <w:r w:rsidR="00FE5347" w:rsidRPr="00CD3501">
        <w:rPr>
          <w:rFonts w:eastAsia="Cambria" w:cs="Cambria"/>
          <w:lang w:val="es-ES_tradnl"/>
        </w:rPr>
        <w:t>s</w:t>
      </w:r>
      <w:r w:rsidR="00F046CA" w:rsidRPr="00CD3501">
        <w:rPr>
          <w:rFonts w:eastAsia="Cambria" w:cs="Cambria"/>
          <w:lang w:val="es-ES_tradnl"/>
        </w:rPr>
        <w:t xml:space="preserve"> contra las injerencias. A</w:t>
      </w:r>
      <w:r w:rsidR="000A0419" w:rsidRPr="00CD3501">
        <w:rPr>
          <w:rFonts w:eastAsia="Cambria" w:cs="Cambria"/>
          <w:lang w:val="es-ES_tradnl"/>
        </w:rPr>
        <w:t>duce</w:t>
      </w:r>
      <w:r w:rsidR="005F06A1" w:rsidRPr="00CD3501">
        <w:rPr>
          <w:rFonts w:eastAsia="Cambria" w:cs="Cambria"/>
          <w:lang w:val="es-ES_tradnl"/>
        </w:rPr>
        <w:t xml:space="preserve"> que</w:t>
      </w:r>
      <w:r w:rsidR="00285EC8" w:rsidRPr="00CD3501">
        <w:rPr>
          <w:rFonts w:eastAsia="Cambria" w:cs="Cambria"/>
          <w:lang w:val="es-ES_tradnl"/>
        </w:rPr>
        <w:t xml:space="preserve"> </w:t>
      </w:r>
      <w:r w:rsidR="00F046CA" w:rsidRPr="00CD3501">
        <w:rPr>
          <w:rFonts w:eastAsia="Cambria" w:cs="Cambria"/>
          <w:lang w:val="es-ES_tradnl"/>
        </w:rPr>
        <w:t>la policía ha hecho varios intentos directos de amenazar o intimidar a</w:t>
      </w:r>
      <w:r w:rsidR="005F06A1" w:rsidRPr="00CD3501">
        <w:rPr>
          <w:rFonts w:eastAsia="Cambria" w:cs="Cambria"/>
          <w:lang w:val="es-ES_tradnl"/>
        </w:rPr>
        <w:t>l señor</w:t>
      </w:r>
      <w:r w:rsidR="00285EC8" w:rsidRPr="00CD3501">
        <w:rPr>
          <w:rFonts w:eastAsia="Cambria" w:cs="Cambria"/>
          <w:lang w:val="es-ES_tradnl"/>
        </w:rPr>
        <w:t xml:space="preserve"> Henry </w:t>
      </w:r>
      <w:r w:rsidR="00F046CA" w:rsidRPr="00CD3501">
        <w:rPr>
          <w:rFonts w:eastAsia="Cambria" w:cs="Cambria"/>
          <w:lang w:val="es-ES_tradnl"/>
        </w:rPr>
        <w:t>en su domicilio</w:t>
      </w:r>
      <w:r w:rsidR="00285EC8" w:rsidRPr="00CD3501">
        <w:rPr>
          <w:rFonts w:eastAsia="Cambria" w:cs="Cambria"/>
          <w:lang w:val="es-ES_tradnl"/>
        </w:rPr>
        <w:t>.</w:t>
      </w:r>
    </w:p>
    <w:p w14:paraId="66D708E1" w14:textId="77777777" w:rsidR="00512224" w:rsidRPr="00CD3501" w:rsidRDefault="00512224" w:rsidP="000D499E">
      <w:pPr>
        <w:rPr>
          <w:lang w:val="es-ES_tradnl"/>
        </w:rPr>
      </w:pPr>
    </w:p>
    <w:p w14:paraId="41E52DE1" w14:textId="6F5DA8D8" w:rsidR="00512224" w:rsidRPr="00CD3501" w:rsidRDefault="00F046CA" w:rsidP="00C12E55">
      <w:pPr>
        <w:pStyle w:val="parrafos"/>
        <w:numPr>
          <w:ilvl w:val="0"/>
          <w:numId w:val="57"/>
        </w:numPr>
        <w:tabs>
          <w:tab w:val="clear" w:pos="360"/>
          <w:tab w:val="clear" w:pos="1080"/>
        </w:tabs>
        <w:ind w:left="0" w:firstLine="0"/>
        <w:rPr>
          <w:lang w:val="es-ES_tradnl"/>
        </w:rPr>
      </w:pPr>
      <w:r w:rsidRPr="00CD3501">
        <w:rPr>
          <w:rFonts w:eastAsia="Cambria" w:cs="Cambria"/>
          <w:lang w:val="es-ES_tradnl"/>
        </w:rPr>
        <w:t>L</w:t>
      </w:r>
      <w:r w:rsidR="000A0419" w:rsidRPr="00CD3501">
        <w:rPr>
          <w:rFonts w:eastAsia="Cambria" w:cs="Cambria"/>
          <w:lang w:val="es-ES_tradnl"/>
        </w:rPr>
        <w:t>a parte peticionaria</w:t>
      </w:r>
      <w:r w:rsidRPr="00CD3501">
        <w:rPr>
          <w:rFonts w:eastAsia="Cambria" w:cs="Cambria"/>
          <w:lang w:val="es-ES_tradnl"/>
        </w:rPr>
        <w:t xml:space="preserve"> </w:t>
      </w:r>
      <w:r w:rsidR="000A0419" w:rsidRPr="00CD3501">
        <w:rPr>
          <w:rFonts w:eastAsia="Cambria" w:cs="Cambria"/>
          <w:lang w:val="es-ES_tradnl"/>
        </w:rPr>
        <w:t>refiere</w:t>
      </w:r>
      <w:r w:rsidR="005F06A1" w:rsidRPr="00CD3501">
        <w:rPr>
          <w:rFonts w:eastAsia="Cambria" w:cs="Cambria"/>
          <w:lang w:val="es-ES_tradnl"/>
        </w:rPr>
        <w:t xml:space="preserve"> que</w:t>
      </w:r>
      <w:r w:rsidR="00B73C13" w:rsidRPr="00CD3501">
        <w:rPr>
          <w:rFonts w:eastAsia="Cambria" w:cs="Cambria"/>
          <w:lang w:val="es-ES_tradnl"/>
        </w:rPr>
        <w:t xml:space="preserve"> Jamaica </w:t>
      </w:r>
      <w:r w:rsidR="00562B7B" w:rsidRPr="00CD3501">
        <w:rPr>
          <w:rFonts w:eastAsia="Cambria" w:cs="Cambria"/>
          <w:lang w:val="es-ES_tradnl"/>
        </w:rPr>
        <w:t xml:space="preserve">violó el </w:t>
      </w:r>
      <w:r w:rsidR="00562B7B" w:rsidRPr="00CD3501">
        <w:rPr>
          <w:rFonts w:eastAsia="Cambria" w:cs="Cambria"/>
          <w:b/>
          <w:lang w:val="es-ES_tradnl"/>
        </w:rPr>
        <w:t xml:space="preserve">derecho a la </w:t>
      </w:r>
      <w:r w:rsidR="00910B10" w:rsidRPr="00CD3501">
        <w:rPr>
          <w:rFonts w:eastAsia="Cambria" w:cs="Cambria"/>
          <w:b/>
          <w:lang w:val="es-ES_tradnl"/>
        </w:rPr>
        <w:t>libertad de pensamiento y de expresión</w:t>
      </w:r>
      <w:r w:rsidR="00562B7B" w:rsidRPr="00CD3501">
        <w:rPr>
          <w:rFonts w:eastAsia="Cambria" w:cs="Cambria"/>
          <w:lang w:val="es-ES_tradnl"/>
        </w:rPr>
        <w:t xml:space="preserve">, ya que los actos sexuales íntimos entre dos hombres </w:t>
      </w:r>
      <w:r w:rsidR="009A45B3" w:rsidRPr="00CD3501">
        <w:rPr>
          <w:rFonts w:eastAsia="Cambria" w:cs="Cambria"/>
          <w:lang w:val="es-ES_tradnl"/>
        </w:rPr>
        <w:t>homosexual</w:t>
      </w:r>
      <w:r w:rsidR="00562B7B" w:rsidRPr="00CD3501">
        <w:rPr>
          <w:rFonts w:eastAsia="Cambria" w:cs="Cambria"/>
          <w:lang w:val="es-ES_tradnl"/>
        </w:rPr>
        <w:t xml:space="preserve">es son una expresión de su </w:t>
      </w:r>
      <w:r w:rsidR="009A45B3" w:rsidRPr="00CD3501">
        <w:rPr>
          <w:rFonts w:eastAsia="Cambria" w:cs="Cambria"/>
          <w:lang w:val="es-ES_tradnl"/>
        </w:rPr>
        <w:t>homosexuali</w:t>
      </w:r>
      <w:r w:rsidR="00562B7B" w:rsidRPr="00CD3501">
        <w:rPr>
          <w:rFonts w:eastAsia="Cambria" w:cs="Cambria"/>
          <w:lang w:val="es-ES_tradnl"/>
        </w:rPr>
        <w:t xml:space="preserve">dad y de su identidad </w:t>
      </w:r>
      <w:r w:rsidR="009A45B3" w:rsidRPr="00CD3501">
        <w:rPr>
          <w:rFonts w:eastAsia="Cambria" w:cs="Cambria"/>
          <w:lang w:val="es-ES_tradnl"/>
        </w:rPr>
        <w:t>homosexual</w:t>
      </w:r>
      <w:r w:rsidR="00562B7B" w:rsidRPr="00CD3501">
        <w:rPr>
          <w:rFonts w:eastAsia="Cambria" w:cs="Cambria"/>
          <w:lang w:val="es-ES_tradnl"/>
        </w:rPr>
        <w:t xml:space="preserve">. Por lo tanto, </w:t>
      </w:r>
      <w:r w:rsidR="00CF1077" w:rsidRPr="00CD3501">
        <w:rPr>
          <w:rFonts w:eastAsia="Cambria" w:cs="Cambria"/>
          <w:lang w:val="es-ES_tradnl"/>
        </w:rPr>
        <w:t>el hecho mismo de mantener la</w:t>
      </w:r>
      <w:r w:rsidR="002F1404" w:rsidRPr="00CD3501">
        <w:rPr>
          <w:rFonts w:eastAsia="Cambria" w:cs="Cambria"/>
          <w:lang w:val="es-ES_tradnl"/>
        </w:rPr>
        <w:t>s</w:t>
      </w:r>
      <w:r w:rsidR="009A45B3" w:rsidRPr="00CD3501">
        <w:rPr>
          <w:rFonts w:eastAsia="Cambria" w:cs="Cambria"/>
          <w:lang w:val="es-ES_tradnl"/>
        </w:rPr>
        <w:t xml:space="preserve"> </w:t>
      </w:r>
      <w:r w:rsidR="000A3FB7" w:rsidRPr="00CD3501">
        <w:rPr>
          <w:rFonts w:eastAsia="Cambria" w:cs="Cambria"/>
          <w:lang w:val="es-ES_tradnl"/>
        </w:rPr>
        <w:t>ley</w:t>
      </w:r>
      <w:r w:rsidR="002F1404" w:rsidRPr="00CD3501">
        <w:rPr>
          <w:rFonts w:eastAsia="Cambria" w:cs="Cambria"/>
          <w:lang w:val="es-ES_tradnl"/>
        </w:rPr>
        <w:t>es</w:t>
      </w:r>
      <w:r w:rsidR="000A3FB7" w:rsidRPr="00CD3501">
        <w:rPr>
          <w:rFonts w:eastAsia="Cambria" w:cs="Cambria"/>
          <w:lang w:val="es-ES_tradnl"/>
        </w:rPr>
        <w:t xml:space="preserve"> de sodomía</w:t>
      </w:r>
      <w:r w:rsidR="009A45B3" w:rsidRPr="00CD3501">
        <w:rPr>
          <w:rFonts w:eastAsia="Cambria" w:cs="Cambria"/>
          <w:lang w:val="es-ES_tradnl"/>
        </w:rPr>
        <w:t xml:space="preserve"> </w:t>
      </w:r>
      <w:r w:rsidR="00CF1077" w:rsidRPr="00CD3501">
        <w:rPr>
          <w:rFonts w:eastAsia="Cambria" w:cs="Cambria"/>
          <w:lang w:val="es-ES_tradnl"/>
        </w:rPr>
        <w:t xml:space="preserve">viola el derecho a la libertad de expresión de los </w:t>
      </w:r>
      <w:r w:rsidR="009A45B3" w:rsidRPr="00CD3501">
        <w:rPr>
          <w:rFonts w:eastAsia="Cambria" w:cs="Cambria"/>
          <w:lang w:val="es-ES_tradnl"/>
        </w:rPr>
        <w:t>homosexual</w:t>
      </w:r>
      <w:r w:rsidR="00CF1077" w:rsidRPr="00CD3501">
        <w:rPr>
          <w:rFonts w:eastAsia="Cambria" w:cs="Cambria"/>
          <w:lang w:val="es-ES_tradnl"/>
        </w:rPr>
        <w:t xml:space="preserve">es jamaiquinos, como </w:t>
      </w:r>
      <w:r w:rsidR="005F06A1" w:rsidRPr="00CD3501">
        <w:rPr>
          <w:rFonts w:eastAsia="Cambria" w:cs="Cambria"/>
          <w:lang w:val="es-ES_tradnl"/>
        </w:rPr>
        <w:t>el señor</w:t>
      </w:r>
      <w:r w:rsidR="009A45B3" w:rsidRPr="00CD3501">
        <w:rPr>
          <w:rFonts w:eastAsia="Cambria" w:cs="Cambria"/>
          <w:lang w:val="es-ES_tradnl"/>
        </w:rPr>
        <w:t xml:space="preserve"> Henry. </w:t>
      </w:r>
    </w:p>
    <w:p w14:paraId="67527AB6" w14:textId="77777777" w:rsidR="00512224" w:rsidRPr="00CD3501" w:rsidRDefault="00512224" w:rsidP="00F046CA">
      <w:pPr>
        <w:rPr>
          <w:lang w:val="es-ES_tradnl"/>
        </w:rPr>
      </w:pPr>
    </w:p>
    <w:p w14:paraId="3E6CE8EF" w14:textId="3A7C77BA" w:rsidR="00512224" w:rsidRPr="00CD3501" w:rsidRDefault="00CF1077" w:rsidP="00C12E55">
      <w:pPr>
        <w:pStyle w:val="parrafos"/>
        <w:numPr>
          <w:ilvl w:val="0"/>
          <w:numId w:val="57"/>
        </w:numPr>
        <w:tabs>
          <w:tab w:val="clear" w:pos="360"/>
          <w:tab w:val="clear" w:pos="1080"/>
        </w:tabs>
        <w:ind w:left="0" w:firstLine="0"/>
        <w:rPr>
          <w:lang w:val="es-ES_tradnl"/>
        </w:rPr>
      </w:pPr>
      <w:r w:rsidRPr="00CD3501">
        <w:rPr>
          <w:rFonts w:eastAsia="Cambria" w:cs="Cambria"/>
          <w:lang w:val="es-ES_tradnl"/>
        </w:rPr>
        <w:t>L</w:t>
      </w:r>
      <w:r w:rsidR="000A0419" w:rsidRPr="00CD3501">
        <w:rPr>
          <w:rFonts w:eastAsia="Cambria" w:cs="Cambria"/>
          <w:lang w:val="es-ES_tradnl"/>
        </w:rPr>
        <w:t>a parte peticionaria afirma</w:t>
      </w:r>
      <w:r w:rsidRPr="00CD3501">
        <w:rPr>
          <w:rFonts w:eastAsia="Cambria" w:cs="Cambria"/>
          <w:lang w:val="es-ES_tradnl"/>
        </w:rPr>
        <w:t xml:space="preserve"> que </w:t>
      </w:r>
      <w:r w:rsidR="009A3641" w:rsidRPr="00CD3501">
        <w:rPr>
          <w:rFonts w:eastAsia="Cambria" w:cs="Cambria"/>
          <w:lang w:val="es-ES_tradnl"/>
        </w:rPr>
        <w:t>el Estado</w:t>
      </w:r>
      <w:r w:rsidR="00A56827" w:rsidRPr="00CD3501">
        <w:rPr>
          <w:rFonts w:eastAsia="Cambria" w:cs="Cambria"/>
          <w:lang w:val="es-ES_tradnl"/>
        </w:rPr>
        <w:t xml:space="preserve"> viol</w:t>
      </w:r>
      <w:r w:rsidR="006E1BA4" w:rsidRPr="00CD3501">
        <w:rPr>
          <w:rFonts w:eastAsia="Cambria" w:cs="Cambria"/>
          <w:lang w:val="es-ES_tradnl"/>
        </w:rPr>
        <w:t xml:space="preserve">ó el </w:t>
      </w:r>
      <w:r w:rsidR="006E1BA4" w:rsidRPr="00CD3501">
        <w:rPr>
          <w:rFonts w:eastAsia="Cambria" w:cs="Cambria"/>
          <w:b/>
          <w:lang w:val="es-ES_tradnl"/>
        </w:rPr>
        <w:t xml:space="preserve">derecho a la </w:t>
      </w:r>
      <w:r w:rsidR="00910B10" w:rsidRPr="00CD3501">
        <w:rPr>
          <w:rFonts w:eastAsia="Cambria" w:cs="Cambria"/>
          <w:b/>
          <w:lang w:val="es-ES_tradnl"/>
        </w:rPr>
        <w:t>libertad de asociación</w:t>
      </w:r>
      <w:r w:rsidR="00A56827" w:rsidRPr="00CD3501">
        <w:rPr>
          <w:rFonts w:eastAsia="Cambria" w:cs="Cambria"/>
          <w:lang w:val="es-ES_tradnl"/>
        </w:rPr>
        <w:t xml:space="preserve"> </w:t>
      </w:r>
      <w:r w:rsidR="00B67329" w:rsidRPr="00CD3501">
        <w:rPr>
          <w:rFonts w:eastAsia="Cambria" w:cs="Cambria"/>
          <w:lang w:val="es-ES_tradnl"/>
        </w:rPr>
        <w:t xml:space="preserve">porque varios prominentes activistas, como </w:t>
      </w:r>
      <w:r w:rsidR="005F06A1" w:rsidRPr="00CD3501">
        <w:rPr>
          <w:rFonts w:eastAsia="Cambria" w:cs="Cambria"/>
          <w:lang w:val="es-ES_tradnl"/>
        </w:rPr>
        <w:t>el señor</w:t>
      </w:r>
      <w:r w:rsidR="00B5162C" w:rsidRPr="00CD3501">
        <w:rPr>
          <w:rFonts w:eastAsia="Cambria" w:cs="Cambria"/>
          <w:lang w:val="es-ES_tradnl"/>
        </w:rPr>
        <w:t xml:space="preserve"> Henry</w:t>
      </w:r>
      <w:r w:rsidR="00B67329" w:rsidRPr="00CD3501">
        <w:rPr>
          <w:rFonts w:eastAsia="Cambria" w:cs="Cambria"/>
          <w:lang w:val="es-ES_tradnl"/>
        </w:rPr>
        <w:t>, han recibido amenazas de muerte como consecuencia de su</w:t>
      </w:r>
      <w:r w:rsidR="00B5162C" w:rsidRPr="00CD3501">
        <w:rPr>
          <w:rFonts w:eastAsia="Cambria" w:cs="Cambria"/>
          <w:lang w:val="es-ES_tradnl"/>
        </w:rPr>
        <w:t xml:space="preserve"> </w:t>
      </w:r>
      <w:r w:rsidR="00B67329" w:rsidRPr="00CD3501">
        <w:rPr>
          <w:rFonts w:eastAsia="Cambria" w:cs="Cambria"/>
          <w:lang w:val="es-ES_tradnl"/>
        </w:rPr>
        <w:t xml:space="preserve">activismo público en defensa de las personas </w:t>
      </w:r>
      <w:r w:rsidR="00F46DA8" w:rsidRPr="00CD3501">
        <w:rPr>
          <w:rFonts w:eastAsia="Cambria" w:cs="Cambria"/>
          <w:lang w:val="es-ES_tradnl"/>
        </w:rPr>
        <w:t>gais</w:t>
      </w:r>
      <w:r w:rsidR="00B67329" w:rsidRPr="00CD3501">
        <w:rPr>
          <w:rFonts w:eastAsia="Cambria" w:cs="Cambria"/>
          <w:lang w:val="es-ES_tradnl"/>
        </w:rPr>
        <w:t xml:space="preserve"> y han tenido que huir de </w:t>
      </w:r>
      <w:r w:rsidR="00B5162C" w:rsidRPr="00CD3501">
        <w:rPr>
          <w:rFonts w:eastAsia="Cambria" w:cs="Cambria"/>
          <w:lang w:val="es-ES_tradnl"/>
        </w:rPr>
        <w:t>Jamaica</w:t>
      </w:r>
      <w:r w:rsidR="00B67329" w:rsidRPr="00CD3501">
        <w:rPr>
          <w:rFonts w:eastAsia="Cambria" w:cs="Cambria"/>
          <w:lang w:val="es-ES_tradnl"/>
        </w:rPr>
        <w:t xml:space="preserve">, </w:t>
      </w:r>
      <w:r w:rsidR="002D3E56" w:rsidRPr="00CD3501">
        <w:rPr>
          <w:rFonts w:eastAsia="Cambria" w:cs="Cambria"/>
          <w:lang w:val="es-ES_tradnl"/>
        </w:rPr>
        <w:t>en tanto que</w:t>
      </w:r>
      <w:r w:rsidR="002D3E56" w:rsidRPr="00CD3501">
        <w:rPr>
          <w:rFonts w:ascii="Times New Roman" w:eastAsia="Cambria" w:hAnsi="Times New Roman" w:cs="Cambria"/>
          <w:color w:val="auto"/>
          <w:sz w:val="24"/>
          <w:szCs w:val="24"/>
          <w:lang w:val="es-ES_tradnl"/>
        </w:rPr>
        <w:t xml:space="preserve"> </w:t>
      </w:r>
      <w:r w:rsidR="002D3E56" w:rsidRPr="00CD3501">
        <w:rPr>
          <w:rFonts w:eastAsia="Cambria" w:cs="Cambria"/>
          <w:lang w:val="es-ES_tradnl"/>
        </w:rPr>
        <w:t xml:space="preserve">las redes y organizaciones de personas </w:t>
      </w:r>
      <w:r w:rsidR="00F46DA8" w:rsidRPr="00CD3501">
        <w:rPr>
          <w:rFonts w:eastAsia="Cambria" w:cs="Cambria"/>
          <w:lang w:val="es-ES_tradnl"/>
        </w:rPr>
        <w:t>gais</w:t>
      </w:r>
      <w:r w:rsidR="00B67329" w:rsidRPr="00CD3501">
        <w:rPr>
          <w:rFonts w:eastAsia="Cambria" w:cs="Cambria"/>
          <w:lang w:val="es-ES_tradnl"/>
        </w:rPr>
        <w:t xml:space="preserve">, debido </w:t>
      </w:r>
      <w:r w:rsidR="00B5162C" w:rsidRPr="00CD3501">
        <w:rPr>
          <w:rFonts w:eastAsia="Cambria" w:cs="Cambria"/>
          <w:lang w:val="es-ES_tradnl"/>
        </w:rPr>
        <w:t>a</w:t>
      </w:r>
      <w:r w:rsidR="00B67329" w:rsidRPr="00CD3501">
        <w:rPr>
          <w:rFonts w:eastAsia="Cambria" w:cs="Cambria"/>
          <w:lang w:val="es-ES_tradnl"/>
        </w:rPr>
        <w:t xml:space="preserve"> la </w:t>
      </w:r>
      <w:r w:rsidR="00EC50E9" w:rsidRPr="00CD3501">
        <w:rPr>
          <w:rFonts w:eastAsia="Cambria" w:cs="Cambria"/>
          <w:lang w:val="es-ES_tradnl"/>
        </w:rPr>
        <w:t>violencia</w:t>
      </w:r>
      <w:r w:rsidR="00B5162C" w:rsidRPr="00CD3501">
        <w:rPr>
          <w:rFonts w:eastAsia="Cambria" w:cs="Cambria"/>
          <w:lang w:val="es-ES_tradnl"/>
        </w:rPr>
        <w:t xml:space="preserve"> </w:t>
      </w:r>
      <w:r w:rsidR="00B67329" w:rsidRPr="00CD3501">
        <w:rPr>
          <w:rFonts w:eastAsia="Cambria" w:cs="Cambria"/>
          <w:lang w:val="es-ES_tradnl"/>
        </w:rPr>
        <w:t>persistente contra sus miembros, se ven obligadas a actuar en la clandestinidad para proteger</w:t>
      </w:r>
      <w:r w:rsidR="002D3E56" w:rsidRPr="00CD3501">
        <w:rPr>
          <w:rFonts w:eastAsia="Cambria" w:cs="Cambria"/>
          <w:lang w:val="es-ES_tradnl"/>
        </w:rPr>
        <w:t>los</w:t>
      </w:r>
      <w:r w:rsidR="00B5162C" w:rsidRPr="00CD3501">
        <w:rPr>
          <w:rFonts w:eastAsia="Cambria" w:cs="Cambria"/>
          <w:lang w:val="es-ES_tradnl"/>
        </w:rPr>
        <w:t>.</w:t>
      </w:r>
    </w:p>
    <w:p w14:paraId="37DFF52C" w14:textId="77777777" w:rsidR="00512224" w:rsidRPr="00CD3501" w:rsidRDefault="00512224" w:rsidP="002D3E56">
      <w:pPr>
        <w:rPr>
          <w:lang w:val="es-ES_tradnl"/>
        </w:rPr>
      </w:pPr>
    </w:p>
    <w:p w14:paraId="50669CEF" w14:textId="16DDED0C" w:rsidR="00512224" w:rsidRPr="00CD3501" w:rsidRDefault="00CF1077" w:rsidP="00C12E55">
      <w:pPr>
        <w:pStyle w:val="parrafos"/>
        <w:numPr>
          <w:ilvl w:val="0"/>
          <w:numId w:val="57"/>
        </w:numPr>
        <w:tabs>
          <w:tab w:val="clear" w:pos="360"/>
          <w:tab w:val="clear" w:pos="1080"/>
        </w:tabs>
        <w:ind w:left="0" w:firstLine="0"/>
        <w:rPr>
          <w:lang w:val="es-ES_tradnl"/>
        </w:rPr>
      </w:pPr>
      <w:r w:rsidRPr="00CD3501">
        <w:rPr>
          <w:rFonts w:eastAsia="Cambria" w:cs="Cambria"/>
          <w:lang w:val="es-ES_tradnl"/>
        </w:rPr>
        <w:t>L</w:t>
      </w:r>
      <w:r w:rsidR="000A0419" w:rsidRPr="00CD3501">
        <w:rPr>
          <w:rFonts w:eastAsia="Cambria" w:cs="Cambria"/>
          <w:lang w:val="es-ES_tradnl"/>
        </w:rPr>
        <w:t>a parte peticionaria</w:t>
      </w:r>
      <w:r w:rsidRPr="00CD3501">
        <w:rPr>
          <w:rFonts w:eastAsia="Cambria" w:cs="Cambria"/>
          <w:lang w:val="es-ES_tradnl"/>
        </w:rPr>
        <w:t xml:space="preserve"> </w:t>
      </w:r>
      <w:r w:rsidR="00812718" w:rsidRPr="00CD3501">
        <w:rPr>
          <w:rFonts w:eastAsia="Cambria" w:cs="Cambria"/>
          <w:lang w:val="es-ES_tradnl"/>
        </w:rPr>
        <w:t xml:space="preserve">señala </w:t>
      </w:r>
      <w:r w:rsidRPr="00CD3501">
        <w:rPr>
          <w:rFonts w:eastAsia="Cambria" w:cs="Cambria"/>
          <w:lang w:val="es-ES_tradnl"/>
        </w:rPr>
        <w:t xml:space="preserve">que </w:t>
      </w:r>
      <w:r w:rsidR="009A3641" w:rsidRPr="00CD3501">
        <w:rPr>
          <w:rFonts w:eastAsia="Cambria" w:cs="Cambria"/>
          <w:lang w:val="es-ES_tradnl"/>
        </w:rPr>
        <w:t>el Estado</w:t>
      </w:r>
      <w:r w:rsidR="008C1E7C" w:rsidRPr="00CD3501">
        <w:rPr>
          <w:rFonts w:eastAsia="Cambria" w:cs="Cambria"/>
          <w:lang w:val="es-ES_tradnl"/>
        </w:rPr>
        <w:t xml:space="preserve"> viol</w:t>
      </w:r>
      <w:r w:rsidRPr="00CD3501">
        <w:rPr>
          <w:rFonts w:eastAsia="Cambria" w:cs="Cambria"/>
          <w:lang w:val="es-ES_tradnl"/>
        </w:rPr>
        <w:t xml:space="preserve">ó el </w:t>
      </w:r>
      <w:r w:rsidR="00486B19" w:rsidRPr="00CD3501">
        <w:rPr>
          <w:rFonts w:eastAsia="Cambria" w:cs="Cambria"/>
          <w:b/>
          <w:lang w:val="es-ES_tradnl"/>
        </w:rPr>
        <w:t>derecho a la vida familiar</w:t>
      </w:r>
      <w:r w:rsidR="000030DC" w:rsidRPr="00CD3501">
        <w:rPr>
          <w:rFonts w:eastAsia="Cambria" w:cs="Cambria"/>
          <w:lang w:val="es-ES_tradnl"/>
        </w:rPr>
        <w:t xml:space="preserve"> </w:t>
      </w:r>
      <w:r w:rsidR="00486B19" w:rsidRPr="00CD3501">
        <w:rPr>
          <w:rFonts w:eastAsia="Cambria" w:cs="Cambria"/>
          <w:lang w:val="es-ES_tradnl"/>
        </w:rPr>
        <w:t>porque</w:t>
      </w:r>
      <w:r w:rsidR="0067120E" w:rsidRPr="00CD3501">
        <w:rPr>
          <w:rFonts w:eastAsia="Cambria" w:cs="Cambria"/>
          <w:lang w:val="es-ES_tradnl"/>
        </w:rPr>
        <w:t xml:space="preserve"> la</w:t>
      </w:r>
      <w:r w:rsidR="002F1404" w:rsidRPr="00CD3501">
        <w:rPr>
          <w:rFonts w:eastAsia="Cambria" w:cs="Cambria"/>
          <w:lang w:val="es-ES_tradnl"/>
        </w:rPr>
        <w:t>s</w:t>
      </w:r>
      <w:r w:rsidR="0067120E" w:rsidRPr="00CD3501">
        <w:rPr>
          <w:rFonts w:eastAsia="Cambria" w:cs="Cambria"/>
          <w:lang w:val="es-ES_tradnl"/>
        </w:rPr>
        <w:t xml:space="preserve"> </w:t>
      </w:r>
      <w:r w:rsidR="000A3FB7" w:rsidRPr="00CD3501">
        <w:rPr>
          <w:rFonts w:eastAsia="Cambria" w:cs="Cambria"/>
          <w:lang w:val="es-ES_tradnl"/>
        </w:rPr>
        <w:t>ley</w:t>
      </w:r>
      <w:r w:rsidR="002F1404" w:rsidRPr="00CD3501">
        <w:rPr>
          <w:rFonts w:eastAsia="Cambria" w:cs="Cambria"/>
          <w:lang w:val="es-ES_tradnl"/>
        </w:rPr>
        <w:t>es</w:t>
      </w:r>
      <w:r w:rsidR="000A3FB7" w:rsidRPr="00CD3501">
        <w:rPr>
          <w:rFonts w:eastAsia="Cambria" w:cs="Cambria"/>
          <w:lang w:val="es-ES_tradnl"/>
        </w:rPr>
        <w:t xml:space="preserve"> de sodomía</w:t>
      </w:r>
      <w:r w:rsidR="0067120E" w:rsidRPr="00CD3501">
        <w:rPr>
          <w:rFonts w:eastAsia="Cambria" w:cs="Cambria"/>
          <w:lang w:val="es-ES_tradnl"/>
        </w:rPr>
        <w:t xml:space="preserve"> ha</w:t>
      </w:r>
      <w:r w:rsidR="002F1404" w:rsidRPr="00CD3501">
        <w:rPr>
          <w:rFonts w:eastAsia="Cambria" w:cs="Cambria"/>
          <w:lang w:val="es-ES_tradnl"/>
        </w:rPr>
        <w:t>n</w:t>
      </w:r>
      <w:r w:rsidR="0067120E" w:rsidRPr="00CD3501">
        <w:rPr>
          <w:rFonts w:eastAsia="Cambria" w:cs="Cambria"/>
          <w:lang w:val="es-ES_tradnl"/>
        </w:rPr>
        <w:t xml:space="preserve"> incitado a la violencia</w:t>
      </w:r>
      <w:r w:rsidR="000030DC" w:rsidRPr="00CD3501">
        <w:rPr>
          <w:rFonts w:eastAsia="Cambria" w:cs="Cambria"/>
          <w:lang w:val="es-ES_tradnl"/>
        </w:rPr>
        <w:t xml:space="preserve">, </w:t>
      </w:r>
      <w:r w:rsidR="0067120E" w:rsidRPr="00CD3501">
        <w:rPr>
          <w:rFonts w:eastAsia="Cambria" w:cs="Cambria"/>
          <w:lang w:val="es-ES_tradnl"/>
        </w:rPr>
        <w:t xml:space="preserve">dando lugar a ataques contra </w:t>
      </w:r>
      <w:r w:rsidR="000030DC" w:rsidRPr="00CD3501">
        <w:rPr>
          <w:rFonts w:eastAsia="Cambria" w:cs="Cambria"/>
          <w:lang w:val="es-ES_tradnl"/>
        </w:rPr>
        <w:t>homosexual</w:t>
      </w:r>
      <w:r w:rsidR="00486B19" w:rsidRPr="00CD3501">
        <w:rPr>
          <w:rFonts w:eastAsia="Cambria" w:cs="Cambria"/>
          <w:lang w:val="es-ES_tradnl"/>
        </w:rPr>
        <w:t>e</w:t>
      </w:r>
      <w:r w:rsidR="000030DC" w:rsidRPr="00CD3501">
        <w:rPr>
          <w:rFonts w:eastAsia="Cambria" w:cs="Cambria"/>
          <w:lang w:val="es-ES_tradnl"/>
        </w:rPr>
        <w:t xml:space="preserve">s </w:t>
      </w:r>
      <w:r w:rsidR="0067120E" w:rsidRPr="00CD3501">
        <w:rPr>
          <w:rFonts w:eastAsia="Cambria" w:cs="Cambria"/>
          <w:lang w:val="es-ES_tradnl"/>
        </w:rPr>
        <w:t>frente a sus familiares, lo cual los ha llevado en algunos casos a exil</w:t>
      </w:r>
      <w:r w:rsidR="000A0419" w:rsidRPr="00CD3501">
        <w:rPr>
          <w:rFonts w:eastAsia="Cambria" w:cs="Cambria"/>
          <w:lang w:val="es-ES_tradnl"/>
        </w:rPr>
        <w:t>i</w:t>
      </w:r>
      <w:r w:rsidR="0067120E" w:rsidRPr="00CD3501">
        <w:rPr>
          <w:rFonts w:eastAsia="Cambria" w:cs="Cambria"/>
          <w:lang w:val="es-ES_tradnl"/>
        </w:rPr>
        <w:t>arse. En el caso d</w:t>
      </w:r>
      <w:r w:rsidR="005F06A1" w:rsidRPr="00CD3501">
        <w:rPr>
          <w:rFonts w:eastAsia="Cambria" w:cs="Cambria"/>
          <w:lang w:val="es-ES_tradnl"/>
        </w:rPr>
        <w:t>el señor</w:t>
      </w:r>
      <w:r w:rsidR="000030DC" w:rsidRPr="00CD3501">
        <w:rPr>
          <w:rFonts w:eastAsia="Cambria" w:cs="Cambria"/>
          <w:lang w:val="es-ES_tradnl"/>
        </w:rPr>
        <w:t xml:space="preserve"> Henry, </w:t>
      </w:r>
      <w:r w:rsidR="0067120E" w:rsidRPr="00CD3501">
        <w:rPr>
          <w:rFonts w:eastAsia="Cambria" w:cs="Cambria"/>
          <w:lang w:val="es-ES_tradnl"/>
        </w:rPr>
        <w:t xml:space="preserve">tuvo que dejar a su familia varias veces como consecuencia de los frecuentes ataques que sufrió. Además, para proteger a su familia de las repercusiones </w:t>
      </w:r>
      <w:r w:rsidR="000A0419" w:rsidRPr="00CD3501">
        <w:rPr>
          <w:rFonts w:eastAsia="Cambria" w:cs="Cambria"/>
          <w:lang w:val="es-ES_tradnl"/>
        </w:rPr>
        <w:t xml:space="preserve">que les genera su relación </w:t>
      </w:r>
      <w:r w:rsidR="0067120E" w:rsidRPr="00CD3501">
        <w:rPr>
          <w:rFonts w:eastAsia="Cambria" w:cs="Cambria"/>
          <w:lang w:val="es-ES_tradnl"/>
        </w:rPr>
        <w:t xml:space="preserve">de </w:t>
      </w:r>
      <w:r w:rsidR="002D3E56" w:rsidRPr="00CD3501">
        <w:rPr>
          <w:rFonts w:eastAsia="Cambria" w:cs="Cambria"/>
          <w:lang w:val="es-ES_tradnl"/>
        </w:rPr>
        <w:t>parentesco</w:t>
      </w:r>
      <w:r w:rsidR="0067120E" w:rsidRPr="00CD3501">
        <w:rPr>
          <w:rFonts w:eastAsia="Cambria" w:cs="Cambria"/>
          <w:lang w:val="es-ES_tradnl"/>
        </w:rPr>
        <w:t>, tuvo que dejar de usar su verdadero apellido</w:t>
      </w:r>
      <w:r w:rsidR="00403061" w:rsidRPr="00CD3501">
        <w:rPr>
          <w:rFonts w:eastAsia="Cambria" w:cs="Cambria"/>
          <w:lang w:val="es-ES_tradnl"/>
        </w:rPr>
        <w:t xml:space="preserve">. </w:t>
      </w:r>
    </w:p>
    <w:p w14:paraId="7B64E292" w14:textId="77777777" w:rsidR="00512224" w:rsidRPr="00CD3501" w:rsidRDefault="00512224" w:rsidP="002D3E56">
      <w:pPr>
        <w:rPr>
          <w:lang w:val="es-ES_tradnl"/>
        </w:rPr>
      </w:pPr>
    </w:p>
    <w:p w14:paraId="0181CE71" w14:textId="70E844C4" w:rsidR="00512224" w:rsidRPr="00CD3501" w:rsidRDefault="00812718" w:rsidP="00C12E55">
      <w:pPr>
        <w:pStyle w:val="parrafos"/>
        <w:numPr>
          <w:ilvl w:val="0"/>
          <w:numId w:val="57"/>
        </w:numPr>
        <w:tabs>
          <w:tab w:val="clear" w:pos="360"/>
          <w:tab w:val="clear" w:pos="1080"/>
        </w:tabs>
        <w:ind w:left="0" w:firstLine="0"/>
        <w:rPr>
          <w:lang w:val="es-ES_tradnl"/>
        </w:rPr>
      </w:pPr>
      <w:r w:rsidRPr="00CD3501">
        <w:rPr>
          <w:rFonts w:eastAsia="Cambria" w:cs="Cambria"/>
          <w:lang w:val="es-ES_tradnl"/>
        </w:rPr>
        <w:t>L</w:t>
      </w:r>
      <w:r w:rsidR="000A0419" w:rsidRPr="00CD3501">
        <w:rPr>
          <w:rFonts w:eastAsia="Cambria" w:cs="Cambria"/>
          <w:lang w:val="es-ES_tradnl"/>
        </w:rPr>
        <w:t>a parte</w:t>
      </w:r>
      <w:r w:rsidRPr="00CD3501">
        <w:rPr>
          <w:rFonts w:eastAsia="Cambria" w:cs="Cambria"/>
          <w:lang w:val="es-ES_tradnl"/>
        </w:rPr>
        <w:t xml:space="preserve"> peticionari</w:t>
      </w:r>
      <w:r w:rsidR="000A0419" w:rsidRPr="00CD3501">
        <w:rPr>
          <w:rFonts w:eastAsia="Cambria" w:cs="Cambria"/>
          <w:lang w:val="es-ES_tradnl"/>
        </w:rPr>
        <w:t>a</w:t>
      </w:r>
      <w:r w:rsidR="006735FD" w:rsidRPr="00CD3501">
        <w:rPr>
          <w:rFonts w:eastAsia="Cambria" w:cs="Cambria"/>
          <w:lang w:val="es-ES_tradnl"/>
        </w:rPr>
        <w:t xml:space="preserve"> </w:t>
      </w:r>
      <w:r w:rsidR="000A0419" w:rsidRPr="00CD3501">
        <w:rPr>
          <w:rFonts w:eastAsia="Cambria" w:cs="Cambria"/>
          <w:lang w:val="es-ES_tradnl"/>
        </w:rPr>
        <w:t>sostiene</w:t>
      </w:r>
      <w:r w:rsidR="005F06A1" w:rsidRPr="00CD3501">
        <w:rPr>
          <w:rFonts w:eastAsia="Cambria" w:cs="Cambria"/>
          <w:lang w:val="es-ES_tradnl"/>
        </w:rPr>
        <w:t xml:space="preserve"> que</w:t>
      </w:r>
      <w:r w:rsidR="006735FD" w:rsidRPr="00CD3501">
        <w:rPr>
          <w:rFonts w:eastAsia="Cambria" w:cs="Cambria"/>
          <w:lang w:val="es-ES_tradnl"/>
        </w:rPr>
        <w:t xml:space="preserve"> </w:t>
      </w:r>
      <w:r w:rsidR="009A3641" w:rsidRPr="00CD3501">
        <w:rPr>
          <w:rFonts w:eastAsia="Cambria" w:cs="Cambria"/>
          <w:lang w:val="es-ES_tradnl"/>
        </w:rPr>
        <w:t>el Estado</w:t>
      </w:r>
      <w:r w:rsidR="006735FD" w:rsidRPr="00CD3501">
        <w:rPr>
          <w:rFonts w:eastAsia="Cambria" w:cs="Cambria"/>
          <w:lang w:val="es-ES_tradnl"/>
        </w:rPr>
        <w:t xml:space="preserve"> viol</w:t>
      </w:r>
      <w:r w:rsidR="0067120E" w:rsidRPr="00CD3501">
        <w:rPr>
          <w:rFonts w:eastAsia="Cambria" w:cs="Cambria"/>
          <w:lang w:val="es-ES_tradnl"/>
        </w:rPr>
        <w:t xml:space="preserve">ó el </w:t>
      </w:r>
      <w:r w:rsidR="00910B10" w:rsidRPr="00CD3501">
        <w:rPr>
          <w:rFonts w:eastAsia="Cambria" w:cs="Cambria"/>
          <w:b/>
          <w:lang w:val="es-ES_tradnl"/>
        </w:rPr>
        <w:t>derecho de circulación y de residencia</w:t>
      </w:r>
      <w:r w:rsidR="006735FD" w:rsidRPr="00CD3501">
        <w:rPr>
          <w:rFonts w:eastAsia="Cambria" w:cs="Cambria"/>
          <w:b/>
          <w:lang w:val="es-ES_tradnl"/>
        </w:rPr>
        <w:t xml:space="preserve"> </w:t>
      </w:r>
      <w:r w:rsidR="0067120E" w:rsidRPr="00CD3501">
        <w:rPr>
          <w:rFonts w:eastAsia="Cambria" w:cs="Cambria"/>
          <w:lang w:val="es-ES_tradnl"/>
        </w:rPr>
        <w:t>porque la persecución y el acoso obligaron a</w:t>
      </w:r>
      <w:r w:rsidR="005F06A1" w:rsidRPr="00CD3501">
        <w:rPr>
          <w:rFonts w:eastAsia="Cambria" w:cs="Cambria"/>
          <w:lang w:val="es-ES_tradnl"/>
        </w:rPr>
        <w:t>l señor</w:t>
      </w:r>
      <w:r w:rsidR="006735FD" w:rsidRPr="00CD3501">
        <w:rPr>
          <w:rFonts w:eastAsia="Cambria" w:cs="Cambria"/>
          <w:lang w:val="es-ES_tradnl"/>
        </w:rPr>
        <w:t xml:space="preserve"> Henry </w:t>
      </w:r>
      <w:r w:rsidR="0067120E" w:rsidRPr="00CD3501">
        <w:rPr>
          <w:rFonts w:eastAsia="Cambria" w:cs="Cambria"/>
          <w:lang w:val="es-ES_tradnl"/>
        </w:rPr>
        <w:t>a alejarse en repetidas ocasiones de la comunidad donde residía. A</w:t>
      </w:r>
      <w:r w:rsidR="005F06A1" w:rsidRPr="00CD3501">
        <w:rPr>
          <w:rFonts w:eastAsia="Cambria" w:cs="Cambria"/>
          <w:lang w:val="es-ES_tradnl"/>
        </w:rPr>
        <w:t>ducen que</w:t>
      </w:r>
      <w:r w:rsidR="006735FD" w:rsidRPr="00CD3501">
        <w:rPr>
          <w:rFonts w:eastAsia="Cambria" w:cs="Cambria"/>
          <w:lang w:val="es-ES_tradnl"/>
        </w:rPr>
        <w:t xml:space="preserve"> </w:t>
      </w:r>
      <w:r w:rsidR="0067120E" w:rsidRPr="00CD3501">
        <w:rPr>
          <w:rFonts w:eastAsia="Cambria" w:cs="Cambria"/>
          <w:lang w:val="es-ES_tradnl"/>
        </w:rPr>
        <w:t xml:space="preserve">las comunidades creen que tienen derecho a expulsar por la fuerza a personas </w:t>
      </w:r>
      <w:r w:rsidR="00F46DA8" w:rsidRPr="00CD3501">
        <w:rPr>
          <w:rFonts w:eastAsia="Cambria" w:cs="Cambria"/>
          <w:lang w:val="es-ES_tradnl"/>
        </w:rPr>
        <w:t>gais</w:t>
      </w:r>
      <w:r w:rsidR="006735FD" w:rsidRPr="00CD3501">
        <w:rPr>
          <w:rFonts w:eastAsia="Cambria" w:cs="Cambria"/>
          <w:lang w:val="es-ES_tradnl"/>
        </w:rPr>
        <w:t xml:space="preserve"> </w:t>
      </w:r>
      <w:r w:rsidR="0067120E" w:rsidRPr="00CD3501">
        <w:rPr>
          <w:rFonts w:eastAsia="Cambria" w:cs="Cambria"/>
          <w:lang w:val="es-ES_tradnl"/>
        </w:rPr>
        <w:t xml:space="preserve">porque se penalizan los actos íntimos consensuales y privados entre </w:t>
      </w:r>
      <w:r w:rsidR="006735FD" w:rsidRPr="00CD3501">
        <w:rPr>
          <w:rFonts w:eastAsia="Cambria" w:cs="Cambria"/>
          <w:lang w:val="es-ES_tradnl"/>
        </w:rPr>
        <w:t>homosexual</w:t>
      </w:r>
      <w:r w:rsidR="0067120E" w:rsidRPr="00CD3501">
        <w:rPr>
          <w:rFonts w:eastAsia="Cambria" w:cs="Cambria"/>
          <w:lang w:val="es-ES_tradnl"/>
        </w:rPr>
        <w:t>e</w:t>
      </w:r>
      <w:r w:rsidR="006735FD" w:rsidRPr="00CD3501">
        <w:rPr>
          <w:rFonts w:eastAsia="Cambria" w:cs="Cambria"/>
          <w:lang w:val="es-ES_tradnl"/>
        </w:rPr>
        <w:t xml:space="preserve">s. </w:t>
      </w:r>
    </w:p>
    <w:p w14:paraId="0EF1FBBD" w14:textId="77777777" w:rsidR="00512224" w:rsidRPr="00CD3501" w:rsidRDefault="00512224" w:rsidP="002D3E56">
      <w:pPr>
        <w:rPr>
          <w:lang w:val="es-ES_tradnl"/>
        </w:rPr>
      </w:pPr>
    </w:p>
    <w:p w14:paraId="1954491A" w14:textId="1E39AED9" w:rsidR="00512224" w:rsidRPr="00CD3501" w:rsidRDefault="00812718" w:rsidP="00C12E55">
      <w:pPr>
        <w:pStyle w:val="parrafos"/>
        <w:numPr>
          <w:ilvl w:val="0"/>
          <w:numId w:val="57"/>
        </w:numPr>
        <w:tabs>
          <w:tab w:val="clear" w:pos="360"/>
          <w:tab w:val="clear" w:pos="1080"/>
        </w:tabs>
        <w:ind w:left="0" w:firstLine="0"/>
        <w:rPr>
          <w:lang w:val="es-ES_tradnl"/>
        </w:rPr>
      </w:pPr>
      <w:r w:rsidRPr="00CD3501">
        <w:rPr>
          <w:rFonts w:eastAsia="Cambria" w:cs="Cambria"/>
          <w:lang w:val="es-ES_tradnl"/>
        </w:rPr>
        <w:t>L</w:t>
      </w:r>
      <w:r w:rsidR="000A5583" w:rsidRPr="00CD3501">
        <w:rPr>
          <w:rFonts w:eastAsia="Cambria" w:cs="Cambria"/>
          <w:lang w:val="es-ES_tradnl"/>
        </w:rPr>
        <w:t>a parte</w:t>
      </w:r>
      <w:r w:rsidRPr="00CD3501">
        <w:rPr>
          <w:rFonts w:eastAsia="Cambria" w:cs="Cambria"/>
          <w:lang w:val="es-ES_tradnl"/>
        </w:rPr>
        <w:t xml:space="preserve"> peticionari</w:t>
      </w:r>
      <w:r w:rsidR="000A5583" w:rsidRPr="00CD3501">
        <w:rPr>
          <w:rFonts w:eastAsia="Cambria" w:cs="Cambria"/>
          <w:lang w:val="es-ES_tradnl"/>
        </w:rPr>
        <w:t>a</w:t>
      </w:r>
      <w:r w:rsidR="00512224" w:rsidRPr="00CD3501">
        <w:rPr>
          <w:rFonts w:eastAsia="Cambria" w:cs="Cambria"/>
          <w:lang w:val="es-ES_tradnl"/>
        </w:rPr>
        <w:t xml:space="preserve"> </w:t>
      </w:r>
      <w:r w:rsidR="000A5583" w:rsidRPr="00CD3501">
        <w:rPr>
          <w:rFonts w:eastAsia="Cambria" w:cs="Cambria"/>
          <w:lang w:val="es-ES_tradnl"/>
        </w:rPr>
        <w:t>aduce</w:t>
      </w:r>
      <w:r w:rsidR="005F06A1" w:rsidRPr="00CD3501">
        <w:rPr>
          <w:rFonts w:eastAsia="Cambria" w:cs="Cambria"/>
          <w:lang w:val="es-ES_tradnl"/>
        </w:rPr>
        <w:t xml:space="preserve"> que</w:t>
      </w:r>
      <w:r w:rsidR="004D394B" w:rsidRPr="00CD3501">
        <w:rPr>
          <w:rFonts w:eastAsia="Cambria" w:cs="Cambria"/>
          <w:lang w:val="es-ES_tradnl"/>
        </w:rPr>
        <w:t xml:space="preserve"> </w:t>
      </w:r>
      <w:r w:rsidR="0067120E" w:rsidRPr="00CD3501">
        <w:rPr>
          <w:rFonts w:eastAsia="Cambria" w:cs="Cambria"/>
          <w:lang w:val="es-ES_tradnl"/>
        </w:rPr>
        <w:t xml:space="preserve">el Estado jamaiquino violó el </w:t>
      </w:r>
      <w:r w:rsidR="00955CAC" w:rsidRPr="00CD3501">
        <w:rPr>
          <w:rFonts w:eastAsia="Cambria" w:cs="Cambria"/>
          <w:b/>
          <w:lang w:val="es-ES_tradnl"/>
        </w:rPr>
        <w:t xml:space="preserve">derecho a la </w:t>
      </w:r>
      <w:r w:rsidR="00910B10" w:rsidRPr="00CD3501">
        <w:rPr>
          <w:rFonts w:eastAsia="Cambria" w:cs="Cambria"/>
          <w:b/>
          <w:lang w:val="es-ES_tradnl"/>
        </w:rPr>
        <w:t>protección judicial</w:t>
      </w:r>
      <w:r w:rsidR="004D394B" w:rsidRPr="00CD3501">
        <w:rPr>
          <w:rFonts w:eastAsia="Cambria" w:cs="Cambria"/>
          <w:b/>
          <w:lang w:val="es-ES_tradnl"/>
        </w:rPr>
        <w:t xml:space="preserve"> </w:t>
      </w:r>
      <w:r w:rsidR="00955CAC" w:rsidRPr="00CD3501">
        <w:rPr>
          <w:rFonts w:eastAsia="Cambria" w:cs="Cambria"/>
          <w:lang w:val="es-ES_tradnl"/>
        </w:rPr>
        <w:t xml:space="preserve">porque en el artículo </w:t>
      </w:r>
      <w:r w:rsidR="00323D46" w:rsidRPr="00CD3501">
        <w:rPr>
          <w:rFonts w:eastAsia="Cambria" w:cs="Cambria"/>
          <w:lang w:val="es-ES_tradnl"/>
        </w:rPr>
        <w:t>13</w:t>
      </w:r>
      <w:r w:rsidR="00955CAC" w:rsidRPr="00CD3501">
        <w:rPr>
          <w:rFonts w:eastAsia="Cambria" w:cs="Cambria"/>
          <w:lang w:val="es-ES_tradnl"/>
        </w:rPr>
        <w:t xml:space="preserve">, inciso </w:t>
      </w:r>
      <w:r w:rsidR="00323D46" w:rsidRPr="00CD3501">
        <w:rPr>
          <w:rFonts w:eastAsia="Cambria" w:cs="Cambria"/>
          <w:lang w:val="es-ES_tradnl"/>
        </w:rPr>
        <w:t>2</w:t>
      </w:r>
      <w:r w:rsidR="00955CAC" w:rsidRPr="00CD3501">
        <w:rPr>
          <w:rFonts w:eastAsia="Cambria" w:cs="Cambria"/>
          <w:lang w:val="es-ES_tradnl"/>
        </w:rPr>
        <w:t>, de la Constitución</w:t>
      </w:r>
      <w:r w:rsidR="00323D46" w:rsidRPr="00CD3501">
        <w:rPr>
          <w:rFonts w:eastAsia="Cambria" w:cs="Cambria"/>
          <w:lang w:val="es-ES_tradnl"/>
        </w:rPr>
        <w:t xml:space="preserve"> </w:t>
      </w:r>
      <w:r w:rsidR="00955CAC" w:rsidRPr="00CD3501">
        <w:rPr>
          <w:rFonts w:eastAsia="Cambria" w:cs="Cambria"/>
          <w:lang w:val="es-ES_tradnl"/>
        </w:rPr>
        <w:t>se dispone que las leyes mediante las cuales se establecen delitos sexuales no pueden ser declaradas inco</w:t>
      </w:r>
      <w:r w:rsidR="002D3E56" w:rsidRPr="00CD3501">
        <w:rPr>
          <w:rFonts w:eastAsia="Cambria" w:cs="Cambria"/>
          <w:lang w:val="es-ES_tradnl"/>
        </w:rPr>
        <w:t>nstitucionales</w:t>
      </w:r>
      <w:r w:rsidR="00955CAC" w:rsidRPr="00CD3501">
        <w:rPr>
          <w:rFonts w:eastAsia="Cambria" w:cs="Cambria"/>
          <w:lang w:val="es-ES_tradnl"/>
        </w:rPr>
        <w:t>. Por consiguiente, no existe un recurso para</w:t>
      </w:r>
      <w:r w:rsidR="00323D46" w:rsidRPr="00CD3501">
        <w:rPr>
          <w:rFonts w:eastAsia="Cambria" w:cs="Cambria"/>
          <w:lang w:val="es-ES_tradnl"/>
        </w:rPr>
        <w:t xml:space="preserve"> declar</w:t>
      </w:r>
      <w:r w:rsidR="00955CAC" w:rsidRPr="00CD3501">
        <w:rPr>
          <w:rFonts w:eastAsia="Cambria" w:cs="Cambria"/>
          <w:lang w:val="es-ES_tradnl"/>
        </w:rPr>
        <w:t>ar</w:t>
      </w:r>
      <w:r w:rsidR="00323D46" w:rsidRPr="00CD3501">
        <w:rPr>
          <w:rFonts w:eastAsia="Cambria" w:cs="Cambria"/>
          <w:lang w:val="es-ES_tradnl"/>
        </w:rPr>
        <w:t xml:space="preserve"> </w:t>
      </w:r>
      <w:r w:rsidR="00955CAC" w:rsidRPr="00CD3501">
        <w:rPr>
          <w:rFonts w:eastAsia="Cambria" w:cs="Cambria"/>
          <w:lang w:val="es-ES_tradnl"/>
        </w:rPr>
        <w:t>la inconstitucionalidad</w:t>
      </w:r>
      <w:r w:rsidR="00323D46" w:rsidRPr="00CD3501">
        <w:rPr>
          <w:rFonts w:eastAsia="Cambria" w:cs="Cambria"/>
          <w:lang w:val="es-ES_tradnl"/>
        </w:rPr>
        <w:t xml:space="preserve"> </w:t>
      </w:r>
      <w:r w:rsidR="00955CAC" w:rsidRPr="00CD3501">
        <w:rPr>
          <w:rFonts w:eastAsia="Cambria" w:cs="Cambria"/>
          <w:lang w:val="es-ES_tradnl"/>
        </w:rPr>
        <w:t>de la</w:t>
      </w:r>
      <w:r w:rsidR="002F1404" w:rsidRPr="00CD3501">
        <w:rPr>
          <w:rFonts w:eastAsia="Cambria" w:cs="Cambria"/>
          <w:lang w:val="es-ES_tradnl"/>
        </w:rPr>
        <w:t>s</w:t>
      </w:r>
      <w:r w:rsidR="00955CAC" w:rsidRPr="00CD3501">
        <w:rPr>
          <w:rFonts w:eastAsia="Cambria" w:cs="Cambria"/>
          <w:lang w:val="es-ES_tradnl"/>
        </w:rPr>
        <w:t xml:space="preserve"> </w:t>
      </w:r>
      <w:r w:rsidR="000A3FB7" w:rsidRPr="00CD3501">
        <w:rPr>
          <w:rFonts w:eastAsia="Cambria" w:cs="Cambria"/>
          <w:lang w:val="es-ES_tradnl"/>
        </w:rPr>
        <w:t>ley</w:t>
      </w:r>
      <w:r w:rsidR="002F1404" w:rsidRPr="00CD3501">
        <w:rPr>
          <w:rFonts w:eastAsia="Cambria" w:cs="Cambria"/>
          <w:lang w:val="es-ES_tradnl"/>
        </w:rPr>
        <w:t>es</w:t>
      </w:r>
      <w:r w:rsidR="000A3FB7" w:rsidRPr="00CD3501">
        <w:rPr>
          <w:rFonts w:eastAsia="Cambria" w:cs="Cambria"/>
          <w:lang w:val="es-ES_tradnl"/>
        </w:rPr>
        <w:t xml:space="preserve"> de sodomía</w:t>
      </w:r>
      <w:r w:rsidR="00323D46" w:rsidRPr="00CD3501">
        <w:rPr>
          <w:rFonts w:eastAsia="Cambria" w:cs="Cambria"/>
          <w:lang w:val="es-ES_tradnl"/>
        </w:rPr>
        <w:t xml:space="preserve">. </w:t>
      </w:r>
    </w:p>
    <w:p w14:paraId="7F4D7520" w14:textId="77777777" w:rsidR="00512224" w:rsidRPr="00CD3501" w:rsidRDefault="00512224" w:rsidP="002D3E56">
      <w:pPr>
        <w:rPr>
          <w:lang w:val="es-ES_tradnl"/>
        </w:rPr>
      </w:pPr>
    </w:p>
    <w:p w14:paraId="4D4D6A1F" w14:textId="22342AE4" w:rsidR="0042717E" w:rsidRPr="00CD3501" w:rsidRDefault="00812718" w:rsidP="00C12E55">
      <w:pPr>
        <w:pStyle w:val="parrafos"/>
        <w:numPr>
          <w:ilvl w:val="0"/>
          <w:numId w:val="57"/>
        </w:numPr>
        <w:tabs>
          <w:tab w:val="clear" w:pos="360"/>
          <w:tab w:val="clear" w:pos="1080"/>
        </w:tabs>
        <w:ind w:left="0" w:firstLine="0"/>
        <w:rPr>
          <w:lang w:val="es-ES_tradnl"/>
        </w:rPr>
      </w:pPr>
      <w:r w:rsidRPr="00CD3501">
        <w:rPr>
          <w:rFonts w:eastAsia="Cambria" w:cs="Cambria"/>
          <w:lang w:val="es-ES_tradnl"/>
        </w:rPr>
        <w:t>L</w:t>
      </w:r>
      <w:r w:rsidR="000A5583" w:rsidRPr="00CD3501">
        <w:rPr>
          <w:rFonts w:eastAsia="Cambria" w:cs="Cambria"/>
          <w:lang w:val="es-ES_tradnl"/>
        </w:rPr>
        <w:t>a</w:t>
      </w:r>
      <w:r w:rsidRPr="00CD3501">
        <w:rPr>
          <w:rFonts w:eastAsia="Cambria" w:cs="Cambria"/>
          <w:lang w:val="es-ES_tradnl"/>
        </w:rPr>
        <w:t xml:space="preserve"> </w:t>
      </w:r>
      <w:r w:rsidR="000A5583" w:rsidRPr="00CD3501">
        <w:rPr>
          <w:rFonts w:eastAsia="Cambria" w:cs="Cambria"/>
          <w:lang w:val="es-ES_tradnl"/>
        </w:rPr>
        <w:t xml:space="preserve">parte </w:t>
      </w:r>
      <w:r w:rsidRPr="00CD3501">
        <w:rPr>
          <w:rFonts w:eastAsia="Cambria" w:cs="Cambria"/>
          <w:lang w:val="es-ES_tradnl"/>
        </w:rPr>
        <w:t>peticionari</w:t>
      </w:r>
      <w:r w:rsidR="000A5583" w:rsidRPr="00CD3501">
        <w:rPr>
          <w:rFonts w:eastAsia="Cambria" w:cs="Cambria"/>
          <w:lang w:val="es-ES_tradnl"/>
        </w:rPr>
        <w:t>a</w:t>
      </w:r>
      <w:r w:rsidR="00512224" w:rsidRPr="00CD3501">
        <w:rPr>
          <w:rFonts w:eastAsia="Cambria" w:cs="Cambria"/>
          <w:lang w:val="es-ES_tradnl"/>
        </w:rPr>
        <w:t xml:space="preserve"> </w:t>
      </w:r>
      <w:r w:rsidR="00955CAC" w:rsidRPr="00CD3501">
        <w:rPr>
          <w:rFonts w:eastAsia="Cambria" w:cs="Cambria"/>
          <w:lang w:val="es-ES_tradnl"/>
        </w:rPr>
        <w:t xml:space="preserve">afirma que </w:t>
      </w:r>
      <w:r w:rsidR="0042717E" w:rsidRPr="00CD3501">
        <w:rPr>
          <w:rFonts w:eastAsia="Cambria" w:cs="Cambria"/>
          <w:lang w:val="es-ES_tradnl"/>
        </w:rPr>
        <w:t>Jamaica viol</w:t>
      </w:r>
      <w:r w:rsidR="00955CAC" w:rsidRPr="00CD3501">
        <w:rPr>
          <w:rFonts w:eastAsia="Cambria" w:cs="Cambria"/>
          <w:lang w:val="es-ES_tradnl"/>
        </w:rPr>
        <w:t xml:space="preserve">ó el </w:t>
      </w:r>
      <w:r w:rsidR="00910B10" w:rsidRPr="00CD3501">
        <w:rPr>
          <w:rFonts w:eastAsia="Cambria" w:cs="Cambria"/>
          <w:b/>
          <w:lang w:val="es-ES_tradnl"/>
        </w:rPr>
        <w:t>derecho a la salud</w:t>
      </w:r>
      <w:r w:rsidR="00052A24" w:rsidRPr="00CD3501">
        <w:rPr>
          <w:rFonts w:eastAsia="Cambria" w:cs="Cambria"/>
          <w:b/>
          <w:lang w:val="es-ES_tradnl"/>
        </w:rPr>
        <w:t xml:space="preserve"> </w:t>
      </w:r>
      <w:r w:rsidR="00955CAC" w:rsidRPr="00CD3501">
        <w:rPr>
          <w:rFonts w:eastAsia="Cambria" w:cs="Cambria"/>
          <w:lang w:val="es-ES_tradnl"/>
        </w:rPr>
        <w:t>porque la</w:t>
      </w:r>
      <w:r w:rsidR="002F1404" w:rsidRPr="00CD3501">
        <w:rPr>
          <w:rFonts w:eastAsia="Cambria" w:cs="Cambria"/>
          <w:lang w:val="es-ES_tradnl"/>
        </w:rPr>
        <w:t>s</w:t>
      </w:r>
      <w:r w:rsidR="00955CAC" w:rsidRPr="00CD3501">
        <w:rPr>
          <w:rFonts w:eastAsia="Cambria" w:cs="Cambria"/>
          <w:lang w:val="es-ES_tradnl"/>
        </w:rPr>
        <w:t xml:space="preserve"> </w:t>
      </w:r>
      <w:r w:rsidR="000A3FB7" w:rsidRPr="00CD3501">
        <w:rPr>
          <w:rFonts w:eastAsia="Cambria" w:cs="Cambria"/>
          <w:lang w:val="es-ES_tradnl"/>
        </w:rPr>
        <w:t>ley</w:t>
      </w:r>
      <w:r w:rsidR="002F1404" w:rsidRPr="00CD3501">
        <w:rPr>
          <w:rFonts w:eastAsia="Cambria" w:cs="Cambria"/>
          <w:lang w:val="es-ES_tradnl"/>
        </w:rPr>
        <w:t>es</w:t>
      </w:r>
      <w:r w:rsidR="000A3FB7" w:rsidRPr="00CD3501">
        <w:rPr>
          <w:rFonts w:eastAsia="Cambria" w:cs="Cambria"/>
          <w:lang w:val="es-ES_tradnl"/>
        </w:rPr>
        <w:t xml:space="preserve"> de sodomía</w:t>
      </w:r>
      <w:r w:rsidR="00052A24" w:rsidRPr="00CD3501">
        <w:rPr>
          <w:rFonts w:eastAsia="Cambria" w:cs="Cambria"/>
          <w:lang w:val="es-ES_tradnl"/>
        </w:rPr>
        <w:t xml:space="preserve"> </w:t>
      </w:r>
      <w:r w:rsidR="002F1404" w:rsidRPr="00CD3501">
        <w:rPr>
          <w:rFonts w:eastAsia="Cambria" w:cs="Cambria"/>
          <w:lang w:val="es-ES_tradnl"/>
        </w:rPr>
        <w:t>son</w:t>
      </w:r>
      <w:r w:rsidR="00955CAC" w:rsidRPr="00CD3501">
        <w:rPr>
          <w:rFonts w:eastAsia="Cambria" w:cs="Cambria"/>
          <w:lang w:val="es-ES_tradnl"/>
        </w:rPr>
        <w:t xml:space="preserve"> un obstáculo para el acceso efectivo a la información</w:t>
      </w:r>
      <w:r w:rsidR="000A5583" w:rsidRPr="00CD3501">
        <w:rPr>
          <w:rFonts w:eastAsia="Cambria" w:cs="Cambria"/>
          <w:lang w:val="es-ES_tradnl"/>
        </w:rPr>
        <w:t xml:space="preserve"> y la atención de salud. Señala</w:t>
      </w:r>
      <w:r w:rsidR="00955CAC" w:rsidRPr="00CD3501">
        <w:rPr>
          <w:rFonts w:eastAsia="Cambria" w:cs="Cambria"/>
          <w:lang w:val="es-ES_tradnl"/>
        </w:rPr>
        <w:t xml:space="preserve"> que </w:t>
      </w:r>
      <w:r w:rsidR="005F06A1" w:rsidRPr="00CD3501">
        <w:rPr>
          <w:rFonts w:eastAsia="Cambria" w:cs="Cambria"/>
          <w:lang w:val="es-ES_tradnl"/>
        </w:rPr>
        <w:t>el señor</w:t>
      </w:r>
      <w:r w:rsidR="009E38CE" w:rsidRPr="00CD3501">
        <w:rPr>
          <w:rFonts w:eastAsia="Cambria" w:cs="Cambria"/>
          <w:lang w:val="es-ES_tradnl"/>
        </w:rPr>
        <w:t xml:space="preserve"> Henry enco</w:t>
      </w:r>
      <w:r w:rsidR="00955CAC" w:rsidRPr="00CD3501">
        <w:rPr>
          <w:rFonts w:eastAsia="Cambria" w:cs="Cambria"/>
          <w:lang w:val="es-ES_tradnl"/>
        </w:rPr>
        <w:t>ntró una virulenta oposición cuando trató de distribuir condones y lubricante para prevenir la transmisión del VIH</w:t>
      </w:r>
      <w:r w:rsidR="009E38CE" w:rsidRPr="00CD3501">
        <w:rPr>
          <w:rFonts w:eastAsia="Cambria" w:cs="Cambria"/>
          <w:lang w:val="es-ES_tradnl"/>
        </w:rPr>
        <w:t xml:space="preserve">. </w:t>
      </w:r>
    </w:p>
    <w:p w14:paraId="54FAAA96" w14:textId="77777777" w:rsidR="00C338E4" w:rsidRPr="00CD3501" w:rsidRDefault="00C338E4" w:rsidP="00A167CF">
      <w:pPr>
        <w:suppressAutoHyphens/>
        <w:rPr>
          <w:rFonts w:asciiTheme="majorHAnsi" w:hAnsiTheme="majorHAnsi"/>
          <w:sz w:val="20"/>
          <w:szCs w:val="20"/>
          <w:lang w:val="es-ES_tradnl"/>
        </w:rPr>
      </w:pPr>
    </w:p>
    <w:p w14:paraId="0AF80D81" w14:textId="19C6F7C2" w:rsidR="001C4006" w:rsidRPr="00CD3501" w:rsidRDefault="00E33D82" w:rsidP="00C12E55">
      <w:pPr>
        <w:pStyle w:val="Heading2"/>
        <w:numPr>
          <w:ilvl w:val="0"/>
          <w:numId w:val="56"/>
        </w:numPr>
        <w:spacing w:before="0"/>
        <w:ind w:left="360"/>
        <w:rPr>
          <w:color w:val="auto"/>
          <w:sz w:val="20"/>
          <w:szCs w:val="20"/>
          <w:lang w:val="es-ES_tradnl"/>
        </w:rPr>
      </w:pPr>
      <w:bookmarkStart w:id="5" w:name="_Toc7803296"/>
      <w:bookmarkStart w:id="6" w:name="_Toc58425588"/>
      <w:r w:rsidRPr="00CD3501">
        <w:rPr>
          <w:color w:val="auto"/>
          <w:sz w:val="20"/>
          <w:szCs w:val="20"/>
          <w:lang w:val="es-ES_tradnl"/>
        </w:rPr>
        <w:t>Posición del Estado</w:t>
      </w:r>
      <w:bookmarkEnd w:id="5"/>
      <w:bookmarkEnd w:id="6"/>
    </w:p>
    <w:p w14:paraId="692AD784" w14:textId="77777777" w:rsidR="001C4006" w:rsidRPr="00CD3501" w:rsidRDefault="001C4006" w:rsidP="00A167CF">
      <w:pPr>
        <w:suppressAutoHyphens/>
        <w:rPr>
          <w:rFonts w:asciiTheme="majorHAnsi" w:hAnsiTheme="majorHAnsi"/>
          <w:sz w:val="20"/>
          <w:szCs w:val="20"/>
          <w:lang w:val="es-ES_tradnl"/>
        </w:rPr>
      </w:pPr>
    </w:p>
    <w:p w14:paraId="3E8D63CE" w14:textId="09544B4C" w:rsidR="006759A5" w:rsidRPr="00CD3501" w:rsidRDefault="009A3641"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El Estado</w:t>
      </w:r>
      <w:r w:rsidR="006759A5" w:rsidRPr="00CD3501">
        <w:rPr>
          <w:rFonts w:ascii="Cambria" w:hAnsi="Cambria"/>
          <w:lang w:val="es-ES_tradnl"/>
        </w:rPr>
        <w:t xml:space="preserve"> </w:t>
      </w:r>
      <w:r w:rsidR="00895544" w:rsidRPr="00CD3501">
        <w:rPr>
          <w:rFonts w:ascii="Cambria" w:hAnsi="Cambria"/>
          <w:lang w:val="es-ES_tradnl"/>
        </w:rPr>
        <w:t xml:space="preserve">no presentó observaciones sobre el fondo. Por lo tanto, este apartado se basa en los argumentos </w:t>
      </w:r>
      <w:r w:rsidR="002D3E56" w:rsidRPr="00CD3501">
        <w:rPr>
          <w:rFonts w:ascii="Cambria" w:hAnsi="Cambria"/>
          <w:lang w:val="es-ES_tradnl"/>
        </w:rPr>
        <w:t xml:space="preserve">formulados por el Estado </w:t>
      </w:r>
      <w:r w:rsidR="00895544" w:rsidRPr="00CD3501">
        <w:rPr>
          <w:rFonts w:ascii="Cambria" w:hAnsi="Cambria"/>
          <w:lang w:val="es-ES_tradnl"/>
        </w:rPr>
        <w:t>durante la etapa de</w:t>
      </w:r>
      <w:r w:rsidR="006759A5" w:rsidRPr="00CD3501">
        <w:rPr>
          <w:rFonts w:ascii="Cambria" w:hAnsi="Cambria"/>
          <w:lang w:val="es-ES_tradnl"/>
        </w:rPr>
        <w:t xml:space="preserve"> </w:t>
      </w:r>
      <w:r w:rsidR="00895544" w:rsidRPr="00CD3501">
        <w:rPr>
          <w:rFonts w:ascii="Cambria" w:hAnsi="Cambria"/>
          <w:lang w:val="es-ES_tradnl"/>
        </w:rPr>
        <w:t>admisibilidad</w:t>
      </w:r>
      <w:r w:rsidR="006759A5" w:rsidRPr="00CD3501">
        <w:rPr>
          <w:rFonts w:ascii="Cambria" w:hAnsi="Cambria"/>
          <w:lang w:val="es-ES_tradnl"/>
        </w:rPr>
        <w:t xml:space="preserve"> </w:t>
      </w:r>
      <w:r w:rsidR="00895544" w:rsidRPr="00CD3501">
        <w:rPr>
          <w:rFonts w:ascii="Cambria" w:hAnsi="Cambria"/>
          <w:lang w:val="es-ES_tradnl"/>
        </w:rPr>
        <w:t>que puedan referirse al fondo</w:t>
      </w:r>
      <w:r w:rsidR="006759A5" w:rsidRPr="00CD3501">
        <w:rPr>
          <w:rFonts w:ascii="Cambria" w:hAnsi="Cambria"/>
          <w:lang w:val="es-ES_tradnl"/>
        </w:rPr>
        <w:t xml:space="preserve">. </w:t>
      </w:r>
    </w:p>
    <w:p w14:paraId="75B27A1B" w14:textId="77777777" w:rsidR="00DB6BE6" w:rsidRPr="00CD3501" w:rsidRDefault="00DB6BE6" w:rsidP="00A167CF">
      <w:pPr>
        <w:pStyle w:val="parrafos"/>
        <w:tabs>
          <w:tab w:val="clear" w:pos="360"/>
        </w:tabs>
        <w:rPr>
          <w:rFonts w:ascii="Cambria" w:hAnsi="Cambria"/>
          <w:lang w:val="es-ES_tradnl"/>
        </w:rPr>
      </w:pPr>
    </w:p>
    <w:p w14:paraId="1295F6F7" w14:textId="0F993A90" w:rsidR="003C4D18" w:rsidRPr="00CD3501" w:rsidRDefault="009A3641"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El Estado</w:t>
      </w:r>
      <w:r w:rsidR="003C4D18" w:rsidRPr="00CD3501">
        <w:rPr>
          <w:rFonts w:ascii="Cambria" w:hAnsi="Cambria"/>
          <w:lang w:val="es-ES_tradnl"/>
        </w:rPr>
        <w:t xml:space="preserve"> a</w:t>
      </w:r>
      <w:r w:rsidR="00895544" w:rsidRPr="00CD3501">
        <w:rPr>
          <w:rFonts w:ascii="Cambria" w:hAnsi="Cambria"/>
          <w:lang w:val="es-ES_tradnl"/>
        </w:rPr>
        <w:t>firma que los derechos que</w:t>
      </w:r>
      <w:r w:rsidR="003C4D18" w:rsidRPr="00CD3501">
        <w:rPr>
          <w:rFonts w:ascii="Cambria" w:hAnsi="Cambria"/>
          <w:lang w:val="es-ES_tradnl"/>
        </w:rPr>
        <w:t xml:space="preserve"> </w:t>
      </w:r>
      <w:r w:rsidR="00E46F53" w:rsidRPr="00CD3501">
        <w:rPr>
          <w:rFonts w:ascii="Cambria" w:hAnsi="Cambria"/>
          <w:lang w:val="es-ES_tradnl"/>
        </w:rPr>
        <w:t>la parte peticionaria</w:t>
      </w:r>
      <w:r w:rsidR="003C4D18" w:rsidRPr="00CD3501">
        <w:rPr>
          <w:rFonts w:ascii="Cambria" w:hAnsi="Cambria"/>
          <w:lang w:val="es-ES_tradnl"/>
        </w:rPr>
        <w:t xml:space="preserve"> al</w:t>
      </w:r>
      <w:r w:rsidR="00895544" w:rsidRPr="00CD3501">
        <w:rPr>
          <w:rFonts w:ascii="Cambria" w:hAnsi="Cambria"/>
          <w:lang w:val="es-ES_tradnl"/>
        </w:rPr>
        <w:t xml:space="preserve">ega que han sido violados a raíz de los actos denunciados en relación con los artículos </w:t>
      </w:r>
      <w:r w:rsidR="003C4D18" w:rsidRPr="00CD3501">
        <w:rPr>
          <w:rFonts w:ascii="Cambria" w:hAnsi="Cambria"/>
          <w:lang w:val="es-ES_tradnl"/>
        </w:rPr>
        <w:t xml:space="preserve">76, 77 </w:t>
      </w:r>
      <w:r w:rsidR="00895544" w:rsidRPr="00CD3501">
        <w:rPr>
          <w:rFonts w:ascii="Cambria" w:hAnsi="Cambria"/>
          <w:lang w:val="es-ES_tradnl"/>
        </w:rPr>
        <w:t>y</w:t>
      </w:r>
      <w:r w:rsidR="003C4D18" w:rsidRPr="00CD3501">
        <w:rPr>
          <w:rFonts w:ascii="Cambria" w:hAnsi="Cambria"/>
          <w:lang w:val="es-ES_tradnl"/>
        </w:rPr>
        <w:t xml:space="preserve"> 79 </w:t>
      </w:r>
      <w:r w:rsidR="00895544" w:rsidRPr="00CD3501">
        <w:rPr>
          <w:rFonts w:ascii="Cambria" w:hAnsi="Cambria"/>
          <w:lang w:val="es-ES_tradnl"/>
        </w:rPr>
        <w:t xml:space="preserve">de la </w:t>
      </w:r>
      <w:r w:rsidR="000A3FB7" w:rsidRPr="00CD3501">
        <w:rPr>
          <w:rFonts w:ascii="Cambria" w:hAnsi="Cambria"/>
          <w:lang w:val="es-ES_tradnl"/>
        </w:rPr>
        <w:t>Ley de Delitos contra la Persona</w:t>
      </w:r>
      <w:r w:rsidR="003C4D18" w:rsidRPr="00CD3501">
        <w:rPr>
          <w:rFonts w:ascii="Cambria" w:hAnsi="Cambria"/>
          <w:lang w:val="es-ES_tradnl"/>
        </w:rPr>
        <w:t xml:space="preserve"> </w:t>
      </w:r>
      <w:r w:rsidR="00895544" w:rsidRPr="00CD3501">
        <w:rPr>
          <w:rFonts w:ascii="Cambria" w:hAnsi="Cambria"/>
          <w:lang w:val="es-ES_tradnl"/>
        </w:rPr>
        <w:t xml:space="preserve">son derechos protegidos </w:t>
      </w:r>
      <w:r w:rsidR="002D3E56" w:rsidRPr="00CD3501">
        <w:rPr>
          <w:rFonts w:ascii="Cambria" w:hAnsi="Cambria"/>
          <w:lang w:val="es-ES_tradnl"/>
        </w:rPr>
        <w:t>por</w:t>
      </w:r>
      <w:r w:rsidR="00895544" w:rsidRPr="00CD3501">
        <w:rPr>
          <w:rFonts w:ascii="Cambria" w:hAnsi="Cambria"/>
          <w:lang w:val="es-ES_tradnl"/>
        </w:rPr>
        <w:t xml:space="preserve"> </w:t>
      </w:r>
      <w:r w:rsidR="00E33D82" w:rsidRPr="00CD3501">
        <w:rPr>
          <w:rFonts w:ascii="Cambria" w:hAnsi="Cambria"/>
          <w:lang w:val="es-ES_tradnl"/>
        </w:rPr>
        <w:t>la Constitución de</w:t>
      </w:r>
      <w:r w:rsidR="003C4D18" w:rsidRPr="00CD3501">
        <w:rPr>
          <w:rFonts w:ascii="Cambria" w:hAnsi="Cambria"/>
          <w:lang w:val="es-ES_tradnl"/>
        </w:rPr>
        <w:t xml:space="preserve"> Jamaica. </w:t>
      </w:r>
    </w:p>
    <w:p w14:paraId="38FD3DA5" w14:textId="77777777" w:rsidR="003C4D18" w:rsidRPr="00CD3501" w:rsidRDefault="003C4D18" w:rsidP="00A167CF">
      <w:pPr>
        <w:pStyle w:val="ListParagraph"/>
        <w:rPr>
          <w:lang w:val="es-ES_tradnl"/>
        </w:rPr>
      </w:pPr>
    </w:p>
    <w:p w14:paraId="2F8E0069" w14:textId="1F29934D" w:rsidR="00DB6BE6" w:rsidRPr="00CD3501" w:rsidRDefault="00895544"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 xml:space="preserve">El Estado alega que, entre los actos denunciados en la petición, se encuentran el alejamiento de su familia, el temor por su propia vida y casos de denegación del derecho de circulación. En virtud del artículo </w:t>
      </w:r>
      <w:r w:rsidR="003C4D18" w:rsidRPr="00CD3501">
        <w:rPr>
          <w:rFonts w:ascii="Cambria" w:hAnsi="Cambria"/>
          <w:lang w:val="es-ES_tradnl"/>
        </w:rPr>
        <w:t xml:space="preserve">19 </w:t>
      </w:r>
      <w:r w:rsidRPr="00CD3501">
        <w:rPr>
          <w:rFonts w:ascii="Cambria" w:hAnsi="Cambria"/>
          <w:lang w:val="es-ES_tradnl"/>
        </w:rPr>
        <w:t>de la Carta de Derechos y Libertades</w:t>
      </w:r>
      <w:r w:rsidR="003C4D18" w:rsidRPr="00CD3501">
        <w:rPr>
          <w:rFonts w:ascii="Cambria" w:hAnsi="Cambria"/>
          <w:lang w:val="es-ES_tradnl"/>
        </w:rPr>
        <w:t xml:space="preserve"> Fundamental</w:t>
      </w:r>
      <w:r w:rsidRPr="00CD3501">
        <w:rPr>
          <w:rFonts w:ascii="Cambria" w:hAnsi="Cambria"/>
          <w:lang w:val="es-ES_tradnl"/>
        </w:rPr>
        <w:t xml:space="preserve">es de </w:t>
      </w:r>
      <w:r w:rsidR="003C4D18" w:rsidRPr="00CD3501">
        <w:rPr>
          <w:rFonts w:ascii="Cambria" w:hAnsi="Cambria"/>
          <w:lang w:val="es-ES_tradnl"/>
        </w:rPr>
        <w:t xml:space="preserve">Jamaica, </w:t>
      </w:r>
      <w:r w:rsidR="00C45576" w:rsidRPr="00CD3501">
        <w:rPr>
          <w:rFonts w:ascii="Cambria" w:hAnsi="Cambria"/>
          <w:lang w:val="es-ES_tradnl"/>
        </w:rPr>
        <w:t>la parte peticionaria</w:t>
      </w:r>
      <w:r w:rsidR="00EA406F" w:rsidRPr="00CD3501">
        <w:rPr>
          <w:rFonts w:ascii="Cambria" w:hAnsi="Cambria"/>
          <w:lang w:val="es-ES_tradnl"/>
        </w:rPr>
        <w:t xml:space="preserve"> </w:t>
      </w:r>
      <w:r w:rsidRPr="00CD3501">
        <w:rPr>
          <w:rFonts w:ascii="Cambria" w:hAnsi="Cambria"/>
          <w:lang w:val="es-ES_tradnl"/>
        </w:rPr>
        <w:t>tiene derecho a pedir reparación</w:t>
      </w:r>
      <w:r w:rsidR="00EA406F" w:rsidRPr="00CD3501">
        <w:rPr>
          <w:rFonts w:ascii="Cambria" w:hAnsi="Cambria"/>
          <w:lang w:val="es-ES_tradnl"/>
        </w:rPr>
        <w:t xml:space="preserve"> </w:t>
      </w:r>
      <w:r w:rsidRPr="00CD3501">
        <w:rPr>
          <w:rFonts w:ascii="Cambria" w:hAnsi="Cambria"/>
          <w:lang w:val="es-ES_tradnl"/>
        </w:rPr>
        <w:t>constitucional</w:t>
      </w:r>
      <w:r w:rsidR="00EA406F" w:rsidRPr="00CD3501">
        <w:rPr>
          <w:rFonts w:ascii="Cambria" w:hAnsi="Cambria"/>
          <w:lang w:val="es-ES_tradnl"/>
        </w:rPr>
        <w:t xml:space="preserve"> </w:t>
      </w:r>
      <w:r w:rsidRPr="00CD3501">
        <w:rPr>
          <w:rFonts w:ascii="Cambria" w:hAnsi="Cambria"/>
          <w:lang w:val="es-ES_tradnl"/>
        </w:rPr>
        <w:t xml:space="preserve">con respecto a todo incidente concreto de violación señalado en su petición que haya </w:t>
      </w:r>
      <w:r w:rsidRPr="00CD3501">
        <w:rPr>
          <w:rFonts w:ascii="Cambria" w:hAnsi="Cambria"/>
          <w:lang w:val="es-ES_tradnl"/>
        </w:rPr>
        <w:lastRenderedPageBreak/>
        <w:t>dado lugar a la denegación del</w:t>
      </w:r>
      <w:r w:rsidR="00EA406F" w:rsidRPr="00CD3501">
        <w:rPr>
          <w:rFonts w:ascii="Cambria" w:hAnsi="Cambria"/>
          <w:lang w:val="es-ES_tradnl"/>
        </w:rPr>
        <w:t xml:space="preserve"> </w:t>
      </w:r>
      <w:r w:rsidR="00E33D82" w:rsidRPr="00CD3501">
        <w:rPr>
          <w:rFonts w:ascii="Cambria" w:hAnsi="Cambria"/>
          <w:lang w:val="es-ES_tradnl"/>
        </w:rPr>
        <w:t>derecho a la vida</w:t>
      </w:r>
      <w:r w:rsidR="00EA406F" w:rsidRPr="00CD3501">
        <w:rPr>
          <w:rFonts w:ascii="Cambria" w:hAnsi="Cambria"/>
          <w:lang w:val="es-ES_tradnl"/>
        </w:rPr>
        <w:t xml:space="preserve">, </w:t>
      </w:r>
      <w:r w:rsidR="005474ED" w:rsidRPr="00CD3501">
        <w:rPr>
          <w:rFonts w:ascii="Cambria" w:hAnsi="Cambria"/>
          <w:lang w:val="es-ES_tradnl"/>
        </w:rPr>
        <w:t>la integridad personal</w:t>
      </w:r>
      <w:r w:rsidRPr="00CD3501">
        <w:rPr>
          <w:rFonts w:ascii="Cambria" w:hAnsi="Cambria"/>
          <w:lang w:val="es-ES_tradnl"/>
        </w:rPr>
        <w:t xml:space="preserve">, el respecto de la </w:t>
      </w:r>
      <w:r w:rsidR="00531386" w:rsidRPr="00CD3501">
        <w:rPr>
          <w:rFonts w:ascii="Cambria" w:hAnsi="Cambria"/>
          <w:lang w:val="es-ES_tradnl"/>
        </w:rPr>
        <w:t xml:space="preserve">vida privada </w:t>
      </w:r>
      <w:r w:rsidRPr="00CD3501">
        <w:rPr>
          <w:rFonts w:ascii="Cambria" w:hAnsi="Cambria"/>
          <w:lang w:val="es-ES_tradnl"/>
        </w:rPr>
        <w:t xml:space="preserve">y de la vida familiar, la libertad de pensamiento, expresión y asociación, y </w:t>
      </w:r>
      <w:r w:rsidR="00925C88" w:rsidRPr="00CD3501">
        <w:rPr>
          <w:rFonts w:ascii="Cambria" w:hAnsi="Cambria"/>
          <w:lang w:val="es-ES_tradnl"/>
        </w:rPr>
        <w:t xml:space="preserve">el derecho </w:t>
      </w:r>
      <w:r w:rsidRPr="00CD3501">
        <w:rPr>
          <w:rFonts w:ascii="Cambria" w:hAnsi="Cambria"/>
          <w:lang w:val="es-ES_tradnl"/>
        </w:rPr>
        <w:t>de circulación</w:t>
      </w:r>
      <w:r w:rsidR="004F3DBE" w:rsidRPr="00CD3501">
        <w:rPr>
          <w:rFonts w:ascii="Cambria" w:hAnsi="Cambria"/>
          <w:lang w:val="es-ES_tradnl"/>
        </w:rPr>
        <w:t xml:space="preserve">. </w:t>
      </w:r>
      <w:r w:rsidR="00CA132C" w:rsidRPr="00CD3501">
        <w:rPr>
          <w:rFonts w:ascii="Cambria" w:hAnsi="Cambria"/>
          <w:lang w:val="es-ES_tradnl"/>
        </w:rPr>
        <w:t xml:space="preserve">Agrega que hay varios casos de personas que, al sentirse amenazadas debido a su </w:t>
      </w:r>
      <w:r w:rsidR="000A3FB7" w:rsidRPr="00CD3501">
        <w:rPr>
          <w:rFonts w:ascii="Cambria" w:hAnsi="Cambria"/>
          <w:lang w:val="es-ES_tradnl"/>
        </w:rPr>
        <w:t>orientación sexual</w:t>
      </w:r>
      <w:r w:rsidR="00CA132C" w:rsidRPr="00CD3501">
        <w:rPr>
          <w:rFonts w:ascii="Cambria" w:hAnsi="Cambria"/>
          <w:lang w:val="es-ES_tradnl"/>
        </w:rPr>
        <w:t>, pidieron la protección de las autoridades y la recibieron</w:t>
      </w:r>
      <w:r w:rsidR="00D93047" w:rsidRPr="00CD3501">
        <w:rPr>
          <w:rFonts w:ascii="Cambria" w:hAnsi="Cambria"/>
          <w:lang w:val="es-ES_tradnl"/>
        </w:rPr>
        <w:t xml:space="preserve">. </w:t>
      </w:r>
      <w:r w:rsidR="009A3641" w:rsidRPr="00CD3501">
        <w:rPr>
          <w:rFonts w:ascii="Cambria" w:hAnsi="Cambria"/>
          <w:lang w:val="es-ES_tradnl"/>
        </w:rPr>
        <w:t>El Estado</w:t>
      </w:r>
      <w:r w:rsidR="00D93047" w:rsidRPr="00CD3501">
        <w:rPr>
          <w:rFonts w:ascii="Cambria" w:hAnsi="Cambria"/>
          <w:lang w:val="es-ES_tradnl"/>
        </w:rPr>
        <w:t>, inclu</w:t>
      </w:r>
      <w:r w:rsidR="00CA132C" w:rsidRPr="00CD3501">
        <w:rPr>
          <w:rFonts w:ascii="Cambria" w:hAnsi="Cambria"/>
          <w:lang w:val="es-ES_tradnl"/>
        </w:rPr>
        <w:t xml:space="preserve">idas las fuerzas del orden, han tratado de proteger los derechos de las personas </w:t>
      </w:r>
      <w:r w:rsidR="00D93047" w:rsidRPr="00CD3501">
        <w:rPr>
          <w:rFonts w:ascii="Cambria" w:hAnsi="Cambria"/>
          <w:lang w:val="es-ES_tradnl"/>
        </w:rPr>
        <w:t>homosexual</w:t>
      </w:r>
      <w:r w:rsidR="00CA132C" w:rsidRPr="00CD3501">
        <w:rPr>
          <w:rFonts w:ascii="Cambria" w:hAnsi="Cambria"/>
          <w:lang w:val="es-ES_tradnl"/>
        </w:rPr>
        <w:t xml:space="preserve">es para que no sufran abusos. Por consiguiente, </w:t>
      </w:r>
      <w:r w:rsidR="00531386" w:rsidRPr="00CD3501">
        <w:rPr>
          <w:rFonts w:ascii="Cambria" w:hAnsi="Cambria"/>
          <w:lang w:val="es-ES_tradnl"/>
        </w:rPr>
        <w:t>la afirmac</w:t>
      </w:r>
      <w:r w:rsidR="00C45576" w:rsidRPr="00CD3501">
        <w:rPr>
          <w:rFonts w:ascii="Cambria" w:hAnsi="Cambria"/>
          <w:lang w:val="es-ES_tradnl"/>
        </w:rPr>
        <w:t>ión de la parte peticionaria</w:t>
      </w:r>
      <w:r w:rsidR="00D93047" w:rsidRPr="00CD3501">
        <w:rPr>
          <w:rFonts w:ascii="Cambria" w:hAnsi="Cambria"/>
          <w:lang w:val="es-ES_tradnl"/>
        </w:rPr>
        <w:t xml:space="preserve"> </w:t>
      </w:r>
      <w:r w:rsidR="00531386" w:rsidRPr="00CD3501">
        <w:rPr>
          <w:rFonts w:ascii="Cambria" w:hAnsi="Cambria"/>
          <w:lang w:val="es-ES_tradnl"/>
        </w:rPr>
        <w:t xml:space="preserve">de </w:t>
      </w:r>
      <w:r w:rsidR="00CA132C" w:rsidRPr="00CD3501">
        <w:rPr>
          <w:rFonts w:ascii="Cambria" w:hAnsi="Cambria"/>
          <w:lang w:val="es-ES_tradnl"/>
        </w:rPr>
        <w:t>que no podría recibir protección de las autoridades</w:t>
      </w:r>
      <w:r w:rsidR="00531386" w:rsidRPr="00CD3501">
        <w:rPr>
          <w:rFonts w:ascii="Cambria" w:hAnsi="Cambria"/>
          <w:lang w:val="es-ES_tradnl"/>
        </w:rPr>
        <w:t xml:space="preserve"> es incorrecta</w:t>
      </w:r>
      <w:r w:rsidR="00D93047" w:rsidRPr="00CD3501">
        <w:rPr>
          <w:rFonts w:ascii="Cambria" w:hAnsi="Cambria"/>
          <w:lang w:val="es-ES_tradnl"/>
        </w:rPr>
        <w:t xml:space="preserve">. </w:t>
      </w:r>
    </w:p>
    <w:p w14:paraId="5F3FAAA4" w14:textId="77777777" w:rsidR="00A04432" w:rsidRPr="00CD3501" w:rsidRDefault="00A04432" w:rsidP="00A167CF">
      <w:pPr>
        <w:pStyle w:val="ListParagraph"/>
        <w:rPr>
          <w:lang w:val="es-ES_tradnl"/>
        </w:rPr>
      </w:pPr>
    </w:p>
    <w:p w14:paraId="044B7E79" w14:textId="0F574AB9" w:rsidR="00A04432" w:rsidRPr="00CD3501" w:rsidRDefault="00CA132C"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 xml:space="preserve">Asimismo, el Estado explica que, a pesar de los reclamos de que las autoridades no actúan en los asuntos relacionados con la </w:t>
      </w:r>
      <w:r w:rsidR="0067120E" w:rsidRPr="00CD3501">
        <w:rPr>
          <w:rFonts w:ascii="Cambria" w:hAnsi="Cambria"/>
          <w:lang w:val="es-ES_tradnl"/>
        </w:rPr>
        <w:t>comunidad LGBTI</w:t>
      </w:r>
      <w:r w:rsidRPr="00CD3501">
        <w:rPr>
          <w:rFonts w:ascii="Cambria" w:hAnsi="Cambria"/>
          <w:lang w:val="es-ES_tradnl"/>
        </w:rPr>
        <w:t xml:space="preserve">, la petición presentada a </w:t>
      </w:r>
      <w:r w:rsidR="00497B9A" w:rsidRPr="00CD3501">
        <w:rPr>
          <w:rFonts w:ascii="Cambria" w:hAnsi="Cambria"/>
          <w:lang w:val="es-ES_tradnl"/>
        </w:rPr>
        <w:t>la CIDH</w:t>
      </w:r>
      <w:r w:rsidR="00A04432" w:rsidRPr="00CD3501">
        <w:rPr>
          <w:rFonts w:ascii="Cambria" w:hAnsi="Cambria"/>
          <w:lang w:val="es-ES_tradnl"/>
        </w:rPr>
        <w:t xml:space="preserve"> cont</w:t>
      </w:r>
      <w:r w:rsidRPr="00CD3501">
        <w:rPr>
          <w:rFonts w:ascii="Cambria" w:hAnsi="Cambria"/>
          <w:lang w:val="es-ES_tradnl"/>
        </w:rPr>
        <w:t xml:space="preserve">iene numerosos ejemplos de casos en que la policía respondió a denuncias de delitos que afectaban a miembros de la comunidad. Cuando un presunto delito no se denuncia, o cuando no se lo denuncia a las autoridades pertinentes, </w:t>
      </w:r>
      <w:r w:rsidR="009A3641" w:rsidRPr="00CD3501">
        <w:rPr>
          <w:rFonts w:ascii="Cambria" w:hAnsi="Cambria"/>
          <w:lang w:val="es-ES_tradnl"/>
        </w:rPr>
        <w:t>el Estado</w:t>
      </w:r>
      <w:r w:rsidR="00A04432" w:rsidRPr="00CD3501">
        <w:rPr>
          <w:rFonts w:ascii="Cambria" w:hAnsi="Cambria"/>
          <w:lang w:val="es-ES_tradnl"/>
        </w:rPr>
        <w:t xml:space="preserve"> </w:t>
      </w:r>
      <w:r w:rsidRPr="00CD3501">
        <w:rPr>
          <w:rFonts w:ascii="Cambria" w:hAnsi="Cambria"/>
          <w:lang w:val="es-ES_tradnl"/>
        </w:rPr>
        <w:t>no puede intervenir. No hay ninguna indicación de que se hayan denunciado a las autoridades varios de los in</w:t>
      </w:r>
      <w:r w:rsidR="00A04432" w:rsidRPr="00CD3501">
        <w:rPr>
          <w:rFonts w:ascii="Cambria" w:hAnsi="Cambria"/>
          <w:lang w:val="es-ES_tradnl"/>
        </w:rPr>
        <w:t>cident</w:t>
      </w:r>
      <w:r w:rsidRPr="00CD3501">
        <w:rPr>
          <w:rFonts w:ascii="Cambria" w:hAnsi="Cambria"/>
          <w:lang w:val="es-ES_tradnl"/>
        </w:rPr>
        <w:t>e</w:t>
      </w:r>
      <w:r w:rsidR="00A04432" w:rsidRPr="00CD3501">
        <w:rPr>
          <w:rFonts w:ascii="Cambria" w:hAnsi="Cambria"/>
          <w:lang w:val="es-ES_tradnl"/>
        </w:rPr>
        <w:t xml:space="preserve">s </w:t>
      </w:r>
      <w:r w:rsidR="00C45576" w:rsidRPr="00CD3501">
        <w:rPr>
          <w:rFonts w:ascii="Cambria" w:hAnsi="Cambria"/>
          <w:lang w:val="es-ES_tradnl"/>
        </w:rPr>
        <w:t xml:space="preserve">de los cuales se queja </w:t>
      </w:r>
      <w:r w:rsidRPr="00CD3501">
        <w:rPr>
          <w:rFonts w:ascii="Cambria" w:hAnsi="Cambria"/>
          <w:lang w:val="es-ES_tradnl"/>
        </w:rPr>
        <w:t>l</w:t>
      </w:r>
      <w:r w:rsidR="00C45576" w:rsidRPr="00CD3501">
        <w:rPr>
          <w:rFonts w:ascii="Cambria" w:hAnsi="Cambria"/>
          <w:lang w:val="es-ES_tradnl"/>
        </w:rPr>
        <w:t>a</w:t>
      </w:r>
      <w:r w:rsidRPr="00CD3501">
        <w:rPr>
          <w:rFonts w:ascii="Cambria" w:hAnsi="Cambria"/>
          <w:lang w:val="es-ES_tradnl"/>
        </w:rPr>
        <w:t xml:space="preserve"> </w:t>
      </w:r>
      <w:r w:rsidR="00C45576" w:rsidRPr="00CD3501">
        <w:rPr>
          <w:rFonts w:ascii="Cambria" w:hAnsi="Cambria"/>
          <w:lang w:val="es-ES_tradnl"/>
        </w:rPr>
        <w:t>parte peticionaria</w:t>
      </w:r>
      <w:r w:rsidR="00A04432" w:rsidRPr="00CD3501">
        <w:rPr>
          <w:rFonts w:ascii="Cambria" w:hAnsi="Cambria"/>
          <w:lang w:val="es-ES_tradnl"/>
        </w:rPr>
        <w:t xml:space="preserve">. </w:t>
      </w:r>
    </w:p>
    <w:p w14:paraId="44D323FA" w14:textId="77777777" w:rsidR="00A04432" w:rsidRPr="00CD3501" w:rsidRDefault="00A04432" w:rsidP="00A167CF">
      <w:pPr>
        <w:pStyle w:val="ListParagraph"/>
        <w:rPr>
          <w:lang w:val="es-ES_tradnl"/>
        </w:rPr>
      </w:pPr>
    </w:p>
    <w:p w14:paraId="7C11756F" w14:textId="1ABB1C5A" w:rsidR="00A04432" w:rsidRPr="00CD3501" w:rsidRDefault="00CA132C"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 xml:space="preserve">Específicamente, con respecto a la investigación del ataque </w:t>
      </w:r>
      <w:r w:rsidR="00531386" w:rsidRPr="00CD3501">
        <w:rPr>
          <w:rFonts w:ascii="Cambria" w:hAnsi="Cambria"/>
          <w:lang w:val="es-ES_tradnl"/>
        </w:rPr>
        <w:t>contra</w:t>
      </w:r>
      <w:r w:rsidR="00A04432" w:rsidRPr="00CD3501">
        <w:rPr>
          <w:rFonts w:ascii="Cambria" w:hAnsi="Cambria"/>
          <w:lang w:val="es-ES_tradnl"/>
        </w:rPr>
        <w:t xml:space="preserve"> </w:t>
      </w:r>
      <w:r w:rsidR="00D92ABF" w:rsidRPr="00CD3501">
        <w:rPr>
          <w:rFonts w:ascii="Cambria" w:hAnsi="Cambria"/>
          <w:lang w:val="es-ES_tradnl"/>
        </w:rPr>
        <w:t>la señora</w:t>
      </w:r>
      <w:r w:rsidR="00A04432" w:rsidRPr="00CD3501">
        <w:rPr>
          <w:rFonts w:ascii="Cambria" w:hAnsi="Cambria"/>
          <w:lang w:val="es-ES_tradnl"/>
        </w:rPr>
        <w:t xml:space="preserve"> Edwards</w:t>
      </w:r>
      <w:r w:rsidRPr="00CD3501">
        <w:rPr>
          <w:rFonts w:ascii="Cambria" w:hAnsi="Cambria"/>
          <w:lang w:val="es-ES_tradnl"/>
        </w:rPr>
        <w:t xml:space="preserve">, el Estado señala que ella no participó en la investigación policial ni en </w:t>
      </w:r>
      <w:r w:rsidR="00531386" w:rsidRPr="00CD3501">
        <w:rPr>
          <w:rFonts w:ascii="Cambria" w:hAnsi="Cambria"/>
          <w:lang w:val="es-ES_tradnl"/>
        </w:rPr>
        <w:t xml:space="preserve">la causa </w:t>
      </w:r>
      <w:r w:rsidRPr="00CD3501">
        <w:rPr>
          <w:rFonts w:ascii="Cambria" w:hAnsi="Cambria"/>
          <w:lang w:val="es-ES_tradnl"/>
        </w:rPr>
        <w:t xml:space="preserve">penal después de proporcionar la información inicial que llevó al arresto de primer presunto pistolero. </w:t>
      </w:r>
      <w:r w:rsidR="00C45576" w:rsidRPr="00CD3501">
        <w:rPr>
          <w:rFonts w:ascii="Cambria" w:hAnsi="Cambria"/>
          <w:lang w:val="es-ES_tradnl"/>
        </w:rPr>
        <w:t>La parte peticionaria</w:t>
      </w:r>
      <w:r w:rsidR="00A04432" w:rsidRPr="00CD3501">
        <w:rPr>
          <w:rFonts w:ascii="Cambria" w:hAnsi="Cambria"/>
          <w:lang w:val="es-ES_tradnl"/>
        </w:rPr>
        <w:t xml:space="preserve"> </w:t>
      </w:r>
      <w:r w:rsidRPr="00CD3501">
        <w:rPr>
          <w:rFonts w:ascii="Cambria" w:hAnsi="Cambria"/>
          <w:lang w:val="es-ES_tradnl"/>
        </w:rPr>
        <w:t xml:space="preserve">no ha proporcionado ninguna información para respaldar su afirmación de que el segundo pistolero no fue arrestado y el primero fue puesto en libertad porque </w:t>
      </w:r>
      <w:r w:rsidR="00357A85" w:rsidRPr="00CD3501">
        <w:rPr>
          <w:rFonts w:ascii="Cambria" w:hAnsi="Cambria"/>
          <w:lang w:val="es-ES_tradnl"/>
        </w:rPr>
        <w:t>las víctimas en el caso eran miembros de</w:t>
      </w:r>
      <w:r w:rsidR="00A04432" w:rsidRPr="00CD3501">
        <w:rPr>
          <w:rFonts w:ascii="Cambria" w:hAnsi="Cambria"/>
          <w:lang w:val="es-ES_tradnl"/>
        </w:rPr>
        <w:t xml:space="preserve"> </w:t>
      </w:r>
      <w:r w:rsidR="0067120E" w:rsidRPr="00CD3501">
        <w:rPr>
          <w:rFonts w:ascii="Cambria" w:hAnsi="Cambria"/>
          <w:lang w:val="es-ES_tradnl"/>
        </w:rPr>
        <w:t>la comunidad LGBTI</w:t>
      </w:r>
      <w:r w:rsidR="00A04432" w:rsidRPr="00CD3501">
        <w:rPr>
          <w:rFonts w:ascii="Cambria" w:hAnsi="Cambria"/>
          <w:lang w:val="es-ES_tradnl"/>
        </w:rPr>
        <w:t xml:space="preserve">. </w:t>
      </w:r>
    </w:p>
    <w:p w14:paraId="391A2857" w14:textId="77777777" w:rsidR="0074614D" w:rsidRPr="00CD3501" w:rsidRDefault="0074614D" w:rsidP="00A167CF">
      <w:pPr>
        <w:pStyle w:val="ListParagraph"/>
        <w:rPr>
          <w:lang w:val="es-ES_tradnl"/>
        </w:rPr>
      </w:pPr>
    </w:p>
    <w:p w14:paraId="60A29881" w14:textId="15DDBAE6" w:rsidR="00A04432" w:rsidRPr="00CD3501" w:rsidRDefault="009A3641"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El Estado</w:t>
      </w:r>
      <w:r w:rsidR="0074614D" w:rsidRPr="00CD3501">
        <w:rPr>
          <w:rFonts w:ascii="Cambria" w:hAnsi="Cambria"/>
          <w:lang w:val="es-ES_tradnl"/>
        </w:rPr>
        <w:t xml:space="preserve"> indica</w:t>
      </w:r>
      <w:r w:rsidR="00357A85" w:rsidRPr="00CD3501">
        <w:rPr>
          <w:rFonts w:ascii="Cambria" w:hAnsi="Cambria"/>
          <w:lang w:val="es-ES_tradnl"/>
        </w:rPr>
        <w:t xml:space="preserve"> que la Fuerza Policial de </w:t>
      </w:r>
      <w:r w:rsidR="0074614D" w:rsidRPr="00CD3501">
        <w:rPr>
          <w:rFonts w:ascii="Cambria" w:hAnsi="Cambria"/>
          <w:lang w:val="es-ES_tradnl"/>
        </w:rPr>
        <w:t xml:space="preserve">Jamaica </w:t>
      </w:r>
      <w:r w:rsidR="00164631" w:rsidRPr="00CD3501">
        <w:rPr>
          <w:rFonts w:ascii="Cambria" w:hAnsi="Cambria"/>
          <w:lang w:val="es-ES_tradnl"/>
        </w:rPr>
        <w:t>(JFC)</w:t>
      </w:r>
      <w:r w:rsidR="0074614D" w:rsidRPr="00CD3501">
        <w:rPr>
          <w:rFonts w:ascii="Cambria" w:hAnsi="Cambria"/>
          <w:lang w:val="es-ES_tradnl"/>
        </w:rPr>
        <w:t xml:space="preserve"> </w:t>
      </w:r>
      <w:r w:rsidR="00357A85" w:rsidRPr="00CD3501">
        <w:rPr>
          <w:rFonts w:ascii="Cambria" w:hAnsi="Cambria"/>
          <w:lang w:val="es-ES_tradnl"/>
        </w:rPr>
        <w:t xml:space="preserve">se rige por normas y directivas que guían a </w:t>
      </w:r>
      <w:r w:rsidR="00531386" w:rsidRPr="00CD3501">
        <w:rPr>
          <w:rFonts w:ascii="Cambria" w:hAnsi="Cambria"/>
          <w:lang w:val="es-ES_tradnl"/>
        </w:rPr>
        <w:t>sus</w:t>
      </w:r>
      <w:r w:rsidR="00357A85" w:rsidRPr="00CD3501">
        <w:rPr>
          <w:rFonts w:ascii="Cambria" w:hAnsi="Cambria"/>
          <w:lang w:val="es-ES_tradnl"/>
        </w:rPr>
        <w:t xml:space="preserve"> integrantes en su trato profesional con personas de grupos minoritarios, como personas </w:t>
      </w:r>
      <w:r w:rsidR="0074614D" w:rsidRPr="00CD3501">
        <w:rPr>
          <w:rFonts w:ascii="Cambria" w:hAnsi="Cambria"/>
          <w:lang w:val="es-ES_tradnl"/>
        </w:rPr>
        <w:t>lesbian</w:t>
      </w:r>
      <w:r w:rsidR="00357A85" w:rsidRPr="00CD3501">
        <w:rPr>
          <w:rFonts w:ascii="Cambria" w:hAnsi="Cambria"/>
          <w:lang w:val="es-ES_tradnl"/>
        </w:rPr>
        <w:t>a</w:t>
      </w:r>
      <w:r w:rsidR="0074614D" w:rsidRPr="00CD3501">
        <w:rPr>
          <w:rFonts w:ascii="Cambria" w:hAnsi="Cambria"/>
          <w:lang w:val="es-ES_tradnl"/>
        </w:rPr>
        <w:t xml:space="preserve">s, </w:t>
      </w:r>
      <w:r w:rsidR="00F46DA8" w:rsidRPr="00CD3501">
        <w:rPr>
          <w:rFonts w:ascii="Cambria" w:hAnsi="Cambria"/>
          <w:lang w:val="es-ES_tradnl"/>
        </w:rPr>
        <w:t>gais</w:t>
      </w:r>
      <w:r w:rsidR="0074614D" w:rsidRPr="00CD3501">
        <w:rPr>
          <w:rFonts w:ascii="Cambria" w:hAnsi="Cambria"/>
          <w:lang w:val="es-ES_tradnl"/>
        </w:rPr>
        <w:t xml:space="preserve"> </w:t>
      </w:r>
      <w:r w:rsidR="00357A85" w:rsidRPr="00CD3501">
        <w:rPr>
          <w:rFonts w:ascii="Cambria" w:hAnsi="Cambria"/>
          <w:lang w:val="es-ES_tradnl"/>
        </w:rPr>
        <w:t xml:space="preserve">y </w:t>
      </w:r>
      <w:r w:rsidR="0074614D" w:rsidRPr="00CD3501">
        <w:rPr>
          <w:rFonts w:ascii="Cambria" w:hAnsi="Cambria"/>
          <w:lang w:val="es-ES_tradnl"/>
        </w:rPr>
        <w:t>transg</w:t>
      </w:r>
      <w:r w:rsidR="00357A85" w:rsidRPr="00CD3501">
        <w:rPr>
          <w:rFonts w:ascii="Cambria" w:hAnsi="Cambria"/>
          <w:lang w:val="es-ES_tradnl"/>
        </w:rPr>
        <w:t xml:space="preserve">énero. La Fuerza debe defender en todo momento los derechos humanos de todas las personas y capacita a sus integrantes para defender los derechos humanos en su trato con el público. Este enfoque ha creado un contexto en el cual se supone que los integrantes de la </w:t>
      </w:r>
      <w:r w:rsidR="0074614D" w:rsidRPr="00CD3501">
        <w:rPr>
          <w:rFonts w:ascii="Cambria" w:hAnsi="Cambria"/>
          <w:lang w:val="es-ES_tradnl"/>
        </w:rPr>
        <w:t xml:space="preserve">JFC </w:t>
      </w:r>
      <w:r w:rsidR="00357A85" w:rsidRPr="00CD3501">
        <w:rPr>
          <w:rFonts w:ascii="Cambria" w:hAnsi="Cambria"/>
          <w:lang w:val="es-ES_tradnl"/>
        </w:rPr>
        <w:t xml:space="preserve">tomen medidas para prevenir actos de </w:t>
      </w:r>
      <w:r w:rsidR="00EC50E9" w:rsidRPr="00CD3501">
        <w:rPr>
          <w:rFonts w:ascii="Cambria" w:hAnsi="Cambria"/>
          <w:lang w:val="es-ES_tradnl"/>
        </w:rPr>
        <w:t>violencia</w:t>
      </w:r>
      <w:r w:rsidR="0074614D" w:rsidRPr="00CD3501">
        <w:rPr>
          <w:rFonts w:ascii="Cambria" w:hAnsi="Cambria"/>
          <w:lang w:val="es-ES_tradnl"/>
        </w:rPr>
        <w:t xml:space="preserve"> </w:t>
      </w:r>
      <w:r w:rsidR="00357A85" w:rsidRPr="00CD3501">
        <w:rPr>
          <w:rFonts w:ascii="Cambria" w:hAnsi="Cambria"/>
          <w:lang w:val="es-ES_tradnl"/>
        </w:rPr>
        <w:t>contra todas las personas</w:t>
      </w:r>
      <w:r w:rsidR="00E8617E" w:rsidRPr="00CD3501">
        <w:rPr>
          <w:rFonts w:ascii="Cambria" w:hAnsi="Cambria"/>
          <w:lang w:val="es-ES_tradnl"/>
        </w:rPr>
        <w:t>.</w:t>
      </w:r>
    </w:p>
    <w:p w14:paraId="26AD157D" w14:textId="77777777" w:rsidR="00E8617E" w:rsidRPr="00CD3501" w:rsidRDefault="00E8617E" w:rsidP="00A167CF">
      <w:pPr>
        <w:pStyle w:val="ListParagraph"/>
        <w:rPr>
          <w:lang w:val="es-ES_tradnl"/>
        </w:rPr>
      </w:pPr>
    </w:p>
    <w:p w14:paraId="1260CD35" w14:textId="7815A39D" w:rsidR="00E8617E" w:rsidRPr="00CD3501" w:rsidRDefault="009A3641"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El Estado</w:t>
      </w:r>
      <w:r w:rsidR="00E8617E" w:rsidRPr="00CD3501">
        <w:rPr>
          <w:rFonts w:ascii="Cambria" w:hAnsi="Cambria"/>
          <w:lang w:val="es-ES_tradnl"/>
        </w:rPr>
        <w:t xml:space="preserve"> </w:t>
      </w:r>
      <w:r w:rsidR="00357A85" w:rsidRPr="00CD3501">
        <w:rPr>
          <w:rFonts w:ascii="Cambria" w:hAnsi="Cambria"/>
          <w:lang w:val="es-ES_tradnl"/>
        </w:rPr>
        <w:t>observa que</w:t>
      </w:r>
      <w:r w:rsidR="00F26D14" w:rsidRPr="00CD3501">
        <w:rPr>
          <w:rFonts w:ascii="Cambria" w:hAnsi="Cambria"/>
          <w:lang w:val="es-ES_tradnl"/>
        </w:rPr>
        <w:t xml:space="preserve"> </w:t>
      </w:r>
      <w:r w:rsidR="00357A85" w:rsidRPr="00CD3501">
        <w:rPr>
          <w:rFonts w:ascii="Cambria" w:hAnsi="Cambria"/>
          <w:lang w:val="es-ES_tradnl"/>
        </w:rPr>
        <w:t>nada impide a</w:t>
      </w:r>
      <w:r w:rsidR="00C45576" w:rsidRPr="00CD3501">
        <w:rPr>
          <w:rFonts w:ascii="Cambria" w:hAnsi="Cambria"/>
          <w:lang w:val="es-ES_tradnl"/>
        </w:rPr>
        <w:t xml:space="preserve"> la parte peticionaria</w:t>
      </w:r>
      <w:r w:rsidR="00E8617E" w:rsidRPr="00CD3501">
        <w:rPr>
          <w:rFonts w:ascii="Cambria" w:hAnsi="Cambria"/>
          <w:lang w:val="es-ES_tradnl"/>
        </w:rPr>
        <w:t xml:space="preserve"> </w:t>
      </w:r>
      <w:r w:rsidR="00357A85" w:rsidRPr="00CD3501">
        <w:rPr>
          <w:rFonts w:ascii="Cambria" w:hAnsi="Cambria"/>
          <w:lang w:val="es-ES_tradnl"/>
        </w:rPr>
        <w:t>interponer una acción constitucional para pedir reparación por los derechos presuntamente violados o impugnar ciertos aspectos de los artículos pertinentes de la</w:t>
      </w:r>
      <w:r w:rsidR="00F26D14" w:rsidRPr="00CD3501">
        <w:rPr>
          <w:rFonts w:ascii="Cambria" w:hAnsi="Cambria"/>
          <w:lang w:val="es-ES_tradnl"/>
        </w:rPr>
        <w:t xml:space="preserve"> </w:t>
      </w:r>
      <w:r w:rsidR="000A3FB7" w:rsidRPr="00CD3501">
        <w:rPr>
          <w:rFonts w:ascii="Cambria" w:hAnsi="Cambria"/>
          <w:lang w:val="es-ES_tradnl"/>
        </w:rPr>
        <w:t>Ley de Delitos contra la Persona</w:t>
      </w:r>
      <w:r w:rsidR="004F3DBE" w:rsidRPr="00CD3501">
        <w:rPr>
          <w:rFonts w:ascii="Cambria" w:hAnsi="Cambria"/>
          <w:lang w:val="es-ES_tradnl"/>
        </w:rPr>
        <w:t xml:space="preserve">. </w:t>
      </w:r>
      <w:r w:rsidR="00357A85" w:rsidRPr="00CD3501">
        <w:rPr>
          <w:rFonts w:ascii="Cambria" w:hAnsi="Cambria"/>
          <w:lang w:val="es-ES_tradnl"/>
        </w:rPr>
        <w:t>A</w:t>
      </w:r>
      <w:r w:rsidR="005F06A1" w:rsidRPr="00CD3501">
        <w:rPr>
          <w:rFonts w:ascii="Cambria" w:hAnsi="Cambria"/>
          <w:lang w:val="es-ES_tradnl"/>
        </w:rPr>
        <w:t>duce</w:t>
      </w:r>
      <w:r w:rsidR="00357A85" w:rsidRPr="00CD3501">
        <w:rPr>
          <w:rFonts w:ascii="Cambria" w:hAnsi="Cambria"/>
          <w:lang w:val="es-ES_tradnl"/>
        </w:rPr>
        <w:t xml:space="preserve"> </w:t>
      </w:r>
      <w:r w:rsidR="005F06A1" w:rsidRPr="00CD3501">
        <w:rPr>
          <w:rFonts w:ascii="Cambria" w:hAnsi="Cambria"/>
          <w:lang w:val="es-ES_tradnl"/>
        </w:rPr>
        <w:t>que</w:t>
      </w:r>
      <w:r w:rsidR="00303B8C" w:rsidRPr="00CD3501">
        <w:rPr>
          <w:rFonts w:ascii="Cambria" w:hAnsi="Cambria"/>
          <w:lang w:val="es-ES_tradnl"/>
        </w:rPr>
        <w:t xml:space="preserve"> </w:t>
      </w:r>
      <w:r w:rsidR="00357A85" w:rsidRPr="00CD3501">
        <w:rPr>
          <w:rFonts w:ascii="Cambria" w:hAnsi="Cambria"/>
          <w:lang w:val="es-ES_tradnl"/>
        </w:rPr>
        <w:t xml:space="preserve">una </w:t>
      </w:r>
      <w:r w:rsidR="00531386" w:rsidRPr="00CD3501">
        <w:rPr>
          <w:rFonts w:ascii="Cambria" w:hAnsi="Cambria"/>
          <w:lang w:val="es-ES_tradnl"/>
        </w:rPr>
        <w:t xml:space="preserve">demanda </w:t>
      </w:r>
      <w:r w:rsidR="008D4C90" w:rsidRPr="00CD3501">
        <w:rPr>
          <w:rFonts w:ascii="Cambria" w:hAnsi="Cambria"/>
          <w:lang w:val="es-ES_tradnl"/>
        </w:rPr>
        <w:t>para</w:t>
      </w:r>
      <w:r w:rsidR="00531386" w:rsidRPr="00CD3501">
        <w:rPr>
          <w:rFonts w:ascii="Cambria" w:hAnsi="Cambria"/>
          <w:lang w:val="es-ES_tradnl"/>
        </w:rPr>
        <w:t xml:space="preserve"> impugna</w:t>
      </w:r>
      <w:r w:rsidR="008D4C90" w:rsidRPr="00CD3501">
        <w:rPr>
          <w:rFonts w:ascii="Cambria" w:hAnsi="Cambria"/>
          <w:lang w:val="es-ES_tradnl"/>
        </w:rPr>
        <w:t xml:space="preserve">r </w:t>
      </w:r>
      <w:r w:rsidR="00357A85" w:rsidRPr="00CD3501">
        <w:rPr>
          <w:rFonts w:ascii="Cambria" w:hAnsi="Cambria"/>
          <w:lang w:val="es-ES_tradnl"/>
        </w:rPr>
        <w:t>la ley en cuestión</w:t>
      </w:r>
      <w:r w:rsidR="008D4C90" w:rsidRPr="00CD3501">
        <w:rPr>
          <w:rFonts w:ascii="Cambria" w:hAnsi="Cambria"/>
          <w:lang w:val="es-ES_tradnl"/>
        </w:rPr>
        <w:t xml:space="preserve"> fue retirada</w:t>
      </w:r>
      <w:r w:rsidR="00357A85" w:rsidRPr="00CD3501">
        <w:rPr>
          <w:rFonts w:ascii="Cambria" w:hAnsi="Cambria"/>
          <w:lang w:val="es-ES_tradnl"/>
        </w:rPr>
        <w:t xml:space="preserve">. Por lo tanto, el litigante sigue teniendo la posibilidad de llevar el asunto ante </w:t>
      </w:r>
      <w:r w:rsidR="008D4C90" w:rsidRPr="00CD3501">
        <w:rPr>
          <w:rFonts w:ascii="Cambria" w:hAnsi="Cambria"/>
          <w:lang w:val="es-ES_tradnl"/>
        </w:rPr>
        <w:t>los t</w:t>
      </w:r>
      <w:r w:rsidR="00357A85" w:rsidRPr="00CD3501">
        <w:rPr>
          <w:rFonts w:ascii="Cambria" w:hAnsi="Cambria"/>
          <w:lang w:val="es-ES_tradnl"/>
        </w:rPr>
        <w:t>ribunal</w:t>
      </w:r>
      <w:r w:rsidR="008D4C90" w:rsidRPr="00CD3501">
        <w:rPr>
          <w:rFonts w:ascii="Cambria" w:hAnsi="Cambria"/>
          <w:lang w:val="es-ES_tradnl"/>
        </w:rPr>
        <w:t>es</w:t>
      </w:r>
      <w:r w:rsidR="00357A85" w:rsidRPr="00CD3501">
        <w:rPr>
          <w:rFonts w:ascii="Cambria" w:hAnsi="Cambria"/>
          <w:lang w:val="es-ES_tradnl"/>
        </w:rPr>
        <w:t xml:space="preserve">. Por último, el Estado recalca que </w:t>
      </w:r>
      <w:r w:rsidR="00641D46" w:rsidRPr="00CD3501">
        <w:rPr>
          <w:rFonts w:ascii="Cambria" w:hAnsi="Cambria"/>
          <w:lang w:val="es-ES_tradnl"/>
        </w:rPr>
        <w:t xml:space="preserve">un Comité Especial Conjunto del Parlamento está revisando </w:t>
      </w:r>
      <w:r w:rsidR="00357A85" w:rsidRPr="00CD3501">
        <w:rPr>
          <w:rFonts w:ascii="Cambria" w:hAnsi="Cambria"/>
          <w:lang w:val="es-ES_tradnl"/>
        </w:rPr>
        <w:t xml:space="preserve">la </w:t>
      </w:r>
      <w:r w:rsidR="000A3FB7" w:rsidRPr="00CD3501">
        <w:rPr>
          <w:rFonts w:ascii="Cambria" w:hAnsi="Cambria"/>
          <w:lang w:val="es-ES_tradnl"/>
        </w:rPr>
        <w:t>Ley de Delitos contra la Persona</w:t>
      </w:r>
      <w:r w:rsidR="00303B8C" w:rsidRPr="00CD3501">
        <w:rPr>
          <w:rFonts w:ascii="Cambria" w:hAnsi="Cambria"/>
          <w:lang w:val="es-ES_tradnl"/>
        </w:rPr>
        <w:t xml:space="preserve"> </w:t>
      </w:r>
      <w:r w:rsidR="00641D46" w:rsidRPr="00CD3501">
        <w:rPr>
          <w:rFonts w:ascii="Cambria" w:hAnsi="Cambria"/>
          <w:lang w:val="es-ES_tradnl"/>
        </w:rPr>
        <w:t xml:space="preserve">y la </w:t>
      </w:r>
      <w:r w:rsidR="00357A85" w:rsidRPr="00CD3501">
        <w:rPr>
          <w:rFonts w:ascii="Cambria" w:hAnsi="Cambria"/>
          <w:lang w:val="es-ES_tradnl"/>
        </w:rPr>
        <w:t>Ley de Delitos Sexuales</w:t>
      </w:r>
      <w:r w:rsidR="00641D46" w:rsidRPr="00CD3501">
        <w:rPr>
          <w:rFonts w:ascii="Cambria" w:hAnsi="Cambria"/>
          <w:lang w:val="es-ES_tradnl"/>
        </w:rPr>
        <w:t>, tarea que se prevé q</w:t>
      </w:r>
      <w:r w:rsidR="00C45576" w:rsidRPr="00CD3501">
        <w:rPr>
          <w:rFonts w:ascii="Cambria" w:hAnsi="Cambria"/>
          <w:lang w:val="es-ES_tradnl"/>
        </w:rPr>
        <w:t>ue concluirá en el curso del presente año</w:t>
      </w:r>
      <w:r w:rsidR="00303B8C" w:rsidRPr="00CD3501">
        <w:rPr>
          <w:rFonts w:ascii="Cambria" w:hAnsi="Cambria"/>
          <w:lang w:val="es-ES_tradnl"/>
        </w:rPr>
        <w:t xml:space="preserve">. </w:t>
      </w:r>
    </w:p>
    <w:p w14:paraId="6576D4F7" w14:textId="77777777" w:rsidR="00A0091A" w:rsidRPr="00CD3501" w:rsidRDefault="00A0091A" w:rsidP="00A167CF">
      <w:pPr>
        <w:pStyle w:val="parrafos"/>
        <w:tabs>
          <w:tab w:val="clear" w:pos="360"/>
        </w:tabs>
        <w:rPr>
          <w:rFonts w:ascii="Cambria" w:hAnsi="Cambria"/>
          <w:lang w:val="es-ES_tradnl"/>
        </w:rPr>
      </w:pPr>
    </w:p>
    <w:p w14:paraId="14158232" w14:textId="28A28199" w:rsidR="006759A5" w:rsidRPr="00CD3501" w:rsidRDefault="00641D46"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 xml:space="preserve">Con respecto al </w:t>
      </w:r>
      <w:r w:rsidRPr="00CD3501">
        <w:rPr>
          <w:rFonts w:ascii="Cambria" w:hAnsi="Cambria"/>
          <w:b/>
          <w:lang w:val="es-ES_tradnl"/>
        </w:rPr>
        <w:t>derecho a la</w:t>
      </w:r>
      <w:r w:rsidR="00A0091A" w:rsidRPr="00CD3501">
        <w:rPr>
          <w:rFonts w:ascii="Cambria" w:hAnsi="Cambria"/>
          <w:b/>
          <w:lang w:val="es-ES_tradnl"/>
        </w:rPr>
        <w:t xml:space="preserve"> </w:t>
      </w:r>
      <w:r w:rsidR="00910B10" w:rsidRPr="00CD3501">
        <w:rPr>
          <w:rFonts w:ascii="Cambria" w:hAnsi="Cambria"/>
          <w:b/>
          <w:lang w:val="es-ES_tradnl"/>
        </w:rPr>
        <w:t>protección judicial</w:t>
      </w:r>
      <w:r w:rsidR="00C60E64" w:rsidRPr="00CD3501">
        <w:rPr>
          <w:rFonts w:ascii="Cambria" w:hAnsi="Cambria"/>
          <w:b/>
          <w:lang w:val="es-ES_tradnl"/>
        </w:rPr>
        <w:t>,</w:t>
      </w:r>
      <w:r w:rsidR="00A0091A" w:rsidRPr="00CD3501">
        <w:rPr>
          <w:rFonts w:ascii="Cambria" w:hAnsi="Cambria"/>
          <w:lang w:val="es-ES_tradnl"/>
        </w:rPr>
        <w:t xml:space="preserve"> </w:t>
      </w:r>
      <w:r w:rsidR="009A3641" w:rsidRPr="00CD3501">
        <w:rPr>
          <w:rFonts w:ascii="Cambria" w:hAnsi="Cambria"/>
          <w:lang w:val="es-ES_tradnl"/>
        </w:rPr>
        <w:t>el Estado</w:t>
      </w:r>
      <w:r w:rsidR="00A0091A" w:rsidRPr="00CD3501">
        <w:rPr>
          <w:rFonts w:ascii="Cambria" w:hAnsi="Cambria"/>
          <w:lang w:val="es-ES_tradnl"/>
        </w:rPr>
        <w:t xml:space="preserve"> </w:t>
      </w:r>
      <w:r w:rsidRPr="00CD3501">
        <w:rPr>
          <w:rFonts w:ascii="Cambria" w:hAnsi="Cambria"/>
          <w:lang w:val="es-ES_tradnl"/>
        </w:rPr>
        <w:t xml:space="preserve">señala que la impugnación de la constitucionalidad de las leyes sobre delitos sexuales no es el único recurso que </w:t>
      </w:r>
      <w:r w:rsidR="00C45576" w:rsidRPr="00CD3501">
        <w:rPr>
          <w:rFonts w:ascii="Cambria" w:hAnsi="Cambria"/>
          <w:lang w:val="es-ES_tradnl"/>
        </w:rPr>
        <w:t>la parte peticionaria</w:t>
      </w:r>
      <w:r w:rsidRPr="00CD3501">
        <w:rPr>
          <w:rFonts w:ascii="Cambria" w:hAnsi="Cambria"/>
          <w:lang w:val="es-ES_tradnl"/>
        </w:rPr>
        <w:t xml:space="preserve"> tiene a su alcance. </w:t>
      </w:r>
      <w:r w:rsidR="00C45576" w:rsidRPr="00CD3501">
        <w:rPr>
          <w:rFonts w:ascii="Cambria" w:hAnsi="Cambria"/>
          <w:lang w:val="es-ES_tradnl"/>
        </w:rPr>
        <w:t>La parte peticionaria</w:t>
      </w:r>
      <w:r w:rsidR="00DB6BE6" w:rsidRPr="00CD3501">
        <w:rPr>
          <w:rFonts w:ascii="Cambria" w:hAnsi="Cambria"/>
          <w:lang w:val="es-ES_tradnl"/>
        </w:rPr>
        <w:t xml:space="preserve"> </w:t>
      </w:r>
      <w:r w:rsidRPr="00CD3501">
        <w:rPr>
          <w:rFonts w:ascii="Cambria" w:hAnsi="Cambria"/>
          <w:lang w:val="es-ES_tradnl"/>
        </w:rPr>
        <w:t xml:space="preserve">también tiene derecho a pedir reparación constitucional por actos concretos que alega que han constituido una violación de los derechos amparados en </w:t>
      </w:r>
      <w:r w:rsidR="00E33D82" w:rsidRPr="00CD3501">
        <w:rPr>
          <w:rFonts w:ascii="Cambria" w:hAnsi="Cambria"/>
          <w:lang w:val="es-ES_tradnl"/>
        </w:rPr>
        <w:t>la Convención</w:t>
      </w:r>
      <w:r w:rsidR="00DB6BE6" w:rsidRPr="00CD3501">
        <w:rPr>
          <w:rFonts w:ascii="Cambria" w:hAnsi="Cambria"/>
          <w:lang w:val="es-ES_tradnl"/>
        </w:rPr>
        <w:t xml:space="preserve">. </w:t>
      </w:r>
    </w:p>
    <w:p w14:paraId="18307023" w14:textId="77777777" w:rsidR="006759A5" w:rsidRPr="00CD3501" w:rsidRDefault="006759A5" w:rsidP="00A167C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44913A3A" w14:textId="36F9CDBA" w:rsidR="00040ECB" w:rsidRPr="00CD3501" w:rsidRDefault="00E33D82" w:rsidP="00A167CF">
      <w:pPr>
        <w:pStyle w:val="Heading1"/>
        <w:spacing w:before="0"/>
        <w:ind w:left="360"/>
        <w:rPr>
          <w:color w:val="auto"/>
          <w:sz w:val="20"/>
          <w:szCs w:val="20"/>
          <w:lang w:val="es-ES_tradnl"/>
        </w:rPr>
      </w:pPr>
      <w:bookmarkStart w:id="7" w:name="_Toc16152270"/>
      <w:bookmarkStart w:id="8" w:name="_Toc58425589"/>
      <w:r w:rsidRPr="00CD3501">
        <w:rPr>
          <w:color w:val="auto"/>
          <w:sz w:val="20"/>
          <w:szCs w:val="20"/>
          <w:lang w:val="es-ES_tradnl"/>
        </w:rPr>
        <w:t>DETERMINACIONES</w:t>
      </w:r>
      <w:bookmarkEnd w:id="7"/>
      <w:r w:rsidRPr="00CD3501">
        <w:rPr>
          <w:color w:val="auto"/>
          <w:sz w:val="20"/>
          <w:szCs w:val="20"/>
          <w:lang w:val="es-ES_tradnl"/>
        </w:rPr>
        <w:t xml:space="preserve"> DE HECHO</w:t>
      </w:r>
      <w:bookmarkEnd w:id="8"/>
    </w:p>
    <w:p w14:paraId="1E211D79" w14:textId="77777777" w:rsidR="000F253D" w:rsidRPr="00CD3501" w:rsidRDefault="000F253D" w:rsidP="00A167CF">
      <w:pPr>
        <w:rPr>
          <w:lang w:val="es-ES_tradnl"/>
        </w:rPr>
      </w:pPr>
    </w:p>
    <w:p w14:paraId="4B52D8F2" w14:textId="4784DF9F" w:rsidR="00DD2AD4" w:rsidRPr="00CD3501" w:rsidRDefault="000A3FB7" w:rsidP="00C12E55">
      <w:pPr>
        <w:pStyle w:val="Heading2"/>
        <w:numPr>
          <w:ilvl w:val="0"/>
          <w:numId w:val="63"/>
        </w:numPr>
        <w:spacing w:before="0"/>
        <w:rPr>
          <w:color w:val="auto"/>
          <w:sz w:val="20"/>
          <w:szCs w:val="20"/>
          <w:lang w:val="es-ES_tradnl"/>
        </w:rPr>
      </w:pPr>
      <w:bookmarkStart w:id="9" w:name="_Toc58425590"/>
      <w:r w:rsidRPr="00CD3501">
        <w:rPr>
          <w:color w:val="auto"/>
          <w:sz w:val="20"/>
          <w:szCs w:val="20"/>
          <w:lang w:val="es-ES_tradnl"/>
        </w:rPr>
        <w:t>La ley de “sodomía” de Jamaica</w:t>
      </w:r>
      <w:bookmarkEnd w:id="9"/>
    </w:p>
    <w:p w14:paraId="31003E96" w14:textId="77777777" w:rsidR="00DD2AD4" w:rsidRPr="00CD3501" w:rsidRDefault="00DD2AD4" w:rsidP="00A167CF">
      <w:pPr>
        <w:pStyle w:val="parrafos"/>
        <w:tabs>
          <w:tab w:val="clear" w:pos="360"/>
        </w:tabs>
        <w:rPr>
          <w:lang w:val="es-ES_tradnl"/>
        </w:rPr>
      </w:pPr>
    </w:p>
    <w:p w14:paraId="38C8FD5B" w14:textId="5D29836D" w:rsidR="007E2FDE" w:rsidRPr="00CD3501" w:rsidRDefault="00E33D82" w:rsidP="00C12E55">
      <w:pPr>
        <w:pStyle w:val="parrafos"/>
        <w:numPr>
          <w:ilvl w:val="0"/>
          <w:numId w:val="57"/>
        </w:numPr>
        <w:tabs>
          <w:tab w:val="clear" w:pos="360"/>
          <w:tab w:val="clear" w:pos="1080"/>
        </w:tabs>
        <w:ind w:left="0" w:firstLine="0"/>
        <w:rPr>
          <w:lang w:val="es-ES_tradnl"/>
        </w:rPr>
      </w:pPr>
      <w:r w:rsidRPr="00CD3501">
        <w:rPr>
          <w:lang w:val="es-ES_tradnl"/>
        </w:rPr>
        <w:t xml:space="preserve">El </w:t>
      </w:r>
      <w:r w:rsidR="0040128E" w:rsidRPr="00CD3501">
        <w:rPr>
          <w:lang w:val="es-ES_tradnl"/>
        </w:rPr>
        <w:t xml:space="preserve">presente </w:t>
      </w:r>
      <w:r w:rsidRPr="00CD3501">
        <w:rPr>
          <w:lang w:val="es-ES_tradnl"/>
        </w:rPr>
        <w:t xml:space="preserve">caso </w:t>
      </w:r>
      <w:r w:rsidR="00DA59E0" w:rsidRPr="00CD3501">
        <w:rPr>
          <w:lang w:val="es-ES_tradnl"/>
        </w:rPr>
        <w:t xml:space="preserve">se refiere al efecto de la </w:t>
      </w:r>
      <w:r w:rsidR="000A3FB7" w:rsidRPr="00CD3501">
        <w:rPr>
          <w:lang w:val="es-ES_tradnl"/>
        </w:rPr>
        <w:t>Ley de Delitos contra la Persona</w:t>
      </w:r>
      <w:r w:rsidR="007064C9" w:rsidRPr="00CD3501">
        <w:rPr>
          <w:lang w:val="es-ES_tradnl"/>
        </w:rPr>
        <w:t xml:space="preserve"> </w:t>
      </w:r>
      <w:r w:rsidR="00DA59E0" w:rsidRPr="00CD3501">
        <w:rPr>
          <w:lang w:val="es-ES_tradnl"/>
        </w:rPr>
        <w:t>de</w:t>
      </w:r>
      <w:r w:rsidR="007064C9" w:rsidRPr="00CD3501">
        <w:rPr>
          <w:lang w:val="es-ES_tradnl"/>
        </w:rPr>
        <w:t xml:space="preserve"> 1864 </w:t>
      </w:r>
      <w:r w:rsidR="00DA59E0" w:rsidRPr="00CD3501">
        <w:rPr>
          <w:lang w:val="es-ES_tradnl"/>
        </w:rPr>
        <w:t xml:space="preserve">en la vida de </w:t>
      </w:r>
      <w:r w:rsidR="00AD493E" w:rsidRPr="00CD3501">
        <w:rPr>
          <w:lang w:val="es-ES_tradnl"/>
        </w:rPr>
        <w:t xml:space="preserve">Gareth Henry </w:t>
      </w:r>
      <w:r w:rsidR="00DA59E0" w:rsidRPr="00CD3501">
        <w:rPr>
          <w:lang w:val="es-ES_tradnl"/>
        </w:rPr>
        <w:t>y</w:t>
      </w:r>
      <w:r w:rsidR="00AD493E" w:rsidRPr="00CD3501">
        <w:rPr>
          <w:lang w:val="es-ES_tradnl"/>
        </w:rPr>
        <w:t xml:space="preserve"> </w:t>
      </w:r>
      <w:r w:rsidR="00B94F89" w:rsidRPr="00CD3501">
        <w:rPr>
          <w:lang w:val="es-ES_tradnl"/>
        </w:rPr>
        <w:t xml:space="preserve">Simone Carline Edwards. </w:t>
      </w:r>
      <w:r w:rsidR="00DA59E0" w:rsidRPr="00CD3501">
        <w:rPr>
          <w:lang w:val="es-ES_tradnl"/>
        </w:rPr>
        <w:t>La ley dispone lo siguiente</w:t>
      </w:r>
      <w:r w:rsidR="007E2FDE" w:rsidRPr="00CD3501">
        <w:rPr>
          <w:lang w:val="es-ES_tradnl"/>
        </w:rPr>
        <w:t>:</w:t>
      </w:r>
    </w:p>
    <w:p w14:paraId="09951888" w14:textId="77777777" w:rsidR="00C66543" w:rsidRPr="00CD3501" w:rsidRDefault="00C66543" w:rsidP="00A167CF">
      <w:pPr>
        <w:pBdr>
          <w:top w:val="none" w:sz="0" w:space="0" w:color="auto"/>
          <w:left w:val="none" w:sz="0" w:space="0" w:color="auto"/>
          <w:bottom w:val="none" w:sz="0" w:space="0" w:color="auto"/>
          <w:right w:val="none" w:sz="0" w:space="0" w:color="auto"/>
          <w:between w:val="none" w:sz="0" w:space="0" w:color="auto"/>
          <w:bar w:val="none" w:sz="0" w:color="auto"/>
        </w:pBdr>
        <w:ind w:right="360"/>
        <w:jc w:val="both"/>
        <w:rPr>
          <w:rFonts w:asciiTheme="majorHAnsi" w:hAnsiTheme="majorHAnsi"/>
          <w:sz w:val="18"/>
          <w:szCs w:val="18"/>
          <w:lang w:val="es-ES_tradnl"/>
        </w:rPr>
      </w:pPr>
    </w:p>
    <w:p w14:paraId="6FCBD7BA" w14:textId="53641547" w:rsidR="00EA5364" w:rsidRPr="00CD3501" w:rsidRDefault="00BB4D8F"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t xml:space="preserve"> 76</w:t>
      </w:r>
      <w:r w:rsidR="00197E4F" w:rsidRPr="00CD3501">
        <w:rPr>
          <w:rFonts w:asciiTheme="majorHAnsi" w:hAnsiTheme="majorHAnsi"/>
          <w:sz w:val="18"/>
          <w:szCs w:val="18"/>
          <w:lang w:val="es-ES_tradnl"/>
        </w:rPr>
        <w:t>.</w:t>
      </w:r>
      <w:r w:rsidRPr="00CD3501">
        <w:rPr>
          <w:rFonts w:asciiTheme="majorHAnsi" w:hAnsiTheme="majorHAnsi"/>
          <w:sz w:val="18"/>
          <w:szCs w:val="18"/>
          <w:lang w:val="es-ES_tradnl"/>
        </w:rPr>
        <w:t xml:space="preserve"> (</w:t>
      </w:r>
      <w:r w:rsidR="00FC210B" w:rsidRPr="00CD3501">
        <w:rPr>
          <w:rFonts w:asciiTheme="majorHAnsi" w:hAnsiTheme="majorHAnsi"/>
          <w:sz w:val="18"/>
          <w:szCs w:val="18"/>
          <w:lang w:val="es-ES_tradnl"/>
        </w:rPr>
        <w:t>Delito contra natura</w:t>
      </w:r>
      <w:r w:rsidRPr="00CD3501">
        <w:rPr>
          <w:rFonts w:asciiTheme="majorHAnsi" w:hAnsiTheme="majorHAnsi"/>
          <w:sz w:val="18"/>
          <w:szCs w:val="18"/>
          <w:lang w:val="es-ES_tradnl"/>
        </w:rPr>
        <w:t xml:space="preserve">): </w:t>
      </w:r>
      <w:r w:rsidR="00FC210B" w:rsidRPr="00CD3501">
        <w:rPr>
          <w:rFonts w:asciiTheme="majorHAnsi" w:hAnsiTheme="majorHAnsi"/>
          <w:sz w:val="18"/>
          <w:szCs w:val="18"/>
          <w:lang w:val="es-ES_tradnl"/>
        </w:rPr>
        <w:t>Toda persona que sea condenada por el abo</w:t>
      </w:r>
      <w:r w:rsidRPr="00CD3501">
        <w:rPr>
          <w:rFonts w:asciiTheme="majorHAnsi" w:hAnsiTheme="majorHAnsi"/>
          <w:sz w:val="18"/>
          <w:szCs w:val="18"/>
          <w:lang w:val="es-ES_tradnl"/>
        </w:rPr>
        <w:t xml:space="preserve">minable </w:t>
      </w:r>
      <w:r w:rsidR="00FC210B" w:rsidRPr="00CD3501">
        <w:rPr>
          <w:rFonts w:asciiTheme="majorHAnsi" w:hAnsiTheme="majorHAnsi"/>
          <w:sz w:val="18"/>
          <w:szCs w:val="18"/>
          <w:lang w:val="es-ES_tradnl"/>
        </w:rPr>
        <w:t xml:space="preserve">delito de </w:t>
      </w:r>
      <w:r w:rsidR="000A3FB7" w:rsidRPr="00CD3501">
        <w:rPr>
          <w:rFonts w:asciiTheme="majorHAnsi" w:hAnsiTheme="majorHAnsi"/>
          <w:sz w:val="18"/>
          <w:szCs w:val="18"/>
          <w:lang w:val="es-ES_tradnl"/>
        </w:rPr>
        <w:t>sodomía</w:t>
      </w:r>
      <w:r w:rsidRPr="00CD3501">
        <w:rPr>
          <w:rFonts w:asciiTheme="majorHAnsi" w:hAnsiTheme="majorHAnsi"/>
          <w:sz w:val="18"/>
          <w:szCs w:val="18"/>
          <w:lang w:val="es-ES_tradnl"/>
        </w:rPr>
        <w:t xml:space="preserve">, </w:t>
      </w:r>
      <w:r w:rsidR="00FC210B" w:rsidRPr="00CD3501">
        <w:rPr>
          <w:rFonts w:asciiTheme="majorHAnsi" w:hAnsiTheme="majorHAnsi"/>
          <w:sz w:val="18"/>
          <w:szCs w:val="18"/>
          <w:lang w:val="es-ES_tradnl"/>
        </w:rPr>
        <w:t xml:space="preserve">cometido con </w:t>
      </w:r>
      <w:r w:rsidR="008D4C90" w:rsidRPr="00CD3501">
        <w:rPr>
          <w:rFonts w:asciiTheme="majorHAnsi" w:hAnsiTheme="majorHAnsi"/>
          <w:sz w:val="18"/>
          <w:szCs w:val="18"/>
          <w:lang w:val="es-ES_tradnl"/>
        </w:rPr>
        <w:t xml:space="preserve">otra </w:t>
      </w:r>
      <w:r w:rsidR="00FC210B" w:rsidRPr="00CD3501">
        <w:rPr>
          <w:rFonts w:asciiTheme="majorHAnsi" w:hAnsiTheme="majorHAnsi"/>
          <w:sz w:val="18"/>
          <w:szCs w:val="18"/>
          <w:lang w:val="es-ES_tradnl"/>
        </w:rPr>
        <w:t xml:space="preserve">persona o con cualquier </w:t>
      </w:r>
      <w:r w:rsidRPr="00CD3501">
        <w:rPr>
          <w:rFonts w:asciiTheme="majorHAnsi" w:hAnsiTheme="majorHAnsi"/>
          <w:sz w:val="18"/>
          <w:szCs w:val="18"/>
          <w:lang w:val="es-ES_tradnl"/>
        </w:rPr>
        <w:t xml:space="preserve">animal, </w:t>
      </w:r>
      <w:r w:rsidR="00FC210B" w:rsidRPr="00CD3501">
        <w:rPr>
          <w:rFonts w:asciiTheme="majorHAnsi" w:hAnsiTheme="majorHAnsi"/>
          <w:sz w:val="18"/>
          <w:szCs w:val="18"/>
          <w:lang w:val="es-ES_tradnl"/>
        </w:rPr>
        <w:t>será pasible de pena de cárcel y condenada a trabajos forzados por un período que no exceda de diez años</w:t>
      </w:r>
      <w:r w:rsidRPr="00CD3501">
        <w:rPr>
          <w:rFonts w:asciiTheme="majorHAnsi" w:hAnsiTheme="majorHAnsi"/>
          <w:sz w:val="18"/>
          <w:szCs w:val="18"/>
          <w:lang w:val="es-ES_tradnl"/>
        </w:rPr>
        <w:t xml:space="preserve">. </w:t>
      </w:r>
    </w:p>
    <w:p w14:paraId="36705C49" w14:textId="77777777" w:rsidR="00BB4D8F" w:rsidRPr="00CD3501" w:rsidRDefault="00BB4D8F"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p>
    <w:p w14:paraId="1C481F9B" w14:textId="24BD6C2B" w:rsidR="00BB4D8F" w:rsidRPr="00CD3501" w:rsidRDefault="00BB4D8F"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t>77</w:t>
      </w:r>
      <w:r w:rsidR="00197E4F" w:rsidRPr="00CD3501">
        <w:rPr>
          <w:rFonts w:asciiTheme="majorHAnsi" w:hAnsiTheme="majorHAnsi"/>
          <w:sz w:val="18"/>
          <w:szCs w:val="18"/>
          <w:lang w:val="es-ES_tradnl"/>
        </w:rPr>
        <w:t>.</w:t>
      </w:r>
      <w:r w:rsidRPr="00CD3501">
        <w:rPr>
          <w:rFonts w:asciiTheme="majorHAnsi" w:hAnsiTheme="majorHAnsi"/>
          <w:sz w:val="18"/>
          <w:szCs w:val="18"/>
          <w:lang w:val="es-ES_tradnl"/>
        </w:rPr>
        <w:t xml:space="preserve"> (</w:t>
      </w:r>
      <w:r w:rsidR="00FC210B" w:rsidRPr="00CD3501">
        <w:rPr>
          <w:rFonts w:asciiTheme="majorHAnsi" w:hAnsiTheme="majorHAnsi"/>
          <w:sz w:val="18"/>
          <w:szCs w:val="18"/>
          <w:lang w:val="es-ES_tradnl"/>
        </w:rPr>
        <w:t>Intento</w:t>
      </w:r>
      <w:r w:rsidRPr="00CD3501">
        <w:rPr>
          <w:rFonts w:asciiTheme="majorHAnsi" w:hAnsiTheme="majorHAnsi"/>
          <w:sz w:val="18"/>
          <w:szCs w:val="18"/>
          <w:lang w:val="es-ES_tradnl"/>
        </w:rPr>
        <w:t xml:space="preserve">): </w:t>
      </w:r>
      <w:r w:rsidR="00FC210B" w:rsidRPr="00CD3501">
        <w:rPr>
          <w:rFonts w:asciiTheme="majorHAnsi" w:hAnsiTheme="majorHAnsi"/>
          <w:sz w:val="18"/>
          <w:szCs w:val="18"/>
          <w:lang w:val="es-ES_tradnl"/>
        </w:rPr>
        <w:t>Toda persona que intente cometer dicho delito abominable</w:t>
      </w:r>
      <w:r w:rsidRPr="00CD3501">
        <w:rPr>
          <w:rFonts w:asciiTheme="majorHAnsi" w:hAnsiTheme="majorHAnsi"/>
          <w:sz w:val="18"/>
          <w:szCs w:val="18"/>
          <w:lang w:val="es-ES_tradnl"/>
        </w:rPr>
        <w:t xml:space="preserve"> </w:t>
      </w:r>
      <w:r w:rsidR="00FC210B" w:rsidRPr="00CD3501">
        <w:rPr>
          <w:rFonts w:asciiTheme="majorHAnsi" w:hAnsiTheme="majorHAnsi"/>
          <w:sz w:val="18"/>
          <w:szCs w:val="18"/>
          <w:lang w:val="es-ES_tradnl"/>
        </w:rPr>
        <w:t>o que sea culpable de un acto de agresión con la intención de cometer dicho delito o de un ataque indecente a cualquier persona del sexo masculino será culpable de un delito menor y, de ser condenado, será pasible de pena de cárcel por un período que no exceda de siete años, con o sin trabajos forzados</w:t>
      </w:r>
      <w:r w:rsidRPr="00CD3501">
        <w:rPr>
          <w:rFonts w:asciiTheme="majorHAnsi" w:hAnsiTheme="majorHAnsi"/>
          <w:sz w:val="18"/>
          <w:szCs w:val="18"/>
          <w:lang w:val="es-ES_tradnl"/>
        </w:rPr>
        <w:t xml:space="preserve">. </w:t>
      </w:r>
    </w:p>
    <w:p w14:paraId="5BC6B973" w14:textId="22FCF7C9" w:rsidR="00197E4F" w:rsidRPr="00CD3501" w:rsidRDefault="00197E4F"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t xml:space="preserve"> </w:t>
      </w:r>
    </w:p>
    <w:p w14:paraId="359C84B0" w14:textId="7E624CC9" w:rsidR="00FE5CE4" w:rsidRPr="00CD3501" w:rsidRDefault="00BB4D8F"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lastRenderedPageBreak/>
        <w:t>79 (</w:t>
      </w:r>
      <w:r w:rsidR="00FC210B" w:rsidRPr="00CD3501">
        <w:rPr>
          <w:rFonts w:asciiTheme="majorHAnsi" w:hAnsiTheme="majorHAnsi"/>
          <w:sz w:val="18"/>
          <w:szCs w:val="18"/>
          <w:lang w:val="es-ES_tradnl"/>
        </w:rPr>
        <w:t>Ultrajes a la decencia</w:t>
      </w:r>
      <w:r w:rsidRPr="00CD3501">
        <w:rPr>
          <w:rFonts w:asciiTheme="majorHAnsi" w:hAnsiTheme="majorHAnsi"/>
          <w:sz w:val="18"/>
          <w:szCs w:val="18"/>
          <w:lang w:val="es-ES_tradnl"/>
        </w:rPr>
        <w:t xml:space="preserve">): </w:t>
      </w:r>
      <w:r w:rsidR="00FC210B" w:rsidRPr="00CD3501">
        <w:rPr>
          <w:rFonts w:asciiTheme="majorHAnsi" w:hAnsiTheme="majorHAnsi"/>
          <w:sz w:val="18"/>
          <w:szCs w:val="18"/>
          <w:lang w:val="es-ES_tradnl"/>
        </w:rPr>
        <w:t>Toda persona del sexo masculino que, en público o en privado, cometa cualquier ultraje contra la moral pública con otra persona del sexo masculino, que participe en la c</w:t>
      </w:r>
      <w:r w:rsidR="00497B9A" w:rsidRPr="00CD3501">
        <w:rPr>
          <w:rFonts w:asciiTheme="majorHAnsi" w:hAnsiTheme="majorHAnsi"/>
          <w:sz w:val="18"/>
          <w:szCs w:val="18"/>
          <w:lang w:val="es-ES_tradnl"/>
        </w:rPr>
        <w:t>omisión</w:t>
      </w:r>
      <w:r w:rsidRPr="00CD3501">
        <w:rPr>
          <w:rFonts w:asciiTheme="majorHAnsi" w:hAnsiTheme="majorHAnsi"/>
          <w:sz w:val="18"/>
          <w:szCs w:val="18"/>
          <w:lang w:val="es-ES_tradnl"/>
        </w:rPr>
        <w:t xml:space="preserve"> </w:t>
      </w:r>
      <w:r w:rsidR="00FC210B" w:rsidRPr="00CD3501">
        <w:rPr>
          <w:rFonts w:asciiTheme="majorHAnsi" w:hAnsiTheme="majorHAnsi"/>
          <w:sz w:val="18"/>
          <w:szCs w:val="18"/>
          <w:lang w:val="es-ES_tradnl"/>
        </w:rPr>
        <w:t xml:space="preserve">de dicho acto, </w:t>
      </w:r>
      <w:r w:rsidR="00E24F1A" w:rsidRPr="00CD3501">
        <w:rPr>
          <w:rFonts w:asciiTheme="majorHAnsi" w:hAnsiTheme="majorHAnsi"/>
          <w:sz w:val="18"/>
          <w:szCs w:val="18"/>
          <w:lang w:val="es-ES_tradnl"/>
        </w:rPr>
        <w:t>que logre que se cometa dicho acto o que trate de que se lo cometa será culpable de un delito menor y, de ser condenado, será pasible, a discreción del tribunal, de pena de cárcel por un período que no exceda de dos años, con o sin trabajos forzados</w:t>
      </w:r>
      <w:r w:rsidR="004B5331" w:rsidRPr="00CD3501">
        <w:rPr>
          <w:rStyle w:val="FootnoteReference"/>
          <w:rFonts w:asciiTheme="majorHAnsi" w:hAnsiTheme="majorHAnsi"/>
          <w:sz w:val="18"/>
          <w:szCs w:val="18"/>
          <w:lang w:val="es-ES_tradnl"/>
        </w:rPr>
        <w:footnoteReference w:id="6"/>
      </w:r>
      <w:r w:rsidR="00E24F1A" w:rsidRPr="00CD3501">
        <w:rPr>
          <w:rFonts w:asciiTheme="majorHAnsi" w:hAnsiTheme="majorHAnsi"/>
          <w:sz w:val="18"/>
          <w:szCs w:val="18"/>
          <w:lang w:val="es-ES_tradnl"/>
        </w:rPr>
        <w:t>.</w:t>
      </w:r>
    </w:p>
    <w:p w14:paraId="6D6E6EFF" w14:textId="77777777" w:rsidR="00FE5CE4" w:rsidRPr="00CD3501" w:rsidRDefault="00FE5CE4" w:rsidP="00A167CF">
      <w:pPr>
        <w:pBdr>
          <w:top w:val="none" w:sz="0" w:space="0" w:color="auto"/>
          <w:left w:val="none" w:sz="0" w:space="0" w:color="auto"/>
          <w:bottom w:val="none" w:sz="0" w:space="0" w:color="auto"/>
          <w:right w:val="none" w:sz="0" w:space="0" w:color="auto"/>
          <w:between w:val="none" w:sz="0" w:space="0" w:color="auto"/>
          <w:bar w:val="none" w:sz="0" w:color="auto"/>
        </w:pBdr>
        <w:ind w:right="360"/>
        <w:jc w:val="both"/>
        <w:rPr>
          <w:rFonts w:asciiTheme="majorHAnsi" w:hAnsiTheme="majorHAnsi"/>
          <w:sz w:val="18"/>
          <w:szCs w:val="18"/>
          <w:lang w:val="es-ES_tradnl"/>
        </w:rPr>
      </w:pPr>
    </w:p>
    <w:p w14:paraId="5EA45208" w14:textId="5586DB73" w:rsidR="007E2FDE" w:rsidRPr="00CD3501" w:rsidRDefault="00E24F1A" w:rsidP="00C12E55">
      <w:pPr>
        <w:pStyle w:val="parrafos"/>
        <w:numPr>
          <w:ilvl w:val="0"/>
          <w:numId w:val="57"/>
        </w:numPr>
        <w:tabs>
          <w:tab w:val="clear" w:pos="360"/>
          <w:tab w:val="clear" w:pos="1080"/>
        </w:tabs>
        <w:ind w:left="0" w:firstLine="0"/>
        <w:rPr>
          <w:sz w:val="18"/>
          <w:szCs w:val="18"/>
          <w:lang w:val="es-ES_tradnl"/>
        </w:rPr>
      </w:pPr>
      <w:r w:rsidRPr="00CD3501">
        <w:rPr>
          <w:lang w:val="es-ES_tradnl"/>
        </w:rPr>
        <w:t xml:space="preserve">Además, </w:t>
      </w:r>
      <w:r w:rsidR="00E33D82" w:rsidRPr="00CD3501">
        <w:rPr>
          <w:lang w:val="es-ES_tradnl"/>
        </w:rPr>
        <w:t>la Constitución de</w:t>
      </w:r>
      <w:r w:rsidR="007E2FDE" w:rsidRPr="00CD3501">
        <w:rPr>
          <w:lang w:val="es-ES_tradnl"/>
        </w:rPr>
        <w:t xml:space="preserve"> Jamaica </w:t>
      </w:r>
      <w:r w:rsidRPr="00CD3501">
        <w:rPr>
          <w:lang w:val="es-ES_tradnl"/>
        </w:rPr>
        <w:t>dispone lo siguiente</w:t>
      </w:r>
      <w:r w:rsidR="007E2FDE" w:rsidRPr="00CD3501">
        <w:rPr>
          <w:lang w:val="es-ES_tradnl"/>
        </w:rPr>
        <w:t>:</w:t>
      </w:r>
    </w:p>
    <w:p w14:paraId="60EBECFF" w14:textId="77777777" w:rsidR="007E2FDE" w:rsidRPr="00CD3501" w:rsidRDefault="007E2FDE" w:rsidP="00A167CF">
      <w:pPr>
        <w:pBdr>
          <w:top w:val="none" w:sz="0" w:space="0" w:color="auto"/>
          <w:left w:val="none" w:sz="0" w:space="0" w:color="auto"/>
          <w:bottom w:val="none" w:sz="0" w:space="0" w:color="auto"/>
          <w:right w:val="none" w:sz="0" w:space="0" w:color="auto"/>
          <w:between w:val="none" w:sz="0" w:space="0" w:color="auto"/>
          <w:bar w:val="none" w:sz="0" w:color="auto"/>
        </w:pBdr>
        <w:ind w:right="360"/>
        <w:jc w:val="both"/>
        <w:rPr>
          <w:rFonts w:asciiTheme="majorHAnsi" w:hAnsiTheme="majorHAnsi"/>
          <w:sz w:val="18"/>
          <w:szCs w:val="18"/>
          <w:lang w:val="es-ES_tradnl"/>
        </w:rPr>
      </w:pPr>
    </w:p>
    <w:p w14:paraId="652B3A3B" w14:textId="6578F22D" w:rsidR="007E2FDE" w:rsidRPr="00CD3501" w:rsidRDefault="007E2FDE"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t xml:space="preserve">13. </w:t>
      </w:r>
      <w:r w:rsidR="00E24F1A" w:rsidRPr="00CD3501">
        <w:rPr>
          <w:rFonts w:asciiTheme="majorHAnsi" w:hAnsiTheme="majorHAnsi"/>
          <w:sz w:val="18"/>
          <w:szCs w:val="18"/>
          <w:lang w:val="es-ES_tradnl"/>
        </w:rPr>
        <w:t>Derechos y libertades f</w:t>
      </w:r>
      <w:r w:rsidRPr="00CD3501">
        <w:rPr>
          <w:rFonts w:asciiTheme="majorHAnsi" w:hAnsiTheme="majorHAnsi"/>
          <w:sz w:val="18"/>
          <w:szCs w:val="18"/>
          <w:lang w:val="es-ES_tradnl"/>
        </w:rPr>
        <w:t>undamental</w:t>
      </w:r>
      <w:r w:rsidR="00E24F1A" w:rsidRPr="00CD3501">
        <w:rPr>
          <w:rFonts w:asciiTheme="majorHAnsi" w:hAnsiTheme="majorHAnsi"/>
          <w:sz w:val="18"/>
          <w:szCs w:val="18"/>
          <w:lang w:val="es-ES_tradnl"/>
        </w:rPr>
        <w:t>es</w:t>
      </w:r>
    </w:p>
    <w:p w14:paraId="468D3970" w14:textId="5AF1F4A4" w:rsidR="007E2FDE" w:rsidRPr="00CD3501" w:rsidRDefault="008D4C90"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t>[...]</w:t>
      </w:r>
      <w:r w:rsidR="007E2FDE" w:rsidRPr="00CD3501">
        <w:rPr>
          <w:rFonts w:asciiTheme="majorHAnsi" w:hAnsiTheme="majorHAnsi"/>
          <w:sz w:val="18"/>
          <w:szCs w:val="18"/>
          <w:lang w:val="es-ES_tradnl"/>
        </w:rPr>
        <w:t xml:space="preserve"> </w:t>
      </w:r>
    </w:p>
    <w:p w14:paraId="4B0D9606" w14:textId="398F6147" w:rsidR="007E2FDE" w:rsidRPr="00CD3501" w:rsidRDefault="007E2FDE"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t xml:space="preserve">12. </w:t>
      </w:r>
      <w:r w:rsidR="00822CBD" w:rsidRPr="00CD3501">
        <w:rPr>
          <w:rFonts w:asciiTheme="majorHAnsi" w:hAnsiTheme="majorHAnsi"/>
          <w:sz w:val="18"/>
          <w:szCs w:val="18"/>
          <w:lang w:val="es-ES_tradnl"/>
        </w:rPr>
        <w:t>N</w:t>
      </w:r>
      <w:r w:rsidR="00E24F1A" w:rsidRPr="00CD3501">
        <w:rPr>
          <w:rFonts w:asciiTheme="majorHAnsi" w:hAnsiTheme="majorHAnsi"/>
          <w:sz w:val="18"/>
          <w:szCs w:val="18"/>
          <w:lang w:val="es-ES_tradnl"/>
        </w:rPr>
        <w:t xml:space="preserve">ada que esté contenido en una ley que esté en vigor antes de la entrada en vigor de la Ley de la Carta de Derechos y Libertades Fundamentales (enmienda constitucional) de </w:t>
      </w:r>
      <w:r w:rsidR="00822CBD" w:rsidRPr="00CD3501">
        <w:rPr>
          <w:rFonts w:asciiTheme="majorHAnsi" w:hAnsiTheme="majorHAnsi"/>
          <w:sz w:val="18"/>
          <w:szCs w:val="18"/>
          <w:lang w:val="es-ES_tradnl"/>
        </w:rPr>
        <w:t>2011</w:t>
      </w:r>
      <w:r w:rsidR="00E24F1A" w:rsidRPr="00CD3501">
        <w:rPr>
          <w:rFonts w:asciiTheme="majorHAnsi" w:hAnsiTheme="majorHAnsi"/>
          <w:sz w:val="18"/>
          <w:szCs w:val="18"/>
          <w:lang w:val="es-ES_tradnl"/>
        </w:rPr>
        <w:t>, o que se haga por mandato de la misma</w:t>
      </w:r>
      <w:r w:rsidR="00822CBD" w:rsidRPr="00CD3501">
        <w:rPr>
          <w:rFonts w:asciiTheme="majorHAnsi" w:hAnsiTheme="majorHAnsi"/>
          <w:sz w:val="18"/>
          <w:szCs w:val="18"/>
          <w:lang w:val="es-ES_tradnl"/>
        </w:rPr>
        <w:t xml:space="preserve">, </w:t>
      </w:r>
      <w:r w:rsidR="00E24F1A" w:rsidRPr="00CD3501">
        <w:rPr>
          <w:rFonts w:asciiTheme="majorHAnsi" w:hAnsiTheme="majorHAnsi"/>
          <w:sz w:val="18"/>
          <w:szCs w:val="18"/>
          <w:lang w:val="es-ES_tradnl"/>
        </w:rPr>
        <w:t>en relación con:</w:t>
      </w:r>
    </w:p>
    <w:p w14:paraId="0112A51E" w14:textId="77777777" w:rsidR="007E2FDE" w:rsidRPr="00CD3501" w:rsidRDefault="007E2FDE"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p>
    <w:p w14:paraId="45C1D519" w14:textId="1D6214F8" w:rsidR="007E2FDE" w:rsidRPr="00CD3501" w:rsidRDefault="00E24F1A" w:rsidP="00C12E55">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right="360"/>
        <w:jc w:val="both"/>
        <w:rPr>
          <w:rFonts w:asciiTheme="majorHAnsi" w:hAnsiTheme="majorHAnsi"/>
          <w:sz w:val="18"/>
          <w:szCs w:val="18"/>
          <w:lang w:val="es-ES_tradnl"/>
        </w:rPr>
      </w:pPr>
      <w:r w:rsidRPr="00CD3501">
        <w:rPr>
          <w:rFonts w:asciiTheme="majorHAnsi" w:hAnsiTheme="majorHAnsi"/>
          <w:sz w:val="18"/>
          <w:szCs w:val="18"/>
          <w:lang w:val="es-ES_tradnl"/>
        </w:rPr>
        <w:t xml:space="preserve">delitos </w:t>
      </w:r>
      <w:r w:rsidR="007E2FDE" w:rsidRPr="00CD3501">
        <w:rPr>
          <w:rFonts w:asciiTheme="majorHAnsi" w:hAnsiTheme="majorHAnsi"/>
          <w:sz w:val="18"/>
          <w:szCs w:val="18"/>
          <w:lang w:val="es-ES_tradnl"/>
        </w:rPr>
        <w:t>sexual</w:t>
      </w:r>
      <w:r w:rsidRPr="00CD3501">
        <w:rPr>
          <w:rFonts w:asciiTheme="majorHAnsi" w:hAnsiTheme="majorHAnsi"/>
          <w:sz w:val="18"/>
          <w:szCs w:val="18"/>
          <w:lang w:val="es-ES_tradnl"/>
        </w:rPr>
        <w:t>es,</w:t>
      </w:r>
    </w:p>
    <w:p w14:paraId="356597EC" w14:textId="65884519" w:rsidR="007E2FDE" w:rsidRPr="00CD3501" w:rsidRDefault="00E24F1A" w:rsidP="00C12E55">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right="360"/>
        <w:jc w:val="both"/>
        <w:rPr>
          <w:rFonts w:asciiTheme="majorHAnsi" w:hAnsiTheme="majorHAnsi"/>
          <w:sz w:val="18"/>
          <w:szCs w:val="18"/>
          <w:lang w:val="es-ES_tradnl"/>
        </w:rPr>
      </w:pPr>
      <w:r w:rsidRPr="00CD3501">
        <w:rPr>
          <w:rFonts w:asciiTheme="majorHAnsi" w:hAnsiTheme="majorHAnsi"/>
          <w:sz w:val="18"/>
          <w:szCs w:val="18"/>
          <w:lang w:val="es-ES_tradnl"/>
        </w:rPr>
        <w:t>publicaciones obscenas o</w:t>
      </w:r>
    </w:p>
    <w:p w14:paraId="737F9F71" w14:textId="1E188F84" w:rsidR="00822CBD" w:rsidRPr="00CD3501" w:rsidRDefault="00E24F1A" w:rsidP="00C12E55">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right="360"/>
        <w:jc w:val="both"/>
        <w:rPr>
          <w:rFonts w:asciiTheme="majorHAnsi" w:hAnsiTheme="majorHAnsi"/>
          <w:sz w:val="18"/>
          <w:szCs w:val="18"/>
          <w:lang w:val="es-ES_tradnl"/>
        </w:rPr>
      </w:pPr>
      <w:r w:rsidRPr="00CD3501">
        <w:rPr>
          <w:rFonts w:asciiTheme="majorHAnsi" w:hAnsiTheme="majorHAnsi"/>
          <w:sz w:val="18"/>
          <w:szCs w:val="18"/>
          <w:lang w:val="es-ES_tradnl"/>
        </w:rPr>
        <w:t>delitos relacionados con la vida del feto</w:t>
      </w:r>
    </w:p>
    <w:p w14:paraId="6B4A0459" w14:textId="77777777" w:rsidR="00822CBD" w:rsidRPr="00CD3501" w:rsidRDefault="00822CBD"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p>
    <w:p w14:paraId="0D77CC51" w14:textId="723B9EA1" w:rsidR="009F0AED" w:rsidRPr="00CD3501" w:rsidRDefault="00E24F1A"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20"/>
          <w:szCs w:val="20"/>
          <w:lang w:val="es-ES_tradnl"/>
        </w:rPr>
      </w:pPr>
      <w:r w:rsidRPr="00CD3501">
        <w:rPr>
          <w:rFonts w:asciiTheme="majorHAnsi" w:hAnsiTheme="majorHAnsi"/>
          <w:sz w:val="18"/>
          <w:szCs w:val="18"/>
          <w:lang w:val="es-ES_tradnl"/>
        </w:rPr>
        <w:t>podrá ser declarado incompatible con las disposiciones de este capítulo o en contravención del mismo</w:t>
      </w:r>
      <w:r w:rsidR="00A07E90" w:rsidRPr="00CD3501">
        <w:rPr>
          <w:rStyle w:val="FootnoteReference"/>
          <w:rFonts w:asciiTheme="majorHAnsi" w:hAnsiTheme="majorHAnsi"/>
          <w:sz w:val="20"/>
          <w:szCs w:val="20"/>
          <w:lang w:val="es-ES_tradnl"/>
        </w:rPr>
        <w:footnoteReference w:id="7"/>
      </w:r>
      <w:r w:rsidRPr="00CD3501">
        <w:rPr>
          <w:rFonts w:asciiTheme="majorHAnsi" w:hAnsiTheme="majorHAnsi"/>
          <w:sz w:val="18"/>
          <w:szCs w:val="18"/>
          <w:lang w:val="es-ES_tradnl"/>
        </w:rPr>
        <w:t>.</w:t>
      </w:r>
    </w:p>
    <w:p w14:paraId="428FB4BA" w14:textId="77777777" w:rsidR="00C90AB9" w:rsidRPr="00CD3501" w:rsidRDefault="00C90AB9" w:rsidP="00A167CF">
      <w:pPr>
        <w:rPr>
          <w:rFonts w:asciiTheme="majorHAnsi" w:hAnsiTheme="majorHAnsi"/>
          <w:sz w:val="20"/>
          <w:szCs w:val="20"/>
          <w:lang w:val="es-ES_tradnl"/>
        </w:rPr>
      </w:pPr>
    </w:p>
    <w:p w14:paraId="450A1F6C" w14:textId="07D32874" w:rsidR="00AD493E" w:rsidRPr="00CD3501" w:rsidRDefault="00681B90" w:rsidP="00C12E55">
      <w:pPr>
        <w:pStyle w:val="Heading2"/>
        <w:numPr>
          <w:ilvl w:val="0"/>
          <w:numId w:val="63"/>
        </w:numPr>
        <w:spacing w:before="0"/>
        <w:rPr>
          <w:color w:val="auto"/>
          <w:sz w:val="20"/>
          <w:szCs w:val="20"/>
          <w:lang w:val="es-ES_tradnl"/>
        </w:rPr>
      </w:pPr>
      <w:bookmarkStart w:id="10" w:name="_Toc58425591"/>
      <w:r w:rsidRPr="00CD3501">
        <w:rPr>
          <w:color w:val="auto"/>
          <w:sz w:val="20"/>
          <w:szCs w:val="20"/>
          <w:lang w:val="es-ES_tradnl"/>
        </w:rPr>
        <w:t xml:space="preserve">Las </w:t>
      </w:r>
      <w:r w:rsidR="009E5620" w:rsidRPr="00CD3501">
        <w:rPr>
          <w:color w:val="auto"/>
          <w:sz w:val="20"/>
          <w:szCs w:val="20"/>
          <w:lang w:val="es-ES_tradnl"/>
        </w:rPr>
        <w:t>personas LGBTI</w:t>
      </w:r>
      <w:r w:rsidR="00AD493E" w:rsidRPr="00CD3501">
        <w:rPr>
          <w:color w:val="auto"/>
          <w:sz w:val="20"/>
          <w:szCs w:val="20"/>
          <w:lang w:val="es-ES_tradnl"/>
        </w:rPr>
        <w:t xml:space="preserve"> </w:t>
      </w:r>
      <w:r w:rsidRPr="00CD3501">
        <w:rPr>
          <w:color w:val="auto"/>
          <w:sz w:val="20"/>
          <w:szCs w:val="20"/>
          <w:lang w:val="es-ES_tradnl"/>
        </w:rPr>
        <w:t>e</w:t>
      </w:r>
      <w:r w:rsidR="00AD493E" w:rsidRPr="00CD3501">
        <w:rPr>
          <w:color w:val="auto"/>
          <w:sz w:val="20"/>
          <w:szCs w:val="20"/>
          <w:lang w:val="es-ES_tradnl"/>
        </w:rPr>
        <w:t>n Jamaica</w:t>
      </w:r>
      <w:bookmarkEnd w:id="10"/>
      <w:r w:rsidR="00AD493E" w:rsidRPr="00CD3501">
        <w:rPr>
          <w:color w:val="auto"/>
          <w:sz w:val="20"/>
          <w:szCs w:val="20"/>
          <w:lang w:val="es-ES_tradnl"/>
        </w:rPr>
        <w:t xml:space="preserve"> </w:t>
      </w:r>
    </w:p>
    <w:p w14:paraId="30644901" w14:textId="77777777" w:rsidR="00AD493E" w:rsidRPr="00CD3501" w:rsidRDefault="00AD493E" w:rsidP="00A167CF">
      <w:pPr>
        <w:pStyle w:val="parrafos"/>
        <w:tabs>
          <w:tab w:val="clear" w:pos="360"/>
        </w:tabs>
        <w:rPr>
          <w:rFonts w:ascii="Cambria" w:hAnsi="Cambria"/>
          <w:lang w:val="es-ES_tradnl"/>
        </w:rPr>
      </w:pPr>
    </w:p>
    <w:p w14:paraId="0F52C8A6" w14:textId="4E20258F" w:rsidR="00797A75" w:rsidRPr="00CD3501" w:rsidRDefault="00497B9A"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La CIDH</w:t>
      </w:r>
      <w:r w:rsidR="00AD493E" w:rsidRPr="00CD3501">
        <w:rPr>
          <w:rFonts w:ascii="Cambria" w:hAnsi="Cambria"/>
          <w:lang w:val="es-ES_tradnl"/>
        </w:rPr>
        <w:t xml:space="preserve"> </w:t>
      </w:r>
      <w:r w:rsidR="00E24F1A" w:rsidRPr="00CD3501">
        <w:rPr>
          <w:rFonts w:ascii="Cambria" w:hAnsi="Cambria"/>
          <w:lang w:val="es-ES_tradnl"/>
        </w:rPr>
        <w:t>y otros organismos internacionales</w:t>
      </w:r>
      <w:r w:rsidR="00AD493E" w:rsidRPr="00CD3501">
        <w:rPr>
          <w:rFonts w:ascii="Cambria" w:hAnsi="Cambria"/>
          <w:lang w:val="es-ES_tradnl"/>
        </w:rPr>
        <w:t xml:space="preserve">, </w:t>
      </w:r>
      <w:r w:rsidR="0067120E" w:rsidRPr="00CD3501">
        <w:rPr>
          <w:rFonts w:ascii="Cambria" w:hAnsi="Cambria"/>
          <w:lang w:val="es-ES_tradnl"/>
        </w:rPr>
        <w:t>organizaciones no gubernamentales</w:t>
      </w:r>
      <w:r w:rsidR="00E24F1A" w:rsidRPr="00CD3501">
        <w:rPr>
          <w:rFonts w:ascii="Cambria" w:hAnsi="Cambria"/>
          <w:lang w:val="es-ES_tradnl"/>
        </w:rPr>
        <w:t xml:space="preserve"> y órganos nacionales han expresado preocupación por la situación de las </w:t>
      </w:r>
      <w:r w:rsidR="009E5620" w:rsidRPr="00CD3501">
        <w:rPr>
          <w:rFonts w:ascii="Cambria" w:hAnsi="Cambria"/>
          <w:lang w:val="es-ES_tradnl"/>
        </w:rPr>
        <w:t>personas LGBTI</w:t>
      </w:r>
      <w:r w:rsidR="00AD493E" w:rsidRPr="00CD3501">
        <w:rPr>
          <w:rFonts w:ascii="Cambria" w:hAnsi="Cambria"/>
          <w:lang w:val="es-ES_tradnl"/>
        </w:rPr>
        <w:t xml:space="preserve"> </w:t>
      </w:r>
      <w:r w:rsidR="00E24F1A" w:rsidRPr="00CD3501">
        <w:rPr>
          <w:rFonts w:ascii="Cambria" w:hAnsi="Cambria"/>
          <w:lang w:val="es-ES_tradnl"/>
        </w:rPr>
        <w:t>e</w:t>
      </w:r>
      <w:r w:rsidR="00AD493E" w:rsidRPr="00CD3501">
        <w:rPr>
          <w:rFonts w:ascii="Cambria" w:hAnsi="Cambria"/>
          <w:lang w:val="es-ES_tradnl"/>
        </w:rPr>
        <w:t xml:space="preserve">n Jamaica </w:t>
      </w:r>
      <w:r w:rsidR="00E24F1A" w:rsidRPr="00CD3501">
        <w:rPr>
          <w:rFonts w:ascii="Cambria" w:hAnsi="Cambria"/>
          <w:lang w:val="es-ES_tradnl"/>
        </w:rPr>
        <w:t xml:space="preserve">y han recalcado que la </w:t>
      </w:r>
      <w:r w:rsidR="009C26A2" w:rsidRPr="00CD3501">
        <w:rPr>
          <w:rFonts w:ascii="Cambria" w:hAnsi="Cambria"/>
          <w:lang w:val="es-ES_tradnl"/>
        </w:rPr>
        <w:t>existencia</w:t>
      </w:r>
      <w:r w:rsidR="00E24F1A" w:rsidRPr="00CD3501">
        <w:rPr>
          <w:rFonts w:ascii="Cambria" w:hAnsi="Cambria"/>
          <w:lang w:val="es-ES_tradnl"/>
        </w:rPr>
        <w:t xml:space="preserve"> de leyes que penalizan las relaciones sexuales </w:t>
      </w:r>
      <w:r w:rsidR="00AD493E" w:rsidRPr="00CD3501">
        <w:rPr>
          <w:rFonts w:ascii="Cambria" w:hAnsi="Cambria"/>
          <w:lang w:val="es-ES_tradnl"/>
        </w:rPr>
        <w:t>consensual</w:t>
      </w:r>
      <w:r w:rsidR="00E24F1A" w:rsidRPr="00CD3501">
        <w:rPr>
          <w:rFonts w:ascii="Cambria" w:hAnsi="Cambria"/>
          <w:lang w:val="es-ES_tradnl"/>
        </w:rPr>
        <w:t xml:space="preserve">es entre adultos del mismo sexo en privado </w:t>
      </w:r>
      <w:r w:rsidR="009C26A2" w:rsidRPr="00CD3501">
        <w:rPr>
          <w:rFonts w:ascii="Cambria" w:hAnsi="Cambria"/>
          <w:lang w:val="es-ES_tradnl"/>
        </w:rPr>
        <w:t xml:space="preserve">crea una cultura de </w:t>
      </w:r>
      <w:r w:rsidR="00AD493E" w:rsidRPr="00CD3501">
        <w:rPr>
          <w:rFonts w:ascii="Cambria" w:hAnsi="Cambria"/>
          <w:lang w:val="es-ES_tradnl"/>
        </w:rPr>
        <w:t>hostili</w:t>
      </w:r>
      <w:r w:rsidR="009C26A2" w:rsidRPr="00CD3501">
        <w:rPr>
          <w:rFonts w:ascii="Cambria" w:hAnsi="Cambria"/>
          <w:lang w:val="es-ES_tradnl"/>
        </w:rPr>
        <w:t>dad</w:t>
      </w:r>
      <w:r w:rsidR="00AD493E" w:rsidRPr="00CD3501">
        <w:rPr>
          <w:rFonts w:ascii="Cambria" w:hAnsi="Cambria"/>
          <w:lang w:val="es-ES_tradnl"/>
        </w:rPr>
        <w:t xml:space="preserve">, </w:t>
      </w:r>
      <w:r w:rsidR="00EC50E9" w:rsidRPr="00CD3501">
        <w:rPr>
          <w:rFonts w:ascii="Cambria" w:hAnsi="Cambria"/>
          <w:lang w:val="es-ES_tradnl"/>
        </w:rPr>
        <w:t>discriminación</w:t>
      </w:r>
      <w:r w:rsidR="00AD493E" w:rsidRPr="00CD3501">
        <w:rPr>
          <w:rFonts w:ascii="Cambria" w:hAnsi="Cambria"/>
          <w:lang w:val="es-ES_tradnl"/>
        </w:rPr>
        <w:t xml:space="preserve"> </w:t>
      </w:r>
      <w:r w:rsidR="009C26A2" w:rsidRPr="00CD3501">
        <w:rPr>
          <w:rFonts w:ascii="Cambria" w:hAnsi="Cambria"/>
          <w:lang w:val="es-ES_tradnl"/>
        </w:rPr>
        <w:t>y graves violaciones contra las</w:t>
      </w:r>
      <w:r w:rsidR="00AD493E" w:rsidRPr="00CD3501">
        <w:rPr>
          <w:rFonts w:ascii="Cambria" w:hAnsi="Cambria"/>
          <w:lang w:val="es-ES_tradnl"/>
        </w:rPr>
        <w:t xml:space="preserve"> </w:t>
      </w:r>
      <w:r w:rsidR="009E5620" w:rsidRPr="00CD3501">
        <w:rPr>
          <w:rFonts w:ascii="Cambria" w:hAnsi="Cambria"/>
          <w:lang w:val="es-ES_tradnl"/>
        </w:rPr>
        <w:t>personas LGBTI</w:t>
      </w:r>
      <w:r w:rsidR="00AD493E" w:rsidRPr="00CD3501">
        <w:rPr>
          <w:rStyle w:val="FootnoteReference"/>
          <w:rFonts w:ascii="Cambria" w:hAnsi="Cambria"/>
          <w:lang w:val="es-ES_tradnl"/>
        </w:rPr>
        <w:footnoteReference w:id="8"/>
      </w:r>
      <w:r w:rsidR="0040128E" w:rsidRPr="00CD3501">
        <w:rPr>
          <w:rFonts w:ascii="Cambria" w:hAnsi="Cambria"/>
          <w:lang w:val="es-ES_tradnl"/>
        </w:rPr>
        <w:t>.</w:t>
      </w:r>
      <w:r w:rsidR="00AD493E" w:rsidRPr="00CD3501">
        <w:rPr>
          <w:rFonts w:ascii="Cambria" w:hAnsi="Cambria"/>
          <w:lang w:val="es-ES_tradnl"/>
        </w:rPr>
        <w:t xml:space="preserve"> </w:t>
      </w:r>
    </w:p>
    <w:p w14:paraId="68810261" w14:textId="77777777" w:rsidR="00797A75" w:rsidRPr="00CD3501" w:rsidRDefault="00797A75" w:rsidP="00A167CF">
      <w:pPr>
        <w:pStyle w:val="parrafos"/>
        <w:tabs>
          <w:tab w:val="clear" w:pos="360"/>
        </w:tabs>
        <w:rPr>
          <w:rFonts w:ascii="Cambria" w:hAnsi="Cambria"/>
          <w:lang w:val="es-ES_tradnl"/>
        </w:rPr>
      </w:pPr>
    </w:p>
    <w:p w14:paraId="3401B7A9" w14:textId="1C01B323" w:rsidR="00AD493E" w:rsidRPr="00CD3501" w:rsidRDefault="009C26A2"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 xml:space="preserve">En su Informe sobre la situación de los derechos humanos en Jamaica, de </w:t>
      </w:r>
      <w:r w:rsidR="00AD493E" w:rsidRPr="00CD3501">
        <w:rPr>
          <w:rFonts w:ascii="Cambria" w:hAnsi="Cambria"/>
          <w:lang w:val="es-ES_tradnl"/>
        </w:rPr>
        <w:t>2012</w:t>
      </w:r>
      <w:r w:rsidRPr="00CD3501">
        <w:rPr>
          <w:rFonts w:ascii="Cambria" w:hAnsi="Cambria"/>
          <w:lang w:val="es-ES_tradnl"/>
        </w:rPr>
        <w:t xml:space="preserve">, </w:t>
      </w:r>
      <w:r w:rsidR="00497B9A" w:rsidRPr="00CD3501">
        <w:rPr>
          <w:rFonts w:ascii="Cambria" w:hAnsi="Cambria"/>
          <w:lang w:val="es-ES_tradnl"/>
        </w:rPr>
        <w:t>la Comisión</w:t>
      </w:r>
      <w:r w:rsidR="00AD493E" w:rsidRPr="00CD3501">
        <w:rPr>
          <w:rFonts w:ascii="Cambria" w:hAnsi="Cambria"/>
          <w:lang w:val="es-ES_tradnl"/>
        </w:rPr>
        <w:t xml:space="preserve"> </w:t>
      </w:r>
      <w:r w:rsidRPr="00CD3501">
        <w:rPr>
          <w:rFonts w:ascii="Cambria" w:hAnsi="Cambria"/>
          <w:lang w:val="es-ES_tradnl"/>
        </w:rPr>
        <w:t>señaló lo siguiente</w:t>
      </w:r>
      <w:r w:rsidR="00AD493E" w:rsidRPr="00CD3501">
        <w:rPr>
          <w:rFonts w:ascii="Cambria" w:hAnsi="Cambria"/>
          <w:lang w:val="es-ES_tradnl"/>
        </w:rPr>
        <w:t xml:space="preserve">: </w:t>
      </w:r>
    </w:p>
    <w:p w14:paraId="40EF9115" w14:textId="77777777" w:rsidR="00AD493E" w:rsidRPr="00CD3501" w:rsidRDefault="00AD493E" w:rsidP="00A167CF">
      <w:pPr>
        <w:pStyle w:val="parrafos"/>
        <w:tabs>
          <w:tab w:val="clear" w:pos="360"/>
        </w:tabs>
        <w:rPr>
          <w:rFonts w:ascii="Cambria" w:eastAsia="Cambria" w:hAnsi="Cambria" w:cs="Cambria"/>
          <w:color w:val="000000"/>
          <w:sz w:val="24"/>
          <w:szCs w:val="24"/>
          <w:u w:color="000000"/>
          <w:lang w:val="es-ES_tradnl" w:eastAsia="es-ES"/>
        </w:rPr>
      </w:pPr>
    </w:p>
    <w:p w14:paraId="419D9F6E" w14:textId="6BEF0900" w:rsidR="00AD493E" w:rsidRPr="00CD3501" w:rsidRDefault="00317BEA" w:rsidP="009C26A2">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t>[</w:t>
      </w:r>
      <w:r w:rsidR="002946D1" w:rsidRPr="00CD3501">
        <w:rPr>
          <w:rFonts w:asciiTheme="majorHAnsi" w:hAnsiTheme="majorHAnsi"/>
          <w:sz w:val="18"/>
          <w:szCs w:val="18"/>
          <w:lang w:val="es-ES_tradnl"/>
        </w:rPr>
        <w:t>...</w:t>
      </w:r>
      <w:r w:rsidRPr="00CD3501">
        <w:rPr>
          <w:rFonts w:asciiTheme="majorHAnsi" w:hAnsiTheme="majorHAnsi"/>
          <w:sz w:val="18"/>
          <w:szCs w:val="18"/>
          <w:lang w:val="es-ES_tradnl"/>
        </w:rPr>
        <w:t>]</w:t>
      </w:r>
      <w:r w:rsidR="002946D1" w:rsidRPr="00CD3501">
        <w:rPr>
          <w:rFonts w:asciiTheme="majorHAnsi" w:hAnsiTheme="majorHAnsi"/>
          <w:sz w:val="18"/>
          <w:szCs w:val="18"/>
          <w:lang w:val="es-ES_tradnl"/>
        </w:rPr>
        <w:t xml:space="preserve"> </w:t>
      </w:r>
      <w:r w:rsidR="009C26A2" w:rsidRPr="00CD3501">
        <w:rPr>
          <w:rFonts w:asciiTheme="majorHAnsi" w:hAnsiTheme="majorHAnsi"/>
          <w:sz w:val="18"/>
          <w:szCs w:val="18"/>
          <w:lang w:val="es-ES_tradnl"/>
        </w:rPr>
        <w:t xml:space="preserve">la discriminación basada en la orientación sexual, la identidad de género y la expresión de género es sistémica en el país y </w:t>
      </w:r>
      <w:r w:rsidR="008D4C90" w:rsidRPr="00CD3501">
        <w:rPr>
          <w:rFonts w:asciiTheme="majorHAnsi" w:hAnsiTheme="majorHAnsi"/>
          <w:sz w:val="18"/>
          <w:szCs w:val="18"/>
          <w:lang w:val="es-ES_tradnl"/>
        </w:rPr>
        <w:t>[...]</w:t>
      </w:r>
      <w:r w:rsidR="009C26A2" w:rsidRPr="00CD3501">
        <w:rPr>
          <w:rFonts w:asciiTheme="majorHAnsi" w:hAnsiTheme="majorHAnsi"/>
          <w:sz w:val="18"/>
          <w:szCs w:val="18"/>
          <w:lang w:val="es-ES_tradnl"/>
        </w:rPr>
        <w:t xml:space="preserve"> la discriminación contra los miembros de las comunidades de lesbianas, gays, bisexuales, trans e intersexuales (LGBTI) ha permeado profundamente las instituciones del Estado jamaiquino.</w:t>
      </w:r>
      <w:r w:rsidR="003067F3" w:rsidRPr="00CD3501">
        <w:rPr>
          <w:rFonts w:asciiTheme="majorHAnsi" w:hAnsiTheme="majorHAnsi"/>
          <w:sz w:val="18"/>
          <w:szCs w:val="18"/>
          <w:lang w:val="es-ES_tradnl"/>
        </w:rPr>
        <w:t xml:space="preserve"> </w:t>
      </w:r>
      <w:r w:rsidR="009C26A2" w:rsidRPr="00CD3501">
        <w:rPr>
          <w:rFonts w:asciiTheme="majorHAnsi" w:hAnsiTheme="majorHAnsi"/>
          <w:sz w:val="18"/>
          <w:szCs w:val="18"/>
          <w:lang w:val="es-ES_tradnl"/>
        </w:rPr>
        <w:t>Las personas que no son heterosexuales o cisgénero enfrentan</w:t>
      </w:r>
      <w:r w:rsidR="002946D1" w:rsidRPr="00CD3501">
        <w:rPr>
          <w:rFonts w:asciiTheme="majorHAnsi" w:hAnsiTheme="majorHAnsi"/>
          <w:sz w:val="18"/>
          <w:szCs w:val="18"/>
          <w:lang w:val="es-ES_tradnl"/>
        </w:rPr>
        <w:t xml:space="preserve"> </w:t>
      </w:r>
      <w:r w:rsidR="009C26A2" w:rsidRPr="00CD3501">
        <w:rPr>
          <w:rFonts w:asciiTheme="majorHAnsi" w:hAnsiTheme="majorHAnsi"/>
          <w:sz w:val="18"/>
          <w:szCs w:val="18"/>
          <w:lang w:val="es-ES_tradnl"/>
        </w:rPr>
        <w:t>estig</w:t>
      </w:r>
      <w:r w:rsidR="0040128E" w:rsidRPr="00CD3501">
        <w:rPr>
          <w:rFonts w:asciiTheme="majorHAnsi" w:hAnsiTheme="majorHAnsi"/>
          <w:sz w:val="18"/>
          <w:szCs w:val="18"/>
          <w:lang w:val="es-ES_tradnl"/>
        </w:rPr>
        <w:t xml:space="preserve">matización política y jurídica, </w:t>
      </w:r>
      <w:r w:rsidR="009C26A2" w:rsidRPr="00CD3501">
        <w:rPr>
          <w:rFonts w:asciiTheme="majorHAnsi" w:hAnsiTheme="majorHAnsi"/>
          <w:sz w:val="18"/>
          <w:szCs w:val="18"/>
          <w:lang w:val="es-ES_tradnl"/>
        </w:rPr>
        <w:t>violencia policial e imposibilidad de acceso al sistema de</w:t>
      </w:r>
      <w:r w:rsidR="002946D1" w:rsidRPr="00CD3501">
        <w:rPr>
          <w:rFonts w:asciiTheme="majorHAnsi" w:hAnsiTheme="majorHAnsi"/>
          <w:sz w:val="18"/>
          <w:szCs w:val="18"/>
          <w:lang w:val="es-ES_tradnl"/>
        </w:rPr>
        <w:t xml:space="preserve"> </w:t>
      </w:r>
      <w:r w:rsidR="009C26A2" w:rsidRPr="00CD3501">
        <w:rPr>
          <w:rFonts w:asciiTheme="majorHAnsi" w:hAnsiTheme="majorHAnsi"/>
          <w:sz w:val="18"/>
          <w:szCs w:val="18"/>
          <w:lang w:val="es-ES_tradnl"/>
        </w:rPr>
        <w:t>justicia, además de intimidación, violencia y presiones en sus hogares y comunidades</w:t>
      </w:r>
      <w:r w:rsidR="00AD493E" w:rsidRPr="00CD3501">
        <w:rPr>
          <w:rFonts w:asciiTheme="majorHAnsi" w:hAnsiTheme="majorHAnsi"/>
          <w:sz w:val="18"/>
          <w:szCs w:val="18"/>
          <w:lang w:val="es-ES_tradnl"/>
        </w:rPr>
        <w:t xml:space="preserve">. </w:t>
      </w:r>
    </w:p>
    <w:p w14:paraId="56FA1FC4" w14:textId="77777777" w:rsidR="00AD493E" w:rsidRPr="00CD3501" w:rsidRDefault="00AD493E"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p>
    <w:p w14:paraId="54A1961E" w14:textId="2297763F" w:rsidR="00AD493E" w:rsidRPr="00CD3501" w:rsidRDefault="00F07734" w:rsidP="002946D1">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t xml:space="preserve">Preocupa a la CIDH que </w:t>
      </w:r>
      <w:r w:rsidR="002946D1" w:rsidRPr="00CD3501">
        <w:rPr>
          <w:rFonts w:asciiTheme="majorHAnsi" w:hAnsiTheme="majorHAnsi"/>
          <w:sz w:val="18"/>
          <w:szCs w:val="18"/>
          <w:lang w:val="es-ES_tradnl"/>
        </w:rPr>
        <w:t>las leyes en contra de las actividades sexuales con consentimiento entre hombres adultos o de las conductas homosexuales pueda</w:t>
      </w:r>
      <w:r w:rsidRPr="00CD3501">
        <w:rPr>
          <w:rFonts w:asciiTheme="majorHAnsi" w:hAnsiTheme="majorHAnsi"/>
          <w:sz w:val="18"/>
          <w:szCs w:val="18"/>
          <w:lang w:val="es-ES_tradnl"/>
        </w:rPr>
        <w:t>n</w:t>
      </w:r>
      <w:r w:rsidR="002946D1" w:rsidRPr="00CD3501">
        <w:rPr>
          <w:rFonts w:asciiTheme="majorHAnsi" w:hAnsiTheme="majorHAnsi"/>
          <w:sz w:val="18"/>
          <w:szCs w:val="18"/>
          <w:lang w:val="es-ES_tradnl"/>
        </w:rPr>
        <w:t xml:space="preserve"> contribuir a un entorno que, en el mejor de los casos, no condena y, en el peor de ellos, condona la discriminación, la estigmatización y la violencia contra la comunidad LGBTI. La ley sirve como sanción social del abuso, ya que las personas LGBTI son consideradas de por sí como perpetradores de actividades ilegales.</w:t>
      </w:r>
      <w:r w:rsidR="003067F3" w:rsidRPr="00CD3501">
        <w:rPr>
          <w:rFonts w:asciiTheme="majorHAnsi" w:hAnsiTheme="majorHAnsi"/>
          <w:sz w:val="18"/>
          <w:szCs w:val="18"/>
          <w:lang w:val="es-ES_tradnl"/>
        </w:rPr>
        <w:t xml:space="preserve"> </w:t>
      </w:r>
      <w:r w:rsidR="002946D1" w:rsidRPr="00CD3501">
        <w:rPr>
          <w:rFonts w:asciiTheme="majorHAnsi" w:hAnsiTheme="majorHAnsi"/>
          <w:sz w:val="18"/>
          <w:szCs w:val="18"/>
          <w:lang w:val="es-ES_tradnl"/>
        </w:rPr>
        <w:t>Puesto que se contempla a las personas LGBTI como partícipes de actividades delictivas, es lógico inferir que es menos probable que la policía investigue los delitos en su contra</w:t>
      </w:r>
      <w:r w:rsidR="00AD493E" w:rsidRPr="00CD3501">
        <w:rPr>
          <w:rFonts w:asciiTheme="majorHAnsi" w:hAnsiTheme="majorHAnsi"/>
          <w:sz w:val="18"/>
          <w:szCs w:val="18"/>
          <w:vertAlign w:val="superscript"/>
          <w:lang w:val="es-ES_tradnl"/>
        </w:rPr>
        <w:footnoteReference w:id="9"/>
      </w:r>
      <w:r w:rsidR="00AD493E" w:rsidRPr="00CD3501">
        <w:rPr>
          <w:rFonts w:asciiTheme="majorHAnsi" w:hAnsiTheme="majorHAnsi"/>
          <w:sz w:val="18"/>
          <w:szCs w:val="18"/>
          <w:vertAlign w:val="superscript"/>
          <w:lang w:val="es-ES_tradnl"/>
        </w:rPr>
        <w:t xml:space="preserve"> </w:t>
      </w:r>
      <w:r w:rsidR="002946D1" w:rsidRPr="00CD3501">
        <w:rPr>
          <w:rFonts w:asciiTheme="majorHAnsi" w:hAnsiTheme="majorHAnsi"/>
          <w:sz w:val="18"/>
          <w:szCs w:val="18"/>
          <w:lang w:val="es-ES_tradnl"/>
        </w:rPr>
        <w:t>.</w:t>
      </w:r>
      <w:r w:rsidR="00AD493E" w:rsidRPr="00CD3501">
        <w:rPr>
          <w:rFonts w:asciiTheme="majorHAnsi" w:hAnsiTheme="majorHAnsi"/>
          <w:sz w:val="18"/>
          <w:szCs w:val="18"/>
          <w:lang w:val="es-ES_tradnl"/>
        </w:rPr>
        <w:t xml:space="preserve"> </w:t>
      </w:r>
    </w:p>
    <w:p w14:paraId="5608D6A9" w14:textId="77777777" w:rsidR="00AD493E" w:rsidRPr="00CD3501" w:rsidRDefault="00AD493E" w:rsidP="00A167CF">
      <w:pPr>
        <w:pStyle w:val="parrafos"/>
        <w:tabs>
          <w:tab w:val="clear" w:pos="360"/>
        </w:tabs>
        <w:rPr>
          <w:rFonts w:ascii="Cambria" w:hAnsi="Cambria"/>
          <w:lang w:val="es-ES_tradnl"/>
        </w:rPr>
      </w:pPr>
    </w:p>
    <w:p w14:paraId="68585170" w14:textId="14B0CA61" w:rsidR="00797A75" w:rsidRPr="00CD3501" w:rsidRDefault="002946D1"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 xml:space="preserve">Asimismo, en </w:t>
      </w:r>
      <w:r w:rsidR="00C60E64" w:rsidRPr="00CD3501">
        <w:rPr>
          <w:rFonts w:ascii="Cambria" w:hAnsi="Cambria"/>
          <w:lang w:val="es-ES_tradnl"/>
        </w:rPr>
        <w:t>2014</w:t>
      </w:r>
      <w:r w:rsidRPr="00CD3501">
        <w:rPr>
          <w:rFonts w:ascii="Cambria" w:hAnsi="Cambria"/>
          <w:lang w:val="es-ES_tradnl"/>
        </w:rPr>
        <w:t>,</w:t>
      </w:r>
      <w:r w:rsidR="00C60E64" w:rsidRPr="00CD3501">
        <w:rPr>
          <w:rFonts w:ascii="Cambria" w:hAnsi="Cambria"/>
          <w:lang w:val="es-ES_tradnl"/>
        </w:rPr>
        <w:t xml:space="preserve"> </w:t>
      </w:r>
      <w:r w:rsidR="00497B9A" w:rsidRPr="00CD3501">
        <w:rPr>
          <w:rFonts w:ascii="Cambria" w:hAnsi="Cambria"/>
          <w:lang w:val="es-ES_tradnl"/>
        </w:rPr>
        <w:t>la Comisión</w:t>
      </w:r>
      <w:r w:rsidR="00C60E64" w:rsidRPr="00CD3501">
        <w:rPr>
          <w:rFonts w:ascii="Cambria" w:hAnsi="Cambria"/>
          <w:lang w:val="es-ES_tradnl"/>
        </w:rPr>
        <w:t xml:space="preserve"> expres</w:t>
      </w:r>
      <w:r w:rsidRPr="00CD3501">
        <w:rPr>
          <w:rFonts w:ascii="Cambria" w:hAnsi="Cambria"/>
          <w:lang w:val="es-ES_tradnl"/>
        </w:rPr>
        <w:t xml:space="preserve">ó preocupación por la persistencia de la </w:t>
      </w:r>
      <w:r w:rsidR="00EC50E9" w:rsidRPr="00CD3501">
        <w:rPr>
          <w:rFonts w:ascii="Cambria" w:hAnsi="Cambria"/>
          <w:lang w:val="es-ES_tradnl"/>
        </w:rPr>
        <w:t>violencia</w:t>
      </w:r>
      <w:r w:rsidR="00AD493E" w:rsidRPr="00CD3501">
        <w:rPr>
          <w:rFonts w:ascii="Cambria" w:hAnsi="Cambria"/>
          <w:lang w:val="es-ES_tradnl"/>
        </w:rPr>
        <w:t xml:space="preserve">, </w:t>
      </w:r>
      <w:r w:rsidRPr="00CD3501">
        <w:rPr>
          <w:rFonts w:ascii="Cambria" w:hAnsi="Cambria"/>
          <w:lang w:val="es-ES_tradnl"/>
        </w:rPr>
        <w:t>la d</w:t>
      </w:r>
      <w:r w:rsidR="00EC50E9" w:rsidRPr="00CD3501">
        <w:rPr>
          <w:rFonts w:ascii="Cambria" w:hAnsi="Cambria"/>
          <w:lang w:val="es-ES_tradnl"/>
        </w:rPr>
        <w:t>iscriminación</w:t>
      </w:r>
      <w:r w:rsidR="00AD493E" w:rsidRPr="00CD3501">
        <w:rPr>
          <w:rFonts w:ascii="Cambria" w:hAnsi="Cambria"/>
          <w:lang w:val="es-ES_tradnl"/>
        </w:rPr>
        <w:t xml:space="preserve"> </w:t>
      </w:r>
      <w:r w:rsidRPr="00CD3501">
        <w:rPr>
          <w:rFonts w:ascii="Cambria" w:hAnsi="Cambria"/>
          <w:lang w:val="es-ES_tradnl"/>
        </w:rPr>
        <w:t>y l</w:t>
      </w:r>
      <w:r w:rsidR="00AD493E" w:rsidRPr="00CD3501">
        <w:rPr>
          <w:rFonts w:ascii="Cambria" w:hAnsi="Cambria"/>
          <w:lang w:val="es-ES_tradnl"/>
        </w:rPr>
        <w:t>a</w:t>
      </w:r>
      <w:r w:rsidRPr="00CD3501">
        <w:rPr>
          <w:rFonts w:ascii="Cambria" w:hAnsi="Cambria"/>
          <w:lang w:val="es-ES_tradnl"/>
        </w:rPr>
        <w:t xml:space="preserve"> </w:t>
      </w:r>
      <w:r w:rsidR="00AD493E" w:rsidRPr="00CD3501">
        <w:rPr>
          <w:rFonts w:ascii="Cambria" w:hAnsi="Cambria"/>
          <w:lang w:val="es-ES_tradnl"/>
        </w:rPr>
        <w:t>hostili</w:t>
      </w:r>
      <w:r w:rsidRPr="00CD3501">
        <w:rPr>
          <w:rFonts w:ascii="Cambria" w:hAnsi="Cambria"/>
          <w:lang w:val="es-ES_tradnl"/>
        </w:rPr>
        <w:t xml:space="preserve">dad contra las </w:t>
      </w:r>
      <w:r w:rsidR="009E5620" w:rsidRPr="00CD3501">
        <w:rPr>
          <w:rFonts w:ascii="Cambria" w:hAnsi="Cambria"/>
          <w:lang w:val="es-ES_tradnl"/>
        </w:rPr>
        <w:t>personas LGBTI</w:t>
      </w:r>
      <w:r w:rsidR="00AD493E" w:rsidRPr="00CD3501">
        <w:rPr>
          <w:rFonts w:ascii="Cambria" w:hAnsi="Cambria"/>
          <w:lang w:val="es-ES_tradnl"/>
        </w:rPr>
        <w:t xml:space="preserve"> </w:t>
      </w:r>
      <w:r w:rsidRPr="00CD3501">
        <w:rPr>
          <w:rFonts w:ascii="Cambria" w:hAnsi="Cambria"/>
          <w:lang w:val="es-ES_tradnl"/>
        </w:rPr>
        <w:t>e</w:t>
      </w:r>
      <w:r w:rsidR="00AD493E" w:rsidRPr="00CD3501">
        <w:rPr>
          <w:rFonts w:ascii="Cambria" w:hAnsi="Cambria"/>
          <w:lang w:val="es-ES_tradnl"/>
        </w:rPr>
        <w:t>n Jamaica</w:t>
      </w:r>
      <w:r w:rsidRPr="00CD3501">
        <w:rPr>
          <w:rFonts w:ascii="Cambria" w:hAnsi="Cambria"/>
          <w:lang w:val="es-ES_tradnl"/>
        </w:rPr>
        <w:t xml:space="preserve"> y por la falta de leyes contra la </w:t>
      </w:r>
      <w:r w:rsidR="00EC50E9" w:rsidRPr="00CD3501">
        <w:rPr>
          <w:rFonts w:ascii="Cambria" w:hAnsi="Cambria"/>
          <w:lang w:val="es-ES_tradnl"/>
        </w:rPr>
        <w:t>discriminación</w:t>
      </w:r>
      <w:r w:rsidR="00AD493E" w:rsidRPr="00CD3501">
        <w:rPr>
          <w:rFonts w:ascii="Cambria" w:hAnsi="Cambria"/>
          <w:lang w:val="es-ES_tradnl"/>
        </w:rPr>
        <w:t xml:space="preserve"> </w:t>
      </w:r>
      <w:r w:rsidRPr="00CD3501">
        <w:rPr>
          <w:rFonts w:ascii="Cambria" w:hAnsi="Cambria"/>
          <w:lang w:val="es-ES_tradnl"/>
        </w:rPr>
        <w:t>para abordar este problema. Expresó especial preocupación por la situación de carencia de hogar y el desplazamiento de los hombres jóvenes que tienen relaciones sexuales con otros hombres</w:t>
      </w:r>
      <w:r w:rsidR="00AD493E" w:rsidRPr="00CD3501">
        <w:rPr>
          <w:rFonts w:ascii="Cambria" w:hAnsi="Cambria"/>
          <w:lang w:val="es-ES_tradnl"/>
        </w:rPr>
        <w:t xml:space="preserve"> </w:t>
      </w:r>
      <w:r w:rsidRPr="00CD3501">
        <w:rPr>
          <w:rFonts w:ascii="Cambria" w:hAnsi="Cambria"/>
          <w:lang w:val="es-ES_tradnl"/>
        </w:rPr>
        <w:t xml:space="preserve">y por los </w:t>
      </w:r>
      <w:r w:rsidR="00AD493E" w:rsidRPr="00CD3501">
        <w:rPr>
          <w:rFonts w:ascii="Cambria" w:hAnsi="Cambria"/>
          <w:lang w:val="es-ES_tradnl"/>
        </w:rPr>
        <w:t>obst</w:t>
      </w:r>
      <w:r w:rsidRPr="00CD3501">
        <w:rPr>
          <w:rFonts w:ascii="Cambria" w:hAnsi="Cambria"/>
          <w:lang w:val="es-ES_tradnl"/>
        </w:rPr>
        <w:t xml:space="preserve">áculos que enfrentan las </w:t>
      </w:r>
      <w:r w:rsidR="009E5620" w:rsidRPr="00CD3501">
        <w:rPr>
          <w:rFonts w:ascii="Cambria" w:hAnsi="Cambria"/>
          <w:lang w:val="es-ES_tradnl"/>
        </w:rPr>
        <w:t>personas LGBTI</w:t>
      </w:r>
      <w:r w:rsidR="00AD493E" w:rsidRPr="00CD3501">
        <w:rPr>
          <w:rFonts w:ascii="Cambria" w:hAnsi="Cambria"/>
          <w:lang w:val="es-ES_tradnl"/>
        </w:rPr>
        <w:t xml:space="preserve"> </w:t>
      </w:r>
      <w:r w:rsidRPr="00CD3501">
        <w:rPr>
          <w:rFonts w:ascii="Cambria" w:hAnsi="Cambria"/>
          <w:lang w:val="es-ES_tradnl"/>
        </w:rPr>
        <w:t xml:space="preserve">para tener acceso a la justicia y a servicios de salud, </w:t>
      </w:r>
      <w:r w:rsidR="00F07734" w:rsidRPr="00CD3501">
        <w:rPr>
          <w:rFonts w:ascii="Cambria" w:hAnsi="Cambria"/>
          <w:lang w:val="es-ES_tradnl"/>
        </w:rPr>
        <w:t xml:space="preserve">porque temen </w:t>
      </w:r>
      <w:r w:rsidRPr="00CD3501">
        <w:rPr>
          <w:rFonts w:ascii="Cambria" w:hAnsi="Cambria"/>
          <w:lang w:val="es-ES_tradnl"/>
        </w:rPr>
        <w:t xml:space="preserve">que revelar su </w:t>
      </w:r>
      <w:r w:rsidR="000A3FB7" w:rsidRPr="00CD3501">
        <w:rPr>
          <w:rFonts w:ascii="Cambria" w:hAnsi="Cambria"/>
          <w:lang w:val="es-ES_tradnl"/>
        </w:rPr>
        <w:t>orientación sexual</w:t>
      </w:r>
      <w:r w:rsidR="00AD493E" w:rsidRPr="00CD3501">
        <w:rPr>
          <w:rFonts w:ascii="Cambria" w:hAnsi="Cambria"/>
          <w:lang w:val="es-ES_tradnl"/>
        </w:rPr>
        <w:t xml:space="preserve"> </w:t>
      </w:r>
      <w:r w:rsidRPr="00CD3501">
        <w:rPr>
          <w:rFonts w:ascii="Cambria" w:hAnsi="Cambria"/>
          <w:lang w:val="es-ES_tradnl"/>
        </w:rPr>
        <w:t xml:space="preserve">e </w:t>
      </w:r>
      <w:r w:rsidR="00EC50E9" w:rsidRPr="00CD3501">
        <w:rPr>
          <w:rFonts w:ascii="Cambria" w:hAnsi="Cambria"/>
          <w:lang w:val="es-ES_tradnl"/>
        </w:rPr>
        <w:t>identidad de género</w:t>
      </w:r>
      <w:r w:rsidR="00AD493E" w:rsidRPr="00CD3501">
        <w:rPr>
          <w:rFonts w:ascii="Cambria" w:hAnsi="Cambria"/>
          <w:lang w:val="es-ES_tradnl"/>
        </w:rPr>
        <w:t xml:space="preserve"> </w:t>
      </w:r>
      <w:r w:rsidRPr="00CD3501">
        <w:rPr>
          <w:rFonts w:ascii="Cambria" w:hAnsi="Cambria"/>
          <w:lang w:val="es-ES_tradnl"/>
        </w:rPr>
        <w:t>lleve al e</w:t>
      </w:r>
      <w:r w:rsidR="00AD493E" w:rsidRPr="00CD3501">
        <w:rPr>
          <w:rFonts w:ascii="Cambria" w:hAnsi="Cambria"/>
          <w:lang w:val="es-ES_tradnl"/>
        </w:rPr>
        <w:t xml:space="preserve">stigma </w:t>
      </w:r>
      <w:r w:rsidRPr="00CD3501">
        <w:rPr>
          <w:rFonts w:ascii="Cambria" w:hAnsi="Cambria"/>
          <w:lang w:val="es-ES_tradnl"/>
        </w:rPr>
        <w:t xml:space="preserve">y a más violaciones en un país </w:t>
      </w:r>
      <w:r w:rsidR="0067120E" w:rsidRPr="00CD3501">
        <w:rPr>
          <w:rFonts w:ascii="Cambria" w:hAnsi="Cambria"/>
          <w:lang w:val="es-ES_tradnl"/>
        </w:rPr>
        <w:t xml:space="preserve">que penaliza las relaciones íntimas </w:t>
      </w:r>
      <w:r w:rsidR="00AD493E" w:rsidRPr="00CD3501">
        <w:rPr>
          <w:rFonts w:ascii="Cambria" w:hAnsi="Cambria"/>
          <w:lang w:val="es-ES_tradnl"/>
        </w:rPr>
        <w:t>consensual</w:t>
      </w:r>
      <w:r w:rsidR="0067120E" w:rsidRPr="00CD3501">
        <w:rPr>
          <w:rFonts w:ascii="Cambria" w:hAnsi="Cambria"/>
          <w:lang w:val="es-ES_tradnl"/>
        </w:rPr>
        <w:t>es</w:t>
      </w:r>
      <w:r w:rsidR="00AD493E" w:rsidRPr="00CD3501">
        <w:rPr>
          <w:rFonts w:ascii="Cambria" w:hAnsi="Cambria"/>
          <w:lang w:val="es-ES_tradnl"/>
        </w:rPr>
        <w:t xml:space="preserve"> </w:t>
      </w:r>
      <w:r w:rsidR="0067120E" w:rsidRPr="00CD3501">
        <w:rPr>
          <w:rFonts w:ascii="Cambria" w:hAnsi="Cambria"/>
          <w:lang w:val="es-ES_tradnl"/>
        </w:rPr>
        <w:t>entre adultos del mismo sexo</w:t>
      </w:r>
      <w:r w:rsidR="00AD493E" w:rsidRPr="00CD3501">
        <w:rPr>
          <w:rStyle w:val="FootnoteReference"/>
          <w:rFonts w:ascii="Cambria" w:hAnsi="Cambria"/>
          <w:lang w:val="es-ES_tradnl"/>
        </w:rPr>
        <w:footnoteReference w:id="10"/>
      </w:r>
      <w:r w:rsidRPr="00CD3501">
        <w:rPr>
          <w:rFonts w:ascii="Cambria" w:hAnsi="Cambria"/>
          <w:lang w:val="es-ES_tradnl"/>
        </w:rPr>
        <w:t>.</w:t>
      </w:r>
    </w:p>
    <w:p w14:paraId="6B9C99A2" w14:textId="77777777" w:rsidR="00797A75" w:rsidRPr="00CD3501" w:rsidRDefault="00797A75" w:rsidP="00A167CF">
      <w:pPr>
        <w:pStyle w:val="parrafos"/>
        <w:tabs>
          <w:tab w:val="clear" w:pos="360"/>
        </w:tabs>
        <w:rPr>
          <w:rFonts w:ascii="Cambria" w:hAnsi="Cambria"/>
          <w:lang w:val="es-ES_tradnl"/>
        </w:rPr>
      </w:pPr>
    </w:p>
    <w:p w14:paraId="5370D2A1" w14:textId="00433FA0" w:rsidR="00AD493E" w:rsidRPr="00CD3501" w:rsidRDefault="002946D1"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lastRenderedPageBreak/>
        <w:t xml:space="preserve">Asimismo, en su </w:t>
      </w:r>
      <w:r w:rsidR="00834977" w:rsidRPr="00CD3501">
        <w:rPr>
          <w:rFonts w:ascii="Cambria" w:hAnsi="Cambria"/>
          <w:lang w:val="es-ES_tradnl"/>
        </w:rPr>
        <w:t xml:space="preserve">informe de </w:t>
      </w:r>
      <w:r w:rsidR="00AD493E" w:rsidRPr="00CD3501">
        <w:rPr>
          <w:rFonts w:ascii="Cambria" w:hAnsi="Cambria"/>
          <w:lang w:val="es-ES_tradnl"/>
        </w:rPr>
        <w:t xml:space="preserve">2015 </w:t>
      </w:r>
      <w:r w:rsidR="00834977" w:rsidRPr="00CD3501">
        <w:rPr>
          <w:rFonts w:ascii="Cambria" w:hAnsi="Cambria"/>
          <w:lang w:val="es-ES_tradnl"/>
        </w:rPr>
        <w:t>sobre la violencia contra las personas</w:t>
      </w:r>
      <w:r w:rsidR="00AD493E" w:rsidRPr="00CD3501">
        <w:rPr>
          <w:rFonts w:ascii="Cambria" w:hAnsi="Cambria"/>
          <w:lang w:val="es-ES_tradnl"/>
        </w:rPr>
        <w:t xml:space="preserve"> LGBTI, </w:t>
      </w:r>
      <w:r w:rsidR="00497B9A" w:rsidRPr="00CD3501">
        <w:rPr>
          <w:rFonts w:ascii="Cambria" w:hAnsi="Cambria"/>
          <w:lang w:val="es-ES_tradnl"/>
        </w:rPr>
        <w:t>la CIDH</w:t>
      </w:r>
      <w:r w:rsidR="00AD493E" w:rsidRPr="00CD3501">
        <w:rPr>
          <w:rFonts w:ascii="Cambria" w:hAnsi="Cambria"/>
          <w:lang w:val="es-ES_tradnl"/>
        </w:rPr>
        <w:t xml:space="preserve"> expres</w:t>
      </w:r>
      <w:r w:rsidR="00834977" w:rsidRPr="00CD3501">
        <w:rPr>
          <w:rFonts w:ascii="Cambria" w:hAnsi="Cambria"/>
          <w:lang w:val="es-ES_tradnl"/>
        </w:rPr>
        <w:t xml:space="preserve">ó preocupación por el impacto de la ley que penaliza las relaciones sexuales </w:t>
      </w:r>
      <w:r w:rsidR="00AD493E" w:rsidRPr="00CD3501">
        <w:rPr>
          <w:rFonts w:ascii="Cambria" w:hAnsi="Cambria"/>
          <w:lang w:val="es-ES_tradnl"/>
        </w:rPr>
        <w:t>consensual</w:t>
      </w:r>
      <w:r w:rsidR="00834977" w:rsidRPr="00CD3501">
        <w:rPr>
          <w:rFonts w:ascii="Cambria" w:hAnsi="Cambria"/>
          <w:lang w:val="es-ES_tradnl"/>
        </w:rPr>
        <w:t xml:space="preserve">es entre personas del mismo sexo en </w:t>
      </w:r>
      <w:r w:rsidR="00AD493E" w:rsidRPr="00CD3501">
        <w:rPr>
          <w:rFonts w:ascii="Cambria" w:hAnsi="Cambria"/>
          <w:lang w:val="es-ES_tradnl"/>
        </w:rPr>
        <w:t xml:space="preserve">Jamaica, </w:t>
      </w:r>
      <w:r w:rsidR="00834977" w:rsidRPr="00CD3501">
        <w:rPr>
          <w:rFonts w:ascii="Cambria" w:hAnsi="Cambria"/>
          <w:lang w:val="es-ES_tradnl"/>
        </w:rPr>
        <w:t>aunque no se la aplique, especialmente con respecto a los derechos a la vida, la integridad personal</w:t>
      </w:r>
      <w:r w:rsidR="00AD493E" w:rsidRPr="00CD3501">
        <w:rPr>
          <w:rFonts w:ascii="Cambria" w:hAnsi="Cambria"/>
          <w:lang w:val="es-ES_tradnl"/>
        </w:rPr>
        <w:t xml:space="preserve">, </w:t>
      </w:r>
      <w:r w:rsidR="009F139A" w:rsidRPr="00CD3501">
        <w:rPr>
          <w:rFonts w:ascii="Cambria" w:hAnsi="Cambria"/>
          <w:lang w:val="es-ES_tradnl"/>
        </w:rPr>
        <w:t xml:space="preserve">la libertad </w:t>
      </w:r>
      <w:r w:rsidR="00AD493E" w:rsidRPr="00CD3501">
        <w:rPr>
          <w:rFonts w:ascii="Cambria" w:hAnsi="Cambria"/>
          <w:lang w:val="es-ES_tradnl"/>
        </w:rPr>
        <w:t>personal</w:t>
      </w:r>
      <w:r w:rsidR="009F139A" w:rsidRPr="00CD3501">
        <w:rPr>
          <w:rFonts w:ascii="Cambria" w:hAnsi="Cambria"/>
          <w:lang w:val="es-ES_tradnl"/>
        </w:rPr>
        <w:t>, la intimidad y el acceso a servicios de salud y de otros tipos</w:t>
      </w:r>
      <w:r w:rsidR="00AD493E" w:rsidRPr="00CD3501">
        <w:rPr>
          <w:rFonts w:ascii="Cambria" w:hAnsi="Cambria"/>
          <w:lang w:val="es-ES_tradnl"/>
        </w:rPr>
        <w:t>.</w:t>
      </w:r>
      <w:r w:rsidR="003067F3" w:rsidRPr="00CD3501">
        <w:rPr>
          <w:rFonts w:ascii="Cambria" w:hAnsi="Cambria"/>
          <w:lang w:val="es-ES_tradnl"/>
        </w:rPr>
        <w:t xml:space="preserve"> </w:t>
      </w:r>
      <w:r w:rsidR="00497B9A" w:rsidRPr="00CD3501">
        <w:rPr>
          <w:rFonts w:ascii="Cambria" w:hAnsi="Cambria"/>
          <w:lang w:val="es-ES_tradnl"/>
        </w:rPr>
        <w:t>La Comisión</w:t>
      </w:r>
      <w:r w:rsidR="00AD493E" w:rsidRPr="00CD3501">
        <w:rPr>
          <w:rFonts w:ascii="Cambria" w:hAnsi="Cambria"/>
          <w:lang w:val="es-ES_tradnl"/>
        </w:rPr>
        <w:t xml:space="preserve"> </w:t>
      </w:r>
      <w:r w:rsidR="009F139A" w:rsidRPr="00CD3501">
        <w:rPr>
          <w:rFonts w:ascii="Cambria" w:hAnsi="Cambria"/>
          <w:lang w:val="es-ES_tradnl"/>
        </w:rPr>
        <w:t>observ</w:t>
      </w:r>
      <w:r w:rsidR="00F07734" w:rsidRPr="00CD3501">
        <w:rPr>
          <w:rFonts w:ascii="Cambria" w:hAnsi="Cambria"/>
          <w:lang w:val="es-ES_tradnl"/>
        </w:rPr>
        <w:t>ó</w:t>
      </w:r>
      <w:r w:rsidR="009F139A" w:rsidRPr="00CD3501">
        <w:rPr>
          <w:rFonts w:ascii="Cambria" w:hAnsi="Cambria"/>
          <w:lang w:val="es-ES_tradnl"/>
        </w:rPr>
        <w:t xml:space="preserve"> lo siguiente</w:t>
      </w:r>
      <w:r w:rsidR="00AD493E" w:rsidRPr="00CD3501">
        <w:rPr>
          <w:rFonts w:ascii="Cambria" w:hAnsi="Cambria"/>
          <w:lang w:val="es-ES_tradnl"/>
        </w:rPr>
        <w:t>:</w:t>
      </w:r>
    </w:p>
    <w:p w14:paraId="54C9DD05" w14:textId="77777777" w:rsidR="00C84513" w:rsidRPr="00CD3501" w:rsidRDefault="00C84513" w:rsidP="00A167CF">
      <w:pPr>
        <w:pStyle w:val="parrafos"/>
        <w:tabs>
          <w:tab w:val="clear" w:pos="360"/>
        </w:tabs>
        <w:rPr>
          <w:rFonts w:ascii="Cambria" w:hAnsi="Cambria"/>
          <w:lang w:val="es-ES_tradnl"/>
        </w:rPr>
      </w:pPr>
    </w:p>
    <w:p w14:paraId="2A4D4B13" w14:textId="0D97434D" w:rsidR="00AD493E" w:rsidRPr="00CD3501" w:rsidRDefault="00EF0764" w:rsidP="00EF0764">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t>Estas leyes refuerzan prejuicios sociales ya existentes y aumentan considerablemente los efectos negativos que estos prejuicios tienen en las vidas de las personas LGBT. La criminalización de relaciones sexuales entre hombres también tiene un efecto simbólico ya que ante los ojos del sistema legal donde dicha criminalización se</w:t>
      </w:r>
      <w:r w:rsidR="00215292" w:rsidRPr="00CD3501">
        <w:rPr>
          <w:rFonts w:asciiTheme="majorHAnsi" w:hAnsiTheme="majorHAnsi"/>
          <w:sz w:val="18"/>
          <w:szCs w:val="18"/>
          <w:lang w:val="es-ES_tradnl"/>
        </w:rPr>
        <w:t xml:space="preserve"> </w:t>
      </w:r>
      <w:r w:rsidR="0040128E" w:rsidRPr="00CD3501">
        <w:rPr>
          <w:rFonts w:asciiTheme="majorHAnsi" w:hAnsiTheme="majorHAnsi"/>
          <w:sz w:val="18"/>
          <w:szCs w:val="18"/>
          <w:lang w:val="es-ES_tradnl"/>
        </w:rPr>
        <w:t xml:space="preserve">encuentra en vigencia, </w:t>
      </w:r>
      <w:r w:rsidRPr="00CD3501">
        <w:rPr>
          <w:rFonts w:asciiTheme="majorHAnsi" w:hAnsiTheme="majorHAnsi"/>
          <w:sz w:val="18"/>
          <w:szCs w:val="18"/>
          <w:lang w:val="es-ES_tradnl"/>
        </w:rPr>
        <w:t>“todos los hombres gay son criminales”</w:t>
      </w:r>
      <w:r w:rsidR="00AD493E" w:rsidRPr="00CD3501">
        <w:rPr>
          <w:rFonts w:asciiTheme="majorHAnsi" w:hAnsiTheme="majorHAnsi"/>
          <w:sz w:val="18"/>
          <w:szCs w:val="18"/>
          <w:lang w:val="es-ES_tradnl"/>
        </w:rPr>
        <w:t xml:space="preserve">. </w:t>
      </w:r>
      <w:r w:rsidR="002F1404" w:rsidRPr="00CD3501">
        <w:rPr>
          <w:rFonts w:asciiTheme="majorHAnsi" w:hAnsiTheme="majorHAnsi"/>
          <w:sz w:val="18"/>
          <w:szCs w:val="18"/>
          <w:lang w:val="es-ES_tradnl"/>
        </w:rPr>
        <w:t>Por ejemplo, las leyes contra la sodomía son utilizadas como un mecanismo de “control social y dominación” que permite a los Estados legitimar y contribuir a la estigmatización de las personas LGBT como individuos “inmorales”.</w:t>
      </w:r>
      <w:r w:rsidR="00215292" w:rsidRPr="00CD3501">
        <w:rPr>
          <w:rFonts w:asciiTheme="majorHAnsi" w:hAnsiTheme="majorHAnsi"/>
          <w:sz w:val="18"/>
          <w:szCs w:val="18"/>
          <w:lang w:val="es-ES_tradnl"/>
        </w:rPr>
        <w:t xml:space="preserve"> </w:t>
      </w:r>
      <w:r w:rsidRPr="00CD3501">
        <w:rPr>
          <w:rFonts w:asciiTheme="majorHAnsi" w:hAnsiTheme="majorHAnsi"/>
          <w:sz w:val="18"/>
          <w:szCs w:val="18"/>
          <w:lang w:val="es-ES_tradnl"/>
        </w:rPr>
        <w:t>Además, estas leyes han sido utilizadas para justificar detenciones arbitrarias, arrestos e incluso actos de tortura contra personas LGBT</w:t>
      </w:r>
      <w:r w:rsidR="00AD493E" w:rsidRPr="00CD3501">
        <w:rPr>
          <w:rFonts w:asciiTheme="majorHAnsi" w:hAnsiTheme="majorHAnsi"/>
          <w:sz w:val="18"/>
          <w:szCs w:val="18"/>
          <w:vertAlign w:val="superscript"/>
          <w:lang w:val="es-ES_tradnl"/>
        </w:rPr>
        <w:footnoteReference w:id="11"/>
      </w:r>
      <w:r w:rsidRPr="00CD3501">
        <w:rPr>
          <w:rFonts w:asciiTheme="majorHAnsi" w:hAnsiTheme="majorHAnsi"/>
          <w:sz w:val="18"/>
          <w:szCs w:val="18"/>
          <w:lang w:val="es-ES_tradnl"/>
        </w:rPr>
        <w:t>.</w:t>
      </w:r>
    </w:p>
    <w:p w14:paraId="7245D08C" w14:textId="77777777" w:rsidR="00AD493E" w:rsidRPr="00CD3501" w:rsidRDefault="00AD493E" w:rsidP="00EF0764">
      <w:pPr>
        <w:rPr>
          <w:lang w:val="es-ES_tradnl"/>
        </w:rPr>
      </w:pPr>
    </w:p>
    <w:p w14:paraId="56C111F9" w14:textId="792E1CB6" w:rsidR="00661522" w:rsidRPr="00CD3501" w:rsidRDefault="009F139A" w:rsidP="00C12E55">
      <w:pPr>
        <w:pStyle w:val="parrafos"/>
        <w:numPr>
          <w:ilvl w:val="0"/>
          <w:numId w:val="57"/>
        </w:numPr>
        <w:tabs>
          <w:tab w:val="clear" w:pos="360"/>
          <w:tab w:val="clear" w:pos="1080"/>
        </w:tabs>
        <w:ind w:left="0" w:firstLine="0"/>
        <w:rPr>
          <w:rStyle w:val="FootnoteReference"/>
          <w:rFonts w:ascii="Cambria" w:hAnsi="Cambria"/>
          <w:vertAlign w:val="baseline"/>
          <w:lang w:val="es-ES_tradnl"/>
        </w:rPr>
      </w:pPr>
      <w:r w:rsidRPr="00CD3501">
        <w:rPr>
          <w:rFonts w:ascii="Cambria" w:hAnsi="Cambria"/>
          <w:lang w:val="es-ES_tradnl"/>
        </w:rPr>
        <w:t xml:space="preserve">En su informe de </w:t>
      </w:r>
      <w:r w:rsidR="00AD493E" w:rsidRPr="00CD3501">
        <w:rPr>
          <w:rFonts w:ascii="Cambria" w:hAnsi="Cambria"/>
          <w:lang w:val="es-ES_tradnl"/>
        </w:rPr>
        <w:t xml:space="preserve">2014, Human Rights </w:t>
      </w:r>
      <w:r w:rsidR="004B6077" w:rsidRPr="00CD3501">
        <w:rPr>
          <w:rFonts w:ascii="Cambria" w:hAnsi="Cambria"/>
          <w:lang w:val="es-ES_tradnl"/>
        </w:rPr>
        <w:t>W</w:t>
      </w:r>
      <w:r w:rsidR="00AD493E" w:rsidRPr="00CD3501">
        <w:rPr>
          <w:rFonts w:ascii="Cambria" w:hAnsi="Cambria"/>
          <w:lang w:val="es-ES_tradnl"/>
        </w:rPr>
        <w:t xml:space="preserve">atch </w:t>
      </w:r>
      <w:r w:rsidRPr="00CD3501">
        <w:rPr>
          <w:rFonts w:ascii="Cambria" w:hAnsi="Cambria"/>
          <w:lang w:val="es-ES_tradnl"/>
        </w:rPr>
        <w:t>señaló que</w:t>
      </w:r>
      <w:r w:rsidR="004B1281" w:rsidRPr="00CD3501">
        <w:rPr>
          <w:rFonts w:ascii="Cambria" w:hAnsi="Cambria"/>
          <w:lang w:val="es-ES_tradnl"/>
        </w:rPr>
        <w:t xml:space="preserve">, en la sociedad jamaiquina, son generalizados los índices elevados de delitos violentos, la falta de confianza del público en la policía, el bajo índice de denuncia de delitos, las bajas tasas de </w:t>
      </w:r>
      <w:r w:rsidR="00215292" w:rsidRPr="00CD3501">
        <w:rPr>
          <w:rFonts w:ascii="Cambria" w:hAnsi="Cambria"/>
          <w:lang w:val="es-ES_tradnl"/>
        </w:rPr>
        <w:t xml:space="preserve">juzgamiento </w:t>
      </w:r>
      <w:r w:rsidR="004B1281" w:rsidRPr="00CD3501">
        <w:rPr>
          <w:rFonts w:ascii="Cambria" w:hAnsi="Cambria"/>
          <w:lang w:val="es-ES_tradnl"/>
        </w:rPr>
        <w:t>y la percepción de que la justicia está sesgada en contra de los pobres</w:t>
      </w:r>
      <w:r w:rsidR="00AD493E" w:rsidRPr="00CD3501">
        <w:rPr>
          <w:rFonts w:ascii="Cambria" w:hAnsi="Cambria"/>
          <w:lang w:val="es-ES_tradnl"/>
        </w:rPr>
        <w:t xml:space="preserve">. </w:t>
      </w:r>
      <w:r w:rsidR="004B1281" w:rsidRPr="00CD3501">
        <w:rPr>
          <w:rFonts w:ascii="Cambria" w:hAnsi="Cambria"/>
          <w:lang w:val="es-ES_tradnl"/>
        </w:rPr>
        <w:t xml:space="preserve">Sin embargo, los jamaiquinos </w:t>
      </w:r>
      <w:r w:rsidR="00AD493E" w:rsidRPr="00CD3501">
        <w:rPr>
          <w:rFonts w:ascii="Cambria" w:hAnsi="Cambria"/>
          <w:lang w:val="es-ES_tradnl"/>
        </w:rPr>
        <w:t>LGBT</w:t>
      </w:r>
      <w:r w:rsidR="004B1281" w:rsidRPr="00CD3501">
        <w:rPr>
          <w:rFonts w:ascii="Cambria" w:hAnsi="Cambria"/>
          <w:lang w:val="es-ES_tradnl"/>
        </w:rPr>
        <w:t xml:space="preserve">, en particular los que son pobres y no pueden vivir en zonas más seguras y ricas, son </w:t>
      </w:r>
      <w:r w:rsidR="00AD493E" w:rsidRPr="00CD3501">
        <w:rPr>
          <w:rFonts w:ascii="Cambria" w:hAnsi="Cambria"/>
          <w:lang w:val="es-ES_tradnl"/>
        </w:rPr>
        <w:t>vulnerable</w:t>
      </w:r>
      <w:r w:rsidR="004B1281" w:rsidRPr="00CD3501">
        <w:rPr>
          <w:rFonts w:ascii="Cambria" w:hAnsi="Cambria"/>
          <w:lang w:val="es-ES_tradnl"/>
        </w:rPr>
        <w:t xml:space="preserve">s a la </w:t>
      </w:r>
      <w:r w:rsidR="00EC50E9" w:rsidRPr="00CD3501">
        <w:rPr>
          <w:rFonts w:ascii="Cambria" w:hAnsi="Cambria"/>
          <w:lang w:val="es-ES_tradnl"/>
        </w:rPr>
        <w:t>violencia</w:t>
      </w:r>
      <w:r w:rsidR="00AD493E" w:rsidRPr="00CD3501">
        <w:rPr>
          <w:rFonts w:ascii="Cambria" w:hAnsi="Cambria"/>
          <w:lang w:val="es-ES_tradnl"/>
        </w:rPr>
        <w:t>. M</w:t>
      </w:r>
      <w:r w:rsidR="004B1281" w:rsidRPr="00CD3501">
        <w:rPr>
          <w:rFonts w:ascii="Cambria" w:hAnsi="Cambria"/>
          <w:lang w:val="es-ES_tradnl"/>
        </w:rPr>
        <w:t>uchos viven atemorizados. Se burlan de ellos, los amenazan, los despiden del trabajo, los echan de la casa, los golpean, los apedrean, los violan e incluso los matan</w:t>
      </w:r>
      <w:r w:rsidR="00AD493E" w:rsidRPr="00CD3501">
        <w:rPr>
          <w:rStyle w:val="FootnoteReference"/>
          <w:rFonts w:ascii="Cambria" w:hAnsi="Cambria"/>
          <w:lang w:val="es-ES_tradnl"/>
        </w:rPr>
        <w:footnoteReference w:id="12"/>
      </w:r>
      <w:r w:rsidR="004B1281" w:rsidRPr="00CD3501">
        <w:rPr>
          <w:rFonts w:ascii="Cambria" w:hAnsi="Cambria"/>
          <w:lang w:val="es-ES_tradnl"/>
        </w:rPr>
        <w:t xml:space="preserve">. Según el informe, ha habido una ola de cambio en </w:t>
      </w:r>
      <w:r w:rsidR="00AD493E" w:rsidRPr="00CD3501">
        <w:rPr>
          <w:rFonts w:ascii="Cambria" w:hAnsi="Cambria"/>
          <w:lang w:val="es-ES_tradnl"/>
        </w:rPr>
        <w:t xml:space="preserve">Jamaica </w:t>
      </w:r>
      <w:r w:rsidR="004B1281" w:rsidRPr="00CD3501">
        <w:rPr>
          <w:rFonts w:ascii="Cambria" w:hAnsi="Cambria"/>
          <w:lang w:val="es-ES_tradnl"/>
        </w:rPr>
        <w:t xml:space="preserve">en la forma en que </w:t>
      </w:r>
      <w:r w:rsidR="00215292" w:rsidRPr="00CD3501">
        <w:rPr>
          <w:rFonts w:ascii="Cambria" w:hAnsi="Cambria"/>
          <w:lang w:val="es-ES_tradnl"/>
        </w:rPr>
        <w:t xml:space="preserve">se </w:t>
      </w:r>
      <w:r w:rsidR="004B1281" w:rsidRPr="00CD3501">
        <w:rPr>
          <w:rFonts w:ascii="Cambria" w:hAnsi="Cambria"/>
          <w:lang w:val="es-ES_tradnl"/>
        </w:rPr>
        <w:t xml:space="preserve">está respondiendo a los abusos de los derechos </w:t>
      </w:r>
      <w:r w:rsidR="00AD493E" w:rsidRPr="00CD3501">
        <w:rPr>
          <w:rFonts w:ascii="Cambria" w:hAnsi="Cambria"/>
          <w:lang w:val="es-ES_tradnl"/>
        </w:rPr>
        <w:t>human</w:t>
      </w:r>
      <w:r w:rsidR="004B1281" w:rsidRPr="00CD3501">
        <w:rPr>
          <w:rFonts w:ascii="Cambria" w:hAnsi="Cambria"/>
          <w:lang w:val="es-ES_tradnl"/>
        </w:rPr>
        <w:t xml:space="preserve">os cometidos contra personas </w:t>
      </w:r>
      <w:r w:rsidR="00AD493E" w:rsidRPr="00CD3501">
        <w:rPr>
          <w:rFonts w:ascii="Cambria" w:hAnsi="Cambria"/>
          <w:lang w:val="es-ES_tradnl"/>
        </w:rPr>
        <w:t>LGBT</w:t>
      </w:r>
      <w:r w:rsidR="004B1281" w:rsidRPr="00CD3501">
        <w:rPr>
          <w:rFonts w:ascii="Cambria" w:hAnsi="Cambria"/>
          <w:lang w:val="es-ES_tradnl"/>
        </w:rPr>
        <w:t>, pero la violencia persiste</w:t>
      </w:r>
      <w:r w:rsidR="00AD493E" w:rsidRPr="00CD3501">
        <w:rPr>
          <w:rStyle w:val="FootnoteReference"/>
          <w:rFonts w:ascii="Cambria" w:hAnsi="Cambria"/>
          <w:lang w:val="es-ES_tradnl"/>
        </w:rPr>
        <w:footnoteReference w:id="13"/>
      </w:r>
      <w:r w:rsidR="004B1281" w:rsidRPr="00CD3501">
        <w:rPr>
          <w:rStyle w:val="FootnoteReference"/>
          <w:rFonts w:ascii="Cambria" w:hAnsi="Cambria"/>
          <w:vertAlign w:val="baseline"/>
          <w:lang w:val="es-ES_tradnl"/>
        </w:rPr>
        <w:t>.</w:t>
      </w:r>
    </w:p>
    <w:p w14:paraId="76996A78" w14:textId="77777777" w:rsidR="0083565F" w:rsidRPr="00CD3501" w:rsidRDefault="0083565F" w:rsidP="00A167CF">
      <w:pPr>
        <w:pStyle w:val="parrafos"/>
        <w:tabs>
          <w:tab w:val="clear" w:pos="360"/>
        </w:tabs>
        <w:rPr>
          <w:rFonts w:ascii="Cambria" w:hAnsi="Cambria"/>
          <w:lang w:val="es-ES_tradnl"/>
        </w:rPr>
      </w:pPr>
    </w:p>
    <w:p w14:paraId="4529FB45" w14:textId="727B36B9" w:rsidR="0083565F" w:rsidRPr="00CD3501" w:rsidRDefault="0083565F"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Human Rights First</w:t>
      </w:r>
      <w:r w:rsidR="00EB497B" w:rsidRPr="00CD3501">
        <w:rPr>
          <w:rFonts w:ascii="Cambria" w:hAnsi="Cambria"/>
          <w:lang w:val="es-ES_tradnl"/>
        </w:rPr>
        <w:t>, por su parte, señaló en</w:t>
      </w:r>
      <w:r w:rsidRPr="00CD3501">
        <w:rPr>
          <w:rFonts w:ascii="Cambria" w:hAnsi="Cambria"/>
          <w:lang w:val="es-ES_tradnl"/>
        </w:rPr>
        <w:t xml:space="preserve"> 2015</w:t>
      </w:r>
      <w:r w:rsidR="006775E3" w:rsidRPr="00CD3501">
        <w:rPr>
          <w:rFonts w:ascii="Cambria" w:hAnsi="Cambria"/>
          <w:lang w:val="es-ES_tradnl"/>
        </w:rPr>
        <w:t xml:space="preserve"> </w:t>
      </w:r>
      <w:r w:rsidR="00EB497B" w:rsidRPr="00CD3501">
        <w:rPr>
          <w:rFonts w:ascii="Cambria" w:hAnsi="Cambria"/>
          <w:lang w:val="es-ES_tradnl"/>
        </w:rPr>
        <w:t xml:space="preserve">que, en </w:t>
      </w:r>
      <w:r w:rsidR="006775E3" w:rsidRPr="00CD3501">
        <w:rPr>
          <w:rFonts w:ascii="Cambria" w:hAnsi="Cambria"/>
          <w:lang w:val="es-ES_tradnl"/>
        </w:rPr>
        <w:t>Jamaica</w:t>
      </w:r>
      <w:r w:rsidR="00EB497B" w:rsidRPr="00CD3501">
        <w:rPr>
          <w:rFonts w:ascii="Cambria" w:hAnsi="Cambria"/>
          <w:lang w:val="es-ES_tradnl"/>
        </w:rPr>
        <w:t>, las personas LGBT</w:t>
      </w:r>
      <w:r w:rsidR="006775E3" w:rsidRPr="00CD3501">
        <w:rPr>
          <w:rFonts w:ascii="Cambria" w:hAnsi="Cambria"/>
          <w:lang w:val="es-ES_tradnl"/>
        </w:rPr>
        <w:t xml:space="preserve"> </w:t>
      </w:r>
      <w:r w:rsidR="00EB497B" w:rsidRPr="00CD3501">
        <w:rPr>
          <w:rFonts w:ascii="Cambria" w:hAnsi="Cambria"/>
          <w:lang w:val="es-ES_tradnl"/>
        </w:rPr>
        <w:t xml:space="preserve">viven en un clima de </w:t>
      </w:r>
      <w:r w:rsidR="00D92ABF" w:rsidRPr="00CD3501">
        <w:rPr>
          <w:rFonts w:ascii="Cambria" w:hAnsi="Cambria"/>
          <w:lang w:val="es-ES_tradnl"/>
        </w:rPr>
        <w:t>homofobia</w:t>
      </w:r>
      <w:r w:rsidR="00EB497B" w:rsidRPr="00CD3501">
        <w:rPr>
          <w:rFonts w:ascii="Cambria" w:hAnsi="Cambria"/>
          <w:lang w:val="es-ES_tradnl"/>
        </w:rPr>
        <w:t xml:space="preserve"> generalizada en la sociedad</w:t>
      </w:r>
      <w:r w:rsidR="00600665" w:rsidRPr="00CD3501">
        <w:rPr>
          <w:rFonts w:ascii="Cambria" w:hAnsi="Cambria"/>
          <w:lang w:val="es-ES_tradnl"/>
        </w:rPr>
        <w:t xml:space="preserve">. </w:t>
      </w:r>
      <w:r w:rsidR="006775E3" w:rsidRPr="00CD3501">
        <w:rPr>
          <w:rFonts w:ascii="Cambria" w:hAnsi="Cambria"/>
          <w:lang w:val="es-ES_tradnl"/>
        </w:rPr>
        <w:t>L</w:t>
      </w:r>
      <w:r w:rsidR="00EB497B" w:rsidRPr="00CD3501">
        <w:rPr>
          <w:rFonts w:ascii="Cambria" w:hAnsi="Cambria"/>
          <w:lang w:val="es-ES_tradnl"/>
        </w:rPr>
        <w:t>as mujeres l</w:t>
      </w:r>
      <w:r w:rsidR="006775E3" w:rsidRPr="00CD3501">
        <w:rPr>
          <w:rFonts w:ascii="Cambria" w:hAnsi="Cambria"/>
          <w:lang w:val="es-ES_tradnl"/>
        </w:rPr>
        <w:t>esbian</w:t>
      </w:r>
      <w:r w:rsidR="00EB497B" w:rsidRPr="00CD3501">
        <w:rPr>
          <w:rFonts w:ascii="Cambria" w:hAnsi="Cambria"/>
          <w:lang w:val="es-ES_tradnl"/>
        </w:rPr>
        <w:t>a</w:t>
      </w:r>
      <w:r w:rsidR="006775E3" w:rsidRPr="00CD3501">
        <w:rPr>
          <w:rFonts w:ascii="Cambria" w:hAnsi="Cambria"/>
          <w:lang w:val="es-ES_tradnl"/>
        </w:rPr>
        <w:t>s, bisexual</w:t>
      </w:r>
      <w:r w:rsidR="00EB497B" w:rsidRPr="00CD3501">
        <w:rPr>
          <w:rFonts w:ascii="Cambria" w:hAnsi="Cambria"/>
          <w:lang w:val="es-ES_tradnl"/>
        </w:rPr>
        <w:t xml:space="preserve">es y transgénero enfrentan una amenaza adicional de </w:t>
      </w:r>
      <w:r w:rsidR="00EC50E9" w:rsidRPr="00CD3501">
        <w:rPr>
          <w:rFonts w:ascii="Cambria" w:hAnsi="Cambria"/>
          <w:lang w:val="es-ES_tradnl"/>
        </w:rPr>
        <w:t>violencia</w:t>
      </w:r>
      <w:r w:rsidR="00EB497B" w:rsidRPr="00CD3501">
        <w:rPr>
          <w:rFonts w:ascii="Cambria" w:hAnsi="Cambria"/>
          <w:lang w:val="es-ES_tradnl"/>
        </w:rPr>
        <w:t xml:space="preserve"> de género o sexual</w:t>
      </w:r>
      <w:r w:rsidR="006775E3" w:rsidRPr="00CD3501">
        <w:rPr>
          <w:rFonts w:ascii="Cambria" w:hAnsi="Cambria"/>
          <w:lang w:val="es-ES_tradnl"/>
        </w:rPr>
        <w:t xml:space="preserve">. </w:t>
      </w:r>
      <w:r w:rsidR="00EB497B" w:rsidRPr="00CD3501">
        <w:rPr>
          <w:rFonts w:ascii="Cambria" w:hAnsi="Cambria"/>
          <w:lang w:val="es-ES_tradnl"/>
        </w:rPr>
        <w:t>Se discrimina contra las personas LGBT</w:t>
      </w:r>
      <w:r w:rsidR="006775E3" w:rsidRPr="00CD3501">
        <w:rPr>
          <w:rFonts w:ascii="Cambria" w:hAnsi="Cambria"/>
          <w:lang w:val="es-ES_tradnl"/>
        </w:rPr>
        <w:t xml:space="preserve"> </w:t>
      </w:r>
      <w:r w:rsidR="00FF13ED" w:rsidRPr="00CD3501">
        <w:rPr>
          <w:rFonts w:ascii="Cambria" w:hAnsi="Cambria"/>
          <w:lang w:val="es-ES_tradnl"/>
        </w:rPr>
        <w:t>en el acceso a los servicios de salud, el empleo y la vivienda</w:t>
      </w:r>
      <w:r w:rsidR="006775E3" w:rsidRPr="00CD3501">
        <w:rPr>
          <w:rStyle w:val="FootnoteReference"/>
          <w:rFonts w:ascii="Cambria" w:hAnsi="Cambria"/>
          <w:lang w:val="es-ES_tradnl"/>
        </w:rPr>
        <w:footnoteReference w:id="14"/>
      </w:r>
      <w:r w:rsidR="00FF13ED" w:rsidRPr="00CD3501">
        <w:rPr>
          <w:rFonts w:ascii="Cambria" w:hAnsi="Cambria"/>
          <w:lang w:val="es-ES_tradnl"/>
        </w:rPr>
        <w:t>.</w:t>
      </w:r>
    </w:p>
    <w:p w14:paraId="11BD433C" w14:textId="77777777" w:rsidR="00797A75" w:rsidRPr="00CD3501" w:rsidRDefault="00797A75" w:rsidP="00A167CF">
      <w:pPr>
        <w:pStyle w:val="parrafos"/>
        <w:tabs>
          <w:tab w:val="clear" w:pos="360"/>
        </w:tabs>
        <w:rPr>
          <w:rFonts w:ascii="Cambria" w:hAnsi="Cambria"/>
          <w:lang w:val="es-ES_tradnl"/>
        </w:rPr>
      </w:pPr>
    </w:p>
    <w:p w14:paraId="1FF1C95C" w14:textId="63625600" w:rsidR="00D3306F" w:rsidRPr="00CD3501" w:rsidRDefault="00FF13ED"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El Departamento de Estado de Estados Unidos indicó en su informe de</w:t>
      </w:r>
      <w:r w:rsidR="00AD493E" w:rsidRPr="00CD3501">
        <w:rPr>
          <w:rFonts w:ascii="Cambria" w:hAnsi="Cambria"/>
          <w:lang w:val="es-ES_tradnl"/>
        </w:rPr>
        <w:t xml:space="preserve"> 2017</w:t>
      </w:r>
      <w:r w:rsidRPr="00CD3501">
        <w:rPr>
          <w:rFonts w:ascii="Cambria" w:hAnsi="Cambria"/>
          <w:lang w:val="es-ES_tradnl"/>
        </w:rPr>
        <w:t xml:space="preserve"> sobre la situación de los derechos humanos en</w:t>
      </w:r>
      <w:r w:rsidR="00AD493E" w:rsidRPr="00CD3501">
        <w:rPr>
          <w:rFonts w:ascii="Cambria" w:hAnsi="Cambria"/>
          <w:lang w:val="es-ES_tradnl"/>
        </w:rPr>
        <w:t xml:space="preserve"> Jamaica </w:t>
      </w:r>
      <w:r w:rsidRPr="00CD3501">
        <w:rPr>
          <w:rFonts w:ascii="Cambria" w:hAnsi="Cambria"/>
          <w:lang w:val="es-ES_tradnl"/>
        </w:rPr>
        <w:t xml:space="preserve">que la </w:t>
      </w:r>
      <w:r w:rsidR="00D92ABF" w:rsidRPr="00CD3501">
        <w:rPr>
          <w:rFonts w:ascii="Cambria" w:hAnsi="Cambria"/>
          <w:lang w:val="es-ES_tradnl"/>
        </w:rPr>
        <w:t>homofobia</w:t>
      </w:r>
      <w:r w:rsidR="00AD493E" w:rsidRPr="00CD3501">
        <w:rPr>
          <w:rFonts w:ascii="Cambria" w:hAnsi="Cambria"/>
          <w:lang w:val="es-ES_tradnl"/>
        </w:rPr>
        <w:t xml:space="preserve"> </w:t>
      </w:r>
      <w:r w:rsidRPr="00CD3501">
        <w:rPr>
          <w:rFonts w:ascii="Cambria" w:hAnsi="Cambria"/>
          <w:lang w:val="es-ES_tradnl"/>
        </w:rPr>
        <w:t>era generalizada en el país. En su informe de</w:t>
      </w:r>
      <w:r w:rsidR="00AD493E" w:rsidRPr="00CD3501">
        <w:rPr>
          <w:rFonts w:ascii="Cambria" w:hAnsi="Cambria"/>
          <w:lang w:val="es-ES_tradnl"/>
        </w:rPr>
        <w:t xml:space="preserve"> 2018 </w:t>
      </w:r>
      <w:r w:rsidRPr="00CD3501">
        <w:rPr>
          <w:rFonts w:ascii="Cambria" w:hAnsi="Cambria"/>
          <w:lang w:val="es-ES_tradnl"/>
        </w:rPr>
        <w:t xml:space="preserve">recordó que la ONG </w:t>
      </w:r>
      <w:r w:rsidR="00AD493E" w:rsidRPr="00CD3501">
        <w:rPr>
          <w:rFonts w:ascii="Cambria" w:hAnsi="Cambria"/>
          <w:lang w:val="es-ES_tradnl"/>
        </w:rPr>
        <w:t xml:space="preserve">J-FLAG </w:t>
      </w:r>
      <w:r w:rsidRPr="00CD3501">
        <w:rPr>
          <w:rFonts w:ascii="Cambria" w:hAnsi="Cambria"/>
          <w:lang w:val="es-ES_tradnl"/>
        </w:rPr>
        <w:t xml:space="preserve">había informado que, hasta fines de junio, había recibido </w:t>
      </w:r>
      <w:r w:rsidR="00AD493E" w:rsidRPr="00CD3501">
        <w:rPr>
          <w:rFonts w:ascii="Cambria" w:hAnsi="Cambria"/>
          <w:lang w:val="es-ES_tradnl"/>
        </w:rPr>
        <w:t xml:space="preserve">17 </w:t>
      </w:r>
      <w:r w:rsidRPr="00CD3501">
        <w:rPr>
          <w:rFonts w:ascii="Cambria" w:hAnsi="Cambria"/>
          <w:lang w:val="es-ES_tradnl"/>
        </w:rPr>
        <w:t xml:space="preserve">denuncias de casos de </w:t>
      </w:r>
      <w:r w:rsidR="00EC50E9" w:rsidRPr="00CD3501">
        <w:rPr>
          <w:rFonts w:ascii="Cambria" w:hAnsi="Cambria"/>
          <w:lang w:val="es-ES_tradnl"/>
        </w:rPr>
        <w:t>discriminación</w:t>
      </w:r>
      <w:r w:rsidR="00AD493E" w:rsidRPr="00CD3501">
        <w:rPr>
          <w:rFonts w:ascii="Cambria" w:hAnsi="Cambria"/>
          <w:lang w:val="es-ES_tradnl"/>
        </w:rPr>
        <w:t xml:space="preserve"> </w:t>
      </w:r>
      <w:r w:rsidRPr="00CD3501">
        <w:rPr>
          <w:rFonts w:ascii="Cambria" w:hAnsi="Cambria"/>
          <w:lang w:val="es-ES_tradnl"/>
        </w:rPr>
        <w:t xml:space="preserve">por motivos de </w:t>
      </w:r>
      <w:r w:rsidR="00AD493E" w:rsidRPr="00CD3501">
        <w:rPr>
          <w:rFonts w:ascii="Cambria" w:hAnsi="Cambria"/>
          <w:lang w:val="es-ES_tradnl"/>
        </w:rPr>
        <w:t>sex</w:t>
      </w:r>
      <w:r w:rsidRPr="00CD3501">
        <w:rPr>
          <w:rFonts w:ascii="Cambria" w:hAnsi="Cambria"/>
          <w:lang w:val="es-ES_tradnl"/>
        </w:rPr>
        <w:t>o</w:t>
      </w:r>
      <w:r w:rsidR="00AD493E" w:rsidRPr="00CD3501">
        <w:rPr>
          <w:rFonts w:ascii="Cambria" w:hAnsi="Cambria"/>
          <w:lang w:val="es-ES_tradnl"/>
        </w:rPr>
        <w:t xml:space="preserve">, </w:t>
      </w:r>
      <w:r w:rsidR="000A3FB7" w:rsidRPr="00CD3501">
        <w:rPr>
          <w:rFonts w:ascii="Cambria" w:hAnsi="Cambria"/>
          <w:lang w:val="es-ES_tradnl"/>
        </w:rPr>
        <w:t>orientación sexual</w:t>
      </w:r>
      <w:r w:rsidR="00AD493E" w:rsidRPr="00CD3501">
        <w:rPr>
          <w:rFonts w:ascii="Cambria" w:hAnsi="Cambria"/>
          <w:lang w:val="es-ES_tradnl"/>
        </w:rPr>
        <w:t xml:space="preserve"> o </w:t>
      </w:r>
      <w:r w:rsidR="00EC50E9" w:rsidRPr="00CD3501">
        <w:rPr>
          <w:rFonts w:ascii="Cambria" w:hAnsi="Cambria"/>
          <w:lang w:val="es-ES_tradnl"/>
        </w:rPr>
        <w:t>identidad de género</w:t>
      </w:r>
      <w:r w:rsidR="00AD493E" w:rsidRPr="00CD3501">
        <w:rPr>
          <w:rFonts w:ascii="Cambria" w:hAnsi="Cambria"/>
          <w:lang w:val="es-ES_tradnl"/>
        </w:rPr>
        <w:t xml:space="preserve"> </w:t>
      </w:r>
      <w:r w:rsidRPr="00CD3501">
        <w:rPr>
          <w:rFonts w:ascii="Cambria" w:hAnsi="Cambria"/>
          <w:lang w:val="es-ES_tradnl"/>
        </w:rPr>
        <w:t xml:space="preserve">contra personas </w:t>
      </w:r>
      <w:r w:rsidR="00AD493E" w:rsidRPr="00CD3501">
        <w:rPr>
          <w:rFonts w:ascii="Cambria" w:hAnsi="Cambria"/>
          <w:lang w:val="es-ES_tradnl"/>
        </w:rPr>
        <w:t>LGBTI</w:t>
      </w:r>
      <w:r w:rsidRPr="00CD3501">
        <w:rPr>
          <w:rFonts w:ascii="Cambria" w:hAnsi="Cambria"/>
          <w:lang w:val="es-ES_tradnl"/>
        </w:rPr>
        <w:t xml:space="preserve">, en comparación con </w:t>
      </w:r>
      <w:r w:rsidR="00AD493E" w:rsidRPr="00CD3501">
        <w:rPr>
          <w:rFonts w:ascii="Cambria" w:hAnsi="Cambria"/>
          <w:lang w:val="es-ES_tradnl"/>
        </w:rPr>
        <w:t xml:space="preserve">15 </w:t>
      </w:r>
      <w:r w:rsidRPr="00CD3501">
        <w:rPr>
          <w:rFonts w:ascii="Cambria" w:hAnsi="Cambria"/>
          <w:lang w:val="es-ES_tradnl"/>
        </w:rPr>
        <w:t>el año anterior. Era difícil obtener estadísticas exactas, ya que los observadores creían que esos tipos de violaciones de derechos humanos estaban sub</w:t>
      </w:r>
      <w:r w:rsidR="00600665" w:rsidRPr="00CD3501">
        <w:rPr>
          <w:rFonts w:ascii="Cambria" w:hAnsi="Cambria"/>
          <w:lang w:val="es-ES_tradnl"/>
        </w:rPr>
        <w:t xml:space="preserve">-reportadas. </w:t>
      </w:r>
      <w:r w:rsidRPr="00CD3501">
        <w:rPr>
          <w:rFonts w:ascii="Cambria" w:hAnsi="Cambria"/>
          <w:lang w:val="es-ES_tradnl"/>
        </w:rPr>
        <w:t xml:space="preserve">Con frecuencia, los organismos </w:t>
      </w:r>
      <w:r w:rsidR="00215292" w:rsidRPr="00CD3501">
        <w:rPr>
          <w:rFonts w:ascii="Cambria" w:hAnsi="Cambria"/>
          <w:lang w:val="es-ES_tradnl"/>
        </w:rPr>
        <w:t xml:space="preserve">estatales </w:t>
      </w:r>
      <w:r w:rsidRPr="00CD3501">
        <w:rPr>
          <w:rFonts w:ascii="Cambria" w:hAnsi="Cambria"/>
          <w:lang w:val="es-ES_tradnl"/>
        </w:rPr>
        <w:t>estaban implicados en actos de</w:t>
      </w:r>
      <w:r w:rsidR="00AD493E" w:rsidRPr="00CD3501">
        <w:rPr>
          <w:rFonts w:ascii="Cambria" w:hAnsi="Cambria"/>
          <w:lang w:val="es-ES_tradnl"/>
        </w:rPr>
        <w:t xml:space="preserve"> </w:t>
      </w:r>
      <w:r w:rsidR="00EC50E9" w:rsidRPr="00CD3501">
        <w:rPr>
          <w:rFonts w:ascii="Cambria" w:hAnsi="Cambria"/>
          <w:lang w:val="es-ES_tradnl"/>
        </w:rPr>
        <w:t>discriminación</w:t>
      </w:r>
      <w:r w:rsidR="00AD493E" w:rsidRPr="00CD3501">
        <w:rPr>
          <w:rStyle w:val="FootnoteReference"/>
          <w:rFonts w:ascii="Cambria" w:hAnsi="Cambria"/>
          <w:lang w:val="es-ES_tradnl"/>
        </w:rPr>
        <w:footnoteReference w:id="15"/>
      </w:r>
      <w:r w:rsidRPr="00CD3501">
        <w:rPr>
          <w:rFonts w:ascii="Cambria" w:hAnsi="Cambria"/>
          <w:lang w:val="es-ES_tradnl"/>
        </w:rPr>
        <w:t>.</w:t>
      </w:r>
    </w:p>
    <w:p w14:paraId="16E32164" w14:textId="77777777" w:rsidR="00801A8F" w:rsidRPr="00CD3501" w:rsidRDefault="00801A8F" w:rsidP="00A167CF">
      <w:pPr>
        <w:pStyle w:val="parrafos"/>
        <w:tabs>
          <w:tab w:val="clear" w:pos="360"/>
        </w:tabs>
        <w:rPr>
          <w:rFonts w:ascii="Cambria" w:hAnsi="Cambria"/>
          <w:lang w:val="es-ES_tradnl"/>
        </w:rPr>
      </w:pPr>
    </w:p>
    <w:p w14:paraId="5E70942F" w14:textId="4AB15AE1" w:rsidR="00D3306F" w:rsidRPr="00CD3501" w:rsidRDefault="00FF13ED" w:rsidP="0060066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 xml:space="preserve">Por su parte, el Gobierno del Reino Unido señaló en un informe de </w:t>
      </w:r>
      <w:r w:rsidR="00D3306F" w:rsidRPr="00CD3501">
        <w:rPr>
          <w:rFonts w:ascii="Cambria" w:hAnsi="Cambria"/>
          <w:lang w:val="es-ES_tradnl"/>
        </w:rPr>
        <w:t xml:space="preserve">2017 </w:t>
      </w:r>
      <w:r w:rsidRPr="00CD3501">
        <w:rPr>
          <w:rFonts w:ascii="Cambria" w:hAnsi="Cambria"/>
          <w:lang w:val="es-ES_tradnl"/>
        </w:rPr>
        <w:t xml:space="preserve">que, en </w:t>
      </w:r>
      <w:r w:rsidR="00D3306F" w:rsidRPr="00CD3501">
        <w:rPr>
          <w:rFonts w:ascii="Cambria" w:hAnsi="Cambria"/>
          <w:lang w:val="es-ES_tradnl"/>
        </w:rPr>
        <w:t>Jamaica</w:t>
      </w:r>
      <w:r w:rsidRPr="00CD3501">
        <w:rPr>
          <w:rFonts w:ascii="Cambria" w:hAnsi="Cambria"/>
          <w:lang w:val="es-ES_tradnl"/>
        </w:rPr>
        <w:t>,</w:t>
      </w:r>
      <w:r w:rsidR="00D3306F" w:rsidRPr="00CD3501">
        <w:rPr>
          <w:rFonts w:ascii="Cambria" w:hAnsi="Cambria"/>
          <w:lang w:val="es-ES_tradnl"/>
        </w:rPr>
        <w:t xml:space="preserve"> </w:t>
      </w:r>
      <w:r w:rsidRPr="00CD3501">
        <w:rPr>
          <w:rFonts w:ascii="Cambria" w:hAnsi="Cambria"/>
          <w:lang w:val="es-ES_tradnl"/>
        </w:rPr>
        <w:t>las personas LGBT</w:t>
      </w:r>
      <w:r w:rsidR="00D3306F" w:rsidRPr="00CD3501">
        <w:rPr>
          <w:rFonts w:ascii="Cambria" w:hAnsi="Cambria"/>
          <w:lang w:val="es-ES_tradnl"/>
        </w:rPr>
        <w:t xml:space="preserve"> </w:t>
      </w:r>
      <w:r w:rsidRPr="00CD3501">
        <w:rPr>
          <w:rFonts w:ascii="Cambria" w:hAnsi="Cambria"/>
          <w:lang w:val="es-ES_tradnl"/>
        </w:rPr>
        <w:t xml:space="preserve">son víctimas de </w:t>
      </w:r>
      <w:r w:rsidR="00600665" w:rsidRPr="00CD3501">
        <w:rPr>
          <w:rFonts w:ascii="Cambria" w:hAnsi="Cambria"/>
          <w:lang w:val="es-ES_tradnl"/>
        </w:rPr>
        <w:t xml:space="preserve">violencia colectiva, </w:t>
      </w:r>
      <w:r w:rsidRPr="00CD3501">
        <w:rPr>
          <w:rFonts w:ascii="Cambria" w:hAnsi="Cambria"/>
          <w:lang w:val="es-ES_tradnl"/>
        </w:rPr>
        <w:t xml:space="preserve">violaciones correctivas, extorsión, acoso, desplazamiento forzado y </w:t>
      </w:r>
      <w:r w:rsidR="00EC50E9" w:rsidRPr="00CD3501">
        <w:rPr>
          <w:rFonts w:ascii="Cambria" w:hAnsi="Cambria"/>
          <w:lang w:val="es-ES_tradnl"/>
        </w:rPr>
        <w:t>discriminación</w:t>
      </w:r>
      <w:r w:rsidRPr="00CD3501">
        <w:rPr>
          <w:rFonts w:ascii="Cambria" w:hAnsi="Cambria"/>
          <w:lang w:val="es-ES_tradnl"/>
        </w:rPr>
        <w:t>; son el blanco de burlas, las amenazan, las despiden del trabajo, las echan de su casa y sufren malos tratos, como golpizas, apedreo y violaciones, o las matan</w:t>
      </w:r>
      <w:r w:rsidR="00D3306F" w:rsidRPr="00CD3501">
        <w:rPr>
          <w:rStyle w:val="FootnoteReference"/>
          <w:rFonts w:ascii="Cambria" w:hAnsi="Cambria"/>
          <w:lang w:val="es-ES_tradnl"/>
        </w:rPr>
        <w:footnoteReference w:id="16"/>
      </w:r>
      <w:r w:rsidRPr="00CD3501">
        <w:rPr>
          <w:rFonts w:ascii="Cambria" w:hAnsi="Cambria"/>
          <w:lang w:val="es-ES_tradnl"/>
        </w:rPr>
        <w:t>.</w:t>
      </w:r>
      <w:r w:rsidR="003067F3" w:rsidRPr="00CD3501">
        <w:rPr>
          <w:rFonts w:ascii="Cambria" w:hAnsi="Cambria"/>
          <w:lang w:val="es-ES_tradnl"/>
        </w:rPr>
        <w:t xml:space="preserve"> </w:t>
      </w:r>
    </w:p>
    <w:p w14:paraId="1B9C6956" w14:textId="77777777" w:rsidR="0081472E" w:rsidRPr="00CD3501" w:rsidRDefault="0081472E" w:rsidP="00A167CF">
      <w:pPr>
        <w:pStyle w:val="parrafos"/>
        <w:tabs>
          <w:tab w:val="clear" w:pos="360"/>
        </w:tabs>
        <w:rPr>
          <w:rFonts w:ascii="Cambria" w:hAnsi="Cambria"/>
          <w:lang w:val="es-ES_tradnl"/>
        </w:rPr>
      </w:pPr>
    </w:p>
    <w:p w14:paraId="5A14CB91" w14:textId="2E0D265A" w:rsidR="00E4390D" w:rsidRPr="00CD3501" w:rsidRDefault="00681B90" w:rsidP="00C12E55">
      <w:pPr>
        <w:pStyle w:val="Heading2"/>
        <w:numPr>
          <w:ilvl w:val="0"/>
          <w:numId w:val="63"/>
        </w:numPr>
        <w:spacing w:before="0"/>
        <w:rPr>
          <w:color w:val="auto"/>
          <w:sz w:val="20"/>
          <w:szCs w:val="20"/>
          <w:lang w:val="es-ES_tradnl"/>
        </w:rPr>
      </w:pPr>
      <w:bookmarkStart w:id="11" w:name="_Toc58425592"/>
      <w:r w:rsidRPr="00CD3501">
        <w:rPr>
          <w:color w:val="auto"/>
          <w:sz w:val="20"/>
          <w:szCs w:val="20"/>
          <w:lang w:val="es-ES_tradnl"/>
        </w:rPr>
        <w:t xml:space="preserve">La situación de </w:t>
      </w:r>
      <w:r w:rsidR="007D7270" w:rsidRPr="00CD3501">
        <w:rPr>
          <w:color w:val="auto"/>
          <w:sz w:val="20"/>
          <w:szCs w:val="20"/>
          <w:lang w:val="es-ES_tradnl"/>
        </w:rPr>
        <w:t>Gareth</w:t>
      </w:r>
      <w:r w:rsidR="00C340DC" w:rsidRPr="00CD3501">
        <w:rPr>
          <w:color w:val="auto"/>
          <w:sz w:val="20"/>
          <w:szCs w:val="20"/>
          <w:lang w:val="es-ES_tradnl"/>
        </w:rPr>
        <w:t xml:space="preserve"> </w:t>
      </w:r>
      <w:r w:rsidR="0042244A" w:rsidRPr="00CD3501">
        <w:rPr>
          <w:color w:val="auto"/>
          <w:sz w:val="20"/>
          <w:szCs w:val="20"/>
          <w:lang w:val="es-ES_tradnl"/>
        </w:rPr>
        <w:t xml:space="preserve">Henry </w:t>
      </w:r>
      <w:r w:rsidRPr="00CD3501">
        <w:rPr>
          <w:color w:val="auto"/>
          <w:sz w:val="20"/>
          <w:szCs w:val="20"/>
          <w:lang w:val="es-ES_tradnl"/>
        </w:rPr>
        <w:t>y</w:t>
      </w:r>
      <w:r w:rsidR="00822A96" w:rsidRPr="00CD3501">
        <w:rPr>
          <w:color w:val="auto"/>
          <w:sz w:val="20"/>
          <w:szCs w:val="20"/>
          <w:lang w:val="es-ES_tradnl"/>
        </w:rPr>
        <w:t xml:space="preserve"> Simone Edwards</w:t>
      </w:r>
      <w:bookmarkEnd w:id="11"/>
    </w:p>
    <w:p w14:paraId="1E30CC3B" w14:textId="77777777" w:rsidR="007D7270" w:rsidRPr="00CD3501" w:rsidRDefault="007D7270" w:rsidP="00EF0764">
      <w:pPr>
        <w:keepNext/>
        <w:keepLines/>
        <w:rPr>
          <w:lang w:val="es-ES_tradnl"/>
        </w:rPr>
      </w:pPr>
    </w:p>
    <w:p w14:paraId="7FAC60B9" w14:textId="164932E2" w:rsidR="0042244A" w:rsidRPr="00CD3501" w:rsidRDefault="00FF13ED" w:rsidP="00C12E55">
      <w:pPr>
        <w:pStyle w:val="parrafos"/>
        <w:keepNext/>
        <w:keepLine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 xml:space="preserve">El </w:t>
      </w:r>
      <w:r w:rsidR="0042244A" w:rsidRPr="00CD3501">
        <w:rPr>
          <w:rFonts w:ascii="Cambria" w:hAnsi="Cambria"/>
          <w:lang w:val="es-ES_tradnl"/>
        </w:rPr>
        <w:t>31</w:t>
      </w:r>
      <w:r w:rsidRPr="00CD3501">
        <w:rPr>
          <w:rFonts w:ascii="Cambria" w:hAnsi="Cambria"/>
          <w:lang w:val="es-ES_tradnl"/>
        </w:rPr>
        <w:t xml:space="preserve"> de mayo de</w:t>
      </w:r>
      <w:r w:rsidR="00512224" w:rsidRPr="00CD3501">
        <w:rPr>
          <w:rFonts w:ascii="Cambria" w:hAnsi="Cambria"/>
          <w:lang w:val="es-ES_tradnl"/>
        </w:rPr>
        <w:t xml:space="preserve"> </w:t>
      </w:r>
      <w:r w:rsidR="005D2666" w:rsidRPr="00CD3501">
        <w:rPr>
          <w:rFonts w:ascii="Cambria" w:hAnsi="Cambria"/>
          <w:lang w:val="es-ES_tradnl"/>
        </w:rPr>
        <w:t>2012</w:t>
      </w:r>
      <w:r w:rsidRPr="00CD3501">
        <w:rPr>
          <w:rFonts w:ascii="Cambria" w:hAnsi="Cambria"/>
          <w:lang w:val="es-ES_tradnl"/>
        </w:rPr>
        <w:t>,</w:t>
      </w:r>
      <w:r w:rsidR="005D2666" w:rsidRPr="00CD3501">
        <w:rPr>
          <w:rFonts w:ascii="Cambria" w:hAnsi="Cambria"/>
          <w:lang w:val="es-ES_tradnl"/>
        </w:rPr>
        <w:t xml:space="preserve"> Gareth Henry</w:t>
      </w:r>
      <w:r w:rsidR="0042244A" w:rsidRPr="00CD3501">
        <w:rPr>
          <w:rFonts w:ascii="Cambria" w:hAnsi="Cambria"/>
          <w:lang w:val="es-ES_tradnl"/>
        </w:rPr>
        <w:t xml:space="preserve"> present</w:t>
      </w:r>
      <w:r w:rsidRPr="00CD3501">
        <w:rPr>
          <w:rFonts w:ascii="Cambria" w:hAnsi="Cambria"/>
          <w:lang w:val="es-ES_tradnl"/>
        </w:rPr>
        <w:t>ó una declaración</w:t>
      </w:r>
      <w:r w:rsidR="0042244A" w:rsidRPr="00CD3501">
        <w:rPr>
          <w:rFonts w:ascii="Cambria" w:hAnsi="Cambria"/>
          <w:lang w:val="es-ES_tradnl"/>
        </w:rPr>
        <w:t xml:space="preserve"> </w:t>
      </w:r>
      <w:r w:rsidRPr="00CD3501">
        <w:rPr>
          <w:rFonts w:ascii="Cambria" w:hAnsi="Cambria"/>
          <w:lang w:val="es-ES_tradnl"/>
        </w:rPr>
        <w:t xml:space="preserve">a </w:t>
      </w:r>
      <w:r w:rsidR="00497B9A" w:rsidRPr="00CD3501">
        <w:rPr>
          <w:rFonts w:ascii="Cambria" w:hAnsi="Cambria"/>
          <w:lang w:val="es-ES_tradnl"/>
        </w:rPr>
        <w:t>la CIDH</w:t>
      </w:r>
      <w:r w:rsidR="0042244A" w:rsidRPr="00CD3501">
        <w:rPr>
          <w:rFonts w:ascii="Cambria" w:hAnsi="Cambria"/>
          <w:lang w:val="es-ES_tradnl"/>
        </w:rPr>
        <w:t xml:space="preserve"> </w:t>
      </w:r>
      <w:r w:rsidRPr="00CD3501">
        <w:rPr>
          <w:rFonts w:ascii="Cambria" w:hAnsi="Cambria"/>
          <w:lang w:val="es-ES_tradnl"/>
        </w:rPr>
        <w:t xml:space="preserve">en la cual ponía de relieve el impacto que la </w:t>
      </w:r>
      <w:r w:rsidR="00D92ABF" w:rsidRPr="00CD3501">
        <w:rPr>
          <w:rFonts w:ascii="Cambria" w:hAnsi="Cambria"/>
          <w:lang w:val="es-ES_tradnl"/>
        </w:rPr>
        <w:t>homofobia</w:t>
      </w:r>
      <w:r w:rsidR="00C90AB9" w:rsidRPr="00CD3501">
        <w:rPr>
          <w:rFonts w:ascii="Cambria" w:hAnsi="Cambria"/>
          <w:lang w:val="es-ES_tradnl"/>
        </w:rPr>
        <w:t xml:space="preserve"> </w:t>
      </w:r>
      <w:r w:rsidRPr="00CD3501">
        <w:rPr>
          <w:rFonts w:ascii="Cambria" w:hAnsi="Cambria"/>
          <w:lang w:val="es-ES_tradnl"/>
        </w:rPr>
        <w:t>e</w:t>
      </w:r>
      <w:r w:rsidR="00C90AB9" w:rsidRPr="00CD3501">
        <w:rPr>
          <w:rFonts w:ascii="Cambria" w:hAnsi="Cambria"/>
          <w:lang w:val="es-ES_tradnl"/>
        </w:rPr>
        <w:t>n Jamaica</w:t>
      </w:r>
      <w:r w:rsidR="004B6077" w:rsidRPr="00CD3501">
        <w:rPr>
          <w:rFonts w:ascii="Cambria" w:hAnsi="Cambria"/>
          <w:lang w:val="es-ES_tradnl"/>
        </w:rPr>
        <w:t xml:space="preserve"> ha</w:t>
      </w:r>
      <w:r w:rsidRPr="00CD3501">
        <w:rPr>
          <w:rFonts w:ascii="Cambria" w:hAnsi="Cambria"/>
          <w:lang w:val="es-ES_tradnl"/>
        </w:rPr>
        <w:t>bía tenido en su vida</w:t>
      </w:r>
      <w:r w:rsidR="00C90AB9" w:rsidRPr="00CD3501">
        <w:rPr>
          <w:rFonts w:ascii="Cambria" w:hAnsi="Cambria"/>
          <w:lang w:val="es-ES_tradnl"/>
        </w:rPr>
        <w:t>:</w:t>
      </w:r>
    </w:p>
    <w:p w14:paraId="77E20411" w14:textId="77777777" w:rsidR="00C90AB9" w:rsidRPr="00CD3501" w:rsidRDefault="00C90AB9" w:rsidP="00A167C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1E152E32" w14:textId="29DE6B49" w:rsidR="00C90AB9" w:rsidRPr="00CD3501" w:rsidRDefault="00FF13ED"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lastRenderedPageBreak/>
        <w:t xml:space="preserve">Esta </w:t>
      </w:r>
      <w:r w:rsidR="00D92ABF" w:rsidRPr="00CD3501">
        <w:rPr>
          <w:rFonts w:asciiTheme="majorHAnsi" w:hAnsiTheme="majorHAnsi"/>
          <w:sz w:val="18"/>
          <w:szCs w:val="18"/>
          <w:lang w:val="es-ES_tradnl"/>
        </w:rPr>
        <w:t>homofobia</w:t>
      </w:r>
      <w:r w:rsidRPr="00CD3501">
        <w:rPr>
          <w:rFonts w:asciiTheme="majorHAnsi" w:hAnsiTheme="majorHAnsi"/>
          <w:sz w:val="18"/>
          <w:szCs w:val="18"/>
          <w:lang w:val="es-ES_tradnl"/>
        </w:rPr>
        <w:t xml:space="preserve"> generalizada</w:t>
      </w:r>
      <w:r w:rsidR="00C90AB9" w:rsidRPr="00CD3501">
        <w:rPr>
          <w:rFonts w:asciiTheme="majorHAnsi" w:hAnsiTheme="majorHAnsi"/>
          <w:sz w:val="18"/>
          <w:szCs w:val="18"/>
          <w:lang w:val="es-ES_tradnl"/>
        </w:rPr>
        <w:t xml:space="preserve">, </w:t>
      </w:r>
      <w:r w:rsidR="00EF0764" w:rsidRPr="00CD3501">
        <w:rPr>
          <w:rFonts w:asciiTheme="majorHAnsi" w:hAnsiTheme="majorHAnsi"/>
          <w:sz w:val="18"/>
          <w:szCs w:val="18"/>
          <w:lang w:val="es-ES_tradnl"/>
        </w:rPr>
        <w:t>sumada a la atención que atrae mi trabajo, creó para mí y para mi familia un gran riesgo de persecución</w:t>
      </w:r>
      <w:r w:rsidR="00C90AB9" w:rsidRPr="00CD3501">
        <w:rPr>
          <w:rFonts w:asciiTheme="majorHAnsi" w:hAnsiTheme="majorHAnsi"/>
          <w:sz w:val="18"/>
          <w:szCs w:val="18"/>
          <w:lang w:val="es-ES_tradnl"/>
        </w:rPr>
        <w:t>, tortur</w:t>
      </w:r>
      <w:r w:rsidR="00EF0764" w:rsidRPr="00CD3501">
        <w:rPr>
          <w:rFonts w:asciiTheme="majorHAnsi" w:hAnsiTheme="majorHAnsi"/>
          <w:sz w:val="18"/>
          <w:szCs w:val="18"/>
          <w:lang w:val="es-ES_tradnl"/>
        </w:rPr>
        <w:t xml:space="preserve">a, malos tratos y muerte en mi país. Debido a esa persecución, mi madre y yo nos fuimos de </w:t>
      </w:r>
      <w:r w:rsidR="00C90AB9" w:rsidRPr="00CD3501">
        <w:rPr>
          <w:rFonts w:asciiTheme="majorHAnsi" w:hAnsiTheme="majorHAnsi"/>
          <w:sz w:val="18"/>
          <w:szCs w:val="18"/>
          <w:lang w:val="es-ES_tradnl"/>
        </w:rPr>
        <w:t xml:space="preserve">Jamaica </w:t>
      </w:r>
      <w:r w:rsidR="00EF0764" w:rsidRPr="00CD3501">
        <w:rPr>
          <w:rFonts w:asciiTheme="majorHAnsi" w:hAnsiTheme="majorHAnsi"/>
          <w:sz w:val="18"/>
          <w:szCs w:val="18"/>
          <w:lang w:val="es-ES_tradnl"/>
        </w:rPr>
        <w:t>e</w:t>
      </w:r>
      <w:r w:rsidR="00C90AB9" w:rsidRPr="00CD3501">
        <w:rPr>
          <w:rFonts w:asciiTheme="majorHAnsi" w:hAnsiTheme="majorHAnsi"/>
          <w:sz w:val="18"/>
          <w:szCs w:val="18"/>
          <w:lang w:val="es-ES_tradnl"/>
        </w:rPr>
        <w:t>n 2008</w:t>
      </w:r>
      <w:r w:rsidR="00EF0764" w:rsidRPr="00CD3501">
        <w:rPr>
          <w:rFonts w:asciiTheme="majorHAnsi" w:hAnsiTheme="majorHAnsi"/>
          <w:sz w:val="18"/>
          <w:szCs w:val="18"/>
          <w:lang w:val="es-ES_tradnl"/>
        </w:rPr>
        <w:t xml:space="preserve"> y pedimos asilo en Canadá</w:t>
      </w:r>
      <w:r w:rsidR="00C90AB9" w:rsidRPr="00CD3501">
        <w:rPr>
          <w:rFonts w:asciiTheme="majorHAnsi" w:hAnsiTheme="majorHAnsi"/>
          <w:sz w:val="18"/>
          <w:szCs w:val="18"/>
          <w:lang w:val="es-ES_tradnl"/>
        </w:rPr>
        <w:t xml:space="preserve">. </w:t>
      </w:r>
      <w:r w:rsidR="00EF0764" w:rsidRPr="00CD3501">
        <w:rPr>
          <w:rFonts w:asciiTheme="majorHAnsi" w:hAnsiTheme="majorHAnsi"/>
          <w:sz w:val="18"/>
          <w:szCs w:val="18"/>
          <w:lang w:val="es-ES_tradnl"/>
        </w:rPr>
        <w:t>Este año, mi hermana y su joven familia se vieron obligadas a venir a vivir con nosotros porque las acosaban debido a</w:t>
      </w:r>
      <w:r w:rsidR="00215292" w:rsidRPr="00CD3501">
        <w:rPr>
          <w:rFonts w:asciiTheme="majorHAnsi" w:hAnsiTheme="majorHAnsi"/>
          <w:sz w:val="18"/>
          <w:szCs w:val="18"/>
          <w:lang w:val="es-ES_tradnl"/>
        </w:rPr>
        <w:t>l parentesco que tienen conmigo</w:t>
      </w:r>
      <w:r w:rsidR="00C90AB9" w:rsidRPr="00CD3501">
        <w:rPr>
          <w:rFonts w:asciiTheme="majorHAnsi" w:hAnsiTheme="majorHAnsi"/>
          <w:sz w:val="18"/>
          <w:szCs w:val="18"/>
          <w:lang w:val="es-ES_tradnl"/>
        </w:rPr>
        <w:t xml:space="preserve">. </w:t>
      </w:r>
    </w:p>
    <w:p w14:paraId="1307A82A" w14:textId="77777777" w:rsidR="0042244A" w:rsidRPr="00CD3501" w:rsidRDefault="0042244A"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p>
    <w:p w14:paraId="54880734" w14:textId="14A67417" w:rsidR="00C55560" w:rsidRPr="00CD3501" w:rsidRDefault="00EF0764"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t>[</w:t>
      </w:r>
      <w:r w:rsidR="00512224" w:rsidRPr="00CD3501">
        <w:rPr>
          <w:rFonts w:asciiTheme="majorHAnsi" w:hAnsiTheme="majorHAnsi"/>
          <w:sz w:val="18"/>
          <w:szCs w:val="18"/>
          <w:lang w:val="es-ES_tradnl"/>
        </w:rPr>
        <w:t>…</w:t>
      </w:r>
      <w:r w:rsidRPr="00CD3501">
        <w:rPr>
          <w:rFonts w:asciiTheme="majorHAnsi" w:hAnsiTheme="majorHAnsi"/>
          <w:sz w:val="18"/>
          <w:szCs w:val="18"/>
          <w:lang w:val="es-ES_tradnl"/>
        </w:rPr>
        <w:t>]</w:t>
      </w:r>
      <w:r w:rsidR="00512224" w:rsidRPr="00CD3501">
        <w:rPr>
          <w:rFonts w:asciiTheme="majorHAnsi" w:hAnsiTheme="majorHAnsi"/>
          <w:sz w:val="18"/>
          <w:szCs w:val="18"/>
          <w:lang w:val="es-ES_tradnl"/>
        </w:rPr>
        <w:t xml:space="preserve"> m</w:t>
      </w:r>
      <w:r w:rsidRPr="00CD3501">
        <w:rPr>
          <w:rFonts w:asciiTheme="majorHAnsi" w:hAnsiTheme="majorHAnsi"/>
          <w:sz w:val="18"/>
          <w:szCs w:val="18"/>
          <w:lang w:val="es-ES_tradnl"/>
        </w:rPr>
        <w:t xml:space="preserve">i trabajo era peligroso y </w:t>
      </w:r>
      <w:r w:rsidR="00505451" w:rsidRPr="00CD3501">
        <w:rPr>
          <w:rFonts w:asciiTheme="majorHAnsi" w:hAnsiTheme="majorHAnsi"/>
          <w:sz w:val="18"/>
          <w:szCs w:val="18"/>
          <w:lang w:val="es-ES_tradnl"/>
        </w:rPr>
        <w:t>ate</w:t>
      </w:r>
      <w:r w:rsidR="002F1404" w:rsidRPr="00CD3501">
        <w:rPr>
          <w:rFonts w:asciiTheme="majorHAnsi" w:hAnsiTheme="majorHAnsi"/>
          <w:sz w:val="18"/>
          <w:szCs w:val="18"/>
          <w:lang w:val="es-ES_tradnl"/>
        </w:rPr>
        <w:t>morizador</w:t>
      </w:r>
      <w:r w:rsidR="00505451" w:rsidRPr="00CD3501">
        <w:rPr>
          <w:rFonts w:asciiTheme="majorHAnsi" w:hAnsiTheme="majorHAnsi"/>
          <w:sz w:val="18"/>
          <w:szCs w:val="18"/>
          <w:lang w:val="es-ES_tradnl"/>
        </w:rPr>
        <w:t xml:space="preserve">. En varias ocasiones hubo enfrentamientos con la policía. Una noche, un grupo de siete a nueve hombres comenzaron a apedrearnos, a mí y a otros voluntarios. Nos decían </w:t>
      </w:r>
      <w:r w:rsidR="00512224" w:rsidRPr="00CD3501">
        <w:rPr>
          <w:rFonts w:asciiTheme="majorHAnsi" w:hAnsiTheme="majorHAnsi"/>
          <w:sz w:val="18"/>
          <w:szCs w:val="18"/>
          <w:lang w:val="es-ES_tradnl"/>
        </w:rPr>
        <w:t>“battymen”</w:t>
      </w:r>
      <w:r w:rsidR="00505451" w:rsidRPr="00CD3501">
        <w:rPr>
          <w:rFonts w:asciiTheme="majorHAnsi" w:hAnsiTheme="majorHAnsi"/>
          <w:sz w:val="18"/>
          <w:szCs w:val="18"/>
          <w:lang w:val="es-ES_tradnl"/>
        </w:rPr>
        <w:t xml:space="preserve"> </w:t>
      </w:r>
      <w:r w:rsidR="009A2505" w:rsidRPr="00CD3501">
        <w:rPr>
          <w:rFonts w:asciiTheme="majorHAnsi" w:hAnsiTheme="majorHAnsi"/>
          <w:sz w:val="18"/>
          <w:szCs w:val="18"/>
          <w:lang w:val="es-ES_tradnl"/>
        </w:rPr>
        <w:t>[en el dialecto jamaiquino, “maricone</w:t>
      </w:r>
      <w:r w:rsidR="00505451" w:rsidRPr="00CD3501">
        <w:rPr>
          <w:rFonts w:asciiTheme="majorHAnsi" w:hAnsiTheme="majorHAnsi"/>
          <w:sz w:val="18"/>
          <w:szCs w:val="18"/>
          <w:lang w:val="es-ES_tradnl"/>
        </w:rPr>
        <w:t>s</w:t>
      </w:r>
      <w:r w:rsidR="009A2505" w:rsidRPr="00CD3501">
        <w:rPr>
          <w:rFonts w:asciiTheme="majorHAnsi" w:hAnsiTheme="majorHAnsi"/>
          <w:sz w:val="18"/>
          <w:szCs w:val="18"/>
          <w:lang w:val="es-ES_tradnl"/>
        </w:rPr>
        <w:t>”]</w:t>
      </w:r>
      <w:r w:rsidR="00505451" w:rsidRPr="00CD3501">
        <w:rPr>
          <w:rFonts w:asciiTheme="majorHAnsi" w:hAnsiTheme="majorHAnsi"/>
          <w:sz w:val="18"/>
          <w:szCs w:val="18"/>
          <w:lang w:val="es-ES_tradnl"/>
        </w:rPr>
        <w:t xml:space="preserve"> y </w:t>
      </w:r>
      <w:r w:rsidR="00512224" w:rsidRPr="00CD3501">
        <w:rPr>
          <w:rFonts w:asciiTheme="majorHAnsi" w:hAnsiTheme="majorHAnsi"/>
          <w:sz w:val="18"/>
          <w:szCs w:val="18"/>
          <w:lang w:val="es-ES_tradnl"/>
        </w:rPr>
        <w:t>“lesbian</w:t>
      </w:r>
      <w:r w:rsidR="00505451" w:rsidRPr="00CD3501">
        <w:rPr>
          <w:rFonts w:asciiTheme="majorHAnsi" w:hAnsiTheme="majorHAnsi"/>
          <w:sz w:val="18"/>
          <w:szCs w:val="18"/>
          <w:lang w:val="es-ES_tradnl"/>
        </w:rPr>
        <w:t>a</w:t>
      </w:r>
      <w:r w:rsidR="00512224" w:rsidRPr="00CD3501">
        <w:rPr>
          <w:rFonts w:asciiTheme="majorHAnsi" w:hAnsiTheme="majorHAnsi"/>
          <w:sz w:val="18"/>
          <w:szCs w:val="18"/>
          <w:lang w:val="es-ES_tradnl"/>
        </w:rPr>
        <w:t>s”</w:t>
      </w:r>
      <w:r w:rsidR="00505451" w:rsidRPr="00CD3501">
        <w:rPr>
          <w:rFonts w:asciiTheme="majorHAnsi" w:hAnsiTheme="majorHAnsi"/>
          <w:sz w:val="18"/>
          <w:szCs w:val="18"/>
          <w:lang w:val="es-ES_tradnl"/>
        </w:rPr>
        <w:t xml:space="preserve">, y tuvimos que salir corriendo para que no nos mataran. Nos encontramos con algunos </w:t>
      </w:r>
      <w:r w:rsidR="00CC2262" w:rsidRPr="00CD3501">
        <w:rPr>
          <w:rFonts w:asciiTheme="majorHAnsi" w:hAnsiTheme="majorHAnsi"/>
          <w:sz w:val="18"/>
          <w:szCs w:val="18"/>
          <w:lang w:val="es-ES_tradnl"/>
        </w:rPr>
        <w:t>agentes de policía</w:t>
      </w:r>
      <w:r w:rsidR="00505451" w:rsidRPr="00CD3501">
        <w:rPr>
          <w:rFonts w:asciiTheme="majorHAnsi" w:hAnsiTheme="majorHAnsi"/>
          <w:sz w:val="18"/>
          <w:szCs w:val="18"/>
          <w:lang w:val="es-ES_tradnl"/>
        </w:rPr>
        <w:t>, pero nos ordenaron que nos fuéramos y nos dijeron que no debíamos repartir condones y hablar como “</w:t>
      </w:r>
      <w:r w:rsidR="009A2505" w:rsidRPr="00CD3501">
        <w:rPr>
          <w:rFonts w:asciiTheme="majorHAnsi" w:hAnsiTheme="majorHAnsi"/>
          <w:sz w:val="18"/>
          <w:szCs w:val="18"/>
          <w:lang w:val="es-ES_tradnl"/>
        </w:rPr>
        <w:t>maricones</w:t>
      </w:r>
      <w:r w:rsidR="00505451" w:rsidRPr="00CD3501">
        <w:rPr>
          <w:rFonts w:asciiTheme="majorHAnsi" w:hAnsiTheme="majorHAnsi"/>
          <w:sz w:val="18"/>
          <w:szCs w:val="18"/>
          <w:lang w:val="es-ES_tradnl"/>
        </w:rPr>
        <w:t xml:space="preserve">” y “putas”. Cuando nos fuimos, los </w:t>
      </w:r>
      <w:r w:rsidR="00CC2262" w:rsidRPr="00CD3501">
        <w:rPr>
          <w:rFonts w:asciiTheme="majorHAnsi" w:hAnsiTheme="majorHAnsi"/>
          <w:sz w:val="18"/>
          <w:szCs w:val="18"/>
          <w:lang w:val="es-ES_tradnl"/>
        </w:rPr>
        <w:t>agentes de policía</w:t>
      </w:r>
      <w:r w:rsidR="00512224" w:rsidRPr="00CD3501">
        <w:rPr>
          <w:rFonts w:asciiTheme="majorHAnsi" w:hAnsiTheme="majorHAnsi"/>
          <w:sz w:val="18"/>
          <w:szCs w:val="18"/>
          <w:lang w:val="es-ES_tradnl"/>
        </w:rPr>
        <w:t xml:space="preserve"> </w:t>
      </w:r>
      <w:r w:rsidR="00505451" w:rsidRPr="00CD3501">
        <w:rPr>
          <w:rFonts w:asciiTheme="majorHAnsi" w:hAnsiTheme="majorHAnsi"/>
          <w:sz w:val="18"/>
          <w:szCs w:val="18"/>
          <w:lang w:val="es-ES_tradnl"/>
        </w:rPr>
        <w:t>nos soltaron una sarta de insultos</w:t>
      </w:r>
      <w:r w:rsidR="00F55C94" w:rsidRPr="00CD3501">
        <w:rPr>
          <w:rFonts w:asciiTheme="majorHAnsi" w:hAnsiTheme="majorHAnsi"/>
          <w:sz w:val="18"/>
          <w:szCs w:val="18"/>
          <w:lang w:val="es-ES_tradnl"/>
        </w:rPr>
        <w:t xml:space="preserve">, como </w:t>
      </w:r>
      <w:r w:rsidR="00512224" w:rsidRPr="00CD3501">
        <w:rPr>
          <w:rFonts w:asciiTheme="majorHAnsi" w:hAnsiTheme="majorHAnsi"/>
          <w:sz w:val="18"/>
          <w:szCs w:val="18"/>
          <w:lang w:val="es-ES_tradnl"/>
        </w:rPr>
        <w:t>“battymen, fi dead” (</w:t>
      </w:r>
      <w:r w:rsidR="009A2505" w:rsidRPr="00CD3501">
        <w:rPr>
          <w:rFonts w:asciiTheme="majorHAnsi" w:hAnsiTheme="majorHAnsi"/>
          <w:sz w:val="18"/>
          <w:szCs w:val="18"/>
          <w:lang w:val="es-ES_tradnl"/>
        </w:rPr>
        <w:t>“m</w:t>
      </w:r>
      <w:r w:rsidR="00F55C94" w:rsidRPr="00CD3501">
        <w:rPr>
          <w:rFonts w:asciiTheme="majorHAnsi" w:hAnsiTheme="majorHAnsi"/>
          <w:sz w:val="18"/>
          <w:szCs w:val="18"/>
          <w:lang w:val="es-ES_tradnl"/>
        </w:rPr>
        <w:t xml:space="preserve">uerte a los </w:t>
      </w:r>
      <w:r w:rsidR="009A2505" w:rsidRPr="00CD3501">
        <w:rPr>
          <w:rFonts w:asciiTheme="majorHAnsi" w:hAnsiTheme="majorHAnsi"/>
          <w:sz w:val="18"/>
          <w:szCs w:val="18"/>
          <w:lang w:val="es-ES_tradnl"/>
        </w:rPr>
        <w:t>maricones”</w:t>
      </w:r>
      <w:r w:rsidR="00512224" w:rsidRPr="00CD3501">
        <w:rPr>
          <w:rFonts w:asciiTheme="majorHAnsi" w:hAnsiTheme="majorHAnsi"/>
          <w:sz w:val="18"/>
          <w:szCs w:val="18"/>
          <w:lang w:val="es-ES_tradnl"/>
        </w:rPr>
        <w:t xml:space="preserve">) </w:t>
      </w:r>
      <w:r w:rsidR="00F55C94" w:rsidRPr="00CD3501">
        <w:rPr>
          <w:rFonts w:asciiTheme="majorHAnsi" w:hAnsiTheme="majorHAnsi"/>
          <w:sz w:val="18"/>
          <w:szCs w:val="18"/>
          <w:lang w:val="es-ES_tradnl"/>
        </w:rPr>
        <w:t xml:space="preserve">y </w:t>
      </w:r>
      <w:r w:rsidR="00512224" w:rsidRPr="00CD3501">
        <w:rPr>
          <w:rFonts w:asciiTheme="majorHAnsi" w:hAnsiTheme="majorHAnsi"/>
          <w:sz w:val="18"/>
          <w:szCs w:val="18"/>
          <w:lang w:val="es-ES_tradnl"/>
        </w:rPr>
        <w:t>“if you unnu come back yah we going to beat you unnu” (</w:t>
      </w:r>
      <w:r w:rsidR="009A2505" w:rsidRPr="00CD3501">
        <w:rPr>
          <w:rFonts w:asciiTheme="majorHAnsi" w:hAnsiTheme="majorHAnsi"/>
          <w:sz w:val="18"/>
          <w:szCs w:val="18"/>
          <w:lang w:val="es-ES_tradnl"/>
        </w:rPr>
        <w:t>“</w:t>
      </w:r>
      <w:r w:rsidR="00F55C94" w:rsidRPr="00CD3501">
        <w:rPr>
          <w:rFonts w:asciiTheme="majorHAnsi" w:hAnsiTheme="majorHAnsi"/>
          <w:sz w:val="18"/>
          <w:szCs w:val="18"/>
          <w:lang w:val="es-ES_tradnl"/>
        </w:rPr>
        <w:t>si vuelven, los molemos a palos</w:t>
      </w:r>
      <w:r w:rsidR="009A2505" w:rsidRPr="00CD3501">
        <w:rPr>
          <w:rFonts w:asciiTheme="majorHAnsi" w:hAnsiTheme="majorHAnsi"/>
          <w:sz w:val="18"/>
          <w:szCs w:val="18"/>
          <w:lang w:val="es-ES_tradnl"/>
        </w:rPr>
        <w:t>”</w:t>
      </w:r>
      <w:r w:rsidR="00512224" w:rsidRPr="00CD3501">
        <w:rPr>
          <w:rFonts w:asciiTheme="majorHAnsi" w:hAnsiTheme="majorHAnsi"/>
          <w:sz w:val="18"/>
          <w:szCs w:val="18"/>
          <w:lang w:val="es-ES_tradnl"/>
        </w:rPr>
        <w:t xml:space="preserve">). </w:t>
      </w:r>
      <w:r w:rsidR="00F55C94" w:rsidRPr="00CD3501">
        <w:rPr>
          <w:rFonts w:asciiTheme="majorHAnsi" w:hAnsiTheme="majorHAnsi"/>
          <w:sz w:val="18"/>
          <w:szCs w:val="18"/>
          <w:lang w:val="es-ES_tradnl"/>
        </w:rPr>
        <w:t xml:space="preserve">Denuncié estos abusos a la policía, pero la policía no nos ayudó. Yo estaba aterrado, pero seguía firme en mi compromiso de participar en actividades de divulgación con </w:t>
      </w:r>
      <w:r w:rsidR="00512224" w:rsidRPr="00CD3501">
        <w:rPr>
          <w:rFonts w:asciiTheme="majorHAnsi" w:hAnsiTheme="majorHAnsi"/>
          <w:sz w:val="18"/>
          <w:szCs w:val="18"/>
          <w:lang w:val="es-ES_tradnl"/>
        </w:rPr>
        <w:t xml:space="preserve">JAS. </w:t>
      </w:r>
      <w:r w:rsidR="00F55C94" w:rsidRPr="00CD3501">
        <w:rPr>
          <w:rFonts w:asciiTheme="majorHAnsi" w:hAnsiTheme="majorHAnsi"/>
          <w:sz w:val="18"/>
          <w:szCs w:val="18"/>
          <w:lang w:val="es-ES_tradnl"/>
        </w:rPr>
        <w:t>En cambio, tuvimos que idear estrategias para no ser las víctimas de la v</w:t>
      </w:r>
      <w:r w:rsidR="00EC50E9" w:rsidRPr="00CD3501">
        <w:rPr>
          <w:rFonts w:asciiTheme="majorHAnsi" w:hAnsiTheme="majorHAnsi"/>
          <w:sz w:val="18"/>
          <w:szCs w:val="18"/>
          <w:lang w:val="es-ES_tradnl"/>
        </w:rPr>
        <w:t>iolencia</w:t>
      </w:r>
      <w:r w:rsidR="00F55C94" w:rsidRPr="00CD3501">
        <w:rPr>
          <w:rFonts w:asciiTheme="majorHAnsi" w:hAnsiTheme="majorHAnsi"/>
          <w:sz w:val="18"/>
          <w:szCs w:val="18"/>
          <w:lang w:val="es-ES_tradnl"/>
        </w:rPr>
        <w:t>; por ejemplo, trabajar siempre en grupos</w:t>
      </w:r>
      <w:r w:rsidR="00512224" w:rsidRPr="00CD3501">
        <w:rPr>
          <w:rFonts w:asciiTheme="majorHAnsi" w:hAnsiTheme="majorHAnsi"/>
          <w:sz w:val="18"/>
          <w:szCs w:val="18"/>
          <w:lang w:val="es-ES_tradnl"/>
        </w:rPr>
        <w:t xml:space="preserve">. </w:t>
      </w:r>
      <w:r w:rsidR="00F55C94" w:rsidRPr="00CD3501">
        <w:rPr>
          <w:rFonts w:asciiTheme="majorHAnsi" w:hAnsiTheme="majorHAnsi"/>
          <w:sz w:val="18"/>
          <w:szCs w:val="18"/>
          <w:lang w:val="es-ES_tradnl"/>
        </w:rPr>
        <w:t>Posteriormente, yo seguí teniendo enfrentamientos similares con la policía</w:t>
      </w:r>
      <w:r w:rsidR="00DC7A08" w:rsidRPr="00CD3501">
        <w:rPr>
          <w:rStyle w:val="FootnoteReference"/>
          <w:rFonts w:asciiTheme="majorHAnsi" w:hAnsiTheme="majorHAnsi"/>
          <w:sz w:val="18"/>
          <w:szCs w:val="18"/>
          <w:lang w:val="es-ES_tradnl"/>
        </w:rPr>
        <w:footnoteReference w:id="17"/>
      </w:r>
      <w:r w:rsidR="00F55C94" w:rsidRPr="00CD3501">
        <w:rPr>
          <w:rFonts w:asciiTheme="majorHAnsi" w:hAnsiTheme="majorHAnsi"/>
          <w:sz w:val="18"/>
          <w:szCs w:val="18"/>
          <w:lang w:val="es-ES_tradnl"/>
        </w:rPr>
        <w:t>.</w:t>
      </w:r>
    </w:p>
    <w:p w14:paraId="24414673" w14:textId="77777777" w:rsidR="004E5303" w:rsidRPr="00CD3501" w:rsidRDefault="004E5303" w:rsidP="00A167CF">
      <w:pPr>
        <w:suppressAutoHyphens/>
        <w:spacing w:line="276" w:lineRule="auto"/>
        <w:jc w:val="both"/>
        <w:rPr>
          <w:rFonts w:ascii="Cambria" w:hAnsi="Cambria"/>
          <w:sz w:val="20"/>
          <w:szCs w:val="20"/>
          <w:lang w:val="es-ES_tradnl"/>
        </w:rPr>
      </w:pPr>
    </w:p>
    <w:p w14:paraId="68E4650A" w14:textId="4413CDC0" w:rsidR="00A34B20" w:rsidRPr="00CD3501" w:rsidRDefault="007D7B1E"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 xml:space="preserve">La </w:t>
      </w:r>
      <w:r w:rsidR="00B24E23" w:rsidRPr="00CD3501">
        <w:rPr>
          <w:rFonts w:ascii="Cambria" w:hAnsi="Cambria"/>
          <w:lang w:val="es-ES_tradnl"/>
        </w:rPr>
        <w:t>presunta víctima</w:t>
      </w:r>
      <w:r w:rsidR="00021050" w:rsidRPr="00CD3501">
        <w:rPr>
          <w:rFonts w:ascii="Cambria" w:hAnsi="Cambria"/>
          <w:lang w:val="es-ES_tradnl"/>
        </w:rPr>
        <w:t xml:space="preserve"> </w:t>
      </w:r>
      <w:r w:rsidRPr="00CD3501">
        <w:rPr>
          <w:rFonts w:ascii="Cambria" w:hAnsi="Cambria"/>
          <w:lang w:val="es-ES_tradnl"/>
        </w:rPr>
        <w:t>pidió asilo en Canadá</w:t>
      </w:r>
      <w:r w:rsidR="00021050" w:rsidRPr="00CD3501">
        <w:rPr>
          <w:rFonts w:ascii="Cambria" w:hAnsi="Cambria"/>
          <w:lang w:val="es-ES_tradnl"/>
        </w:rPr>
        <w:t xml:space="preserve">. </w:t>
      </w:r>
      <w:r w:rsidRPr="00CD3501">
        <w:rPr>
          <w:rFonts w:ascii="Cambria" w:hAnsi="Cambria"/>
          <w:lang w:val="es-ES_tradnl"/>
        </w:rPr>
        <w:t xml:space="preserve">El </w:t>
      </w:r>
      <w:r w:rsidR="004E5303" w:rsidRPr="00CD3501">
        <w:rPr>
          <w:rFonts w:ascii="Cambria" w:hAnsi="Cambria"/>
          <w:lang w:val="es-ES_tradnl"/>
        </w:rPr>
        <w:t>16</w:t>
      </w:r>
      <w:r w:rsidRPr="00CD3501">
        <w:rPr>
          <w:rFonts w:ascii="Cambria" w:hAnsi="Cambria"/>
          <w:lang w:val="es-ES_tradnl"/>
        </w:rPr>
        <w:t xml:space="preserve"> de junio de</w:t>
      </w:r>
      <w:r w:rsidR="004E5303" w:rsidRPr="00CD3501">
        <w:rPr>
          <w:rFonts w:ascii="Cambria" w:hAnsi="Cambria"/>
          <w:lang w:val="es-ES_tradnl"/>
        </w:rPr>
        <w:t xml:space="preserve"> 2008</w:t>
      </w:r>
      <w:r w:rsidRPr="00CD3501">
        <w:rPr>
          <w:rFonts w:ascii="Cambria" w:hAnsi="Cambria"/>
          <w:lang w:val="es-ES_tradnl"/>
        </w:rPr>
        <w:t>, la División de Protección de los Refugiados, de Canadá,</w:t>
      </w:r>
      <w:r w:rsidR="00A34B20" w:rsidRPr="00CD3501">
        <w:rPr>
          <w:rFonts w:ascii="Cambria" w:hAnsi="Cambria"/>
          <w:lang w:val="es-ES_tradnl"/>
        </w:rPr>
        <w:t xml:space="preserve"> determin</w:t>
      </w:r>
      <w:r w:rsidRPr="00CD3501">
        <w:rPr>
          <w:rFonts w:ascii="Cambria" w:hAnsi="Cambria"/>
          <w:lang w:val="es-ES_tradnl"/>
        </w:rPr>
        <w:t xml:space="preserve">ó que </w:t>
      </w:r>
      <w:r w:rsidR="00A34B20" w:rsidRPr="00CD3501">
        <w:rPr>
          <w:rFonts w:ascii="Cambria" w:hAnsi="Cambria"/>
          <w:lang w:val="es-ES_tradnl"/>
        </w:rPr>
        <w:t xml:space="preserve">Gareth Henry </w:t>
      </w:r>
      <w:r w:rsidRPr="00CD3501">
        <w:rPr>
          <w:rFonts w:ascii="Cambria" w:hAnsi="Cambria"/>
          <w:lang w:val="es-ES_tradnl"/>
        </w:rPr>
        <w:t>y otra persona eran refugiados de acuerdo con la Convención y, por consiguiente, aceptó su petición</w:t>
      </w:r>
      <w:r w:rsidR="008B58C8" w:rsidRPr="00CD3501">
        <w:rPr>
          <w:rStyle w:val="FootnoteReference"/>
          <w:rFonts w:ascii="Cambria" w:hAnsi="Cambria"/>
          <w:lang w:val="es-ES_tradnl"/>
        </w:rPr>
        <w:footnoteReference w:id="18"/>
      </w:r>
      <w:r w:rsidRPr="00CD3501">
        <w:rPr>
          <w:rFonts w:ascii="Cambria" w:hAnsi="Cambria"/>
          <w:lang w:val="es-ES_tradnl"/>
        </w:rPr>
        <w:t>.</w:t>
      </w:r>
    </w:p>
    <w:p w14:paraId="6C97DA17" w14:textId="77777777" w:rsidR="00605AD7" w:rsidRPr="00CD3501" w:rsidRDefault="00605AD7" w:rsidP="00A167CF">
      <w:pPr>
        <w:pStyle w:val="parrafos"/>
        <w:tabs>
          <w:tab w:val="clear" w:pos="360"/>
        </w:tabs>
        <w:suppressAutoHyphens/>
        <w:spacing w:line="276" w:lineRule="auto"/>
        <w:rPr>
          <w:rFonts w:ascii="Cambria" w:hAnsi="Cambria"/>
          <w:lang w:val="es-ES_tradnl"/>
        </w:rPr>
      </w:pPr>
    </w:p>
    <w:p w14:paraId="106778F4" w14:textId="5890BAD3" w:rsidR="00605AD7" w:rsidRPr="00CD3501" w:rsidRDefault="007D7B1E"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 xml:space="preserve">El </w:t>
      </w:r>
      <w:r w:rsidR="000F0E34" w:rsidRPr="00CD3501">
        <w:rPr>
          <w:rFonts w:ascii="Cambria" w:hAnsi="Cambria"/>
          <w:lang w:val="es-ES_tradnl"/>
        </w:rPr>
        <w:t>26</w:t>
      </w:r>
      <w:r w:rsidRPr="00CD3501">
        <w:rPr>
          <w:rFonts w:ascii="Cambria" w:hAnsi="Cambria"/>
          <w:lang w:val="es-ES_tradnl"/>
        </w:rPr>
        <w:t xml:space="preserve"> de noviembre de</w:t>
      </w:r>
      <w:r w:rsidR="000F0E34" w:rsidRPr="00CD3501">
        <w:rPr>
          <w:rFonts w:ascii="Cambria" w:hAnsi="Cambria"/>
          <w:lang w:val="es-ES_tradnl"/>
        </w:rPr>
        <w:t xml:space="preserve"> 2018</w:t>
      </w:r>
      <w:r w:rsidRPr="00CD3501">
        <w:rPr>
          <w:rFonts w:ascii="Cambria" w:hAnsi="Cambria"/>
          <w:lang w:val="es-ES_tradnl"/>
        </w:rPr>
        <w:t>,</w:t>
      </w:r>
      <w:r w:rsidR="000F0E34" w:rsidRPr="00CD3501">
        <w:rPr>
          <w:rFonts w:ascii="Cambria" w:hAnsi="Cambria"/>
          <w:lang w:val="es-ES_tradnl"/>
        </w:rPr>
        <w:t xml:space="preserve"> </w:t>
      </w:r>
      <w:r w:rsidR="005F06A1" w:rsidRPr="00CD3501">
        <w:rPr>
          <w:rFonts w:ascii="Cambria" w:hAnsi="Cambria"/>
          <w:lang w:val="es-ES_tradnl"/>
        </w:rPr>
        <w:t>el señor</w:t>
      </w:r>
      <w:r w:rsidR="000F0E34" w:rsidRPr="00CD3501">
        <w:rPr>
          <w:rFonts w:ascii="Cambria" w:hAnsi="Cambria"/>
          <w:lang w:val="es-ES_tradnl"/>
        </w:rPr>
        <w:t xml:space="preserve"> </w:t>
      </w:r>
      <w:r w:rsidR="00164631" w:rsidRPr="00CD3501">
        <w:rPr>
          <w:rFonts w:ascii="Cambria" w:hAnsi="Cambria"/>
          <w:lang w:val="es-ES_tradnl"/>
        </w:rPr>
        <w:t>Henry</w:t>
      </w:r>
      <w:r w:rsidR="000F0E34" w:rsidRPr="00CD3501">
        <w:rPr>
          <w:rFonts w:ascii="Cambria" w:hAnsi="Cambria"/>
          <w:lang w:val="es-ES_tradnl"/>
        </w:rPr>
        <w:t xml:space="preserve"> </w:t>
      </w:r>
      <w:r w:rsidR="00F55C94" w:rsidRPr="00CD3501">
        <w:rPr>
          <w:rFonts w:ascii="Cambria" w:hAnsi="Cambria"/>
          <w:lang w:val="es-ES_tradnl"/>
        </w:rPr>
        <w:t xml:space="preserve">presentó otra declaración a la </w:t>
      </w:r>
      <w:r w:rsidR="00497B9A" w:rsidRPr="00CD3501">
        <w:rPr>
          <w:rFonts w:ascii="Cambria" w:hAnsi="Cambria"/>
          <w:lang w:val="es-ES_tradnl"/>
        </w:rPr>
        <w:t>CIDH</w:t>
      </w:r>
      <w:r w:rsidR="000F0E34" w:rsidRPr="00CD3501">
        <w:rPr>
          <w:rFonts w:ascii="Cambria" w:hAnsi="Cambria"/>
          <w:lang w:val="es-ES_tradnl"/>
        </w:rPr>
        <w:t xml:space="preserve"> </w:t>
      </w:r>
      <w:r w:rsidR="00F55C94" w:rsidRPr="00CD3501">
        <w:rPr>
          <w:rFonts w:ascii="Cambria" w:hAnsi="Cambria"/>
          <w:lang w:val="es-ES_tradnl"/>
        </w:rPr>
        <w:t xml:space="preserve">sobre lo que sabía acerca de la situación de las </w:t>
      </w:r>
      <w:r w:rsidR="009E5620" w:rsidRPr="00CD3501">
        <w:rPr>
          <w:rFonts w:ascii="Cambria" w:hAnsi="Cambria"/>
          <w:lang w:val="es-ES_tradnl"/>
        </w:rPr>
        <w:t>personas LGBTI</w:t>
      </w:r>
      <w:r w:rsidR="000F0E34" w:rsidRPr="00CD3501">
        <w:rPr>
          <w:rFonts w:ascii="Cambria" w:hAnsi="Cambria"/>
          <w:lang w:val="es-ES_tradnl"/>
        </w:rPr>
        <w:t xml:space="preserve"> </w:t>
      </w:r>
      <w:r w:rsidR="00F55C94" w:rsidRPr="00CD3501">
        <w:rPr>
          <w:rFonts w:ascii="Cambria" w:hAnsi="Cambria"/>
          <w:lang w:val="es-ES_tradnl"/>
        </w:rPr>
        <w:t>e</w:t>
      </w:r>
      <w:r w:rsidR="000F0E34" w:rsidRPr="00CD3501">
        <w:rPr>
          <w:rFonts w:ascii="Cambria" w:hAnsi="Cambria"/>
          <w:lang w:val="es-ES_tradnl"/>
        </w:rPr>
        <w:t>n Jamaica</w:t>
      </w:r>
      <w:r w:rsidR="002F1404" w:rsidRPr="00CD3501">
        <w:rPr>
          <w:rFonts w:ascii="Cambria" w:hAnsi="Cambria"/>
          <w:lang w:val="es-ES_tradnl"/>
        </w:rPr>
        <w:t>, en la cual a</w:t>
      </w:r>
      <w:r w:rsidR="00F55C94" w:rsidRPr="00CD3501">
        <w:rPr>
          <w:rFonts w:ascii="Cambria" w:hAnsi="Cambria"/>
          <w:lang w:val="es-ES_tradnl"/>
        </w:rPr>
        <w:t>firmó lo siguiente:</w:t>
      </w:r>
    </w:p>
    <w:p w14:paraId="23E8B529" w14:textId="77777777" w:rsidR="000F0E34" w:rsidRPr="00CD3501" w:rsidRDefault="000F0E34" w:rsidP="00A167CF">
      <w:pPr>
        <w:pStyle w:val="ListParagraph"/>
        <w:rPr>
          <w:lang w:val="es-ES_tradnl"/>
        </w:rPr>
      </w:pPr>
    </w:p>
    <w:p w14:paraId="3AB4B5AD" w14:textId="07FC76CB" w:rsidR="000F0E34" w:rsidRPr="00CD3501" w:rsidRDefault="00F55C94"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t xml:space="preserve">Por ahora no se vislumbra ningún cambio. </w:t>
      </w:r>
      <w:r w:rsidR="00B24E23" w:rsidRPr="00CD3501">
        <w:rPr>
          <w:rFonts w:asciiTheme="majorHAnsi" w:hAnsiTheme="majorHAnsi"/>
          <w:sz w:val="18"/>
          <w:szCs w:val="18"/>
          <w:lang w:val="es-ES_tradnl"/>
        </w:rPr>
        <w:t>El Gobierno de</w:t>
      </w:r>
      <w:r w:rsidR="000F0E34" w:rsidRPr="00CD3501">
        <w:rPr>
          <w:rFonts w:asciiTheme="majorHAnsi" w:hAnsiTheme="majorHAnsi"/>
          <w:sz w:val="18"/>
          <w:szCs w:val="18"/>
          <w:lang w:val="es-ES_tradnl"/>
        </w:rPr>
        <w:t xml:space="preserve"> Jamaica </w:t>
      </w:r>
      <w:r w:rsidRPr="00CD3501">
        <w:rPr>
          <w:rFonts w:asciiTheme="majorHAnsi" w:hAnsiTheme="majorHAnsi"/>
          <w:sz w:val="18"/>
          <w:szCs w:val="18"/>
          <w:lang w:val="es-ES_tradnl"/>
        </w:rPr>
        <w:t>no ha tomado medidas para abrogar las leyes que penalizan las relaciones sexuales</w:t>
      </w:r>
      <w:r w:rsidR="000F0E34" w:rsidRPr="00CD3501">
        <w:rPr>
          <w:rFonts w:asciiTheme="majorHAnsi" w:hAnsiTheme="majorHAnsi"/>
          <w:sz w:val="18"/>
          <w:szCs w:val="18"/>
          <w:lang w:val="es-ES_tradnl"/>
        </w:rPr>
        <w:t xml:space="preserve"> consensual</w:t>
      </w:r>
      <w:r w:rsidRPr="00CD3501">
        <w:rPr>
          <w:rFonts w:asciiTheme="majorHAnsi" w:hAnsiTheme="majorHAnsi"/>
          <w:sz w:val="18"/>
          <w:szCs w:val="18"/>
          <w:lang w:val="es-ES_tradnl"/>
        </w:rPr>
        <w:t xml:space="preserve">es en privado entre personas del mismo sexo en </w:t>
      </w:r>
      <w:r w:rsidR="000F0E34" w:rsidRPr="00CD3501">
        <w:rPr>
          <w:rFonts w:asciiTheme="majorHAnsi" w:hAnsiTheme="majorHAnsi"/>
          <w:sz w:val="18"/>
          <w:szCs w:val="18"/>
          <w:lang w:val="es-ES_tradnl"/>
        </w:rPr>
        <w:t xml:space="preserve">Jamaica </w:t>
      </w:r>
      <w:r w:rsidRPr="00CD3501">
        <w:rPr>
          <w:rFonts w:asciiTheme="majorHAnsi" w:hAnsiTheme="majorHAnsi"/>
          <w:sz w:val="18"/>
          <w:szCs w:val="18"/>
          <w:lang w:val="es-ES_tradnl"/>
        </w:rPr>
        <w:t xml:space="preserve">ni para proteger a los jamaiquinos </w:t>
      </w:r>
      <w:r w:rsidR="000F0E34" w:rsidRPr="00CD3501">
        <w:rPr>
          <w:rFonts w:asciiTheme="majorHAnsi" w:hAnsiTheme="majorHAnsi"/>
          <w:sz w:val="18"/>
          <w:szCs w:val="18"/>
          <w:lang w:val="es-ES_tradnl"/>
        </w:rPr>
        <w:t xml:space="preserve">LGBTI </w:t>
      </w:r>
      <w:r w:rsidRPr="00CD3501">
        <w:rPr>
          <w:rFonts w:asciiTheme="majorHAnsi" w:hAnsiTheme="majorHAnsi"/>
          <w:sz w:val="18"/>
          <w:szCs w:val="18"/>
          <w:lang w:val="es-ES_tradnl"/>
        </w:rPr>
        <w:t xml:space="preserve">contra la </w:t>
      </w:r>
      <w:r w:rsidR="00EC50E9" w:rsidRPr="00CD3501">
        <w:rPr>
          <w:rFonts w:asciiTheme="majorHAnsi" w:hAnsiTheme="majorHAnsi"/>
          <w:sz w:val="18"/>
          <w:szCs w:val="18"/>
          <w:lang w:val="es-ES_tradnl"/>
        </w:rPr>
        <w:t>violencia</w:t>
      </w:r>
      <w:r w:rsidR="000F0E34" w:rsidRPr="00CD3501">
        <w:rPr>
          <w:rFonts w:asciiTheme="majorHAnsi" w:hAnsiTheme="majorHAnsi"/>
          <w:sz w:val="18"/>
          <w:szCs w:val="18"/>
          <w:lang w:val="es-ES_tradnl"/>
        </w:rPr>
        <w:t xml:space="preserve"> </w:t>
      </w:r>
      <w:r w:rsidRPr="00CD3501">
        <w:rPr>
          <w:rFonts w:asciiTheme="majorHAnsi" w:hAnsiTheme="majorHAnsi"/>
          <w:sz w:val="18"/>
          <w:szCs w:val="18"/>
          <w:lang w:val="es-ES_tradnl"/>
        </w:rPr>
        <w:t>y la</w:t>
      </w:r>
      <w:r w:rsidR="000F0E34" w:rsidRPr="00CD3501">
        <w:rPr>
          <w:rFonts w:asciiTheme="majorHAnsi" w:hAnsiTheme="majorHAnsi"/>
          <w:sz w:val="18"/>
          <w:szCs w:val="18"/>
          <w:lang w:val="es-ES_tradnl"/>
        </w:rPr>
        <w:t xml:space="preserve"> </w:t>
      </w:r>
      <w:r w:rsidR="00D92ABF" w:rsidRPr="00CD3501">
        <w:rPr>
          <w:rFonts w:asciiTheme="majorHAnsi" w:hAnsiTheme="majorHAnsi"/>
          <w:sz w:val="18"/>
          <w:szCs w:val="18"/>
          <w:lang w:val="es-ES_tradnl"/>
        </w:rPr>
        <w:t>homofobia</w:t>
      </w:r>
      <w:r w:rsidR="000F0E34" w:rsidRPr="00CD3501">
        <w:rPr>
          <w:rFonts w:asciiTheme="majorHAnsi" w:hAnsiTheme="majorHAnsi"/>
          <w:sz w:val="18"/>
          <w:szCs w:val="18"/>
          <w:lang w:val="es-ES_tradnl"/>
        </w:rPr>
        <w:t xml:space="preserve"> </w:t>
      </w:r>
      <w:r w:rsidRPr="00CD3501">
        <w:rPr>
          <w:rFonts w:asciiTheme="majorHAnsi" w:hAnsiTheme="majorHAnsi"/>
          <w:sz w:val="18"/>
          <w:szCs w:val="18"/>
          <w:lang w:val="es-ES_tradnl"/>
        </w:rPr>
        <w:t>que crea y fomenta. E</w:t>
      </w:r>
      <w:r w:rsidR="000F0E34" w:rsidRPr="00CD3501">
        <w:rPr>
          <w:rFonts w:asciiTheme="majorHAnsi" w:hAnsiTheme="majorHAnsi"/>
          <w:sz w:val="18"/>
          <w:szCs w:val="18"/>
          <w:lang w:val="es-ES_tradnl"/>
        </w:rPr>
        <w:t xml:space="preserve">n 2014, </w:t>
      </w:r>
      <w:r w:rsidR="007D7B1E" w:rsidRPr="00CD3501">
        <w:rPr>
          <w:rFonts w:asciiTheme="majorHAnsi" w:hAnsiTheme="majorHAnsi"/>
          <w:sz w:val="18"/>
          <w:szCs w:val="18"/>
          <w:lang w:val="es-ES_tradnl"/>
        </w:rPr>
        <w:t xml:space="preserve">un Comité Especial Conjunto del Parlamento de </w:t>
      </w:r>
      <w:r w:rsidR="000F0E34" w:rsidRPr="00CD3501">
        <w:rPr>
          <w:rFonts w:asciiTheme="majorHAnsi" w:hAnsiTheme="majorHAnsi"/>
          <w:sz w:val="18"/>
          <w:szCs w:val="18"/>
          <w:lang w:val="es-ES_tradnl"/>
        </w:rPr>
        <w:t xml:space="preserve">Jamaica </w:t>
      </w:r>
      <w:r w:rsidRPr="00CD3501">
        <w:rPr>
          <w:rFonts w:asciiTheme="majorHAnsi" w:hAnsiTheme="majorHAnsi"/>
          <w:sz w:val="18"/>
          <w:szCs w:val="18"/>
          <w:lang w:val="es-ES_tradnl"/>
        </w:rPr>
        <w:t>inició una revisión de la</w:t>
      </w:r>
      <w:r w:rsidR="000F0E34" w:rsidRPr="00CD3501">
        <w:rPr>
          <w:rFonts w:asciiTheme="majorHAnsi" w:hAnsiTheme="majorHAnsi"/>
          <w:sz w:val="18"/>
          <w:szCs w:val="18"/>
          <w:lang w:val="es-ES_tradnl"/>
        </w:rPr>
        <w:t xml:space="preserve"> </w:t>
      </w:r>
      <w:r w:rsidR="000A3FB7" w:rsidRPr="00CD3501">
        <w:rPr>
          <w:rFonts w:asciiTheme="majorHAnsi" w:hAnsiTheme="majorHAnsi"/>
          <w:sz w:val="18"/>
          <w:szCs w:val="18"/>
          <w:lang w:val="es-ES_tradnl"/>
        </w:rPr>
        <w:t>Ley de Delitos contra la Persona</w:t>
      </w:r>
      <w:r w:rsidR="000F0E34" w:rsidRPr="00CD3501">
        <w:rPr>
          <w:rFonts w:asciiTheme="majorHAnsi" w:hAnsiTheme="majorHAnsi"/>
          <w:sz w:val="18"/>
          <w:szCs w:val="18"/>
          <w:lang w:val="es-ES_tradnl"/>
        </w:rPr>
        <w:t xml:space="preserve"> </w:t>
      </w:r>
      <w:r w:rsidRPr="00CD3501">
        <w:rPr>
          <w:rFonts w:asciiTheme="majorHAnsi" w:hAnsiTheme="majorHAnsi"/>
          <w:sz w:val="18"/>
          <w:szCs w:val="18"/>
          <w:lang w:val="es-ES_tradnl"/>
        </w:rPr>
        <w:t xml:space="preserve">y otras leyes relativas a estos delitos y sanciones, prestando especial atención a la protección de las mujeres, los niños, los ancianos y los discapacitados contra la </w:t>
      </w:r>
      <w:r w:rsidR="00EC50E9" w:rsidRPr="00CD3501">
        <w:rPr>
          <w:rFonts w:asciiTheme="majorHAnsi" w:hAnsiTheme="majorHAnsi"/>
          <w:sz w:val="18"/>
          <w:szCs w:val="18"/>
          <w:lang w:val="es-ES_tradnl"/>
        </w:rPr>
        <w:t>violencia</w:t>
      </w:r>
      <w:r w:rsidR="000F0E34" w:rsidRPr="00CD3501">
        <w:rPr>
          <w:rFonts w:asciiTheme="majorHAnsi" w:hAnsiTheme="majorHAnsi"/>
          <w:sz w:val="18"/>
          <w:szCs w:val="18"/>
          <w:lang w:val="es-ES_tradnl"/>
        </w:rPr>
        <w:t xml:space="preserve"> </w:t>
      </w:r>
      <w:r w:rsidRPr="00CD3501">
        <w:rPr>
          <w:rFonts w:asciiTheme="majorHAnsi" w:hAnsiTheme="majorHAnsi"/>
          <w:sz w:val="18"/>
          <w:szCs w:val="18"/>
          <w:lang w:val="es-ES_tradnl"/>
        </w:rPr>
        <w:t xml:space="preserve">y el </w:t>
      </w:r>
      <w:r w:rsidR="000F0E34" w:rsidRPr="00CD3501">
        <w:rPr>
          <w:rFonts w:asciiTheme="majorHAnsi" w:hAnsiTheme="majorHAnsi"/>
          <w:sz w:val="18"/>
          <w:szCs w:val="18"/>
          <w:lang w:val="es-ES_tradnl"/>
        </w:rPr>
        <w:t>abus</w:t>
      </w:r>
      <w:r w:rsidR="002F1404" w:rsidRPr="00CD3501">
        <w:rPr>
          <w:rFonts w:asciiTheme="majorHAnsi" w:hAnsiTheme="majorHAnsi"/>
          <w:sz w:val="18"/>
          <w:szCs w:val="18"/>
          <w:lang w:val="es-ES_tradnl"/>
        </w:rPr>
        <w:t>o</w:t>
      </w:r>
      <w:r w:rsidR="000F0E34" w:rsidRPr="00CD3501">
        <w:rPr>
          <w:rFonts w:asciiTheme="majorHAnsi" w:hAnsiTheme="majorHAnsi"/>
          <w:sz w:val="18"/>
          <w:szCs w:val="18"/>
          <w:lang w:val="es-ES_tradnl"/>
        </w:rPr>
        <w:t xml:space="preserve">. </w:t>
      </w:r>
      <w:r w:rsidRPr="00CD3501">
        <w:rPr>
          <w:rFonts w:asciiTheme="majorHAnsi" w:hAnsiTheme="majorHAnsi"/>
          <w:sz w:val="18"/>
          <w:szCs w:val="18"/>
          <w:lang w:val="es-ES_tradnl"/>
        </w:rPr>
        <w:t>Sin embargo, al cabo de cuatro años, el Comité todavía no ha concluido la revisión. Como expliqué antes, la situación en la práctica sigue siendo muy mala</w:t>
      </w:r>
      <w:r w:rsidR="000F0E34" w:rsidRPr="00CD3501">
        <w:rPr>
          <w:rStyle w:val="FootnoteReference"/>
          <w:rFonts w:asciiTheme="majorHAnsi" w:hAnsiTheme="majorHAnsi"/>
          <w:sz w:val="18"/>
          <w:szCs w:val="18"/>
          <w:lang w:val="es-ES_tradnl"/>
        </w:rPr>
        <w:footnoteReference w:id="19"/>
      </w:r>
      <w:r w:rsidRPr="00CD3501">
        <w:rPr>
          <w:rFonts w:asciiTheme="majorHAnsi" w:hAnsiTheme="majorHAnsi"/>
          <w:sz w:val="18"/>
          <w:szCs w:val="18"/>
          <w:lang w:val="es-ES_tradnl"/>
        </w:rPr>
        <w:t>.</w:t>
      </w:r>
    </w:p>
    <w:p w14:paraId="77C97D93" w14:textId="77777777" w:rsidR="005D2666" w:rsidRPr="00CD3501" w:rsidRDefault="005D2666" w:rsidP="00A167CF">
      <w:pPr>
        <w:pStyle w:val="parrafos"/>
        <w:tabs>
          <w:tab w:val="clear" w:pos="360"/>
        </w:tabs>
        <w:suppressAutoHyphens/>
        <w:spacing w:line="276" w:lineRule="auto"/>
        <w:rPr>
          <w:rFonts w:ascii="Cambria" w:hAnsi="Cambria"/>
          <w:lang w:val="es-ES_tradnl"/>
        </w:rPr>
      </w:pPr>
    </w:p>
    <w:p w14:paraId="4B438170" w14:textId="34BA5E6F" w:rsidR="005D2666" w:rsidRPr="00CD3501" w:rsidRDefault="00F55C94"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 xml:space="preserve">El </w:t>
      </w:r>
      <w:r w:rsidR="005D2666" w:rsidRPr="00CD3501">
        <w:rPr>
          <w:rFonts w:ascii="Cambria" w:hAnsi="Cambria"/>
          <w:lang w:val="es-ES_tradnl"/>
        </w:rPr>
        <w:t>14</w:t>
      </w:r>
      <w:r w:rsidRPr="00CD3501">
        <w:rPr>
          <w:rFonts w:ascii="Cambria" w:hAnsi="Cambria"/>
          <w:lang w:val="es-ES_tradnl"/>
        </w:rPr>
        <w:t xml:space="preserve"> de octubre de</w:t>
      </w:r>
      <w:r w:rsidR="00AB42A6" w:rsidRPr="00CD3501">
        <w:rPr>
          <w:rFonts w:ascii="Cambria" w:hAnsi="Cambria"/>
          <w:lang w:val="es-ES_tradnl"/>
        </w:rPr>
        <w:t xml:space="preserve"> 2014</w:t>
      </w:r>
      <w:r w:rsidRPr="00CD3501">
        <w:rPr>
          <w:rFonts w:ascii="Cambria" w:hAnsi="Cambria"/>
          <w:lang w:val="es-ES_tradnl"/>
        </w:rPr>
        <w:t>,</w:t>
      </w:r>
      <w:r w:rsidR="005D2666" w:rsidRPr="00CD3501">
        <w:rPr>
          <w:rFonts w:ascii="Cambria" w:hAnsi="Cambria"/>
          <w:lang w:val="es-ES_tradnl"/>
        </w:rPr>
        <w:t xml:space="preserve"> Simone Carline Edwards </w:t>
      </w:r>
      <w:r w:rsidRPr="00CD3501">
        <w:rPr>
          <w:rFonts w:ascii="Cambria" w:hAnsi="Cambria"/>
          <w:lang w:val="es-ES_tradnl"/>
        </w:rPr>
        <w:t xml:space="preserve">presentó una </w:t>
      </w:r>
      <w:r w:rsidR="00551DE1" w:rsidRPr="00CD3501">
        <w:rPr>
          <w:rFonts w:ascii="Cambria" w:hAnsi="Cambria"/>
          <w:lang w:val="es-ES_tradnl"/>
        </w:rPr>
        <w:t>declaración</w:t>
      </w:r>
      <w:r w:rsidR="005D2666" w:rsidRPr="00CD3501">
        <w:rPr>
          <w:rFonts w:ascii="Cambria" w:hAnsi="Cambria"/>
          <w:lang w:val="es-ES_tradnl"/>
        </w:rPr>
        <w:t xml:space="preserve"> </w:t>
      </w:r>
      <w:r w:rsidR="00551DE1" w:rsidRPr="00CD3501">
        <w:rPr>
          <w:rFonts w:ascii="Cambria" w:hAnsi="Cambria"/>
          <w:lang w:val="es-ES_tradnl"/>
        </w:rPr>
        <w:t xml:space="preserve">a </w:t>
      </w:r>
      <w:r w:rsidR="00497B9A" w:rsidRPr="00CD3501">
        <w:rPr>
          <w:rFonts w:ascii="Cambria" w:hAnsi="Cambria"/>
          <w:lang w:val="es-ES_tradnl"/>
        </w:rPr>
        <w:t>la Comisión</w:t>
      </w:r>
      <w:r w:rsidR="005D2666" w:rsidRPr="00CD3501">
        <w:rPr>
          <w:rFonts w:ascii="Cambria" w:hAnsi="Cambria"/>
          <w:lang w:val="es-ES_tradnl"/>
        </w:rPr>
        <w:t xml:space="preserve"> </w:t>
      </w:r>
      <w:r w:rsidR="00551DE1" w:rsidRPr="00CD3501">
        <w:rPr>
          <w:rFonts w:ascii="Cambria" w:hAnsi="Cambria"/>
          <w:lang w:val="es-ES_tradnl"/>
        </w:rPr>
        <w:t xml:space="preserve">en la que pone de relieve su experiencia como mujer lesbiana en </w:t>
      </w:r>
      <w:r w:rsidR="00DE13A8" w:rsidRPr="00CD3501">
        <w:rPr>
          <w:rFonts w:ascii="Cambria" w:hAnsi="Cambria"/>
          <w:lang w:val="es-ES_tradnl"/>
        </w:rPr>
        <w:t>Jamaica:</w:t>
      </w:r>
    </w:p>
    <w:p w14:paraId="7F18A517" w14:textId="77777777" w:rsidR="00DE13A8" w:rsidRPr="00CD3501" w:rsidRDefault="00DE13A8" w:rsidP="00A167CF">
      <w:pPr>
        <w:pStyle w:val="ListParagraph"/>
        <w:rPr>
          <w:lang w:val="es-ES_tradnl"/>
        </w:rPr>
      </w:pPr>
    </w:p>
    <w:p w14:paraId="4A7F4047" w14:textId="5662D0BC" w:rsidR="00DE13A8" w:rsidRPr="00CD3501" w:rsidRDefault="005D5E42"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t>Soy lesbiana, pero debido a la hostilidad hacia la</w:t>
      </w:r>
      <w:r w:rsidR="00DE13A8" w:rsidRPr="00CD3501">
        <w:rPr>
          <w:rFonts w:asciiTheme="majorHAnsi" w:hAnsiTheme="majorHAnsi"/>
          <w:sz w:val="18"/>
          <w:szCs w:val="18"/>
          <w:lang w:val="es-ES_tradnl"/>
        </w:rPr>
        <w:t xml:space="preserve"> homosexuali</w:t>
      </w:r>
      <w:r w:rsidRPr="00CD3501">
        <w:rPr>
          <w:rFonts w:asciiTheme="majorHAnsi" w:hAnsiTheme="majorHAnsi"/>
          <w:sz w:val="18"/>
          <w:szCs w:val="18"/>
          <w:lang w:val="es-ES_tradnl"/>
        </w:rPr>
        <w:t>dad e</w:t>
      </w:r>
      <w:r w:rsidR="00DE13A8" w:rsidRPr="00CD3501">
        <w:rPr>
          <w:rFonts w:asciiTheme="majorHAnsi" w:hAnsiTheme="majorHAnsi"/>
          <w:sz w:val="18"/>
          <w:szCs w:val="18"/>
          <w:lang w:val="es-ES_tradnl"/>
        </w:rPr>
        <w:t>n Jamaica</w:t>
      </w:r>
      <w:r w:rsidRPr="00CD3501">
        <w:rPr>
          <w:rFonts w:asciiTheme="majorHAnsi" w:hAnsiTheme="majorHAnsi"/>
          <w:sz w:val="18"/>
          <w:szCs w:val="18"/>
          <w:lang w:val="es-ES_tradnl"/>
        </w:rPr>
        <w:t xml:space="preserve"> tuve que llevar una doble vida y ocultar mi </w:t>
      </w:r>
      <w:r w:rsidR="000A3FB7" w:rsidRPr="00CD3501">
        <w:rPr>
          <w:rFonts w:asciiTheme="majorHAnsi" w:hAnsiTheme="majorHAnsi"/>
          <w:sz w:val="18"/>
          <w:szCs w:val="18"/>
          <w:lang w:val="es-ES_tradnl"/>
        </w:rPr>
        <w:t>orientación sexual</w:t>
      </w:r>
      <w:r w:rsidR="00DE13A8" w:rsidRPr="00CD3501">
        <w:rPr>
          <w:rFonts w:asciiTheme="majorHAnsi" w:hAnsiTheme="majorHAnsi"/>
          <w:sz w:val="18"/>
          <w:szCs w:val="18"/>
          <w:lang w:val="es-ES_tradnl"/>
        </w:rPr>
        <w:t xml:space="preserve"> </w:t>
      </w:r>
      <w:r w:rsidRPr="00CD3501">
        <w:rPr>
          <w:rFonts w:asciiTheme="majorHAnsi" w:hAnsiTheme="majorHAnsi"/>
          <w:sz w:val="18"/>
          <w:szCs w:val="18"/>
          <w:lang w:val="es-ES_tradnl"/>
        </w:rPr>
        <w:t>a casi todos, incluso a algunos de mis familiares, las personas con las que trabajo y la comunidad en general</w:t>
      </w:r>
      <w:r w:rsidR="005C2A55" w:rsidRPr="00CD3501">
        <w:rPr>
          <w:rFonts w:asciiTheme="majorHAnsi" w:hAnsiTheme="majorHAnsi"/>
          <w:sz w:val="18"/>
          <w:szCs w:val="18"/>
          <w:lang w:val="es-ES_tradnl"/>
        </w:rPr>
        <w:t xml:space="preserve"> </w:t>
      </w:r>
      <w:r w:rsidRPr="00CD3501">
        <w:rPr>
          <w:rFonts w:asciiTheme="majorHAnsi" w:hAnsiTheme="majorHAnsi"/>
          <w:sz w:val="18"/>
          <w:szCs w:val="18"/>
          <w:lang w:val="es-ES_tradnl"/>
        </w:rPr>
        <w:t>[</w:t>
      </w:r>
      <w:r w:rsidR="005C2A55" w:rsidRPr="00CD3501">
        <w:rPr>
          <w:rFonts w:asciiTheme="majorHAnsi" w:hAnsiTheme="majorHAnsi"/>
          <w:sz w:val="18"/>
          <w:szCs w:val="18"/>
          <w:lang w:val="es-ES_tradnl"/>
        </w:rPr>
        <w:t>…</w:t>
      </w:r>
      <w:r w:rsidRPr="00CD3501">
        <w:rPr>
          <w:rFonts w:asciiTheme="majorHAnsi" w:hAnsiTheme="majorHAnsi"/>
          <w:sz w:val="18"/>
          <w:szCs w:val="18"/>
          <w:lang w:val="es-ES_tradnl"/>
        </w:rPr>
        <w:t>].</w:t>
      </w:r>
    </w:p>
    <w:p w14:paraId="15AECFFB" w14:textId="77777777" w:rsidR="005C2A55" w:rsidRPr="00CD3501" w:rsidRDefault="005C2A55"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p>
    <w:p w14:paraId="6E6DA048" w14:textId="69DCADA4" w:rsidR="005C2A55" w:rsidRPr="00CD3501" w:rsidRDefault="005D5E42"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t>El</w:t>
      </w:r>
      <w:r w:rsidR="005C2A55" w:rsidRPr="00CD3501">
        <w:rPr>
          <w:rFonts w:asciiTheme="majorHAnsi" w:hAnsiTheme="majorHAnsi"/>
          <w:sz w:val="18"/>
          <w:szCs w:val="18"/>
          <w:lang w:val="es-ES_tradnl"/>
        </w:rPr>
        <w:t xml:space="preserve"> 29 </w:t>
      </w:r>
      <w:r w:rsidRPr="00CD3501">
        <w:rPr>
          <w:rFonts w:asciiTheme="majorHAnsi" w:hAnsiTheme="majorHAnsi"/>
          <w:sz w:val="18"/>
          <w:szCs w:val="18"/>
          <w:lang w:val="es-ES_tradnl"/>
        </w:rPr>
        <w:t>de agosto de</w:t>
      </w:r>
      <w:r w:rsidR="005C2A55" w:rsidRPr="00CD3501">
        <w:rPr>
          <w:rFonts w:asciiTheme="majorHAnsi" w:hAnsiTheme="majorHAnsi"/>
          <w:sz w:val="18"/>
          <w:szCs w:val="18"/>
          <w:lang w:val="es-ES_tradnl"/>
        </w:rPr>
        <w:t xml:space="preserve"> 2008</w:t>
      </w:r>
      <w:r w:rsidRPr="00CD3501">
        <w:rPr>
          <w:rFonts w:asciiTheme="majorHAnsi" w:hAnsiTheme="majorHAnsi"/>
          <w:sz w:val="18"/>
          <w:szCs w:val="18"/>
          <w:lang w:val="es-ES_tradnl"/>
        </w:rPr>
        <w:t xml:space="preserve"> por la noche estaba afuera de la casa de </w:t>
      </w:r>
      <w:r w:rsidR="005C2A55" w:rsidRPr="00CD3501">
        <w:rPr>
          <w:rFonts w:asciiTheme="majorHAnsi" w:hAnsiTheme="majorHAnsi"/>
          <w:sz w:val="18"/>
          <w:szCs w:val="18"/>
          <w:lang w:val="es-ES_tradnl"/>
        </w:rPr>
        <w:t xml:space="preserve">Spanish Town </w:t>
      </w:r>
      <w:r w:rsidRPr="00CD3501">
        <w:rPr>
          <w:rFonts w:asciiTheme="majorHAnsi" w:hAnsiTheme="majorHAnsi"/>
          <w:sz w:val="18"/>
          <w:szCs w:val="18"/>
          <w:lang w:val="es-ES_tradnl"/>
        </w:rPr>
        <w:t xml:space="preserve">donde vivía con </w:t>
      </w:r>
      <w:r w:rsidR="005C2A55" w:rsidRPr="00CD3501">
        <w:rPr>
          <w:rFonts w:asciiTheme="majorHAnsi" w:hAnsiTheme="majorHAnsi"/>
          <w:sz w:val="18"/>
          <w:szCs w:val="18"/>
          <w:lang w:val="es-ES_tradnl"/>
        </w:rPr>
        <w:t xml:space="preserve">Dwaine, Silvera </w:t>
      </w:r>
      <w:r w:rsidRPr="00CD3501">
        <w:rPr>
          <w:rFonts w:asciiTheme="majorHAnsi" w:hAnsiTheme="majorHAnsi"/>
          <w:sz w:val="18"/>
          <w:szCs w:val="18"/>
          <w:lang w:val="es-ES_tradnl"/>
        </w:rPr>
        <w:t>y</w:t>
      </w:r>
      <w:r w:rsidR="005C2A55" w:rsidRPr="00CD3501">
        <w:rPr>
          <w:rFonts w:asciiTheme="majorHAnsi" w:hAnsiTheme="majorHAnsi"/>
          <w:sz w:val="18"/>
          <w:szCs w:val="18"/>
          <w:lang w:val="es-ES_tradnl"/>
        </w:rPr>
        <w:t xml:space="preserve"> Peta-Gay. </w:t>
      </w:r>
      <w:r w:rsidRPr="00CD3501">
        <w:rPr>
          <w:rFonts w:asciiTheme="majorHAnsi" w:hAnsiTheme="majorHAnsi"/>
          <w:sz w:val="18"/>
          <w:szCs w:val="18"/>
          <w:lang w:val="es-ES_tradnl"/>
        </w:rPr>
        <w:t xml:space="preserve">Fue justo después que el huracán </w:t>
      </w:r>
      <w:r w:rsidR="005C2A55" w:rsidRPr="00CD3501">
        <w:rPr>
          <w:rFonts w:asciiTheme="majorHAnsi" w:hAnsiTheme="majorHAnsi"/>
          <w:sz w:val="18"/>
          <w:szCs w:val="18"/>
          <w:lang w:val="es-ES_tradnl"/>
        </w:rPr>
        <w:t xml:space="preserve">Gustav </w:t>
      </w:r>
      <w:r w:rsidRPr="00CD3501">
        <w:rPr>
          <w:rFonts w:asciiTheme="majorHAnsi" w:hAnsiTheme="majorHAnsi"/>
          <w:sz w:val="18"/>
          <w:szCs w:val="18"/>
          <w:lang w:val="es-ES_tradnl"/>
        </w:rPr>
        <w:t xml:space="preserve">pasó por </w:t>
      </w:r>
      <w:r w:rsidR="005C2A55" w:rsidRPr="00CD3501">
        <w:rPr>
          <w:rFonts w:asciiTheme="majorHAnsi" w:hAnsiTheme="majorHAnsi"/>
          <w:sz w:val="18"/>
          <w:szCs w:val="18"/>
          <w:lang w:val="es-ES_tradnl"/>
        </w:rPr>
        <w:t xml:space="preserve">Jamaica. </w:t>
      </w:r>
      <w:r w:rsidRPr="00CD3501">
        <w:rPr>
          <w:rFonts w:asciiTheme="majorHAnsi" w:hAnsiTheme="majorHAnsi"/>
          <w:sz w:val="18"/>
          <w:szCs w:val="18"/>
          <w:lang w:val="es-ES_tradnl"/>
        </w:rPr>
        <w:t xml:space="preserve">Mi hija, </w:t>
      </w:r>
      <w:r w:rsidR="005C2A55" w:rsidRPr="00CD3501">
        <w:rPr>
          <w:rFonts w:asciiTheme="majorHAnsi" w:hAnsiTheme="majorHAnsi"/>
          <w:sz w:val="18"/>
          <w:szCs w:val="18"/>
          <w:lang w:val="es-ES_tradnl"/>
        </w:rPr>
        <w:t>Khalya</w:t>
      </w:r>
      <w:r w:rsidRPr="00CD3501">
        <w:rPr>
          <w:rFonts w:asciiTheme="majorHAnsi" w:hAnsiTheme="majorHAnsi"/>
          <w:sz w:val="18"/>
          <w:szCs w:val="18"/>
          <w:lang w:val="es-ES_tradnl"/>
        </w:rPr>
        <w:t>,</w:t>
      </w:r>
      <w:r w:rsidR="005C2A55" w:rsidRPr="00CD3501">
        <w:rPr>
          <w:rFonts w:asciiTheme="majorHAnsi" w:hAnsiTheme="majorHAnsi"/>
          <w:sz w:val="18"/>
          <w:szCs w:val="18"/>
          <w:lang w:val="es-ES_tradnl"/>
        </w:rPr>
        <w:t xml:space="preserve"> </w:t>
      </w:r>
      <w:r w:rsidRPr="00CD3501">
        <w:rPr>
          <w:rFonts w:asciiTheme="majorHAnsi" w:hAnsiTheme="majorHAnsi"/>
          <w:sz w:val="18"/>
          <w:szCs w:val="18"/>
          <w:lang w:val="es-ES_tradnl"/>
        </w:rPr>
        <w:t xml:space="preserve">y mi sobrina estaban </w:t>
      </w:r>
      <w:r w:rsidR="00183D1C" w:rsidRPr="00CD3501">
        <w:rPr>
          <w:rFonts w:asciiTheme="majorHAnsi" w:hAnsiTheme="majorHAnsi"/>
          <w:sz w:val="18"/>
          <w:szCs w:val="18"/>
          <w:lang w:val="es-ES_tradnl"/>
        </w:rPr>
        <w:t xml:space="preserve">adentro, </w:t>
      </w:r>
      <w:r w:rsidRPr="00CD3501">
        <w:rPr>
          <w:rFonts w:asciiTheme="majorHAnsi" w:hAnsiTheme="majorHAnsi"/>
          <w:sz w:val="18"/>
          <w:szCs w:val="18"/>
          <w:lang w:val="es-ES_tradnl"/>
        </w:rPr>
        <w:t>durmiendo</w:t>
      </w:r>
      <w:r w:rsidR="005C2A55" w:rsidRPr="00CD3501">
        <w:rPr>
          <w:rFonts w:asciiTheme="majorHAnsi" w:hAnsiTheme="majorHAnsi"/>
          <w:sz w:val="18"/>
          <w:szCs w:val="18"/>
          <w:lang w:val="es-ES_tradnl"/>
        </w:rPr>
        <w:t xml:space="preserve">. Peta-Gay </w:t>
      </w:r>
      <w:r w:rsidRPr="00CD3501">
        <w:rPr>
          <w:rFonts w:asciiTheme="majorHAnsi" w:hAnsiTheme="majorHAnsi"/>
          <w:sz w:val="18"/>
          <w:szCs w:val="18"/>
          <w:lang w:val="es-ES_tradnl"/>
        </w:rPr>
        <w:t xml:space="preserve">no estaba en casa esa noche: estaba </w:t>
      </w:r>
      <w:r w:rsidR="00183D1C" w:rsidRPr="00CD3501">
        <w:rPr>
          <w:rFonts w:asciiTheme="majorHAnsi" w:hAnsiTheme="majorHAnsi"/>
          <w:sz w:val="18"/>
          <w:szCs w:val="18"/>
          <w:lang w:val="es-ES_tradnl"/>
        </w:rPr>
        <w:t xml:space="preserve">con </w:t>
      </w:r>
      <w:r w:rsidRPr="00CD3501">
        <w:rPr>
          <w:rFonts w:asciiTheme="majorHAnsi" w:hAnsiTheme="majorHAnsi"/>
          <w:sz w:val="18"/>
          <w:szCs w:val="18"/>
          <w:lang w:val="es-ES_tradnl"/>
        </w:rPr>
        <w:t xml:space="preserve">el novio, que vivía cerca. </w:t>
      </w:r>
      <w:r w:rsidR="005C2A55" w:rsidRPr="00CD3501">
        <w:rPr>
          <w:rFonts w:asciiTheme="majorHAnsi" w:hAnsiTheme="majorHAnsi"/>
          <w:sz w:val="18"/>
          <w:szCs w:val="18"/>
          <w:lang w:val="es-ES_tradnl"/>
        </w:rPr>
        <w:t>Dwaine</w:t>
      </w:r>
      <w:r w:rsidR="00F74044" w:rsidRPr="00CD3501">
        <w:rPr>
          <w:rFonts w:asciiTheme="majorHAnsi" w:hAnsiTheme="majorHAnsi"/>
          <w:sz w:val="18"/>
          <w:szCs w:val="18"/>
          <w:lang w:val="es-ES_tradnl"/>
        </w:rPr>
        <w:t xml:space="preserve">, </w:t>
      </w:r>
      <w:r w:rsidR="005C2A55" w:rsidRPr="00CD3501">
        <w:rPr>
          <w:rFonts w:asciiTheme="majorHAnsi" w:hAnsiTheme="majorHAnsi"/>
          <w:sz w:val="18"/>
          <w:szCs w:val="18"/>
          <w:lang w:val="es-ES_tradnl"/>
        </w:rPr>
        <w:t>Silvera</w:t>
      </w:r>
      <w:r w:rsidR="00F74044" w:rsidRPr="00CD3501">
        <w:rPr>
          <w:rFonts w:asciiTheme="majorHAnsi" w:hAnsiTheme="majorHAnsi"/>
          <w:sz w:val="18"/>
          <w:szCs w:val="18"/>
          <w:lang w:val="es-ES_tradnl"/>
        </w:rPr>
        <w:t xml:space="preserve"> y un amigo de </w:t>
      </w:r>
      <w:r w:rsidR="005C2A55" w:rsidRPr="00CD3501">
        <w:rPr>
          <w:rFonts w:asciiTheme="majorHAnsi" w:hAnsiTheme="majorHAnsi"/>
          <w:sz w:val="18"/>
          <w:szCs w:val="18"/>
          <w:lang w:val="es-ES_tradnl"/>
        </w:rPr>
        <w:t>Silvera</w:t>
      </w:r>
      <w:r w:rsidR="00F74044" w:rsidRPr="00CD3501">
        <w:rPr>
          <w:rFonts w:asciiTheme="majorHAnsi" w:hAnsiTheme="majorHAnsi"/>
          <w:sz w:val="18"/>
          <w:szCs w:val="18"/>
          <w:lang w:val="es-ES_tradnl"/>
        </w:rPr>
        <w:t xml:space="preserve"> que se llamaba</w:t>
      </w:r>
      <w:r w:rsidR="005C2A55" w:rsidRPr="00CD3501">
        <w:rPr>
          <w:rFonts w:asciiTheme="majorHAnsi" w:hAnsiTheme="majorHAnsi"/>
          <w:sz w:val="18"/>
          <w:szCs w:val="18"/>
          <w:lang w:val="es-ES_tradnl"/>
        </w:rPr>
        <w:t xml:space="preserve"> Marcus</w:t>
      </w:r>
      <w:r w:rsidR="00F74044" w:rsidRPr="00CD3501">
        <w:rPr>
          <w:rFonts w:asciiTheme="majorHAnsi" w:hAnsiTheme="majorHAnsi"/>
          <w:sz w:val="18"/>
          <w:szCs w:val="18"/>
          <w:lang w:val="es-ES_tradnl"/>
        </w:rPr>
        <w:t xml:space="preserve"> estaban afuera de la casa conmigo. Estábamos buscando las llaves del coche, que yo creía que se habían caído afuera, en el agua que había inundado la calle</w:t>
      </w:r>
      <w:r w:rsidR="005C2A55" w:rsidRPr="00CD3501">
        <w:rPr>
          <w:rFonts w:asciiTheme="majorHAnsi" w:hAnsiTheme="majorHAnsi"/>
          <w:sz w:val="18"/>
          <w:szCs w:val="18"/>
          <w:lang w:val="es-ES_tradnl"/>
        </w:rPr>
        <w:t xml:space="preserve">. </w:t>
      </w:r>
      <w:r w:rsidR="00F74044" w:rsidRPr="00CD3501">
        <w:rPr>
          <w:rFonts w:asciiTheme="majorHAnsi" w:hAnsiTheme="majorHAnsi"/>
          <w:sz w:val="18"/>
          <w:szCs w:val="18"/>
          <w:lang w:val="es-ES_tradnl"/>
        </w:rPr>
        <w:t>Mientras buscábamos las llaves, comenzó a llover. Corrimos para guarecernos de la lluvia, y fue entonces que vi a dos hombres. Uno de ellos sacó una pistola y comenzó a disparar. El tiroteo fue muy rápido. Les grité a mis hermanos y a Marcus algo así como: “¡Un pistolero! ¡Corran!”</w:t>
      </w:r>
      <w:r w:rsidR="005C2A55" w:rsidRPr="00CD3501">
        <w:rPr>
          <w:rFonts w:asciiTheme="majorHAnsi" w:hAnsiTheme="majorHAnsi"/>
          <w:sz w:val="18"/>
          <w:szCs w:val="18"/>
          <w:lang w:val="es-ES_tradnl"/>
        </w:rPr>
        <w:t xml:space="preserve">. </w:t>
      </w:r>
      <w:r w:rsidR="00F74044" w:rsidRPr="00CD3501">
        <w:rPr>
          <w:rFonts w:asciiTheme="majorHAnsi" w:hAnsiTheme="majorHAnsi"/>
          <w:sz w:val="18"/>
          <w:szCs w:val="18"/>
          <w:lang w:val="es-ES_tradnl"/>
        </w:rPr>
        <w:t>El otro hombre también sacó una pistola y comenzó a perseguirlos</w:t>
      </w:r>
      <w:r w:rsidR="005C2A55" w:rsidRPr="00CD3501">
        <w:rPr>
          <w:rFonts w:asciiTheme="majorHAnsi" w:hAnsiTheme="majorHAnsi"/>
          <w:sz w:val="18"/>
          <w:szCs w:val="18"/>
          <w:lang w:val="es-ES_tradnl"/>
        </w:rPr>
        <w:t xml:space="preserve">. </w:t>
      </w:r>
      <w:r w:rsidR="00F74044" w:rsidRPr="00CD3501">
        <w:rPr>
          <w:rFonts w:asciiTheme="majorHAnsi" w:hAnsiTheme="majorHAnsi"/>
          <w:sz w:val="18"/>
          <w:szCs w:val="18"/>
          <w:lang w:val="es-ES_tradnl"/>
        </w:rPr>
        <w:t xml:space="preserve">Los pistoleros decían cosas mientras disparaban, pero no recuerdo claramente todo lo que decían. Sin embargo, recuerdo que uno de los pistoleros decía: </w:t>
      </w:r>
      <w:r w:rsidR="005C2A55" w:rsidRPr="00CD3501">
        <w:rPr>
          <w:rFonts w:asciiTheme="majorHAnsi" w:hAnsiTheme="majorHAnsi"/>
          <w:sz w:val="18"/>
          <w:szCs w:val="18"/>
          <w:lang w:val="es-ES_tradnl"/>
        </w:rPr>
        <w:t>“</w:t>
      </w:r>
      <w:r w:rsidR="00F74044" w:rsidRPr="00CD3501">
        <w:rPr>
          <w:rFonts w:asciiTheme="majorHAnsi" w:hAnsiTheme="majorHAnsi"/>
          <w:sz w:val="18"/>
          <w:szCs w:val="18"/>
          <w:lang w:val="es-ES_tradnl"/>
        </w:rPr>
        <w:t>B</w:t>
      </w:r>
      <w:r w:rsidR="005C2A55" w:rsidRPr="00CD3501">
        <w:rPr>
          <w:rFonts w:asciiTheme="majorHAnsi" w:hAnsiTheme="majorHAnsi"/>
          <w:sz w:val="18"/>
          <w:szCs w:val="18"/>
          <w:lang w:val="es-ES_tradnl"/>
        </w:rPr>
        <w:t>attyman f</w:t>
      </w:r>
      <w:r w:rsidR="00F74044" w:rsidRPr="00CD3501">
        <w:rPr>
          <w:rFonts w:asciiTheme="majorHAnsi" w:hAnsiTheme="majorHAnsi"/>
          <w:sz w:val="18"/>
          <w:szCs w:val="18"/>
          <w:lang w:val="es-ES_tradnl"/>
        </w:rPr>
        <w:t>i</w:t>
      </w:r>
      <w:r w:rsidR="005C2A55" w:rsidRPr="00CD3501">
        <w:rPr>
          <w:rFonts w:asciiTheme="majorHAnsi" w:hAnsiTheme="majorHAnsi"/>
          <w:sz w:val="18"/>
          <w:szCs w:val="18"/>
          <w:lang w:val="es-ES_tradnl"/>
        </w:rPr>
        <w:t xml:space="preserve"> dead” (</w:t>
      </w:r>
      <w:r w:rsidR="009A2505" w:rsidRPr="00CD3501">
        <w:rPr>
          <w:rFonts w:asciiTheme="majorHAnsi" w:hAnsiTheme="majorHAnsi"/>
          <w:sz w:val="18"/>
          <w:szCs w:val="18"/>
          <w:lang w:val="es-ES_tradnl"/>
        </w:rPr>
        <w:t>“</w:t>
      </w:r>
      <w:r w:rsidR="00F74044" w:rsidRPr="00CD3501">
        <w:rPr>
          <w:rFonts w:asciiTheme="majorHAnsi" w:hAnsiTheme="majorHAnsi"/>
          <w:sz w:val="18"/>
          <w:szCs w:val="18"/>
          <w:lang w:val="es-ES_tradnl"/>
        </w:rPr>
        <w:t xml:space="preserve">muerte a los </w:t>
      </w:r>
      <w:r w:rsidR="009A2505" w:rsidRPr="00CD3501">
        <w:rPr>
          <w:rFonts w:asciiTheme="majorHAnsi" w:hAnsiTheme="majorHAnsi"/>
          <w:sz w:val="18"/>
          <w:szCs w:val="18"/>
          <w:lang w:val="es-ES_tradnl"/>
        </w:rPr>
        <w:t>maricones”</w:t>
      </w:r>
      <w:r w:rsidR="005C2A55" w:rsidRPr="00CD3501">
        <w:rPr>
          <w:rFonts w:asciiTheme="majorHAnsi" w:hAnsiTheme="majorHAnsi"/>
          <w:sz w:val="18"/>
          <w:szCs w:val="18"/>
          <w:lang w:val="es-ES_tradnl"/>
        </w:rPr>
        <w:t>)</w:t>
      </w:r>
      <w:r w:rsidR="00F74044" w:rsidRPr="00CD3501">
        <w:rPr>
          <w:rFonts w:asciiTheme="majorHAnsi" w:hAnsiTheme="majorHAnsi"/>
          <w:sz w:val="18"/>
          <w:szCs w:val="18"/>
          <w:lang w:val="es-ES_tradnl"/>
        </w:rPr>
        <w:t>.</w:t>
      </w:r>
    </w:p>
    <w:p w14:paraId="675E246B" w14:textId="77777777" w:rsidR="005C2A55" w:rsidRPr="00CD3501" w:rsidRDefault="005C2A55"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p>
    <w:p w14:paraId="3417E4B1" w14:textId="459316F5" w:rsidR="00493D82" w:rsidRPr="00CD3501" w:rsidRDefault="005C2A55"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t>Dur</w:t>
      </w:r>
      <w:r w:rsidR="006A0FFE" w:rsidRPr="00CD3501">
        <w:rPr>
          <w:rFonts w:asciiTheme="majorHAnsi" w:hAnsiTheme="majorHAnsi"/>
          <w:sz w:val="18"/>
          <w:szCs w:val="18"/>
          <w:lang w:val="es-ES_tradnl"/>
        </w:rPr>
        <w:t xml:space="preserve">ante el tiroteo, me pegaron un balazo en el estómago. Recuerdo que caí al suelo, cerré los ojos y fingí que estaba muerta. Mientras estaba tendida en el suelo, siguió la balacera. Para entonces, mis hermanos y </w:t>
      </w:r>
      <w:r w:rsidRPr="00CD3501">
        <w:rPr>
          <w:rFonts w:asciiTheme="majorHAnsi" w:hAnsiTheme="majorHAnsi"/>
          <w:sz w:val="18"/>
          <w:szCs w:val="18"/>
          <w:lang w:val="es-ES_tradnl"/>
        </w:rPr>
        <w:t xml:space="preserve">Marcus </w:t>
      </w:r>
      <w:r w:rsidR="006A0FFE" w:rsidRPr="00CD3501">
        <w:rPr>
          <w:rFonts w:asciiTheme="majorHAnsi" w:hAnsiTheme="majorHAnsi"/>
          <w:sz w:val="18"/>
          <w:szCs w:val="18"/>
          <w:lang w:val="es-ES_tradnl"/>
        </w:rPr>
        <w:t xml:space="preserve">habían escapado corriendo y vi a los pistoleros entrar en la casa de mi vecino. Uno de ellos dijo algo así como: </w:t>
      </w:r>
      <w:r w:rsidRPr="00CD3501">
        <w:rPr>
          <w:rFonts w:asciiTheme="majorHAnsi" w:hAnsiTheme="majorHAnsi"/>
          <w:sz w:val="18"/>
          <w:szCs w:val="18"/>
          <w:lang w:val="es-ES_tradnl"/>
        </w:rPr>
        <w:t>“</w:t>
      </w:r>
      <w:r w:rsidR="006A0FFE" w:rsidRPr="00CD3501">
        <w:rPr>
          <w:rFonts w:asciiTheme="majorHAnsi" w:hAnsiTheme="majorHAnsi"/>
          <w:sz w:val="18"/>
          <w:szCs w:val="18"/>
          <w:lang w:val="es-ES_tradnl"/>
        </w:rPr>
        <w:t>Y</w:t>
      </w:r>
      <w:r w:rsidRPr="00CD3501">
        <w:rPr>
          <w:rFonts w:asciiTheme="majorHAnsi" w:hAnsiTheme="majorHAnsi"/>
          <w:sz w:val="18"/>
          <w:szCs w:val="18"/>
          <w:lang w:val="es-ES_tradnl"/>
        </w:rPr>
        <w:t>es we get di lesbian but the battyman dem get aweh” (</w:t>
      </w:r>
      <w:r w:rsidR="009A2505" w:rsidRPr="00CD3501">
        <w:rPr>
          <w:rFonts w:asciiTheme="majorHAnsi" w:hAnsiTheme="majorHAnsi"/>
          <w:sz w:val="18"/>
          <w:szCs w:val="18"/>
          <w:lang w:val="es-ES_tradnl"/>
        </w:rPr>
        <w:t>“</w:t>
      </w:r>
      <w:r w:rsidR="006A0FFE" w:rsidRPr="00CD3501">
        <w:rPr>
          <w:rFonts w:asciiTheme="majorHAnsi" w:hAnsiTheme="majorHAnsi"/>
          <w:sz w:val="18"/>
          <w:szCs w:val="18"/>
          <w:lang w:val="es-ES_tradnl"/>
        </w:rPr>
        <w:t xml:space="preserve">matamos a la lesbiana, pero los </w:t>
      </w:r>
      <w:r w:rsidR="009A2505" w:rsidRPr="00CD3501">
        <w:rPr>
          <w:rFonts w:asciiTheme="majorHAnsi" w:hAnsiTheme="majorHAnsi"/>
          <w:sz w:val="18"/>
          <w:szCs w:val="18"/>
          <w:lang w:val="es-ES_tradnl"/>
        </w:rPr>
        <w:t>maricones</w:t>
      </w:r>
      <w:r w:rsidR="006A0FFE" w:rsidRPr="00CD3501">
        <w:rPr>
          <w:rFonts w:asciiTheme="majorHAnsi" w:hAnsiTheme="majorHAnsi"/>
          <w:sz w:val="18"/>
          <w:szCs w:val="18"/>
          <w:lang w:val="es-ES_tradnl"/>
        </w:rPr>
        <w:t xml:space="preserve"> se escaparon</w:t>
      </w:r>
      <w:r w:rsidR="009A2505" w:rsidRPr="00CD3501">
        <w:rPr>
          <w:rFonts w:asciiTheme="majorHAnsi" w:hAnsiTheme="majorHAnsi"/>
          <w:sz w:val="18"/>
          <w:szCs w:val="18"/>
          <w:lang w:val="es-ES_tradnl"/>
        </w:rPr>
        <w:t>”</w:t>
      </w:r>
      <w:r w:rsidR="00316BFA" w:rsidRPr="00CD3501">
        <w:rPr>
          <w:rFonts w:asciiTheme="majorHAnsi" w:hAnsiTheme="majorHAnsi"/>
          <w:sz w:val="18"/>
          <w:szCs w:val="18"/>
          <w:lang w:val="es-ES_tradnl"/>
        </w:rPr>
        <w:t xml:space="preserve"> </w:t>
      </w:r>
      <w:r w:rsidR="006A0FFE" w:rsidRPr="00CD3501">
        <w:rPr>
          <w:rFonts w:asciiTheme="majorHAnsi" w:hAnsiTheme="majorHAnsi"/>
          <w:sz w:val="18"/>
          <w:szCs w:val="18"/>
          <w:lang w:val="es-ES_tradnl"/>
        </w:rPr>
        <w:t>[</w:t>
      </w:r>
      <w:r w:rsidR="00316BFA" w:rsidRPr="00CD3501">
        <w:rPr>
          <w:rFonts w:asciiTheme="majorHAnsi" w:hAnsiTheme="majorHAnsi"/>
          <w:sz w:val="18"/>
          <w:szCs w:val="18"/>
          <w:lang w:val="es-ES_tradnl"/>
        </w:rPr>
        <w:t>…</w:t>
      </w:r>
      <w:r w:rsidR="006A0FFE" w:rsidRPr="00CD3501">
        <w:rPr>
          <w:rFonts w:asciiTheme="majorHAnsi" w:hAnsiTheme="majorHAnsi"/>
          <w:sz w:val="18"/>
          <w:szCs w:val="18"/>
          <w:lang w:val="es-ES_tradnl"/>
        </w:rPr>
        <w:t>]</w:t>
      </w:r>
      <w:r w:rsidR="00EF49F8" w:rsidRPr="00CD3501">
        <w:rPr>
          <w:rFonts w:asciiTheme="majorHAnsi" w:hAnsiTheme="majorHAnsi"/>
          <w:sz w:val="18"/>
          <w:szCs w:val="18"/>
          <w:lang w:val="es-ES_tradnl"/>
        </w:rPr>
        <w:t>.</w:t>
      </w:r>
    </w:p>
    <w:p w14:paraId="297A9375" w14:textId="77777777" w:rsidR="00493D82" w:rsidRPr="00CD3501" w:rsidRDefault="00493D82" w:rsidP="00A167CF">
      <w:pPr>
        <w:pBdr>
          <w:top w:val="none" w:sz="0" w:space="0" w:color="auto"/>
          <w:left w:val="none" w:sz="0" w:space="0" w:color="auto"/>
          <w:bottom w:val="none" w:sz="0" w:space="0" w:color="auto"/>
          <w:right w:val="none" w:sz="0" w:space="0" w:color="auto"/>
          <w:between w:val="none" w:sz="0" w:space="0" w:color="auto"/>
          <w:bar w:val="none" w:sz="0" w:color="auto"/>
        </w:pBdr>
        <w:ind w:right="360"/>
        <w:jc w:val="both"/>
        <w:rPr>
          <w:rFonts w:asciiTheme="majorHAnsi" w:hAnsiTheme="majorHAnsi"/>
          <w:sz w:val="18"/>
          <w:szCs w:val="18"/>
          <w:lang w:val="es-ES_tradnl"/>
        </w:rPr>
      </w:pPr>
    </w:p>
    <w:p w14:paraId="263AB13E" w14:textId="415154AC" w:rsidR="005C2A55" w:rsidRPr="00CD3501" w:rsidRDefault="00317BEA"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lastRenderedPageBreak/>
        <w:t>[</w:t>
      </w:r>
      <w:r w:rsidR="00493D82" w:rsidRPr="00CD3501">
        <w:rPr>
          <w:rFonts w:asciiTheme="majorHAnsi" w:hAnsiTheme="majorHAnsi"/>
          <w:sz w:val="18"/>
          <w:szCs w:val="18"/>
          <w:lang w:val="es-ES_tradnl"/>
        </w:rPr>
        <w:t>…</w:t>
      </w:r>
      <w:r w:rsidRPr="00CD3501">
        <w:rPr>
          <w:rFonts w:asciiTheme="majorHAnsi" w:hAnsiTheme="majorHAnsi"/>
          <w:sz w:val="18"/>
          <w:szCs w:val="18"/>
          <w:lang w:val="es-ES_tradnl"/>
        </w:rPr>
        <w:t>]</w:t>
      </w:r>
      <w:r w:rsidR="00493D82" w:rsidRPr="00CD3501">
        <w:rPr>
          <w:rFonts w:asciiTheme="majorHAnsi" w:hAnsiTheme="majorHAnsi"/>
          <w:sz w:val="18"/>
          <w:szCs w:val="18"/>
          <w:lang w:val="es-ES_tradnl"/>
        </w:rPr>
        <w:t xml:space="preserve"> </w:t>
      </w:r>
      <w:r w:rsidRPr="00CD3501">
        <w:rPr>
          <w:rFonts w:asciiTheme="majorHAnsi" w:hAnsiTheme="majorHAnsi"/>
          <w:sz w:val="18"/>
          <w:szCs w:val="18"/>
          <w:lang w:val="es-ES_tradnl"/>
        </w:rPr>
        <w:t xml:space="preserve">la policía me llevó al Hospital General de </w:t>
      </w:r>
      <w:r w:rsidR="00493D82" w:rsidRPr="00CD3501">
        <w:rPr>
          <w:rFonts w:asciiTheme="majorHAnsi" w:hAnsiTheme="majorHAnsi"/>
          <w:sz w:val="18"/>
          <w:szCs w:val="18"/>
          <w:lang w:val="es-ES_tradnl"/>
        </w:rPr>
        <w:t>Spanish Town</w:t>
      </w:r>
      <w:r w:rsidRPr="00CD3501">
        <w:rPr>
          <w:rFonts w:asciiTheme="majorHAnsi" w:hAnsiTheme="majorHAnsi"/>
          <w:sz w:val="18"/>
          <w:szCs w:val="18"/>
          <w:lang w:val="es-ES_tradnl"/>
        </w:rPr>
        <w:t>. Cuando llegué al hospital, me pusieron en una camilla. Allí vi a mis dos hermanos, también en una camilla. Después me enteré de que a ellos también los habían herido</w:t>
      </w:r>
      <w:r w:rsidR="00493D82" w:rsidRPr="00CD3501">
        <w:rPr>
          <w:rFonts w:asciiTheme="majorHAnsi" w:hAnsiTheme="majorHAnsi"/>
          <w:sz w:val="18"/>
          <w:szCs w:val="18"/>
          <w:lang w:val="es-ES_tradnl"/>
        </w:rPr>
        <w:t xml:space="preserve">: </w:t>
      </w:r>
      <w:r w:rsidRPr="00CD3501">
        <w:rPr>
          <w:rFonts w:asciiTheme="majorHAnsi" w:hAnsiTheme="majorHAnsi"/>
          <w:sz w:val="18"/>
          <w:szCs w:val="18"/>
          <w:lang w:val="es-ES_tradnl"/>
        </w:rPr>
        <w:t xml:space="preserve">a </w:t>
      </w:r>
      <w:r w:rsidR="00493D82" w:rsidRPr="00CD3501">
        <w:rPr>
          <w:rFonts w:asciiTheme="majorHAnsi" w:hAnsiTheme="majorHAnsi"/>
          <w:sz w:val="18"/>
          <w:szCs w:val="18"/>
          <w:lang w:val="es-ES_tradnl"/>
        </w:rPr>
        <w:t xml:space="preserve">Silvera </w:t>
      </w:r>
      <w:r w:rsidRPr="00CD3501">
        <w:rPr>
          <w:rFonts w:asciiTheme="majorHAnsi" w:hAnsiTheme="majorHAnsi"/>
          <w:sz w:val="18"/>
          <w:szCs w:val="18"/>
          <w:lang w:val="es-ES_tradnl"/>
        </w:rPr>
        <w:t xml:space="preserve">le pegaron tres balazos en el torso, y a </w:t>
      </w:r>
      <w:r w:rsidR="00493D82" w:rsidRPr="00CD3501">
        <w:rPr>
          <w:rFonts w:asciiTheme="majorHAnsi" w:hAnsiTheme="majorHAnsi"/>
          <w:sz w:val="18"/>
          <w:szCs w:val="18"/>
          <w:lang w:val="es-ES_tradnl"/>
        </w:rPr>
        <w:t xml:space="preserve">Dwaine </w:t>
      </w:r>
      <w:r w:rsidRPr="00CD3501">
        <w:rPr>
          <w:rFonts w:asciiTheme="majorHAnsi" w:hAnsiTheme="majorHAnsi"/>
          <w:sz w:val="18"/>
          <w:szCs w:val="18"/>
          <w:lang w:val="es-ES_tradnl"/>
        </w:rPr>
        <w:t>cinco</w:t>
      </w:r>
      <w:r w:rsidR="00183D1C" w:rsidRPr="00CD3501">
        <w:rPr>
          <w:rFonts w:asciiTheme="majorHAnsi" w:hAnsiTheme="majorHAnsi"/>
          <w:sz w:val="18"/>
          <w:szCs w:val="18"/>
          <w:lang w:val="es-ES_tradnl"/>
        </w:rPr>
        <w:t>,</w:t>
      </w:r>
      <w:r w:rsidRPr="00CD3501">
        <w:rPr>
          <w:rFonts w:asciiTheme="majorHAnsi" w:hAnsiTheme="majorHAnsi"/>
          <w:sz w:val="18"/>
          <w:szCs w:val="18"/>
          <w:lang w:val="es-ES_tradnl"/>
        </w:rPr>
        <w:t xml:space="preserve"> en el hombro y en el torso</w:t>
      </w:r>
      <w:r w:rsidR="00493D82" w:rsidRPr="00CD3501">
        <w:rPr>
          <w:rFonts w:asciiTheme="majorHAnsi" w:hAnsiTheme="majorHAnsi"/>
          <w:sz w:val="18"/>
          <w:szCs w:val="18"/>
          <w:lang w:val="es-ES_tradnl"/>
        </w:rPr>
        <w:t xml:space="preserve">. </w:t>
      </w:r>
      <w:r w:rsidRPr="00CD3501">
        <w:rPr>
          <w:rFonts w:asciiTheme="majorHAnsi" w:hAnsiTheme="majorHAnsi"/>
          <w:sz w:val="18"/>
          <w:szCs w:val="18"/>
          <w:lang w:val="es-ES_tradnl"/>
        </w:rPr>
        <w:t xml:space="preserve">A </w:t>
      </w:r>
      <w:r w:rsidR="00493D82" w:rsidRPr="00CD3501">
        <w:rPr>
          <w:rFonts w:asciiTheme="majorHAnsi" w:hAnsiTheme="majorHAnsi"/>
          <w:sz w:val="18"/>
          <w:szCs w:val="18"/>
          <w:lang w:val="es-ES_tradnl"/>
        </w:rPr>
        <w:t xml:space="preserve">Marcus, </w:t>
      </w:r>
      <w:r w:rsidRPr="00CD3501">
        <w:rPr>
          <w:rFonts w:asciiTheme="majorHAnsi" w:hAnsiTheme="majorHAnsi"/>
          <w:sz w:val="18"/>
          <w:szCs w:val="18"/>
          <w:lang w:val="es-ES_tradnl"/>
        </w:rPr>
        <w:t xml:space="preserve">que se había escondido debajo de una cama en la casa, no lo balearon. En el </w:t>
      </w:r>
      <w:r w:rsidR="00493D82" w:rsidRPr="00CD3501">
        <w:rPr>
          <w:rFonts w:asciiTheme="majorHAnsi" w:hAnsiTheme="majorHAnsi"/>
          <w:sz w:val="18"/>
          <w:szCs w:val="18"/>
          <w:lang w:val="es-ES_tradnl"/>
        </w:rPr>
        <w:t>hospital</w:t>
      </w:r>
      <w:r w:rsidRPr="00CD3501">
        <w:rPr>
          <w:rFonts w:asciiTheme="majorHAnsi" w:hAnsiTheme="majorHAnsi"/>
          <w:sz w:val="18"/>
          <w:szCs w:val="18"/>
          <w:lang w:val="es-ES_tradnl"/>
        </w:rPr>
        <w:t xml:space="preserve"> me operaron de urgencia. Perdí un riñón y parte del hígado. De los tres, yo fui la que sufrió las heridas más graves</w:t>
      </w:r>
      <w:r w:rsidR="00EF49F8" w:rsidRPr="00CD3501">
        <w:rPr>
          <w:rStyle w:val="FootnoteReference"/>
          <w:rFonts w:asciiTheme="majorHAnsi" w:hAnsiTheme="majorHAnsi"/>
          <w:sz w:val="18"/>
          <w:szCs w:val="18"/>
          <w:lang w:val="es-ES_tradnl"/>
        </w:rPr>
        <w:footnoteReference w:id="20"/>
      </w:r>
      <w:r w:rsidRPr="00CD3501">
        <w:rPr>
          <w:rFonts w:asciiTheme="majorHAnsi" w:hAnsiTheme="majorHAnsi"/>
          <w:sz w:val="18"/>
          <w:szCs w:val="18"/>
          <w:lang w:val="es-ES_tradnl"/>
        </w:rPr>
        <w:t>.</w:t>
      </w:r>
    </w:p>
    <w:p w14:paraId="710D96E1" w14:textId="77777777" w:rsidR="00493D82" w:rsidRPr="00CD3501" w:rsidRDefault="00493D82" w:rsidP="00A167CF">
      <w:pPr>
        <w:pStyle w:val="parrafos"/>
        <w:tabs>
          <w:tab w:val="clear" w:pos="360"/>
        </w:tabs>
        <w:suppressAutoHyphens/>
        <w:spacing w:line="276" w:lineRule="auto"/>
        <w:rPr>
          <w:rFonts w:ascii="Cambria" w:hAnsi="Cambria"/>
          <w:lang w:val="es-ES_tradnl"/>
        </w:rPr>
      </w:pPr>
    </w:p>
    <w:p w14:paraId="77387800" w14:textId="662804D7" w:rsidR="004E5303" w:rsidRPr="00CD3501" w:rsidRDefault="00317BEA"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 xml:space="preserve">La </w:t>
      </w:r>
      <w:r w:rsidR="00B24E23" w:rsidRPr="00CD3501">
        <w:rPr>
          <w:rFonts w:ascii="Cambria" w:hAnsi="Cambria"/>
          <w:lang w:val="es-ES_tradnl"/>
        </w:rPr>
        <w:t>presunta víctima</w:t>
      </w:r>
      <w:r w:rsidR="00822A96" w:rsidRPr="00CD3501">
        <w:rPr>
          <w:rFonts w:ascii="Cambria" w:hAnsi="Cambria"/>
          <w:lang w:val="es-ES_tradnl"/>
        </w:rPr>
        <w:t xml:space="preserve"> </w:t>
      </w:r>
      <w:r w:rsidRPr="00CD3501">
        <w:rPr>
          <w:rFonts w:ascii="Cambria" w:hAnsi="Cambria"/>
          <w:lang w:val="es-ES_tradnl"/>
        </w:rPr>
        <w:t>huyó de</w:t>
      </w:r>
      <w:r w:rsidR="00822A96" w:rsidRPr="00CD3501">
        <w:rPr>
          <w:rFonts w:ascii="Cambria" w:hAnsi="Cambria"/>
          <w:lang w:val="es-ES_tradnl"/>
        </w:rPr>
        <w:t xml:space="preserve"> Jamaica </w:t>
      </w:r>
      <w:r w:rsidRPr="00CD3501">
        <w:rPr>
          <w:rFonts w:ascii="Cambria" w:hAnsi="Cambria"/>
          <w:lang w:val="es-ES_tradnl"/>
        </w:rPr>
        <w:t>e</w:t>
      </w:r>
      <w:r w:rsidR="00822A96" w:rsidRPr="00CD3501">
        <w:rPr>
          <w:rFonts w:ascii="Cambria" w:hAnsi="Cambria"/>
          <w:lang w:val="es-ES_tradnl"/>
        </w:rPr>
        <w:t xml:space="preserve">n 2009 </w:t>
      </w:r>
      <w:r w:rsidRPr="00CD3501">
        <w:rPr>
          <w:rFonts w:ascii="Cambria" w:hAnsi="Cambria"/>
          <w:lang w:val="es-ES_tradnl"/>
        </w:rPr>
        <w:t xml:space="preserve">y pidió asilo en los Países Bajos. El </w:t>
      </w:r>
      <w:r w:rsidR="00021050" w:rsidRPr="00CD3501">
        <w:rPr>
          <w:rFonts w:ascii="Cambria" w:hAnsi="Cambria"/>
          <w:lang w:val="es-ES_tradnl"/>
        </w:rPr>
        <w:t>23</w:t>
      </w:r>
      <w:r w:rsidRPr="00CD3501">
        <w:rPr>
          <w:rFonts w:ascii="Cambria" w:hAnsi="Cambria"/>
          <w:lang w:val="es-ES_tradnl"/>
        </w:rPr>
        <w:t xml:space="preserve"> de marzo de</w:t>
      </w:r>
      <w:r w:rsidR="00021050" w:rsidRPr="00CD3501">
        <w:rPr>
          <w:rFonts w:ascii="Cambria" w:hAnsi="Cambria"/>
          <w:lang w:val="es-ES_tradnl"/>
        </w:rPr>
        <w:t xml:space="preserve"> 2010</w:t>
      </w:r>
      <w:r w:rsidRPr="00CD3501">
        <w:rPr>
          <w:rFonts w:ascii="Cambria" w:hAnsi="Cambria"/>
          <w:lang w:val="es-ES_tradnl"/>
        </w:rPr>
        <w:t>, el Secretario de Estado de Seguridad y Justicia le concedió asilo</w:t>
      </w:r>
      <w:r w:rsidR="00021050" w:rsidRPr="00CD3501">
        <w:rPr>
          <w:rStyle w:val="FootnoteReference"/>
          <w:sz w:val="18"/>
          <w:szCs w:val="18"/>
          <w:lang w:val="es-ES_tradnl"/>
        </w:rPr>
        <w:footnoteReference w:id="21"/>
      </w:r>
      <w:r w:rsidRPr="00CD3501">
        <w:rPr>
          <w:rFonts w:ascii="Cambria" w:hAnsi="Cambria"/>
          <w:lang w:val="es-ES_tradnl"/>
        </w:rPr>
        <w:t>.</w:t>
      </w:r>
      <w:r w:rsidR="00021050" w:rsidRPr="00CD3501">
        <w:rPr>
          <w:rFonts w:ascii="Cambria" w:hAnsi="Cambria"/>
          <w:lang w:val="es-ES_tradnl"/>
        </w:rPr>
        <w:t xml:space="preserve"> </w:t>
      </w:r>
    </w:p>
    <w:p w14:paraId="6C187A6E" w14:textId="77777777" w:rsidR="002F1716" w:rsidRPr="00CD3501" w:rsidRDefault="002F1716" w:rsidP="00A167CF">
      <w:pPr>
        <w:pStyle w:val="parrafos"/>
        <w:tabs>
          <w:tab w:val="clear" w:pos="360"/>
        </w:tabs>
        <w:suppressAutoHyphens/>
        <w:spacing w:line="276" w:lineRule="auto"/>
        <w:rPr>
          <w:rFonts w:ascii="Cambria" w:hAnsi="Cambria"/>
          <w:lang w:val="es-ES_tradnl"/>
        </w:rPr>
      </w:pPr>
    </w:p>
    <w:p w14:paraId="021DB2AB" w14:textId="0B477704" w:rsidR="002F1716" w:rsidRPr="00CD3501" w:rsidRDefault="00681B90" w:rsidP="00C12E55">
      <w:pPr>
        <w:pStyle w:val="Heading2"/>
        <w:numPr>
          <w:ilvl w:val="0"/>
          <w:numId w:val="63"/>
        </w:numPr>
        <w:spacing w:before="0"/>
        <w:rPr>
          <w:color w:val="auto"/>
          <w:sz w:val="20"/>
          <w:szCs w:val="20"/>
          <w:lang w:val="es-ES_tradnl"/>
        </w:rPr>
      </w:pPr>
      <w:bookmarkStart w:id="12" w:name="_Toc58425593"/>
      <w:r w:rsidRPr="00CD3501">
        <w:rPr>
          <w:color w:val="auto"/>
          <w:sz w:val="20"/>
          <w:szCs w:val="20"/>
          <w:lang w:val="es-ES_tradnl"/>
        </w:rPr>
        <w:t xml:space="preserve">Impugnaciones de la </w:t>
      </w:r>
      <w:r w:rsidR="000A3FB7" w:rsidRPr="00CD3501">
        <w:rPr>
          <w:color w:val="auto"/>
          <w:sz w:val="20"/>
          <w:szCs w:val="20"/>
          <w:lang w:val="es-ES_tradnl"/>
        </w:rPr>
        <w:t>Ley de Delitos contra la Persona</w:t>
      </w:r>
      <w:bookmarkEnd w:id="12"/>
      <w:r w:rsidR="003067F3" w:rsidRPr="00CD3501">
        <w:rPr>
          <w:color w:val="auto"/>
          <w:sz w:val="20"/>
          <w:szCs w:val="20"/>
          <w:lang w:val="es-ES_tradnl"/>
        </w:rPr>
        <w:t xml:space="preserve"> </w:t>
      </w:r>
    </w:p>
    <w:p w14:paraId="0CD49FFC" w14:textId="77777777" w:rsidR="002F1716" w:rsidRPr="00CD3501" w:rsidRDefault="002F1716" w:rsidP="00A167CF">
      <w:pPr>
        <w:pStyle w:val="parrafos"/>
        <w:tabs>
          <w:tab w:val="clear" w:pos="360"/>
        </w:tabs>
        <w:suppressAutoHyphens/>
        <w:spacing w:line="276" w:lineRule="auto"/>
        <w:rPr>
          <w:rFonts w:ascii="Cambria" w:hAnsi="Cambria"/>
          <w:lang w:val="es-ES_tradnl"/>
        </w:rPr>
      </w:pPr>
    </w:p>
    <w:p w14:paraId="38FBFD09" w14:textId="38C2CA40" w:rsidR="00865C97" w:rsidRPr="00CD3501" w:rsidRDefault="00DA2720"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E</w:t>
      </w:r>
      <w:r w:rsidR="003103D0" w:rsidRPr="00CD3501">
        <w:rPr>
          <w:rFonts w:ascii="Cambria" w:hAnsi="Cambria"/>
          <w:lang w:val="es-ES_tradnl"/>
        </w:rPr>
        <w:t xml:space="preserve">n </w:t>
      </w:r>
      <w:r w:rsidRPr="00CD3501">
        <w:rPr>
          <w:rFonts w:ascii="Cambria" w:hAnsi="Cambria"/>
          <w:lang w:val="es-ES_tradnl"/>
        </w:rPr>
        <w:t>febrero de</w:t>
      </w:r>
      <w:r w:rsidR="003103D0" w:rsidRPr="00CD3501">
        <w:rPr>
          <w:rFonts w:ascii="Cambria" w:hAnsi="Cambria"/>
          <w:lang w:val="es-ES_tradnl"/>
        </w:rPr>
        <w:t xml:space="preserve"> 2013</w:t>
      </w:r>
      <w:r w:rsidRPr="00CD3501">
        <w:rPr>
          <w:rFonts w:ascii="Cambria" w:hAnsi="Cambria"/>
          <w:lang w:val="es-ES_tradnl"/>
        </w:rPr>
        <w:t xml:space="preserve">, una persona llamada </w:t>
      </w:r>
      <w:r w:rsidR="0020602D" w:rsidRPr="00CD3501">
        <w:rPr>
          <w:rFonts w:ascii="Cambria" w:hAnsi="Cambria"/>
          <w:lang w:val="es-ES_tradnl"/>
        </w:rPr>
        <w:t xml:space="preserve">Javed Saunja Jaghai </w:t>
      </w:r>
      <w:r w:rsidRPr="00CD3501">
        <w:rPr>
          <w:rFonts w:ascii="Cambria" w:hAnsi="Cambria"/>
          <w:lang w:val="es-ES_tradnl"/>
        </w:rPr>
        <w:t>interpuso una demanda para impugnar la constitucionalidad</w:t>
      </w:r>
      <w:r w:rsidR="0020602D" w:rsidRPr="00CD3501">
        <w:rPr>
          <w:rFonts w:ascii="Cambria" w:hAnsi="Cambria"/>
          <w:lang w:val="es-ES_tradnl"/>
        </w:rPr>
        <w:t xml:space="preserve"> </w:t>
      </w:r>
      <w:r w:rsidRPr="00CD3501">
        <w:rPr>
          <w:rFonts w:ascii="Cambria" w:hAnsi="Cambria"/>
          <w:lang w:val="es-ES_tradnl"/>
        </w:rPr>
        <w:t>de los artículos</w:t>
      </w:r>
      <w:r w:rsidR="0020602D" w:rsidRPr="00CD3501">
        <w:rPr>
          <w:rFonts w:ascii="Cambria" w:hAnsi="Cambria"/>
          <w:lang w:val="es-ES_tradnl"/>
        </w:rPr>
        <w:t xml:space="preserve"> 76, 77 </w:t>
      </w:r>
      <w:r w:rsidRPr="00CD3501">
        <w:rPr>
          <w:rFonts w:ascii="Cambria" w:hAnsi="Cambria"/>
          <w:lang w:val="es-ES_tradnl"/>
        </w:rPr>
        <w:t>y</w:t>
      </w:r>
      <w:r w:rsidR="0020602D" w:rsidRPr="00CD3501">
        <w:rPr>
          <w:rFonts w:ascii="Cambria" w:hAnsi="Cambria"/>
          <w:lang w:val="es-ES_tradnl"/>
        </w:rPr>
        <w:t xml:space="preserve"> 79 </w:t>
      </w:r>
      <w:r w:rsidRPr="00CD3501">
        <w:rPr>
          <w:rFonts w:ascii="Cambria" w:hAnsi="Cambria"/>
          <w:lang w:val="es-ES_tradnl"/>
        </w:rPr>
        <w:t xml:space="preserve">de la </w:t>
      </w:r>
      <w:r w:rsidR="000A3FB7" w:rsidRPr="00CD3501">
        <w:rPr>
          <w:rFonts w:ascii="Cambria" w:hAnsi="Cambria"/>
          <w:lang w:val="es-ES_tradnl"/>
        </w:rPr>
        <w:t>Ley de Delitos contra la Persona</w:t>
      </w:r>
      <w:r w:rsidR="0020602D" w:rsidRPr="00CD3501">
        <w:rPr>
          <w:rFonts w:ascii="Cambria" w:hAnsi="Cambria"/>
          <w:lang w:val="es-ES_tradnl"/>
        </w:rPr>
        <w:t xml:space="preserve"> </w:t>
      </w:r>
      <w:r w:rsidRPr="00CD3501">
        <w:rPr>
          <w:rFonts w:ascii="Cambria" w:hAnsi="Cambria"/>
          <w:lang w:val="es-ES_tradnl"/>
        </w:rPr>
        <w:t>ante la Sala</w:t>
      </w:r>
      <w:r w:rsidR="0020602D" w:rsidRPr="00CD3501">
        <w:rPr>
          <w:rFonts w:ascii="Cambria" w:hAnsi="Cambria"/>
          <w:lang w:val="es-ES_tradnl"/>
        </w:rPr>
        <w:t xml:space="preserve"> Civil </w:t>
      </w:r>
      <w:r w:rsidRPr="00CD3501">
        <w:rPr>
          <w:rFonts w:ascii="Cambria" w:hAnsi="Cambria"/>
          <w:lang w:val="es-ES_tradnl"/>
        </w:rPr>
        <w:t xml:space="preserve">de la </w:t>
      </w:r>
      <w:r w:rsidR="0020602D" w:rsidRPr="00CD3501">
        <w:rPr>
          <w:rFonts w:ascii="Cambria" w:hAnsi="Cambria"/>
          <w:lang w:val="es-ES_tradnl"/>
        </w:rPr>
        <w:t>Suprem</w:t>
      </w:r>
      <w:r w:rsidRPr="00CD3501">
        <w:rPr>
          <w:rFonts w:ascii="Cambria" w:hAnsi="Cambria"/>
          <w:lang w:val="es-ES_tradnl"/>
        </w:rPr>
        <w:t>a Corte de</w:t>
      </w:r>
      <w:r w:rsidR="0020602D" w:rsidRPr="00CD3501">
        <w:rPr>
          <w:rFonts w:ascii="Cambria" w:hAnsi="Cambria"/>
          <w:lang w:val="es-ES_tradnl"/>
        </w:rPr>
        <w:t xml:space="preserve"> Judicatur</w:t>
      </w:r>
      <w:r w:rsidRPr="00CD3501">
        <w:rPr>
          <w:rFonts w:ascii="Cambria" w:hAnsi="Cambria"/>
          <w:lang w:val="es-ES_tradnl"/>
        </w:rPr>
        <w:t>a de</w:t>
      </w:r>
      <w:r w:rsidR="0020602D" w:rsidRPr="00CD3501">
        <w:rPr>
          <w:rFonts w:ascii="Cambria" w:hAnsi="Cambria"/>
          <w:lang w:val="es-ES_tradnl"/>
        </w:rPr>
        <w:t xml:space="preserve"> Jamaica</w:t>
      </w:r>
      <w:r w:rsidR="00A12423" w:rsidRPr="00CD3501">
        <w:rPr>
          <w:rFonts w:ascii="Cambria" w:hAnsi="Cambria"/>
          <w:lang w:val="es-ES_tradnl"/>
        </w:rPr>
        <w:t xml:space="preserve">. </w:t>
      </w:r>
      <w:r w:rsidRPr="00CD3501">
        <w:rPr>
          <w:rFonts w:ascii="Cambria" w:hAnsi="Cambria"/>
          <w:lang w:val="es-ES_tradnl"/>
        </w:rPr>
        <w:t xml:space="preserve">El 28 de agosto de </w:t>
      </w:r>
      <w:r w:rsidR="00A12423" w:rsidRPr="00CD3501">
        <w:rPr>
          <w:rFonts w:ascii="Cambria" w:hAnsi="Cambria"/>
          <w:lang w:val="es-ES_tradnl"/>
        </w:rPr>
        <w:t>2014</w:t>
      </w:r>
      <w:r w:rsidRPr="00CD3501">
        <w:rPr>
          <w:rFonts w:ascii="Cambria" w:hAnsi="Cambria"/>
          <w:lang w:val="es-ES_tradnl"/>
        </w:rPr>
        <w:t xml:space="preserve"> retiró la demanda, aduciendo las siguientes razones</w:t>
      </w:r>
      <w:r w:rsidR="00A12423" w:rsidRPr="00CD3501">
        <w:rPr>
          <w:rFonts w:ascii="Cambria" w:hAnsi="Cambria"/>
          <w:lang w:val="es-ES_tradnl"/>
        </w:rPr>
        <w:t>:</w:t>
      </w:r>
    </w:p>
    <w:p w14:paraId="69704896" w14:textId="77777777" w:rsidR="00A12423" w:rsidRPr="00CD3501" w:rsidRDefault="00A12423"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p>
    <w:p w14:paraId="60FE5FBA" w14:textId="60A18D23" w:rsidR="00E07D21" w:rsidRPr="00CD3501" w:rsidRDefault="00A12423"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t xml:space="preserve">Jamaica </w:t>
      </w:r>
      <w:r w:rsidR="00DC174C" w:rsidRPr="00CD3501">
        <w:rPr>
          <w:rFonts w:asciiTheme="majorHAnsi" w:hAnsiTheme="majorHAnsi"/>
          <w:sz w:val="18"/>
          <w:szCs w:val="18"/>
          <w:lang w:val="es-ES_tradnl"/>
        </w:rPr>
        <w:t xml:space="preserve">es una sociedad muy pequeña con muchos individuos </w:t>
      </w:r>
      <w:r w:rsidRPr="00CD3501">
        <w:rPr>
          <w:rFonts w:asciiTheme="majorHAnsi" w:hAnsiTheme="majorHAnsi"/>
          <w:sz w:val="18"/>
          <w:szCs w:val="18"/>
          <w:lang w:val="es-ES_tradnl"/>
        </w:rPr>
        <w:t>intolerant</w:t>
      </w:r>
      <w:r w:rsidR="00DC174C" w:rsidRPr="00CD3501">
        <w:rPr>
          <w:rFonts w:asciiTheme="majorHAnsi" w:hAnsiTheme="majorHAnsi"/>
          <w:sz w:val="18"/>
          <w:szCs w:val="18"/>
          <w:lang w:val="es-ES_tradnl"/>
        </w:rPr>
        <w:t>es que regularmente causan daños a personas desprevenidas que optan por vivir de una forma que les desagrada a ellos</w:t>
      </w:r>
      <w:r w:rsidRPr="00CD3501">
        <w:rPr>
          <w:rFonts w:asciiTheme="majorHAnsi" w:hAnsiTheme="majorHAnsi"/>
          <w:sz w:val="18"/>
          <w:szCs w:val="18"/>
          <w:lang w:val="es-ES_tradnl"/>
        </w:rPr>
        <w:t xml:space="preserve">. </w:t>
      </w:r>
      <w:r w:rsidR="00DC174C" w:rsidRPr="00CD3501">
        <w:rPr>
          <w:rFonts w:asciiTheme="majorHAnsi" w:hAnsiTheme="majorHAnsi"/>
          <w:sz w:val="18"/>
          <w:szCs w:val="18"/>
          <w:lang w:val="es-ES_tradnl"/>
        </w:rPr>
        <w:t xml:space="preserve">Los incidentes antedichos simplemente confirman lo que se sabe que es la norma en </w:t>
      </w:r>
      <w:r w:rsidRPr="00CD3501">
        <w:rPr>
          <w:rFonts w:asciiTheme="majorHAnsi" w:hAnsiTheme="majorHAnsi"/>
          <w:sz w:val="18"/>
          <w:szCs w:val="18"/>
          <w:lang w:val="es-ES_tradnl"/>
        </w:rPr>
        <w:t xml:space="preserve">Jamaica. </w:t>
      </w:r>
      <w:r w:rsidR="00DC174C" w:rsidRPr="00CD3501">
        <w:rPr>
          <w:rFonts w:asciiTheme="majorHAnsi" w:hAnsiTheme="majorHAnsi"/>
          <w:sz w:val="18"/>
          <w:szCs w:val="18"/>
          <w:lang w:val="es-ES_tradnl"/>
        </w:rPr>
        <w:t>Esta clase de intolerancia expresada contra las personas</w:t>
      </w:r>
      <w:r w:rsidRPr="00CD3501">
        <w:rPr>
          <w:rFonts w:asciiTheme="majorHAnsi" w:hAnsiTheme="majorHAnsi"/>
          <w:sz w:val="18"/>
          <w:szCs w:val="18"/>
          <w:lang w:val="es-ES_tradnl"/>
        </w:rPr>
        <w:t xml:space="preserve"> </w:t>
      </w:r>
      <w:r w:rsidR="00287068" w:rsidRPr="00CD3501">
        <w:rPr>
          <w:rFonts w:asciiTheme="majorHAnsi" w:hAnsiTheme="majorHAnsi"/>
          <w:sz w:val="18"/>
          <w:szCs w:val="18"/>
          <w:lang w:val="es-ES_tradnl"/>
        </w:rPr>
        <w:t>gais</w:t>
      </w:r>
      <w:r w:rsidR="00DC174C" w:rsidRPr="00CD3501">
        <w:rPr>
          <w:rFonts w:asciiTheme="majorHAnsi" w:hAnsiTheme="majorHAnsi"/>
          <w:sz w:val="18"/>
          <w:szCs w:val="18"/>
          <w:lang w:val="es-ES_tradnl"/>
        </w:rPr>
        <w:t xml:space="preserve">, combinada con los numerosos ataques reportados en los medios de comunicación contra hombres </w:t>
      </w:r>
      <w:r w:rsidR="00287068" w:rsidRPr="00CD3501">
        <w:rPr>
          <w:rFonts w:asciiTheme="majorHAnsi" w:hAnsiTheme="majorHAnsi"/>
          <w:sz w:val="18"/>
          <w:szCs w:val="18"/>
          <w:lang w:val="es-ES_tradnl"/>
        </w:rPr>
        <w:t>gais</w:t>
      </w:r>
      <w:r w:rsidR="00DC174C" w:rsidRPr="00CD3501">
        <w:rPr>
          <w:rFonts w:asciiTheme="majorHAnsi" w:hAnsiTheme="majorHAnsi"/>
          <w:sz w:val="18"/>
          <w:szCs w:val="18"/>
          <w:lang w:val="es-ES_tradnl"/>
        </w:rPr>
        <w:t xml:space="preserve"> desde </w:t>
      </w:r>
      <w:r w:rsidRPr="00CD3501">
        <w:rPr>
          <w:rFonts w:asciiTheme="majorHAnsi" w:hAnsiTheme="majorHAnsi"/>
          <w:sz w:val="18"/>
          <w:szCs w:val="18"/>
          <w:lang w:val="es-ES_tradnl"/>
        </w:rPr>
        <w:t>2013</w:t>
      </w:r>
      <w:r w:rsidR="00DC174C" w:rsidRPr="00CD3501">
        <w:rPr>
          <w:rFonts w:asciiTheme="majorHAnsi" w:hAnsiTheme="majorHAnsi"/>
          <w:sz w:val="18"/>
          <w:szCs w:val="18"/>
          <w:lang w:val="es-ES_tradnl"/>
        </w:rPr>
        <w:t xml:space="preserve">, me ha infundido mucho miedo. Aunque no he sufrido daños físicos, me han amenazado suficientes veces para saber que soy </w:t>
      </w:r>
      <w:r w:rsidRPr="00CD3501">
        <w:rPr>
          <w:rFonts w:asciiTheme="majorHAnsi" w:hAnsiTheme="majorHAnsi"/>
          <w:sz w:val="18"/>
          <w:szCs w:val="18"/>
          <w:lang w:val="es-ES_tradnl"/>
        </w:rPr>
        <w:t xml:space="preserve">vulnerable. </w:t>
      </w:r>
      <w:r w:rsidR="00DC174C" w:rsidRPr="00CD3501">
        <w:rPr>
          <w:rFonts w:asciiTheme="majorHAnsi" w:hAnsiTheme="majorHAnsi"/>
          <w:sz w:val="18"/>
          <w:szCs w:val="18"/>
          <w:lang w:val="es-ES_tradnl"/>
        </w:rPr>
        <w:t xml:space="preserve">Sé también que a mis seres queridos los han amenazado y temen por mi seguridad. Aunque la </w:t>
      </w:r>
      <w:r w:rsidRPr="00CD3501">
        <w:rPr>
          <w:rFonts w:asciiTheme="majorHAnsi" w:hAnsiTheme="majorHAnsi"/>
          <w:sz w:val="18"/>
          <w:szCs w:val="18"/>
          <w:lang w:val="es-ES_tradnl"/>
        </w:rPr>
        <w:t>caus</w:t>
      </w:r>
      <w:r w:rsidR="00DC174C" w:rsidRPr="00CD3501">
        <w:rPr>
          <w:rFonts w:asciiTheme="majorHAnsi" w:hAnsiTheme="majorHAnsi"/>
          <w:sz w:val="18"/>
          <w:szCs w:val="18"/>
          <w:lang w:val="es-ES_tradnl"/>
        </w:rPr>
        <w:t xml:space="preserve">a y el caso son </w:t>
      </w:r>
      <w:r w:rsidRPr="00CD3501">
        <w:rPr>
          <w:rFonts w:asciiTheme="majorHAnsi" w:hAnsiTheme="majorHAnsi"/>
          <w:sz w:val="18"/>
          <w:szCs w:val="18"/>
          <w:lang w:val="es-ES_tradnl"/>
        </w:rPr>
        <w:t>noble</w:t>
      </w:r>
      <w:r w:rsidR="00DC174C" w:rsidRPr="00CD3501">
        <w:rPr>
          <w:rFonts w:asciiTheme="majorHAnsi" w:hAnsiTheme="majorHAnsi"/>
          <w:sz w:val="18"/>
          <w:szCs w:val="18"/>
          <w:lang w:val="es-ES_tradnl"/>
        </w:rPr>
        <w:t>s</w:t>
      </w:r>
      <w:r w:rsidRPr="00CD3501">
        <w:rPr>
          <w:rFonts w:asciiTheme="majorHAnsi" w:hAnsiTheme="majorHAnsi"/>
          <w:sz w:val="18"/>
          <w:szCs w:val="18"/>
          <w:lang w:val="es-ES_tradnl"/>
        </w:rPr>
        <w:t xml:space="preserve">, </w:t>
      </w:r>
      <w:r w:rsidR="00DC174C" w:rsidRPr="00CD3501">
        <w:rPr>
          <w:rFonts w:asciiTheme="majorHAnsi" w:hAnsiTheme="majorHAnsi"/>
          <w:sz w:val="18"/>
          <w:szCs w:val="18"/>
          <w:lang w:val="es-ES_tradnl"/>
        </w:rPr>
        <w:t>ya no estoy dispuesto a jugarme la vida o a arriesgar la vida de mis padres y hermanos</w:t>
      </w:r>
      <w:r w:rsidR="00917AE3" w:rsidRPr="00CD3501">
        <w:rPr>
          <w:rStyle w:val="FootnoteReference"/>
          <w:rFonts w:asciiTheme="majorHAnsi" w:hAnsiTheme="majorHAnsi"/>
          <w:sz w:val="18"/>
          <w:szCs w:val="18"/>
          <w:lang w:val="es-ES_tradnl"/>
        </w:rPr>
        <w:footnoteReference w:id="22"/>
      </w:r>
      <w:r w:rsidR="00DC174C" w:rsidRPr="00CD3501">
        <w:rPr>
          <w:rFonts w:asciiTheme="majorHAnsi" w:hAnsiTheme="majorHAnsi"/>
          <w:sz w:val="18"/>
          <w:szCs w:val="18"/>
          <w:lang w:val="es-ES_tradnl"/>
        </w:rPr>
        <w:t>.</w:t>
      </w:r>
    </w:p>
    <w:p w14:paraId="44E238E5" w14:textId="77777777" w:rsidR="006775E3" w:rsidRPr="00CD3501" w:rsidRDefault="006775E3" w:rsidP="00A167CF">
      <w:pPr>
        <w:pBdr>
          <w:top w:val="none" w:sz="0" w:space="0" w:color="auto"/>
          <w:left w:val="none" w:sz="0" w:space="0" w:color="auto"/>
          <w:bottom w:val="none" w:sz="0" w:space="0" w:color="auto"/>
          <w:right w:val="none" w:sz="0" w:space="0" w:color="auto"/>
          <w:between w:val="none" w:sz="0" w:space="0" w:color="auto"/>
          <w:bar w:val="none" w:sz="0" w:color="auto"/>
        </w:pBdr>
        <w:ind w:right="360"/>
        <w:jc w:val="both"/>
        <w:rPr>
          <w:rFonts w:asciiTheme="majorHAnsi" w:hAnsiTheme="majorHAnsi"/>
          <w:sz w:val="18"/>
          <w:szCs w:val="18"/>
          <w:lang w:val="es-ES_tradnl"/>
        </w:rPr>
      </w:pPr>
    </w:p>
    <w:p w14:paraId="683D84D0" w14:textId="784F3995" w:rsidR="00E54CE1" w:rsidRPr="00CD3501" w:rsidRDefault="00DC174C"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Según información de dominio público, e</w:t>
      </w:r>
      <w:r w:rsidR="00E54CE1" w:rsidRPr="00CD3501">
        <w:rPr>
          <w:rFonts w:ascii="Cambria" w:hAnsi="Cambria"/>
          <w:lang w:val="es-ES_tradnl"/>
        </w:rPr>
        <w:t xml:space="preserve">n 2015, </w:t>
      </w:r>
      <w:r w:rsidRPr="00CD3501">
        <w:rPr>
          <w:rFonts w:ascii="Cambria" w:hAnsi="Cambria"/>
          <w:lang w:val="es-ES_tradnl"/>
        </w:rPr>
        <w:t xml:space="preserve">el defensor de los derechos de las personas </w:t>
      </w:r>
      <w:r w:rsidR="00287068" w:rsidRPr="00CD3501">
        <w:rPr>
          <w:rFonts w:ascii="Cambria" w:hAnsi="Cambria"/>
          <w:lang w:val="es-ES_tradnl"/>
        </w:rPr>
        <w:t>gais</w:t>
      </w:r>
      <w:r w:rsidR="00E54CE1" w:rsidRPr="00CD3501">
        <w:rPr>
          <w:rFonts w:ascii="Cambria" w:hAnsi="Cambria"/>
          <w:lang w:val="es-ES_tradnl"/>
        </w:rPr>
        <w:t xml:space="preserve"> Maurice Tomli</w:t>
      </w:r>
      <w:r w:rsidR="00137A3C" w:rsidRPr="00CD3501">
        <w:rPr>
          <w:rFonts w:ascii="Cambria" w:hAnsi="Cambria"/>
          <w:lang w:val="es-ES_tradnl"/>
        </w:rPr>
        <w:t>n</w:t>
      </w:r>
      <w:r w:rsidR="00E54CE1" w:rsidRPr="00CD3501">
        <w:rPr>
          <w:rFonts w:ascii="Cambria" w:hAnsi="Cambria"/>
          <w:lang w:val="es-ES_tradnl"/>
        </w:rPr>
        <w:t xml:space="preserve">son </w:t>
      </w:r>
      <w:r w:rsidRPr="00CD3501">
        <w:rPr>
          <w:rFonts w:ascii="Cambria" w:hAnsi="Cambria"/>
          <w:lang w:val="es-ES_tradnl"/>
        </w:rPr>
        <w:t xml:space="preserve">interpuso otra demanda ante la </w:t>
      </w:r>
      <w:r w:rsidR="00E54CE1" w:rsidRPr="00CD3501">
        <w:rPr>
          <w:rFonts w:ascii="Cambria" w:hAnsi="Cambria"/>
          <w:lang w:val="es-ES_tradnl"/>
        </w:rPr>
        <w:t>Suprem</w:t>
      </w:r>
      <w:r w:rsidRPr="00CD3501">
        <w:rPr>
          <w:rFonts w:ascii="Cambria" w:hAnsi="Cambria"/>
          <w:lang w:val="es-ES_tradnl"/>
        </w:rPr>
        <w:t xml:space="preserve">a Corte de </w:t>
      </w:r>
      <w:r w:rsidR="00137A3C" w:rsidRPr="00CD3501">
        <w:rPr>
          <w:rFonts w:ascii="Cambria" w:hAnsi="Cambria"/>
          <w:lang w:val="es-ES_tradnl"/>
        </w:rPr>
        <w:t>Judicatur</w:t>
      </w:r>
      <w:r w:rsidRPr="00CD3501">
        <w:rPr>
          <w:rFonts w:ascii="Cambria" w:hAnsi="Cambria"/>
          <w:lang w:val="es-ES_tradnl"/>
        </w:rPr>
        <w:t>a de</w:t>
      </w:r>
      <w:r w:rsidR="00137A3C" w:rsidRPr="00CD3501">
        <w:rPr>
          <w:rFonts w:ascii="Cambria" w:hAnsi="Cambria"/>
          <w:lang w:val="es-ES_tradnl"/>
        </w:rPr>
        <w:t xml:space="preserve"> </w:t>
      </w:r>
      <w:r w:rsidRPr="00CD3501">
        <w:rPr>
          <w:rFonts w:ascii="Cambria" w:hAnsi="Cambria"/>
          <w:lang w:val="es-ES_tradnl"/>
        </w:rPr>
        <w:t>Jamaica para impugnar las disposiciones de la Ley</w:t>
      </w:r>
      <w:r w:rsidR="000A3FB7" w:rsidRPr="00CD3501">
        <w:rPr>
          <w:rFonts w:ascii="Cambria" w:hAnsi="Cambria"/>
          <w:lang w:val="es-ES_tradnl"/>
        </w:rPr>
        <w:t xml:space="preserve"> de Delitos contra la Persona</w:t>
      </w:r>
      <w:r w:rsidR="00137A3C" w:rsidRPr="00CD3501">
        <w:rPr>
          <w:rFonts w:ascii="Cambria" w:hAnsi="Cambria"/>
          <w:lang w:val="es-ES_tradnl"/>
        </w:rPr>
        <w:t xml:space="preserve"> </w:t>
      </w:r>
      <w:r w:rsidRPr="00CD3501">
        <w:rPr>
          <w:rFonts w:ascii="Cambria" w:hAnsi="Cambria"/>
          <w:lang w:val="es-ES_tradnl"/>
        </w:rPr>
        <w:t>que proscriben las relaciones sexuales consensuales entre hombres</w:t>
      </w:r>
      <w:r w:rsidR="00137A3C" w:rsidRPr="00CD3501">
        <w:rPr>
          <w:rStyle w:val="FootnoteReference"/>
          <w:rFonts w:ascii="Cambria" w:hAnsi="Cambria"/>
          <w:lang w:val="es-ES_tradnl"/>
        </w:rPr>
        <w:footnoteReference w:id="23"/>
      </w:r>
      <w:r w:rsidRPr="00CD3501">
        <w:rPr>
          <w:rFonts w:ascii="Cambria" w:hAnsi="Cambria"/>
          <w:lang w:val="es-ES_tradnl"/>
        </w:rPr>
        <w:t>. No se conoce el resultado de la impugnación</w:t>
      </w:r>
      <w:r w:rsidR="00137A3C" w:rsidRPr="00CD3501">
        <w:rPr>
          <w:rFonts w:ascii="Cambria" w:hAnsi="Cambria"/>
          <w:lang w:val="es-ES_tradnl"/>
        </w:rPr>
        <w:t xml:space="preserve">. </w:t>
      </w:r>
    </w:p>
    <w:p w14:paraId="6D96ADA5" w14:textId="77777777" w:rsidR="002B1EF2" w:rsidRPr="00CD3501" w:rsidRDefault="002B1EF2" w:rsidP="00633A4D">
      <w:pPr>
        <w:pBdr>
          <w:top w:val="none" w:sz="0" w:space="0" w:color="auto"/>
          <w:left w:val="none" w:sz="0" w:space="0" w:color="auto"/>
          <w:bottom w:val="none" w:sz="0" w:space="0" w:color="auto"/>
          <w:right w:val="none" w:sz="0" w:space="0" w:color="auto"/>
          <w:between w:val="none" w:sz="0" w:space="0" w:color="auto"/>
          <w:bar w:val="none" w:sz="0" w:color="auto"/>
        </w:pBdr>
        <w:ind w:right="360"/>
        <w:jc w:val="both"/>
        <w:rPr>
          <w:rFonts w:asciiTheme="majorHAnsi" w:hAnsiTheme="majorHAnsi"/>
          <w:sz w:val="18"/>
          <w:szCs w:val="18"/>
          <w:lang w:val="es-ES_tradnl"/>
        </w:rPr>
      </w:pPr>
    </w:p>
    <w:p w14:paraId="4362FB51" w14:textId="6BDB685C" w:rsidR="00DD2AD4" w:rsidRPr="00CD3501" w:rsidRDefault="00E33D82" w:rsidP="00633A4D">
      <w:pPr>
        <w:pStyle w:val="Heading1"/>
        <w:spacing w:before="0"/>
        <w:ind w:left="360"/>
        <w:rPr>
          <w:color w:val="auto"/>
          <w:sz w:val="20"/>
          <w:szCs w:val="20"/>
          <w:lang w:val="es-ES_tradnl"/>
        </w:rPr>
      </w:pPr>
      <w:bookmarkStart w:id="13" w:name="_Toc16152277"/>
      <w:bookmarkStart w:id="14" w:name="_Toc58425594"/>
      <w:r w:rsidRPr="00CD3501">
        <w:rPr>
          <w:color w:val="auto"/>
          <w:sz w:val="20"/>
          <w:szCs w:val="20"/>
          <w:lang w:val="es-ES_tradnl"/>
        </w:rPr>
        <w:t>ANÁLISIS DE DEREC</w:t>
      </w:r>
      <w:bookmarkEnd w:id="13"/>
      <w:r w:rsidRPr="00CD3501">
        <w:rPr>
          <w:color w:val="auto"/>
          <w:sz w:val="20"/>
          <w:szCs w:val="20"/>
          <w:lang w:val="es-ES_tradnl"/>
        </w:rPr>
        <w:t>HO</w:t>
      </w:r>
      <w:bookmarkEnd w:id="14"/>
    </w:p>
    <w:p w14:paraId="3BA7EA87" w14:textId="77777777" w:rsidR="00B94F89" w:rsidRPr="00CD3501" w:rsidRDefault="00B94F89" w:rsidP="00633A4D">
      <w:pPr>
        <w:keepNext/>
        <w:keepLines/>
        <w:rPr>
          <w:lang w:val="es-ES_tradnl" w:eastAsia="es-ES"/>
        </w:rPr>
      </w:pPr>
      <w:bookmarkStart w:id="15" w:name="_Toc530406638"/>
      <w:bookmarkStart w:id="16" w:name="_Toc531597452"/>
    </w:p>
    <w:p w14:paraId="48AEF6E0" w14:textId="2FAA13C4" w:rsidR="006F1453" w:rsidRPr="00CD3501" w:rsidRDefault="00D22B34" w:rsidP="00C12E55">
      <w:pPr>
        <w:pStyle w:val="Heading2"/>
        <w:numPr>
          <w:ilvl w:val="0"/>
          <w:numId w:val="64"/>
        </w:numPr>
        <w:spacing w:before="0"/>
        <w:rPr>
          <w:rFonts w:ascii="Cambria" w:eastAsia="Cambria" w:hAnsi="Cambria" w:cs="Cambria"/>
          <w:iCs/>
          <w:color w:val="auto"/>
          <w:sz w:val="20"/>
          <w:szCs w:val="20"/>
          <w:u w:color="000000"/>
          <w:lang w:val="es-ES_tradnl" w:eastAsia="es-ES"/>
        </w:rPr>
      </w:pPr>
      <w:bookmarkStart w:id="17" w:name="_Toc58425595"/>
      <w:r w:rsidRPr="00CD3501">
        <w:rPr>
          <w:rFonts w:ascii="Cambria" w:eastAsia="Cambria" w:hAnsi="Cambria" w:cs="Cambria"/>
          <w:iCs/>
          <w:color w:val="auto"/>
          <w:sz w:val="20"/>
          <w:szCs w:val="20"/>
          <w:u w:color="000000"/>
          <w:lang w:val="es-ES_tradnl" w:eastAsia="es-ES"/>
        </w:rPr>
        <w:t>El principio de igualdad</w:t>
      </w:r>
      <w:r w:rsidR="00B926A0" w:rsidRPr="00CD3501">
        <w:rPr>
          <w:rFonts w:ascii="Cambria" w:eastAsia="Cambria" w:hAnsi="Cambria" w:cs="Cambria"/>
          <w:iCs/>
          <w:color w:val="auto"/>
          <w:sz w:val="20"/>
          <w:szCs w:val="20"/>
          <w:u w:color="000000"/>
          <w:lang w:val="es-ES_tradnl" w:eastAsia="es-ES"/>
        </w:rPr>
        <w:t xml:space="preserve"> </w:t>
      </w:r>
      <w:r w:rsidRPr="00CD3501">
        <w:rPr>
          <w:rFonts w:ascii="Cambria" w:eastAsia="Cambria" w:hAnsi="Cambria" w:cs="Cambria"/>
          <w:iCs/>
          <w:color w:val="auto"/>
          <w:sz w:val="20"/>
          <w:szCs w:val="20"/>
          <w:u w:color="000000"/>
          <w:lang w:val="es-ES_tradnl" w:eastAsia="es-ES"/>
        </w:rPr>
        <w:t xml:space="preserve">y </w:t>
      </w:r>
      <w:r w:rsidR="000A3FB7" w:rsidRPr="00CD3501">
        <w:rPr>
          <w:rFonts w:ascii="Cambria" w:eastAsia="Cambria" w:hAnsi="Cambria" w:cs="Cambria"/>
          <w:iCs/>
          <w:color w:val="auto"/>
          <w:sz w:val="20"/>
          <w:szCs w:val="20"/>
          <w:u w:color="000000"/>
          <w:lang w:val="es-ES_tradnl" w:eastAsia="es-ES"/>
        </w:rPr>
        <w:t>no discriminación</w:t>
      </w:r>
      <w:r w:rsidR="00B926A0" w:rsidRPr="00CD3501">
        <w:rPr>
          <w:rStyle w:val="FootnoteReference"/>
          <w:iCs/>
          <w:color w:val="auto"/>
          <w:sz w:val="20"/>
          <w:szCs w:val="20"/>
          <w:lang w:val="es-ES_tradnl"/>
        </w:rPr>
        <w:footnoteReference w:id="24"/>
      </w:r>
      <w:r w:rsidR="001B0BF8" w:rsidRPr="00CD3501">
        <w:rPr>
          <w:rFonts w:ascii="Cambria" w:eastAsia="Cambria" w:hAnsi="Cambria" w:cs="Cambria"/>
          <w:iCs/>
          <w:color w:val="auto"/>
          <w:sz w:val="20"/>
          <w:szCs w:val="20"/>
          <w:u w:color="000000"/>
          <w:lang w:val="es-ES_tradnl" w:eastAsia="es-ES"/>
        </w:rPr>
        <w:t xml:space="preserve">, </w:t>
      </w:r>
      <w:r w:rsidR="00681B90" w:rsidRPr="00CD3501">
        <w:rPr>
          <w:rFonts w:ascii="Cambria" w:eastAsia="Cambria" w:hAnsi="Cambria" w:cs="Cambria"/>
          <w:iCs/>
          <w:color w:val="auto"/>
          <w:sz w:val="20"/>
          <w:szCs w:val="20"/>
          <w:u w:color="000000"/>
          <w:lang w:val="es-ES_tradnl" w:eastAsia="es-ES"/>
        </w:rPr>
        <w:t>el derecho a la protección de la honra y de la dignidad</w:t>
      </w:r>
      <w:r w:rsidR="00F63F1D" w:rsidRPr="00CD3501">
        <w:rPr>
          <w:rStyle w:val="FootnoteReference"/>
          <w:iCs/>
          <w:color w:val="auto"/>
          <w:sz w:val="20"/>
          <w:szCs w:val="20"/>
          <w:lang w:val="es-ES_tradnl"/>
        </w:rPr>
        <w:footnoteReference w:id="25"/>
      </w:r>
      <w:r w:rsidR="00D8027F" w:rsidRPr="00CD3501">
        <w:rPr>
          <w:rFonts w:ascii="Cambria" w:eastAsia="Cambria" w:hAnsi="Cambria" w:cs="Cambria"/>
          <w:iCs/>
          <w:color w:val="auto"/>
          <w:sz w:val="20"/>
          <w:szCs w:val="20"/>
          <w:u w:color="000000"/>
          <w:lang w:val="es-ES_tradnl" w:eastAsia="es-ES"/>
        </w:rPr>
        <w:t xml:space="preserve">, </w:t>
      </w:r>
      <w:r w:rsidR="00681B90" w:rsidRPr="00CD3501">
        <w:rPr>
          <w:rFonts w:ascii="Cambria" w:eastAsia="Cambria" w:hAnsi="Cambria" w:cs="Cambria"/>
          <w:iCs/>
          <w:color w:val="auto"/>
          <w:sz w:val="20"/>
          <w:szCs w:val="20"/>
          <w:u w:color="000000"/>
          <w:lang w:val="es-ES_tradnl" w:eastAsia="es-ES"/>
        </w:rPr>
        <w:t xml:space="preserve">el </w:t>
      </w:r>
      <w:r w:rsidRPr="00CD3501">
        <w:rPr>
          <w:rFonts w:ascii="Cambria" w:eastAsia="Cambria" w:hAnsi="Cambria" w:cs="Cambria"/>
          <w:iCs/>
          <w:color w:val="auto"/>
          <w:sz w:val="20"/>
          <w:szCs w:val="20"/>
          <w:u w:color="000000"/>
          <w:lang w:val="es-ES_tradnl" w:eastAsia="es-ES"/>
        </w:rPr>
        <w:t>derecho a la integridad personal</w:t>
      </w:r>
      <w:r w:rsidR="00A51E7A" w:rsidRPr="00CD3501">
        <w:rPr>
          <w:rStyle w:val="FootnoteReference"/>
          <w:rFonts w:ascii="Cambria" w:eastAsia="Cambria" w:hAnsi="Cambria"/>
          <w:iCs/>
          <w:color w:val="000000"/>
          <w:sz w:val="20"/>
          <w:szCs w:val="20"/>
          <w:u w:color="000000"/>
          <w:lang w:val="es-ES_tradnl" w:eastAsia="es-ES"/>
        </w:rPr>
        <w:footnoteReference w:id="26"/>
      </w:r>
      <w:r w:rsidR="00A51E7A" w:rsidRPr="00CD3501">
        <w:rPr>
          <w:rFonts w:ascii="Cambria" w:eastAsia="Cambria" w:hAnsi="Cambria" w:cs="Cambria"/>
          <w:iCs/>
          <w:color w:val="auto"/>
          <w:sz w:val="20"/>
          <w:szCs w:val="20"/>
          <w:u w:color="000000"/>
          <w:lang w:val="es-ES_tradnl" w:eastAsia="es-ES"/>
        </w:rPr>
        <w:t xml:space="preserve"> </w:t>
      </w:r>
      <w:r w:rsidR="00681B90" w:rsidRPr="00CD3501">
        <w:rPr>
          <w:rFonts w:ascii="Cambria" w:eastAsia="Cambria" w:hAnsi="Cambria" w:cs="Cambria"/>
          <w:iCs/>
          <w:color w:val="auto"/>
          <w:sz w:val="20"/>
          <w:szCs w:val="20"/>
          <w:u w:color="000000"/>
          <w:lang w:val="es-ES_tradnl" w:eastAsia="es-ES"/>
        </w:rPr>
        <w:t>y el derecho de circulación y de residencia</w:t>
      </w:r>
      <w:r w:rsidR="00681B90" w:rsidRPr="00CD3501">
        <w:rPr>
          <w:rStyle w:val="FootnoteReference"/>
          <w:rFonts w:ascii="Cambria" w:eastAsia="Cambria" w:hAnsi="Cambria" w:cs="Cambria"/>
          <w:iCs/>
          <w:color w:val="auto"/>
          <w:sz w:val="20"/>
          <w:szCs w:val="20"/>
          <w:u w:color="000000"/>
          <w:vertAlign w:val="baseline"/>
          <w:lang w:val="es-ES_tradnl" w:eastAsia="es-ES"/>
        </w:rPr>
        <w:t xml:space="preserve"> </w:t>
      </w:r>
      <w:r w:rsidR="00D8027F" w:rsidRPr="00CD3501">
        <w:rPr>
          <w:rStyle w:val="FootnoteReference"/>
          <w:rFonts w:ascii="Cambria" w:eastAsia="Cambria" w:hAnsi="Cambria"/>
          <w:iCs/>
          <w:color w:val="auto"/>
          <w:sz w:val="20"/>
          <w:szCs w:val="20"/>
          <w:u w:color="000000"/>
          <w:lang w:val="es-ES_tradnl" w:eastAsia="es-ES"/>
        </w:rPr>
        <w:footnoteReference w:id="27"/>
      </w:r>
      <w:bookmarkEnd w:id="17"/>
    </w:p>
    <w:p w14:paraId="3D7F765A" w14:textId="148E7078" w:rsidR="00920191" w:rsidRPr="00CD3501" w:rsidRDefault="000A3FB7" w:rsidP="00633A4D">
      <w:pPr>
        <w:pStyle w:val="Heading3"/>
        <w:numPr>
          <w:ilvl w:val="1"/>
          <w:numId w:val="53"/>
        </w:numPr>
        <w:ind w:left="360"/>
        <w:rPr>
          <w:color w:val="auto"/>
          <w:sz w:val="20"/>
          <w:szCs w:val="20"/>
          <w:lang w:val="es-ES_tradnl"/>
        </w:rPr>
      </w:pPr>
      <w:bookmarkStart w:id="18" w:name="_Toc58425596"/>
      <w:r w:rsidRPr="00CD3501">
        <w:rPr>
          <w:color w:val="auto"/>
          <w:sz w:val="20"/>
          <w:szCs w:val="20"/>
          <w:lang w:val="es-ES_tradnl"/>
        </w:rPr>
        <w:t>Consideraciones generales</w:t>
      </w:r>
      <w:bookmarkEnd w:id="18"/>
      <w:r w:rsidR="00CB4710" w:rsidRPr="00CD3501">
        <w:rPr>
          <w:color w:val="auto"/>
          <w:sz w:val="20"/>
          <w:szCs w:val="20"/>
          <w:lang w:val="es-ES_tradnl"/>
        </w:rPr>
        <w:t xml:space="preserve"> </w:t>
      </w:r>
    </w:p>
    <w:p w14:paraId="5322CBC7" w14:textId="77777777" w:rsidR="00920191" w:rsidRPr="00CD3501" w:rsidRDefault="00920191" w:rsidP="00633A4D">
      <w:pPr>
        <w:keepNext/>
        <w:keepLines/>
        <w:rPr>
          <w:lang w:val="es-ES_tradnl"/>
        </w:rPr>
      </w:pPr>
    </w:p>
    <w:p w14:paraId="71A22496" w14:textId="33E9F43C" w:rsidR="00633A4D" w:rsidRPr="00CD3501" w:rsidRDefault="00265CC9" w:rsidP="006A2140">
      <w:pPr>
        <w:pStyle w:val="parrafos"/>
        <w:numPr>
          <w:ilvl w:val="0"/>
          <w:numId w:val="57"/>
        </w:numPr>
        <w:tabs>
          <w:tab w:val="clear" w:pos="360"/>
          <w:tab w:val="clear" w:pos="1080"/>
        </w:tabs>
        <w:ind w:left="0" w:firstLine="0"/>
        <w:rPr>
          <w:rFonts w:ascii="Times New Roman" w:hAnsi="Times New Roman"/>
          <w:sz w:val="24"/>
          <w:szCs w:val="24"/>
          <w:lang w:val="es-ES_tradnl"/>
        </w:rPr>
      </w:pPr>
      <w:r w:rsidRPr="00CD3501">
        <w:rPr>
          <w:rFonts w:ascii="Cambria" w:hAnsi="Cambria"/>
          <w:lang w:val="es-ES_tradnl"/>
        </w:rPr>
        <w:t xml:space="preserve">Con respecto al </w:t>
      </w:r>
      <w:r w:rsidR="00D22B34" w:rsidRPr="00CD3501">
        <w:rPr>
          <w:rFonts w:ascii="Cambria" w:hAnsi="Cambria"/>
          <w:lang w:val="es-ES_tradnl"/>
        </w:rPr>
        <w:t>principio de igualdad</w:t>
      </w:r>
      <w:r w:rsidR="00920191" w:rsidRPr="00CD3501">
        <w:rPr>
          <w:rFonts w:ascii="Cambria" w:hAnsi="Cambria"/>
          <w:lang w:val="es-ES_tradnl"/>
        </w:rPr>
        <w:t xml:space="preserve"> </w:t>
      </w:r>
      <w:r w:rsidR="00633A4D" w:rsidRPr="00CD3501">
        <w:rPr>
          <w:rFonts w:ascii="Cambria" w:hAnsi="Cambria"/>
          <w:lang w:val="es-ES_tradnl"/>
        </w:rPr>
        <w:t>y</w:t>
      </w:r>
      <w:r w:rsidR="00AD1B3F" w:rsidRPr="00CD3501">
        <w:rPr>
          <w:rFonts w:ascii="Cambria" w:hAnsi="Cambria"/>
          <w:lang w:val="es-ES_tradnl"/>
        </w:rPr>
        <w:t xml:space="preserve"> </w:t>
      </w:r>
      <w:r w:rsidR="000A3FB7" w:rsidRPr="00CD3501">
        <w:rPr>
          <w:rFonts w:ascii="Cambria" w:hAnsi="Cambria"/>
          <w:lang w:val="es-ES_tradnl"/>
        </w:rPr>
        <w:t>no discriminación</w:t>
      </w:r>
      <w:r w:rsidR="00AD1B3F" w:rsidRPr="00CD3501">
        <w:rPr>
          <w:rFonts w:ascii="Cambria" w:hAnsi="Cambria"/>
          <w:lang w:val="es-ES_tradnl"/>
        </w:rPr>
        <w:t>,</w:t>
      </w:r>
      <w:r w:rsidR="00920191" w:rsidRPr="00CD3501">
        <w:rPr>
          <w:rFonts w:ascii="Cambria" w:hAnsi="Cambria"/>
          <w:lang w:val="es-ES_tradnl"/>
        </w:rPr>
        <w:t xml:space="preserve"> </w:t>
      </w:r>
      <w:r w:rsidR="00497B9A" w:rsidRPr="00CD3501">
        <w:rPr>
          <w:rFonts w:ascii="Cambria" w:hAnsi="Cambria"/>
          <w:lang w:val="es-ES_tradnl"/>
        </w:rPr>
        <w:t>la Comisión</w:t>
      </w:r>
      <w:r w:rsidR="00920191" w:rsidRPr="00CD3501">
        <w:rPr>
          <w:rFonts w:ascii="Cambria" w:hAnsi="Cambria"/>
          <w:lang w:val="es-ES_tradnl"/>
        </w:rPr>
        <w:t xml:space="preserve"> </w:t>
      </w:r>
      <w:r w:rsidRPr="00CD3501">
        <w:rPr>
          <w:rFonts w:ascii="Cambria" w:hAnsi="Cambria"/>
          <w:lang w:val="es-ES_tradnl"/>
        </w:rPr>
        <w:t>y</w:t>
      </w:r>
      <w:r w:rsidR="00920191" w:rsidRPr="00CD3501">
        <w:rPr>
          <w:rFonts w:ascii="Cambria" w:hAnsi="Cambria"/>
          <w:lang w:val="es-ES_tradnl"/>
        </w:rPr>
        <w:t xml:space="preserve"> </w:t>
      </w:r>
      <w:r w:rsidRPr="00CD3501">
        <w:rPr>
          <w:rFonts w:ascii="Cambria" w:hAnsi="Cambria"/>
          <w:lang w:val="es-ES_tradnl"/>
        </w:rPr>
        <w:t>la Corte</w:t>
      </w:r>
      <w:r w:rsidR="00920191" w:rsidRPr="00CD3501">
        <w:rPr>
          <w:rFonts w:ascii="Cambria" w:hAnsi="Cambria"/>
          <w:lang w:val="es-ES_tradnl"/>
        </w:rPr>
        <w:t xml:space="preserve"> ha</w:t>
      </w:r>
      <w:r w:rsidRPr="00CD3501">
        <w:rPr>
          <w:rFonts w:ascii="Cambria" w:hAnsi="Cambria"/>
          <w:lang w:val="es-ES_tradnl"/>
        </w:rPr>
        <w:t xml:space="preserve">n afirmado que constituye un pilar </w:t>
      </w:r>
      <w:r w:rsidR="00920191" w:rsidRPr="00CD3501">
        <w:rPr>
          <w:rFonts w:ascii="Cambria" w:hAnsi="Cambria"/>
          <w:lang w:val="es-ES_tradnl"/>
        </w:rPr>
        <w:t xml:space="preserve">central </w:t>
      </w:r>
      <w:r w:rsidRPr="00CD3501">
        <w:rPr>
          <w:rFonts w:ascii="Cambria" w:hAnsi="Cambria"/>
          <w:lang w:val="es-ES_tradnl"/>
        </w:rPr>
        <w:t>y</w:t>
      </w:r>
      <w:r w:rsidR="00920191" w:rsidRPr="00CD3501">
        <w:rPr>
          <w:rFonts w:ascii="Cambria" w:hAnsi="Cambria"/>
          <w:lang w:val="es-ES_tradnl"/>
        </w:rPr>
        <w:t xml:space="preserve"> fundamental </w:t>
      </w:r>
      <w:r w:rsidRPr="00CD3501">
        <w:rPr>
          <w:rFonts w:ascii="Cambria" w:hAnsi="Cambria"/>
          <w:lang w:val="es-ES_tradnl"/>
        </w:rPr>
        <w:t>del sistema i</w:t>
      </w:r>
      <w:r w:rsidR="00920191" w:rsidRPr="00CD3501">
        <w:rPr>
          <w:rFonts w:ascii="Cambria" w:hAnsi="Cambria"/>
          <w:lang w:val="es-ES_tradnl"/>
        </w:rPr>
        <w:t>nter</w:t>
      </w:r>
      <w:r w:rsidRPr="00CD3501">
        <w:rPr>
          <w:rFonts w:ascii="Cambria" w:hAnsi="Cambria"/>
          <w:lang w:val="es-ES_tradnl"/>
        </w:rPr>
        <w:t>a</w:t>
      </w:r>
      <w:r w:rsidR="00920191" w:rsidRPr="00CD3501">
        <w:rPr>
          <w:rFonts w:ascii="Cambria" w:hAnsi="Cambria"/>
          <w:lang w:val="es-ES_tradnl"/>
        </w:rPr>
        <w:t>merican</w:t>
      </w:r>
      <w:r w:rsidRPr="00CD3501">
        <w:rPr>
          <w:rFonts w:ascii="Cambria" w:hAnsi="Cambria"/>
          <w:lang w:val="es-ES_tradnl"/>
        </w:rPr>
        <w:t>o de derechos</w:t>
      </w:r>
      <w:r w:rsidR="00920191" w:rsidRPr="00CD3501">
        <w:rPr>
          <w:rFonts w:ascii="Cambria" w:hAnsi="Cambria"/>
          <w:lang w:val="es-ES_tradnl"/>
        </w:rPr>
        <w:t xml:space="preserve"> human</w:t>
      </w:r>
      <w:r w:rsidRPr="00CD3501">
        <w:rPr>
          <w:rFonts w:ascii="Cambria" w:hAnsi="Cambria"/>
          <w:lang w:val="es-ES_tradnl"/>
        </w:rPr>
        <w:t>os</w:t>
      </w:r>
      <w:r w:rsidR="00920191" w:rsidRPr="00CD3501">
        <w:rPr>
          <w:rFonts w:ascii="Cambria" w:hAnsi="Cambria"/>
          <w:lang w:val="es-ES_tradnl"/>
        </w:rPr>
        <w:t xml:space="preserve">. </w:t>
      </w:r>
      <w:r w:rsidRPr="00CD3501">
        <w:rPr>
          <w:rFonts w:ascii="Cambria" w:hAnsi="Cambria"/>
          <w:lang w:val="es-ES_tradnl"/>
        </w:rPr>
        <w:t xml:space="preserve">La noción de igualdad se desprende directamente de la unidad de naturaleza del género humano y es inseparable de la dignidad esencial de la persona, frente a la cual es incompatible toda situación que, por considerar superior a </w:t>
      </w:r>
      <w:r w:rsidRPr="00CD3501">
        <w:rPr>
          <w:rFonts w:ascii="Cambria" w:hAnsi="Cambria"/>
          <w:lang w:val="es-ES_tradnl"/>
        </w:rPr>
        <w:lastRenderedPageBreak/>
        <w:t>un determinado grupo, conduzca a tratarlo con privilegio o que, a la inversa, por considerarlo inferior, lo trate con hostilidad o de cualquier forma lo discrimine del goce de derechos que sí se reconocen a quienes no se consideran incursos en tal situación</w:t>
      </w:r>
      <w:r w:rsidR="00920191" w:rsidRPr="00CD3501">
        <w:rPr>
          <w:rFonts w:ascii="Cambria" w:hAnsi="Cambria"/>
          <w:lang w:val="es-ES_tradnl"/>
        </w:rPr>
        <w:t xml:space="preserve">. </w:t>
      </w:r>
      <w:r w:rsidRPr="00CD3501">
        <w:rPr>
          <w:rFonts w:ascii="Cambria" w:hAnsi="Cambria"/>
          <w:lang w:val="es-ES_tradnl"/>
        </w:rPr>
        <w:t xml:space="preserve">La jurisprudencia de la Corte ha indicado que, en la etapa actual de la evolución del derecho internacional, el principio fundamental de igualdad y no discriminación ha ingresado en el dominio del </w:t>
      </w:r>
      <w:r w:rsidRPr="00CD3501">
        <w:rPr>
          <w:rFonts w:ascii="Cambria" w:hAnsi="Cambria"/>
          <w:i/>
          <w:lang w:val="es-ES_tradnl"/>
        </w:rPr>
        <w:t>jus cogens</w:t>
      </w:r>
      <w:r w:rsidRPr="00CD3501">
        <w:rPr>
          <w:rFonts w:ascii="Cambria" w:hAnsi="Cambria"/>
          <w:lang w:val="es-ES_tradnl"/>
        </w:rPr>
        <w:t>. Este principio, sobre el cual descansa el andamiaje jurídico del orden público nacional e internacional, permea todo el ordenamiento jurídico</w:t>
      </w:r>
      <w:r w:rsidR="00920191" w:rsidRPr="00CD3501">
        <w:rPr>
          <w:rStyle w:val="FootnoteReference"/>
          <w:rFonts w:ascii="Cambria" w:hAnsi="Cambria"/>
          <w:lang w:val="es-ES_tradnl"/>
        </w:rPr>
        <w:footnoteReference w:id="28"/>
      </w:r>
      <w:r w:rsidRPr="00CD3501">
        <w:rPr>
          <w:rFonts w:ascii="Cambria" w:hAnsi="Cambria"/>
          <w:lang w:val="es-ES_tradnl"/>
        </w:rPr>
        <w:t>.</w:t>
      </w:r>
    </w:p>
    <w:p w14:paraId="314B69BB" w14:textId="77777777" w:rsidR="006A2140" w:rsidRPr="00CD3501" w:rsidRDefault="006A2140" w:rsidP="006A2140">
      <w:pPr>
        <w:pStyle w:val="parrafos"/>
        <w:tabs>
          <w:tab w:val="clear" w:pos="360"/>
        </w:tabs>
        <w:rPr>
          <w:rFonts w:ascii="Times New Roman" w:hAnsi="Times New Roman"/>
          <w:sz w:val="24"/>
          <w:szCs w:val="24"/>
          <w:lang w:val="es-ES_tradnl"/>
        </w:rPr>
      </w:pPr>
    </w:p>
    <w:p w14:paraId="2934EF9D" w14:textId="4DB28961" w:rsidR="00920191" w:rsidRPr="00CD3501" w:rsidRDefault="003B517A" w:rsidP="00C12E55">
      <w:pPr>
        <w:pStyle w:val="parrafos"/>
        <w:numPr>
          <w:ilvl w:val="0"/>
          <w:numId w:val="57"/>
        </w:numPr>
        <w:tabs>
          <w:tab w:val="clear" w:pos="360"/>
          <w:tab w:val="clear" w:pos="1080"/>
        </w:tabs>
        <w:ind w:left="0" w:firstLine="0"/>
        <w:rPr>
          <w:rFonts w:ascii="Times New Roman" w:hAnsi="Times New Roman"/>
          <w:sz w:val="24"/>
          <w:szCs w:val="24"/>
          <w:lang w:val="es-ES_tradnl"/>
        </w:rPr>
      </w:pPr>
      <w:r w:rsidRPr="00CD3501">
        <w:rPr>
          <w:rFonts w:ascii="Cambria" w:hAnsi="Cambria"/>
          <w:lang w:val="es-ES_tradnl"/>
        </w:rPr>
        <w:t xml:space="preserve">El </w:t>
      </w:r>
      <w:r w:rsidR="00D22B34" w:rsidRPr="00CD3501">
        <w:rPr>
          <w:rFonts w:ascii="Cambria" w:hAnsi="Cambria"/>
          <w:lang w:val="es-ES_tradnl"/>
        </w:rPr>
        <w:t>principio de igualdad</w:t>
      </w:r>
      <w:r w:rsidR="00920191" w:rsidRPr="00CD3501">
        <w:rPr>
          <w:rFonts w:ascii="Cambria" w:hAnsi="Cambria"/>
          <w:lang w:val="es-ES_tradnl"/>
        </w:rPr>
        <w:t xml:space="preserve"> </w:t>
      </w:r>
      <w:r w:rsidR="00633A4D" w:rsidRPr="00CD3501">
        <w:rPr>
          <w:rFonts w:ascii="Cambria" w:hAnsi="Cambria"/>
          <w:lang w:val="es-ES_tradnl"/>
        </w:rPr>
        <w:t>y</w:t>
      </w:r>
      <w:r w:rsidR="00920191" w:rsidRPr="00CD3501">
        <w:rPr>
          <w:rFonts w:ascii="Cambria" w:hAnsi="Cambria"/>
          <w:lang w:val="es-ES_tradnl"/>
        </w:rPr>
        <w:t xml:space="preserve"> </w:t>
      </w:r>
      <w:r w:rsidR="000A3FB7" w:rsidRPr="00CD3501">
        <w:rPr>
          <w:rFonts w:ascii="Cambria" w:hAnsi="Cambria"/>
          <w:lang w:val="es-ES_tradnl"/>
        </w:rPr>
        <w:t>no discriminación</w:t>
      </w:r>
      <w:r w:rsidR="00920191" w:rsidRPr="00CD3501">
        <w:rPr>
          <w:rFonts w:ascii="Cambria" w:hAnsi="Cambria"/>
          <w:lang w:val="es-ES_tradnl"/>
        </w:rPr>
        <w:t xml:space="preserve"> </w:t>
      </w:r>
      <w:r w:rsidRPr="00CD3501">
        <w:rPr>
          <w:rFonts w:ascii="Cambria" w:hAnsi="Cambria"/>
          <w:lang w:val="es-ES_tradnl"/>
        </w:rPr>
        <w:t>abarca dos concepciones</w:t>
      </w:r>
      <w:r w:rsidR="00920191" w:rsidRPr="00CD3501">
        <w:rPr>
          <w:rFonts w:ascii="Cambria" w:hAnsi="Cambria"/>
          <w:lang w:val="es-ES_tradnl"/>
        </w:rPr>
        <w:t>: “</w:t>
      </w:r>
      <w:r w:rsidRPr="00CD3501">
        <w:rPr>
          <w:rFonts w:ascii="Cambria" w:hAnsi="Cambria"/>
          <w:lang w:val="es-ES_tradnl"/>
        </w:rPr>
        <w:t>una concepción negativa relacionada con la prohibición de diferencias de trato arbitrarias, y una concepción positiva relacionada con la obligación de los Estados de crear condiciones de igualdad real frente a grupos que han sido históricamente excluidos o que se encuentran en mayor riesgo de ser discriminados</w:t>
      </w:r>
      <w:r w:rsidR="00920191" w:rsidRPr="00CD3501">
        <w:rPr>
          <w:rFonts w:ascii="Cambria" w:hAnsi="Cambria"/>
          <w:lang w:val="es-ES_tradnl"/>
        </w:rPr>
        <w:t>”</w:t>
      </w:r>
      <w:r w:rsidR="00920191" w:rsidRPr="00CD3501">
        <w:rPr>
          <w:rStyle w:val="FootnoteReference"/>
          <w:rFonts w:ascii="Cambria" w:hAnsi="Cambria"/>
          <w:lang w:val="es-ES_tradnl"/>
        </w:rPr>
        <w:footnoteReference w:id="29"/>
      </w:r>
      <w:r w:rsidRPr="00CD3501">
        <w:rPr>
          <w:rFonts w:ascii="Cambria" w:hAnsi="Cambria"/>
          <w:lang w:val="es-ES_tradnl"/>
        </w:rPr>
        <w:t>.</w:t>
      </w:r>
    </w:p>
    <w:p w14:paraId="4B0178A1" w14:textId="77777777" w:rsidR="00E30D79" w:rsidRPr="00CD3501" w:rsidRDefault="00E30D79" w:rsidP="00A167CF">
      <w:pPr>
        <w:pStyle w:val="parrafos"/>
        <w:tabs>
          <w:tab w:val="clear" w:pos="360"/>
        </w:tabs>
        <w:rPr>
          <w:rFonts w:ascii="Times New Roman" w:hAnsi="Times New Roman"/>
          <w:sz w:val="24"/>
          <w:szCs w:val="24"/>
          <w:lang w:val="es-ES_tradnl"/>
        </w:rPr>
      </w:pPr>
    </w:p>
    <w:p w14:paraId="2000CB60" w14:textId="464D4C7C" w:rsidR="00920191" w:rsidRPr="00CD3501" w:rsidRDefault="003B517A" w:rsidP="00C12E55">
      <w:pPr>
        <w:pStyle w:val="parrafos"/>
        <w:numPr>
          <w:ilvl w:val="0"/>
          <w:numId w:val="57"/>
        </w:numPr>
        <w:tabs>
          <w:tab w:val="clear" w:pos="360"/>
          <w:tab w:val="clear" w:pos="1080"/>
        </w:tabs>
        <w:ind w:left="0" w:firstLine="0"/>
        <w:rPr>
          <w:rFonts w:ascii="Times New Roman" w:hAnsi="Times New Roman"/>
          <w:sz w:val="24"/>
          <w:szCs w:val="24"/>
          <w:lang w:val="es-ES_tradnl"/>
        </w:rPr>
      </w:pPr>
      <w:r w:rsidRPr="00CD3501">
        <w:rPr>
          <w:rFonts w:ascii="Cambria" w:hAnsi="Cambria"/>
          <w:lang w:val="es-ES_tradnl"/>
        </w:rPr>
        <w:t xml:space="preserve">Con respecto a la primera concepción, que es pertinente para el caso de autos, </w:t>
      </w:r>
      <w:r w:rsidR="00BA686D" w:rsidRPr="00CD3501">
        <w:rPr>
          <w:rFonts w:ascii="Cambria" w:hAnsi="Cambria"/>
          <w:lang w:val="es-ES_tradnl"/>
        </w:rPr>
        <w:t xml:space="preserve">la Corte Interamericana señaló, </w:t>
      </w:r>
      <w:r w:rsidRPr="00CD3501">
        <w:rPr>
          <w:rFonts w:ascii="Cambria" w:hAnsi="Cambria"/>
          <w:lang w:val="es-ES_tradnl"/>
        </w:rPr>
        <w:t>remontándose a los orígenes de la jurisprudencia en la materia, que no todo trato diferenciado es discriminatorio y que es necesario determinar si se justifica de manera objetiva y razonable</w:t>
      </w:r>
      <w:r w:rsidR="00920191" w:rsidRPr="00CD3501">
        <w:rPr>
          <w:rStyle w:val="FootnoteReference"/>
          <w:rFonts w:ascii="Cambria" w:hAnsi="Cambria"/>
          <w:lang w:val="es-ES_tradnl"/>
        </w:rPr>
        <w:footnoteReference w:id="30"/>
      </w:r>
      <w:r w:rsidRPr="00CD3501">
        <w:rPr>
          <w:rFonts w:ascii="Cambria" w:hAnsi="Cambria"/>
          <w:lang w:val="es-ES_tradnl"/>
        </w:rPr>
        <w:t>. Este análisis es especialmente estricto cuando se refier</w:t>
      </w:r>
      <w:r w:rsidR="00BA686D" w:rsidRPr="00CD3501">
        <w:rPr>
          <w:rFonts w:ascii="Cambria" w:hAnsi="Cambria"/>
          <w:lang w:val="es-ES_tradnl"/>
        </w:rPr>
        <w:t>e</w:t>
      </w:r>
      <w:r w:rsidRPr="00CD3501">
        <w:rPr>
          <w:rFonts w:ascii="Cambria" w:hAnsi="Cambria"/>
          <w:lang w:val="es-ES_tradnl"/>
        </w:rPr>
        <w:t xml:space="preserve"> a una diferencia </w:t>
      </w:r>
      <w:r w:rsidR="00060D58" w:rsidRPr="00CD3501">
        <w:rPr>
          <w:rFonts w:ascii="Cambria" w:hAnsi="Cambria"/>
          <w:lang w:val="es-ES_tradnl"/>
        </w:rPr>
        <w:t>de trato</w:t>
      </w:r>
      <w:r w:rsidRPr="00CD3501">
        <w:rPr>
          <w:rFonts w:ascii="Cambria" w:hAnsi="Cambria"/>
          <w:lang w:val="es-ES_tradnl"/>
        </w:rPr>
        <w:t xml:space="preserve"> basada en una de las categorías establecidas en el artículo </w:t>
      </w:r>
      <w:r w:rsidR="00920191" w:rsidRPr="00CD3501">
        <w:rPr>
          <w:rFonts w:ascii="Cambria" w:hAnsi="Cambria"/>
          <w:lang w:val="es-ES_tradnl"/>
        </w:rPr>
        <w:t xml:space="preserve">1.1 </w:t>
      </w:r>
      <w:r w:rsidRPr="00CD3501">
        <w:rPr>
          <w:rFonts w:ascii="Cambria" w:hAnsi="Cambria"/>
          <w:lang w:val="es-ES_tradnl"/>
        </w:rPr>
        <w:t>de</w:t>
      </w:r>
      <w:r w:rsidR="00920191" w:rsidRPr="00CD3501">
        <w:rPr>
          <w:rFonts w:ascii="Cambria" w:hAnsi="Cambria"/>
          <w:lang w:val="es-ES_tradnl"/>
        </w:rPr>
        <w:t xml:space="preserve"> </w:t>
      </w:r>
      <w:r w:rsidR="00E33D82" w:rsidRPr="00CD3501">
        <w:rPr>
          <w:rFonts w:ascii="Cambria" w:hAnsi="Cambria"/>
          <w:lang w:val="es-ES_tradnl"/>
        </w:rPr>
        <w:t>la Convención</w:t>
      </w:r>
      <w:r w:rsidR="00920191" w:rsidRPr="00CD3501">
        <w:rPr>
          <w:rFonts w:ascii="Cambria" w:hAnsi="Cambria"/>
          <w:lang w:val="es-ES_tradnl"/>
        </w:rPr>
        <w:t>.</w:t>
      </w:r>
    </w:p>
    <w:p w14:paraId="4735B359" w14:textId="77777777" w:rsidR="009606E5" w:rsidRPr="00CD3501" w:rsidRDefault="009606E5" w:rsidP="00A167CF">
      <w:pPr>
        <w:pStyle w:val="parrafos"/>
        <w:tabs>
          <w:tab w:val="clear" w:pos="360"/>
        </w:tabs>
        <w:rPr>
          <w:lang w:val="es-ES_tradnl"/>
        </w:rPr>
      </w:pPr>
    </w:p>
    <w:p w14:paraId="3D355AC4" w14:textId="4CBB178B" w:rsidR="00920191" w:rsidRPr="00CD3501" w:rsidRDefault="003B517A" w:rsidP="00C12E55">
      <w:pPr>
        <w:pStyle w:val="parrafos"/>
        <w:numPr>
          <w:ilvl w:val="0"/>
          <w:numId w:val="57"/>
        </w:numPr>
        <w:tabs>
          <w:tab w:val="clear" w:pos="360"/>
          <w:tab w:val="clear" w:pos="1080"/>
        </w:tabs>
        <w:ind w:left="0" w:firstLine="0"/>
        <w:rPr>
          <w:rFonts w:ascii="Times New Roman" w:hAnsi="Times New Roman"/>
          <w:sz w:val="24"/>
          <w:szCs w:val="24"/>
          <w:lang w:val="es-ES_tradnl"/>
        </w:rPr>
      </w:pPr>
      <w:r w:rsidRPr="00CD3501">
        <w:rPr>
          <w:rFonts w:ascii="Cambria" w:hAnsi="Cambria"/>
          <w:lang w:val="es-ES_tradnl"/>
        </w:rPr>
        <w:t xml:space="preserve">En lo que </w:t>
      </w:r>
      <w:r w:rsidR="00BA686D" w:rsidRPr="00CD3501">
        <w:rPr>
          <w:rFonts w:ascii="Cambria" w:hAnsi="Cambria"/>
          <w:lang w:val="es-ES_tradnl"/>
        </w:rPr>
        <w:t xml:space="preserve">concierne </w:t>
      </w:r>
      <w:r w:rsidRPr="00CD3501">
        <w:rPr>
          <w:rFonts w:ascii="Cambria" w:hAnsi="Cambria"/>
          <w:lang w:val="es-ES_tradnl"/>
        </w:rPr>
        <w:t>a la</w:t>
      </w:r>
      <w:r w:rsidR="00492AE4" w:rsidRPr="00CD3501">
        <w:rPr>
          <w:rFonts w:ascii="Cambria" w:hAnsi="Cambria"/>
          <w:lang w:val="es-ES_tradnl"/>
        </w:rPr>
        <w:t xml:space="preserve"> </w:t>
      </w:r>
      <w:r w:rsidR="000A3FB7" w:rsidRPr="00CD3501">
        <w:rPr>
          <w:rFonts w:ascii="Cambria" w:hAnsi="Cambria"/>
          <w:lang w:val="es-ES_tradnl"/>
        </w:rPr>
        <w:t>orientación sexual</w:t>
      </w:r>
      <w:r w:rsidR="00920191" w:rsidRPr="00CD3501">
        <w:rPr>
          <w:rFonts w:ascii="Cambria" w:hAnsi="Cambria"/>
          <w:lang w:val="es-ES_tradnl"/>
        </w:rPr>
        <w:t xml:space="preserve">, </w:t>
      </w:r>
      <w:r w:rsidR="00C31C07" w:rsidRPr="00CD3501">
        <w:rPr>
          <w:rFonts w:ascii="Cambria" w:hAnsi="Cambria"/>
          <w:lang w:val="es-ES_tradnl"/>
        </w:rPr>
        <w:t xml:space="preserve">desde el </w:t>
      </w:r>
      <w:r w:rsidR="00920191" w:rsidRPr="00CD3501">
        <w:rPr>
          <w:rFonts w:ascii="Cambria" w:hAnsi="Cambria"/>
          <w:lang w:val="es-ES_tradnl"/>
        </w:rPr>
        <w:t>cas</w:t>
      </w:r>
      <w:r w:rsidR="00C31C07" w:rsidRPr="00CD3501">
        <w:rPr>
          <w:rFonts w:ascii="Cambria" w:hAnsi="Cambria"/>
          <w:lang w:val="es-ES_tradnl"/>
        </w:rPr>
        <w:t xml:space="preserve">o </w:t>
      </w:r>
      <w:r w:rsidR="00920191" w:rsidRPr="00CD3501">
        <w:rPr>
          <w:rFonts w:ascii="Cambria" w:hAnsi="Cambria"/>
          <w:i/>
          <w:lang w:val="es-ES_tradnl"/>
        </w:rPr>
        <w:t xml:space="preserve">Atala Riffo </w:t>
      </w:r>
      <w:r w:rsidR="00C31C07" w:rsidRPr="00CD3501">
        <w:rPr>
          <w:rFonts w:ascii="Cambria" w:hAnsi="Cambria"/>
          <w:i/>
          <w:lang w:val="es-ES_tradnl"/>
        </w:rPr>
        <w:t xml:space="preserve">y niñas </w:t>
      </w:r>
      <w:r w:rsidR="00BA686D" w:rsidRPr="00CD3501">
        <w:rPr>
          <w:rFonts w:ascii="Cambria" w:hAnsi="Cambria"/>
          <w:i/>
          <w:lang w:val="es-ES_tradnl"/>
        </w:rPr>
        <w:t>contra</w:t>
      </w:r>
      <w:r w:rsidR="00920191" w:rsidRPr="00CD3501">
        <w:rPr>
          <w:rFonts w:ascii="Cambria" w:hAnsi="Cambria"/>
          <w:i/>
          <w:lang w:val="es-ES_tradnl"/>
        </w:rPr>
        <w:t xml:space="preserve"> Chile</w:t>
      </w:r>
      <w:r w:rsidR="00920191" w:rsidRPr="00CD3501">
        <w:rPr>
          <w:rFonts w:ascii="Cambria" w:hAnsi="Cambria"/>
          <w:lang w:val="es-ES_tradnl"/>
        </w:rPr>
        <w:t xml:space="preserve"> </w:t>
      </w:r>
      <w:r w:rsidR="00C31C07" w:rsidRPr="00CD3501">
        <w:rPr>
          <w:rFonts w:ascii="Cambria" w:hAnsi="Cambria"/>
          <w:lang w:val="es-ES_tradnl"/>
        </w:rPr>
        <w:t>y en casos subsiguientes,</w:t>
      </w:r>
      <w:r w:rsidR="00920191" w:rsidRPr="00CD3501">
        <w:rPr>
          <w:rFonts w:ascii="Cambria" w:hAnsi="Cambria"/>
          <w:lang w:val="es-ES_tradnl"/>
        </w:rPr>
        <w:t xml:space="preserve"> </w:t>
      </w:r>
      <w:r w:rsidR="00265CC9" w:rsidRPr="00CD3501">
        <w:rPr>
          <w:rFonts w:ascii="Cambria" w:hAnsi="Cambria"/>
          <w:lang w:val="es-ES_tradnl"/>
        </w:rPr>
        <w:t>la Corte Interamericana</w:t>
      </w:r>
      <w:r w:rsidR="00920191" w:rsidRPr="00CD3501">
        <w:rPr>
          <w:rFonts w:ascii="Cambria" w:hAnsi="Cambria"/>
          <w:lang w:val="es-ES_tradnl"/>
        </w:rPr>
        <w:t xml:space="preserve"> </w:t>
      </w:r>
      <w:r w:rsidR="00C31C07" w:rsidRPr="00CD3501">
        <w:rPr>
          <w:rFonts w:ascii="Cambria" w:hAnsi="Cambria"/>
          <w:lang w:val="es-ES_tradnl"/>
        </w:rPr>
        <w:t xml:space="preserve">aclaró lo que se entiende por la frase </w:t>
      </w:r>
      <w:r w:rsidR="00920191" w:rsidRPr="00CD3501">
        <w:rPr>
          <w:rFonts w:ascii="Cambria" w:hAnsi="Cambria"/>
          <w:lang w:val="es-ES_tradnl"/>
        </w:rPr>
        <w:t>“</w:t>
      </w:r>
      <w:r w:rsidR="00C31C07" w:rsidRPr="00CD3501">
        <w:rPr>
          <w:rFonts w:ascii="Cambria" w:hAnsi="Cambria"/>
          <w:lang w:val="es-ES_tradnl"/>
        </w:rPr>
        <w:t xml:space="preserve">cualquier otra condición </w:t>
      </w:r>
      <w:r w:rsidR="00920191" w:rsidRPr="00CD3501">
        <w:rPr>
          <w:rFonts w:ascii="Cambria" w:hAnsi="Cambria"/>
          <w:lang w:val="es-ES_tradnl"/>
        </w:rPr>
        <w:t>social”</w:t>
      </w:r>
      <w:r w:rsidR="00C31C07" w:rsidRPr="00CD3501">
        <w:rPr>
          <w:rFonts w:ascii="Cambria" w:hAnsi="Cambria"/>
          <w:lang w:val="es-ES_tradnl"/>
        </w:rPr>
        <w:t xml:space="preserve"> del artículo 1.1 de la Convención</w:t>
      </w:r>
      <w:r w:rsidR="00920191" w:rsidRPr="00CD3501">
        <w:rPr>
          <w:rStyle w:val="FootnoteReference"/>
          <w:rFonts w:ascii="Cambria" w:hAnsi="Cambria"/>
          <w:lang w:val="es-ES_tradnl"/>
        </w:rPr>
        <w:footnoteReference w:id="31"/>
      </w:r>
      <w:r w:rsidR="00C31C07" w:rsidRPr="00CD3501">
        <w:rPr>
          <w:rFonts w:ascii="Cambria" w:hAnsi="Cambria"/>
          <w:lang w:val="es-ES_tradnl"/>
        </w:rPr>
        <w:t>.</w:t>
      </w:r>
      <w:r w:rsidR="00920191" w:rsidRPr="00CD3501">
        <w:rPr>
          <w:rFonts w:ascii="Cambria" w:hAnsi="Cambria"/>
          <w:lang w:val="es-ES_tradnl"/>
        </w:rPr>
        <w:t xml:space="preserve"> </w:t>
      </w:r>
      <w:r w:rsidR="00C31C07" w:rsidRPr="00CD3501">
        <w:rPr>
          <w:rFonts w:ascii="Cambria" w:hAnsi="Cambria"/>
          <w:lang w:val="es-ES_tradnl"/>
        </w:rPr>
        <w:t xml:space="preserve">Según la </w:t>
      </w:r>
      <w:r w:rsidR="00265CC9" w:rsidRPr="00CD3501">
        <w:rPr>
          <w:rFonts w:ascii="Cambria" w:hAnsi="Cambria"/>
          <w:lang w:val="es-ES_tradnl"/>
        </w:rPr>
        <w:t>Corte</w:t>
      </w:r>
      <w:r w:rsidR="00920191" w:rsidRPr="00CD3501">
        <w:rPr>
          <w:rFonts w:ascii="Cambria" w:hAnsi="Cambria"/>
          <w:lang w:val="es-ES_tradnl"/>
        </w:rPr>
        <w:t>:</w:t>
      </w:r>
    </w:p>
    <w:p w14:paraId="42E7D9E2" w14:textId="77777777" w:rsidR="00920191" w:rsidRPr="00CD3501" w:rsidRDefault="00920191" w:rsidP="00C31C07">
      <w:pPr>
        <w:rPr>
          <w:rFonts w:asciiTheme="majorHAnsi" w:hAnsiTheme="majorHAnsi"/>
          <w:sz w:val="20"/>
          <w:szCs w:val="20"/>
          <w:lang w:val="es-ES_tradnl"/>
        </w:rPr>
      </w:pPr>
    </w:p>
    <w:p w14:paraId="539E9448" w14:textId="3BBC7C2F" w:rsidR="00920191" w:rsidRPr="00CD3501" w:rsidRDefault="00C31C07"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t>La Corte Interamericana ya ha establecido que la orientación sexual y la identidad de género de las personas son categorías protegidas por la Convención. Por ello, está proscrita por la Convención cualquier norma, acto o práctica discriminatoria basada en la orientación sexual de la persona. En consecuencia, ninguna norma, decisión o práctica de derecho interno, sea por parte de autoridades estatales o por particulares, pueden disminuir o restringir, de modo alguno, los derechos de una persona a partir de su orientación sexual</w:t>
      </w:r>
      <w:r w:rsidR="00920191" w:rsidRPr="00CD3501">
        <w:rPr>
          <w:rFonts w:asciiTheme="majorHAnsi" w:hAnsiTheme="majorHAnsi"/>
          <w:sz w:val="18"/>
          <w:szCs w:val="18"/>
          <w:vertAlign w:val="superscript"/>
          <w:lang w:val="es-ES_tradnl"/>
        </w:rPr>
        <w:footnoteReference w:id="32"/>
      </w:r>
      <w:r w:rsidRPr="00CD3501">
        <w:rPr>
          <w:rFonts w:asciiTheme="majorHAnsi" w:hAnsiTheme="majorHAnsi"/>
          <w:sz w:val="18"/>
          <w:szCs w:val="18"/>
          <w:lang w:val="es-ES_tradnl"/>
        </w:rPr>
        <w:t>.</w:t>
      </w:r>
    </w:p>
    <w:p w14:paraId="05AB7E8D" w14:textId="77777777" w:rsidR="00920191" w:rsidRPr="00CD3501" w:rsidRDefault="00920191"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p>
    <w:p w14:paraId="1F22AC62" w14:textId="449B4991" w:rsidR="00920191" w:rsidRPr="00CD3501" w:rsidRDefault="00C31C07"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t>En ese sentido, el instrumento interamericano proscribe la discriminación, en general, incluyendo en ello categorías como las de la orientación sexual la que no puede servir de sustento para negar o restringir ninguno de los derechos establecidos en la Convención. Lo anterior sería contrario a lo establecido en el artículo 1.1 de la Convención Americana</w:t>
      </w:r>
      <w:r w:rsidR="00920191" w:rsidRPr="00CD3501">
        <w:rPr>
          <w:rFonts w:asciiTheme="majorHAnsi" w:hAnsiTheme="majorHAnsi"/>
          <w:sz w:val="18"/>
          <w:szCs w:val="18"/>
          <w:vertAlign w:val="superscript"/>
          <w:lang w:val="es-ES_tradnl"/>
        </w:rPr>
        <w:footnoteReference w:id="33"/>
      </w:r>
      <w:r w:rsidRPr="00CD3501">
        <w:rPr>
          <w:rFonts w:asciiTheme="majorHAnsi" w:hAnsiTheme="majorHAnsi"/>
          <w:sz w:val="18"/>
          <w:szCs w:val="18"/>
          <w:lang w:val="es-ES_tradnl"/>
        </w:rPr>
        <w:t>.</w:t>
      </w:r>
    </w:p>
    <w:p w14:paraId="03E7724C" w14:textId="77777777" w:rsidR="005A6EFD" w:rsidRPr="00CD3501" w:rsidRDefault="005A6EFD" w:rsidP="00A167CF">
      <w:pPr>
        <w:pStyle w:val="parrafos"/>
        <w:tabs>
          <w:tab w:val="clear" w:pos="360"/>
        </w:tabs>
        <w:rPr>
          <w:rFonts w:ascii="Cambria" w:hAnsi="Cambria"/>
          <w:lang w:val="es-ES_tradnl"/>
        </w:rPr>
      </w:pPr>
    </w:p>
    <w:p w14:paraId="22EC08CD" w14:textId="50BFF610" w:rsidR="005A6EFD" w:rsidRPr="00CD3501" w:rsidRDefault="00E67CCB"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Asimismo</w:t>
      </w:r>
      <w:r w:rsidR="005A6EFD" w:rsidRPr="00CD3501">
        <w:rPr>
          <w:rFonts w:ascii="Cambria" w:hAnsi="Cambria"/>
          <w:lang w:val="es-ES_tradnl"/>
        </w:rPr>
        <w:t xml:space="preserve">, </w:t>
      </w:r>
      <w:r w:rsidR="00265CC9" w:rsidRPr="00CD3501">
        <w:rPr>
          <w:rFonts w:ascii="Cambria" w:hAnsi="Cambria"/>
          <w:lang w:val="es-ES_tradnl"/>
        </w:rPr>
        <w:t>la Corte</w:t>
      </w:r>
      <w:r w:rsidR="005A6EFD" w:rsidRPr="00CD3501">
        <w:rPr>
          <w:rFonts w:ascii="Cambria" w:hAnsi="Cambria"/>
          <w:lang w:val="es-ES_tradnl"/>
        </w:rPr>
        <w:t xml:space="preserve"> h</w:t>
      </w:r>
      <w:r w:rsidR="00E30776" w:rsidRPr="00CD3501">
        <w:rPr>
          <w:rFonts w:ascii="Cambria" w:hAnsi="Cambria"/>
          <w:lang w:val="es-ES_tradnl"/>
        </w:rPr>
        <w:t>a señalado que el alcance del derecho a la no discriminación por orientación sexual no se limita a la condición de ser homosexual en sí, sino que incluye su expresión y las consecuencias necesarias en el proyecto de vida de las personas</w:t>
      </w:r>
      <w:r w:rsidR="009606E5" w:rsidRPr="00CD3501">
        <w:rPr>
          <w:rFonts w:ascii="Cambria" w:hAnsi="Cambria"/>
          <w:lang w:val="es-ES_tradnl"/>
        </w:rPr>
        <w:t xml:space="preserve">. </w:t>
      </w:r>
      <w:r w:rsidR="00E30776" w:rsidRPr="00CD3501">
        <w:rPr>
          <w:rFonts w:ascii="Cambria" w:hAnsi="Cambria"/>
          <w:lang w:val="es-ES_tradnl"/>
        </w:rPr>
        <w:t>La protección contra la discriminación basada en la orientación sexual no se relaciona únicamente con un trato menos favorable por ser lesbiana o gay, sino que abarca también la discriminación porque una persona actúa según su orientación sexual, al optar por participar en actividades sexuales consensuales en privado o iniciar una relación de pareja a largo plazo con una persona del mismo sexo</w:t>
      </w:r>
      <w:r w:rsidR="005A6EFD" w:rsidRPr="00CD3501">
        <w:rPr>
          <w:rStyle w:val="FootnoteReference"/>
          <w:rFonts w:ascii="Cambria" w:hAnsi="Cambria"/>
          <w:lang w:val="es-ES_tradnl"/>
        </w:rPr>
        <w:footnoteReference w:id="34"/>
      </w:r>
      <w:r w:rsidR="00E30776" w:rsidRPr="00CD3501">
        <w:rPr>
          <w:rFonts w:ascii="Cambria" w:hAnsi="Cambria"/>
          <w:lang w:val="es-ES_tradnl"/>
        </w:rPr>
        <w:t>.</w:t>
      </w:r>
      <w:r w:rsidR="003067F3" w:rsidRPr="00CD3501">
        <w:rPr>
          <w:rFonts w:ascii="Cambria" w:hAnsi="Cambria"/>
          <w:lang w:val="es-ES_tradnl"/>
        </w:rPr>
        <w:t xml:space="preserve"> </w:t>
      </w:r>
      <w:r w:rsidR="005A6EFD" w:rsidRPr="00CD3501">
        <w:rPr>
          <w:rFonts w:ascii="Cambria" w:hAnsi="Cambria"/>
          <w:lang w:val="es-ES_tradnl"/>
        </w:rPr>
        <w:t xml:space="preserve"> </w:t>
      </w:r>
    </w:p>
    <w:p w14:paraId="1488BB1F" w14:textId="77777777" w:rsidR="005A6EFD" w:rsidRPr="00CD3501" w:rsidRDefault="005A6EFD" w:rsidP="00A167CF">
      <w:pPr>
        <w:pStyle w:val="parrafos"/>
        <w:tabs>
          <w:tab w:val="clear" w:pos="360"/>
        </w:tabs>
        <w:rPr>
          <w:rFonts w:ascii="Cambria" w:hAnsi="Cambria"/>
          <w:lang w:val="es-ES_tradnl"/>
        </w:rPr>
      </w:pPr>
    </w:p>
    <w:p w14:paraId="0BCE840F" w14:textId="7E59F94E" w:rsidR="005A6EFD" w:rsidRPr="00CD3501" w:rsidRDefault="00292BD8"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 xml:space="preserve">En lo que concierne al derecho a la intimidad y a la autonomía, </w:t>
      </w:r>
      <w:r w:rsidR="00265CC9" w:rsidRPr="00CD3501">
        <w:rPr>
          <w:rFonts w:ascii="Cambria" w:hAnsi="Cambria"/>
          <w:lang w:val="es-ES_tradnl"/>
        </w:rPr>
        <w:t>la Corte</w:t>
      </w:r>
      <w:r w:rsidR="005A6EFD" w:rsidRPr="00CD3501">
        <w:rPr>
          <w:rFonts w:ascii="Cambria" w:hAnsi="Cambria"/>
          <w:lang w:val="es-ES_tradnl"/>
        </w:rPr>
        <w:t xml:space="preserve"> ha</w:t>
      </w:r>
      <w:r w:rsidRPr="00CD3501">
        <w:rPr>
          <w:rFonts w:ascii="Cambria" w:hAnsi="Cambria"/>
          <w:lang w:val="es-ES_tradnl"/>
        </w:rPr>
        <w:t xml:space="preserve"> señalado que el artículo </w:t>
      </w:r>
      <w:r w:rsidR="005A6EFD" w:rsidRPr="00CD3501">
        <w:rPr>
          <w:rFonts w:ascii="Cambria" w:hAnsi="Cambria"/>
          <w:lang w:val="es-ES_tradnl"/>
        </w:rPr>
        <w:t xml:space="preserve">11 </w:t>
      </w:r>
      <w:r w:rsidRPr="00CD3501">
        <w:rPr>
          <w:rFonts w:ascii="Cambria" w:hAnsi="Cambria"/>
          <w:lang w:val="es-ES_tradnl"/>
        </w:rPr>
        <w:t xml:space="preserve">de </w:t>
      </w:r>
      <w:r w:rsidR="00E33D82" w:rsidRPr="00CD3501">
        <w:rPr>
          <w:rFonts w:ascii="Cambria" w:hAnsi="Cambria"/>
          <w:lang w:val="es-ES_tradnl"/>
        </w:rPr>
        <w:t>la Convención</w:t>
      </w:r>
      <w:r w:rsidR="005A6EFD" w:rsidRPr="00CD3501">
        <w:rPr>
          <w:rFonts w:ascii="Cambria" w:hAnsi="Cambria"/>
          <w:lang w:val="es-ES_tradnl"/>
        </w:rPr>
        <w:t xml:space="preserve"> </w:t>
      </w:r>
      <w:bookmarkStart w:id="19" w:name="_Ref319669930"/>
      <w:bookmarkStart w:id="20" w:name="_Ref318127168"/>
      <w:r w:rsidRPr="00CD3501">
        <w:rPr>
          <w:rFonts w:ascii="Cambria" w:hAnsi="Cambria"/>
          <w:lang w:val="es-ES_tradnl"/>
        </w:rPr>
        <w:t xml:space="preserve">prohíbe toda injerencia arbitraria o abusiva en la vida privada de las personas y enuncia diversos </w:t>
      </w:r>
      <w:r w:rsidRPr="00CD3501">
        <w:rPr>
          <w:rFonts w:ascii="Cambria" w:hAnsi="Cambria"/>
          <w:lang w:val="es-ES_tradnl"/>
        </w:rPr>
        <w:lastRenderedPageBreak/>
        <w:t>ámbitos de la misma, como la vida privada de su familia. En ese sentido, la Corte ha sostenido que el ámbito de la privacidad se caracteriza por quedar exento e inmune a las invasiones o agresiones abusivas o arbitrarias por parte de terceros o de la autoridad pública</w:t>
      </w:r>
      <w:r w:rsidR="005A6EFD" w:rsidRPr="00CD3501">
        <w:rPr>
          <w:rStyle w:val="FootnoteReference"/>
          <w:rFonts w:ascii="Cambria" w:hAnsi="Cambria" w:cs="Verdana"/>
          <w:lang w:val="es-ES_tradnl"/>
        </w:rPr>
        <w:footnoteReference w:id="35"/>
      </w:r>
      <w:bookmarkEnd w:id="19"/>
      <w:bookmarkEnd w:id="20"/>
      <w:r w:rsidRPr="00CD3501">
        <w:rPr>
          <w:rFonts w:ascii="Cambria" w:hAnsi="Cambria"/>
          <w:lang w:val="es-ES_tradnl"/>
        </w:rPr>
        <w:t xml:space="preserve">. La Corte ha señalado asimismo que </w:t>
      </w:r>
      <w:r w:rsidR="005A6EFD" w:rsidRPr="00CD3501">
        <w:rPr>
          <w:rFonts w:ascii="Cambria" w:hAnsi="Cambria" w:cs="Verdana"/>
          <w:lang w:val="es-ES_tradnl"/>
        </w:rPr>
        <w:t>“</w:t>
      </w:r>
      <w:r w:rsidRPr="00CD3501">
        <w:rPr>
          <w:rFonts w:ascii="Cambria" w:hAnsi="Cambria" w:cs="Verdana"/>
          <w:lang w:val="es-ES_tradnl"/>
        </w:rPr>
        <w:t>[l]a vida privada es un concepto amplio que no es susceptible de definiciones exhaustivas y comprende, entre otros ámbitos protegidos, la vida sexual y el derecho a establecer y desarrollar relaciones con otros seres humanos. Es decir, la vida privada incluye la forma en que el individuo se ve a sí mismo y cómo y cuándo decide proyectar a los demás”</w:t>
      </w:r>
      <w:r w:rsidR="005A6EFD" w:rsidRPr="00CD3501">
        <w:rPr>
          <w:rStyle w:val="FootnoteReference"/>
          <w:rFonts w:ascii="Cambria" w:hAnsi="Cambria"/>
          <w:lang w:val="es-ES_tradnl"/>
        </w:rPr>
        <w:footnoteReference w:id="36"/>
      </w:r>
      <w:r w:rsidRPr="00CD3501">
        <w:rPr>
          <w:rFonts w:ascii="Cambria" w:hAnsi="Cambria"/>
          <w:lang w:val="es-ES_tradnl"/>
        </w:rPr>
        <w:t>.</w:t>
      </w:r>
    </w:p>
    <w:p w14:paraId="5F8E6A7E" w14:textId="77777777" w:rsidR="005A6EFD" w:rsidRPr="00CD3501" w:rsidRDefault="005A6EFD" w:rsidP="00A167CF">
      <w:pPr>
        <w:pStyle w:val="ListParagraph"/>
        <w:rPr>
          <w:lang w:val="es-ES_tradnl"/>
        </w:rPr>
      </w:pPr>
    </w:p>
    <w:p w14:paraId="5A649A07" w14:textId="6345D4C2" w:rsidR="00685195" w:rsidRPr="00CD3501" w:rsidRDefault="00C85508"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 xml:space="preserve">Sobre la base de lo que antecede, </w:t>
      </w:r>
      <w:r w:rsidR="00265CC9" w:rsidRPr="00CD3501">
        <w:rPr>
          <w:rFonts w:ascii="Cambria" w:hAnsi="Cambria"/>
          <w:lang w:val="es-ES_tradnl"/>
        </w:rPr>
        <w:t>la Corte Interamericana</w:t>
      </w:r>
      <w:r w:rsidR="005A6EFD" w:rsidRPr="00CD3501">
        <w:rPr>
          <w:rFonts w:ascii="Cambria" w:hAnsi="Cambria"/>
          <w:lang w:val="es-ES_tradnl"/>
        </w:rPr>
        <w:t xml:space="preserve"> ha</w:t>
      </w:r>
      <w:r w:rsidR="001F1B88" w:rsidRPr="00CD3501">
        <w:rPr>
          <w:rFonts w:ascii="Cambria" w:hAnsi="Cambria"/>
          <w:lang w:val="es-ES_tradnl"/>
        </w:rPr>
        <w:t xml:space="preserve"> señalado que la </w:t>
      </w:r>
      <w:r w:rsidR="000A3FB7" w:rsidRPr="00CD3501">
        <w:rPr>
          <w:rFonts w:ascii="Cambria" w:hAnsi="Cambria"/>
          <w:lang w:val="es-ES_tradnl"/>
        </w:rPr>
        <w:t>orientación sexual</w:t>
      </w:r>
      <w:r w:rsidR="005A6EFD" w:rsidRPr="00CD3501">
        <w:rPr>
          <w:rFonts w:ascii="Cambria" w:hAnsi="Cambria"/>
          <w:lang w:val="es-ES_tradnl"/>
        </w:rPr>
        <w:t xml:space="preserve"> </w:t>
      </w:r>
      <w:r w:rsidR="001F1B88" w:rsidRPr="00CD3501">
        <w:rPr>
          <w:rFonts w:ascii="Cambria" w:hAnsi="Cambria"/>
          <w:lang w:val="es-ES_tradnl"/>
        </w:rPr>
        <w:t xml:space="preserve">forma parte </w:t>
      </w:r>
      <w:r w:rsidR="007C07E0" w:rsidRPr="00CD3501">
        <w:rPr>
          <w:rFonts w:ascii="Cambria" w:hAnsi="Cambria"/>
          <w:lang w:val="es-ES_tradnl"/>
        </w:rPr>
        <w:t>de la vida privada de las personas. Por lo tanto, es una esfera en la que no puede haber una interferencia arbitraria</w:t>
      </w:r>
      <w:r w:rsidR="005A6EFD" w:rsidRPr="00CD3501">
        <w:rPr>
          <w:rStyle w:val="FootnoteReference"/>
          <w:rFonts w:ascii="Cambria" w:hAnsi="Cambria"/>
          <w:lang w:val="es-ES_tradnl"/>
        </w:rPr>
        <w:footnoteReference w:id="37"/>
      </w:r>
      <w:r w:rsidR="007C07E0" w:rsidRPr="00CD3501">
        <w:rPr>
          <w:rFonts w:ascii="Cambria" w:hAnsi="Cambria"/>
          <w:lang w:val="es-ES_tradnl"/>
        </w:rPr>
        <w:t xml:space="preserve">. En el caso </w:t>
      </w:r>
      <w:r w:rsidR="005A6EFD" w:rsidRPr="00CD3501">
        <w:rPr>
          <w:rFonts w:ascii="Cambria" w:hAnsi="Cambria"/>
          <w:i/>
          <w:lang w:val="es-ES_tradnl"/>
        </w:rPr>
        <w:t xml:space="preserve">Atala Riffo </w:t>
      </w:r>
      <w:r w:rsidR="00E30776" w:rsidRPr="00CD3501">
        <w:rPr>
          <w:rFonts w:ascii="Cambria" w:hAnsi="Cambria"/>
          <w:i/>
          <w:lang w:val="es-ES_tradnl"/>
        </w:rPr>
        <w:t xml:space="preserve">y niñas </w:t>
      </w:r>
      <w:r w:rsidR="00313502" w:rsidRPr="00CD3501">
        <w:rPr>
          <w:rFonts w:ascii="Cambria" w:hAnsi="Cambria"/>
          <w:i/>
          <w:lang w:val="es-ES_tradnl"/>
        </w:rPr>
        <w:t xml:space="preserve">contra </w:t>
      </w:r>
      <w:r w:rsidR="005A6EFD" w:rsidRPr="00CD3501">
        <w:rPr>
          <w:rFonts w:ascii="Cambria" w:hAnsi="Cambria"/>
          <w:i/>
          <w:lang w:val="es-ES_tradnl"/>
        </w:rPr>
        <w:t>Chile</w:t>
      </w:r>
      <w:r w:rsidR="005A6EFD" w:rsidRPr="00CD3501">
        <w:rPr>
          <w:rFonts w:ascii="Cambria" w:hAnsi="Cambria"/>
          <w:lang w:val="es-ES_tradnl"/>
        </w:rPr>
        <w:t xml:space="preserve">, </w:t>
      </w:r>
      <w:r w:rsidR="00265CC9" w:rsidRPr="00CD3501">
        <w:rPr>
          <w:rFonts w:ascii="Cambria" w:hAnsi="Cambria"/>
          <w:lang w:val="es-ES_tradnl"/>
        </w:rPr>
        <w:t>la Corte</w:t>
      </w:r>
      <w:r w:rsidR="005A6EFD" w:rsidRPr="00CD3501">
        <w:rPr>
          <w:rFonts w:ascii="Cambria" w:hAnsi="Cambria"/>
          <w:lang w:val="es-ES_tradnl"/>
        </w:rPr>
        <w:t xml:space="preserve"> </w:t>
      </w:r>
      <w:r w:rsidR="007C07E0" w:rsidRPr="00CD3501">
        <w:rPr>
          <w:rFonts w:ascii="Cambria" w:hAnsi="Cambria"/>
          <w:lang w:val="es-ES_tradnl"/>
        </w:rPr>
        <w:t xml:space="preserve">dictaminó que, </w:t>
      </w:r>
      <w:r w:rsidR="00313502" w:rsidRPr="00CD3501">
        <w:rPr>
          <w:rFonts w:ascii="Cambria" w:hAnsi="Cambria"/>
          <w:lang w:val="es-ES_tradnl"/>
        </w:rPr>
        <w:t xml:space="preserve">como </w:t>
      </w:r>
      <w:r w:rsidR="007C07E0" w:rsidRPr="00CD3501">
        <w:rPr>
          <w:rFonts w:ascii="Cambria" w:hAnsi="Cambria"/>
          <w:lang w:val="es-ES_tradnl"/>
        </w:rPr>
        <w:t xml:space="preserve">los tribunales internos </w:t>
      </w:r>
      <w:r w:rsidR="005A6EFD" w:rsidRPr="00CD3501">
        <w:rPr>
          <w:rFonts w:ascii="Cambria" w:hAnsi="Cambria"/>
          <w:lang w:val="es-ES_tradnl"/>
        </w:rPr>
        <w:t>“</w:t>
      </w:r>
      <w:r w:rsidR="007C07E0" w:rsidRPr="00CD3501">
        <w:rPr>
          <w:rFonts w:ascii="Cambria" w:hAnsi="Cambria"/>
          <w:lang w:val="es-ES_tradnl"/>
        </w:rPr>
        <w:t xml:space="preserve">tuvieron como referente la </w:t>
      </w:r>
      <w:r w:rsidR="000A3FB7" w:rsidRPr="00CD3501">
        <w:rPr>
          <w:rFonts w:ascii="Cambria" w:hAnsi="Cambria"/>
          <w:lang w:val="es-ES_tradnl"/>
        </w:rPr>
        <w:t>orientación sexual</w:t>
      </w:r>
      <w:r w:rsidR="005A6EFD" w:rsidRPr="00CD3501">
        <w:rPr>
          <w:rFonts w:ascii="Cambria" w:hAnsi="Cambria"/>
          <w:lang w:val="es-ES_tradnl"/>
        </w:rPr>
        <w:t>”</w:t>
      </w:r>
      <w:r w:rsidR="007C07E0" w:rsidRPr="00CD3501">
        <w:rPr>
          <w:rFonts w:ascii="Cambria" w:hAnsi="Cambria"/>
          <w:lang w:val="es-ES_tradnl"/>
        </w:rPr>
        <w:t xml:space="preserve"> de la señora Atala, expusieron diversos aspectos de su vida privada</w:t>
      </w:r>
      <w:r w:rsidR="005A6EFD" w:rsidRPr="00CD3501">
        <w:rPr>
          <w:rStyle w:val="FootnoteReference"/>
          <w:rFonts w:ascii="Cambria" w:hAnsi="Cambria"/>
          <w:lang w:val="es-ES_tradnl"/>
        </w:rPr>
        <w:footnoteReference w:id="38"/>
      </w:r>
      <w:r w:rsidR="007C07E0" w:rsidRPr="00CD3501">
        <w:rPr>
          <w:rFonts w:ascii="Cambria" w:hAnsi="Cambria"/>
          <w:lang w:val="es-ES_tradnl"/>
        </w:rPr>
        <w:t>.</w:t>
      </w:r>
    </w:p>
    <w:p w14:paraId="28F43907" w14:textId="77777777" w:rsidR="009606E5" w:rsidRPr="00CD3501" w:rsidRDefault="009606E5" w:rsidP="00A167CF">
      <w:pPr>
        <w:pStyle w:val="parrafos"/>
        <w:tabs>
          <w:tab w:val="clear" w:pos="360"/>
        </w:tabs>
        <w:rPr>
          <w:rFonts w:ascii="Cambria" w:hAnsi="Cambria"/>
          <w:lang w:val="es-ES_tradnl"/>
        </w:rPr>
      </w:pPr>
    </w:p>
    <w:p w14:paraId="694E6C3D" w14:textId="1F69CF4A" w:rsidR="009B39D5" w:rsidRPr="00CD3501" w:rsidRDefault="005474ED"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 xml:space="preserve">Además, </w:t>
      </w:r>
      <w:r w:rsidR="00497B9A" w:rsidRPr="00CD3501">
        <w:rPr>
          <w:rFonts w:ascii="Cambria" w:hAnsi="Cambria"/>
          <w:lang w:val="es-ES_tradnl"/>
        </w:rPr>
        <w:t>la Comisión</w:t>
      </w:r>
      <w:r w:rsidR="009B39D5" w:rsidRPr="00CD3501">
        <w:rPr>
          <w:rFonts w:ascii="Cambria" w:hAnsi="Cambria"/>
          <w:lang w:val="es-ES_tradnl"/>
        </w:rPr>
        <w:t xml:space="preserve"> rec</w:t>
      </w:r>
      <w:r w:rsidRPr="00CD3501">
        <w:rPr>
          <w:rFonts w:ascii="Cambria" w:hAnsi="Cambria"/>
          <w:lang w:val="es-ES_tradnl"/>
        </w:rPr>
        <w:t xml:space="preserve">uerda que la </w:t>
      </w:r>
      <w:r w:rsidR="009A3641" w:rsidRPr="00CD3501">
        <w:rPr>
          <w:rFonts w:ascii="Cambria" w:hAnsi="Cambria"/>
          <w:lang w:val="es-ES_tradnl"/>
        </w:rPr>
        <w:t>Convención Americana</w:t>
      </w:r>
      <w:r w:rsidR="009B39D5" w:rsidRPr="00CD3501">
        <w:rPr>
          <w:rFonts w:ascii="Cambria" w:hAnsi="Cambria"/>
          <w:lang w:val="es-ES_tradnl"/>
        </w:rPr>
        <w:t xml:space="preserve"> </w:t>
      </w:r>
      <w:r w:rsidR="00DE19A7" w:rsidRPr="00CD3501">
        <w:rPr>
          <w:rFonts w:ascii="Cambria" w:hAnsi="Cambria"/>
          <w:lang w:val="es-ES_tradnl"/>
        </w:rPr>
        <w:t>prote</w:t>
      </w:r>
      <w:r w:rsidRPr="00CD3501">
        <w:rPr>
          <w:rFonts w:ascii="Cambria" w:hAnsi="Cambria"/>
          <w:lang w:val="es-ES_tradnl"/>
        </w:rPr>
        <w:t xml:space="preserve">ge el derecho a la integridad personal, que abarca la integridad física, psíquica y </w:t>
      </w:r>
      <w:r w:rsidR="00DE19A7" w:rsidRPr="00CD3501">
        <w:rPr>
          <w:rFonts w:ascii="Cambria" w:hAnsi="Cambria"/>
          <w:lang w:val="es-ES_tradnl"/>
        </w:rPr>
        <w:t xml:space="preserve">moral </w:t>
      </w:r>
      <w:r w:rsidRPr="00CD3501">
        <w:rPr>
          <w:rFonts w:ascii="Cambria" w:hAnsi="Cambria"/>
          <w:lang w:val="es-ES_tradnl"/>
        </w:rPr>
        <w:t xml:space="preserve">y es uno de los valores más </w:t>
      </w:r>
      <w:r w:rsidR="00DE19A7" w:rsidRPr="00CD3501">
        <w:rPr>
          <w:rFonts w:ascii="Cambria" w:hAnsi="Cambria"/>
          <w:lang w:val="es-ES_tradnl"/>
        </w:rPr>
        <w:t>fundamental</w:t>
      </w:r>
      <w:r w:rsidRPr="00CD3501">
        <w:rPr>
          <w:rFonts w:ascii="Cambria" w:hAnsi="Cambria"/>
          <w:lang w:val="es-ES_tradnl"/>
        </w:rPr>
        <w:t>es en una sociedad democrática</w:t>
      </w:r>
      <w:r w:rsidR="00DE19A7" w:rsidRPr="00CD3501">
        <w:rPr>
          <w:rStyle w:val="FootnoteReference"/>
          <w:rFonts w:ascii="Cambria" w:hAnsi="Cambria"/>
          <w:lang w:val="es-ES_tradnl"/>
        </w:rPr>
        <w:footnoteReference w:id="39"/>
      </w:r>
      <w:r w:rsidRPr="00CD3501">
        <w:rPr>
          <w:rFonts w:ascii="Cambria" w:hAnsi="Cambria"/>
          <w:lang w:val="es-ES_tradnl"/>
        </w:rPr>
        <w:t>. La</w:t>
      </w:r>
      <w:r w:rsidR="00CF1A57" w:rsidRPr="00CD3501">
        <w:rPr>
          <w:rFonts w:ascii="Cambria" w:hAnsi="Cambria"/>
          <w:lang w:val="es-ES_tradnl"/>
        </w:rPr>
        <w:t xml:space="preserve"> </w:t>
      </w:r>
      <w:r w:rsidRPr="00CD3501">
        <w:rPr>
          <w:rFonts w:ascii="Cambria" w:hAnsi="Cambria"/>
          <w:lang w:val="es-ES_tradnl"/>
        </w:rPr>
        <w:t>infracción de ese derecho puede tener diversas connotaciones de grado</w:t>
      </w:r>
      <w:r w:rsidR="00CE16AB" w:rsidRPr="00CD3501">
        <w:rPr>
          <w:rFonts w:ascii="Cambria" w:hAnsi="Cambria"/>
          <w:lang w:val="es-ES_tradnl"/>
        </w:rPr>
        <w:t xml:space="preserve">, que van </w:t>
      </w:r>
      <w:r w:rsidRPr="00CD3501">
        <w:rPr>
          <w:rFonts w:ascii="Cambria" w:hAnsi="Cambria"/>
          <w:lang w:val="es-ES_tradnl"/>
        </w:rPr>
        <w:t>desde la tortura hasta otro</w:t>
      </w:r>
      <w:r w:rsidR="00CE16AB" w:rsidRPr="00CD3501">
        <w:rPr>
          <w:rFonts w:ascii="Cambria" w:hAnsi="Cambria"/>
          <w:lang w:val="es-ES_tradnl"/>
        </w:rPr>
        <w:t>s</w:t>
      </w:r>
      <w:r w:rsidRPr="00CD3501">
        <w:rPr>
          <w:rFonts w:ascii="Cambria" w:hAnsi="Cambria"/>
          <w:lang w:val="es-ES_tradnl"/>
        </w:rPr>
        <w:t xml:space="preserve"> tipo</w:t>
      </w:r>
      <w:r w:rsidR="00CE16AB" w:rsidRPr="00CD3501">
        <w:rPr>
          <w:rFonts w:ascii="Cambria" w:hAnsi="Cambria"/>
          <w:lang w:val="es-ES_tradnl"/>
        </w:rPr>
        <w:t>s</w:t>
      </w:r>
      <w:r w:rsidRPr="00CD3501">
        <w:rPr>
          <w:rFonts w:ascii="Cambria" w:hAnsi="Cambria"/>
          <w:lang w:val="es-ES_tradnl"/>
        </w:rPr>
        <w:t xml:space="preserve"> de vejámenes o tratos crueles, inhumanos o degradantes cuyas secuelas físicas y psíquicas varían </w:t>
      </w:r>
      <w:r w:rsidR="00CE16AB" w:rsidRPr="00CD3501">
        <w:rPr>
          <w:rFonts w:ascii="Cambria" w:hAnsi="Cambria"/>
          <w:lang w:val="es-ES_tradnl"/>
        </w:rPr>
        <w:t xml:space="preserve">en </w:t>
      </w:r>
      <w:r w:rsidRPr="00CD3501">
        <w:rPr>
          <w:rFonts w:ascii="Cambria" w:hAnsi="Cambria"/>
          <w:lang w:val="es-ES_tradnl"/>
        </w:rPr>
        <w:t>intensidad según los factores endógenos y exógenos</w:t>
      </w:r>
      <w:r w:rsidR="009B39D5" w:rsidRPr="00CD3501">
        <w:rPr>
          <w:rStyle w:val="FootnoteReference"/>
          <w:rFonts w:ascii="Cambria" w:hAnsi="Cambria"/>
          <w:lang w:val="es-ES_tradnl"/>
        </w:rPr>
        <w:footnoteReference w:id="40"/>
      </w:r>
      <w:r w:rsidR="00CE16AB" w:rsidRPr="00CD3501">
        <w:rPr>
          <w:rFonts w:ascii="Cambria" w:hAnsi="Cambria"/>
          <w:lang w:val="es-ES_tradnl"/>
        </w:rPr>
        <w:t>.</w:t>
      </w:r>
      <w:r w:rsidR="00CF1A57" w:rsidRPr="00CD3501">
        <w:rPr>
          <w:rFonts w:ascii="Cambria" w:hAnsi="Cambria"/>
          <w:lang w:val="es-ES_tradnl"/>
        </w:rPr>
        <w:t xml:space="preserve"> </w:t>
      </w:r>
      <w:r w:rsidR="00CE16AB" w:rsidRPr="00CD3501">
        <w:rPr>
          <w:rFonts w:ascii="Cambria" w:hAnsi="Cambria"/>
          <w:lang w:val="es-ES_tradnl"/>
        </w:rPr>
        <w:t>En los casos de aplicación arbitraria del derecho penal</w:t>
      </w:r>
      <w:r w:rsidR="005B38A5" w:rsidRPr="00CD3501">
        <w:rPr>
          <w:rFonts w:ascii="Cambria" w:hAnsi="Cambria"/>
          <w:lang w:val="es-ES_tradnl"/>
        </w:rPr>
        <w:t xml:space="preserve">, </w:t>
      </w:r>
      <w:r w:rsidR="00497B9A" w:rsidRPr="00CD3501">
        <w:rPr>
          <w:rFonts w:ascii="Cambria" w:hAnsi="Cambria"/>
          <w:lang w:val="es-ES_tradnl"/>
        </w:rPr>
        <w:t>la CIDH</w:t>
      </w:r>
      <w:r w:rsidR="005B38A5" w:rsidRPr="00CD3501">
        <w:rPr>
          <w:rFonts w:ascii="Cambria" w:hAnsi="Cambria"/>
          <w:lang w:val="es-ES_tradnl"/>
        </w:rPr>
        <w:t xml:space="preserve"> ha</w:t>
      </w:r>
      <w:r w:rsidR="00CE16AB" w:rsidRPr="00CD3501">
        <w:rPr>
          <w:rFonts w:ascii="Cambria" w:hAnsi="Cambria"/>
          <w:lang w:val="es-ES_tradnl"/>
        </w:rPr>
        <w:t xml:space="preserve"> considerado que la amenaza de una eventual detención o la mera emisión de una orden de arresto, aunque no sea ejecutada, pueden representar una violación de la</w:t>
      </w:r>
      <w:r w:rsidR="005B38A5" w:rsidRPr="00CD3501">
        <w:rPr>
          <w:rFonts w:ascii="Cambria" w:hAnsi="Cambria"/>
          <w:lang w:val="es-ES_tradnl"/>
        </w:rPr>
        <w:t xml:space="preserve"> </w:t>
      </w:r>
      <w:r w:rsidR="00834977" w:rsidRPr="00CD3501">
        <w:rPr>
          <w:rFonts w:ascii="Cambria" w:hAnsi="Cambria"/>
          <w:lang w:val="es-ES_tradnl"/>
        </w:rPr>
        <w:t>integridad personal</w:t>
      </w:r>
      <w:r w:rsidR="005B38A5" w:rsidRPr="00CD3501">
        <w:rPr>
          <w:rFonts w:ascii="Cambria" w:hAnsi="Cambria"/>
          <w:lang w:val="es-ES_tradnl"/>
        </w:rPr>
        <w:t xml:space="preserve"> </w:t>
      </w:r>
      <w:r w:rsidR="00CE16AB" w:rsidRPr="00CD3501">
        <w:rPr>
          <w:rFonts w:ascii="Cambria" w:hAnsi="Cambria"/>
          <w:lang w:val="es-ES_tradnl"/>
        </w:rPr>
        <w:t>porque provoca</w:t>
      </w:r>
      <w:r w:rsidR="00313502" w:rsidRPr="00CD3501">
        <w:rPr>
          <w:rFonts w:ascii="Cambria" w:hAnsi="Cambria"/>
          <w:lang w:val="es-ES_tradnl"/>
        </w:rPr>
        <w:t xml:space="preserve">n </w:t>
      </w:r>
      <w:r w:rsidR="00CE16AB" w:rsidRPr="00CD3501">
        <w:rPr>
          <w:rFonts w:ascii="Cambria" w:hAnsi="Cambria"/>
          <w:lang w:val="es-ES_tradnl"/>
        </w:rPr>
        <w:t>incertidumbre y ansiedad, que pueden afectar la salud física y emocional de la persona</w:t>
      </w:r>
      <w:r w:rsidR="005B38A5" w:rsidRPr="00CD3501">
        <w:rPr>
          <w:rStyle w:val="FootnoteReference"/>
          <w:rFonts w:ascii="Cambria" w:hAnsi="Cambria"/>
          <w:lang w:val="es-ES_tradnl"/>
        </w:rPr>
        <w:footnoteReference w:id="41"/>
      </w:r>
      <w:r w:rsidR="00CE16AB" w:rsidRPr="00CD3501">
        <w:rPr>
          <w:rFonts w:ascii="Cambria" w:hAnsi="Cambria"/>
          <w:lang w:val="es-ES_tradnl"/>
        </w:rPr>
        <w:t>.</w:t>
      </w:r>
    </w:p>
    <w:p w14:paraId="2267AB50" w14:textId="77777777" w:rsidR="001B7A71" w:rsidRPr="00CD3501" w:rsidRDefault="001B7A71" w:rsidP="00A167CF">
      <w:pPr>
        <w:pStyle w:val="parrafos"/>
        <w:tabs>
          <w:tab w:val="clear" w:pos="360"/>
        </w:tabs>
        <w:rPr>
          <w:rFonts w:ascii="Cambria" w:hAnsi="Cambria"/>
          <w:lang w:val="es-ES_tradnl"/>
        </w:rPr>
      </w:pPr>
    </w:p>
    <w:p w14:paraId="608A1296" w14:textId="63CACCCD" w:rsidR="00A53CFC" w:rsidRPr="00CD3501" w:rsidRDefault="00CE16AB"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 xml:space="preserve">Tanto </w:t>
      </w:r>
      <w:r w:rsidR="00265CC9" w:rsidRPr="00CD3501">
        <w:rPr>
          <w:rFonts w:ascii="Cambria" w:hAnsi="Cambria"/>
          <w:lang w:val="es-ES_tradnl"/>
        </w:rPr>
        <w:t>la Corte Interamericana</w:t>
      </w:r>
      <w:r w:rsidR="00A53CFC" w:rsidRPr="00CD3501">
        <w:rPr>
          <w:rFonts w:ascii="Cambria" w:hAnsi="Cambria"/>
          <w:lang w:val="es-ES_tradnl"/>
        </w:rPr>
        <w:t xml:space="preserve"> </w:t>
      </w:r>
      <w:r w:rsidRPr="00CD3501">
        <w:rPr>
          <w:rFonts w:ascii="Cambria" w:hAnsi="Cambria"/>
          <w:lang w:val="es-ES_tradnl"/>
        </w:rPr>
        <w:t xml:space="preserve">como </w:t>
      </w:r>
      <w:r w:rsidR="00497B9A" w:rsidRPr="00CD3501">
        <w:rPr>
          <w:rFonts w:ascii="Cambria" w:hAnsi="Cambria"/>
          <w:lang w:val="es-ES_tradnl"/>
        </w:rPr>
        <w:t>la Comisión</w:t>
      </w:r>
      <w:r w:rsidR="00A53CFC" w:rsidRPr="00CD3501">
        <w:rPr>
          <w:rFonts w:ascii="Cambria" w:hAnsi="Cambria"/>
          <w:lang w:val="es-ES_tradnl"/>
        </w:rPr>
        <w:t xml:space="preserve"> ha</w:t>
      </w:r>
      <w:r w:rsidRPr="00CD3501">
        <w:rPr>
          <w:rFonts w:ascii="Cambria" w:hAnsi="Cambria"/>
          <w:lang w:val="es-ES_tradnl"/>
        </w:rPr>
        <w:t xml:space="preserve">n determinado que la penalización de las relaciones sexuales </w:t>
      </w:r>
      <w:r w:rsidR="00A53CFC" w:rsidRPr="00CD3501">
        <w:rPr>
          <w:rFonts w:ascii="Cambria" w:hAnsi="Cambria"/>
          <w:lang w:val="es-ES_tradnl"/>
        </w:rPr>
        <w:t>consensual</w:t>
      </w:r>
      <w:r w:rsidRPr="00CD3501">
        <w:rPr>
          <w:rFonts w:ascii="Cambria" w:hAnsi="Cambria"/>
          <w:lang w:val="es-ES_tradnl"/>
        </w:rPr>
        <w:t xml:space="preserve">es entre personas del mismo sexo viola el </w:t>
      </w:r>
      <w:r w:rsidR="00D22B34" w:rsidRPr="00CD3501">
        <w:rPr>
          <w:rFonts w:ascii="Cambria" w:hAnsi="Cambria"/>
          <w:lang w:val="es-ES_tradnl"/>
        </w:rPr>
        <w:t>principio de igualdad</w:t>
      </w:r>
      <w:r w:rsidR="00A53CFC" w:rsidRPr="00CD3501">
        <w:rPr>
          <w:rFonts w:ascii="Cambria" w:hAnsi="Cambria"/>
          <w:lang w:val="es-ES_tradnl"/>
        </w:rPr>
        <w:t xml:space="preserve"> </w:t>
      </w:r>
      <w:r w:rsidRPr="00CD3501">
        <w:rPr>
          <w:rFonts w:ascii="Cambria" w:hAnsi="Cambria"/>
          <w:lang w:val="es-ES_tradnl"/>
        </w:rPr>
        <w:t>y</w:t>
      </w:r>
      <w:r w:rsidR="00A53CFC" w:rsidRPr="00CD3501">
        <w:rPr>
          <w:rFonts w:ascii="Cambria" w:hAnsi="Cambria"/>
          <w:lang w:val="es-ES_tradnl"/>
        </w:rPr>
        <w:t xml:space="preserve"> </w:t>
      </w:r>
      <w:r w:rsidR="000A3FB7" w:rsidRPr="00CD3501">
        <w:rPr>
          <w:rFonts w:ascii="Cambria" w:hAnsi="Cambria"/>
          <w:lang w:val="es-ES_tradnl"/>
        </w:rPr>
        <w:t>no discriminación</w:t>
      </w:r>
      <w:r w:rsidR="00A53CFC" w:rsidRPr="00CD3501">
        <w:rPr>
          <w:rFonts w:ascii="Cambria" w:hAnsi="Cambria"/>
          <w:lang w:val="es-ES_tradnl"/>
        </w:rPr>
        <w:t xml:space="preserve"> </w:t>
      </w:r>
      <w:r w:rsidRPr="00CD3501">
        <w:rPr>
          <w:rFonts w:ascii="Cambria" w:hAnsi="Cambria"/>
          <w:lang w:val="es-ES_tradnl"/>
        </w:rPr>
        <w:t>y el derecho a la intimidad</w:t>
      </w:r>
      <w:r w:rsidR="00A53CFC" w:rsidRPr="00CD3501">
        <w:rPr>
          <w:rFonts w:ascii="Cambria" w:hAnsi="Cambria"/>
          <w:lang w:val="es-ES_tradnl"/>
        </w:rPr>
        <w:t xml:space="preserve">. </w:t>
      </w:r>
    </w:p>
    <w:p w14:paraId="2BF7E587" w14:textId="77777777" w:rsidR="00A53CFC" w:rsidRPr="00CD3501" w:rsidRDefault="00A53CFC" w:rsidP="00A167CF">
      <w:pPr>
        <w:pStyle w:val="parrafos"/>
        <w:tabs>
          <w:tab w:val="clear" w:pos="360"/>
        </w:tabs>
        <w:rPr>
          <w:rFonts w:ascii="Cambria" w:hAnsi="Cambria"/>
          <w:lang w:val="es-ES_tradnl"/>
        </w:rPr>
      </w:pPr>
    </w:p>
    <w:p w14:paraId="1AD932FC" w14:textId="1D83E32A" w:rsidR="00797A75" w:rsidRPr="00CD3501" w:rsidRDefault="00CC636B"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 xml:space="preserve">En su opinión consultiva sobre la </w:t>
      </w:r>
      <w:r w:rsidR="00EC50E9" w:rsidRPr="00CD3501">
        <w:rPr>
          <w:rFonts w:ascii="Cambria" w:hAnsi="Cambria"/>
          <w:lang w:val="es-ES_tradnl"/>
        </w:rPr>
        <w:t>identidad de género</w:t>
      </w:r>
      <w:r w:rsidRPr="00CD3501">
        <w:rPr>
          <w:rFonts w:ascii="Cambria" w:hAnsi="Cambria"/>
          <w:lang w:val="es-ES_tradnl"/>
        </w:rPr>
        <w:t xml:space="preserve"> y la no </w:t>
      </w:r>
      <w:r w:rsidR="000A3FB7" w:rsidRPr="00CD3501">
        <w:rPr>
          <w:rFonts w:ascii="Cambria" w:hAnsi="Cambria"/>
          <w:lang w:val="es-ES_tradnl"/>
        </w:rPr>
        <w:t>discriminación</w:t>
      </w:r>
      <w:r w:rsidR="00113D69" w:rsidRPr="00CD3501">
        <w:rPr>
          <w:rFonts w:ascii="Cambria" w:hAnsi="Cambria"/>
          <w:lang w:val="es-ES_tradnl"/>
        </w:rPr>
        <w:t xml:space="preserve"> </w:t>
      </w:r>
      <w:r w:rsidRPr="00CD3501">
        <w:rPr>
          <w:rFonts w:ascii="Cambria" w:hAnsi="Cambria"/>
          <w:lang w:val="es-ES_tradnl"/>
        </w:rPr>
        <w:t>de parejas del mismo sexo</w:t>
      </w:r>
      <w:r w:rsidRPr="00CD3501">
        <w:rPr>
          <w:rFonts w:ascii="Cambria" w:hAnsi="Cambria"/>
          <w:i/>
          <w:lang w:val="es-ES_tradnl"/>
        </w:rPr>
        <w:t xml:space="preserve">, </w:t>
      </w:r>
      <w:r w:rsidR="00265CC9" w:rsidRPr="00CD3501">
        <w:rPr>
          <w:rFonts w:ascii="Cambria" w:hAnsi="Cambria"/>
          <w:lang w:val="es-ES_tradnl"/>
        </w:rPr>
        <w:t>la Corte Interamericana</w:t>
      </w:r>
      <w:r w:rsidR="00113D69" w:rsidRPr="00CD3501">
        <w:rPr>
          <w:rFonts w:ascii="Cambria" w:hAnsi="Cambria"/>
          <w:lang w:val="es-ES_tradnl"/>
        </w:rPr>
        <w:t xml:space="preserve"> </w:t>
      </w:r>
      <w:r w:rsidR="00E97E98" w:rsidRPr="00CD3501">
        <w:rPr>
          <w:rFonts w:ascii="Cambria" w:hAnsi="Cambria"/>
          <w:lang w:val="es-ES_tradnl"/>
        </w:rPr>
        <w:t>señaló</w:t>
      </w:r>
      <w:r w:rsidRPr="00CD3501">
        <w:rPr>
          <w:rFonts w:ascii="Cambria" w:hAnsi="Cambria"/>
          <w:lang w:val="es-ES_tradnl"/>
        </w:rPr>
        <w:t xml:space="preserve"> que las personas </w:t>
      </w:r>
      <w:r w:rsidR="0093555A" w:rsidRPr="00CD3501">
        <w:rPr>
          <w:rFonts w:ascii="Cambria" w:hAnsi="Cambria"/>
          <w:lang w:val="es-ES_tradnl"/>
        </w:rPr>
        <w:t xml:space="preserve">LGBTI </w:t>
      </w:r>
      <w:r w:rsidRPr="00CD3501">
        <w:rPr>
          <w:rFonts w:ascii="Cambria" w:hAnsi="Cambria"/>
          <w:lang w:val="es-ES_tradnl"/>
        </w:rPr>
        <w:t xml:space="preserve">sufren </w:t>
      </w:r>
      <w:r w:rsidR="00EC50E9" w:rsidRPr="00CD3501">
        <w:rPr>
          <w:rFonts w:ascii="Cambria" w:hAnsi="Cambria"/>
          <w:lang w:val="es-ES_tradnl"/>
        </w:rPr>
        <w:t>discriminación</w:t>
      </w:r>
      <w:r w:rsidR="0093555A" w:rsidRPr="00CD3501">
        <w:rPr>
          <w:rFonts w:ascii="Cambria" w:hAnsi="Cambria"/>
          <w:lang w:val="es-ES_tradnl"/>
        </w:rPr>
        <w:t xml:space="preserve"> </w:t>
      </w:r>
      <w:r w:rsidRPr="00CD3501">
        <w:rPr>
          <w:rFonts w:ascii="Cambria" w:hAnsi="Cambria"/>
          <w:lang w:val="es-ES_tradnl"/>
        </w:rPr>
        <w:t xml:space="preserve">oficial en forma de leyes y políticas estatales que tipifican la </w:t>
      </w:r>
      <w:r w:rsidR="00313502" w:rsidRPr="00CD3501">
        <w:rPr>
          <w:rFonts w:ascii="Cambria" w:hAnsi="Cambria"/>
          <w:lang w:val="es-ES_tradnl"/>
        </w:rPr>
        <w:t xml:space="preserve">homosexualidad </w:t>
      </w:r>
      <w:r w:rsidR="00E97E98" w:rsidRPr="00CD3501">
        <w:rPr>
          <w:rFonts w:ascii="Cambria" w:hAnsi="Cambria"/>
          <w:lang w:val="es-ES_tradnl"/>
        </w:rPr>
        <w:t>como delito. Agregó</w:t>
      </w:r>
      <w:r w:rsidRPr="00CD3501">
        <w:rPr>
          <w:rFonts w:ascii="Cambria" w:hAnsi="Cambria"/>
          <w:lang w:val="es-ES_tradnl"/>
        </w:rPr>
        <w:t xml:space="preserve"> que todavía hay varios Estados en la región en los que se penalizan las relaciones sexuales </w:t>
      </w:r>
      <w:r w:rsidR="0093555A" w:rsidRPr="00CD3501">
        <w:rPr>
          <w:rFonts w:ascii="Cambria" w:hAnsi="Cambria"/>
          <w:lang w:val="es-ES_tradnl"/>
        </w:rPr>
        <w:t>consensual</w:t>
      </w:r>
      <w:r w:rsidRPr="00CD3501">
        <w:rPr>
          <w:rFonts w:ascii="Cambria" w:hAnsi="Cambria"/>
          <w:lang w:val="es-ES_tradnl"/>
        </w:rPr>
        <w:t xml:space="preserve">es entre adultos del mismo sexo en privado, lo cual la Corte y diversos órganos de protección del derecho internacional de los derechos humanos han considerado contrario a los derechos humanos porque viola los derechos a la igualdad y a la </w:t>
      </w:r>
      <w:r w:rsidR="000A3FB7" w:rsidRPr="00CD3501">
        <w:rPr>
          <w:rFonts w:ascii="Cambria" w:hAnsi="Cambria"/>
          <w:lang w:val="es-ES_tradnl"/>
        </w:rPr>
        <w:t>no discriminación</w:t>
      </w:r>
      <w:r w:rsidRPr="00CD3501">
        <w:rPr>
          <w:rFonts w:ascii="Cambria" w:hAnsi="Cambria"/>
          <w:lang w:val="es-ES_tradnl"/>
        </w:rPr>
        <w:t>, así como el derecho a la intimidad</w:t>
      </w:r>
      <w:r w:rsidR="005E2719" w:rsidRPr="00CD3501">
        <w:rPr>
          <w:rStyle w:val="FootnoteReference"/>
          <w:rFonts w:ascii="Cambria" w:hAnsi="Cambria"/>
          <w:lang w:val="es-ES_tradnl"/>
        </w:rPr>
        <w:footnoteReference w:id="42"/>
      </w:r>
      <w:r w:rsidRPr="00CD3501">
        <w:rPr>
          <w:rFonts w:ascii="Cambria" w:hAnsi="Cambria"/>
          <w:lang w:val="es-ES_tradnl"/>
        </w:rPr>
        <w:t>.</w:t>
      </w:r>
    </w:p>
    <w:p w14:paraId="4C4F6175" w14:textId="77777777" w:rsidR="007E239A" w:rsidRPr="00CD3501" w:rsidRDefault="007E239A" w:rsidP="00A167CF">
      <w:pPr>
        <w:rPr>
          <w:lang w:val="es-ES_tradnl"/>
        </w:rPr>
      </w:pPr>
    </w:p>
    <w:p w14:paraId="7125A59D" w14:textId="38995293" w:rsidR="007E239A" w:rsidRPr="00CD3501" w:rsidRDefault="00C12EE4"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Asimismo, la Comisión Interamericana</w:t>
      </w:r>
      <w:r w:rsidR="007E239A" w:rsidRPr="00CD3501">
        <w:rPr>
          <w:rFonts w:ascii="Cambria" w:hAnsi="Cambria"/>
          <w:lang w:val="es-ES_tradnl"/>
        </w:rPr>
        <w:t xml:space="preserve"> ha</w:t>
      </w:r>
      <w:r w:rsidRPr="00CD3501">
        <w:rPr>
          <w:rFonts w:ascii="Cambria" w:hAnsi="Cambria"/>
          <w:lang w:val="es-ES_tradnl"/>
        </w:rPr>
        <w:t xml:space="preserve"> señalado que las disposiciones que sancionan a un grupo determinado de personas por participar en un acto o práctica sexual </w:t>
      </w:r>
      <w:r w:rsidR="007E239A" w:rsidRPr="00CD3501">
        <w:rPr>
          <w:rFonts w:ascii="Cambria" w:hAnsi="Cambria"/>
          <w:lang w:val="es-ES_tradnl"/>
        </w:rPr>
        <w:t xml:space="preserve">consensual </w:t>
      </w:r>
      <w:r w:rsidRPr="00CD3501">
        <w:rPr>
          <w:rFonts w:ascii="Cambria" w:hAnsi="Cambria"/>
          <w:lang w:val="es-ES_tradnl"/>
        </w:rPr>
        <w:t xml:space="preserve">con otra persona del mismo sexo no son admisibles, ya que se oponen directamente a la prohibición de </w:t>
      </w:r>
      <w:r w:rsidR="00EC50E9" w:rsidRPr="00CD3501">
        <w:rPr>
          <w:rFonts w:ascii="Cambria" w:hAnsi="Cambria"/>
          <w:lang w:val="es-ES_tradnl"/>
        </w:rPr>
        <w:t>discrimina</w:t>
      </w:r>
      <w:r w:rsidRPr="00CD3501">
        <w:rPr>
          <w:rFonts w:ascii="Cambria" w:hAnsi="Cambria"/>
          <w:lang w:val="es-ES_tradnl"/>
        </w:rPr>
        <w:t xml:space="preserve">r por </w:t>
      </w:r>
      <w:r w:rsidR="00561FAC" w:rsidRPr="00CD3501">
        <w:rPr>
          <w:rFonts w:ascii="Cambria" w:hAnsi="Cambria"/>
          <w:lang w:val="es-ES_tradnl"/>
        </w:rPr>
        <w:t xml:space="preserve">motivos de </w:t>
      </w:r>
      <w:r w:rsidR="000A3FB7" w:rsidRPr="00CD3501">
        <w:rPr>
          <w:rFonts w:ascii="Cambria" w:hAnsi="Cambria"/>
          <w:lang w:val="es-ES_tradnl"/>
        </w:rPr>
        <w:t>orientación sexual</w:t>
      </w:r>
      <w:r w:rsidR="00F03911" w:rsidRPr="00CD3501">
        <w:rPr>
          <w:rStyle w:val="FootnoteReference"/>
          <w:rFonts w:ascii="Cambria" w:hAnsi="Cambria"/>
          <w:lang w:val="es-ES_tradnl"/>
        </w:rPr>
        <w:footnoteReference w:id="43"/>
      </w:r>
      <w:r w:rsidRPr="00CD3501">
        <w:rPr>
          <w:rFonts w:ascii="Cambria" w:hAnsi="Cambria"/>
          <w:lang w:val="es-ES_tradnl"/>
        </w:rPr>
        <w:t>. Específicamente, en su informe sobre la violencia contra personas lesbianas, gay, bisexuales, trans e intersex en las Américas</w:t>
      </w:r>
      <w:r w:rsidR="00565909" w:rsidRPr="00CD3501">
        <w:rPr>
          <w:rFonts w:ascii="Cambria" w:hAnsi="Cambria"/>
          <w:lang w:val="es-ES_tradnl"/>
        </w:rPr>
        <w:t xml:space="preserve">, </w:t>
      </w:r>
      <w:r w:rsidR="00497B9A" w:rsidRPr="00CD3501">
        <w:rPr>
          <w:rFonts w:ascii="Cambria" w:hAnsi="Cambria"/>
          <w:lang w:val="es-ES_tradnl"/>
        </w:rPr>
        <w:t>la Comisión</w:t>
      </w:r>
      <w:r w:rsidR="001E3B05" w:rsidRPr="00CD3501">
        <w:rPr>
          <w:rFonts w:ascii="Cambria" w:hAnsi="Cambria"/>
          <w:lang w:val="es-ES_tradnl"/>
        </w:rPr>
        <w:t xml:space="preserve"> indic</w:t>
      </w:r>
      <w:r w:rsidRPr="00CD3501">
        <w:rPr>
          <w:rFonts w:ascii="Cambria" w:hAnsi="Cambria"/>
          <w:lang w:val="es-ES_tradnl"/>
        </w:rPr>
        <w:t>ó que</w:t>
      </w:r>
      <w:r w:rsidR="001E3B05" w:rsidRPr="00CD3501">
        <w:rPr>
          <w:rFonts w:ascii="Cambria" w:hAnsi="Cambria"/>
          <w:lang w:val="es-ES_tradnl"/>
        </w:rPr>
        <w:t>:</w:t>
      </w:r>
    </w:p>
    <w:p w14:paraId="2DFA0452" w14:textId="77777777" w:rsidR="001E3B05" w:rsidRPr="00CD3501" w:rsidRDefault="001E3B05" w:rsidP="00C12EE4">
      <w:pPr>
        <w:rPr>
          <w:lang w:val="es-ES_tradnl"/>
        </w:rPr>
      </w:pPr>
    </w:p>
    <w:p w14:paraId="40FCF655" w14:textId="0E12486C" w:rsidR="004E6130" w:rsidRPr="00CD3501" w:rsidRDefault="00283971"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lastRenderedPageBreak/>
        <w:t>las disposiciones legales que criminalizan las relaciones sexuales consentidas entre personas del mismo sexo en privado son incompatibles con los principios de igualdad y no discriminación de acuerdo con el derecho internacional de los derechos humanos. En este sentido, y tomando en cuenta su impacto en la violencia contra personas LGBT, la CIDH insta a los Estados de la región que tienen vigentes leyes que criminalizan el sexo consensual entre personas adultas del mismo sexo, leyes contra la “indecencia grave” y la “indecencia seria”, y legislación que criminaliza el uso de prendas tradicionalmente asignadas a otro género, a derogar estas disposiciones legales, y, mientras tanto, a imponer una moratoria explícita y formal sobre la aplicación de las mismas. Esto enviaría un claro mensaje a la sociedad en general, y a los agentes encargados de hacer cumplir la ley en particular, de que estas leyes no pueden ser utilizadas para amenazar o extorsionar a las personas LGBT o aquellas que son percibidas como tales</w:t>
      </w:r>
      <w:r w:rsidR="00511377" w:rsidRPr="00CD3501">
        <w:rPr>
          <w:rStyle w:val="FootnoteReference"/>
          <w:rFonts w:asciiTheme="majorHAnsi" w:hAnsiTheme="majorHAnsi"/>
          <w:sz w:val="18"/>
          <w:szCs w:val="18"/>
          <w:lang w:val="es-ES_tradnl"/>
        </w:rPr>
        <w:footnoteReference w:id="44"/>
      </w:r>
      <w:r w:rsidRPr="00CD3501">
        <w:rPr>
          <w:rFonts w:asciiTheme="majorHAnsi" w:hAnsiTheme="majorHAnsi"/>
          <w:sz w:val="18"/>
          <w:szCs w:val="18"/>
          <w:lang w:val="es-ES_tradnl"/>
        </w:rPr>
        <w:t>.</w:t>
      </w:r>
      <w:r w:rsidR="00511377" w:rsidRPr="00CD3501">
        <w:rPr>
          <w:rFonts w:asciiTheme="majorHAnsi" w:hAnsiTheme="majorHAnsi"/>
          <w:sz w:val="18"/>
          <w:szCs w:val="18"/>
          <w:lang w:val="es-ES_tradnl"/>
        </w:rPr>
        <w:t xml:space="preserve"> </w:t>
      </w:r>
    </w:p>
    <w:p w14:paraId="543240D0" w14:textId="77777777" w:rsidR="00A167CF" w:rsidRPr="00CD3501" w:rsidRDefault="00A167CF" w:rsidP="00C12EE4">
      <w:pPr>
        <w:pBdr>
          <w:top w:val="none" w:sz="0" w:space="0" w:color="auto"/>
          <w:left w:val="none" w:sz="0" w:space="0" w:color="auto"/>
          <w:bottom w:val="none" w:sz="0" w:space="0" w:color="auto"/>
          <w:right w:val="none" w:sz="0" w:space="0" w:color="auto"/>
          <w:between w:val="none" w:sz="0" w:space="0" w:color="auto"/>
          <w:bar w:val="none" w:sz="0" w:color="auto"/>
        </w:pBdr>
        <w:ind w:right="360"/>
        <w:jc w:val="both"/>
        <w:rPr>
          <w:rFonts w:asciiTheme="majorHAnsi" w:hAnsiTheme="majorHAnsi"/>
          <w:sz w:val="18"/>
          <w:szCs w:val="18"/>
          <w:lang w:val="es-ES_tradnl"/>
        </w:rPr>
      </w:pPr>
    </w:p>
    <w:p w14:paraId="10ADDE94" w14:textId="29A07D34" w:rsidR="00E819FB" w:rsidRPr="00CD3501" w:rsidRDefault="00C12EE4"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 xml:space="preserve">Varios órganos internacionales de derechos humanos y tribunales internos superiores también han establecido la </w:t>
      </w:r>
      <w:r w:rsidR="00E819FB" w:rsidRPr="00CD3501">
        <w:rPr>
          <w:rFonts w:ascii="Cambria" w:hAnsi="Cambria"/>
          <w:lang w:val="es-ES_tradnl"/>
        </w:rPr>
        <w:t>incompatibili</w:t>
      </w:r>
      <w:r w:rsidRPr="00CD3501">
        <w:rPr>
          <w:rFonts w:ascii="Cambria" w:hAnsi="Cambria"/>
          <w:lang w:val="es-ES_tradnl"/>
        </w:rPr>
        <w:t>dad de las disposiciones que sancionan prácticas</w:t>
      </w:r>
      <w:r w:rsidR="00E819FB" w:rsidRPr="00CD3501">
        <w:rPr>
          <w:rFonts w:ascii="Cambria" w:hAnsi="Cambria"/>
          <w:lang w:val="es-ES_tradnl"/>
        </w:rPr>
        <w:t xml:space="preserve"> sexual</w:t>
      </w:r>
      <w:r w:rsidRPr="00CD3501">
        <w:rPr>
          <w:rFonts w:ascii="Cambria" w:hAnsi="Cambria"/>
          <w:lang w:val="es-ES_tradnl"/>
        </w:rPr>
        <w:t xml:space="preserve">es entre personas del mismo sexo con el derecho a la intimidad y el principio de </w:t>
      </w:r>
      <w:r w:rsidR="000A3FB7" w:rsidRPr="00CD3501">
        <w:rPr>
          <w:rFonts w:ascii="Cambria" w:hAnsi="Cambria"/>
          <w:lang w:val="es-ES_tradnl"/>
        </w:rPr>
        <w:t>no discriminación</w:t>
      </w:r>
      <w:r w:rsidR="002B1EF2" w:rsidRPr="00CD3501">
        <w:rPr>
          <w:rFonts w:ascii="Cambria" w:hAnsi="Cambria"/>
          <w:lang w:val="es-ES_tradnl"/>
        </w:rPr>
        <w:t xml:space="preserve"> </w:t>
      </w:r>
      <w:r w:rsidRPr="00CD3501">
        <w:rPr>
          <w:rFonts w:ascii="Cambria" w:hAnsi="Cambria"/>
          <w:lang w:val="es-ES_tradnl"/>
        </w:rPr>
        <w:t xml:space="preserve">y han puesto de relieve el nexo entre la penalización y la </w:t>
      </w:r>
      <w:r w:rsidR="00EC50E9" w:rsidRPr="00CD3501">
        <w:rPr>
          <w:rFonts w:ascii="Cambria" w:hAnsi="Cambria"/>
          <w:lang w:val="es-ES_tradnl"/>
        </w:rPr>
        <w:t>violencia</w:t>
      </w:r>
      <w:r w:rsidR="002B1EF2" w:rsidRPr="00CD3501">
        <w:rPr>
          <w:rFonts w:ascii="Cambria" w:hAnsi="Cambria"/>
          <w:lang w:val="es-ES_tradnl"/>
        </w:rPr>
        <w:t xml:space="preserve"> </w:t>
      </w:r>
      <w:r w:rsidRPr="00CD3501">
        <w:rPr>
          <w:rFonts w:ascii="Cambria" w:hAnsi="Cambria"/>
          <w:lang w:val="es-ES_tradnl"/>
        </w:rPr>
        <w:t xml:space="preserve">contra las </w:t>
      </w:r>
      <w:r w:rsidR="009E5620" w:rsidRPr="00CD3501">
        <w:rPr>
          <w:rFonts w:ascii="Cambria" w:hAnsi="Cambria"/>
          <w:lang w:val="es-ES_tradnl"/>
        </w:rPr>
        <w:t>personas LGBTI</w:t>
      </w:r>
      <w:r w:rsidR="002B1EF2" w:rsidRPr="00CD3501">
        <w:rPr>
          <w:rFonts w:ascii="Cambria" w:hAnsi="Cambria"/>
          <w:lang w:val="es-ES_tradnl"/>
        </w:rPr>
        <w:t xml:space="preserve">. </w:t>
      </w:r>
    </w:p>
    <w:p w14:paraId="07851158" w14:textId="77777777" w:rsidR="00797A75" w:rsidRPr="00CD3501" w:rsidRDefault="00797A75" w:rsidP="00A167CF">
      <w:pPr>
        <w:rPr>
          <w:lang w:val="es-ES_tradnl"/>
        </w:rPr>
      </w:pPr>
    </w:p>
    <w:p w14:paraId="4095135D" w14:textId="3A2C909D" w:rsidR="00B94F89" w:rsidRPr="00CD3501" w:rsidRDefault="00A34111"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 xml:space="preserve">En el caso </w:t>
      </w:r>
      <w:r w:rsidR="00B94F89" w:rsidRPr="00CD3501">
        <w:rPr>
          <w:rFonts w:ascii="Cambria" w:hAnsi="Cambria"/>
          <w:i/>
          <w:lang w:val="es-ES_tradnl"/>
        </w:rPr>
        <w:t xml:space="preserve">Toonen </w:t>
      </w:r>
      <w:r w:rsidR="00313502" w:rsidRPr="00CD3501">
        <w:rPr>
          <w:rFonts w:ascii="Cambria" w:hAnsi="Cambria"/>
          <w:i/>
          <w:lang w:val="es-ES_tradnl"/>
        </w:rPr>
        <w:t xml:space="preserve">contra </w:t>
      </w:r>
      <w:r w:rsidR="00B94F89" w:rsidRPr="00CD3501">
        <w:rPr>
          <w:rFonts w:ascii="Cambria" w:hAnsi="Cambria"/>
          <w:i/>
          <w:lang w:val="es-ES_tradnl"/>
        </w:rPr>
        <w:t>Australia</w:t>
      </w:r>
      <w:r w:rsidR="00B94F89" w:rsidRPr="00CD3501">
        <w:rPr>
          <w:rFonts w:ascii="Cambria" w:hAnsi="Cambria"/>
          <w:lang w:val="es-ES_tradnl"/>
        </w:rPr>
        <w:t xml:space="preserve">, </w:t>
      </w:r>
      <w:r w:rsidRPr="00CD3501">
        <w:rPr>
          <w:rFonts w:ascii="Cambria" w:hAnsi="Cambria"/>
          <w:lang w:val="es-ES_tradnl"/>
        </w:rPr>
        <w:t xml:space="preserve">el Comité de Derechos Humanos dictaminó que las leyes que penalizan las relaciones sexuales </w:t>
      </w:r>
      <w:r w:rsidR="00B94F89" w:rsidRPr="00CD3501">
        <w:rPr>
          <w:rFonts w:ascii="Cambria" w:hAnsi="Cambria"/>
          <w:lang w:val="es-ES_tradnl"/>
        </w:rPr>
        <w:t>consensual</w:t>
      </w:r>
      <w:r w:rsidRPr="00CD3501">
        <w:rPr>
          <w:rFonts w:ascii="Cambria" w:hAnsi="Cambria"/>
          <w:lang w:val="es-ES_tradnl"/>
        </w:rPr>
        <w:t>es privadas entre personas del mismo sexo</w:t>
      </w:r>
      <w:r w:rsidR="00B94F89" w:rsidRPr="00CD3501">
        <w:rPr>
          <w:rFonts w:ascii="Cambria" w:hAnsi="Cambria"/>
          <w:lang w:val="es-ES_tradnl"/>
        </w:rPr>
        <w:t xml:space="preserve"> </w:t>
      </w:r>
      <w:r w:rsidRPr="00CD3501">
        <w:rPr>
          <w:rFonts w:ascii="Cambria" w:hAnsi="Cambria"/>
          <w:lang w:val="es-ES_tradnl"/>
        </w:rPr>
        <w:t xml:space="preserve">violan los derechos a la intimidad y a la </w:t>
      </w:r>
      <w:r w:rsidR="000A3FB7" w:rsidRPr="00CD3501">
        <w:rPr>
          <w:rFonts w:ascii="Cambria" w:hAnsi="Cambria"/>
          <w:lang w:val="es-ES_tradnl"/>
        </w:rPr>
        <w:t>discriminación</w:t>
      </w:r>
      <w:r w:rsidRPr="00CD3501">
        <w:rPr>
          <w:rFonts w:ascii="Cambria" w:hAnsi="Cambria"/>
          <w:lang w:val="es-ES_tradnl"/>
        </w:rPr>
        <w:t xml:space="preserve">, se apliquen o no, </w:t>
      </w:r>
      <w:r w:rsidR="000B42E6" w:rsidRPr="00CD3501">
        <w:rPr>
          <w:rFonts w:ascii="Cambria" w:hAnsi="Cambria"/>
          <w:lang w:val="es-ES_tradnl"/>
        </w:rPr>
        <w:t xml:space="preserve">sin importar </w:t>
      </w:r>
      <w:r w:rsidRPr="00CD3501">
        <w:rPr>
          <w:rFonts w:ascii="Cambria" w:hAnsi="Cambria"/>
          <w:lang w:val="es-ES_tradnl"/>
        </w:rPr>
        <w:t>si la víctima en el caso ha sido objeto de una investigación o un juicio. Concretamente, el Comité explicó lo siguiente</w:t>
      </w:r>
      <w:r w:rsidR="00E13134" w:rsidRPr="00CD3501">
        <w:rPr>
          <w:rFonts w:ascii="Cambria" w:hAnsi="Cambria"/>
          <w:lang w:val="es-ES_tradnl"/>
        </w:rPr>
        <w:t>:</w:t>
      </w:r>
    </w:p>
    <w:p w14:paraId="3214B007" w14:textId="77777777" w:rsidR="00B94F89" w:rsidRPr="00CD3501" w:rsidRDefault="00B94F89" w:rsidP="00A34111">
      <w:pPr>
        <w:rPr>
          <w:lang w:val="es-ES_tradnl"/>
        </w:rPr>
      </w:pPr>
    </w:p>
    <w:p w14:paraId="5EB1BCD4" w14:textId="2F4AC9BB" w:rsidR="00B94F89" w:rsidRPr="00CD3501" w:rsidRDefault="00A34111"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t xml:space="preserve">En lo que atañe al artículo 17, es indiscutible que la actividad sexual consensual llevada a cabo en privado entre adultos queda incluida en el concepto de “vida privada” y que en la actualidad el Sr. Toonen se ve realmente afectado por el mantenimiento de las leyes impugnadas. El Comité considera que los apartados a) y c) del artículo 122 y el artículo 123 del Código Penal de Tasmania representan una </w:t>
      </w:r>
      <w:r w:rsidR="00313502" w:rsidRPr="00CD3501">
        <w:rPr>
          <w:rFonts w:asciiTheme="majorHAnsi" w:hAnsiTheme="majorHAnsi"/>
          <w:sz w:val="18"/>
          <w:szCs w:val="18"/>
          <w:lang w:val="es-ES_tradnl"/>
        </w:rPr>
        <w:t>“</w:t>
      </w:r>
      <w:r w:rsidRPr="00CD3501">
        <w:rPr>
          <w:rFonts w:asciiTheme="majorHAnsi" w:hAnsiTheme="majorHAnsi"/>
          <w:sz w:val="18"/>
          <w:szCs w:val="18"/>
          <w:lang w:val="es-ES_tradnl"/>
        </w:rPr>
        <w:t>injerencia</w:t>
      </w:r>
      <w:r w:rsidR="00313502" w:rsidRPr="00CD3501">
        <w:rPr>
          <w:rFonts w:asciiTheme="majorHAnsi" w:hAnsiTheme="majorHAnsi"/>
          <w:sz w:val="18"/>
          <w:szCs w:val="18"/>
          <w:lang w:val="es-ES_tradnl"/>
        </w:rPr>
        <w:t>”</w:t>
      </w:r>
      <w:r w:rsidRPr="00CD3501">
        <w:rPr>
          <w:rFonts w:asciiTheme="majorHAnsi" w:hAnsiTheme="majorHAnsi"/>
          <w:sz w:val="18"/>
          <w:szCs w:val="18"/>
          <w:lang w:val="es-ES_tradnl"/>
        </w:rPr>
        <w:t xml:space="preserve"> en la vida privada del autor, aun cuando esas disposiciones no se apliquen desde hace un decenio. En ese contexto, el Comité señala que la política del ministerio público de no entablar acciones penales en relación con una conducta homosexual privada no constituye una garantía de que en el futuro no se iniciarán acciones contra homosexuales, especialmente si se tienen en cuenta las declaraciones no desmentidas del Director del ministerio público de Tasmania formuladas en 1988 y las de los miembros del Parlamento de Tasmania</w:t>
      </w:r>
      <w:r w:rsidR="00B94F89" w:rsidRPr="00CD3501">
        <w:rPr>
          <w:rStyle w:val="FootnoteReference"/>
          <w:rFonts w:asciiTheme="majorHAnsi" w:hAnsiTheme="majorHAnsi"/>
          <w:sz w:val="18"/>
          <w:szCs w:val="18"/>
          <w:lang w:val="es-ES_tradnl"/>
        </w:rPr>
        <w:footnoteReference w:id="45"/>
      </w:r>
      <w:r w:rsidRPr="00CD3501">
        <w:rPr>
          <w:rFonts w:asciiTheme="majorHAnsi" w:hAnsiTheme="majorHAnsi"/>
          <w:sz w:val="18"/>
          <w:szCs w:val="18"/>
          <w:lang w:val="es-ES_tradnl"/>
        </w:rPr>
        <w:t>.</w:t>
      </w:r>
    </w:p>
    <w:p w14:paraId="2F4317B8" w14:textId="77777777" w:rsidR="00CB59F1" w:rsidRPr="00CD3501" w:rsidRDefault="00CB59F1" w:rsidP="00A167CF">
      <w:pPr>
        <w:rPr>
          <w:lang w:val="es-ES_tradnl"/>
        </w:rPr>
      </w:pPr>
    </w:p>
    <w:p w14:paraId="6305ECF1" w14:textId="4CF75FF8" w:rsidR="00CB59F1" w:rsidRPr="00CD3501" w:rsidRDefault="00561FAC"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 xml:space="preserve">El Experto Independiente sobre la protección contra la </w:t>
      </w:r>
      <w:r w:rsidR="00EC50E9" w:rsidRPr="00CD3501">
        <w:rPr>
          <w:rFonts w:ascii="Cambria" w:hAnsi="Cambria"/>
          <w:lang w:val="es-ES_tradnl"/>
        </w:rPr>
        <w:t>violencia</w:t>
      </w:r>
      <w:r w:rsidR="00CB59F1" w:rsidRPr="00CD3501">
        <w:rPr>
          <w:rFonts w:ascii="Cambria" w:hAnsi="Cambria"/>
          <w:lang w:val="es-ES_tradnl"/>
        </w:rPr>
        <w:t xml:space="preserve"> </w:t>
      </w:r>
      <w:r w:rsidRPr="00CD3501">
        <w:rPr>
          <w:rFonts w:ascii="Cambria" w:hAnsi="Cambria"/>
          <w:lang w:val="es-ES_tradnl"/>
        </w:rPr>
        <w:t>y la</w:t>
      </w:r>
      <w:r w:rsidR="00CB59F1" w:rsidRPr="00CD3501">
        <w:rPr>
          <w:rFonts w:ascii="Cambria" w:hAnsi="Cambria"/>
          <w:lang w:val="es-ES_tradnl"/>
        </w:rPr>
        <w:t xml:space="preserve"> </w:t>
      </w:r>
      <w:r w:rsidR="00EC50E9" w:rsidRPr="00CD3501">
        <w:rPr>
          <w:rFonts w:ascii="Cambria" w:hAnsi="Cambria"/>
          <w:lang w:val="es-ES_tradnl"/>
        </w:rPr>
        <w:t>discriminación</w:t>
      </w:r>
      <w:r w:rsidR="00CB59F1" w:rsidRPr="00CD3501">
        <w:rPr>
          <w:rFonts w:ascii="Cambria" w:hAnsi="Cambria"/>
          <w:lang w:val="es-ES_tradnl"/>
        </w:rPr>
        <w:t xml:space="preserve"> </w:t>
      </w:r>
      <w:r w:rsidRPr="00CD3501">
        <w:rPr>
          <w:rFonts w:ascii="Cambria" w:hAnsi="Cambria"/>
          <w:lang w:val="es-ES_tradnl"/>
        </w:rPr>
        <w:t xml:space="preserve">por motivos de </w:t>
      </w:r>
      <w:r w:rsidR="000A3FB7" w:rsidRPr="00CD3501">
        <w:rPr>
          <w:rFonts w:ascii="Cambria" w:hAnsi="Cambria"/>
          <w:lang w:val="es-ES_tradnl"/>
        </w:rPr>
        <w:t>orientación sexual</w:t>
      </w:r>
      <w:r w:rsidR="00CB59F1" w:rsidRPr="00CD3501">
        <w:rPr>
          <w:rFonts w:ascii="Cambria" w:hAnsi="Cambria"/>
          <w:lang w:val="es-ES_tradnl"/>
        </w:rPr>
        <w:t xml:space="preserve"> </w:t>
      </w:r>
      <w:r w:rsidRPr="00CD3501">
        <w:rPr>
          <w:rFonts w:ascii="Cambria" w:hAnsi="Cambria"/>
          <w:lang w:val="es-ES_tradnl"/>
        </w:rPr>
        <w:t>e</w:t>
      </w:r>
      <w:r w:rsidR="00CB59F1" w:rsidRPr="00CD3501">
        <w:rPr>
          <w:rFonts w:ascii="Cambria" w:hAnsi="Cambria"/>
          <w:lang w:val="es-ES_tradnl"/>
        </w:rPr>
        <w:t xml:space="preserve"> </w:t>
      </w:r>
      <w:r w:rsidR="00EC50E9" w:rsidRPr="00CD3501">
        <w:rPr>
          <w:rFonts w:ascii="Cambria" w:hAnsi="Cambria"/>
          <w:lang w:val="es-ES_tradnl"/>
        </w:rPr>
        <w:t>identidad de género</w:t>
      </w:r>
      <w:r w:rsidRPr="00CD3501">
        <w:rPr>
          <w:rFonts w:ascii="Cambria" w:hAnsi="Cambria"/>
          <w:lang w:val="es-ES_tradnl"/>
        </w:rPr>
        <w:t>, de las Naciones Unidas,</w:t>
      </w:r>
      <w:r w:rsidR="00CB59F1" w:rsidRPr="00CD3501">
        <w:rPr>
          <w:rFonts w:ascii="Cambria" w:hAnsi="Cambria"/>
          <w:lang w:val="es-ES_tradnl"/>
        </w:rPr>
        <w:t xml:space="preserve"> ha</w:t>
      </w:r>
      <w:r w:rsidRPr="00CD3501">
        <w:rPr>
          <w:rFonts w:ascii="Cambria" w:hAnsi="Cambria"/>
          <w:lang w:val="es-ES_tradnl"/>
        </w:rPr>
        <w:t xml:space="preserve"> señalado que </w:t>
      </w:r>
      <w:r w:rsidR="00E66D47" w:rsidRPr="00CD3501">
        <w:rPr>
          <w:rFonts w:ascii="Cambria" w:hAnsi="Cambria"/>
          <w:lang w:val="es-ES_tradnl"/>
        </w:rPr>
        <w:t xml:space="preserve">la </w:t>
      </w:r>
      <w:r w:rsidRPr="00CD3501">
        <w:rPr>
          <w:rFonts w:ascii="Cambria" w:hAnsi="Cambria"/>
          <w:lang w:val="es-ES_tradnl"/>
        </w:rPr>
        <w:t>penaliza</w:t>
      </w:r>
      <w:r w:rsidR="00E66D47" w:rsidRPr="00CD3501">
        <w:rPr>
          <w:rFonts w:ascii="Cambria" w:hAnsi="Cambria"/>
          <w:lang w:val="es-ES_tradnl"/>
        </w:rPr>
        <w:t>ción de</w:t>
      </w:r>
      <w:r w:rsidRPr="00CD3501">
        <w:rPr>
          <w:rFonts w:ascii="Cambria" w:hAnsi="Cambria"/>
          <w:lang w:val="es-ES_tradnl"/>
        </w:rPr>
        <w:t xml:space="preserve"> la </w:t>
      </w:r>
      <w:r w:rsidR="00CB59F1" w:rsidRPr="00CD3501">
        <w:rPr>
          <w:rFonts w:ascii="Cambria" w:hAnsi="Cambria"/>
          <w:lang w:val="es-ES_tradnl"/>
        </w:rPr>
        <w:t>homosexuali</w:t>
      </w:r>
      <w:r w:rsidRPr="00CD3501">
        <w:rPr>
          <w:rFonts w:ascii="Cambria" w:hAnsi="Cambria"/>
          <w:lang w:val="es-ES_tradnl"/>
        </w:rPr>
        <w:t xml:space="preserve">dad y otras formas de diversidad </w:t>
      </w:r>
      <w:r w:rsidR="00CB59F1" w:rsidRPr="00CD3501">
        <w:rPr>
          <w:rFonts w:ascii="Cambria" w:hAnsi="Cambria"/>
          <w:lang w:val="es-ES_tradnl"/>
        </w:rPr>
        <w:t xml:space="preserve">sexual </w:t>
      </w:r>
      <w:r w:rsidRPr="00CD3501">
        <w:rPr>
          <w:rFonts w:ascii="Cambria" w:hAnsi="Cambria"/>
          <w:lang w:val="es-ES_tradnl"/>
        </w:rPr>
        <w:t xml:space="preserve">y de género es una de las causas fundamentales de las graves y extendidas violaciones de derechos humanos por motivos de </w:t>
      </w:r>
      <w:r w:rsidR="000A3FB7" w:rsidRPr="00CD3501">
        <w:rPr>
          <w:rFonts w:ascii="Cambria" w:hAnsi="Cambria"/>
          <w:lang w:val="es-ES_tradnl"/>
        </w:rPr>
        <w:t>orientación sexual</w:t>
      </w:r>
      <w:r w:rsidR="00CB59F1" w:rsidRPr="00CD3501">
        <w:rPr>
          <w:rFonts w:ascii="Cambria" w:hAnsi="Cambria"/>
          <w:lang w:val="es-ES_tradnl"/>
        </w:rPr>
        <w:t xml:space="preserve"> </w:t>
      </w:r>
      <w:r w:rsidRPr="00CD3501">
        <w:rPr>
          <w:rFonts w:ascii="Cambria" w:hAnsi="Cambria"/>
          <w:lang w:val="es-ES_tradnl"/>
        </w:rPr>
        <w:t xml:space="preserve">e </w:t>
      </w:r>
      <w:r w:rsidR="00EC50E9" w:rsidRPr="00CD3501">
        <w:rPr>
          <w:rFonts w:ascii="Cambria" w:hAnsi="Cambria"/>
          <w:lang w:val="es-ES_tradnl"/>
        </w:rPr>
        <w:t>identidad de género</w:t>
      </w:r>
      <w:r w:rsidRPr="00CD3501">
        <w:rPr>
          <w:rFonts w:ascii="Cambria" w:hAnsi="Cambria"/>
          <w:lang w:val="es-ES_tradnl"/>
        </w:rPr>
        <w:t>, además de ser contrari</w:t>
      </w:r>
      <w:r w:rsidR="00E66D47" w:rsidRPr="00CD3501">
        <w:rPr>
          <w:rFonts w:ascii="Cambria" w:hAnsi="Cambria"/>
          <w:lang w:val="es-ES_tradnl"/>
        </w:rPr>
        <w:t>a</w:t>
      </w:r>
      <w:r w:rsidRPr="00CD3501">
        <w:rPr>
          <w:rFonts w:ascii="Cambria" w:hAnsi="Cambria"/>
          <w:lang w:val="es-ES_tradnl"/>
        </w:rPr>
        <w:t xml:space="preserve"> al derecho internacional de los derechos humanos</w:t>
      </w:r>
      <w:r w:rsidR="00CB59F1" w:rsidRPr="00CD3501">
        <w:rPr>
          <w:rStyle w:val="FootnoteReference"/>
          <w:rFonts w:ascii="Cambria" w:hAnsi="Cambria"/>
          <w:lang w:val="es-ES_tradnl"/>
        </w:rPr>
        <w:footnoteReference w:id="46"/>
      </w:r>
      <w:r w:rsidRPr="00CD3501">
        <w:rPr>
          <w:rFonts w:ascii="Cambria" w:hAnsi="Cambria"/>
          <w:lang w:val="es-ES_tradnl"/>
        </w:rPr>
        <w:t>.</w:t>
      </w:r>
    </w:p>
    <w:p w14:paraId="755FD122" w14:textId="77777777" w:rsidR="00CB59F1" w:rsidRPr="00CD3501" w:rsidRDefault="00CB59F1" w:rsidP="00C7094B">
      <w:pPr>
        <w:rPr>
          <w:lang w:val="es-ES_tradnl"/>
        </w:rPr>
      </w:pPr>
    </w:p>
    <w:p w14:paraId="77E701A8" w14:textId="1156F5D2" w:rsidR="00CB59F1" w:rsidRPr="00CD3501" w:rsidRDefault="00104387" w:rsidP="00104387">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Por su parte, el Alto Comisionado de las Naciones Unidas para los Derechos Humanos</w:t>
      </w:r>
      <w:r w:rsidR="00CB59F1" w:rsidRPr="00CD3501">
        <w:rPr>
          <w:rFonts w:ascii="Cambria" w:hAnsi="Cambria"/>
          <w:lang w:val="es-ES_tradnl"/>
        </w:rPr>
        <w:t xml:space="preserve"> ha</w:t>
      </w:r>
      <w:r w:rsidRPr="00CD3501">
        <w:rPr>
          <w:rFonts w:ascii="Cambria" w:hAnsi="Cambria"/>
          <w:lang w:val="es-ES_tradnl"/>
        </w:rPr>
        <w:t xml:space="preserve"> señalado que la penalización de actos </w:t>
      </w:r>
      <w:r w:rsidR="00CB59F1" w:rsidRPr="00CD3501">
        <w:rPr>
          <w:rFonts w:ascii="Cambria" w:hAnsi="Cambria"/>
          <w:lang w:val="es-ES_tradnl"/>
        </w:rPr>
        <w:t>homosexual</w:t>
      </w:r>
      <w:r w:rsidRPr="00CD3501">
        <w:rPr>
          <w:rFonts w:ascii="Cambria" w:hAnsi="Cambria"/>
          <w:lang w:val="es-ES_tradnl"/>
        </w:rPr>
        <w:t>es consensuales en privado constituye una conculcación de los derechos individuales a la intimidad y a la no discriminación, así como una vulneración de las normas internacionales de derechos humanos</w:t>
      </w:r>
      <w:r w:rsidR="00E13134" w:rsidRPr="00CD3501">
        <w:rPr>
          <w:rFonts w:ascii="Cambria" w:hAnsi="Cambria"/>
          <w:lang w:val="es-ES_tradnl"/>
        </w:rPr>
        <w:t>,</w:t>
      </w:r>
      <w:r w:rsidR="00CB59F1" w:rsidRPr="00CD3501">
        <w:rPr>
          <w:rFonts w:ascii="Cambria" w:hAnsi="Cambria"/>
          <w:lang w:val="es-ES_tradnl"/>
        </w:rPr>
        <w:t xml:space="preserve"> </w:t>
      </w:r>
      <w:r w:rsidRPr="00CD3501">
        <w:rPr>
          <w:rFonts w:ascii="Cambria" w:hAnsi="Cambria"/>
          <w:lang w:val="es-ES_tradnl"/>
        </w:rPr>
        <w:t>y recuerda que los titulares de mandatos de procedimientos especiales han destacado la relación entre la penalización y los delitos de carácter homofóbico. Por ejemplo,</w:t>
      </w:r>
      <w:r w:rsidR="00CB59F1" w:rsidRPr="00CD3501">
        <w:rPr>
          <w:rFonts w:ascii="Cambria" w:hAnsi="Cambria"/>
          <w:lang w:val="es-ES_tradnl"/>
        </w:rPr>
        <w:t xml:space="preserve"> </w:t>
      </w:r>
      <w:r w:rsidRPr="00CD3501">
        <w:rPr>
          <w:rFonts w:ascii="Cambria" w:hAnsi="Cambria"/>
          <w:lang w:val="es-ES_tradnl"/>
        </w:rPr>
        <w:t>e</w:t>
      </w:r>
      <w:r w:rsidRPr="00CD3501">
        <w:rPr>
          <w:lang w:val="es-ES_tradnl"/>
        </w:rPr>
        <w:t>l Relator Especial sobre el derecho a la salud observó que “cuando el Estado sanciona este tipo de castigo, los prejuicios existentes se consolidan, legitimándose la violencia comunitaria y la brutalidad policial contra los afectados</w:t>
      </w:r>
      <w:r w:rsidR="00CB59F1" w:rsidRPr="00CD3501">
        <w:rPr>
          <w:lang w:val="es-ES_tradnl"/>
        </w:rPr>
        <w:t>”</w:t>
      </w:r>
      <w:r w:rsidRPr="00CD3501">
        <w:rPr>
          <w:lang w:val="es-ES_tradnl"/>
        </w:rPr>
        <w:t>.</w:t>
      </w:r>
      <w:r w:rsidR="00CB59F1" w:rsidRPr="00CD3501">
        <w:rPr>
          <w:lang w:val="es-ES_tradnl"/>
        </w:rPr>
        <w:t xml:space="preserve"> </w:t>
      </w:r>
      <w:r w:rsidRPr="00CD3501">
        <w:rPr>
          <w:lang w:val="es-ES_tradnl"/>
        </w:rPr>
        <w:t xml:space="preserve">La Relatora Especial sobre las ejecuciones extrajudiciales, sumarias o arbitrarias hizo notar que la tipificación penal agrava la estigmatización social y hace a las personas “más vulnerables a la violencia y a los abusos en materia de </w:t>
      </w:r>
      <w:r w:rsidRPr="00CD3501">
        <w:rPr>
          <w:lang w:val="es-ES_tradnl"/>
        </w:rPr>
        <w:lastRenderedPageBreak/>
        <w:t>derechos humanos, incluidas las amenazas de muerte y las violaciones del derecho a la vida, que suelen cometerse en un clima de impunidad</w:t>
      </w:r>
      <w:r w:rsidR="00CB59F1" w:rsidRPr="00CD3501">
        <w:rPr>
          <w:lang w:val="es-ES_tradnl"/>
        </w:rPr>
        <w:t>”</w:t>
      </w:r>
      <w:r w:rsidR="00CB59F1" w:rsidRPr="00CD3501">
        <w:rPr>
          <w:rStyle w:val="FootnoteReference"/>
          <w:lang w:val="es-ES_tradnl"/>
        </w:rPr>
        <w:footnoteReference w:id="47"/>
      </w:r>
      <w:r w:rsidRPr="00CD3501">
        <w:rPr>
          <w:lang w:val="es-ES_tradnl"/>
        </w:rPr>
        <w:t>.</w:t>
      </w:r>
    </w:p>
    <w:p w14:paraId="7437710E" w14:textId="77777777" w:rsidR="00CB59F1" w:rsidRPr="00CD3501" w:rsidRDefault="00CB59F1" w:rsidP="00BA7C29">
      <w:pPr>
        <w:rPr>
          <w:lang w:val="es-ES_tradnl"/>
        </w:rPr>
      </w:pPr>
    </w:p>
    <w:p w14:paraId="0DF91D00" w14:textId="5B0C5C2B" w:rsidR="00CB59F1" w:rsidRPr="00CD3501" w:rsidRDefault="00104387"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 xml:space="preserve">El </w:t>
      </w:r>
      <w:r w:rsidRPr="00CD3501">
        <w:rPr>
          <w:lang w:val="es-ES_tradnl"/>
        </w:rPr>
        <w:t>Alto Comisionado de las Naciones Unidas para los Derechos Humanos</w:t>
      </w:r>
      <w:r w:rsidR="00CB59F1" w:rsidRPr="00CD3501">
        <w:rPr>
          <w:rFonts w:ascii="Cambria" w:hAnsi="Cambria"/>
          <w:lang w:val="es-ES_tradnl"/>
        </w:rPr>
        <w:t xml:space="preserve"> ha</w:t>
      </w:r>
      <w:r w:rsidRPr="00CD3501">
        <w:rPr>
          <w:rFonts w:ascii="Cambria" w:hAnsi="Cambria"/>
          <w:lang w:val="es-ES_tradnl"/>
        </w:rPr>
        <w:t xml:space="preserve"> señalado que</w:t>
      </w:r>
      <w:r w:rsidR="00CB59F1" w:rsidRPr="00CD3501">
        <w:rPr>
          <w:rFonts w:ascii="Cambria" w:hAnsi="Cambria"/>
          <w:lang w:val="es-ES_tradnl"/>
        </w:rPr>
        <w:t xml:space="preserve"> “</w:t>
      </w:r>
      <w:r w:rsidR="00BA7C29" w:rsidRPr="00CD3501">
        <w:rPr>
          <w:rFonts w:ascii="Cambria" w:hAnsi="Cambria"/>
          <w:lang w:val="es-ES_tradnl"/>
        </w:rPr>
        <w:t>el hecho de no aplicar la ley no significa la despenalización y sigue comportando una violación de los derechos humanos. La simple existencia de dicha ley, aun cuando no se aplique, puede infundir un efecto paralizador en el grupo al que hace referencia y resultar en la restricción de otros derechos como la libertad de expresión o de asociación. Incluso en aquellos Estados que disponen de una política de no aplicar esta legislación, se han documentado detenciones y acoso por parte de los funcionarios responsables de hacer cumplir la ley así como altos niveles de chantaje y extorsión. Con el objetivo de cumplir con el derecho internacional de derechos humanos, los Estados deben implementar la despenalización formal</w:t>
      </w:r>
      <w:r w:rsidR="00CB59F1" w:rsidRPr="00CD3501">
        <w:rPr>
          <w:rFonts w:ascii="Cambria" w:hAnsi="Cambria"/>
          <w:lang w:val="es-ES_tradnl"/>
        </w:rPr>
        <w:t>”</w:t>
      </w:r>
      <w:r w:rsidR="00CB59F1" w:rsidRPr="00CD3501">
        <w:rPr>
          <w:rStyle w:val="FootnoteReference"/>
          <w:rFonts w:ascii="Cambria" w:hAnsi="Cambria"/>
          <w:lang w:val="es-ES_tradnl"/>
        </w:rPr>
        <w:footnoteReference w:id="48"/>
      </w:r>
      <w:r w:rsidR="00BA7C29" w:rsidRPr="00CD3501">
        <w:rPr>
          <w:rFonts w:ascii="Cambria" w:hAnsi="Cambria"/>
          <w:lang w:val="es-ES_tradnl"/>
        </w:rPr>
        <w:t>.</w:t>
      </w:r>
    </w:p>
    <w:p w14:paraId="28DA46AB" w14:textId="77777777" w:rsidR="00CB59F1" w:rsidRPr="00CD3501" w:rsidRDefault="00CB59F1" w:rsidP="00BA7C29">
      <w:pPr>
        <w:rPr>
          <w:lang w:val="es-ES_tradnl"/>
        </w:rPr>
      </w:pPr>
    </w:p>
    <w:p w14:paraId="1F9CF23E" w14:textId="26C03C5D" w:rsidR="00CB59F1" w:rsidRPr="00CD3501" w:rsidRDefault="00D71773" w:rsidP="00A167CF">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 xml:space="preserve">El Relator Especial sobre la tortura ha señalado que </w:t>
      </w:r>
      <w:r w:rsidR="00CB59F1" w:rsidRPr="00CD3501">
        <w:rPr>
          <w:rFonts w:ascii="Cambria" w:hAnsi="Cambria"/>
          <w:lang w:val="es-ES_tradnl"/>
        </w:rPr>
        <w:t>“</w:t>
      </w:r>
      <w:r w:rsidRPr="00CD3501">
        <w:rPr>
          <w:rFonts w:ascii="Cambria" w:hAnsi="Cambria"/>
          <w:lang w:val="es-ES_tradnl"/>
        </w:rPr>
        <w:t>[e]xiste una relación evidente entre la criminalización de las personas lesbianas, gais, bisexuales y transgénero y los delitos motivados por el odio, los abusos de la policía, la violencia familiar y comunitaria y la estigmatización</w:t>
      </w:r>
      <w:r w:rsidR="00CB59F1" w:rsidRPr="00CD3501">
        <w:rPr>
          <w:rFonts w:ascii="Cambria" w:hAnsi="Cambria"/>
          <w:lang w:val="es-ES_tradnl"/>
        </w:rPr>
        <w:t xml:space="preserve"> </w:t>
      </w:r>
      <w:r w:rsidRPr="00CD3501">
        <w:rPr>
          <w:rFonts w:ascii="Cambria" w:hAnsi="Cambria"/>
          <w:lang w:val="es-ES_tradnl"/>
        </w:rPr>
        <w:t>[</w:t>
      </w:r>
      <w:r w:rsidR="00CB59F1" w:rsidRPr="00CD3501">
        <w:rPr>
          <w:rFonts w:ascii="Cambria" w:hAnsi="Cambria"/>
          <w:lang w:val="es-ES_tradnl"/>
        </w:rPr>
        <w:t>…</w:t>
      </w:r>
      <w:r w:rsidRPr="00CD3501">
        <w:rPr>
          <w:rFonts w:ascii="Cambria" w:hAnsi="Cambria"/>
          <w:lang w:val="es-ES_tradnl"/>
        </w:rPr>
        <w:t>]. Tales leyes propician un clima en el que la violencia contra las personas lesbianas, gais, bisexuales y transgénero, tanto si es ejercida por agentes estatales como por agentes ajenos al Estado, es tolerada y recibida con impunidad</w:t>
      </w:r>
      <w:r w:rsidR="00CB59F1" w:rsidRPr="00CD3501">
        <w:rPr>
          <w:rFonts w:ascii="Cambria" w:hAnsi="Cambria"/>
          <w:lang w:val="es-ES_tradnl"/>
        </w:rPr>
        <w:t>”</w:t>
      </w:r>
      <w:r w:rsidR="00CB59F1" w:rsidRPr="00CD3501">
        <w:rPr>
          <w:rStyle w:val="FootnoteReference"/>
          <w:rFonts w:ascii="Cambria" w:hAnsi="Cambria"/>
          <w:lang w:val="es-ES_tradnl"/>
        </w:rPr>
        <w:footnoteReference w:id="49"/>
      </w:r>
      <w:r w:rsidRPr="00CD3501">
        <w:rPr>
          <w:rFonts w:ascii="Cambria" w:hAnsi="Cambria"/>
          <w:lang w:val="es-ES_tradnl"/>
        </w:rPr>
        <w:t>.</w:t>
      </w:r>
      <w:r w:rsidR="00CB59F1" w:rsidRPr="00CD3501">
        <w:rPr>
          <w:rFonts w:ascii="Cambria" w:hAnsi="Cambria"/>
          <w:lang w:val="es-ES_tradnl"/>
        </w:rPr>
        <w:t xml:space="preserve"> </w:t>
      </w:r>
    </w:p>
    <w:p w14:paraId="740F2D1A" w14:textId="3A1ADF97" w:rsidR="00B94F89" w:rsidRPr="00CD3501" w:rsidRDefault="00B94F89"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A</w:t>
      </w:r>
      <w:r w:rsidR="001E53A1" w:rsidRPr="00CD3501">
        <w:rPr>
          <w:rFonts w:ascii="Cambria" w:hAnsi="Cambria"/>
          <w:lang w:val="es-ES_tradnl"/>
        </w:rPr>
        <w:t>nálogamente</w:t>
      </w:r>
      <w:r w:rsidRPr="00CD3501">
        <w:rPr>
          <w:rFonts w:ascii="Cambria" w:hAnsi="Cambria"/>
          <w:lang w:val="es-ES_tradnl"/>
        </w:rPr>
        <w:t xml:space="preserve">, </w:t>
      </w:r>
      <w:r w:rsidR="00334F60" w:rsidRPr="00CD3501">
        <w:rPr>
          <w:rFonts w:ascii="Cambria" w:hAnsi="Cambria"/>
          <w:lang w:val="es-ES_tradnl"/>
        </w:rPr>
        <w:t>el Tribunal</w:t>
      </w:r>
      <w:r w:rsidR="001E53A1" w:rsidRPr="00CD3501">
        <w:rPr>
          <w:rFonts w:ascii="Cambria" w:hAnsi="Cambria"/>
          <w:lang w:val="es-ES_tradnl"/>
        </w:rPr>
        <w:t xml:space="preserve"> Europe</w:t>
      </w:r>
      <w:r w:rsidR="00334F60" w:rsidRPr="00CD3501">
        <w:rPr>
          <w:rFonts w:ascii="Cambria" w:hAnsi="Cambria"/>
          <w:lang w:val="es-ES_tradnl"/>
        </w:rPr>
        <w:t>o</w:t>
      </w:r>
      <w:r w:rsidR="001E53A1" w:rsidRPr="00CD3501">
        <w:rPr>
          <w:rFonts w:ascii="Cambria" w:hAnsi="Cambria"/>
          <w:lang w:val="es-ES_tradnl"/>
        </w:rPr>
        <w:t xml:space="preserve"> de Derechos Humanos dictaminó en el caso </w:t>
      </w:r>
      <w:r w:rsidRPr="00CD3501">
        <w:rPr>
          <w:rFonts w:ascii="Cambria" w:hAnsi="Cambria"/>
          <w:i/>
          <w:lang w:val="es-ES_tradnl"/>
        </w:rPr>
        <w:t xml:space="preserve">Dudgeon </w:t>
      </w:r>
      <w:r w:rsidR="004E048E" w:rsidRPr="00CD3501">
        <w:rPr>
          <w:rFonts w:ascii="Cambria" w:hAnsi="Cambria"/>
          <w:i/>
          <w:lang w:val="es-ES_tradnl"/>
        </w:rPr>
        <w:t xml:space="preserve">contra el </w:t>
      </w:r>
      <w:r w:rsidR="001E53A1" w:rsidRPr="00CD3501">
        <w:rPr>
          <w:rFonts w:ascii="Cambria" w:hAnsi="Cambria"/>
          <w:i/>
          <w:lang w:val="es-ES_tradnl"/>
        </w:rPr>
        <w:t>Reino Unido</w:t>
      </w:r>
      <w:r w:rsidRPr="00CD3501">
        <w:rPr>
          <w:rFonts w:ascii="Cambria" w:hAnsi="Cambria"/>
          <w:lang w:val="es-ES_tradnl"/>
        </w:rPr>
        <w:t xml:space="preserve"> </w:t>
      </w:r>
      <w:r w:rsidR="001E53A1" w:rsidRPr="00CD3501">
        <w:rPr>
          <w:rFonts w:ascii="Cambria" w:hAnsi="Cambria"/>
          <w:lang w:val="es-ES_tradnl"/>
        </w:rPr>
        <w:t>que las leyes de sodomía de Irlanda del Norte violaban el derecho a la intimidad establecido en la</w:t>
      </w:r>
      <w:r w:rsidR="003067F3" w:rsidRPr="00CD3501">
        <w:rPr>
          <w:rFonts w:ascii="Cambria" w:hAnsi="Cambria"/>
          <w:lang w:val="es-ES_tradnl"/>
        </w:rPr>
        <w:t xml:space="preserve"> </w:t>
      </w:r>
      <w:r w:rsidR="001E53A1" w:rsidRPr="00CD3501">
        <w:rPr>
          <w:rFonts w:ascii="Cambria" w:hAnsi="Cambria"/>
          <w:lang w:val="es-ES_tradnl"/>
        </w:rPr>
        <w:t xml:space="preserve">Convención Europea. Según </w:t>
      </w:r>
      <w:r w:rsidR="00334F60" w:rsidRPr="00CD3501">
        <w:rPr>
          <w:rFonts w:ascii="Cambria" w:hAnsi="Cambria"/>
          <w:lang w:val="es-ES_tradnl"/>
        </w:rPr>
        <w:t>dicho tribunal</w:t>
      </w:r>
      <w:r w:rsidRPr="00CD3501">
        <w:rPr>
          <w:rFonts w:ascii="Cambria" w:hAnsi="Cambria"/>
          <w:lang w:val="es-ES_tradnl"/>
        </w:rPr>
        <w:t xml:space="preserve">: </w:t>
      </w:r>
    </w:p>
    <w:p w14:paraId="05422660" w14:textId="77777777" w:rsidR="00B94F89" w:rsidRPr="00CD3501" w:rsidRDefault="00B94F89" w:rsidP="00A167CF">
      <w:pPr>
        <w:pStyle w:val="parrafos"/>
        <w:tabs>
          <w:tab w:val="clear" w:pos="360"/>
        </w:tabs>
        <w:rPr>
          <w:rFonts w:ascii="Cambria" w:hAnsi="Cambria"/>
          <w:lang w:val="es-ES_tradnl"/>
        </w:rPr>
      </w:pPr>
    </w:p>
    <w:p w14:paraId="55C6E1F4" w14:textId="684FD0DC" w:rsidR="00B94F89" w:rsidRPr="00CD3501" w:rsidRDefault="00F46DA8"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t xml:space="preserve">[…] </w:t>
      </w:r>
      <w:r w:rsidR="001E53A1" w:rsidRPr="00CD3501">
        <w:rPr>
          <w:rFonts w:asciiTheme="majorHAnsi" w:hAnsiTheme="majorHAnsi"/>
          <w:sz w:val="18"/>
          <w:szCs w:val="18"/>
          <w:lang w:val="es-ES_tradnl"/>
        </w:rPr>
        <w:t>el mantenimiento en vigor de la legislación impugnada constituye una intromisión continua en el derecho del demandante al respeto de su vida privada (que incluye su vida sexual) en los términos del artículo 8.1.</w:t>
      </w:r>
      <w:r w:rsidR="00B94F89" w:rsidRPr="00CD3501">
        <w:rPr>
          <w:rFonts w:asciiTheme="majorHAnsi" w:hAnsiTheme="majorHAnsi"/>
          <w:sz w:val="18"/>
          <w:szCs w:val="18"/>
          <w:lang w:val="es-ES_tradnl"/>
        </w:rPr>
        <w:t xml:space="preserve"> </w:t>
      </w:r>
      <w:r w:rsidR="001E53A1" w:rsidRPr="00CD3501">
        <w:rPr>
          <w:rFonts w:asciiTheme="majorHAnsi" w:hAnsiTheme="majorHAnsi"/>
          <w:sz w:val="18"/>
          <w:szCs w:val="18"/>
          <w:lang w:val="es-ES_tradnl"/>
        </w:rPr>
        <w:t>[</w:t>
      </w:r>
      <w:r w:rsidR="00B94F89" w:rsidRPr="00CD3501">
        <w:rPr>
          <w:rFonts w:asciiTheme="majorHAnsi" w:hAnsiTheme="majorHAnsi"/>
          <w:sz w:val="18"/>
          <w:szCs w:val="18"/>
          <w:lang w:val="es-ES_tradnl"/>
        </w:rPr>
        <w:t>…</w:t>
      </w:r>
      <w:r w:rsidR="001E53A1" w:rsidRPr="00CD3501">
        <w:rPr>
          <w:rFonts w:asciiTheme="majorHAnsi" w:hAnsiTheme="majorHAnsi"/>
          <w:sz w:val="18"/>
          <w:szCs w:val="18"/>
          <w:lang w:val="es-ES_tradnl"/>
        </w:rPr>
        <w:t>] Aunque no parece que se hayan planteado en los últimos años casos respecto a aquellos actos que implicaban únicamente a adultos varones de más de veintiún años de edad, siempre que no fuesen pacientes mentales, no hay una política declarada por parte de las autoridades de no aplicar la Ley a estos sujetos (</w:t>
      </w:r>
      <w:r w:rsidR="001E53A1" w:rsidRPr="00CD3501">
        <w:rPr>
          <w:rFonts w:asciiTheme="majorHAnsi" w:hAnsiTheme="majorHAnsi"/>
          <w:i/>
          <w:sz w:val="18"/>
          <w:szCs w:val="18"/>
          <w:lang w:val="es-ES_tradnl"/>
        </w:rPr>
        <w:t>ibid.</w:t>
      </w:r>
      <w:r w:rsidR="001E53A1" w:rsidRPr="00CD3501">
        <w:rPr>
          <w:rFonts w:asciiTheme="majorHAnsi" w:hAnsiTheme="majorHAnsi"/>
          <w:sz w:val="18"/>
          <w:szCs w:val="18"/>
          <w:lang w:val="es-ES_tradnl"/>
        </w:rPr>
        <w:t>). Más aún: amén de la persecución por el Director de la Oficina de Acción Pública, queda siempre la posibilidad de una acción de carácter privado</w:t>
      </w:r>
      <w:r w:rsidR="00B94F89" w:rsidRPr="00CD3501">
        <w:rPr>
          <w:rStyle w:val="FootnoteReference"/>
          <w:rFonts w:asciiTheme="majorHAnsi" w:hAnsiTheme="majorHAnsi"/>
          <w:sz w:val="18"/>
          <w:szCs w:val="18"/>
          <w:lang w:val="es-ES_tradnl"/>
        </w:rPr>
        <w:footnoteReference w:id="50"/>
      </w:r>
      <w:r w:rsidR="001E53A1" w:rsidRPr="00CD3501">
        <w:rPr>
          <w:rFonts w:asciiTheme="majorHAnsi" w:hAnsiTheme="majorHAnsi"/>
          <w:sz w:val="18"/>
          <w:szCs w:val="18"/>
          <w:lang w:val="es-ES_tradnl"/>
        </w:rPr>
        <w:t>.</w:t>
      </w:r>
      <w:r w:rsidR="00B94F89" w:rsidRPr="00CD3501">
        <w:rPr>
          <w:rFonts w:asciiTheme="majorHAnsi" w:hAnsiTheme="majorHAnsi"/>
          <w:sz w:val="18"/>
          <w:szCs w:val="18"/>
          <w:lang w:val="es-ES_tradnl"/>
        </w:rPr>
        <w:t xml:space="preserve"> </w:t>
      </w:r>
    </w:p>
    <w:p w14:paraId="49D72681" w14:textId="77777777" w:rsidR="00B94F89" w:rsidRPr="00CD3501" w:rsidRDefault="00B94F89" w:rsidP="00A167CF">
      <w:pPr>
        <w:pStyle w:val="parrafos"/>
        <w:tabs>
          <w:tab w:val="clear" w:pos="360"/>
        </w:tabs>
        <w:rPr>
          <w:rFonts w:ascii="Cambria" w:hAnsi="Cambria"/>
          <w:lang w:val="es-ES_tradnl"/>
        </w:rPr>
      </w:pPr>
    </w:p>
    <w:p w14:paraId="5DED0D09" w14:textId="17319FF4" w:rsidR="00B94F89" w:rsidRPr="00CD3501" w:rsidRDefault="00665524"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 xml:space="preserve">En el caso </w:t>
      </w:r>
      <w:r w:rsidR="00B94F89" w:rsidRPr="00CD3501">
        <w:rPr>
          <w:rFonts w:ascii="Cambria" w:hAnsi="Cambria"/>
          <w:i/>
          <w:lang w:val="es-ES_tradnl"/>
        </w:rPr>
        <w:t xml:space="preserve">Norris </w:t>
      </w:r>
      <w:r w:rsidR="00CD7517" w:rsidRPr="00CD3501">
        <w:rPr>
          <w:rFonts w:ascii="Cambria" w:hAnsi="Cambria"/>
          <w:i/>
          <w:lang w:val="es-ES_tradnl"/>
        </w:rPr>
        <w:t>c</w:t>
      </w:r>
      <w:r w:rsidR="004E048E" w:rsidRPr="00CD3501">
        <w:rPr>
          <w:rFonts w:ascii="Cambria" w:hAnsi="Cambria"/>
          <w:i/>
          <w:lang w:val="es-ES_tradnl"/>
        </w:rPr>
        <w:t>ontra</w:t>
      </w:r>
      <w:r w:rsidR="00B94F89" w:rsidRPr="00CD3501">
        <w:rPr>
          <w:rFonts w:ascii="Cambria" w:hAnsi="Cambria"/>
          <w:i/>
          <w:lang w:val="es-ES_tradnl"/>
        </w:rPr>
        <w:t xml:space="preserve"> Ir</w:t>
      </w:r>
      <w:r w:rsidRPr="00CD3501">
        <w:rPr>
          <w:rFonts w:ascii="Cambria" w:hAnsi="Cambria"/>
          <w:i/>
          <w:lang w:val="es-ES_tradnl"/>
        </w:rPr>
        <w:t>landa</w:t>
      </w:r>
      <w:r w:rsidR="00B94F89" w:rsidRPr="00CD3501">
        <w:rPr>
          <w:rFonts w:ascii="Cambria" w:hAnsi="Cambria"/>
          <w:lang w:val="es-ES_tradnl"/>
        </w:rPr>
        <w:t xml:space="preserve">, </w:t>
      </w:r>
      <w:r w:rsidR="00334F60" w:rsidRPr="00CD3501">
        <w:rPr>
          <w:rFonts w:ascii="Cambria" w:hAnsi="Cambria"/>
          <w:lang w:val="es-ES_tradnl"/>
        </w:rPr>
        <w:t>el Tribunal</w:t>
      </w:r>
      <w:r w:rsidRPr="00CD3501">
        <w:rPr>
          <w:rFonts w:ascii="Cambria" w:hAnsi="Cambria"/>
          <w:lang w:val="es-ES_tradnl"/>
        </w:rPr>
        <w:t xml:space="preserve"> Europe</w:t>
      </w:r>
      <w:r w:rsidR="00334F60" w:rsidRPr="00CD3501">
        <w:rPr>
          <w:rFonts w:ascii="Cambria" w:hAnsi="Cambria"/>
          <w:lang w:val="es-ES_tradnl"/>
        </w:rPr>
        <w:t>o</w:t>
      </w:r>
      <w:r w:rsidRPr="00CD3501">
        <w:rPr>
          <w:rFonts w:ascii="Cambria" w:hAnsi="Cambria"/>
          <w:lang w:val="es-ES_tradnl"/>
        </w:rPr>
        <w:t xml:space="preserve"> de Derechos Humanos</w:t>
      </w:r>
      <w:r w:rsidR="00B94F89" w:rsidRPr="00CD3501">
        <w:rPr>
          <w:rFonts w:ascii="Cambria" w:hAnsi="Cambria"/>
          <w:lang w:val="es-ES_tradnl"/>
        </w:rPr>
        <w:t xml:space="preserve"> determin</w:t>
      </w:r>
      <w:r w:rsidRPr="00CD3501">
        <w:rPr>
          <w:rFonts w:ascii="Cambria" w:hAnsi="Cambria"/>
          <w:lang w:val="es-ES_tradnl"/>
        </w:rPr>
        <w:t>ó que el demandante podía invocar la condición de víctima de las leyes de sodomía aunque no hubiera sido juzgado sobre la base de dichas leyes</w:t>
      </w:r>
      <w:r w:rsidR="00B94F89" w:rsidRPr="00CD3501">
        <w:rPr>
          <w:rFonts w:ascii="Cambria" w:hAnsi="Cambria"/>
          <w:lang w:val="es-ES_tradnl"/>
        </w:rPr>
        <w:t>:</w:t>
      </w:r>
    </w:p>
    <w:p w14:paraId="6A19FADE" w14:textId="77777777" w:rsidR="00B94F89" w:rsidRPr="00CD3501" w:rsidRDefault="00B94F89" w:rsidP="00665524">
      <w:pPr>
        <w:pBdr>
          <w:top w:val="none" w:sz="0" w:space="0" w:color="auto"/>
          <w:left w:val="none" w:sz="0" w:space="0" w:color="auto"/>
          <w:bottom w:val="none" w:sz="0" w:space="0" w:color="auto"/>
          <w:right w:val="none" w:sz="0" w:space="0" w:color="auto"/>
          <w:between w:val="none" w:sz="0" w:space="0" w:color="auto"/>
          <w:bar w:val="none" w:sz="0" w:color="auto"/>
        </w:pBdr>
        <w:ind w:right="360"/>
        <w:jc w:val="both"/>
        <w:rPr>
          <w:rFonts w:asciiTheme="majorHAnsi" w:hAnsiTheme="majorHAnsi"/>
          <w:sz w:val="18"/>
          <w:szCs w:val="18"/>
          <w:lang w:val="es-ES_tradnl"/>
        </w:rPr>
      </w:pPr>
    </w:p>
    <w:p w14:paraId="01BA065F" w14:textId="0CF2038B" w:rsidR="00B94F89" w:rsidRPr="00CD3501" w:rsidRDefault="00665524"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t>[</w:t>
      </w:r>
      <w:r w:rsidR="00B94F89" w:rsidRPr="00CD3501">
        <w:rPr>
          <w:rFonts w:asciiTheme="majorHAnsi" w:hAnsiTheme="majorHAnsi"/>
          <w:sz w:val="18"/>
          <w:szCs w:val="18"/>
          <w:lang w:val="es-ES_tradnl"/>
        </w:rPr>
        <w:t>…</w:t>
      </w:r>
      <w:r w:rsidRPr="00CD3501">
        <w:rPr>
          <w:rFonts w:asciiTheme="majorHAnsi" w:hAnsiTheme="majorHAnsi"/>
          <w:sz w:val="18"/>
          <w:szCs w:val="18"/>
          <w:lang w:val="es-ES_tradnl"/>
        </w:rPr>
        <w:t>] el artículo 25 permite a las personas privadas sostener que una ley viola sus derechos por su propio contenido aunque no se le haya aplicado personalmente, si corren el peligro de que les afecte directamente</w:t>
      </w:r>
      <w:r w:rsidR="00B94F89" w:rsidRPr="00CD3501">
        <w:rPr>
          <w:rFonts w:asciiTheme="majorHAnsi" w:hAnsiTheme="majorHAnsi"/>
          <w:sz w:val="18"/>
          <w:szCs w:val="18"/>
          <w:lang w:val="es-ES_tradnl"/>
        </w:rPr>
        <w:t xml:space="preserve"> </w:t>
      </w:r>
      <w:r w:rsidRPr="00CD3501">
        <w:rPr>
          <w:rFonts w:asciiTheme="majorHAnsi" w:hAnsiTheme="majorHAnsi"/>
          <w:sz w:val="18"/>
          <w:szCs w:val="18"/>
          <w:lang w:val="es-ES_tradnl"/>
        </w:rPr>
        <w:t>[</w:t>
      </w:r>
      <w:r w:rsidR="00B94F89" w:rsidRPr="00CD3501">
        <w:rPr>
          <w:rFonts w:asciiTheme="majorHAnsi" w:hAnsiTheme="majorHAnsi"/>
          <w:sz w:val="18"/>
          <w:szCs w:val="18"/>
          <w:lang w:val="es-ES_tradnl"/>
        </w:rPr>
        <w:t>…</w:t>
      </w:r>
      <w:r w:rsidRPr="00CD3501">
        <w:rPr>
          <w:rFonts w:asciiTheme="majorHAnsi" w:hAnsiTheme="majorHAnsi"/>
          <w:sz w:val="18"/>
          <w:szCs w:val="18"/>
          <w:lang w:val="es-ES_tradnl"/>
        </w:rPr>
        <w:t>]. Entiende el Tribunal que el señor Norris se encuentra sustancialmente en la misma situación en que estaba el demandante en el caso Dudgeon</w:t>
      </w:r>
      <w:r w:rsidR="00B94F89" w:rsidRPr="00CD3501">
        <w:rPr>
          <w:rFonts w:asciiTheme="majorHAnsi" w:hAnsiTheme="majorHAnsi"/>
          <w:sz w:val="18"/>
          <w:szCs w:val="18"/>
          <w:lang w:val="es-ES_tradnl"/>
        </w:rPr>
        <w:t xml:space="preserve"> </w:t>
      </w:r>
      <w:r w:rsidRPr="00CD3501">
        <w:rPr>
          <w:rFonts w:asciiTheme="majorHAnsi" w:hAnsiTheme="majorHAnsi"/>
          <w:sz w:val="18"/>
          <w:szCs w:val="18"/>
          <w:lang w:val="es-ES_tradnl"/>
        </w:rPr>
        <w:t>[</w:t>
      </w:r>
      <w:r w:rsidR="00B94F89" w:rsidRPr="00CD3501">
        <w:rPr>
          <w:rFonts w:asciiTheme="majorHAnsi" w:hAnsiTheme="majorHAnsi"/>
          <w:sz w:val="18"/>
          <w:szCs w:val="18"/>
          <w:lang w:val="es-ES_tradnl"/>
        </w:rPr>
        <w:t>…</w:t>
      </w:r>
      <w:r w:rsidRPr="00CD3501">
        <w:rPr>
          <w:rFonts w:asciiTheme="majorHAnsi" w:hAnsiTheme="majorHAnsi"/>
          <w:sz w:val="18"/>
          <w:szCs w:val="18"/>
          <w:lang w:val="es-ES_tradnl"/>
        </w:rPr>
        <w:t>]</w:t>
      </w:r>
      <w:r w:rsidR="00B94F89" w:rsidRPr="00CD3501">
        <w:rPr>
          <w:rStyle w:val="FootnoteReference"/>
          <w:rFonts w:asciiTheme="majorHAnsi" w:hAnsiTheme="majorHAnsi"/>
          <w:sz w:val="18"/>
          <w:szCs w:val="18"/>
          <w:lang w:val="es-ES_tradnl"/>
        </w:rPr>
        <w:footnoteReference w:id="51"/>
      </w:r>
      <w:r w:rsidRPr="00CD3501">
        <w:rPr>
          <w:rFonts w:asciiTheme="majorHAnsi" w:hAnsiTheme="majorHAnsi"/>
          <w:sz w:val="18"/>
          <w:szCs w:val="18"/>
          <w:lang w:val="es-ES_tradnl"/>
        </w:rPr>
        <w:t>.</w:t>
      </w:r>
    </w:p>
    <w:p w14:paraId="0D23CA1F" w14:textId="77777777" w:rsidR="002B1EF2" w:rsidRPr="00CD3501" w:rsidRDefault="002B1EF2" w:rsidP="00A167CF">
      <w:pPr>
        <w:pStyle w:val="parrafos"/>
        <w:tabs>
          <w:tab w:val="clear" w:pos="360"/>
        </w:tabs>
        <w:rPr>
          <w:rFonts w:ascii="Cambria" w:hAnsi="Cambria"/>
          <w:lang w:val="es-ES_tradnl"/>
        </w:rPr>
      </w:pPr>
    </w:p>
    <w:p w14:paraId="1DF27019" w14:textId="36968375" w:rsidR="00B94F89" w:rsidRPr="00CD3501" w:rsidRDefault="00BA7C29"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 xml:space="preserve">Además, varios tribunales superiores de todo el mundo han aseverado que las leyes de </w:t>
      </w:r>
      <w:r w:rsidR="00B94F89" w:rsidRPr="00CD3501">
        <w:rPr>
          <w:rFonts w:ascii="Cambria" w:hAnsi="Cambria"/>
          <w:lang w:val="es-ES_tradnl"/>
        </w:rPr>
        <w:t>“</w:t>
      </w:r>
      <w:r w:rsidR="000A3FB7" w:rsidRPr="00CD3501">
        <w:rPr>
          <w:rFonts w:ascii="Cambria" w:hAnsi="Cambria"/>
          <w:lang w:val="es-ES_tradnl"/>
        </w:rPr>
        <w:t>sodomía</w:t>
      </w:r>
      <w:r w:rsidR="00B94F89" w:rsidRPr="00CD3501">
        <w:rPr>
          <w:rFonts w:ascii="Cambria" w:hAnsi="Cambria"/>
          <w:lang w:val="es-ES_tradnl"/>
        </w:rPr>
        <w:t xml:space="preserve">” </w:t>
      </w:r>
      <w:r w:rsidRPr="00CD3501">
        <w:rPr>
          <w:rFonts w:ascii="Cambria" w:hAnsi="Cambria"/>
          <w:lang w:val="es-ES_tradnl"/>
        </w:rPr>
        <w:t xml:space="preserve">son </w:t>
      </w:r>
      <w:r w:rsidR="00B94F89" w:rsidRPr="00CD3501">
        <w:rPr>
          <w:rFonts w:ascii="Cambria" w:hAnsi="Cambria"/>
          <w:lang w:val="es-ES_tradnl"/>
        </w:rPr>
        <w:t>incompatible</w:t>
      </w:r>
      <w:r w:rsidRPr="00CD3501">
        <w:rPr>
          <w:rFonts w:ascii="Cambria" w:hAnsi="Cambria"/>
          <w:lang w:val="es-ES_tradnl"/>
        </w:rPr>
        <w:t>s con el derecho a la intimidad</w:t>
      </w:r>
      <w:r w:rsidR="00B94F89" w:rsidRPr="00CD3501">
        <w:rPr>
          <w:rFonts w:ascii="Cambria" w:hAnsi="Cambria"/>
          <w:lang w:val="es-ES_tradnl"/>
        </w:rPr>
        <w:t xml:space="preserve">, </w:t>
      </w:r>
      <w:r w:rsidRPr="00CD3501">
        <w:rPr>
          <w:rFonts w:ascii="Cambria" w:hAnsi="Cambria"/>
          <w:lang w:val="es-ES_tradnl"/>
        </w:rPr>
        <w:t xml:space="preserve">la libertad y el principio de </w:t>
      </w:r>
      <w:r w:rsidR="000A3FB7" w:rsidRPr="00CD3501">
        <w:rPr>
          <w:rFonts w:ascii="Cambria" w:hAnsi="Cambria"/>
          <w:lang w:val="es-ES_tradnl"/>
        </w:rPr>
        <w:t>no discriminación</w:t>
      </w:r>
      <w:r w:rsidR="00CB59F1" w:rsidRPr="00CD3501">
        <w:rPr>
          <w:rFonts w:ascii="Cambria" w:hAnsi="Cambria"/>
          <w:lang w:val="es-ES_tradnl"/>
        </w:rPr>
        <w:t xml:space="preserve"> </w:t>
      </w:r>
      <w:r w:rsidRPr="00CD3501">
        <w:rPr>
          <w:rFonts w:ascii="Cambria" w:hAnsi="Cambria"/>
          <w:lang w:val="es-ES_tradnl"/>
        </w:rPr>
        <w:t>y pueden afectar el derecho a la integridad personal de las personas afectadas por estas leyes.</w:t>
      </w:r>
    </w:p>
    <w:p w14:paraId="78C32840" w14:textId="77777777" w:rsidR="00B94F89" w:rsidRPr="00CD3501" w:rsidRDefault="00B94F89" w:rsidP="00A167CF">
      <w:pPr>
        <w:rPr>
          <w:lang w:val="es-ES_tradnl"/>
        </w:rPr>
      </w:pPr>
    </w:p>
    <w:p w14:paraId="71EC0FCA" w14:textId="286177F0" w:rsidR="00B94F89" w:rsidRPr="00CD3501" w:rsidRDefault="00BA7C29"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 xml:space="preserve">Por ejemplo, en el caso </w:t>
      </w:r>
      <w:r w:rsidRPr="00CD3501">
        <w:rPr>
          <w:rFonts w:ascii="Cambria" w:hAnsi="Cambria"/>
          <w:i/>
          <w:lang w:val="es-ES_tradnl"/>
        </w:rPr>
        <w:t>Lawrence c</w:t>
      </w:r>
      <w:r w:rsidR="00F46DA8" w:rsidRPr="00CD3501">
        <w:rPr>
          <w:rFonts w:ascii="Cambria" w:hAnsi="Cambria"/>
          <w:i/>
          <w:lang w:val="es-ES_tradnl"/>
        </w:rPr>
        <w:t>ontra</w:t>
      </w:r>
      <w:r w:rsidRPr="00CD3501">
        <w:rPr>
          <w:rFonts w:ascii="Cambria" w:hAnsi="Cambria"/>
          <w:i/>
          <w:lang w:val="es-ES_tradnl"/>
        </w:rPr>
        <w:t xml:space="preserve"> Texas</w:t>
      </w:r>
      <w:r w:rsidRPr="00CD3501">
        <w:rPr>
          <w:rFonts w:ascii="Cambria" w:hAnsi="Cambria"/>
          <w:lang w:val="es-ES_tradnl"/>
        </w:rPr>
        <w:t>, la Corte Suprema de Estados Unidos determinó</w:t>
      </w:r>
      <w:r w:rsidR="00B94F89" w:rsidRPr="00CD3501">
        <w:rPr>
          <w:rFonts w:ascii="Cambria" w:hAnsi="Cambria"/>
          <w:lang w:val="es-ES_tradnl"/>
        </w:rPr>
        <w:t xml:space="preserve"> </w:t>
      </w:r>
      <w:r w:rsidR="00CD7517" w:rsidRPr="00CD3501">
        <w:rPr>
          <w:rFonts w:ascii="Cambria" w:hAnsi="Cambria"/>
          <w:lang w:val="es-ES_tradnl"/>
        </w:rPr>
        <w:t>que u</w:t>
      </w:r>
      <w:r w:rsidR="00334F60" w:rsidRPr="00CD3501">
        <w:rPr>
          <w:rFonts w:ascii="Cambria" w:hAnsi="Cambria"/>
          <w:lang w:val="es-ES_tradnl"/>
        </w:rPr>
        <w:t xml:space="preserve">na ley que tipifica como delito </w:t>
      </w:r>
      <w:r w:rsidR="00CD7517" w:rsidRPr="00CD3501">
        <w:rPr>
          <w:rFonts w:ascii="Cambria" w:hAnsi="Cambria"/>
          <w:lang w:val="es-ES_tradnl"/>
        </w:rPr>
        <w:t xml:space="preserve">el hecho de que dos personas del mismo sexo realicen ciertos actos </w:t>
      </w:r>
      <w:r w:rsidR="00B94F89" w:rsidRPr="00CD3501">
        <w:rPr>
          <w:rFonts w:ascii="Cambria" w:hAnsi="Cambria"/>
          <w:lang w:val="es-ES_tradnl"/>
        </w:rPr>
        <w:t>sexual</w:t>
      </w:r>
      <w:r w:rsidR="00CD7517" w:rsidRPr="00CD3501">
        <w:rPr>
          <w:rFonts w:ascii="Cambria" w:hAnsi="Cambria"/>
          <w:lang w:val="es-ES_tradnl"/>
        </w:rPr>
        <w:t xml:space="preserve">es íntimos </w:t>
      </w:r>
      <w:r w:rsidR="00CD7517" w:rsidRPr="00CD3501">
        <w:rPr>
          <w:rFonts w:ascii="Cambria" w:hAnsi="Cambria"/>
          <w:lang w:val="es-ES_tradnl"/>
        </w:rPr>
        <w:lastRenderedPageBreak/>
        <w:t xml:space="preserve">viola el derecho a la libertad establecido en la cláusula de </w:t>
      </w:r>
      <w:r w:rsidR="00955CAC" w:rsidRPr="00CD3501">
        <w:rPr>
          <w:rFonts w:ascii="Cambria" w:hAnsi="Cambria"/>
          <w:lang w:val="es-ES_tradnl"/>
        </w:rPr>
        <w:t>la Constitución</w:t>
      </w:r>
      <w:r w:rsidR="00CD7517" w:rsidRPr="00CD3501">
        <w:rPr>
          <w:rFonts w:ascii="Cambria" w:hAnsi="Cambria"/>
          <w:lang w:val="es-ES_tradnl"/>
        </w:rPr>
        <w:t xml:space="preserve"> sobre el debido proceso</w:t>
      </w:r>
      <w:r w:rsidR="00B94F89" w:rsidRPr="00CD3501">
        <w:rPr>
          <w:rFonts w:ascii="Cambria" w:hAnsi="Cambria"/>
          <w:lang w:val="es-ES_tradnl"/>
        </w:rPr>
        <w:t xml:space="preserve">. </w:t>
      </w:r>
      <w:r w:rsidR="00CD7517" w:rsidRPr="00CD3501">
        <w:rPr>
          <w:rFonts w:ascii="Cambria" w:hAnsi="Cambria"/>
          <w:lang w:val="es-ES_tradnl"/>
        </w:rPr>
        <w:t xml:space="preserve">Según </w:t>
      </w:r>
      <w:r w:rsidR="00265CC9" w:rsidRPr="00CD3501">
        <w:rPr>
          <w:rFonts w:ascii="Cambria" w:hAnsi="Cambria"/>
          <w:lang w:val="es-ES_tradnl"/>
        </w:rPr>
        <w:t>la Corte</w:t>
      </w:r>
      <w:r w:rsidR="00CD7517" w:rsidRPr="00CD3501">
        <w:rPr>
          <w:rFonts w:ascii="Cambria" w:hAnsi="Cambria"/>
          <w:lang w:val="es-ES_tradnl"/>
        </w:rPr>
        <w:t xml:space="preserve"> Suprema</w:t>
      </w:r>
      <w:r w:rsidR="00B94F89" w:rsidRPr="00CD3501">
        <w:rPr>
          <w:rFonts w:ascii="Cambria" w:hAnsi="Cambria"/>
          <w:lang w:val="es-ES_tradnl"/>
        </w:rPr>
        <w:t>:</w:t>
      </w:r>
    </w:p>
    <w:p w14:paraId="0826B1FF" w14:textId="77777777" w:rsidR="00B94F89" w:rsidRPr="00CD3501" w:rsidRDefault="00B94F89" w:rsidP="00A167CF">
      <w:pPr>
        <w:pStyle w:val="ListParagraph"/>
        <w:rPr>
          <w:lang w:val="es-ES_tradnl"/>
        </w:rPr>
      </w:pPr>
    </w:p>
    <w:p w14:paraId="4F872F9E" w14:textId="3EE64867" w:rsidR="00B94F89" w:rsidRPr="00CD3501" w:rsidRDefault="00CD7517"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t>La igualdad de trato y el derecho comprendido en el debido proceso de exigir que se respete la conducta protegida por la garantía sustancial de libertad presentan vínculos importantes, y una decisión sobre el segundo punto promueve ambos intereses. Si la conducta protegida es tipificada como delito y no se examina la validez sustantiva de la ley que lo hace</w:t>
      </w:r>
      <w:r w:rsidR="00B94F89" w:rsidRPr="00CD3501">
        <w:rPr>
          <w:rFonts w:asciiTheme="majorHAnsi" w:hAnsiTheme="majorHAnsi"/>
          <w:sz w:val="18"/>
          <w:szCs w:val="18"/>
          <w:lang w:val="es-ES_tradnl"/>
        </w:rPr>
        <w:t xml:space="preserve">, </w:t>
      </w:r>
      <w:r w:rsidRPr="00CD3501">
        <w:rPr>
          <w:rFonts w:asciiTheme="majorHAnsi" w:hAnsiTheme="majorHAnsi"/>
          <w:sz w:val="18"/>
          <w:szCs w:val="18"/>
          <w:lang w:val="es-ES_tradnl"/>
        </w:rPr>
        <w:t xml:space="preserve">el estigma que </w:t>
      </w:r>
      <w:r w:rsidR="00F46DA8" w:rsidRPr="00CD3501">
        <w:rPr>
          <w:rFonts w:asciiTheme="majorHAnsi" w:hAnsiTheme="majorHAnsi"/>
          <w:sz w:val="18"/>
          <w:szCs w:val="18"/>
          <w:lang w:val="es-ES_tradnl"/>
        </w:rPr>
        <w:t xml:space="preserve">dicha ley </w:t>
      </w:r>
      <w:r w:rsidRPr="00CD3501">
        <w:rPr>
          <w:rFonts w:asciiTheme="majorHAnsi" w:hAnsiTheme="majorHAnsi"/>
          <w:sz w:val="18"/>
          <w:szCs w:val="18"/>
          <w:lang w:val="es-ES_tradnl"/>
        </w:rPr>
        <w:t xml:space="preserve">genera podría subsistir aunque no pueda aplicarse tal como ha sido redactada por motivos relacionados con la igualdad ante la ley. Cuando una ley del Estado tipifica como delito la conducta </w:t>
      </w:r>
      <w:r w:rsidR="00B94F89" w:rsidRPr="00CD3501">
        <w:rPr>
          <w:rFonts w:asciiTheme="majorHAnsi" w:hAnsiTheme="majorHAnsi"/>
          <w:sz w:val="18"/>
          <w:szCs w:val="18"/>
          <w:lang w:val="es-ES_tradnl"/>
        </w:rPr>
        <w:t>homosexual</w:t>
      </w:r>
      <w:r w:rsidRPr="00CD3501">
        <w:rPr>
          <w:rFonts w:asciiTheme="majorHAnsi" w:hAnsiTheme="majorHAnsi"/>
          <w:sz w:val="18"/>
          <w:szCs w:val="18"/>
          <w:lang w:val="es-ES_tradnl"/>
        </w:rPr>
        <w:t>, esa declaración en sí</w:t>
      </w:r>
      <w:r w:rsidR="00065EBD" w:rsidRPr="00CD3501">
        <w:rPr>
          <w:rFonts w:asciiTheme="majorHAnsi" w:hAnsiTheme="majorHAnsi"/>
          <w:sz w:val="18"/>
          <w:szCs w:val="18"/>
          <w:lang w:val="es-ES_tradnl"/>
        </w:rPr>
        <w:t xml:space="preserve"> misma</w:t>
      </w:r>
      <w:r w:rsidRPr="00CD3501">
        <w:rPr>
          <w:rFonts w:asciiTheme="majorHAnsi" w:hAnsiTheme="majorHAnsi"/>
          <w:sz w:val="18"/>
          <w:szCs w:val="18"/>
          <w:lang w:val="es-ES_tradnl"/>
        </w:rPr>
        <w:t xml:space="preserve"> </w:t>
      </w:r>
      <w:r w:rsidR="00F46DA8" w:rsidRPr="00CD3501">
        <w:rPr>
          <w:rFonts w:asciiTheme="majorHAnsi" w:hAnsiTheme="majorHAnsi"/>
          <w:sz w:val="18"/>
          <w:szCs w:val="18"/>
          <w:lang w:val="es-ES_tradnl"/>
        </w:rPr>
        <w:t>invita a discriminar contra</w:t>
      </w:r>
      <w:r w:rsidRPr="00CD3501">
        <w:rPr>
          <w:rFonts w:asciiTheme="majorHAnsi" w:hAnsiTheme="majorHAnsi"/>
          <w:sz w:val="18"/>
          <w:szCs w:val="18"/>
          <w:lang w:val="es-ES_tradnl"/>
        </w:rPr>
        <w:t xml:space="preserve"> las personas </w:t>
      </w:r>
      <w:r w:rsidR="00B94F89" w:rsidRPr="00CD3501">
        <w:rPr>
          <w:rFonts w:asciiTheme="majorHAnsi" w:hAnsiTheme="majorHAnsi"/>
          <w:sz w:val="18"/>
          <w:szCs w:val="18"/>
          <w:lang w:val="es-ES_tradnl"/>
        </w:rPr>
        <w:t>homosexual</w:t>
      </w:r>
      <w:r w:rsidRPr="00CD3501">
        <w:rPr>
          <w:rFonts w:asciiTheme="majorHAnsi" w:hAnsiTheme="majorHAnsi"/>
          <w:sz w:val="18"/>
          <w:szCs w:val="18"/>
          <w:lang w:val="es-ES_tradnl"/>
        </w:rPr>
        <w:t>es tanto en la esfera pública como en el ámbito privado.</w:t>
      </w:r>
    </w:p>
    <w:p w14:paraId="103AB225" w14:textId="77777777" w:rsidR="00B94F89" w:rsidRPr="00CD3501" w:rsidRDefault="00B94F89"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p>
    <w:p w14:paraId="05F7A2E5" w14:textId="375413FE" w:rsidR="00B94F89" w:rsidRPr="00CD3501" w:rsidRDefault="00CD7517"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t>[</w:t>
      </w:r>
      <w:r w:rsidR="00B94F89" w:rsidRPr="00CD3501">
        <w:rPr>
          <w:rFonts w:asciiTheme="majorHAnsi" w:hAnsiTheme="majorHAnsi"/>
          <w:sz w:val="18"/>
          <w:szCs w:val="18"/>
          <w:lang w:val="es-ES_tradnl"/>
        </w:rPr>
        <w:t>…</w:t>
      </w:r>
      <w:r w:rsidRPr="00CD3501">
        <w:rPr>
          <w:rFonts w:asciiTheme="majorHAnsi" w:hAnsiTheme="majorHAnsi"/>
          <w:sz w:val="18"/>
          <w:szCs w:val="18"/>
          <w:lang w:val="es-ES_tradnl"/>
        </w:rPr>
        <w:t>]</w:t>
      </w:r>
      <w:r w:rsidR="00B94F89" w:rsidRPr="00CD3501">
        <w:rPr>
          <w:rFonts w:asciiTheme="majorHAnsi" w:hAnsiTheme="majorHAnsi"/>
          <w:sz w:val="18"/>
          <w:szCs w:val="18"/>
          <w:lang w:val="es-ES_tradnl"/>
        </w:rPr>
        <w:t xml:space="preserve"> </w:t>
      </w:r>
      <w:r w:rsidR="009A3641" w:rsidRPr="00CD3501">
        <w:rPr>
          <w:rFonts w:asciiTheme="majorHAnsi" w:hAnsiTheme="majorHAnsi"/>
          <w:sz w:val="18"/>
          <w:szCs w:val="18"/>
          <w:lang w:val="es-ES_tradnl"/>
        </w:rPr>
        <w:t>los peticionarios</w:t>
      </w:r>
      <w:r w:rsidR="00B94F89" w:rsidRPr="00CD3501">
        <w:rPr>
          <w:rFonts w:asciiTheme="majorHAnsi" w:hAnsiTheme="majorHAnsi"/>
          <w:sz w:val="18"/>
          <w:szCs w:val="18"/>
          <w:lang w:val="es-ES_tradnl"/>
        </w:rPr>
        <w:t xml:space="preserve"> </w:t>
      </w:r>
      <w:r w:rsidRPr="00CD3501">
        <w:rPr>
          <w:rFonts w:asciiTheme="majorHAnsi" w:hAnsiTheme="majorHAnsi"/>
          <w:sz w:val="18"/>
          <w:szCs w:val="18"/>
          <w:lang w:val="es-ES_tradnl"/>
        </w:rPr>
        <w:t>tienen derecho a que se les respete la vida privada</w:t>
      </w:r>
      <w:r w:rsidR="00B94F89" w:rsidRPr="00CD3501">
        <w:rPr>
          <w:rFonts w:asciiTheme="majorHAnsi" w:hAnsiTheme="majorHAnsi"/>
          <w:sz w:val="18"/>
          <w:szCs w:val="18"/>
          <w:lang w:val="es-ES_tradnl"/>
        </w:rPr>
        <w:t xml:space="preserve">. </w:t>
      </w:r>
      <w:r w:rsidR="009A3641" w:rsidRPr="00CD3501">
        <w:rPr>
          <w:rFonts w:asciiTheme="majorHAnsi" w:hAnsiTheme="majorHAnsi"/>
          <w:sz w:val="18"/>
          <w:szCs w:val="18"/>
          <w:lang w:val="es-ES_tradnl"/>
        </w:rPr>
        <w:t>El Estado</w:t>
      </w:r>
      <w:r w:rsidR="00B94F89" w:rsidRPr="00CD3501">
        <w:rPr>
          <w:rFonts w:asciiTheme="majorHAnsi" w:hAnsiTheme="majorHAnsi"/>
          <w:sz w:val="18"/>
          <w:szCs w:val="18"/>
          <w:lang w:val="es-ES_tradnl"/>
        </w:rPr>
        <w:t xml:space="preserve"> </w:t>
      </w:r>
      <w:r w:rsidR="00491115" w:rsidRPr="00CD3501">
        <w:rPr>
          <w:rFonts w:asciiTheme="majorHAnsi" w:hAnsiTheme="majorHAnsi"/>
          <w:sz w:val="18"/>
          <w:szCs w:val="18"/>
          <w:lang w:val="es-ES_tradnl"/>
        </w:rPr>
        <w:t xml:space="preserve">no puede degradar su existencia o </w:t>
      </w:r>
      <w:r w:rsidR="00B94F89" w:rsidRPr="00CD3501">
        <w:rPr>
          <w:rFonts w:asciiTheme="majorHAnsi" w:hAnsiTheme="majorHAnsi"/>
          <w:sz w:val="18"/>
          <w:szCs w:val="18"/>
          <w:lang w:val="es-ES_tradnl"/>
        </w:rPr>
        <w:t>control</w:t>
      </w:r>
      <w:r w:rsidR="00491115" w:rsidRPr="00CD3501">
        <w:rPr>
          <w:rFonts w:asciiTheme="majorHAnsi" w:hAnsiTheme="majorHAnsi"/>
          <w:sz w:val="18"/>
          <w:szCs w:val="18"/>
          <w:lang w:val="es-ES_tradnl"/>
        </w:rPr>
        <w:t>ar su destino tipificando su conducta sexual privada como delito. El derecho a la libertad establecido en la cláusula sobre el debido proceso les da pleno derecho a su conducta sin injerencia del Estado.</w:t>
      </w:r>
      <w:r w:rsidR="003067F3" w:rsidRPr="00CD3501">
        <w:rPr>
          <w:rFonts w:asciiTheme="majorHAnsi" w:hAnsiTheme="majorHAnsi"/>
          <w:sz w:val="18"/>
          <w:szCs w:val="18"/>
          <w:lang w:val="es-ES_tradnl"/>
        </w:rPr>
        <w:t xml:space="preserve"> </w:t>
      </w:r>
      <w:r w:rsidR="00491115" w:rsidRPr="00CD3501">
        <w:rPr>
          <w:rFonts w:asciiTheme="majorHAnsi" w:hAnsiTheme="majorHAnsi"/>
          <w:sz w:val="18"/>
          <w:szCs w:val="18"/>
          <w:lang w:val="es-ES_tradnl"/>
        </w:rPr>
        <w:t>L</w:t>
      </w:r>
      <w:r w:rsidR="00955CAC" w:rsidRPr="00CD3501">
        <w:rPr>
          <w:rFonts w:asciiTheme="majorHAnsi" w:hAnsiTheme="majorHAnsi"/>
          <w:sz w:val="18"/>
          <w:szCs w:val="18"/>
          <w:lang w:val="es-ES_tradnl"/>
        </w:rPr>
        <w:t>a Constitución</w:t>
      </w:r>
      <w:r w:rsidR="00B94F89" w:rsidRPr="00CD3501">
        <w:rPr>
          <w:rFonts w:asciiTheme="majorHAnsi" w:hAnsiTheme="majorHAnsi"/>
          <w:sz w:val="18"/>
          <w:szCs w:val="18"/>
          <w:lang w:val="es-ES_tradnl"/>
        </w:rPr>
        <w:t xml:space="preserve"> </w:t>
      </w:r>
      <w:r w:rsidR="00491115" w:rsidRPr="00CD3501">
        <w:rPr>
          <w:rFonts w:asciiTheme="majorHAnsi" w:hAnsiTheme="majorHAnsi"/>
          <w:sz w:val="18"/>
          <w:szCs w:val="18"/>
          <w:lang w:val="es-ES_tradnl"/>
        </w:rPr>
        <w:t>contiene la promesa de que hay un ámbito de la libertad</w:t>
      </w:r>
      <w:r w:rsidR="00B94F89" w:rsidRPr="00CD3501">
        <w:rPr>
          <w:rFonts w:asciiTheme="majorHAnsi" w:hAnsiTheme="majorHAnsi"/>
          <w:sz w:val="18"/>
          <w:szCs w:val="18"/>
          <w:lang w:val="es-ES_tradnl"/>
        </w:rPr>
        <w:t xml:space="preserve"> personal </w:t>
      </w:r>
      <w:r w:rsidR="00491115" w:rsidRPr="00CD3501">
        <w:rPr>
          <w:rFonts w:asciiTheme="majorHAnsi" w:hAnsiTheme="majorHAnsi"/>
          <w:sz w:val="18"/>
          <w:szCs w:val="18"/>
          <w:lang w:val="es-ES_tradnl"/>
        </w:rPr>
        <w:t>en el cual el Estado no puede entrometerse. Además, la ley de</w:t>
      </w:r>
      <w:r w:rsidR="00B94F89" w:rsidRPr="00CD3501">
        <w:rPr>
          <w:rFonts w:asciiTheme="majorHAnsi" w:hAnsiTheme="majorHAnsi"/>
          <w:sz w:val="18"/>
          <w:szCs w:val="18"/>
          <w:lang w:val="es-ES_tradnl"/>
        </w:rPr>
        <w:t xml:space="preserve"> Texas </w:t>
      </w:r>
      <w:r w:rsidR="00491115" w:rsidRPr="00CD3501">
        <w:rPr>
          <w:rFonts w:asciiTheme="majorHAnsi" w:hAnsiTheme="majorHAnsi"/>
          <w:sz w:val="18"/>
          <w:szCs w:val="18"/>
          <w:lang w:val="es-ES_tradnl"/>
        </w:rPr>
        <w:t xml:space="preserve">no promueve ningún interés estatal legítimo que pueda justificar su intrusión en la vida </w:t>
      </w:r>
      <w:r w:rsidR="00B94F89" w:rsidRPr="00CD3501">
        <w:rPr>
          <w:rFonts w:asciiTheme="majorHAnsi" w:hAnsiTheme="majorHAnsi"/>
          <w:sz w:val="18"/>
          <w:szCs w:val="18"/>
          <w:lang w:val="es-ES_tradnl"/>
        </w:rPr>
        <w:t xml:space="preserve">personal </w:t>
      </w:r>
      <w:r w:rsidR="00491115" w:rsidRPr="00CD3501">
        <w:rPr>
          <w:rFonts w:asciiTheme="majorHAnsi" w:hAnsiTheme="majorHAnsi"/>
          <w:sz w:val="18"/>
          <w:szCs w:val="18"/>
          <w:lang w:val="es-ES_tradnl"/>
        </w:rPr>
        <w:t>y privada de la persona</w:t>
      </w:r>
      <w:r w:rsidR="00B94F89" w:rsidRPr="00CD3501">
        <w:rPr>
          <w:rStyle w:val="FootnoteReference"/>
          <w:rFonts w:ascii="Cambria" w:hAnsi="Cambria" w:cs="Arial"/>
          <w:color w:val="000000"/>
          <w:sz w:val="18"/>
          <w:szCs w:val="18"/>
          <w:lang w:val="es-ES_tradnl"/>
        </w:rPr>
        <w:footnoteReference w:id="52"/>
      </w:r>
      <w:r w:rsidR="00491115" w:rsidRPr="00CD3501">
        <w:rPr>
          <w:rFonts w:asciiTheme="majorHAnsi" w:hAnsiTheme="majorHAnsi"/>
          <w:sz w:val="18"/>
          <w:szCs w:val="18"/>
          <w:lang w:val="es-ES_tradnl"/>
        </w:rPr>
        <w:t>.</w:t>
      </w:r>
    </w:p>
    <w:p w14:paraId="7F827B6F" w14:textId="77777777" w:rsidR="00A41B25" w:rsidRPr="00CD3501" w:rsidRDefault="00A41B25"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p>
    <w:p w14:paraId="0830D77A" w14:textId="2C967752" w:rsidR="00B94F89" w:rsidRPr="00CD3501" w:rsidRDefault="00491115" w:rsidP="00C12E55">
      <w:pPr>
        <w:pStyle w:val="parrafos"/>
        <w:numPr>
          <w:ilvl w:val="0"/>
          <w:numId w:val="57"/>
        </w:numPr>
        <w:tabs>
          <w:tab w:val="clear" w:pos="360"/>
          <w:tab w:val="clear" w:pos="1080"/>
        </w:tabs>
        <w:ind w:left="0" w:firstLine="0"/>
        <w:rPr>
          <w:lang w:val="es-ES_tradnl"/>
        </w:rPr>
      </w:pPr>
      <w:r w:rsidRPr="00CD3501">
        <w:rPr>
          <w:lang w:val="es-ES_tradnl"/>
        </w:rPr>
        <w:t>El Tribunal</w:t>
      </w:r>
      <w:r w:rsidR="00B94F89" w:rsidRPr="00CD3501">
        <w:rPr>
          <w:lang w:val="es-ES_tradnl"/>
        </w:rPr>
        <w:t xml:space="preserve"> </w:t>
      </w:r>
      <w:r w:rsidRPr="00CD3501">
        <w:rPr>
          <w:lang w:val="es-ES_tradnl"/>
        </w:rPr>
        <w:t>Constitucional</w:t>
      </w:r>
      <w:r w:rsidR="00B94F89" w:rsidRPr="00CD3501">
        <w:rPr>
          <w:lang w:val="es-ES_tradnl"/>
        </w:rPr>
        <w:t xml:space="preserve"> </w:t>
      </w:r>
      <w:r w:rsidRPr="00CD3501">
        <w:rPr>
          <w:lang w:val="es-ES_tradnl"/>
        </w:rPr>
        <w:t xml:space="preserve">de Sudáfrica, en el </w:t>
      </w:r>
      <w:r w:rsidR="00B94F89" w:rsidRPr="00CD3501">
        <w:rPr>
          <w:lang w:val="es-ES_tradnl"/>
        </w:rPr>
        <w:t>cas</w:t>
      </w:r>
      <w:r w:rsidRPr="00CD3501">
        <w:rPr>
          <w:lang w:val="es-ES_tradnl"/>
        </w:rPr>
        <w:t>o</w:t>
      </w:r>
      <w:r w:rsidR="006F38DB" w:rsidRPr="00CD3501">
        <w:rPr>
          <w:lang w:val="es-ES_tradnl"/>
        </w:rPr>
        <w:t xml:space="preserve"> </w:t>
      </w:r>
      <w:r w:rsidR="00B94F89" w:rsidRPr="00CD3501">
        <w:rPr>
          <w:i/>
          <w:lang w:val="es-ES_tradnl"/>
        </w:rPr>
        <w:t>Coali</w:t>
      </w:r>
      <w:r w:rsidRPr="00CD3501">
        <w:rPr>
          <w:i/>
          <w:lang w:val="es-ES_tradnl"/>
        </w:rPr>
        <w:t xml:space="preserve">ción Nacional para la Igualdad de las Personas </w:t>
      </w:r>
      <w:r w:rsidR="00287068" w:rsidRPr="00CD3501">
        <w:rPr>
          <w:i/>
          <w:lang w:val="es-ES_tradnl"/>
        </w:rPr>
        <w:t>Gais</w:t>
      </w:r>
      <w:r w:rsidRPr="00CD3501">
        <w:rPr>
          <w:i/>
          <w:lang w:val="es-ES_tradnl"/>
        </w:rPr>
        <w:t xml:space="preserve"> y Lesbianas y otros contra el Ministro de Justicia y otros</w:t>
      </w:r>
      <w:r w:rsidRPr="00CD3501">
        <w:rPr>
          <w:lang w:val="es-ES_tradnl"/>
        </w:rPr>
        <w:t>,</w:t>
      </w:r>
      <w:r w:rsidRPr="00CD3501">
        <w:rPr>
          <w:i/>
          <w:lang w:val="es-ES_tradnl"/>
        </w:rPr>
        <w:t xml:space="preserve"> </w:t>
      </w:r>
      <w:r w:rsidRPr="00CD3501">
        <w:rPr>
          <w:lang w:val="es-ES_tradnl"/>
        </w:rPr>
        <w:t xml:space="preserve">sostuvo que las leyes de sodomía violan el derecho a la igualdad y la dignidad. Según la </w:t>
      </w:r>
      <w:r w:rsidR="00265CC9" w:rsidRPr="00CD3501">
        <w:rPr>
          <w:lang w:val="es-ES_tradnl"/>
        </w:rPr>
        <w:t>Corte</w:t>
      </w:r>
      <w:r w:rsidR="00E13134" w:rsidRPr="00CD3501">
        <w:rPr>
          <w:lang w:val="es-ES_tradnl"/>
        </w:rPr>
        <w:t>:</w:t>
      </w:r>
    </w:p>
    <w:p w14:paraId="54C72435" w14:textId="77777777" w:rsidR="00B94F89" w:rsidRPr="00CD3501" w:rsidRDefault="00B94F89" w:rsidP="00A167CF">
      <w:pPr>
        <w:pStyle w:val="parrafos"/>
        <w:tabs>
          <w:tab w:val="clear" w:pos="360"/>
        </w:tabs>
        <w:rPr>
          <w:lang w:val="es-ES_tradnl"/>
        </w:rPr>
      </w:pPr>
    </w:p>
    <w:p w14:paraId="76C4EAA1" w14:textId="44155869" w:rsidR="00B94F89" w:rsidRPr="00CD3501" w:rsidRDefault="00920A63"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t xml:space="preserve">La prohibición </w:t>
      </w:r>
      <w:r w:rsidR="00B94F89" w:rsidRPr="00CD3501">
        <w:rPr>
          <w:rFonts w:asciiTheme="majorHAnsi" w:hAnsiTheme="majorHAnsi"/>
          <w:sz w:val="18"/>
          <w:szCs w:val="18"/>
          <w:lang w:val="es-ES_tradnl"/>
        </w:rPr>
        <w:t>discriminator</w:t>
      </w:r>
      <w:r w:rsidRPr="00CD3501">
        <w:rPr>
          <w:rFonts w:asciiTheme="majorHAnsi" w:hAnsiTheme="majorHAnsi"/>
          <w:sz w:val="18"/>
          <w:szCs w:val="18"/>
          <w:lang w:val="es-ES_tradnl"/>
        </w:rPr>
        <w:t>ia de las relaciones sexuales entre hombres refuerza los prejuicios que ya existen en la sociedad y aumentan enormemente los efectos negativos de esos prejuicios en la vida de estos hombres</w:t>
      </w:r>
      <w:r w:rsidR="00B94F89" w:rsidRPr="00CD3501">
        <w:rPr>
          <w:rFonts w:asciiTheme="majorHAnsi" w:hAnsiTheme="majorHAnsi"/>
          <w:sz w:val="18"/>
          <w:szCs w:val="18"/>
          <w:lang w:val="es-ES_tradnl"/>
        </w:rPr>
        <w:t xml:space="preserve">. </w:t>
      </w:r>
    </w:p>
    <w:p w14:paraId="28F2F981" w14:textId="77777777" w:rsidR="00735002" w:rsidRPr="00CD3501" w:rsidRDefault="00735002" w:rsidP="00A167CF">
      <w:pPr>
        <w:pBdr>
          <w:top w:val="none" w:sz="0" w:space="0" w:color="auto"/>
          <w:left w:val="none" w:sz="0" w:space="0" w:color="auto"/>
          <w:bottom w:val="none" w:sz="0" w:space="0" w:color="auto"/>
          <w:right w:val="none" w:sz="0" w:space="0" w:color="auto"/>
          <w:between w:val="none" w:sz="0" w:space="0" w:color="auto"/>
          <w:bar w:val="none" w:sz="0" w:color="auto"/>
        </w:pBdr>
        <w:ind w:right="360"/>
        <w:jc w:val="both"/>
        <w:rPr>
          <w:rFonts w:asciiTheme="majorHAnsi" w:hAnsiTheme="majorHAnsi"/>
          <w:sz w:val="18"/>
          <w:szCs w:val="18"/>
          <w:lang w:val="es-ES_tradnl"/>
        </w:rPr>
      </w:pPr>
    </w:p>
    <w:p w14:paraId="2E160B37" w14:textId="3A080FF8" w:rsidR="00735002" w:rsidRPr="00CD3501" w:rsidRDefault="00920A63"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t>[</w:t>
      </w:r>
      <w:r w:rsidR="00B94F89" w:rsidRPr="00CD3501">
        <w:rPr>
          <w:rFonts w:asciiTheme="majorHAnsi" w:hAnsiTheme="majorHAnsi"/>
          <w:sz w:val="18"/>
          <w:szCs w:val="18"/>
          <w:lang w:val="es-ES_tradnl"/>
        </w:rPr>
        <w:t>…</w:t>
      </w:r>
      <w:r w:rsidRPr="00CD3501">
        <w:rPr>
          <w:rFonts w:asciiTheme="majorHAnsi" w:hAnsiTheme="majorHAnsi"/>
          <w:sz w:val="18"/>
          <w:szCs w:val="18"/>
          <w:lang w:val="es-ES_tradnl"/>
        </w:rPr>
        <w:t>]</w:t>
      </w:r>
      <w:r w:rsidR="00B94F89" w:rsidRPr="00CD3501">
        <w:rPr>
          <w:rFonts w:asciiTheme="majorHAnsi" w:hAnsiTheme="majorHAnsi"/>
          <w:sz w:val="18"/>
          <w:szCs w:val="18"/>
          <w:lang w:val="es-ES_tradnl"/>
        </w:rPr>
        <w:t xml:space="preserve"> </w:t>
      </w:r>
      <w:r w:rsidRPr="00CD3501">
        <w:rPr>
          <w:rFonts w:asciiTheme="majorHAnsi" w:hAnsiTheme="majorHAnsi"/>
          <w:sz w:val="18"/>
          <w:szCs w:val="18"/>
          <w:lang w:val="es-ES_tradnl"/>
        </w:rPr>
        <w:t xml:space="preserve">el impacto es grave y afecta </w:t>
      </w:r>
      <w:r w:rsidR="005779A6" w:rsidRPr="00CD3501">
        <w:rPr>
          <w:rFonts w:asciiTheme="majorHAnsi" w:hAnsiTheme="majorHAnsi"/>
          <w:sz w:val="18"/>
          <w:szCs w:val="18"/>
          <w:lang w:val="es-ES_tradnl"/>
        </w:rPr>
        <w:t xml:space="preserve">profundamente </w:t>
      </w:r>
      <w:r w:rsidRPr="00CD3501">
        <w:rPr>
          <w:rFonts w:asciiTheme="majorHAnsi" w:hAnsiTheme="majorHAnsi"/>
          <w:sz w:val="18"/>
          <w:szCs w:val="18"/>
          <w:lang w:val="es-ES_tradnl"/>
        </w:rPr>
        <w:t>la dignidad, la personalidad y la identidad de los hombres</w:t>
      </w:r>
      <w:r w:rsidR="00B94F89" w:rsidRPr="00CD3501">
        <w:rPr>
          <w:rFonts w:asciiTheme="majorHAnsi" w:hAnsiTheme="majorHAnsi"/>
          <w:sz w:val="18"/>
          <w:szCs w:val="18"/>
          <w:lang w:val="es-ES_tradnl"/>
        </w:rPr>
        <w:t xml:space="preserve"> </w:t>
      </w:r>
      <w:r w:rsidR="00F46DA8" w:rsidRPr="00CD3501">
        <w:rPr>
          <w:rFonts w:asciiTheme="majorHAnsi" w:hAnsiTheme="majorHAnsi"/>
          <w:sz w:val="18"/>
          <w:szCs w:val="18"/>
          <w:lang w:val="es-ES_tradnl"/>
        </w:rPr>
        <w:t>gais</w:t>
      </w:r>
      <w:r w:rsidR="005779A6" w:rsidRPr="00CD3501">
        <w:rPr>
          <w:rFonts w:asciiTheme="majorHAnsi" w:hAnsiTheme="majorHAnsi"/>
          <w:sz w:val="18"/>
          <w:szCs w:val="18"/>
          <w:lang w:val="es-ES_tradnl"/>
        </w:rPr>
        <w:t xml:space="preserve">. Se produce en muchos niveles y de muchas maneras y suele ser difícil de erradicar. La índole del poder y su finalidad es penalizar la conducta privada consensual de adultos que no perjudica a otras personas. Su único fin es penalizar una conducta que no se ajusta a las normas </w:t>
      </w:r>
      <w:r w:rsidR="00B94F89" w:rsidRPr="00CD3501">
        <w:rPr>
          <w:rFonts w:asciiTheme="majorHAnsi" w:hAnsiTheme="majorHAnsi"/>
          <w:sz w:val="18"/>
          <w:szCs w:val="18"/>
          <w:lang w:val="es-ES_tradnl"/>
        </w:rPr>
        <w:t>moral</w:t>
      </w:r>
      <w:r w:rsidR="005779A6" w:rsidRPr="00CD3501">
        <w:rPr>
          <w:rFonts w:asciiTheme="majorHAnsi" w:hAnsiTheme="majorHAnsi"/>
          <w:sz w:val="18"/>
          <w:szCs w:val="18"/>
          <w:lang w:val="es-ES_tradnl"/>
        </w:rPr>
        <w:t>es o religiosas de un segmento de la sociedad.</w:t>
      </w:r>
    </w:p>
    <w:p w14:paraId="35E5DECB" w14:textId="0EC847AD" w:rsidR="00735002" w:rsidRPr="00CD3501" w:rsidRDefault="00735002" w:rsidP="00A167CF">
      <w:pPr>
        <w:pBdr>
          <w:top w:val="none" w:sz="0" w:space="0" w:color="auto"/>
          <w:left w:val="none" w:sz="0" w:space="0" w:color="auto"/>
          <w:bottom w:val="none" w:sz="0" w:space="0" w:color="auto"/>
          <w:right w:val="none" w:sz="0" w:space="0" w:color="auto"/>
          <w:between w:val="none" w:sz="0" w:space="0" w:color="auto"/>
          <w:bar w:val="none" w:sz="0" w:color="auto"/>
        </w:pBdr>
        <w:ind w:right="360"/>
        <w:jc w:val="both"/>
        <w:rPr>
          <w:rFonts w:asciiTheme="majorHAnsi" w:hAnsiTheme="majorHAnsi"/>
          <w:sz w:val="18"/>
          <w:szCs w:val="18"/>
          <w:lang w:val="es-ES_tradnl"/>
        </w:rPr>
      </w:pPr>
    </w:p>
    <w:p w14:paraId="4EA0ED9C" w14:textId="58F00DE4" w:rsidR="00735002" w:rsidRPr="00CD3501" w:rsidRDefault="00920A63"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t>[</w:t>
      </w:r>
      <w:r w:rsidR="00735002" w:rsidRPr="00CD3501">
        <w:rPr>
          <w:rFonts w:asciiTheme="majorHAnsi" w:hAnsiTheme="majorHAnsi"/>
          <w:sz w:val="18"/>
          <w:szCs w:val="18"/>
          <w:lang w:val="es-ES_tradnl"/>
        </w:rPr>
        <w:t>…</w:t>
      </w:r>
      <w:r w:rsidRPr="00CD3501">
        <w:rPr>
          <w:rFonts w:asciiTheme="majorHAnsi" w:hAnsiTheme="majorHAnsi"/>
          <w:sz w:val="18"/>
          <w:szCs w:val="18"/>
          <w:lang w:val="es-ES_tradnl"/>
        </w:rPr>
        <w:t>]</w:t>
      </w:r>
      <w:r w:rsidR="00735002" w:rsidRPr="00CD3501">
        <w:rPr>
          <w:rFonts w:asciiTheme="majorHAnsi" w:hAnsiTheme="majorHAnsi"/>
          <w:sz w:val="18"/>
          <w:szCs w:val="18"/>
          <w:lang w:val="es-ES_tradnl"/>
        </w:rPr>
        <w:t xml:space="preserve"> </w:t>
      </w:r>
      <w:r w:rsidR="005779A6" w:rsidRPr="00CD3501">
        <w:rPr>
          <w:rFonts w:asciiTheme="majorHAnsi" w:hAnsiTheme="majorHAnsi"/>
          <w:sz w:val="18"/>
          <w:szCs w:val="18"/>
          <w:lang w:val="es-ES_tradnl"/>
        </w:rPr>
        <w:t>He considerado únicamente el delito de sodomía en el sistema del</w:t>
      </w:r>
      <w:r w:rsidR="00735002" w:rsidRPr="00CD3501">
        <w:rPr>
          <w:rFonts w:asciiTheme="majorHAnsi" w:hAnsiTheme="majorHAnsi"/>
          <w:sz w:val="18"/>
          <w:szCs w:val="18"/>
          <w:lang w:val="es-ES_tradnl"/>
        </w:rPr>
        <w:t xml:space="preserve"> </w:t>
      </w:r>
      <w:r w:rsidR="00735002" w:rsidRPr="00CD3501">
        <w:rPr>
          <w:rFonts w:asciiTheme="majorHAnsi" w:hAnsiTheme="majorHAnsi"/>
          <w:i/>
          <w:sz w:val="18"/>
          <w:szCs w:val="18"/>
          <w:lang w:val="es-ES_tradnl"/>
        </w:rPr>
        <w:t>common law</w:t>
      </w:r>
      <w:r w:rsidR="00735002" w:rsidRPr="00CD3501">
        <w:rPr>
          <w:rFonts w:asciiTheme="majorHAnsi" w:hAnsiTheme="majorHAnsi"/>
          <w:sz w:val="18"/>
          <w:szCs w:val="18"/>
          <w:lang w:val="es-ES_tradnl"/>
        </w:rPr>
        <w:t xml:space="preserve"> </w:t>
      </w:r>
      <w:r w:rsidR="005779A6" w:rsidRPr="00CD3501">
        <w:rPr>
          <w:rFonts w:asciiTheme="majorHAnsi" w:hAnsiTheme="majorHAnsi"/>
          <w:sz w:val="18"/>
          <w:szCs w:val="18"/>
          <w:lang w:val="es-ES_tradnl"/>
        </w:rPr>
        <w:t xml:space="preserve">sobre la base de su incompatibilidad con el derecho a la igualdad. Esa fue la base principal de los argumentos expuestos en el caso. Sin embargo, en mi opinión, el delito de sodomía en el sistema del </w:t>
      </w:r>
      <w:r w:rsidR="005779A6" w:rsidRPr="00CD3501">
        <w:rPr>
          <w:rFonts w:asciiTheme="majorHAnsi" w:hAnsiTheme="majorHAnsi"/>
          <w:i/>
          <w:sz w:val="18"/>
          <w:szCs w:val="18"/>
          <w:lang w:val="es-ES_tradnl"/>
        </w:rPr>
        <w:t>common law</w:t>
      </w:r>
      <w:r w:rsidR="00735002" w:rsidRPr="00CD3501">
        <w:rPr>
          <w:rFonts w:asciiTheme="majorHAnsi" w:hAnsiTheme="majorHAnsi"/>
          <w:sz w:val="18"/>
          <w:szCs w:val="18"/>
          <w:lang w:val="es-ES_tradnl"/>
        </w:rPr>
        <w:t xml:space="preserve"> </w:t>
      </w:r>
      <w:r w:rsidR="005779A6" w:rsidRPr="00CD3501">
        <w:rPr>
          <w:rFonts w:asciiTheme="majorHAnsi" w:hAnsiTheme="majorHAnsi"/>
          <w:sz w:val="18"/>
          <w:szCs w:val="18"/>
          <w:lang w:val="es-ES_tradnl"/>
        </w:rPr>
        <w:t>constituye también una infracción del derecho a la dignidad, consagrado en el artículo</w:t>
      </w:r>
      <w:r w:rsidR="00735002" w:rsidRPr="00CD3501">
        <w:rPr>
          <w:rFonts w:asciiTheme="majorHAnsi" w:hAnsiTheme="majorHAnsi"/>
          <w:sz w:val="18"/>
          <w:szCs w:val="18"/>
          <w:lang w:val="es-ES_tradnl"/>
        </w:rPr>
        <w:t xml:space="preserve"> 10 </w:t>
      </w:r>
      <w:r w:rsidR="005779A6" w:rsidRPr="00CD3501">
        <w:rPr>
          <w:rFonts w:asciiTheme="majorHAnsi" w:hAnsiTheme="majorHAnsi"/>
          <w:sz w:val="18"/>
          <w:szCs w:val="18"/>
          <w:lang w:val="es-ES_tradnl"/>
        </w:rPr>
        <w:t>de nuestra Constitución.</w:t>
      </w:r>
    </w:p>
    <w:p w14:paraId="709FDEB4" w14:textId="77777777" w:rsidR="00735002" w:rsidRPr="00CD3501" w:rsidRDefault="00735002"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p>
    <w:p w14:paraId="1B8EC7DC" w14:textId="3FC3ED17" w:rsidR="00B94F89" w:rsidRPr="00CD3501" w:rsidRDefault="005779A6"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t xml:space="preserve">La prohibición de la sodomía </w:t>
      </w:r>
      <w:r w:rsidR="00F12075" w:rsidRPr="00CD3501">
        <w:rPr>
          <w:rFonts w:asciiTheme="majorHAnsi" w:hAnsiTheme="majorHAnsi"/>
          <w:sz w:val="18"/>
          <w:szCs w:val="18"/>
          <w:lang w:val="es-ES_tradnl"/>
        </w:rPr>
        <w:t xml:space="preserve">en el sistema del </w:t>
      </w:r>
      <w:r w:rsidR="00F12075" w:rsidRPr="00CD3501">
        <w:rPr>
          <w:rFonts w:asciiTheme="majorHAnsi" w:hAnsiTheme="majorHAnsi"/>
          <w:i/>
          <w:sz w:val="18"/>
          <w:szCs w:val="18"/>
          <w:lang w:val="es-ES_tradnl"/>
        </w:rPr>
        <w:t>common law</w:t>
      </w:r>
      <w:r w:rsidR="00735002" w:rsidRPr="00CD3501">
        <w:rPr>
          <w:rFonts w:asciiTheme="majorHAnsi" w:hAnsiTheme="majorHAnsi"/>
          <w:sz w:val="18"/>
          <w:szCs w:val="18"/>
          <w:lang w:val="es-ES_tradnl"/>
        </w:rPr>
        <w:t xml:space="preserve"> </w:t>
      </w:r>
      <w:r w:rsidR="00F12075" w:rsidRPr="00CD3501">
        <w:rPr>
          <w:rFonts w:asciiTheme="majorHAnsi" w:hAnsiTheme="majorHAnsi"/>
          <w:sz w:val="18"/>
          <w:szCs w:val="18"/>
          <w:lang w:val="es-ES_tradnl"/>
        </w:rPr>
        <w:t xml:space="preserve">penaliza todo tipo de copulación </w:t>
      </w:r>
      <w:r w:rsidR="00735002" w:rsidRPr="00CD3501">
        <w:rPr>
          <w:rFonts w:asciiTheme="majorHAnsi" w:hAnsiTheme="majorHAnsi"/>
          <w:sz w:val="18"/>
          <w:szCs w:val="18"/>
          <w:lang w:val="es-ES_tradnl"/>
        </w:rPr>
        <w:t>sexual</w:t>
      </w:r>
      <w:r w:rsidR="00F12075" w:rsidRPr="00CD3501">
        <w:rPr>
          <w:rFonts w:asciiTheme="majorHAnsi" w:hAnsiTheme="majorHAnsi"/>
          <w:sz w:val="18"/>
          <w:szCs w:val="18"/>
          <w:lang w:val="es-ES_tradnl"/>
        </w:rPr>
        <w:t xml:space="preserve"> anal entre hombres, independientemente de la relación que exista en la pareja, de la edad de la pareja, del lugar donde se haga o de cualquier otra circunstancia. De esa forma, sanciona una forma de conducta </w:t>
      </w:r>
      <w:r w:rsidR="00735002" w:rsidRPr="00CD3501">
        <w:rPr>
          <w:rFonts w:asciiTheme="majorHAnsi" w:hAnsiTheme="majorHAnsi"/>
          <w:sz w:val="18"/>
          <w:szCs w:val="18"/>
          <w:lang w:val="es-ES_tradnl"/>
        </w:rPr>
        <w:t xml:space="preserve">sexual </w:t>
      </w:r>
      <w:r w:rsidR="00F12075" w:rsidRPr="00CD3501">
        <w:rPr>
          <w:rFonts w:asciiTheme="majorHAnsi" w:hAnsiTheme="majorHAnsi"/>
          <w:sz w:val="18"/>
          <w:szCs w:val="18"/>
          <w:lang w:val="es-ES_tradnl"/>
        </w:rPr>
        <w:t>que, en la sociedad en general, se atribuye a las personas</w:t>
      </w:r>
      <w:r w:rsidR="00735002" w:rsidRPr="00CD3501">
        <w:rPr>
          <w:rFonts w:asciiTheme="majorHAnsi" w:hAnsiTheme="majorHAnsi"/>
          <w:sz w:val="18"/>
          <w:szCs w:val="18"/>
          <w:lang w:val="es-ES_tradnl"/>
        </w:rPr>
        <w:t xml:space="preserve"> homosexual</w:t>
      </w:r>
      <w:r w:rsidR="00F12075" w:rsidRPr="00CD3501">
        <w:rPr>
          <w:rFonts w:asciiTheme="majorHAnsi" w:hAnsiTheme="majorHAnsi"/>
          <w:sz w:val="18"/>
          <w:szCs w:val="18"/>
          <w:lang w:val="es-ES_tradnl"/>
        </w:rPr>
        <w:t>e</w:t>
      </w:r>
      <w:r w:rsidR="00735002" w:rsidRPr="00CD3501">
        <w:rPr>
          <w:rFonts w:asciiTheme="majorHAnsi" w:hAnsiTheme="majorHAnsi"/>
          <w:sz w:val="18"/>
          <w:szCs w:val="18"/>
          <w:lang w:val="es-ES_tradnl"/>
        </w:rPr>
        <w:t xml:space="preserve">s. </w:t>
      </w:r>
      <w:r w:rsidR="00F12075" w:rsidRPr="00CD3501">
        <w:rPr>
          <w:rFonts w:asciiTheme="majorHAnsi" w:hAnsiTheme="majorHAnsi"/>
          <w:sz w:val="18"/>
          <w:szCs w:val="18"/>
          <w:lang w:val="es-ES_tradnl"/>
        </w:rPr>
        <w:t xml:space="preserve">Su efecto simbólico consiste en afirmar que, desde el punto de vista de nuestro ordenamiento jurídico, todos los hombres </w:t>
      </w:r>
      <w:r w:rsidR="00F46DA8" w:rsidRPr="00CD3501">
        <w:rPr>
          <w:rFonts w:asciiTheme="majorHAnsi" w:hAnsiTheme="majorHAnsi"/>
          <w:sz w:val="18"/>
          <w:szCs w:val="18"/>
          <w:lang w:val="es-ES_tradnl"/>
        </w:rPr>
        <w:t>gais</w:t>
      </w:r>
      <w:r w:rsidR="00F71CB2" w:rsidRPr="00CD3501">
        <w:rPr>
          <w:rFonts w:asciiTheme="majorHAnsi" w:hAnsiTheme="majorHAnsi"/>
          <w:sz w:val="18"/>
          <w:szCs w:val="18"/>
          <w:lang w:val="es-ES_tradnl"/>
        </w:rPr>
        <w:t xml:space="preserve"> </w:t>
      </w:r>
      <w:r w:rsidR="00F12075" w:rsidRPr="00CD3501">
        <w:rPr>
          <w:rFonts w:asciiTheme="majorHAnsi" w:hAnsiTheme="majorHAnsi"/>
          <w:sz w:val="18"/>
          <w:szCs w:val="18"/>
          <w:lang w:val="es-ES_tradnl"/>
        </w:rPr>
        <w:t xml:space="preserve">son </w:t>
      </w:r>
      <w:r w:rsidR="00F71CB2" w:rsidRPr="00CD3501">
        <w:rPr>
          <w:rFonts w:asciiTheme="majorHAnsi" w:hAnsiTheme="majorHAnsi"/>
          <w:sz w:val="18"/>
          <w:szCs w:val="18"/>
          <w:lang w:val="es-ES_tradnl"/>
        </w:rPr>
        <w:t>criminal</w:t>
      </w:r>
      <w:r w:rsidR="00F12075" w:rsidRPr="00CD3501">
        <w:rPr>
          <w:rFonts w:asciiTheme="majorHAnsi" w:hAnsiTheme="majorHAnsi"/>
          <w:sz w:val="18"/>
          <w:szCs w:val="18"/>
          <w:lang w:val="es-ES_tradnl"/>
        </w:rPr>
        <w:t>es. Por lo tanto, el estigma que marca a una parte considerab</w:t>
      </w:r>
      <w:r w:rsidR="006F38DB" w:rsidRPr="00CD3501">
        <w:rPr>
          <w:rFonts w:asciiTheme="majorHAnsi" w:hAnsiTheme="majorHAnsi"/>
          <w:sz w:val="18"/>
          <w:szCs w:val="18"/>
          <w:lang w:val="es-ES_tradnl"/>
        </w:rPr>
        <w:t xml:space="preserve">le de la población es evidente, pero el daño causado por la ley penal es mucho más que simbólico. Como consecuencia del delito penal, los hombres </w:t>
      </w:r>
      <w:r w:rsidR="00F46DA8" w:rsidRPr="00CD3501">
        <w:rPr>
          <w:rFonts w:asciiTheme="majorHAnsi" w:hAnsiTheme="majorHAnsi"/>
          <w:sz w:val="18"/>
          <w:szCs w:val="18"/>
          <w:lang w:val="es-ES_tradnl"/>
        </w:rPr>
        <w:t>gais</w:t>
      </w:r>
      <w:r w:rsidR="006F38DB" w:rsidRPr="00CD3501">
        <w:rPr>
          <w:rFonts w:asciiTheme="majorHAnsi" w:hAnsiTheme="majorHAnsi"/>
          <w:sz w:val="18"/>
          <w:szCs w:val="18"/>
          <w:lang w:val="es-ES_tradnl"/>
        </w:rPr>
        <w:t xml:space="preserve"> corren el riesgo de ser arrestados, juzgados y condenados por el delito de sodomía simplemente porque tienen una conducta </w:t>
      </w:r>
      <w:r w:rsidR="00B94F89" w:rsidRPr="00CD3501">
        <w:rPr>
          <w:rFonts w:asciiTheme="majorHAnsi" w:hAnsiTheme="majorHAnsi"/>
          <w:sz w:val="18"/>
          <w:szCs w:val="18"/>
          <w:lang w:val="es-ES_tradnl"/>
        </w:rPr>
        <w:t xml:space="preserve">sexual </w:t>
      </w:r>
      <w:r w:rsidR="006F38DB" w:rsidRPr="00CD3501">
        <w:rPr>
          <w:rFonts w:asciiTheme="majorHAnsi" w:hAnsiTheme="majorHAnsi"/>
          <w:sz w:val="18"/>
          <w:szCs w:val="18"/>
          <w:lang w:val="es-ES_tradnl"/>
        </w:rPr>
        <w:t>que forma parte de su experiencia humana</w:t>
      </w:r>
      <w:r w:rsidR="00B94F89" w:rsidRPr="00CD3501">
        <w:rPr>
          <w:rStyle w:val="FootnoteReference"/>
          <w:rFonts w:asciiTheme="majorHAnsi" w:hAnsiTheme="majorHAnsi"/>
          <w:sz w:val="18"/>
          <w:szCs w:val="18"/>
          <w:lang w:val="es-ES_tradnl"/>
        </w:rPr>
        <w:footnoteReference w:id="53"/>
      </w:r>
      <w:r w:rsidR="006F38DB" w:rsidRPr="00CD3501">
        <w:rPr>
          <w:rFonts w:asciiTheme="majorHAnsi" w:hAnsiTheme="majorHAnsi"/>
          <w:sz w:val="18"/>
          <w:szCs w:val="18"/>
          <w:lang w:val="es-ES_tradnl"/>
        </w:rPr>
        <w:t>.</w:t>
      </w:r>
    </w:p>
    <w:p w14:paraId="4FC1470D" w14:textId="77777777" w:rsidR="00BB0A79" w:rsidRPr="00CD3501" w:rsidRDefault="00BB0A79"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p>
    <w:p w14:paraId="4F95F965" w14:textId="07F6E83D" w:rsidR="00B94F89" w:rsidRPr="00CD3501" w:rsidRDefault="006F38DB" w:rsidP="00C12E55">
      <w:pPr>
        <w:pStyle w:val="parrafos"/>
        <w:numPr>
          <w:ilvl w:val="0"/>
          <w:numId w:val="57"/>
        </w:numPr>
        <w:tabs>
          <w:tab w:val="clear" w:pos="360"/>
          <w:tab w:val="clear" w:pos="1080"/>
        </w:tabs>
        <w:ind w:left="0" w:firstLine="0"/>
        <w:rPr>
          <w:lang w:val="es-ES_tradnl"/>
        </w:rPr>
      </w:pPr>
      <w:r w:rsidRPr="00CD3501">
        <w:rPr>
          <w:lang w:val="es-ES_tradnl"/>
        </w:rPr>
        <w:t>La Corte Suprema de la</w:t>
      </w:r>
      <w:r w:rsidR="00B94F89" w:rsidRPr="00CD3501">
        <w:rPr>
          <w:lang w:val="es-ES_tradnl"/>
        </w:rPr>
        <w:t xml:space="preserve"> India</w:t>
      </w:r>
      <w:r w:rsidRPr="00CD3501">
        <w:rPr>
          <w:lang w:val="es-ES_tradnl"/>
        </w:rPr>
        <w:t xml:space="preserve"> afirmó</w:t>
      </w:r>
      <w:r w:rsidR="00B94F89" w:rsidRPr="00CD3501">
        <w:rPr>
          <w:lang w:val="es-ES_tradnl"/>
        </w:rPr>
        <w:t xml:space="preserve">, </w:t>
      </w:r>
      <w:r w:rsidRPr="00CD3501">
        <w:rPr>
          <w:lang w:val="es-ES_tradnl"/>
        </w:rPr>
        <w:t xml:space="preserve">en el </w:t>
      </w:r>
      <w:r w:rsidR="00B94F89" w:rsidRPr="00CD3501">
        <w:rPr>
          <w:lang w:val="es-ES_tradnl"/>
        </w:rPr>
        <w:t>cas</w:t>
      </w:r>
      <w:r w:rsidRPr="00CD3501">
        <w:rPr>
          <w:lang w:val="es-ES_tradnl"/>
        </w:rPr>
        <w:t xml:space="preserve">o </w:t>
      </w:r>
      <w:r w:rsidR="00B94F89" w:rsidRPr="00CD3501">
        <w:rPr>
          <w:i/>
          <w:lang w:val="es-ES_tradnl"/>
        </w:rPr>
        <w:t>Navtej Singh Johar </w:t>
      </w:r>
      <w:r w:rsidRPr="00CD3501">
        <w:rPr>
          <w:i/>
          <w:lang w:val="es-ES_tradnl"/>
        </w:rPr>
        <w:t xml:space="preserve">y otros contra la Unión de la </w:t>
      </w:r>
      <w:r w:rsidR="00B94F89" w:rsidRPr="00CD3501">
        <w:rPr>
          <w:i/>
          <w:lang w:val="es-ES_tradnl"/>
        </w:rPr>
        <w:t>India</w:t>
      </w:r>
      <w:r w:rsidRPr="00CD3501">
        <w:rPr>
          <w:i/>
          <w:lang w:val="es-ES_tradnl"/>
        </w:rPr>
        <w:t>, representada por el Secretario del Ministerio de Derecho y Justicia</w:t>
      </w:r>
      <w:r w:rsidR="00B94F89" w:rsidRPr="00CD3501">
        <w:rPr>
          <w:lang w:val="es-ES_tradnl"/>
        </w:rPr>
        <w:t xml:space="preserve">, </w:t>
      </w:r>
      <w:r w:rsidRPr="00CD3501">
        <w:rPr>
          <w:lang w:val="es-ES_tradnl"/>
        </w:rPr>
        <w:t xml:space="preserve">que una ley que penalizaba los actos </w:t>
      </w:r>
      <w:r w:rsidR="00B94F89" w:rsidRPr="00CD3501">
        <w:rPr>
          <w:lang w:val="es-ES_tradnl"/>
        </w:rPr>
        <w:t>homosexual</w:t>
      </w:r>
      <w:r w:rsidRPr="00CD3501">
        <w:rPr>
          <w:lang w:val="es-ES_tradnl"/>
        </w:rPr>
        <w:t>es, entre otros, era inconstitucional</w:t>
      </w:r>
      <w:r w:rsidR="00B94F89" w:rsidRPr="00CD3501">
        <w:rPr>
          <w:lang w:val="es-ES_tradnl"/>
        </w:rPr>
        <w:t xml:space="preserve">. </w:t>
      </w:r>
      <w:r w:rsidR="00265CC9" w:rsidRPr="00CD3501">
        <w:rPr>
          <w:lang w:val="es-ES_tradnl"/>
        </w:rPr>
        <w:t>La Corte</w:t>
      </w:r>
      <w:r w:rsidR="00B94F89" w:rsidRPr="00CD3501">
        <w:rPr>
          <w:lang w:val="es-ES_tradnl"/>
        </w:rPr>
        <w:t xml:space="preserve"> </w:t>
      </w:r>
      <w:r w:rsidRPr="00CD3501">
        <w:rPr>
          <w:lang w:val="es-ES_tradnl"/>
        </w:rPr>
        <w:t>explicó</w:t>
      </w:r>
      <w:r w:rsidR="00B94F89" w:rsidRPr="00CD3501">
        <w:rPr>
          <w:lang w:val="es-ES_tradnl"/>
        </w:rPr>
        <w:t>:</w:t>
      </w:r>
    </w:p>
    <w:p w14:paraId="478D738E" w14:textId="77777777" w:rsidR="00B94F89" w:rsidRPr="00CD3501" w:rsidRDefault="00B94F89"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p>
    <w:p w14:paraId="1896DC97" w14:textId="138E771F" w:rsidR="00B94F89" w:rsidRPr="00CD3501" w:rsidRDefault="006F38DB"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t>Como mínimo se puede afirmar que la penalización de las relaciones carnales c</w:t>
      </w:r>
      <w:r w:rsidR="00B94F89" w:rsidRPr="00CD3501">
        <w:rPr>
          <w:rFonts w:asciiTheme="majorHAnsi" w:hAnsiTheme="majorHAnsi"/>
          <w:sz w:val="18"/>
          <w:szCs w:val="18"/>
          <w:lang w:val="es-ES_tradnl"/>
        </w:rPr>
        <w:t>onsensual</w:t>
      </w:r>
      <w:r w:rsidRPr="00CD3501">
        <w:rPr>
          <w:rFonts w:asciiTheme="majorHAnsi" w:hAnsiTheme="majorHAnsi"/>
          <w:sz w:val="18"/>
          <w:szCs w:val="18"/>
          <w:lang w:val="es-ES_tradnl"/>
        </w:rPr>
        <w:t xml:space="preserve">es, sean entre personas </w:t>
      </w:r>
      <w:r w:rsidR="00B94F89" w:rsidRPr="00CD3501">
        <w:rPr>
          <w:rFonts w:asciiTheme="majorHAnsi" w:hAnsiTheme="majorHAnsi"/>
          <w:sz w:val="18"/>
          <w:szCs w:val="18"/>
          <w:lang w:val="es-ES_tradnl"/>
        </w:rPr>
        <w:t>homosexual</w:t>
      </w:r>
      <w:r w:rsidRPr="00CD3501">
        <w:rPr>
          <w:rFonts w:asciiTheme="majorHAnsi" w:hAnsiTheme="majorHAnsi"/>
          <w:sz w:val="18"/>
          <w:szCs w:val="18"/>
          <w:lang w:val="es-ES_tradnl"/>
        </w:rPr>
        <w:t>e</w:t>
      </w:r>
      <w:r w:rsidR="00B94F89" w:rsidRPr="00CD3501">
        <w:rPr>
          <w:rFonts w:asciiTheme="majorHAnsi" w:hAnsiTheme="majorHAnsi"/>
          <w:sz w:val="18"/>
          <w:szCs w:val="18"/>
          <w:lang w:val="es-ES_tradnl"/>
        </w:rPr>
        <w:t>s, heterosexual</w:t>
      </w:r>
      <w:r w:rsidRPr="00CD3501">
        <w:rPr>
          <w:rFonts w:asciiTheme="majorHAnsi" w:hAnsiTheme="majorHAnsi"/>
          <w:sz w:val="18"/>
          <w:szCs w:val="18"/>
          <w:lang w:val="es-ES_tradnl"/>
        </w:rPr>
        <w:t>e</w:t>
      </w:r>
      <w:r w:rsidR="00B94F89" w:rsidRPr="00CD3501">
        <w:rPr>
          <w:rFonts w:asciiTheme="majorHAnsi" w:hAnsiTheme="majorHAnsi"/>
          <w:sz w:val="18"/>
          <w:szCs w:val="18"/>
          <w:lang w:val="es-ES_tradnl"/>
        </w:rPr>
        <w:t>s, bisexual</w:t>
      </w:r>
      <w:r w:rsidRPr="00CD3501">
        <w:rPr>
          <w:rFonts w:asciiTheme="majorHAnsi" w:hAnsiTheme="majorHAnsi"/>
          <w:sz w:val="18"/>
          <w:szCs w:val="18"/>
          <w:lang w:val="es-ES_tradnl"/>
        </w:rPr>
        <w:t>e</w:t>
      </w:r>
      <w:r w:rsidR="00B94F89" w:rsidRPr="00CD3501">
        <w:rPr>
          <w:rFonts w:asciiTheme="majorHAnsi" w:hAnsiTheme="majorHAnsi"/>
          <w:sz w:val="18"/>
          <w:szCs w:val="18"/>
          <w:lang w:val="es-ES_tradnl"/>
        </w:rPr>
        <w:t>s o transg</w:t>
      </w:r>
      <w:r w:rsidRPr="00CD3501">
        <w:rPr>
          <w:rFonts w:asciiTheme="majorHAnsi" w:hAnsiTheme="majorHAnsi"/>
          <w:sz w:val="18"/>
          <w:szCs w:val="18"/>
          <w:lang w:val="es-ES_tradnl"/>
        </w:rPr>
        <w:t xml:space="preserve">énero, no sirve a ningún fin o interés legítimo. Por el contrario, nos inclinamos a creer que, si el artículo </w:t>
      </w:r>
      <w:r w:rsidR="00B94F89" w:rsidRPr="00CD3501">
        <w:rPr>
          <w:rFonts w:asciiTheme="majorHAnsi" w:hAnsiTheme="majorHAnsi"/>
          <w:sz w:val="18"/>
          <w:szCs w:val="18"/>
          <w:lang w:val="es-ES_tradnl"/>
        </w:rPr>
        <w:t xml:space="preserve">377 </w:t>
      </w:r>
      <w:r w:rsidRPr="00CD3501">
        <w:rPr>
          <w:rFonts w:asciiTheme="majorHAnsi" w:hAnsiTheme="majorHAnsi"/>
          <w:sz w:val="18"/>
          <w:szCs w:val="18"/>
          <w:lang w:val="es-ES_tradnl"/>
        </w:rPr>
        <w:t xml:space="preserve">permanece en su forma actual en el digesto, permitirá el acoso y la </w:t>
      </w:r>
      <w:r w:rsidRPr="00CD3501">
        <w:rPr>
          <w:rFonts w:asciiTheme="majorHAnsi" w:hAnsiTheme="majorHAnsi"/>
          <w:sz w:val="18"/>
          <w:szCs w:val="18"/>
          <w:lang w:val="es-ES_tradnl"/>
        </w:rPr>
        <w:lastRenderedPageBreak/>
        <w:t xml:space="preserve">explotación de la comunidad </w:t>
      </w:r>
      <w:r w:rsidR="00B94F89" w:rsidRPr="00CD3501">
        <w:rPr>
          <w:rFonts w:asciiTheme="majorHAnsi" w:hAnsiTheme="majorHAnsi"/>
          <w:sz w:val="18"/>
          <w:szCs w:val="18"/>
          <w:lang w:val="es-ES_tradnl"/>
        </w:rPr>
        <w:t>LGBT</w:t>
      </w:r>
      <w:r w:rsidRPr="00CD3501">
        <w:rPr>
          <w:rFonts w:asciiTheme="majorHAnsi" w:hAnsiTheme="majorHAnsi"/>
          <w:sz w:val="18"/>
          <w:szCs w:val="18"/>
          <w:lang w:val="es-ES_tradnl"/>
        </w:rPr>
        <w:t xml:space="preserve">. Debemos dejar en claro que </w:t>
      </w:r>
      <w:r w:rsidR="00765CCE" w:rsidRPr="00CD3501">
        <w:rPr>
          <w:rFonts w:asciiTheme="majorHAnsi" w:hAnsiTheme="majorHAnsi"/>
          <w:sz w:val="18"/>
          <w:szCs w:val="18"/>
          <w:lang w:val="es-ES_tradnl"/>
        </w:rPr>
        <w:t xml:space="preserve">no se puede sabotear o cercenar </w:t>
      </w:r>
      <w:r w:rsidRPr="00CD3501">
        <w:rPr>
          <w:rFonts w:asciiTheme="majorHAnsi" w:hAnsiTheme="majorHAnsi"/>
          <w:sz w:val="18"/>
          <w:szCs w:val="18"/>
          <w:lang w:val="es-ES_tradnl"/>
        </w:rPr>
        <w:t xml:space="preserve">la libertad de elección </w:t>
      </w:r>
      <w:r w:rsidR="00765CCE" w:rsidRPr="00CD3501">
        <w:rPr>
          <w:rFonts w:asciiTheme="majorHAnsi" w:hAnsiTheme="majorHAnsi"/>
          <w:sz w:val="18"/>
          <w:szCs w:val="18"/>
          <w:lang w:val="es-ES_tradnl"/>
        </w:rPr>
        <w:t>con la amenaza de una acción penal y convertirla en un ente parapléjico sobre la base de la volubilidad de la percepción mayoritaria</w:t>
      </w:r>
      <w:r w:rsidR="00B94F89" w:rsidRPr="00CD3501">
        <w:rPr>
          <w:rFonts w:asciiTheme="majorHAnsi" w:hAnsiTheme="majorHAnsi"/>
          <w:sz w:val="18"/>
          <w:szCs w:val="18"/>
          <w:lang w:val="es-ES_tradnl"/>
        </w:rPr>
        <w:t xml:space="preserve">. </w:t>
      </w:r>
    </w:p>
    <w:p w14:paraId="6E9943B3" w14:textId="77777777" w:rsidR="00B94F89" w:rsidRPr="00CD3501" w:rsidRDefault="00B94F89"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p>
    <w:p w14:paraId="2674E92A" w14:textId="0F2EE4F2" w:rsidR="00A42744" w:rsidRPr="00CD3501" w:rsidRDefault="00920A63"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t>[</w:t>
      </w:r>
      <w:r w:rsidR="00B94F89" w:rsidRPr="00CD3501">
        <w:rPr>
          <w:rFonts w:asciiTheme="majorHAnsi" w:hAnsiTheme="majorHAnsi"/>
          <w:sz w:val="18"/>
          <w:szCs w:val="18"/>
          <w:lang w:val="es-ES_tradnl"/>
        </w:rPr>
        <w:t>…</w:t>
      </w:r>
      <w:r w:rsidRPr="00CD3501">
        <w:rPr>
          <w:rFonts w:asciiTheme="majorHAnsi" w:hAnsiTheme="majorHAnsi"/>
          <w:sz w:val="18"/>
          <w:szCs w:val="18"/>
          <w:lang w:val="es-ES_tradnl"/>
        </w:rPr>
        <w:t>]</w:t>
      </w:r>
      <w:r w:rsidR="00B94F89" w:rsidRPr="00CD3501">
        <w:rPr>
          <w:rFonts w:asciiTheme="majorHAnsi" w:hAnsiTheme="majorHAnsi"/>
          <w:sz w:val="18"/>
          <w:szCs w:val="18"/>
          <w:lang w:val="es-ES_tradnl"/>
        </w:rPr>
        <w:t xml:space="preserve"> </w:t>
      </w:r>
      <w:r w:rsidR="00765CCE" w:rsidRPr="00CD3501">
        <w:rPr>
          <w:rFonts w:asciiTheme="majorHAnsi" w:hAnsiTheme="majorHAnsi"/>
          <w:sz w:val="18"/>
          <w:szCs w:val="18"/>
          <w:lang w:val="es-ES_tradnl"/>
        </w:rPr>
        <w:t xml:space="preserve">En el artículo </w:t>
      </w:r>
      <w:r w:rsidR="00B94F89" w:rsidRPr="00CD3501">
        <w:rPr>
          <w:rFonts w:asciiTheme="majorHAnsi" w:hAnsiTheme="majorHAnsi"/>
          <w:sz w:val="18"/>
          <w:szCs w:val="18"/>
          <w:lang w:val="es-ES_tradnl"/>
        </w:rPr>
        <w:t xml:space="preserve">377 </w:t>
      </w:r>
      <w:r w:rsidR="00765CCE" w:rsidRPr="00CD3501">
        <w:rPr>
          <w:rFonts w:asciiTheme="majorHAnsi" w:hAnsiTheme="majorHAnsi"/>
          <w:sz w:val="18"/>
          <w:szCs w:val="18"/>
          <w:lang w:val="es-ES_tradnl"/>
        </w:rPr>
        <w:t xml:space="preserve">del Código Penal de la India no se tiene en cuenta que los actos </w:t>
      </w:r>
      <w:r w:rsidR="00B94F89" w:rsidRPr="00CD3501">
        <w:rPr>
          <w:rFonts w:asciiTheme="majorHAnsi" w:hAnsiTheme="majorHAnsi"/>
          <w:sz w:val="18"/>
          <w:szCs w:val="18"/>
          <w:lang w:val="es-ES_tradnl"/>
        </w:rPr>
        <w:t>consensual</w:t>
      </w:r>
      <w:r w:rsidR="00765CCE" w:rsidRPr="00CD3501">
        <w:rPr>
          <w:rFonts w:asciiTheme="majorHAnsi" w:hAnsiTheme="majorHAnsi"/>
          <w:sz w:val="18"/>
          <w:szCs w:val="18"/>
          <w:lang w:val="es-ES_tradnl"/>
        </w:rPr>
        <w:t>es</w:t>
      </w:r>
      <w:r w:rsidR="00B94F89" w:rsidRPr="00CD3501">
        <w:rPr>
          <w:rFonts w:asciiTheme="majorHAnsi" w:hAnsiTheme="majorHAnsi"/>
          <w:sz w:val="18"/>
          <w:szCs w:val="18"/>
          <w:lang w:val="es-ES_tradnl"/>
        </w:rPr>
        <w:t xml:space="preserve"> </w:t>
      </w:r>
      <w:r w:rsidR="00765CCE" w:rsidRPr="00CD3501">
        <w:rPr>
          <w:rFonts w:asciiTheme="majorHAnsi" w:hAnsiTheme="majorHAnsi"/>
          <w:sz w:val="18"/>
          <w:szCs w:val="18"/>
          <w:lang w:val="es-ES_tradnl"/>
        </w:rPr>
        <w:t xml:space="preserve">entre adultos en el ámbito privado no son perjudiciales ni contagiosos para la sociedad. Por el contrario, el artículo </w:t>
      </w:r>
      <w:r w:rsidR="00B94F89" w:rsidRPr="00CD3501">
        <w:rPr>
          <w:rFonts w:asciiTheme="majorHAnsi" w:hAnsiTheme="majorHAnsi"/>
          <w:sz w:val="18"/>
          <w:szCs w:val="18"/>
          <w:lang w:val="es-ES_tradnl"/>
        </w:rPr>
        <w:t xml:space="preserve">377 </w:t>
      </w:r>
      <w:r w:rsidR="00765CCE" w:rsidRPr="00CD3501">
        <w:rPr>
          <w:rFonts w:asciiTheme="majorHAnsi" w:hAnsiTheme="majorHAnsi"/>
          <w:sz w:val="18"/>
          <w:szCs w:val="18"/>
          <w:lang w:val="es-ES_tradnl"/>
        </w:rPr>
        <w:t>da una nota discordante con respecto a la liber</w:t>
      </w:r>
      <w:r w:rsidR="00287068" w:rsidRPr="00CD3501">
        <w:rPr>
          <w:rFonts w:asciiTheme="majorHAnsi" w:hAnsiTheme="majorHAnsi"/>
          <w:sz w:val="18"/>
          <w:szCs w:val="18"/>
          <w:lang w:val="es-ES_tradnl"/>
        </w:rPr>
        <w:t>t</w:t>
      </w:r>
      <w:r w:rsidR="00765CCE" w:rsidRPr="00CD3501">
        <w:rPr>
          <w:rFonts w:asciiTheme="majorHAnsi" w:hAnsiTheme="majorHAnsi"/>
          <w:sz w:val="18"/>
          <w:szCs w:val="18"/>
          <w:lang w:val="es-ES_tradnl"/>
        </w:rPr>
        <w:t xml:space="preserve">ad de las personas </w:t>
      </w:r>
      <w:r w:rsidR="00B94F89" w:rsidRPr="00CD3501">
        <w:rPr>
          <w:rFonts w:asciiTheme="majorHAnsi" w:hAnsiTheme="majorHAnsi"/>
          <w:sz w:val="18"/>
          <w:szCs w:val="18"/>
          <w:lang w:val="es-ES_tradnl"/>
        </w:rPr>
        <w:t xml:space="preserve">LGBT </w:t>
      </w:r>
      <w:r w:rsidR="00765CCE" w:rsidRPr="00CD3501">
        <w:rPr>
          <w:rFonts w:asciiTheme="majorHAnsi" w:hAnsiTheme="majorHAnsi"/>
          <w:sz w:val="18"/>
          <w:szCs w:val="18"/>
          <w:lang w:val="es-ES_tradnl"/>
        </w:rPr>
        <w:t>al convertirlas en parias y marginados de la sociedad</w:t>
      </w:r>
      <w:r w:rsidR="00B94F89" w:rsidRPr="00CD3501">
        <w:rPr>
          <w:rFonts w:asciiTheme="majorHAnsi" w:hAnsiTheme="majorHAnsi"/>
          <w:sz w:val="18"/>
          <w:szCs w:val="18"/>
          <w:vertAlign w:val="superscript"/>
          <w:lang w:val="es-ES_tradnl"/>
        </w:rPr>
        <w:footnoteReference w:id="54"/>
      </w:r>
      <w:r w:rsidR="00765CCE" w:rsidRPr="00CD3501">
        <w:rPr>
          <w:rFonts w:asciiTheme="majorHAnsi" w:hAnsiTheme="majorHAnsi"/>
          <w:sz w:val="18"/>
          <w:szCs w:val="18"/>
          <w:lang w:val="es-ES_tradnl"/>
        </w:rPr>
        <w:t>.</w:t>
      </w:r>
    </w:p>
    <w:p w14:paraId="46A8C3C1" w14:textId="77777777" w:rsidR="00AB72E9" w:rsidRPr="00CD3501" w:rsidRDefault="00AB72E9" w:rsidP="00A167CF">
      <w:pPr>
        <w:pBdr>
          <w:top w:val="none" w:sz="0" w:space="0" w:color="auto"/>
          <w:left w:val="none" w:sz="0" w:space="0" w:color="auto"/>
          <w:bottom w:val="none" w:sz="0" w:space="0" w:color="auto"/>
          <w:right w:val="none" w:sz="0" w:space="0" w:color="auto"/>
          <w:between w:val="none" w:sz="0" w:space="0" w:color="auto"/>
          <w:bar w:val="none" w:sz="0" w:color="auto"/>
        </w:pBdr>
        <w:ind w:right="360"/>
        <w:jc w:val="both"/>
        <w:rPr>
          <w:rFonts w:asciiTheme="majorHAnsi" w:hAnsiTheme="majorHAnsi"/>
          <w:sz w:val="18"/>
          <w:szCs w:val="18"/>
          <w:lang w:val="es-ES_tradnl"/>
        </w:rPr>
      </w:pPr>
    </w:p>
    <w:p w14:paraId="536A9888" w14:textId="66B1AD21" w:rsidR="00AB72E9" w:rsidRPr="00CD3501" w:rsidRDefault="00765CCE" w:rsidP="00C12E55">
      <w:pPr>
        <w:pStyle w:val="parrafos"/>
        <w:numPr>
          <w:ilvl w:val="0"/>
          <w:numId w:val="57"/>
        </w:numPr>
        <w:tabs>
          <w:tab w:val="clear" w:pos="360"/>
          <w:tab w:val="clear" w:pos="1080"/>
        </w:tabs>
        <w:ind w:left="0" w:firstLine="0"/>
        <w:rPr>
          <w:lang w:val="es-ES_tradnl"/>
        </w:rPr>
      </w:pPr>
      <w:r w:rsidRPr="00CD3501">
        <w:rPr>
          <w:lang w:val="es-ES_tradnl"/>
        </w:rPr>
        <w:t>E</w:t>
      </w:r>
      <w:r w:rsidR="00AB72E9" w:rsidRPr="00CD3501">
        <w:rPr>
          <w:lang w:val="es-ES_tradnl"/>
        </w:rPr>
        <w:t xml:space="preserve">n </w:t>
      </w:r>
      <w:r w:rsidR="00AB72E9" w:rsidRPr="00CD3501">
        <w:rPr>
          <w:i/>
          <w:lang w:val="es-ES_tradnl"/>
        </w:rPr>
        <w:t xml:space="preserve">Orozco </w:t>
      </w:r>
      <w:r w:rsidR="00CD7517" w:rsidRPr="00CD3501">
        <w:rPr>
          <w:i/>
          <w:lang w:val="es-ES_tradnl"/>
        </w:rPr>
        <w:t>c</w:t>
      </w:r>
      <w:r w:rsidRPr="00CD3501">
        <w:rPr>
          <w:i/>
          <w:lang w:val="es-ES_tradnl"/>
        </w:rPr>
        <w:t>ontra el Procurador</w:t>
      </w:r>
      <w:r w:rsidR="00086BA4" w:rsidRPr="00CD3501">
        <w:rPr>
          <w:i/>
          <w:lang w:val="es-ES_tradnl"/>
        </w:rPr>
        <w:t xml:space="preserve"> General </w:t>
      </w:r>
      <w:r w:rsidRPr="00CD3501">
        <w:rPr>
          <w:i/>
          <w:lang w:val="es-ES_tradnl"/>
        </w:rPr>
        <w:t>de</w:t>
      </w:r>
      <w:r w:rsidR="00086BA4" w:rsidRPr="00CD3501">
        <w:rPr>
          <w:i/>
          <w:lang w:val="es-ES_tradnl"/>
        </w:rPr>
        <w:t xml:space="preserve"> Beliz</w:t>
      </w:r>
      <w:r w:rsidR="00AB72E9" w:rsidRPr="00CD3501">
        <w:rPr>
          <w:i/>
          <w:lang w:val="es-ES_tradnl"/>
        </w:rPr>
        <w:t>e</w:t>
      </w:r>
      <w:r w:rsidR="00AB72E9" w:rsidRPr="00CD3501">
        <w:rPr>
          <w:lang w:val="es-ES_tradnl"/>
        </w:rPr>
        <w:t xml:space="preserve">, </w:t>
      </w:r>
      <w:r w:rsidRPr="00CD3501">
        <w:rPr>
          <w:lang w:val="es-ES_tradnl"/>
        </w:rPr>
        <w:t xml:space="preserve">la Corte Suprema de </w:t>
      </w:r>
      <w:r w:rsidR="000D3C8A" w:rsidRPr="00CD3501">
        <w:rPr>
          <w:lang w:val="es-ES_tradnl"/>
        </w:rPr>
        <w:t xml:space="preserve">Belize </w:t>
      </w:r>
      <w:r w:rsidRPr="00CD3501">
        <w:rPr>
          <w:lang w:val="es-ES_tradnl"/>
        </w:rPr>
        <w:t>reafirmó</w:t>
      </w:r>
      <w:r w:rsidR="000D3C8A" w:rsidRPr="00CD3501">
        <w:rPr>
          <w:lang w:val="es-ES_tradnl"/>
        </w:rPr>
        <w:t xml:space="preserve"> </w:t>
      </w:r>
      <w:r w:rsidR="00955CAC" w:rsidRPr="00CD3501">
        <w:rPr>
          <w:lang w:val="es-ES_tradnl"/>
        </w:rPr>
        <w:t>la inconstitucionalidad</w:t>
      </w:r>
      <w:r w:rsidR="000D3C8A" w:rsidRPr="00CD3501">
        <w:rPr>
          <w:lang w:val="es-ES_tradnl"/>
        </w:rPr>
        <w:t xml:space="preserve"> </w:t>
      </w:r>
      <w:r w:rsidRPr="00CD3501">
        <w:rPr>
          <w:lang w:val="es-ES_tradnl"/>
        </w:rPr>
        <w:t xml:space="preserve">del artículo </w:t>
      </w:r>
      <w:r w:rsidR="000D3C8A" w:rsidRPr="00CD3501">
        <w:rPr>
          <w:lang w:val="es-ES_tradnl"/>
        </w:rPr>
        <w:t xml:space="preserve">53 </w:t>
      </w:r>
      <w:r w:rsidRPr="00CD3501">
        <w:rPr>
          <w:lang w:val="es-ES_tradnl"/>
        </w:rPr>
        <w:t>del Código Penal</w:t>
      </w:r>
      <w:r w:rsidR="00287068" w:rsidRPr="00CD3501">
        <w:rPr>
          <w:lang w:val="es-ES_tradnl"/>
        </w:rPr>
        <w:t>,</w:t>
      </w:r>
      <w:r w:rsidRPr="00CD3501">
        <w:rPr>
          <w:lang w:val="es-ES_tradnl"/>
        </w:rPr>
        <w:t xml:space="preserve"> que tipifica como delito las relaciones </w:t>
      </w:r>
      <w:r w:rsidR="000D3C8A" w:rsidRPr="00CD3501">
        <w:rPr>
          <w:lang w:val="es-ES_tradnl"/>
        </w:rPr>
        <w:t>sexual</w:t>
      </w:r>
      <w:r w:rsidRPr="00CD3501">
        <w:rPr>
          <w:lang w:val="es-ES_tradnl"/>
        </w:rPr>
        <w:t>es “contra natura</w:t>
      </w:r>
      <w:r w:rsidR="000D3C8A" w:rsidRPr="00CD3501">
        <w:rPr>
          <w:lang w:val="es-ES_tradnl"/>
        </w:rPr>
        <w:t>”</w:t>
      </w:r>
      <w:r w:rsidR="00287068" w:rsidRPr="00CD3501">
        <w:rPr>
          <w:lang w:val="es-ES_tradnl"/>
        </w:rPr>
        <w:t>,</w:t>
      </w:r>
      <w:r w:rsidR="006657AF" w:rsidRPr="00CD3501">
        <w:rPr>
          <w:lang w:val="es-ES_tradnl"/>
        </w:rPr>
        <w:t xml:space="preserve"> y determinó que dicho artículo excluye los actos sexuales</w:t>
      </w:r>
      <w:r w:rsidR="003107B6" w:rsidRPr="00CD3501">
        <w:rPr>
          <w:lang w:val="es-ES_tradnl"/>
        </w:rPr>
        <w:t xml:space="preserve"> consensual</w:t>
      </w:r>
      <w:r w:rsidR="006657AF" w:rsidRPr="00CD3501">
        <w:rPr>
          <w:lang w:val="es-ES_tradnl"/>
        </w:rPr>
        <w:t>es entre adultos realizados en privado</w:t>
      </w:r>
      <w:r w:rsidR="003107B6" w:rsidRPr="00CD3501">
        <w:rPr>
          <w:lang w:val="es-ES_tradnl"/>
        </w:rPr>
        <w:t xml:space="preserve">. </w:t>
      </w:r>
    </w:p>
    <w:p w14:paraId="588C5A34" w14:textId="77777777" w:rsidR="000D3C8A" w:rsidRPr="00CD3501" w:rsidRDefault="000D3C8A" w:rsidP="00A167CF">
      <w:pPr>
        <w:pStyle w:val="parrafos"/>
        <w:tabs>
          <w:tab w:val="clear" w:pos="360"/>
        </w:tabs>
        <w:rPr>
          <w:lang w:val="es-ES_tradnl"/>
        </w:rPr>
      </w:pPr>
    </w:p>
    <w:p w14:paraId="7AC5FA6D" w14:textId="0FB624AD" w:rsidR="005E7B70" w:rsidRPr="00CD3501" w:rsidRDefault="006657AF" w:rsidP="00A167C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t xml:space="preserve">Puesto que el artículo </w:t>
      </w:r>
      <w:r w:rsidR="000D3C8A" w:rsidRPr="00CD3501">
        <w:rPr>
          <w:rFonts w:asciiTheme="majorHAnsi" w:hAnsiTheme="majorHAnsi"/>
          <w:sz w:val="18"/>
          <w:szCs w:val="18"/>
          <w:lang w:val="es-ES_tradnl"/>
        </w:rPr>
        <w:t xml:space="preserve">53 </w:t>
      </w:r>
      <w:r w:rsidRPr="00CD3501">
        <w:rPr>
          <w:rFonts w:asciiTheme="majorHAnsi" w:hAnsiTheme="majorHAnsi"/>
          <w:sz w:val="18"/>
          <w:szCs w:val="18"/>
          <w:lang w:val="es-ES_tradnl"/>
        </w:rPr>
        <w:t xml:space="preserve">abarca actos en los que participan hombres y mujeres, el impacto en la dignidad de </w:t>
      </w:r>
      <w:r w:rsidR="00287068" w:rsidRPr="00CD3501">
        <w:rPr>
          <w:rFonts w:asciiTheme="majorHAnsi" w:hAnsiTheme="majorHAnsi"/>
          <w:sz w:val="18"/>
          <w:szCs w:val="18"/>
          <w:lang w:val="es-ES_tradnl"/>
        </w:rPr>
        <w:t>los</w:t>
      </w:r>
      <w:r w:rsidRPr="00CD3501">
        <w:rPr>
          <w:rFonts w:asciiTheme="majorHAnsi" w:hAnsiTheme="majorHAnsi"/>
          <w:sz w:val="18"/>
          <w:szCs w:val="18"/>
          <w:lang w:val="es-ES_tradnl"/>
        </w:rPr>
        <w:t xml:space="preserve"> hombre</w:t>
      </w:r>
      <w:r w:rsidR="00287068" w:rsidRPr="00CD3501">
        <w:rPr>
          <w:rFonts w:asciiTheme="majorHAnsi" w:hAnsiTheme="majorHAnsi"/>
          <w:sz w:val="18"/>
          <w:szCs w:val="18"/>
          <w:lang w:val="es-ES_tradnl"/>
        </w:rPr>
        <w:t>s</w:t>
      </w:r>
      <w:r w:rsidRPr="00CD3501">
        <w:rPr>
          <w:rFonts w:asciiTheme="majorHAnsi" w:hAnsiTheme="majorHAnsi"/>
          <w:sz w:val="18"/>
          <w:szCs w:val="18"/>
          <w:lang w:val="es-ES_tradnl"/>
        </w:rPr>
        <w:t xml:space="preserve"> </w:t>
      </w:r>
      <w:r w:rsidR="000D3C8A" w:rsidRPr="00CD3501">
        <w:rPr>
          <w:rFonts w:asciiTheme="majorHAnsi" w:hAnsiTheme="majorHAnsi"/>
          <w:sz w:val="18"/>
          <w:szCs w:val="18"/>
          <w:lang w:val="es-ES_tradnl"/>
        </w:rPr>
        <w:t>homosexual</w:t>
      </w:r>
      <w:r w:rsidR="00287068" w:rsidRPr="00CD3501">
        <w:rPr>
          <w:rFonts w:asciiTheme="majorHAnsi" w:hAnsiTheme="majorHAnsi"/>
          <w:sz w:val="18"/>
          <w:szCs w:val="18"/>
          <w:lang w:val="es-ES_tradnl"/>
        </w:rPr>
        <w:t>es</w:t>
      </w:r>
      <w:r w:rsidR="000D3C8A" w:rsidRPr="00CD3501">
        <w:rPr>
          <w:rFonts w:asciiTheme="majorHAnsi" w:hAnsiTheme="majorHAnsi"/>
          <w:sz w:val="18"/>
          <w:szCs w:val="18"/>
          <w:lang w:val="es-ES_tradnl"/>
        </w:rPr>
        <w:t xml:space="preserve"> </w:t>
      </w:r>
      <w:r w:rsidRPr="00CD3501">
        <w:rPr>
          <w:rFonts w:asciiTheme="majorHAnsi" w:hAnsiTheme="majorHAnsi"/>
          <w:sz w:val="18"/>
          <w:szCs w:val="18"/>
          <w:lang w:val="es-ES_tradnl"/>
        </w:rPr>
        <w:t>es desproporcionado en vista de la profunda estigmatización derivada del hecho de que ellos sean los principales destinatarios</w:t>
      </w:r>
      <w:r w:rsidR="000D3C8A" w:rsidRPr="00CD3501">
        <w:rPr>
          <w:rFonts w:asciiTheme="majorHAnsi" w:hAnsiTheme="majorHAnsi"/>
          <w:sz w:val="18"/>
          <w:szCs w:val="18"/>
          <w:lang w:val="es-ES_tradnl"/>
        </w:rPr>
        <w:t xml:space="preserve">. </w:t>
      </w:r>
      <w:r w:rsidRPr="00CD3501">
        <w:rPr>
          <w:rFonts w:asciiTheme="majorHAnsi" w:hAnsiTheme="majorHAnsi"/>
          <w:sz w:val="18"/>
          <w:szCs w:val="18"/>
          <w:lang w:val="es-ES_tradnl"/>
        </w:rPr>
        <w:t>[</w:t>
      </w:r>
      <w:r w:rsidR="00266806" w:rsidRPr="00CD3501">
        <w:rPr>
          <w:rFonts w:asciiTheme="majorHAnsi" w:hAnsiTheme="majorHAnsi"/>
          <w:sz w:val="18"/>
          <w:szCs w:val="18"/>
          <w:lang w:val="es-ES_tradnl"/>
        </w:rPr>
        <w:t>…</w:t>
      </w:r>
      <w:r w:rsidRPr="00CD3501">
        <w:rPr>
          <w:rFonts w:asciiTheme="majorHAnsi" w:hAnsiTheme="majorHAnsi"/>
          <w:sz w:val="18"/>
          <w:szCs w:val="18"/>
          <w:lang w:val="es-ES_tradnl"/>
        </w:rPr>
        <w:t>]</w:t>
      </w:r>
      <w:r w:rsidR="00266806" w:rsidRPr="00CD3501">
        <w:rPr>
          <w:rFonts w:asciiTheme="majorHAnsi" w:hAnsiTheme="majorHAnsi"/>
          <w:sz w:val="18"/>
          <w:szCs w:val="18"/>
          <w:lang w:val="es-ES_tradnl"/>
        </w:rPr>
        <w:t xml:space="preserve"> </w:t>
      </w:r>
      <w:r w:rsidRPr="00CD3501">
        <w:rPr>
          <w:rFonts w:asciiTheme="majorHAnsi" w:hAnsiTheme="majorHAnsi"/>
          <w:sz w:val="18"/>
          <w:szCs w:val="18"/>
          <w:lang w:val="es-ES_tradnl"/>
        </w:rPr>
        <w:t>Considero que el artículo</w:t>
      </w:r>
      <w:r w:rsidR="003D1094" w:rsidRPr="00CD3501">
        <w:rPr>
          <w:rFonts w:asciiTheme="majorHAnsi" w:hAnsiTheme="majorHAnsi"/>
          <w:sz w:val="18"/>
          <w:szCs w:val="18"/>
          <w:lang w:val="es-ES_tradnl"/>
        </w:rPr>
        <w:t xml:space="preserve"> 53 </w:t>
      </w:r>
      <w:r w:rsidRPr="00CD3501">
        <w:rPr>
          <w:rFonts w:asciiTheme="majorHAnsi" w:hAnsiTheme="majorHAnsi"/>
          <w:sz w:val="18"/>
          <w:szCs w:val="18"/>
          <w:lang w:val="es-ES_tradnl"/>
        </w:rPr>
        <w:t xml:space="preserve">viola la dignidad del demandante y el artículo </w:t>
      </w:r>
      <w:r w:rsidR="003D1094" w:rsidRPr="00CD3501">
        <w:rPr>
          <w:rFonts w:asciiTheme="majorHAnsi" w:hAnsiTheme="majorHAnsi"/>
          <w:sz w:val="18"/>
          <w:szCs w:val="18"/>
          <w:lang w:val="es-ES_tradnl"/>
        </w:rPr>
        <w:t>3</w:t>
      </w:r>
      <w:r w:rsidRPr="00CD3501">
        <w:rPr>
          <w:rFonts w:asciiTheme="majorHAnsi" w:hAnsiTheme="majorHAnsi"/>
          <w:sz w:val="18"/>
          <w:szCs w:val="18"/>
          <w:lang w:val="es-ES_tradnl"/>
        </w:rPr>
        <w:t>.</w:t>
      </w:r>
      <w:r w:rsidR="003D1094" w:rsidRPr="00CD3501">
        <w:rPr>
          <w:rFonts w:asciiTheme="majorHAnsi" w:hAnsiTheme="majorHAnsi"/>
          <w:sz w:val="18"/>
          <w:szCs w:val="18"/>
          <w:lang w:val="es-ES_tradnl"/>
        </w:rPr>
        <w:t xml:space="preserve">c. </w:t>
      </w:r>
      <w:r w:rsidRPr="00CD3501">
        <w:rPr>
          <w:rFonts w:asciiTheme="majorHAnsi" w:hAnsiTheme="majorHAnsi"/>
          <w:sz w:val="18"/>
          <w:szCs w:val="18"/>
          <w:lang w:val="es-ES_tradnl"/>
        </w:rPr>
        <w:t>Además, esta infracción influye en los demás derechos de los cuales emana el c</w:t>
      </w:r>
      <w:r w:rsidR="003D1094" w:rsidRPr="00CD3501">
        <w:rPr>
          <w:rFonts w:asciiTheme="majorHAnsi" w:hAnsiTheme="majorHAnsi"/>
          <w:sz w:val="18"/>
          <w:szCs w:val="18"/>
          <w:lang w:val="es-ES_tradnl"/>
        </w:rPr>
        <w:t>oncept</w:t>
      </w:r>
      <w:r w:rsidRPr="00CD3501">
        <w:rPr>
          <w:rFonts w:asciiTheme="majorHAnsi" w:hAnsiTheme="majorHAnsi"/>
          <w:sz w:val="18"/>
          <w:szCs w:val="18"/>
          <w:lang w:val="es-ES_tradnl"/>
        </w:rPr>
        <w:t>o de dignidad</w:t>
      </w:r>
      <w:r w:rsidR="003D1094" w:rsidRPr="00CD3501">
        <w:rPr>
          <w:rFonts w:asciiTheme="majorHAnsi" w:hAnsiTheme="majorHAnsi"/>
          <w:sz w:val="18"/>
          <w:szCs w:val="18"/>
          <w:lang w:val="es-ES_tradnl"/>
        </w:rPr>
        <w:t xml:space="preserve"> human</w:t>
      </w:r>
      <w:r w:rsidRPr="00CD3501">
        <w:rPr>
          <w:rFonts w:asciiTheme="majorHAnsi" w:hAnsiTheme="majorHAnsi"/>
          <w:sz w:val="18"/>
          <w:szCs w:val="18"/>
          <w:lang w:val="es-ES_tradnl"/>
        </w:rPr>
        <w:t>a</w:t>
      </w:r>
      <w:r w:rsidR="003D1094" w:rsidRPr="00CD3501">
        <w:rPr>
          <w:rFonts w:asciiTheme="majorHAnsi" w:hAnsiTheme="majorHAnsi"/>
          <w:sz w:val="18"/>
          <w:szCs w:val="18"/>
          <w:vertAlign w:val="superscript"/>
          <w:lang w:val="es-ES_tradnl"/>
        </w:rPr>
        <w:footnoteReference w:id="55"/>
      </w:r>
      <w:r w:rsidRPr="00CD3501">
        <w:rPr>
          <w:rFonts w:asciiTheme="majorHAnsi" w:hAnsiTheme="majorHAnsi"/>
          <w:sz w:val="18"/>
          <w:szCs w:val="18"/>
          <w:lang w:val="es-ES_tradnl"/>
        </w:rPr>
        <w:t>.</w:t>
      </w:r>
    </w:p>
    <w:p w14:paraId="7463CC39" w14:textId="77777777" w:rsidR="00D8027F" w:rsidRPr="00CD3501" w:rsidRDefault="00D8027F" w:rsidP="00A167CF">
      <w:pPr>
        <w:pBdr>
          <w:top w:val="none" w:sz="0" w:space="0" w:color="auto"/>
          <w:left w:val="none" w:sz="0" w:space="0" w:color="auto"/>
          <w:bottom w:val="none" w:sz="0" w:space="0" w:color="auto"/>
          <w:right w:val="none" w:sz="0" w:space="0" w:color="auto"/>
          <w:between w:val="none" w:sz="0" w:space="0" w:color="auto"/>
          <w:bar w:val="none" w:sz="0" w:color="auto"/>
        </w:pBdr>
        <w:ind w:right="360"/>
        <w:jc w:val="both"/>
        <w:rPr>
          <w:rFonts w:asciiTheme="majorHAnsi" w:hAnsiTheme="majorHAnsi"/>
          <w:sz w:val="18"/>
          <w:szCs w:val="18"/>
          <w:lang w:val="es-ES_tradnl"/>
        </w:rPr>
      </w:pPr>
    </w:p>
    <w:p w14:paraId="7BC40BD5" w14:textId="0E89416E" w:rsidR="002A70A8" w:rsidRPr="00CD3501" w:rsidRDefault="00564EFD" w:rsidP="00975981">
      <w:pPr>
        <w:pStyle w:val="parrafos"/>
        <w:numPr>
          <w:ilvl w:val="0"/>
          <w:numId w:val="57"/>
        </w:numPr>
        <w:tabs>
          <w:tab w:val="clear" w:pos="360"/>
          <w:tab w:val="clear" w:pos="1080"/>
        </w:tabs>
        <w:ind w:left="0" w:right="360" w:firstLine="0"/>
        <w:rPr>
          <w:sz w:val="18"/>
          <w:szCs w:val="18"/>
          <w:lang w:val="es-ES_tradnl"/>
        </w:rPr>
      </w:pPr>
      <w:r w:rsidRPr="00CD3501">
        <w:rPr>
          <w:sz w:val="18"/>
          <w:szCs w:val="18"/>
          <w:lang w:val="es-ES_tradnl"/>
        </w:rPr>
        <w:t xml:space="preserve">En el caso </w:t>
      </w:r>
      <w:r w:rsidRPr="00CD3501">
        <w:rPr>
          <w:i/>
          <w:sz w:val="18"/>
          <w:szCs w:val="18"/>
          <w:lang w:val="es-ES_tradnl"/>
        </w:rPr>
        <w:t>Jason Jones contra el Fiscal General de Trinidad y Tobago</w:t>
      </w:r>
      <w:r w:rsidR="00CE20EE" w:rsidRPr="00CD3501">
        <w:rPr>
          <w:i/>
          <w:sz w:val="18"/>
          <w:szCs w:val="18"/>
          <w:lang w:val="es-ES_tradnl"/>
        </w:rPr>
        <w:t xml:space="preserve">, </w:t>
      </w:r>
      <w:r w:rsidR="00CE20EE" w:rsidRPr="00CD3501">
        <w:rPr>
          <w:sz w:val="18"/>
          <w:szCs w:val="18"/>
          <w:lang w:val="es-ES_tradnl"/>
        </w:rPr>
        <w:t xml:space="preserve">el Tribunal Superior de Justicia </w:t>
      </w:r>
      <w:r w:rsidR="002A70A8" w:rsidRPr="00CD3501">
        <w:rPr>
          <w:sz w:val="18"/>
          <w:szCs w:val="18"/>
          <w:lang w:val="es-ES_tradnl"/>
        </w:rPr>
        <w:t xml:space="preserve">de Trinidad y Tobago declaró inconstitucionales las secciones 13 y 15 de </w:t>
      </w:r>
      <w:r w:rsidR="00975981" w:rsidRPr="00CD3501">
        <w:rPr>
          <w:sz w:val="18"/>
          <w:szCs w:val="18"/>
          <w:lang w:val="es-ES_tradnl"/>
        </w:rPr>
        <w:t>la Ley de Delitos Sexuales que se refer</w:t>
      </w:r>
      <w:r w:rsidR="003C7113" w:rsidRPr="00CD3501">
        <w:rPr>
          <w:sz w:val="18"/>
          <w:szCs w:val="18"/>
          <w:lang w:val="es-ES_tradnl"/>
        </w:rPr>
        <w:t>ía a la “sodomía</w:t>
      </w:r>
      <w:r w:rsidR="00975981" w:rsidRPr="00CD3501">
        <w:rPr>
          <w:sz w:val="18"/>
          <w:szCs w:val="18"/>
          <w:lang w:val="es-ES_tradnl"/>
        </w:rPr>
        <w:t>” y la “indecencia grave” entre dos hombres</w:t>
      </w:r>
      <w:r w:rsidR="00975981" w:rsidRPr="00CD3501">
        <w:rPr>
          <w:i/>
          <w:sz w:val="18"/>
          <w:szCs w:val="18"/>
          <w:lang w:val="es-ES_tradnl"/>
        </w:rPr>
        <w:t xml:space="preserve"> </w:t>
      </w:r>
      <w:r w:rsidR="00975981" w:rsidRPr="00CD3501">
        <w:rPr>
          <w:sz w:val="18"/>
          <w:szCs w:val="18"/>
          <w:lang w:val="es-ES_tradnl"/>
        </w:rPr>
        <w:t>y que criminalizaba las relaciones sexuales consensuales entre personas</w:t>
      </w:r>
      <w:r w:rsidR="003C7113" w:rsidRPr="00CD3501">
        <w:rPr>
          <w:sz w:val="18"/>
          <w:szCs w:val="18"/>
          <w:lang w:val="es-ES_tradnl"/>
        </w:rPr>
        <w:t xml:space="preserve"> adultas</w:t>
      </w:r>
      <w:r w:rsidR="00975981" w:rsidRPr="00CD3501">
        <w:rPr>
          <w:sz w:val="18"/>
          <w:szCs w:val="18"/>
          <w:lang w:val="es-ES_tradnl"/>
        </w:rPr>
        <w:t xml:space="preserve"> del mismo sexo. El Tribunal razonó que:</w:t>
      </w:r>
    </w:p>
    <w:p w14:paraId="69887122" w14:textId="57821DA9" w:rsidR="002A70A8" w:rsidRPr="00CD3501" w:rsidRDefault="002A70A8" w:rsidP="00E95321">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br/>
        <w:t xml:space="preserve">Para este tribunal, la dignidad humana es un derecho básico e inalienable reconocido mundialmente en todas las sociedades democráticas. Junto con este derecho se encuentra el concepto de autonomía y el derecho de un individuo a tomar decisiones por sí mismo sin ninguna intervención irrazonable por parte del Estado. En un caso como este, él / ella debe ser capaz de tomar decisiones sobre a quién ama, </w:t>
      </w:r>
      <w:r w:rsidR="00E95321" w:rsidRPr="00CD3501">
        <w:rPr>
          <w:rFonts w:asciiTheme="majorHAnsi" w:hAnsiTheme="majorHAnsi"/>
          <w:sz w:val="18"/>
          <w:szCs w:val="18"/>
          <w:lang w:val="es-ES_tradnl"/>
        </w:rPr>
        <w:t xml:space="preserve">quien forma parte de su vida, </w:t>
      </w:r>
      <w:r w:rsidRPr="00CD3501">
        <w:rPr>
          <w:rFonts w:asciiTheme="majorHAnsi" w:hAnsiTheme="majorHAnsi"/>
          <w:sz w:val="18"/>
          <w:szCs w:val="18"/>
          <w:lang w:val="es-ES_tradnl"/>
        </w:rPr>
        <w:t xml:space="preserve">con quién desea vivir y con quién hacer una familia. Un ciudadano no debería tener que vivir bajo la amenaza constante, la proverbial "Espada de Damocles", </w:t>
      </w:r>
      <w:r w:rsidR="00E95321" w:rsidRPr="00CD3501">
        <w:rPr>
          <w:rFonts w:asciiTheme="majorHAnsi" w:hAnsiTheme="majorHAnsi"/>
          <w:sz w:val="18"/>
          <w:szCs w:val="18"/>
          <w:lang w:val="es-ES_tradnl"/>
        </w:rPr>
        <w:t>de que en cualquier momento pueda</w:t>
      </w:r>
      <w:r w:rsidRPr="00CD3501">
        <w:rPr>
          <w:rFonts w:asciiTheme="majorHAnsi" w:hAnsiTheme="majorHAnsi"/>
          <w:sz w:val="18"/>
          <w:szCs w:val="18"/>
          <w:lang w:val="es-ES_tradnl"/>
        </w:rPr>
        <w:t xml:space="preserve"> ser perseguido o procesado. Esa es la amenaza que existe en la actualidad. Es una amenaza sancionada por el Estado y esa sanción es una sanción importante porque justifica en </w:t>
      </w:r>
      <w:r w:rsidR="00E95321" w:rsidRPr="00CD3501">
        <w:rPr>
          <w:rFonts w:asciiTheme="majorHAnsi" w:hAnsiTheme="majorHAnsi"/>
          <w:sz w:val="18"/>
          <w:szCs w:val="18"/>
          <w:lang w:val="es-ES_tradnl"/>
        </w:rPr>
        <w:t>la mente de otros en la sociedad que tienen una mentalidad diferente, que el estilo de vida, vida y existencia de una persona que elige vivir como el demandante, es criminal y tiene menos valor que la vida de cualquier otra persona.</w:t>
      </w:r>
      <w:r w:rsidRPr="00CD3501">
        <w:rPr>
          <w:rFonts w:asciiTheme="majorHAnsi" w:hAnsiTheme="majorHAnsi"/>
          <w:sz w:val="18"/>
          <w:szCs w:val="18"/>
          <w:lang w:val="es-ES_tradnl"/>
        </w:rPr>
        <w:t xml:space="preserve"> Así lo han expresado en el pasado reciente los líderes de la sociedad. De esta manera, el Parlamento ha tomado la decisión deliberada de criminalizar el estilo de vida de personas como el demandante cuya máxima expresión de amor y afecto se cristaliza en un acto que es</w:t>
      </w:r>
      <w:r w:rsidR="00E95321" w:rsidRPr="00CD3501">
        <w:rPr>
          <w:rFonts w:asciiTheme="majorHAnsi" w:hAnsiTheme="majorHAnsi"/>
          <w:sz w:val="18"/>
          <w:szCs w:val="18"/>
          <w:lang w:val="es-ES_tradnl"/>
        </w:rPr>
        <w:t xml:space="preserve"> ilegal conforme a la ley, sea que esta se aplique o no. Este paso deliberado ha significado, </w:t>
      </w:r>
      <w:r w:rsidRPr="00CD3501">
        <w:rPr>
          <w:rFonts w:asciiTheme="majorHAnsi" w:hAnsiTheme="majorHAnsi"/>
          <w:sz w:val="18"/>
          <w:szCs w:val="18"/>
          <w:lang w:val="es-ES_tradnl"/>
        </w:rPr>
        <w:t xml:space="preserve">en esta circunstancia, que se están violando los derechos del reclamante. (...) </w:t>
      </w:r>
    </w:p>
    <w:p w14:paraId="4E543201" w14:textId="77777777" w:rsidR="002A70A8" w:rsidRPr="00CD3501" w:rsidRDefault="002A70A8" w:rsidP="003C7113">
      <w:pPr>
        <w:pBdr>
          <w:top w:val="none" w:sz="0" w:space="0" w:color="auto"/>
          <w:left w:val="none" w:sz="0" w:space="0" w:color="auto"/>
          <w:bottom w:val="none" w:sz="0" w:space="0" w:color="auto"/>
          <w:right w:val="none" w:sz="0" w:space="0" w:color="auto"/>
          <w:between w:val="none" w:sz="0" w:space="0" w:color="auto"/>
          <w:bar w:val="none" w:sz="0" w:color="auto"/>
        </w:pBdr>
        <w:ind w:right="360"/>
        <w:jc w:val="both"/>
        <w:rPr>
          <w:rFonts w:asciiTheme="majorHAnsi" w:hAnsiTheme="majorHAnsi"/>
          <w:sz w:val="18"/>
          <w:szCs w:val="18"/>
          <w:lang w:val="es-ES_tradnl"/>
        </w:rPr>
      </w:pPr>
    </w:p>
    <w:p w14:paraId="2B06F6CC" w14:textId="286C71AA" w:rsidR="002A70A8" w:rsidRPr="00CD3501" w:rsidRDefault="002A70A8" w:rsidP="002A70A8">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_tradnl"/>
        </w:rPr>
      </w:pPr>
      <w:r w:rsidRPr="00CD3501">
        <w:rPr>
          <w:rFonts w:asciiTheme="majorHAnsi" w:hAnsiTheme="majorHAnsi"/>
          <w:sz w:val="18"/>
          <w:szCs w:val="18"/>
          <w:lang w:val="es-ES_tradnl"/>
        </w:rPr>
        <w:t>En este punto, el tribunal se siente obligado a declarar en conclusión que es desafortunado cuando la sociedad valora de alguna manera a una persona o le da su identidad en función de su raza, color, género, edad u orientación sex</w:t>
      </w:r>
      <w:r w:rsidR="00975981" w:rsidRPr="00CD3501">
        <w:rPr>
          <w:rFonts w:asciiTheme="majorHAnsi" w:hAnsiTheme="majorHAnsi"/>
          <w:sz w:val="18"/>
          <w:szCs w:val="18"/>
          <w:lang w:val="es-ES_tradnl"/>
        </w:rPr>
        <w:t>ual. Esa no es su identidad. Ese</w:t>
      </w:r>
      <w:r w:rsidRPr="00CD3501">
        <w:rPr>
          <w:rFonts w:asciiTheme="majorHAnsi" w:hAnsiTheme="majorHAnsi"/>
          <w:sz w:val="18"/>
          <w:szCs w:val="18"/>
          <w:lang w:val="es-ES_tradnl"/>
        </w:rPr>
        <w:t xml:space="preserve"> no es su alma. Esa no es la suma total de su valor para la sociedad o su valor para sí mismos. Las experiencias del aparth</w:t>
      </w:r>
      <w:r w:rsidR="00975981" w:rsidRPr="00CD3501">
        <w:rPr>
          <w:rFonts w:asciiTheme="majorHAnsi" w:hAnsiTheme="majorHAnsi"/>
          <w:sz w:val="18"/>
          <w:szCs w:val="18"/>
          <w:lang w:val="es-ES_tradnl"/>
        </w:rPr>
        <w:t>eid en Sudáfrica y los EE. UU d</w:t>
      </w:r>
      <w:r w:rsidRPr="00CD3501">
        <w:rPr>
          <w:rFonts w:asciiTheme="majorHAnsi" w:hAnsiTheme="majorHAnsi"/>
          <w:sz w:val="18"/>
          <w:szCs w:val="18"/>
          <w:lang w:val="es-ES_tradnl"/>
        </w:rPr>
        <w:t xml:space="preserve">urante y después de la esclavitud, incluso a mediados y finales del siglo XX, han demostrado la profundidad de la caída de la dignidad humana como resultado de prejuicios predeterminados y presupuestos basados ​​en factores que no aceptan ni reconocen </w:t>
      </w:r>
      <w:r w:rsidR="00975981" w:rsidRPr="00CD3501">
        <w:rPr>
          <w:rFonts w:asciiTheme="majorHAnsi" w:hAnsiTheme="majorHAnsi"/>
          <w:sz w:val="18"/>
          <w:szCs w:val="18"/>
          <w:lang w:val="es-ES_tradnl"/>
        </w:rPr>
        <w:t xml:space="preserve">la </w:t>
      </w:r>
      <w:r w:rsidRPr="00CD3501">
        <w:rPr>
          <w:rFonts w:asciiTheme="majorHAnsi" w:hAnsiTheme="majorHAnsi"/>
          <w:sz w:val="18"/>
          <w:szCs w:val="18"/>
          <w:lang w:val="es-ES_tradnl"/>
        </w:rPr>
        <w:t>humanidad</w:t>
      </w:r>
      <w:r w:rsidR="00975981" w:rsidRPr="00CD3501">
        <w:rPr>
          <w:rFonts w:asciiTheme="majorHAnsi" w:hAnsiTheme="majorHAnsi"/>
          <w:sz w:val="18"/>
          <w:szCs w:val="18"/>
          <w:lang w:val="es-ES_tradnl"/>
        </w:rPr>
        <w:t xml:space="preserve"> de las personas</w:t>
      </w:r>
      <w:r w:rsidRPr="00CD3501">
        <w:rPr>
          <w:rFonts w:asciiTheme="majorHAnsi" w:hAnsiTheme="majorHAnsi"/>
          <w:sz w:val="18"/>
          <w:szCs w:val="18"/>
          <w:lang w:val="es-ES_tradnl"/>
        </w:rPr>
        <w:t>. La segregación racial, el apartheid, el Holocausto, son recuerdos dolorosos de este tipo de prejuicios. Negar</w:t>
      </w:r>
      <w:r w:rsidR="00975981" w:rsidRPr="00CD3501">
        <w:rPr>
          <w:rFonts w:asciiTheme="majorHAnsi" w:hAnsiTheme="majorHAnsi"/>
          <w:sz w:val="18"/>
          <w:szCs w:val="18"/>
          <w:lang w:val="es-ES_tradnl"/>
        </w:rPr>
        <w:t>en la actualidad</w:t>
      </w:r>
      <w:r w:rsidRPr="00CD3501">
        <w:rPr>
          <w:rFonts w:asciiTheme="majorHAnsi" w:hAnsiTheme="majorHAnsi"/>
          <w:sz w:val="18"/>
          <w:szCs w:val="18"/>
          <w:lang w:val="es-ES_tradnl"/>
        </w:rPr>
        <w:t xml:space="preserve"> a una minoría percibida su derecho a la humanidad y la dignidad humana sería continuar con este tipo de pensamiento, este tipo de superioridad percibida basada en las creencias genui</w:t>
      </w:r>
      <w:r w:rsidR="00975981" w:rsidRPr="00CD3501">
        <w:rPr>
          <w:rFonts w:asciiTheme="majorHAnsi" w:hAnsiTheme="majorHAnsi"/>
          <w:sz w:val="18"/>
          <w:szCs w:val="18"/>
          <w:lang w:val="es-ES_tradnl"/>
        </w:rPr>
        <w:t xml:space="preserve">namente sostenidas de algunos. </w:t>
      </w:r>
      <w:r w:rsidR="00975981" w:rsidRPr="00CD3501">
        <w:rPr>
          <w:rStyle w:val="FootnoteReference"/>
          <w:rFonts w:asciiTheme="majorHAnsi" w:hAnsiTheme="majorHAnsi"/>
          <w:sz w:val="18"/>
          <w:szCs w:val="18"/>
          <w:lang w:val="es-ES_tradnl"/>
        </w:rPr>
        <w:footnoteReference w:id="56"/>
      </w:r>
    </w:p>
    <w:p w14:paraId="56E4E67D" w14:textId="77777777" w:rsidR="002A70A8" w:rsidRPr="00CD3501" w:rsidRDefault="002A70A8" w:rsidP="006E0A24">
      <w:pPr>
        <w:rPr>
          <w:lang w:val="es-ES_tradnl"/>
        </w:rPr>
      </w:pPr>
    </w:p>
    <w:p w14:paraId="0FEF8B94" w14:textId="32A0A3D2" w:rsidR="00D8027F" w:rsidRPr="00CD3501" w:rsidRDefault="002B437F" w:rsidP="00C12E55">
      <w:pPr>
        <w:pStyle w:val="parrafos"/>
        <w:numPr>
          <w:ilvl w:val="0"/>
          <w:numId w:val="57"/>
        </w:numPr>
        <w:tabs>
          <w:tab w:val="clear" w:pos="360"/>
          <w:tab w:val="clear" w:pos="1080"/>
        </w:tabs>
        <w:ind w:left="0" w:right="360" w:firstLine="0"/>
        <w:rPr>
          <w:sz w:val="18"/>
          <w:szCs w:val="18"/>
          <w:lang w:val="es-ES_tradnl"/>
        </w:rPr>
      </w:pPr>
      <w:r w:rsidRPr="00CD3501">
        <w:rPr>
          <w:lang w:val="es-ES_tradnl"/>
        </w:rPr>
        <w:t xml:space="preserve">Por último, con respecto al derecho de circulación y </w:t>
      </w:r>
      <w:r w:rsidR="00925C88" w:rsidRPr="00CD3501">
        <w:rPr>
          <w:lang w:val="es-ES_tradnl"/>
        </w:rPr>
        <w:t xml:space="preserve">de </w:t>
      </w:r>
      <w:r w:rsidR="00D8027F" w:rsidRPr="00CD3501">
        <w:rPr>
          <w:lang w:val="es-ES_tradnl"/>
        </w:rPr>
        <w:t>residenc</w:t>
      </w:r>
      <w:r w:rsidRPr="00CD3501">
        <w:rPr>
          <w:lang w:val="es-ES_tradnl"/>
        </w:rPr>
        <w:t>ia,</w:t>
      </w:r>
      <w:r w:rsidR="00D8027F" w:rsidRPr="00CD3501">
        <w:rPr>
          <w:lang w:val="es-ES_tradnl"/>
        </w:rPr>
        <w:t xml:space="preserve"> </w:t>
      </w:r>
      <w:r w:rsidR="00265CC9" w:rsidRPr="00CD3501">
        <w:rPr>
          <w:lang w:val="es-ES_tradnl"/>
        </w:rPr>
        <w:t>la Corte Interamericana</w:t>
      </w:r>
      <w:r w:rsidR="00D8027F" w:rsidRPr="00CD3501">
        <w:rPr>
          <w:lang w:val="es-ES_tradnl"/>
        </w:rPr>
        <w:t xml:space="preserve"> ha</w:t>
      </w:r>
      <w:r w:rsidRPr="00CD3501">
        <w:rPr>
          <w:lang w:val="es-ES_tradnl"/>
        </w:rPr>
        <w:t xml:space="preserve"> establecido que </w:t>
      </w:r>
      <w:r w:rsidR="00A93EE8" w:rsidRPr="00CD3501">
        <w:rPr>
          <w:lang w:val="es-ES_tradnl"/>
        </w:rPr>
        <w:t xml:space="preserve">“puede ser vulnerado de manera formal o por restricciones </w:t>
      </w:r>
      <w:r w:rsidR="00A93EE8" w:rsidRPr="00CD3501">
        <w:rPr>
          <w:i/>
          <w:lang w:val="es-ES_tradnl"/>
        </w:rPr>
        <w:t>de facto</w:t>
      </w:r>
      <w:r w:rsidR="00A93EE8" w:rsidRPr="00CD3501">
        <w:rPr>
          <w:lang w:val="es-ES_tradnl"/>
        </w:rPr>
        <w:t xml:space="preserve"> cuando el Estado no </w:t>
      </w:r>
      <w:r w:rsidR="00A93EE8" w:rsidRPr="00CD3501">
        <w:rPr>
          <w:lang w:val="es-ES_tradnl"/>
        </w:rPr>
        <w:lastRenderedPageBreak/>
        <w:t>ha establecido las condiciones ni provisto los medios que permiten ejercerlo</w:t>
      </w:r>
      <w:r w:rsidR="00D8027F" w:rsidRPr="00CD3501">
        <w:rPr>
          <w:rFonts w:ascii="Cambria" w:hAnsi="Cambria" w:cs="Cambria"/>
          <w:lang w:val="es-ES_tradnl"/>
        </w:rPr>
        <w:t>”</w:t>
      </w:r>
      <w:r w:rsidR="00D8027F" w:rsidRPr="00CD3501">
        <w:rPr>
          <w:rStyle w:val="FootnoteReference"/>
          <w:rFonts w:ascii="Cambria" w:hAnsi="Cambria" w:cs="Cambria"/>
          <w:lang w:val="es-ES_tradnl"/>
        </w:rPr>
        <w:footnoteReference w:id="57"/>
      </w:r>
      <w:r w:rsidR="00A93EE8" w:rsidRPr="00CD3501">
        <w:rPr>
          <w:rFonts w:ascii="Cambria" w:hAnsi="Cambria" w:cs="Cambria"/>
          <w:lang w:val="es-ES_tradnl"/>
        </w:rPr>
        <w:t xml:space="preserve">. Al respecto, </w:t>
      </w:r>
      <w:r w:rsidR="00265CC9" w:rsidRPr="00CD3501">
        <w:rPr>
          <w:rFonts w:ascii="Cambria" w:hAnsi="Cambria" w:cs="Cambria"/>
          <w:lang w:val="es-ES_tradnl"/>
        </w:rPr>
        <w:t>la Corte</w:t>
      </w:r>
      <w:r w:rsidR="00D8027F" w:rsidRPr="00CD3501">
        <w:rPr>
          <w:rFonts w:ascii="Cambria" w:hAnsi="Cambria" w:cs="Cambria"/>
          <w:lang w:val="es-ES_tradnl"/>
        </w:rPr>
        <w:t xml:space="preserve"> ha</w:t>
      </w:r>
      <w:r w:rsidR="00A93EE8" w:rsidRPr="00CD3501">
        <w:rPr>
          <w:rFonts w:ascii="Cambria" w:hAnsi="Cambria" w:cs="Cambria"/>
          <w:lang w:val="es-ES_tradnl"/>
        </w:rPr>
        <w:t xml:space="preserve"> establecido que hay una conexión entre las amenazas y el acoso </w:t>
      </w:r>
      <w:r w:rsidR="00D8027F" w:rsidRPr="00CD3501">
        <w:rPr>
          <w:rFonts w:ascii="Cambria" w:hAnsi="Cambria" w:cs="Cambria"/>
          <w:i/>
          <w:iCs/>
          <w:lang w:val="es-ES_tradnl"/>
        </w:rPr>
        <w:t xml:space="preserve">de facto </w:t>
      </w:r>
      <w:r w:rsidR="00A93EE8" w:rsidRPr="00CD3501">
        <w:rPr>
          <w:rFonts w:ascii="Cambria" w:hAnsi="Cambria" w:cs="Cambria"/>
          <w:iCs/>
          <w:lang w:val="es-ES_tradnl"/>
        </w:rPr>
        <w:t xml:space="preserve">y el desplazamiento forzado o el exilio cuando </w:t>
      </w:r>
      <w:r w:rsidR="00D8027F" w:rsidRPr="00CD3501">
        <w:rPr>
          <w:rFonts w:ascii="Cambria" w:hAnsi="Cambria" w:cs="Cambria"/>
          <w:lang w:val="es-ES_tradnl"/>
        </w:rPr>
        <w:t>“</w:t>
      </w:r>
      <w:r w:rsidR="00A93EE8" w:rsidRPr="00CD3501">
        <w:rPr>
          <w:rFonts w:ascii="Cambria" w:hAnsi="Cambria" w:cs="Cambria"/>
          <w:lang w:val="es-ES_tradnl"/>
        </w:rPr>
        <w:t>el Estado no provee las garantías necesarias para que pueda transitar y residir libremente en el territorio de que se trate</w:t>
      </w:r>
      <w:r w:rsidR="00D8027F" w:rsidRPr="00CD3501">
        <w:rPr>
          <w:rFonts w:ascii="Cambria" w:hAnsi="Cambria" w:cs="Cambria"/>
          <w:lang w:val="es-ES_tradnl"/>
        </w:rPr>
        <w:t>”</w:t>
      </w:r>
      <w:r w:rsidR="00D8027F" w:rsidRPr="00CD3501">
        <w:rPr>
          <w:rStyle w:val="FootnoteReference"/>
          <w:rFonts w:ascii="Cambria" w:hAnsi="Cambria" w:cs="Cambria"/>
          <w:lang w:val="es-ES_tradnl"/>
        </w:rPr>
        <w:footnoteReference w:id="58"/>
      </w:r>
      <w:r w:rsidR="00A93EE8" w:rsidRPr="00CD3501">
        <w:rPr>
          <w:rFonts w:ascii="Cambria" w:hAnsi="Cambria" w:cs="Cambria"/>
          <w:lang w:val="es-ES_tradnl"/>
        </w:rPr>
        <w:t>.</w:t>
      </w:r>
    </w:p>
    <w:p w14:paraId="5DC84135" w14:textId="13E79E03" w:rsidR="00180CD2" w:rsidRPr="00CD3501" w:rsidRDefault="000A3FB7" w:rsidP="00A167CF">
      <w:pPr>
        <w:pStyle w:val="Heading3"/>
        <w:numPr>
          <w:ilvl w:val="1"/>
          <w:numId w:val="53"/>
        </w:numPr>
        <w:ind w:left="360"/>
        <w:rPr>
          <w:color w:val="auto"/>
          <w:sz w:val="20"/>
          <w:szCs w:val="20"/>
          <w:lang w:val="es-ES_tradnl"/>
        </w:rPr>
      </w:pPr>
      <w:bookmarkStart w:id="21" w:name="_Toc58425597"/>
      <w:r w:rsidRPr="00CD3501">
        <w:rPr>
          <w:color w:val="auto"/>
          <w:sz w:val="20"/>
          <w:szCs w:val="20"/>
          <w:lang w:val="es-ES_tradnl"/>
        </w:rPr>
        <w:t>Análisis de este caso</w:t>
      </w:r>
      <w:bookmarkEnd w:id="21"/>
    </w:p>
    <w:p w14:paraId="1552816B" w14:textId="77777777" w:rsidR="00180CD2" w:rsidRPr="00CD3501" w:rsidRDefault="00180CD2" w:rsidP="00A167CF">
      <w:pPr>
        <w:rPr>
          <w:lang w:val="es-ES_tradnl"/>
        </w:rPr>
      </w:pPr>
    </w:p>
    <w:p w14:paraId="60F19600" w14:textId="3933EFC8" w:rsidR="00B13EB4" w:rsidRPr="00CD3501" w:rsidRDefault="004432E5" w:rsidP="00C12E55">
      <w:pPr>
        <w:pStyle w:val="parrafos"/>
        <w:numPr>
          <w:ilvl w:val="0"/>
          <w:numId w:val="57"/>
        </w:numPr>
        <w:tabs>
          <w:tab w:val="clear" w:pos="360"/>
          <w:tab w:val="clear" w:pos="1080"/>
        </w:tabs>
        <w:ind w:left="0" w:firstLine="0"/>
        <w:rPr>
          <w:rFonts w:ascii="Cambria" w:hAnsi="Cambria"/>
          <w:lang w:val="es-ES_tradnl"/>
        </w:rPr>
      </w:pPr>
      <w:r w:rsidRPr="00CD3501">
        <w:rPr>
          <w:lang w:val="es-ES_tradnl"/>
        </w:rPr>
        <w:t>Primero,</w:t>
      </w:r>
      <w:r w:rsidR="00E57B31" w:rsidRPr="00CD3501">
        <w:rPr>
          <w:rFonts w:ascii="Cambria" w:hAnsi="Cambria"/>
          <w:lang w:val="es-ES_tradnl"/>
        </w:rPr>
        <w:t xml:space="preserve"> </w:t>
      </w:r>
      <w:r w:rsidR="00497B9A" w:rsidRPr="00CD3501">
        <w:rPr>
          <w:rFonts w:ascii="Cambria" w:hAnsi="Cambria"/>
          <w:lang w:val="es-ES_tradnl"/>
        </w:rPr>
        <w:t>la Comisión</w:t>
      </w:r>
      <w:r w:rsidR="00E57B31" w:rsidRPr="00CD3501">
        <w:rPr>
          <w:rFonts w:ascii="Cambria" w:hAnsi="Cambria"/>
          <w:lang w:val="es-ES_tradnl"/>
        </w:rPr>
        <w:t xml:space="preserve"> </w:t>
      </w:r>
      <w:r w:rsidRPr="00CD3501">
        <w:rPr>
          <w:rFonts w:ascii="Cambria" w:hAnsi="Cambria"/>
          <w:lang w:val="es-ES_tradnl"/>
        </w:rPr>
        <w:t xml:space="preserve">determinará si los artículos pertinentes de la </w:t>
      </w:r>
      <w:r w:rsidR="000A3FB7" w:rsidRPr="00CD3501">
        <w:rPr>
          <w:rFonts w:ascii="Cambria" w:hAnsi="Cambria"/>
          <w:lang w:val="es-ES_tradnl"/>
        </w:rPr>
        <w:t>Ley de Delitos contra la Persona</w:t>
      </w:r>
      <w:r w:rsidR="00E57B31" w:rsidRPr="00CD3501">
        <w:rPr>
          <w:rFonts w:ascii="Cambria" w:hAnsi="Cambria"/>
          <w:lang w:val="es-ES_tradnl"/>
        </w:rPr>
        <w:t xml:space="preserve"> </w:t>
      </w:r>
      <w:r w:rsidRPr="00CD3501">
        <w:rPr>
          <w:rFonts w:ascii="Cambria" w:hAnsi="Cambria"/>
          <w:lang w:val="es-ES_tradnl"/>
        </w:rPr>
        <w:t xml:space="preserve">constituyen </w:t>
      </w:r>
      <w:r w:rsidR="00E57B31" w:rsidRPr="00CD3501">
        <w:rPr>
          <w:rFonts w:ascii="Cambria" w:hAnsi="Cambria"/>
          <w:lang w:val="es-ES_tradnl"/>
        </w:rPr>
        <w:t>restri</w:t>
      </w:r>
      <w:r w:rsidRPr="00CD3501">
        <w:rPr>
          <w:rFonts w:ascii="Cambria" w:hAnsi="Cambria"/>
          <w:lang w:val="es-ES_tradnl"/>
        </w:rPr>
        <w:t>c</w:t>
      </w:r>
      <w:r w:rsidR="00E57B31" w:rsidRPr="00CD3501">
        <w:rPr>
          <w:rFonts w:ascii="Cambria" w:hAnsi="Cambria"/>
          <w:lang w:val="es-ES_tradnl"/>
        </w:rPr>
        <w:t>cion</w:t>
      </w:r>
      <w:r w:rsidRPr="00CD3501">
        <w:rPr>
          <w:rFonts w:ascii="Cambria" w:hAnsi="Cambria"/>
          <w:lang w:val="es-ES_tradnl"/>
        </w:rPr>
        <w:t>e</w:t>
      </w:r>
      <w:r w:rsidR="00E57B31" w:rsidRPr="00CD3501">
        <w:rPr>
          <w:rFonts w:ascii="Cambria" w:hAnsi="Cambria"/>
          <w:lang w:val="es-ES_tradnl"/>
        </w:rPr>
        <w:t>s o d</w:t>
      </w:r>
      <w:r w:rsidR="0031103F" w:rsidRPr="00CD3501">
        <w:rPr>
          <w:rFonts w:ascii="Cambria" w:hAnsi="Cambria"/>
          <w:lang w:val="es-ES_tradnl"/>
        </w:rPr>
        <w:t>iferenc</w:t>
      </w:r>
      <w:r w:rsidRPr="00CD3501">
        <w:rPr>
          <w:rFonts w:ascii="Cambria" w:hAnsi="Cambria"/>
          <w:lang w:val="es-ES_tradnl"/>
        </w:rPr>
        <w:t xml:space="preserve">ias </w:t>
      </w:r>
      <w:r w:rsidR="00060D58" w:rsidRPr="00CD3501">
        <w:rPr>
          <w:rFonts w:ascii="Cambria" w:hAnsi="Cambria"/>
          <w:lang w:val="es-ES_tradnl"/>
        </w:rPr>
        <w:t>de trato</w:t>
      </w:r>
      <w:r w:rsidRPr="00CD3501">
        <w:rPr>
          <w:rFonts w:ascii="Cambria" w:hAnsi="Cambria"/>
          <w:lang w:val="es-ES_tradnl"/>
        </w:rPr>
        <w:t xml:space="preserve"> con respecto a los derechos reconocidos en la </w:t>
      </w:r>
      <w:r w:rsidR="009A3641" w:rsidRPr="00CD3501">
        <w:rPr>
          <w:rFonts w:ascii="Cambria" w:hAnsi="Cambria"/>
          <w:lang w:val="es-ES_tradnl"/>
        </w:rPr>
        <w:t>Convención Americana</w:t>
      </w:r>
      <w:r w:rsidR="00E57B31" w:rsidRPr="00CD3501">
        <w:rPr>
          <w:rFonts w:ascii="Cambria" w:hAnsi="Cambria"/>
          <w:lang w:val="es-ES_tradnl"/>
        </w:rPr>
        <w:t xml:space="preserve">. </w:t>
      </w:r>
      <w:r w:rsidRPr="00CD3501">
        <w:rPr>
          <w:rFonts w:ascii="Cambria" w:hAnsi="Cambria"/>
          <w:lang w:val="es-ES_tradnl"/>
        </w:rPr>
        <w:t>En ese sentido</w:t>
      </w:r>
      <w:r w:rsidR="0067486A" w:rsidRPr="00CD3501">
        <w:rPr>
          <w:rFonts w:ascii="Cambria" w:hAnsi="Cambria"/>
          <w:lang w:val="es-ES_tradnl"/>
        </w:rPr>
        <w:t>,</w:t>
      </w:r>
      <w:r w:rsidR="00E57B31" w:rsidRPr="00CD3501">
        <w:rPr>
          <w:rFonts w:ascii="Cambria" w:hAnsi="Cambria"/>
          <w:lang w:val="es-ES_tradnl"/>
        </w:rPr>
        <w:t xml:space="preserve"> </w:t>
      </w:r>
      <w:r w:rsidR="00497B9A" w:rsidRPr="00CD3501">
        <w:rPr>
          <w:rFonts w:ascii="Cambria" w:hAnsi="Cambria"/>
          <w:lang w:val="es-ES_tradnl"/>
        </w:rPr>
        <w:t>la CIDH</w:t>
      </w:r>
      <w:r w:rsidR="00E57B31" w:rsidRPr="00CD3501">
        <w:rPr>
          <w:rFonts w:ascii="Cambria" w:hAnsi="Cambria"/>
          <w:lang w:val="es-ES_tradnl"/>
        </w:rPr>
        <w:t xml:space="preserve"> </w:t>
      </w:r>
      <w:r w:rsidRPr="00CD3501">
        <w:rPr>
          <w:rFonts w:ascii="Cambria" w:hAnsi="Cambria"/>
          <w:lang w:val="es-ES_tradnl"/>
        </w:rPr>
        <w:t>observa que el artículo 76 de la</w:t>
      </w:r>
      <w:r w:rsidR="00E57B31" w:rsidRPr="00CD3501">
        <w:rPr>
          <w:rFonts w:ascii="Cambria" w:hAnsi="Cambria"/>
          <w:lang w:val="es-ES_tradnl"/>
        </w:rPr>
        <w:t xml:space="preserve"> </w:t>
      </w:r>
      <w:r w:rsidR="000A3FB7" w:rsidRPr="00CD3501">
        <w:rPr>
          <w:rFonts w:ascii="Cambria" w:hAnsi="Cambria"/>
          <w:lang w:val="es-ES_tradnl"/>
        </w:rPr>
        <w:t>Ley de Delitos contra la Persona</w:t>
      </w:r>
      <w:r w:rsidRPr="00CD3501">
        <w:rPr>
          <w:rFonts w:ascii="Cambria" w:hAnsi="Cambria"/>
          <w:lang w:val="es-ES_tradnl"/>
        </w:rPr>
        <w:t>, titulado</w:t>
      </w:r>
      <w:r w:rsidR="003067F3" w:rsidRPr="00CD3501">
        <w:rPr>
          <w:rFonts w:ascii="Cambria" w:hAnsi="Cambria"/>
          <w:lang w:val="es-ES_tradnl"/>
        </w:rPr>
        <w:t xml:space="preserve"> </w:t>
      </w:r>
      <w:r w:rsidRPr="00CD3501">
        <w:rPr>
          <w:rFonts w:ascii="Cambria" w:hAnsi="Cambria"/>
          <w:lang w:val="es-ES_tradnl"/>
        </w:rPr>
        <w:t xml:space="preserve">“Delito contra natura”, prohíbe </w:t>
      </w:r>
      <w:r w:rsidR="00E57B31" w:rsidRPr="00CD3501">
        <w:rPr>
          <w:rFonts w:ascii="Cambria" w:hAnsi="Cambria"/>
          <w:lang w:val="es-ES_tradnl"/>
        </w:rPr>
        <w:t>“</w:t>
      </w:r>
      <w:r w:rsidRPr="00CD3501">
        <w:rPr>
          <w:rFonts w:ascii="Cambria" w:hAnsi="Cambria"/>
          <w:lang w:val="es-ES_tradnl"/>
        </w:rPr>
        <w:t xml:space="preserve">el </w:t>
      </w:r>
      <w:r w:rsidR="00E57B31" w:rsidRPr="00CD3501">
        <w:rPr>
          <w:rFonts w:ascii="Cambria" w:hAnsi="Cambria"/>
          <w:lang w:val="es-ES_tradnl"/>
        </w:rPr>
        <w:t xml:space="preserve">abominable </w:t>
      </w:r>
      <w:r w:rsidRPr="00CD3501">
        <w:rPr>
          <w:rFonts w:ascii="Cambria" w:hAnsi="Cambria"/>
          <w:lang w:val="es-ES_tradnl"/>
        </w:rPr>
        <w:t xml:space="preserve">delito de </w:t>
      </w:r>
      <w:r w:rsidR="000A3FB7" w:rsidRPr="00CD3501">
        <w:rPr>
          <w:rFonts w:ascii="Cambria" w:hAnsi="Cambria"/>
          <w:lang w:val="es-ES_tradnl"/>
        </w:rPr>
        <w:t>sodomía</w:t>
      </w:r>
      <w:r w:rsidR="00E57B31" w:rsidRPr="00CD3501">
        <w:rPr>
          <w:rFonts w:ascii="Cambria" w:hAnsi="Cambria"/>
          <w:lang w:val="es-ES_tradnl"/>
        </w:rPr>
        <w:t xml:space="preserve">” </w:t>
      </w:r>
      <w:r w:rsidR="0067486A" w:rsidRPr="00CD3501">
        <w:rPr>
          <w:rFonts w:ascii="Cambria" w:hAnsi="Cambria"/>
          <w:lang w:val="es-ES_tradnl"/>
        </w:rPr>
        <w:t>com</w:t>
      </w:r>
      <w:r w:rsidRPr="00CD3501">
        <w:rPr>
          <w:rFonts w:ascii="Cambria" w:hAnsi="Cambria"/>
          <w:lang w:val="es-ES_tradnl"/>
        </w:rPr>
        <w:t>etido por cualquier persona, sin especificar el</w:t>
      </w:r>
      <w:r w:rsidR="0067486A" w:rsidRPr="00CD3501">
        <w:rPr>
          <w:rFonts w:ascii="Cambria" w:hAnsi="Cambria"/>
          <w:lang w:val="es-ES_tradnl"/>
        </w:rPr>
        <w:t xml:space="preserve"> sex</w:t>
      </w:r>
      <w:r w:rsidRPr="00CD3501">
        <w:rPr>
          <w:rFonts w:ascii="Cambria" w:hAnsi="Cambria"/>
          <w:lang w:val="es-ES_tradnl"/>
        </w:rPr>
        <w:t>o</w:t>
      </w:r>
      <w:r w:rsidR="0067486A" w:rsidRPr="00CD3501">
        <w:rPr>
          <w:rFonts w:ascii="Cambria" w:hAnsi="Cambria"/>
          <w:lang w:val="es-ES_tradnl"/>
        </w:rPr>
        <w:t xml:space="preserve">, </w:t>
      </w:r>
      <w:r w:rsidRPr="00CD3501">
        <w:rPr>
          <w:rFonts w:ascii="Cambria" w:hAnsi="Cambria"/>
          <w:lang w:val="es-ES_tradnl"/>
        </w:rPr>
        <w:t xml:space="preserve">el género o la </w:t>
      </w:r>
      <w:r w:rsidR="000A3FB7" w:rsidRPr="00CD3501">
        <w:rPr>
          <w:rFonts w:ascii="Cambria" w:hAnsi="Cambria"/>
          <w:lang w:val="es-ES_tradnl"/>
        </w:rPr>
        <w:t>orientación sexual</w:t>
      </w:r>
      <w:r w:rsidR="003B12B2" w:rsidRPr="00CD3501">
        <w:rPr>
          <w:rFonts w:ascii="Cambria" w:hAnsi="Cambria"/>
          <w:lang w:val="es-ES_tradnl"/>
        </w:rPr>
        <w:t xml:space="preserve">. </w:t>
      </w:r>
      <w:r w:rsidRPr="00CD3501">
        <w:rPr>
          <w:rFonts w:ascii="Cambria" w:hAnsi="Cambria"/>
          <w:lang w:val="es-ES_tradnl"/>
        </w:rPr>
        <w:t xml:space="preserve">Asimismo, en el artículo </w:t>
      </w:r>
      <w:r w:rsidR="003B12B2" w:rsidRPr="00CD3501">
        <w:rPr>
          <w:rFonts w:ascii="Cambria" w:hAnsi="Cambria"/>
          <w:lang w:val="es-ES_tradnl"/>
        </w:rPr>
        <w:t>77</w:t>
      </w:r>
      <w:r w:rsidRPr="00CD3501">
        <w:rPr>
          <w:rFonts w:ascii="Cambria" w:hAnsi="Cambria"/>
          <w:lang w:val="es-ES_tradnl"/>
        </w:rPr>
        <w:t xml:space="preserve"> se sanciona el intento de cometer un acto de </w:t>
      </w:r>
      <w:r w:rsidR="000A3FB7" w:rsidRPr="00CD3501">
        <w:rPr>
          <w:rFonts w:ascii="Cambria" w:hAnsi="Cambria"/>
          <w:lang w:val="es-ES_tradnl"/>
        </w:rPr>
        <w:t>sodomía</w:t>
      </w:r>
      <w:r w:rsidR="003B12B2" w:rsidRPr="00CD3501">
        <w:rPr>
          <w:rFonts w:ascii="Cambria" w:hAnsi="Cambria"/>
          <w:lang w:val="es-ES_tradnl"/>
        </w:rPr>
        <w:t xml:space="preserve">. </w:t>
      </w:r>
    </w:p>
    <w:p w14:paraId="3AC84149" w14:textId="77777777" w:rsidR="00B13EB4" w:rsidRPr="00CD3501" w:rsidRDefault="00B13EB4" w:rsidP="00A167CF">
      <w:pPr>
        <w:pStyle w:val="parrafos"/>
        <w:tabs>
          <w:tab w:val="clear" w:pos="360"/>
        </w:tabs>
        <w:rPr>
          <w:rFonts w:ascii="Cambria" w:hAnsi="Cambria"/>
          <w:lang w:val="es-ES_tradnl"/>
        </w:rPr>
      </w:pPr>
    </w:p>
    <w:p w14:paraId="022FE611" w14:textId="021B0531" w:rsidR="00110A55" w:rsidRPr="00CD3501" w:rsidRDefault="00497B9A" w:rsidP="00C12E55">
      <w:pPr>
        <w:pStyle w:val="parrafos"/>
        <w:numPr>
          <w:ilvl w:val="0"/>
          <w:numId w:val="57"/>
        </w:numPr>
        <w:tabs>
          <w:tab w:val="clear" w:pos="360"/>
          <w:tab w:val="clear" w:pos="1080"/>
        </w:tabs>
        <w:ind w:left="0" w:firstLine="0"/>
        <w:rPr>
          <w:lang w:val="es-ES_tradnl"/>
        </w:rPr>
      </w:pPr>
      <w:r w:rsidRPr="00CD3501">
        <w:rPr>
          <w:lang w:val="es-ES_tradnl"/>
        </w:rPr>
        <w:t>La Comisión</w:t>
      </w:r>
      <w:r w:rsidR="00AE1F2F" w:rsidRPr="00CD3501">
        <w:rPr>
          <w:lang w:val="es-ES_tradnl"/>
        </w:rPr>
        <w:t xml:space="preserve"> consider</w:t>
      </w:r>
      <w:r w:rsidR="004432E5" w:rsidRPr="00CD3501">
        <w:rPr>
          <w:lang w:val="es-ES_tradnl"/>
        </w:rPr>
        <w:t xml:space="preserve">a que tales normas constituyen una restricción de la vida privada que tiene un </w:t>
      </w:r>
      <w:r w:rsidR="00065EBD" w:rsidRPr="00CD3501">
        <w:rPr>
          <w:lang w:val="es-ES_tradnl"/>
        </w:rPr>
        <w:t>impacto diferenciado</w:t>
      </w:r>
      <w:r w:rsidR="004432E5" w:rsidRPr="00CD3501">
        <w:rPr>
          <w:lang w:val="es-ES_tradnl"/>
        </w:rPr>
        <w:t xml:space="preserve"> en las </w:t>
      </w:r>
      <w:r w:rsidR="009E5620" w:rsidRPr="00CD3501">
        <w:rPr>
          <w:lang w:val="es-ES_tradnl"/>
        </w:rPr>
        <w:t>personas LGBTI</w:t>
      </w:r>
      <w:r w:rsidR="00E602CC" w:rsidRPr="00CD3501">
        <w:rPr>
          <w:lang w:val="es-ES_tradnl"/>
        </w:rPr>
        <w:t xml:space="preserve"> </w:t>
      </w:r>
      <w:r w:rsidR="004432E5" w:rsidRPr="00CD3501">
        <w:rPr>
          <w:lang w:val="es-ES_tradnl"/>
        </w:rPr>
        <w:t>e</w:t>
      </w:r>
      <w:r w:rsidR="00E602CC" w:rsidRPr="00CD3501">
        <w:rPr>
          <w:lang w:val="es-ES_tradnl"/>
        </w:rPr>
        <w:t xml:space="preserve">n Jamaica, </w:t>
      </w:r>
      <w:r w:rsidR="004432E5" w:rsidRPr="00CD3501">
        <w:rPr>
          <w:lang w:val="es-ES_tradnl"/>
        </w:rPr>
        <w:t>como las</w:t>
      </w:r>
      <w:r w:rsidR="00E602CC" w:rsidRPr="00CD3501">
        <w:rPr>
          <w:lang w:val="es-ES_tradnl"/>
        </w:rPr>
        <w:t xml:space="preserve"> </w:t>
      </w:r>
      <w:r w:rsidR="00B24E23" w:rsidRPr="00CD3501">
        <w:rPr>
          <w:lang w:val="es-ES_tradnl"/>
        </w:rPr>
        <w:t>presunta víctima</w:t>
      </w:r>
      <w:r w:rsidR="00E602CC" w:rsidRPr="00CD3501">
        <w:rPr>
          <w:lang w:val="es-ES_tradnl"/>
        </w:rPr>
        <w:t xml:space="preserve">s, </w:t>
      </w:r>
      <w:r w:rsidR="004432E5" w:rsidRPr="00CD3501">
        <w:rPr>
          <w:lang w:val="es-ES_tradnl"/>
        </w:rPr>
        <w:t xml:space="preserve">en vista del contexto antedicho y de que las </w:t>
      </w:r>
      <w:r w:rsidR="006A4736" w:rsidRPr="00CD3501">
        <w:rPr>
          <w:lang w:val="es-ES_tradnl"/>
        </w:rPr>
        <w:t>referencias a prácticas innaturales en la</w:t>
      </w:r>
      <w:r w:rsidR="002F1404" w:rsidRPr="00CD3501">
        <w:rPr>
          <w:lang w:val="es-ES_tradnl"/>
        </w:rPr>
        <w:t>s</w:t>
      </w:r>
      <w:r w:rsidR="006A4736" w:rsidRPr="00CD3501">
        <w:rPr>
          <w:lang w:val="es-ES_tradnl"/>
        </w:rPr>
        <w:t xml:space="preserve"> </w:t>
      </w:r>
      <w:r w:rsidR="004432E5" w:rsidRPr="00CD3501">
        <w:rPr>
          <w:lang w:val="es-ES_tradnl"/>
        </w:rPr>
        <w:t>ley</w:t>
      </w:r>
      <w:r w:rsidR="002F1404" w:rsidRPr="00CD3501">
        <w:rPr>
          <w:lang w:val="es-ES_tradnl"/>
        </w:rPr>
        <w:t>es</w:t>
      </w:r>
      <w:r w:rsidR="004432E5" w:rsidRPr="00CD3501">
        <w:rPr>
          <w:lang w:val="es-ES_tradnl"/>
        </w:rPr>
        <w:t xml:space="preserve"> de sodomía</w:t>
      </w:r>
      <w:r w:rsidR="006A4736" w:rsidRPr="00CD3501">
        <w:rPr>
          <w:lang w:val="es-ES_tradnl"/>
        </w:rPr>
        <w:t xml:space="preserve"> por lo general se interpretan en el sentido de penalizar a las personas que desafían las normas tradicionales de </w:t>
      </w:r>
      <w:r w:rsidR="000A3FB7" w:rsidRPr="00CD3501">
        <w:rPr>
          <w:lang w:val="es-ES_tradnl"/>
        </w:rPr>
        <w:t>orientación sexual</w:t>
      </w:r>
      <w:r w:rsidR="00E602CC" w:rsidRPr="00CD3501">
        <w:rPr>
          <w:lang w:val="es-ES_tradnl"/>
        </w:rPr>
        <w:t>, identi</w:t>
      </w:r>
      <w:r w:rsidR="006A4736" w:rsidRPr="00CD3501">
        <w:rPr>
          <w:lang w:val="es-ES_tradnl"/>
        </w:rPr>
        <w:t xml:space="preserve">dad y expresión de género, y diversidad corporal o que </w:t>
      </w:r>
      <w:r w:rsidR="00E602CC" w:rsidRPr="00CD3501">
        <w:rPr>
          <w:lang w:val="es-ES_tradnl"/>
        </w:rPr>
        <w:t>represent</w:t>
      </w:r>
      <w:r w:rsidR="006A4736" w:rsidRPr="00CD3501">
        <w:rPr>
          <w:lang w:val="es-ES_tradnl"/>
        </w:rPr>
        <w:t>an</w:t>
      </w:r>
      <w:r w:rsidR="00E602CC" w:rsidRPr="00CD3501">
        <w:rPr>
          <w:lang w:val="es-ES_tradnl"/>
        </w:rPr>
        <w:t xml:space="preserve"> sexuali</w:t>
      </w:r>
      <w:r w:rsidR="006A4736" w:rsidRPr="00CD3501">
        <w:rPr>
          <w:lang w:val="es-ES_tradnl"/>
        </w:rPr>
        <w:t>dades e identidades que no se ciñen a la norma</w:t>
      </w:r>
      <w:r w:rsidR="00B13EB4" w:rsidRPr="00CD3501">
        <w:rPr>
          <w:vertAlign w:val="superscript"/>
          <w:lang w:val="es-ES_tradnl"/>
        </w:rPr>
        <w:footnoteReference w:id="59"/>
      </w:r>
      <w:r w:rsidR="006A4736" w:rsidRPr="00CD3501">
        <w:rPr>
          <w:lang w:val="es-ES_tradnl"/>
        </w:rPr>
        <w:t>.</w:t>
      </w:r>
      <w:r w:rsidR="00B13EB4" w:rsidRPr="00CD3501">
        <w:rPr>
          <w:lang w:val="es-ES_tradnl"/>
        </w:rPr>
        <w:t xml:space="preserve"> </w:t>
      </w:r>
      <w:r w:rsidR="006A4736" w:rsidRPr="00CD3501">
        <w:rPr>
          <w:lang w:val="es-ES_tradnl"/>
        </w:rPr>
        <w:t xml:space="preserve">Como ya ha señalado </w:t>
      </w:r>
      <w:r w:rsidRPr="00CD3501">
        <w:rPr>
          <w:lang w:val="es-ES_tradnl"/>
        </w:rPr>
        <w:t>la CIDH</w:t>
      </w:r>
      <w:r w:rsidR="006A4736" w:rsidRPr="00CD3501">
        <w:rPr>
          <w:lang w:val="es-ES_tradnl"/>
        </w:rPr>
        <w:t xml:space="preserve">, en la práctica, </w:t>
      </w:r>
      <w:r w:rsidR="004E048E" w:rsidRPr="00CD3501">
        <w:rPr>
          <w:lang w:val="es-ES_tradnl"/>
        </w:rPr>
        <w:t xml:space="preserve">las </w:t>
      </w:r>
      <w:r w:rsidR="006A4736" w:rsidRPr="00CD3501">
        <w:rPr>
          <w:lang w:val="es-ES_tradnl"/>
        </w:rPr>
        <w:t xml:space="preserve">leyes </w:t>
      </w:r>
      <w:r w:rsidR="004E048E" w:rsidRPr="00CD3501">
        <w:rPr>
          <w:lang w:val="es-ES_tradnl"/>
        </w:rPr>
        <w:t xml:space="preserve">de ese tipo </w:t>
      </w:r>
      <w:r w:rsidR="006A4736" w:rsidRPr="00CD3501">
        <w:rPr>
          <w:lang w:val="es-ES_tradnl"/>
        </w:rPr>
        <w:t xml:space="preserve">tienen un impacto desproporcionado en los hombres </w:t>
      </w:r>
      <w:r w:rsidR="00F46DA8" w:rsidRPr="00CD3501">
        <w:rPr>
          <w:lang w:val="es-ES_tradnl"/>
        </w:rPr>
        <w:t>gais</w:t>
      </w:r>
      <w:r w:rsidR="006A4736" w:rsidRPr="00CD3501">
        <w:rPr>
          <w:lang w:val="es-ES_tradnl"/>
        </w:rPr>
        <w:t xml:space="preserve"> y en los hombres que tienen relaciones sexuales con otros hombres</w:t>
      </w:r>
      <w:r w:rsidR="00342964" w:rsidRPr="00CD3501">
        <w:rPr>
          <w:lang w:val="es-ES_tradnl"/>
        </w:rPr>
        <w:t xml:space="preserve">. </w:t>
      </w:r>
      <w:r w:rsidR="006A4736" w:rsidRPr="00CD3501">
        <w:rPr>
          <w:lang w:val="es-ES_tradnl"/>
        </w:rPr>
        <w:t xml:space="preserve">Se han relatado casos de aplicación de estas leyes a hombres como consecuencia de su conducta </w:t>
      </w:r>
      <w:r w:rsidR="00342964" w:rsidRPr="00CD3501">
        <w:rPr>
          <w:lang w:val="es-ES_tradnl"/>
        </w:rPr>
        <w:t>homosexual</w:t>
      </w:r>
      <w:r w:rsidR="00342964" w:rsidRPr="00CD3501">
        <w:rPr>
          <w:vertAlign w:val="superscript"/>
          <w:lang w:val="es-ES_tradnl"/>
        </w:rPr>
        <w:footnoteReference w:id="60"/>
      </w:r>
      <w:r w:rsidR="006A4736" w:rsidRPr="00CD3501">
        <w:rPr>
          <w:lang w:val="es-ES_tradnl"/>
        </w:rPr>
        <w:t xml:space="preserve">. Además, </w:t>
      </w:r>
      <w:r w:rsidR="00B13EB4" w:rsidRPr="00CD3501">
        <w:rPr>
          <w:lang w:val="es-ES_tradnl"/>
        </w:rPr>
        <w:t>a</w:t>
      </w:r>
      <w:r w:rsidR="00053D8F" w:rsidRPr="00CD3501">
        <w:rPr>
          <w:lang w:val="es-ES_tradnl"/>
        </w:rPr>
        <w:t xml:space="preserve">unque la mayoría de estas leyes </w:t>
      </w:r>
      <w:r w:rsidR="00B13EB4" w:rsidRPr="00CD3501">
        <w:rPr>
          <w:lang w:val="es-ES_tradnl"/>
        </w:rPr>
        <w:t>“</w:t>
      </w:r>
      <w:r w:rsidR="00053D8F" w:rsidRPr="00CD3501">
        <w:rPr>
          <w:lang w:val="es-ES_tradnl"/>
        </w:rPr>
        <w:t>no abordan de manera específica los actos sexuales entre mujeres, los prejuicios hacia las sexualidades no normativas que son prevalentes en estas sociedades ponen en riesgo a las mujeres que tienen sexo con mujeres, o a las mujeres que son percibidas con una identidad o expresión de género que no encaja con una noción tradicional de la femineidad</w:t>
      </w:r>
      <w:r w:rsidR="00B13EB4" w:rsidRPr="00CD3501">
        <w:rPr>
          <w:lang w:val="es-ES_tradnl"/>
        </w:rPr>
        <w:t>.</w:t>
      </w:r>
      <w:r w:rsidR="00053D8F" w:rsidRPr="00CD3501">
        <w:rPr>
          <w:lang w:val="es-ES_tradnl"/>
        </w:rPr>
        <w:t xml:space="preserve"> [...] las personas trans y las personas no conformes con el género, dada su alta visibilidad, también enfrentan violencia y discriminación en estos contextos”</w:t>
      </w:r>
      <w:r w:rsidR="00B13EB4" w:rsidRPr="00CD3501">
        <w:rPr>
          <w:vertAlign w:val="superscript"/>
          <w:lang w:val="es-ES_tradnl"/>
        </w:rPr>
        <w:footnoteReference w:id="61"/>
      </w:r>
      <w:r w:rsidR="00053D8F" w:rsidRPr="00CD3501">
        <w:rPr>
          <w:lang w:val="es-ES_tradnl"/>
        </w:rPr>
        <w:t>.</w:t>
      </w:r>
    </w:p>
    <w:p w14:paraId="63113EB8" w14:textId="77777777" w:rsidR="00110A55" w:rsidRPr="00CD3501" w:rsidRDefault="00110A55" w:rsidP="006A4736">
      <w:pPr>
        <w:rPr>
          <w:lang w:val="es-ES_tradnl"/>
        </w:rPr>
      </w:pPr>
    </w:p>
    <w:p w14:paraId="49A4ECA4" w14:textId="73A2D647" w:rsidR="00B13EB4" w:rsidRPr="00CD3501" w:rsidRDefault="006A4736" w:rsidP="006A4736">
      <w:pPr>
        <w:pStyle w:val="parrafos"/>
        <w:numPr>
          <w:ilvl w:val="0"/>
          <w:numId w:val="57"/>
        </w:numPr>
        <w:tabs>
          <w:tab w:val="clear" w:pos="360"/>
          <w:tab w:val="clear" w:pos="1080"/>
        </w:tabs>
        <w:ind w:left="0" w:firstLine="0"/>
        <w:rPr>
          <w:lang w:val="es-ES_tradnl"/>
        </w:rPr>
      </w:pPr>
      <w:r w:rsidRPr="00CD3501">
        <w:rPr>
          <w:lang w:val="es-ES_tradnl"/>
        </w:rPr>
        <w:t>Por otro lado</w:t>
      </w:r>
      <w:r w:rsidR="00110A55" w:rsidRPr="00CD3501">
        <w:rPr>
          <w:lang w:val="es-ES_tradnl"/>
        </w:rPr>
        <w:t xml:space="preserve">, </w:t>
      </w:r>
      <w:r w:rsidR="00497B9A" w:rsidRPr="00CD3501">
        <w:rPr>
          <w:lang w:val="es-ES_tradnl"/>
        </w:rPr>
        <w:t>la CIDH</w:t>
      </w:r>
      <w:r w:rsidR="00110A55" w:rsidRPr="00CD3501">
        <w:rPr>
          <w:lang w:val="es-ES_tradnl"/>
        </w:rPr>
        <w:t xml:space="preserve"> </w:t>
      </w:r>
      <w:r w:rsidRPr="00CD3501">
        <w:rPr>
          <w:lang w:val="es-ES_tradnl"/>
        </w:rPr>
        <w:t xml:space="preserve">observa que el artículo </w:t>
      </w:r>
      <w:r w:rsidR="00110A55" w:rsidRPr="00CD3501">
        <w:rPr>
          <w:lang w:val="es-ES_tradnl"/>
        </w:rPr>
        <w:t xml:space="preserve">79 </w:t>
      </w:r>
      <w:r w:rsidRPr="00CD3501">
        <w:rPr>
          <w:lang w:val="es-ES_tradnl"/>
        </w:rPr>
        <w:t>de dicha ley establece una diferencia de trato con respecto a los hombres que tienen relaciones sexuales con otros hombres o los hombres</w:t>
      </w:r>
      <w:r w:rsidR="00110A55" w:rsidRPr="00CD3501">
        <w:rPr>
          <w:lang w:val="es-ES_tradnl"/>
        </w:rPr>
        <w:t xml:space="preserve"> homosexual</w:t>
      </w:r>
      <w:r w:rsidRPr="00CD3501">
        <w:rPr>
          <w:lang w:val="es-ES_tradnl"/>
        </w:rPr>
        <w:t xml:space="preserve">es, ya que establece una pena de dos años de cárcel como máximo para </w:t>
      </w:r>
      <w:r w:rsidR="00110A55" w:rsidRPr="00CD3501">
        <w:rPr>
          <w:lang w:val="es-ES_tradnl"/>
        </w:rPr>
        <w:t>“</w:t>
      </w:r>
      <w:r w:rsidRPr="00CD3501">
        <w:rPr>
          <w:lang w:val="es-ES_tradnl"/>
        </w:rPr>
        <w:t>cualquier ultraje contra la moral pública</w:t>
      </w:r>
      <w:r w:rsidR="00110A55" w:rsidRPr="00CD3501">
        <w:rPr>
          <w:lang w:val="es-ES_tradnl"/>
        </w:rPr>
        <w:t>” o</w:t>
      </w:r>
      <w:r w:rsidRPr="00CD3501">
        <w:rPr>
          <w:lang w:val="es-ES_tradnl"/>
        </w:rPr>
        <w:t xml:space="preserve"> su intento con otra persona del sexo masculino</w:t>
      </w:r>
      <w:r w:rsidR="00110A55" w:rsidRPr="00CD3501">
        <w:rPr>
          <w:lang w:val="es-ES_tradnl"/>
        </w:rPr>
        <w:t xml:space="preserve">, </w:t>
      </w:r>
      <w:r w:rsidRPr="00CD3501">
        <w:rPr>
          <w:lang w:val="es-ES_tradnl"/>
        </w:rPr>
        <w:t>en público o en privado</w:t>
      </w:r>
      <w:r w:rsidR="00110A55" w:rsidRPr="00CD3501">
        <w:rPr>
          <w:lang w:val="es-ES_tradnl"/>
        </w:rPr>
        <w:t>.</w:t>
      </w:r>
    </w:p>
    <w:p w14:paraId="633E766E" w14:textId="77777777" w:rsidR="00363DD2" w:rsidRPr="00CD3501" w:rsidRDefault="00363DD2" w:rsidP="006A4736">
      <w:pPr>
        <w:rPr>
          <w:rFonts w:ascii="Arial" w:hAnsi="Arial" w:cs="Arial"/>
          <w:color w:val="222222"/>
          <w:shd w:val="clear" w:color="auto" w:fill="F8F9FA"/>
          <w:lang w:val="es-ES_tradnl"/>
        </w:rPr>
      </w:pPr>
    </w:p>
    <w:p w14:paraId="453DF6BE" w14:textId="1F4E3347" w:rsidR="00863CD8" w:rsidRPr="00CD3501" w:rsidRDefault="00053D8F" w:rsidP="00622E3A">
      <w:pPr>
        <w:pStyle w:val="parrafos"/>
        <w:numPr>
          <w:ilvl w:val="0"/>
          <w:numId w:val="57"/>
        </w:numPr>
        <w:tabs>
          <w:tab w:val="clear" w:pos="360"/>
          <w:tab w:val="clear" w:pos="1080"/>
        </w:tabs>
        <w:ind w:left="0" w:firstLine="0"/>
        <w:rPr>
          <w:lang w:val="es-ES_tradnl"/>
        </w:rPr>
      </w:pPr>
      <w:r w:rsidRPr="00CD3501">
        <w:rPr>
          <w:lang w:val="es-ES_tradnl"/>
        </w:rPr>
        <w:t xml:space="preserve">En su jurisprudencia, a fin de </w:t>
      </w:r>
      <w:r w:rsidR="00363DD2" w:rsidRPr="00CD3501">
        <w:rPr>
          <w:lang w:val="es-ES_tradnl"/>
        </w:rPr>
        <w:t>determin</w:t>
      </w:r>
      <w:r w:rsidRPr="00CD3501">
        <w:rPr>
          <w:lang w:val="es-ES_tradnl"/>
        </w:rPr>
        <w:t xml:space="preserve">ar la arbitrariedad de una restricción o una diferencia de trato, </w:t>
      </w:r>
      <w:r w:rsidR="00497B9A" w:rsidRPr="00CD3501">
        <w:rPr>
          <w:lang w:val="es-ES_tradnl"/>
        </w:rPr>
        <w:t>la CIDH</w:t>
      </w:r>
      <w:r w:rsidR="00863CD8" w:rsidRPr="00CD3501">
        <w:rPr>
          <w:lang w:val="es-ES_tradnl"/>
        </w:rPr>
        <w:t xml:space="preserve"> ha</w:t>
      </w:r>
      <w:r w:rsidRPr="00CD3501">
        <w:rPr>
          <w:lang w:val="es-ES_tradnl"/>
        </w:rPr>
        <w:t xml:space="preserve"> recurrido a un</w:t>
      </w:r>
      <w:r w:rsidR="00622E3A" w:rsidRPr="00CD3501">
        <w:rPr>
          <w:lang w:val="es-ES_tradnl"/>
        </w:rPr>
        <w:t xml:space="preserve"> juicio escalonado de proporcionalidad que incluye los siguientes elementos:</w:t>
      </w:r>
      <w:r w:rsidR="003067F3" w:rsidRPr="00CD3501">
        <w:rPr>
          <w:lang w:val="es-ES_tradnl"/>
        </w:rPr>
        <w:t xml:space="preserve"> </w:t>
      </w:r>
      <w:r w:rsidR="00863CD8" w:rsidRPr="00CD3501">
        <w:rPr>
          <w:rFonts w:ascii="Cambria" w:hAnsi="Cambria"/>
          <w:lang w:val="es-ES_tradnl"/>
        </w:rPr>
        <w:t xml:space="preserve">i) </w:t>
      </w:r>
      <w:r w:rsidR="006A4736" w:rsidRPr="00CD3501">
        <w:rPr>
          <w:rFonts w:ascii="Cambria" w:hAnsi="Cambria"/>
          <w:lang w:val="es-ES_tradnl"/>
        </w:rPr>
        <w:t>la existencia de un fin legítimo</w:t>
      </w:r>
      <w:r w:rsidR="00863CD8" w:rsidRPr="00CD3501">
        <w:rPr>
          <w:rFonts w:ascii="Cambria" w:hAnsi="Cambria"/>
          <w:lang w:val="es-ES_tradnl"/>
        </w:rPr>
        <w:t xml:space="preserve">; ii) </w:t>
      </w:r>
      <w:r w:rsidR="006A4736" w:rsidRPr="00CD3501">
        <w:rPr>
          <w:rFonts w:ascii="Cambria" w:hAnsi="Cambria"/>
          <w:lang w:val="es-ES_tradnl"/>
        </w:rPr>
        <w:t>la</w:t>
      </w:r>
      <w:r w:rsidR="00863CD8" w:rsidRPr="00CD3501">
        <w:rPr>
          <w:rFonts w:ascii="Cambria" w:hAnsi="Cambria"/>
          <w:lang w:val="es-ES_tradnl"/>
        </w:rPr>
        <w:t xml:space="preserve"> </w:t>
      </w:r>
      <w:r w:rsidR="006D41B0" w:rsidRPr="00CD3501">
        <w:rPr>
          <w:rFonts w:ascii="Cambria" w:hAnsi="Cambria"/>
          <w:lang w:val="es-ES_tradnl"/>
        </w:rPr>
        <w:t>idoneidad</w:t>
      </w:r>
      <w:r w:rsidR="00863CD8" w:rsidRPr="00CD3501">
        <w:rPr>
          <w:rFonts w:ascii="Cambria" w:hAnsi="Cambria"/>
          <w:lang w:val="es-ES_tradnl"/>
        </w:rPr>
        <w:t xml:space="preserve">, </w:t>
      </w:r>
      <w:r w:rsidR="006A4736" w:rsidRPr="00CD3501">
        <w:rPr>
          <w:rFonts w:ascii="Cambria" w:hAnsi="Cambria"/>
          <w:lang w:val="es-ES_tradnl"/>
        </w:rPr>
        <w:t>es decir, la determinación de</w:t>
      </w:r>
      <w:r w:rsidR="00622E3A" w:rsidRPr="00CD3501">
        <w:rPr>
          <w:rFonts w:ascii="Cambria" w:hAnsi="Cambria"/>
          <w:lang w:val="es-ES_tradnl"/>
        </w:rPr>
        <w:t xml:space="preserve"> si existe una relación lógica de causalidad de medio a fin entre la distinción y el fin que se persigue;</w:t>
      </w:r>
      <w:r w:rsidR="00622E3A" w:rsidRPr="00CD3501">
        <w:rPr>
          <w:lang w:val="es-ES_tradnl"/>
        </w:rPr>
        <w:t xml:space="preserve"> (iii) la necesidad, esto es, la determinación de si existen alternativas menos restrictivas e igualmente idóneas; y (iv) la proporcionalidad en sentido estricto, es decir, el balance de los intereses en juego y el grado de sacrificio de uno respecto del otro</w:t>
      </w:r>
      <w:r w:rsidR="00863CD8" w:rsidRPr="00CD3501">
        <w:rPr>
          <w:rStyle w:val="FootnoteReference"/>
          <w:rFonts w:ascii="Cambria" w:hAnsi="Cambria"/>
          <w:lang w:val="es-ES_tradnl"/>
        </w:rPr>
        <w:footnoteReference w:id="62"/>
      </w:r>
      <w:r w:rsidR="006A4736" w:rsidRPr="00CD3501">
        <w:rPr>
          <w:rFonts w:ascii="Cambria" w:hAnsi="Cambria"/>
          <w:lang w:val="es-ES_tradnl"/>
        </w:rPr>
        <w:t>.</w:t>
      </w:r>
    </w:p>
    <w:p w14:paraId="0CF55824" w14:textId="77777777" w:rsidR="00863CD8" w:rsidRPr="00CD3501" w:rsidRDefault="00863CD8" w:rsidP="00AA6015">
      <w:pPr>
        <w:rPr>
          <w:lang w:val="es-ES_tradnl"/>
        </w:rPr>
      </w:pPr>
    </w:p>
    <w:p w14:paraId="1D86FAA0" w14:textId="4925BC35" w:rsidR="00D252F0" w:rsidRPr="00CD3501" w:rsidRDefault="006A4736" w:rsidP="00C12E55">
      <w:pPr>
        <w:pStyle w:val="parrafos"/>
        <w:numPr>
          <w:ilvl w:val="0"/>
          <w:numId w:val="57"/>
        </w:numPr>
        <w:tabs>
          <w:tab w:val="clear" w:pos="360"/>
          <w:tab w:val="clear" w:pos="1080"/>
        </w:tabs>
        <w:ind w:left="0" w:firstLine="0"/>
        <w:rPr>
          <w:lang w:val="es-ES_tradnl"/>
        </w:rPr>
      </w:pPr>
      <w:r w:rsidRPr="00CD3501">
        <w:rPr>
          <w:rFonts w:ascii="Cambria" w:hAnsi="Cambria"/>
          <w:lang w:val="es-ES_tradnl"/>
        </w:rPr>
        <w:lastRenderedPageBreak/>
        <w:t xml:space="preserve">Sin embargo, en este caso </w:t>
      </w:r>
      <w:r w:rsidR="00497B9A" w:rsidRPr="00CD3501">
        <w:rPr>
          <w:rFonts w:ascii="Cambria" w:hAnsi="Cambria"/>
          <w:lang w:val="es-ES_tradnl"/>
        </w:rPr>
        <w:t>la Comisión</w:t>
      </w:r>
      <w:r w:rsidR="00863CD8" w:rsidRPr="00CD3501">
        <w:rPr>
          <w:rFonts w:ascii="Cambria" w:hAnsi="Cambria"/>
          <w:lang w:val="es-ES_tradnl"/>
        </w:rPr>
        <w:t xml:space="preserve"> </w:t>
      </w:r>
      <w:r w:rsidRPr="00CD3501">
        <w:rPr>
          <w:rFonts w:ascii="Cambria" w:hAnsi="Cambria"/>
          <w:lang w:val="es-ES_tradnl"/>
        </w:rPr>
        <w:t xml:space="preserve">considera que no es necesario analizar la legitimidad de las restricciones y la diferencia </w:t>
      </w:r>
      <w:r w:rsidR="00060D58" w:rsidRPr="00CD3501">
        <w:rPr>
          <w:rFonts w:ascii="Cambria" w:hAnsi="Cambria"/>
          <w:lang w:val="es-ES_tradnl"/>
        </w:rPr>
        <w:t>de trato</w:t>
      </w:r>
      <w:r w:rsidRPr="00CD3501">
        <w:rPr>
          <w:rFonts w:ascii="Cambria" w:hAnsi="Cambria"/>
          <w:lang w:val="es-ES_tradnl"/>
        </w:rPr>
        <w:t xml:space="preserve"> previst</w:t>
      </w:r>
      <w:r w:rsidR="006F1290" w:rsidRPr="00CD3501">
        <w:rPr>
          <w:rFonts w:ascii="Cambria" w:hAnsi="Cambria"/>
          <w:lang w:val="es-ES_tradnl"/>
        </w:rPr>
        <w:t xml:space="preserve">as en la </w:t>
      </w:r>
      <w:r w:rsidR="000A3FB7" w:rsidRPr="00CD3501">
        <w:rPr>
          <w:lang w:val="es-ES_tradnl"/>
        </w:rPr>
        <w:t>Ley de Delitos contra la Persona</w:t>
      </w:r>
      <w:r w:rsidR="006F1290" w:rsidRPr="00CD3501">
        <w:rPr>
          <w:lang w:val="es-ES_tradnl"/>
        </w:rPr>
        <w:t xml:space="preserve"> porque, por un</w:t>
      </w:r>
      <w:r w:rsidR="00C043C4" w:rsidRPr="00CD3501">
        <w:rPr>
          <w:lang w:val="es-ES_tradnl"/>
        </w:rPr>
        <w:t xml:space="preserve"> lado</w:t>
      </w:r>
      <w:r w:rsidR="006F1290" w:rsidRPr="00CD3501">
        <w:rPr>
          <w:lang w:val="es-ES_tradnl"/>
        </w:rPr>
        <w:t xml:space="preserve">, tanto </w:t>
      </w:r>
      <w:r w:rsidR="00497B9A" w:rsidRPr="00CD3501">
        <w:rPr>
          <w:lang w:val="es-ES_tradnl"/>
        </w:rPr>
        <w:t>la CIDH</w:t>
      </w:r>
      <w:r w:rsidR="00363DD2" w:rsidRPr="00CD3501">
        <w:rPr>
          <w:lang w:val="es-ES_tradnl"/>
        </w:rPr>
        <w:t xml:space="preserve"> </w:t>
      </w:r>
      <w:r w:rsidR="006F1290" w:rsidRPr="00CD3501">
        <w:rPr>
          <w:lang w:val="es-ES_tradnl"/>
        </w:rPr>
        <w:t>como</w:t>
      </w:r>
      <w:r w:rsidR="00363DD2" w:rsidRPr="00CD3501">
        <w:rPr>
          <w:lang w:val="es-ES_tradnl"/>
        </w:rPr>
        <w:t xml:space="preserve"> </w:t>
      </w:r>
      <w:r w:rsidR="00265CC9" w:rsidRPr="00CD3501">
        <w:rPr>
          <w:lang w:val="es-ES_tradnl"/>
        </w:rPr>
        <w:t>la Corte Interamericana</w:t>
      </w:r>
      <w:r w:rsidR="00363DD2" w:rsidRPr="00CD3501">
        <w:rPr>
          <w:lang w:val="es-ES_tradnl"/>
        </w:rPr>
        <w:t xml:space="preserve"> </w:t>
      </w:r>
      <w:r w:rsidR="006F1290" w:rsidRPr="00CD3501">
        <w:rPr>
          <w:lang w:val="es-ES_tradnl"/>
        </w:rPr>
        <w:t xml:space="preserve">ya han determinado que la existencia misma de leyes </w:t>
      </w:r>
      <w:r w:rsidR="002F1404" w:rsidRPr="00CD3501">
        <w:rPr>
          <w:lang w:val="es-ES_tradnl"/>
        </w:rPr>
        <w:t xml:space="preserve">de </w:t>
      </w:r>
      <w:r w:rsidR="000A3FB7" w:rsidRPr="00CD3501">
        <w:rPr>
          <w:lang w:val="es-ES_tradnl"/>
        </w:rPr>
        <w:t>sodomía</w:t>
      </w:r>
      <w:r w:rsidR="00363DD2" w:rsidRPr="00CD3501">
        <w:rPr>
          <w:lang w:val="es-ES_tradnl"/>
        </w:rPr>
        <w:t xml:space="preserve"> </w:t>
      </w:r>
      <w:r w:rsidR="002F1404" w:rsidRPr="00CD3501">
        <w:rPr>
          <w:lang w:val="es-ES_tradnl"/>
        </w:rPr>
        <w:t xml:space="preserve">o </w:t>
      </w:r>
      <w:r w:rsidR="006F1290" w:rsidRPr="00CD3501">
        <w:rPr>
          <w:lang w:val="es-ES_tradnl"/>
        </w:rPr>
        <w:t>delitos contra la moral pública va en contra de los derechos reconocidos en la</w:t>
      </w:r>
      <w:r w:rsidR="00363DD2" w:rsidRPr="00CD3501">
        <w:rPr>
          <w:lang w:val="es-ES_tradnl"/>
        </w:rPr>
        <w:t xml:space="preserve"> </w:t>
      </w:r>
      <w:r w:rsidR="009A3641" w:rsidRPr="00CD3501">
        <w:rPr>
          <w:lang w:val="es-ES_tradnl"/>
        </w:rPr>
        <w:t>Convención Americana</w:t>
      </w:r>
      <w:r w:rsidR="006F1290" w:rsidRPr="00CD3501">
        <w:rPr>
          <w:lang w:val="es-ES_tradnl"/>
        </w:rPr>
        <w:t xml:space="preserve">, como el principio de </w:t>
      </w:r>
      <w:r w:rsidR="000A3FB7" w:rsidRPr="00CD3501">
        <w:rPr>
          <w:lang w:val="es-ES_tradnl"/>
        </w:rPr>
        <w:t>no discriminación</w:t>
      </w:r>
      <w:r w:rsidR="00363DD2" w:rsidRPr="00CD3501">
        <w:rPr>
          <w:lang w:val="es-ES_tradnl"/>
        </w:rPr>
        <w:t xml:space="preserve"> </w:t>
      </w:r>
      <w:r w:rsidR="006F1290" w:rsidRPr="00CD3501">
        <w:rPr>
          <w:lang w:val="es-ES_tradnl"/>
        </w:rPr>
        <w:t>y el derecho a la intimidad</w:t>
      </w:r>
      <w:r w:rsidR="00363DD2" w:rsidRPr="00CD3501">
        <w:rPr>
          <w:rStyle w:val="FootnoteReference"/>
          <w:lang w:val="es-ES_tradnl"/>
        </w:rPr>
        <w:footnoteReference w:id="63"/>
      </w:r>
      <w:r w:rsidR="00363DD2" w:rsidRPr="00CD3501">
        <w:rPr>
          <w:lang w:val="es-ES_tradnl"/>
        </w:rPr>
        <w:t>.</w:t>
      </w:r>
      <w:r w:rsidR="003067F3" w:rsidRPr="00CD3501">
        <w:rPr>
          <w:lang w:val="es-ES_tradnl"/>
        </w:rPr>
        <w:t xml:space="preserve"> </w:t>
      </w:r>
      <w:r w:rsidR="00363DD2" w:rsidRPr="00CD3501">
        <w:rPr>
          <w:lang w:val="es-ES_tradnl"/>
        </w:rPr>
        <w:t xml:space="preserve"> </w:t>
      </w:r>
    </w:p>
    <w:p w14:paraId="4C1B1A25" w14:textId="77777777" w:rsidR="00363DD2" w:rsidRPr="00CD3501" w:rsidRDefault="00363DD2" w:rsidP="00AA6015">
      <w:pPr>
        <w:rPr>
          <w:lang w:val="es-ES_tradnl"/>
        </w:rPr>
      </w:pPr>
    </w:p>
    <w:p w14:paraId="58EAF619" w14:textId="47B20D81" w:rsidR="00AA515C" w:rsidRPr="00CD3501" w:rsidRDefault="006F1290" w:rsidP="00C12E55">
      <w:pPr>
        <w:pStyle w:val="parrafos"/>
        <w:numPr>
          <w:ilvl w:val="0"/>
          <w:numId w:val="57"/>
        </w:numPr>
        <w:tabs>
          <w:tab w:val="clear" w:pos="360"/>
          <w:tab w:val="clear" w:pos="1080"/>
        </w:tabs>
        <w:ind w:left="0" w:firstLine="0"/>
        <w:rPr>
          <w:lang w:val="es-ES_tradnl"/>
        </w:rPr>
      </w:pPr>
      <w:r w:rsidRPr="00CD3501">
        <w:rPr>
          <w:lang w:val="es-ES_tradnl"/>
        </w:rPr>
        <w:t>Por otro lado</w:t>
      </w:r>
      <w:r w:rsidR="00363DD2" w:rsidRPr="00CD3501">
        <w:rPr>
          <w:lang w:val="es-ES_tradnl"/>
        </w:rPr>
        <w:t xml:space="preserve">, </w:t>
      </w:r>
      <w:r w:rsidR="00497B9A" w:rsidRPr="00CD3501">
        <w:rPr>
          <w:lang w:val="es-ES_tradnl"/>
        </w:rPr>
        <w:t>la Comisión</w:t>
      </w:r>
      <w:r w:rsidR="00363DD2" w:rsidRPr="00CD3501">
        <w:rPr>
          <w:lang w:val="es-ES_tradnl"/>
        </w:rPr>
        <w:t xml:space="preserve"> </w:t>
      </w:r>
      <w:r w:rsidRPr="00CD3501">
        <w:rPr>
          <w:lang w:val="es-ES_tradnl"/>
        </w:rPr>
        <w:t xml:space="preserve">recuerda que, en casos en que la diferencia </w:t>
      </w:r>
      <w:r w:rsidR="001F1600" w:rsidRPr="00CD3501">
        <w:rPr>
          <w:lang w:val="es-ES_tradnl"/>
        </w:rPr>
        <w:t xml:space="preserve">de </w:t>
      </w:r>
      <w:r w:rsidRPr="00CD3501">
        <w:rPr>
          <w:lang w:val="es-ES_tradnl"/>
        </w:rPr>
        <w:t xml:space="preserve">trato se basa en una de las categorías prohibidas en el artículo </w:t>
      </w:r>
      <w:r w:rsidR="00AE65BC" w:rsidRPr="00CD3501">
        <w:rPr>
          <w:lang w:val="es-ES_tradnl"/>
        </w:rPr>
        <w:t xml:space="preserve">1.1 </w:t>
      </w:r>
      <w:r w:rsidRPr="00CD3501">
        <w:rPr>
          <w:lang w:val="es-ES_tradnl"/>
        </w:rPr>
        <w:t>de</w:t>
      </w:r>
      <w:r w:rsidR="00AE65BC" w:rsidRPr="00CD3501">
        <w:rPr>
          <w:lang w:val="es-ES_tradnl"/>
        </w:rPr>
        <w:t xml:space="preserve"> </w:t>
      </w:r>
      <w:r w:rsidR="00E33D82" w:rsidRPr="00CD3501">
        <w:rPr>
          <w:lang w:val="es-ES_tradnl"/>
        </w:rPr>
        <w:t>la Convención</w:t>
      </w:r>
      <w:r w:rsidR="00AE65BC" w:rsidRPr="00CD3501">
        <w:rPr>
          <w:lang w:val="es-ES_tradnl"/>
        </w:rPr>
        <w:t xml:space="preserve">, </w:t>
      </w:r>
      <w:r w:rsidRPr="00CD3501">
        <w:rPr>
          <w:lang w:val="es-ES_tradnl"/>
        </w:rPr>
        <w:t xml:space="preserve">como la </w:t>
      </w:r>
      <w:r w:rsidR="000A3FB7" w:rsidRPr="00CD3501">
        <w:rPr>
          <w:lang w:val="es-ES_tradnl"/>
        </w:rPr>
        <w:t>orientación sexual</w:t>
      </w:r>
      <w:r w:rsidR="00AE65BC" w:rsidRPr="00CD3501">
        <w:rPr>
          <w:lang w:val="es-ES_tradnl"/>
        </w:rPr>
        <w:t xml:space="preserve">, </w:t>
      </w:r>
      <w:r w:rsidR="009A3641" w:rsidRPr="00CD3501">
        <w:rPr>
          <w:lang w:val="es-ES_tradnl"/>
        </w:rPr>
        <w:t>el Estado</w:t>
      </w:r>
      <w:r w:rsidR="00AE65BC" w:rsidRPr="00CD3501">
        <w:rPr>
          <w:lang w:val="es-ES_tradnl"/>
        </w:rPr>
        <w:t xml:space="preserve"> </w:t>
      </w:r>
      <w:r w:rsidRPr="00CD3501">
        <w:rPr>
          <w:lang w:val="es-ES_tradnl"/>
        </w:rPr>
        <w:t xml:space="preserve">tiene la carga de justificar sus actos sobre la base de </w:t>
      </w:r>
      <w:r w:rsidR="00060D58" w:rsidRPr="00CD3501">
        <w:rPr>
          <w:lang w:val="es-ES_tradnl"/>
        </w:rPr>
        <w:t>“</w:t>
      </w:r>
      <w:r w:rsidRPr="00CD3501">
        <w:rPr>
          <w:lang w:val="es-ES_tradnl"/>
        </w:rPr>
        <w:t xml:space="preserve">razones </w:t>
      </w:r>
      <w:r w:rsidR="00060D58" w:rsidRPr="00CD3501">
        <w:rPr>
          <w:lang w:val="es-ES_tradnl"/>
        </w:rPr>
        <w:t>de mucho peso”</w:t>
      </w:r>
      <w:r w:rsidR="00AE65BC" w:rsidRPr="00CD3501">
        <w:rPr>
          <w:rStyle w:val="FootnoteReference"/>
          <w:rFonts w:ascii="Cambria" w:hAnsi="Cambria"/>
          <w:lang w:val="es-ES_tradnl"/>
        </w:rPr>
        <w:footnoteReference w:id="64"/>
      </w:r>
      <w:r w:rsidRPr="00CD3501">
        <w:rPr>
          <w:lang w:val="es-ES_tradnl"/>
        </w:rPr>
        <w:t xml:space="preserve">, lo cual implica que las razones que aduzca para justificar las restricciones deben ser </w:t>
      </w:r>
      <w:r w:rsidR="00AE65BC" w:rsidRPr="00CD3501">
        <w:rPr>
          <w:lang w:val="es-ES_tradnl"/>
        </w:rPr>
        <w:t>particular</w:t>
      </w:r>
      <w:r w:rsidRPr="00CD3501">
        <w:rPr>
          <w:lang w:val="es-ES_tradnl"/>
        </w:rPr>
        <w:t xml:space="preserve">mente serias y fundamentarse en argumentos </w:t>
      </w:r>
      <w:r w:rsidR="00060D58" w:rsidRPr="00CD3501">
        <w:rPr>
          <w:lang w:val="es-ES_tradnl"/>
        </w:rPr>
        <w:t>pormenorizados</w:t>
      </w:r>
      <w:r w:rsidRPr="00CD3501">
        <w:rPr>
          <w:lang w:val="es-ES_tradnl"/>
        </w:rPr>
        <w:t xml:space="preserve">. Ante la falta de tal justificación, se presumirá que la diferencia </w:t>
      </w:r>
      <w:r w:rsidR="001F1600" w:rsidRPr="00CD3501">
        <w:rPr>
          <w:lang w:val="es-ES_tradnl"/>
        </w:rPr>
        <w:t xml:space="preserve">de </w:t>
      </w:r>
      <w:r w:rsidRPr="00CD3501">
        <w:rPr>
          <w:lang w:val="es-ES_tradnl"/>
        </w:rPr>
        <w:t xml:space="preserve">trato es </w:t>
      </w:r>
      <w:r w:rsidR="00060D58" w:rsidRPr="00CD3501">
        <w:rPr>
          <w:lang w:val="es-ES_tradnl"/>
        </w:rPr>
        <w:t>incompatible con la Convención</w:t>
      </w:r>
      <w:r w:rsidR="00AA515C" w:rsidRPr="00CD3501">
        <w:rPr>
          <w:rStyle w:val="FootnoteReference"/>
          <w:rFonts w:ascii="Cambria" w:hAnsi="Cambria"/>
          <w:lang w:val="es-ES_tradnl"/>
        </w:rPr>
        <w:footnoteReference w:id="65"/>
      </w:r>
      <w:r w:rsidR="00060D58" w:rsidRPr="00CD3501">
        <w:rPr>
          <w:lang w:val="es-ES_tradnl"/>
        </w:rPr>
        <w:t>.</w:t>
      </w:r>
    </w:p>
    <w:p w14:paraId="3D52DA32" w14:textId="77777777" w:rsidR="00AA515C" w:rsidRPr="00CD3501" w:rsidRDefault="00AA515C" w:rsidP="00AA6015">
      <w:pPr>
        <w:rPr>
          <w:lang w:val="es-ES_tradnl"/>
        </w:rPr>
      </w:pPr>
    </w:p>
    <w:p w14:paraId="793706C7" w14:textId="34821EC8" w:rsidR="00E743F3" w:rsidRPr="00CD3501" w:rsidRDefault="00497B9A" w:rsidP="00C12E55">
      <w:pPr>
        <w:pStyle w:val="parrafos"/>
        <w:numPr>
          <w:ilvl w:val="0"/>
          <w:numId w:val="57"/>
        </w:numPr>
        <w:tabs>
          <w:tab w:val="clear" w:pos="360"/>
          <w:tab w:val="clear" w:pos="1080"/>
        </w:tabs>
        <w:ind w:left="0" w:firstLine="0"/>
        <w:rPr>
          <w:lang w:val="es-ES_tradnl"/>
        </w:rPr>
      </w:pPr>
      <w:r w:rsidRPr="00CD3501">
        <w:rPr>
          <w:lang w:val="es-ES_tradnl"/>
        </w:rPr>
        <w:t>La CIDH</w:t>
      </w:r>
      <w:r w:rsidR="00AA515C" w:rsidRPr="00CD3501">
        <w:rPr>
          <w:lang w:val="es-ES_tradnl"/>
        </w:rPr>
        <w:t xml:space="preserve"> </w:t>
      </w:r>
      <w:r w:rsidR="00060D58" w:rsidRPr="00CD3501">
        <w:rPr>
          <w:lang w:val="es-ES_tradnl"/>
        </w:rPr>
        <w:t xml:space="preserve">observa que, en </w:t>
      </w:r>
      <w:r w:rsidR="00E33D82" w:rsidRPr="00CD3501">
        <w:rPr>
          <w:lang w:val="es-ES_tradnl"/>
        </w:rPr>
        <w:t xml:space="preserve">el </w:t>
      </w:r>
      <w:r w:rsidR="00396CEE" w:rsidRPr="00CD3501">
        <w:rPr>
          <w:lang w:val="es-ES_tradnl"/>
        </w:rPr>
        <w:t>presente caso</w:t>
      </w:r>
      <w:r w:rsidR="00AA515C" w:rsidRPr="00CD3501">
        <w:rPr>
          <w:lang w:val="es-ES_tradnl"/>
        </w:rPr>
        <w:t xml:space="preserve"> </w:t>
      </w:r>
      <w:r w:rsidR="009A3641" w:rsidRPr="00CD3501">
        <w:rPr>
          <w:lang w:val="es-ES_tradnl"/>
        </w:rPr>
        <w:t>el Estado</w:t>
      </w:r>
      <w:r w:rsidR="00AA515C" w:rsidRPr="00CD3501">
        <w:rPr>
          <w:lang w:val="es-ES_tradnl"/>
        </w:rPr>
        <w:t xml:space="preserve"> </w:t>
      </w:r>
      <w:r w:rsidR="00060D58" w:rsidRPr="00CD3501">
        <w:rPr>
          <w:lang w:val="es-ES_tradnl"/>
        </w:rPr>
        <w:t xml:space="preserve">no presentó ninguna justificación por la interferencia en la vida privada y la diferencia de trato </w:t>
      </w:r>
      <w:r w:rsidR="00C043C4" w:rsidRPr="00CD3501">
        <w:rPr>
          <w:lang w:val="es-ES_tradnl"/>
        </w:rPr>
        <w:t xml:space="preserve">de </w:t>
      </w:r>
      <w:r w:rsidR="00060D58" w:rsidRPr="00CD3501">
        <w:rPr>
          <w:lang w:val="es-ES_tradnl"/>
        </w:rPr>
        <w:t xml:space="preserve">Gareth Henry y Simone Carline Edwards en el marco de la </w:t>
      </w:r>
      <w:r w:rsidR="000A3FB7" w:rsidRPr="00CD3501">
        <w:rPr>
          <w:lang w:val="es-ES_tradnl"/>
        </w:rPr>
        <w:t>Ley de Delitos contra la Persona</w:t>
      </w:r>
      <w:r w:rsidR="007A5B3D" w:rsidRPr="00CD3501">
        <w:rPr>
          <w:rFonts w:eastAsia="Cambria" w:cs="Cambria"/>
          <w:lang w:val="es-ES_tradnl"/>
        </w:rPr>
        <w:t xml:space="preserve">. </w:t>
      </w:r>
      <w:r w:rsidR="00060D58" w:rsidRPr="00CD3501">
        <w:rPr>
          <w:rFonts w:eastAsia="Cambria" w:cs="Cambria"/>
          <w:lang w:val="es-ES_tradnl"/>
        </w:rPr>
        <w:t>Por lo tanto, no se puede aplicar ni siquiera el primer paso de</w:t>
      </w:r>
      <w:r w:rsidR="00396CEE" w:rsidRPr="00CD3501">
        <w:rPr>
          <w:rFonts w:eastAsia="Cambria" w:cs="Cambria"/>
          <w:lang w:val="es-ES_tradnl"/>
        </w:rPr>
        <w:t>l test</w:t>
      </w:r>
      <w:r w:rsidR="00060D58" w:rsidRPr="00CD3501">
        <w:rPr>
          <w:rFonts w:eastAsia="Cambria" w:cs="Cambria"/>
          <w:lang w:val="es-ES_tradnl"/>
        </w:rPr>
        <w:t xml:space="preserve"> de proporcionalidad, es decir, la existencia de un fin legítimo, el cual, en el caso de las categorías sospechosas establecidas en el artículo</w:t>
      </w:r>
      <w:r w:rsidR="007A5B3D" w:rsidRPr="00CD3501">
        <w:rPr>
          <w:rFonts w:eastAsia="Cambria" w:cs="Cambria"/>
          <w:lang w:val="es-ES_tradnl"/>
        </w:rPr>
        <w:t xml:space="preserve"> 1.1 </w:t>
      </w:r>
      <w:r w:rsidR="00060D58" w:rsidRPr="00CD3501">
        <w:rPr>
          <w:rFonts w:eastAsia="Cambria" w:cs="Cambria"/>
          <w:lang w:val="es-ES_tradnl"/>
        </w:rPr>
        <w:t>de</w:t>
      </w:r>
      <w:r w:rsidR="007A5B3D" w:rsidRPr="00CD3501">
        <w:rPr>
          <w:rFonts w:eastAsia="Cambria" w:cs="Cambria"/>
          <w:lang w:val="es-ES_tradnl"/>
        </w:rPr>
        <w:t xml:space="preserve"> </w:t>
      </w:r>
      <w:r w:rsidR="00E33D82" w:rsidRPr="00CD3501">
        <w:rPr>
          <w:rFonts w:eastAsia="Cambria" w:cs="Cambria"/>
          <w:lang w:val="es-ES_tradnl"/>
        </w:rPr>
        <w:t>la Convención</w:t>
      </w:r>
      <w:r w:rsidR="00060D58" w:rsidRPr="00CD3501">
        <w:rPr>
          <w:rFonts w:eastAsia="Cambria" w:cs="Cambria"/>
          <w:lang w:val="es-ES_tradnl"/>
        </w:rPr>
        <w:t>, debe analizarse estrictamente en el sentido de una necesidad imperiosa, y debe presumirse que tanto la interferencia como la diferencia de trato son contrarias a la Convención</w:t>
      </w:r>
      <w:r w:rsidR="00E743F3" w:rsidRPr="00CD3501">
        <w:rPr>
          <w:rFonts w:eastAsia="Cambria" w:cs="Cambria"/>
          <w:lang w:val="es-ES_tradnl"/>
        </w:rPr>
        <w:t xml:space="preserve">. </w:t>
      </w:r>
    </w:p>
    <w:p w14:paraId="6B71B3A9" w14:textId="77777777" w:rsidR="000D4786" w:rsidRPr="00CD3501" w:rsidRDefault="000D4786" w:rsidP="00A167CF">
      <w:pPr>
        <w:rPr>
          <w:lang w:val="es-ES_tradnl" w:eastAsia="es-ES"/>
        </w:rPr>
      </w:pPr>
    </w:p>
    <w:p w14:paraId="3F7B61CD" w14:textId="450237AB" w:rsidR="00180CD2" w:rsidRPr="00CD3501" w:rsidRDefault="00060D58"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En virtud de las consideraciones precedentes</w:t>
      </w:r>
      <w:r w:rsidR="00E743F3" w:rsidRPr="00CD3501">
        <w:rPr>
          <w:rFonts w:ascii="Cambria" w:hAnsi="Cambria"/>
          <w:lang w:val="es-ES_tradnl"/>
        </w:rPr>
        <w:t xml:space="preserve">, </w:t>
      </w:r>
      <w:r w:rsidR="00497B9A" w:rsidRPr="00CD3501">
        <w:rPr>
          <w:rFonts w:ascii="Cambria" w:hAnsi="Cambria"/>
          <w:lang w:val="es-ES_tradnl"/>
        </w:rPr>
        <w:t>la Comisión</w:t>
      </w:r>
      <w:r w:rsidR="00E743F3" w:rsidRPr="00CD3501">
        <w:rPr>
          <w:rFonts w:ascii="Cambria" w:hAnsi="Cambria"/>
          <w:lang w:val="es-ES_tradnl"/>
        </w:rPr>
        <w:t xml:space="preserve"> conclu</w:t>
      </w:r>
      <w:r w:rsidRPr="00CD3501">
        <w:rPr>
          <w:rFonts w:ascii="Cambria" w:hAnsi="Cambria"/>
          <w:lang w:val="es-ES_tradnl"/>
        </w:rPr>
        <w:t xml:space="preserve">ye que </w:t>
      </w:r>
      <w:r w:rsidR="009A3641" w:rsidRPr="00CD3501">
        <w:rPr>
          <w:rFonts w:ascii="Cambria" w:hAnsi="Cambria"/>
          <w:lang w:val="es-ES_tradnl"/>
        </w:rPr>
        <w:t>el Estado</w:t>
      </w:r>
      <w:r w:rsidR="00E743F3" w:rsidRPr="00CD3501">
        <w:rPr>
          <w:rFonts w:ascii="Cambria" w:hAnsi="Cambria"/>
          <w:lang w:val="es-ES_tradnl"/>
        </w:rPr>
        <w:t xml:space="preserve"> </w:t>
      </w:r>
      <w:r w:rsidRPr="00CD3501">
        <w:rPr>
          <w:rFonts w:ascii="Cambria" w:hAnsi="Cambria"/>
          <w:lang w:val="es-ES_tradnl"/>
        </w:rPr>
        <w:t>de</w:t>
      </w:r>
      <w:r w:rsidR="00E743F3" w:rsidRPr="00CD3501">
        <w:rPr>
          <w:rFonts w:ascii="Cambria" w:hAnsi="Cambria"/>
          <w:lang w:val="es-ES_tradnl"/>
        </w:rPr>
        <w:t xml:space="preserve"> Jamaica </w:t>
      </w:r>
      <w:r w:rsidRPr="00CD3501">
        <w:rPr>
          <w:rFonts w:ascii="Cambria" w:hAnsi="Cambria"/>
          <w:lang w:val="es-ES_tradnl"/>
        </w:rPr>
        <w:t>e</w:t>
      </w:r>
      <w:r w:rsidR="00E743F3" w:rsidRPr="00CD3501">
        <w:rPr>
          <w:rFonts w:ascii="Cambria" w:hAnsi="Cambria"/>
          <w:lang w:val="es-ES_tradnl"/>
        </w:rPr>
        <w:t>s respons</w:t>
      </w:r>
      <w:r w:rsidRPr="00CD3501">
        <w:rPr>
          <w:rFonts w:ascii="Cambria" w:hAnsi="Cambria"/>
          <w:lang w:val="es-ES_tradnl"/>
        </w:rPr>
        <w:t>a</w:t>
      </w:r>
      <w:r w:rsidR="00E743F3" w:rsidRPr="00CD3501">
        <w:rPr>
          <w:rFonts w:ascii="Cambria" w:hAnsi="Cambria"/>
          <w:lang w:val="es-ES_tradnl"/>
        </w:rPr>
        <w:t xml:space="preserve">ble </w:t>
      </w:r>
      <w:r w:rsidRPr="00CD3501">
        <w:rPr>
          <w:rFonts w:ascii="Cambria" w:hAnsi="Cambria"/>
          <w:lang w:val="es-ES_tradnl"/>
        </w:rPr>
        <w:t>de la violación</w:t>
      </w:r>
      <w:r w:rsidR="00E743F3" w:rsidRPr="00CD3501">
        <w:rPr>
          <w:rFonts w:ascii="Cambria" w:hAnsi="Cambria"/>
          <w:lang w:val="es-ES_tradnl"/>
        </w:rPr>
        <w:t xml:space="preserve"> </w:t>
      </w:r>
      <w:r w:rsidRPr="00CD3501">
        <w:rPr>
          <w:rFonts w:ascii="Cambria" w:hAnsi="Cambria"/>
          <w:lang w:val="es-ES_tradnl"/>
        </w:rPr>
        <w:t xml:space="preserve">del </w:t>
      </w:r>
      <w:r w:rsidR="00D22B34" w:rsidRPr="00CD3501">
        <w:rPr>
          <w:rFonts w:ascii="Cambria" w:hAnsi="Cambria"/>
          <w:lang w:val="es-ES_tradnl"/>
        </w:rPr>
        <w:t>principio de igualdad</w:t>
      </w:r>
      <w:r w:rsidR="00E743F3" w:rsidRPr="00CD3501">
        <w:rPr>
          <w:rFonts w:ascii="Cambria" w:hAnsi="Cambria"/>
          <w:lang w:val="es-ES_tradnl"/>
        </w:rPr>
        <w:t xml:space="preserve"> </w:t>
      </w:r>
      <w:r w:rsidRPr="00CD3501">
        <w:rPr>
          <w:rFonts w:ascii="Cambria" w:hAnsi="Cambria"/>
          <w:lang w:val="es-ES_tradnl"/>
        </w:rPr>
        <w:t xml:space="preserve">y </w:t>
      </w:r>
      <w:r w:rsidR="000A3FB7" w:rsidRPr="00CD3501">
        <w:rPr>
          <w:rFonts w:ascii="Cambria" w:hAnsi="Cambria"/>
          <w:lang w:val="es-ES_tradnl"/>
        </w:rPr>
        <w:t>no discriminación</w:t>
      </w:r>
      <w:r w:rsidR="00E743F3" w:rsidRPr="00CD3501">
        <w:rPr>
          <w:rFonts w:ascii="Cambria" w:hAnsi="Cambria"/>
          <w:lang w:val="es-ES_tradnl"/>
        </w:rPr>
        <w:t xml:space="preserve"> </w:t>
      </w:r>
      <w:r w:rsidRPr="00CD3501">
        <w:rPr>
          <w:rFonts w:ascii="Cambria" w:hAnsi="Cambria"/>
          <w:lang w:val="es-ES_tradnl"/>
        </w:rPr>
        <w:t xml:space="preserve">y del derecho a la intimidad </w:t>
      </w:r>
      <w:r w:rsidR="00C043C4" w:rsidRPr="00CD3501">
        <w:rPr>
          <w:rFonts w:ascii="Cambria" w:hAnsi="Cambria"/>
          <w:lang w:val="es-ES_tradnl"/>
        </w:rPr>
        <w:t xml:space="preserve">amparados </w:t>
      </w:r>
      <w:r w:rsidRPr="00CD3501">
        <w:rPr>
          <w:rFonts w:ascii="Cambria" w:hAnsi="Cambria"/>
          <w:lang w:val="es-ES_tradnl"/>
        </w:rPr>
        <w:t xml:space="preserve">en los artículos </w:t>
      </w:r>
      <w:r w:rsidR="00E743F3" w:rsidRPr="00CD3501">
        <w:rPr>
          <w:rFonts w:ascii="Cambria" w:hAnsi="Cambria"/>
          <w:lang w:val="es-ES_tradnl"/>
        </w:rPr>
        <w:t xml:space="preserve">11 </w:t>
      </w:r>
      <w:r w:rsidRPr="00CD3501">
        <w:rPr>
          <w:rFonts w:ascii="Cambria" w:hAnsi="Cambria"/>
          <w:lang w:val="es-ES_tradnl"/>
        </w:rPr>
        <w:t>y</w:t>
      </w:r>
      <w:r w:rsidR="00E743F3" w:rsidRPr="00CD3501">
        <w:rPr>
          <w:rFonts w:ascii="Cambria" w:hAnsi="Cambria"/>
          <w:lang w:val="es-ES_tradnl"/>
        </w:rPr>
        <w:t xml:space="preserve"> 24 </w:t>
      </w:r>
      <w:r w:rsidRPr="00CD3501">
        <w:rPr>
          <w:rFonts w:ascii="Cambria" w:hAnsi="Cambria"/>
          <w:lang w:val="es-ES_tradnl"/>
        </w:rPr>
        <w:t>de la</w:t>
      </w:r>
      <w:r w:rsidR="00E743F3" w:rsidRPr="00CD3501">
        <w:rPr>
          <w:rFonts w:ascii="Cambria" w:hAnsi="Cambria"/>
          <w:lang w:val="es-ES_tradnl"/>
        </w:rPr>
        <w:t xml:space="preserve"> </w:t>
      </w:r>
      <w:r w:rsidR="009A3641" w:rsidRPr="00CD3501">
        <w:rPr>
          <w:rFonts w:ascii="Cambria" w:hAnsi="Cambria"/>
          <w:lang w:val="es-ES_tradnl"/>
        </w:rPr>
        <w:t>Convención Americana</w:t>
      </w:r>
      <w:r w:rsidR="00E743F3" w:rsidRPr="00CD3501">
        <w:rPr>
          <w:rFonts w:ascii="Cambria" w:hAnsi="Cambria"/>
          <w:lang w:val="es-ES_tradnl"/>
        </w:rPr>
        <w:t xml:space="preserve">, </w:t>
      </w:r>
      <w:r w:rsidR="00396CEE" w:rsidRPr="00CD3501">
        <w:rPr>
          <w:rFonts w:ascii="Cambria" w:hAnsi="Cambria"/>
          <w:lang w:val="es-ES_tradnl"/>
        </w:rPr>
        <w:t>con relación</w:t>
      </w:r>
      <w:r w:rsidR="00C043C4" w:rsidRPr="00CD3501">
        <w:rPr>
          <w:rFonts w:ascii="Cambria" w:hAnsi="Cambria"/>
          <w:lang w:val="es-ES_tradnl"/>
        </w:rPr>
        <w:t xml:space="preserve"> a</w:t>
      </w:r>
      <w:r w:rsidRPr="00CD3501">
        <w:rPr>
          <w:rFonts w:ascii="Cambria" w:hAnsi="Cambria"/>
          <w:lang w:val="es-ES_tradnl"/>
        </w:rPr>
        <w:t xml:space="preserve"> las obligaciones establecidas en los artículos </w:t>
      </w:r>
      <w:r w:rsidR="00E743F3" w:rsidRPr="00CD3501">
        <w:rPr>
          <w:rFonts w:ascii="Cambria" w:hAnsi="Cambria"/>
          <w:lang w:val="es-ES_tradnl"/>
        </w:rPr>
        <w:t xml:space="preserve">1.1 </w:t>
      </w:r>
      <w:r w:rsidRPr="00CD3501">
        <w:rPr>
          <w:rFonts w:ascii="Cambria" w:hAnsi="Cambria"/>
          <w:lang w:val="es-ES_tradnl"/>
        </w:rPr>
        <w:t>y</w:t>
      </w:r>
      <w:r w:rsidR="00E743F3" w:rsidRPr="00CD3501">
        <w:rPr>
          <w:rFonts w:ascii="Cambria" w:hAnsi="Cambria"/>
          <w:lang w:val="es-ES_tradnl"/>
        </w:rPr>
        <w:t xml:space="preserve"> 2 </w:t>
      </w:r>
      <w:r w:rsidRPr="00CD3501">
        <w:rPr>
          <w:rFonts w:ascii="Cambria" w:hAnsi="Cambria"/>
          <w:lang w:val="es-ES_tradnl"/>
        </w:rPr>
        <w:t xml:space="preserve">de dicho instrumento, en perjuicio de </w:t>
      </w:r>
      <w:r w:rsidR="00E743F3" w:rsidRPr="00CD3501">
        <w:rPr>
          <w:rFonts w:ascii="Cambria" w:hAnsi="Cambria"/>
          <w:lang w:val="es-ES_tradnl"/>
        </w:rPr>
        <w:t xml:space="preserve">Gareth Henry </w:t>
      </w:r>
      <w:r w:rsidRPr="00CD3501">
        <w:rPr>
          <w:rFonts w:ascii="Cambria" w:hAnsi="Cambria"/>
          <w:lang w:val="es-ES_tradnl"/>
        </w:rPr>
        <w:t>y</w:t>
      </w:r>
      <w:r w:rsidR="00E743F3" w:rsidRPr="00CD3501">
        <w:rPr>
          <w:rFonts w:ascii="Cambria" w:hAnsi="Cambria"/>
          <w:lang w:val="es-ES_tradnl"/>
        </w:rPr>
        <w:t xml:space="preserve"> Simone Carline Edwards. </w:t>
      </w:r>
    </w:p>
    <w:p w14:paraId="5659F818" w14:textId="77777777" w:rsidR="00280F11" w:rsidRPr="00CD3501" w:rsidRDefault="00280F11" w:rsidP="00A167CF">
      <w:pPr>
        <w:pStyle w:val="parrafos"/>
        <w:tabs>
          <w:tab w:val="clear" w:pos="360"/>
        </w:tabs>
        <w:rPr>
          <w:rFonts w:ascii="Cambria" w:hAnsi="Cambria"/>
          <w:lang w:val="es-ES_tradnl"/>
        </w:rPr>
      </w:pPr>
    </w:p>
    <w:p w14:paraId="5BC17595" w14:textId="011E641B" w:rsidR="00983268" w:rsidRPr="00CD3501" w:rsidRDefault="00B25CFF"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Con respecto al derecho a la integridad personal, como ya se ha indicado, tanto</w:t>
      </w:r>
      <w:r w:rsidR="00A526A1" w:rsidRPr="00CD3501">
        <w:rPr>
          <w:rFonts w:ascii="Cambria" w:hAnsi="Cambria"/>
          <w:lang w:val="es-ES_tradnl"/>
        </w:rPr>
        <w:t xml:space="preserve"> </w:t>
      </w:r>
      <w:r w:rsidR="00C12EE4" w:rsidRPr="00CD3501">
        <w:rPr>
          <w:rFonts w:ascii="Cambria" w:hAnsi="Cambria"/>
          <w:lang w:val="es-ES_tradnl"/>
        </w:rPr>
        <w:t>la Comisión Interamericana</w:t>
      </w:r>
      <w:r w:rsidR="00A526A1" w:rsidRPr="00CD3501">
        <w:rPr>
          <w:rFonts w:ascii="Cambria" w:hAnsi="Cambria"/>
          <w:lang w:val="es-ES_tradnl"/>
        </w:rPr>
        <w:t xml:space="preserve"> </w:t>
      </w:r>
      <w:r w:rsidR="00330A1D" w:rsidRPr="00CD3501">
        <w:rPr>
          <w:rFonts w:ascii="Cambria" w:hAnsi="Cambria"/>
          <w:lang w:val="es-ES_tradnl"/>
        </w:rPr>
        <w:t xml:space="preserve">como </w:t>
      </w:r>
      <w:r w:rsidR="00265CC9" w:rsidRPr="00CD3501">
        <w:rPr>
          <w:rFonts w:ascii="Cambria" w:hAnsi="Cambria"/>
          <w:lang w:val="es-ES_tradnl"/>
        </w:rPr>
        <w:t>la Corte Interamericana</w:t>
      </w:r>
      <w:r w:rsidR="00A526A1" w:rsidRPr="00CD3501">
        <w:rPr>
          <w:rFonts w:ascii="Cambria" w:hAnsi="Cambria"/>
          <w:lang w:val="es-ES_tradnl"/>
        </w:rPr>
        <w:t xml:space="preserve">, </w:t>
      </w:r>
      <w:r w:rsidR="00330A1D" w:rsidRPr="00CD3501">
        <w:rPr>
          <w:rFonts w:ascii="Cambria" w:hAnsi="Cambria"/>
          <w:lang w:val="es-ES_tradnl"/>
        </w:rPr>
        <w:t>así como organizaciones internacionales y tribunales internos, han señalado que hay un nexo entre las leyes de sodomía y los abusos de los derechos humanos perpetrados contra</w:t>
      </w:r>
      <w:r w:rsidR="00983268" w:rsidRPr="00CD3501">
        <w:rPr>
          <w:rFonts w:ascii="Cambria" w:hAnsi="Cambria"/>
          <w:lang w:val="es-ES_tradnl"/>
        </w:rPr>
        <w:t xml:space="preserve"> </w:t>
      </w:r>
      <w:r w:rsidR="009E5620" w:rsidRPr="00CD3501">
        <w:rPr>
          <w:rFonts w:ascii="Cambria" w:hAnsi="Cambria"/>
          <w:lang w:val="es-ES_tradnl"/>
        </w:rPr>
        <w:t>personas LGBTI</w:t>
      </w:r>
      <w:r w:rsidR="00330A1D" w:rsidRPr="00CD3501">
        <w:rPr>
          <w:rFonts w:ascii="Cambria" w:hAnsi="Cambria"/>
          <w:lang w:val="es-ES_tradnl"/>
        </w:rPr>
        <w:t xml:space="preserve">, puesto que tales leyes condonan la </w:t>
      </w:r>
      <w:r w:rsidR="00EC50E9" w:rsidRPr="00CD3501">
        <w:rPr>
          <w:rFonts w:ascii="Cambria" w:hAnsi="Cambria"/>
          <w:lang w:val="es-ES_tradnl"/>
        </w:rPr>
        <w:t>discriminación</w:t>
      </w:r>
      <w:r w:rsidR="00983268" w:rsidRPr="00CD3501">
        <w:rPr>
          <w:rFonts w:ascii="Cambria" w:hAnsi="Cambria"/>
          <w:lang w:val="es-ES_tradnl"/>
        </w:rPr>
        <w:t xml:space="preserve">, </w:t>
      </w:r>
      <w:r w:rsidR="00330A1D" w:rsidRPr="00CD3501">
        <w:rPr>
          <w:rFonts w:ascii="Cambria" w:hAnsi="Cambria"/>
          <w:lang w:val="es-ES_tradnl"/>
        </w:rPr>
        <w:t>la estigmatización</w:t>
      </w:r>
      <w:r w:rsidR="00983268" w:rsidRPr="00CD3501">
        <w:rPr>
          <w:rFonts w:ascii="Cambria" w:hAnsi="Cambria"/>
          <w:lang w:val="es-ES_tradnl"/>
        </w:rPr>
        <w:t xml:space="preserve"> </w:t>
      </w:r>
      <w:r w:rsidR="00330A1D" w:rsidRPr="00CD3501">
        <w:rPr>
          <w:rFonts w:ascii="Cambria" w:hAnsi="Cambria"/>
          <w:lang w:val="es-ES_tradnl"/>
        </w:rPr>
        <w:t>y l</w:t>
      </w:r>
      <w:r w:rsidR="00983268" w:rsidRPr="00CD3501">
        <w:rPr>
          <w:rFonts w:ascii="Cambria" w:hAnsi="Cambria"/>
          <w:lang w:val="es-ES_tradnl"/>
        </w:rPr>
        <w:t xml:space="preserve">a </w:t>
      </w:r>
      <w:r w:rsidR="00EC50E9" w:rsidRPr="00CD3501">
        <w:rPr>
          <w:rFonts w:ascii="Cambria" w:hAnsi="Cambria"/>
          <w:lang w:val="es-ES_tradnl"/>
        </w:rPr>
        <w:t>violencia</w:t>
      </w:r>
      <w:r w:rsidR="00396CEE" w:rsidRPr="00CD3501">
        <w:rPr>
          <w:rFonts w:ascii="Cambria" w:hAnsi="Cambria"/>
          <w:lang w:val="es-ES_tradnl"/>
        </w:rPr>
        <w:t>,</w:t>
      </w:r>
      <w:r w:rsidR="00983268" w:rsidRPr="00CD3501">
        <w:rPr>
          <w:rFonts w:ascii="Cambria" w:hAnsi="Cambria"/>
          <w:lang w:val="es-ES_tradnl"/>
        </w:rPr>
        <w:t xml:space="preserve"> </w:t>
      </w:r>
      <w:r w:rsidR="00330A1D" w:rsidRPr="00CD3501">
        <w:rPr>
          <w:rFonts w:ascii="Cambria" w:hAnsi="Cambria"/>
          <w:lang w:val="es-ES_tradnl"/>
        </w:rPr>
        <w:t xml:space="preserve">al </w:t>
      </w:r>
      <w:r w:rsidR="00353417" w:rsidRPr="00CD3501">
        <w:rPr>
          <w:rFonts w:ascii="Cambria" w:hAnsi="Cambria"/>
          <w:lang w:val="es-ES_tradnl"/>
        </w:rPr>
        <w:t xml:space="preserve">dar aprobación </w:t>
      </w:r>
      <w:r w:rsidR="00983268" w:rsidRPr="00CD3501">
        <w:rPr>
          <w:rFonts w:ascii="Cambria" w:hAnsi="Cambria"/>
          <w:lang w:val="es-ES_tradnl"/>
        </w:rPr>
        <w:t xml:space="preserve">social </w:t>
      </w:r>
      <w:r w:rsidR="00353417" w:rsidRPr="00CD3501">
        <w:rPr>
          <w:rFonts w:ascii="Cambria" w:hAnsi="Cambria"/>
          <w:lang w:val="es-ES_tradnl"/>
        </w:rPr>
        <w:t>al abuso y contribuye</w:t>
      </w:r>
      <w:r w:rsidR="00C043C4" w:rsidRPr="00CD3501">
        <w:rPr>
          <w:rFonts w:ascii="Cambria" w:hAnsi="Cambria"/>
          <w:lang w:val="es-ES_tradnl"/>
        </w:rPr>
        <w:t>n</w:t>
      </w:r>
      <w:r w:rsidR="00353417" w:rsidRPr="00CD3501">
        <w:rPr>
          <w:rFonts w:ascii="Cambria" w:hAnsi="Cambria"/>
          <w:lang w:val="es-ES_tradnl"/>
        </w:rPr>
        <w:t xml:space="preserve"> a la incidencia de delitos homofóbicos y transfóbicos y otros abusos</w:t>
      </w:r>
      <w:r w:rsidR="009F0226" w:rsidRPr="00CD3501">
        <w:rPr>
          <w:rFonts w:ascii="Cambria" w:hAnsi="Cambria"/>
          <w:lang w:val="es-ES_tradnl"/>
        </w:rPr>
        <w:t xml:space="preserve">. </w:t>
      </w:r>
      <w:r w:rsidR="00497B9A" w:rsidRPr="00CD3501">
        <w:rPr>
          <w:rFonts w:ascii="Cambria" w:hAnsi="Cambria"/>
          <w:lang w:val="es-ES_tradnl"/>
        </w:rPr>
        <w:t>La CIDH</w:t>
      </w:r>
      <w:r w:rsidR="00D22969" w:rsidRPr="00CD3501">
        <w:rPr>
          <w:rFonts w:ascii="Cambria" w:hAnsi="Cambria"/>
          <w:lang w:val="es-ES_tradnl"/>
        </w:rPr>
        <w:t xml:space="preserve"> ha</w:t>
      </w:r>
      <w:r w:rsidR="00FA0062" w:rsidRPr="00CD3501">
        <w:rPr>
          <w:rFonts w:ascii="Cambria" w:hAnsi="Cambria"/>
          <w:lang w:val="es-ES_tradnl"/>
        </w:rPr>
        <w:t xml:space="preserve"> señalado también que la mera existencia de leyes de sodomía puede </w:t>
      </w:r>
      <w:r w:rsidR="00C043C4" w:rsidRPr="00CD3501">
        <w:rPr>
          <w:rFonts w:ascii="Cambria" w:hAnsi="Cambria"/>
          <w:lang w:val="es-ES_tradnl"/>
        </w:rPr>
        <w:t xml:space="preserve">perjudicar </w:t>
      </w:r>
      <w:r w:rsidR="00FA0062" w:rsidRPr="00CD3501">
        <w:rPr>
          <w:rFonts w:ascii="Cambria" w:hAnsi="Cambria"/>
          <w:lang w:val="es-ES_tradnl"/>
        </w:rPr>
        <w:t>la salud</w:t>
      </w:r>
      <w:r w:rsidR="000A1563" w:rsidRPr="00CD3501">
        <w:rPr>
          <w:rFonts w:ascii="Cambria" w:hAnsi="Cambria"/>
          <w:lang w:val="es-ES_tradnl"/>
        </w:rPr>
        <w:t xml:space="preserve"> mental </w:t>
      </w:r>
      <w:r w:rsidR="00FA0062" w:rsidRPr="00CD3501">
        <w:rPr>
          <w:rFonts w:ascii="Cambria" w:hAnsi="Cambria"/>
          <w:lang w:val="es-ES_tradnl"/>
        </w:rPr>
        <w:t xml:space="preserve">al producir ansiedad, culpa y depresión en las </w:t>
      </w:r>
      <w:r w:rsidR="009E5620" w:rsidRPr="00CD3501">
        <w:rPr>
          <w:rFonts w:ascii="Cambria" w:hAnsi="Cambria"/>
          <w:lang w:val="es-ES_tradnl"/>
        </w:rPr>
        <w:t>personas LGBTI</w:t>
      </w:r>
      <w:r w:rsidR="000A1563" w:rsidRPr="00CD3501">
        <w:rPr>
          <w:rFonts w:ascii="Cambria" w:hAnsi="Cambria"/>
          <w:lang w:val="es-ES_tradnl"/>
        </w:rPr>
        <w:t xml:space="preserve"> a</w:t>
      </w:r>
      <w:r w:rsidR="00FA0062" w:rsidRPr="00CD3501">
        <w:rPr>
          <w:rFonts w:ascii="Cambria" w:hAnsi="Cambria"/>
          <w:lang w:val="es-ES_tradnl"/>
        </w:rPr>
        <w:t>fectadas.</w:t>
      </w:r>
    </w:p>
    <w:p w14:paraId="11E6F393" w14:textId="77777777" w:rsidR="005800E2" w:rsidRPr="00CD3501" w:rsidRDefault="005800E2" w:rsidP="00A167CF">
      <w:pPr>
        <w:pStyle w:val="parrafos"/>
        <w:tabs>
          <w:tab w:val="clear" w:pos="360"/>
        </w:tabs>
        <w:rPr>
          <w:rFonts w:ascii="Cambria" w:hAnsi="Cambria"/>
          <w:lang w:val="es-ES_tradnl"/>
        </w:rPr>
      </w:pPr>
    </w:p>
    <w:p w14:paraId="7DB84C9F" w14:textId="5944DEB3" w:rsidR="005800E2" w:rsidRPr="00CD3501" w:rsidRDefault="000972E2" w:rsidP="0092750D">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 xml:space="preserve"> </w:t>
      </w:r>
      <w:r w:rsidR="00FA0062" w:rsidRPr="00CD3501">
        <w:rPr>
          <w:rFonts w:ascii="Cambria" w:hAnsi="Cambria"/>
          <w:lang w:val="es-ES_tradnl"/>
        </w:rPr>
        <w:t>E</w:t>
      </w:r>
      <w:r w:rsidRPr="00CD3501">
        <w:rPr>
          <w:rFonts w:ascii="Cambria" w:hAnsi="Cambria"/>
          <w:lang w:val="es-ES_tradnl"/>
        </w:rPr>
        <w:t xml:space="preserve">n </w:t>
      </w:r>
      <w:r w:rsidR="00E33D82" w:rsidRPr="00CD3501">
        <w:rPr>
          <w:rFonts w:ascii="Cambria" w:hAnsi="Cambria"/>
          <w:lang w:val="es-ES_tradnl"/>
        </w:rPr>
        <w:t>el caso de autos</w:t>
      </w:r>
      <w:r w:rsidRPr="00CD3501">
        <w:rPr>
          <w:rFonts w:ascii="Cambria" w:hAnsi="Cambria"/>
          <w:lang w:val="es-ES_tradnl"/>
        </w:rPr>
        <w:t xml:space="preserve">, </w:t>
      </w:r>
      <w:r w:rsidR="00497B9A" w:rsidRPr="00CD3501">
        <w:rPr>
          <w:rFonts w:ascii="Cambria" w:hAnsi="Cambria"/>
          <w:lang w:val="es-ES_tradnl"/>
        </w:rPr>
        <w:t>la Comisión</w:t>
      </w:r>
      <w:r w:rsidRPr="00CD3501">
        <w:rPr>
          <w:rFonts w:ascii="Cambria" w:hAnsi="Cambria"/>
          <w:lang w:val="es-ES_tradnl"/>
        </w:rPr>
        <w:t xml:space="preserve"> rec</w:t>
      </w:r>
      <w:r w:rsidR="00FA0062" w:rsidRPr="00CD3501">
        <w:rPr>
          <w:rFonts w:ascii="Cambria" w:hAnsi="Cambria"/>
          <w:lang w:val="es-ES_tradnl"/>
        </w:rPr>
        <w:t xml:space="preserve">uerda que </w:t>
      </w:r>
      <w:r w:rsidRPr="00CD3501">
        <w:rPr>
          <w:rFonts w:ascii="Cambria" w:hAnsi="Cambria"/>
          <w:lang w:val="es-ES_tradnl"/>
        </w:rPr>
        <w:t xml:space="preserve">Gareth Henry </w:t>
      </w:r>
      <w:r w:rsidR="00FA0062" w:rsidRPr="00CD3501">
        <w:rPr>
          <w:rFonts w:ascii="Cambria" w:hAnsi="Cambria"/>
          <w:lang w:val="es-ES_tradnl"/>
        </w:rPr>
        <w:t>y</w:t>
      </w:r>
      <w:r w:rsidRPr="00CD3501">
        <w:rPr>
          <w:rFonts w:ascii="Cambria" w:hAnsi="Cambria"/>
          <w:lang w:val="es-ES_tradnl"/>
        </w:rPr>
        <w:t xml:space="preserve"> Simone Carline Edwards ha</w:t>
      </w:r>
      <w:r w:rsidR="00FA0062" w:rsidRPr="00CD3501">
        <w:rPr>
          <w:rFonts w:ascii="Cambria" w:hAnsi="Cambria"/>
          <w:lang w:val="es-ES_tradnl"/>
        </w:rPr>
        <w:t xml:space="preserve">n </w:t>
      </w:r>
      <w:r w:rsidR="0092750D" w:rsidRPr="00CD3501">
        <w:rPr>
          <w:rFonts w:ascii="Cambria" w:hAnsi="Cambria"/>
          <w:lang w:val="es-ES_tradnl"/>
        </w:rPr>
        <w:t xml:space="preserve">sido víctimas de varios </w:t>
      </w:r>
      <w:r w:rsidRPr="00CD3501">
        <w:rPr>
          <w:rFonts w:ascii="Cambria" w:hAnsi="Cambria"/>
          <w:lang w:val="es-ES_tradnl"/>
        </w:rPr>
        <w:t>act</w:t>
      </w:r>
      <w:r w:rsidR="0092750D" w:rsidRPr="00CD3501">
        <w:rPr>
          <w:rFonts w:ascii="Cambria" w:hAnsi="Cambria"/>
          <w:lang w:val="es-ES_tradnl"/>
        </w:rPr>
        <w:t>o</w:t>
      </w:r>
      <w:r w:rsidRPr="00CD3501">
        <w:rPr>
          <w:rFonts w:ascii="Cambria" w:hAnsi="Cambria"/>
          <w:lang w:val="es-ES_tradnl"/>
        </w:rPr>
        <w:t xml:space="preserve">s </w:t>
      </w:r>
      <w:r w:rsidR="0092750D" w:rsidRPr="00CD3501">
        <w:rPr>
          <w:rFonts w:ascii="Cambria" w:hAnsi="Cambria"/>
          <w:lang w:val="es-ES_tradnl"/>
        </w:rPr>
        <w:t xml:space="preserve">de </w:t>
      </w:r>
      <w:r w:rsidR="00EC50E9" w:rsidRPr="00CD3501">
        <w:rPr>
          <w:rFonts w:ascii="Cambria" w:hAnsi="Cambria"/>
          <w:lang w:val="es-ES_tradnl"/>
        </w:rPr>
        <w:t>violencia</w:t>
      </w:r>
      <w:r w:rsidRPr="00CD3501">
        <w:rPr>
          <w:rFonts w:ascii="Cambria" w:hAnsi="Cambria"/>
          <w:lang w:val="es-ES_tradnl"/>
        </w:rPr>
        <w:t xml:space="preserve"> </w:t>
      </w:r>
      <w:r w:rsidR="0092750D" w:rsidRPr="00CD3501">
        <w:rPr>
          <w:rFonts w:ascii="Cambria" w:hAnsi="Cambria"/>
          <w:lang w:val="es-ES_tradnl"/>
        </w:rPr>
        <w:t xml:space="preserve">relacionados con su </w:t>
      </w:r>
      <w:r w:rsidR="000A3FB7" w:rsidRPr="00CD3501">
        <w:rPr>
          <w:rFonts w:ascii="Cambria" w:hAnsi="Cambria"/>
          <w:lang w:val="es-ES_tradnl"/>
        </w:rPr>
        <w:t>orientación sexual</w:t>
      </w:r>
      <w:r w:rsidRPr="00CD3501">
        <w:rPr>
          <w:rFonts w:ascii="Cambria" w:hAnsi="Cambria"/>
          <w:lang w:val="es-ES_tradnl"/>
        </w:rPr>
        <w:t xml:space="preserve"> </w:t>
      </w:r>
      <w:r w:rsidR="00AA6015" w:rsidRPr="00CD3501">
        <w:rPr>
          <w:rFonts w:ascii="Cambria" w:hAnsi="Cambria"/>
          <w:lang w:val="es-ES_tradnl"/>
        </w:rPr>
        <w:t>—</w:t>
      </w:r>
      <w:r w:rsidR="0092750D" w:rsidRPr="00CD3501">
        <w:rPr>
          <w:rFonts w:ascii="Cambria" w:hAnsi="Cambria"/>
          <w:lang w:val="es-ES_tradnl"/>
        </w:rPr>
        <w:t xml:space="preserve">entre ellos amenazas de muerte y </w:t>
      </w:r>
      <w:r w:rsidR="00EC50E9" w:rsidRPr="00CD3501">
        <w:rPr>
          <w:rFonts w:ascii="Cambria" w:hAnsi="Cambria"/>
          <w:lang w:val="es-ES_tradnl"/>
        </w:rPr>
        <w:t>violencia</w:t>
      </w:r>
      <w:r w:rsidRPr="00CD3501">
        <w:rPr>
          <w:rFonts w:ascii="Cambria" w:hAnsi="Cambria"/>
          <w:lang w:val="es-ES_tradnl"/>
        </w:rPr>
        <w:t xml:space="preserve"> </w:t>
      </w:r>
      <w:r w:rsidR="0092750D" w:rsidRPr="00CD3501">
        <w:rPr>
          <w:rFonts w:ascii="Cambria" w:hAnsi="Cambria"/>
          <w:lang w:val="es-ES_tradnl"/>
        </w:rPr>
        <w:t>física</w:t>
      </w:r>
      <w:r w:rsidR="00AA6015" w:rsidRPr="00CD3501">
        <w:rPr>
          <w:rFonts w:ascii="Cambria" w:hAnsi="Cambria"/>
          <w:lang w:val="es-ES_tradnl"/>
        </w:rPr>
        <w:t>—</w:t>
      </w:r>
      <w:r w:rsidR="0092750D" w:rsidRPr="00CD3501">
        <w:rPr>
          <w:rFonts w:ascii="Cambria" w:hAnsi="Cambria"/>
          <w:lang w:val="es-ES_tradnl"/>
        </w:rPr>
        <w:t xml:space="preserve"> y con el </w:t>
      </w:r>
      <w:r w:rsidRPr="00CD3501">
        <w:rPr>
          <w:rFonts w:ascii="Cambria" w:hAnsi="Cambria"/>
          <w:lang w:val="es-ES_tradnl"/>
        </w:rPr>
        <w:t>context</w:t>
      </w:r>
      <w:r w:rsidR="0092750D" w:rsidRPr="00CD3501">
        <w:rPr>
          <w:rFonts w:ascii="Cambria" w:hAnsi="Cambria"/>
          <w:lang w:val="es-ES_tradnl"/>
        </w:rPr>
        <w:t>o de</w:t>
      </w:r>
      <w:r w:rsidRPr="00CD3501">
        <w:rPr>
          <w:rFonts w:ascii="Cambria" w:hAnsi="Cambria"/>
          <w:lang w:val="es-ES_tradnl"/>
        </w:rPr>
        <w:t xml:space="preserve"> </w:t>
      </w:r>
      <w:r w:rsidR="00D92ABF" w:rsidRPr="00CD3501">
        <w:rPr>
          <w:rFonts w:ascii="Cambria" w:hAnsi="Cambria"/>
          <w:lang w:val="es-ES_tradnl"/>
        </w:rPr>
        <w:t>homofobia</w:t>
      </w:r>
      <w:r w:rsidRPr="00CD3501">
        <w:rPr>
          <w:rFonts w:ascii="Cambria" w:hAnsi="Cambria"/>
          <w:lang w:val="es-ES_tradnl"/>
        </w:rPr>
        <w:t xml:space="preserve"> </w:t>
      </w:r>
      <w:r w:rsidR="0092750D" w:rsidRPr="00CD3501">
        <w:rPr>
          <w:rFonts w:ascii="Cambria" w:hAnsi="Cambria"/>
          <w:lang w:val="es-ES_tradnl"/>
        </w:rPr>
        <w:t>y</w:t>
      </w:r>
      <w:r w:rsidRPr="00CD3501">
        <w:rPr>
          <w:rFonts w:ascii="Cambria" w:hAnsi="Cambria"/>
          <w:lang w:val="es-ES_tradnl"/>
        </w:rPr>
        <w:t xml:space="preserve"> </w:t>
      </w:r>
      <w:r w:rsidR="00EC50E9" w:rsidRPr="00CD3501">
        <w:rPr>
          <w:rFonts w:ascii="Cambria" w:hAnsi="Cambria"/>
          <w:lang w:val="es-ES_tradnl"/>
        </w:rPr>
        <w:t>violencia</w:t>
      </w:r>
      <w:r w:rsidRPr="00CD3501">
        <w:rPr>
          <w:rFonts w:ascii="Cambria" w:hAnsi="Cambria"/>
          <w:lang w:val="es-ES_tradnl"/>
        </w:rPr>
        <w:t xml:space="preserve"> </w:t>
      </w:r>
      <w:r w:rsidR="0092750D" w:rsidRPr="00CD3501">
        <w:rPr>
          <w:rFonts w:ascii="Cambria" w:hAnsi="Cambria"/>
          <w:lang w:val="es-ES_tradnl"/>
        </w:rPr>
        <w:t xml:space="preserve">contra las personas </w:t>
      </w:r>
      <w:r w:rsidRPr="00CD3501">
        <w:rPr>
          <w:rFonts w:ascii="Cambria" w:hAnsi="Cambria"/>
          <w:lang w:val="es-ES_tradnl"/>
        </w:rPr>
        <w:t>LGBTI</w:t>
      </w:r>
      <w:r w:rsidR="0092750D" w:rsidRPr="00CD3501">
        <w:rPr>
          <w:rFonts w:ascii="Cambria" w:hAnsi="Cambria"/>
          <w:lang w:val="es-ES_tradnl"/>
        </w:rPr>
        <w:t xml:space="preserve"> e</w:t>
      </w:r>
      <w:r w:rsidR="00191201" w:rsidRPr="00CD3501">
        <w:rPr>
          <w:rFonts w:ascii="Cambria" w:hAnsi="Cambria"/>
          <w:lang w:val="es-ES_tradnl"/>
        </w:rPr>
        <w:t>n Jamaica.</w:t>
      </w:r>
      <w:r w:rsidR="005800E2" w:rsidRPr="00CD3501">
        <w:rPr>
          <w:rFonts w:ascii="Cambria" w:hAnsi="Cambria"/>
          <w:lang w:val="es-ES_tradnl"/>
        </w:rPr>
        <w:t xml:space="preserve"> </w:t>
      </w:r>
      <w:r w:rsidR="0092750D" w:rsidRPr="00CD3501">
        <w:rPr>
          <w:rFonts w:ascii="Cambria" w:hAnsi="Cambria"/>
          <w:lang w:val="es-ES_tradnl"/>
        </w:rPr>
        <w:t xml:space="preserve">Las amenazas persistentes contra su vida y su integridad los obligaron a huir de </w:t>
      </w:r>
      <w:r w:rsidR="00DA4A24" w:rsidRPr="00CD3501">
        <w:rPr>
          <w:rFonts w:ascii="Cambria" w:hAnsi="Cambria"/>
          <w:lang w:val="es-ES_tradnl"/>
        </w:rPr>
        <w:t xml:space="preserve">Jamaica </w:t>
      </w:r>
      <w:r w:rsidR="0092750D" w:rsidRPr="00CD3501">
        <w:rPr>
          <w:rFonts w:ascii="Cambria" w:hAnsi="Cambria"/>
          <w:lang w:val="es-ES_tradnl"/>
        </w:rPr>
        <w:t>y pedir asilo en otros países.</w:t>
      </w:r>
    </w:p>
    <w:p w14:paraId="678935ED" w14:textId="77777777" w:rsidR="005800E2" w:rsidRPr="00CD3501" w:rsidRDefault="005800E2" w:rsidP="00AA6015">
      <w:pPr>
        <w:rPr>
          <w:lang w:val="es-ES_tradnl"/>
        </w:rPr>
      </w:pPr>
    </w:p>
    <w:p w14:paraId="7DF03BFC" w14:textId="235CB7B3" w:rsidR="000972E2" w:rsidRPr="00CD3501" w:rsidRDefault="00497B9A"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La CIDH</w:t>
      </w:r>
      <w:r w:rsidR="0046516D" w:rsidRPr="00CD3501">
        <w:rPr>
          <w:rFonts w:ascii="Cambria" w:hAnsi="Cambria"/>
          <w:lang w:val="es-ES_tradnl"/>
        </w:rPr>
        <w:t xml:space="preserve"> </w:t>
      </w:r>
      <w:r w:rsidR="00396CEE" w:rsidRPr="00CD3501">
        <w:rPr>
          <w:rFonts w:ascii="Cambria" w:hAnsi="Cambria"/>
          <w:lang w:val="es-ES_tradnl"/>
        </w:rPr>
        <w:t>considera</w:t>
      </w:r>
      <w:r w:rsidR="00925C88" w:rsidRPr="00CD3501">
        <w:rPr>
          <w:rFonts w:ascii="Cambria" w:hAnsi="Cambria"/>
          <w:lang w:val="es-ES_tradnl"/>
        </w:rPr>
        <w:t xml:space="preserve"> que, al mantener la </w:t>
      </w:r>
      <w:r w:rsidR="000A3FB7" w:rsidRPr="00CD3501">
        <w:rPr>
          <w:rFonts w:ascii="Cambria" w:hAnsi="Cambria"/>
          <w:lang w:val="es-ES_tradnl"/>
        </w:rPr>
        <w:t>Ley de Delitos contra la Persona</w:t>
      </w:r>
      <w:r w:rsidR="0046516D" w:rsidRPr="00CD3501">
        <w:rPr>
          <w:rFonts w:ascii="Cambria" w:hAnsi="Cambria"/>
          <w:lang w:val="es-ES_tradnl"/>
        </w:rPr>
        <w:t xml:space="preserve"> </w:t>
      </w:r>
      <w:r w:rsidR="00925C88" w:rsidRPr="00CD3501">
        <w:rPr>
          <w:rFonts w:ascii="Cambria" w:hAnsi="Cambria"/>
          <w:lang w:val="es-ES_tradnl"/>
        </w:rPr>
        <w:t>en su legislación</w:t>
      </w:r>
      <w:r w:rsidR="0046516D" w:rsidRPr="00CD3501">
        <w:rPr>
          <w:rFonts w:ascii="Cambria" w:hAnsi="Cambria"/>
          <w:lang w:val="es-ES_tradnl"/>
        </w:rPr>
        <w:t xml:space="preserve">, </w:t>
      </w:r>
      <w:r w:rsidR="009A3641" w:rsidRPr="00CD3501">
        <w:rPr>
          <w:rFonts w:ascii="Cambria" w:hAnsi="Cambria"/>
          <w:lang w:val="es-ES_tradnl"/>
        </w:rPr>
        <w:t>el Estado</w:t>
      </w:r>
      <w:r w:rsidR="0046516D" w:rsidRPr="00CD3501">
        <w:rPr>
          <w:rFonts w:ascii="Cambria" w:hAnsi="Cambria"/>
          <w:lang w:val="es-ES_tradnl"/>
        </w:rPr>
        <w:t xml:space="preserve"> ha</w:t>
      </w:r>
      <w:r w:rsidR="00925C88" w:rsidRPr="00CD3501">
        <w:rPr>
          <w:rFonts w:ascii="Cambria" w:hAnsi="Cambria"/>
          <w:lang w:val="es-ES_tradnl"/>
        </w:rPr>
        <w:t xml:space="preserve"> contribuido a la perpetración de esos actos de</w:t>
      </w:r>
      <w:r w:rsidR="0046516D" w:rsidRPr="00CD3501">
        <w:rPr>
          <w:rFonts w:ascii="Cambria" w:hAnsi="Cambria"/>
          <w:lang w:val="es-ES_tradnl"/>
        </w:rPr>
        <w:t xml:space="preserve"> </w:t>
      </w:r>
      <w:r w:rsidR="00EC50E9" w:rsidRPr="00CD3501">
        <w:rPr>
          <w:rFonts w:ascii="Cambria" w:hAnsi="Cambria"/>
          <w:lang w:val="es-ES_tradnl"/>
        </w:rPr>
        <w:t>violencia</w:t>
      </w:r>
      <w:r w:rsidR="0046516D" w:rsidRPr="00CD3501">
        <w:rPr>
          <w:rFonts w:ascii="Cambria" w:hAnsi="Cambria"/>
          <w:lang w:val="es-ES_tradnl"/>
        </w:rPr>
        <w:t xml:space="preserve"> </w:t>
      </w:r>
      <w:r w:rsidR="00925C88" w:rsidRPr="00CD3501">
        <w:rPr>
          <w:rFonts w:ascii="Cambria" w:hAnsi="Cambria"/>
          <w:lang w:val="es-ES_tradnl"/>
        </w:rPr>
        <w:t xml:space="preserve">de la forma descrita, razón por la cual considera que el Estado es </w:t>
      </w:r>
      <w:r w:rsidR="0046516D" w:rsidRPr="00CD3501">
        <w:rPr>
          <w:rFonts w:ascii="Cambria" w:hAnsi="Cambria"/>
          <w:lang w:val="es-ES_tradnl"/>
        </w:rPr>
        <w:t>respons</w:t>
      </w:r>
      <w:r w:rsidR="00925C88" w:rsidRPr="00CD3501">
        <w:rPr>
          <w:rFonts w:ascii="Cambria" w:hAnsi="Cambria"/>
          <w:lang w:val="es-ES_tradnl"/>
        </w:rPr>
        <w:t>a</w:t>
      </w:r>
      <w:r w:rsidR="0046516D" w:rsidRPr="00CD3501">
        <w:rPr>
          <w:rFonts w:ascii="Cambria" w:hAnsi="Cambria"/>
          <w:lang w:val="es-ES_tradnl"/>
        </w:rPr>
        <w:t xml:space="preserve">ble </w:t>
      </w:r>
      <w:r w:rsidR="00925C88" w:rsidRPr="00CD3501">
        <w:rPr>
          <w:rFonts w:ascii="Cambria" w:hAnsi="Cambria"/>
          <w:lang w:val="es-ES_tradnl"/>
        </w:rPr>
        <w:t xml:space="preserve">de la violación del derecho a la integridad personal y el derecho de circulación y de residencia establecidos en los artículos </w:t>
      </w:r>
      <w:r w:rsidR="0046516D" w:rsidRPr="00CD3501">
        <w:rPr>
          <w:rFonts w:ascii="Cambria" w:hAnsi="Cambria"/>
          <w:lang w:val="es-ES_tradnl"/>
        </w:rPr>
        <w:t>5.1</w:t>
      </w:r>
      <w:r w:rsidR="00DA4A24" w:rsidRPr="00CD3501">
        <w:rPr>
          <w:rFonts w:ascii="Cambria" w:hAnsi="Cambria"/>
          <w:lang w:val="es-ES_tradnl"/>
        </w:rPr>
        <w:t xml:space="preserve"> </w:t>
      </w:r>
      <w:r w:rsidR="00925C88" w:rsidRPr="00CD3501">
        <w:rPr>
          <w:rFonts w:ascii="Cambria" w:hAnsi="Cambria"/>
          <w:lang w:val="es-ES_tradnl"/>
        </w:rPr>
        <w:t>y</w:t>
      </w:r>
      <w:r w:rsidR="00DA4A24" w:rsidRPr="00CD3501">
        <w:rPr>
          <w:rFonts w:ascii="Cambria" w:hAnsi="Cambria"/>
          <w:lang w:val="es-ES_tradnl"/>
        </w:rPr>
        <w:t xml:space="preserve"> 22.1 </w:t>
      </w:r>
      <w:r w:rsidR="00925C88" w:rsidRPr="00CD3501">
        <w:rPr>
          <w:rFonts w:ascii="Cambria" w:hAnsi="Cambria"/>
          <w:lang w:val="es-ES_tradnl"/>
        </w:rPr>
        <w:t xml:space="preserve">de la </w:t>
      </w:r>
      <w:r w:rsidR="009A3641" w:rsidRPr="00CD3501">
        <w:rPr>
          <w:rFonts w:ascii="Cambria" w:hAnsi="Cambria"/>
          <w:lang w:val="es-ES_tradnl"/>
        </w:rPr>
        <w:t>Convención Americana</w:t>
      </w:r>
      <w:r w:rsidR="0046516D" w:rsidRPr="00CD3501">
        <w:rPr>
          <w:rFonts w:ascii="Cambria" w:hAnsi="Cambria"/>
          <w:lang w:val="es-ES_tradnl"/>
        </w:rPr>
        <w:t xml:space="preserve">, </w:t>
      </w:r>
      <w:r w:rsidR="00925C88" w:rsidRPr="00CD3501">
        <w:rPr>
          <w:rFonts w:ascii="Cambria" w:hAnsi="Cambria"/>
          <w:lang w:val="es-ES_tradnl"/>
        </w:rPr>
        <w:t>en relación con las disposiciones de los artículos</w:t>
      </w:r>
      <w:r w:rsidR="0046516D" w:rsidRPr="00CD3501">
        <w:rPr>
          <w:rFonts w:ascii="Cambria" w:hAnsi="Cambria"/>
          <w:lang w:val="es-ES_tradnl"/>
        </w:rPr>
        <w:t xml:space="preserve"> 1.1 </w:t>
      </w:r>
      <w:r w:rsidR="00925C88" w:rsidRPr="00CD3501">
        <w:rPr>
          <w:rFonts w:ascii="Cambria" w:hAnsi="Cambria"/>
          <w:lang w:val="es-ES_tradnl"/>
        </w:rPr>
        <w:t>y</w:t>
      </w:r>
      <w:r w:rsidR="0046516D" w:rsidRPr="00CD3501">
        <w:rPr>
          <w:rFonts w:ascii="Cambria" w:hAnsi="Cambria"/>
          <w:lang w:val="es-ES_tradnl"/>
        </w:rPr>
        <w:t xml:space="preserve"> 2 </w:t>
      </w:r>
      <w:r w:rsidR="00925C88" w:rsidRPr="00CD3501">
        <w:rPr>
          <w:rFonts w:ascii="Cambria" w:hAnsi="Cambria"/>
          <w:lang w:val="es-ES_tradnl"/>
        </w:rPr>
        <w:t xml:space="preserve">de dicho instrumento, en perjuicio de </w:t>
      </w:r>
      <w:r w:rsidR="0046516D" w:rsidRPr="00CD3501">
        <w:rPr>
          <w:rFonts w:ascii="Cambria" w:hAnsi="Cambria"/>
          <w:lang w:val="es-ES_tradnl"/>
        </w:rPr>
        <w:t xml:space="preserve">Gareth Henry </w:t>
      </w:r>
      <w:r w:rsidR="00925C88" w:rsidRPr="00CD3501">
        <w:rPr>
          <w:rFonts w:ascii="Cambria" w:hAnsi="Cambria"/>
          <w:lang w:val="es-ES_tradnl"/>
        </w:rPr>
        <w:t>y</w:t>
      </w:r>
      <w:r w:rsidR="0046516D" w:rsidRPr="00CD3501">
        <w:rPr>
          <w:rFonts w:ascii="Cambria" w:hAnsi="Cambria"/>
          <w:lang w:val="es-ES_tradnl"/>
        </w:rPr>
        <w:t xml:space="preserve"> Simone Carline Edwards.</w:t>
      </w:r>
    </w:p>
    <w:p w14:paraId="0EEEA60C" w14:textId="77777777" w:rsidR="00180CD2" w:rsidRPr="00CD3501" w:rsidRDefault="00180CD2" w:rsidP="00A167CF">
      <w:pPr>
        <w:rPr>
          <w:lang w:val="es-ES_tradnl" w:eastAsia="es-ES"/>
        </w:rPr>
      </w:pPr>
    </w:p>
    <w:p w14:paraId="75884031" w14:textId="17B3FE2F" w:rsidR="000D4786" w:rsidRPr="00CD3501" w:rsidRDefault="00925C88" w:rsidP="00C12E55">
      <w:pPr>
        <w:pStyle w:val="Heading2"/>
        <w:numPr>
          <w:ilvl w:val="0"/>
          <w:numId w:val="64"/>
        </w:numPr>
        <w:spacing w:before="0"/>
        <w:rPr>
          <w:rFonts w:ascii="Cambria" w:eastAsia="Cambria" w:hAnsi="Cambria" w:cs="Cambria"/>
          <w:iCs/>
          <w:color w:val="auto"/>
          <w:sz w:val="20"/>
          <w:szCs w:val="20"/>
          <w:u w:color="000000"/>
          <w:lang w:val="es-ES_tradnl" w:eastAsia="es-ES"/>
        </w:rPr>
      </w:pPr>
      <w:bookmarkStart w:id="22" w:name="_Toc58425598"/>
      <w:r w:rsidRPr="00CD3501">
        <w:rPr>
          <w:rFonts w:ascii="Cambria" w:eastAsia="Cambria" w:hAnsi="Cambria" w:cs="Cambria"/>
          <w:iCs/>
          <w:color w:val="auto"/>
          <w:sz w:val="20"/>
          <w:szCs w:val="20"/>
          <w:u w:color="000000"/>
          <w:lang w:val="es-ES_tradnl" w:eastAsia="es-ES"/>
        </w:rPr>
        <w:lastRenderedPageBreak/>
        <w:t>El</w:t>
      </w:r>
      <w:r w:rsidR="000D4786" w:rsidRPr="00CD3501">
        <w:rPr>
          <w:rFonts w:ascii="Cambria" w:eastAsia="Cambria" w:hAnsi="Cambria" w:cs="Cambria"/>
          <w:iCs/>
          <w:color w:val="auto"/>
          <w:sz w:val="20"/>
          <w:szCs w:val="20"/>
          <w:u w:color="000000"/>
          <w:lang w:val="es-ES_tradnl" w:eastAsia="es-ES"/>
        </w:rPr>
        <w:t xml:space="preserve"> </w:t>
      </w:r>
      <w:r w:rsidR="000A3FB7" w:rsidRPr="00CD3501">
        <w:rPr>
          <w:rFonts w:ascii="Cambria" w:eastAsia="Cambria" w:hAnsi="Cambria" w:cs="Cambria"/>
          <w:iCs/>
          <w:color w:val="auto"/>
          <w:sz w:val="20"/>
          <w:szCs w:val="20"/>
          <w:u w:color="000000"/>
          <w:lang w:val="es-ES_tradnl" w:eastAsia="es-ES"/>
        </w:rPr>
        <w:t>principio de legalidad</w:t>
      </w:r>
      <w:r w:rsidR="000D4786" w:rsidRPr="00CD3501">
        <w:rPr>
          <w:rFonts w:cs="Cambria"/>
          <w:color w:val="auto"/>
          <w:sz w:val="20"/>
          <w:szCs w:val="20"/>
          <w:vertAlign w:val="superscript"/>
          <w:lang w:val="es-ES_tradnl"/>
        </w:rPr>
        <w:footnoteReference w:id="66"/>
      </w:r>
      <w:bookmarkEnd w:id="22"/>
    </w:p>
    <w:p w14:paraId="07138F2A" w14:textId="77777777" w:rsidR="000D4786" w:rsidRPr="00CD3501" w:rsidRDefault="000D4786" w:rsidP="00A167CF">
      <w:pPr>
        <w:rPr>
          <w:lang w:val="es-ES_tradnl"/>
        </w:rPr>
      </w:pPr>
    </w:p>
    <w:p w14:paraId="51F3BE88" w14:textId="2021F066" w:rsidR="002060BB" w:rsidRPr="00CD3501" w:rsidRDefault="00925C88"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 xml:space="preserve">Con respecto al </w:t>
      </w:r>
      <w:r w:rsidR="000A3FB7" w:rsidRPr="00CD3501">
        <w:rPr>
          <w:rFonts w:ascii="Cambria" w:hAnsi="Cambria"/>
          <w:lang w:val="es-ES_tradnl"/>
        </w:rPr>
        <w:t>principio de legalidad</w:t>
      </w:r>
      <w:r w:rsidR="000D4786" w:rsidRPr="00CD3501">
        <w:rPr>
          <w:rFonts w:ascii="Cambria" w:hAnsi="Cambria"/>
          <w:lang w:val="es-ES_tradnl"/>
        </w:rPr>
        <w:t xml:space="preserve">, </w:t>
      </w:r>
      <w:r w:rsidR="00497B9A" w:rsidRPr="00CD3501">
        <w:rPr>
          <w:rFonts w:ascii="Cambria" w:hAnsi="Cambria"/>
          <w:lang w:val="es-ES_tradnl"/>
        </w:rPr>
        <w:t>la Comisión</w:t>
      </w:r>
      <w:r w:rsidR="000D4786" w:rsidRPr="00CD3501">
        <w:rPr>
          <w:rFonts w:ascii="Cambria" w:hAnsi="Cambria"/>
          <w:lang w:val="es-ES_tradnl"/>
        </w:rPr>
        <w:t xml:space="preserve"> rec</w:t>
      </w:r>
      <w:r w:rsidRPr="00CD3501">
        <w:rPr>
          <w:rFonts w:ascii="Cambria" w:hAnsi="Cambria"/>
          <w:lang w:val="es-ES_tradnl"/>
        </w:rPr>
        <w:t xml:space="preserve">uerda que </w:t>
      </w:r>
      <w:r w:rsidR="006D41B0" w:rsidRPr="00CD3501">
        <w:rPr>
          <w:rFonts w:ascii="Cambria" w:hAnsi="Cambria"/>
          <w:lang w:val="es-ES_tradnl"/>
        </w:rPr>
        <w:t>constituye uno de los elementos centrales de la persecución penal en una sociedad democrática</w:t>
      </w:r>
      <w:r w:rsidR="000D4786" w:rsidRPr="00CD3501">
        <w:rPr>
          <w:rStyle w:val="FootnoteReference"/>
          <w:rFonts w:ascii="Cambria" w:hAnsi="Cambria"/>
          <w:lang w:val="es-ES_tradnl"/>
        </w:rPr>
        <w:footnoteReference w:id="67"/>
      </w:r>
      <w:r w:rsidR="006D41B0" w:rsidRPr="00CD3501">
        <w:rPr>
          <w:rFonts w:ascii="Cambria" w:hAnsi="Cambria"/>
          <w:lang w:val="es-ES_tradnl"/>
        </w:rPr>
        <w:t>.</w:t>
      </w:r>
      <w:r w:rsidR="003067F3" w:rsidRPr="00CD3501">
        <w:rPr>
          <w:rFonts w:ascii="Cambria" w:hAnsi="Cambria"/>
          <w:lang w:val="es-ES_tradnl"/>
        </w:rPr>
        <w:t xml:space="preserve"> </w:t>
      </w:r>
      <w:r w:rsidR="002060BB" w:rsidRPr="00CD3501">
        <w:rPr>
          <w:lang w:val="es-ES_tradnl"/>
        </w:rPr>
        <w:t>A</w:t>
      </w:r>
      <w:r w:rsidR="00D96DCF" w:rsidRPr="00CD3501">
        <w:rPr>
          <w:lang w:val="es-ES_tradnl"/>
        </w:rPr>
        <w:t xml:space="preserve">unque la determinación de los actos que se clasifican como delitos y respecto de los cuales se activa el poder punitivo del Estado corresponde en principio a este último en el ejercicio de su política en materia penal, basada en sus particularidades históricas, </w:t>
      </w:r>
      <w:r w:rsidR="002060BB" w:rsidRPr="00CD3501">
        <w:rPr>
          <w:rFonts w:ascii="Cambria" w:hAnsi="Cambria"/>
          <w:lang w:val="es-ES_tradnl"/>
        </w:rPr>
        <w:t>social</w:t>
      </w:r>
      <w:r w:rsidR="00D96DCF" w:rsidRPr="00CD3501">
        <w:rPr>
          <w:rFonts w:ascii="Cambria" w:hAnsi="Cambria"/>
          <w:lang w:val="es-ES_tradnl"/>
        </w:rPr>
        <w:t>es y de otra índole</w:t>
      </w:r>
      <w:r w:rsidR="002060BB" w:rsidRPr="00CD3501">
        <w:rPr>
          <w:rStyle w:val="FootnoteReference"/>
          <w:rFonts w:ascii="Cambria" w:hAnsi="Cambria"/>
          <w:lang w:val="es-ES_tradnl"/>
        </w:rPr>
        <w:footnoteReference w:id="68"/>
      </w:r>
      <w:r w:rsidR="00D96DCF" w:rsidRPr="00CD3501">
        <w:rPr>
          <w:rFonts w:ascii="Cambria" w:hAnsi="Cambria"/>
          <w:lang w:val="es-ES_tradnl"/>
        </w:rPr>
        <w:t>,</w:t>
      </w:r>
      <w:r w:rsidR="002060BB" w:rsidRPr="00CD3501">
        <w:rPr>
          <w:rFonts w:ascii="Cambria" w:hAnsi="Cambria"/>
          <w:lang w:val="es-ES_tradnl"/>
        </w:rPr>
        <w:t xml:space="preserve"> </w:t>
      </w:r>
      <w:r w:rsidRPr="00CD3501">
        <w:rPr>
          <w:rFonts w:ascii="Cambria" w:hAnsi="Cambria"/>
          <w:lang w:val="es-ES_tradnl"/>
        </w:rPr>
        <w:t>los Estados deben observar ciertas limitaciones al ejercer la potestad de definir delitos penales</w:t>
      </w:r>
      <w:r w:rsidR="002060BB" w:rsidRPr="00CD3501">
        <w:rPr>
          <w:rFonts w:ascii="Cambria" w:hAnsi="Cambria"/>
          <w:lang w:val="es-ES_tradnl"/>
        </w:rPr>
        <w:t xml:space="preserve">. </w:t>
      </w:r>
    </w:p>
    <w:p w14:paraId="74BCB36E" w14:textId="77777777" w:rsidR="000D4786" w:rsidRPr="00CD3501" w:rsidRDefault="000D4786" w:rsidP="00A167CF">
      <w:pPr>
        <w:pStyle w:val="parrafos"/>
        <w:tabs>
          <w:tab w:val="clear" w:pos="360"/>
        </w:tabs>
        <w:rPr>
          <w:rFonts w:ascii="Cambria" w:hAnsi="Cambria"/>
          <w:lang w:val="es-ES_tradnl"/>
        </w:rPr>
      </w:pPr>
    </w:p>
    <w:p w14:paraId="063C6D96" w14:textId="62B4B3D2" w:rsidR="000D4786" w:rsidRPr="00CD3501" w:rsidRDefault="00265CC9" w:rsidP="00C12E55">
      <w:pPr>
        <w:pStyle w:val="parrafos"/>
        <w:numPr>
          <w:ilvl w:val="0"/>
          <w:numId w:val="57"/>
        </w:numPr>
        <w:tabs>
          <w:tab w:val="clear" w:pos="360"/>
          <w:tab w:val="clear" w:pos="1080"/>
        </w:tabs>
        <w:ind w:left="0" w:firstLine="0"/>
        <w:rPr>
          <w:lang w:val="es-ES_tradnl"/>
        </w:rPr>
      </w:pPr>
      <w:r w:rsidRPr="00CD3501">
        <w:rPr>
          <w:rFonts w:ascii="Cambria" w:hAnsi="Cambria"/>
          <w:lang w:val="es-ES_tradnl"/>
        </w:rPr>
        <w:t>La Corte Interamericana</w:t>
      </w:r>
      <w:r w:rsidR="000D4786" w:rsidRPr="00CD3501">
        <w:rPr>
          <w:rFonts w:ascii="Cambria" w:hAnsi="Cambria"/>
          <w:lang w:val="es-ES_tradnl"/>
        </w:rPr>
        <w:t xml:space="preserve"> ha</w:t>
      </w:r>
      <w:r w:rsidR="00925C88" w:rsidRPr="00CD3501">
        <w:rPr>
          <w:rFonts w:ascii="Cambria" w:hAnsi="Cambria"/>
          <w:lang w:val="es-ES_tradnl"/>
        </w:rPr>
        <w:t xml:space="preserve"> insistido en que, </w:t>
      </w:r>
      <w:r w:rsidR="004C664A" w:rsidRPr="00CD3501">
        <w:rPr>
          <w:lang w:val="es-ES_tradnl"/>
        </w:rPr>
        <w:t>en la elaboración de los tipos penales</w:t>
      </w:r>
      <w:r w:rsidR="00925C88" w:rsidRPr="00CD3501">
        <w:rPr>
          <w:lang w:val="es-ES_tradnl"/>
        </w:rPr>
        <w:t>,</w:t>
      </w:r>
      <w:r w:rsidR="004C664A" w:rsidRPr="00CD3501">
        <w:rPr>
          <w:lang w:val="es-ES_tradnl"/>
        </w:rPr>
        <w:t xml:space="preserve"> es preciso utilizar términos estrictos y unívocos</w:t>
      </w:r>
      <w:r w:rsidR="00925C88" w:rsidRPr="00CD3501">
        <w:rPr>
          <w:lang w:val="es-ES_tradnl"/>
        </w:rPr>
        <w:t xml:space="preserve">, </w:t>
      </w:r>
      <w:r w:rsidR="004C664A" w:rsidRPr="00CD3501">
        <w:rPr>
          <w:lang w:val="es-ES_tradnl"/>
        </w:rPr>
        <w:t>que acoten claramente las conductas punibles</w:t>
      </w:r>
      <w:r w:rsidR="00925C88" w:rsidRPr="00CD3501">
        <w:rPr>
          <w:lang w:val="es-ES_tradnl"/>
        </w:rPr>
        <w:t xml:space="preserve"> y den </w:t>
      </w:r>
      <w:r w:rsidR="004C664A" w:rsidRPr="00CD3501">
        <w:rPr>
          <w:lang w:val="es-ES_tradnl"/>
        </w:rPr>
        <w:t>pleno sentido al principio de legalidad penal. Est</w:t>
      </w:r>
      <w:r w:rsidR="00925C88" w:rsidRPr="00CD3501">
        <w:rPr>
          <w:lang w:val="es-ES_tradnl"/>
        </w:rPr>
        <w:t>o</w:t>
      </w:r>
      <w:r w:rsidR="004C664A" w:rsidRPr="00CD3501">
        <w:rPr>
          <w:lang w:val="es-ES_tradnl"/>
        </w:rPr>
        <w:t xml:space="preserve"> implica una clara definición de la conducta incriminada, que fije sus elementos y permita deslindarla de comportamientos no punibles o conductas ilícitas sancionables con medidas no penales. La ambigüedad en la formulación de los tipos penales genera dudas y abre el campo al arbitrio de la autoridad, </w:t>
      </w:r>
      <w:r w:rsidR="00AA6015" w:rsidRPr="00CD3501">
        <w:rPr>
          <w:lang w:val="es-ES_tradnl"/>
        </w:rPr>
        <w:t xml:space="preserve">que es </w:t>
      </w:r>
      <w:r w:rsidR="004C664A" w:rsidRPr="00CD3501">
        <w:rPr>
          <w:lang w:val="es-ES_tradnl"/>
        </w:rPr>
        <w:t>particularmente indeseable cuando se trata de establecer la responsabilidad penal de los individuos y sancionarla con penas que afectan severamente derechos fundamentales, como la vida o la libertad</w:t>
      </w:r>
      <w:r w:rsidR="000D4786" w:rsidRPr="00CD3501">
        <w:rPr>
          <w:rStyle w:val="FootnoteReference"/>
          <w:lang w:val="es-ES_tradnl"/>
        </w:rPr>
        <w:footnoteReference w:id="69"/>
      </w:r>
      <w:r w:rsidR="004C664A" w:rsidRPr="00CD3501">
        <w:rPr>
          <w:lang w:val="es-ES_tradnl"/>
        </w:rPr>
        <w:t>.</w:t>
      </w:r>
    </w:p>
    <w:p w14:paraId="250A9623" w14:textId="77777777" w:rsidR="002060BB" w:rsidRPr="00CD3501" w:rsidRDefault="002060BB" w:rsidP="00A167CF">
      <w:pPr>
        <w:pStyle w:val="ListParagraph"/>
        <w:rPr>
          <w:lang w:val="es-ES_tradnl"/>
        </w:rPr>
      </w:pPr>
    </w:p>
    <w:p w14:paraId="1C632E56" w14:textId="47BEAA8B" w:rsidR="0044139C" w:rsidRPr="00CD3501" w:rsidRDefault="00925C88" w:rsidP="00925C88">
      <w:pPr>
        <w:pStyle w:val="parrafos"/>
        <w:numPr>
          <w:ilvl w:val="0"/>
          <w:numId w:val="57"/>
        </w:numPr>
        <w:tabs>
          <w:tab w:val="clear" w:pos="360"/>
          <w:tab w:val="clear" w:pos="1080"/>
        </w:tabs>
        <w:ind w:left="0" w:firstLine="0"/>
        <w:rPr>
          <w:lang w:val="es-ES_tradnl"/>
        </w:rPr>
      </w:pPr>
      <w:r w:rsidRPr="00CD3501">
        <w:rPr>
          <w:lang w:val="es-ES_tradnl"/>
        </w:rPr>
        <w:t>Asimismo, tanto</w:t>
      </w:r>
      <w:r w:rsidR="00F523CA" w:rsidRPr="00CD3501">
        <w:rPr>
          <w:lang w:val="es-ES_tradnl"/>
        </w:rPr>
        <w:t xml:space="preserve"> </w:t>
      </w:r>
      <w:r w:rsidR="00497B9A" w:rsidRPr="00CD3501">
        <w:rPr>
          <w:lang w:val="es-ES_tradnl"/>
        </w:rPr>
        <w:t>la Comisión</w:t>
      </w:r>
      <w:r w:rsidR="00F523CA" w:rsidRPr="00CD3501">
        <w:rPr>
          <w:lang w:val="es-ES_tradnl"/>
        </w:rPr>
        <w:t xml:space="preserve"> </w:t>
      </w:r>
      <w:r w:rsidRPr="00CD3501">
        <w:rPr>
          <w:lang w:val="es-ES_tradnl"/>
        </w:rPr>
        <w:t xml:space="preserve">como </w:t>
      </w:r>
      <w:r w:rsidR="00265CC9" w:rsidRPr="00CD3501">
        <w:rPr>
          <w:lang w:val="es-ES_tradnl"/>
        </w:rPr>
        <w:t>la Corte</w:t>
      </w:r>
      <w:r w:rsidR="00F523CA" w:rsidRPr="00CD3501">
        <w:rPr>
          <w:lang w:val="es-ES_tradnl"/>
        </w:rPr>
        <w:t xml:space="preserve"> ha</w:t>
      </w:r>
      <w:r w:rsidRPr="00CD3501">
        <w:rPr>
          <w:lang w:val="es-ES_tradnl"/>
        </w:rPr>
        <w:t xml:space="preserve">n considerado que </w:t>
      </w:r>
      <w:r w:rsidR="004C664A" w:rsidRPr="00CD3501">
        <w:rPr>
          <w:lang w:val="es-ES_tradnl"/>
        </w:rPr>
        <w:t>el principio de legalidad está vinculado inseparablemente al de legitimidad, en virtud del sistema internacional que se encuentra en la base de la propia Convención</w:t>
      </w:r>
      <w:r w:rsidR="006157CF" w:rsidRPr="00CD3501">
        <w:rPr>
          <w:rStyle w:val="FootnoteReference"/>
          <w:rFonts w:ascii="Cambria" w:hAnsi="Cambria"/>
          <w:lang w:val="es-ES_tradnl"/>
        </w:rPr>
        <w:footnoteReference w:id="70"/>
      </w:r>
      <w:r w:rsidR="00F523CA" w:rsidRPr="00CD3501">
        <w:rPr>
          <w:lang w:val="es-ES_tradnl"/>
        </w:rPr>
        <w:t xml:space="preserve">, </w:t>
      </w:r>
      <w:r w:rsidRPr="00CD3501">
        <w:rPr>
          <w:lang w:val="es-ES_tradnl"/>
        </w:rPr>
        <w:t>lo cual implica la adopción de normas para el bien común y que no se deben penalizar ciertos tipos de conducta</w:t>
      </w:r>
      <w:r w:rsidR="006157CF" w:rsidRPr="00CD3501">
        <w:rPr>
          <w:rStyle w:val="FootnoteReference"/>
          <w:lang w:val="es-ES_tradnl"/>
        </w:rPr>
        <w:footnoteReference w:id="71"/>
      </w:r>
      <w:r w:rsidRPr="00CD3501">
        <w:rPr>
          <w:lang w:val="es-ES_tradnl"/>
        </w:rPr>
        <w:t xml:space="preserve">. Por ejemplo, en el caso </w:t>
      </w:r>
      <w:r w:rsidR="004F439E" w:rsidRPr="00CD3501">
        <w:rPr>
          <w:i/>
          <w:lang w:val="es-ES_tradnl"/>
        </w:rPr>
        <w:t xml:space="preserve">Pollo Rivera </w:t>
      </w:r>
      <w:r w:rsidRPr="00CD3501">
        <w:rPr>
          <w:i/>
          <w:lang w:val="es-ES_tradnl"/>
        </w:rPr>
        <w:t>contra</w:t>
      </w:r>
      <w:r w:rsidR="004F439E" w:rsidRPr="00CD3501">
        <w:rPr>
          <w:i/>
          <w:lang w:val="es-ES_tradnl"/>
        </w:rPr>
        <w:t xml:space="preserve"> </w:t>
      </w:r>
      <w:r w:rsidR="00697DD9" w:rsidRPr="00CD3501">
        <w:rPr>
          <w:i/>
          <w:lang w:val="es-ES_tradnl"/>
        </w:rPr>
        <w:t>Perú</w:t>
      </w:r>
      <w:r w:rsidRPr="00CD3501">
        <w:rPr>
          <w:lang w:val="es-ES_tradnl"/>
        </w:rPr>
        <w:t xml:space="preserve">, </w:t>
      </w:r>
      <w:r w:rsidR="00265CC9" w:rsidRPr="00CD3501">
        <w:rPr>
          <w:lang w:val="es-ES_tradnl"/>
        </w:rPr>
        <w:t>la Corte</w:t>
      </w:r>
      <w:r w:rsidR="004F439E" w:rsidRPr="00CD3501">
        <w:rPr>
          <w:lang w:val="es-ES_tradnl"/>
        </w:rPr>
        <w:t xml:space="preserve"> </w:t>
      </w:r>
      <w:r w:rsidRPr="00CD3501">
        <w:rPr>
          <w:lang w:val="es-ES_tradnl"/>
        </w:rPr>
        <w:t xml:space="preserve">dictaminó la responsabilidad del </w:t>
      </w:r>
      <w:r w:rsidR="009A3641" w:rsidRPr="00CD3501">
        <w:rPr>
          <w:lang w:val="es-ES_tradnl"/>
        </w:rPr>
        <w:t>Estado</w:t>
      </w:r>
      <w:r w:rsidR="004F439E" w:rsidRPr="00CD3501">
        <w:rPr>
          <w:lang w:val="es-ES_tradnl"/>
        </w:rPr>
        <w:t xml:space="preserve"> </w:t>
      </w:r>
      <w:r w:rsidRPr="00CD3501">
        <w:rPr>
          <w:lang w:val="es-ES_tradnl"/>
        </w:rPr>
        <w:t xml:space="preserve">por la penalización de médicos que habían atendido a personas que se sospechaba que habían participado en actividades </w:t>
      </w:r>
      <w:r w:rsidR="004F439E" w:rsidRPr="00CD3501">
        <w:rPr>
          <w:lang w:val="es-ES_tradnl"/>
        </w:rPr>
        <w:t>terrorist</w:t>
      </w:r>
      <w:r w:rsidRPr="00CD3501">
        <w:rPr>
          <w:lang w:val="es-ES_tradnl"/>
        </w:rPr>
        <w:t xml:space="preserve">as y declaró que la </w:t>
      </w:r>
      <w:r w:rsidR="004C664A" w:rsidRPr="00CD3501">
        <w:rPr>
          <w:lang w:val="es-ES_tradnl"/>
        </w:rPr>
        <w:t>actividad médica terapéutica</w:t>
      </w:r>
      <w:r w:rsidR="004F439E" w:rsidRPr="00CD3501">
        <w:rPr>
          <w:lang w:val="es-ES_tradnl"/>
        </w:rPr>
        <w:t xml:space="preserve"> </w:t>
      </w:r>
      <w:r w:rsidR="004C664A" w:rsidRPr="00CD3501">
        <w:rPr>
          <w:lang w:val="es-ES_tradnl"/>
        </w:rPr>
        <w:t>es fomentada y promovida por el derecho</w:t>
      </w:r>
      <w:r w:rsidR="006C4152" w:rsidRPr="00CD3501">
        <w:rPr>
          <w:lang w:val="es-ES_tradnl"/>
        </w:rPr>
        <w:t xml:space="preserve"> y que,</w:t>
      </w:r>
      <w:r w:rsidR="004C664A" w:rsidRPr="00CD3501">
        <w:rPr>
          <w:lang w:val="es-ES_tradnl"/>
        </w:rPr>
        <w:t xml:space="preserve"> en ciertas circunstancias</w:t>
      </w:r>
      <w:r w:rsidR="00AA6015" w:rsidRPr="00CD3501">
        <w:rPr>
          <w:lang w:val="es-ES_tradnl"/>
        </w:rPr>
        <w:t>,</w:t>
      </w:r>
      <w:r w:rsidR="004F439E" w:rsidRPr="00CD3501">
        <w:rPr>
          <w:lang w:val="es-ES_tradnl"/>
        </w:rPr>
        <w:t xml:space="preserve"> </w:t>
      </w:r>
      <w:r w:rsidRPr="00CD3501">
        <w:rPr>
          <w:lang w:val="es-ES_tradnl"/>
        </w:rPr>
        <w:t xml:space="preserve">es deber de los médicos </w:t>
      </w:r>
      <w:r w:rsidR="000C0497" w:rsidRPr="00CD3501">
        <w:rPr>
          <w:lang w:val="es-ES_tradnl"/>
        </w:rPr>
        <w:t>pro</w:t>
      </w:r>
      <w:r w:rsidR="006C4152" w:rsidRPr="00CD3501">
        <w:rPr>
          <w:lang w:val="es-ES_tradnl"/>
        </w:rPr>
        <w:t>porcionar atención, de modo que no se la puede tipificar como delito</w:t>
      </w:r>
      <w:r w:rsidR="004F439E" w:rsidRPr="00CD3501">
        <w:rPr>
          <w:rStyle w:val="FootnoteReference"/>
          <w:lang w:val="es-ES_tradnl"/>
        </w:rPr>
        <w:footnoteReference w:id="72"/>
      </w:r>
      <w:r w:rsidR="006C4152" w:rsidRPr="00CD3501">
        <w:rPr>
          <w:lang w:val="es-ES_tradnl"/>
        </w:rPr>
        <w:t>.</w:t>
      </w:r>
      <w:r w:rsidR="00C01FB1" w:rsidRPr="00CD3501">
        <w:rPr>
          <w:lang w:val="es-ES_tradnl"/>
        </w:rPr>
        <w:t xml:space="preserve"> </w:t>
      </w:r>
      <w:r w:rsidR="00265CC9" w:rsidRPr="00CD3501">
        <w:rPr>
          <w:lang w:val="es-ES_tradnl"/>
        </w:rPr>
        <w:t>La Corte</w:t>
      </w:r>
      <w:r w:rsidR="004F439E" w:rsidRPr="00CD3501">
        <w:rPr>
          <w:lang w:val="es-ES_tradnl"/>
        </w:rPr>
        <w:t xml:space="preserve"> to</w:t>
      </w:r>
      <w:r w:rsidR="006C4152" w:rsidRPr="00CD3501">
        <w:rPr>
          <w:lang w:val="es-ES_tradnl"/>
        </w:rPr>
        <w:t xml:space="preserve">mó en cuenta la prohibición de la penalización de las actividades médicas </w:t>
      </w:r>
      <w:r w:rsidR="00AA6015" w:rsidRPr="00CD3501">
        <w:rPr>
          <w:lang w:val="es-ES_tradnl"/>
        </w:rPr>
        <w:t>desarrollada</w:t>
      </w:r>
      <w:r w:rsidR="006C4152" w:rsidRPr="00CD3501">
        <w:rPr>
          <w:lang w:val="es-ES_tradnl"/>
        </w:rPr>
        <w:t xml:space="preserve"> en el derecho internacional humanitario y en el derecho internacional de los derechos humanos</w:t>
      </w:r>
      <w:r w:rsidR="00C01FB1" w:rsidRPr="00CD3501">
        <w:rPr>
          <w:rStyle w:val="FootnoteReference"/>
          <w:lang w:val="es-ES_tradnl"/>
        </w:rPr>
        <w:footnoteReference w:id="73"/>
      </w:r>
      <w:r w:rsidR="006C4152" w:rsidRPr="00CD3501">
        <w:rPr>
          <w:lang w:val="es-ES_tradnl"/>
        </w:rPr>
        <w:t>.</w:t>
      </w:r>
      <w:r w:rsidR="003067F3" w:rsidRPr="00CD3501">
        <w:rPr>
          <w:lang w:val="es-ES_tradnl"/>
        </w:rPr>
        <w:t xml:space="preserve"> </w:t>
      </w:r>
    </w:p>
    <w:p w14:paraId="15F1707B" w14:textId="77777777" w:rsidR="0044139C" w:rsidRPr="00CD3501" w:rsidRDefault="0044139C" w:rsidP="00A167CF">
      <w:pPr>
        <w:pStyle w:val="ListParagraph"/>
        <w:rPr>
          <w:lang w:val="es-ES_tradnl"/>
        </w:rPr>
      </w:pPr>
    </w:p>
    <w:p w14:paraId="32A03603" w14:textId="78A170A2" w:rsidR="00751AB7" w:rsidRPr="00CD3501" w:rsidRDefault="00497B9A" w:rsidP="00C12E55">
      <w:pPr>
        <w:pStyle w:val="parrafos"/>
        <w:numPr>
          <w:ilvl w:val="0"/>
          <w:numId w:val="57"/>
        </w:numPr>
        <w:tabs>
          <w:tab w:val="clear" w:pos="360"/>
          <w:tab w:val="clear" w:pos="1080"/>
        </w:tabs>
        <w:ind w:left="0" w:firstLine="0"/>
        <w:rPr>
          <w:lang w:val="es-ES_tradnl"/>
        </w:rPr>
      </w:pPr>
      <w:r w:rsidRPr="00CD3501">
        <w:rPr>
          <w:lang w:val="es-ES_tradnl"/>
        </w:rPr>
        <w:t>La CIDH</w:t>
      </w:r>
      <w:r w:rsidR="0044139C" w:rsidRPr="00CD3501">
        <w:rPr>
          <w:lang w:val="es-ES_tradnl"/>
        </w:rPr>
        <w:t xml:space="preserve"> </w:t>
      </w:r>
      <w:r w:rsidR="006C4152" w:rsidRPr="00CD3501">
        <w:rPr>
          <w:lang w:val="es-ES_tradnl"/>
        </w:rPr>
        <w:t xml:space="preserve">ya determinó en el apartado anterior que la penalización de la actividad </w:t>
      </w:r>
      <w:r w:rsidR="0044139C" w:rsidRPr="00CD3501">
        <w:rPr>
          <w:lang w:val="es-ES_tradnl"/>
        </w:rPr>
        <w:t xml:space="preserve">sexual consensual </w:t>
      </w:r>
      <w:r w:rsidR="006C4152" w:rsidRPr="00CD3501">
        <w:rPr>
          <w:lang w:val="es-ES_tradnl"/>
        </w:rPr>
        <w:t>en privado entre</w:t>
      </w:r>
      <w:r w:rsidR="0044139C" w:rsidRPr="00CD3501">
        <w:rPr>
          <w:lang w:val="es-ES_tradnl"/>
        </w:rPr>
        <w:t xml:space="preserve"> adult</w:t>
      </w:r>
      <w:r w:rsidR="006C4152" w:rsidRPr="00CD3501">
        <w:rPr>
          <w:lang w:val="es-ES_tradnl"/>
        </w:rPr>
        <w:t>o</w:t>
      </w:r>
      <w:r w:rsidR="0044139C" w:rsidRPr="00CD3501">
        <w:rPr>
          <w:lang w:val="es-ES_tradnl"/>
        </w:rPr>
        <w:t>s viola</w:t>
      </w:r>
      <w:r w:rsidR="006C4152" w:rsidRPr="00CD3501">
        <w:rPr>
          <w:lang w:val="es-ES_tradnl"/>
        </w:rPr>
        <w:t xml:space="preserve"> el </w:t>
      </w:r>
      <w:r w:rsidR="00D22B34" w:rsidRPr="00CD3501">
        <w:rPr>
          <w:lang w:val="es-ES_tradnl"/>
        </w:rPr>
        <w:t>principio de igualdad</w:t>
      </w:r>
      <w:r w:rsidR="0044139C" w:rsidRPr="00CD3501">
        <w:rPr>
          <w:lang w:val="es-ES_tradnl"/>
        </w:rPr>
        <w:t xml:space="preserve"> </w:t>
      </w:r>
      <w:r w:rsidR="006C4152" w:rsidRPr="00CD3501">
        <w:rPr>
          <w:lang w:val="es-ES_tradnl"/>
        </w:rPr>
        <w:t>y</w:t>
      </w:r>
      <w:r w:rsidR="0044139C" w:rsidRPr="00CD3501">
        <w:rPr>
          <w:lang w:val="es-ES_tradnl"/>
        </w:rPr>
        <w:t xml:space="preserve"> </w:t>
      </w:r>
      <w:r w:rsidR="000A3FB7" w:rsidRPr="00CD3501">
        <w:rPr>
          <w:lang w:val="es-ES_tradnl"/>
        </w:rPr>
        <w:t>no discriminación</w:t>
      </w:r>
      <w:r w:rsidR="0044139C" w:rsidRPr="00CD3501">
        <w:rPr>
          <w:lang w:val="es-ES_tradnl"/>
        </w:rPr>
        <w:t xml:space="preserve">, </w:t>
      </w:r>
      <w:r w:rsidR="006C4152" w:rsidRPr="00CD3501">
        <w:rPr>
          <w:lang w:val="es-ES_tradnl"/>
        </w:rPr>
        <w:t xml:space="preserve">el derecho a la intimidad y el derecho a la integridad personal, en vista del impacto de tales normas en la </w:t>
      </w:r>
      <w:r w:rsidR="00834977" w:rsidRPr="00CD3501">
        <w:rPr>
          <w:lang w:val="es-ES_tradnl"/>
        </w:rPr>
        <w:t>integridad personal</w:t>
      </w:r>
      <w:r w:rsidR="0044139C" w:rsidRPr="00CD3501">
        <w:rPr>
          <w:lang w:val="es-ES_tradnl"/>
        </w:rPr>
        <w:t xml:space="preserve"> </w:t>
      </w:r>
      <w:r w:rsidR="006C4152" w:rsidRPr="00CD3501">
        <w:rPr>
          <w:lang w:val="es-ES_tradnl"/>
        </w:rPr>
        <w:t>de las</w:t>
      </w:r>
      <w:r w:rsidR="0044139C" w:rsidRPr="00CD3501">
        <w:rPr>
          <w:lang w:val="es-ES_tradnl"/>
        </w:rPr>
        <w:t xml:space="preserve"> </w:t>
      </w:r>
      <w:r w:rsidR="00B24E23" w:rsidRPr="00CD3501">
        <w:rPr>
          <w:lang w:val="es-ES_tradnl"/>
        </w:rPr>
        <w:t>presunta</w:t>
      </w:r>
      <w:r w:rsidR="006C4152" w:rsidRPr="00CD3501">
        <w:rPr>
          <w:lang w:val="es-ES_tradnl"/>
        </w:rPr>
        <w:t>s</w:t>
      </w:r>
      <w:r w:rsidR="00B24E23" w:rsidRPr="00CD3501">
        <w:rPr>
          <w:lang w:val="es-ES_tradnl"/>
        </w:rPr>
        <w:t xml:space="preserve"> víctima</w:t>
      </w:r>
      <w:r w:rsidR="0044139C" w:rsidRPr="00CD3501">
        <w:rPr>
          <w:lang w:val="es-ES_tradnl"/>
        </w:rPr>
        <w:t xml:space="preserve">s </w:t>
      </w:r>
      <w:r w:rsidR="006C4152" w:rsidRPr="00CD3501">
        <w:rPr>
          <w:lang w:val="es-ES_tradnl"/>
        </w:rPr>
        <w:t>en este caso</w:t>
      </w:r>
      <w:r w:rsidR="0044139C" w:rsidRPr="00CD3501">
        <w:rPr>
          <w:lang w:val="es-ES_tradnl"/>
        </w:rPr>
        <w:t xml:space="preserve">. </w:t>
      </w:r>
      <w:r w:rsidRPr="00CD3501">
        <w:rPr>
          <w:lang w:val="es-ES_tradnl"/>
        </w:rPr>
        <w:t>La Comisión</w:t>
      </w:r>
      <w:r w:rsidR="0044139C" w:rsidRPr="00CD3501">
        <w:rPr>
          <w:lang w:val="es-ES_tradnl"/>
        </w:rPr>
        <w:t xml:space="preserve"> consider</w:t>
      </w:r>
      <w:r w:rsidR="006C4152" w:rsidRPr="00CD3501">
        <w:rPr>
          <w:lang w:val="es-ES_tradnl"/>
        </w:rPr>
        <w:t xml:space="preserve">a que la tipificación como delito de conductas que forman parte de los derechos reconocidos por el derecho internacional de los derechos humanos constituye de por sí una violación del </w:t>
      </w:r>
      <w:r w:rsidR="000A3FB7" w:rsidRPr="00CD3501">
        <w:rPr>
          <w:lang w:val="es-ES_tradnl"/>
        </w:rPr>
        <w:t>principio de legalidad</w:t>
      </w:r>
      <w:r w:rsidR="0044139C" w:rsidRPr="00CD3501">
        <w:rPr>
          <w:lang w:val="es-ES_tradnl"/>
        </w:rPr>
        <w:t xml:space="preserve">, </w:t>
      </w:r>
      <w:r w:rsidR="006C4152" w:rsidRPr="00CD3501">
        <w:rPr>
          <w:lang w:val="es-ES_tradnl"/>
        </w:rPr>
        <w:t>en vista de las normas i</w:t>
      </w:r>
      <w:r w:rsidR="0044139C" w:rsidRPr="00CD3501">
        <w:rPr>
          <w:lang w:val="es-ES_tradnl"/>
        </w:rPr>
        <w:t>nter</w:t>
      </w:r>
      <w:r w:rsidR="006C4152" w:rsidRPr="00CD3501">
        <w:rPr>
          <w:lang w:val="es-ES_tradnl"/>
        </w:rPr>
        <w:t>a</w:t>
      </w:r>
      <w:r w:rsidR="0044139C" w:rsidRPr="00CD3501">
        <w:rPr>
          <w:lang w:val="es-ES_tradnl"/>
        </w:rPr>
        <w:t>merican</w:t>
      </w:r>
      <w:r w:rsidR="006C4152" w:rsidRPr="00CD3501">
        <w:rPr>
          <w:lang w:val="es-ES_tradnl"/>
        </w:rPr>
        <w:t>as mencionadas en los párrafos precedentes</w:t>
      </w:r>
      <w:r w:rsidR="0044139C" w:rsidRPr="00CD3501">
        <w:rPr>
          <w:lang w:val="es-ES_tradnl"/>
        </w:rPr>
        <w:t>.</w:t>
      </w:r>
    </w:p>
    <w:p w14:paraId="1F722285" w14:textId="77777777" w:rsidR="00310E56" w:rsidRPr="00CD3501" w:rsidRDefault="00310E56" w:rsidP="00A167CF">
      <w:pPr>
        <w:rPr>
          <w:lang w:val="es-ES_tradnl"/>
        </w:rPr>
      </w:pPr>
    </w:p>
    <w:p w14:paraId="4729AF62" w14:textId="14826B71" w:rsidR="000D4786" w:rsidRPr="00CD3501" w:rsidRDefault="006C4152"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 xml:space="preserve">En virtud de las consideraciones precedentes, </w:t>
      </w:r>
      <w:r w:rsidR="00497B9A" w:rsidRPr="00CD3501">
        <w:rPr>
          <w:rFonts w:ascii="Cambria" w:hAnsi="Cambria"/>
          <w:lang w:val="es-ES_tradnl"/>
        </w:rPr>
        <w:t>la Comisión</w:t>
      </w:r>
      <w:r w:rsidR="00F6040D" w:rsidRPr="00CD3501">
        <w:rPr>
          <w:rFonts w:ascii="Cambria" w:hAnsi="Cambria"/>
          <w:lang w:val="es-ES_tradnl"/>
        </w:rPr>
        <w:t xml:space="preserve"> conclu</w:t>
      </w:r>
      <w:r w:rsidRPr="00CD3501">
        <w:rPr>
          <w:rFonts w:ascii="Cambria" w:hAnsi="Cambria"/>
          <w:lang w:val="es-ES_tradnl"/>
        </w:rPr>
        <w:t xml:space="preserve">ye que </w:t>
      </w:r>
      <w:r w:rsidR="009A3641" w:rsidRPr="00CD3501">
        <w:rPr>
          <w:rFonts w:ascii="Cambria" w:hAnsi="Cambria"/>
          <w:lang w:val="es-ES_tradnl"/>
        </w:rPr>
        <w:t>el Estado</w:t>
      </w:r>
      <w:r w:rsidR="00F6040D" w:rsidRPr="00CD3501">
        <w:rPr>
          <w:rFonts w:ascii="Cambria" w:hAnsi="Cambria"/>
          <w:lang w:val="es-ES_tradnl"/>
        </w:rPr>
        <w:t xml:space="preserve"> </w:t>
      </w:r>
      <w:r w:rsidRPr="00CD3501">
        <w:rPr>
          <w:rFonts w:ascii="Cambria" w:hAnsi="Cambria"/>
          <w:lang w:val="es-ES_tradnl"/>
        </w:rPr>
        <w:t>de</w:t>
      </w:r>
      <w:r w:rsidR="00F6040D" w:rsidRPr="00CD3501">
        <w:rPr>
          <w:rFonts w:ascii="Cambria" w:hAnsi="Cambria"/>
          <w:lang w:val="es-ES_tradnl"/>
        </w:rPr>
        <w:t xml:space="preserve"> Jamaica </w:t>
      </w:r>
      <w:r w:rsidRPr="00CD3501">
        <w:rPr>
          <w:rFonts w:ascii="Cambria" w:hAnsi="Cambria"/>
          <w:lang w:val="es-ES_tradnl"/>
        </w:rPr>
        <w:t>e</w:t>
      </w:r>
      <w:r w:rsidR="00F6040D" w:rsidRPr="00CD3501">
        <w:rPr>
          <w:rFonts w:ascii="Cambria" w:hAnsi="Cambria"/>
          <w:lang w:val="es-ES_tradnl"/>
        </w:rPr>
        <w:t>s respons</w:t>
      </w:r>
      <w:r w:rsidRPr="00CD3501">
        <w:rPr>
          <w:rFonts w:ascii="Cambria" w:hAnsi="Cambria"/>
          <w:lang w:val="es-ES_tradnl"/>
        </w:rPr>
        <w:t>a</w:t>
      </w:r>
      <w:r w:rsidR="00F6040D" w:rsidRPr="00CD3501">
        <w:rPr>
          <w:rFonts w:ascii="Cambria" w:hAnsi="Cambria"/>
          <w:lang w:val="es-ES_tradnl"/>
        </w:rPr>
        <w:t xml:space="preserve">ble </w:t>
      </w:r>
      <w:r w:rsidRPr="00CD3501">
        <w:rPr>
          <w:rFonts w:ascii="Cambria" w:hAnsi="Cambria"/>
          <w:lang w:val="es-ES_tradnl"/>
        </w:rPr>
        <w:t>de la violación</w:t>
      </w:r>
      <w:r w:rsidR="00F6040D" w:rsidRPr="00CD3501">
        <w:rPr>
          <w:rFonts w:ascii="Cambria" w:hAnsi="Cambria"/>
          <w:lang w:val="es-ES_tradnl"/>
        </w:rPr>
        <w:t xml:space="preserve"> </w:t>
      </w:r>
      <w:r w:rsidRPr="00CD3501">
        <w:rPr>
          <w:rFonts w:ascii="Cambria" w:hAnsi="Cambria"/>
          <w:lang w:val="es-ES_tradnl"/>
        </w:rPr>
        <w:t xml:space="preserve">del </w:t>
      </w:r>
      <w:r w:rsidR="000A3FB7" w:rsidRPr="00CD3501">
        <w:rPr>
          <w:rFonts w:ascii="Cambria" w:hAnsi="Cambria"/>
          <w:lang w:val="es-ES_tradnl"/>
        </w:rPr>
        <w:t>principio de legalidad</w:t>
      </w:r>
      <w:r w:rsidR="00F6040D" w:rsidRPr="00CD3501">
        <w:rPr>
          <w:rFonts w:ascii="Cambria" w:hAnsi="Cambria"/>
          <w:lang w:val="es-ES_tradnl"/>
        </w:rPr>
        <w:t xml:space="preserve"> </w:t>
      </w:r>
      <w:r w:rsidRPr="00CD3501">
        <w:rPr>
          <w:rFonts w:ascii="Cambria" w:hAnsi="Cambria"/>
          <w:lang w:val="es-ES_tradnl"/>
        </w:rPr>
        <w:t xml:space="preserve">amparado por el artículo </w:t>
      </w:r>
      <w:r w:rsidR="00F6040D" w:rsidRPr="00CD3501">
        <w:rPr>
          <w:rFonts w:ascii="Cambria" w:hAnsi="Cambria"/>
          <w:lang w:val="es-ES_tradnl"/>
        </w:rPr>
        <w:t xml:space="preserve">9 </w:t>
      </w:r>
      <w:r w:rsidRPr="00CD3501">
        <w:rPr>
          <w:rFonts w:ascii="Cambria" w:hAnsi="Cambria"/>
          <w:lang w:val="es-ES_tradnl"/>
        </w:rPr>
        <w:t xml:space="preserve">de la </w:t>
      </w:r>
      <w:r w:rsidR="009A3641" w:rsidRPr="00CD3501">
        <w:rPr>
          <w:rFonts w:ascii="Cambria" w:hAnsi="Cambria"/>
          <w:lang w:val="es-ES_tradnl"/>
        </w:rPr>
        <w:t>Convención Americana</w:t>
      </w:r>
      <w:r w:rsidR="00F6040D" w:rsidRPr="00CD3501">
        <w:rPr>
          <w:rFonts w:ascii="Cambria" w:hAnsi="Cambria"/>
          <w:lang w:val="es-ES_tradnl"/>
        </w:rPr>
        <w:t xml:space="preserve">, </w:t>
      </w:r>
      <w:r w:rsidRPr="00CD3501">
        <w:rPr>
          <w:rFonts w:ascii="Cambria" w:hAnsi="Cambria"/>
          <w:lang w:val="es-ES_tradnl"/>
        </w:rPr>
        <w:t xml:space="preserve">en relación con las obligaciones establecidas en los artículos </w:t>
      </w:r>
      <w:r w:rsidR="00F6040D" w:rsidRPr="00CD3501">
        <w:rPr>
          <w:rFonts w:ascii="Cambria" w:hAnsi="Cambria"/>
          <w:lang w:val="es-ES_tradnl"/>
        </w:rPr>
        <w:t xml:space="preserve">1.1 </w:t>
      </w:r>
      <w:r w:rsidRPr="00CD3501">
        <w:rPr>
          <w:rFonts w:ascii="Cambria" w:hAnsi="Cambria"/>
          <w:lang w:val="es-ES_tradnl"/>
        </w:rPr>
        <w:t>y</w:t>
      </w:r>
      <w:r w:rsidR="00F6040D" w:rsidRPr="00CD3501">
        <w:rPr>
          <w:rFonts w:ascii="Cambria" w:hAnsi="Cambria"/>
          <w:lang w:val="es-ES_tradnl"/>
        </w:rPr>
        <w:t xml:space="preserve"> 2 </w:t>
      </w:r>
      <w:r w:rsidRPr="00CD3501">
        <w:rPr>
          <w:rFonts w:ascii="Cambria" w:hAnsi="Cambria"/>
          <w:lang w:val="es-ES_tradnl"/>
        </w:rPr>
        <w:t xml:space="preserve">de dicho </w:t>
      </w:r>
      <w:r w:rsidR="00F6040D" w:rsidRPr="00CD3501">
        <w:rPr>
          <w:rFonts w:ascii="Cambria" w:hAnsi="Cambria"/>
          <w:lang w:val="es-ES_tradnl"/>
        </w:rPr>
        <w:t>instrument</w:t>
      </w:r>
      <w:r w:rsidRPr="00CD3501">
        <w:rPr>
          <w:rFonts w:ascii="Cambria" w:hAnsi="Cambria"/>
          <w:lang w:val="es-ES_tradnl"/>
        </w:rPr>
        <w:t xml:space="preserve">o, en perjuicio de </w:t>
      </w:r>
      <w:r w:rsidR="00F6040D" w:rsidRPr="00CD3501">
        <w:rPr>
          <w:rFonts w:ascii="Cambria" w:hAnsi="Cambria"/>
          <w:lang w:val="es-ES_tradnl"/>
        </w:rPr>
        <w:t xml:space="preserve">Gareth Henry </w:t>
      </w:r>
      <w:r w:rsidRPr="00CD3501">
        <w:rPr>
          <w:rFonts w:ascii="Cambria" w:hAnsi="Cambria"/>
          <w:lang w:val="es-ES_tradnl"/>
        </w:rPr>
        <w:t>y</w:t>
      </w:r>
      <w:r w:rsidR="00F6040D" w:rsidRPr="00CD3501">
        <w:rPr>
          <w:rFonts w:ascii="Cambria" w:hAnsi="Cambria"/>
          <w:lang w:val="es-ES_tradnl"/>
        </w:rPr>
        <w:t xml:space="preserve"> Simone Carline Edwards. </w:t>
      </w:r>
    </w:p>
    <w:p w14:paraId="4C5ACDA5" w14:textId="77777777" w:rsidR="00CB4710" w:rsidRPr="00CD3501" w:rsidRDefault="00CB4710" w:rsidP="00A167CF">
      <w:pPr>
        <w:rPr>
          <w:lang w:val="es-ES_tradnl" w:eastAsia="es-ES"/>
        </w:rPr>
      </w:pPr>
    </w:p>
    <w:p w14:paraId="2D19C4AE" w14:textId="0A5E9196" w:rsidR="00B926A0" w:rsidRPr="00CD3501" w:rsidRDefault="006C4152" w:rsidP="00C12E55">
      <w:pPr>
        <w:pStyle w:val="Heading2"/>
        <w:numPr>
          <w:ilvl w:val="0"/>
          <w:numId w:val="64"/>
        </w:numPr>
        <w:spacing w:before="0"/>
        <w:rPr>
          <w:rFonts w:ascii="Cambria" w:eastAsia="Cambria" w:hAnsi="Cambria" w:cs="Cambria"/>
          <w:iCs/>
          <w:color w:val="000000"/>
          <w:sz w:val="20"/>
          <w:szCs w:val="20"/>
          <w:u w:color="000000"/>
          <w:lang w:val="es-ES_tradnl" w:eastAsia="es-ES"/>
        </w:rPr>
      </w:pPr>
      <w:bookmarkStart w:id="23" w:name="_Toc58425599"/>
      <w:bookmarkEnd w:id="15"/>
      <w:bookmarkEnd w:id="16"/>
      <w:r w:rsidRPr="00CD3501">
        <w:rPr>
          <w:rFonts w:ascii="Cambria" w:eastAsia="Cambria" w:hAnsi="Cambria" w:cs="Cambria"/>
          <w:iCs/>
          <w:color w:val="000000"/>
          <w:sz w:val="20"/>
          <w:szCs w:val="20"/>
          <w:u w:color="000000"/>
          <w:lang w:val="es-ES_tradnl" w:eastAsia="es-ES"/>
        </w:rPr>
        <w:t>El derecho a la</w:t>
      </w:r>
      <w:r w:rsidR="003604FE" w:rsidRPr="00CD3501">
        <w:rPr>
          <w:rFonts w:ascii="Cambria" w:eastAsia="Cambria" w:hAnsi="Cambria" w:cs="Cambria"/>
          <w:iCs/>
          <w:color w:val="000000"/>
          <w:sz w:val="20"/>
          <w:szCs w:val="20"/>
          <w:u w:color="000000"/>
          <w:lang w:val="es-ES_tradnl" w:eastAsia="es-ES"/>
        </w:rPr>
        <w:t xml:space="preserve"> </w:t>
      </w:r>
      <w:r w:rsidR="00910B10" w:rsidRPr="00CD3501">
        <w:rPr>
          <w:rFonts w:ascii="Cambria" w:eastAsia="Cambria" w:hAnsi="Cambria" w:cs="Cambria"/>
          <w:iCs/>
          <w:color w:val="000000"/>
          <w:sz w:val="20"/>
          <w:szCs w:val="20"/>
          <w:u w:color="000000"/>
          <w:lang w:val="es-ES_tradnl" w:eastAsia="es-ES"/>
        </w:rPr>
        <w:t>protección judicial</w:t>
      </w:r>
      <w:r w:rsidR="003604FE" w:rsidRPr="00CD3501">
        <w:rPr>
          <w:rStyle w:val="FootnoteReference"/>
          <w:rFonts w:ascii="Cambria" w:eastAsia="Cambria" w:hAnsi="Cambria"/>
          <w:iCs/>
          <w:color w:val="000000"/>
          <w:sz w:val="20"/>
          <w:szCs w:val="20"/>
          <w:u w:color="000000"/>
          <w:lang w:val="es-ES_tradnl" w:eastAsia="es-ES"/>
        </w:rPr>
        <w:footnoteReference w:id="74"/>
      </w:r>
      <w:bookmarkEnd w:id="23"/>
    </w:p>
    <w:p w14:paraId="4A6EC7C5" w14:textId="77777777" w:rsidR="003604FE" w:rsidRPr="00CD3501" w:rsidRDefault="003604FE" w:rsidP="00A167C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p>
    <w:p w14:paraId="5798D37C" w14:textId="76849604" w:rsidR="00B926A0" w:rsidRPr="00CD3501" w:rsidRDefault="00497B9A"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La CIDH</w:t>
      </w:r>
      <w:r w:rsidR="00B926A0" w:rsidRPr="00CD3501">
        <w:rPr>
          <w:rFonts w:ascii="Cambria" w:hAnsi="Cambria"/>
          <w:lang w:val="es-ES_tradnl"/>
        </w:rPr>
        <w:t xml:space="preserve"> rec</w:t>
      </w:r>
      <w:r w:rsidR="006C4152" w:rsidRPr="00CD3501">
        <w:rPr>
          <w:rFonts w:ascii="Cambria" w:hAnsi="Cambria"/>
          <w:lang w:val="es-ES_tradnl"/>
        </w:rPr>
        <w:t xml:space="preserve">uerda que los Estados tienen la obligación </w:t>
      </w:r>
      <w:r w:rsidR="00B926A0" w:rsidRPr="00CD3501">
        <w:rPr>
          <w:rFonts w:ascii="Cambria" w:hAnsi="Cambria"/>
          <w:lang w:val="es-ES_tradnl"/>
        </w:rPr>
        <w:t xml:space="preserve">general </w:t>
      </w:r>
      <w:r w:rsidR="006C4152" w:rsidRPr="00CD3501">
        <w:rPr>
          <w:rFonts w:ascii="Cambria" w:hAnsi="Cambria"/>
          <w:lang w:val="es-ES_tradnl"/>
        </w:rPr>
        <w:t xml:space="preserve">de proporcionar recursos </w:t>
      </w:r>
      <w:r w:rsidR="00B926A0" w:rsidRPr="00CD3501">
        <w:rPr>
          <w:rFonts w:ascii="Cambria" w:hAnsi="Cambria"/>
          <w:lang w:val="es-ES_tradnl"/>
        </w:rPr>
        <w:t>judicial</w:t>
      </w:r>
      <w:r w:rsidR="006C4152" w:rsidRPr="00CD3501">
        <w:rPr>
          <w:rFonts w:ascii="Cambria" w:hAnsi="Cambria"/>
          <w:lang w:val="es-ES_tradnl"/>
        </w:rPr>
        <w:t>es efectivos a las personas que aleguen que han sido víctimas de violaciones de derechos humanos</w:t>
      </w:r>
      <w:r w:rsidR="00B926A0" w:rsidRPr="00CD3501">
        <w:rPr>
          <w:rFonts w:ascii="Cambria" w:hAnsi="Cambria"/>
          <w:lang w:val="es-ES_tradnl"/>
        </w:rPr>
        <w:t xml:space="preserve"> (</w:t>
      </w:r>
      <w:r w:rsidR="006C4152" w:rsidRPr="00CD3501">
        <w:rPr>
          <w:rFonts w:ascii="Cambria" w:hAnsi="Cambria"/>
          <w:lang w:val="es-ES_tradnl"/>
        </w:rPr>
        <w:t>artículo</w:t>
      </w:r>
      <w:r w:rsidR="00B926A0" w:rsidRPr="00CD3501">
        <w:rPr>
          <w:rFonts w:ascii="Cambria" w:hAnsi="Cambria"/>
          <w:lang w:val="es-ES_tradnl"/>
        </w:rPr>
        <w:t xml:space="preserve"> 25), </w:t>
      </w:r>
      <w:r w:rsidR="006C4152" w:rsidRPr="00CD3501">
        <w:rPr>
          <w:rFonts w:ascii="Cambria" w:hAnsi="Cambria"/>
          <w:lang w:val="es-ES_tradnl"/>
        </w:rPr>
        <w:t xml:space="preserve">los cuales deben concordar con las </w:t>
      </w:r>
      <w:r w:rsidR="00CB3BAA" w:rsidRPr="00CD3501">
        <w:rPr>
          <w:rFonts w:ascii="Cambria" w:hAnsi="Cambria"/>
          <w:lang w:val="es-ES_tradnl"/>
        </w:rPr>
        <w:t>garantías procesales debidas</w:t>
      </w:r>
      <w:r w:rsidR="00B926A0" w:rsidRPr="00CD3501">
        <w:rPr>
          <w:rFonts w:ascii="Cambria" w:hAnsi="Cambria"/>
          <w:lang w:val="es-ES_tradnl"/>
        </w:rPr>
        <w:t xml:space="preserve"> (</w:t>
      </w:r>
      <w:r w:rsidR="006C4152" w:rsidRPr="00CD3501">
        <w:rPr>
          <w:rFonts w:ascii="Cambria" w:hAnsi="Cambria"/>
          <w:lang w:val="es-ES_tradnl"/>
        </w:rPr>
        <w:t xml:space="preserve">artículo </w:t>
      </w:r>
      <w:r w:rsidR="00B926A0" w:rsidRPr="00CD3501">
        <w:rPr>
          <w:rFonts w:ascii="Cambria" w:hAnsi="Cambria"/>
          <w:lang w:val="es-ES_tradnl"/>
        </w:rPr>
        <w:t>8</w:t>
      </w:r>
      <w:r w:rsidR="006C4152" w:rsidRPr="00CD3501">
        <w:rPr>
          <w:rFonts w:ascii="Cambria" w:hAnsi="Cambria"/>
          <w:lang w:val="es-ES_tradnl"/>
        </w:rPr>
        <w:t>.</w:t>
      </w:r>
      <w:r w:rsidR="00B926A0" w:rsidRPr="00CD3501">
        <w:rPr>
          <w:rFonts w:ascii="Cambria" w:hAnsi="Cambria"/>
          <w:lang w:val="es-ES_tradnl"/>
        </w:rPr>
        <w:t xml:space="preserve">1). </w:t>
      </w:r>
      <w:r w:rsidR="00697DD9" w:rsidRPr="00CD3501">
        <w:rPr>
          <w:rFonts w:ascii="Cambria" w:hAnsi="Cambria"/>
          <w:lang w:val="es-ES_tradnl"/>
        </w:rPr>
        <w:t xml:space="preserve">Para que exista un recurso no basta con que esté previsto en la ley, sino que debe ser realmente idóneo para determinar si se ha incurrido en una violación de derechos humanos y </w:t>
      </w:r>
      <w:r w:rsidR="00482011" w:rsidRPr="00CD3501">
        <w:rPr>
          <w:rFonts w:ascii="Cambria" w:hAnsi="Cambria"/>
          <w:lang w:val="es-ES_tradnl"/>
        </w:rPr>
        <w:t>proveer lo necesario para repararla</w:t>
      </w:r>
      <w:r w:rsidR="00B926A0" w:rsidRPr="00CD3501">
        <w:rPr>
          <w:rFonts w:ascii="Cambria" w:hAnsi="Cambria"/>
          <w:vertAlign w:val="superscript"/>
          <w:lang w:val="es-ES_tradnl"/>
        </w:rPr>
        <w:footnoteReference w:id="75"/>
      </w:r>
      <w:r w:rsidR="00482011" w:rsidRPr="00CD3501">
        <w:rPr>
          <w:rFonts w:ascii="Cambria" w:hAnsi="Cambria"/>
          <w:lang w:val="es-ES_tradnl"/>
        </w:rPr>
        <w:t>.</w:t>
      </w:r>
    </w:p>
    <w:p w14:paraId="4713589F" w14:textId="77777777" w:rsidR="00141103" w:rsidRPr="00CD3501" w:rsidRDefault="00141103" w:rsidP="00A167CF">
      <w:pPr>
        <w:pStyle w:val="parrafos"/>
        <w:tabs>
          <w:tab w:val="clear" w:pos="360"/>
        </w:tabs>
        <w:rPr>
          <w:rFonts w:ascii="Cambria" w:hAnsi="Cambria"/>
          <w:lang w:val="es-ES_tradnl"/>
        </w:rPr>
      </w:pPr>
    </w:p>
    <w:p w14:paraId="281D4687" w14:textId="1A9612D3" w:rsidR="009B56A0" w:rsidRPr="00CD3501" w:rsidRDefault="00685C8E"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E</w:t>
      </w:r>
      <w:r w:rsidR="00141103" w:rsidRPr="00CD3501">
        <w:rPr>
          <w:rFonts w:ascii="Cambria" w:hAnsi="Cambria"/>
          <w:lang w:val="es-ES_tradnl"/>
        </w:rPr>
        <w:t xml:space="preserve">n </w:t>
      </w:r>
      <w:r w:rsidR="00141103" w:rsidRPr="00CD3501">
        <w:rPr>
          <w:rFonts w:ascii="Cambria" w:hAnsi="Cambria"/>
          <w:i/>
          <w:lang w:val="es-ES_tradnl"/>
        </w:rPr>
        <w:t xml:space="preserve">Boyce </w:t>
      </w:r>
      <w:r w:rsidRPr="00CD3501">
        <w:rPr>
          <w:rFonts w:ascii="Cambria" w:hAnsi="Cambria"/>
          <w:i/>
          <w:lang w:val="es-ES_tradnl"/>
        </w:rPr>
        <w:t xml:space="preserve">y otros </w:t>
      </w:r>
      <w:r w:rsidR="00AA6015" w:rsidRPr="00CD3501">
        <w:rPr>
          <w:rFonts w:ascii="Cambria" w:hAnsi="Cambria"/>
          <w:i/>
          <w:lang w:val="es-ES_tradnl"/>
        </w:rPr>
        <w:t>contra</w:t>
      </w:r>
      <w:r w:rsidRPr="00CD3501">
        <w:rPr>
          <w:rFonts w:ascii="Cambria" w:hAnsi="Cambria"/>
          <w:i/>
          <w:lang w:val="es-ES_tradnl"/>
        </w:rPr>
        <w:t xml:space="preserve"> </w:t>
      </w:r>
      <w:r w:rsidR="00141103" w:rsidRPr="00CD3501">
        <w:rPr>
          <w:rFonts w:ascii="Cambria" w:hAnsi="Cambria"/>
          <w:i/>
          <w:lang w:val="es-ES_tradnl"/>
        </w:rPr>
        <w:t>Barbados</w:t>
      </w:r>
      <w:r w:rsidR="00141103" w:rsidRPr="00CD3501">
        <w:rPr>
          <w:rFonts w:ascii="Cambria" w:hAnsi="Cambria"/>
          <w:lang w:val="es-ES_tradnl"/>
        </w:rPr>
        <w:t xml:space="preserve">, </w:t>
      </w:r>
      <w:r w:rsidR="00265CC9" w:rsidRPr="00CD3501">
        <w:rPr>
          <w:rFonts w:ascii="Cambria" w:hAnsi="Cambria"/>
          <w:lang w:val="es-ES_tradnl"/>
        </w:rPr>
        <w:t>la Corte Interamericana</w:t>
      </w:r>
      <w:r w:rsidR="00141103" w:rsidRPr="00CD3501">
        <w:rPr>
          <w:rFonts w:ascii="Cambria" w:hAnsi="Cambria"/>
          <w:lang w:val="es-ES_tradnl"/>
        </w:rPr>
        <w:t xml:space="preserve"> </w:t>
      </w:r>
      <w:r w:rsidRPr="00CD3501">
        <w:rPr>
          <w:rFonts w:ascii="Cambria" w:hAnsi="Cambria"/>
          <w:lang w:val="es-ES_tradnl"/>
        </w:rPr>
        <w:t xml:space="preserve">determinó que </w:t>
      </w:r>
      <w:r w:rsidR="00141103" w:rsidRPr="00CD3501">
        <w:rPr>
          <w:rFonts w:ascii="Cambria" w:hAnsi="Cambria"/>
          <w:lang w:val="es-ES_tradnl"/>
        </w:rPr>
        <w:t xml:space="preserve">Barbados </w:t>
      </w:r>
      <w:r w:rsidRPr="00CD3501">
        <w:rPr>
          <w:rFonts w:ascii="Cambria" w:hAnsi="Cambria"/>
          <w:lang w:val="es-ES_tradnl"/>
        </w:rPr>
        <w:t xml:space="preserve">no había cumplido las obligaciones asumidas de conformidad con el </w:t>
      </w:r>
      <w:r w:rsidR="00704E13" w:rsidRPr="00CD3501">
        <w:rPr>
          <w:rFonts w:ascii="Cambria" w:hAnsi="Cambria"/>
          <w:lang w:val="es-ES_tradnl"/>
        </w:rPr>
        <w:t xml:space="preserve">artículo </w:t>
      </w:r>
      <w:r w:rsidR="00141103" w:rsidRPr="00CD3501">
        <w:rPr>
          <w:rFonts w:ascii="Cambria" w:hAnsi="Cambria"/>
          <w:lang w:val="es-ES_tradnl"/>
        </w:rPr>
        <w:t xml:space="preserve">2 </w:t>
      </w:r>
      <w:r w:rsidRPr="00CD3501">
        <w:rPr>
          <w:rFonts w:ascii="Cambria" w:hAnsi="Cambria"/>
          <w:lang w:val="es-ES_tradnl"/>
        </w:rPr>
        <w:t>de</w:t>
      </w:r>
      <w:r w:rsidR="00141103" w:rsidRPr="00CD3501">
        <w:rPr>
          <w:rFonts w:ascii="Cambria" w:hAnsi="Cambria"/>
          <w:lang w:val="es-ES_tradnl"/>
        </w:rPr>
        <w:t xml:space="preserve"> </w:t>
      </w:r>
      <w:r w:rsidR="00E33D82" w:rsidRPr="00CD3501">
        <w:rPr>
          <w:rFonts w:ascii="Cambria" w:hAnsi="Cambria"/>
          <w:lang w:val="es-ES_tradnl"/>
        </w:rPr>
        <w:t>la Convención</w:t>
      </w:r>
      <w:r w:rsidR="00141103" w:rsidRPr="00CD3501">
        <w:rPr>
          <w:rFonts w:ascii="Cambria" w:hAnsi="Cambria"/>
          <w:lang w:val="es-ES_tradnl"/>
        </w:rPr>
        <w:t xml:space="preserve">, </w:t>
      </w:r>
      <w:r w:rsidRPr="00CD3501">
        <w:rPr>
          <w:rFonts w:ascii="Cambria" w:hAnsi="Cambria"/>
          <w:lang w:val="es-ES_tradnl"/>
        </w:rPr>
        <w:t xml:space="preserve">en relación con los artículos </w:t>
      </w:r>
      <w:r w:rsidR="00141103" w:rsidRPr="00CD3501">
        <w:rPr>
          <w:rFonts w:ascii="Cambria" w:hAnsi="Cambria"/>
          <w:lang w:val="es-ES_tradnl"/>
        </w:rPr>
        <w:t>1</w:t>
      </w:r>
      <w:r w:rsidRPr="00CD3501">
        <w:rPr>
          <w:rFonts w:ascii="Cambria" w:hAnsi="Cambria"/>
          <w:lang w:val="es-ES_tradnl"/>
        </w:rPr>
        <w:t>.</w:t>
      </w:r>
      <w:r w:rsidR="00141103" w:rsidRPr="00CD3501">
        <w:rPr>
          <w:rFonts w:ascii="Cambria" w:hAnsi="Cambria"/>
          <w:lang w:val="es-ES_tradnl"/>
        </w:rPr>
        <w:t>1, 4</w:t>
      </w:r>
      <w:r w:rsidRPr="00CD3501">
        <w:rPr>
          <w:rFonts w:ascii="Cambria" w:hAnsi="Cambria"/>
          <w:lang w:val="es-ES_tradnl"/>
        </w:rPr>
        <w:t>.</w:t>
      </w:r>
      <w:r w:rsidR="00141103" w:rsidRPr="00CD3501">
        <w:rPr>
          <w:rFonts w:ascii="Cambria" w:hAnsi="Cambria"/>
          <w:lang w:val="es-ES_tradnl"/>
        </w:rPr>
        <w:t xml:space="preserve">1 </w:t>
      </w:r>
      <w:r w:rsidRPr="00CD3501">
        <w:rPr>
          <w:rFonts w:ascii="Cambria" w:hAnsi="Cambria"/>
          <w:lang w:val="es-ES_tradnl"/>
        </w:rPr>
        <w:t>y</w:t>
      </w:r>
      <w:r w:rsidR="00141103" w:rsidRPr="00CD3501">
        <w:rPr>
          <w:rFonts w:ascii="Cambria" w:hAnsi="Cambria"/>
          <w:lang w:val="es-ES_tradnl"/>
        </w:rPr>
        <w:t xml:space="preserve"> 25</w:t>
      </w:r>
      <w:r w:rsidRPr="00CD3501">
        <w:rPr>
          <w:rFonts w:ascii="Cambria" w:hAnsi="Cambria"/>
          <w:lang w:val="es-ES_tradnl"/>
        </w:rPr>
        <w:t>.</w:t>
      </w:r>
      <w:r w:rsidR="00EE74B4" w:rsidRPr="00CD3501">
        <w:rPr>
          <w:rFonts w:ascii="Cambria" w:hAnsi="Cambria"/>
          <w:lang w:val="es-ES_tradnl"/>
        </w:rPr>
        <w:t>1</w:t>
      </w:r>
      <w:r w:rsidRPr="00CD3501">
        <w:rPr>
          <w:rFonts w:ascii="Cambria" w:hAnsi="Cambria"/>
          <w:lang w:val="es-ES_tradnl"/>
        </w:rPr>
        <w:t xml:space="preserve">, en vista de que </w:t>
      </w:r>
      <w:r w:rsidR="00955CAC" w:rsidRPr="00CD3501">
        <w:rPr>
          <w:rFonts w:ascii="Cambria" w:hAnsi="Cambria"/>
          <w:lang w:val="es-ES_tradnl"/>
        </w:rPr>
        <w:t>la Constitución</w:t>
      </w:r>
      <w:r w:rsidR="00EE74B4" w:rsidRPr="00CD3501">
        <w:rPr>
          <w:rFonts w:ascii="Cambria" w:hAnsi="Cambria"/>
          <w:lang w:val="es-ES_tradnl"/>
        </w:rPr>
        <w:t xml:space="preserve"> </w:t>
      </w:r>
      <w:r w:rsidRPr="00CD3501">
        <w:rPr>
          <w:rFonts w:ascii="Cambria" w:hAnsi="Cambria"/>
          <w:lang w:val="es-ES_tradnl"/>
        </w:rPr>
        <w:t>impedía toda impugnación judicial del artículo</w:t>
      </w:r>
      <w:r w:rsidR="00EE74B4" w:rsidRPr="00CD3501">
        <w:rPr>
          <w:rFonts w:ascii="Cambria" w:hAnsi="Cambria"/>
          <w:lang w:val="es-ES_tradnl"/>
        </w:rPr>
        <w:t xml:space="preserve"> 2 </w:t>
      </w:r>
      <w:r w:rsidRPr="00CD3501">
        <w:rPr>
          <w:rFonts w:ascii="Cambria" w:hAnsi="Cambria"/>
          <w:lang w:val="es-ES_tradnl"/>
        </w:rPr>
        <w:t xml:space="preserve">de la </w:t>
      </w:r>
      <w:r w:rsidR="000A3FB7" w:rsidRPr="00CD3501">
        <w:rPr>
          <w:rFonts w:ascii="Cambria" w:hAnsi="Cambria"/>
          <w:lang w:val="es-ES_tradnl"/>
        </w:rPr>
        <w:t>Ley de Delitos contra la Persona</w:t>
      </w:r>
      <w:r w:rsidR="00EE74B4" w:rsidRPr="00CD3501">
        <w:rPr>
          <w:rFonts w:ascii="Cambria" w:hAnsi="Cambria"/>
          <w:lang w:val="es-ES_tradnl"/>
        </w:rPr>
        <w:t xml:space="preserve">, </w:t>
      </w:r>
      <w:r w:rsidRPr="00CD3501">
        <w:rPr>
          <w:rFonts w:ascii="Cambria" w:hAnsi="Cambria"/>
          <w:lang w:val="es-ES_tradnl"/>
        </w:rPr>
        <w:t>en la cual se establecía la pena de muerte obligatoria para toda persona condenada por homicidio</w:t>
      </w:r>
      <w:r w:rsidR="00EE74B4" w:rsidRPr="00CD3501">
        <w:rPr>
          <w:rFonts w:ascii="Cambria" w:hAnsi="Cambria"/>
          <w:lang w:val="es-ES_tradnl"/>
        </w:rPr>
        <w:t xml:space="preserve">. </w:t>
      </w:r>
      <w:r w:rsidRPr="00CD3501">
        <w:rPr>
          <w:rFonts w:ascii="Cambria" w:hAnsi="Cambria"/>
          <w:lang w:val="es-ES_tradnl"/>
        </w:rPr>
        <w:t xml:space="preserve">Según </w:t>
      </w:r>
      <w:r w:rsidR="00265CC9" w:rsidRPr="00CD3501">
        <w:rPr>
          <w:rFonts w:ascii="Cambria" w:hAnsi="Cambria"/>
          <w:lang w:val="es-ES_tradnl"/>
        </w:rPr>
        <w:t>la Corte</w:t>
      </w:r>
      <w:r w:rsidR="00EE74B4" w:rsidRPr="00CD3501">
        <w:rPr>
          <w:rFonts w:ascii="Cambria" w:hAnsi="Cambria"/>
          <w:lang w:val="es-ES_tradnl"/>
        </w:rPr>
        <w:t>:</w:t>
      </w:r>
    </w:p>
    <w:p w14:paraId="2FBBE47D" w14:textId="77777777" w:rsidR="009B56A0" w:rsidRPr="00CD3501" w:rsidRDefault="009B56A0" w:rsidP="00A167CF">
      <w:pPr>
        <w:pStyle w:val="parrafos"/>
        <w:tabs>
          <w:tab w:val="clear" w:pos="360"/>
        </w:tabs>
        <w:ind w:left="360" w:right="360"/>
        <w:rPr>
          <w:lang w:val="es-ES_tradnl"/>
        </w:rPr>
      </w:pPr>
    </w:p>
    <w:p w14:paraId="16BB009C" w14:textId="78A67329" w:rsidR="009B56A0" w:rsidRPr="00CD3501" w:rsidRDefault="005A27A5" w:rsidP="00A167CF">
      <w:pPr>
        <w:pStyle w:val="parrafos"/>
        <w:tabs>
          <w:tab w:val="clear" w:pos="360"/>
        </w:tabs>
        <w:ind w:left="360" w:right="360"/>
        <w:rPr>
          <w:sz w:val="18"/>
          <w:szCs w:val="18"/>
          <w:lang w:val="es-ES_tradnl"/>
        </w:rPr>
      </w:pPr>
      <w:r w:rsidRPr="00CD3501">
        <w:rPr>
          <w:sz w:val="18"/>
          <w:szCs w:val="18"/>
          <w:lang w:val="es-ES_tradnl"/>
        </w:rPr>
        <w:t>El artículo 26</w:t>
      </w:r>
      <w:r w:rsidR="00685C8E" w:rsidRPr="00CD3501">
        <w:rPr>
          <w:sz w:val="18"/>
          <w:szCs w:val="18"/>
          <w:lang w:val="es-ES_tradnl"/>
        </w:rPr>
        <w:t xml:space="preserve"> de la Constitución de Barbados previene que tribunales puedan declarar la inconstitucionalidad de leyes existentes que hayan sido promulgadas antes de la entrada en vigor de la Constitución, esto es, antes del 30 de noviembre de 1966. Dicho artículo se conoce como una “cláusula de exclusión” dado que no permite que dichas leyes se sometan a una revisión de constitucionalidad de normas, y por lo tanto, las “excluye” de tal proceso. En efecto, el artículo 26 no permite la impugnación de aquellas leyes vigentes, previas a la constitución, con el propósito de revisar su constitucionalidad </w:t>
      </w:r>
      <w:r w:rsidR="00704E13" w:rsidRPr="00CD3501">
        <w:rPr>
          <w:sz w:val="18"/>
          <w:szCs w:val="18"/>
          <w:lang w:val="es-ES_tradnl"/>
        </w:rPr>
        <w:t>aun</w:t>
      </w:r>
      <w:r w:rsidR="00685C8E" w:rsidRPr="00CD3501">
        <w:rPr>
          <w:sz w:val="18"/>
          <w:szCs w:val="18"/>
          <w:lang w:val="es-ES_tradnl"/>
        </w:rPr>
        <w:t xml:space="preserve"> cuando el fin de dicha revisión sea analizar si la ley viola derechos y libertades fundamentales. Este es el caso del artículo 2 de la LDCP, que entró en vigor al momento de la promulgación de la Ley de Del</w:t>
      </w:r>
      <w:r w:rsidRPr="00CD3501">
        <w:rPr>
          <w:sz w:val="18"/>
          <w:szCs w:val="18"/>
          <w:lang w:val="es-ES_tradnl"/>
        </w:rPr>
        <w:t>itos Contra la Persona de 1868</w:t>
      </w:r>
      <w:r w:rsidR="00685C8E" w:rsidRPr="00CD3501">
        <w:rPr>
          <w:sz w:val="18"/>
          <w:szCs w:val="18"/>
          <w:lang w:val="es-ES_tradnl"/>
        </w:rPr>
        <w:t>. Es decir, el artículo 2 de la LDCP es una ley previa a la constitución actual, y que continúa siendo ley en Barbados. Por lo tanto, en virtud de la “cláusula de exclusión”, la constitucionalidad del artículo 2 de la LDCP no puede ser impugnada a nivel interno</w:t>
      </w:r>
      <w:r w:rsidR="009B56A0" w:rsidRPr="00CD3501">
        <w:rPr>
          <w:sz w:val="18"/>
          <w:szCs w:val="18"/>
          <w:lang w:val="es-ES_tradnl"/>
        </w:rPr>
        <w:t>.</w:t>
      </w:r>
    </w:p>
    <w:p w14:paraId="064F70C9" w14:textId="77777777" w:rsidR="009B56A0" w:rsidRPr="00CD3501" w:rsidRDefault="009B56A0" w:rsidP="00A167CF">
      <w:pPr>
        <w:pStyle w:val="parrafos"/>
        <w:tabs>
          <w:tab w:val="clear" w:pos="360"/>
        </w:tabs>
        <w:ind w:right="360"/>
        <w:rPr>
          <w:sz w:val="18"/>
          <w:szCs w:val="18"/>
          <w:lang w:val="es-ES_tradnl"/>
        </w:rPr>
      </w:pPr>
    </w:p>
    <w:p w14:paraId="156C87D1" w14:textId="3A77BAA2" w:rsidR="00EE74B4" w:rsidRPr="00CD3501" w:rsidRDefault="00685C8E" w:rsidP="00685C8E">
      <w:pPr>
        <w:pStyle w:val="parrafos"/>
        <w:ind w:left="360" w:right="360"/>
        <w:rPr>
          <w:sz w:val="18"/>
          <w:szCs w:val="18"/>
          <w:lang w:val="es-ES_tradnl"/>
        </w:rPr>
      </w:pPr>
      <w:r w:rsidRPr="00CD3501">
        <w:rPr>
          <w:sz w:val="18"/>
          <w:szCs w:val="18"/>
          <w:lang w:val="es-ES_tradnl"/>
        </w:rPr>
        <w:t>En este sentido, a la luz de la jurisprudencia de la Corte y en tanto que el artículo 26 de la Constitución de Barbados impide el escrutinio judicial sobre el artículo 2 de la Ley de Delitos contra la Persona, que a su vez es violatoria del derecho a no ser privado, arbitrariamente, de la vida, la Corte considera que el Estado no ha cumplido con el deber establecido en el artículo 2 de la Convención en relación con los artículos 1.1, 4.1, 4.2 y 25.1 de dicho instrumento</w:t>
      </w:r>
      <w:r w:rsidR="009B56A0" w:rsidRPr="00CD3501">
        <w:rPr>
          <w:rStyle w:val="FootnoteReference"/>
          <w:sz w:val="18"/>
          <w:szCs w:val="18"/>
          <w:lang w:val="es-ES_tradnl"/>
        </w:rPr>
        <w:footnoteReference w:id="76"/>
      </w:r>
      <w:r w:rsidRPr="00CD3501">
        <w:rPr>
          <w:sz w:val="18"/>
          <w:szCs w:val="18"/>
          <w:lang w:val="es-ES_tradnl"/>
        </w:rPr>
        <w:t>.</w:t>
      </w:r>
    </w:p>
    <w:p w14:paraId="7FA3206F" w14:textId="77777777" w:rsidR="00EE74B4" w:rsidRPr="00CD3501" w:rsidRDefault="00EE74B4" w:rsidP="00A167CF">
      <w:pPr>
        <w:pStyle w:val="parrafos"/>
        <w:tabs>
          <w:tab w:val="clear" w:pos="360"/>
        </w:tabs>
        <w:rPr>
          <w:rFonts w:ascii="Cambria" w:hAnsi="Cambria"/>
          <w:lang w:val="es-ES_tradnl"/>
        </w:rPr>
      </w:pPr>
    </w:p>
    <w:p w14:paraId="7FCB4A0F" w14:textId="1C2AD8C4" w:rsidR="00BC5E97" w:rsidRPr="00CD3501" w:rsidRDefault="00166E97"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E</w:t>
      </w:r>
      <w:r w:rsidR="00656562" w:rsidRPr="00CD3501">
        <w:rPr>
          <w:rFonts w:ascii="Cambria" w:hAnsi="Cambria"/>
          <w:lang w:val="es-ES_tradnl"/>
        </w:rPr>
        <w:t xml:space="preserve">n </w:t>
      </w:r>
      <w:r w:rsidR="005A27A5" w:rsidRPr="00CD3501">
        <w:rPr>
          <w:rFonts w:ascii="Cambria" w:hAnsi="Cambria"/>
          <w:lang w:val="es-ES_tradnl"/>
        </w:rPr>
        <w:t xml:space="preserve">el presente </w:t>
      </w:r>
      <w:r w:rsidR="00E33D82" w:rsidRPr="00CD3501">
        <w:rPr>
          <w:rFonts w:ascii="Cambria" w:hAnsi="Cambria"/>
          <w:lang w:val="es-ES_tradnl"/>
        </w:rPr>
        <w:t>caso</w:t>
      </w:r>
      <w:r w:rsidRPr="00CD3501">
        <w:rPr>
          <w:rFonts w:ascii="Cambria" w:hAnsi="Cambria"/>
          <w:lang w:val="es-ES_tradnl"/>
        </w:rPr>
        <w:t>,</w:t>
      </w:r>
      <w:r w:rsidR="00656562" w:rsidRPr="00CD3501">
        <w:rPr>
          <w:rFonts w:ascii="Cambria" w:hAnsi="Cambria"/>
          <w:lang w:val="es-ES_tradnl"/>
        </w:rPr>
        <w:t xml:space="preserve"> </w:t>
      </w:r>
      <w:r w:rsidR="00497B9A" w:rsidRPr="00CD3501">
        <w:rPr>
          <w:rFonts w:ascii="Cambria" w:hAnsi="Cambria"/>
          <w:lang w:val="es-ES_tradnl"/>
        </w:rPr>
        <w:t>la Comisión</w:t>
      </w:r>
      <w:r w:rsidR="00656562" w:rsidRPr="00CD3501">
        <w:rPr>
          <w:rFonts w:ascii="Cambria" w:hAnsi="Cambria"/>
          <w:lang w:val="es-ES_tradnl"/>
        </w:rPr>
        <w:t xml:space="preserve"> </w:t>
      </w:r>
      <w:r w:rsidRPr="00CD3501">
        <w:rPr>
          <w:rFonts w:ascii="Cambria" w:hAnsi="Cambria"/>
          <w:lang w:val="es-ES_tradnl"/>
        </w:rPr>
        <w:t xml:space="preserve">observa que la </w:t>
      </w:r>
      <w:r w:rsidR="00E33D82" w:rsidRPr="00CD3501">
        <w:rPr>
          <w:rFonts w:ascii="Cambria" w:hAnsi="Cambria"/>
          <w:lang w:val="es-ES_tradnl"/>
        </w:rPr>
        <w:t>Constitución de</w:t>
      </w:r>
      <w:r w:rsidR="00656562" w:rsidRPr="00CD3501">
        <w:rPr>
          <w:rFonts w:ascii="Cambria" w:hAnsi="Cambria"/>
          <w:lang w:val="es-ES_tradnl"/>
        </w:rPr>
        <w:t xml:space="preserve"> Jamaica </w:t>
      </w:r>
      <w:r w:rsidRPr="00CD3501">
        <w:rPr>
          <w:rFonts w:ascii="Cambria" w:hAnsi="Cambria"/>
          <w:lang w:val="es-ES_tradnl"/>
        </w:rPr>
        <w:t xml:space="preserve">dispone que no se puede declarar que </w:t>
      </w:r>
      <w:r w:rsidR="00704E13" w:rsidRPr="00CD3501">
        <w:rPr>
          <w:rFonts w:ascii="Cambria" w:hAnsi="Cambria"/>
          <w:lang w:val="es-ES_tradnl"/>
        </w:rPr>
        <w:t xml:space="preserve">las leyes sobre </w:t>
      </w:r>
      <w:r w:rsidRPr="00CD3501">
        <w:rPr>
          <w:rFonts w:ascii="Cambria" w:hAnsi="Cambria"/>
          <w:lang w:val="es-ES_tradnl"/>
        </w:rPr>
        <w:t xml:space="preserve">delitos </w:t>
      </w:r>
      <w:r w:rsidR="00656562" w:rsidRPr="00CD3501">
        <w:rPr>
          <w:rFonts w:ascii="Cambria" w:hAnsi="Cambria"/>
          <w:lang w:val="es-ES_tradnl"/>
        </w:rPr>
        <w:t>sexual</w:t>
      </w:r>
      <w:r w:rsidRPr="00CD3501">
        <w:rPr>
          <w:rFonts w:ascii="Cambria" w:hAnsi="Cambria"/>
          <w:lang w:val="es-ES_tradnl"/>
        </w:rPr>
        <w:t>es</w:t>
      </w:r>
      <w:r w:rsidR="00656562" w:rsidRPr="00CD3501">
        <w:rPr>
          <w:rFonts w:ascii="Cambria" w:hAnsi="Cambria"/>
          <w:lang w:val="es-ES_tradnl"/>
        </w:rPr>
        <w:t xml:space="preserve"> </w:t>
      </w:r>
      <w:r w:rsidRPr="00CD3501">
        <w:rPr>
          <w:rFonts w:ascii="Cambria" w:hAnsi="Cambria"/>
          <w:lang w:val="es-ES_tradnl"/>
        </w:rPr>
        <w:t>son incompatibles con la Constitución o contravienen sus disposiciones</w:t>
      </w:r>
      <w:r w:rsidR="00656562" w:rsidRPr="00CD3501">
        <w:rPr>
          <w:rFonts w:ascii="Cambria" w:hAnsi="Cambria"/>
          <w:lang w:val="es-ES_tradnl"/>
        </w:rPr>
        <w:t xml:space="preserve">. </w:t>
      </w:r>
      <w:r w:rsidR="009A3641" w:rsidRPr="00CD3501">
        <w:rPr>
          <w:rFonts w:ascii="Cambria" w:hAnsi="Cambria"/>
          <w:lang w:val="es-ES_tradnl"/>
        </w:rPr>
        <w:t>El Estado</w:t>
      </w:r>
      <w:r w:rsidR="0041301B" w:rsidRPr="00CD3501">
        <w:rPr>
          <w:rFonts w:ascii="Cambria" w:hAnsi="Cambria"/>
          <w:lang w:val="es-ES_tradnl"/>
        </w:rPr>
        <w:t xml:space="preserve"> argu</w:t>
      </w:r>
      <w:r w:rsidRPr="00CD3501">
        <w:rPr>
          <w:rFonts w:ascii="Cambria" w:hAnsi="Cambria"/>
          <w:lang w:val="es-ES_tradnl"/>
        </w:rPr>
        <w:t xml:space="preserve">mentó que es posible impugnar los artículos pertinentes de la </w:t>
      </w:r>
      <w:r w:rsidR="000A3FB7" w:rsidRPr="00CD3501">
        <w:rPr>
          <w:rFonts w:ascii="Cambria" w:hAnsi="Cambria"/>
          <w:lang w:val="es-ES_tradnl"/>
        </w:rPr>
        <w:t>Ley de Delitos contra la Persona</w:t>
      </w:r>
      <w:r w:rsidR="0041301B" w:rsidRPr="00CD3501">
        <w:rPr>
          <w:rFonts w:ascii="Cambria" w:hAnsi="Cambria"/>
          <w:lang w:val="es-ES_tradnl"/>
        </w:rPr>
        <w:t xml:space="preserve">, </w:t>
      </w:r>
      <w:r w:rsidRPr="00CD3501">
        <w:rPr>
          <w:rFonts w:ascii="Cambria" w:hAnsi="Cambria"/>
          <w:lang w:val="es-ES_tradnl"/>
        </w:rPr>
        <w:t>pero no aportó pruebas de la existencia de un recurso efectivo</w:t>
      </w:r>
      <w:r w:rsidR="0041301B" w:rsidRPr="00CD3501">
        <w:rPr>
          <w:rFonts w:ascii="Cambria" w:hAnsi="Cambria"/>
          <w:lang w:val="es-ES_tradnl"/>
        </w:rPr>
        <w:t xml:space="preserve">. </w:t>
      </w:r>
    </w:p>
    <w:p w14:paraId="4CFAE8F5" w14:textId="77777777" w:rsidR="008C00E3" w:rsidRPr="00CD3501" w:rsidRDefault="008C00E3" w:rsidP="00A167CF">
      <w:pPr>
        <w:rPr>
          <w:lang w:val="es-ES_tradnl"/>
        </w:rPr>
      </w:pPr>
    </w:p>
    <w:p w14:paraId="14BC07B0" w14:textId="166F8957" w:rsidR="00924F1F" w:rsidRPr="00CD3501" w:rsidRDefault="00497B9A"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La Comisión</w:t>
      </w:r>
      <w:r w:rsidR="0041301B" w:rsidRPr="00CD3501">
        <w:rPr>
          <w:rFonts w:ascii="Cambria" w:hAnsi="Cambria"/>
          <w:lang w:val="es-ES_tradnl"/>
        </w:rPr>
        <w:t xml:space="preserve"> rec</w:t>
      </w:r>
      <w:r w:rsidR="00332115" w:rsidRPr="00CD3501">
        <w:rPr>
          <w:rFonts w:ascii="Cambria" w:hAnsi="Cambria"/>
          <w:lang w:val="es-ES_tradnl"/>
        </w:rPr>
        <w:t xml:space="preserve">uerda que en 2013 se impugnaron los artículos </w:t>
      </w:r>
      <w:r w:rsidR="0041301B" w:rsidRPr="00CD3501">
        <w:rPr>
          <w:rFonts w:ascii="Cambria" w:hAnsi="Cambria"/>
          <w:lang w:val="es-ES_tradnl"/>
        </w:rPr>
        <w:t xml:space="preserve">76, 77 </w:t>
      </w:r>
      <w:r w:rsidR="00332115" w:rsidRPr="00CD3501">
        <w:rPr>
          <w:rFonts w:ascii="Cambria" w:hAnsi="Cambria"/>
          <w:lang w:val="es-ES_tradnl"/>
        </w:rPr>
        <w:t>y</w:t>
      </w:r>
      <w:r w:rsidR="0041301B" w:rsidRPr="00CD3501">
        <w:rPr>
          <w:rFonts w:ascii="Cambria" w:hAnsi="Cambria"/>
          <w:lang w:val="es-ES_tradnl"/>
        </w:rPr>
        <w:t xml:space="preserve"> 79 </w:t>
      </w:r>
      <w:r w:rsidR="00332115" w:rsidRPr="00CD3501">
        <w:rPr>
          <w:rFonts w:ascii="Cambria" w:hAnsi="Cambria"/>
          <w:lang w:val="es-ES_tradnl"/>
        </w:rPr>
        <w:t xml:space="preserve">de la </w:t>
      </w:r>
      <w:r w:rsidR="000A3FB7" w:rsidRPr="00CD3501">
        <w:rPr>
          <w:rFonts w:ascii="Cambria" w:hAnsi="Cambria"/>
          <w:lang w:val="es-ES_tradnl"/>
        </w:rPr>
        <w:t>Ley de Delitos contra la Persona</w:t>
      </w:r>
      <w:r w:rsidR="00332115" w:rsidRPr="00CD3501">
        <w:rPr>
          <w:rFonts w:ascii="Cambria" w:hAnsi="Cambria"/>
          <w:lang w:val="es-ES_tradnl"/>
        </w:rPr>
        <w:t xml:space="preserve">, pero que la impugnación fue retirada, y que se interpuso otra en </w:t>
      </w:r>
      <w:r w:rsidR="0041301B" w:rsidRPr="00CD3501">
        <w:rPr>
          <w:rFonts w:ascii="Cambria" w:hAnsi="Cambria"/>
          <w:lang w:val="es-ES_tradnl"/>
        </w:rPr>
        <w:t xml:space="preserve">2015, </w:t>
      </w:r>
      <w:r w:rsidR="00332115" w:rsidRPr="00CD3501">
        <w:rPr>
          <w:rFonts w:ascii="Cambria" w:hAnsi="Cambria"/>
          <w:lang w:val="es-ES_tradnl"/>
        </w:rPr>
        <w:t>que todavía está pendiente</w:t>
      </w:r>
      <w:r w:rsidR="0041301B" w:rsidRPr="00CD3501">
        <w:rPr>
          <w:rFonts w:ascii="Cambria" w:hAnsi="Cambria"/>
          <w:lang w:val="es-ES_tradnl"/>
        </w:rPr>
        <w:t>.</w:t>
      </w:r>
      <w:r w:rsidR="003067F3" w:rsidRPr="00CD3501">
        <w:rPr>
          <w:rFonts w:ascii="Cambria" w:hAnsi="Cambria"/>
          <w:lang w:val="es-ES_tradnl"/>
        </w:rPr>
        <w:t xml:space="preserve"> </w:t>
      </w:r>
      <w:r w:rsidR="0041301B" w:rsidRPr="00CD3501">
        <w:rPr>
          <w:rFonts w:ascii="Cambria" w:hAnsi="Cambria"/>
          <w:lang w:val="es-ES_tradnl"/>
        </w:rPr>
        <w:t xml:space="preserve"> </w:t>
      </w:r>
    </w:p>
    <w:p w14:paraId="189F26A7" w14:textId="77777777" w:rsidR="00924F1F" w:rsidRPr="00CD3501" w:rsidRDefault="00924F1F" w:rsidP="00A167CF">
      <w:pPr>
        <w:pStyle w:val="ListParagraph"/>
        <w:rPr>
          <w:lang w:val="es-ES_tradnl"/>
        </w:rPr>
      </w:pPr>
    </w:p>
    <w:p w14:paraId="525F1AE6" w14:textId="5055C3C1" w:rsidR="00393955" w:rsidRPr="00CD3501" w:rsidRDefault="00497B9A"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t>La CIDH</w:t>
      </w:r>
      <w:r w:rsidR="00393955" w:rsidRPr="00CD3501">
        <w:rPr>
          <w:rFonts w:ascii="Cambria" w:hAnsi="Cambria"/>
          <w:lang w:val="es-ES_tradnl"/>
        </w:rPr>
        <w:t xml:space="preserve"> consider</w:t>
      </w:r>
      <w:r w:rsidR="00332115" w:rsidRPr="00CD3501">
        <w:rPr>
          <w:rFonts w:ascii="Cambria" w:hAnsi="Cambria"/>
          <w:lang w:val="es-ES_tradnl"/>
        </w:rPr>
        <w:t xml:space="preserve">a que la mera presentación de una acción no </w:t>
      </w:r>
      <w:r w:rsidR="005A27A5" w:rsidRPr="00CD3501">
        <w:rPr>
          <w:rFonts w:ascii="Cambria" w:hAnsi="Cambria"/>
          <w:lang w:val="es-ES_tradnl"/>
        </w:rPr>
        <w:t xml:space="preserve">constituye </w:t>
      </w:r>
      <w:r w:rsidR="00332115" w:rsidRPr="00CD3501">
        <w:rPr>
          <w:rFonts w:ascii="Cambria" w:hAnsi="Cambria"/>
          <w:lang w:val="es-ES_tradnl"/>
        </w:rPr>
        <w:t xml:space="preserve">prueba de la existencia y la efectividad de un recurso, especialmente en vista del texto de una ley que dice expresamente que no se puede declarar la inconstitucionalidad de </w:t>
      </w:r>
      <w:r w:rsidR="00704E13" w:rsidRPr="00CD3501">
        <w:rPr>
          <w:rFonts w:ascii="Cambria" w:hAnsi="Cambria"/>
          <w:lang w:val="es-ES_tradnl"/>
        </w:rPr>
        <w:t xml:space="preserve">los </w:t>
      </w:r>
      <w:r w:rsidR="00332115" w:rsidRPr="00CD3501">
        <w:rPr>
          <w:rFonts w:ascii="Cambria" w:hAnsi="Cambria"/>
          <w:lang w:val="es-ES_tradnl"/>
        </w:rPr>
        <w:t xml:space="preserve">delitos </w:t>
      </w:r>
      <w:r w:rsidR="00393955" w:rsidRPr="00CD3501">
        <w:rPr>
          <w:rFonts w:ascii="Cambria" w:hAnsi="Cambria"/>
          <w:lang w:val="es-ES_tradnl"/>
        </w:rPr>
        <w:t>sexual</w:t>
      </w:r>
      <w:r w:rsidR="00332115" w:rsidRPr="00CD3501">
        <w:rPr>
          <w:rFonts w:ascii="Cambria" w:hAnsi="Cambria"/>
          <w:lang w:val="es-ES_tradnl"/>
        </w:rPr>
        <w:t xml:space="preserve">es, como los que se reglamentan en los artículos antedichos de la </w:t>
      </w:r>
      <w:r w:rsidR="000A3FB7" w:rsidRPr="00CD3501">
        <w:rPr>
          <w:rFonts w:ascii="Cambria" w:hAnsi="Cambria"/>
          <w:lang w:val="es-ES_tradnl"/>
        </w:rPr>
        <w:t>Ley de Delitos contra la Persona</w:t>
      </w:r>
      <w:r w:rsidR="00393955" w:rsidRPr="00CD3501">
        <w:rPr>
          <w:rFonts w:ascii="Cambria" w:hAnsi="Cambria"/>
          <w:lang w:val="es-ES_tradnl"/>
        </w:rPr>
        <w:t xml:space="preserve">. </w:t>
      </w:r>
      <w:r w:rsidR="00332115" w:rsidRPr="00CD3501">
        <w:rPr>
          <w:rFonts w:ascii="Cambria" w:hAnsi="Cambria"/>
          <w:lang w:val="es-ES_tradnl"/>
        </w:rPr>
        <w:t>Por consiguiente</w:t>
      </w:r>
      <w:r w:rsidR="00393955" w:rsidRPr="00CD3501">
        <w:rPr>
          <w:rFonts w:ascii="Cambria" w:hAnsi="Cambria"/>
          <w:lang w:val="es-ES_tradnl"/>
        </w:rPr>
        <w:t xml:space="preserve">, </w:t>
      </w:r>
      <w:r w:rsidRPr="00CD3501">
        <w:rPr>
          <w:rFonts w:ascii="Cambria" w:hAnsi="Cambria"/>
          <w:lang w:val="es-ES_tradnl"/>
        </w:rPr>
        <w:t>la Comisión</w:t>
      </w:r>
      <w:r w:rsidR="00393955" w:rsidRPr="00CD3501">
        <w:rPr>
          <w:rFonts w:ascii="Cambria" w:hAnsi="Cambria"/>
          <w:lang w:val="es-ES_tradnl"/>
        </w:rPr>
        <w:t xml:space="preserve"> consider</w:t>
      </w:r>
      <w:r w:rsidR="00332115" w:rsidRPr="00CD3501">
        <w:rPr>
          <w:rFonts w:ascii="Cambria" w:hAnsi="Cambria"/>
          <w:lang w:val="es-ES_tradnl"/>
        </w:rPr>
        <w:t xml:space="preserve">a que </w:t>
      </w:r>
      <w:r w:rsidR="00393955" w:rsidRPr="00CD3501">
        <w:rPr>
          <w:rFonts w:ascii="Cambria" w:hAnsi="Cambria"/>
          <w:lang w:val="es-ES_tradnl"/>
        </w:rPr>
        <w:t xml:space="preserve">Gareth Henry </w:t>
      </w:r>
      <w:r w:rsidR="00332115" w:rsidRPr="00CD3501">
        <w:rPr>
          <w:rFonts w:ascii="Cambria" w:hAnsi="Cambria"/>
          <w:lang w:val="es-ES_tradnl"/>
        </w:rPr>
        <w:t>y</w:t>
      </w:r>
      <w:r w:rsidR="00393955" w:rsidRPr="00CD3501">
        <w:rPr>
          <w:rFonts w:ascii="Cambria" w:hAnsi="Cambria"/>
          <w:lang w:val="es-ES_tradnl"/>
        </w:rPr>
        <w:t xml:space="preserve"> Simone Carline Edwards </w:t>
      </w:r>
      <w:r w:rsidR="00332115" w:rsidRPr="00CD3501">
        <w:rPr>
          <w:rFonts w:ascii="Cambria" w:hAnsi="Cambria"/>
          <w:lang w:val="es-ES_tradnl"/>
        </w:rPr>
        <w:t>no contaron con un recurso efectivo que los protegiera contra actos violatorios de sus derechos humanos.</w:t>
      </w:r>
    </w:p>
    <w:p w14:paraId="43CF724A" w14:textId="77777777" w:rsidR="00924F1F" w:rsidRPr="00CD3501" w:rsidRDefault="00924F1F" w:rsidP="00A167CF">
      <w:pPr>
        <w:pStyle w:val="ListParagraph"/>
        <w:rPr>
          <w:lang w:val="es-ES_tradnl"/>
        </w:rPr>
      </w:pPr>
    </w:p>
    <w:p w14:paraId="2C9AA598" w14:textId="7989B9DE" w:rsidR="00924F1F" w:rsidRPr="00CD3501" w:rsidRDefault="00332115" w:rsidP="00C12E55">
      <w:pPr>
        <w:pStyle w:val="parrafos"/>
        <w:numPr>
          <w:ilvl w:val="0"/>
          <w:numId w:val="57"/>
        </w:numPr>
        <w:tabs>
          <w:tab w:val="clear" w:pos="360"/>
          <w:tab w:val="clear" w:pos="1080"/>
        </w:tabs>
        <w:ind w:left="0" w:firstLine="0"/>
        <w:rPr>
          <w:rFonts w:ascii="Cambria" w:hAnsi="Cambria"/>
          <w:lang w:val="es-ES_tradnl"/>
        </w:rPr>
      </w:pPr>
      <w:r w:rsidRPr="00CD3501">
        <w:rPr>
          <w:rFonts w:ascii="Cambria" w:hAnsi="Cambria"/>
          <w:lang w:val="es-ES_tradnl"/>
        </w:rPr>
        <w:lastRenderedPageBreak/>
        <w:t>En virtud de las consideraciones precedentes</w:t>
      </w:r>
      <w:r w:rsidR="00924F1F" w:rsidRPr="00CD3501">
        <w:rPr>
          <w:rFonts w:ascii="Cambria" w:hAnsi="Cambria"/>
          <w:lang w:val="es-ES_tradnl"/>
        </w:rPr>
        <w:t xml:space="preserve">, </w:t>
      </w:r>
      <w:r w:rsidR="00497B9A" w:rsidRPr="00CD3501">
        <w:rPr>
          <w:rFonts w:ascii="Cambria" w:hAnsi="Cambria"/>
          <w:lang w:val="es-ES_tradnl"/>
        </w:rPr>
        <w:t>la Comisión</w:t>
      </w:r>
      <w:r w:rsidR="00924F1F" w:rsidRPr="00CD3501">
        <w:rPr>
          <w:rFonts w:ascii="Cambria" w:hAnsi="Cambria"/>
          <w:lang w:val="es-ES_tradnl"/>
        </w:rPr>
        <w:t xml:space="preserve"> conclu</w:t>
      </w:r>
      <w:r w:rsidRPr="00CD3501">
        <w:rPr>
          <w:rFonts w:ascii="Cambria" w:hAnsi="Cambria"/>
          <w:lang w:val="es-ES_tradnl"/>
        </w:rPr>
        <w:t>ye que e</w:t>
      </w:r>
      <w:r w:rsidR="009A3641" w:rsidRPr="00CD3501">
        <w:rPr>
          <w:rFonts w:ascii="Cambria" w:hAnsi="Cambria"/>
          <w:lang w:val="es-ES_tradnl"/>
        </w:rPr>
        <w:t>l Estado</w:t>
      </w:r>
      <w:r w:rsidR="00924F1F" w:rsidRPr="00CD3501">
        <w:rPr>
          <w:rFonts w:ascii="Cambria" w:hAnsi="Cambria"/>
          <w:lang w:val="es-ES_tradnl"/>
        </w:rPr>
        <w:t xml:space="preserve"> </w:t>
      </w:r>
      <w:r w:rsidRPr="00CD3501">
        <w:rPr>
          <w:rFonts w:ascii="Cambria" w:hAnsi="Cambria"/>
          <w:lang w:val="es-ES_tradnl"/>
        </w:rPr>
        <w:t>de</w:t>
      </w:r>
      <w:r w:rsidR="00924F1F" w:rsidRPr="00CD3501">
        <w:rPr>
          <w:rFonts w:ascii="Cambria" w:hAnsi="Cambria"/>
          <w:lang w:val="es-ES_tradnl"/>
        </w:rPr>
        <w:t xml:space="preserve"> Jamaica </w:t>
      </w:r>
      <w:r w:rsidRPr="00CD3501">
        <w:rPr>
          <w:rFonts w:ascii="Cambria" w:hAnsi="Cambria"/>
          <w:lang w:val="es-ES_tradnl"/>
        </w:rPr>
        <w:t>e</w:t>
      </w:r>
      <w:r w:rsidR="00924F1F" w:rsidRPr="00CD3501">
        <w:rPr>
          <w:rFonts w:ascii="Cambria" w:hAnsi="Cambria"/>
          <w:lang w:val="es-ES_tradnl"/>
        </w:rPr>
        <w:t>s respons</w:t>
      </w:r>
      <w:r w:rsidRPr="00CD3501">
        <w:rPr>
          <w:rFonts w:ascii="Cambria" w:hAnsi="Cambria"/>
          <w:lang w:val="es-ES_tradnl"/>
        </w:rPr>
        <w:t>a</w:t>
      </w:r>
      <w:r w:rsidR="00924F1F" w:rsidRPr="00CD3501">
        <w:rPr>
          <w:rFonts w:ascii="Cambria" w:hAnsi="Cambria"/>
          <w:lang w:val="es-ES_tradnl"/>
        </w:rPr>
        <w:t xml:space="preserve">ble </w:t>
      </w:r>
      <w:r w:rsidRPr="00CD3501">
        <w:rPr>
          <w:rFonts w:ascii="Cambria" w:hAnsi="Cambria"/>
          <w:lang w:val="es-ES_tradnl"/>
        </w:rPr>
        <w:t>de la violación</w:t>
      </w:r>
      <w:r w:rsidR="00924F1F" w:rsidRPr="00CD3501">
        <w:rPr>
          <w:rFonts w:ascii="Cambria" w:hAnsi="Cambria"/>
          <w:lang w:val="es-ES_tradnl"/>
        </w:rPr>
        <w:t xml:space="preserve"> </w:t>
      </w:r>
      <w:r w:rsidRPr="00CD3501">
        <w:rPr>
          <w:rFonts w:ascii="Cambria" w:hAnsi="Cambria"/>
          <w:lang w:val="es-ES_tradnl"/>
        </w:rPr>
        <w:t>del derecho a la</w:t>
      </w:r>
      <w:r w:rsidR="00924F1F" w:rsidRPr="00CD3501">
        <w:rPr>
          <w:rFonts w:ascii="Cambria" w:hAnsi="Cambria"/>
          <w:lang w:val="es-ES_tradnl"/>
        </w:rPr>
        <w:t xml:space="preserve"> </w:t>
      </w:r>
      <w:r w:rsidR="00910B10" w:rsidRPr="00CD3501">
        <w:rPr>
          <w:rFonts w:ascii="Cambria" w:hAnsi="Cambria"/>
          <w:lang w:val="es-ES_tradnl"/>
        </w:rPr>
        <w:t>protección judicial</w:t>
      </w:r>
      <w:r w:rsidR="00924F1F" w:rsidRPr="00CD3501">
        <w:rPr>
          <w:rFonts w:ascii="Cambria" w:hAnsi="Cambria"/>
          <w:lang w:val="es-ES_tradnl"/>
        </w:rPr>
        <w:t xml:space="preserve"> </w:t>
      </w:r>
      <w:r w:rsidRPr="00CD3501">
        <w:rPr>
          <w:rFonts w:ascii="Cambria" w:hAnsi="Cambria"/>
          <w:lang w:val="es-ES_tradnl"/>
        </w:rPr>
        <w:t xml:space="preserve">amparado </w:t>
      </w:r>
      <w:r w:rsidR="00704E13" w:rsidRPr="00CD3501">
        <w:rPr>
          <w:rFonts w:ascii="Cambria" w:hAnsi="Cambria"/>
          <w:lang w:val="es-ES_tradnl"/>
        </w:rPr>
        <w:t>por</w:t>
      </w:r>
      <w:r w:rsidRPr="00CD3501">
        <w:rPr>
          <w:rFonts w:ascii="Cambria" w:hAnsi="Cambria"/>
          <w:lang w:val="es-ES_tradnl"/>
        </w:rPr>
        <w:t xml:space="preserve"> el artículo </w:t>
      </w:r>
      <w:r w:rsidR="00924F1F" w:rsidRPr="00CD3501">
        <w:rPr>
          <w:rFonts w:ascii="Cambria" w:hAnsi="Cambria"/>
          <w:lang w:val="es-ES_tradnl"/>
        </w:rPr>
        <w:t xml:space="preserve">25.1 </w:t>
      </w:r>
      <w:r w:rsidRPr="00CD3501">
        <w:rPr>
          <w:rFonts w:ascii="Cambria" w:hAnsi="Cambria"/>
          <w:lang w:val="es-ES_tradnl"/>
        </w:rPr>
        <w:t xml:space="preserve">de la </w:t>
      </w:r>
      <w:r w:rsidR="009A3641" w:rsidRPr="00CD3501">
        <w:rPr>
          <w:rFonts w:ascii="Cambria" w:hAnsi="Cambria"/>
          <w:lang w:val="es-ES_tradnl"/>
        </w:rPr>
        <w:t>Convención Americana</w:t>
      </w:r>
      <w:r w:rsidR="00924F1F" w:rsidRPr="00CD3501">
        <w:rPr>
          <w:rFonts w:ascii="Cambria" w:hAnsi="Cambria"/>
          <w:lang w:val="es-ES_tradnl"/>
        </w:rPr>
        <w:t xml:space="preserve">, </w:t>
      </w:r>
      <w:r w:rsidRPr="00CD3501">
        <w:rPr>
          <w:rFonts w:ascii="Cambria" w:hAnsi="Cambria"/>
          <w:lang w:val="es-ES_tradnl"/>
        </w:rPr>
        <w:t>en relación con las obligaciones establecidas en los artículos</w:t>
      </w:r>
      <w:r w:rsidR="00924F1F" w:rsidRPr="00CD3501">
        <w:rPr>
          <w:rFonts w:ascii="Cambria" w:hAnsi="Cambria"/>
          <w:lang w:val="es-ES_tradnl"/>
        </w:rPr>
        <w:t xml:space="preserve"> 1.1 </w:t>
      </w:r>
      <w:r w:rsidRPr="00CD3501">
        <w:rPr>
          <w:rFonts w:ascii="Cambria" w:hAnsi="Cambria"/>
          <w:lang w:val="es-ES_tradnl"/>
        </w:rPr>
        <w:t>y</w:t>
      </w:r>
      <w:r w:rsidR="00924F1F" w:rsidRPr="00CD3501">
        <w:rPr>
          <w:rFonts w:ascii="Cambria" w:hAnsi="Cambria"/>
          <w:lang w:val="es-ES_tradnl"/>
        </w:rPr>
        <w:t xml:space="preserve"> 2 </w:t>
      </w:r>
      <w:r w:rsidRPr="00CD3501">
        <w:rPr>
          <w:rFonts w:ascii="Cambria" w:hAnsi="Cambria"/>
          <w:lang w:val="es-ES_tradnl"/>
        </w:rPr>
        <w:t xml:space="preserve">de dicho instrumento, en perjuicio de </w:t>
      </w:r>
      <w:r w:rsidR="00924F1F" w:rsidRPr="00CD3501">
        <w:rPr>
          <w:rFonts w:ascii="Cambria" w:hAnsi="Cambria"/>
          <w:lang w:val="es-ES_tradnl"/>
        </w:rPr>
        <w:t xml:space="preserve">Gareth Henry </w:t>
      </w:r>
      <w:r w:rsidRPr="00CD3501">
        <w:rPr>
          <w:rFonts w:ascii="Cambria" w:hAnsi="Cambria"/>
          <w:lang w:val="es-ES_tradnl"/>
        </w:rPr>
        <w:t>y</w:t>
      </w:r>
      <w:r w:rsidR="00924F1F" w:rsidRPr="00CD3501">
        <w:rPr>
          <w:rFonts w:ascii="Cambria" w:hAnsi="Cambria"/>
          <w:lang w:val="es-ES_tradnl"/>
        </w:rPr>
        <w:t xml:space="preserve"> Simone Carline Edwards. </w:t>
      </w:r>
    </w:p>
    <w:p w14:paraId="03D8A804" w14:textId="7A150ED8" w:rsidR="00E44D02" w:rsidRPr="00CD3501" w:rsidRDefault="00E44D02" w:rsidP="00E44D02">
      <w:pPr>
        <w:pStyle w:val="Heading1"/>
        <w:numPr>
          <w:ilvl w:val="0"/>
          <w:numId w:val="0"/>
        </w:numPr>
        <w:spacing w:before="0"/>
        <w:rPr>
          <w:color w:val="auto"/>
          <w:sz w:val="20"/>
          <w:szCs w:val="20"/>
          <w:lang w:val="es-ES_tradnl"/>
        </w:rPr>
      </w:pPr>
      <w:bookmarkStart w:id="24" w:name="_Toc16152290"/>
    </w:p>
    <w:p w14:paraId="29B25E42" w14:textId="77777777" w:rsidR="00E44D02" w:rsidRPr="00CD3501" w:rsidRDefault="00E44D02" w:rsidP="00E44D02">
      <w:pPr>
        <w:pStyle w:val="Heading1"/>
        <w:spacing w:before="0"/>
        <w:ind w:hanging="720"/>
        <w:rPr>
          <w:color w:val="auto"/>
          <w:sz w:val="20"/>
          <w:szCs w:val="20"/>
          <w:lang w:val="es-ES_tradnl"/>
        </w:rPr>
      </w:pPr>
      <w:bookmarkStart w:id="25" w:name="_Toc58425600"/>
      <w:r w:rsidRPr="00CD3501">
        <w:rPr>
          <w:color w:val="auto"/>
          <w:sz w:val="20"/>
          <w:szCs w:val="20"/>
          <w:lang w:val="es-ES_tradnl"/>
        </w:rPr>
        <w:t>ACCIONES POSTERIORES AL INFORME NO. 159/19</w:t>
      </w:r>
      <w:bookmarkEnd w:id="25"/>
    </w:p>
    <w:p w14:paraId="3AD6E008" w14:textId="77777777" w:rsidR="00E44D02" w:rsidRPr="00CD3501" w:rsidRDefault="00E44D02" w:rsidP="00E44D02">
      <w:pPr>
        <w:rPr>
          <w:lang w:val="es-ES_tradnl"/>
        </w:rPr>
      </w:pPr>
    </w:p>
    <w:p w14:paraId="605D7120" w14:textId="77777777" w:rsidR="00E44D02" w:rsidRPr="00CD3501" w:rsidRDefault="00E44D02" w:rsidP="00E44D02">
      <w:pPr>
        <w:pStyle w:val="parrafos"/>
        <w:numPr>
          <w:ilvl w:val="0"/>
          <w:numId w:val="57"/>
        </w:numPr>
        <w:tabs>
          <w:tab w:val="clear" w:pos="1080"/>
          <w:tab w:val="left" w:pos="720"/>
        </w:tabs>
        <w:ind w:left="0" w:firstLine="0"/>
        <w:rPr>
          <w:rFonts w:ascii="Cambria" w:hAnsi="Cambria"/>
          <w:lang w:val="es-ES_tradnl"/>
        </w:rPr>
      </w:pPr>
      <w:r w:rsidRPr="00CD3501">
        <w:rPr>
          <w:rFonts w:ascii="Cambria" w:hAnsi="Cambria"/>
          <w:lang w:val="es-ES_tradnl"/>
        </w:rPr>
        <w:t xml:space="preserve">El 28 de septiembre de 2019, la Comisión aprobó el Informe No. 159/19 sobre el fondo de este caso, que abarca los párrafos 1 a 99 </w:t>
      </w:r>
      <w:r w:rsidRPr="00CD3501">
        <w:rPr>
          <w:rFonts w:ascii="Cambria" w:hAnsi="Cambria"/>
          <w:i/>
          <w:iCs/>
          <w:lang w:val="es-ES_tradnl"/>
        </w:rPr>
        <w:t>supra</w:t>
      </w:r>
      <w:r w:rsidRPr="00CD3501">
        <w:rPr>
          <w:rFonts w:ascii="Cambria" w:hAnsi="Cambria"/>
          <w:lang w:val="es-ES_tradnl"/>
        </w:rPr>
        <w:t xml:space="preserve"> y formuló las siguientes recomendaciones al Estado:</w:t>
      </w:r>
    </w:p>
    <w:p w14:paraId="33EF12F2" w14:textId="710B80D6" w:rsidR="00E44D02" w:rsidRPr="00CD3501" w:rsidRDefault="00E44D02" w:rsidP="00E44D02">
      <w:pPr>
        <w:jc w:val="both"/>
        <w:rPr>
          <w:rFonts w:ascii="Cambria" w:hAnsi="Cambria"/>
          <w:b/>
          <w:sz w:val="20"/>
          <w:szCs w:val="20"/>
          <w:lang w:val="es-ES_tradnl"/>
        </w:rPr>
      </w:pPr>
    </w:p>
    <w:p w14:paraId="75B6AF78" w14:textId="77777777" w:rsidR="00E44D02" w:rsidRPr="00CD3501" w:rsidRDefault="00E44D02" w:rsidP="00E44D02">
      <w:pPr>
        <w:pStyle w:val="BodyText3"/>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s>
        <w:spacing w:after="0"/>
        <w:ind w:left="360" w:hanging="360"/>
        <w:jc w:val="both"/>
        <w:rPr>
          <w:sz w:val="20"/>
          <w:szCs w:val="20"/>
          <w:lang w:val="es-ES_tradnl"/>
        </w:rPr>
      </w:pPr>
      <w:r w:rsidRPr="00CD3501">
        <w:rPr>
          <w:sz w:val="20"/>
          <w:szCs w:val="20"/>
          <w:lang w:val="es-ES_tradnl"/>
        </w:rPr>
        <w:t xml:space="preserve">Reparar integralmente las violaciones de derechos humanos señaladas en el presente, en el aspecto tanto material como inmaterial. Ello debe incluir medidas de satisfacción y una indemnización pecuniaria. </w:t>
      </w:r>
    </w:p>
    <w:p w14:paraId="7C767B76" w14:textId="77777777" w:rsidR="00E44D02" w:rsidRPr="00CD3501" w:rsidRDefault="00E44D02" w:rsidP="00E44D02">
      <w:pPr>
        <w:rPr>
          <w:sz w:val="20"/>
          <w:szCs w:val="20"/>
          <w:lang w:val="es-ES_tradnl"/>
        </w:rPr>
      </w:pPr>
    </w:p>
    <w:p w14:paraId="686B5B38" w14:textId="77777777" w:rsidR="00E44D02" w:rsidRPr="00CD3501" w:rsidRDefault="00E44D02" w:rsidP="00E44D02">
      <w:pPr>
        <w:pStyle w:val="BodyText3"/>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s>
        <w:spacing w:after="0"/>
        <w:ind w:left="360" w:hanging="360"/>
        <w:jc w:val="both"/>
        <w:rPr>
          <w:sz w:val="20"/>
          <w:szCs w:val="20"/>
          <w:lang w:val="es-ES_tradnl"/>
        </w:rPr>
      </w:pPr>
      <w:r w:rsidRPr="00CD3501">
        <w:rPr>
          <w:sz w:val="20"/>
          <w:szCs w:val="20"/>
          <w:lang w:val="es-ES_tradnl"/>
        </w:rPr>
        <w:t>Adoptar las medidas de no repetición necesarias para evitar que se produzcan incidentes similares en el futuro; específicamente:</w:t>
      </w:r>
    </w:p>
    <w:p w14:paraId="79976F32" w14:textId="77777777" w:rsidR="00E44D02" w:rsidRPr="00CD3501" w:rsidRDefault="00E44D02" w:rsidP="00E44D02">
      <w:pPr>
        <w:pStyle w:val="ListParagraph"/>
        <w:rPr>
          <w:sz w:val="20"/>
          <w:szCs w:val="20"/>
          <w:lang w:val="es-ES_tradnl"/>
        </w:rPr>
      </w:pPr>
    </w:p>
    <w:p w14:paraId="4191DB08" w14:textId="77777777" w:rsidR="00E44D02" w:rsidRPr="00CD3501" w:rsidRDefault="00E44D02" w:rsidP="00E44D02">
      <w:pPr>
        <w:pStyle w:val="BodyText3"/>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left" w:pos="9360"/>
        </w:tabs>
        <w:spacing w:after="0"/>
        <w:jc w:val="both"/>
        <w:rPr>
          <w:sz w:val="20"/>
          <w:szCs w:val="20"/>
          <w:lang w:val="es-ES_tradnl"/>
        </w:rPr>
      </w:pPr>
      <w:r w:rsidRPr="00CD3501">
        <w:rPr>
          <w:sz w:val="20"/>
          <w:szCs w:val="20"/>
          <w:lang w:val="es-ES_tradnl"/>
        </w:rPr>
        <w:t>derogar los artículos de la Ley de Delitos contra la Persona que tipifican como delito la actividad sexual consensual realizada en privado entre adultos y la conducta sexual entre hombres que tienen relaciones sexuales con otros hombres o con homosexuales.</w:t>
      </w:r>
    </w:p>
    <w:p w14:paraId="138CA424" w14:textId="77777777" w:rsidR="00E44D02" w:rsidRPr="00CD3501" w:rsidRDefault="00E44D02" w:rsidP="00E44D02">
      <w:pPr>
        <w:pStyle w:val="BodyText3"/>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left" w:pos="9360"/>
        </w:tabs>
        <w:spacing w:after="0"/>
        <w:jc w:val="both"/>
        <w:rPr>
          <w:sz w:val="20"/>
          <w:szCs w:val="20"/>
          <w:lang w:val="es-ES_tradnl"/>
        </w:rPr>
      </w:pPr>
      <w:r w:rsidRPr="00CD3501">
        <w:rPr>
          <w:sz w:val="20"/>
          <w:szCs w:val="20"/>
          <w:lang w:val="es-ES_tradnl"/>
        </w:rPr>
        <w:t>adoptar un marco legal o modificar legislación existente con miras a prohibir y sancionar toda forma de discriminación basada en la orientación sexual, identidad o expresión de género –real o percibida– y diversidad corporal;</w:t>
      </w:r>
    </w:p>
    <w:p w14:paraId="1581B194" w14:textId="77777777" w:rsidR="00E44D02" w:rsidRPr="00CD3501" w:rsidRDefault="00E44D02" w:rsidP="00E44D02">
      <w:pPr>
        <w:pStyle w:val="BodyText3"/>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left" w:pos="9360"/>
        </w:tabs>
        <w:spacing w:after="0"/>
        <w:jc w:val="both"/>
        <w:rPr>
          <w:sz w:val="20"/>
          <w:szCs w:val="20"/>
          <w:lang w:val="es-ES_tradnl"/>
        </w:rPr>
      </w:pPr>
      <w:r w:rsidRPr="00CD3501">
        <w:rPr>
          <w:sz w:val="20"/>
          <w:szCs w:val="20"/>
          <w:lang w:val="es-ES_tradnl"/>
        </w:rPr>
        <w:t xml:space="preserve"> Llevar a cabo la recolección y análisis de datos estadísticos de manera sistemática y desagregada en el Censo de Jamaica respecto de la prevalencia y naturaleza de la violencia y la discriminación por prejuicio contra las personas basado en su orientación sexual, identidad o expresión de género –real o percibida– y diversidad corporal;</w:t>
      </w:r>
    </w:p>
    <w:p w14:paraId="2B862C98" w14:textId="77777777" w:rsidR="00E44D02" w:rsidRPr="00CD3501" w:rsidRDefault="00E44D02" w:rsidP="00E44D02">
      <w:pPr>
        <w:pStyle w:val="BodyText3"/>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left" w:pos="9360"/>
        </w:tabs>
        <w:spacing w:after="0"/>
        <w:jc w:val="both"/>
        <w:rPr>
          <w:sz w:val="20"/>
          <w:szCs w:val="20"/>
          <w:lang w:val="es-ES_tradnl"/>
        </w:rPr>
      </w:pPr>
      <w:r w:rsidRPr="00CD3501">
        <w:rPr>
          <w:sz w:val="20"/>
          <w:szCs w:val="20"/>
          <w:lang w:val="es-ES_tradnl"/>
        </w:rPr>
        <w:t>aplicar el estándar de debida diligencia en la prevención, investigación, sanción y reparación de la violencia contra las personas LGBTI, independientemente de si la violencia ocurre en el contexto de la familia, la comunidad o la esfera pública, incluyendo en los ámbitos laboral, educativo y de salud. Garantizar que las investigaciones no estén permeadas por prejuicios basados en la orientación sexual y/o identidad de género real o percibida de la víctima o del perpetrador.</w:t>
      </w:r>
    </w:p>
    <w:p w14:paraId="5569950A" w14:textId="310A8BDC" w:rsidR="00E44D02" w:rsidRPr="00CD3501" w:rsidRDefault="00E44D02" w:rsidP="00E44D02">
      <w:pPr>
        <w:pStyle w:val="BodyText3"/>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left" w:pos="9360"/>
        </w:tabs>
        <w:spacing w:after="0"/>
        <w:jc w:val="both"/>
        <w:rPr>
          <w:sz w:val="20"/>
          <w:szCs w:val="20"/>
          <w:lang w:val="es-ES_tradnl"/>
        </w:rPr>
      </w:pPr>
      <w:r w:rsidRPr="00CD3501">
        <w:rPr>
          <w:sz w:val="20"/>
          <w:szCs w:val="20"/>
          <w:lang w:val="es-ES_tradnl"/>
        </w:rPr>
        <w:t xml:space="preserve"> Realizar actividades de capacitación, periódicas y sostenidas, para funcionarios públicos de Jamaica sobre orientación sexual, identidad de género y expresión de género, diversidad corporal, y los desafíos que estas personas enfrentan, particularmente para jueces, fiscales, defensores públicos, y demás operadores de justicia, fuerzas de seguridad, y los sectores de educación, empleo y salud;</w:t>
      </w:r>
    </w:p>
    <w:p w14:paraId="4E8787F5" w14:textId="77777777" w:rsidR="00E44D02" w:rsidRPr="00CD3501" w:rsidRDefault="00E44D02" w:rsidP="00E44D02">
      <w:pPr>
        <w:pStyle w:val="BodyText3"/>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left" w:pos="9360"/>
        </w:tabs>
        <w:spacing w:after="0"/>
        <w:jc w:val="both"/>
        <w:rPr>
          <w:sz w:val="20"/>
          <w:szCs w:val="20"/>
          <w:lang w:val="es-ES_tradnl"/>
        </w:rPr>
      </w:pPr>
      <w:r w:rsidRPr="00CD3501">
        <w:rPr>
          <w:sz w:val="20"/>
          <w:szCs w:val="20"/>
          <w:lang w:val="es-ES_tradnl"/>
        </w:rPr>
        <w:t>Garantizar que los programas de educación de Jamaica estén diseñados con la inclusión de la perspectiva de género, garantizando la desconstrucción de estereotipos y prejuicios y basados en un modelo de garantía de la autonomía de todas las personas, en especial de las personas LGBTI. Incluir una educación sexual integral en el currículo escolar, de acuerdo con la capacidad progresiva de los niños, que incluya una perspectiva de diversidad corporal, sexual y el enfoque de género, garantizando que las políticas y programas educativos estén especialmente diseñados para modificar los patrones sociales y culturales de conductas perjudiciales.</w:t>
      </w:r>
    </w:p>
    <w:p w14:paraId="0E5F89B8" w14:textId="74FBA0DC" w:rsidR="00E44D02" w:rsidRPr="00CD3501" w:rsidRDefault="00E44D02" w:rsidP="00E44D02">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left" w:pos="9360"/>
        </w:tabs>
        <w:spacing w:after="0"/>
        <w:jc w:val="both"/>
        <w:rPr>
          <w:sz w:val="20"/>
          <w:szCs w:val="20"/>
          <w:lang w:val="es-ES_tradnl"/>
        </w:rPr>
      </w:pPr>
    </w:p>
    <w:p w14:paraId="78C64689" w14:textId="1C0FFB3C" w:rsidR="00E44D02" w:rsidRPr="00CD3501" w:rsidRDefault="00E44D02" w:rsidP="00E44D02">
      <w:pPr>
        <w:pStyle w:val="parrafos"/>
        <w:numPr>
          <w:ilvl w:val="0"/>
          <w:numId w:val="57"/>
        </w:numPr>
        <w:tabs>
          <w:tab w:val="clear" w:pos="1080"/>
          <w:tab w:val="left" w:pos="720"/>
        </w:tabs>
        <w:ind w:left="0" w:firstLine="0"/>
        <w:rPr>
          <w:rFonts w:ascii="Cambria" w:hAnsi="Cambria"/>
          <w:lang w:val="es-ES_tradnl"/>
        </w:rPr>
      </w:pPr>
      <w:r w:rsidRPr="00CD3501">
        <w:rPr>
          <w:rFonts w:ascii="Cambria" w:hAnsi="Cambria"/>
          <w:lang w:val="es-ES_tradnl"/>
        </w:rPr>
        <w:t>El 21 de noviembre de 2019 la Comisión transmitió el informe al Estado con un plazo de dos meses para informar a la Comisión Interamericana sobre las medidas adoptadas para cumplir con sus recomendaciones. En esa misma fecha, la CIDH notificó a los peticionarios sobre la aprobación del informe.</w:t>
      </w:r>
    </w:p>
    <w:p w14:paraId="698CF06D" w14:textId="77777777" w:rsidR="00E44D02" w:rsidRPr="00CD3501" w:rsidRDefault="00E44D02" w:rsidP="00E44D02">
      <w:pPr>
        <w:pStyle w:val="parrafos"/>
        <w:tabs>
          <w:tab w:val="left" w:pos="720"/>
        </w:tabs>
        <w:rPr>
          <w:rFonts w:ascii="Cambria" w:hAnsi="Cambria"/>
          <w:lang w:val="es-ES_tradnl"/>
        </w:rPr>
      </w:pPr>
    </w:p>
    <w:p w14:paraId="5EF06CC6" w14:textId="77777777" w:rsidR="00E44D02" w:rsidRPr="00CD3501" w:rsidRDefault="00E44D02" w:rsidP="00E44D02">
      <w:pPr>
        <w:pStyle w:val="parrafos"/>
        <w:numPr>
          <w:ilvl w:val="0"/>
          <w:numId w:val="57"/>
        </w:numPr>
        <w:tabs>
          <w:tab w:val="clear" w:pos="1080"/>
          <w:tab w:val="left" w:pos="720"/>
        </w:tabs>
        <w:ind w:left="0" w:firstLine="0"/>
        <w:rPr>
          <w:rFonts w:ascii="Cambria" w:hAnsi="Cambria"/>
          <w:lang w:val="es-ES_tradnl"/>
        </w:rPr>
      </w:pPr>
      <w:r w:rsidRPr="00CD3501">
        <w:rPr>
          <w:rFonts w:ascii="Cambria" w:hAnsi="Cambria"/>
          <w:lang w:val="es-ES_tradnl"/>
        </w:rPr>
        <w:t xml:space="preserve">El 9 de diciembre de 2019, el Estado presentó su respuesta a la Comisión. El Estado expresa que la transmisión del Informe de Fondo al peticionario constituyó una contravención del Artículo 50 de la Convención Americana sobre Derechos Humanos y del Artículo 44(2) del Reglamento de la CIDH. De acuerdo al Estado, el Articulo 50 consagra el principio de confidencialidad, que impide a la Comisión compartir el Informe de Fondo preliminar con cualquier parte excepto el Estado. Además, alega que esto constituye una </w:t>
      </w:r>
      <w:r w:rsidRPr="00CD3501">
        <w:rPr>
          <w:rFonts w:ascii="Cambria" w:hAnsi="Cambria"/>
          <w:lang w:val="es-ES_tradnl"/>
        </w:rPr>
        <w:lastRenderedPageBreak/>
        <w:t>violación grave del debido proceso y que la reparación más efectiva sería volver a aprobar un nuevo Informe de Fondo confidencial.</w:t>
      </w:r>
    </w:p>
    <w:p w14:paraId="4889C657" w14:textId="77777777" w:rsidR="00E44D02" w:rsidRPr="00CD3501" w:rsidRDefault="00E44D02" w:rsidP="00E44D02">
      <w:pPr>
        <w:pStyle w:val="ListParagraph"/>
        <w:rPr>
          <w:lang w:val="es-ES_tradnl"/>
        </w:rPr>
      </w:pPr>
    </w:p>
    <w:p w14:paraId="688ACC59" w14:textId="242488A1" w:rsidR="00E44D02" w:rsidRPr="00CD3501" w:rsidRDefault="00E44D02" w:rsidP="00E44D02">
      <w:pPr>
        <w:pStyle w:val="parrafos"/>
        <w:numPr>
          <w:ilvl w:val="0"/>
          <w:numId w:val="57"/>
        </w:numPr>
        <w:tabs>
          <w:tab w:val="clear" w:pos="1080"/>
          <w:tab w:val="left" w:pos="720"/>
        </w:tabs>
        <w:ind w:left="0" w:firstLine="0"/>
        <w:rPr>
          <w:rFonts w:ascii="Cambria" w:hAnsi="Cambria"/>
          <w:lang w:val="es-ES_tradnl"/>
        </w:rPr>
      </w:pPr>
      <w:r w:rsidRPr="00CD3501">
        <w:rPr>
          <w:rFonts w:ascii="Cambria" w:hAnsi="Cambria"/>
          <w:lang w:val="es-ES_tradnl"/>
        </w:rPr>
        <w:t>El Estado alega que la Comisión no se encuentra impedida de considerar o recibir observaciones adicionales de las partes antes de transmitir un Informe de Fondo a los Estados porque la violación de la confidencialidad supone que la Comisión todavía no ha transmitido un Informe de Fondo al Estado de conformidad con la Convención. Por lo tanto, el Estado que expresa que, si se considera prudente volver a adoptar un Informe de Fondo, las observaciones del Estado sobre el fondo debieran ser consideradas o incorporadas.</w:t>
      </w:r>
    </w:p>
    <w:p w14:paraId="2FCE5CE2" w14:textId="77777777" w:rsidR="00E44D02" w:rsidRPr="00CD3501" w:rsidRDefault="00E44D02" w:rsidP="00E44D02">
      <w:pPr>
        <w:pStyle w:val="ListParagraph"/>
        <w:rPr>
          <w:lang w:val="es-ES_tradnl"/>
        </w:rPr>
      </w:pPr>
    </w:p>
    <w:p w14:paraId="1ACE08D2" w14:textId="77777777" w:rsidR="00E44D02" w:rsidRPr="00CD3501" w:rsidRDefault="00E44D02" w:rsidP="00E44D02">
      <w:pPr>
        <w:pStyle w:val="parrafos"/>
        <w:numPr>
          <w:ilvl w:val="0"/>
          <w:numId w:val="57"/>
        </w:numPr>
        <w:tabs>
          <w:tab w:val="clear" w:pos="1080"/>
          <w:tab w:val="left" w:pos="720"/>
        </w:tabs>
        <w:ind w:left="0" w:firstLine="0"/>
        <w:rPr>
          <w:rFonts w:ascii="Cambria" w:hAnsi="Cambria"/>
          <w:lang w:val="es-ES_tradnl"/>
        </w:rPr>
      </w:pPr>
      <w:r w:rsidRPr="00CD3501">
        <w:rPr>
          <w:rFonts w:ascii="Cambria" w:hAnsi="Cambria"/>
          <w:lang w:val="es-ES_tradnl"/>
        </w:rPr>
        <w:t>En la misma fecha en que presentó su respuesta a la Comisión relativa al Informe de Fondo No. 159/19, el Estado presentó sus observaciones adicionales sobre el fondo del caso 13.637. El Estado argumenta que la Comisión carece de competencia para revisar, en abstracto, la legalidad del delito de sodomía y de delitos similares y que no se haya obligado por ninguna norma internacional que prohíba retener el delito de sodomía.</w:t>
      </w:r>
    </w:p>
    <w:p w14:paraId="6D351509" w14:textId="77777777" w:rsidR="00E44D02" w:rsidRPr="00CD3501" w:rsidRDefault="00E44D02" w:rsidP="00E44D02">
      <w:pPr>
        <w:pStyle w:val="ListParagraph"/>
        <w:rPr>
          <w:lang w:val="es-ES_tradnl"/>
        </w:rPr>
      </w:pPr>
    </w:p>
    <w:p w14:paraId="2874F5AE" w14:textId="77777777" w:rsidR="00E44D02" w:rsidRPr="00CD3501" w:rsidRDefault="00E44D02" w:rsidP="00E44D02">
      <w:pPr>
        <w:pStyle w:val="parrafos"/>
        <w:numPr>
          <w:ilvl w:val="0"/>
          <w:numId w:val="57"/>
        </w:numPr>
        <w:tabs>
          <w:tab w:val="clear" w:pos="1080"/>
          <w:tab w:val="left" w:pos="720"/>
        </w:tabs>
        <w:ind w:left="0" w:firstLine="0"/>
        <w:rPr>
          <w:rFonts w:ascii="Cambria" w:hAnsi="Cambria"/>
          <w:lang w:val="es-ES_tradnl"/>
        </w:rPr>
      </w:pPr>
      <w:r w:rsidRPr="00CD3501">
        <w:rPr>
          <w:rFonts w:ascii="Cambria" w:hAnsi="Cambria"/>
          <w:lang w:val="es-ES_tradnl"/>
        </w:rPr>
        <w:t xml:space="preserve">El Estado considera que la Comisión carece de competencia </w:t>
      </w:r>
      <w:r w:rsidRPr="00CD3501">
        <w:rPr>
          <w:rFonts w:ascii="Cambria" w:hAnsi="Cambria"/>
          <w:i/>
          <w:iCs/>
          <w:lang w:val="es-ES_tradnl"/>
        </w:rPr>
        <w:t>ratione personae</w:t>
      </w:r>
      <w:r w:rsidRPr="00CD3501">
        <w:rPr>
          <w:rFonts w:ascii="Cambria" w:hAnsi="Cambria"/>
          <w:lang w:val="es-ES_tradnl"/>
        </w:rPr>
        <w:t xml:space="preserve"> en el caso, porque de acuerdo con la jurisprudencia de la Comisión, para que Gareth Henry y Simone Edwards tuvieran legitimación como víctimas la petición debe demostrar que las leyes que se cuestionan han sido aplicadas en su perjuicio. La petición no puede simplemente alegar, en representación de la comunidad homosexual de Jamaica, que las leyes que se cuestionan se encuentran en contravención de la Convención Americana sin demostrar ninguna adversidad concreta.</w:t>
      </w:r>
    </w:p>
    <w:p w14:paraId="2A01CDFB" w14:textId="77777777" w:rsidR="00E44D02" w:rsidRPr="00CD3501" w:rsidRDefault="00E44D02" w:rsidP="00E44D02">
      <w:pPr>
        <w:pStyle w:val="ListParagraph"/>
        <w:rPr>
          <w:lang w:val="es-ES_tradnl"/>
        </w:rPr>
      </w:pPr>
    </w:p>
    <w:p w14:paraId="2247F1C0" w14:textId="21BCB160" w:rsidR="00E44D02" w:rsidRPr="00CD3501" w:rsidRDefault="00E44D02" w:rsidP="00E44D02">
      <w:pPr>
        <w:pStyle w:val="parrafos"/>
        <w:numPr>
          <w:ilvl w:val="0"/>
          <w:numId w:val="57"/>
        </w:numPr>
        <w:tabs>
          <w:tab w:val="clear" w:pos="1080"/>
          <w:tab w:val="left" w:pos="720"/>
        </w:tabs>
        <w:ind w:left="0" w:firstLine="0"/>
        <w:rPr>
          <w:rFonts w:ascii="Cambria" w:hAnsi="Cambria"/>
          <w:lang w:val="es-ES_tradnl"/>
        </w:rPr>
      </w:pPr>
      <w:r w:rsidRPr="00CD3501">
        <w:rPr>
          <w:rFonts w:ascii="Cambria" w:hAnsi="Cambria"/>
          <w:lang w:val="es-ES_tradnl"/>
        </w:rPr>
        <w:t>El Estado alega que aunque existen decisiones del Tribunal Europeo de Derechos Humanos, el Comité de Derechos Humanos y el Sistema Inter</w:t>
      </w:r>
      <w:r w:rsidR="00FE5347" w:rsidRPr="00CD3501">
        <w:rPr>
          <w:rFonts w:ascii="Cambria" w:hAnsi="Cambria"/>
          <w:lang w:val="es-ES_tradnl"/>
        </w:rPr>
        <w:t>a</w:t>
      </w:r>
      <w:r w:rsidRPr="00CD3501">
        <w:rPr>
          <w:rFonts w:ascii="Cambria" w:hAnsi="Cambria"/>
          <w:lang w:val="es-ES_tradnl"/>
        </w:rPr>
        <w:t xml:space="preserve">mericano de Derechos Humanos que han calificado las sanciones en contra de la intimidad entre personas del mismo sexo como ilegales </w:t>
      </w:r>
      <w:r w:rsidRPr="00CD3501">
        <w:rPr>
          <w:rFonts w:ascii="Cambria" w:hAnsi="Cambria"/>
          <w:i/>
          <w:iCs/>
          <w:lang w:val="es-ES_tradnl"/>
        </w:rPr>
        <w:t>per se</w:t>
      </w:r>
      <w:r w:rsidRPr="00CD3501">
        <w:rPr>
          <w:rFonts w:ascii="Cambria" w:hAnsi="Cambria"/>
          <w:lang w:val="es-ES_tradnl"/>
        </w:rPr>
        <w:t>, esta jurisprudencia no ofrece un fundamento convincente para concluir que Jamaica se encontraría en violación de sus obligaciones internacional al preservar el delito de sodomía y delitos similares. La jurisprudencia relevante no ha interpretado de modo consistente los instrumentos de derechos humanos en el sentido de establecer un derecho humano amplio a tener intimidad sexual con quien uno quiera, de cualquier forma que uno quiera, siempre que exista consentimiento.</w:t>
      </w:r>
    </w:p>
    <w:p w14:paraId="3D1204E1" w14:textId="77777777" w:rsidR="00E44D02" w:rsidRPr="00CD3501" w:rsidRDefault="00E44D02" w:rsidP="00E44D02">
      <w:pPr>
        <w:pStyle w:val="ListParagraph"/>
        <w:rPr>
          <w:lang w:val="es-ES_tradnl"/>
        </w:rPr>
      </w:pPr>
    </w:p>
    <w:p w14:paraId="7751F311" w14:textId="77777777" w:rsidR="00E44D02" w:rsidRPr="00CD3501" w:rsidRDefault="00E44D02" w:rsidP="00E44D02">
      <w:pPr>
        <w:pStyle w:val="parrafos"/>
        <w:numPr>
          <w:ilvl w:val="0"/>
          <w:numId w:val="57"/>
        </w:numPr>
        <w:tabs>
          <w:tab w:val="clear" w:pos="1080"/>
          <w:tab w:val="left" w:pos="720"/>
        </w:tabs>
        <w:ind w:left="0" w:firstLine="0"/>
        <w:rPr>
          <w:rFonts w:ascii="Cambria" w:hAnsi="Cambria"/>
          <w:lang w:val="es-ES_tradnl"/>
        </w:rPr>
      </w:pPr>
      <w:r w:rsidRPr="00CD3501">
        <w:rPr>
          <w:rFonts w:ascii="Cambria" w:hAnsi="Cambria"/>
          <w:lang w:val="es-ES_tradnl"/>
        </w:rPr>
        <w:t>En conclusión, el Estado argumenta que no hay justificación convincente para interpretar que la Convención Americana impone a Jamaica la obligación de derogar el delito de sodomía ya que: 1) no existe evidencia de que los Estados Partes de la Convención Americana hayan tenido la intención de imponer tal obligación; 2) los Estados Partes no han alcanzado ningún acuerdo posterior para imponer tal obligación; 3) la costumbre no impone tal obligación; y 4) aún si la costumbre impone tal obligación, Jamaica no se encuentra obligada por ella ya que constituye un objetor persistente. Por lo tanto, se solicita a la CIDH decidir que Gareth Henry y Simone Edwards no son víctimas en este caso.</w:t>
      </w:r>
    </w:p>
    <w:p w14:paraId="1DE6D062" w14:textId="77777777" w:rsidR="00E44D02" w:rsidRPr="00CD3501" w:rsidRDefault="00E44D02" w:rsidP="00E44D02">
      <w:pPr>
        <w:pStyle w:val="parrafos"/>
        <w:tabs>
          <w:tab w:val="left" w:pos="720"/>
        </w:tabs>
        <w:rPr>
          <w:rFonts w:ascii="Cambria" w:hAnsi="Cambria"/>
          <w:lang w:val="es-ES_tradnl"/>
        </w:rPr>
      </w:pPr>
    </w:p>
    <w:p w14:paraId="3AD50729" w14:textId="77777777" w:rsidR="00E44D02" w:rsidRPr="00CD3501" w:rsidRDefault="00E44D02" w:rsidP="00E44D02">
      <w:pPr>
        <w:pStyle w:val="parrafos"/>
        <w:numPr>
          <w:ilvl w:val="0"/>
          <w:numId w:val="57"/>
        </w:numPr>
        <w:tabs>
          <w:tab w:val="clear" w:pos="1080"/>
          <w:tab w:val="left" w:pos="720"/>
        </w:tabs>
        <w:ind w:left="0" w:firstLine="0"/>
        <w:rPr>
          <w:rFonts w:ascii="Cambria" w:hAnsi="Cambria"/>
          <w:lang w:val="es-ES_tradnl"/>
        </w:rPr>
      </w:pPr>
      <w:r w:rsidRPr="00CD3501">
        <w:rPr>
          <w:rFonts w:ascii="Cambria" w:hAnsi="Cambria"/>
          <w:lang w:val="es-ES_tradnl"/>
        </w:rPr>
        <w:t>La Comisión recuerda que los Artículos 50 y 51 de la Convención American establecen que:</w:t>
      </w:r>
    </w:p>
    <w:p w14:paraId="7FD50218" w14:textId="09712771" w:rsidR="00E44D02" w:rsidRPr="00CD3501" w:rsidRDefault="00E44D02" w:rsidP="00E44D02">
      <w:pPr>
        <w:pStyle w:val="parrafos"/>
        <w:tabs>
          <w:tab w:val="left" w:pos="720"/>
        </w:tabs>
        <w:rPr>
          <w:rFonts w:ascii="Cambria" w:hAnsi="Cambria"/>
          <w:lang w:val="es-ES_tradnl"/>
        </w:rPr>
      </w:pPr>
      <w:r w:rsidRPr="00CD3501">
        <w:rPr>
          <w:rFonts w:ascii="Cambria" w:hAnsi="Cambria"/>
          <w:lang w:val="es-ES_tradnl"/>
        </w:rPr>
        <w:tab/>
      </w:r>
      <w:r w:rsidRPr="00CD3501">
        <w:rPr>
          <w:rFonts w:ascii="Cambria" w:hAnsi="Cambria"/>
          <w:lang w:val="es-ES_tradnl"/>
        </w:rPr>
        <w:tab/>
      </w:r>
      <w:r w:rsidRPr="00CD3501">
        <w:rPr>
          <w:rFonts w:ascii="Cambria" w:hAnsi="Cambria"/>
          <w:lang w:val="es-ES_tradnl"/>
        </w:rPr>
        <w:tab/>
      </w:r>
    </w:p>
    <w:p w14:paraId="5A59B131" w14:textId="77777777" w:rsidR="00E44D02" w:rsidRPr="00CD3501" w:rsidRDefault="00E44D02" w:rsidP="00E44D02">
      <w:pPr>
        <w:pStyle w:val="NormalWeb"/>
        <w:spacing w:before="90" w:beforeAutospacing="0" w:after="45" w:afterAutospacing="0" w:line="270" w:lineRule="atLeast"/>
        <w:ind w:left="75" w:right="75"/>
        <w:jc w:val="center"/>
        <w:rPr>
          <w:rFonts w:asciiTheme="majorHAnsi" w:hAnsiTheme="majorHAnsi" w:cs="Tahoma"/>
          <w:color w:val="000000"/>
          <w:sz w:val="18"/>
          <w:szCs w:val="18"/>
          <w:lang w:val="es-ES_tradnl"/>
        </w:rPr>
      </w:pPr>
      <w:r w:rsidRPr="00CD3501">
        <w:rPr>
          <w:rFonts w:asciiTheme="majorHAnsi" w:hAnsiTheme="majorHAnsi" w:cs="Tahoma"/>
          <w:b/>
          <w:bCs/>
          <w:color w:val="000000"/>
          <w:sz w:val="18"/>
          <w:szCs w:val="18"/>
          <w:lang w:val="es-ES_tradnl"/>
        </w:rPr>
        <w:t>Artículo 50</w:t>
      </w:r>
    </w:p>
    <w:p w14:paraId="3DEF8156" w14:textId="4A33A3E6" w:rsidR="00E44D02" w:rsidRPr="00CD3501" w:rsidRDefault="00E44D02" w:rsidP="00E44D02">
      <w:pPr>
        <w:pStyle w:val="NormalWeb"/>
        <w:spacing w:before="90" w:beforeAutospacing="0" w:after="45" w:afterAutospacing="0" w:line="270" w:lineRule="atLeast"/>
        <w:ind w:left="810" w:right="75"/>
        <w:jc w:val="both"/>
        <w:rPr>
          <w:rFonts w:asciiTheme="majorHAnsi" w:hAnsiTheme="majorHAnsi" w:cs="Tahoma"/>
          <w:color w:val="000000"/>
          <w:sz w:val="18"/>
          <w:szCs w:val="18"/>
          <w:lang w:val="es-ES_tradnl"/>
        </w:rPr>
      </w:pPr>
      <w:r w:rsidRPr="00CD3501">
        <w:rPr>
          <w:rFonts w:asciiTheme="majorHAnsi" w:hAnsiTheme="majorHAnsi" w:cs="Tahoma"/>
          <w:color w:val="000000"/>
          <w:sz w:val="18"/>
          <w:szCs w:val="18"/>
          <w:lang w:val="es-ES_tradnl"/>
        </w:rPr>
        <w:t>1. De no llegarse a una solución, y dentro del plazo que fije el Estatuto de la Comisión, ésta redactará un informe en el que expondrá los hechos y sus conclusiones.  Si el informe no representa, en todo o en parte, la opinión unánime de los miembros de la Comisión, cualquiera de ellos podrá agregar a dicho informe su opinión por separado.  También se agregarán al informe las exposiciones verbales o escritas que hayan hecho los interesados en virtud del inciso 1.e. del artículo 48.</w:t>
      </w:r>
    </w:p>
    <w:p w14:paraId="2841A699" w14:textId="01254992" w:rsidR="00E44D02" w:rsidRPr="00CD3501" w:rsidRDefault="00E44D02" w:rsidP="00E44D02">
      <w:pPr>
        <w:pStyle w:val="NormalWeb"/>
        <w:spacing w:before="90" w:beforeAutospacing="0" w:after="45" w:afterAutospacing="0" w:line="270" w:lineRule="atLeast"/>
        <w:ind w:left="810" w:right="75"/>
        <w:jc w:val="both"/>
        <w:rPr>
          <w:rFonts w:asciiTheme="majorHAnsi" w:hAnsiTheme="majorHAnsi" w:cs="Tahoma"/>
          <w:color w:val="000000"/>
          <w:sz w:val="18"/>
          <w:szCs w:val="18"/>
          <w:lang w:val="es-ES_tradnl"/>
        </w:rPr>
      </w:pPr>
      <w:r w:rsidRPr="00CD3501">
        <w:rPr>
          <w:rFonts w:asciiTheme="majorHAnsi" w:hAnsiTheme="majorHAnsi" w:cs="Tahoma"/>
          <w:color w:val="000000"/>
          <w:sz w:val="18"/>
          <w:szCs w:val="18"/>
          <w:lang w:val="es-ES_tradnl"/>
        </w:rPr>
        <w:t>2. El informe será transmitido a los Estados interesados, quienes no estarán facultados para publicarlo.</w:t>
      </w:r>
    </w:p>
    <w:p w14:paraId="79A0F3B3" w14:textId="54B418A4" w:rsidR="00E44D02" w:rsidRPr="00CD3501" w:rsidRDefault="00E44D02" w:rsidP="00E44D02">
      <w:pPr>
        <w:pStyle w:val="NormalWeb"/>
        <w:spacing w:before="90" w:beforeAutospacing="0" w:after="45" w:afterAutospacing="0" w:line="270" w:lineRule="atLeast"/>
        <w:ind w:left="810" w:right="75"/>
        <w:jc w:val="both"/>
        <w:rPr>
          <w:rFonts w:asciiTheme="majorHAnsi" w:hAnsiTheme="majorHAnsi" w:cs="Tahoma"/>
          <w:color w:val="000000"/>
          <w:sz w:val="18"/>
          <w:szCs w:val="18"/>
          <w:lang w:val="es-ES_tradnl"/>
        </w:rPr>
      </w:pPr>
      <w:r w:rsidRPr="00CD3501">
        <w:rPr>
          <w:rFonts w:asciiTheme="majorHAnsi" w:hAnsiTheme="majorHAnsi" w:cs="Tahoma"/>
          <w:color w:val="000000"/>
          <w:sz w:val="18"/>
          <w:szCs w:val="18"/>
          <w:lang w:val="es-ES_tradnl"/>
        </w:rPr>
        <w:t>3. Al transmitir el informe, la Comisión puede formular las proposiciones y recomendaciones que juzgue adecuadas.</w:t>
      </w:r>
    </w:p>
    <w:p w14:paraId="2EB21C1B" w14:textId="77777777" w:rsidR="00E44D02" w:rsidRPr="00CD3501" w:rsidRDefault="00E44D02" w:rsidP="00E44D02">
      <w:pPr>
        <w:pStyle w:val="NormalWeb"/>
        <w:spacing w:before="90" w:beforeAutospacing="0" w:after="45" w:afterAutospacing="0" w:line="270" w:lineRule="atLeast"/>
        <w:ind w:left="75" w:right="75"/>
        <w:jc w:val="center"/>
        <w:rPr>
          <w:rFonts w:asciiTheme="majorHAnsi" w:hAnsiTheme="majorHAnsi" w:cs="Tahoma"/>
          <w:color w:val="000000"/>
          <w:sz w:val="18"/>
          <w:szCs w:val="18"/>
          <w:lang w:val="es-ES_tradnl"/>
        </w:rPr>
      </w:pPr>
      <w:r w:rsidRPr="00CD3501">
        <w:rPr>
          <w:rFonts w:asciiTheme="majorHAnsi" w:hAnsiTheme="majorHAnsi" w:cs="Tahoma"/>
          <w:b/>
          <w:bCs/>
          <w:color w:val="000000"/>
          <w:sz w:val="18"/>
          <w:szCs w:val="18"/>
          <w:lang w:val="es-ES_tradnl"/>
        </w:rPr>
        <w:lastRenderedPageBreak/>
        <w:t>Artículo 51</w:t>
      </w:r>
    </w:p>
    <w:p w14:paraId="01ECF7E0" w14:textId="4FE27C2A" w:rsidR="00E44D02" w:rsidRPr="00CD3501" w:rsidRDefault="00E44D02" w:rsidP="00E44D02">
      <w:pPr>
        <w:pStyle w:val="NormalWeb"/>
        <w:spacing w:before="90" w:beforeAutospacing="0" w:after="45" w:afterAutospacing="0" w:line="270" w:lineRule="atLeast"/>
        <w:ind w:left="810" w:right="75"/>
        <w:jc w:val="both"/>
        <w:rPr>
          <w:rFonts w:asciiTheme="majorHAnsi" w:hAnsiTheme="majorHAnsi" w:cs="Tahoma"/>
          <w:color w:val="000000"/>
          <w:sz w:val="18"/>
          <w:szCs w:val="18"/>
          <w:lang w:val="es-ES_tradnl"/>
        </w:rPr>
      </w:pPr>
      <w:r w:rsidRPr="00CD3501">
        <w:rPr>
          <w:rFonts w:asciiTheme="majorHAnsi" w:hAnsiTheme="majorHAnsi" w:cs="Tahoma"/>
          <w:color w:val="000000"/>
          <w:sz w:val="18"/>
          <w:szCs w:val="18"/>
          <w:lang w:val="es-ES_tradnl"/>
        </w:rPr>
        <w:t>1. Si en el plazo de tres meses, a partir de la remisión a los Estados interesados del informe de la Comisión, el asunto no ha sido solucionado o sometido a la decisión de la Corte por la Comisión o por el Estado interesado, aceptando su competencia, la Comisión podrá emitir, por mayoría absoluta de votos de sus miembros, su opinión y conclusiones sobre la cuestión sometida a su consideración.</w:t>
      </w:r>
    </w:p>
    <w:p w14:paraId="7AEE0B76" w14:textId="6AF9B09C" w:rsidR="00E44D02" w:rsidRPr="00CD3501" w:rsidRDefault="00E44D02" w:rsidP="00E44D02">
      <w:pPr>
        <w:pStyle w:val="NormalWeb"/>
        <w:spacing w:before="90" w:beforeAutospacing="0" w:after="45" w:afterAutospacing="0" w:line="270" w:lineRule="atLeast"/>
        <w:ind w:left="810" w:right="75"/>
        <w:jc w:val="both"/>
        <w:rPr>
          <w:rFonts w:asciiTheme="majorHAnsi" w:hAnsiTheme="majorHAnsi" w:cs="Tahoma"/>
          <w:color w:val="000000"/>
          <w:sz w:val="18"/>
          <w:szCs w:val="18"/>
          <w:lang w:val="es-ES_tradnl"/>
        </w:rPr>
      </w:pPr>
      <w:r w:rsidRPr="00CD3501">
        <w:rPr>
          <w:rFonts w:asciiTheme="majorHAnsi" w:hAnsiTheme="majorHAnsi" w:cs="Tahoma"/>
          <w:color w:val="000000"/>
          <w:sz w:val="18"/>
          <w:szCs w:val="18"/>
          <w:lang w:val="es-ES_tradnl"/>
        </w:rPr>
        <w:t>2. La Comisión hará las recomendaciones pertinentes y fijará un plazo dentro del cual el Estado debe tomar las medidas que le competan para remediar la situación examinada.</w:t>
      </w:r>
    </w:p>
    <w:p w14:paraId="193AABD4" w14:textId="3E034B1E" w:rsidR="00E44D02" w:rsidRPr="00CD3501" w:rsidRDefault="00E44D02" w:rsidP="00E44D02">
      <w:pPr>
        <w:pStyle w:val="NormalWeb"/>
        <w:spacing w:before="90" w:beforeAutospacing="0" w:after="45" w:afterAutospacing="0" w:line="270" w:lineRule="atLeast"/>
        <w:ind w:left="810" w:right="75"/>
        <w:jc w:val="both"/>
        <w:rPr>
          <w:rFonts w:asciiTheme="majorHAnsi" w:hAnsiTheme="majorHAnsi" w:cs="Tahoma"/>
          <w:color w:val="000000"/>
          <w:sz w:val="18"/>
          <w:szCs w:val="18"/>
          <w:lang w:val="es-ES_tradnl"/>
        </w:rPr>
      </w:pPr>
      <w:r w:rsidRPr="00CD3501">
        <w:rPr>
          <w:rFonts w:asciiTheme="majorHAnsi" w:hAnsiTheme="majorHAnsi" w:cs="Tahoma"/>
          <w:color w:val="000000"/>
          <w:sz w:val="18"/>
          <w:szCs w:val="18"/>
          <w:lang w:val="es-ES_tradnl"/>
        </w:rPr>
        <w:t>3. Transcurrido el período fijado, la Comisión decidirá, por la mayoría absoluta de votos de sus miembros, si el Estado ha tomado o no medidas adecuadas y si publica o no su informe.</w:t>
      </w:r>
    </w:p>
    <w:p w14:paraId="20D8890D" w14:textId="6F78B991" w:rsidR="00E44D02" w:rsidRPr="00CD3501" w:rsidRDefault="00E44D02" w:rsidP="00E44D02">
      <w:pPr>
        <w:pStyle w:val="parrafos"/>
        <w:tabs>
          <w:tab w:val="left" w:pos="720"/>
        </w:tabs>
        <w:rPr>
          <w:rFonts w:ascii="Cambria" w:hAnsi="Cambria"/>
          <w:lang w:val="es-ES_tradnl"/>
        </w:rPr>
      </w:pPr>
    </w:p>
    <w:p w14:paraId="0573D25C" w14:textId="35D98757" w:rsidR="00E44D02" w:rsidRPr="00CD3501" w:rsidRDefault="00E44D02" w:rsidP="00E44D02">
      <w:pPr>
        <w:pStyle w:val="parrafos"/>
        <w:tabs>
          <w:tab w:val="left" w:pos="720"/>
        </w:tabs>
        <w:rPr>
          <w:rFonts w:ascii="Cambria" w:hAnsi="Cambria"/>
          <w:lang w:val="es-ES_tradnl"/>
        </w:rPr>
      </w:pPr>
    </w:p>
    <w:p w14:paraId="7529F722" w14:textId="038FDD61" w:rsidR="00E44D02" w:rsidRPr="00CD3501" w:rsidRDefault="00E44D02" w:rsidP="00E44D02">
      <w:pPr>
        <w:pStyle w:val="parrafos"/>
        <w:tabs>
          <w:tab w:val="left" w:pos="720"/>
        </w:tabs>
        <w:rPr>
          <w:rFonts w:ascii="Cambria" w:hAnsi="Cambria"/>
          <w:lang w:val="es-ES_tradnl"/>
        </w:rPr>
      </w:pPr>
    </w:p>
    <w:p w14:paraId="412C7DD9" w14:textId="77777777" w:rsidR="00E44D02" w:rsidRPr="00CD3501" w:rsidRDefault="00E44D02" w:rsidP="00E44D02">
      <w:pPr>
        <w:pStyle w:val="parrafos"/>
        <w:tabs>
          <w:tab w:val="left" w:pos="720"/>
        </w:tabs>
        <w:rPr>
          <w:rFonts w:ascii="Cambria" w:hAnsi="Cambria"/>
          <w:lang w:val="es-ES_tradnl"/>
        </w:rPr>
      </w:pPr>
    </w:p>
    <w:p w14:paraId="51F67294" w14:textId="77777777" w:rsidR="00E44D02" w:rsidRPr="00CD3501" w:rsidRDefault="00E44D02" w:rsidP="00E44D02">
      <w:pPr>
        <w:pStyle w:val="parrafos"/>
        <w:numPr>
          <w:ilvl w:val="0"/>
          <w:numId w:val="57"/>
        </w:numPr>
        <w:tabs>
          <w:tab w:val="clear" w:pos="1080"/>
          <w:tab w:val="left" w:pos="720"/>
        </w:tabs>
        <w:ind w:left="0" w:firstLine="0"/>
        <w:rPr>
          <w:rFonts w:ascii="Cambria" w:hAnsi="Cambria"/>
          <w:lang w:val="es-ES_tradnl"/>
        </w:rPr>
      </w:pPr>
      <w:r w:rsidRPr="00CD3501">
        <w:rPr>
          <w:rFonts w:ascii="Cambria" w:hAnsi="Cambria"/>
          <w:lang w:val="es-ES_tradnl"/>
        </w:rPr>
        <w:t>Asimismo, el Reglamento de la CIDH establece lo siguiente en sus Artículos 44 y 47:</w:t>
      </w:r>
    </w:p>
    <w:p w14:paraId="7696708D" w14:textId="77777777" w:rsidR="00E44D02" w:rsidRPr="00CD3501" w:rsidRDefault="00E44D02" w:rsidP="00E44D02">
      <w:pPr>
        <w:ind w:left="720"/>
        <w:jc w:val="center"/>
        <w:rPr>
          <w:rFonts w:asciiTheme="majorHAnsi" w:hAnsiTheme="majorHAnsi"/>
          <w:sz w:val="18"/>
          <w:szCs w:val="18"/>
          <w:lang w:val="es-ES_tradnl"/>
        </w:rPr>
      </w:pPr>
    </w:p>
    <w:p w14:paraId="0468DACC" w14:textId="6FEB27A7" w:rsidR="00E44D02" w:rsidRPr="00CD3501" w:rsidRDefault="00B70F53" w:rsidP="00E44D02">
      <w:pPr>
        <w:ind w:left="720"/>
        <w:jc w:val="center"/>
        <w:rPr>
          <w:rFonts w:asciiTheme="majorHAnsi" w:hAnsiTheme="majorHAnsi"/>
          <w:sz w:val="18"/>
          <w:szCs w:val="18"/>
          <w:lang w:val="es-ES_tradnl"/>
        </w:rPr>
      </w:pPr>
      <w:r w:rsidRPr="00CD3501">
        <w:rPr>
          <w:rFonts w:asciiTheme="majorHAnsi" w:hAnsiTheme="majorHAnsi"/>
          <w:sz w:val="18"/>
          <w:szCs w:val="18"/>
          <w:lang w:val="es-ES_tradnl"/>
        </w:rPr>
        <w:t>Article 44. Informe sobre el Fondo</w:t>
      </w:r>
    </w:p>
    <w:p w14:paraId="485656DC" w14:textId="77777777" w:rsidR="00B70F53" w:rsidRPr="00CD3501" w:rsidRDefault="00B70F53" w:rsidP="00B70F53">
      <w:pPr>
        <w:ind w:left="720"/>
        <w:rPr>
          <w:rFonts w:asciiTheme="majorHAnsi" w:hAnsiTheme="majorHAnsi"/>
          <w:sz w:val="18"/>
          <w:szCs w:val="18"/>
          <w:lang w:val="es-ES_tradnl"/>
        </w:rPr>
      </w:pPr>
      <w:r w:rsidRPr="00CD3501">
        <w:rPr>
          <w:rFonts w:asciiTheme="majorHAnsi" w:hAnsiTheme="majorHAnsi"/>
          <w:sz w:val="18"/>
          <w:szCs w:val="18"/>
          <w:lang w:val="es-ES_tradnl"/>
        </w:rPr>
        <w:t>Luego de la deliberación y voto sobre el fondo del caso, la Comisión procederá de la siguiente manera:</w:t>
      </w:r>
    </w:p>
    <w:p w14:paraId="334F1708" w14:textId="77777777" w:rsidR="00B70F53" w:rsidRPr="00CD3501" w:rsidRDefault="00B70F53" w:rsidP="00B70F53">
      <w:pPr>
        <w:ind w:left="720"/>
        <w:rPr>
          <w:rFonts w:asciiTheme="majorHAnsi" w:hAnsiTheme="majorHAnsi"/>
          <w:sz w:val="18"/>
          <w:szCs w:val="18"/>
          <w:lang w:val="es-ES_tradnl"/>
        </w:rPr>
      </w:pPr>
      <w:r w:rsidRPr="00CD3501">
        <w:rPr>
          <w:rFonts w:asciiTheme="majorHAnsi" w:hAnsiTheme="majorHAnsi"/>
          <w:sz w:val="18"/>
          <w:szCs w:val="18"/>
          <w:lang w:val="es-ES_tradnl"/>
        </w:rPr>
        <w:t> </w:t>
      </w:r>
    </w:p>
    <w:p w14:paraId="7C3350F7" w14:textId="77777777" w:rsidR="00B70F53" w:rsidRPr="00CD3501" w:rsidRDefault="00B70F53" w:rsidP="00B70F53">
      <w:pPr>
        <w:ind w:left="720"/>
        <w:rPr>
          <w:rFonts w:asciiTheme="majorHAnsi" w:hAnsiTheme="majorHAnsi"/>
          <w:sz w:val="18"/>
          <w:szCs w:val="18"/>
          <w:lang w:val="es-ES_tradnl"/>
        </w:rPr>
      </w:pPr>
      <w:r w:rsidRPr="00CD3501">
        <w:rPr>
          <w:rFonts w:asciiTheme="majorHAnsi" w:hAnsiTheme="majorHAnsi"/>
          <w:sz w:val="18"/>
          <w:szCs w:val="18"/>
          <w:lang w:val="es-ES_tradnl"/>
        </w:rPr>
        <w:t>1. Si establece que no hubo violación en un caso determinado, así lo manifestará en su informe sobre el fondo. El informe será transmitido a las partes, y será publicado e incluido en el Informe Anual de la Comisión a la Asamblea General de la OEA.</w:t>
      </w:r>
    </w:p>
    <w:p w14:paraId="57B6035F" w14:textId="77777777" w:rsidR="00B70F53" w:rsidRPr="00CD3501" w:rsidRDefault="00B70F53" w:rsidP="00B70F53">
      <w:pPr>
        <w:ind w:left="720"/>
        <w:rPr>
          <w:rFonts w:asciiTheme="majorHAnsi" w:hAnsiTheme="majorHAnsi"/>
          <w:sz w:val="18"/>
          <w:szCs w:val="18"/>
          <w:lang w:val="es-ES_tradnl"/>
        </w:rPr>
      </w:pPr>
      <w:r w:rsidRPr="00CD3501">
        <w:rPr>
          <w:rFonts w:asciiTheme="majorHAnsi" w:hAnsiTheme="majorHAnsi"/>
          <w:sz w:val="18"/>
          <w:szCs w:val="18"/>
          <w:lang w:val="es-ES_tradnl"/>
        </w:rPr>
        <w:t> </w:t>
      </w:r>
    </w:p>
    <w:p w14:paraId="7CAC4639" w14:textId="77777777" w:rsidR="00B70F53" w:rsidRPr="00CD3501" w:rsidRDefault="00B70F53" w:rsidP="00B70F53">
      <w:pPr>
        <w:ind w:left="720"/>
        <w:rPr>
          <w:rFonts w:asciiTheme="majorHAnsi" w:hAnsiTheme="majorHAnsi"/>
          <w:sz w:val="18"/>
          <w:szCs w:val="18"/>
          <w:lang w:val="es-ES_tradnl"/>
        </w:rPr>
      </w:pPr>
      <w:r w:rsidRPr="00CD3501">
        <w:rPr>
          <w:rFonts w:asciiTheme="majorHAnsi" w:hAnsiTheme="majorHAnsi"/>
          <w:sz w:val="18"/>
          <w:szCs w:val="18"/>
          <w:lang w:val="es-ES_tradnl"/>
        </w:rPr>
        <w:t>2. Si establece una o más violaciones, preparará un informe preliminar con las proposiciones y recomendaciones que juzgue pertinentes y lo transmitirá al Estado en cuestión. En tal caso, fijará un plazo dentro del cual el Estado en cuestión deberá informar sobre las medidas adoptadas para cumplir las recomendaciones. El Estado no estará facultado para publicar el informe hasta que la Comisión adopte una decisión al respecto.</w:t>
      </w:r>
    </w:p>
    <w:p w14:paraId="780EFC6E" w14:textId="77777777" w:rsidR="00B70F53" w:rsidRPr="00CD3501" w:rsidRDefault="00B70F53" w:rsidP="00B70F53">
      <w:pPr>
        <w:ind w:left="720"/>
        <w:rPr>
          <w:rFonts w:asciiTheme="majorHAnsi" w:hAnsiTheme="majorHAnsi"/>
          <w:sz w:val="18"/>
          <w:szCs w:val="18"/>
          <w:lang w:val="es-ES_tradnl"/>
        </w:rPr>
      </w:pPr>
      <w:r w:rsidRPr="00CD3501">
        <w:rPr>
          <w:rFonts w:asciiTheme="majorHAnsi" w:hAnsiTheme="majorHAnsi"/>
          <w:sz w:val="18"/>
          <w:szCs w:val="18"/>
          <w:lang w:val="es-ES_tradnl"/>
        </w:rPr>
        <w:t> </w:t>
      </w:r>
    </w:p>
    <w:p w14:paraId="71F6EE63" w14:textId="77777777" w:rsidR="00B70F53" w:rsidRPr="00CD3501" w:rsidRDefault="00B70F53" w:rsidP="00B70F53">
      <w:pPr>
        <w:ind w:left="720"/>
        <w:rPr>
          <w:rFonts w:asciiTheme="majorHAnsi" w:hAnsiTheme="majorHAnsi"/>
          <w:sz w:val="18"/>
          <w:szCs w:val="18"/>
          <w:lang w:val="es-ES_tradnl"/>
        </w:rPr>
      </w:pPr>
      <w:r w:rsidRPr="00CD3501">
        <w:rPr>
          <w:rFonts w:asciiTheme="majorHAnsi" w:hAnsiTheme="majorHAnsi"/>
          <w:sz w:val="18"/>
          <w:szCs w:val="18"/>
          <w:lang w:val="es-ES_tradnl"/>
        </w:rPr>
        <w:t>3. Notificará al peticionario la adopción del informe y su transmisión al Estado. En el caso de los Estados Partes en la Convención Americana que hubieran aceptado la jurisdicción contenciosa de la Corte Interamericana, al notificar al peticionario la Comisión le dará la oportunidad de presentar, dentro del plazo de un mes, su posición respecto del sometimiento del caso a la Corte. Si el peticionario tuviera interés en que el caso sea sometido a la Corte, deberá presentar los siguientes elementos:</w:t>
      </w:r>
    </w:p>
    <w:p w14:paraId="2924317F" w14:textId="77777777" w:rsidR="00B70F53" w:rsidRPr="00CD3501" w:rsidRDefault="00B70F53" w:rsidP="00B70F53">
      <w:pPr>
        <w:ind w:left="720"/>
        <w:rPr>
          <w:rFonts w:asciiTheme="majorHAnsi" w:hAnsiTheme="majorHAnsi"/>
          <w:sz w:val="18"/>
          <w:szCs w:val="18"/>
          <w:lang w:val="es-ES_tradnl"/>
        </w:rPr>
      </w:pPr>
      <w:r w:rsidRPr="00CD3501">
        <w:rPr>
          <w:rFonts w:asciiTheme="majorHAnsi" w:hAnsiTheme="majorHAnsi"/>
          <w:sz w:val="18"/>
          <w:szCs w:val="18"/>
          <w:lang w:val="es-ES_tradnl"/>
        </w:rPr>
        <w:t> </w:t>
      </w:r>
    </w:p>
    <w:p w14:paraId="6C8B8D68" w14:textId="77777777" w:rsidR="00B70F53" w:rsidRPr="00CD3501" w:rsidRDefault="00B70F53" w:rsidP="00B70F53">
      <w:pPr>
        <w:ind w:left="720"/>
        <w:rPr>
          <w:rFonts w:asciiTheme="majorHAnsi" w:hAnsiTheme="majorHAnsi"/>
          <w:sz w:val="18"/>
          <w:szCs w:val="18"/>
          <w:lang w:val="es-ES_tradnl"/>
        </w:rPr>
      </w:pPr>
      <w:r w:rsidRPr="00CD3501">
        <w:rPr>
          <w:rFonts w:asciiTheme="majorHAnsi" w:hAnsiTheme="majorHAnsi"/>
          <w:sz w:val="18"/>
          <w:szCs w:val="18"/>
          <w:lang w:val="es-ES_tradnl"/>
        </w:rPr>
        <w:t>a. la posición de la víctima o sus familiares, si fueran distintos del peticionario;</w:t>
      </w:r>
    </w:p>
    <w:p w14:paraId="40BCB86E" w14:textId="77777777" w:rsidR="00B70F53" w:rsidRPr="00CD3501" w:rsidRDefault="00B70F53" w:rsidP="00B70F53">
      <w:pPr>
        <w:ind w:left="720"/>
        <w:rPr>
          <w:rFonts w:asciiTheme="majorHAnsi" w:hAnsiTheme="majorHAnsi"/>
          <w:sz w:val="18"/>
          <w:szCs w:val="18"/>
          <w:lang w:val="es-ES_tradnl"/>
        </w:rPr>
      </w:pPr>
      <w:r w:rsidRPr="00CD3501">
        <w:rPr>
          <w:rFonts w:asciiTheme="majorHAnsi" w:hAnsiTheme="majorHAnsi"/>
          <w:sz w:val="18"/>
          <w:szCs w:val="18"/>
          <w:lang w:val="es-ES_tradnl"/>
        </w:rPr>
        <w:t> </w:t>
      </w:r>
    </w:p>
    <w:p w14:paraId="22FC324C" w14:textId="77777777" w:rsidR="00B70F53" w:rsidRPr="00CD3501" w:rsidRDefault="00B70F53" w:rsidP="00B70F53">
      <w:pPr>
        <w:ind w:left="720"/>
        <w:rPr>
          <w:rFonts w:asciiTheme="majorHAnsi" w:hAnsiTheme="majorHAnsi"/>
          <w:sz w:val="18"/>
          <w:szCs w:val="18"/>
          <w:lang w:val="es-ES_tradnl"/>
        </w:rPr>
      </w:pPr>
      <w:r w:rsidRPr="00CD3501">
        <w:rPr>
          <w:rFonts w:asciiTheme="majorHAnsi" w:hAnsiTheme="majorHAnsi"/>
          <w:sz w:val="18"/>
          <w:szCs w:val="18"/>
          <w:lang w:val="es-ES_tradnl"/>
        </w:rPr>
        <w:t>b. los fundamentos con base en los cuales considera que el caso debe ser remitido a la Corte; y</w:t>
      </w:r>
    </w:p>
    <w:p w14:paraId="40225B63" w14:textId="77777777" w:rsidR="00B70F53" w:rsidRPr="00CD3501" w:rsidRDefault="00B70F53" w:rsidP="00B70F53">
      <w:pPr>
        <w:ind w:left="720"/>
        <w:rPr>
          <w:rFonts w:asciiTheme="majorHAnsi" w:hAnsiTheme="majorHAnsi"/>
          <w:sz w:val="18"/>
          <w:szCs w:val="18"/>
          <w:lang w:val="es-ES_tradnl"/>
        </w:rPr>
      </w:pPr>
      <w:r w:rsidRPr="00CD3501">
        <w:rPr>
          <w:rFonts w:asciiTheme="majorHAnsi" w:hAnsiTheme="majorHAnsi"/>
          <w:sz w:val="18"/>
          <w:szCs w:val="18"/>
          <w:lang w:val="es-ES_tradnl"/>
        </w:rPr>
        <w:t> </w:t>
      </w:r>
    </w:p>
    <w:p w14:paraId="0118AD46" w14:textId="77777777" w:rsidR="00B70F53" w:rsidRPr="00CD3501" w:rsidRDefault="00B70F53" w:rsidP="00B70F53">
      <w:pPr>
        <w:ind w:left="720"/>
        <w:rPr>
          <w:rFonts w:asciiTheme="majorHAnsi" w:hAnsiTheme="majorHAnsi"/>
          <w:sz w:val="18"/>
          <w:szCs w:val="18"/>
          <w:lang w:val="es-ES_tradnl"/>
        </w:rPr>
      </w:pPr>
      <w:r w:rsidRPr="00CD3501">
        <w:rPr>
          <w:rFonts w:asciiTheme="majorHAnsi" w:hAnsiTheme="majorHAnsi"/>
          <w:sz w:val="18"/>
          <w:szCs w:val="18"/>
          <w:lang w:val="es-ES_tradnl"/>
        </w:rPr>
        <w:t>c. las pretensiones en materia de reparaciones y costas.</w:t>
      </w:r>
    </w:p>
    <w:p w14:paraId="540F4182" w14:textId="2B8A48D8" w:rsidR="00E44D02" w:rsidRPr="00CD3501" w:rsidRDefault="00E44D02" w:rsidP="00E44D02">
      <w:pPr>
        <w:rPr>
          <w:rFonts w:asciiTheme="majorHAnsi" w:hAnsiTheme="majorHAnsi"/>
          <w:sz w:val="18"/>
          <w:szCs w:val="18"/>
          <w:lang w:val="es-ES_tradnl"/>
        </w:rPr>
      </w:pPr>
    </w:p>
    <w:p w14:paraId="68510B04" w14:textId="07D00F48" w:rsidR="00E44D02" w:rsidRPr="00CD3501" w:rsidRDefault="00E44D02" w:rsidP="00B70F53">
      <w:pPr>
        <w:ind w:left="720"/>
        <w:jc w:val="center"/>
        <w:rPr>
          <w:rFonts w:asciiTheme="majorHAnsi" w:hAnsiTheme="majorHAnsi"/>
          <w:sz w:val="18"/>
          <w:szCs w:val="18"/>
          <w:lang w:val="es-ES_tradnl"/>
        </w:rPr>
      </w:pPr>
      <w:r w:rsidRPr="00CD3501">
        <w:rPr>
          <w:rFonts w:asciiTheme="majorHAnsi" w:hAnsiTheme="majorHAnsi"/>
          <w:sz w:val="18"/>
          <w:szCs w:val="18"/>
          <w:lang w:val="es-ES_tradnl"/>
        </w:rPr>
        <w:t xml:space="preserve">Article 47.  </w:t>
      </w:r>
      <w:r w:rsidR="00B70F53" w:rsidRPr="00CD3501">
        <w:rPr>
          <w:rFonts w:asciiTheme="majorHAnsi" w:hAnsiTheme="majorHAnsi"/>
          <w:sz w:val="18"/>
          <w:szCs w:val="18"/>
          <w:lang w:val="es-ES_tradnl"/>
        </w:rPr>
        <w:t>Publicación del Informe</w:t>
      </w:r>
    </w:p>
    <w:p w14:paraId="08207CC9" w14:textId="77777777" w:rsidR="00E44D02" w:rsidRPr="00CD3501" w:rsidRDefault="00E44D02" w:rsidP="00E44D02">
      <w:pPr>
        <w:ind w:left="720"/>
        <w:rPr>
          <w:rFonts w:asciiTheme="majorHAnsi" w:hAnsiTheme="majorHAnsi"/>
          <w:sz w:val="18"/>
          <w:szCs w:val="18"/>
          <w:lang w:val="es-ES_tradnl"/>
        </w:rPr>
      </w:pPr>
    </w:p>
    <w:p w14:paraId="4227C403" w14:textId="77777777" w:rsidR="00B70F53" w:rsidRPr="00CD3501" w:rsidRDefault="00B70F53" w:rsidP="00B70F53">
      <w:pPr>
        <w:ind w:left="720"/>
        <w:rPr>
          <w:rFonts w:asciiTheme="majorHAnsi" w:hAnsiTheme="majorHAnsi"/>
          <w:sz w:val="18"/>
          <w:szCs w:val="18"/>
          <w:lang w:val="es-ES_tradnl"/>
        </w:rPr>
      </w:pPr>
      <w:r w:rsidRPr="00CD3501">
        <w:rPr>
          <w:rFonts w:asciiTheme="majorHAnsi" w:hAnsiTheme="majorHAnsi"/>
          <w:sz w:val="18"/>
          <w:szCs w:val="18"/>
          <w:lang w:val="es-ES_tradnl"/>
        </w:rPr>
        <w:t>1. Si dentro del plazo de tres meses a partir de la transmisión del informe preliminar al Estado en cuestión, el asunto no ha sido solucionado o, en el caso de los Estados que hubieran aceptado la jurisdicción de la Corte Interamericana, no ha sido sometido a la decisión de ésta por la Comisión o por el propio Estado, la Comisión podrá emitir, por mayoría absoluta de votos, un informe definitivo que contenga su opinión y conclusiones finales y recomendaciones.</w:t>
      </w:r>
    </w:p>
    <w:p w14:paraId="0A977851" w14:textId="77777777" w:rsidR="00B70F53" w:rsidRPr="00CD3501" w:rsidRDefault="00B70F53" w:rsidP="00B70F53">
      <w:pPr>
        <w:ind w:left="720"/>
        <w:rPr>
          <w:rFonts w:asciiTheme="majorHAnsi" w:hAnsiTheme="majorHAnsi"/>
          <w:sz w:val="18"/>
          <w:szCs w:val="18"/>
          <w:lang w:val="es-ES_tradnl"/>
        </w:rPr>
      </w:pPr>
      <w:r w:rsidRPr="00CD3501">
        <w:rPr>
          <w:rFonts w:asciiTheme="majorHAnsi" w:hAnsiTheme="majorHAnsi"/>
          <w:sz w:val="18"/>
          <w:szCs w:val="18"/>
          <w:lang w:val="es-ES_tradnl"/>
        </w:rPr>
        <w:t> </w:t>
      </w:r>
    </w:p>
    <w:p w14:paraId="6FEF6B01" w14:textId="77777777" w:rsidR="00B70F53" w:rsidRPr="00CD3501" w:rsidRDefault="00B70F53" w:rsidP="00B70F53">
      <w:pPr>
        <w:ind w:left="720"/>
        <w:rPr>
          <w:rFonts w:asciiTheme="majorHAnsi" w:hAnsiTheme="majorHAnsi"/>
          <w:sz w:val="18"/>
          <w:szCs w:val="18"/>
          <w:lang w:val="es-ES_tradnl"/>
        </w:rPr>
      </w:pPr>
      <w:r w:rsidRPr="00CD3501">
        <w:rPr>
          <w:rFonts w:asciiTheme="majorHAnsi" w:hAnsiTheme="majorHAnsi"/>
          <w:sz w:val="18"/>
          <w:szCs w:val="18"/>
          <w:lang w:val="es-ES_tradnl"/>
        </w:rPr>
        <w:t>2. El informe definitivo será transmitido a las partes, quienes presentarán, en el plazo fijado por la Comisión, información sobre el cumplimiento de las recomendaciones.</w:t>
      </w:r>
    </w:p>
    <w:p w14:paraId="4EE8EC50" w14:textId="77777777" w:rsidR="00B70F53" w:rsidRPr="00CD3501" w:rsidRDefault="00B70F53" w:rsidP="00B70F53">
      <w:pPr>
        <w:ind w:left="720"/>
        <w:rPr>
          <w:rFonts w:asciiTheme="majorHAnsi" w:hAnsiTheme="majorHAnsi"/>
          <w:sz w:val="18"/>
          <w:szCs w:val="18"/>
          <w:lang w:val="es-ES_tradnl"/>
        </w:rPr>
      </w:pPr>
      <w:r w:rsidRPr="00CD3501">
        <w:rPr>
          <w:rFonts w:asciiTheme="majorHAnsi" w:hAnsiTheme="majorHAnsi"/>
          <w:sz w:val="18"/>
          <w:szCs w:val="18"/>
          <w:lang w:val="es-ES_tradnl"/>
        </w:rPr>
        <w:t> </w:t>
      </w:r>
    </w:p>
    <w:p w14:paraId="58BEA914" w14:textId="77777777" w:rsidR="00B70F53" w:rsidRPr="00CD3501" w:rsidRDefault="00B70F53" w:rsidP="00B70F53">
      <w:pPr>
        <w:ind w:left="720"/>
        <w:rPr>
          <w:rFonts w:asciiTheme="majorHAnsi" w:hAnsiTheme="majorHAnsi"/>
          <w:sz w:val="18"/>
          <w:szCs w:val="18"/>
          <w:lang w:val="es-ES_tradnl"/>
        </w:rPr>
      </w:pPr>
      <w:r w:rsidRPr="00CD3501">
        <w:rPr>
          <w:rFonts w:asciiTheme="majorHAnsi" w:hAnsiTheme="majorHAnsi"/>
          <w:sz w:val="18"/>
          <w:szCs w:val="18"/>
          <w:lang w:val="es-ES_tradnl"/>
        </w:rPr>
        <w:t>3. La Comisión evaluará el cumplimiento de sus recomendaciones con base en la información disponible y decidirá, por mayoría absoluta de votos de sus miembros, sobre la publicación del informe definitivo. La Comisión decidirá asimismo sobre su inclusión en el Informe Anual a la Asamblea General de la OEA o su publicación en cualquier otro medio que considere apropiado.</w:t>
      </w:r>
    </w:p>
    <w:p w14:paraId="482B3732" w14:textId="77777777" w:rsidR="00E44D02" w:rsidRPr="00CD3501" w:rsidRDefault="00E44D02" w:rsidP="00E44D02">
      <w:pPr>
        <w:pStyle w:val="parrafos"/>
        <w:tabs>
          <w:tab w:val="left" w:pos="450"/>
          <w:tab w:val="left" w:pos="720"/>
        </w:tabs>
        <w:rPr>
          <w:lang w:val="es-ES_tradnl"/>
        </w:rPr>
      </w:pPr>
    </w:p>
    <w:p w14:paraId="3CF143CB" w14:textId="5BDCD76E" w:rsidR="00E44D02" w:rsidRPr="00CD3501" w:rsidRDefault="00E44D02" w:rsidP="00E44D02">
      <w:pPr>
        <w:pStyle w:val="parrafos"/>
        <w:numPr>
          <w:ilvl w:val="0"/>
          <w:numId w:val="57"/>
        </w:numPr>
        <w:tabs>
          <w:tab w:val="clear" w:pos="1080"/>
          <w:tab w:val="left" w:pos="450"/>
          <w:tab w:val="left" w:pos="720"/>
        </w:tabs>
        <w:ind w:left="0" w:firstLine="0"/>
        <w:rPr>
          <w:lang w:val="es-ES_tradnl"/>
        </w:rPr>
      </w:pPr>
      <w:r w:rsidRPr="00CD3501">
        <w:rPr>
          <w:lang w:val="es-ES_tradnl"/>
        </w:rPr>
        <w:lastRenderedPageBreak/>
        <w:t>Como se señala antes, el Artículo 50 de la Convención Americana establece que el Informe de Fondo debe ser notificado al Estado, que no tiene libertad para publicarlo. Esta disposición no se refiere a la transmisión del Informe de Fondo al peticionario. Además, el Artículo 44 del R</w:t>
      </w:r>
      <w:r w:rsidR="00B70F53" w:rsidRPr="00CD3501">
        <w:rPr>
          <w:lang w:val="es-ES_tradnl"/>
        </w:rPr>
        <w:t>eglamento de la Comisión Intera</w:t>
      </w:r>
      <w:r w:rsidRPr="00CD3501">
        <w:rPr>
          <w:lang w:val="es-ES_tradnl"/>
        </w:rPr>
        <w:t>mericana indica que si en el Informe de Fondo la CIDH establece una o más violaciones, preparará un informe preliminar con las proposiciones y recomendaciones que juzgue pertinentes y lo transmitirá al Estado en cuestión, que no debería estar autorizado a publicar el informe. De conformidad al Artículo 44, la Comisión también debería notificar al peticionario sobre la adopción del informe y su transmisión al Estado.</w:t>
      </w:r>
    </w:p>
    <w:p w14:paraId="0EC2994B" w14:textId="77777777" w:rsidR="00E44D02" w:rsidRPr="00CD3501" w:rsidRDefault="00E44D02" w:rsidP="00E44D02">
      <w:pPr>
        <w:pStyle w:val="parrafos"/>
        <w:tabs>
          <w:tab w:val="left" w:pos="450"/>
          <w:tab w:val="left" w:pos="720"/>
        </w:tabs>
        <w:rPr>
          <w:lang w:val="es-ES_tradnl"/>
        </w:rPr>
      </w:pPr>
    </w:p>
    <w:p w14:paraId="5A7F7DDA" w14:textId="2823F93A" w:rsidR="00E44D02" w:rsidRPr="00CD3501" w:rsidRDefault="00E44D02" w:rsidP="00E44D02">
      <w:pPr>
        <w:pStyle w:val="parrafos"/>
        <w:numPr>
          <w:ilvl w:val="0"/>
          <w:numId w:val="57"/>
        </w:numPr>
        <w:tabs>
          <w:tab w:val="clear" w:pos="1080"/>
          <w:tab w:val="left" w:pos="450"/>
          <w:tab w:val="left" w:pos="720"/>
        </w:tabs>
        <w:ind w:left="0" w:firstLine="0"/>
        <w:rPr>
          <w:lang w:val="es-ES_tradnl"/>
        </w:rPr>
      </w:pPr>
      <w:r w:rsidRPr="00CD3501">
        <w:rPr>
          <w:lang w:val="es-ES_tradnl"/>
        </w:rPr>
        <w:t xml:space="preserve">De acuerdo </w:t>
      </w:r>
      <w:r w:rsidR="00FE5347" w:rsidRPr="00CD3501">
        <w:rPr>
          <w:lang w:val="es-ES_tradnl"/>
        </w:rPr>
        <w:t>con</w:t>
      </w:r>
      <w:r w:rsidRPr="00CD3501">
        <w:rPr>
          <w:lang w:val="es-ES_tradnl"/>
        </w:rPr>
        <w:t xml:space="preserve"> la Corte</w:t>
      </w:r>
      <w:r w:rsidR="00B70F53" w:rsidRPr="00CD3501">
        <w:rPr>
          <w:lang w:val="es-ES_tradnl"/>
        </w:rPr>
        <w:t xml:space="preserve"> Intera</w:t>
      </w:r>
      <w:r w:rsidRPr="00CD3501">
        <w:rPr>
          <w:lang w:val="es-ES_tradnl"/>
        </w:rPr>
        <w:t>mericana, la calidad de preliminar y reservado del Informe de Fondo del Artículo 50 de la Convención Americana hacen que el Estado no tenga la facultad de publicarlo, por lo que, en observancia de los principios de igualdad y equilibrio procesal de las partes, es razonable considerar que la Comisión tampoco puede publicar ese informe preliminar.</w:t>
      </w:r>
      <w:r w:rsidRPr="00CD3501">
        <w:rPr>
          <w:rStyle w:val="FootnoteReference"/>
          <w:bdr w:val="none" w:sz="0" w:space="0" w:color="auto"/>
          <w:lang w:val="es-ES_tradnl"/>
        </w:rPr>
        <w:footnoteReference w:id="77"/>
      </w:r>
      <w:r w:rsidRPr="00CD3501">
        <w:rPr>
          <w:rFonts w:ascii="Verdana" w:hAnsi="Verdana"/>
          <w:bdr w:val="none" w:sz="0" w:space="0" w:color="auto"/>
          <w:lang w:val="es-ES_tradnl"/>
        </w:rPr>
        <w:t xml:space="preserve"> </w:t>
      </w:r>
    </w:p>
    <w:p w14:paraId="680C0975" w14:textId="77777777" w:rsidR="00E44D02" w:rsidRPr="00CD3501" w:rsidRDefault="00E44D02" w:rsidP="00E44D02">
      <w:pPr>
        <w:pStyle w:val="ListParagraph"/>
        <w:rPr>
          <w:lang w:val="es-ES_tradnl"/>
        </w:rPr>
      </w:pPr>
    </w:p>
    <w:p w14:paraId="30D3B19C" w14:textId="461D78A5" w:rsidR="00E44D02" w:rsidRPr="00CD3501" w:rsidRDefault="00E44D02" w:rsidP="00E44D02">
      <w:pPr>
        <w:pStyle w:val="parrafos"/>
        <w:numPr>
          <w:ilvl w:val="0"/>
          <w:numId w:val="57"/>
        </w:numPr>
        <w:tabs>
          <w:tab w:val="clear" w:pos="1080"/>
          <w:tab w:val="left" w:pos="450"/>
          <w:tab w:val="left" w:pos="720"/>
        </w:tabs>
        <w:ind w:left="0" w:firstLine="0"/>
        <w:rPr>
          <w:lang w:val="es-ES_tradnl"/>
        </w:rPr>
      </w:pPr>
      <w:r w:rsidRPr="00CD3501">
        <w:rPr>
          <w:lang w:val="es-ES_tradnl"/>
        </w:rPr>
        <w:t xml:space="preserve">A través de su práctica, como interprete autorizada de su Reglamento, la Comisión ha entendido que en tanto mecanismo que contribuye al equilibrio procesal y la igualdad de las partes, en los casos en los que aprueba un Informe de Fondo en relación </w:t>
      </w:r>
      <w:r w:rsidR="00FE5347" w:rsidRPr="00CD3501">
        <w:rPr>
          <w:lang w:val="es-ES_tradnl"/>
        </w:rPr>
        <w:t>con</w:t>
      </w:r>
      <w:r w:rsidRPr="00CD3501">
        <w:rPr>
          <w:lang w:val="es-ES_tradnl"/>
        </w:rPr>
        <w:t xml:space="preserve"> países que no han ratificado la Convención Americana, o la jurisdicción contenciosa de la Corte, después de su aprobación corresponde notificar a ambas partes no solo de la aprobación de un Informe de Fondo sino también de su contenido. Esto no afecta la calidad reservada o confidencial del Informe de Fondo preliminar porque ambas partes continúan obligadas a preservar la confidencialidad del Informe y no están autorizadas a publicarlo.</w:t>
      </w:r>
    </w:p>
    <w:p w14:paraId="44517AEC" w14:textId="77777777" w:rsidR="00E44D02" w:rsidRPr="00CD3501" w:rsidRDefault="00E44D02" w:rsidP="00E44D02">
      <w:pPr>
        <w:pStyle w:val="ListParagraph"/>
        <w:rPr>
          <w:lang w:val="es-ES_tradnl"/>
        </w:rPr>
      </w:pPr>
    </w:p>
    <w:p w14:paraId="04E593FE" w14:textId="77777777" w:rsidR="00E44D02" w:rsidRPr="00CD3501" w:rsidRDefault="00E44D02" w:rsidP="00E44D02">
      <w:pPr>
        <w:pStyle w:val="parrafos"/>
        <w:numPr>
          <w:ilvl w:val="0"/>
          <w:numId w:val="57"/>
        </w:numPr>
        <w:tabs>
          <w:tab w:val="clear" w:pos="1080"/>
          <w:tab w:val="left" w:pos="450"/>
          <w:tab w:val="left" w:pos="720"/>
        </w:tabs>
        <w:ind w:left="0" w:firstLine="0"/>
        <w:rPr>
          <w:lang w:val="es-ES_tradnl"/>
        </w:rPr>
      </w:pPr>
      <w:r w:rsidRPr="00CD3501">
        <w:rPr>
          <w:lang w:val="es-ES_tradnl"/>
        </w:rPr>
        <w:t>En este caso, el Estado argumentó que la notificación del Informe de Fondo preliminar al peticionario constituyó una violación de su derecho al debido proceso. Sin embargo, no explicó adecuadamente las razones que sustentan ese argumento. La Comisión recuerda que el Informe de Fondo No. 159/19 fue notificado al peticionario el 21 de noviembre de 2019 y que en esa ocasión se señaló que “este informe debe ser confidencial hasta el momento en que la Comisión decida hacerlo público”. De lo antedicho es posible concluir que la notificación del Informe de Fondo preliminar al peticionario cumplió con la Convención Americana y el Reglamento de la CIDH.</w:t>
      </w:r>
    </w:p>
    <w:p w14:paraId="766B2C18" w14:textId="77777777" w:rsidR="00E44D02" w:rsidRPr="00CD3501" w:rsidRDefault="00E44D02" w:rsidP="00E44D02">
      <w:pPr>
        <w:pStyle w:val="ListParagraph"/>
        <w:rPr>
          <w:lang w:val="es-ES_tradnl"/>
        </w:rPr>
      </w:pPr>
    </w:p>
    <w:p w14:paraId="08879719" w14:textId="11E0A6AC" w:rsidR="00E44D02" w:rsidRPr="00CD3501" w:rsidRDefault="00E44D02" w:rsidP="00E44D02">
      <w:pPr>
        <w:pStyle w:val="parrafos"/>
        <w:numPr>
          <w:ilvl w:val="0"/>
          <w:numId w:val="57"/>
        </w:numPr>
        <w:tabs>
          <w:tab w:val="clear" w:pos="1080"/>
          <w:tab w:val="left" w:pos="450"/>
          <w:tab w:val="left" w:pos="720"/>
        </w:tabs>
        <w:ind w:left="0" w:firstLine="0"/>
        <w:rPr>
          <w:lang w:val="es-ES_tradnl"/>
        </w:rPr>
      </w:pPr>
      <w:r w:rsidRPr="00CD3501">
        <w:rPr>
          <w:lang w:val="es-ES_tradnl"/>
        </w:rPr>
        <w:t>Por otra parte, la Comisión observa que</w:t>
      </w:r>
      <w:r w:rsidR="00B70F53" w:rsidRPr="00CD3501">
        <w:rPr>
          <w:lang w:val="es-ES_tradnl"/>
        </w:rPr>
        <w:t>,</w:t>
      </w:r>
      <w:r w:rsidRPr="00CD3501">
        <w:rPr>
          <w:lang w:val="es-ES_tradnl"/>
        </w:rPr>
        <w:t xml:space="preserve"> de acuerdo al Estado, como consecuencia de la notificación del Informe de Fondo, la Comisión debería volver a emitir su Informe de Fondo preliminar y, en éste, debería tener en cuenta la</w:t>
      </w:r>
      <w:r w:rsidR="00B70F53" w:rsidRPr="00CD3501">
        <w:rPr>
          <w:lang w:val="es-ES_tradnl"/>
        </w:rPr>
        <w:t>s</w:t>
      </w:r>
      <w:r w:rsidRPr="00CD3501">
        <w:rPr>
          <w:lang w:val="es-ES_tradnl"/>
        </w:rPr>
        <w:t xml:space="preserve"> observaciones adicionales sobre que el fondo que, como se indicara, fueron remitidas el 9 de diciembre de 2019 a la CIDH. </w:t>
      </w:r>
    </w:p>
    <w:p w14:paraId="54BC4FA8" w14:textId="77777777" w:rsidR="00E44D02" w:rsidRPr="00CD3501" w:rsidRDefault="00E44D02" w:rsidP="00E44D02">
      <w:pPr>
        <w:pStyle w:val="ListParagraph"/>
        <w:rPr>
          <w:lang w:val="es-ES_tradnl"/>
        </w:rPr>
      </w:pPr>
    </w:p>
    <w:p w14:paraId="5748B500" w14:textId="77777777" w:rsidR="00E44D02" w:rsidRPr="00CD3501" w:rsidRDefault="00E44D02" w:rsidP="00E44D02">
      <w:pPr>
        <w:pStyle w:val="parrafos"/>
        <w:numPr>
          <w:ilvl w:val="0"/>
          <w:numId w:val="57"/>
        </w:numPr>
        <w:tabs>
          <w:tab w:val="clear" w:pos="1080"/>
          <w:tab w:val="left" w:pos="450"/>
          <w:tab w:val="left" w:pos="720"/>
        </w:tabs>
        <w:ind w:left="0" w:firstLine="0"/>
        <w:rPr>
          <w:lang w:val="es-ES_tradnl"/>
        </w:rPr>
      </w:pPr>
      <w:r w:rsidRPr="00CD3501">
        <w:rPr>
          <w:lang w:val="es-ES_tradnl"/>
        </w:rPr>
        <w:t>La Comisión reitera que la notificación del Informe de Fondo preliminar al peticionario no violó el derecho al debido proceso del Estado. Además, la Comisión observa que no existe relación causal entre la notificación del Informe de Fondo al peticionario y la oportunidad buscada por el Estado para que sus observaciones sobre el fondo sean tenidas en cuenta en esta etapa del este caso ante la CIDH.</w:t>
      </w:r>
    </w:p>
    <w:p w14:paraId="1B549A18" w14:textId="77777777" w:rsidR="00E44D02" w:rsidRPr="00CD3501" w:rsidRDefault="00E44D02" w:rsidP="00E44D02">
      <w:pPr>
        <w:pStyle w:val="ListParagraph"/>
        <w:rPr>
          <w:lang w:val="es-ES_tradnl"/>
        </w:rPr>
      </w:pPr>
    </w:p>
    <w:p w14:paraId="17A83D13" w14:textId="77777777" w:rsidR="00E44D02" w:rsidRPr="00CD3501" w:rsidRDefault="00E44D02" w:rsidP="00E44D02">
      <w:pPr>
        <w:pStyle w:val="parrafos"/>
        <w:numPr>
          <w:ilvl w:val="0"/>
          <w:numId w:val="57"/>
        </w:numPr>
        <w:tabs>
          <w:tab w:val="clear" w:pos="1080"/>
          <w:tab w:val="left" w:pos="450"/>
          <w:tab w:val="left" w:pos="720"/>
        </w:tabs>
        <w:ind w:left="0" w:firstLine="0"/>
        <w:rPr>
          <w:lang w:val="es-ES_tradnl"/>
        </w:rPr>
      </w:pPr>
      <w:r w:rsidRPr="00CD3501">
        <w:rPr>
          <w:lang w:val="es-ES_tradnl"/>
        </w:rPr>
        <w:t>La Comisión recuerda que, conforme al Artículo 37.1 de su Reglamento, con la apertura de un caso la Comisión fijará un plazo de cuatro meses para que los peticionarios presenten sus observaciones adicionales sobre el fondo. Las partes pertinentes de dichas observaciones serán transmitidas al Estado en cuestión a fin de que presente sus observaciones dentro del plazo de cuatro meses. La Secretaría Ejecutiva evaluará solicitudes de prórroga; sin embargo, no concederá prórrogas que excedan de seis meses contados a partir de la fecha del envío de la primera solicitud de observaciones a cada parte.</w:t>
      </w:r>
    </w:p>
    <w:p w14:paraId="2C3BB7C7" w14:textId="77777777" w:rsidR="00E44D02" w:rsidRPr="00CD3501" w:rsidRDefault="00E44D02" w:rsidP="00E44D02">
      <w:pPr>
        <w:pStyle w:val="ListParagraph"/>
        <w:rPr>
          <w:lang w:val="es-ES_tradnl"/>
        </w:rPr>
      </w:pPr>
    </w:p>
    <w:p w14:paraId="0A0617C6" w14:textId="37C98C4C" w:rsidR="00E44D02" w:rsidRPr="00CD3501" w:rsidRDefault="00E44D02" w:rsidP="00E44D02">
      <w:pPr>
        <w:pStyle w:val="parrafos"/>
        <w:numPr>
          <w:ilvl w:val="0"/>
          <w:numId w:val="57"/>
        </w:numPr>
        <w:tabs>
          <w:tab w:val="clear" w:pos="1080"/>
          <w:tab w:val="left" w:pos="450"/>
          <w:tab w:val="left" w:pos="720"/>
        </w:tabs>
        <w:ind w:left="0" w:firstLine="0"/>
        <w:rPr>
          <w:lang w:val="es-ES_tradnl"/>
        </w:rPr>
      </w:pPr>
      <w:r w:rsidRPr="00CD3501">
        <w:rPr>
          <w:lang w:val="es-ES_tradnl"/>
        </w:rPr>
        <w:t xml:space="preserve">En este caso, la Comisión notificó a las partes sobre la aprobación del Informe de Admisibilidad el 1 de agosto de 2018. El 18 de marzo de 2019, la CIDH notificó al Estado las observaciones sobre el fondo presentada por el peticionario y solicitó sus observaciones dentro de un plazo de cuatro meses contados a partir de la fecha de transmisión de esa comunicación. El Estado no presentó sus observaciones ni solicitó una prórroga antes de la deliberación y decisión sobre el caso el 28 de septiembre de 2019, esto es más de seis meses después de la </w:t>
      </w:r>
      <w:r w:rsidRPr="00CD3501">
        <w:rPr>
          <w:lang w:val="es-ES_tradnl"/>
        </w:rPr>
        <w:lastRenderedPageBreak/>
        <w:t>notificación de las observaciones sobre el fondo presentadas por el peticionario. Por lo tanto, no es posible considerar en esta etapa tales observaciones ya que fueron presentadas con posterioridad el plazo prescripto. Aún más</w:t>
      </w:r>
      <w:r w:rsidR="00B70F53" w:rsidRPr="00CD3501">
        <w:rPr>
          <w:lang w:val="es-ES_tradnl"/>
        </w:rPr>
        <w:t>, conforme el Artículo 47</w:t>
      </w:r>
      <w:r w:rsidRPr="00CD3501">
        <w:rPr>
          <w:lang w:val="es-ES_tradnl"/>
        </w:rPr>
        <w:t xml:space="preserve"> del Reglamento de la Comisión, en esta etapa no resulta apropiado volver a evaluar el contenido del Informe de Fondo sino verificar el cumplimiento por parte del Estado de las recomendaciones formuladas en ese informe con anterioridad a decidir sobre la publicación del informe final.</w:t>
      </w:r>
    </w:p>
    <w:p w14:paraId="6204F2AC" w14:textId="34F31595" w:rsidR="00E44D02" w:rsidRPr="00CD3501" w:rsidRDefault="00E44D02" w:rsidP="00E44D02">
      <w:pPr>
        <w:rPr>
          <w:lang w:val="es-ES_tradnl"/>
        </w:rPr>
      </w:pPr>
    </w:p>
    <w:p w14:paraId="057C0AD7" w14:textId="4F7A5B2D" w:rsidR="000C59DC" w:rsidRPr="00CD3501" w:rsidRDefault="000C59DC" w:rsidP="000C59DC">
      <w:pPr>
        <w:pStyle w:val="Heading1"/>
        <w:spacing w:before="0"/>
        <w:ind w:left="360"/>
        <w:rPr>
          <w:color w:val="auto"/>
          <w:sz w:val="20"/>
          <w:szCs w:val="20"/>
          <w:lang w:val="es-ES_tradnl"/>
        </w:rPr>
      </w:pPr>
      <w:bookmarkStart w:id="26" w:name="_Toc47700539"/>
      <w:bookmarkStart w:id="27" w:name="_Toc58425601"/>
      <w:r w:rsidRPr="00CD3501">
        <w:rPr>
          <w:color w:val="auto"/>
          <w:sz w:val="20"/>
          <w:szCs w:val="20"/>
          <w:lang w:val="es-ES_tradnl"/>
        </w:rPr>
        <w:t xml:space="preserve">INFORME No. </w:t>
      </w:r>
      <w:r w:rsidR="00B040A0" w:rsidRPr="00CD3501">
        <w:rPr>
          <w:color w:val="auto"/>
          <w:sz w:val="20"/>
          <w:szCs w:val="20"/>
          <w:lang w:val="es-ES_tradnl"/>
        </w:rPr>
        <w:t>249</w:t>
      </w:r>
      <w:r w:rsidRPr="00CD3501">
        <w:rPr>
          <w:color w:val="auto"/>
          <w:sz w:val="20"/>
          <w:szCs w:val="20"/>
          <w:lang w:val="es-ES_tradnl"/>
        </w:rPr>
        <w:t>/20 E INFORMACI</w:t>
      </w:r>
      <w:r w:rsidR="00FE5347" w:rsidRPr="00CD3501">
        <w:rPr>
          <w:color w:val="auto"/>
          <w:sz w:val="20"/>
          <w:szCs w:val="20"/>
          <w:lang w:val="es-ES_tradnl"/>
        </w:rPr>
        <w:t>Ó</w:t>
      </w:r>
      <w:r w:rsidRPr="00CD3501">
        <w:rPr>
          <w:color w:val="auto"/>
          <w:sz w:val="20"/>
          <w:szCs w:val="20"/>
          <w:lang w:val="es-ES_tradnl"/>
        </w:rPr>
        <w:t>N SOBRE CUMPLIMIENTO</w:t>
      </w:r>
      <w:bookmarkEnd w:id="26"/>
      <w:bookmarkEnd w:id="27"/>
    </w:p>
    <w:p w14:paraId="02B89EE5" w14:textId="77777777" w:rsidR="000C59DC" w:rsidRPr="00CD3501" w:rsidRDefault="000C59DC" w:rsidP="000C59DC">
      <w:pPr>
        <w:rPr>
          <w:bCs/>
          <w:sz w:val="20"/>
          <w:szCs w:val="20"/>
          <w:lang w:val="es-ES_tradnl"/>
        </w:rPr>
      </w:pPr>
    </w:p>
    <w:p w14:paraId="367298A4" w14:textId="17CEC1AD" w:rsidR="0075398D" w:rsidRPr="00CD3501" w:rsidRDefault="000C59DC" w:rsidP="000C59DC">
      <w:pPr>
        <w:pStyle w:val="parrafos"/>
        <w:numPr>
          <w:ilvl w:val="0"/>
          <w:numId w:val="57"/>
        </w:numPr>
        <w:tabs>
          <w:tab w:val="clear" w:pos="360"/>
          <w:tab w:val="clear" w:pos="1080"/>
          <w:tab w:val="left" w:pos="90"/>
          <w:tab w:val="left" w:pos="270"/>
          <w:tab w:val="left" w:pos="450"/>
        </w:tabs>
        <w:ind w:left="0" w:firstLine="0"/>
        <w:rPr>
          <w:color w:val="000000"/>
          <w:lang w:val="es-ES_tradnl"/>
        </w:rPr>
      </w:pPr>
      <w:r w:rsidRPr="00CD3501">
        <w:rPr>
          <w:rFonts w:ascii="Cambria" w:hAnsi="Cambria"/>
          <w:lang w:val="es-ES_tradnl"/>
        </w:rPr>
        <w:t>El</w:t>
      </w:r>
      <w:r w:rsidRPr="00CD3501">
        <w:rPr>
          <w:lang w:val="es-ES_tradnl"/>
        </w:rPr>
        <w:t xml:space="preserve"> 14 de septiembre de 2020, la Comisión aprobó el Informe Final de Fondo No. 249/20 en el cual la Comisión reiteró todas sus recomendaciones al Estado. El 27 de septiembre de 2020, la CIDH transmitió el Informe al Estado y a los peticionarios con el plazo de dos meses para informar a la Comisión sobre las medidas adoptadas para cumplir con sus recomendaciones. Hasta la fecha la Comisión no ha recibido respuesta del Estado de Jamaica con respecto al Informe No. 249/20.</w:t>
      </w:r>
    </w:p>
    <w:p w14:paraId="0FA823F2" w14:textId="77777777" w:rsidR="000C59DC" w:rsidRPr="00CD3501" w:rsidRDefault="000C59DC" w:rsidP="000C59DC">
      <w:pPr>
        <w:pStyle w:val="parrafos"/>
        <w:tabs>
          <w:tab w:val="clear" w:pos="360"/>
          <w:tab w:val="left" w:pos="90"/>
          <w:tab w:val="left" w:pos="270"/>
          <w:tab w:val="left" w:pos="450"/>
        </w:tabs>
        <w:rPr>
          <w:color w:val="000000"/>
          <w:lang w:val="es-ES_tradnl"/>
        </w:rPr>
      </w:pPr>
    </w:p>
    <w:p w14:paraId="236316E7" w14:textId="535E5166" w:rsidR="000C59DC" w:rsidRPr="00CD3501" w:rsidRDefault="000C59DC" w:rsidP="000C59DC">
      <w:pPr>
        <w:pStyle w:val="parrafos"/>
        <w:numPr>
          <w:ilvl w:val="0"/>
          <w:numId w:val="57"/>
        </w:numPr>
        <w:tabs>
          <w:tab w:val="clear" w:pos="360"/>
          <w:tab w:val="clear" w:pos="1080"/>
          <w:tab w:val="left" w:pos="90"/>
          <w:tab w:val="left" w:pos="270"/>
          <w:tab w:val="left" w:pos="450"/>
        </w:tabs>
        <w:ind w:left="0" w:firstLine="0"/>
        <w:rPr>
          <w:lang w:val="es-ES_tradnl"/>
        </w:rPr>
      </w:pPr>
      <w:r w:rsidRPr="00CD3501">
        <w:rPr>
          <w:lang w:val="es-ES_tradnl"/>
        </w:rPr>
        <w:t>El 27 de noviembre de 2020 los peticionarios informaron que Jamaica no ha tomado medidas para derogar las leyes que penalizan la actividad sexual consensuada privada entre adultos y la conducta sexual consensuada entre hombres que tienen sexo con hombres u homosexuales. Con respecto a las demás recomendaciones de la Comisión, los peticionarios informaron que si bien Jamaica ha introducido algunas medidas que satisfacen las recomendaciones en el período transcurrido desde que la petición fue presentada por primera vez a la Comisión en 2011, sobre la base de la evidencia públicamente disponible parece no ha tomado medidas adicionales para cumplir con ninguna de las Recomendaciones de la Comisión desde la aprobación del informe No. 249/20.</w:t>
      </w:r>
    </w:p>
    <w:p w14:paraId="6465961C" w14:textId="77777777" w:rsidR="000C59DC" w:rsidRPr="00CD3501" w:rsidRDefault="000C59DC" w:rsidP="000C59DC">
      <w:pPr>
        <w:pStyle w:val="parrafos"/>
        <w:tabs>
          <w:tab w:val="clear" w:pos="360"/>
          <w:tab w:val="left" w:pos="90"/>
          <w:tab w:val="left" w:pos="270"/>
          <w:tab w:val="left" w:pos="450"/>
        </w:tabs>
        <w:rPr>
          <w:highlight w:val="yellow"/>
          <w:lang w:val="es-ES_tradnl"/>
        </w:rPr>
      </w:pPr>
    </w:p>
    <w:p w14:paraId="4C6358DD" w14:textId="65568C8A" w:rsidR="008C00E3" w:rsidRPr="00CD3501" w:rsidRDefault="00E33D82" w:rsidP="00A167CF">
      <w:pPr>
        <w:pStyle w:val="Heading1"/>
        <w:spacing w:before="0"/>
        <w:ind w:left="360"/>
        <w:rPr>
          <w:color w:val="auto"/>
          <w:sz w:val="20"/>
          <w:szCs w:val="20"/>
          <w:lang w:val="es-ES_tradnl"/>
        </w:rPr>
      </w:pPr>
      <w:bookmarkStart w:id="28" w:name="_Toc58425602"/>
      <w:r w:rsidRPr="00CD3501">
        <w:rPr>
          <w:color w:val="auto"/>
          <w:sz w:val="20"/>
          <w:szCs w:val="20"/>
          <w:lang w:val="es-ES_tradnl"/>
        </w:rPr>
        <w:t xml:space="preserve">CONCLUSIONES Y </w:t>
      </w:r>
      <w:bookmarkEnd w:id="24"/>
      <w:r w:rsidRPr="00CD3501">
        <w:rPr>
          <w:color w:val="auto"/>
          <w:sz w:val="20"/>
          <w:szCs w:val="20"/>
          <w:lang w:val="es-ES_tradnl"/>
        </w:rPr>
        <w:t>RECOMENDACIONES</w:t>
      </w:r>
      <w:r w:rsidR="00B70F53" w:rsidRPr="00CD3501">
        <w:rPr>
          <w:color w:val="auto"/>
          <w:sz w:val="20"/>
          <w:szCs w:val="20"/>
          <w:lang w:val="es-ES_tradnl"/>
        </w:rPr>
        <w:t xml:space="preserve"> FINALES</w:t>
      </w:r>
      <w:bookmarkEnd w:id="28"/>
    </w:p>
    <w:p w14:paraId="1A54FB71" w14:textId="77777777" w:rsidR="008C00E3" w:rsidRPr="00CD3501" w:rsidRDefault="008C00E3" w:rsidP="00A167C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sz w:val="20"/>
          <w:szCs w:val="20"/>
          <w:lang w:val="es-ES_tradnl"/>
        </w:rPr>
      </w:pPr>
    </w:p>
    <w:p w14:paraId="54348532" w14:textId="704AF2D2" w:rsidR="00607523" w:rsidRPr="00CD3501" w:rsidRDefault="00635A3B" w:rsidP="00DE4BE1">
      <w:pPr>
        <w:pStyle w:val="parrafos"/>
        <w:numPr>
          <w:ilvl w:val="0"/>
          <w:numId w:val="57"/>
        </w:numPr>
        <w:tabs>
          <w:tab w:val="clear" w:pos="360"/>
          <w:tab w:val="clear" w:pos="1080"/>
          <w:tab w:val="left" w:pos="90"/>
          <w:tab w:val="left" w:pos="270"/>
          <w:tab w:val="left" w:pos="450"/>
        </w:tabs>
        <w:ind w:left="0" w:firstLine="0"/>
        <w:rPr>
          <w:rFonts w:ascii="Cambria" w:hAnsi="Cambria"/>
          <w:lang w:val="es-ES_tradnl"/>
        </w:rPr>
      </w:pPr>
      <w:r w:rsidRPr="00CD3501">
        <w:rPr>
          <w:rFonts w:ascii="Cambria" w:hAnsi="Cambria"/>
          <w:lang w:val="es-ES_tradnl"/>
        </w:rPr>
        <w:t>Sobre la base de las determinaciones de hecho y de derecho</w:t>
      </w:r>
      <w:r w:rsidR="008C00E3" w:rsidRPr="00CD3501">
        <w:rPr>
          <w:rFonts w:ascii="Cambria" w:hAnsi="Cambria"/>
          <w:lang w:val="es-ES_tradnl"/>
        </w:rPr>
        <w:t xml:space="preserve">, </w:t>
      </w:r>
      <w:r w:rsidR="00C12EE4" w:rsidRPr="00CD3501">
        <w:rPr>
          <w:rFonts w:ascii="Cambria" w:hAnsi="Cambria"/>
          <w:lang w:val="es-ES_tradnl"/>
        </w:rPr>
        <w:t>la Comisión Interamericana</w:t>
      </w:r>
      <w:r w:rsidR="008C00E3" w:rsidRPr="00CD3501">
        <w:rPr>
          <w:rFonts w:ascii="Cambria" w:hAnsi="Cambria"/>
          <w:lang w:val="es-ES_tradnl"/>
        </w:rPr>
        <w:t xml:space="preserve"> conclu</w:t>
      </w:r>
      <w:r w:rsidRPr="00CD3501">
        <w:rPr>
          <w:rFonts w:ascii="Cambria" w:hAnsi="Cambria"/>
          <w:lang w:val="es-ES_tradnl"/>
        </w:rPr>
        <w:t xml:space="preserve">ye que </w:t>
      </w:r>
      <w:r w:rsidR="009A3641" w:rsidRPr="00CD3501">
        <w:rPr>
          <w:rFonts w:ascii="Cambria" w:hAnsi="Cambria"/>
          <w:lang w:val="es-ES_tradnl"/>
        </w:rPr>
        <w:t>el Estado</w:t>
      </w:r>
      <w:r w:rsidR="008C00E3" w:rsidRPr="00CD3501">
        <w:rPr>
          <w:rFonts w:ascii="Cambria" w:hAnsi="Cambria"/>
          <w:lang w:val="es-ES_tradnl"/>
        </w:rPr>
        <w:t xml:space="preserve"> </w:t>
      </w:r>
      <w:r w:rsidR="00EE5F1C" w:rsidRPr="00CD3501">
        <w:rPr>
          <w:rFonts w:ascii="Cambria" w:hAnsi="Cambria"/>
          <w:lang w:val="es-ES_tradnl"/>
        </w:rPr>
        <w:t>es responsable de la violación de los artículos</w:t>
      </w:r>
      <w:r w:rsidR="00EB5608" w:rsidRPr="00CD3501">
        <w:rPr>
          <w:rFonts w:ascii="Cambria" w:hAnsi="Cambria"/>
          <w:lang w:val="es-ES_tradnl"/>
        </w:rPr>
        <w:t xml:space="preserve"> 5.1 (</w:t>
      </w:r>
      <w:r w:rsidR="00EE5F1C" w:rsidRPr="00CD3501">
        <w:rPr>
          <w:rFonts w:ascii="Cambria" w:hAnsi="Cambria"/>
          <w:lang w:val="es-ES_tradnl"/>
        </w:rPr>
        <w:t>derecho a la integridad física</w:t>
      </w:r>
      <w:r w:rsidR="00EB5608" w:rsidRPr="00CD3501">
        <w:rPr>
          <w:rFonts w:ascii="Cambria" w:hAnsi="Cambria"/>
          <w:lang w:val="es-ES_tradnl"/>
        </w:rPr>
        <w:t>), 11 (</w:t>
      </w:r>
      <w:r w:rsidR="00EE5F1C" w:rsidRPr="00CD3501">
        <w:rPr>
          <w:rFonts w:ascii="Cambria" w:hAnsi="Cambria"/>
          <w:lang w:val="es-ES_tradnl"/>
        </w:rPr>
        <w:t>protección de la honra y de la dignidad</w:t>
      </w:r>
      <w:r w:rsidR="00EB5608" w:rsidRPr="00CD3501">
        <w:rPr>
          <w:rFonts w:ascii="Cambria" w:hAnsi="Cambria"/>
          <w:lang w:val="es-ES_tradnl"/>
        </w:rPr>
        <w:t>),</w:t>
      </w:r>
      <w:r w:rsidR="00DA4A24" w:rsidRPr="00CD3501">
        <w:rPr>
          <w:rFonts w:ascii="Cambria" w:hAnsi="Cambria"/>
          <w:lang w:val="es-ES_tradnl"/>
        </w:rPr>
        <w:t xml:space="preserve"> 22.1 (</w:t>
      </w:r>
      <w:r w:rsidR="00EE5F1C" w:rsidRPr="00CD3501">
        <w:rPr>
          <w:rFonts w:ascii="Cambria" w:hAnsi="Cambria"/>
          <w:lang w:val="es-ES_tradnl"/>
        </w:rPr>
        <w:t>derecho de circulación y de residencia</w:t>
      </w:r>
      <w:r w:rsidR="00DA4A24" w:rsidRPr="00CD3501">
        <w:rPr>
          <w:rFonts w:ascii="Cambria" w:hAnsi="Cambria"/>
          <w:lang w:val="es-ES_tradnl"/>
        </w:rPr>
        <w:t>)</w:t>
      </w:r>
      <w:r w:rsidR="00EE5F1C" w:rsidRPr="00CD3501">
        <w:rPr>
          <w:rFonts w:ascii="Cambria" w:hAnsi="Cambria"/>
          <w:lang w:val="es-ES_tradnl"/>
        </w:rPr>
        <w:t>,</w:t>
      </w:r>
      <w:r w:rsidR="00EB5608" w:rsidRPr="00CD3501">
        <w:rPr>
          <w:rFonts w:ascii="Cambria" w:hAnsi="Cambria"/>
          <w:lang w:val="es-ES_tradnl"/>
        </w:rPr>
        <w:t xml:space="preserve"> 24 (</w:t>
      </w:r>
      <w:r w:rsidR="00EE5F1C" w:rsidRPr="00CD3501">
        <w:rPr>
          <w:rFonts w:ascii="Cambria" w:hAnsi="Cambria"/>
          <w:lang w:val="es-ES_tradnl"/>
        </w:rPr>
        <w:t>igualdad ante la ley</w:t>
      </w:r>
      <w:r w:rsidR="00EB5608" w:rsidRPr="00CD3501">
        <w:rPr>
          <w:rFonts w:ascii="Cambria" w:hAnsi="Cambria"/>
          <w:lang w:val="es-ES_tradnl"/>
        </w:rPr>
        <w:t>)</w:t>
      </w:r>
      <w:r w:rsidR="00EE5F1C" w:rsidRPr="00CD3501">
        <w:rPr>
          <w:rFonts w:ascii="Cambria" w:hAnsi="Cambria"/>
          <w:lang w:val="es-ES_tradnl"/>
        </w:rPr>
        <w:t xml:space="preserve"> y </w:t>
      </w:r>
      <w:r w:rsidR="00EA14BA" w:rsidRPr="00CD3501">
        <w:rPr>
          <w:rFonts w:ascii="Cambria" w:hAnsi="Cambria"/>
          <w:lang w:val="es-ES_tradnl"/>
        </w:rPr>
        <w:t>25.1</w:t>
      </w:r>
      <w:r w:rsidR="00EB5608" w:rsidRPr="00CD3501">
        <w:rPr>
          <w:rFonts w:ascii="Cambria" w:hAnsi="Cambria"/>
          <w:lang w:val="es-ES_tradnl"/>
        </w:rPr>
        <w:t xml:space="preserve"> (</w:t>
      </w:r>
      <w:r w:rsidR="00EE5F1C" w:rsidRPr="00CD3501">
        <w:rPr>
          <w:rFonts w:ascii="Cambria" w:hAnsi="Cambria"/>
          <w:lang w:val="es-ES_tradnl"/>
        </w:rPr>
        <w:t>p</w:t>
      </w:r>
      <w:r w:rsidR="00910B10" w:rsidRPr="00CD3501">
        <w:rPr>
          <w:rFonts w:ascii="Cambria" w:hAnsi="Cambria"/>
          <w:lang w:val="es-ES_tradnl"/>
        </w:rPr>
        <w:t>rotección judicial</w:t>
      </w:r>
      <w:r w:rsidR="00EB5608" w:rsidRPr="00CD3501">
        <w:rPr>
          <w:rFonts w:ascii="Cambria" w:hAnsi="Cambria"/>
          <w:lang w:val="es-ES_tradnl"/>
        </w:rPr>
        <w:t xml:space="preserve">) </w:t>
      </w:r>
      <w:r w:rsidR="00EE5F1C" w:rsidRPr="00CD3501">
        <w:rPr>
          <w:rFonts w:ascii="Cambria" w:hAnsi="Cambria"/>
          <w:lang w:val="es-ES_tradnl"/>
        </w:rPr>
        <w:t xml:space="preserve">de la </w:t>
      </w:r>
      <w:r w:rsidR="009A3641" w:rsidRPr="00CD3501">
        <w:rPr>
          <w:rFonts w:ascii="Cambria" w:hAnsi="Cambria"/>
          <w:lang w:val="es-ES_tradnl"/>
        </w:rPr>
        <w:t>Convención Americana</w:t>
      </w:r>
      <w:r w:rsidR="00EE5F1C" w:rsidRPr="00CD3501">
        <w:rPr>
          <w:rFonts w:ascii="Cambria" w:hAnsi="Cambria"/>
          <w:lang w:val="es-ES_tradnl"/>
        </w:rPr>
        <w:t>, en relación con las obligaciones establecidas en los artículos</w:t>
      </w:r>
      <w:r w:rsidR="00EB5608" w:rsidRPr="00CD3501">
        <w:rPr>
          <w:rFonts w:ascii="Cambria" w:hAnsi="Cambria"/>
          <w:lang w:val="es-ES_tradnl"/>
        </w:rPr>
        <w:t xml:space="preserve"> 1. 1 </w:t>
      </w:r>
      <w:r w:rsidR="00EE5F1C" w:rsidRPr="00CD3501">
        <w:rPr>
          <w:rFonts w:ascii="Cambria" w:hAnsi="Cambria"/>
          <w:lang w:val="es-ES_tradnl"/>
        </w:rPr>
        <w:t>y</w:t>
      </w:r>
      <w:r w:rsidR="00EB5608" w:rsidRPr="00CD3501">
        <w:rPr>
          <w:rFonts w:ascii="Cambria" w:hAnsi="Cambria"/>
          <w:lang w:val="es-ES_tradnl"/>
        </w:rPr>
        <w:t xml:space="preserve"> 2 </w:t>
      </w:r>
      <w:r w:rsidR="00EE5F1C" w:rsidRPr="00CD3501">
        <w:rPr>
          <w:rFonts w:ascii="Cambria" w:hAnsi="Cambria"/>
          <w:lang w:val="es-ES_tradnl"/>
        </w:rPr>
        <w:t xml:space="preserve">de dicho instrumento, en perjuicio de </w:t>
      </w:r>
      <w:r w:rsidR="00EB5608" w:rsidRPr="00CD3501">
        <w:rPr>
          <w:rFonts w:ascii="Cambria" w:hAnsi="Cambria"/>
          <w:lang w:val="es-ES_tradnl"/>
        </w:rPr>
        <w:t xml:space="preserve">Gareth Henry </w:t>
      </w:r>
      <w:r w:rsidR="00EE5F1C" w:rsidRPr="00CD3501">
        <w:rPr>
          <w:rFonts w:ascii="Cambria" w:hAnsi="Cambria"/>
          <w:lang w:val="es-ES_tradnl"/>
        </w:rPr>
        <w:t>y</w:t>
      </w:r>
      <w:r w:rsidR="00EB5608" w:rsidRPr="00CD3501">
        <w:rPr>
          <w:rFonts w:ascii="Cambria" w:hAnsi="Cambria"/>
          <w:lang w:val="es-ES_tradnl"/>
        </w:rPr>
        <w:t xml:space="preserve"> Simone Carline Edwards. </w:t>
      </w:r>
    </w:p>
    <w:p w14:paraId="187D940B" w14:textId="630A8C1A" w:rsidR="00607523" w:rsidRPr="00CD3501" w:rsidRDefault="00287BFF" w:rsidP="00287BFF">
      <w:pPr>
        <w:pStyle w:val="parrafos"/>
        <w:tabs>
          <w:tab w:val="clear" w:pos="360"/>
          <w:tab w:val="left" w:pos="3306"/>
        </w:tabs>
        <w:rPr>
          <w:rFonts w:ascii="Cambria" w:hAnsi="Cambria"/>
          <w:lang w:val="es-ES_tradnl"/>
        </w:rPr>
      </w:pPr>
      <w:r w:rsidRPr="00CD3501">
        <w:rPr>
          <w:rFonts w:ascii="Cambria" w:hAnsi="Cambria"/>
          <w:lang w:val="es-ES_tradnl"/>
        </w:rPr>
        <w:tab/>
      </w:r>
    </w:p>
    <w:p w14:paraId="4073A08A" w14:textId="0525337D" w:rsidR="008C00E3" w:rsidRPr="00CD3501" w:rsidRDefault="00E33D82" w:rsidP="00A167CF">
      <w:pPr>
        <w:pStyle w:val="parrafos"/>
        <w:tabs>
          <w:tab w:val="clear" w:pos="360"/>
        </w:tabs>
        <w:rPr>
          <w:rFonts w:ascii="Cambria" w:hAnsi="Cambria"/>
          <w:lang w:val="es-ES_tradnl"/>
        </w:rPr>
      </w:pPr>
      <w:r w:rsidRPr="00CD3501">
        <w:rPr>
          <w:rFonts w:ascii="Cambria" w:hAnsi="Cambria"/>
          <w:b/>
          <w:bCs/>
          <w:lang w:val="es-ES_tradnl"/>
        </w:rPr>
        <w:t>LA COMISIÓN INTERAMERICANA DE DERECHOS HUMANOS RECOMIENDA AL ESTADO JAMAIQUINO:</w:t>
      </w:r>
    </w:p>
    <w:p w14:paraId="7E99FA50" w14:textId="77777777" w:rsidR="00F97C28" w:rsidRPr="00CD3501" w:rsidRDefault="00F97C28" w:rsidP="00A167CF">
      <w:pPr>
        <w:jc w:val="both"/>
        <w:rPr>
          <w:rFonts w:ascii="Cambria" w:hAnsi="Cambria"/>
          <w:b/>
          <w:sz w:val="20"/>
          <w:szCs w:val="20"/>
          <w:lang w:val="es-ES_tradnl"/>
        </w:rPr>
      </w:pPr>
    </w:p>
    <w:p w14:paraId="58DB2D37" w14:textId="77777777" w:rsidR="00B96A36" w:rsidRPr="00CD3501" w:rsidRDefault="005A27A5" w:rsidP="00B96A36">
      <w:pPr>
        <w:pStyle w:val="BodyText3"/>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ind w:left="540" w:hanging="540"/>
        <w:jc w:val="both"/>
        <w:rPr>
          <w:sz w:val="20"/>
          <w:szCs w:val="20"/>
          <w:lang w:val="es-ES_tradnl"/>
        </w:rPr>
      </w:pPr>
      <w:r w:rsidRPr="00CD3501">
        <w:rPr>
          <w:sz w:val="20"/>
          <w:szCs w:val="20"/>
          <w:lang w:val="es-ES_tradnl"/>
        </w:rPr>
        <w:t xml:space="preserve">Reparar </w:t>
      </w:r>
      <w:r w:rsidR="00E33D82" w:rsidRPr="00CD3501">
        <w:rPr>
          <w:sz w:val="20"/>
          <w:szCs w:val="20"/>
          <w:lang w:val="es-ES_tradnl"/>
        </w:rPr>
        <w:t>integralmente las violaciones de derechos humanos señaladas en el presente</w:t>
      </w:r>
      <w:r w:rsidR="003C7113" w:rsidRPr="00CD3501">
        <w:rPr>
          <w:sz w:val="20"/>
          <w:szCs w:val="20"/>
          <w:lang w:val="es-ES_tradnl"/>
        </w:rPr>
        <w:t xml:space="preserve">, </w:t>
      </w:r>
      <w:r w:rsidR="00E33D82" w:rsidRPr="00CD3501">
        <w:rPr>
          <w:sz w:val="20"/>
          <w:szCs w:val="20"/>
          <w:lang w:val="es-ES_tradnl"/>
        </w:rPr>
        <w:t>en el aspecto t</w:t>
      </w:r>
      <w:r w:rsidRPr="00CD3501">
        <w:rPr>
          <w:sz w:val="20"/>
          <w:szCs w:val="20"/>
          <w:lang w:val="es-ES_tradnl"/>
        </w:rPr>
        <w:t xml:space="preserve">anto material como inmaterial. Ello debe incluir medidas de satisfacción y una indemnización pecuniaria. </w:t>
      </w:r>
    </w:p>
    <w:p w14:paraId="3262BBAA" w14:textId="77777777" w:rsidR="00B96A36" w:rsidRPr="00CD3501" w:rsidRDefault="00B96A36" w:rsidP="00B96A36">
      <w:pPr>
        <w:pStyle w:val="BodyText3"/>
        <w:pBdr>
          <w:top w:val="none" w:sz="0" w:space="0" w:color="auto"/>
          <w:left w:val="none" w:sz="0" w:space="0" w:color="auto"/>
          <w:bottom w:val="none" w:sz="0" w:space="0" w:color="auto"/>
          <w:right w:val="none" w:sz="0" w:space="0" w:color="auto"/>
          <w:between w:val="none" w:sz="0" w:space="0" w:color="auto"/>
          <w:bar w:val="none" w:sz="0" w:color="auto"/>
        </w:pBdr>
        <w:spacing w:after="0"/>
        <w:ind w:left="540"/>
        <w:jc w:val="both"/>
        <w:rPr>
          <w:sz w:val="20"/>
          <w:szCs w:val="20"/>
          <w:lang w:val="es-ES_tradnl"/>
        </w:rPr>
      </w:pPr>
    </w:p>
    <w:p w14:paraId="6D720A0E" w14:textId="09E1B17D" w:rsidR="00283FEF" w:rsidRPr="00CD3501" w:rsidRDefault="005A27A5" w:rsidP="00B96A36">
      <w:pPr>
        <w:pStyle w:val="BodyText3"/>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ind w:left="540" w:hanging="540"/>
        <w:jc w:val="both"/>
        <w:rPr>
          <w:sz w:val="20"/>
          <w:szCs w:val="20"/>
          <w:lang w:val="es-ES_tradnl"/>
        </w:rPr>
      </w:pPr>
      <w:r w:rsidRPr="00CD3501">
        <w:rPr>
          <w:sz w:val="20"/>
          <w:szCs w:val="20"/>
          <w:lang w:val="es-ES_tradnl"/>
        </w:rPr>
        <w:t>Adoptar</w:t>
      </w:r>
      <w:r w:rsidR="00E33D82" w:rsidRPr="00CD3501">
        <w:rPr>
          <w:sz w:val="20"/>
          <w:szCs w:val="20"/>
          <w:lang w:val="es-ES_tradnl"/>
        </w:rPr>
        <w:t xml:space="preserve"> las medidas de no repetición necesarias para </w:t>
      </w:r>
      <w:r w:rsidR="00671A91" w:rsidRPr="00CD3501">
        <w:rPr>
          <w:sz w:val="20"/>
          <w:szCs w:val="20"/>
          <w:lang w:val="es-ES_tradnl"/>
        </w:rPr>
        <w:t>evitar que se produzcan incidentes</w:t>
      </w:r>
      <w:r w:rsidR="008F38AA" w:rsidRPr="00CD3501">
        <w:rPr>
          <w:sz w:val="20"/>
          <w:szCs w:val="20"/>
          <w:lang w:val="es-ES_tradnl"/>
        </w:rPr>
        <w:t xml:space="preserve"> similar</w:t>
      </w:r>
      <w:r w:rsidR="00671A91" w:rsidRPr="00CD3501">
        <w:rPr>
          <w:sz w:val="20"/>
          <w:szCs w:val="20"/>
          <w:lang w:val="es-ES_tradnl"/>
        </w:rPr>
        <w:t>e</w:t>
      </w:r>
      <w:r w:rsidR="00283FEF" w:rsidRPr="00CD3501">
        <w:rPr>
          <w:sz w:val="20"/>
          <w:szCs w:val="20"/>
          <w:lang w:val="es-ES_tradnl"/>
        </w:rPr>
        <w:t>s en el futuro; específicamente:</w:t>
      </w:r>
    </w:p>
    <w:p w14:paraId="437AD487" w14:textId="77777777" w:rsidR="00283FEF" w:rsidRPr="00CD3501" w:rsidRDefault="00283FEF" w:rsidP="00283FEF">
      <w:pPr>
        <w:pStyle w:val="ListParagraph"/>
        <w:rPr>
          <w:sz w:val="20"/>
          <w:szCs w:val="20"/>
          <w:lang w:val="es-ES_tradnl"/>
        </w:rPr>
      </w:pPr>
    </w:p>
    <w:p w14:paraId="3DBF71C9" w14:textId="77777777" w:rsidR="00B96A36" w:rsidRPr="00CD3501" w:rsidRDefault="005A27A5" w:rsidP="00B96A36">
      <w:pPr>
        <w:pStyle w:val="BodyText3"/>
        <w:numPr>
          <w:ilvl w:val="2"/>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1530"/>
          <w:tab w:val="left" w:pos="9360"/>
        </w:tabs>
        <w:spacing w:after="0"/>
        <w:ind w:left="540" w:hanging="540"/>
        <w:jc w:val="both"/>
        <w:rPr>
          <w:sz w:val="20"/>
          <w:szCs w:val="20"/>
          <w:lang w:val="es-ES_tradnl"/>
        </w:rPr>
      </w:pPr>
      <w:r w:rsidRPr="00CD3501">
        <w:rPr>
          <w:sz w:val="20"/>
          <w:szCs w:val="20"/>
          <w:lang w:val="es-ES_tradnl"/>
        </w:rPr>
        <w:t>derogar</w:t>
      </w:r>
      <w:r w:rsidR="00671A91" w:rsidRPr="00CD3501">
        <w:rPr>
          <w:sz w:val="20"/>
          <w:szCs w:val="20"/>
          <w:lang w:val="es-ES_tradnl"/>
        </w:rPr>
        <w:t xml:space="preserve"> los artículos de la Ley de Delitos contra la Persona</w:t>
      </w:r>
      <w:r w:rsidR="008F38AA" w:rsidRPr="00CD3501">
        <w:rPr>
          <w:sz w:val="20"/>
          <w:szCs w:val="20"/>
          <w:lang w:val="es-ES_tradnl"/>
        </w:rPr>
        <w:t xml:space="preserve"> </w:t>
      </w:r>
      <w:r w:rsidR="00671A91" w:rsidRPr="00CD3501">
        <w:rPr>
          <w:sz w:val="20"/>
          <w:szCs w:val="20"/>
          <w:lang w:val="es-ES_tradnl"/>
        </w:rPr>
        <w:t xml:space="preserve">que tipifican como delito la actividad </w:t>
      </w:r>
      <w:r w:rsidR="007D1783" w:rsidRPr="00CD3501">
        <w:rPr>
          <w:sz w:val="20"/>
          <w:szCs w:val="20"/>
          <w:lang w:val="es-ES_tradnl"/>
        </w:rPr>
        <w:t xml:space="preserve">sexual </w:t>
      </w:r>
      <w:r w:rsidR="00465954" w:rsidRPr="00CD3501">
        <w:rPr>
          <w:sz w:val="20"/>
          <w:szCs w:val="20"/>
          <w:lang w:val="es-ES_tradnl"/>
        </w:rPr>
        <w:t>consens</w:t>
      </w:r>
      <w:r w:rsidR="007D1783" w:rsidRPr="00CD3501">
        <w:rPr>
          <w:sz w:val="20"/>
          <w:szCs w:val="20"/>
          <w:lang w:val="es-ES_tradnl"/>
        </w:rPr>
        <w:t xml:space="preserve">ual </w:t>
      </w:r>
      <w:r w:rsidR="00671A91" w:rsidRPr="00CD3501">
        <w:rPr>
          <w:sz w:val="20"/>
          <w:szCs w:val="20"/>
          <w:lang w:val="es-ES_tradnl"/>
        </w:rPr>
        <w:t>realizada en privado entre adultos y la conducta</w:t>
      </w:r>
      <w:r w:rsidR="007D1783" w:rsidRPr="00CD3501">
        <w:rPr>
          <w:sz w:val="20"/>
          <w:szCs w:val="20"/>
          <w:lang w:val="es-ES_tradnl"/>
        </w:rPr>
        <w:t xml:space="preserve"> sexual </w:t>
      </w:r>
      <w:r w:rsidR="00671A91" w:rsidRPr="00CD3501">
        <w:rPr>
          <w:sz w:val="20"/>
          <w:szCs w:val="20"/>
          <w:lang w:val="es-ES_tradnl"/>
        </w:rPr>
        <w:t xml:space="preserve">entre hombres que tienen relaciones sexuales con otros hombres o con </w:t>
      </w:r>
      <w:r w:rsidR="007D1783" w:rsidRPr="00CD3501">
        <w:rPr>
          <w:sz w:val="20"/>
          <w:szCs w:val="20"/>
          <w:lang w:val="es-ES_tradnl"/>
        </w:rPr>
        <w:t>homosexual</w:t>
      </w:r>
      <w:r w:rsidR="00671A91" w:rsidRPr="00CD3501">
        <w:rPr>
          <w:sz w:val="20"/>
          <w:szCs w:val="20"/>
          <w:lang w:val="es-ES_tradnl"/>
        </w:rPr>
        <w:t>e</w:t>
      </w:r>
      <w:r w:rsidR="007D1783" w:rsidRPr="00CD3501">
        <w:rPr>
          <w:sz w:val="20"/>
          <w:szCs w:val="20"/>
          <w:lang w:val="es-ES_tradnl"/>
        </w:rPr>
        <w:t>s</w:t>
      </w:r>
      <w:r w:rsidR="00283FEF" w:rsidRPr="00CD3501">
        <w:rPr>
          <w:sz w:val="20"/>
          <w:szCs w:val="20"/>
          <w:lang w:val="es-ES_tradnl"/>
        </w:rPr>
        <w:t>.</w:t>
      </w:r>
    </w:p>
    <w:p w14:paraId="24ACAE27" w14:textId="77777777" w:rsidR="00B96A36" w:rsidRPr="00CD3501" w:rsidRDefault="00B96A36" w:rsidP="00B96A36">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1530"/>
          <w:tab w:val="left" w:pos="9360"/>
        </w:tabs>
        <w:spacing w:after="0"/>
        <w:ind w:left="540"/>
        <w:jc w:val="both"/>
        <w:rPr>
          <w:sz w:val="20"/>
          <w:szCs w:val="20"/>
          <w:lang w:val="es-ES_tradnl"/>
        </w:rPr>
      </w:pPr>
    </w:p>
    <w:p w14:paraId="388793DE" w14:textId="53C76CFB" w:rsidR="00B96A36" w:rsidRPr="00CD3501" w:rsidRDefault="00283FEF" w:rsidP="00B96A36">
      <w:pPr>
        <w:pStyle w:val="BodyText3"/>
        <w:numPr>
          <w:ilvl w:val="2"/>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1530"/>
          <w:tab w:val="left" w:pos="9360"/>
        </w:tabs>
        <w:spacing w:after="0"/>
        <w:ind w:left="540" w:hanging="540"/>
        <w:jc w:val="both"/>
        <w:rPr>
          <w:sz w:val="20"/>
          <w:szCs w:val="20"/>
          <w:lang w:val="es-ES_tradnl"/>
        </w:rPr>
      </w:pPr>
      <w:r w:rsidRPr="00CD3501">
        <w:rPr>
          <w:sz w:val="20"/>
          <w:szCs w:val="20"/>
          <w:lang w:val="es-ES_tradnl"/>
        </w:rPr>
        <w:t>adoptar un marco legal o modificar legislación existente con miras a prohibir y sancionar toda forma de discriminación basada en la orientación sexual, identidad o expresión de género –real o percibida– y diversidad corporal;</w:t>
      </w:r>
    </w:p>
    <w:p w14:paraId="6D5670B5" w14:textId="77777777" w:rsidR="00B96A36" w:rsidRPr="00CD3501" w:rsidRDefault="00B96A36" w:rsidP="00B96A36">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1530"/>
          <w:tab w:val="left" w:pos="9360"/>
        </w:tabs>
        <w:spacing w:after="0"/>
        <w:ind w:left="540"/>
        <w:jc w:val="both"/>
        <w:rPr>
          <w:sz w:val="20"/>
          <w:szCs w:val="20"/>
          <w:lang w:val="es-ES_tradnl"/>
        </w:rPr>
      </w:pPr>
    </w:p>
    <w:p w14:paraId="17BD6158" w14:textId="11330513" w:rsidR="00B96A36" w:rsidRPr="00CD3501" w:rsidRDefault="00283FEF" w:rsidP="00B96A36">
      <w:pPr>
        <w:pStyle w:val="BodyText3"/>
        <w:numPr>
          <w:ilvl w:val="2"/>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1530"/>
          <w:tab w:val="left" w:pos="9360"/>
        </w:tabs>
        <w:spacing w:after="0"/>
        <w:ind w:left="540" w:hanging="540"/>
        <w:jc w:val="both"/>
        <w:rPr>
          <w:sz w:val="20"/>
          <w:szCs w:val="20"/>
          <w:lang w:val="es-ES_tradnl"/>
        </w:rPr>
      </w:pPr>
      <w:r w:rsidRPr="00CD3501">
        <w:rPr>
          <w:sz w:val="20"/>
          <w:szCs w:val="20"/>
          <w:lang w:val="es-ES_tradnl"/>
        </w:rPr>
        <w:t xml:space="preserve"> Llevar a cabo la recolección y análisis de datos estadísticos de manera sistemática y desagregada en el Censo de Jamaica respecto de la prevalencia y naturaleza de la violencia y la discriminación por prejuicio contra las personas basado en su orientación sexual, identidad o expresión de género –real o per</w:t>
      </w:r>
      <w:r w:rsidR="0011627D" w:rsidRPr="00CD3501">
        <w:rPr>
          <w:sz w:val="20"/>
          <w:szCs w:val="20"/>
          <w:lang w:val="es-ES_tradnl"/>
        </w:rPr>
        <w:t>cibida– y diversidad corporal</w:t>
      </w:r>
      <w:r w:rsidRPr="00CD3501">
        <w:rPr>
          <w:sz w:val="20"/>
          <w:szCs w:val="20"/>
          <w:lang w:val="es-ES_tradnl"/>
        </w:rPr>
        <w:t>;</w:t>
      </w:r>
    </w:p>
    <w:p w14:paraId="4BCD2BE3" w14:textId="77777777" w:rsidR="00B96A36" w:rsidRPr="00CD3501" w:rsidRDefault="00B96A36" w:rsidP="00B96A36">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1530"/>
          <w:tab w:val="left" w:pos="9360"/>
        </w:tabs>
        <w:spacing w:after="0"/>
        <w:ind w:left="540"/>
        <w:jc w:val="both"/>
        <w:rPr>
          <w:sz w:val="20"/>
          <w:szCs w:val="20"/>
          <w:lang w:val="es-ES_tradnl"/>
        </w:rPr>
      </w:pPr>
    </w:p>
    <w:p w14:paraId="2D014EF1" w14:textId="1E58B2B9" w:rsidR="00B96A36" w:rsidRPr="00CD3501" w:rsidRDefault="00283FEF" w:rsidP="00B96A36">
      <w:pPr>
        <w:pStyle w:val="BodyText3"/>
        <w:numPr>
          <w:ilvl w:val="2"/>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1530"/>
          <w:tab w:val="left" w:pos="9360"/>
        </w:tabs>
        <w:spacing w:after="0"/>
        <w:ind w:left="540" w:hanging="540"/>
        <w:jc w:val="both"/>
        <w:rPr>
          <w:sz w:val="20"/>
          <w:szCs w:val="20"/>
          <w:lang w:val="es-ES_tradnl"/>
        </w:rPr>
      </w:pPr>
      <w:r w:rsidRPr="00CD3501">
        <w:rPr>
          <w:sz w:val="20"/>
          <w:szCs w:val="20"/>
          <w:lang w:val="es-ES_tradnl"/>
        </w:rPr>
        <w:t xml:space="preserve">aplicar el estándar de debida diligencia en la prevención, investigación, sanción y reparación de la violencia contra las personas LGBTI, independientemente de si la violencia ocurre en el contexto de la familia, la comunidad o la esfera pública, incluyendo en los ámbitos laboral, educativo y de salud. </w:t>
      </w:r>
      <w:r w:rsidRPr="00CD3501">
        <w:rPr>
          <w:sz w:val="20"/>
          <w:szCs w:val="20"/>
          <w:lang w:val="es-ES_tradnl"/>
        </w:rPr>
        <w:lastRenderedPageBreak/>
        <w:t>Garantizar que las investigaciones no estén permeadas por prejuicios basados en la orientación sexual y/o identidad de género real o percibida de la víctima o del perpetrador.</w:t>
      </w:r>
    </w:p>
    <w:p w14:paraId="26DC9204" w14:textId="77777777" w:rsidR="00B96A36" w:rsidRPr="00CD3501" w:rsidRDefault="00B96A36" w:rsidP="00B96A36">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1530"/>
          <w:tab w:val="left" w:pos="9360"/>
        </w:tabs>
        <w:spacing w:after="0"/>
        <w:ind w:left="540"/>
        <w:jc w:val="both"/>
        <w:rPr>
          <w:sz w:val="20"/>
          <w:szCs w:val="20"/>
          <w:lang w:val="es-ES_tradnl"/>
        </w:rPr>
      </w:pPr>
    </w:p>
    <w:p w14:paraId="6F5EFF03" w14:textId="185519FF" w:rsidR="00B96A36" w:rsidRPr="00CD3501" w:rsidRDefault="00283FEF" w:rsidP="00B96A36">
      <w:pPr>
        <w:pStyle w:val="BodyText3"/>
        <w:numPr>
          <w:ilvl w:val="2"/>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1530"/>
          <w:tab w:val="left" w:pos="9360"/>
        </w:tabs>
        <w:spacing w:after="0"/>
        <w:ind w:left="540" w:hanging="540"/>
        <w:jc w:val="both"/>
        <w:rPr>
          <w:sz w:val="20"/>
          <w:szCs w:val="20"/>
          <w:lang w:val="es-ES_tradnl"/>
        </w:rPr>
      </w:pPr>
      <w:r w:rsidRPr="00CD3501">
        <w:rPr>
          <w:sz w:val="20"/>
          <w:szCs w:val="20"/>
          <w:lang w:val="es-ES_tradnl"/>
        </w:rPr>
        <w:t xml:space="preserve"> Realizar actividades de capacitación, periódicas y sostenidas, para funcionarios públicos de Jamaica sobre orientación sexual, identidad de género y expresión de género, dive</w:t>
      </w:r>
      <w:r w:rsidR="003164AD" w:rsidRPr="00CD3501">
        <w:rPr>
          <w:sz w:val="20"/>
          <w:szCs w:val="20"/>
          <w:lang w:val="es-ES_tradnl"/>
        </w:rPr>
        <w:t>rsidad corporal, y los desafíos</w:t>
      </w:r>
      <w:r w:rsidRPr="00CD3501">
        <w:rPr>
          <w:sz w:val="20"/>
          <w:szCs w:val="20"/>
          <w:lang w:val="es-ES_tradnl"/>
        </w:rPr>
        <w:t xml:space="preserve"> que estas personas enfrentan, particularmente para jueces, fiscales, defensores públicos, y demás operadores de justicia, fuerzas de seguridad, y los sectores de educación, empleo y salud;</w:t>
      </w:r>
    </w:p>
    <w:p w14:paraId="32C4F4A5" w14:textId="77777777" w:rsidR="00B96A36" w:rsidRPr="00CD3501" w:rsidRDefault="00B96A36" w:rsidP="00B96A36">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1530"/>
          <w:tab w:val="left" w:pos="9360"/>
        </w:tabs>
        <w:spacing w:after="0"/>
        <w:ind w:left="540"/>
        <w:jc w:val="both"/>
        <w:rPr>
          <w:sz w:val="20"/>
          <w:szCs w:val="20"/>
          <w:lang w:val="es-ES_tradnl"/>
        </w:rPr>
      </w:pPr>
    </w:p>
    <w:p w14:paraId="40818B9D" w14:textId="185E6D00" w:rsidR="0084004B" w:rsidRPr="00CD3501" w:rsidRDefault="00283FEF" w:rsidP="0084004B">
      <w:pPr>
        <w:pStyle w:val="BodyText3"/>
        <w:numPr>
          <w:ilvl w:val="2"/>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1530"/>
          <w:tab w:val="left" w:pos="9360"/>
        </w:tabs>
        <w:spacing w:after="0"/>
        <w:ind w:left="540" w:hanging="540"/>
        <w:jc w:val="both"/>
        <w:rPr>
          <w:sz w:val="20"/>
          <w:szCs w:val="20"/>
          <w:lang w:val="es-ES_tradnl"/>
        </w:rPr>
      </w:pPr>
      <w:r w:rsidRPr="00CD3501">
        <w:rPr>
          <w:sz w:val="20"/>
          <w:szCs w:val="20"/>
          <w:lang w:val="es-ES_tradnl"/>
        </w:rPr>
        <w:t>Garantizar que los programas de educación de Jamaica estén diseñados con la inclusión de la perspectiva de género, garantizando la desconstrucción de estereotipos y prejuicios y basados en un modelo de garantía de la autonomía de todas las personas, en especial de las personas LGBTI. Incluir una educación sexual integral en el currículo escolar, de acuerdo con la capacidad progresiva de los niños, que incluya una perspectiva de diversidad corporal, sexual y el enfoque de género, garantizando que las políticas y programas educativos estén especialmente diseñados para modificar los patrones sociales y culturales de conductas perjudiciales.</w:t>
      </w:r>
    </w:p>
    <w:p w14:paraId="7988626D" w14:textId="7B453063" w:rsidR="00E10008" w:rsidRPr="00CD3501" w:rsidRDefault="00E10008" w:rsidP="00E10008">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1530"/>
          <w:tab w:val="left" w:pos="9360"/>
        </w:tabs>
        <w:spacing w:after="0"/>
        <w:jc w:val="both"/>
        <w:rPr>
          <w:sz w:val="20"/>
          <w:szCs w:val="20"/>
          <w:lang w:val="es-ES_tradnl"/>
        </w:rPr>
      </w:pPr>
    </w:p>
    <w:p w14:paraId="0177FC22" w14:textId="77777777" w:rsidR="000C59DC" w:rsidRPr="00CD3501" w:rsidRDefault="000C59DC" w:rsidP="000C59DC">
      <w:pPr>
        <w:pStyle w:val="Heading1"/>
        <w:spacing w:before="0"/>
        <w:ind w:left="360"/>
        <w:rPr>
          <w:rFonts w:eastAsia="Times New Roman" w:cs="Tahoma"/>
          <w:color w:val="auto"/>
          <w:sz w:val="20"/>
          <w:szCs w:val="20"/>
          <w:bdr w:val="none" w:sz="0" w:space="0" w:color="auto" w:frame="1"/>
          <w:lang w:val="es-ES_tradnl"/>
        </w:rPr>
      </w:pPr>
      <w:bookmarkStart w:id="29" w:name="_Toc47700541"/>
      <w:bookmarkStart w:id="30" w:name="_Toc58425603"/>
      <w:r w:rsidRPr="00CD3501">
        <w:rPr>
          <w:rFonts w:eastAsia="Times New Roman" w:cs="Tahoma"/>
          <w:color w:val="auto"/>
          <w:sz w:val="20"/>
          <w:szCs w:val="20"/>
          <w:bdr w:val="none" w:sz="0" w:space="0" w:color="auto" w:frame="1"/>
          <w:lang w:val="es-ES_tradnl"/>
        </w:rPr>
        <w:t>PUBLICACIÓN</w:t>
      </w:r>
      <w:bookmarkEnd w:id="29"/>
      <w:bookmarkEnd w:id="30"/>
    </w:p>
    <w:p w14:paraId="731064F0" w14:textId="77777777" w:rsidR="000C59DC" w:rsidRPr="00CD3501" w:rsidRDefault="000C59DC" w:rsidP="000C59DC">
      <w:pPr>
        <w:rPr>
          <w:lang w:val="es-ES_tradnl"/>
        </w:rPr>
      </w:pPr>
    </w:p>
    <w:p w14:paraId="56FD3B0E" w14:textId="5B36376C" w:rsidR="000C59DC" w:rsidRPr="00CD3501" w:rsidRDefault="000C59DC" w:rsidP="000C59DC">
      <w:pPr>
        <w:pStyle w:val="parrafos"/>
        <w:numPr>
          <w:ilvl w:val="0"/>
          <w:numId w:val="57"/>
        </w:numPr>
        <w:tabs>
          <w:tab w:val="clear" w:pos="360"/>
          <w:tab w:val="clear" w:pos="1080"/>
          <w:tab w:val="left" w:pos="90"/>
          <w:tab w:val="left" w:pos="270"/>
          <w:tab w:val="left" w:pos="450"/>
        </w:tabs>
        <w:ind w:left="0" w:firstLine="0"/>
        <w:rPr>
          <w:lang w:val="es-ES_tradnl"/>
        </w:rPr>
      </w:pPr>
      <w:r w:rsidRPr="00CD3501">
        <w:rPr>
          <w:rFonts w:ascii="Cambria" w:hAnsi="Cambria"/>
          <w:lang w:val="es-ES_tradnl"/>
        </w:rPr>
        <w:t>En</w:t>
      </w:r>
      <w:r w:rsidRPr="00CD3501">
        <w:rPr>
          <w:lang w:val="es-ES_tradnl"/>
        </w:rPr>
        <w:t xml:space="preserve"> vista de lo anterior y de conformidad con el artículo 47.3 de su Reglamento, la CIDH decide hacer público este informe e incluirlo en su Informe Anual a la Asamblea General de la Organización de los Estados Americanos. La Comisión Interamericana, de acuerdo con las normas contenidas en los instrumentos que rigen su mandato, continuará evaluando las medidas adoptadas por Jamaica con respecto a las recomendaciones anteriores hasta que determine que se ha cumplido plenamente.</w:t>
      </w:r>
    </w:p>
    <w:p w14:paraId="49F90EDD" w14:textId="72BC0BF3" w:rsidR="00837299" w:rsidRPr="00CD3501" w:rsidRDefault="00837299" w:rsidP="00837299">
      <w:pPr>
        <w:pStyle w:val="parrafos"/>
        <w:tabs>
          <w:tab w:val="clear" w:pos="360"/>
          <w:tab w:val="left" w:pos="90"/>
          <w:tab w:val="left" w:pos="270"/>
          <w:tab w:val="left" w:pos="450"/>
        </w:tabs>
        <w:rPr>
          <w:lang w:val="es-ES_tradnl"/>
        </w:rPr>
      </w:pPr>
    </w:p>
    <w:p w14:paraId="131ECBE9" w14:textId="77777777" w:rsidR="00837299" w:rsidRPr="00CD3501" w:rsidRDefault="00837299" w:rsidP="00837299">
      <w:pPr>
        <w:ind w:firstLine="720"/>
        <w:jc w:val="both"/>
        <w:rPr>
          <w:rFonts w:ascii="Cambria" w:hAnsi="Cambria"/>
          <w:spacing w:val="-2"/>
          <w:sz w:val="20"/>
          <w:szCs w:val="20"/>
          <w:lang w:val="es-ES_tradnl"/>
        </w:rPr>
      </w:pPr>
      <w:r w:rsidRPr="00CD3501">
        <w:rPr>
          <w:rFonts w:ascii="Cambria" w:hAnsi="Cambria"/>
          <w:spacing w:val="-2"/>
          <w:sz w:val="20"/>
          <w:szCs w:val="20"/>
          <w:lang w:val="es-ES_tradnl"/>
        </w:rPr>
        <w:t>Aprobado por la Comisión Interamericana de Derechos Humanos, a los 31 días del mes de diciembre de 2020.  (Firmado): Joel Hernández García, Presidente; Antonia Urrejola Noguera, Primera Vicepresidenta; Flávia Piovesan, Segunda Vice Presidenta y Julissa Mantilla, Comisionada.</w:t>
      </w:r>
      <w:r w:rsidRPr="00CD3501">
        <w:rPr>
          <w:rFonts w:ascii="Cambria" w:hAnsi="Cambria"/>
          <w:sz w:val="20"/>
          <w:szCs w:val="20"/>
          <w:lang w:val="es-ES_tradnl"/>
        </w:rPr>
        <w:t xml:space="preserve"> </w:t>
      </w:r>
    </w:p>
    <w:p w14:paraId="3323570C" w14:textId="77777777" w:rsidR="00837299" w:rsidRPr="00CD3501" w:rsidRDefault="00837299" w:rsidP="00837299">
      <w:pPr>
        <w:pStyle w:val="parrafos"/>
        <w:tabs>
          <w:tab w:val="clear" w:pos="360"/>
          <w:tab w:val="left" w:pos="90"/>
          <w:tab w:val="left" w:pos="270"/>
          <w:tab w:val="left" w:pos="450"/>
        </w:tabs>
        <w:rPr>
          <w:lang w:val="es-ES_tradnl"/>
        </w:rPr>
      </w:pPr>
    </w:p>
    <w:p w14:paraId="4657CCB6" w14:textId="77777777" w:rsidR="00BF0AAB" w:rsidRPr="00CD3501" w:rsidRDefault="00BF0AAB" w:rsidP="00A167CF">
      <w:pPr>
        <w:rPr>
          <w:rFonts w:ascii="Cambria" w:hAnsi="Cambria"/>
          <w:sz w:val="20"/>
          <w:szCs w:val="20"/>
          <w:lang w:val="es-ES_tradnl"/>
        </w:rPr>
      </w:pPr>
    </w:p>
    <w:sectPr w:rsidR="00BF0AAB" w:rsidRPr="00CD3501" w:rsidSect="00A533F2">
      <w:footerReference w:type="first" r:id="rId14"/>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E6562" w14:textId="77777777" w:rsidR="000A556A" w:rsidRDefault="000A556A" w:rsidP="00036A8A">
      <w:r>
        <w:separator/>
      </w:r>
    </w:p>
  </w:endnote>
  <w:endnote w:type="continuationSeparator" w:id="0">
    <w:p w14:paraId="41E0F1C3" w14:textId="77777777" w:rsidR="000A556A" w:rsidRDefault="000A556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3163477"/>
      <w:docPartObj>
        <w:docPartGallery w:val="Page Numbers (Bottom of Page)"/>
        <w:docPartUnique/>
      </w:docPartObj>
    </w:sdtPr>
    <w:sdtEndPr>
      <w:rPr>
        <w:noProof/>
        <w:sz w:val="16"/>
      </w:rPr>
    </w:sdtEndPr>
    <w:sdtContent>
      <w:p w14:paraId="4B6538B8" w14:textId="6DA7FD49" w:rsidR="00BE380F" w:rsidRPr="006311DA" w:rsidRDefault="00BE380F">
        <w:pPr>
          <w:pStyle w:val="Footer"/>
          <w:jc w:val="center"/>
          <w:rPr>
            <w:sz w:val="16"/>
          </w:rPr>
        </w:pPr>
        <w:r>
          <w:rPr>
            <w:noProof/>
            <w:sz w:val="16"/>
          </w:rPr>
          <w:fldChar w:fldCharType="begin"/>
        </w:r>
        <w:r>
          <w:rPr>
            <w:noProof/>
            <w:sz w:val="16"/>
          </w:rPr>
          <w:instrText xml:space="preserve"> PAGE   \* MERGEFORMAT </w:instrText>
        </w:r>
        <w:r>
          <w:rPr>
            <w:noProof/>
            <w:sz w:val="16"/>
          </w:rPr>
          <w:fldChar w:fldCharType="separate"/>
        </w:r>
        <w:r>
          <w:rPr>
            <w:noProof/>
            <w:sz w:val="16"/>
          </w:rPr>
          <w:t>22</w:t>
        </w:r>
        <w:r>
          <w:rPr>
            <w:noProof/>
            <w:sz w:val="16"/>
          </w:rPr>
          <w:fldChar w:fldCharType="end"/>
        </w:r>
      </w:p>
    </w:sdtContent>
  </w:sdt>
  <w:p w14:paraId="053DD878" w14:textId="77777777" w:rsidR="00BE380F" w:rsidRDefault="00BE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76069" w14:textId="77777777" w:rsidR="00BE380F" w:rsidRDefault="00BE380F">
    <w:pPr>
      <w:pStyle w:val="Footer"/>
      <w:jc w:val="center"/>
    </w:pPr>
  </w:p>
  <w:p w14:paraId="68FA808C" w14:textId="77777777" w:rsidR="00BE380F" w:rsidRDefault="00BE38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28E51" w14:textId="230AAAA3" w:rsidR="00BE380F" w:rsidRDefault="00BE380F">
    <w:pPr>
      <w:pStyle w:val="Footer"/>
      <w:jc w:val="center"/>
    </w:pPr>
  </w:p>
  <w:p w14:paraId="6EFA9642" w14:textId="77777777" w:rsidR="00BE380F" w:rsidRDefault="00BE3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68F44" w14:textId="77777777" w:rsidR="000A556A" w:rsidRPr="00036A8A" w:rsidRDefault="000A556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CA62240" w14:textId="77777777" w:rsidR="000A556A" w:rsidRPr="00036A8A" w:rsidRDefault="000A556A" w:rsidP="00036A8A">
      <w:pPr>
        <w:rPr>
          <w:rFonts w:asciiTheme="majorHAnsi" w:hAnsiTheme="majorHAnsi"/>
          <w:sz w:val="16"/>
          <w:szCs w:val="16"/>
        </w:rPr>
      </w:pPr>
      <w:r w:rsidRPr="00036A8A">
        <w:rPr>
          <w:rFonts w:asciiTheme="majorHAnsi" w:hAnsiTheme="majorHAnsi"/>
          <w:sz w:val="16"/>
          <w:szCs w:val="16"/>
        </w:rPr>
        <w:separator/>
      </w:r>
    </w:p>
    <w:p w14:paraId="0C7CDB47" w14:textId="77777777" w:rsidR="000A556A" w:rsidRPr="00036A8A" w:rsidRDefault="000A556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A553530" w14:textId="77777777" w:rsidR="000A556A" w:rsidRPr="0093441A" w:rsidRDefault="000A556A"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B9B13AB" w14:textId="72B6B4AD"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w:t>
      </w:r>
      <w:r>
        <w:rPr>
          <w:rFonts w:asciiTheme="majorHAnsi" w:hAnsiTheme="majorHAnsi"/>
          <w:sz w:val="16"/>
          <w:szCs w:val="16"/>
          <w:lang w:val="es-ES"/>
        </w:rPr>
        <w:t xml:space="preserve">La petición fue presentada nuevamente el </w:t>
      </w:r>
      <w:r w:rsidRPr="005F06A1">
        <w:rPr>
          <w:rFonts w:asciiTheme="majorHAnsi" w:hAnsiTheme="majorHAnsi"/>
          <w:sz w:val="16"/>
          <w:szCs w:val="16"/>
          <w:lang w:val="es-ES"/>
        </w:rPr>
        <w:t>31</w:t>
      </w:r>
      <w:r>
        <w:rPr>
          <w:rFonts w:asciiTheme="majorHAnsi" w:hAnsiTheme="majorHAnsi"/>
          <w:sz w:val="16"/>
          <w:szCs w:val="16"/>
          <w:lang w:val="es-ES"/>
        </w:rPr>
        <w:t xml:space="preserve"> de mayo de</w:t>
      </w:r>
      <w:r w:rsidRPr="005F06A1">
        <w:rPr>
          <w:rFonts w:asciiTheme="majorHAnsi" w:hAnsiTheme="majorHAnsi"/>
          <w:sz w:val="16"/>
          <w:szCs w:val="16"/>
          <w:lang w:val="es-ES"/>
        </w:rPr>
        <w:t xml:space="preserve"> 2012 </w:t>
      </w:r>
      <w:r>
        <w:rPr>
          <w:rFonts w:asciiTheme="majorHAnsi" w:hAnsiTheme="majorHAnsi"/>
          <w:sz w:val="16"/>
          <w:szCs w:val="16"/>
          <w:lang w:val="es-ES"/>
        </w:rPr>
        <w:t xml:space="preserve">y el </w:t>
      </w:r>
      <w:r w:rsidRPr="005F06A1">
        <w:rPr>
          <w:rFonts w:asciiTheme="majorHAnsi" w:hAnsiTheme="majorHAnsi"/>
          <w:sz w:val="16"/>
          <w:szCs w:val="16"/>
          <w:lang w:val="es-ES"/>
        </w:rPr>
        <w:t>29</w:t>
      </w:r>
      <w:r>
        <w:rPr>
          <w:rFonts w:asciiTheme="majorHAnsi" w:hAnsiTheme="majorHAnsi"/>
          <w:sz w:val="16"/>
          <w:szCs w:val="16"/>
          <w:lang w:val="es-ES"/>
        </w:rPr>
        <w:t xml:space="preserve"> de julio de</w:t>
      </w:r>
      <w:r w:rsidRPr="005F06A1">
        <w:rPr>
          <w:rFonts w:asciiTheme="majorHAnsi" w:hAnsiTheme="majorHAnsi"/>
          <w:sz w:val="16"/>
          <w:szCs w:val="16"/>
          <w:lang w:val="es-ES"/>
        </w:rPr>
        <w:t xml:space="preserve"> 2013. </w:t>
      </w:r>
    </w:p>
  </w:footnote>
  <w:footnote w:id="3">
    <w:p w14:paraId="201C2466" w14:textId="249CEC83"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w:t>
      </w:r>
      <w:r>
        <w:rPr>
          <w:rFonts w:asciiTheme="majorHAnsi" w:hAnsiTheme="majorHAnsi"/>
          <w:sz w:val="16"/>
          <w:szCs w:val="16"/>
          <w:lang w:val="es-ES"/>
        </w:rPr>
        <w:t xml:space="preserve">El </w:t>
      </w:r>
      <w:r w:rsidRPr="005F06A1">
        <w:rPr>
          <w:rFonts w:asciiTheme="majorHAnsi" w:hAnsiTheme="majorHAnsi"/>
          <w:sz w:val="16"/>
          <w:szCs w:val="16"/>
          <w:lang w:val="es-ES"/>
        </w:rPr>
        <w:t>29</w:t>
      </w:r>
      <w:r>
        <w:rPr>
          <w:rFonts w:asciiTheme="majorHAnsi" w:hAnsiTheme="majorHAnsi"/>
          <w:sz w:val="16"/>
          <w:szCs w:val="16"/>
          <w:lang w:val="es-ES"/>
        </w:rPr>
        <w:t xml:space="preserve"> de julio de</w:t>
      </w:r>
      <w:r w:rsidRPr="005F06A1">
        <w:rPr>
          <w:rFonts w:asciiTheme="majorHAnsi" w:hAnsiTheme="majorHAnsi"/>
          <w:sz w:val="16"/>
          <w:szCs w:val="16"/>
          <w:lang w:val="es-ES"/>
        </w:rPr>
        <w:t xml:space="preserve"> 2013</w:t>
      </w:r>
      <w:r>
        <w:rPr>
          <w:rFonts w:asciiTheme="majorHAnsi" w:hAnsiTheme="majorHAnsi"/>
          <w:sz w:val="16"/>
          <w:szCs w:val="16"/>
          <w:lang w:val="es-ES"/>
        </w:rPr>
        <w:t xml:space="preserve">, los peticionarios presentaron una petición modificada, sin </w:t>
      </w:r>
      <w:r w:rsidRPr="005F06A1">
        <w:rPr>
          <w:rFonts w:asciiTheme="majorHAnsi" w:hAnsiTheme="majorHAnsi"/>
          <w:sz w:val="16"/>
          <w:szCs w:val="16"/>
          <w:lang w:val="es-ES"/>
        </w:rPr>
        <w:t xml:space="preserve">J-Flag </w:t>
      </w:r>
      <w:r>
        <w:rPr>
          <w:rFonts w:asciiTheme="majorHAnsi" w:hAnsiTheme="majorHAnsi"/>
          <w:sz w:val="16"/>
          <w:szCs w:val="16"/>
          <w:lang w:val="es-ES"/>
        </w:rPr>
        <w:t>entre los peticionarios</w:t>
      </w:r>
      <w:r w:rsidRPr="005F06A1">
        <w:rPr>
          <w:rFonts w:asciiTheme="majorHAnsi" w:hAnsiTheme="majorHAnsi"/>
          <w:sz w:val="16"/>
          <w:szCs w:val="16"/>
          <w:lang w:val="es-ES"/>
        </w:rPr>
        <w:t xml:space="preserve">. </w:t>
      </w:r>
    </w:p>
  </w:footnote>
  <w:footnote w:id="4">
    <w:p w14:paraId="217902C4" w14:textId="77777777" w:rsidR="00BE380F" w:rsidRPr="005F06A1" w:rsidRDefault="00BE380F" w:rsidP="0075398D">
      <w:pPr>
        <w:pStyle w:val="FootnoteText"/>
        <w:jc w:val="both"/>
        <w:rPr>
          <w:rFonts w:asciiTheme="majorHAnsi" w:hAnsiTheme="majorHAnsi"/>
          <w:color w:val="auto"/>
          <w:sz w:val="16"/>
          <w:szCs w:val="16"/>
          <w:lang w:val="es-ES"/>
        </w:rPr>
      </w:pPr>
      <w:r w:rsidRPr="005F06A1">
        <w:rPr>
          <w:rStyle w:val="FootnoteReference"/>
          <w:rFonts w:asciiTheme="majorHAnsi" w:hAnsiTheme="majorHAnsi"/>
          <w:color w:val="auto"/>
          <w:sz w:val="16"/>
          <w:szCs w:val="16"/>
          <w:lang w:val="es-ES"/>
        </w:rPr>
        <w:footnoteRef/>
      </w:r>
      <w:r w:rsidRPr="005F06A1">
        <w:rPr>
          <w:rFonts w:asciiTheme="majorHAnsi" w:hAnsiTheme="majorHAnsi"/>
          <w:color w:val="auto"/>
          <w:sz w:val="16"/>
          <w:szCs w:val="16"/>
          <w:lang w:val="es-ES"/>
        </w:rPr>
        <w:t xml:space="preserve"> De conformidad con lo dispuesto en el artículo 17.2 del Reglamento de la Comisión, la comisionada Margarette May Macaulay, de nacionalidad jamaiquina, no participó en el debate ni en la decisión sobre este caso. </w:t>
      </w:r>
    </w:p>
  </w:footnote>
  <w:footnote w:id="5">
    <w:p w14:paraId="4D5B28D3" w14:textId="5950D017" w:rsidR="00BE380F" w:rsidRPr="005F06A1" w:rsidRDefault="00BE380F" w:rsidP="0075398D">
      <w:pPr>
        <w:pStyle w:val="FootnoteText"/>
        <w:jc w:val="both"/>
        <w:rPr>
          <w:rFonts w:asciiTheme="majorHAnsi" w:hAnsiTheme="majorHAnsi"/>
          <w:color w:val="auto"/>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w:t>
      </w:r>
      <w:r w:rsidRPr="005F06A1">
        <w:rPr>
          <w:rFonts w:asciiTheme="majorHAnsi" w:hAnsiTheme="majorHAnsi"/>
          <w:color w:val="auto"/>
          <w:sz w:val="16"/>
          <w:szCs w:val="16"/>
          <w:lang w:val="es-ES"/>
        </w:rPr>
        <w:t>CIDH. Informe No</w:t>
      </w:r>
      <w:r>
        <w:rPr>
          <w:rFonts w:asciiTheme="majorHAnsi" w:hAnsiTheme="majorHAnsi"/>
          <w:color w:val="auto"/>
          <w:sz w:val="16"/>
          <w:szCs w:val="16"/>
          <w:lang w:val="es-ES"/>
        </w:rPr>
        <w:t>.</w:t>
      </w:r>
      <w:r w:rsidRPr="005F06A1">
        <w:rPr>
          <w:rFonts w:asciiTheme="majorHAnsi" w:hAnsiTheme="majorHAnsi"/>
          <w:color w:val="auto"/>
          <w:sz w:val="16"/>
          <w:szCs w:val="16"/>
          <w:lang w:val="es-ES"/>
        </w:rPr>
        <w:t xml:space="preserve"> 80/18. </w:t>
      </w:r>
      <w:r>
        <w:rPr>
          <w:rFonts w:asciiTheme="majorHAnsi" w:hAnsiTheme="majorHAnsi"/>
          <w:color w:val="auto"/>
          <w:sz w:val="16"/>
          <w:szCs w:val="16"/>
          <w:lang w:val="es-ES"/>
        </w:rPr>
        <w:t>Petición</w:t>
      </w:r>
      <w:r w:rsidRPr="005F06A1">
        <w:rPr>
          <w:rFonts w:asciiTheme="majorHAnsi" w:hAnsiTheme="majorHAnsi"/>
          <w:color w:val="auto"/>
          <w:sz w:val="16"/>
          <w:szCs w:val="16"/>
          <w:lang w:val="es-ES"/>
        </w:rPr>
        <w:t xml:space="preserve"> 1850-11. </w:t>
      </w:r>
      <w:r>
        <w:rPr>
          <w:rFonts w:asciiTheme="majorHAnsi" w:hAnsiTheme="majorHAnsi"/>
          <w:color w:val="auto"/>
          <w:sz w:val="16"/>
          <w:szCs w:val="16"/>
          <w:lang w:val="es-ES"/>
        </w:rPr>
        <w:t>Admisibilidad</w:t>
      </w:r>
      <w:r w:rsidRPr="005F06A1">
        <w:rPr>
          <w:rFonts w:asciiTheme="majorHAnsi" w:hAnsiTheme="majorHAnsi"/>
          <w:color w:val="auto"/>
          <w:sz w:val="16"/>
          <w:szCs w:val="16"/>
          <w:lang w:val="es-ES"/>
        </w:rPr>
        <w:t xml:space="preserve">. </w:t>
      </w:r>
      <w:r w:rsidRPr="00293FA6">
        <w:rPr>
          <w:rFonts w:asciiTheme="majorHAnsi" w:hAnsiTheme="majorHAnsi"/>
          <w:color w:val="auto"/>
          <w:sz w:val="16"/>
          <w:szCs w:val="16"/>
        </w:rPr>
        <w:t xml:space="preserve">Gareth Henry, Simone Carline Edwards y familias. </w:t>
      </w:r>
      <w:r w:rsidRPr="005F06A1">
        <w:rPr>
          <w:rFonts w:asciiTheme="majorHAnsi" w:hAnsiTheme="majorHAnsi"/>
          <w:color w:val="auto"/>
          <w:sz w:val="16"/>
          <w:szCs w:val="16"/>
          <w:lang w:val="es-ES"/>
        </w:rPr>
        <w:t>Jamaica. 2</w:t>
      </w:r>
      <w:r>
        <w:rPr>
          <w:rFonts w:asciiTheme="majorHAnsi" w:hAnsiTheme="majorHAnsi"/>
          <w:color w:val="auto"/>
          <w:sz w:val="16"/>
          <w:szCs w:val="16"/>
          <w:lang w:val="es-ES"/>
        </w:rPr>
        <w:t xml:space="preserve"> de julio de</w:t>
      </w:r>
      <w:r w:rsidRPr="005F06A1">
        <w:rPr>
          <w:rFonts w:asciiTheme="majorHAnsi" w:hAnsiTheme="majorHAnsi"/>
          <w:color w:val="auto"/>
          <w:sz w:val="16"/>
          <w:szCs w:val="16"/>
          <w:lang w:val="es-ES"/>
        </w:rPr>
        <w:t xml:space="preserve"> 2018. La CIDH declaró que la petición era admisible con respecto a los artículos 4, 5, 8, 11, 13, 16, 17, 22, 24, 25 y 26</w:t>
      </w:r>
      <w:r>
        <w:rPr>
          <w:rFonts w:asciiTheme="majorHAnsi" w:hAnsiTheme="majorHAnsi"/>
          <w:color w:val="auto"/>
          <w:sz w:val="16"/>
          <w:szCs w:val="16"/>
          <w:lang w:val="es-ES"/>
        </w:rPr>
        <w:t>,</w:t>
      </w:r>
      <w:r w:rsidRPr="005F06A1">
        <w:rPr>
          <w:rFonts w:asciiTheme="majorHAnsi" w:hAnsiTheme="majorHAnsi"/>
          <w:color w:val="auto"/>
          <w:sz w:val="16"/>
          <w:szCs w:val="16"/>
          <w:lang w:val="es-ES"/>
        </w:rPr>
        <w:t xml:space="preserve"> en relación con los artículos 1.1 y 2 de la Convención Americana</w:t>
      </w:r>
      <w:r>
        <w:rPr>
          <w:rFonts w:asciiTheme="majorHAnsi" w:hAnsiTheme="majorHAnsi"/>
          <w:color w:val="auto"/>
          <w:sz w:val="16"/>
          <w:szCs w:val="16"/>
          <w:lang w:val="es-ES"/>
        </w:rPr>
        <w:t>,</w:t>
      </w:r>
      <w:r w:rsidRPr="005F06A1">
        <w:rPr>
          <w:rFonts w:asciiTheme="majorHAnsi" w:hAnsiTheme="majorHAnsi"/>
          <w:color w:val="auto"/>
          <w:sz w:val="16"/>
          <w:szCs w:val="16"/>
          <w:lang w:val="es-ES"/>
        </w:rPr>
        <w:t xml:space="preserve"> y el artículo XI de la Declaración Americana y que era inadmisible con respecto a los artículos I, II, IV, V, VIII, IX, XVIII y XXII de la Declaración Americana. </w:t>
      </w:r>
    </w:p>
    <w:p w14:paraId="560A74C8" w14:textId="6C5B5160" w:rsidR="00BE380F" w:rsidRPr="005F06A1" w:rsidRDefault="00BE380F" w:rsidP="0075398D">
      <w:pPr>
        <w:pStyle w:val="FootnoteText"/>
        <w:jc w:val="both"/>
        <w:rPr>
          <w:lang w:val="es-ES"/>
        </w:rPr>
      </w:pPr>
    </w:p>
  </w:footnote>
  <w:footnote w:id="6">
    <w:p w14:paraId="03E360DD" w14:textId="46A4040C"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w:t>
      </w:r>
      <w:r w:rsidRPr="00293FA6">
        <w:rPr>
          <w:rFonts w:asciiTheme="majorHAnsi" w:hAnsiTheme="majorHAnsi"/>
          <w:sz w:val="16"/>
          <w:szCs w:val="16"/>
          <w:lang w:val="es-VE"/>
        </w:rPr>
        <w:t>Offences Against the Person Act</w:t>
      </w:r>
      <w:r w:rsidRPr="004E048E">
        <w:rPr>
          <w:rFonts w:asciiTheme="majorHAnsi" w:hAnsiTheme="majorHAnsi"/>
          <w:sz w:val="16"/>
          <w:szCs w:val="16"/>
          <w:lang w:val="es-ES"/>
        </w:rPr>
        <w:t xml:space="preserve"> </w:t>
      </w:r>
      <w:r w:rsidRPr="00293FA6">
        <w:rPr>
          <w:rFonts w:asciiTheme="majorHAnsi" w:hAnsiTheme="majorHAnsi"/>
          <w:sz w:val="16"/>
          <w:szCs w:val="16"/>
          <w:lang w:val="es-VE"/>
        </w:rPr>
        <w:t>[</w:t>
      </w:r>
      <w:r w:rsidRPr="001D2B6C">
        <w:rPr>
          <w:rFonts w:asciiTheme="majorHAnsi" w:hAnsiTheme="majorHAnsi"/>
          <w:sz w:val="16"/>
          <w:szCs w:val="16"/>
          <w:lang w:val="es-ES"/>
        </w:rPr>
        <w:t>Ley de Delitos contra la Persona</w:t>
      </w:r>
      <w:r>
        <w:rPr>
          <w:rFonts w:asciiTheme="majorHAnsi" w:hAnsiTheme="majorHAnsi"/>
          <w:sz w:val="16"/>
          <w:szCs w:val="16"/>
          <w:lang w:val="es-ES"/>
        </w:rPr>
        <w:t>]</w:t>
      </w:r>
      <w:r w:rsidRPr="005F06A1">
        <w:rPr>
          <w:rFonts w:asciiTheme="majorHAnsi" w:hAnsiTheme="majorHAnsi"/>
          <w:sz w:val="16"/>
          <w:szCs w:val="16"/>
          <w:lang w:val="es-ES"/>
        </w:rPr>
        <w:t xml:space="preserve">. </w:t>
      </w:r>
    </w:p>
  </w:footnote>
  <w:footnote w:id="7">
    <w:p w14:paraId="1B80CBA5" w14:textId="36483282"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w:t>
      </w:r>
      <w:hyperlink r:id="rId1" w:history="1">
        <w:r w:rsidRPr="005F06A1">
          <w:rPr>
            <w:rStyle w:val="Hyperlink"/>
            <w:rFonts w:asciiTheme="majorHAnsi" w:hAnsiTheme="majorHAnsi"/>
            <w:sz w:val="16"/>
            <w:szCs w:val="16"/>
            <w:lang w:val="es-ES"/>
          </w:rPr>
          <w:t>Constitu</w:t>
        </w:r>
        <w:r>
          <w:rPr>
            <w:rStyle w:val="Hyperlink"/>
            <w:rFonts w:asciiTheme="majorHAnsi" w:hAnsiTheme="majorHAnsi"/>
            <w:sz w:val="16"/>
            <w:szCs w:val="16"/>
            <w:lang w:val="es-ES"/>
          </w:rPr>
          <w:t>ción</w:t>
        </w:r>
        <w:r w:rsidRPr="005F06A1">
          <w:rPr>
            <w:rStyle w:val="Hyperlink"/>
            <w:rFonts w:asciiTheme="majorHAnsi" w:hAnsiTheme="majorHAnsi"/>
            <w:sz w:val="16"/>
            <w:szCs w:val="16"/>
            <w:lang w:val="es-ES"/>
          </w:rPr>
          <w:t xml:space="preserve"> </w:t>
        </w:r>
        <w:r>
          <w:rPr>
            <w:rStyle w:val="Hyperlink"/>
            <w:rFonts w:asciiTheme="majorHAnsi" w:hAnsiTheme="majorHAnsi"/>
            <w:sz w:val="16"/>
            <w:szCs w:val="16"/>
            <w:lang w:val="es-ES"/>
          </w:rPr>
          <w:t xml:space="preserve">de Jamaica de </w:t>
        </w:r>
        <w:r w:rsidRPr="005F06A1">
          <w:rPr>
            <w:rStyle w:val="Hyperlink"/>
            <w:rFonts w:asciiTheme="majorHAnsi" w:hAnsiTheme="majorHAnsi"/>
            <w:sz w:val="16"/>
            <w:szCs w:val="16"/>
            <w:lang w:val="es-ES"/>
          </w:rPr>
          <w:t xml:space="preserve">1962 </w:t>
        </w:r>
        <w:r>
          <w:rPr>
            <w:rStyle w:val="Hyperlink"/>
            <w:rFonts w:asciiTheme="majorHAnsi" w:hAnsiTheme="majorHAnsi"/>
            <w:sz w:val="16"/>
            <w:szCs w:val="16"/>
            <w:lang w:val="es-ES"/>
          </w:rPr>
          <w:t xml:space="preserve">con las enmiendas introducidas hasta </w:t>
        </w:r>
        <w:r w:rsidRPr="005F06A1">
          <w:rPr>
            <w:rStyle w:val="Hyperlink"/>
            <w:rFonts w:asciiTheme="majorHAnsi" w:hAnsiTheme="majorHAnsi"/>
            <w:sz w:val="16"/>
            <w:szCs w:val="16"/>
            <w:lang w:val="es-ES"/>
          </w:rPr>
          <w:t>2011</w:t>
        </w:r>
        <w:r>
          <w:rPr>
            <w:rStyle w:val="Hyperlink"/>
            <w:rFonts w:asciiTheme="majorHAnsi" w:hAnsiTheme="majorHAnsi"/>
            <w:sz w:val="16"/>
            <w:szCs w:val="16"/>
            <w:lang w:val="es-ES"/>
          </w:rPr>
          <w:t xml:space="preserve"> inclusive</w:t>
        </w:r>
        <w:r w:rsidRPr="009C26A2">
          <w:rPr>
            <w:rStyle w:val="Hyperlink"/>
            <w:rFonts w:asciiTheme="majorHAnsi" w:hAnsiTheme="majorHAnsi"/>
            <w:sz w:val="16"/>
            <w:szCs w:val="16"/>
            <w:u w:val="none"/>
            <w:lang w:val="es-ES"/>
          </w:rPr>
          <w:t>.</w:t>
        </w:r>
      </w:hyperlink>
    </w:p>
  </w:footnote>
  <w:footnote w:id="8">
    <w:p w14:paraId="497913C4" w14:textId="3291F140"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w:t>
      </w:r>
      <w:r>
        <w:rPr>
          <w:rFonts w:asciiTheme="majorHAnsi" w:hAnsiTheme="majorHAnsi"/>
          <w:sz w:val="16"/>
          <w:szCs w:val="16"/>
          <w:lang w:val="es-ES"/>
        </w:rPr>
        <w:t xml:space="preserve">CIDH. </w:t>
      </w:r>
      <w:hyperlink r:id="rId2" w:history="1">
        <w:r w:rsidRPr="009F139A">
          <w:rPr>
            <w:rStyle w:val="Hyperlink"/>
            <w:rFonts w:asciiTheme="majorHAnsi" w:hAnsiTheme="majorHAnsi"/>
            <w:i/>
            <w:sz w:val="16"/>
            <w:szCs w:val="16"/>
            <w:lang w:val="es-ES"/>
          </w:rPr>
          <w:t>Avances y desafíos hacia el reconocimiento de los derechos de las personas LGBTI en las Américas</w:t>
        </w:r>
      </w:hyperlink>
      <w:r>
        <w:rPr>
          <w:rFonts w:asciiTheme="majorHAnsi" w:hAnsiTheme="majorHAnsi"/>
          <w:sz w:val="16"/>
          <w:szCs w:val="16"/>
          <w:lang w:val="es-ES"/>
        </w:rPr>
        <w:t>.</w:t>
      </w:r>
      <w:r w:rsidRPr="005F06A1">
        <w:rPr>
          <w:rFonts w:asciiTheme="majorHAnsi" w:hAnsiTheme="majorHAnsi"/>
          <w:sz w:val="16"/>
          <w:szCs w:val="16"/>
          <w:lang w:val="es-ES"/>
        </w:rPr>
        <w:t xml:space="preserve"> OEA/ser.L/V/II.170, Doc. 184, 7 </w:t>
      </w:r>
      <w:r>
        <w:rPr>
          <w:rFonts w:asciiTheme="majorHAnsi" w:hAnsiTheme="majorHAnsi"/>
          <w:sz w:val="16"/>
          <w:szCs w:val="16"/>
          <w:lang w:val="es-ES"/>
        </w:rPr>
        <w:t xml:space="preserve">de diciembre de </w:t>
      </w:r>
      <w:r w:rsidRPr="005F06A1">
        <w:rPr>
          <w:rFonts w:asciiTheme="majorHAnsi" w:hAnsiTheme="majorHAnsi"/>
          <w:sz w:val="16"/>
          <w:szCs w:val="16"/>
          <w:lang w:val="es-ES"/>
        </w:rPr>
        <w:t>2018, p</w:t>
      </w:r>
      <w:r>
        <w:rPr>
          <w:rFonts w:asciiTheme="majorHAnsi" w:hAnsiTheme="majorHAnsi"/>
          <w:sz w:val="16"/>
          <w:szCs w:val="16"/>
          <w:lang w:val="es-ES"/>
        </w:rPr>
        <w:t xml:space="preserve">árr. </w:t>
      </w:r>
      <w:r w:rsidRPr="005F06A1">
        <w:rPr>
          <w:rFonts w:asciiTheme="majorHAnsi" w:hAnsiTheme="majorHAnsi"/>
          <w:sz w:val="16"/>
          <w:szCs w:val="16"/>
          <w:lang w:val="es-ES"/>
        </w:rPr>
        <w:t>241.</w:t>
      </w:r>
    </w:p>
  </w:footnote>
  <w:footnote w:id="9">
    <w:p w14:paraId="44F81B8C" w14:textId="4B3F7473"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w:t>
      </w:r>
      <w:r>
        <w:rPr>
          <w:rFonts w:asciiTheme="majorHAnsi" w:hAnsiTheme="majorHAnsi"/>
          <w:sz w:val="16"/>
          <w:szCs w:val="16"/>
          <w:lang w:val="es-ES"/>
        </w:rPr>
        <w:t xml:space="preserve">CIDH. </w:t>
      </w:r>
      <w:hyperlink r:id="rId3" w:history="1">
        <w:r w:rsidRPr="009F139A">
          <w:rPr>
            <w:rStyle w:val="Hyperlink"/>
            <w:rFonts w:asciiTheme="majorHAnsi" w:hAnsiTheme="majorHAnsi"/>
            <w:i/>
            <w:sz w:val="16"/>
            <w:szCs w:val="16"/>
            <w:lang w:val="es-ES"/>
          </w:rPr>
          <w:t>Informe sobre la situación de los derechos humanos en Jamaica</w:t>
        </w:r>
      </w:hyperlink>
      <w:r>
        <w:rPr>
          <w:rFonts w:asciiTheme="majorHAnsi" w:hAnsiTheme="majorHAnsi"/>
          <w:sz w:val="16"/>
          <w:szCs w:val="16"/>
          <w:lang w:val="es-ES"/>
        </w:rPr>
        <w:t>.</w:t>
      </w:r>
      <w:r w:rsidRPr="005F06A1">
        <w:rPr>
          <w:rFonts w:asciiTheme="majorHAnsi" w:hAnsiTheme="majorHAnsi"/>
          <w:sz w:val="16"/>
          <w:szCs w:val="16"/>
          <w:lang w:val="es-ES"/>
        </w:rPr>
        <w:t xml:space="preserve"> </w:t>
      </w:r>
      <w:r w:rsidRPr="00293FA6">
        <w:rPr>
          <w:rFonts w:asciiTheme="majorHAnsi" w:hAnsiTheme="majorHAnsi"/>
          <w:sz w:val="16"/>
          <w:szCs w:val="16"/>
          <w:lang w:val="pt-BR"/>
        </w:rPr>
        <w:t xml:space="preserve">OEA/Ser.L/v/II.144, Doc. 12, 10 de agosto de 2012, párrs. </w:t>
      </w:r>
      <w:r w:rsidRPr="005F06A1">
        <w:rPr>
          <w:rFonts w:asciiTheme="majorHAnsi" w:hAnsiTheme="majorHAnsi"/>
          <w:sz w:val="16"/>
          <w:szCs w:val="16"/>
          <w:lang w:val="es-ES"/>
        </w:rPr>
        <w:t xml:space="preserve">264 </w:t>
      </w:r>
      <w:r>
        <w:rPr>
          <w:rFonts w:asciiTheme="majorHAnsi" w:hAnsiTheme="majorHAnsi"/>
          <w:sz w:val="16"/>
          <w:szCs w:val="16"/>
          <w:lang w:val="es-ES"/>
        </w:rPr>
        <w:t xml:space="preserve">y </w:t>
      </w:r>
      <w:r w:rsidRPr="005F06A1">
        <w:rPr>
          <w:rFonts w:asciiTheme="majorHAnsi" w:hAnsiTheme="majorHAnsi"/>
          <w:sz w:val="16"/>
          <w:szCs w:val="16"/>
          <w:lang w:val="es-ES"/>
        </w:rPr>
        <w:t>271.</w:t>
      </w:r>
    </w:p>
  </w:footnote>
  <w:footnote w:id="10">
    <w:p w14:paraId="7D459F6D" w14:textId="6B732612"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w:t>
      </w:r>
      <w:r>
        <w:rPr>
          <w:rFonts w:asciiTheme="majorHAnsi" w:hAnsiTheme="majorHAnsi"/>
          <w:sz w:val="16"/>
          <w:szCs w:val="16"/>
          <w:lang w:val="es-ES"/>
        </w:rPr>
        <w:t xml:space="preserve">CIDH. </w:t>
      </w:r>
      <w:hyperlink r:id="rId4" w:history="1">
        <w:r w:rsidRPr="009F139A">
          <w:rPr>
            <w:rStyle w:val="Hyperlink"/>
            <w:rFonts w:asciiTheme="majorHAnsi" w:hAnsiTheme="majorHAnsi"/>
            <w:i/>
            <w:sz w:val="16"/>
            <w:szCs w:val="16"/>
            <w:lang w:val="es-ES"/>
          </w:rPr>
          <w:t>Informe sobre el 153 Período de Sesiones de la CIDH. Seguimiento del Informe de la CIDH sobre la situación de derechos humanos en Jamaica</w:t>
        </w:r>
      </w:hyperlink>
      <w:r>
        <w:rPr>
          <w:rFonts w:asciiTheme="majorHAnsi" w:hAnsiTheme="majorHAnsi"/>
          <w:sz w:val="16"/>
          <w:szCs w:val="16"/>
          <w:lang w:val="es-ES"/>
        </w:rPr>
        <w:t>.</w:t>
      </w:r>
      <w:r w:rsidRPr="005F06A1">
        <w:rPr>
          <w:rFonts w:asciiTheme="majorHAnsi" w:hAnsiTheme="majorHAnsi"/>
          <w:sz w:val="16"/>
          <w:szCs w:val="16"/>
          <w:lang w:val="es-ES"/>
        </w:rPr>
        <w:t xml:space="preserve"> 29</w:t>
      </w:r>
      <w:r>
        <w:rPr>
          <w:rFonts w:asciiTheme="majorHAnsi" w:hAnsiTheme="majorHAnsi"/>
          <w:sz w:val="16"/>
          <w:szCs w:val="16"/>
          <w:lang w:val="es-ES"/>
        </w:rPr>
        <w:t xml:space="preserve"> de diciembre de</w:t>
      </w:r>
      <w:r w:rsidRPr="005F06A1">
        <w:rPr>
          <w:rFonts w:asciiTheme="majorHAnsi" w:hAnsiTheme="majorHAnsi"/>
          <w:sz w:val="16"/>
          <w:szCs w:val="16"/>
          <w:lang w:val="es-ES"/>
        </w:rPr>
        <w:t xml:space="preserve"> 2014.</w:t>
      </w:r>
      <w:r>
        <w:rPr>
          <w:rFonts w:asciiTheme="majorHAnsi" w:hAnsiTheme="majorHAnsi"/>
          <w:sz w:val="16"/>
          <w:szCs w:val="16"/>
          <w:lang w:val="es-ES"/>
        </w:rPr>
        <w:t xml:space="preserve"> </w:t>
      </w:r>
    </w:p>
  </w:footnote>
  <w:footnote w:id="11">
    <w:p w14:paraId="73020311" w14:textId="7BDA6A2A"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w:t>
      </w:r>
      <w:r>
        <w:rPr>
          <w:rFonts w:asciiTheme="majorHAnsi" w:hAnsiTheme="majorHAnsi"/>
          <w:sz w:val="16"/>
          <w:szCs w:val="16"/>
          <w:lang w:val="es-ES"/>
        </w:rPr>
        <w:t xml:space="preserve">CIDH. </w:t>
      </w:r>
      <w:hyperlink r:id="rId5" w:history="1">
        <w:r w:rsidRPr="009F139A">
          <w:rPr>
            <w:rStyle w:val="Hyperlink"/>
            <w:rFonts w:asciiTheme="majorHAnsi" w:hAnsiTheme="majorHAnsi"/>
            <w:i/>
            <w:sz w:val="16"/>
            <w:szCs w:val="16"/>
            <w:lang w:val="es-ES"/>
          </w:rPr>
          <w:t>Violenc</w:t>
        </w:r>
        <w:r>
          <w:rPr>
            <w:rStyle w:val="Hyperlink"/>
            <w:rFonts w:asciiTheme="majorHAnsi" w:hAnsiTheme="majorHAnsi"/>
            <w:i/>
            <w:sz w:val="16"/>
            <w:szCs w:val="16"/>
            <w:lang w:val="es-ES"/>
          </w:rPr>
          <w:t>ia contra personas lesbianas, gay, bisexuales, trans e intersex en América</w:t>
        </w:r>
      </w:hyperlink>
      <w:r w:rsidRPr="00EF0764">
        <w:rPr>
          <w:rStyle w:val="Hyperlink"/>
          <w:rFonts w:asciiTheme="majorHAnsi" w:hAnsiTheme="majorHAnsi"/>
          <w:i/>
          <w:sz w:val="16"/>
          <w:szCs w:val="16"/>
          <w:u w:val="none"/>
          <w:lang w:val="es-ES"/>
        </w:rPr>
        <w:t>.</w:t>
      </w:r>
      <w:r w:rsidRPr="005F06A1">
        <w:rPr>
          <w:rFonts w:asciiTheme="majorHAnsi" w:hAnsiTheme="majorHAnsi"/>
          <w:sz w:val="16"/>
          <w:szCs w:val="16"/>
          <w:lang w:val="es-ES"/>
        </w:rPr>
        <w:t xml:space="preserve"> OEA/Ser.L/V/II.rev.1, Doc.</w:t>
      </w:r>
      <w:r>
        <w:rPr>
          <w:rFonts w:asciiTheme="majorHAnsi" w:hAnsiTheme="majorHAnsi"/>
          <w:sz w:val="16"/>
          <w:szCs w:val="16"/>
          <w:lang w:val="es-ES"/>
        </w:rPr>
        <w:t xml:space="preserve"> </w:t>
      </w:r>
      <w:r w:rsidRPr="005F06A1">
        <w:rPr>
          <w:rFonts w:asciiTheme="majorHAnsi" w:hAnsiTheme="majorHAnsi"/>
          <w:sz w:val="16"/>
          <w:szCs w:val="16"/>
          <w:lang w:val="es-ES"/>
        </w:rPr>
        <w:t xml:space="preserve">36, 12 </w:t>
      </w:r>
      <w:r>
        <w:rPr>
          <w:rFonts w:asciiTheme="majorHAnsi" w:hAnsiTheme="majorHAnsi"/>
          <w:sz w:val="16"/>
          <w:szCs w:val="16"/>
          <w:lang w:val="es-ES"/>
        </w:rPr>
        <w:t xml:space="preserve">de noviembre de </w:t>
      </w:r>
      <w:r w:rsidRPr="005F06A1">
        <w:rPr>
          <w:rFonts w:asciiTheme="majorHAnsi" w:hAnsiTheme="majorHAnsi"/>
          <w:sz w:val="16"/>
          <w:szCs w:val="16"/>
          <w:lang w:val="es-ES"/>
        </w:rPr>
        <w:t>2015, p</w:t>
      </w:r>
      <w:r>
        <w:rPr>
          <w:rFonts w:asciiTheme="majorHAnsi" w:hAnsiTheme="majorHAnsi"/>
          <w:sz w:val="16"/>
          <w:szCs w:val="16"/>
          <w:lang w:val="es-ES"/>
        </w:rPr>
        <w:t xml:space="preserve">árrs. </w:t>
      </w:r>
      <w:r w:rsidRPr="005F06A1">
        <w:rPr>
          <w:rFonts w:asciiTheme="majorHAnsi" w:hAnsiTheme="majorHAnsi"/>
          <w:sz w:val="16"/>
          <w:szCs w:val="16"/>
          <w:lang w:val="es-ES"/>
        </w:rPr>
        <w:t>56, 74</w:t>
      </w:r>
      <w:r>
        <w:rPr>
          <w:rFonts w:asciiTheme="majorHAnsi" w:hAnsiTheme="majorHAnsi"/>
          <w:sz w:val="16"/>
          <w:szCs w:val="16"/>
          <w:lang w:val="es-ES"/>
        </w:rPr>
        <w:t xml:space="preserve"> y </w:t>
      </w:r>
      <w:r w:rsidRPr="005F06A1">
        <w:rPr>
          <w:rFonts w:asciiTheme="majorHAnsi" w:hAnsiTheme="majorHAnsi"/>
          <w:sz w:val="16"/>
          <w:szCs w:val="16"/>
          <w:lang w:val="es-ES"/>
        </w:rPr>
        <w:t xml:space="preserve">75; </w:t>
      </w:r>
      <w:r>
        <w:rPr>
          <w:rFonts w:asciiTheme="majorHAnsi" w:hAnsiTheme="majorHAnsi"/>
          <w:sz w:val="16"/>
          <w:szCs w:val="16"/>
          <w:lang w:val="es-ES"/>
        </w:rPr>
        <w:t xml:space="preserve">véase también </w:t>
      </w:r>
      <w:hyperlink r:id="rId6" w:history="1">
        <w:r w:rsidRPr="009F139A">
          <w:rPr>
            <w:rStyle w:val="Hyperlink"/>
            <w:rFonts w:asciiTheme="majorHAnsi" w:hAnsiTheme="majorHAnsi"/>
            <w:i/>
            <w:sz w:val="16"/>
            <w:szCs w:val="16"/>
            <w:lang w:val="es-ES"/>
          </w:rPr>
          <w:t>No dejar a ninguna persona LGBT atrás</w:t>
        </w:r>
      </w:hyperlink>
      <w:r>
        <w:rPr>
          <w:rFonts w:asciiTheme="majorHAnsi" w:hAnsiTheme="majorHAnsi"/>
          <w:sz w:val="16"/>
          <w:szCs w:val="16"/>
          <w:lang w:val="es-ES"/>
        </w:rPr>
        <w:t xml:space="preserve">. Declaración de expertos en derechos humanos en el Día Internacional contra la homofobia, la transfobia y la bifobia, </w:t>
      </w:r>
      <w:r w:rsidRPr="005F06A1">
        <w:rPr>
          <w:rFonts w:asciiTheme="majorHAnsi" w:hAnsiTheme="majorHAnsi"/>
          <w:sz w:val="16"/>
          <w:szCs w:val="16"/>
          <w:lang w:val="es-ES"/>
        </w:rPr>
        <w:t>16</w:t>
      </w:r>
      <w:r>
        <w:rPr>
          <w:rFonts w:asciiTheme="majorHAnsi" w:hAnsiTheme="majorHAnsi"/>
          <w:sz w:val="16"/>
          <w:szCs w:val="16"/>
          <w:lang w:val="es-ES"/>
        </w:rPr>
        <w:t xml:space="preserve"> de mayo de</w:t>
      </w:r>
      <w:r w:rsidRPr="005F06A1">
        <w:rPr>
          <w:rFonts w:asciiTheme="majorHAnsi" w:hAnsiTheme="majorHAnsi"/>
          <w:sz w:val="16"/>
          <w:szCs w:val="16"/>
          <w:lang w:val="es-ES"/>
        </w:rPr>
        <w:t xml:space="preserve"> 2018. </w:t>
      </w:r>
    </w:p>
  </w:footnote>
  <w:footnote w:id="12">
    <w:p w14:paraId="2F3CA7BA" w14:textId="270C0AB8" w:rsidR="00BE380F" w:rsidRPr="00293FA6" w:rsidRDefault="00BE380F" w:rsidP="0075398D">
      <w:pPr>
        <w:pStyle w:val="FootnoteText"/>
        <w:jc w:val="both"/>
      </w:pPr>
      <w:r w:rsidRPr="005F06A1">
        <w:rPr>
          <w:rStyle w:val="FootnoteReference"/>
          <w:rFonts w:asciiTheme="majorHAnsi" w:hAnsiTheme="majorHAnsi"/>
          <w:sz w:val="16"/>
          <w:szCs w:val="16"/>
          <w:lang w:val="es-ES"/>
        </w:rPr>
        <w:footnoteRef/>
      </w:r>
      <w:r w:rsidRPr="00293FA6">
        <w:rPr>
          <w:rFonts w:asciiTheme="majorHAnsi" w:hAnsiTheme="majorHAnsi"/>
          <w:sz w:val="16"/>
          <w:szCs w:val="16"/>
        </w:rPr>
        <w:t xml:space="preserve"> Human Rights Watch. </w:t>
      </w:r>
      <w:r w:rsidRPr="00293FA6">
        <w:rPr>
          <w:rFonts w:asciiTheme="majorHAnsi" w:hAnsiTheme="majorHAnsi"/>
          <w:i/>
          <w:sz w:val="16"/>
          <w:szCs w:val="16"/>
        </w:rPr>
        <w:t>Not Safe at Home, Violence and Discrimination against LGBT people in Jamaica,</w:t>
      </w:r>
      <w:r w:rsidRPr="00293FA6">
        <w:rPr>
          <w:rFonts w:asciiTheme="majorHAnsi" w:hAnsiTheme="majorHAnsi"/>
          <w:sz w:val="16"/>
          <w:szCs w:val="16"/>
        </w:rPr>
        <w:t xml:space="preserve"> p. 2.</w:t>
      </w:r>
    </w:p>
  </w:footnote>
  <w:footnote w:id="13">
    <w:p w14:paraId="44FB4A7C" w14:textId="4D194EE6" w:rsidR="00BE380F" w:rsidRPr="00293FA6" w:rsidRDefault="00BE380F" w:rsidP="0075398D">
      <w:pPr>
        <w:pStyle w:val="FootnoteText"/>
        <w:jc w:val="both"/>
        <w:rPr>
          <w:rFonts w:asciiTheme="majorHAnsi" w:hAnsiTheme="majorHAnsi"/>
          <w:sz w:val="16"/>
          <w:szCs w:val="16"/>
        </w:rPr>
      </w:pPr>
      <w:r w:rsidRPr="005F06A1">
        <w:rPr>
          <w:rStyle w:val="FootnoteReference"/>
          <w:rFonts w:asciiTheme="majorHAnsi" w:hAnsiTheme="majorHAnsi"/>
          <w:sz w:val="16"/>
          <w:szCs w:val="16"/>
          <w:lang w:val="es-ES"/>
        </w:rPr>
        <w:footnoteRef/>
      </w:r>
      <w:r w:rsidRPr="00293FA6">
        <w:rPr>
          <w:rFonts w:asciiTheme="majorHAnsi" w:hAnsiTheme="majorHAnsi"/>
          <w:sz w:val="16"/>
          <w:szCs w:val="16"/>
        </w:rPr>
        <w:t xml:space="preserve"> Human Rights Watch. </w:t>
      </w:r>
      <w:r w:rsidRPr="00293FA6">
        <w:rPr>
          <w:rFonts w:asciiTheme="majorHAnsi" w:hAnsiTheme="majorHAnsi"/>
          <w:i/>
          <w:sz w:val="16"/>
          <w:szCs w:val="16"/>
        </w:rPr>
        <w:t>Not Safe at Home, Violence and Discrimination against LGBT people in Jamaica,</w:t>
      </w:r>
      <w:r w:rsidRPr="00293FA6">
        <w:rPr>
          <w:rFonts w:asciiTheme="majorHAnsi" w:hAnsiTheme="majorHAnsi"/>
          <w:sz w:val="16"/>
          <w:szCs w:val="16"/>
        </w:rPr>
        <w:t xml:space="preserve"> p. 48.</w:t>
      </w:r>
    </w:p>
  </w:footnote>
  <w:footnote w:id="14">
    <w:p w14:paraId="18CB989A" w14:textId="1A10D460" w:rsidR="00BE380F" w:rsidRPr="005F06A1" w:rsidRDefault="00BE380F" w:rsidP="0075398D">
      <w:pPr>
        <w:pStyle w:val="FootnoteText"/>
        <w:jc w:val="both"/>
        <w:rPr>
          <w:lang w:val="es-ES"/>
        </w:rPr>
      </w:pPr>
      <w:r w:rsidRPr="005F06A1">
        <w:rPr>
          <w:rStyle w:val="FootnoteReference"/>
          <w:rFonts w:asciiTheme="majorHAnsi" w:hAnsiTheme="majorHAnsi"/>
          <w:sz w:val="16"/>
          <w:szCs w:val="16"/>
          <w:lang w:val="es-ES"/>
        </w:rPr>
        <w:footnoteRef/>
      </w:r>
      <w:r w:rsidRPr="00293FA6">
        <w:rPr>
          <w:rFonts w:asciiTheme="majorHAnsi" w:hAnsiTheme="majorHAnsi"/>
          <w:sz w:val="16"/>
          <w:szCs w:val="16"/>
        </w:rPr>
        <w:t xml:space="preserve"> Human Rights First. </w:t>
      </w:r>
      <w:r w:rsidRPr="00293FA6">
        <w:rPr>
          <w:rFonts w:asciiTheme="majorHAnsi" w:hAnsiTheme="majorHAnsi"/>
          <w:i/>
          <w:sz w:val="16"/>
          <w:szCs w:val="16"/>
        </w:rPr>
        <w:t>The World as it Should Be. Advancing the Human Rights of LGBT People in Jamaica</w:t>
      </w:r>
      <w:r w:rsidRPr="00293FA6">
        <w:rPr>
          <w:rFonts w:asciiTheme="majorHAnsi" w:hAnsiTheme="majorHAnsi"/>
          <w:sz w:val="16"/>
          <w:szCs w:val="16"/>
        </w:rPr>
        <w:t xml:space="preserve">. </w:t>
      </w:r>
      <w:r>
        <w:rPr>
          <w:rFonts w:asciiTheme="majorHAnsi" w:hAnsiTheme="majorHAnsi"/>
          <w:sz w:val="16"/>
          <w:szCs w:val="16"/>
          <w:lang w:val="es-ES"/>
        </w:rPr>
        <w:t xml:space="preserve">Julio de </w:t>
      </w:r>
      <w:r w:rsidRPr="005F06A1">
        <w:rPr>
          <w:rFonts w:asciiTheme="majorHAnsi" w:hAnsiTheme="majorHAnsi"/>
          <w:sz w:val="16"/>
          <w:szCs w:val="16"/>
          <w:lang w:val="es-ES"/>
        </w:rPr>
        <w:t>2015.</w:t>
      </w:r>
      <w:r w:rsidRPr="005F06A1">
        <w:rPr>
          <w:lang w:val="es-ES"/>
        </w:rPr>
        <w:t xml:space="preserve"> </w:t>
      </w:r>
    </w:p>
  </w:footnote>
  <w:footnote w:id="15">
    <w:p w14:paraId="77654E8F" w14:textId="755A87CC"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w:t>
      </w:r>
      <w:r>
        <w:rPr>
          <w:rFonts w:asciiTheme="majorHAnsi" w:hAnsiTheme="majorHAnsi"/>
          <w:sz w:val="16"/>
          <w:szCs w:val="16"/>
          <w:lang w:val="es-ES"/>
        </w:rPr>
        <w:t>Véanse los informes del Departamento de Estado de Estados Unidos</w:t>
      </w:r>
      <w:r w:rsidRPr="009F139A">
        <w:rPr>
          <w:rFonts w:asciiTheme="majorHAnsi" w:hAnsiTheme="majorHAnsi"/>
          <w:sz w:val="16"/>
          <w:szCs w:val="16"/>
          <w:lang w:val="es-ES"/>
        </w:rPr>
        <w:t xml:space="preserve"> sobre</w:t>
      </w:r>
      <w:r>
        <w:rPr>
          <w:rFonts w:asciiTheme="majorHAnsi" w:hAnsiTheme="majorHAnsi"/>
          <w:sz w:val="16"/>
          <w:szCs w:val="16"/>
          <w:lang w:val="es-ES"/>
        </w:rPr>
        <w:t xml:space="preserve"> la situación de los derechos humanos en</w:t>
      </w:r>
      <w:r w:rsidRPr="009F139A">
        <w:rPr>
          <w:rFonts w:asciiTheme="majorHAnsi" w:hAnsiTheme="majorHAnsi"/>
          <w:sz w:val="16"/>
          <w:szCs w:val="16"/>
          <w:lang w:val="es-ES"/>
        </w:rPr>
        <w:t xml:space="preserve"> Jamaica</w:t>
      </w:r>
      <w:r>
        <w:rPr>
          <w:rFonts w:asciiTheme="majorHAnsi" w:hAnsiTheme="majorHAnsi"/>
          <w:sz w:val="16"/>
          <w:szCs w:val="16"/>
          <w:lang w:val="es-ES"/>
        </w:rPr>
        <w:t xml:space="preserve"> (</w:t>
      </w:r>
      <w:r w:rsidRPr="005F06A1">
        <w:rPr>
          <w:rFonts w:asciiTheme="majorHAnsi" w:hAnsiTheme="majorHAnsi"/>
          <w:sz w:val="16"/>
          <w:szCs w:val="16"/>
          <w:lang w:val="es-ES"/>
        </w:rPr>
        <w:t>2017</w:t>
      </w:r>
      <w:r>
        <w:rPr>
          <w:rFonts w:asciiTheme="majorHAnsi" w:hAnsiTheme="majorHAnsi"/>
          <w:sz w:val="16"/>
          <w:szCs w:val="16"/>
          <w:lang w:val="es-ES"/>
        </w:rPr>
        <w:t xml:space="preserve"> y 2018).</w:t>
      </w:r>
      <w:r w:rsidRPr="005F06A1">
        <w:rPr>
          <w:rFonts w:asciiTheme="majorHAnsi" w:hAnsiTheme="majorHAnsi"/>
          <w:sz w:val="16"/>
          <w:szCs w:val="16"/>
          <w:lang w:val="es-ES"/>
        </w:rPr>
        <w:t xml:space="preserve"> </w:t>
      </w:r>
    </w:p>
  </w:footnote>
  <w:footnote w:id="16">
    <w:p w14:paraId="547F6B7C" w14:textId="5F32CE0E"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293FA6">
        <w:rPr>
          <w:rFonts w:asciiTheme="majorHAnsi" w:hAnsiTheme="majorHAnsi"/>
          <w:sz w:val="16"/>
          <w:szCs w:val="16"/>
        </w:rPr>
        <w:t xml:space="preserve"> UK Home Office. </w:t>
      </w:r>
      <w:r w:rsidRPr="00293FA6">
        <w:rPr>
          <w:rFonts w:asciiTheme="majorHAnsi" w:hAnsiTheme="majorHAnsi"/>
          <w:i/>
          <w:sz w:val="16"/>
          <w:szCs w:val="16"/>
        </w:rPr>
        <w:t xml:space="preserve">Country Policy and Information Note. </w:t>
      </w:r>
      <w:r w:rsidRPr="00CD3501">
        <w:rPr>
          <w:rFonts w:asciiTheme="majorHAnsi" w:hAnsiTheme="majorHAnsi"/>
          <w:i/>
          <w:sz w:val="16"/>
          <w:szCs w:val="16"/>
        </w:rPr>
        <w:t>Jamaica: Sexual orientation and gender identity</w:t>
      </w:r>
      <w:r w:rsidRPr="00CD3501">
        <w:rPr>
          <w:rFonts w:asciiTheme="majorHAnsi" w:hAnsiTheme="majorHAnsi"/>
          <w:sz w:val="16"/>
          <w:szCs w:val="16"/>
        </w:rPr>
        <w:t xml:space="preserve">. </w:t>
      </w:r>
      <w:r>
        <w:rPr>
          <w:rFonts w:asciiTheme="majorHAnsi" w:hAnsiTheme="majorHAnsi"/>
          <w:sz w:val="16"/>
          <w:szCs w:val="16"/>
          <w:lang w:val="es-ES"/>
        </w:rPr>
        <w:t xml:space="preserve">Febrero de </w:t>
      </w:r>
      <w:r w:rsidRPr="005F06A1">
        <w:rPr>
          <w:rFonts w:asciiTheme="majorHAnsi" w:hAnsiTheme="majorHAnsi"/>
          <w:sz w:val="16"/>
          <w:szCs w:val="16"/>
          <w:lang w:val="es-ES"/>
        </w:rPr>
        <w:t xml:space="preserve">2017. </w:t>
      </w:r>
    </w:p>
  </w:footnote>
  <w:footnote w:id="17">
    <w:p w14:paraId="0693075B" w14:textId="270281FB"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Pr>
          <w:rFonts w:asciiTheme="majorHAnsi" w:hAnsiTheme="majorHAnsi"/>
          <w:sz w:val="16"/>
          <w:szCs w:val="16"/>
          <w:lang w:val="es-ES"/>
        </w:rPr>
        <w:t xml:space="preserve"> </w:t>
      </w:r>
      <w:r w:rsidRPr="005F06A1">
        <w:rPr>
          <w:rFonts w:asciiTheme="majorHAnsi" w:hAnsiTheme="majorHAnsi"/>
          <w:sz w:val="16"/>
          <w:szCs w:val="16"/>
          <w:lang w:val="es-ES"/>
        </w:rPr>
        <w:t xml:space="preserve">Declaración </w:t>
      </w:r>
      <w:r>
        <w:rPr>
          <w:rFonts w:asciiTheme="majorHAnsi" w:hAnsiTheme="majorHAnsi"/>
          <w:sz w:val="16"/>
          <w:szCs w:val="16"/>
          <w:lang w:val="es-ES"/>
        </w:rPr>
        <w:t>de</w:t>
      </w:r>
      <w:r w:rsidRPr="005F06A1">
        <w:rPr>
          <w:rFonts w:asciiTheme="majorHAnsi" w:hAnsiTheme="majorHAnsi"/>
          <w:sz w:val="16"/>
          <w:szCs w:val="16"/>
          <w:lang w:val="es-ES"/>
        </w:rPr>
        <w:t xml:space="preserve"> Gareth Henry, 31 </w:t>
      </w:r>
      <w:r>
        <w:rPr>
          <w:rFonts w:asciiTheme="majorHAnsi" w:hAnsiTheme="majorHAnsi"/>
          <w:sz w:val="16"/>
          <w:szCs w:val="16"/>
          <w:lang w:val="es-ES"/>
        </w:rPr>
        <w:t xml:space="preserve">de mayo de </w:t>
      </w:r>
      <w:r w:rsidRPr="005F06A1">
        <w:rPr>
          <w:rFonts w:asciiTheme="majorHAnsi" w:hAnsiTheme="majorHAnsi"/>
          <w:sz w:val="16"/>
          <w:szCs w:val="16"/>
          <w:lang w:val="es-ES"/>
        </w:rPr>
        <w:t xml:space="preserve">2012. </w:t>
      </w:r>
      <w:r>
        <w:rPr>
          <w:rFonts w:asciiTheme="majorHAnsi" w:hAnsiTheme="majorHAnsi"/>
          <w:sz w:val="16"/>
          <w:szCs w:val="16"/>
          <w:lang w:val="es-ES"/>
        </w:rPr>
        <w:t>Apéndice</w:t>
      </w:r>
      <w:r w:rsidRPr="005F06A1">
        <w:rPr>
          <w:rFonts w:asciiTheme="majorHAnsi" w:hAnsiTheme="majorHAnsi"/>
          <w:sz w:val="16"/>
          <w:szCs w:val="16"/>
          <w:lang w:val="es-ES"/>
        </w:rPr>
        <w:t xml:space="preserve"> B </w:t>
      </w:r>
      <w:r>
        <w:rPr>
          <w:rFonts w:asciiTheme="majorHAnsi" w:hAnsiTheme="majorHAnsi"/>
          <w:sz w:val="16"/>
          <w:szCs w:val="16"/>
          <w:lang w:val="es-ES"/>
        </w:rPr>
        <w:t>de la petición del</w:t>
      </w:r>
      <w:r w:rsidRPr="005F06A1">
        <w:rPr>
          <w:rFonts w:asciiTheme="majorHAnsi" w:hAnsiTheme="majorHAnsi"/>
          <w:sz w:val="16"/>
          <w:szCs w:val="16"/>
          <w:lang w:val="es-ES"/>
        </w:rPr>
        <w:t xml:space="preserve"> </w:t>
      </w:r>
      <w:r>
        <w:rPr>
          <w:rFonts w:asciiTheme="majorHAnsi" w:hAnsiTheme="majorHAnsi"/>
          <w:sz w:val="16"/>
          <w:szCs w:val="16"/>
          <w:lang w:val="es-ES"/>
        </w:rPr>
        <w:t>31 de mayo del</w:t>
      </w:r>
      <w:r w:rsidRPr="005F06A1">
        <w:rPr>
          <w:rFonts w:asciiTheme="majorHAnsi" w:hAnsiTheme="majorHAnsi"/>
          <w:sz w:val="16"/>
          <w:szCs w:val="16"/>
          <w:lang w:val="es-ES"/>
        </w:rPr>
        <w:t xml:space="preserve"> 2012.</w:t>
      </w:r>
    </w:p>
  </w:footnote>
  <w:footnote w:id="18">
    <w:p w14:paraId="520E4B75" w14:textId="6692C690"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Decisión </w:t>
      </w:r>
      <w:r>
        <w:rPr>
          <w:rFonts w:asciiTheme="majorHAnsi" w:hAnsiTheme="majorHAnsi"/>
          <w:sz w:val="16"/>
          <w:szCs w:val="16"/>
          <w:lang w:val="es-ES"/>
        </w:rPr>
        <w:t xml:space="preserve">de la </w:t>
      </w:r>
      <w:r w:rsidRPr="005F06A1">
        <w:rPr>
          <w:rFonts w:asciiTheme="majorHAnsi" w:hAnsiTheme="majorHAnsi"/>
          <w:sz w:val="16"/>
          <w:szCs w:val="16"/>
          <w:lang w:val="es-ES"/>
        </w:rPr>
        <w:t>Divisi</w:t>
      </w:r>
      <w:r>
        <w:rPr>
          <w:rFonts w:asciiTheme="majorHAnsi" w:hAnsiTheme="majorHAnsi"/>
          <w:sz w:val="16"/>
          <w:szCs w:val="16"/>
          <w:lang w:val="es-ES"/>
        </w:rPr>
        <w:t xml:space="preserve">ón de Protección de los Refugiados del </w:t>
      </w:r>
      <w:r w:rsidRPr="005F06A1">
        <w:rPr>
          <w:rFonts w:asciiTheme="majorHAnsi" w:hAnsiTheme="majorHAnsi"/>
          <w:sz w:val="16"/>
          <w:szCs w:val="16"/>
          <w:lang w:val="es-ES"/>
        </w:rPr>
        <w:t>16</w:t>
      </w:r>
      <w:r>
        <w:rPr>
          <w:rFonts w:asciiTheme="majorHAnsi" w:hAnsiTheme="majorHAnsi"/>
          <w:sz w:val="16"/>
          <w:szCs w:val="16"/>
          <w:lang w:val="es-ES"/>
        </w:rPr>
        <w:t xml:space="preserve"> de junio de</w:t>
      </w:r>
      <w:r w:rsidRPr="005F06A1">
        <w:rPr>
          <w:rFonts w:asciiTheme="majorHAnsi" w:hAnsiTheme="majorHAnsi"/>
          <w:sz w:val="16"/>
          <w:szCs w:val="16"/>
          <w:lang w:val="es-ES"/>
        </w:rPr>
        <w:t xml:space="preserve"> 2008. </w:t>
      </w:r>
      <w:r>
        <w:rPr>
          <w:rFonts w:asciiTheme="majorHAnsi" w:hAnsiTheme="majorHAnsi"/>
          <w:sz w:val="16"/>
          <w:szCs w:val="16"/>
          <w:lang w:val="es-ES"/>
        </w:rPr>
        <w:t>Apéndice</w:t>
      </w:r>
      <w:r w:rsidRPr="005F06A1">
        <w:rPr>
          <w:rFonts w:asciiTheme="majorHAnsi" w:hAnsiTheme="majorHAnsi"/>
          <w:sz w:val="16"/>
          <w:szCs w:val="16"/>
          <w:lang w:val="es-ES"/>
        </w:rPr>
        <w:t xml:space="preserve"> J </w:t>
      </w:r>
      <w:r>
        <w:rPr>
          <w:rFonts w:asciiTheme="majorHAnsi" w:hAnsiTheme="majorHAnsi"/>
          <w:sz w:val="16"/>
          <w:szCs w:val="16"/>
          <w:lang w:val="es-ES"/>
        </w:rPr>
        <w:t>de la petición del 31 de mayo del</w:t>
      </w:r>
      <w:r w:rsidRPr="005F06A1">
        <w:rPr>
          <w:rFonts w:asciiTheme="majorHAnsi" w:hAnsiTheme="majorHAnsi"/>
          <w:sz w:val="16"/>
          <w:szCs w:val="16"/>
          <w:lang w:val="es-ES"/>
        </w:rPr>
        <w:t xml:space="preserve"> 2012. </w:t>
      </w:r>
    </w:p>
  </w:footnote>
  <w:footnote w:id="19">
    <w:p w14:paraId="6D3E6595" w14:textId="625355D2"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Declaración </w:t>
      </w:r>
      <w:r>
        <w:rPr>
          <w:rFonts w:asciiTheme="majorHAnsi" w:hAnsiTheme="majorHAnsi"/>
          <w:sz w:val="16"/>
          <w:szCs w:val="16"/>
          <w:lang w:val="es-ES"/>
        </w:rPr>
        <w:t xml:space="preserve">adicional de </w:t>
      </w:r>
      <w:r w:rsidRPr="005F06A1">
        <w:rPr>
          <w:rFonts w:asciiTheme="majorHAnsi" w:hAnsiTheme="majorHAnsi"/>
          <w:sz w:val="16"/>
          <w:szCs w:val="16"/>
          <w:lang w:val="es-ES"/>
        </w:rPr>
        <w:t xml:space="preserve">Gareth Henry, 26 </w:t>
      </w:r>
      <w:r>
        <w:rPr>
          <w:rFonts w:asciiTheme="majorHAnsi" w:hAnsiTheme="majorHAnsi"/>
          <w:sz w:val="16"/>
          <w:szCs w:val="16"/>
          <w:lang w:val="es-ES"/>
        </w:rPr>
        <w:t xml:space="preserve">de noviembre de </w:t>
      </w:r>
      <w:r w:rsidRPr="005F06A1">
        <w:rPr>
          <w:rFonts w:asciiTheme="majorHAnsi" w:hAnsiTheme="majorHAnsi"/>
          <w:sz w:val="16"/>
          <w:szCs w:val="16"/>
          <w:lang w:val="es-ES"/>
        </w:rPr>
        <w:t xml:space="preserve">2018. </w:t>
      </w:r>
      <w:r>
        <w:rPr>
          <w:rFonts w:asciiTheme="majorHAnsi" w:hAnsiTheme="majorHAnsi"/>
          <w:sz w:val="16"/>
          <w:szCs w:val="16"/>
          <w:lang w:val="es-ES"/>
        </w:rPr>
        <w:t>Apéndice</w:t>
      </w:r>
      <w:r w:rsidRPr="005F06A1">
        <w:rPr>
          <w:rFonts w:asciiTheme="majorHAnsi" w:hAnsiTheme="majorHAnsi"/>
          <w:sz w:val="16"/>
          <w:szCs w:val="16"/>
          <w:lang w:val="es-ES"/>
        </w:rPr>
        <w:t xml:space="preserve"> </w:t>
      </w:r>
      <w:r>
        <w:rPr>
          <w:rFonts w:asciiTheme="majorHAnsi" w:hAnsiTheme="majorHAnsi"/>
          <w:sz w:val="16"/>
          <w:szCs w:val="16"/>
          <w:lang w:val="es-ES"/>
        </w:rPr>
        <w:t>de las observaciones adicionales sobre el fondo presentadas por el peticionario</w:t>
      </w:r>
      <w:r w:rsidRPr="005F06A1">
        <w:rPr>
          <w:rFonts w:asciiTheme="majorHAnsi" w:hAnsiTheme="majorHAnsi"/>
          <w:sz w:val="16"/>
          <w:szCs w:val="16"/>
          <w:lang w:val="es-ES"/>
        </w:rPr>
        <w:t xml:space="preserve"> </w:t>
      </w:r>
      <w:r>
        <w:rPr>
          <w:rFonts w:asciiTheme="majorHAnsi" w:hAnsiTheme="majorHAnsi"/>
          <w:sz w:val="16"/>
          <w:szCs w:val="16"/>
          <w:lang w:val="es-ES"/>
        </w:rPr>
        <w:t xml:space="preserve">el </w:t>
      </w:r>
      <w:r w:rsidRPr="005F06A1">
        <w:rPr>
          <w:rFonts w:asciiTheme="majorHAnsi" w:hAnsiTheme="majorHAnsi"/>
          <w:sz w:val="16"/>
          <w:szCs w:val="16"/>
          <w:lang w:val="es-ES"/>
        </w:rPr>
        <w:t>26</w:t>
      </w:r>
      <w:r>
        <w:rPr>
          <w:rFonts w:asciiTheme="majorHAnsi" w:hAnsiTheme="majorHAnsi"/>
          <w:sz w:val="16"/>
          <w:szCs w:val="16"/>
          <w:lang w:val="es-ES"/>
        </w:rPr>
        <w:t xml:space="preserve"> de noviembre de</w:t>
      </w:r>
      <w:r w:rsidRPr="005F06A1">
        <w:rPr>
          <w:rFonts w:asciiTheme="majorHAnsi" w:hAnsiTheme="majorHAnsi"/>
          <w:sz w:val="16"/>
          <w:szCs w:val="16"/>
          <w:lang w:val="es-ES"/>
        </w:rPr>
        <w:t xml:space="preserve"> 2018. </w:t>
      </w:r>
    </w:p>
  </w:footnote>
  <w:footnote w:id="20">
    <w:p w14:paraId="53E50EC1" w14:textId="0E86D324"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Declaración </w:t>
      </w:r>
      <w:r>
        <w:rPr>
          <w:rFonts w:asciiTheme="majorHAnsi" w:hAnsiTheme="majorHAnsi"/>
          <w:sz w:val="16"/>
          <w:szCs w:val="16"/>
          <w:lang w:val="es-ES"/>
        </w:rPr>
        <w:t>de</w:t>
      </w:r>
      <w:r w:rsidRPr="005F06A1">
        <w:rPr>
          <w:rFonts w:asciiTheme="majorHAnsi" w:hAnsiTheme="majorHAnsi"/>
          <w:sz w:val="16"/>
          <w:szCs w:val="16"/>
          <w:lang w:val="es-ES"/>
        </w:rPr>
        <w:t xml:space="preserve"> Simone Carline Edwards, 14</w:t>
      </w:r>
      <w:r>
        <w:rPr>
          <w:rFonts w:asciiTheme="majorHAnsi" w:hAnsiTheme="majorHAnsi"/>
          <w:sz w:val="16"/>
          <w:szCs w:val="16"/>
          <w:lang w:val="es-ES"/>
        </w:rPr>
        <w:t xml:space="preserve"> de octubre de</w:t>
      </w:r>
      <w:r w:rsidRPr="005F06A1">
        <w:rPr>
          <w:rFonts w:asciiTheme="majorHAnsi" w:hAnsiTheme="majorHAnsi"/>
          <w:sz w:val="16"/>
          <w:szCs w:val="16"/>
          <w:lang w:val="es-ES"/>
        </w:rPr>
        <w:t xml:space="preserve"> 2014. </w:t>
      </w:r>
      <w:r>
        <w:rPr>
          <w:rFonts w:asciiTheme="majorHAnsi" w:hAnsiTheme="majorHAnsi"/>
          <w:sz w:val="16"/>
          <w:szCs w:val="16"/>
          <w:lang w:val="es-ES"/>
        </w:rPr>
        <w:t>Apéndice</w:t>
      </w:r>
      <w:r w:rsidRPr="005F06A1">
        <w:rPr>
          <w:rFonts w:asciiTheme="majorHAnsi" w:hAnsiTheme="majorHAnsi"/>
          <w:sz w:val="16"/>
          <w:szCs w:val="16"/>
          <w:lang w:val="es-ES"/>
        </w:rPr>
        <w:t xml:space="preserve"> </w:t>
      </w:r>
      <w:r>
        <w:rPr>
          <w:rFonts w:asciiTheme="majorHAnsi" w:hAnsiTheme="majorHAnsi"/>
          <w:sz w:val="16"/>
          <w:szCs w:val="16"/>
          <w:lang w:val="es-ES"/>
        </w:rPr>
        <w:t xml:space="preserve">de la </w:t>
      </w:r>
      <w:r w:rsidRPr="005F06A1">
        <w:rPr>
          <w:rFonts w:asciiTheme="majorHAnsi" w:hAnsiTheme="majorHAnsi"/>
          <w:sz w:val="16"/>
          <w:szCs w:val="16"/>
          <w:lang w:val="es-ES"/>
        </w:rPr>
        <w:t xml:space="preserve">comunicación </w:t>
      </w:r>
      <w:r>
        <w:rPr>
          <w:rFonts w:asciiTheme="majorHAnsi" w:hAnsiTheme="majorHAnsi"/>
          <w:sz w:val="16"/>
          <w:szCs w:val="16"/>
          <w:lang w:val="es-ES"/>
        </w:rPr>
        <w:t>de los peticionario</w:t>
      </w:r>
      <w:r w:rsidRPr="005F06A1">
        <w:rPr>
          <w:rFonts w:asciiTheme="majorHAnsi" w:hAnsiTheme="majorHAnsi"/>
          <w:sz w:val="16"/>
          <w:szCs w:val="16"/>
          <w:lang w:val="es-ES"/>
        </w:rPr>
        <w:t xml:space="preserve">s </w:t>
      </w:r>
      <w:r>
        <w:rPr>
          <w:rFonts w:asciiTheme="majorHAnsi" w:hAnsiTheme="majorHAnsi"/>
          <w:sz w:val="16"/>
          <w:szCs w:val="16"/>
          <w:lang w:val="es-ES"/>
        </w:rPr>
        <w:t xml:space="preserve">del </w:t>
      </w:r>
      <w:r w:rsidRPr="005F06A1">
        <w:rPr>
          <w:rFonts w:asciiTheme="majorHAnsi" w:hAnsiTheme="majorHAnsi"/>
          <w:sz w:val="16"/>
          <w:szCs w:val="16"/>
          <w:lang w:val="es-ES"/>
        </w:rPr>
        <w:t>15</w:t>
      </w:r>
      <w:r>
        <w:rPr>
          <w:rFonts w:asciiTheme="majorHAnsi" w:hAnsiTheme="majorHAnsi"/>
          <w:sz w:val="16"/>
          <w:szCs w:val="16"/>
          <w:lang w:val="es-ES"/>
        </w:rPr>
        <w:t xml:space="preserve"> de octubre de</w:t>
      </w:r>
      <w:r w:rsidRPr="005F06A1">
        <w:rPr>
          <w:rFonts w:asciiTheme="majorHAnsi" w:hAnsiTheme="majorHAnsi"/>
          <w:sz w:val="16"/>
          <w:szCs w:val="16"/>
          <w:lang w:val="es-ES"/>
        </w:rPr>
        <w:t xml:space="preserve"> 2014.</w:t>
      </w:r>
    </w:p>
  </w:footnote>
  <w:footnote w:id="21">
    <w:p w14:paraId="679AF5A1" w14:textId="00D37DDB"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Decisión </w:t>
      </w:r>
      <w:r>
        <w:rPr>
          <w:rFonts w:asciiTheme="majorHAnsi" w:hAnsiTheme="majorHAnsi"/>
          <w:sz w:val="16"/>
          <w:szCs w:val="16"/>
          <w:lang w:val="es-ES"/>
        </w:rPr>
        <w:t xml:space="preserve">del </w:t>
      </w:r>
      <w:r w:rsidRPr="005F06A1">
        <w:rPr>
          <w:rFonts w:asciiTheme="majorHAnsi" w:hAnsiTheme="majorHAnsi"/>
          <w:sz w:val="16"/>
          <w:szCs w:val="16"/>
          <w:lang w:val="es-ES"/>
        </w:rPr>
        <w:t>Secretar</w:t>
      </w:r>
      <w:r>
        <w:rPr>
          <w:rFonts w:asciiTheme="majorHAnsi" w:hAnsiTheme="majorHAnsi"/>
          <w:sz w:val="16"/>
          <w:szCs w:val="16"/>
          <w:lang w:val="es-ES"/>
        </w:rPr>
        <w:t xml:space="preserve">io de Estado de Seguridad y Justicia del </w:t>
      </w:r>
      <w:r w:rsidRPr="005F06A1">
        <w:rPr>
          <w:rFonts w:asciiTheme="majorHAnsi" w:hAnsiTheme="majorHAnsi"/>
          <w:sz w:val="16"/>
          <w:szCs w:val="16"/>
          <w:lang w:val="es-ES"/>
        </w:rPr>
        <w:t>23</w:t>
      </w:r>
      <w:r>
        <w:rPr>
          <w:rFonts w:asciiTheme="majorHAnsi" w:hAnsiTheme="majorHAnsi"/>
          <w:sz w:val="16"/>
          <w:szCs w:val="16"/>
          <w:lang w:val="es-ES"/>
        </w:rPr>
        <w:t xml:space="preserve"> de marzo de</w:t>
      </w:r>
      <w:r w:rsidRPr="005F06A1">
        <w:rPr>
          <w:rFonts w:asciiTheme="majorHAnsi" w:hAnsiTheme="majorHAnsi"/>
          <w:sz w:val="16"/>
          <w:szCs w:val="16"/>
          <w:lang w:val="es-ES"/>
        </w:rPr>
        <w:t xml:space="preserve"> 2010. </w:t>
      </w:r>
      <w:r w:rsidRPr="00DC174C">
        <w:rPr>
          <w:rFonts w:asciiTheme="majorHAnsi" w:hAnsiTheme="majorHAnsi"/>
          <w:sz w:val="16"/>
          <w:szCs w:val="16"/>
          <w:lang w:val="es-ES"/>
        </w:rPr>
        <w:t>Apéndice de la comunicación de los peticionarios del 15 de octubre de 2014</w:t>
      </w:r>
      <w:r w:rsidRPr="005F06A1">
        <w:rPr>
          <w:rFonts w:asciiTheme="majorHAnsi" w:hAnsiTheme="majorHAnsi"/>
          <w:sz w:val="16"/>
          <w:szCs w:val="16"/>
          <w:lang w:val="es-ES"/>
        </w:rPr>
        <w:t>.</w:t>
      </w:r>
    </w:p>
  </w:footnote>
  <w:footnote w:id="22">
    <w:p w14:paraId="45EAEFD8" w14:textId="5D646741"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w:t>
      </w:r>
      <w:r>
        <w:rPr>
          <w:rFonts w:asciiTheme="majorHAnsi" w:hAnsiTheme="majorHAnsi"/>
          <w:sz w:val="16"/>
          <w:szCs w:val="16"/>
          <w:lang w:val="es-ES"/>
        </w:rPr>
        <w:t xml:space="preserve">Declaración jurada de </w:t>
      </w:r>
      <w:r w:rsidRPr="005F06A1">
        <w:rPr>
          <w:rFonts w:asciiTheme="majorHAnsi" w:hAnsiTheme="majorHAnsi"/>
          <w:sz w:val="16"/>
          <w:szCs w:val="16"/>
          <w:lang w:val="es-ES"/>
        </w:rPr>
        <w:t xml:space="preserve">Javed Saunja Jaghai </w:t>
      </w:r>
      <w:r>
        <w:rPr>
          <w:rFonts w:asciiTheme="majorHAnsi" w:hAnsiTheme="majorHAnsi"/>
          <w:sz w:val="16"/>
          <w:szCs w:val="16"/>
          <w:lang w:val="es-ES"/>
        </w:rPr>
        <w:t xml:space="preserve">en la cual </w:t>
      </w:r>
      <w:r w:rsidRPr="005F06A1">
        <w:rPr>
          <w:rFonts w:asciiTheme="majorHAnsi" w:hAnsiTheme="majorHAnsi"/>
          <w:sz w:val="16"/>
          <w:szCs w:val="16"/>
          <w:lang w:val="es-ES"/>
        </w:rPr>
        <w:t>indica</w:t>
      </w:r>
      <w:r>
        <w:rPr>
          <w:rFonts w:asciiTheme="majorHAnsi" w:hAnsiTheme="majorHAnsi"/>
          <w:sz w:val="16"/>
          <w:szCs w:val="16"/>
          <w:lang w:val="es-ES"/>
        </w:rPr>
        <w:t xml:space="preserve"> las razones por las cuales retira la demanda, 28 de agosto de </w:t>
      </w:r>
      <w:r w:rsidRPr="005F06A1">
        <w:rPr>
          <w:rFonts w:asciiTheme="majorHAnsi" w:hAnsiTheme="majorHAnsi"/>
          <w:sz w:val="16"/>
          <w:szCs w:val="16"/>
          <w:lang w:val="es-ES"/>
        </w:rPr>
        <w:t xml:space="preserve">2014. </w:t>
      </w:r>
      <w:r>
        <w:rPr>
          <w:rFonts w:asciiTheme="majorHAnsi" w:hAnsiTheme="majorHAnsi"/>
          <w:sz w:val="16"/>
          <w:szCs w:val="16"/>
          <w:lang w:val="es-ES"/>
        </w:rPr>
        <w:t>Apéndice</w:t>
      </w:r>
      <w:r w:rsidRPr="005F06A1">
        <w:rPr>
          <w:rFonts w:asciiTheme="majorHAnsi" w:hAnsiTheme="majorHAnsi"/>
          <w:sz w:val="16"/>
          <w:szCs w:val="16"/>
          <w:lang w:val="es-ES"/>
        </w:rPr>
        <w:t xml:space="preserve"> </w:t>
      </w:r>
      <w:r>
        <w:rPr>
          <w:rFonts w:asciiTheme="majorHAnsi" w:hAnsiTheme="majorHAnsi"/>
          <w:sz w:val="16"/>
          <w:szCs w:val="16"/>
          <w:lang w:val="es-ES"/>
        </w:rPr>
        <w:t>de la comunicación de los peticionario</w:t>
      </w:r>
      <w:r w:rsidRPr="005F06A1">
        <w:rPr>
          <w:rFonts w:asciiTheme="majorHAnsi" w:hAnsiTheme="majorHAnsi"/>
          <w:sz w:val="16"/>
          <w:szCs w:val="16"/>
          <w:lang w:val="es-ES"/>
        </w:rPr>
        <w:t xml:space="preserve">s </w:t>
      </w:r>
      <w:r>
        <w:rPr>
          <w:rFonts w:asciiTheme="majorHAnsi" w:hAnsiTheme="majorHAnsi"/>
          <w:sz w:val="16"/>
          <w:szCs w:val="16"/>
          <w:lang w:val="es-ES"/>
        </w:rPr>
        <w:t>del</w:t>
      </w:r>
      <w:r w:rsidRPr="005F06A1">
        <w:rPr>
          <w:rFonts w:asciiTheme="majorHAnsi" w:hAnsiTheme="majorHAnsi"/>
          <w:sz w:val="16"/>
          <w:szCs w:val="16"/>
          <w:lang w:val="es-ES"/>
        </w:rPr>
        <w:t xml:space="preserve"> 15</w:t>
      </w:r>
      <w:r>
        <w:rPr>
          <w:rFonts w:asciiTheme="majorHAnsi" w:hAnsiTheme="majorHAnsi"/>
          <w:sz w:val="16"/>
          <w:szCs w:val="16"/>
          <w:lang w:val="es-ES"/>
        </w:rPr>
        <w:t xml:space="preserve"> de octubre de</w:t>
      </w:r>
      <w:r w:rsidRPr="005F06A1">
        <w:rPr>
          <w:rFonts w:asciiTheme="majorHAnsi" w:hAnsiTheme="majorHAnsi"/>
          <w:sz w:val="16"/>
          <w:szCs w:val="16"/>
          <w:lang w:val="es-ES"/>
        </w:rPr>
        <w:t xml:space="preserve"> 2014.</w:t>
      </w:r>
    </w:p>
  </w:footnote>
  <w:footnote w:id="23">
    <w:p w14:paraId="3EF1260C" w14:textId="35F69C59"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293FA6">
        <w:rPr>
          <w:rFonts w:asciiTheme="majorHAnsi" w:hAnsiTheme="majorHAnsi"/>
          <w:sz w:val="16"/>
          <w:szCs w:val="16"/>
        </w:rPr>
        <w:t xml:space="preserve"> Library of Congress. </w:t>
      </w:r>
      <w:hyperlink r:id="rId7" w:history="1">
        <w:r w:rsidRPr="00293FA6">
          <w:rPr>
            <w:rStyle w:val="Hyperlink"/>
            <w:rFonts w:asciiTheme="majorHAnsi" w:hAnsiTheme="majorHAnsi"/>
            <w:sz w:val="16"/>
            <w:szCs w:val="16"/>
          </w:rPr>
          <w:t>Jamaica: challenge to Law on Homosexuality</w:t>
        </w:r>
      </w:hyperlink>
      <w:r w:rsidRPr="00293FA6">
        <w:rPr>
          <w:rStyle w:val="Hyperlink"/>
          <w:rFonts w:asciiTheme="majorHAnsi" w:hAnsiTheme="majorHAnsi"/>
          <w:sz w:val="16"/>
          <w:szCs w:val="16"/>
          <w:u w:val="none"/>
        </w:rPr>
        <w:t>.</w:t>
      </w:r>
      <w:r w:rsidRPr="00293FA6">
        <w:rPr>
          <w:rFonts w:asciiTheme="majorHAnsi" w:hAnsiTheme="majorHAnsi"/>
          <w:sz w:val="16"/>
          <w:szCs w:val="16"/>
        </w:rPr>
        <w:t xml:space="preserve"> </w:t>
      </w:r>
      <w:r w:rsidRPr="005F06A1">
        <w:rPr>
          <w:rFonts w:asciiTheme="majorHAnsi" w:hAnsiTheme="majorHAnsi"/>
          <w:sz w:val="16"/>
          <w:szCs w:val="16"/>
          <w:lang w:val="es-ES"/>
        </w:rPr>
        <w:t>14</w:t>
      </w:r>
      <w:r>
        <w:rPr>
          <w:rFonts w:asciiTheme="majorHAnsi" w:hAnsiTheme="majorHAnsi"/>
          <w:sz w:val="16"/>
          <w:szCs w:val="16"/>
          <w:lang w:val="es-ES"/>
        </w:rPr>
        <w:t xml:space="preserve"> de diciembre de</w:t>
      </w:r>
      <w:r w:rsidRPr="005F06A1">
        <w:rPr>
          <w:rFonts w:asciiTheme="majorHAnsi" w:hAnsiTheme="majorHAnsi"/>
          <w:sz w:val="16"/>
          <w:szCs w:val="16"/>
          <w:lang w:val="es-ES"/>
        </w:rPr>
        <w:t xml:space="preserve"> 2015. </w:t>
      </w:r>
    </w:p>
  </w:footnote>
  <w:footnote w:id="24">
    <w:p w14:paraId="6FB552EA" w14:textId="7A41FE7F" w:rsidR="00BE380F" w:rsidRPr="003B517A"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w:t>
      </w:r>
      <w:r>
        <w:rPr>
          <w:rFonts w:asciiTheme="majorHAnsi" w:hAnsiTheme="majorHAnsi"/>
          <w:sz w:val="16"/>
          <w:szCs w:val="16"/>
          <w:lang w:val="es-ES"/>
        </w:rPr>
        <w:t xml:space="preserve">El artículo </w:t>
      </w:r>
      <w:r w:rsidRPr="005F06A1">
        <w:rPr>
          <w:rFonts w:asciiTheme="majorHAnsi" w:hAnsiTheme="majorHAnsi"/>
          <w:sz w:val="16"/>
          <w:szCs w:val="16"/>
          <w:lang w:val="es-ES"/>
        </w:rPr>
        <w:t xml:space="preserve">24 </w:t>
      </w:r>
      <w:r>
        <w:rPr>
          <w:rFonts w:asciiTheme="majorHAnsi" w:hAnsiTheme="majorHAnsi"/>
          <w:sz w:val="16"/>
          <w:szCs w:val="16"/>
          <w:lang w:val="es-ES"/>
        </w:rPr>
        <w:t xml:space="preserve">de la </w:t>
      </w:r>
      <w:r w:rsidRPr="005F06A1">
        <w:rPr>
          <w:rFonts w:asciiTheme="majorHAnsi" w:hAnsiTheme="majorHAnsi"/>
          <w:sz w:val="16"/>
          <w:szCs w:val="16"/>
          <w:lang w:val="es-ES"/>
        </w:rPr>
        <w:t xml:space="preserve">Convención Americana </w:t>
      </w:r>
      <w:r>
        <w:rPr>
          <w:rFonts w:asciiTheme="majorHAnsi" w:hAnsiTheme="majorHAnsi"/>
          <w:sz w:val="16"/>
          <w:szCs w:val="16"/>
          <w:lang w:val="es-ES"/>
        </w:rPr>
        <w:t xml:space="preserve">dice: </w:t>
      </w:r>
      <w:r w:rsidRPr="005F06A1">
        <w:rPr>
          <w:rFonts w:asciiTheme="majorHAnsi" w:hAnsiTheme="majorHAnsi"/>
          <w:sz w:val="16"/>
          <w:szCs w:val="16"/>
          <w:lang w:val="es-ES"/>
        </w:rPr>
        <w:t>“</w:t>
      </w:r>
      <w:r w:rsidRPr="00F33F7F">
        <w:rPr>
          <w:rFonts w:asciiTheme="majorHAnsi" w:hAnsiTheme="majorHAnsi"/>
          <w:sz w:val="16"/>
          <w:szCs w:val="16"/>
          <w:lang w:val="es-ES"/>
        </w:rPr>
        <w:t>Todas las personas son iguales ante la ley. En consecuencia, tienen derecho, sin discriminación, a igual protección de la ley</w:t>
      </w:r>
      <w:r w:rsidRPr="005F06A1">
        <w:rPr>
          <w:rFonts w:asciiTheme="majorHAnsi" w:hAnsiTheme="majorHAnsi"/>
          <w:sz w:val="16"/>
          <w:szCs w:val="16"/>
          <w:lang w:val="es-ES"/>
        </w:rPr>
        <w:t>”</w:t>
      </w:r>
      <w:r>
        <w:rPr>
          <w:rFonts w:asciiTheme="majorHAnsi" w:hAnsiTheme="majorHAnsi"/>
          <w:sz w:val="16"/>
          <w:szCs w:val="16"/>
          <w:lang w:val="es-ES"/>
        </w:rPr>
        <w:t xml:space="preserve">. Por su parte, el artículo </w:t>
      </w:r>
      <w:r w:rsidRPr="005F06A1">
        <w:rPr>
          <w:rFonts w:asciiTheme="majorHAnsi" w:hAnsiTheme="majorHAnsi"/>
          <w:sz w:val="16"/>
          <w:szCs w:val="16"/>
          <w:lang w:val="es-ES"/>
        </w:rPr>
        <w:t xml:space="preserve">7 </w:t>
      </w:r>
      <w:r>
        <w:rPr>
          <w:rFonts w:asciiTheme="majorHAnsi" w:hAnsiTheme="majorHAnsi"/>
          <w:sz w:val="16"/>
          <w:szCs w:val="16"/>
          <w:lang w:val="es-ES"/>
        </w:rPr>
        <w:t xml:space="preserve">de la Convención de </w:t>
      </w:r>
      <w:r w:rsidRPr="005F06A1">
        <w:rPr>
          <w:rFonts w:asciiTheme="majorHAnsi" w:hAnsiTheme="majorHAnsi"/>
          <w:sz w:val="16"/>
          <w:szCs w:val="16"/>
          <w:lang w:val="es-ES"/>
        </w:rPr>
        <w:t>Bel</w:t>
      </w:r>
      <w:r>
        <w:rPr>
          <w:rFonts w:asciiTheme="majorHAnsi" w:hAnsiTheme="majorHAnsi"/>
          <w:sz w:val="16"/>
          <w:szCs w:val="16"/>
          <w:lang w:val="es-ES"/>
        </w:rPr>
        <w:t>é</w:t>
      </w:r>
      <w:r w:rsidRPr="005F06A1">
        <w:rPr>
          <w:rFonts w:asciiTheme="majorHAnsi" w:hAnsiTheme="majorHAnsi"/>
          <w:sz w:val="16"/>
          <w:szCs w:val="16"/>
          <w:lang w:val="es-ES"/>
        </w:rPr>
        <w:t>m d</w:t>
      </w:r>
      <w:r w:rsidRPr="003B517A">
        <w:rPr>
          <w:rFonts w:asciiTheme="majorHAnsi" w:hAnsiTheme="majorHAnsi"/>
          <w:sz w:val="16"/>
          <w:szCs w:val="16"/>
          <w:lang w:val="es-ES"/>
        </w:rPr>
        <w:t xml:space="preserve">o Pará dice: </w:t>
      </w:r>
      <w:r w:rsidRPr="003B517A">
        <w:rPr>
          <w:rFonts w:asciiTheme="majorHAnsi" w:hAnsiTheme="majorHAnsi"/>
          <w:sz w:val="16"/>
          <w:szCs w:val="16"/>
          <w:shd w:val="clear" w:color="auto" w:fill="FFFFFF"/>
          <w:lang w:val="es-ES"/>
        </w:rPr>
        <w:t>“Los Estados Partes condenan todas las formas de violencia contra la mujer y convienen en adoptar, por todos los medios apropiados y sin dilaciones, políticas orientadas a prevenir, sancionar y erradicar dicha violencia y en llevar a cabo lo siguiente: [...] b. actuar con la debida diligencia para prevenir, investigar y sancionar la violencia contra la mujer”.</w:t>
      </w:r>
    </w:p>
  </w:footnote>
  <w:footnote w:id="25">
    <w:p w14:paraId="2B147987" w14:textId="6F152065"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w:t>
      </w:r>
      <w:r>
        <w:rPr>
          <w:rFonts w:asciiTheme="majorHAnsi" w:hAnsiTheme="majorHAnsi"/>
          <w:sz w:val="16"/>
          <w:szCs w:val="16"/>
          <w:lang w:val="es-ES"/>
        </w:rPr>
        <w:t xml:space="preserve">El artículo 11, en la parte </w:t>
      </w:r>
      <w:r w:rsidRPr="005F06A1">
        <w:rPr>
          <w:rFonts w:asciiTheme="majorHAnsi" w:hAnsiTheme="majorHAnsi"/>
          <w:sz w:val="16"/>
          <w:szCs w:val="16"/>
          <w:lang w:val="es-ES"/>
        </w:rPr>
        <w:t>pertinent</w:t>
      </w:r>
      <w:r>
        <w:rPr>
          <w:rFonts w:asciiTheme="majorHAnsi" w:hAnsiTheme="majorHAnsi"/>
          <w:sz w:val="16"/>
          <w:szCs w:val="16"/>
          <w:lang w:val="es-ES"/>
        </w:rPr>
        <w:t>e, dice:</w:t>
      </w:r>
      <w:r w:rsidRPr="005F06A1">
        <w:rPr>
          <w:rFonts w:asciiTheme="majorHAnsi" w:hAnsiTheme="majorHAnsi"/>
          <w:sz w:val="16"/>
          <w:szCs w:val="16"/>
          <w:lang w:val="es-ES"/>
        </w:rPr>
        <w:t xml:space="preserve"> </w:t>
      </w:r>
      <w:r>
        <w:rPr>
          <w:rFonts w:asciiTheme="majorHAnsi" w:hAnsiTheme="majorHAnsi"/>
          <w:sz w:val="16"/>
          <w:szCs w:val="16"/>
          <w:lang w:val="es-ES"/>
        </w:rPr>
        <w:t>“</w:t>
      </w:r>
      <w:r w:rsidRPr="005F06A1">
        <w:rPr>
          <w:rFonts w:asciiTheme="majorHAnsi" w:hAnsiTheme="majorHAnsi"/>
          <w:sz w:val="16"/>
          <w:szCs w:val="16"/>
          <w:lang w:val="es-ES"/>
        </w:rPr>
        <w:t xml:space="preserve">2. </w:t>
      </w:r>
      <w:r w:rsidRPr="00F33F7F">
        <w:rPr>
          <w:rFonts w:asciiTheme="majorHAnsi" w:hAnsiTheme="majorHAnsi"/>
          <w:sz w:val="16"/>
          <w:szCs w:val="16"/>
          <w:lang w:val="es-ES"/>
        </w:rPr>
        <w:t>Nadie puede ser objeto de injerencias arbitrarias o abusivas en su vida privada, en la de su familia, en su domicilio o en su correspondencia, ni de ataques ilegales a su honra o reputación</w:t>
      </w:r>
      <w:r>
        <w:rPr>
          <w:rFonts w:asciiTheme="majorHAnsi" w:hAnsiTheme="majorHAnsi"/>
          <w:sz w:val="16"/>
          <w:szCs w:val="16"/>
          <w:lang w:val="es-ES"/>
        </w:rPr>
        <w:t>.</w:t>
      </w:r>
      <w:r w:rsidRPr="005F06A1">
        <w:rPr>
          <w:rFonts w:asciiTheme="majorHAnsi" w:hAnsiTheme="majorHAnsi"/>
          <w:sz w:val="16"/>
          <w:szCs w:val="16"/>
          <w:lang w:val="es-ES"/>
        </w:rPr>
        <w:t xml:space="preserve"> 3. </w:t>
      </w:r>
      <w:r w:rsidRPr="00F33F7F">
        <w:rPr>
          <w:rFonts w:asciiTheme="majorHAnsi" w:hAnsiTheme="majorHAnsi"/>
          <w:sz w:val="16"/>
          <w:szCs w:val="16"/>
          <w:lang w:val="es-ES"/>
        </w:rPr>
        <w:t>Toda persona tiene derecho a la protección de la ley contra esas injerencias o esos ataques</w:t>
      </w:r>
      <w:r>
        <w:rPr>
          <w:rFonts w:asciiTheme="majorHAnsi" w:hAnsiTheme="majorHAnsi"/>
          <w:sz w:val="16"/>
          <w:szCs w:val="16"/>
          <w:lang w:val="es-ES"/>
        </w:rPr>
        <w:t>”.</w:t>
      </w:r>
    </w:p>
  </w:footnote>
  <w:footnote w:id="26">
    <w:p w14:paraId="2230594F" w14:textId="6DF7B0B6"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w:t>
      </w:r>
      <w:r>
        <w:rPr>
          <w:rFonts w:asciiTheme="majorHAnsi" w:hAnsiTheme="majorHAnsi"/>
          <w:sz w:val="16"/>
          <w:szCs w:val="16"/>
          <w:lang w:val="es-ES"/>
        </w:rPr>
        <w:t xml:space="preserve">El artículo </w:t>
      </w:r>
      <w:r w:rsidRPr="005F06A1">
        <w:rPr>
          <w:rFonts w:asciiTheme="majorHAnsi" w:hAnsiTheme="majorHAnsi"/>
          <w:sz w:val="16"/>
          <w:szCs w:val="16"/>
          <w:lang w:val="es-ES"/>
        </w:rPr>
        <w:t>5</w:t>
      </w:r>
      <w:r>
        <w:rPr>
          <w:rFonts w:asciiTheme="majorHAnsi" w:hAnsiTheme="majorHAnsi"/>
          <w:sz w:val="16"/>
          <w:szCs w:val="16"/>
          <w:lang w:val="es-ES"/>
        </w:rPr>
        <w:t>, en la parte pertinente, dice: “</w:t>
      </w:r>
      <w:r w:rsidRPr="005F06A1">
        <w:rPr>
          <w:rFonts w:asciiTheme="majorHAnsi" w:hAnsiTheme="majorHAnsi"/>
          <w:sz w:val="16"/>
          <w:szCs w:val="16"/>
          <w:lang w:val="es-ES"/>
        </w:rPr>
        <w:t xml:space="preserve">1. </w:t>
      </w:r>
      <w:r w:rsidRPr="00F33F7F">
        <w:rPr>
          <w:rFonts w:asciiTheme="majorHAnsi" w:hAnsiTheme="majorHAnsi"/>
          <w:sz w:val="16"/>
          <w:szCs w:val="16"/>
          <w:lang w:val="es-ES"/>
        </w:rPr>
        <w:t>Toda persona tiene derecho a que se respete su integridad física, psíquica y moral</w:t>
      </w:r>
      <w:r>
        <w:rPr>
          <w:rFonts w:asciiTheme="majorHAnsi" w:hAnsiTheme="majorHAnsi"/>
          <w:sz w:val="16"/>
          <w:szCs w:val="16"/>
          <w:lang w:val="es-ES"/>
        </w:rPr>
        <w:t>”</w:t>
      </w:r>
      <w:r w:rsidRPr="005F06A1">
        <w:rPr>
          <w:rFonts w:asciiTheme="majorHAnsi" w:hAnsiTheme="majorHAnsi"/>
          <w:sz w:val="16"/>
          <w:szCs w:val="16"/>
          <w:lang w:val="es-ES"/>
        </w:rPr>
        <w:t xml:space="preserve">. </w:t>
      </w:r>
    </w:p>
  </w:footnote>
  <w:footnote w:id="27">
    <w:p w14:paraId="30C4C5EF" w14:textId="40831686" w:rsidR="00BE380F" w:rsidRPr="005F06A1" w:rsidRDefault="00BE380F" w:rsidP="0075398D">
      <w:pPr>
        <w:pStyle w:val="FootnoteText"/>
        <w:jc w:val="both"/>
        <w:rPr>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w:t>
      </w:r>
      <w:r>
        <w:rPr>
          <w:rFonts w:asciiTheme="majorHAnsi" w:hAnsiTheme="majorHAnsi"/>
          <w:sz w:val="16"/>
          <w:szCs w:val="16"/>
          <w:lang w:val="es-ES"/>
        </w:rPr>
        <w:t xml:space="preserve">El artículo </w:t>
      </w:r>
      <w:r w:rsidRPr="005F06A1">
        <w:rPr>
          <w:rFonts w:asciiTheme="majorHAnsi" w:hAnsiTheme="majorHAnsi"/>
          <w:sz w:val="16"/>
          <w:szCs w:val="16"/>
          <w:lang w:val="es-ES"/>
        </w:rPr>
        <w:t>22</w:t>
      </w:r>
      <w:r>
        <w:rPr>
          <w:rFonts w:asciiTheme="majorHAnsi" w:hAnsiTheme="majorHAnsi"/>
          <w:sz w:val="16"/>
          <w:szCs w:val="16"/>
          <w:lang w:val="es-ES"/>
        </w:rPr>
        <w:t xml:space="preserve"> de la</w:t>
      </w:r>
      <w:r w:rsidRPr="005F06A1">
        <w:rPr>
          <w:rFonts w:asciiTheme="majorHAnsi" w:hAnsiTheme="majorHAnsi"/>
          <w:sz w:val="16"/>
          <w:szCs w:val="16"/>
          <w:lang w:val="es-ES"/>
        </w:rPr>
        <w:t xml:space="preserve"> Convención Americana </w:t>
      </w:r>
      <w:r>
        <w:rPr>
          <w:rFonts w:asciiTheme="majorHAnsi" w:hAnsiTheme="majorHAnsi"/>
          <w:sz w:val="16"/>
          <w:szCs w:val="16"/>
          <w:lang w:val="es-ES"/>
        </w:rPr>
        <w:t>dispone en el inciso 1: “</w:t>
      </w:r>
      <w:r w:rsidRPr="00F33F7F">
        <w:rPr>
          <w:rFonts w:asciiTheme="majorHAnsi" w:hAnsiTheme="majorHAnsi"/>
          <w:sz w:val="16"/>
          <w:szCs w:val="16"/>
          <w:lang w:val="es-ES"/>
        </w:rPr>
        <w:t>Toda persona que se halle legalmente en el territorio de un Estado tiene derecho a circular por el mismo y a residir en él con sujeción a las disposiciones legales</w:t>
      </w:r>
      <w:r>
        <w:rPr>
          <w:rFonts w:asciiTheme="majorHAnsi" w:hAnsiTheme="majorHAnsi"/>
          <w:sz w:val="16"/>
          <w:szCs w:val="16"/>
          <w:lang w:val="es-ES"/>
        </w:rPr>
        <w:t>”</w:t>
      </w:r>
      <w:r w:rsidRPr="005F06A1">
        <w:rPr>
          <w:rFonts w:asciiTheme="majorHAnsi" w:hAnsiTheme="majorHAnsi"/>
          <w:sz w:val="16"/>
          <w:szCs w:val="16"/>
          <w:lang w:val="es-ES"/>
        </w:rPr>
        <w:t>.</w:t>
      </w:r>
      <w:r w:rsidRPr="005F06A1">
        <w:rPr>
          <w:lang w:val="es-ES"/>
        </w:rPr>
        <w:t xml:space="preserve"> </w:t>
      </w:r>
    </w:p>
  </w:footnote>
  <w:footnote w:id="28">
    <w:p w14:paraId="3B702987" w14:textId="22A72941" w:rsidR="00BE380F" w:rsidRPr="005F06A1" w:rsidRDefault="00BE380F" w:rsidP="0075398D">
      <w:pPr>
        <w:jc w:val="both"/>
        <w:rPr>
          <w:rFonts w:asciiTheme="majorHAnsi" w:hAnsiTheme="majorHAnsi"/>
          <w:bCs/>
          <w:sz w:val="16"/>
          <w:szCs w:val="16"/>
          <w:lang w:val="es-ES"/>
        </w:rPr>
      </w:pPr>
      <w:r w:rsidRPr="005F06A1">
        <w:rPr>
          <w:rStyle w:val="FootnoteReference"/>
          <w:rFonts w:asciiTheme="majorHAnsi" w:hAnsiTheme="majorHAnsi"/>
          <w:sz w:val="16"/>
          <w:szCs w:val="16"/>
          <w:lang w:val="es-ES"/>
        </w:rPr>
        <w:footnoteRef/>
      </w:r>
      <w:r w:rsidRPr="00293FA6">
        <w:rPr>
          <w:rFonts w:asciiTheme="majorHAnsi" w:hAnsiTheme="majorHAnsi"/>
          <w:sz w:val="16"/>
          <w:szCs w:val="16"/>
          <w:lang w:val="pt-BR"/>
        </w:rPr>
        <w:t xml:space="preserve"> Corte IDH. </w:t>
      </w:r>
      <w:r w:rsidRPr="00293FA6">
        <w:rPr>
          <w:rFonts w:asciiTheme="majorHAnsi" w:hAnsiTheme="majorHAnsi"/>
          <w:i/>
          <w:sz w:val="16"/>
          <w:szCs w:val="16"/>
          <w:lang w:val="pt-BR"/>
        </w:rPr>
        <w:t xml:space="preserve">Caso </w:t>
      </w:r>
      <w:r w:rsidRPr="00293FA6">
        <w:rPr>
          <w:rStyle w:val="Strong"/>
          <w:rFonts w:asciiTheme="majorHAnsi" w:hAnsiTheme="majorHAnsi"/>
          <w:b w:val="0"/>
          <w:i/>
          <w:sz w:val="16"/>
          <w:szCs w:val="16"/>
          <w:lang w:val="pt-BR"/>
        </w:rPr>
        <w:t>Flor Freire vs. Ecuador</w:t>
      </w:r>
      <w:r w:rsidRPr="00293FA6">
        <w:rPr>
          <w:rStyle w:val="Strong"/>
          <w:rFonts w:asciiTheme="majorHAnsi" w:hAnsiTheme="majorHAnsi"/>
          <w:b w:val="0"/>
          <w:sz w:val="16"/>
          <w:szCs w:val="16"/>
          <w:lang w:val="pt-BR"/>
        </w:rPr>
        <w:t xml:space="preserve">. </w:t>
      </w:r>
      <w:r>
        <w:rPr>
          <w:rStyle w:val="Strong"/>
          <w:rFonts w:asciiTheme="majorHAnsi" w:hAnsiTheme="majorHAnsi"/>
          <w:b w:val="0"/>
          <w:sz w:val="16"/>
          <w:szCs w:val="16"/>
          <w:lang w:val="es-ES"/>
        </w:rPr>
        <w:t xml:space="preserve">Excepción </w:t>
      </w:r>
      <w:r w:rsidRPr="005F06A1">
        <w:rPr>
          <w:rStyle w:val="Strong"/>
          <w:rFonts w:asciiTheme="majorHAnsi" w:hAnsiTheme="majorHAnsi"/>
          <w:b w:val="0"/>
          <w:sz w:val="16"/>
          <w:szCs w:val="16"/>
          <w:lang w:val="es-ES"/>
        </w:rPr>
        <w:t>Preliminar</w:t>
      </w:r>
      <w:r>
        <w:rPr>
          <w:rStyle w:val="Strong"/>
          <w:rFonts w:asciiTheme="majorHAnsi" w:hAnsiTheme="majorHAnsi"/>
          <w:b w:val="0"/>
          <w:sz w:val="16"/>
          <w:szCs w:val="16"/>
          <w:lang w:val="es-ES"/>
        </w:rPr>
        <w:t xml:space="preserve">, Fondo, Reparaciones y Costas. Sentencia de </w:t>
      </w:r>
      <w:r w:rsidRPr="005F06A1">
        <w:rPr>
          <w:rStyle w:val="Strong"/>
          <w:rFonts w:asciiTheme="majorHAnsi" w:hAnsiTheme="majorHAnsi"/>
          <w:b w:val="0"/>
          <w:sz w:val="16"/>
          <w:szCs w:val="16"/>
          <w:lang w:val="es-ES"/>
        </w:rPr>
        <w:t>31</w:t>
      </w:r>
      <w:r>
        <w:rPr>
          <w:rStyle w:val="Strong"/>
          <w:rFonts w:asciiTheme="majorHAnsi" w:hAnsiTheme="majorHAnsi"/>
          <w:b w:val="0"/>
          <w:sz w:val="16"/>
          <w:szCs w:val="16"/>
          <w:lang w:val="es-ES"/>
        </w:rPr>
        <w:t xml:space="preserve"> de agosto de</w:t>
      </w:r>
      <w:r w:rsidRPr="005F06A1">
        <w:rPr>
          <w:rStyle w:val="Strong"/>
          <w:rFonts w:asciiTheme="majorHAnsi" w:hAnsiTheme="majorHAnsi"/>
          <w:b w:val="0"/>
          <w:sz w:val="16"/>
          <w:szCs w:val="16"/>
          <w:lang w:val="es-ES"/>
        </w:rPr>
        <w:t xml:space="preserve"> 2016. </w:t>
      </w:r>
      <w:r>
        <w:rPr>
          <w:rStyle w:val="Strong"/>
          <w:rFonts w:asciiTheme="majorHAnsi" w:hAnsiTheme="majorHAnsi"/>
          <w:b w:val="0"/>
          <w:sz w:val="16"/>
          <w:szCs w:val="16"/>
          <w:lang w:val="es-ES"/>
        </w:rPr>
        <w:t>Serie</w:t>
      </w:r>
      <w:r w:rsidRPr="005F06A1">
        <w:rPr>
          <w:rStyle w:val="Strong"/>
          <w:rFonts w:asciiTheme="majorHAnsi" w:hAnsiTheme="majorHAnsi"/>
          <w:b w:val="0"/>
          <w:sz w:val="16"/>
          <w:szCs w:val="16"/>
          <w:lang w:val="es-ES"/>
        </w:rPr>
        <w:t xml:space="preserve"> C No. 315, párr. 109.</w:t>
      </w:r>
      <w:r w:rsidRPr="005F06A1">
        <w:rPr>
          <w:rStyle w:val="Strong"/>
          <w:rFonts w:asciiTheme="majorHAnsi" w:hAnsiTheme="majorHAnsi"/>
          <w:sz w:val="16"/>
          <w:szCs w:val="16"/>
          <w:lang w:val="es-ES"/>
        </w:rPr>
        <w:t xml:space="preserve"> </w:t>
      </w:r>
    </w:p>
  </w:footnote>
  <w:footnote w:id="29">
    <w:p w14:paraId="103BF82E" w14:textId="71A62613"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w:t>
      </w:r>
      <w:r w:rsidRPr="005F06A1">
        <w:rPr>
          <w:rFonts w:asciiTheme="majorHAnsi" w:eastAsia="Times New Roman" w:hAnsiTheme="majorHAnsi"/>
          <w:bCs/>
          <w:sz w:val="16"/>
          <w:szCs w:val="16"/>
          <w:lang w:val="es-ES"/>
        </w:rPr>
        <w:t xml:space="preserve">Corte IDH. </w:t>
      </w:r>
      <w:r w:rsidRPr="00440C9B">
        <w:rPr>
          <w:rFonts w:asciiTheme="majorHAnsi" w:eastAsia="Times New Roman" w:hAnsiTheme="majorHAnsi"/>
          <w:bCs/>
          <w:i/>
          <w:sz w:val="16"/>
          <w:szCs w:val="16"/>
          <w:lang w:val="es-ES"/>
        </w:rPr>
        <w:t>Caso Furlan y familiares vs. Argentina</w:t>
      </w:r>
      <w:r w:rsidRPr="005F06A1">
        <w:rPr>
          <w:rFonts w:asciiTheme="majorHAnsi" w:eastAsia="Times New Roman" w:hAnsiTheme="majorHAnsi"/>
          <w:bCs/>
          <w:sz w:val="16"/>
          <w:szCs w:val="16"/>
          <w:lang w:val="es-ES"/>
        </w:rPr>
        <w:t xml:space="preserve">. </w:t>
      </w:r>
      <w:r>
        <w:rPr>
          <w:rFonts w:asciiTheme="majorHAnsi" w:eastAsia="Times New Roman" w:hAnsiTheme="majorHAnsi"/>
          <w:bCs/>
          <w:sz w:val="16"/>
          <w:szCs w:val="16"/>
          <w:lang w:val="es-ES"/>
        </w:rPr>
        <w:t xml:space="preserve">Excepciones Preliminares, Fondo, Reparaciones y Costas. Sentencia de </w:t>
      </w:r>
      <w:r w:rsidRPr="005F06A1">
        <w:rPr>
          <w:rFonts w:asciiTheme="majorHAnsi" w:eastAsia="Times New Roman" w:hAnsiTheme="majorHAnsi"/>
          <w:bCs/>
          <w:sz w:val="16"/>
          <w:szCs w:val="16"/>
          <w:lang w:val="es-ES"/>
        </w:rPr>
        <w:t>31</w:t>
      </w:r>
      <w:r>
        <w:rPr>
          <w:rFonts w:asciiTheme="majorHAnsi" w:eastAsia="Times New Roman" w:hAnsiTheme="majorHAnsi"/>
          <w:bCs/>
          <w:sz w:val="16"/>
          <w:szCs w:val="16"/>
          <w:lang w:val="es-ES"/>
        </w:rPr>
        <w:t xml:space="preserve"> de agosto de</w:t>
      </w:r>
      <w:r w:rsidRPr="005F06A1">
        <w:rPr>
          <w:rFonts w:asciiTheme="majorHAnsi" w:eastAsia="Times New Roman" w:hAnsiTheme="majorHAnsi"/>
          <w:bCs/>
          <w:sz w:val="16"/>
          <w:szCs w:val="16"/>
          <w:lang w:val="es-ES"/>
        </w:rPr>
        <w:t xml:space="preserve"> 2012. </w:t>
      </w:r>
      <w:r>
        <w:rPr>
          <w:rFonts w:asciiTheme="majorHAnsi" w:eastAsia="Times New Roman" w:hAnsiTheme="majorHAnsi"/>
          <w:bCs/>
          <w:sz w:val="16"/>
          <w:szCs w:val="16"/>
          <w:lang w:val="es-ES"/>
        </w:rPr>
        <w:t>Serie</w:t>
      </w:r>
      <w:r w:rsidRPr="005F06A1">
        <w:rPr>
          <w:rFonts w:asciiTheme="majorHAnsi" w:eastAsia="Times New Roman" w:hAnsiTheme="majorHAnsi"/>
          <w:bCs/>
          <w:sz w:val="16"/>
          <w:szCs w:val="16"/>
          <w:lang w:val="es-ES"/>
        </w:rPr>
        <w:t xml:space="preserve"> C No. 246, párr. 267.</w:t>
      </w:r>
    </w:p>
  </w:footnote>
  <w:footnote w:id="30">
    <w:p w14:paraId="67ACC89C" w14:textId="618918ED" w:rsidR="00BE380F" w:rsidRPr="005F06A1" w:rsidRDefault="00BE380F" w:rsidP="0075398D">
      <w:pPr>
        <w:jc w:val="both"/>
        <w:rPr>
          <w:rFonts w:asciiTheme="majorHAnsi" w:eastAsia="Times New Roman"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w:t>
      </w:r>
      <w:r w:rsidRPr="005F06A1">
        <w:rPr>
          <w:rFonts w:asciiTheme="majorHAnsi" w:eastAsia="Times New Roman" w:hAnsiTheme="majorHAnsi"/>
          <w:bCs/>
          <w:color w:val="000000"/>
          <w:sz w:val="16"/>
          <w:szCs w:val="16"/>
          <w:lang w:val="es-ES"/>
        </w:rPr>
        <w:t xml:space="preserve">Corte IDH. </w:t>
      </w:r>
      <w:r w:rsidRPr="00440C9B">
        <w:rPr>
          <w:rFonts w:asciiTheme="majorHAnsi" w:eastAsia="Times New Roman" w:hAnsiTheme="majorHAnsi"/>
          <w:bCs/>
          <w:i/>
          <w:color w:val="000000"/>
          <w:sz w:val="16"/>
          <w:szCs w:val="16"/>
          <w:lang w:val="es-ES"/>
        </w:rPr>
        <w:t>Propuesta de modificación a la constitución política de Costa Rica relacionada con la naturalización</w:t>
      </w:r>
      <w:r w:rsidRPr="005F06A1">
        <w:rPr>
          <w:rFonts w:asciiTheme="majorHAnsi" w:eastAsia="Times New Roman" w:hAnsiTheme="majorHAnsi"/>
          <w:bCs/>
          <w:color w:val="000000"/>
          <w:sz w:val="16"/>
          <w:szCs w:val="16"/>
          <w:lang w:val="es-ES"/>
        </w:rPr>
        <w:t xml:space="preserve">. </w:t>
      </w:r>
      <w:r>
        <w:rPr>
          <w:rFonts w:asciiTheme="majorHAnsi" w:eastAsia="Times New Roman" w:hAnsiTheme="majorHAnsi"/>
          <w:bCs/>
          <w:color w:val="000000"/>
          <w:sz w:val="16"/>
          <w:szCs w:val="16"/>
          <w:lang w:val="es-ES"/>
        </w:rPr>
        <w:t>Opinión Consultiva</w:t>
      </w:r>
      <w:r w:rsidRPr="005F06A1">
        <w:rPr>
          <w:rFonts w:asciiTheme="majorHAnsi" w:eastAsia="Times New Roman" w:hAnsiTheme="majorHAnsi"/>
          <w:bCs/>
          <w:color w:val="000000"/>
          <w:sz w:val="16"/>
          <w:szCs w:val="16"/>
          <w:lang w:val="es-ES"/>
        </w:rPr>
        <w:t xml:space="preserve"> OC-4/84 </w:t>
      </w:r>
      <w:r>
        <w:rPr>
          <w:rFonts w:asciiTheme="majorHAnsi" w:eastAsia="Times New Roman" w:hAnsiTheme="majorHAnsi"/>
          <w:bCs/>
          <w:color w:val="000000"/>
          <w:sz w:val="16"/>
          <w:szCs w:val="16"/>
          <w:lang w:val="es-ES"/>
        </w:rPr>
        <w:t xml:space="preserve">del </w:t>
      </w:r>
      <w:r w:rsidRPr="005F06A1">
        <w:rPr>
          <w:rFonts w:asciiTheme="majorHAnsi" w:eastAsia="Times New Roman" w:hAnsiTheme="majorHAnsi"/>
          <w:bCs/>
          <w:color w:val="000000"/>
          <w:sz w:val="16"/>
          <w:szCs w:val="16"/>
          <w:lang w:val="es-ES"/>
        </w:rPr>
        <w:t>19</w:t>
      </w:r>
      <w:r>
        <w:rPr>
          <w:rFonts w:asciiTheme="majorHAnsi" w:eastAsia="Times New Roman" w:hAnsiTheme="majorHAnsi"/>
          <w:bCs/>
          <w:color w:val="000000"/>
          <w:sz w:val="16"/>
          <w:szCs w:val="16"/>
          <w:lang w:val="es-ES"/>
        </w:rPr>
        <w:t xml:space="preserve"> de enero de</w:t>
      </w:r>
      <w:r w:rsidRPr="005F06A1">
        <w:rPr>
          <w:rFonts w:asciiTheme="majorHAnsi" w:eastAsia="Times New Roman" w:hAnsiTheme="majorHAnsi"/>
          <w:bCs/>
          <w:color w:val="000000"/>
          <w:sz w:val="16"/>
          <w:szCs w:val="16"/>
          <w:lang w:val="es-ES"/>
        </w:rPr>
        <w:t xml:space="preserve"> 1984. </w:t>
      </w:r>
      <w:r>
        <w:rPr>
          <w:rFonts w:asciiTheme="majorHAnsi" w:eastAsia="Times New Roman" w:hAnsiTheme="majorHAnsi"/>
          <w:bCs/>
          <w:color w:val="000000"/>
          <w:sz w:val="16"/>
          <w:szCs w:val="16"/>
          <w:lang w:val="es-ES"/>
        </w:rPr>
        <w:t>Serie</w:t>
      </w:r>
      <w:r w:rsidRPr="005F06A1">
        <w:rPr>
          <w:rFonts w:asciiTheme="majorHAnsi" w:eastAsia="Times New Roman" w:hAnsiTheme="majorHAnsi"/>
          <w:bCs/>
          <w:color w:val="000000"/>
          <w:sz w:val="16"/>
          <w:szCs w:val="16"/>
          <w:lang w:val="es-ES"/>
        </w:rPr>
        <w:t xml:space="preserve"> A No. 4, párrs. 55 </w:t>
      </w:r>
      <w:r>
        <w:rPr>
          <w:rFonts w:asciiTheme="majorHAnsi" w:eastAsia="Times New Roman" w:hAnsiTheme="majorHAnsi"/>
          <w:bCs/>
          <w:color w:val="000000"/>
          <w:sz w:val="16"/>
          <w:szCs w:val="16"/>
          <w:lang w:val="es-ES"/>
        </w:rPr>
        <w:t>y</w:t>
      </w:r>
      <w:r w:rsidRPr="005F06A1">
        <w:rPr>
          <w:rFonts w:asciiTheme="majorHAnsi" w:eastAsia="Times New Roman" w:hAnsiTheme="majorHAnsi"/>
          <w:bCs/>
          <w:color w:val="000000"/>
          <w:sz w:val="16"/>
          <w:szCs w:val="16"/>
          <w:lang w:val="es-ES"/>
        </w:rPr>
        <w:t xml:space="preserve"> 56. </w:t>
      </w:r>
    </w:p>
  </w:footnote>
  <w:footnote w:id="31">
    <w:p w14:paraId="6A9908F2" w14:textId="466AC062" w:rsidR="00BE380F" w:rsidRPr="005F06A1" w:rsidRDefault="00BE380F" w:rsidP="0075398D">
      <w:pPr>
        <w:pStyle w:val="FootnoteText"/>
        <w:jc w:val="both"/>
        <w:rPr>
          <w:rFonts w:asciiTheme="majorHAnsi" w:hAnsiTheme="majorHAnsi"/>
          <w:b/>
          <w:lang w:val="es-ES"/>
        </w:rPr>
      </w:pPr>
      <w:r w:rsidRPr="005F06A1">
        <w:rPr>
          <w:rStyle w:val="FootnoteReference"/>
          <w:rFonts w:asciiTheme="majorHAnsi" w:hAnsiTheme="majorHAnsi"/>
          <w:b/>
          <w:sz w:val="16"/>
          <w:szCs w:val="16"/>
          <w:lang w:val="es-ES"/>
        </w:rPr>
        <w:footnoteRef/>
      </w:r>
      <w:r w:rsidRPr="005F06A1">
        <w:rPr>
          <w:rFonts w:asciiTheme="majorHAnsi" w:hAnsiTheme="majorHAnsi"/>
          <w:b/>
          <w:sz w:val="16"/>
          <w:szCs w:val="16"/>
          <w:lang w:val="es-ES"/>
        </w:rPr>
        <w:t xml:space="preserve"> </w:t>
      </w:r>
      <w:r w:rsidRPr="005F06A1">
        <w:rPr>
          <w:rStyle w:val="Strong"/>
          <w:rFonts w:asciiTheme="majorHAnsi" w:hAnsiTheme="majorHAnsi"/>
          <w:b w:val="0"/>
          <w:sz w:val="16"/>
          <w:szCs w:val="16"/>
          <w:lang w:val="es-ES"/>
        </w:rPr>
        <w:t xml:space="preserve">Corte IDH. </w:t>
      </w:r>
      <w:r w:rsidRPr="00440C9B">
        <w:rPr>
          <w:rStyle w:val="Strong"/>
          <w:rFonts w:asciiTheme="majorHAnsi" w:hAnsiTheme="majorHAnsi"/>
          <w:b w:val="0"/>
          <w:i/>
          <w:sz w:val="16"/>
          <w:szCs w:val="16"/>
          <w:lang w:val="es-ES"/>
        </w:rPr>
        <w:t>Caso Atala Riffo y niñas vs. Chile</w:t>
      </w:r>
      <w:r w:rsidRPr="005F06A1">
        <w:rPr>
          <w:rStyle w:val="Strong"/>
          <w:rFonts w:asciiTheme="majorHAnsi" w:hAnsiTheme="majorHAnsi"/>
          <w:b w:val="0"/>
          <w:sz w:val="16"/>
          <w:szCs w:val="16"/>
          <w:lang w:val="es-ES"/>
        </w:rPr>
        <w:t xml:space="preserve">. </w:t>
      </w:r>
      <w:r w:rsidRPr="003B517A">
        <w:rPr>
          <w:rFonts w:asciiTheme="majorHAnsi" w:hAnsiTheme="majorHAnsi"/>
          <w:bCs/>
          <w:sz w:val="16"/>
          <w:szCs w:val="16"/>
          <w:lang w:val="es-ES"/>
        </w:rPr>
        <w:t>Fondo, Reparaciones y Costas. Sentencia de</w:t>
      </w:r>
      <w:r w:rsidRPr="005F06A1">
        <w:rPr>
          <w:rStyle w:val="Strong"/>
          <w:rFonts w:asciiTheme="majorHAnsi" w:hAnsiTheme="majorHAnsi"/>
          <w:b w:val="0"/>
          <w:sz w:val="16"/>
          <w:szCs w:val="16"/>
          <w:lang w:val="es-ES"/>
        </w:rPr>
        <w:t xml:space="preserve"> 24</w:t>
      </w:r>
      <w:r>
        <w:rPr>
          <w:rStyle w:val="Strong"/>
          <w:rFonts w:asciiTheme="majorHAnsi" w:hAnsiTheme="majorHAnsi"/>
          <w:b w:val="0"/>
          <w:sz w:val="16"/>
          <w:szCs w:val="16"/>
          <w:lang w:val="es-ES"/>
        </w:rPr>
        <w:t xml:space="preserve"> de febrero de</w:t>
      </w:r>
      <w:r w:rsidRPr="005F06A1">
        <w:rPr>
          <w:rStyle w:val="Strong"/>
          <w:rFonts w:asciiTheme="majorHAnsi" w:hAnsiTheme="majorHAnsi"/>
          <w:b w:val="0"/>
          <w:sz w:val="16"/>
          <w:szCs w:val="16"/>
          <w:lang w:val="es-ES"/>
        </w:rPr>
        <w:t xml:space="preserve"> 2012. </w:t>
      </w:r>
      <w:r>
        <w:rPr>
          <w:rStyle w:val="Strong"/>
          <w:rFonts w:asciiTheme="majorHAnsi" w:hAnsiTheme="majorHAnsi"/>
          <w:b w:val="0"/>
          <w:sz w:val="16"/>
          <w:szCs w:val="16"/>
          <w:lang w:val="es-ES"/>
        </w:rPr>
        <w:t>Serie</w:t>
      </w:r>
      <w:r w:rsidRPr="005F06A1">
        <w:rPr>
          <w:rStyle w:val="Strong"/>
          <w:rFonts w:asciiTheme="majorHAnsi" w:hAnsiTheme="majorHAnsi"/>
          <w:b w:val="0"/>
          <w:sz w:val="16"/>
          <w:szCs w:val="16"/>
          <w:lang w:val="es-ES"/>
        </w:rPr>
        <w:t xml:space="preserve"> C No. 239, párrs. </w:t>
      </w:r>
      <w:r w:rsidRPr="005F06A1">
        <w:rPr>
          <w:rFonts w:asciiTheme="majorHAnsi" w:hAnsiTheme="majorHAnsi"/>
          <w:sz w:val="16"/>
          <w:szCs w:val="16"/>
          <w:lang w:val="es-ES"/>
        </w:rPr>
        <w:t xml:space="preserve">91 </w:t>
      </w:r>
      <w:r>
        <w:rPr>
          <w:rFonts w:asciiTheme="majorHAnsi" w:hAnsiTheme="majorHAnsi"/>
          <w:sz w:val="16"/>
          <w:szCs w:val="16"/>
          <w:lang w:val="es-ES"/>
        </w:rPr>
        <w:t>y</w:t>
      </w:r>
      <w:r w:rsidRPr="005F06A1">
        <w:rPr>
          <w:rFonts w:asciiTheme="majorHAnsi" w:hAnsiTheme="majorHAnsi"/>
          <w:sz w:val="16"/>
          <w:szCs w:val="16"/>
          <w:lang w:val="es-ES"/>
        </w:rPr>
        <w:t xml:space="preserve"> 93.</w:t>
      </w:r>
      <w:r w:rsidRPr="005F06A1">
        <w:rPr>
          <w:rFonts w:asciiTheme="majorHAnsi" w:hAnsiTheme="majorHAnsi"/>
          <w:b/>
          <w:lang w:val="es-ES"/>
        </w:rPr>
        <w:t xml:space="preserve"> </w:t>
      </w:r>
    </w:p>
  </w:footnote>
  <w:footnote w:id="32">
    <w:p w14:paraId="0BF92AEC" w14:textId="712AC71D" w:rsidR="00BE380F" w:rsidRPr="005F06A1" w:rsidRDefault="00BE380F" w:rsidP="0075398D">
      <w:pPr>
        <w:pStyle w:val="FootnoteText"/>
        <w:jc w:val="both"/>
        <w:rPr>
          <w:rFonts w:asciiTheme="majorHAnsi" w:hAnsiTheme="majorHAnsi"/>
          <w:b/>
          <w:sz w:val="16"/>
          <w:szCs w:val="16"/>
          <w:lang w:val="es-ES"/>
        </w:rPr>
      </w:pPr>
      <w:r w:rsidRPr="005F06A1">
        <w:rPr>
          <w:rStyle w:val="FootnoteReference"/>
          <w:rFonts w:asciiTheme="majorHAnsi" w:hAnsiTheme="majorHAnsi"/>
          <w:b/>
          <w:sz w:val="16"/>
          <w:szCs w:val="16"/>
          <w:lang w:val="es-ES"/>
        </w:rPr>
        <w:footnoteRef/>
      </w:r>
      <w:r w:rsidRPr="005F06A1">
        <w:rPr>
          <w:rFonts w:asciiTheme="majorHAnsi" w:hAnsiTheme="majorHAnsi"/>
          <w:b/>
          <w:sz w:val="16"/>
          <w:szCs w:val="16"/>
          <w:lang w:val="es-ES"/>
        </w:rPr>
        <w:t xml:space="preserve"> </w:t>
      </w:r>
      <w:r w:rsidRPr="005F06A1">
        <w:rPr>
          <w:rStyle w:val="Strong"/>
          <w:rFonts w:asciiTheme="majorHAnsi" w:hAnsiTheme="majorHAnsi"/>
          <w:b w:val="0"/>
          <w:sz w:val="16"/>
          <w:szCs w:val="16"/>
          <w:lang w:val="es-ES"/>
        </w:rPr>
        <w:t xml:space="preserve">Corte IDH. </w:t>
      </w:r>
      <w:r w:rsidRPr="00440C9B">
        <w:rPr>
          <w:rStyle w:val="Strong"/>
          <w:rFonts w:asciiTheme="majorHAnsi" w:hAnsiTheme="majorHAnsi"/>
          <w:b w:val="0"/>
          <w:i/>
          <w:sz w:val="16"/>
          <w:szCs w:val="16"/>
          <w:lang w:val="es-ES"/>
        </w:rPr>
        <w:t>Caso Duque vs. Colombia</w:t>
      </w:r>
      <w:r w:rsidRPr="005F06A1">
        <w:rPr>
          <w:rStyle w:val="Strong"/>
          <w:rFonts w:asciiTheme="majorHAnsi" w:hAnsiTheme="majorHAnsi"/>
          <w:b w:val="0"/>
          <w:sz w:val="16"/>
          <w:szCs w:val="16"/>
          <w:lang w:val="es-ES"/>
        </w:rPr>
        <w:t xml:space="preserve">. </w:t>
      </w:r>
      <w:r w:rsidRPr="00C31C07">
        <w:rPr>
          <w:rStyle w:val="Strong"/>
          <w:rFonts w:asciiTheme="majorHAnsi" w:hAnsiTheme="majorHAnsi"/>
          <w:b w:val="0"/>
          <w:sz w:val="16"/>
          <w:szCs w:val="16"/>
          <w:lang w:val="es-ES"/>
        </w:rPr>
        <w:t>Excepciones Preliminares, Fondo, Reparaciones y Costas. Sentencia de</w:t>
      </w:r>
      <w:r w:rsidRPr="005F06A1">
        <w:rPr>
          <w:rStyle w:val="Strong"/>
          <w:rFonts w:asciiTheme="majorHAnsi" w:hAnsiTheme="majorHAnsi"/>
          <w:b w:val="0"/>
          <w:sz w:val="16"/>
          <w:szCs w:val="16"/>
          <w:lang w:val="es-ES"/>
        </w:rPr>
        <w:t xml:space="preserve"> </w:t>
      </w:r>
      <w:r>
        <w:rPr>
          <w:rStyle w:val="Strong"/>
          <w:rFonts w:asciiTheme="majorHAnsi" w:hAnsiTheme="majorHAnsi"/>
          <w:b w:val="0"/>
          <w:sz w:val="16"/>
          <w:szCs w:val="16"/>
          <w:lang w:val="es-ES"/>
        </w:rPr>
        <w:t>26 de febrero de 2016</w:t>
      </w:r>
      <w:r w:rsidRPr="005F06A1">
        <w:rPr>
          <w:rStyle w:val="Strong"/>
          <w:rFonts w:asciiTheme="majorHAnsi" w:hAnsiTheme="majorHAnsi"/>
          <w:b w:val="0"/>
          <w:sz w:val="16"/>
          <w:szCs w:val="16"/>
          <w:lang w:val="es-ES"/>
        </w:rPr>
        <w:t xml:space="preserve">. </w:t>
      </w:r>
      <w:r>
        <w:rPr>
          <w:rStyle w:val="Strong"/>
          <w:rFonts w:asciiTheme="majorHAnsi" w:hAnsiTheme="majorHAnsi"/>
          <w:b w:val="0"/>
          <w:sz w:val="16"/>
          <w:szCs w:val="16"/>
          <w:lang w:val="es-ES"/>
        </w:rPr>
        <w:t>Serie</w:t>
      </w:r>
      <w:r w:rsidRPr="005F06A1">
        <w:rPr>
          <w:rStyle w:val="Strong"/>
          <w:rFonts w:asciiTheme="majorHAnsi" w:hAnsiTheme="majorHAnsi"/>
          <w:b w:val="0"/>
          <w:sz w:val="16"/>
          <w:szCs w:val="16"/>
          <w:lang w:val="es-ES"/>
        </w:rPr>
        <w:t xml:space="preserve"> C No. 310</w:t>
      </w:r>
      <w:r w:rsidRPr="00C31C07">
        <w:rPr>
          <w:rStyle w:val="Strong"/>
          <w:rFonts w:asciiTheme="majorHAnsi" w:hAnsiTheme="majorHAnsi"/>
          <w:b w:val="0"/>
          <w:sz w:val="16"/>
          <w:szCs w:val="16"/>
          <w:lang w:val="es-ES"/>
        </w:rPr>
        <w:t>, párr.</w:t>
      </w:r>
      <w:r w:rsidRPr="00C31C07">
        <w:rPr>
          <w:rFonts w:asciiTheme="majorHAnsi" w:hAnsiTheme="majorHAnsi"/>
          <w:b/>
          <w:sz w:val="16"/>
          <w:szCs w:val="16"/>
          <w:lang w:val="es-ES"/>
        </w:rPr>
        <w:t xml:space="preserve"> </w:t>
      </w:r>
      <w:r w:rsidRPr="005F06A1">
        <w:rPr>
          <w:rFonts w:asciiTheme="majorHAnsi" w:hAnsiTheme="majorHAnsi"/>
          <w:sz w:val="16"/>
          <w:szCs w:val="16"/>
          <w:lang w:val="es-ES"/>
        </w:rPr>
        <w:t>104.</w:t>
      </w:r>
      <w:r w:rsidRPr="005F06A1">
        <w:rPr>
          <w:rFonts w:asciiTheme="majorHAnsi" w:hAnsiTheme="majorHAnsi"/>
          <w:b/>
          <w:sz w:val="16"/>
          <w:szCs w:val="16"/>
          <w:lang w:val="es-ES"/>
        </w:rPr>
        <w:t xml:space="preserve"> </w:t>
      </w:r>
    </w:p>
  </w:footnote>
  <w:footnote w:id="33">
    <w:p w14:paraId="70F04EA3" w14:textId="11259A99" w:rsidR="00BE380F" w:rsidRPr="005F06A1" w:rsidRDefault="00BE380F" w:rsidP="0075398D">
      <w:pPr>
        <w:pStyle w:val="FootnoteText"/>
        <w:jc w:val="both"/>
        <w:rPr>
          <w:rFonts w:asciiTheme="majorHAnsi" w:hAnsiTheme="majorHAnsi"/>
          <w:b/>
          <w:sz w:val="16"/>
          <w:szCs w:val="16"/>
          <w:lang w:val="es-ES"/>
        </w:rPr>
      </w:pPr>
      <w:r w:rsidRPr="005F06A1">
        <w:rPr>
          <w:rStyle w:val="FootnoteReference"/>
          <w:rFonts w:asciiTheme="majorHAnsi" w:hAnsiTheme="majorHAnsi"/>
          <w:b/>
          <w:sz w:val="16"/>
          <w:szCs w:val="16"/>
          <w:lang w:val="es-ES"/>
        </w:rPr>
        <w:footnoteRef/>
      </w:r>
      <w:r w:rsidRPr="005F06A1">
        <w:rPr>
          <w:rFonts w:asciiTheme="majorHAnsi" w:hAnsiTheme="majorHAnsi"/>
          <w:b/>
          <w:sz w:val="16"/>
          <w:szCs w:val="16"/>
          <w:lang w:val="es-ES"/>
        </w:rPr>
        <w:t xml:space="preserve"> </w:t>
      </w:r>
      <w:r w:rsidRPr="005F06A1">
        <w:rPr>
          <w:rStyle w:val="Strong"/>
          <w:rFonts w:asciiTheme="majorHAnsi" w:hAnsiTheme="majorHAnsi"/>
          <w:b w:val="0"/>
          <w:sz w:val="16"/>
          <w:szCs w:val="16"/>
          <w:lang w:val="es-ES"/>
        </w:rPr>
        <w:t xml:space="preserve">Corte IDH. </w:t>
      </w:r>
      <w:r w:rsidRPr="00440C9B">
        <w:rPr>
          <w:rStyle w:val="Strong"/>
          <w:rFonts w:asciiTheme="majorHAnsi" w:hAnsiTheme="majorHAnsi"/>
          <w:b w:val="0"/>
          <w:i/>
          <w:sz w:val="16"/>
          <w:szCs w:val="16"/>
          <w:lang w:val="es-ES"/>
        </w:rPr>
        <w:t>Caso Duque vs. Colombia</w:t>
      </w:r>
      <w:r w:rsidRPr="005F06A1">
        <w:rPr>
          <w:rStyle w:val="Strong"/>
          <w:rFonts w:asciiTheme="majorHAnsi" w:hAnsiTheme="majorHAnsi"/>
          <w:b w:val="0"/>
          <w:sz w:val="16"/>
          <w:szCs w:val="16"/>
          <w:lang w:val="es-ES"/>
        </w:rPr>
        <w:t xml:space="preserve">. </w:t>
      </w:r>
      <w:r w:rsidRPr="00C31C07">
        <w:rPr>
          <w:rFonts w:asciiTheme="majorHAnsi" w:hAnsiTheme="majorHAnsi"/>
          <w:bCs/>
          <w:sz w:val="16"/>
          <w:szCs w:val="16"/>
          <w:lang w:val="es-ES"/>
        </w:rPr>
        <w:t>Excepciones Preliminares, Fondo, Reparaciones y Costas. Sentencia de</w:t>
      </w:r>
      <w:r w:rsidRPr="005F06A1">
        <w:rPr>
          <w:rStyle w:val="Strong"/>
          <w:rFonts w:asciiTheme="majorHAnsi" w:hAnsiTheme="majorHAnsi"/>
          <w:b w:val="0"/>
          <w:sz w:val="16"/>
          <w:szCs w:val="16"/>
          <w:lang w:val="es-ES"/>
        </w:rPr>
        <w:t xml:space="preserve"> </w:t>
      </w:r>
      <w:r>
        <w:rPr>
          <w:rStyle w:val="Strong"/>
          <w:rFonts w:asciiTheme="majorHAnsi" w:hAnsiTheme="majorHAnsi"/>
          <w:b w:val="0"/>
          <w:sz w:val="16"/>
          <w:szCs w:val="16"/>
          <w:lang w:val="es-ES"/>
        </w:rPr>
        <w:t>26 de febrero de 2016</w:t>
      </w:r>
      <w:r w:rsidRPr="005F06A1">
        <w:rPr>
          <w:rStyle w:val="Strong"/>
          <w:rFonts w:asciiTheme="majorHAnsi" w:hAnsiTheme="majorHAnsi"/>
          <w:b w:val="0"/>
          <w:sz w:val="16"/>
          <w:szCs w:val="16"/>
          <w:lang w:val="es-ES"/>
        </w:rPr>
        <w:t xml:space="preserve">. </w:t>
      </w:r>
      <w:r>
        <w:rPr>
          <w:rStyle w:val="Strong"/>
          <w:rFonts w:asciiTheme="majorHAnsi" w:hAnsiTheme="majorHAnsi"/>
          <w:b w:val="0"/>
          <w:sz w:val="16"/>
          <w:szCs w:val="16"/>
          <w:lang w:val="es-ES"/>
        </w:rPr>
        <w:t>Serie</w:t>
      </w:r>
      <w:r w:rsidRPr="005F06A1">
        <w:rPr>
          <w:rStyle w:val="Strong"/>
          <w:rFonts w:asciiTheme="majorHAnsi" w:hAnsiTheme="majorHAnsi"/>
          <w:b w:val="0"/>
          <w:sz w:val="16"/>
          <w:szCs w:val="16"/>
          <w:lang w:val="es-ES"/>
        </w:rPr>
        <w:t xml:space="preserve"> C No. 310, párr.</w:t>
      </w:r>
      <w:r w:rsidRPr="005F06A1">
        <w:rPr>
          <w:rFonts w:asciiTheme="majorHAnsi" w:hAnsiTheme="majorHAnsi"/>
          <w:sz w:val="16"/>
          <w:szCs w:val="16"/>
          <w:lang w:val="es-ES"/>
        </w:rPr>
        <w:t xml:space="preserve"> 105.</w:t>
      </w:r>
      <w:r w:rsidRPr="005F06A1">
        <w:rPr>
          <w:rFonts w:asciiTheme="majorHAnsi" w:hAnsiTheme="majorHAnsi"/>
          <w:b/>
          <w:sz w:val="16"/>
          <w:szCs w:val="16"/>
          <w:lang w:val="es-ES"/>
        </w:rPr>
        <w:t xml:space="preserve"> </w:t>
      </w:r>
    </w:p>
  </w:footnote>
  <w:footnote w:id="34">
    <w:p w14:paraId="01E99404" w14:textId="07D8ADA4" w:rsidR="00BE380F" w:rsidRPr="005F06A1" w:rsidRDefault="00BE380F" w:rsidP="0075398D">
      <w:pPr>
        <w:pStyle w:val="FootnoteText"/>
        <w:jc w:val="both"/>
        <w:rPr>
          <w:rFonts w:asciiTheme="majorHAnsi" w:hAnsiTheme="majorHAnsi"/>
          <w:b/>
          <w:sz w:val="16"/>
          <w:szCs w:val="16"/>
          <w:lang w:val="es-ES"/>
        </w:rPr>
      </w:pPr>
      <w:r w:rsidRPr="005F06A1">
        <w:rPr>
          <w:rStyle w:val="FootnoteReference"/>
          <w:rFonts w:asciiTheme="majorHAnsi" w:hAnsiTheme="majorHAnsi"/>
          <w:b/>
          <w:sz w:val="16"/>
          <w:szCs w:val="16"/>
          <w:lang w:val="es-ES"/>
        </w:rPr>
        <w:footnoteRef/>
      </w:r>
      <w:r w:rsidRPr="005F06A1">
        <w:rPr>
          <w:rFonts w:asciiTheme="majorHAnsi" w:hAnsiTheme="majorHAnsi"/>
          <w:b/>
          <w:sz w:val="16"/>
          <w:szCs w:val="16"/>
          <w:lang w:val="es-ES"/>
        </w:rPr>
        <w:t xml:space="preserve"> </w:t>
      </w:r>
      <w:r w:rsidRPr="00C31C07">
        <w:rPr>
          <w:rFonts w:asciiTheme="majorHAnsi" w:hAnsiTheme="majorHAnsi"/>
          <w:bCs/>
          <w:sz w:val="16"/>
          <w:szCs w:val="16"/>
          <w:lang w:val="es-ES"/>
        </w:rPr>
        <w:t xml:space="preserve">Corte IDH. </w:t>
      </w:r>
      <w:r w:rsidRPr="00440C9B">
        <w:rPr>
          <w:rFonts w:asciiTheme="majorHAnsi" w:hAnsiTheme="majorHAnsi"/>
          <w:bCs/>
          <w:i/>
          <w:sz w:val="16"/>
          <w:szCs w:val="16"/>
          <w:lang w:val="es-ES"/>
        </w:rPr>
        <w:t>Caso Atala Riffo y niñas vs. Chile</w:t>
      </w:r>
      <w:r w:rsidRPr="00C31C07">
        <w:rPr>
          <w:rFonts w:asciiTheme="majorHAnsi" w:hAnsiTheme="majorHAnsi"/>
          <w:bCs/>
          <w:sz w:val="16"/>
          <w:szCs w:val="16"/>
          <w:lang w:val="es-ES"/>
        </w:rPr>
        <w:t xml:space="preserve">. Fondo, Reparaciones y Costas. </w:t>
      </w:r>
      <w:r>
        <w:rPr>
          <w:rFonts w:asciiTheme="majorHAnsi" w:hAnsiTheme="majorHAnsi"/>
          <w:bCs/>
          <w:sz w:val="16"/>
          <w:szCs w:val="16"/>
          <w:lang w:val="es-ES"/>
        </w:rPr>
        <w:t>Sentencia de 24 de febrero de 2012. Serie C No. 239,</w:t>
      </w:r>
      <w:r w:rsidRPr="005F06A1">
        <w:rPr>
          <w:rFonts w:asciiTheme="majorHAnsi" w:hAnsiTheme="majorHAnsi"/>
          <w:sz w:val="16"/>
          <w:szCs w:val="16"/>
          <w:lang w:val="es-ES"/>
        </w:rPr>
        <w:t xml:space="preserve"> p</w:t>
      </w:r>
      <w:r>
        <w:rPr>
          <w:rFonts w:asciiTheme="majorHAnsi" w:hAnsiTheme="majorHAnsi"/>
          <w:sz w:val="16"/>
          <w:szCs w:val="16"/>
          <w:lang w:val="es-ES"/>
        </w:rPr>
        <w:t xml:space="preserve">árrs. </w:t>
      </w:r>
      <w:r w:rsidRPr="005F06A1">
        <w:rPr>
          <w:rFonts w:asciiTheme="majorHAnsi" w:hAnsiTheme="majorHAnsi"/>
          <w:sz w:val="16"/>
          <w:szCs w:val="16"/>
          <w:lang w:val="es-ES"/>
        </w:rPr>
        <w:t>133</w:t>
      </w:r>
      <w:r>
        <w:rPr>
          <w:rFonts w:asciiTheme="majorHAnsi" w:hAnsiTheme="majorHAnsi"/>
          <w:sz w:val="16"/>
          <w:szCs w:val="16"/>
          <w:lang w:val="es-ES"/>
        </w:rPr>
        <w:t xml:space="preserve"> y </w:t>
      </w:r>
      <w:r w:rsidRPr="005F06A1">
        <w:rPr>
          <w:rFonts w:asciiTheme="majorHAnsi" w:hAnsiTheme="majorHAnsi"/>
          <w:sz w:val="16"/>
          <w:szCs w:val="16"/>
          <w:lang w:val="es-ES"/>
        </w:rPr>
        <w:t>134.</w:t>
      </w:r>
    </w:p>
  </w:footnote>
  <w:footnote w:id="35">
    <w:p w14:paraId="0A959297" w14:textId="31562948" w:rsidR="00BE380F" w:rsidRPr="005F06A1" w:rsidRDefault="00BE380F" w:rsidP="0075398D">
      <w:pPr>
        <w:pStyle w:val="FootnoteText"/>
        <w:tabs>
          <w:tab w:val="left" w:pos="426"/>
          <w:tab w:val="left" w:pos="540"/>
        </w:tabs>
        <w:ind w:right="43"/>
        <w:jc w:val="both"/>
        <w:rPr>
          <w:rFonts w:asciiTheme="majorHAnsi" w:hAnsiTheme="majorHAnsi"/>
          <w:b/>
          <w:sz w:val="16"/>
          <w:szCs w:val="16"/>
          <w:lang w:val="es-ES"/>
        </w:rPr>
      </w:pPr>
      <w:r w:rsidRPr="005F06A1">
        <w:rPr>
          <w:rStyle w:val="FootnoteReference"/>
          <w:rFonts w:asciiTheme="majorHAnsi" w:hAnsiTheme="majorHAnsi"/>
          <w:b/>
          <w:sz w:val="16"/>
          <w:szCs w:val="16"/>
          <w:lang w:val="es-ES"/>
        </w:rPr>
        <w:footnoteRef/>
      </w:r>
      <w:r w:rsidRPr="005F06A1">
        <w:rPr>
          <w:rFonts w:asciiTheme="majorHAnsi" w:hAnsiTheme="majorHAnsi"/>
          <w:b/>
          <w:sz w:val="16"/>
          <w:szCs w:val="16"/>
          <w:lang w:val="es-ES"/>
        </w:rPr>
        <w:t xml:space="preserve"> </w:t>
      </w:r>
      <w:r>
        <w:rPr>
          <w:rStyle w:val="Strong"/>
          <w:rFonts w:asciiTheme="majorHAnsi" w:hAnsiTheme="majorHAnsi"/>
          <w:b w:val="0"/>
          <w:sz w:val="16"/>
          <w:szCs w:val="16"/>
          <w:lang w:val="es-ES"/>
        </w:rPr>
        <w:t xml:space="preserve">Corte IDH. </w:t>
      </w:r>
      <w:r w:rsidRPr="00440C9B">
        <w:rPr>
          <w:rStyle w:val="Strong"/>
          <w:rFonts w:asciiTheme="majorHAnsi" w:hAnsiTheme="majorHAnsi"/>
          <w:b w:val="0"/>
          <w:i/>
          <w:sz w:val="16"/>
          <w:szCs w:val="16"/>
          <w:lang w:val="es-ES"/>
        </w:rPr>
        <w:t>Caso Atala Riffo y niñas vs. Chile</w:t>
      </w:r>
      <w:r>
        <w:rPr>
          <w:rStyle w:val="Strong"/>
          <w:rFonts w:asciiTheme="majorHAnsi" w:hAnsiTheme="majorHAnsi"/>
          <w:b w:val="0"/>
          <w:sz w:val="16"/>
          <w:szCs w:val="16"/>
          <w:lang w:val="es-ES"/>
        </w:rPr>
        <w:t xml:space="preserve">. Fondo, Reparaciones y Costas. Sentencia de 24 de febrero de 2012. Serie C No. 239, </w:t>
      </w:r>
      <w:r w:rsidRPr="005F06A1">
        <w:rPr>
          <w:rStyle w:val="Strong"/>
          <w:rFonts w:asciiTheme="majorHAnsi" w:hAnsiTheme="majorHAnsi"/>
          <w:b w:val="0"/>
          <w:sz w:val="16"/>
          <w:szCs w:val="16"/>
          <w:lang w:val="es-ES"/>
        </w:rPr>
        <w:t xml:space="preserve">párr. </w:t>
      </w:r>
      <w:r w:rsidRPr="005F06A1">
        <w:rPr>
          <w:rFonts w:asciiTheme="majorHAnsi" w:hAnsiTheme="majorHAnsi"/>
          <w:sz w:val="16"/>
          <w:szCs w:val="16"/>
          <w:lang w:val="es-ES"/>
        </w:rPr>
        <w:t>161.</w:t>
      </w:r>
      <w:r w:rsidRPr="005F06A1">
        <w:rPr>
          <w:rFonts w:asciiTheme="majorHAnsi" w:hAnsiTheme="majorHAnsi"/>
          <w:b/>
          <w:sz w:val="16"/>
          <w:szCs w:val="16"/>
          <w:lang w:val="es-ES"/>
        </w:rPr>
        <w:t xml:space="preserve"> </w:t>
      </w:r>
    </w:p>
  </w:footnote>
  <w:footnote w:id="36">
    <w:p w14:paraId="272564B4" w14:textId="611ADC05" w:rsidR="00BE380F" w:rsidRPr="005F06A1" w:rsidRDefault="00BE380F" w:rsidP="0075398D">
      <w:pPr>
        <w:pStyle w:val="FootnoteText"/>
        <w:tabs>
          <w:tab w:val="left" w:pos="720"/>
        </w:tabs>
        <w:jc w:val="both"/>
        <w:rPr>
          <w:rFonts w:asciiTheme="majorHAnsi" w:hAnsiTheme="majorHAnsi" w:cs="Verdana"/>
          <w:b/>
          <w:sz w:val="16"/>
          <w:szCs w:val="16"/>
          <w:lang w:val="es-ES" w:bidi="en-US"/>
        </w:rPr>
      </w:pPr>
      <w:r w:rsidRPr="005F06A1">
        <w:rPr>
          <w:rStyle w:val="FootnoteReference"/>
          <w:rFonts w:asciiTheme="majorHAnsi" w:hAnsiTheme="majorHAnsi"/>
          <w:b/>
          <w:sz w:val="16"/>
          <w:szCs w:val="16"/>
          <w:lang w:val="es-ES"/>
        </w:rPr>
        <w:footnoteRef/>
      </w:r>
      <w:r w:rsidRPr="005F06A1">
        <w:rPr>
          <w:rFonts w:asciiTheme="majorHAnsi" w:hAnsiTheme="majorHAnsi"/>
          <w:b/>
          <w:sz w:val="16"/>
          <w:szCs w:val="16"/>
          <w:lang w:val="es-ES"/>
        </w:rPr>
        <w:t xml:space="preserve"> </w:t>
      </w:r>
      <w:r>
        <w:rPr>
          <w:rStyle w:val="Strong"/>
          <w:rFonts w:asciiTheme="majorHAnsi" w:hAnsiTheme="majorHAnsi"/>
          <w:b w:val="0"/>
          <w:sz w:val="16"/>
          <w:szCs w:val="16"/>
          <w:lang w:val="es-ES"/>
        </w:rPr>
        <w:t xml:space="preserve">Corte IDH. </w:t>
      </w:r>
      <w:r w:rsidRPr="00440C9B">
        <w:rPr>
          <w:rStyle w:val="Strong"/>
          <w:rFonts w:asciiTheme="majorHAnsi" w:hAnsiTheme="majorHAnsi"/>
          <w:b w:val="0"/>
          <w:i/>
          <w:sz w:val="16"/>
          <w:szCs w:val="16"/>
          <w:lang w:val="es-ES"/>
        </w:rPr>
        <w:t>Caso Atala Riffo y niñas vs. Chile</w:t>
      </w:r>
      <w:r>
        <w:rPr>
          <w:rStyle w:val="Strong"/>
          <w:rFonts w:asciiTheme="majorHAnsi" w:hAnsiTheme="majorHAnsi"/>
          <w:b w:val="0"/>
          <w:sz w:val="16"/>
          <w:szCs w:val="16"/>
          <w:lang w:val="es-ES"/>
        </w:rPr>
        <w:t xml:space="preserve">. Fondo, Reparaciones y Costas. Sentencia de 24 de febrero de 2012. Serie C No. 239, </w:t>
      </w:r>
      <w:r w:rsidRPr="005F06A1">
        <w:rPr>
          <w:rStyle w:val="Strong"/>
          <w:rFonts w:asciiTheme="majorHAnsi" w:hAnsiTheme="majorHAnsi"/>
          <w:b w:val="0"/>
          <w:sz w:val="16"/>
          <w:szCs w:val="16"/>
          <w:lang w:val="es-ES"/>
        </w:rPr>
        <w:t xml:space="preserve">párr. </w:t>
      </w:r>
      <w:r w:rsidRPr="005F06A1">
        <w:rPr>
          <w:rFonts w:asciiTheme="majorHAnsi" w:hAnsiTheme="majorHAnsi"/>
          <w:sz w:val="16"/>
          <w:szCs w:val="16"/>
          <w:lang w:val="es-ES"/>
        </w:rPr>
        <w:t>162.</w:t>
      </w:r>
      <w:r w:rsidRPr="005F06A1">
        <w:rPr>
          <w:rFonts w:asciiTheme="majorHAnsi" w:hAnsiTheme="majorHAnsi"/>
          <w:b/>
          <w:sz w:val="16"/>
          <w:szCs w:val="16"/>
          <w:lang w:val="es-ES"/>
        </w:rPr>
        <w:t xml:space="preserve"> </w:t>
      </w:r>
    </w:p>
  </w:footnote>
  <w:footnote w:id="37">
    <w:p w14:paraId="2892B676" w14:textId="2C043C0C"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b/>
          <w:sz w:val="16"/>
          <w:szCs w:val="16"/>
          <w:lang w:val="es-ES"/>
        </w:rPr>
        <w:footnoteRef/>
      </w:r>
      <w:r w:rsidRPr="005F06A1">
        <w:rPr>
          <w:rFonts w:asciiTheme="majorHAnsi" w:hAnsiTheme="majorHAnsi"/>
          <w:b/>
          <w:sz w:val="16"/>
          <w:szCs w:val="16"/>
          <w:lang w:val="es-ES"/>
        </w:rPr>
        <w:t xml:space="preserve"> </w:t>
      </w:r>
      <w:r>
        <w:rPr>
          <w:rStyle w:val="Strong"/>
          <w:rFonts w:asciiTheme="majorHAnsi" w:hAnsiTheme="majorHAnsi"/>
          <w:b w:val="0"/>
          <w:sz w:val="16"/>
          <w:szCs w:val="16"/>
          <w:lang w:val="es-ES"/>
        </w:rPr>
        <w:t xml:space="preserve">Corte IDH. </w:t>
      </w:r>
      <w:r w:rsidRPr="00440C9B">
        <w:rPr>
          <w:rStyle w:val="Strong"/>
          <w:rFonts w:asciiTheme="majorHAnsi" w:hAnsiTheme="majorHAnsi"/>
          <w:b w:val="0"/>
          <w:i/>
          <w:sz w:val="16"/>
          <w:szCs w:val="16"/>
          <w:lang w:val="es-ES"/>
        </w:rPr>
        <w:t>Caso Atala Riffo y niñas vs. Chile</w:t>
      </w:r>
      <w:r>
        <w:rPr>
          <w:rStyle w:val="Strong"/>
          <w:rFonts w:asciiTheme="majorHAnsi" w:hAnsiTheme="majorHAnsi"/>
          <w:b w:val="0"/>
          <w:sz w:val="16"/>
          <w:szCs w:val="16"/>
          <w:lang w:val="es-ES"/>
        </w:rPr>
        <w:t xml:space="preserve">. Fondo, Reparaciones y Costas. Sentencia de 24 de febrero de 2012. Serie C No. 239, </w:t>
      </w:r>
      <w:r w:rsidRPr="005F06A1">
        <w:rPr>
          <w:rStyle w:val="Strong"/>
          <w:rFonts w:asciiTheme="majorHAnsi" w:hAnsiTheme="majorHAnsi"/>
          <w:b w:val="0"/>
          <w:sz w:val="16"/>
          <w:szCs w:val="16"/>
          <w:lang w:val="es-ES"/>
        </w:rPr>
        <w:t xml:space="preserve">párr. </w:t>
      </w:r>
      <w:r w:rsidRPr="005F06A1">
        <w:rPr>
          <w:rFonts w:asciiTheme="majorHAnsi" w:hAnsiTheme="majorHAnsi"/>
          <w:sz w:val="16"/>
          <w:szCs w:val="16"/>
          <w:lang w:val="es-ES"/>
        </w:rPr>
        <w:t xml:space="preserve">165. </w:t>
      </w:r>
    </w:p>
  </w:footnote>
  <w:footnote w:id="38">
    <w:p w14:paraId="1F6EA044" w14:textId="0DB5B6B5" w:rsidR="00BE380F" w:rsidRPr="005F06A1" w:rsidRDefault="00BE380F" w:rsidP="0075398D">
      <w:pPr>
        <w:pStyle w:val="FootnoteText"/>
        <w:jc w:val="both"/>
        <w:rPr>
          <w:rFonts w:asciiTheme="majorHAnsi" w:hAnsiTheme="majorHAnsi"/>
          <w:b/>
          <w:sz w:val="16"/>
          <w:szCs w:val="16"/>
          <w:lang w:val="es-ES"/>
        </w:rPr>
      </w:pPr>
      <w:r w:rsidRPr="005F06A1">
        <w:rPr>
          <w:rStyle w:val="FootnoteReference"/>
          <w:rFonts w:asciiTheme="majorHAnsi" w:hAnsiTheme="majorHAnsi"/>
          <w:b/>
          <w:sz w:val="16"/>
          <w:szCs w:val="16"/>
          <w:lang w:val="es-ES"/>
        </w:rPr>
        <w:footnoteRef/>
      </w:r>
      <w:r w:rsidRPr="005F06A1">
        <w:rPr>
          <w:rFonts w:asciiTheme="majorHAnsi" w:hAnsiTheme="majorHAnsi"/>
          <w:b/>
          <w:sz w:val="16"/>
          <w:szCs w:val="16"/>
          <w:lang w:val="es-ES"/>
        </w:rPr>
        <w:t xml:space="preserve"> </w:t>
      </w:r>
      <w:r>
        <w:rPr>
          <w:rStyle w:val="Strong"/>
          <w:rFonts w:asciiTheme="majorHAnsi" w:hAnsiTheme="majorHAnsi"/>
          <w:b w:val="0"/>
          <w:sz w:val="16"/>
          <w:szCs w:val="16"/>
          <w:lang w:val="es-ES"/>
        </w:rPr>
        <w:t xml:space="preserve">Corte IDH. </w:t>
      </w:r>
      <w:r w:rsidRPr="00440C9B">
        <w:rPr>
          <w:rStyle w:val="Strong"/>
          <w:rFonts w:asciiTheme="majorHAnsi" w:hAnsiTheme="majorHAnsi"/>
          <w:b w:val="0"/>
          <w:i/>
          <w:sz w:val="16"/>
          <w:szCs w:val="16"/>
          <w:lang w:val="es-ES"/>
        </w:rPr>
        <w:t>Caso Atala Riffo y niñas vs. Chile</w:t>
      </w:r>
      <w:r>
        <w:rPr>
          <w:rStyle w:val="Strong"/>
          <w:rFonts w:asciiTheme="majorHAnsi" w:hAnsiTheme="majorHAnsi"/>
          <w:b w:val="0"/>
          <w:sz w:val="16"/>
          <w:szCs w:val="16"/>
          <w:lang w:val="es-ES"/>
        </w:rPr>
        <w:t xml:space="preserve">. Fondo, Reparaciones y Costas. Sentencia de 24 de febrero de 2012. Serie C No. 239, </w:t>
      </w:r>
      <w:r w:rsidRPr="005F06A1">
        <w:rPr>
          <w:rStyle w:val="Strong"/>
          <w:rFonts w:asciiTheme="majorHAnsi" w:hAnsiTheme="majorHAnsi"/>
          <w:b w:val="0"/>
          <w:sz w:val="16"/>
          <w:szCs w:val="16"/>
          <w:lang w:val="es-ES"/>
        </w:rPr>
        <w:t>párr.</w:t>
      </w:r>
      <w:r w:rsidRPr="005F06A1">
        <w:rPr>
          <w:rStyle w:val="Strong"/>
          <w:rFonts w:asciiTheme="majorHAnsi" w:hAnsiTheme="majorHAnsi"/>
          <w:sz w:val="16"/>
          <w:szCs w:val="16"/>
          <w:lang w:val="es-ES"/>
        </w:rPr>
        <w:t xml:space="preserve"> </w:t>
      </w:r>
      <w:r w:rsidRPr="005F06A1">
        <w:rPr>
          <w:rFonts w:asciiTheme="majorHAnsi" w:hAnsiTheme="majorHAnsi"/>
          <w:sz w:val="16"/>
          <w:szCs w:val="16"/>
          <w:lang w:val="es-ES"/>
        </w:rPr>
        <w:t>166.</w:t>
      </w:r>
      <w:r w:rsidRPr="005F06A1">
        <w:rPr>
          <w:rFonts w:asciiTheme="majorHAnsi" w:hAnsiTheme="majorHAnsi"/>
          <w:b/>
          <w:sz w:val="16"/>
          <w:szCs w:val="16"/>
          <w:lang w:val="es-ES"/>
        </w:rPr>
        <w:t xml:space="preserve"> </w:t>
      </w:r>
    </w:p>
  </w:footnote>
  <w:footnote w:id="39">
    <w:p w14:paraId="3E562AD5" w14:textId="680CFE95"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w:t>
      </w:r>
      <w:r w:rsidRPr="005F06A1">
        <w:rPr>
          <w:rFonts w:asciiTheme="majorHAnsi" w:hAnsiTheme="majorHAnsi"/>
          <w:bCs/>
          <w:sz w:val="16"/>
          <w:szCs w:val="16"/>
          <w:lang w:val="es-ES"/>
        </w:rPr>
        <w:t>Corte IDH</w:t>
      </w:r>
      <w:r w:rsidRPr="005F06A1">
        <w:rPr>
          <w:rFonts w:asciiTheme="majorHAnsi" w:hAnsiTheme="majorHAnsi"/>
          <w:sz w:val="16"/>
          <w:szCs w:val="16"/>
          <w:lang w:val="es-ES"/>
        </w:rPr>
        <w:t xml:space="preserve">. </w:t>
      </w:r>
      <w:r w:rsidRPr="00440C9B">
        <w:rPr>
          <w:rFonts w:asciiTheme="majorHAnsi" w:hAnsiTheme="majorHAnsi"/>
          <w:i/>
          <w:sz w:val="16"/>
          <w:szCs w:val="16"/>
          <w:lang w:val="es-ES"/>
        </w:rPr>
        <w:t>Caso Montero Aranguren y otros (Retén de Catia) Vs. Venezuela</w:t>
      </w:r>
      <w:r w:rsidRPr="005F06A1">
        <w:rPr>
          <w:rFonts w:asciiTheme="majorHAnsi" w:hAnsiTheme="majorHAnsi"/>
          <w:sz w:val="16"/>
          <w:szCs w:val="16"/>
          <w:lang w:val="es-ES"/>
        </w:rPr>
        <w:t xml:space="preserve">. </w:t>
      </w:r>
      <w:r w:rsidRPr="00C31C07">
        <w:rPr>
          <w:rFonts w:asciiTheme="majorHAnsi" w:hAnsiTheme="majorHAnsi"/>
          <w:bCs/>
          <w:sz w:val="16"/>
          <w:szCs w:val="16"/>
          <w:lang w:val="es-ES"/>
        </w:rPr>
        <w:t>Excepciones Preliminares, Fondo, Reparaciones y Costas. Sentencia de</w:t>
      </w:r>
      <w:r>
        <w:rPr>
          <w:rFonts w:asciiTheme="majorHAnsi" w:hAnsiTheme="majorHAnsi"/>
          <w:bCs/>
          <w:sz w:val="16"/>
          <w:szCs w:val="16"/>
          <w:lang w:val="es-ES"/>
        </w:rPr>
        <w:t xml:space="preserve"> 5 de julio de 2006</w:t>
      </w:r>
      <w:r w:rsidRPr="005F06A1">
        <w:rPr>
          <w:rFonts w:asciiTheme="majorHAnsi" w:hAnsiTheme="majorHAnsi"/>
          <w:sz w:val="16"/>
          <w:szCs w:val="16"/>
          <w:lang w:val="es-ES"/>
        </w:rPr>
        <w:t>, p</w:t>
      </w:r>
      <w:r>
        <w:rPr>
          <w:rFonts w:asciiTheme="majorHAnsi" w:hAnsiTheme="majorHAnsi"/>
          <w:sz w:val="16"/>
          <w:szCs w:val="16"/>
          <w:lang w:val="es-ES"/>
        </w:rPr>
        <w:t>árr</w:t>
      </w:r>
      <w:r w:rsidRPr="005F06A1">
        <w:rPr>
          <w:rFonts w:asciiTheme="majorHAnsi" w:hAnsiTheme="majorHAnsi"/>
          <w:sz w:val="16"/>
          <w:szCs w:val="16"/>
          <w:lang w:val="es-ES"/>
        </w:rPr>
        <w:t xml:space="preserve">. 85. </w:t>
      </w:r>
    </w:p>
  </w:footnote>
  <w:footnote w:id="40">
    <w:p w14:paraId="7FBCCD22" w14:textId="0F1026E6"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w:t>
      </w:r>
      <w:r w:rsidRPr="005F06A1">
        <w:rPr>
          <w:rFonts w:asciiTheme="majorHAnsi" w:hAnsiTheme="majorHAnsi"/>
          <w:bCs/>
          <w:sz w:val="16"/>
          <w:szCs w:val="16"/>
          <w:lang w:val="es-ES"/>
        </w:rPr>
        <w:t>Corte IDH</w:t>
      </w:r>
      <w:r w:rsidRPr="005F06A1">
        <w:rPr>
          <w:rFonts w:asciiTheme="majorHAnsi" w:hAnsiTheme="majorHAnsi"/>
          <w:sz w:val="16"/>
          <w:szCs w:val="16"/>
          <w:lang w:val="es-ES"/>
        </w:rPr>
        <w:t xml:space="preserve">. </w:t>
      </w:r>
      <w:r w:rsidRPr="00440C9B">
        <w:rPr>
          <w:rFonts w:asciiTheme="majorHAnsi" w:hAnsiTheme="majorHAnsi"/>
          <w:i/>
          <w:sz w:val="16"/>
          <w:szCs w:val="16"/>
          <w:lang w:val="es-ES"/>
        </w:rPr>
        <w:t>Caso Loayza-Tamayo Vs. Perú</w:t>
      </w:r>
      <w:r w:rsidRPr="005F06A1">
        <w:rPr>
          <w:rFonts w:asciiTheme="majorHAnsi" w:hAnsiTheme="majorHAnsi"/>
          <w:sz w:val="16"/>
          <w:szCs w:val="16"/>
          <w:lang w:val="es-ES"/>
        </w:rPr>
        <w:t xml:space="preserve">. </w:t>
      </w:r>
      <w:r>
        <w:rPr>
          <w:rFonts w:asciiTheme="majorHAnsi" w:hAnsiTheme="majorHAnsi"/>
          <w:sz w:val="16"/>
          <w:szCs w:val="16"/>
          <w:lang w:val="es-ES"/>
        </w:rPr>
        <w:t xml:space="preserve">Fondo. Sentencia de </w:t>
      </w:r>
      <w:r w:rsidRPr="005F06A1">
        <w:rPr>
          <w:rFonts w:asciiTheme="majorHAnsi" w:hAnsiTheme="majorHAnsi"/>
          <w:sz w:val="16"/>
          <w:szCs w:val="16"/>
          <w:lang w:val="es-ES"/>
        </w:rPr>
        <w:t>17</w:t>
      </w:r>
      <w:r>
        <w:rPr>
          <w:rFonts w:asciiTheme="majorHAnsi" w:hAnsiTheme="majorHAnsi"/>
          <w:sz w:val="16"/>
          <w:szCs w:val="16"/>
          <w:lang w:val="es-ES"/>
        </w:rPr>
        <w:t xml:space="preserve"> de septiembre de</w:t>
      </w:r>
      <w:r w:rsidRPr="005F06A1">
        <w:rPr>
          <w:rFonts w:asciiTheme="majorHAnsi" w:hAnsiTheme="majorHAnsi"/>
          <w:sz w:val="16"/>
          <w:szCs w:val="16"/>
          <w:lang w:val="es-ES"/>
        </w:rPr>
        <w:t xml:space="preserve"> 1997, p</w:t>
      </w:r>
      <w:r>
        <w:rPr>
          <w:rFonts w:asciiTheme="majorHAnsi" w:hAnsiTheme="majorHAnsi"/>
          <w:sz w:val="16"/>
          <w:szCs w:val="16"/>
          <w:lang w:val="es-ES"/>
        </w:rPr>
        <w:t>árr</w:t>
      </w:r>
      <w:r w:rsidRPr="005F06A1">
        <w:rPr>
          <w:rFonts w:asciiTheme="majorHAnsi" w:hAnsiTheme="majorHAnsi"/>
          <w:sz w:val="16"/>
          <w:szCs w:val="16"/>
          <w:lang w:val="es-ES"/>
        </w:rPr>
        <w:t>.</w:t>
      </w:r>
      <w:r>
        <w:rPr>
          <w:rFonts w:asciiTheme="majorHAnsi" w:hAnsiTheme="majorHAnsi"/>
          <w:sz w:val="16"/>
          <w:szCs w:val="16"/>
          <w:lang w:val="es-ES"/>
        </w:rPr>
        <w:t xml:space="preserve"> </w:t>
      </w:r>
      <w:r w:rsidRPr="005F06A1">
        <w:rPr>
          <w:rFonts w:asciiTheme="majorHAnsi" w:hAnsiTheme="majorHAnsi"/>
          <w:sz w:val="16"/>
          <w:szCs w:val="16"/>
          <w:lang w:val="es-ES"/>
        </w:rPr>
        <w:t>57.</w:t>
      </w:r>
    </w:p>
  </w:footnote>
  <w:footnote w:id="41">
    <w:p w14:paraId="539BD157" w14:textId="66BC5F0E"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w:t>
      </w:r>
      <w:r>
        <w:rPr>
          <w:rFonts w:asciiTheme="majorHAnsi" w:hAnsiTheme="majorHAnsi"/>
          <w:sz w:val="16"/>
          <w:szCs w:val="16"/>
          <w:lang w:val="es-ES"/>
        </w:rPr>
        <w:t xml:space="preserve">CIDH. </w:t>
      </w:r>
      <w:hyperlink r:id="rId8" w:history="1">
        <w:r w:rsidRPr="00DB793D">
          <w:rPr>
            <w:rStyle w:val="Hyperlink"/>
            <w:rFonts w:asciiTheme="majorHAnsi" w:hAnsiTheme="majorHAnsi"/>
            <w:i/>
            <w:sz w:val="16"/>
            <w:szCs w:val="16"/>
            <w:lang w:val="es-ES"/>
          </w:rPr>
          <w:t>Criminalización de defensoras y defensores de derechos humanos</w:t>
        </w:r>
      </w:hyperlink>
      <w:r w:rsidRPr="00CE16AB">
        <w:rPr>
          <w:rStyle w:val="Hyperlink"/>
          <w:rFonts w:asciiTheme="majorHAnsi" w:hAnsiTheme="majorHAnsi"/>
          <w:sz w:val="16"/>
          <w:szCs w:val="16"/>
          <w:u w:val="none"/>
          <w:lang w:val="es-ES"/>
        </w:rPr>
        <w:t>.</w:t>
      </w:r>
      <w:r w:rsidRPr="005F06A1">
        <w:rPr>
          <w:rFonts w:asciiTheme="majorHAnsi" w:hAnsiTheme="majorHAnsi"/>
          <w:sz w:val="16"/>
          <w:szCs w:val="16"/>
          <w:lang w:val="es-ES"/>
        </w:rPr>
        <w:t xml:space="preserve"> OEA/Ser.L/V/II.Doc.49/15, 31 </w:t>
      </w:r>
      <w:r>
        <w:rPr>
          <w:rFonts w:asciiTheme="majorHAnsi" w:hAnsiTheme="majorHAnsi"/>
          <w:sz w:val="16"/>
          <w:szCs w:val="16"/>
          <w:lang w:val="es-ES"/>
        </w:rPr>
        <w:t xml:space="preserve">de diciembre del </w:t>
      </w:r>
      <w:r w:rsidRPr="005F06A1">
        <w:rPr>
          <w:rFonts w:asciiTheme="majorHAnsi" w:hAnsiTheme="majorHAnsi"/>
          <w:sz w:val="16"/>
          <w:szCs w:val="16"/>
          <w:lang w:val="es-ES"/>
        </w:rPr>
        <w:t>2015, p</w:t>
      </w:r>
      <w:r>
        <w:rPr>
          <w:rFonts w:asciiTheme="majorHAnsi" w:hAnsiTheme="majorHAnsi"/>
          <w:sz w:val="16"/>
          <w:szCs w:val="16"/>
          <w:lang w:val="es-ES"/>
        </w:rPr>
        <w:t xml:space="preserve">árr. </w:t>
      </w:r>
      <w:r w:rsidRPr="005F06A1">
        <w:rPr>
          <w:rFonts w:asciiTheme="majorHAnsi" w:hAnsiTheme="majorHAnsi"/>
          <w:sz w:val="16"/>
          <w:szCs w:val="16"/>
          <w:lang w:val="es-ES"/>
        </w:rPr>
        <w:t>214.</w:t>
      </w:r>
    </w:p>
  </w:footnote>
  <w:footnote w:id="42">
    <w:p w14:paraId="1C3D8E57" w14:textId="4F46E2AD"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Corte IDH. Opinión Consultiva OC-24/17 de 24 de noviembre de 2017 solicitada por la República de Costa Rica. 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w:t>
      </w:r>
      <w:r>
        <w:rPr>
          <w:rFonts w:asciiTheme="majorHAnsi" w:hAnsiTheme="majorHAnsi"/>
          <w:sz w:val="16"/>
          <w:szCs w:val="16"/>
          <w:lang w:val="es-ES"/>
        </w:rPr>
        <w:t>). Párr.</w:t>
      </w:r>
      <w:r w:rsidRPr="005F06A1">
        <w:rPr>
          <w:rFonts w:asciiTheme="majorHAnsi" w:hAnsiTheme="majorHAnsi"/>
          <w:sz w:val="16"/>
          <w:szCs w:val="16"/>
          <w:lang w:val="es-ES"/>
        </w:rPr>
        <w:t xml:space="preserve"> 39.</w:t>
      </w:r>
    </w:p>
  </w:footnote>
  <w:footnote w:id="43">
    <w:p w14:paraId="38B803D3" w14:textId="0D7159B1" w:rsidR="00BE380F" w:rsidRPr="005F06A1" w:rsidRDefault="00BE380F" w:rsidP="0075398D">
      <w:pPr>
        <w:pStyle w:val="Title"/>
        <w:ind w:firstLine="0"/>
        <w:jc w:val="both"/>
        <w:rPr>
          <w:rFonts w:asciiTheme="majorHAnsi" w:hAnsiTheme="majorHAnsi" w:cs="Arial"/>
          <w:b w:val="0"/>
          <w:sz w:val="16"/>
          <w:szCs w:val="16"/>
          <w:lang w:val="es-ES"/>
        </w:rPr>
      </w:pPr>
      <w:r w:rsidRPr="005F06A1">
        <w:rPr>
          <w:rStyle w:val="FootnoteReference"/>
          <w:rFonts w:asciiTheme="majorHAnsi" w:hAnsiTheme="majorHAnsi"/>
          <w:b w:val="0"/>
          <w:sz w:val="16"/>
          <w:szCs w:val="16"/>
          <w:lang w:val="es-ES"/>
        </w:rPr>
        <w:footnoteRef/>
      </w:r>
      <w:r w:rsidRPr="005F06A1">
        <w:rPr>
          <w:rFonts w:asciiTheme="majorHAnsi" w:hAnsiTheme="majorHAnsi"/>
          <w:b w:val="0"/>
          <w:sz w:val="16"/>
          <w:szCs w:val="16"/>
          <w:lang w:val="es-ES"/>
        </w:rPr>
        <w:t xml:space="preserve"> CIDH. Informe</w:t>
      </w:r>
      <w:r w:rsidRPr="005F06A1">
        <w:rPr>
          <w:rFonts w:asciiTheme="majorHAnsi" w:hAnsiTheme="majorHAnsi" w:cs="Arial"/>
          <w:b w:val="0"/>
          <w:sz w:val="16"/>
          <w:szCs w:val="16"/>
          <w:lang w:val="es-ES"/>
        </w:rPr>
        <w:t xml:space="preserve"> No. 81/13, Cas</w:t>
      </w:r>
      <w:r>
        <w:rPr>
          <w:rFonts w:asciiTheme="majorHAnsi" w:hAnsiTheme="majorHAnsi" w:cs="Arial"/>
          <w:b w:val="0"/>
          <w:sz w:val="16"/>
          <w:szCs w:val="16"/>
          <w:lang w:val="es-ES"/>
        </w:rPr>
        <w:t>o</w:t>
      </w:r>
      <w:r w:rsidRPr="005F06A1">
        <w:rPr>
          <w:rFonts w:asciiTheme="majorHAnsi" w:hAnsiTheme="majorHAnsi" w:cs="Arial"/>
          <w:b w:val="0"/>
          <w:sz w:val="16"/>
          <w:szCs w:val="16"/>
          <w:lang w:val="es-ES"/>
        </w:rPr>
        <w:t xml:space="preserve"> 12.743. </w:t>
      </w:r>
      <w:r>
        <w:rPr>
          <w:rFonts w:asciiTheme="majorHAnsi" w:hAnsiTheme="majorHAnsi" w:cs="Arial"/>
          <w:b w:val="0"/>
          <w:sz w:val="16"/>
          <w:szCs w:val="16"/>
          <w:lang w:val="es-ES"/>
        </w:rPr>
        <w:t>Fondo</w:t>
      </w:r>
      <w:r w:rsidRPr="005F06A1">
        <w:rPr>
          <w:rFonts w:asciiTheme="majorHAnsi" w:hAnsiTheme="majorHAnsi" w:cs="Arial"/>
          <w:b w:val="0"/>
          <w:sz w:val="16"/>
          <w:szCs w:val="16"/>
          <w:lang w:val="es-ES"/>
        </w:rPr>
        <w:t>. Homero Flor Freire</w:t>
      </w:r>
      <w:r>
        <w:rPr>
          <w:rFonts w:asciiTheme="majorHAnsi" w:hAnsiTheme="majorHAnsi" w:cs="Arial"/>
          <w:b w:val="0"/>
          <w:sz w:val="16"/>
          <w:szCs w:val="16"/>
          <w:lang w:val="es-ES"/>
        </w:rPr>
        <w:t>.</w:t>
      </w:r>
      <w:r w:rsidRPr="005F06A1">
        <w:rPr>
          <w:rFonts w:asciiTheme="majorHAnsi" w:hAnsiTheme="majorHAnsi" w:cs="Arial"/>
          <w:b w:val="0"/>
          <w:sz w:val="16"/>
          <w:szCs w:val="16"/>
          <w:lang w:val="es-ES"/>
        </w:rPr>
        <w:t xml:space="preserve"> Ecuador. 4</w:t>
      </w:r>
      <w:r>
        <w:rPr>
          <w:rFonts w:asciiTheme="majorHAnsi" w:hAnsiTheme="majorHAnsi" w:cs="Arial"/>
          <w:b w:val="0"/>
          <w:sz w:val="16"/>
          <w:szCs w:val="16"/>
          <w:lang w:val="es-ES"/>
        </w:rPr>
        <w:t xml:space="preserve"> de noviembre de</w:t>
      </w:r>
      <w:r w:rsidRPr="005F06A1">
        <w:rPr>
          <w:rFonts w:asciiTheme="majorHAnsi" w:hAnsiTheme="majorHAnsi" w:cs="Arial"/>
          <w:b w:val="0"/>
          <w:sz w:val="16"/>
          <w:szCs w:val="16"/>
          <w:lang w:val="es-ES"/>
        </w:rPr>
        <w:t xml:space="preserve"> 2013, p</w:t>
      </w:r>
      <w:r>
        <w:rPr>
          <w:rFonts w:asciiTheme="majorHAnsi" w:hAnsiTheme="majorHAnsi" w:cs="Arial"/>
          <w:b w:val="0"/>
          <w:sz w:val="16"/>
          <w:szCs w:val="16"/>
          <w:lang w:val="es-ES"/>
        </w:rPr>
        <w:t>árr.</w:t>
      </w:r>
      <w:r w:rsidRPr="005F06A1">
        <w:rPr>
          <w:rFonts w:asciiTheme="majorHAnsi" w:hAnsiTheme="majorHAnsi" w:cs="Arial"/>
          <w:b w:val="0"/>
          <w:sz w:val="16"/>
          <w:szCs w:val="16"/>
          <w:lang w:val="es-ES"/>
        </w:rPr>
        <w:t xml:space="preserve"> 114.</w:t>
      </w:r>
    </w:p>
  </w:footnote>
  <w:footnote w:id="44">
    <w:p w14:paraId="062A7AAA" w14:textId="69B2A229" w:rsidR="00BE380F" w:rsidRPr="005F06A1" w:rsidRDefault="00BE380F" w:rsidP="0075398D">
      <w:pPr>
        <w:pStyle w:val="FootnoteText"/>
        <w:jc w:val="both"/>
        <w:rPr>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w:t>
      </w:r>
      <w:r w:rsidRPr="00283971">
        <w:rPr>
          <w:rFonts w:asciiTheme="majorHAnsi" w:hAnsiTheme="majorHAnsi"/>
          <w:sz w:val="16"/>
          <w:szCs w:val="16"/>
          <w:lang w:val="es-ES"/>
        </w:rPr>
        <w:t xml:space="preserve">CIDH. </w:t>
      </w:r>
      <w:hyperlink r:id="rId9" w:history="1">
        <w:r w:rsidRPr="00283971">
          <w:rPr>
            <w:rStyle w:val="Hyperlink"/>
            <w:rFonts w:asciiTheme="majorHAnsi" w:hAnsiTheme="majorHAnsi"/>
            <w:i/>
            <w:sz w:val="16"/>
            <w:szCs w:val="16"/>
            <w:lang w:val="es-ES"/>
          </w:rPr>
          <w:t>Violencia contra personas lesbianas, gay, bisexuales, trans e intersex en América</w:t>
        </w:r>
      </w:hyperlink>
      <w:r w:rsidRPr="00283971">
        <w:rPr>
          <w:rFonts w:asciiTheme="majorHAnsi" w:hAnsiTheme="majorHAnsi"/>
          <w:i/>
          <w:sz w:val="16"/>
          <w:szCs w:val="16"/>
          <w:lang w:val="es-ES"/>
        </w:rPr>
        <w:t>.</w:t>
      </w:r>
      <w:r w:rsidRPr="00283971">
        <w:rPr>
          <w:rFonts w:asciiTheme="majorHAnsi" w:hAnsiTheme="majorHAnsi"/>
          <w:sz w:val="16"/>
          <w:szCs w:val="16"/>
          <w:lang w:val="es-ES"/>
        </w:rPr>
        <w:t xml:space="preserve"> OEA/Ser.L/V/II.rev.1, Doc. 36, 12 de noviembre de 2015</w:t>
      </w:r>
      <w:r w:rsidRPr="005F06A1">
        <w:rPr>
          <w:rFonts w:asciiTheme="majorHAnsi" w:hAnsiTheme="majorHAnsi"/>
          <w:sz w:val="16"/>
          <w:szCs w:val="16"/>
          <w:lang w:val="es-ES"/>
        </w:rPr>
        <w:t>, p</w:t>
      </w:r>
      <w:r>
        <w:rPr>
          <w:rFonts w:asciiTheme="majorHAnsi" w:hAnsiTheme="majorHAnsi"/>
          <w:sz w:val="16"/>
          <w:szCs w:val="16"/>
          <w:lang w:val="es-ES"/>
        </w:rPr>
        <w:t>árr.</w:t>
      </w:r>
      <w:r w:rsidRPr="005F06A1">
        <w:rPr>
          <w:rFonts w:asciiTheme="majorHAnsi" w:hAnsiTheme="majorHAnsi"/>
          <w:sz w:val="16"/>
          <w:szCs w:val="16"/>
          <w:lang w:val="es-ES"/>
        </w:rPr>
        <w:t xml:space="preserve"> 85; </w:t>
      </w:r>
      <w:r>
        <w:rPr>
          <w:rFonts w:asciiTheme="majorHAnsi" w:hAnsiTheme="majorHAnsi"/>
          <w:sz w:val="16"/>
          <w:szCs w:val="16"/>
          <w:lang w:val="es-ES"/>
        </w:rPr>
        <w:t xml:space="preserve">véase también </w:t>
      </w:r>
      <w:hyperlink r:id="rId10" w:history="1">
        <w:r w:rsidRPr="00DB793D">
          <w:rPr>
            <w:rStyle w:val="Hyperlink"/>
            <w:rFonts w:asciiTheme="majorHAnsi" w:hAnsiTheme="majorHAnsi"/>
            <w:i/>
            <w:sz w:val="16"/>
            <w:szCs w:val="16"/>
            <w:lang w:val="es-ES"/>
          </w:rPr>
          <w:t>CIDH saluda inconstitucionalidad de la criminalización de relaciones sexuales consentidas entre adultos del mismo sexo en Belice</w:t>
        </w:r>
      </w:hyperlink>
      <w:r w:rsidRPr="00313502">
        <w:rPr>
          <w:rStyle w:val="Hyperlink"/>
          <w:rFonts w:asciiTheme="majorHAnsi" w:hAnsiTheme="majorHAnsi"/>
          <w:i/>
          <w:sz w:val="16"/>
          <w:szCs w:val="16"/>
          <w:u w:val="none"/>
          <w:lang w:val="es-ES"/>
        </w:rPr>
        <w:t>.</w:t>
      </w:r>
      <w:r w:rsidRPr="005F06A1">
        <w:rPr>
          <w:rFonts w:asciiTheme="majorHAnsi" w:hAnsiTheme="majorHAnsi"/>
          <w:sz w:val="16"/>
          <w:szCs w:val="16"/>
          <w:lang w:val="es-ES"/>
        </w:rPr>
        <w:t xml:space="preserve"> 22</w:t>
      </w:r>
      <w:r>
        <w:rPr>
          <w:rFonts w:asciiTheme="majorHAnsi" w:hAnsiTheme="majorHAnsi"/>
          <w:sz w:val="16"/>
          <w:szCs w:val="16"/>
          <w:lang w:val="es-ES"/>
        </w:rPr>
        <w:t xml:space="preserve"> de agosto de</w:t>
      </w:r>
      <w:r w:rsidRPr="005F06A1">
        <w:rPr>
          <w:rFonts w:asciiTheme="majorHAnsi" w:hAnsiTheme="majorHAnsi"/>
          <w:sz w:val="16"/>
          <w:szCs w:val="16"/>
          <w:lang w:val="es-ES"/>
        </w:rPr>
        <w:t xml:space="preserve"> 2016; </w:t>
      </w:r>
      <w:r>
        <w:rPr>
          <w:rFonts w:asciiTheme="majorHAnsi" w:hAnsiTheme="majorHAnsi"/>
          <w:sz w:val="16"/>
          <w:szCs w:val="16"/>
          <w:lang w:val="es-ES"/>
        </w:rPr>
        <w:t xml:space="preserve">CIDH. </w:t>
      </w:r>
      <w:hyperlink r:id="rId11" w:history="1">
        <w:r w:rsidRPr="00DB793D">
          <w:rPr>
            <w:rStyle w:val="Hyperlink"/>
            <w:rFonts w:asciiTheme="majorHAnsi" w:hAnsiTheme="majorHAnsi"/>
            <w:i/>
            <w:sz w:val="16"/>
            <w:szCs w:val="16"/>
            <w:lang w:val="es-ES"/>
          </w:rPr>
          <w:t>Informe sobre la situación de los derechos humanos en Jamaica</w:t>
        </w:r>
      </w:hyperlink>
      <w:r>
        <w:rPr>
          <w:rFonts w:asciiTheme="majorHAnsi" w:hAnsiTheme="majorHAnsi"/>
          <w:sz w:val="16"/>
          <w:szCs w:val="16"/>
          <w:lang w:val="es-ES"/>
        </w:rPr>
        <w:t>.</w:t>
      </w:r>
      <w:r w:rsidRPr="005F06A1">
        <w:rPr>
          <w:rFonts w:asciiTheme="majorHAnsi" w:hAnsiTheme="majorHAnsi"/>
          <w:sz w:val="16"/>
          <w:szCs w:val="16"/>
          <w:lang w:val="es-ES"/>
        </w:rPr>
        <w:t xml:space="preserve"> </w:t>
      </w:r>
      <w:r w:rsidRPr="00293FA6">
        <w:rPr>
          <w:rFonts w:asciiTheme="majorHAnsi" w:hAnsiTheme="majorHAnsi"/>
          <w:sz w:val="16"/>
          <w:szCs w:val="16"/>
          <w:lang w:val="pt-BR"/>
        </w:rPr>
        <w:t xml:space="preserve">OEA/Ser.L/V/II.144 Doc. 12, 10 de agosto de 2012, párr. </w:t>
      </w:r>
      <w:r w:rsidRPr="005F06A1">
        <w:rPr>
          <w:rFonts w:asciiTheme="majorHAnsi" w:hAnsiTheme="majorHAnsi"/>
          <w:sz w:val="16"/>
          <w:szCs w:val="16"/>
          <w:lang w:val="es-ES"/>
        </w:rPr>
        <w:t xml:space="preserve">271; </w:t>
      </w:r>
      <w:r w:rsidRPr="00DB793D">
        <w:rPr>
          <w:rFonts w:asciiTheme="majorHAnsi" w:hAnsiTheme="majorHAnsi"/>
          <w:sz w:val="16"/>
          <w:szCs w:val="16"/>
          <w:lang w:val="es-ES"/>
        </w:rPr>
        <w:t xml:space="preserve">CIDH. </w:t>
      </w:r>
      <w:hyperlink r:id="rId12" w:history="1">
        <w:r w:rsidRPr="00DB793D">
          <w:rPr>
            <w:rStyle w:val="Hyperlink"/>
            <w:rFonts w:asciiTheme="majorHAnsi" w:hAnsiTheme="majorHAnsi"/>
            <w:i/>
            <w:sz w:val="16"/>
            <w:szCs w:val="16"/>
            <w:lang w:val="es-ES"/>
          </w:rPr>
          <w:t>Criminalización de defensoras y defensores de derechos humanos</w:t>
        </w:r>
      </w:hyperlink>
      <w:r w:rsidRPr="00DB793D">
        <w:rPr>
          <w:rFonts w:asciiTheme="majorHAnsi" w:hAnsiTheme="majorHAnsi"/>
          <w:sz w:val="16"/>
          <w:szCs w:val="16"/>
          <w:lang w:val="es-ES"/>
        </w:rPr>
        <w:t>. OEA/Ser.L/V/II.Doc.49/15, 31 de diciembre del 2015</w:t>
      </w:r>
      <w:r w:rsidRPr="005F06A1">
        <w:rPr>
          <w:rFonts w:asciiTheme="majorHAnsi" w:hAnsiTheme="majorHAnsi"/>
          <w:sz w:val="16"/>
          <w:szCs w:val="16"/>
          <w:lang w:val="es-ES"/>
        </w:rPr>
        <w:t>, p</w:t>
      </w:r>
      <w:r>
        <w:rPr>
          <w:rFonts w:asciiTheme="majorHAnsi" w:hAnsiTheme="majorHAnsi"/>
          <w:sz w:val="16"/>
          <w:szCs w:val="16"/>
          <w:lang w:val="es-ES"/>
        </w:rPr>
        <w:t>árr</w:t>
      </w:r>
      <w:r w:rsidRPr="005F06A1">
        <w:rPr>
          <w:rFonts w:asciiTheme="majorHAnsi" w:hAnsiTheme="majorHAnsi"/>
          <w:sz w:val="16"/>
          <w:szCs w:val="16"/>
          <w:lang w:val="es-ES"/>
        </w:rPr>
        <w:t>.</w:t>
      </w:r>
      <w:r>
        <w:rPr>
          <w:rFonts w:asciiTheme="majorHAnsi" w:hAnsiTheme="majorHAnsi"/>
          <w:sz w:val="16"/>
          <w:szCs w:val="16"/>
          <w:lang w:val="es-ES"/>
        </w:rPr>
        <w:t xml:space="preserve"> </w:t>
      </w:r>
      <w:r w:rsidRPr="005F06A1">
        <w:rPr>
          <w:rFonts w:asciiTheme="majorHAnsi" w:hAnsiTheme="majorHAnsi"/>
          <w:sz w:val="16"/>
          <w:szCs w:val="16"/>
          <w:lang w:val="es-ES"/>
        </w:rPr>
        <w:t xml:space="preserve">163. </w:t>
      </w:r>
    </w:p>
  </w:footnote>
  <w:footnote w:id="45">
    <w:p w14:paraId="5B726DC4" w14:textId="5C3E92B6" w:rsidR="00BE380F" w:rsidRPr="00353EED"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Pr>
          <w:rFonts w:asciiTheme="majorHAnsi" w:hAnsiTheme="majorHAnsi"/>
          <w:sz w:val="16"/>
          <w:szCs w:val="16"/>
          <w:lang w:val="es-ES"/>
        </w:rPr>
        <w:t xml:space="preserve"> Comité de Derechos Humanos.</w:t>
      </w:r>
      <w:r w:rsidRPr="00293FA6">
        <w:rPr>
          <w:rFonts w:ascii="Times New Roman" w:eastAsia="Arial Unicode MS" w:hAnsi="Times New Roman" w:cs="Times New Roman"/>
          <w:sz w:val="27"/>
          <w:szCs w:val="27"/>
          <w:shd w:val="clear" w:color="auto" w:fill="FFFFFF"/>
          <w:lang w:val="es-VE" w:eastAsia="en-US"/>
        </w:rPr>
        <w:t xml:space="preserve"> </w:t>
      </w:r>
      <w:hyperlink r:id="rId13" w:history="1">
        <w:r w:rsidRPr="00A34111">
          <w:rPr>
            <w:rStyle w:val="Hyperlink"/>
            <w:rFonts w:asciiTheme="majorHAnsi" w:hAnsiTheme="majorHAnsi"/>
            <w:i/>
            <w:sz w:val="16"/>
            <w:szCs w:val="16"/>
            <w:lang w:val="es-ES"/>
          </w:rPr>
          <w:t>Toonen v. Australia</w:t>
        </w:r>
      </w:hyperlink>
      <w:r>
        <w:rPr>
          <w:rFonts w:asciiTheme="majorHAnsi" w:hAnsiTheme="majorHAnsi"/>
          <w:sz w:val="16"/>
          <w:szCs w:val="16"/>
          <w:lang w:val="es-ES"/>
        </w:rPr>
        <w:t>.</w:t>
      </w:r>
      <w:r w:rsidRPr="005F06A1">
        <w:rPr>
          <w:rFonts w:asciiTheme="majorHAnsi" w:hAnsiTheme="majorHAnsi"/>
          <w:sz w:val="16"/>
          <w:szCs w:val="16"/>
          <w:lang w:val="es-ES"/>
        </w:rPr>
        <w:t xml:space="preserve"> </w:t>
      </w:r>
      <w:r w:rsidRPr="00A34111">
        <w:rPr>
          <w:rFonts w:asciiTheme="majorHAnsi" w:hAnsiTheme="majorHAnsi"/>
          <w:sz w:val="16"/>
          <w:szCs w:val="16"/>
          <w:lang w:val="es-ES"/>
        </w:rPr>
        <w:t>Comunicación</w:t>
      </w:r>
      <w:r w:rsidRPr="00293FA6">
        <w:rPr>
          <w:rFonts w:asciiTheme="majorHAnsi" w:hAnsiTheme="majorHAnsi"/>
          <w:sz w:val="16"/>
          <w:szCs w:val="16"/>
          <w:lang w:val="es-VE"/>
        </w:rPr>
        <w:t xml:space="preserve"> No. 488/1992.</w:t>
      </w:r>
      <w:r w:rsidRPr="00A34111">
        <w:rPr>
          <w:rFonts w:asciiTheme="majorHAnsi" w:hAnsiTheme="majorHAnsi"/>
          <w:sz w:val="16"/>
          <w:szCs w:val="16"/>
          <w:lang w:val="es-ES"/>
        </w:rPr>
        <w:t xml:space="preserve"> </w:t>
      </w:r>
      <w:r w:rsidRPr="005F06A1">
        <w:rPr>
          <w:rFonts w:asciiTheme="majorHAnsi" w:hAnsiTheme="majorHAnsi"/>
          <w:sz w:val="16"/>
          <w:szCs w:val="16"/>
          <w:lang w:val="es-ES"/>
        </w:rPr>
        <w:t>31</w:t>
      </w:r>
      <w:r>
        <w:rPr>
          <w:rFonts w:asciiTheme="majorHAnsi" w:hAnsiTheme="majorHAnsi"/>
          <w:sz w:val="16"/>
          <w:szCs w:val="16"/>
          <w:lang w:val="es-ES"/>
        </w:rPr>
        <w:t xml:space="preserve">, </w:t>
      </w:r>
      <w:r w:rsidRPr="00A34111">
        <w:rPr>
          <w:rFonts w:asciiTheme="majorHAnsi" w:hAnsiTheme="majorHAnsi"/>
          <w:sz w:val="16"/>
          <w:szCs w:val="16"/>
          <w:lang w:val="es-ES"/>
        </w:rPr>
        <w:t>CCPR/C/50/D/488/1992</w:t>
      </w:r>
      <w:r>
        <w:rPr>
          <w:rFonts w:asciiTheme="majorHAnsi" w:hAnsiTheme="majorHAnsi"/>
          <w:sz w:val="16"/>
          <w:szCs w:val="16"/>
          <w:lang w:val="es-ES"/>
        </w:rPr>
        <w:t xml:space="preserve">, marzo de </w:t>
      </w:r>
      <w:r w:rsidRPr="005F06A1">
        <w:rPr>
          <w:rFonts w:asciiTheme="majorHAnsi" w:hAnsiTheme="majorHAnsi"/>
          <w:sz w:val="16"/>
          <w:szCs w:val="16"/>
          <w:lang w:val="es-ES"/>
        </w:rPr>
        <w:t>1994, p</w:t>
      </w:r>
      <w:r>
        <w:rPr>
          <w:rFonts w:asciiTheme="majorHAnsi" w:hAnsiTheme="majorHAnsi"/>
          <w:sz w:val="16"/>
          <w:szCs w:val="16"/>
          <w:lang w:val="es-ES"/>
        </w:rPr>
        <w:t>árr.</w:t>
      </w:r>
      <w:r w:rsidRPr="005F06A1">
        <w:rPr>
          <w:rFonts w:asciiTheme="majorHAnsi" w:hAnsiTheme="majorHAnsi"/>
          <w:sz w:val="16"/>
          <w:szCs w:val="16"/>
          <w:lang w:val="es-ES"/>
        </w:rPr>
        <w:t xml:space="preserve"> 8.2; </w:t>
      </w:r>
      <w:r>
        <w:rPr>
          <w:rFonts w:asciiTheme="majorHAnsi" w:hAnsiTheme="majorHAnsi"/>
          <w:sz w:val="16"/>
          <w:szCs w:val="16"/>
          <w:lang w:val="es-ES"/>
        </w:rPr>
        <w:t xml:space="preserve">véase también Comité de Derechos Humanos. </w:t>
      </w:r>
      <w:hyperlink r:id="rId14" w:history="1">
        <w:r w:rsidRPr="00561FAC">
          <w:rPr>
            <w:rStyle w:val="Hyperlink"/>
            <w:rFonts w:asciiTheme="majorHAnsi" w:hAnsiTheme="majorHAnsi"/>
            <w:i/>
            <w:sz w:val="16"/>
            <w:szCs w:val="16"/>
            <w:lang w:val="es-ES"/>
          </w:rPr>
          <w:t>Observaciones finales sobre el informe inicial de Sierra Leona</w:t>
        </w:r>
      </w:hyperlink>
      <w:r>
        <w:rPr>
          <w:rFonts w:asciiTheme="majorHAnsi" w:hAnsiTheme="majorHAnsi"/>
          <w:sz w:val="16"/>
          <w:szCs w:val="16"/>
          <w:lang w:val="es-ES"/>
        </w:rPr>
        <w:t>.</w:t>
      </w:r>
      <w:r w:rsidRPr="005F06A1">
        <w:rPr>
          <w:rFonts w:asciiTheme="majorHAnsi" w:hAnsiTheme="majorHAnsi"/>
          <w:sz w:val="16"/>
          <w:szCs w:val="16"/>
          <w:lang w:val="es-ES"/>
        </w:rPr>
        <w:t xml:space="preserve"> </w:t>
      </w:r>
      <w:r w:rsidRPr="00353EED">
        <w:rPr>
          <w:rFonts w:asciiTheme="majorHAnsi" w:hAnsiTheme="majorHAnsi"/>
          <w:sz w:val="16"/>
          <w:szCs w:val="16"/>
          <w:lang w:val="es-ES"/>
        </w:rPr>
        <w:t xml:space="preserve">17 de abril de 2014, CCPR/C/SLE/CO/1, párr. 11. </w:t>
      </w:r>
    </w:p>
  </w:footnote>
  <w:footnote w:id="46">
    <w:p w14:paraId="1E425BCC" w14:textId="31FF4A77" w:rsidR="00BE380F" w:rsidRPr="005F06A1" w:rsidRDefault="00BE380F" w:rsidP="0075398D">
      <w:pPr>
        <w:pStyle w:val="FootnoteText"/>
        <w:jc w:val="both"/>
        <w:rPr>
          <w:rFonts w:ascii="Cambria" w:hAnsi="Cambria"/>
          <w:sz w:val="16"/>
          <w:szCs w:val="16"/>
          <w:lang w:val="es-ES"/>
        </w:rPr>
      </w:pPr>
      <w:r w:rsidRPr="005F06A1">
        <w:rPr>
          <w:rStyle w:val="FootnoteReference"/>
          <w:rFonts w:ascii="Cambria" w:hAnsi="Cambria"/>
          <w:sz w:val="16"/>
          <w:szCs w:val="16"/>
          <w:lang w:val="es-ES"/>
        </w:rPr>
        <w:footnoteRef/>
      </w:r>
      <w:r w:rsidRPr="007019EF">
        <w:rPr>
          <w:rFonts w:ascii="Cambria" w:hAnsi="Cambria"/>
          <w:sz w:val="16"/>
          <w:szCs w:val="16"/>
          <w:lang w:val="es-ES"/>
        </w:rPr>
        <w:t xml:space="preserve"> </w:t>
      </w:r>
      <w:hyperlink r:id="rId15" w:history="1">
        <w:r w:rsidRPr="007019EF">
          <w:rPr>
            <w:rFonts w:asciiTheme="majorHAnsi" w:hAnsiTheme="majorHAnsi"/>
            <w:sz w:val="16"/>
            <w:szCs w:val="16"/>
            <w:lang w:val="es-ES"/>
          </w:rPr>
          <w:t>UN Independent Expert on Protection against violence and discrimination based on sexual orientation and gender identity</w:t>
        </w:r>
      </w:hyperlink>
      <w:r w:rsidRPr="007019EF">
        <w:rPr>
          <w:rFonts w:asciiTheme="majorHAnsi" w:hAnsiTheme="majorHAnsi"/>
          <w:sz w:val="16"/>
          <w:szCs w:val="16"/>
          <w:lang w:val="es-ES"/>
        </w:rPr>
        <w:t>.</w:t>
      </w:r>
      <w:r w:rsidRPr="007019EF">
        <w:rPr>
          <w:rFonts w:ascii="Cambria" w:hAnsi="Cambria"/>
          <w:sz w:val="16"/>
          <w:szCs w:val="16"/>
          <w:lang w:val="es-ES"/>
        </w:rPr>
        <w:t xml:space="preserve"> </w:t>
      </w:r>
      <w:hyperlink r:id="rId16" w:history="1">
        <w:r w:rsidRPr="00293FA6">
          <w:rPr>
            <w:rStyle w:val="Hyperlink"/>
            <w:rFonts w:ascii="Cambria" w:hAnsi="Cambria"/>
            <w:i/>
            <w:sz w:val="16"/>
            <w:szCs w:val="16"/>
          </w:rPr>
          <w:t>Botswana ruling to decriminalize same-sex relations a landmark, says UN expert</w:t>
        </w:r>
      </w:hyperlink>
      <w:r w:rsidRPr="00293FA6">
        <w:rPr>
          <w:rFonts w:ascii="Cambria" w:hAnsi="Cambria"/>
          <w:sz w:val="16"/>
          <w:szCs w:val="16"/>
        </w:rPr>
        <w:t xml:space="preserve">. </w:t>
      </w:r>
      <w:r w:rsidRPr="005F06A1">
        <w:rPr>
          <w:rFonts w:ascii="Cambria" w:hAnsi="Cambria"/>
          <w:sz w:val="16"/>
          <w:szCs w:val="16"/>
          <w:lang w:val="es-ES"/>
        </w:rPr>
        <w:t xml:space="preserve">11 </w:t>
      </w:r>
      <w:r>
        <w:rPr>
          <w:rFonts w:ascii="Cambria" w:hAnsi="Cambria"/>
          <w:sz w:val="16"/>
          <w:szCs w:val="16"/>
          <w:lang w:val="es-ES"/>
        </w:rPr>
        <w:t xml:space="preserve">de junio de </w:t>
      </w:r>
      <w:r w:rsidRPr="005F06A1">
        <w:rPr>
          <w:rFonts w:ascii="Cambria" w:hAnsi="Cambria"/>
          <w:sz w:val="16"/>
          <w:szCs w:val="16"/>
          <w:lang w:val="es-ES"/>
        </w:rPr>
        <w:t>2019.</w:t>
      </w:r>
    </w:p>
  </w:footnote>
  <w:footnote w:id="47">
    <w:p w14:paraId="72C8558E" w14:textId="4DB5F7B1" w:rsidR="00BE380F" w:rsidRPr="005F06A1" w:rsidRDefault="00BE380F" w:rsidP="0075398D">
      <w:pPr>
        <w:pStyle w:val="FootnoteText"/>
        <w:jc w:val="both"/>
        <w:rPr>
          <w:rFonts w:ascii="Cambria" w:hAnsi="Cambria"/>
          <w:sz w:val="16"/>
          <w:szCs w:val="16"/>
          <w:lang w:val="es-ES"/>
        </w:rPr>
      </w:pPr>
      <w:r w:rsidRPr="005F06A1">
        <w:rPr>
          <w:rStyle w:val="FootnoteReference"/>
          <w:rFonts w:ascii="Cambria" w:hAnsi="Cambria"/>
          <w:sz w:val="16"/>
          <w:szCs w:val="16"/>
          <w:lang w:val="es-ES"/>
        </w:rPr>
        <w:footnoteRef/>
      </w:r>
      <w:r w:rsidRPr="005F06A1">
        <w:rPr>
          <w:rFonts w:ascii="Cambria" w:hAnsi="Cambria"/>
          <w:sz w:val="16"/>
          <w:szCs w:val="16"/>
          <w:lang w:val="es-ES"/>
        </w:rPr>
        <w:t xml:space="preserve"> </w:t>
      </w:r>
      <w:r>
        <w:rPr>
          <w:rFonts w:ascii="Cambria" w:hAnsi="Cambria"/>
          <w:sz w:val="16"/>
          <w:szCs w:val="16"/>
          <w:lang w:val="es-ES"/>
        </w:rPr>
        <w:t>Consejo de Derechos Humano</w:t>
      </w:r>
      <w:r w:rsidRPr="00072575">
        <w:rPr>
          <w:rFonts w:ascii="Cambria" w:hAnsi="Cambria"/>
          <w:sz w:val="16"/>
          <w:szCs w:val="16"/>
          <w:lang w:val="es-ES"/>
        </w:rPr>
        <w:t xml:space="preserve">s. </w:t>
      </w:r>
      <w:hyperlink r:id="rId17" w:history="1">
        <w:r w:rsidRPr="00072575">
          <w:rPr>
            <w:rStyle w:val="Hyperlink"/>
            <w:rFonts w:ascii="Cambria" w:hAnsi="Cambria"/>
            <w:i/>
            <w:sz w:val="16"/>
            <w:szCs w:val="16"/>
            <w:lang w:val="es-ES"/>
          </w:rPr>
          <w:t>Leyes y prácticas discriminatorias y actos de violencia cometidos contra personas por su orientación sexual e identidad de género. Informe del Alto Comisionado de las Naciones Unidas para los Derechos Humanos</w:t>
        </w:r>
      </w:hyperlink>
      <w:r>
        <w:rPr>
          <w:rFonts w:ascii="Cambria" w:hAnsi="Cambria"/>
          <w:sz w:val="16"/>
          <w:szCs w:val="16"/>
          <w:lang w:val="es-ES"/>
        </w:rPr>
        <w:t>.</w:t>
      </w:r>
      <w:r w:rsidRPr="005F06A1">
        <w:rPr>
          <w:rFonts w:ascii="Cambria" w:hAnsi="Cambria"/>
          <w:sz w:val="16"/>
          <w:szCs w:val="16"/>
          <w:lang w:val="es-ES"/>
        </w:rPr>
        <w:t xml:space="preserve"> A/HRC/19/41, 17 </w:t>
      </w:r>
      <w:r>
        <w:rPr>
          <w:rFonts w:ascii="Cambria" w:hAnsi="Cambria"/>
          <w:sz w:val="16"/>
          <w:szCs w:val="16"/>
          <w:lang w:val="es-ES"/>
        </w:rPr>
        <w:t xml:space="preserve">de noviembre de </w:t>
      </w:r>
      <w:r w:rsidRPr="005F06A1">
        <w:rPr>
          <w:rFonts w:ascii="Cambria" w:hAnsi="Cambria"/>
          <w:sz w:val="16"/>
          <w:szCs w:val="16"/>
          <w:lang w:val="es-ES"/>
        </w:rPr>
        <w:t>2011, p</w:t>
      </w:r>
      <w:r>
        <w:rPr>
          <w:rFonts w:ascii="Cambria" w:hAnsi="Cambria"/>
          <w:sz w:val="16"/>
          <w:szCs w:val="16"/>
          <w:lang w:val="es-ES"/>
        </w:rPr>
        <w:t>árrs.</w:t>
      </w:r>
      <w:r w:rsidRPr="005F06A1">
        <w:rPr>
          <w:rFonts w:ascii="Cambria" w:hAnsi="Cambria"/>
          <w:sz w:val="16"/>
          <w:szCs w:val="16"/>
          <w:lang w:val="es-ES"/>
        </w:rPr>
        <w:t xml:space="preserve"> 41</w:t>
      </w:r>
      <w:r>
        <w:rPr>
          <w:rFonts w:ascii="Cambria" w:hAnsi="Cambria"/>
          <w:sz w:val="16"/>
          <w:szCs w:val="16"/>
          <w:lang w:val="es-ES"/>
        </w:rPr>
        <w:t xml:space="preserve"> y</w:t>
      </w:r>
      <w:r w:rsidRPr="005F06A1">
        <w:rPr>
          <w:rFonts w:ascii="Cambria" w:hAnsi="Cambria"/>
          <w:sz w:val="16"/>
          <w:szCs w:val="16"/>
          <w:lang w:val="es-ES"/>
        </w:rPr>
        <w:t xml:space="preserve"> 42; </w:t>
      </w:r>
      <w:hyperlink r:id="rId18" w:history="1">
        <w:r w:rsidRPr="00072575">
          <w:rPr>
            <w:rStyle w:val="Hyperlink"/>
            <w:rFonts w:ascii="Cambria" w:hAnsi="Cambria"/>
            <w:i/>
            <w:sz w:val="16"/>
            <w:szCs w:val="16"/>
            <w:lang w:val="es-ES"/>
          </w:rPr>
          <w:t>Discriminación y violencia contra las personas por motivos de orientación sexual e identidad de género. Informe de la Oficina del Alto Comisionado de las Naciones Unidas para los Derechos Humanos</w:t>
        </w:r>
      </w:hyperlink>
      <w:r>
        <w:rPr>
          <w:rFonts w:ascii="Cambria" w:hAnsi="Cambria"/>
          <w:sz w:val="16"/>
          <w:szCs w:val="16"/>
          <w:lang w:val="es-ES"/>
        </w:rPr>
        <w:t>.</w:t>
      </w:r>
      <w:r w:rsidRPr="005F06A1">
        <w:rPr>
          <w:rFonts w:ascii="Cambria" w:hAnsi="Cambria"/>
          <w:sz w:val="16"/>
          <w:szCs w:val="16"/>
          <w:lang w:val="es-ES"/>
        </w:rPr>
        <w:t xml:space="preserve"> A/HRC/29/23, 4 </w:t>
      </w:r>
      <w:r>
        <w:rPr>
          <w:rFonts w:ascii="Cambria" w:hAnsi="Cambria"/>
          <w:sz w:val="16"/>
          <w:szCs w:val="16"/>
          <w:lang w:val="es-ES"/>
        </w:rPr>
        <w:t xml:space="preserve">de mayo de </w:t>
      </w:r>
      <w:r w:rsidRPr="005F06A1">
        <w:rPr>
          <w:rFonts w:ascii="Cambria" w:hAnsi="Cambria"/>
          <w:sz w:val="16"/>
          <w:szCs w:val="16"/>
          <w:lang w:val="es-ES"/>
        </w:rPr>
        <w:t>2015, p</w:t>
      </w:r>
      <w:r>
        <w:rPr>
          <w:rFonts w:ascii="Cambria" w:hAnsi="Cambria"/>
          <w:sz w:val="16"/>
          <w:szCs w:val="16"/>
          <w:lang w:val="es-ES"/>
        </w:rPr>
        <w:t xml:space="preserve">árr. </w:t>
      </w:r>
      <w:r w:rsidRPr="005F06A1">
        <w:rPr>
          <w:rFonts w:ascii="Cambria" w:hAnsi="Cambria"/>
          <w:sz w:val="16"/>
          <w:szCs w:val="16"/>
          <w:lang w:val="es-ES"/>
        </w:rPr>
        <w:t xml:space="preserve">43; </w:t>
      </w:r>
      <w:r>
        <w:rPr>
          <w:rFonts w:ascii="Cambria" w:hAnsi="Cambria"/>
          <w:sz w:val="16"/>
          <w:szCs w:val="16"/>
          <w:lang w:val="es-ES"/>
        </w:rPr>
        <w:t xml:space="preserve">véase también </w:t>
      </w:r>
      <w:hyperlink r:id="rId19" w:history="1">
        <w:r w:rsidRPr="00072575">
          <w:rPr>
            <w:rStyle w:val="Hyperlink"/>
            <w:rFonts w:ascii="Cambria" w:hAnsi="Cambria"/>
            <w:i/>
            <w:sz w:val="16"/>
            <w:szCs w:val="16"/>
            <w:lang w:val="es-ES"/>
          </w:rPr>
          <w:t>Informe del Relator Especial sobre la libertad de religión o de creencias, Heiner Bielefeldt</w:t>
        </w:r>
      </w:hyperlink>
      <w:r w:rsidRPr="00293FA6">
        <w:rPr>
          <w:rFonts w:ascii="Cambria" w:hAnsi="Cambria"/>
          <w:sz w:val="16"/>
          <w:szCs w:val="16"/>
          <w:lang w:val="es-VE"/>
        </w:rPr>
        <w:t>.</w:t>
      </w:r>
      <w:r w:rsidRPr="005F06A1">
        <w:rPr>
          <w:rFonts w:ascii="Cambria" w:hAnsi="Cambria"/>
          <w:sz w:val="16"/>
          <w:szCs w:val="16"/>
          <w:lang w:val="es-ES"/>
        </w:rPr>
        <w:t xml:space="preserve"> A/HRC//28/66, 29 </w:t>
      </w:r>
      <w:r>
        <w:rPr>
          <w:rFonts w:ascii="Cambria" w:hAnsi="Cambria"/>
          <w:sz w:val="16"/>
          <w:szCs w:val="16"/>
          <w:lang w:val="es-ES"/>
        </w:rPr>
        <w:t xml:space="preserve">de diciembre de </w:t>
      </w:r>
      <w:r w:rsidRPr="005F06A1">
        <w:rPr>
          <w:rFonts w:ascii="Cambria" w:hAnsi="Cambria"/>
          <w:sz w:val="16"/>
          <w:szCs w:val="16"/>
          <w:lang w:val="es-ES"/>
        </w:rPr>
        <w:t>2014, p</w:t>
      </w:r>
      <w:r>
        <w:rPr>
          <w:rFonts w:ascii="Cambria" w:hAnsi="Cambria"/>
          <w:sz w:val="16"/>
          <w:szCs w:val="16"/>
          <w:lang w:val="es-ES"/>
        </w:rPr>
        <w:t>árr.</w:t>
      </w:r>
      <w:r w:rsidRPr="005F06A1">
        <w:rPr>
          <w:rFonts w:ascii="Cambria" w:hAnsi="Cambria"/>
          <w:sz w:val="16"/>
          <w:szCs w:val="16"/>
          <w:lang w:val="es-ES"/>
        </w:rPr>
        <w:t xml:space="preserve"> 42.</w:t>
      </w:r>
    </w:p>
  </w:footnote>
  <w:footnote w:id="48">
    <w:p w14:paraId="0A872E7D" w14:textId="0FDD104A" w:rsidR="00BE380F" w:rsidRPr="005F06A1" w:rsidRDefault="00BE380F" w:rsidP="0075398D">
      <w:pPr>
        <w:pStyle w:val="FootnoteText"/>
        <w:jc w:val="both"/>
        <w:rPr>
          <w:rFonts w:ascii="Cambria" w:hAnsi="Cambria"/>
          <w:sz w:val="16"/>
          <w:szCs w:val="16"/>
          <w:lang w:val="es-ES"/>
        </w:rPr>
      </w:pPr>
      <w:r w:rsidRPr="005F06A1">
        <w:rPr>
          <w:rStyle w:val="FootnoteReference"/>
          <w:rFonts w:ascii="Cambria" w:hAnsi="Cambria"/>
          <w:sz w:val="16"/>
          <w:szCs w:val="16"/>
          <w:lang w:val="es-ES"/>
        </w:rPr>
        <w:footnoteRef/>
      </w:r>
      <w:r>
        <w:rPr>
          <w:rFonts w:ascii="Cambria" w:hAnsi="Cambria"/>
          <w:sz w:val="16"/>
          <w:szCs w:val="16"/>
          <w:lang w:val="es-ES"/>
        </w:rPr>
        <w:t xml:space="preserve"> Naciones Unidas. </w:t>
      </w:r>
      <w:hyperlink r:id="rId20" w:history="1">
        <w:r w:rsidRPr="00D71773">
          <w:rPr>
            <w:rStyle w:val="Hyperlink"/>
            <w:rFonts w:ascii="Cambria" w:hAnsi="Cambria"/>
            <w:i/>
            <w:sz w:val="16"/>
            <w:szCs w:val="16"/>
            <w:lang w:val="es-ES"/>
          </w:rPr>
          <w:t>Vivir libres e iguales. Qué están haciendo los Estados para abordar la violencia y discriminación contra las personas lesbianas, gays, bisexuales, transgénero e intersex</w:t>
        </w:r>
      </w:hyperlink>
      <w:r>
        <w:rPr>
          <w:rFonts w:ascii="Cambria" w:hAnsi="Cambria"/>
          <w:sz w:val="16"/>
          <w:szCs w:val="16"/>
          <w:lang w:val="es-ES"/>
        </w:rPr>
        <w:t xml:space="preserve">. Pág. </w:t>
      </w:r>
      <w:r w:rsidRPr="005F06A1">
        <w:rPr>
          <w:rFonts w:ascii="Cambria" w:hAnsi="Cambria"/>
          <w:sz w:val="16"/>
          <w:szCs w:val="16"/>
          <w:lang w:val="es-ES"/>
        </w:rPr>
        <w:t>5</w:t>
      </w:r>
      <w:r>
        <w:rPr>
          <w:rFonts w:ascii="Cambria" w:hAnsi="Cambria"/>
          <w:sz w:val="16"/>
          <w:szCs w:val="16"/>
          <w:lang w:val="es-ES"/>
        </w:rPr>
        <w:t>9</w:t>
      </w:r>
      <w:r w:rsidRPr="005F06A1">
        <w:rPr>
          <w:rFonts w:ascii="Cambria" w:hAnsi="Cambria"/>
          <w:sz w:val="16"/>
          <w:szCs w:val="16"/>
          <w:lang w:val="es-ES"/>
        </w:rPr>
        <w:t>.</w:t>
      </w:r>
    </w:p>
  </w:footnote>
  <w:footnote w:id="49">
    <w:p w14:paraId="7F0F154C" w14:textId="022484EF" w:rsidR="00BE380F" w:rsidRPr="005F06A1" w:rsidRDefault="00BE380F" w:rsidP="0075398D">
      <w:pPr>
        <w:pStyle w:val="FootnoteText"/>
        <w:jc w:val="both"/>
        <w:rPr>
          <w:rFonts w:ascii="Cambria" w:hAnsi="Cambria"/>
          <w:sz w:val="16"/>
          <w:szCs w:val="16"/>
          <w:lang w:val="es-ES"/>
        </w:rPr>
      </w:pPr>
      <w:r w:rsidRPr="005F06A1">
        <w:rPr>
          <w:rStyle w:val="FootnoteReference"/>
          <w:rFonts w:ascii="Cambria" w:hAnsi="Cambria"/>
          <w:sz w:val="16"/>
          <w:szCs w:val="16"/>
          <w:lang w:val="es-ES"/>
        </w:rPr>
        <w:footnoteRef/>
      </w:r>
      <w:r w:rsidRPr="005F06A1">
        <w:rPr>
          <w:rFonts w:ascii="Cambria" w:hAnsi="Cambria"/>
          <w:sz w:val="16"/>
          <w:szCs w:val="16"/>
          <w:lang w:val="es-ES"/>
        </w:rPr>
        <w:t xml:space="preserve"> </w:t>
      </w:r>
      <w:r w:rsidRPr="00D71773">
        <w:rPr>
          <w:rFonts w:ascii="Cambria" w:hAnsi="Cambria"/>
          <w:sz w:val="16"/>
          <w:szCs w:val="16"/>
          <w:lang w:val="es-ES"/>
        </w:rPr>
        <w:t>Consejo de Derechos Humanos</w:t>
      </w:r>
      <w:r>
        <w:rPr>
          <w:rFonts w:ascii="Cambria" w:hAnsi="Cambria"/>
          <w:sz w:val="16"/>
          <w:szCs w:val="16"/>
          <w:lang w:val="es-ES"/>
        </w:rPr>
        <w:t xml:space="preserve">. </w:t>
      </w:r>
      <w:hyperlink r:id="rId21" w:history="1">
        <w:r w:rsidRPr="00D71773">
          <w:rPr>
            <w:rStyle w:val="Hyperlink"/>
            <w:rFonts w:ascii="Cambria" w:hAnsi="Cambria"/>
            <w:i/>
            <w:sz w:val="16"/>
            <w:szCs w:val="16"/>
            <w:lang w:val="es-ES"/>
          </w:rPr>
          <w:t>Informe del Relator Especial sobre la tortura y otros tratos o penas crueles, inhumanos o degradantes</w:t>
        </w:r>
      </w:hyperlink>
      <w:r>
        <w:rPr>
          <w:rFonts w:ascii="Cambria" w:hAnsi="Cambria"/>
          <w:sz w:val="16"/>
          <w:szCs w:val="16"/>
          <w:lang w:val="es-ES"/>
        </w:rPr>
        <w:t>.</w:t>
      </w:r>
      <w:r w:rsidRPr="005F06A1">
        <w:rPr>
          <w:rFonts w:ascii="Cambria" w:hAnsi="Cambria"/>
          <w:sz w:val="16"/>
          <w:szCs w:val="16"/>
          <w:lang w:val="es-ES"/>
        </w:rPr>
        <w:t xml:space="preserve"> A/HRC/31/57, p</w:t>
      </w:r>
      <w:r>
        <w:rPr>
          <w:rFonts w:ascii="Cambria" w:hAnsi="Cambria"/>
          <w:sz w:val="16"/>
          <w:szCs w:val="16"/>
          <w:lang w:val="es-ES"/>
        </w:rPr>
        <w:t>árr</w:t>
      </w:r>
      <w:r w:rsidRPr="005F06A1">
        <w:rPr>
          <w:rFonts w:ascii="Cambria" w:hAnsi="Cambria"/>
          <w:sz w:val="16"/>
          <w:szCs w:val="16"/>
          <w:lang w:val="es-ES"/>
        </w:rPr>
        <w:t xml:space="preserve">. 15. </w:t>
      </w:r>
      <w:r>
        <w:rPr>
          <w:rFonts w:ascii="Cambria" w:hAnsi="Cambria"/>
          <w:sz w:val="16"/>
          <w:szCs w:val="16"/>
          <w:lang w:val="es-ES"/>
        </w:rPr>
        <w:t xml:space="preserve">Véase también </w:t>
      </w:r>
      <w:hyperlink r:id="rId22" w:history="1">
        <w:r w:rsidRPr="00BA7C29">
          <w:rPr>
            <w:rStyle w:val="Hyperlink"/>
            <w:rFonts w:ascii="Cambria" w:hAnsi="Cambria"/>
            <w:i/>
            <w:sz w:val="16"/>
            <w:szCs w:val="16"/>
            <w:lang w:val="es-ES"/>
          </w:rPr>
          <w:t>Press release on the implications of the anti-homosexuality Act on the work of Human Rights Defenders in the Republic of Uganda</w:t>
        </w:r>
      </w:hyperlink>
      <w:r w:rsidRPr="00BA7C29">
        <w:rPr>
          <w:rFonts w:ascii="Cambria" w:hAnsi="Cambria"/>
          <w:sz w:val="16"/>
          <w:szCs w:val="16"/>
          <w:lang w:val="es-ES"/>
        </w:rPr>
        <w:t xml:space="preserve">, Relatora Especial sobre los Defensores de los Derechos Humanos </w:t>
      </w:r>
      <w:r>
        <w:rPr>
          <w:rFonts w:ascii="Cambria" w:hAnsi="Cambria"/>
          <w:sz w:val="16"/>
          <w:szCs w:val="16"/>
          <w:lang w:val="es-ES"/>
        </w:rPr>
        <w:t xml:space="preserve">de la </w:t>
      </w:r>
      <w:r w:rsidRPr="00BA7C29">
        <w:rPr>
          <w:rFonts w:ascii="Cambria" w:hAnsi="Cambria"/>
          <w:sz w:val="16"/>
          <w:szCs w:val="16"/>
          <w:lang w:val="es-ES"/>
        </w:rPr>
        <w:t>Comisión Africana sobre Derechos Humanos y de los Pueblos, 11 de marzo de 2014.</w:t>
      </w:r>
      <w:r w:rsidRPr="005F06A1">
        <w:rPr>
          <w:rFonts w:ascii="Cambria" w:hAnsi="Cambria"/>
          <w:sz w:val="16"/>
          <w:szCs w:val="16"/>
          <w:lang w:val="es-ES"/>
        </w:rPr>
        <w:t xml:space="preserve"> </w:t>
      </w:r>
    </w:p>
  </w:footnote>
  <w:footnote w:id="50">
    <w:p w14:paraId="4FE9DE41" w14:textId="3BCFCDA1"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Pr>
          <w:rFonts w:asciiTheme="majorHAnsi" w:hAnsiTheme="majorHAnsi"/>
          <w:sz w:val="16"/>
          <w:szCs w:val="16"/>
          <w:lang w:val="es-ES"/>
        </w:rPr>
        <w:t xml:space="preserve"> Corte Europea de Derechos Humanos. </w:t>
      </w:r>
      <w:hyperlink r:id="rId23" w:anchor="{%22languageisocode%22:[%22SPA%22],%22appno%22:[%227525/76%22],%22documentcollectionid2%22:[%22CHAMBER%22],%22itemid%22:[%22001-165167%22]}" w:history="1">
        <w:r w:rsidRPr="00440C9B">
          <w:rPr>
            <w:rStyle w:val="Hyperlink"/>
            <w:rFonts w:asciiTheme="majorHAnsi" w:hAnsiTheme="majorHAnsi"/>
            <w:i/>
            <w:sz w:val="16"/>
            <w:szCs w:val="16"/>
            <w:lang w:val="es-ES"/>
          </w:rPr>
          <w:t>Caso Dudgeon v. Reino Unido</w:t>
        </w:r>
        <w:r w:rsidRPr="00F46DA8">
          <w:rPr>
            <w:rStyle w:val="Hyperlink"/>
            <w:rFonts w:asciiTheme="majorHAnsi" w:hAnsiTheme="majorHAnsi"/>
            <w:sz w:val="16"/>
            <w:szCs w:val="16"/>
            <w:u w:val="none"/>
            <w:lang w:val="es-ES"/>
          </w:rPr>
          <w:t>.</w:t>
        </w:r>
        <w:r w:rsidRPr="00440C9B">
          <w:rPr>
            <w:rStyle w:val="Hyperlink"/>
            <w:rFonts w:asciiTheme="majorHAnsi" w:hAnsiTheme="majorHAnsi"/>
            <w:sz w:val="16"/>
            <w:szCs w:val="16"/>
            <w:u w:val="none"/>
            <w:lang w:val="es-ES"/>
          </w:rPr>
          <w:t xml:space="preserve"> Sentencia de 22 de octubre de 1981</w:t>
        </w:r>
      </w:hyperlink>
      <w:r w:rsidRPr="005F06A1">
        <w:rPr>
          <w:rFonts w:asciiTheme="majorHAnsi" w:hAnsiTheme="majorHAnsi"/>
          <w:sz w:val="16"/>
          <w:szCs w:val="16"/>
          <w:lang w:val="es-ES"/>
        </w:rPr>
        <w:t xml:space="preserve">, </w:t>
      </w:r>
      <w:r>
        <w:rPr>
          <w:rFonts w:asciiTheme="majorHAnsi" w:hAnsiTheme="majorHAnsi"/>
          <w:sz w:val="16"/>
          <w:szCs w:val="16"/>
          <w:lang w:val="es-ES"/>
        </w:rPr>
        <w:t xml:space="preserve">párr. </w:t>
      </w:r>
      <w:r w:rsidRPr="005F06A1">
        <w:rPr>
          <w:rFonts w:asciiTheme="majorHAnsi" w:hAnsiTheme="majorHAnsi"/>
          <w:sz w:val="16"/>
          <w:szCs w:val="16"/>
          <w:lang w:val="es-ES"/>
        </w:rPr>
        <w:t xml:space="preserve">41; </w:t>
      </w:r>
      <w:r>
        <w:rPr>
          <w:rFonts w:asciiTheme="majorHAnsi" w:hAnsiTheme="majorHAnsi"/>
          <w:sz w:val="16"/>
          <w:szCs w:val="16"/>
          <w:lang w:val="es-ES"/>
        </w:rPr>
        <w:t xml:space="preserve">véase también </w:t>
      </w:r>
      <w:r w:rsidRPr="00665524">
        <w:rPr>
          <w:rFonts w:asciiTheme="majorHAnsi" w:hAnsiTheme="majorHAnsi"/>
          <w:sz w:val="16"/>
          <w:szCs w:val="16"/>
          <w:lang w:val="es-ES"/>
        </w:rPr>
        <w:t>Corte Europea de Derechos Humanos</w:t>
      </w:r>
      <w:r>
        <w:rPr>
          <w:rFonts w:asciiTheme="majorHAnsi" w:hAnsiTheme="majorHAnsi"/>
          <w:sz w:val="16"/>
          <w:szCs w:val="16"/>
          <w:lang w:val="es-ES"/>
        </w:rPr>
        <w:t xml:space="preserve">. </w:t>
      </w:r>
      <w:r w:rsidRPr="005F06A1">
        <w:rPr>
          <w:rFonts w:asciiTheme="majorHAnsi" w:hAnsiTheme="majorHAnsi"/>
          <w:sz w:val="16"/>
          <w:szCs w:val="16"/>
          <w:lang w:val="es-ES"/>
        </w:rPr>
        <w:t>Cas</w:t>
      </w:r>
      <w:r>
        <w:rPr>
          <w:rFonts w:asciiTheme="majorHAnsi" w:hAnsiTheme="majorHAnsi"/>
          <w:sz w:val="16"/>
          <w:szCs w:val="16"/>
          <w:lang w:val="es-ES"/>
        </w:rPr>
        <w:t xml:space="preserve">o </w:t>
      </w:r>
      <w:r w:rsidRPr="005F06A1">
        <w:rPr>
          <w:rFonts w:asciiTheme="majorHAnsi" w:hAnsiTheme="majorHAnsi"/>
          <w:sz w:val="16"/>
          <w:szCs w:val="16"/>
          <w:lang w:val="es-ES"/>
        </w:rPr>
        <w:t>Modinos v</w:t>
      </w:r>
      <w:r>
        <w:rPr>
          <w:rFonts w:asciiTheme="majorHAnsi" w:hAnsiTheme="majorHAnsi"/>
          <w:sz w:val="16"/>
          <w:szCs w:val="16"/>
          <w:lang w:val="es-ES"/>
        </w:rPr>
        <w:t>s</w:t>
      </w:r>
      <w:r w:rsidRPr="005F06A1">
        <w:rPr>
          <w:rFonts w:asciiTheme="majorHAnsi" w:hAnsiTheme="majorHAnsi"/>
          <w:sz w:val="16"/>
          <w:szCs w:val="16"/>
          <w:lang w:val="es-ES"/>
        </w:rPr>
        <w:t xml:space="preserve">. </w:t>
      </w:r>
      <w:r>
        <w:rPr>
          <w:rFonts w:asciiTheme="majorHAnsi" w:hAnsiTheme="majorHAnsi"/>
          <w:sz w:val="16"/>
          <w:szCs w:val="16"/>
          <w:lang w:val="es-ES"/>
        </w:rPr>
        <w:t xml:space="preserve">Chipre. Sentencia de </w:t>
      </w:r>
      <w:r w:rsidRPr="005F06A1">
        <w:rPr>
          <w:rFonts w:asciiTheme="majorHAnsi" w:hAnsiTheme="majorHAnsi"/>
          <w:sz w:val="16"/>
          <w:szCs w:val="16"/>
          <w:lang w:val="es-ES"/>
        </w:rPr>
        <w:t xml:space="preserve">22 </w:t>
      </w:r>
      <w:r>
        <w:rPr>
          <w:rFonts w:asciiTheme="majorHAnsi" w:hAnsiTheme="majorHAnsi"/>
          <w:sz w:val="16"/>
          <w:szCs w:val="16"/>
          <w:lang w:val="es-ES"/>
        </w:rPr>
        <w:t xml:space="preserve">de abril de </w:t>
      </w:r>
      <w:r w:rsidRPr="005F06A1">
        <w:rPr>
          <w:rFonts w:asciiTheme="majorHAnsi" w:hAnsiTheme="majorHAnsi"/>
          <w:sz w:val="16"/>
          <w:szCs w:val="16"/>
          <w:lang w:val="es-ES"/>
        </w:rPr>
        <w:t>1993,</w:t>
      </w:r>
      <w:r>
        <w:rPr>
          <w:rFonts w:asciiTheme="majorHAnsi" w:hAnsiTheme="majorHAnsi"/>
          <w:sz w:val="16"/>
          <w:szCs w:val="16"/>
          <w:lang w:val="es-ES"/>
        </w:rPr>
        <w:t xml:space="preserve"> </w:t>
      </w:r>
      <w:r w:rsidRPr="005F06A1">
        <w:rPr>
          <w:rFonts w:asciiTheme="majorHAnsi" w:hAnsiTheme="majorHAnsi"/>
          <w:sz w:val="16"/>
          <w:szCs w:val="16"/>
          <w:lang w:val="es-ES"/>
        </w:rPr>
        <w:t>p</w:t>
      </w:r>
      <w:r>
        <w:rPr>
          <w:rFonts w:asciiTheme="majorHAnsi" w:hAnsiTheme="majorHAnsi"/>
          <w:sz w:val="16"/>
          <w:szCs w:val="16"/>
          <w:lang w:val="es-ES"/>
        </w:rPr>
        <w:t>árr.</w:t>
      </w:r>
      <w:r w:rsidRPr="005F06A1">
        <w:rPr>
          <w:rFonts w:asciiTheme="majorHAnsi" w:hAnsiTheme="majorHAnsi"/>
          <w:sz w:val="16"/>
          <w:szCs w:val="16"/>
          <w:lang w:val="es-ES"/>
        </w:rPr>
        <w:t xml:space="preserve"> 23. </w:t>
      </w:r>
    </w:p>
  </w:footnote>
  <w:footnote w:id="51">
    <w:p w14:paraId="5A004C96" w14:textId="4542706D" w:rsidR="00BE380F" w:rsidRPr="007019EF" w:rsidRDefault="00BE380F" w:rsidP="0075398D">
      <w:pPr>
        <w:pStyle w:val="FootnoteText"/>
        <w:jc w:val="both"/>
        <w:rPr>
          <w:rFonts w:asciiTheme="majorHAnsi" w:hAnsiTheme="majorHAnsi"/>
          <w:sz w:val="16"/>
          <w:szCs w:val="16"/>
        </w:rPr>
      </w:pPr>
      <w:r w:rsidRPr="005F06A1">
        <w:rPr>
          <w:rStyle w:val="FootnoteReference"/>
          <w:rFonts w:asciiTheme="majorHAnsi" w:hAnsiTheme="majorHAnsi"/>
          <w:sz w:val="16"/>
          <w:szCs w:val="16"/>
          <w:lang w:val="es-ES"/>
        </w:rPr>
        <w:footnoteRef/>
      </w:r>
      <w:r w:rsidRPr="007019EF">
        <w:rPr>
          <w:rFonts w:asciiTheme="majorHAnsi" w:hAnsiTheme="majorHAnsi"/>
          <w:sz w:val="16"/>
          <w:szCs w:val="16"/>
          <w:lang w:val="es-ES"/>
        </w:rPr>
        <w:t xml:space="preserve"> Corte Europea de Derechos Humanos. </w:t>
      </w:r>
      <w:hyperlink r:id="rId24" w:history="1">
        <w:r w:rsidRPr="007019EF">
          <w:rPr>
            <w:rStyle w:val="Hyperlink"/>
            <w:rFonts w:asciiTheme="majorHAnsi" w:hAnsiTheme="majorHAnsi"/>
            <w:i/>
            <w:sz w:val="16"/>
            <w:szCs w:val="16"/>
            <w:lang w:val="es-ES"/>
          </w:rPr>
          <w:t>Caso Norris v. Irlanda</w:t>
        </w:r>
        <w:r w:rsidRPr="007019EF">
          <w:rPr>
            <w:rStyle w:val="Hyperlink"/>
            <w:rFonts w:asciiTheme="majorHAnsi" w:hAnsiTheme="majorHAnsi"/>
            <w:sz w:val="16"/>
            <w:szCs w:val="16"/>
            <w:u w:val="none"/>
            <w:lang w:val="es-ES"/>
          </w:rPr>
          <w:t xml:space="preserve">. </w:t>
        </w:r>
        <w:r w:rsidRPr="00440C9B">
          <w:rPr>
            <w:rStyle w:val="Hyperlink"/>
            <w:rFonts w:asciiTheme="majorHAnsi" w:hAnsiTheme="majorHAnsi"/>
            <w:sz w:val="16"/>
            <w:szCs w:val="16"/>
            <w:u w:val="none"/>
            <w:lang w:val="es-ES"/>
          </w:rPr>
          <w:t>Sentencia de 26 de octubre de 1988</w:t>
        </w:r>
      </w:hyperlink>
      <w:r w:rsidRPr="005F06A1">
        <w:rPr>
          <w:rFonts w:asciiTheme="majorHAnsi" w:hAnsiTheme="majorHAnsi"/>
          <w:sz w:val="16"/>
          <w:szCs w:val="16"/>
          <w:lang w:val="es-ES"/>
        </w:rPr>
        <w:t>, p</w:t>
      </w:r>
      <w:r>
        <w:rPr>
          <w:rFonts w:asciiTheme="majorHAnsi" w:hAnsiTheme="majorHAnsi"/>
          <w:sz w:val="16"/>
          <w:szCs w:val="16"/>
          <w:lang w:val="es-ES"/>
        </w:rPr>
        <w:t xml:space="preserve">árrs. </w:t>
      </w:r>
      <w:r w:rsidRPr="007019EF">
        <w:rPr>
          <w:rFonts w:asciiTheme="majorHAnsi" w:hAnsiTheme="majorHAnsi"/>
          <w:sz w:val="16"/>
          <w:szCs w:val="16"/>
        </w:rPr>
        <w:t xml:space="preserve">31 y 32. </w:t>
      </w:r>
    </w:p>
  </w:footnote>
  <w:footnote w:id="52">
    <w:p w14:paraId="588702B0" w14:textId="383FE8B0"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7019EF">
        <w:rPr>
          <w:rFonts w:asciiTheme="majorHAnsi" w:hAnsiTheme="majorHAnsi"/>
          <w:sz w:val="16"/>
          <w:szCs w:val="16"/>
        </w:rPr>
        <w:t xml:space="preserve"> </w:t>
      </w:r>
      <w:r w:rsidRPr="007019EF">
        <w:rPr>
          <w:rFonts w:asciiTheme="majorHAnsi" w:hAnsiTheme="majorHAnsi"/>
          <w:i/>
          <w:sz w:val="16"/>
          <w:szCs w:val="16"/>
        </w:rPr>
        <w:t>Case Lawrence v. Texas</w:t>
      </w:r>
      <w:r w:rsidRPr="007019EF">
        <w:rPr>
          <w:rFonts w:asciiTheme="majorHAnsi" w:hAnsiTheme="majorHAnsi"/>
          <w:sz w:val="16"/>
          <w:szCs w:val="16"/>
        </w:rPr>
        <w:t xml:space="preserve">. </w:t>
      </w:r>
      <w:r w:rsidRPr="00920A63">
        <w:rPr>
          <w:rFonts w:asciiTheme="majorHAnsi" w:hAnsiTheme="majorHAnsi"/>
          <w:sz w:val="16"/>
          <w:szCs w:val="16"/>
        </w:rPr>
        <w:t>Supreme Court of the United States</w:t>
      </w:r>
      <w:r w:rsidRPr="00293FA6">
        <w:rPr>
          <w:rFonts w:asciiTheme="majorHAnsi" w:hAnsiTheme="majorHAnsi"/>
          <w:sz w:val="16"/>
          <w:szCs w:val="16"/>
        </w:rPr>
        <w:t xml:space="preserve">. </w:t>
      </w:r>
      <w:r w:rsidRPr="005F06A1">
        <w:rPr>
          <w:rFonts w:asciiTheme="majorHAnsi" w:hAnsiTheme="majorHAnsi"/>
          <w:sz w:val="16"/>
          <w:szCs w:val="16"/>
          <w:lang w:val="es-ES"/>
        </w:rPr>
        <w:t xml:space="preserve">26 </w:t>
      </w:r>
      <w:r>
        <w:rPr>
          <w:rFonts w:asciiTheme="majorHAnsi" w:hAnsiTheme="majorHAnsi"/>
          <w:sz w:val="16"/>
          <w:szCs w:val="16"/>
          <w:lang w:val="es-ES"/>
        </w:rPr>
        <w:t xml:space="preserve">de junio de </w:t>
      </w:r>
      <w:r w:rsidRPr="005F06A1">
        <w:rPr>
          <w:rFonts w:asciiTheme="majorHAnsi" w:hAnsiTheme="majorHAnsi"/>
          <w:sz w:val="16"/>
          <w:szCs w:val="16"/>
          <w:lang w:val="es-ES"/>
        </w:rPr>
        <w:t>2003, p. 14</w:t>
      </w:r>
      <w:r>
        <w:rPr>
          <w:rFonts w:asciiTheme="majorHAnsi" w:hAnsiTheme="majorHAnsi"/>
          <w:sz w:val="16"/>
          <w:szCs w:val="16"/>
          <w:lang w:val="es-ES"/>
        </w:rPr>
        <w:t xml:space="preserve"> y</w:t>
      </w:r>
      <w:r w:rsidRPr="005F06A1">
        <w:rPr>
          <w:rFonts w:asciiTheme="majorHAnsi" w:hAnsiTheme="majorHAnsi"/>
          <w:sz w:val="16"/>
          <w:szCs w:val="16"/>
          <w:lang w:val="es-ES"/>
        </w:rPr>
        <w:t xml:space="preserve"> 18</w:t>
      </w:r>
      <w:r>
        <w:rPr>
          <w:rFonts w:asciiTheme="majorHAnsi" w:hAnsiTheme="majorHAnsi"/>
          <w:sz w:val="16"/>
          <w:szCs w:val="16"/>
          <w:lang w:val="es-ES"/>
        </w:rPr>
        <w:t xml:space="preserve"> (traducción de la CIDH)</w:t>
      </w:r>
      <w:r w:rsidRPr="005F06A1">
        <w:rPr>
          <w:rFonts w:asciiTheme="majorHAnsi" w:hAnsiTheme="majorHAnsi"/>
          <w:sz w:val="16"/>
          <w:szCs w:val="16"/>
          <w:lang w:val="es-ES"/>
        </w:rPr>
        <w:t xml:space="preserve">. </w:t>
      </w:r>
      <w:r w:rsidRPr="00293FA6">
        <w:rPr>
          <w:rFonts w:asciiTheme="majorHAnsi" w:hAnsiTheme="majorHAnsi"/>
          <w:sz w:val="16"/>
          <w:szCs w:val="16"/>
        </w:rPr>
        <w:t xml:space="preserve">Véase </w:t>
      </w:r>
      <w:r w:rsidRPr="00293FA6">
        <w:rPr>
          <w:rFonts w:asciiTheme="majorHAnsi" w:hAnsiTheme="majorHAnsi"/>
          <w:i/>
          <w:sz w:val="16"/>
          <w:szCs w:val="16"/>
        </w:rPr>
        <w:t>Obergefell v. Hodges</w:t>
      </w:r>
      <w:r w:rsidRPr="00293FA6">
        <w:rPr>
          <w:rFonts w:asciiTheme="majorHAnsi" w:hAnsiTheme="majorHAnsi"/>
          <w:sz w:val="16"/>
          <w:szCs w:val="16"/>
        </w:rPr>
        <w:t xml:space="preserve">. </w:t>
      </w:r>
      <w:r w:rsidRPr="00920A63">
        <w:rPr>
          <w:rFonts w:asciiTheme="majorHAnsi" w:hAnsiTheme="majorHAnsi"/>
          <w:sz w:val="16"/>
          <w:szCs w:val="16"/>
        </w:rPr>
        <w:t>Supreme Court of the United States</w:t>
      </w:r>
      <w:r>
        <w:rPr>
          <w:rFonts w:asciiTheme="majorHAnsi" w:hAnsiTheme="majorHAnsi"/>
          <w:sz w:val="16"/>
          <w:szCs w:val="16"/>
        </w:rPr>
        <w:t>.</w:t>
      </w:r>
      <w:r w:rsidRPr="00293FA6">
        <w:rPr>
          <w:rFonts w:asciiTheme="majorHAnsi" w:hAnsiTheme="majorHAnsi"/>
          <w:sz w:val="16"/>
          <w:szCs w:val="16"/>
        </w:rPr>
        <w:t xml:space="preserve"> </w:t>
      </w:r>
      <w:r w:rsidRPr="005F06A1">
        <w:rPr>
          <w:rFonts w:asciiTheme="majorHAnsi" w:hAnsiTheme="majorHAnsi"/>
          <w:sz w:val="16"/>
          <w:szCs w:val="16"/>
          <w:lang w:val="es-ES"/>
        </w:rPr>
        <w:t>26</w:t>
      </w:r>
      <w:r>
        <w:rPr>
          <w:rFonts w:asciiTheme="majorHAnsi" w:hAnsiTheme="majorHAnsi"/>
          <w:sz w:val="16"/>
          <w:szCs w:val="16"/>
          <w:lang w:val="es-ES"/>
        </w:rPr>
        <w:t xml:space="preserve"> de junio de</w:t>
      </w:r>
      <w:r w:rsidRPr="005F06A1">
        <w:rPr>
          <w:rFonts w:asciiTheme="majorHAnsi" w:hAnsiTheme="majorHAnsi"/>
          <w:sz w:val="16"/>
          <w:szCs w:val="16"/>
          <w:lang w:val="es-ES"/>
        </w:rPr>
        <w:t xml:space="preserve"> 2015</w:t>
      </w:r>
      <w:r>
        <w:rPr>
          <w:rFonts w:asciiTheme="majorHAnsi" w:hAnsiTheme="majorHAnsi"/>
          <w:sz w:val="16"/>
          <w:szCs w:val="16"/>
          <w:lang w:val="es-ES"/>
        </w:rPr>
        <w:t xml:space="preserve">. En este caso, la Corte Suprema de Estados Unidos consideró que, aunque el caso </w:t>
      </w:r>
      <w:r w:rsidRPr="005F06A1">
        <w:rPr>
          <w:rFonts w:asciiTheme="majorHAnsi" w:hAnsiTheme="majorHAnsi"/>
          <w:sz w:val="16"/>
          <w:szCs w:val="16"/>
          <w:lang w:val="es-ES"/>
        </w:rPr>
        <w:t>Lawrence confirm</w:t>
      </w:r>
      <w:r>
        <w:rPr>
          <w:rFonts w:asciiTheme="majorHAnsi" w:hAnsiTheme="majorHAnsi"/>
          <w:sz w:val="16"/>
          <w:szCs w:val="16"/>
          <w:lang w:val="es-ES"/>
        </w:rPr>
        <w:t>ó una dimensión de la libertad que permite a las personas tener una asociación íntima sin incurrir en responsabilidad penal, no se deduce de ello que la libertad termine allí. La transición de bandido a paria podría ser un avance, pero no llega a la plena promesa de libertad.</w:t>
      </w:r>
      <w:r w:rsidRPr="005F06A1">
        <w:rPr>
          <w:rFonts w:asciiTheme="majorHAnsi" w:hAnsiTheme="majorHAnsi"/>
          <w:sz w:val="16"/>
          <w:szCs w:val="16"/>
          <w:lang w:val="es-ES"/>
        </w:rPr>
        <w:t xml:space="preserve"> </w:t>
      </w:r>
    </w:p>
  </w:footnote>
  <w:footnote w:id="53">
    <w:p w14:paraId="4E7EFEDE" w14:textId="5AF347F0" w:rsidR="00BE380F" w:rsidRPr="005F06A1" w:rsidRDefault="00BE380F" w:rsidP="0075398D">
      <w:pPr>
        <w:pStyle w:val="FootnoteText"/>
        <w:jc w:val="both"/>
        <w:rPr>
          <w:lang w:val="es-ES"/>
        </w:rPr>
      </w:pPr>
      <w:r w:rsidRPr="005F06A1">
        <w:rPr>
          <w:rStyle w:val="FootnoteReference"/>
          <w:rFonts w:asciiTheme="majorHAnsi" w:hAnsiTheme="majorHAnsi"/>
          <w:sz w:val="16"/>
          <w:szCs w:val="16"/>
          <w:lang w:val="es-ES"/>
        </w:rPr>
        <w:footnoteRef/>
      </w:r>
      <w:r w:rsidRPr="00293FA6">
        <w:rPr>
          <w:rFonts w:asciiTheme="majorHAnsi" w:hAnsiTheme="majorHAnsi"/>
          <w:sz w:val="16"/>
          <w:szCs w:val="16"/>
        </w:rPr>
        <w:t xml:space="preserve"> Constitutional Court of South Africa. </w:t>
      </w:r>
      <w:r w:rsidRPr="00293FA6">
        <w:rPr>
          <w:rFonts w:asciiTheme="majorHAnsi" w:hAnsiTheme="majorHAnsi"/>
          <w:i/>
          <w:sz w:val="16"/>
          <w:szCs w:val="16"/>
        </w:rPr>
        <w:t>Case of National Coalition Gay and Lesbian Equality and another v. Minister of Justice and others</w:t>
      </w:r>
      <w:r w:rsidRPr="00293FA6">
        <w:rPr>
          <w:rFonts w:asciiTheme="majorHAnsi" w:hAnsiTheme="majorHAnsi"/>
          <w:sz w:val="16"/>
          <w:szCs w:val="16"/>
        </w:rPr>
        <w:t xml:space="preserve">. </w:t>
      </w:r>
      <w:r w:rsidRPr="005F06A1">
        <w:rPr>
          <w:rFonts w:asciiTheme="majorHAnsi" w:hAnsiTheme="majorHAnsi"/>
          <w:sz w:val="16"/>
          <w:szCs w:val="16"/>
          <w:lang w:val="es-ES"/>
        </w:rPr>
        <w:t>9</w:t>
      </w:r>
      <w:r>
        <w:rPr>
          <w:rFonts w:asciiTheme="majorHAnsi" w:hAnsiTheme="majorHAnsi"/>
          <w:sz w:val="16"/>
          <w:szCs w:val="16"/>
          <w:lang w:val="es-ES"/>
        </w:rPr>
        <w:t xml:space="preserve"> de octubre de</w:t>
      </w:r>
      <w:r w:rsidRPr="005F06A1">
        <w:rPr>
          <w:rFonts w:asciiTheme="majorHAnsi" w:hAnsiTheme="majorHAnsi"/>
          <w:sz w:val="16"/>
          <w:szCs w:val="16"/>
          <w:lang w:val="es-ES"/>
        </w:rPr>
        <w:t xml:space="preserve"> 1998, p</w:t>
      </w:r>
      <w:r>
        <w:rPr>
          <w:rFonts w:asciiTheme="majorHAnsi" w:hAnsiTheme="majorHAnsi"/>
          <w:sz w:val="16"/>
          <w:szCs w:val="16"/>
          <w:lang w:val="es-ES"/>
        </w:rPr>
        <w:t xml:space="preserve">árrs. </w:t>
      </w:r>
      <w:r w:rsidRPr="005F06A1">
        <w:rPr>
          <w:rFonts w:asciiTheme="majorHAnsi" w:hAnsiTheme="majorHAnsi"/>
          <w:sz w:val="16"/>
          <w:szCs w:val="16"/>
          <w:lang w:val="es-ES"/>
        </w:rPr>
        <w:t>23, 26</w:t>
      </w:r>
      <w:r>
        <w:rPr>
          <w:rFonts w:asciiTheme="majorHAnsi" w:hAnsiTheme="majorHAnsi"/>
          <w:sz w:val="16"/>
          <w:szCs w:val="16"/>
          <w:lang w:val="es-ES"/>
        </w:rPr>
        <w:t xml:space="preserve"> y</w:t>
      </w:r>
      <w:r w:rsidRPr="005F06A1">
        <w:rPr>
          <w:rFonts w:asciiTheme="majorHAnsi" w:hAnsiTheme="majorHAnsi"/>
          <w:sz w:val="16"/>
          <w:szCs w:val="16"/>
          <w:lang w:val="es-ES"/>
        </w:rPr>
        <w:t xml:space="preserve"> 28</w:t>
      </w:r>
      <w:r>
        <w:rPr>
          <w:rFonts w:asciiTheme="majorHAnsi" w:hAnsiTheme="majorHAnsi"/>
          <w:sz w:val="16"/>
          <w:szCs w:val="16"/>
          <w:lang w:val="es-ES"/>
        </w:rPr>
        <w:t xml:space="preserve"> (traducción de la CIDH)</w:t>
      </w:r>
      <w:r w:rsidRPr="005F06A1">
        <w:rPr>
          <w:rFonts w:asciiTheme="majorHAnsi" w:hAnsiTheme="majorHAnsi"/>
          <w:sz w:val="16"/>
          <w:szCs w:val="16"/>
          <w:lang w:val="es-ES"/>
        </w:rPr>
        <w:t>.</w:t>
      </w:r>
    </w:p>
  </w:footnote>
  <w:footnote w:id="54">
    <w:p w14:paraId="790457D2" w14:textId="200F79EE" w:rsidR="00BE380F" w:rsidRPr="00293FA6" w:rsidRDefault="00BE380F" w:rsidP="0075398D">
      <w:pPr>
        <w:pStyle w:val="FootnoteText"/>
        <w:jc w:val="both"/>
        <w:rPr>
          <w:rFonts w:asciiTheme="majorHAnsi" w:hAnsiTheme="majorHAnsi"/>
          <w:sz w:val="16"/>
          <w:szCs w:val="16"/>
        </w:rPr>
      </w:pPr>
      <w:r w:rsidRPr="005F06A1">
        <w:rPr>
          <w:rStyle w:val="FootnoteReference"/>
          <w:rFonts w:asciiTheme="majorHAnsi" w:hAnsiTheme="majorHAnsi"/>
          <w:sz w:val="16"/>
          <w:szCs w:val="16"/>
          <w:lang w:val="es-ES"/>
        </w:rPr>
        <w:footnoteRef/>
      </w:r>
      <w:r w:rsidRPr="00353EED">
        <w:rPr>
          <w:rFonts w:asciiTheme="majorHAnsi" w:hAnsiTheme="majorHAnsi"/>
          <w:sz w:val="16"/>
          <w:szCs w:val="16"/>
          <w:lang w:val="es-US"/>
        </w:rPr>
        <w:t xml:space="preserve"> Supreme Court of India. </w:t>
      </w:r>
      <w:r w:rsidRPr="00293FA6">
        <w:rPr>
          <w:rFonts w:asciiTheme="majorHAnsi" w:hAnsiTheme="majorHAnsi"/>
          <w:i/>
          <w:sz w:val="16"/>
          <w:szCs w:val="16"/>
        </w:rPr>
        <w:t xml:space="preserve">Case of </w:t>
      </w:r>
      <w:r w:rsidRPr="00293FA6">
        <w:rPr>
          <w:rFonts w:asciiTheme="majorHAnsi" w:hAnsiTheme="majorHAnsi" w:cs="Times New Roman"/>
          <w:i/>
          <w:color w:val="000000" w:themeColor="text1"/>
          <w:sz w:val="16"/>
          <w:szCs w:val="16"/>
        </w:rPr>
        <w:t>Navtej Singh Johar &amp; Ors. v. Union of India thr. Secretary Ministry of Law and Justice</w:t>
      </w:r>
      <w:r w:rsidRPr="00293FA6">
        <w:rPr>
          <w:rFonts w:asciiTheme="majorHAnsi" w:hAnsiTheme="majorHAnsi" w:cs="Times New Roman"/>
          <w:color w:val="000000" w:themeColor="text1"/>
          <w:sz w:val="16"/>
          <w:szCs w:val="16"/>
        </w:rPr>
        <w:t>. 6 de septiembre de 2018,</w:t>
      </w:r>
      <w:r w:rsidRPr="00293FA6">
        <w:rPr>
          <w:rFonts w:asciiTheme="majorHAnsi" w:hAnsiTheme="majorHAnsi"/>
          <w:sz w:val="16"/>
          <w:szCs w:val="16"/>
        </w:rPr>
        <w:t xml:space="preserve"> párrs. 223 y 239 (traducción de la CIDH). </w:t>
      </w:r>
    </w:p>
  </w:footnote>
  <w:footnote w:id="55">
    <w:p w14:paraId="21895397" w14:textId="0C390E43" w:rsidR="00BE380F" w:rsidRPr="005F06A1" w:rsidRDefault="00BE380F" w:rsidP="0075398D">
      <w:pPr>
        <w:pStyle w:val="FootnoteText"/>
        <w:jc w:val="both"/>
        <w:rPr>
          <w:rFonts w:ascii="Cambria" w:hAnsi="Cambria"/>
          <w:sz w:val="16"/>
          <w:szCs w:val="16"/>
          <w:lang w:val="es-ES"/>
        </w:rPr>
      </w:pPr>
      <w:r w:rsidRPr="005F06A1">
        <w:rPr>
          <w:rStyle w:val="FootnoteReference"/>
          <w:rFonts w:ascii="Cambria" w:hAnsi="Cambria"/>
          <w:sz w:val="16"/>
          <w:szCs w:val="16"/>
          <w:lang w:val="es-ES"/>
        </w:rPr>
        <w:footnoteRef/>
      </w:r>
      <w:r w:rsidRPr="00293FA6">
        <w:rPr>
          <w:rFonts w:ascii="Cambria" w:hAnsi="Cambria"/>
          <w:sz w:val="16"/>
          <w:szCs w:val="16"/>
        </w:rPr>
        <w:t xml:space="preserve"> Supreme Court of Belize. </w:t>
      </w:r>
      <w:r w:rsidRPr="00293FA6">
        <w:rPr>
          <w:rFonts w:ascii="Cambria" w:hAnsi="Cambria"/>
          <w:i/>
          <w:sz w:val="16"/>
          <w:szCs w:val="16"/>
        </w:rPr>
        <w:t>Caleb Orozco and the Attorney General of Belize</w:t>
      </w:r>
      <w:r w:rsidRPr="00293FA6">
        <w:rPr>
          <w:rFonts w:ascii="Cambria" w:hAnsi="Cambria"/>
          <w:sz w:val="16"/>
          <w:szCs w:val="16"/>
        </w:rPr>
        <w:t xml:space="preserve">. </w:t>
      </w:r>
      <w:r w:rsidRPr="005F06A1">
        <w:rPr>
          <w:rFonts w:ascii="Cambria" w:hAnsi="Cambria"/>
          <w:sz w:val="16"/>
          <w:szCs w:val="16"/>
          <w:lang w:val="es-ES"/>
        </w:rPr>
        <w:t>10</w:t>
      </w:r>
      <w:r>
        <w:rPr>
          <w:rFonts w:ascii="Cambria" w:hAnsi="Cambria"/>
          <w:sz w:val="16"/>
          <w:szCs w:val="16"/>
          <w:lang w:val="es-ES"/>
        </w:rPr>
        <w:t xml:space="preserve"> de agosto de</w:t>
      </w:r>
      <w:r w:rsidRPr="005F06A1">
        <w:rPr>
          <w:rFonts w:ascii="Cambria" w:hAnsi="Cambria"/>
          <w:sz w:val="16"/>
          <w:szCs w:val="16"/>
          <w:lang w:val="es-ES"/>
        </w:rPr>
        <w:t xml:space="preserve"> 2016</w:t>
      </w:r>
      <w:r>
        <w:rPr>
          <w:rFonts w:ascii="Cambria" w:hAnsi="Cambria"/>
          <w:sz w:val="16"/>
          <w:szCs w:val="16"/>
          <w:lang w:val="es-ES"/>
        </w:rPr>
        <w:t>, pág</w:t>
      </w:r>
      <w:r w:rsidRPr="005F06A1">
        <w:rPr>
          <w:rFonts w:ascii="Cambria" w:hAnsi="Cambria"/>
          <w:sz w:val="16"/>
          <w:szCs w:val="16"/>
          <w:lang w:val="es-ES"/>
        </w:rPr>
        <w:t>. 27</w:t>
      </w:r>
      <w:r>
        <w:rPr>
          <w:rFonts w:ascii="Cambria" w:hAnsi="Cambria"/>
          <w:sz w:val="16"/>
          <w:szCs w:val="16"/>
          <w:lang w:val="es-ES"/>
        </w:rPr>
        <w:t xml:space="preserve"> (traducción de la CIDH)</w:t>
      </w:r>
      <w:r w:rsidRPr="005F06A1">
        <w:rPr>
          <w:rFonts w:ascii="Cambria" w:hAnsi="Cambria"/>
          <w:sz w:val="16"/>
          <w:szCs w:val="16"/>
          <w:lang w:val="es-ES"/>
        </w:rPr>
        <w:t>.</w:t>
      </w:r>
    </w:p>
  </w:footnote>
  <w:footnote w:id="56">
    <w:p w14:paraId="635160D2" w14:textId="77777777" w:rsidR="00BE380F" w:rsidRPr="00480954" w:rsidRDefault="00BE380F" w:rsidP="0075398D">
      <w:pPr>
        <w:pStyle w:val="FootnoteText"/>
        <w:jc w:val="both"/>
        <w:rPr>
          <w:rFonts w:asciiTheme="majorHAnsi" w:hAnsiTheme="majorHAnsi"/>
          <w:sz w:val="16"/>
          <w:szCs w:val="16"/>
        </w:rPr>
      </w:pPr>
      <w:r w:rsidRPr="00480954">
        <w:rPr>
          <w:rStyle w:val="FootnoteReference"/>
          <w:rFonts w:asciiTheme="majorHAnsi" w:hAnsiTheme="majorHAnsi"/>
          <w:sz w:val="16"/>
          <w:szCs w:val="16"/>
        </w:rPr>
        <w:footnoteRef/>
      </w:r>
      <w:r w:rsidRPr="00353EED">
        <w:rPr>
          <w:rFonts w:asciiTheme="majorHAnsi" w:hAnsiTheme="majorHAnsi"/>
          <w:sz w:val="16"/>
          <w:szCs w:val="16"/>
          <w:lang w:val="es-US"/>
        </w:rPr>
        <w:t xml:space="preserve">High Court of Justice. </w:t>
      </w:r>
      <w:r w:rsidRPr="00480954">
        <w:rPr>
          <w:rFonts w:asciiTheme="majorHAnsi" w:hAnsiTheme="majorHAnsi"/>
          <w:sz w:val="16"/>
          <w:szCs w:val="16"/>
        </w:rPr>
        <w:t xml:space="preserve">Jason Jones and the Attorney General of Trinidad and Tobago, para 173. </w:t>
      </w:r>
    </w:p>
  </w:footnote>
  <w:footnote w:id="57">
    <w:p w14:paraId="105DB544" w14:textId="5973868B" w:rsidR="00BE380F" w:rsidRPr="005F06A1" w:rsidRDefault="00BE380F" w:rsidP="0075398D">
      <w:pPr>
        <w:pStyle w:val="FootnoteText"/>
        <w:tabs>
          <w:tab w:val="left" w:pos="720"/>
        </w:tabs>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w:t>
      </w:r>
      <w:r>
        <w:rPr>
          <w:rFonts w:asciiTheme="majorHAnsi" w:hAnsiTheme="majorHAnsi"/>
          <w:sz w:val="16"/>
          <w:szCs w:val="16"/>
          <w:lang w:val="es-ES"/>
        </w:rPr>
        <w:t>Corte IDH.</w:t>
      </w:r>
      <w:r w:rsidRPr="005F06A1">
        <w:rPr>
          <w:rFonts w:asciiTheme="majorHAnsi" w:hAnsiTheme="majorHAnsi"/>
          <w:sz w:val="16"/>
          <w:szCs w:val="16"/>
          <w:lang w:val="es-ES"/>
        </w:rPr>
        <w:t xml:space="preserve"> </w:t>
      </w:r>
      <w:r w:rsidRPr="00440C9B">
        <w:rPr>
          <w:rFonts w:asciiTheme="majorHAnsi" w:hAnsiTheme="majorHAnsi"/>
          <w:i/>
          <w:iCs/>
          <w:sz w:val="16"/>
          <w:szCs w:val="16"/>
          <w:lang w:val="es-ES"/>
        </w:rPr>
        <w:t>Caso Vélez Restrepo y familiares vs. Colombia</w:t>
      </w:r>
      <w:r>
        <w:rPr>
          <w:rFonts w:asciiTheme="majorHAnsi" w:hAnsiTheme="majorHAnsi"/>
          <w:sz w:val="16"/>
          <w:szCs w:val="16"/>
          <w:lang w:val="es-ES"/>
        </w:rPr>
        <w:t>.</w:t>
      </w:r>
      <w:r w:rsidRPr="005F06A1">
        <w:rPr>
          <w:rFonts w:asciiTheme="majorHAnsi" w:hAnsiTheme="majorHAnsi"/>
          <w:sz w:val="16"/>
          <w:szCs w:val="16"/>
          <w:lang w:val="es-ES"/>
        </w:rPr>
        <w:t xml:space="preserve"> </w:t>
      </w:r>
      <w:r>
        <w:rPr>
          <w:rFonts w:asciiTheme="majorHAnsi" w:hAnsiTheme="majorHAnsi"/>
          <w:sz w:val="16"/>
          <w:szCs w:val="16"/>
          <w:lang w:val="es-ES"/>
        </w:rPr>
        <w:t>Excepción Preliminar</w:t>
      </w:r>
      <w:r w:rsidRPr="005F06A1">
        <w:rPr>
          <w:rFonts w:asciiTheme="majorHAnsi" w:hAnsiTheme="majorHAnsi"/>
          <w:sz w:val="16"/>
          <w:szCs w:val="16"/>
          <w:lang w:val="es-ES"/>
        </w:rPr>
        <w:t xml:space="preserve">, </w:t>
      </w:r>
      <w:r>
        <w:rPr>
          <w:rFonts w:asciiTheme="majorHAnsi" w:hAnsiTheme="majorHAnsi"/>
          <w:sz w:val="16"/>
          <w:szCs w:val="16"/>
          <w:lang w:val="es-ES"/>
        </w:rPr>
        <w:t>Fondo, Reparaciones y Costas.</w:t>
      </w:r>
      <w:r w:rsidRPr="005F06A1">
        <w:rPr>
          <w:rFonts w:asciiTheme="majorHAnsi" w:hAnsiTheme="majorHAnsi"/>
          <w:sz w:val="16"/>
          <w:szCs w:val="16"/>
          <w:lang w:val="es-ES"/>
        </w:rPr>
        <w:t xml:space="preserve"> </w:t>
      </w:r>
      <w:r>
        <w:rPr>
          <w:rFonts w:asciiTheme="majorHAnsi" w:hAnsiTheme="majorHAnsi"/>
          <w:sz w:val="16"/>
          <w:szCs w:val="16"/>
          <w:lang w:val="es-ES"/>
        </w:rPr>
        <w:t>Sentencia de</w:t>
      </w:r>
      <w:r w:rsidRPr="005F06A1">
        <w:rPr>
          <w:rFonts w:asciiTheme="majorHAnsi" w:hAnsiTheme="majorHAnsi"/>
          <w:sz w:val="16"/>
          <w:szCs w:val="16"/>
          <w:lang w:val="es-ES"/>
        </w:rPr>
        <w:t xml:space="preserve"> 3</w:t>
      </w:r>
      <w:r>
        <w:rPr>
          <w:rFonts w:asciiTheme="majorHAnsi" w:hAnsiTheme="majorHAnsi"/>
          <w:sz w:val="16"/>
          <w:szCs w:val="16"/>
          <w:lang w:val="es-ES"/>
        </w:rPr>
        <w:t xml:space="preserve"> de septiembre de</w:t>
      </w:r>
      <w:r w:rsidRPr="005F06A1">
        <w:rPr>
          <w:rFonts w:asciiTheme="majorHAnsi" w:hAnsiTheme="majorHAnsi"/>
          <w:sz w:val="16"/>
          <w:szCs w:val="16"/>
          <w:lang w:val="es-ES"/>
        </w:rPr>
        <w:t xml:space="preserve"> 2012</w:t>
      </w:r>
      <w:r>
        <w:rPr>
          <w:rFonts w:asciiTheme="majorHAnsi" w:hAnsiTheme="majorHAnsi"/>
          <w:sz w:val="16"/>
          <w:szCs w:val="16"/>
          <w:lang w:val="es-ES"/>
        </w:rPr>
        <w:t>. Serie C</w:t>
      </w:r>
      <w:r w:rsidRPr="005F06A1">
        <w:rPr>
          <w:rFonts w:asciiTheme="majorHAnsi" w:hAnsiTheme="majorHAnsi"/>
          <w:sz w:val="16"/>
          <w:szCs w:val="16"/>
          <w:lang w:val="es-ES"/>
        </w:rPr>
        <w:t xml:space="preserve"> No. 248</w:t>
      </w:r>
      <w:r>
        <w:rPr>
          <w:rFonts w:asciiTheme="majorHAnsi" w:hAnsiTheme="majorHAnsi"/>
          <w:sz w:val="16"/>
          <w:szCs w:val="16"/>
          <w:lang w:val="es-ES"/>
        </w:rPr>
        <w:t>, párr.</w:t>
      </w:r>
      <w:r w:rsidRPr="005F06A1">
        <w:rPr>
          <w:rFonts w:asciiTheme="majorHAnsi" w:hAnsiTheme="majorHAnsi"/>
          <w:sz w:val="16"/>
          <w:szCs w:val="16"/>
          <w:lang w:val="es-ES"/>
        </w:rPr>
        <w:t xml:space="preserve"> 220</w:t>
      </w:r>
      <w:r>
        <w:rPr>
          <w:rFonts w:asciiTheme="majorHAnsi" w:hAnsiTheme="majorHAnsi"/>
          <w:sz w:val="16"/>
          <w:szCs w:val="16"/>
          <w:lang w:val="es-ES"/>
        </w:rPr>
        <w:t>; véanse también</w:t>
      </w:r>
      <w:r w:rsidRPr="00440C9B">
        <w:rPr>
          <w:rFonts w:asciiTheme="majorHAnsi" w:hAnsiTheme="majorHAnsi"/>
          <w:sz w:val="16"/>
          <w:szCs w:val="16"/>
          <w:lang w:val="es-ES"/>
        </w:rPr>
        <w:t xml:space="preserve"> </w:t>
      </w:r>
      <w:r w:rsidRPr="00440C9B">
        <w:rPr>
          <w:rFonts w:asciiTheme="majorHAnsi" w:hAnsiTheme="majorHAnsi"/>
          <w:i/>
          <w:iCs/>
          <w:sz w:val="16"/>
          <w:szCs w:val="16"/>
          <w:lang w:val="es-ES"/>
        </w:rPr>
        <w:t>Caso de la Comunidad Moiwana Vs. Suriname</w:t>
      </w:r>
      <w:r>
        <w:rPr>
          <w:rFonts w:asciiTheme="majorHAnsi" w:hAnsiTheme="majorHAnsi"/>
          <w:sz w:val="16"/>
          <w:szCs w:val="16"/>
          <w:lang w:val="es-ES"/>
        </w:rPr>
        <w:t>.</w:t>
      </w:r>
      <w:r w:rsidRPr="005F06A1">
        <w:rPr>
          <w:rFonts w:asciiTheme="majorHAnsi" w:hAnsiTheme="majorHAnsi"/>
          <w:sz w:val="16"/>
          <w:szCs w:val="16"/>
          <w:lang w:val="es-ES"/>
        </w:rPr>
        <w:t xml:space="preserve"> </w:t>
      </w:r>
      <w:r>
        <w:rPr>
          <w:rFonts w:asciiTheme="majorHAnsi" w:hAnsiTheme="majorHAnsi"/>
          <w:sz w:val="16"/>
          <w:szCs w:val="16"/>
          <w:lang w:val="es-ES"/>
        </w:rPr>
        <w:t>Excepciones Preliminares</w:t>
      </w:r>
      <w:r w:rsidRPr="005F06A1">
        <w:rPr>
          <w:rFonts w:asciiTheme="majorHAnsi" w:hAnsiTheme="majorHAnsi"/>
          <w:sz w:val="16"/>
          <w:szCs w:val="16"/>
          <w:lang w:val="es-ES"/>
        </w:rPr>
        <w:t xml:space="preserve">, </w:t>
      </w:r>
      <w:r>
        <w:rPr>
          <w:rFonts w:asciiTheme="majorHAnsi" w:hAnsiTheme="majorHAnsi"/>
          <w:sz w:val="16"/>
          <w:szCs w:val="16"/>
          <w:lang w:val="es-ES"/>
        </w:rPr>
        <w:t>Fondo, Reparaciones y Costas.</w:t>
      </w:r>
      <w:r w:rsidRPr="005F06A1">
        <w:rPr>
          <w:rFonts w:asciiTheme="majorHAnsi" w:hAnsiTheme="majorHAnsi"/>
          <w:sz w:val="16"/>
          <w:szCs w:val="16"/>
          <w:lang w:val="es-ES"/>
        </w:rPr>
        <w:t xml:space="preserve"> </w:t>
      </w:r>
      <w:r>
        <w:rPr>
          <w:rFonts w:asciiTheme="majorHAnsi" w:hAnsiTheme="majorHAnsi"/>
          <w:sz w:val="16"/>
          <w:szCs w:val="16"/>
          <w:lang w:val="es-ES"/>
        </w:rPr>
        <w:t>Sentencia de</w:t>
      </w:r>
      <w:r w:rsidRPr="005F06A1">
        <w:rPr>
          <w:rFonts w:asciiTheme="majorHAnsi" w:hAnsiTheme="majorHAnsi"/>
          <w:sz w:val="16"/>
          <w:szCs w:val="16"/>
          <w:lang w:val="es-ES"/>
        </w:rPr>
        <w:t xml:space="preserve"> 15</w:t>
      </w:r>
      <w:r>
        <w:rPr>
          <w:rFonts w:asciiTheme="majorHAnsi" w:hAnsiTheme="majorHAnsi"/>
          <w:sz w:val="16"/>
          <w:szCs w:val="16"/>
          <w:lang w:val="es-ES"/>
        </w:rPr>
        <w:t xml:space="preserve"> de junio de</w:t>
      </w:r>
      <w:r w:rsidRPr="005F06A1">
        <w:rPr>
          <w:rFonts w:asciiTheme="majorHAnsi" w:hAnsiTheme="majorHAnsi"/>
          <w:sz w:val="16"/>
          <w:szCs w:val="16"/>
          <w:lang w:val="es-ES"/>
        </w:rPr>
        <w:t xml:space="preserve"> 2005</w:t>
      </w:r>
      <w:r>
        <w:rPr>
          <w:rFonts w:asciiTheme="majorHAnsi" w:hAnsiTheme="majorHAnsi"/>
          <w:sz w:val="16"/>
          <w:szCs w:val="16"/>
          <w:lang w:val="es-ES"/>
        </w:rPr>
        <w:t>. Serie C</w:t>
      </w:r>
      <w:r w:rsidRPr="005F06A1">
        <w:rPr>
          <w:rFonts w:asciiTheme="majorHAnsi" w:hAnsiTheme="majorHAnsi"/>
          <w:sz w:val="16"/>
          <w:szCs w:val="16"/>
          <w:lang w:val="es-ES"/>
        </w:rPr>
        <w:t xml:space="preserve"> No. 124</w:t>
      </w:r>
      <w:r>
        <w:rPr>
          <w:rFonts w:asciiTheme="majorHAnsi" w:hAnsiTheme="majorHAnsi"/>
          <w:sz w:val="16"/>
          <w:szCs w:val="16"/>
          <w:lang w:val="es-ES"/>
        </w:rPr>
        <w:t>, párrs.</w:t>
      </w:r>
      <w:r w:rsidRPr="005F06A1">
        <w:rPr>
          <w:rFonts w:asciiTheme="majorHAnsi" w:hAnsiTheme="majorHAnsi"/>
          <w:sz w:val="16"/>
          <w:szCs w:val="16"/>
          <w:lang w:val="es-ES"/>
        </w:rPr>
        <w:t xml:space="preserve"> 119 </w:t>
      </w:r>
      <w:r>
        <w:rPr>
          <w:rFonts w:asciiTheme="majorHAnsi" w:hAnsiTheme="majorHAnsi"/>
          <w:sz w:val="16"/>
          <w:szCs w:val="16"/>
          <w:lang w:val="es-ES"/>
        </w:rPr>
        <w:t>y</w:t>
      </w:r>
      <w:r w:rsidRPr="005F06A1">
        <w:rPr>
          <w:rFonts w:asciiTheme="majorHAnsi" w:hAnsiTheme="majorHAnsi"/>
          <w:sz w:val="16"/>
          <w:szCs w:val="16"/>
          <w:lang w:val="es-ES"/>
        </w:rPr>
        <w:t xml:space="preserve"> 120; </w:t>
      </w:r>
      <w:r w:rsidRPr="005F06A1">
        <w:rPr>
          <w:rFonts w:asciiTheme="majorHAnsi" w:hAnsiTheme="majorHAnsi"/>
          <w:i/>
          <w:iCs/>
          <w:sz w:val="16"/>
          <w:szCs w:val="16"/>
          <w:lang w:val="es-ES"/>
        </w:rPr>
        <w:t>Cas</w:t>
      </w:r>
      <w:r>
        <w:rPr>
          <w:rFonts w:asciiTheme="majorHAnsi" w:hAnsiTheme="majorHAnsi"/>
          <w:i/>
          <w:iCs/>
          <w:sz w:val="16"/>
          <w:szCs w:val="16"/>
          <w:lang w:val="es-ES"/>
        </w:rPr>
        <w:t>o</w:t>
      </w:r>
      <w:r w:rsidRPr="005F06A1">
        <w:rPr>
          <w:rFonts w:asciiTheme="majorHAnsi" w:hAnsiTheme="majorHAnsi"/>
          <w:i/>
          <w:iCs/>
          <w:sz w:val="16"/>
          <w:szCs w:val="16"/>
          <w:lang w:val="es-ES"/>
        </w:rPr>
        <w:t xml:space="preserve"> Manuel Cepeda Vargas v</w:t>
      </w:r>
      <w:r>
        <w:rPr>
          <w:rFonts w:asciiTheme="majorHAnsi" w:hAnsiTheme="majorHAnsi"/>
          <w:i/>
          <w:iCs/>
          <w:sz w:val="16"/>
          <w:szCs w:val="16"/>
          <w:lang w:val="es-ES"/>
        </w:rPr>
        <w:t>s</w:t>
      </w:r>
      <w:r w:rsidRPr="005F06A1">
        <w:rPr>
          <w:rFonts w:asciiTheme="majorHAnsi" w:hAnsiTheme="majorHAnsi"/>
          <w:i/>
          <w:iCs/>
          <w:sz w:val="16"/>
          <w:szCs w:val="16"/>
          <w:lang w:val="es-ES"/>
        </w:rPr>
        <w:t>. Colombia</w:t>
      </w:r>
      <w:r>
        <w:rPr>
          <w:rFonts w:asciiTheme="majorHAnsi" w:hAnsiTheme="majorHAnsi"/>
          <w:i/>
          <w:iCs/>
          <w:sz w:val="16"/>
          <w:szCs w:val="16"/>
          <w:lang w:val="es-ES"/>
        </w:rPr>
        <w:t>.</w:t>
      </w:r>
      <w:r w:rsidRPr="005F06A1">
        <w:rPr>
          <w:rFonts w:asciiTheme="majorHAnsi" w:hAnsiTheme="majorHAnsi"/>
          <w:sz w:val="16"/>
          <w:szCs w:val="16"/>
          <w:lang w:val="es-ES"/>
        </w:rPr>
        <w:t xml:space="preserve"> </w:t>
      </w:r>
      <w:r>
        <w:rPr>
          <w:rFonts w:asciiTheme="majorHAnsi" w:hAnsiTheme="majorHAnsi"/>
          <w:sz w:val="16"/>
          <w:szCs w:val="16"/>
          <w:lang w:val="es-ES"/>
        </w:rPr>
        <w:t>Excepciones Preliminares</w:t>
      </w:r>
      <w:r w:rsidRPr="005F06A1">
        <w:rPr>
          <w:rFonts w:asciiTheme="majorHAnsi" w:hAnsiTheme="majorHAnsi"/>
          <w:sz w:val="16"/>
          <w:szCs w:val="16"/>
          <w:lang w:val="es-ES"/>
        </w:rPr>
        <w:t xml:space="preserve">, </w:t>
      </w:r>
      <w:r>
        <w:rPr>
          <w:rFonts w:asciiTheme="majorHAnsi" w:hAnsiTheme="majorHAnsi"/>
          <w:sz w:val="16"/>
          <w:szCs w:val="16"/>
          <w:lang w:val="es-ES"/>
        </w:rPr>
        <w:t>Fondo, Reparaciones y Costas, párr.</w:t>
      </w:r>
      <w:r w:rsidRPr="005F06A1">
        <w:rPr>
          <w:rFonts w:asciiTheme="majorHAnsi" w:hAnsiTheme="majorHAnsi"/>
          <w:sz w:val="16"/>
          <w:szCs w:val="16"/>
          <w:lang w:val="es-ES"/>
        </w:rPr>
        <w:t xml:space="preserve"> 197.</w:t>
      </w:r>
    </w:p>
  </w:footnote>
  <w:footnote w:id="58">
    <w:p w14:paraId="75FFAA1F" w14:textId="799D74F1" w:rsidR="00BE380F" w:rsidRPr="005F06A1" w:rsidRDefault="00BE380F" w:rsidP="0075398D">
      <w:pPr>
        <w:pStyle w:val="FootnoteText"/>
        <w:tabs>
          <w:tab w:val="left" w:pos="720"/>
        </w:tabs>
        <w:jc w:val="both"/>
        <w:rPr>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w:t>
      </w:r>
      <w:r>
        <w:rPr>
          <w:rFonts w:asciiTheme="majorHAnsi" w:hAnsiTheme="majorHAnsi"/>
          <w:sz w:val="16"/>
          <w:szCs w:val="16"/>
          <w:lang w:val="es-ES"/>
        </w:rPr>
        <w:t>Corte IDH</w:t>
      </w:r>
      <w:r w:rsidRPr="005F06A1">
        <w:rPr>
          <w:rFonts w:asciiTheme="majorHAnsi" w:hAnsiTheme="majorHAnsi"/>
          <w:sz w:val="16"/>
          <w:szCs w:val="16"/>
          <w:lang w:val="es-ES"/>
        </w:rPr>
        <w:t xml:space="preserve">. </w:t>
      </w:r>
      <w:r w:rsidRPr="002B437F">
        <w:rPr>
          <w:rFonts w:asciiTheme="majorHAnsi" w:hAnsiTheme="majorHAnsi"/>
          <w:i/>
          <w:iCs/>
          <w:sz w:val="16"/>
          <w:szCs w:val="16"/>
          <w:lang w:val="es-ES"/>
        </w:rPr>
        <w:t>Caso Vélez Restrepo y familiares vs. Colombia</w:t>
      </w:r>
      <w:r>
        <w:rPr>
          <w:rFonts w:asciiTheme="majorHAnsi" w:hAnsiTheme="majorHAnsi"/>
          <w:i/>
          <w:iCs/>
          <w:sz w:val="16"/>
          <w:szCs w:val="16"/>
          <w:lang w:val="es-ES"/>
        </w:rPr>
        <w:t>.</w:t>
      </w:r>
      <w:r w:rsidRPr="005F06A1">
        <w:rPr>
          <w:rFonts w:asciiTheme="majorHAnsi" w:hAnsiTheme="majorHAnsi"/>
          <w:sz w:val="16"/>
          <w:szCs w:val="16"/>
          <w:lang w:val="es-ES"/>
        </w:rPr>
        <w:t xml:space="preserve"> </w:t>
      </w:r>
      <w:r>
        <w:rPr>
          <w:rFonts w:asciiTheme="majorHAnsi" w:hAnsiTheme="majorHAnsi"/>
          <w:sz w:val="16"/>
          <w:szCs w:val="16"/>
          <w:lang w:val="es-ES"/>
        </w:rPr>
        <w:t>Excepción Preliminar</w:t>
      </w:r>
      <w:r w:rsidRPr="005F06A1">
        <w:rPr>
          <w:rFonts w:asciiTheme="majorHAnsi" w:hAnsiTheme="majorHAnsi"/>
          <w:sz w:val="16"/>
          <w:szCs w:val="16"/>
          <w:lang w:val="es-ES"/>
        </w:rPr>
        <w:t xml:space="preserve">, </w:t>
      </w:r>
      <w:r>
        <w:rPr>
          <w:rFonts w:asciiTheme="majorHAnsi" w:hAnsiTheme="majorHAnsi"/>
          <w:sz w:val="16"/>
          <w:szCs w:val="16"/>
          <w:lang w:val="es-ES"/>
        </w:rPr>
        <w:t>Fondo, Reparaciones y Costas.</w:t>
      </w:r>
      <w:r w:rsidRPr="005F06A1">
        <w:rPr>
          <w:rFonts w:asciiTheme="majorHAnsi" w:hAnsiTheme="majorHAnsi"/>
          <w:sz w:val="16"/>
          <w:szCs w:val="16"/>
          <w:lang w:val="es-ES"/>
        </w:rPr>
        <w:t xml:space="preserve"> </w:t>
      </w:r>
      <w:r>
        <w:rPr>
          <w:rFonts w:asciiTheme="majorHAnsi" w:hAnsiTheme="majorHAnsi"/>
          <w:sz w:val="16"/>
          <w:szCs w:val="16"/>
          <w:lang w:val="es-ES"/>
        </w:rPr>
        <w:t>Sentencia de</w:t>
      </w:r>
      <w:r w:rsidRPr="005F06A1">
        <w:rPr>
          <w:rFonts w:asciiTheme="majorHAnsi" w:hAnsiTheme="majorHAnsi"/>
          <w:sz w:val="16"/>
          <w:szCs w:val="16"/>
          <w:lang w:val="es-ES"/>
        </w:rPr>
        <w:t xml:space="preserve"> </w:t>
      </w:r>
      <w:r>
        <w:rPr>
          <w:rFonts w:asciiTheme="majorHAnsi" w:hAnsiTheme="majorHAnsi"/>
          <w:sz w:val="16"/>
          <w:szCs w:val="16"/>
          <w:lang w:val="es-ES"/>
        </w:rPr>
        <w:t xml:space="preserve">3 de septiembre de </w:t>
      </w:r>
      <w:r w:rsidRPr="005F06A1">
        <w:rPr>
          <w:rFonts w:asciiTheme="majorHAnsi" w:hAnsiTheme="majorHAnsi"/>
          <w:sz w:val="16"/>
          <w:szCs w:val="16"/>
          <w:lang w:val="es-ES"/>
        </w:rPr>
        <w:t>2012</w:t>
      </w:r>
      <w:r>
        <w:rPr>
          <w:rFonts w:asciiTheme="majorHAnsi" w:hAnsiTheme="majorHAnsi"/>
          <w:sz w:val="16"/>
          <w:szCs w:val="16"/>
          <w:lang w:val="es-ES"/>
        </w:rPr>
        <w:t>. Serie C</w:t>
      </w:r>
      <w:r w:rsidRPr="005F06A1">
        <w:rPr>
          <w:rFonts w:asciiTheme="majorHAnsi" w:hAnsiTheme="majorHAnsi"/>
          <w:sz w:val="16"/>
          <w:szCs w:val="16"/>
          <w:lang w:val="es-ES"/>
        </w:rPr>
        <w:t xml:space="preserve"> No. 248</w:t>
      </w:r>
      <w:r>
        <w:rPr>
          <w:rFonts w:asciiTheme="majorHAnsi" w:hAnsiTheme="majorHAnsi"/>
          <w:sz w:val="16"/>
          <w:szCs w:val="16"/>
          <w:lang w:val="es-ES"/>
        </w:rPr>
        <w:t>, párr.</w:t>
      </w:r>
      <w:r w:rsidRPr="005F06A1">
        <w:rPr>
          <w:rFonts w:asciiTheme="majorHAnsi" w:hAnsiTheme="majorHAnsi"/>
          <w:sz w:val="16"/>
          <w:szCs w:val="16"/>
          <w:lang w:val="es-ES"/>
        </w:rPr>
        <w:t xml:space="preserve"> 220</w:t>
      </w:r>
      <w:r>
        <w:rPr>
          <w:rFonts w:asciiTheme="majorHAnsi" w:hAnsiTheme="majorHAnsi"/>
          <w:sz w:val="16"/>
          <w:szCs w:val="16"/>
          <w:lang w:val="es-ES"/>
        </w:rPr>
        <w:t>; véanse también</w:t>
      </w:r>
      <w:r w:rsidRPr="005F06A1">
        <w:rPr>
          <w:rFonts w:asciiTheme="majorHAnsi" w:hAnsiTheme="majorHAnsi"/>
          <w:sz w:val="16"/>
          <w:szCs w:val="16"/>
          <w:lang w:val="es-ES"/>
        </w:rPr>
        <w:t xml:space="preserve"> </w:t>
      </w:r>
      <w:r w:rsidRPr="005F06A1">
        <w:rPr>
          <w:rFonts w:asciiTheme="majorHAnsi" w:hAnsiTheme="majorHAnsi"/>
          <w:i/>
          <w:iCs/>
          <w:sz w:val="16"/>
          <w:szCs w:val="16"/>
          <w:lang w:val="es-ES"/>
        </w:rPr>
        <w:t>Cas</w:t>
      </w:r>
      <w:r>
        <w:rPr>
          <w:rFonts w:asciiTheme="majorHAnsi" w:hAnsiTheme="majorHAnsi"/>
          <w:i/>
          <w:iCs/>
          <w:sz w:val="16"/>
          <w:szCs w:val="16"/>
          <w:lang w:val="es-ES"/>
        </w:rPr>
        <w:t>o</w:t>
      </w:r>
      <w:r w:rsidRPr="005F06A1">
        <w:rPr>
          <w:rFonts w:asciiTheme="majorHAnsi" w:hAnsiTheme="majorHAnsi"/>
          <w:i/>
          <w:iCs/>
          <w:sz w:val="16"/>
          <w:szCs w:val="16"/>
          <w:lang w:val="es-ES"/>
        </w:rPr>
        <w:t xml:space="preserve"> Valle Jaramillo </w:t>
      </w:r>
      <w:r>
        <w:rPr>
          <w:rFonts w:asciiTheme="majorHAnsi" w:hAnsiTheme="majorHAnsi"/>
          <w:i/>
          <w:iCs/>
          <w:sz w:val="16"/>
          <w:szCs w:val="16"/>
          <w:lang w:val="es-ES"/>
        </w:rPr>
        <w:t>y otros Vs</w:t>
      </w:r>
      <w:r w:rsidRPr="005F06A1">
        <w:rPr>
          <w:rFonts w:asciiTheme="majorHAnsi" w:hAnsiTheme="majorHAnsi"/>
          <w:i/>
          <w:iCs/>
          <w:sz w:val="16"/>
          <w:szCs w:val="16"/>
          <w:lang w:val="es-ES"/>
        </w:rPr>
        <w:t>. Colombia</w:t>
      </w:r>
      <w:r>
        <w:rPr>
          <w:rFonts w:asciiTheme="majorHAnsi" w:hAnsiTheme="majorHAnsi"/>
          <w:i/>
          <w:iCs/>
          <w:sz w:val="16"/>
          <w:szCs w:val="16"/>
          <w:lang w:val="es-ES"/>
        </w:rPr>
        <w:t>.</w:t>
      </w:r>
      <w:r w:rsidRPr="005F06A1">
        <w:rPr>
          <w:rFonts w:asciiTheme="majorHAnsi" w:hAnsiTheme="majorHAnsi"/>
          <w:sz w:val="16"/>
          <w:szCs w:val="16"/>
          <w:lang w:val="es-ES"/>
        </w:rPr>
        <w:t xml:space="preserve"> </w:t>
      </w:r>
      <w:r>
        <w:rPr>
          <w:rFonts w:asciiTheme="majorHAnsi" w:hAnsiTheme="majorHAnsi"/>
          <w:sz w:val="16"/>
          <w:szCs w:val="16"/>
          <w:lang w:val="es-ES"/>
        </w:rPr>
        <w:t>Fondo, Reparaciones y Costas, párr.</w:t>
      </w:r>
      <w:r w:rsidRPr="005F06A1">
        <w:rPr>
          <w:rFonts w:asciiTheme="majorHAnsi" w:hAnsiTheme="majorHAnsi"/>
          <w:sz w:val="16"/>
          <w:szCs w:val="16"/>
          <w:lang w:val="es-ES"/>
        </w:rPr>
        <w:t xml:space="preserve"> 139; </w:t>
      </w:r>
      <w:r>
        <w:rPr>
          <w:rFonts w:asciiTheme="majorHAnsi" w:hAnsiTheme="majorHAnsi"/>
          <w:i/>
          <w:iCs/>
          <w:sz w:val="16"/>
          <w:szCs w:val="16"/>
          <w:lang w:val="es-ES"/>
        </w:rPr>
        <w:t>Caso Manuel Cepeda Vargas vs. Colombia.</w:t>
      </w:r>
      <w:r w:rsidRPr="005F06A1">
        <w:rPr>
          <w:rFonts w:asciiTheme="majorHAnsi" w:hAnsiTheme="majorHAnsi"/>
          <w:sz w:val="16"/>
          <w:szCs w:val="16"/>
          <w:lang w:val="es-ES"/>
        </w:rPr>
        <w:t xml:space="preserve"> </w:t>
      </w:r>
      <w:r>
        <w:rPr>
          <w:rFonts w:asciiTheme="majorHAnsi" w:hAnsiTheme="majorHAnsi"/>
          <w:sz w:val="16"/>
          <w:szCs w:val="16"/>
          <w:lang w:val="es-ES"/>
        </w:rPr>
        <w:t>Excepciones Preliminares</w:t>
      </w:r>
      <w:r w:rsidRPr="005F06A1">
        <w:rPr>
          <w:rFonts w:asciiTheme="majorHAnsi" w:hAnsiTheme="majorHAnsi"/>
          <w:sz w:val="16"/>
          <w:szCs w:val="16"/>
          <w:lang w:val="es-ES"/>
        </w:rPr>
        <w:t xml:space="preserve">, </w:t>
      </w:r>
      <w:r>
        <w:rPr>
          <w:rFonts w:asciiTheme="majorHAnsi" w:hAnsiTheme="majorHAnsi"/>
          <w:sz w:val="16"/>
          <w:szCs w:val="16"/>
          <w:lang w:val="es-ES"/>
        </w:rPr>
        <w:t>Fondo, Reparaciones y Costas, párr.</w:t>
      </w:r>
      <w:r w:rsidRPr="005F06A1">
        <w:rPr>
          <w:rFonts w:asciiTheme="majorHAnsi" w:hAnsiTheme="majorHAnsi"/>
          <w:sz w:val="16"/>
          <w:szCs w:val="16"/>
          <w:lang w:val="es-ES"/>
        </w:rPr>
        <w:t xml:space="preserve"> 197.</w:t>
      </w:r>
    </w:p>
  </w:footnote>
  <w:footnote w:id="59">
    <w:p w14:paraId="71A28C9C" w14:textId="74100F35"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w:t>
      </w:r>
      <w:r>
        <w:rPr>
          <w:rFonts w:asciiTheme="majorHAnsi" w:hAnsiTheme="majorHAnsi"/>
          <w:sz w:val="16"/>
          <w:szCs w:val="16"/>
          <w:lang w:val="es-ES"/>
        </w:rPr>
        <w:t xml:space="preserve">Véase, por ejemplo, </w:t>
      </w:r>
      <w:r w:rsidRPr="005F06A1">
        <w:rPr>
          <w:rFonts w:asciiTheme="majorHAnsi" w:hAnsiTheme="majorHAnsi"/>
          <w:sz w:val="16"/>
          <w:szCs w:val="16"/>
          <w:lang w:val="es-ES"/>
        </w:rPr>
        <w:t xml:space="preserve">ACLU, </w:t>
      </w:r>
      <w:hyperlink r:id="rId25" w:history="1">
        <w:r w:rsidRPr="00A93EE8">
          <w:rPr>
            <w:rStyle w:val="Hyperlink"/>
            <w:rFonts w:asciiTheme="majorHAnsi" w:hAnsiTheme="majorHAnsi"/>
            <w:i/>
            <w:sz w:val="16"/>
            <w:szCs w:val="16"/>
            <w:lang w:val="es-ES"/>
          </w:rPr>
          <w:t>Why Sodomy Laws Matter</w:t>
        </w:r>
      </w:hyperlink>
      <w:r w:rsidRPr="005F06A1">
        <w:rPr>
          <w:rFonts w:asciiTheme="majorHAnsi" w:hAnsiTheme="majorHAnsi"/>
          <w:sz w:val="16"/>
          <w:szCs w:val="16"/>
          <w:lang w:val="es-ES"/>
        </w:rPr>
        <w:t xml:space="preserve">, </w:t>
      </w:r>
      <w:r>
        <w:rPr>
          <w:rFonts w:asciiTheme="majorHAnsi" w:hAnsiTheme="majorHAnsi"/>
          <w:sz w:val="16"/>
          <w:szCs w:val="16"/>
          <w:lang w:val="es-ES"/>
        </w:rPr>
        <w:t>donde se explica la forma en que las leyes de sodomía comenzaron a usarse contra las personas gais en Estados Unidos a fines de los años sesenta, cuando se puso en marcha el movimiento de defensa de los derechos de las personas gais.</w:t>
      </w:r>
      <w:r w:rsidRPr="005F06A1">
        <w:rPr>
          <w:rFonts w:asciiTheme="majorHAnsi" w:hAnsiTheme="majorHAnsi"/>
          <w:sz w:val="16"/>
          <w:szCs w:val="16"/>
          <w:lang w:val="es-ES"/>
        </w:rPr>
        <w:t xml:space="preserve"> </w:t>
      </w:r>
    </w:p>
  </w:footnote>
  <w:footnote w:id="60">
    <w:p w14:paraId="0AF0763D" w14:textId="0D11EA00" w:rsidR="00BE380F" w:rsidRPr="00293FA6" w:rsidRDefault="00BE380F" w:rsidP="0075398D">
      <w:pPr>
        <w:pStyle w:val="FootnoteText"/>
        <w:jc w:val="both"/>
        <w:rPr>
          <w:lang w:val="pt-BR"/>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w:t>
      </w:r>
      <w:r>
        <w:rPr>
          <w:rFonts w:asciiTheme="majorHAnsi" w:hAnsiTheme="majorHAnsi"/>
          <w:sz w:val="16"/>
          <w:szCs w:val="16"/>
          <w:lang w:val="es-ES"/>
        </w:rPr>
        <w:t xml:space="preserve">Véase CIDH. </w:t>
      </w:r>
      <w:hyperlink r:id="rId26" w:history="1">
        <w:r>
          <w:rPr>
            <w:rStyle w:val="Hyperlink"/>
            <w:rFonts w:asciiTheme="majorHAnsi" w:hAnsiTheme="majorHAnsi"/>
            <w:i/>
            <w:sz w:val="16"/>
            <w:szCs w:val="16"/>
            <w:lang w:val="es-ES"/>
          </w:rPr>
          <w:t>Informe sobre la situación de los derechos humanos en Jamaica</w:t>
        </w:r>
      </w:hyperlink>
      <w:r>
        <w:rPr>
          <w:rFonts w:asciiTheme="majorHAnsi" w:hAnsiTheme="majorHAnsi"/>
          <w:sz w:val="16"/>
          <w:szCs w:val="16"/>
          <w:lang w:val="es-ES"/>
        </w:rPr>
        <w:t xml:space="preserve">. </w:t>
      </w:r>
      <w:r w:rsidRPr="00293FA6">
        <w:rPr>
          <w:rFonts w:asciiTheme="majorHAnsi" w:hAnsiTheme="majorHAnsi"/>
          <w:sz w:val="16"/>
          <w:szCs w:val="16"/>
          <w:lang w:val="pt-BR"/>
        </w:rPr>
        <w:t>OEA/Ser.L/v/II.144, Doc. 12, 10 de agosto de 2012, párr. 270.</w:t>
      </w:r>
    </w:p>
  </w:footnote>
  <w:footnote w:id="61">
    <w:p w14:paraId="2715F15F" w14:textId="5438263A" w:rsidR="00BE380F" w:rsidRPr="005F06A1" w:rsidRDefault="00BE380F" w:rsidP="0075398D">
      <w:pPr>
        <w:pStyle w:val="FootnoteText"/>
        <w:jc w:val="both"/>
        <w:rPr>
          <w:lang w:val="es-ES"/>
        </w:rPr>
      </w:pPr>
      <w:r w:rsidRPr="005F06A1">
        <w:rPr>
          <w:rStyle w:val="FootnoteReference"/>
          <w:rFonts w:asciiTheme="majorHAnsi" w:hAnsiTheme="majorHAnsi"/>
          <w:sz w:val="16"/>
          <w:szCs w:val="16"/>
          <w:lang w:val="es-ES"/>
        </w:rPr>
        <w:footnoteRef/>
      </w:r>
      <w:r w:rsidRPr="00293FA6">
        <w:rPr>
          <w:rFonts w:asciiTheme="majorHAnsi" w:hAnsiTheme="majorHAnsi"/>
          <w:sz w:val="16"/>
          <w:szCs w:val="16"/>
          <w:lang w:val="pt-BR"/>
        </w:rPr>
        <w:t xml:space="preserve"> CIDH. </w:t>
      </w:r>
      <w:hyperlink r:id="rId27" w:history="1">
        <w:r w:rsidRPr="00293FA6">
          <w:rPr>
            <w:rStyle w:val="Hyperlink"/>
            <w:rFonts w:asciiTheme="majorHAnsi" w:hAnsiTheme="majorHAnsi"/>
            <w:i/>
            <w:sz w:val="16"/>
            <w:szCs w:val="16"/>
            <w:lang w:val="pt-BR"/>
          </w:rPr>
          <w:t>Violencia contra personas lesbianas, gay, bisexuales, trans e intersex en América</w:t>
        </w:r>
      </w:hyperlink>
      <w:r w:rsidRPr="00293FA6">
        <w:rPr>
          <w:rFonts w:asciiTheme="majorHAnsi" w:hAnsiTheme="majorHAnsi"/>
          <w:i/>
          <w:sz w:val="16"/>
          <w:szCs w:val="16"/>
          <w:lang w:val="pt-BR"/>
        </w:rPr>
        <w:t>.</w:t>
      </w:r>
      <w:r w:rsidRPr="00293FA6">
        <w:rPr>
          <w:rFonts w:asciiTheme="majorHAnsi" w:hAnsiTheme="majorHAnsi"/>
          <w:sz w:val="16"/>
          <w:szCs w:val="16"/>
          <w:lang w:val="pt-BR"/>
        </w:rPr>
        <w:t xml:space="preserve"> OEA/Ser.L/V/II.rev.1, Doc. 36, 12 de noviembre de 2015, para 61; CIDH. </w:t>
      </w:r>
      <w:hyperlink r:id="rId28" w:history="1">
        <w:r w:rsidRPr="00A93EE8">
          <w:rPr>
            <w:rStyle w:val="Hyperlink"/>
            <w:rFonts w:asciiTheme="majorHAnsi" w:hAnsiTheme="majorHAnsi"/>
            <w:i/>
            <w:sz w:val="16"/>
            <w:szCs w:val="16"/>
            <w:lang w:val="es-ES"/>
          </w:rPr>
          <w:t>Informe sobre la situación de los derechos humanos en Jamaica</w:t>
        </w:r>
      </w:hyperlink>
      <w:r w:rsidRPr="00A93EE8">
        <w:rPr>
          <w:rFonts w:asciiTheme="majorHAnsi" w:hAnsiTheme="majorHAnsi"/>
          <w:sz w:val="16"/>
          <w:szCs w:val="16"/>
          <w:lang w:val="es-ES"/>
        </w:rPr>
        <w:t xml:space="preserve">. </w:t>
      </w:r>
      <w:r w:rsidRPr="00293FA6">
        <w:rPr>
          <w:rFonts w:asciiTheme="majorHAnsi" w:hAnsiTheme="majorHAnsi"/>
          <w:sz w:val="16"/>
          <w:szCs w:val="16"/>
          <w:lang w:val="pt-BR"/>
        </w:rPr>
        <w:t xml:space="preserve">OEA/Ser.L/v/II.144, Doc. 12, 10 de agosto de 2012, párr. </w:t>
      </w:r>
      <w:r w:rsidRPr="005F06A1">
        <w:rPr>
          <w:rFonts w:asciiTheme="majorHAnsi" w:hAnsiTheme="majorHAnsi"/>
          <w:sz w:val="16"/>
          <w:szCs w:val="16"/>
          <w:lang w:val="es-ES"/>
        </w:rPr>
        <w:t>287.</w:t>
      </w:r>
    </w:p>
  </w:footnote>
  <w:footnote w:id="62">
    <w:p w14:paraId="752FAC4A" w14:textId="7CC68311"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Corte IDH. </w:t>
      </w:r>
      <w:r w:rsidRPr="00A93EE8">
        <w:rPr>
          <w:rFonts w:asciiTheme="majorHAnsi" w:hAnsiTheme="majorHAnsi"/>
          <w:i/>
          <w:sz w:val="16"/>
          <w:szCs w:val="16"/>
          <w:lang w:val="es-ES"/>
        </w:rPr>
        <w:t>Caso Artavia Murillo y otros (“Fecundación in vitro”) vs. Costa Rica</w:t>
      </w:r>
      <w:r w:rsidRPr="005F06A1">
        <w:rPr>
          <w:rFonts w:asciiTheme="majorHAnsi" w:hAnsiTheme="majorHAnsi"/>
          <w:sz w:val="16"/>
          <w:szCs w:val="16"/>
          <w:lang w:val="es-ES"/>
        </w:rPr>
        <w:t xml:space="preserve">. </w:t>
      </w:r>
      <w:r>
        <w:rPr>
          <w:rFonts w:asciiTheme="majorHAnsi" w:hAnsiTheme="majorHAnsi"/>
          <w:sz w:val="16"/>
          <w:szCs w:val="16"/>
          <w:lang w:val="es-ES"/>
        </w:rPr>
        <w:t>Excepciones Preliminares</w:t>
      </w:r>
      <w:r w:rsidRPr="005F06A1">
        <w:rPr>
          <w:rFonts w:asciiTheme="majorHAnsi" w:hAnsiTheme="majorHAnsi"/>
          <w:sz w:val="16"/>
          <w:szCs w:val="16"/>
          <w:lang w:val="es-ES"/>
        </w:rPr>
        <w:t xml:space="preserve">, </w:t>
      </w:r>
      <w:r>
        <w:rPr>
          <w:rFonts w:asciiTheme="majorHAnsi" w:hAnsiTheme="majorHAnsi"/>
          <w:sz w:val="16"/>
          <w:szCs w:val="16"/>
          <w:lang w:val="es-ES"/>
        </w:rPr>
        <w:t>Fondo, Reparaciones y Costas</w:t>
      </w:r>
      <w:r w:rsidRPr="005F06A1">
        <w:rPr>
          <w:rFonts w:asciiTheme="majorHAnsi" w:hAnsiTheme="majorHAnsi"/>
          <w:sz w:val="16"/>
          <w:szCs w:val="16"/>
          <w:lang w:val="es-ES"/>
        </w:rPr>
        <w:t xml:space="preserve">. </w:t>
      </w:r>
      <w:r>
        <w:rPr>
          <w:rFonts w:asciiTheme="majorHAnsi" w:hAnsiTheme="majorHAnsi"/>
          <w:sz w:val="16"/>
          <w:szCs w:val="16"/>
          <w:lang w:val="es-ES"/>
        </w:rPr>
        <w:t>Sentencia de</w:t>
      </w:r>
      <w:r w:rsidRPr="005F06A1">
        <w:rPr>
          <w:rFonts w:asciiTheme="majorHAnsi" w:hAnsiTheme="majorHAnsi"/>
          <w:sz w:val="16"/>
          <w:szCs w:val="16"/>
          <w:lang w:val="es-ES"/>
        </w:rPr>
        <w:t xml:space="preserve"> </w:t>
      </w:r>
      <w:r>
        <w:rPr>
          <w:rFonts w:asciiTheme="majorHAnsi" w:hAnsiTheme="majorHAnsi"/>
          <w:sz w:val="16"/>
          <w:szCs w:val="16"/>
          <w:lang w:val="es-ES"/>
        </w:rPr>
        <w:t xml:space="preserve">28 de noviembre de </w:t>
      </w:r>
      <w:r w:rsidRPr="005F06A1">
        <w:rPr>
          <w:rFonts w:asciiTheme="majorHAnsi" w:hAnsiTheme="majorHAnsi"/>
          <w:sz w:val="16"/>
          <w:szCs w:val="16"/>
          <w:lang w:val="es-ES"/>
        </w:rPr>
        <w:t xml:space="preserve">2012. </w:t>
      </w:r>
      <w:r>
        <w:rPr>
          <w:rFonts w:asciiTheme="majorHAnsi" w:hAnsiTheme="majorHAnsi"/>
          <w:sz w:val="16"/>
          <w:szCs w:val="16"/>
          <w:lang w:val="es-ES"/>
        </w:rPr>
        <w:t>Serie</w:t>
      </w:r>
      <w:r w:rsidRPr="005F06A1">
        <w:rPr>
          <w:rFonts w:asciiTheme="majorHAnsi" w:hAnsiTheme="majorHAnsi"/>
          <w:sz w:val="16"/>
          <w:szCs w:val="16"/>
          <w:lang w:val="es-ES"/>
        </w:rPr>
        <w:t xml:space="preserve"> C No. 257</w:t>
      </w:r>
      <w:r>
        <w:rPr>
          <w:rFonts w:asciiTheme="majorHAnsi" w:hAnsiTheme="majorHAnsi"/>
          <w:sz w:val="16"/>
          <w:szCs w:val="16"/>
          <w:lang w:val="es-ES"/>
        </w:rPr>
        <w:t>, párr.</w:t>
      </w:r>
      <w:r w:rsidRPr="005F06A1">
        <w:rPr>
          <w:rFonts w:asciiTheme="majorHAnsi" w:hAnsiTheme="majorHAnsi"/>
          <w:sz w:val="16"/>
          <w:szCs w:val="16"/>
          <w:lang w:val="es-ES"/>
        </w:rPr>
        <w:t xml:space="preserve"> 273; </w:t>
      </w:r>
      <w:r>
        <w:rPr>
          <w:rStyle w:val="Strong"/>
          <w:rFonts w:asciiTheme="majorHAnsi" w:hAnsiTheme="majorHAnsi"/>
          <w:b w:val="0"/>
          <w:sz w:val="16"/>
          <w:szCs w:val="16"/>
          <w:lang w:val="es-ES"/>
        </w:rPr>
        <w:t xml:space="preserve">Corte IDH. </w:t>
      </w:r>
      <w:r w:rsidRPr="00A93EE8">
        <w:rPr>
          <w:rStyle w:val="Strong"/>
          <w:rFonts w:asciiTheme="majorHAnsi" w:hAnsiTheme="majorHAnsi"/>
          <w:b w:val="0"/>
          <w:i/>
          <w:sz w:val="16"/>
          <w:szCs w:val="16"/>
          <w:lang w:val="es-ES"/>
        </w:rPr>
        <w:t>Caso Atala Riffo y niñas vs. Chile</w:t>
      </w:r>
      <w:r>
        <w:rPr>
          <w:rStyle w:val="Strong"/>
          <w:rFonts w:asciiTheme="majorHAnsi" w:hAnsiTheme="majorHAnsi"/>
          <w:b w:val="0"/>
          <w:sz w:val="16"/>
          <w:szCs w:val="16"/>
          <w:lang w:val="es-ES"/>
        </w:rPr>
        <w:t>. Fondo, Reparaciones y Costas. Sentencia de 24 de febrero de 2012</w:t>
      </w:r>
      <w:r w:rsidRPr="005F06A1">
        <w:rPr>
          <w:rStyle w:val="Strong"/>
          <w:rFonts w:asciiTheme="majorHAnsi" w:hAnsiTheme="majorHAnsi"/>
          <w:b w:val="0"/>
          <w:sz w:val="16"/>
          <w:szCs w:val="16"/>
          <w:lang w:val="es-ES"/>
        </w:rPr>
        <w:t xml:space="preserve">. </w:t>
      </w:r>
      <w:r>
        <w:rPr>
          <w:rStyle w:val="Strong"/>
          <w:rFonts w:asciiTheme="majorHAnsi" w:hAnsiTheme="majorHAnsi"/>
          <w:b w:val="0"/>
          <w:sz w:val="16"/>
          <w:szCs w:val="16"/>
          <w:lang w:val="es-ES"/>
        </w:rPr>
        <w:t>Serie</w:t>
      </w:r>
      <w:r w:rsidRPr="005F06A1">
        <w:rPr>
          <w:rStyle w:val="Strong"/>
          <w:rFonts w:asciiTheme="majorHAnsi" w:hAnsiTheme="majorHAnsi"/>
          <w:b w:val="0"/>
          <w:sz w:val="16"/>
          <w:szCs w:val="16"/>
          <w:lang w:val="es-ES"/>
        </w:rPr>
        <w:t xml:space="preserve"> C No. 239, párr.</w:t>
      </w:r>
      <w:r w:rsidRPr="005F06A1">
        <w:rPr>
          <w:rFonts w:asciiTheme="majorHAnsi" w:hAnsiTheme="majorHAnsi"/>
          <w:sz w:val="16"/>
          <w:szCs w:val="16"/>
          <w:lang w:val="es-ES"/>
        </w:rPr>
        <w:t xml:space="preserve"> 146.</w:t>
      </w:r>
      <w:r w:rsidRPr="005F06A1">
        <w:rPr>
          <w:rFonts w:asciiTheme="majorHAnsi" w:hAnsiTheme="majorHAnsi"/>
          <w:b/>
          <w:sz w:val="16"/>
          <w:szCs w:val="16"/>
          <w:lang w:val="es-ES"/>
        </w:rPr>
        <w:t xml:space="preserve"> </w:t>
      </w:r>
    </w:p>
  </w:footnote>
  <w:footnote w:id="63">
    <w:p w14:paraId="0E8A9B51" w14:textId="52B6EF18"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w:t>
      </w:r>
      <w:r w:rsidRPr="00283971">
        <w:rPr>
          <w:rFonts w:asciiTheme="majorHAnsi" w:hAnsiTheme="majorHAnsi"/>
          <w:sz w:val="16"/>
          <w:szCs w:val="16"/>
          <w:lang w:val="es-ES"/>
        </w:rPr>
        <w:t xml:space="preserve">CIDH. </w:t>
      </w:r>
      <w:hyperlink r:id="rId29" w:history="1">
        <w:r w:rsidRPr="00283971">
          <w:rPr>
            <w:rStyle w:val="Hyperlink"/>
            <w:rFonts w:asciiTheme="majorHAnsi" w:hAnsiTheme="majorHAnsi"/>
            <w:i/>
            <w:sz w:val="16"/>
            <w:szCs w:val="16"/>
            <w:lang w:val="es-ES"/>
          </w:rPr>
          <w:t>Violencia contra personas lesbianas, gay, bisexuales, trans e intersex en América</w:t>
        </w:r>
      </w:hyperlink>
      <w:r w:rsidRPr="00283971">
        <w:rPr>
          <w:rFonts w:asciiTheme="majorHAnsi" w:hAnsiTheme="majorHAnsi"/>
          <w:i/>
          <w:sz w:val="16"/>
          <w:szCs w:val="16"/>
          <w:lang w:val="es-ES"/>
        </w:rPr>
        <w:t>.</w:t>
      </w:r>
      <w:r w:rsidRPr="00283971">
        <w:rPr>
          <w:rFonts w:asciiTheme="majorHAnsi" w:hAnsiTheme="majorHAnsi"/>
          <w:sz w:val="16"/>
          <w:szCs w:val="16"/>
          <w:lang w:val="es-ES"/>
        </w:rPr>
        <w:t xml:space="preserve"> OEA/Ser.L/V/II.rev.1, Doc. 36, 12 de noviembre de 2015</w:t>
      </w:r>
      <w:r w:rsidRPr="005F06A1">
        <w:rPr>
          <w:rFonts w:asciiTheme="majorHAnsi" w:hAnsiTheme="majorHAnsi"/>
          <w:sz w:val="16"/>
          <w:szCs w:val="16"/>
          <w:lang w:val="es-ES"/>
        </w:rPr>
        <w:t>, p</w:t>
      </w:r>
      <w:r>
        <w:rPr>
          <w:rFonts w:asciiTheme="majorHAnsi" w:hAnsiTheme="majorHAnsi"/>
          <w:sz w:val="16"/>
          <w:szCs w:val="16"/>
          <w:lang w:val="es-ES"/>
        </w:rPr>
        <w:t xml:space="preserve">árr. </w:t>
      </w:r>
      <w:r w:rsidRPr="005F06A1">
        <w:rPr>
          <w:rFonts w:asciiTheme="majorHAnsi" w:hAnsiTheme="majorHAnsi"/>
          <w:sz w:val="16"/>
          <w:szCs w:val="16"/>
          <w:lang w:val="es-ES"/>
        </w:rPr>
        <w:t xml:space="preserve">85; Corte IDH. </w:t>
      </w:r>
      <w:r w:rsidRPr="006F1290">
        <w:rPr>
          <w:rFonts w:asciiTheme="majorHAnsi" w:hAnsiTheme="majorHAnsi"/>
          <w:i/>
          <w:sz w:val="16"/>
          <w:szCs w:val="16"/>
          <w:lang w:val="es-ES"/>
        </w:rPr>
        <w:t>Caso Flor Freire vs. Ecuador</w:t>
      </w:r>
      <w:r w:rsidRPr="005F06A1">
        <w:rPr>
          <w:rFonts w:asciiTheme="majorHAnsi" w:hAnsiTheme="majorHAnsi"/>
          <w:sz w:val="16"/>
          <w:szCs w:val="16"/>
          <w:lang w:val="es-ES"/>
        </w:rPr>
        <w:t>. Excepción Preliminar, Fondo, Reparaciones y Costas. Sentencia de 31 de agosto de 2016, p</w:t>
      </w:r>
      <w:r>
        <w:rPr>
          <w:rFonts w:asciiTheme="majorHAnsi" w:hAnsiTheme="majorHAnsi"/>
          <w:sz w:val="16"/>
          <w:szCs w:val="16"/>
          <w:lang w:val="es-ES"/>
        </w:rPr>
        <w:t>árr</w:t>
      </w:r>
      <w:r w:rsidRPr="005F06A1">
        <w:rPr>
          <w:rFonts w:asciiTheme="majorHAnsi" w:hAnsiTheme="majorHAnsi"/>
          <w:sz w:val="16"/>
          <w:szCs w:val="16"/>
          <w:lang w:val="es-ES"/>
        </w:rPr>
        <w:t xml:space="preserve">. 23; </w:t>
      </w:r>
    </w:p>
  </w:footnote>
  <w:footnote w:id="64">
    <w:p w14:paraId="7C393BE5" w14:textId="642F0C98"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w:t>
      </w:r>
      <w:r>
        <w:rPr>
          <w:rFonts w:asciiTheme="majorHAnsi" w:hAnsiTheme="majorHAnsi"/>
          <w:sz w:val="16"/>
          <w:szCs w:val="16"/>
          <w:lang w:val="es-ES"/>
        </w:rPr>
        <w:t xml:space="preserve">CIDH. </w:t>
      </w:r>
      <w:hyperlink r:id="rId30" w:history="1">
        <w:r w:rsidRPr="00060D58">
          <w:rPr>
            <w:rStyle w:val="Hyperlink"/>
            <w:rFonts w:asciiTheme="majorHAnsi" w:hAnsiTheme="majorHAnsi"/>
            <w:i/>
            <w:sz w:val="16"/>
            <w:szCs w:val="16"/>
            <w:lang w:val="es-ES"/>
          </w:rPr>
          <w:t>Demanda ante la Corte Interamericana de Derechos Humanos en el caso Karen Atala e hijas contra el Estado de Chile</w:t>
        </w:r>
      </w:hyperlink>
      <w:r>
        <w:rPr>
          <w:rFonts w:asciiTheme="majorHAnsi" w:hAnsiTheme="majorHAnsi"/>
          <w:sz w:val="16"/>
          <w:szCs w:val="16"/>
          <w:lang w:val="es-ES"/>
        </w:rPr>
        <w:t>. Caso 12.502. 17 de septiembre de 2010, párr. 88.</w:t>
      </w:r>
    </w:p>
  </w:footnote>
  <w:footnote w:id="65">
    <w:p w14:paraId="1BA7C16E" w14:textId="572344F1"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w:t>
      </w:r>
      <w:r w:rsidRPr="001F1600">
        <w:rPr>
          <w:rFonts w:asciiTheme="majorHAnsi" w:hAnsiTheme="majorHAnsi"/>
          <w:sz w:val="16"/>
          <w:szCs w:val="16"/>
          <w:lang w:val="es-ES"/>
        </w:rPr>
        <w:t xml:space="preserve">CIDH. </w:t>
      </w:r>
      <w:hyperlink r:id="rId31" w:history="1">
        <w:r w:rsidRPr="00060D58">
          <w:rPr>
            <w:rStyle w:val="Hyperlink"/>
            <w:rFonts w:asciiTheme="majorHAnsi" w:hAnsiTheme="majorHAnsi"/>
            <w:i/>
            <w:sz w:val="16"/>
            <w:szCs w:val="16"/>
            <w:lang w:val="es-ES"/>
          </w:rPr>
          <w:t>Demanda ante la Corte Interamericana de Derechos Humanos en el caso Karen Atala e hijas contra el Estado de Chile</w:t>
        </w:r>
      </w:hyperlink>
      <w:r w:rsidRPr="001F1600">
        <w:rPr>
          <w:rFonts w:asciiTheme="majorHAnsi" w:hAnsiTheme="majorHAnsi"/>
          <w:sz w:val="16"/>
          <w:szCs w:val="16"/>
          <w:lang w:val="es-ES"/>
        </w:rPr>
        <w:t>. Caso 12.502. 17 de septiembre de 2010</w:t>
      </w:r>
      <w:r w:rsidRPr="005F06A1">
        <w:rPr>
          <w:rFonts w:asciiTheme="majorHAnsi" w:hAnsiTheme="majorHAnsi"/>
          <w:sz w:val="16"/>
          <w:szCs w:val="16"/>
          <w:lang w:val="es-ES"/>
        </w:rPr>
        <w:t xml:space="preserve">, párr. </w:t>
      </w:r>
      <w:r>
        <w:rPr>
          <w:rFonts w:asciiTheme="majorHAnsi" w:hAnsiTheme="majorHAnsi"/>
          <w:sz w:val="16"/>
          <w:szCs w:val="16"/>
          <w:lang w:val="es-ES"/>
        </w:rPr>
        <w:t>88</w:t>
      </w:r>
      <w:r w:rsidRPr="005F06A1">
        <w:rPr>
          <w:rFonts w:asciiTheme="majorHAnsi" w:hAnsiTheme="majorHAnsi"/>
          <w:sz w:val="16"/>
          <w:szCs w:val="16"/>
          <w:lang w:val="es-ES"/>
        </w:rPr>
        <w:t>.</w:t>
      </w:r>
    </w:p>
  </w:footnote>
  <w:footnote w:id="66">
    <w:p w14:paraId="253A14BA" w14:textId="3C616AAC"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w:t>
      </w:r>
      <w:r>
        <w:rPr>
          <w:rFonts w:asciiTheme="majorHAnsi" w:hAnsiTheme="majorHAnsi"/>
          <w:sz w:val="16"/>
          <w:szCs w:val="16"/>
          <w:lang w:val="es-ES"/>
        </w:rPr>
        <w:t xml:space="preserve">El artículo </w:t>
      </w:r>
      <w:r w:rsidRPr="005F06A1">
        <w:rPr>
          <w:rFonts w:asciiTheme="majorHAnsi" w:hAnsiTheme="majorHAnsi"/>
          <w:sz w:val="16"/>
          <w:szCs w:val="16"/>
          <w:lang w:val="es-ES"/>
        </w:rPr>
        <w:t xml:space="preserve">9 </w:t>
      </w:r>
      <w:r>
        <w:rPr>
          <w:rFonts w:asciiTheme="majorHAnsi" w:hAnsiTheme="majorHAnsi"/>
          <w:sz w:val="16"/>
          <w:szCs w:val="16"/>
          <w:lang w:val="es-ES"/>
        </w:rPr>
        <w:t xml:space="preserve">de la </w:t>
      </w:r>
      <w:r w:rsidRPr="005F06A1">
        <w:rPr>
          <w:rFonts w:asciiTheme="majorHAnsi" w:hAnsiTheme="majorHAnsi"/>
          <w:sz w:val="16"/>
          <w:szCs w:val="16"/>
          <w:lang w:val="es-ES"/>
        </w:rPr>
        <w:t xml:space="preserve">Convención Americana </w:t>
      </w:r>
      <w:r>
        <w:rPr>
          <w:rFonts w:asciiTheme="majorHAnsi" w:hAnsiTheme="majorHAnsi"/>
          <w:sz w:val="16"/>
          <w:szCs w:val="16"/>
          <w:lang w:val="es-ES"/>
        </w:rPr>
        <w:t xml:space="preserve">dice: </w:t>
      </w:r>
      <w:r w:rsidRPr="005F06A1">
        <w:rPr>
          <w:rFonts w:asciiTheme="majorHAnsi" w:hAnsiTheme="majorHAnsi"/>
          <w:sz w:val="16"/>
          <w:szCs w:val="16"/>
          <w:lang w:val="es-ES"/>
        </w:rPr>
        <w:t>“</w:t>
      </w:r>
      <w:r w:rsidRPr="006C4B9E">
        <w:rPr>
          <w:rFonts w:asciiTheme="majorHAnsi" w:hAnsiTheme="majorHAnsi"/>
          <w:sz w:val="16"/>
          <w:szCs w:val="16"/>
          <w:lang w:val="es-ES"/>
        </w:rPr>
        <w:t>Nadie puede ser condenado por acciones u omisiones que en el momento de cometerse no fueran delictivos según el derecho aplicable. Tampoco se puede imponer pena más grave que la aplicable en el momento de la comisión del delito. Si con posterioridad a la comisión del delito la ley dispone la imposición de una pena más leve, el delincuente se beneficiará de ello</w:t>
      </w:r>
      <w:r w:rsidRPr="005F06A1">
        <w:rPr>
          <w:rFonts w:asciiTheme="majorHAnsi" w:hAnsiTheme="majorHAnsi"/>
          <w:sz w:val="16"/>
          <w:szCs w:val="16"/>
          <w:lang w:val="es-ES"/>
        </w:rPr>
        <w:t>”.</w:t>
      </w:r>
    </w:p>
  </w:footnote>
  <w:footnote w:id="67">
    <w:p w14:paraId="4039DA0B" w14:textId="43756F0C"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Corte IDH. </w:t>
      </w:r>
      <w:r w:rsidRPr="006C4B9E">
        <w:rPr>
          <w:rFonts w:asciiTheme="majorHAnsi" w:hAnsiTheme="majorHAnsi"/>
          <w:i/>
          <w:sz w:val="16"/>
          <w:szCs w:val="16"/>
          <w:lang w:val="es-ES"/>
        </w:rPr>
        <w:t>Caso Norín Catrimán y otros (dirigentes, miembros y activistas del pueblo indígena Mapuche) vs. Chile</w:t>
      </w:r>
      <w:r w:rsidRPr="005F06A1">
        <w:rPr>
          <w:rFonts w:asciiTheme="majorHAnsi" w:hAnsiTheme="majorHAnsi"/>
          <w:sz w:val="16"/>
          <w:szCs w:val="16"/>
          <w:lang w:val="es-ES"/>
        </w:rPr>
        <w:t xml:space="preserve">. </w:t>
      </w:r>
      <w:r>
        <w:rPr>
          <w:rFonts w:asciiTheme="majorHAnsi" w:hAnsiTheme="majorHAnsi"/>
          <w:sz w:val="16"/>
          <w:szCs w:val="16"/>
          <w:lang w:val="es-ES"/>
        </w:rPr>
        <w:t>Fondo, Reparaciones y Costas.</w:t>
      </w:r>
      <w:r w:rsidRPr="005F06A1">
        <w:rPr>
          <w:rFonts w:asciiTheme="majorHAnsi" w:hAnsiTheme="majorHAnsi"/>
          <w:sz w:val="16"/>
          <w:szCs w:val="16"/>
          <w:lang w:val="es-ES"/>
        </w:rPr>
        <w:t xml:space="preserve"> </w:t>
      </w:r>
      <w:r>
        <w:rPr>
          <w:rFonts w:asciiTheme="majorHAnsi" w:hAnsiTheme="majorHAnsi"/>
          <w:sz w:val="16"/>
          <w:szCs w:val="16"/>
          <w:lang w:val="es-ES"/>
        </w:rPr>
        <w:t>Sentencia de</w:t>
      </w:r>
      <w:r w:rsidRPr="005F06A1">
        <w:rPr>
          <w:rFonts w:asciiTheme="majorHAnsi" w:hAnsiTheme="majorHAnsi"/>
          <w:sz w:val="16"/>
          <w:szCs w:val="16"/>
          <w:lang w:val="es-ES"/>
        </w:rPr>
        <w:t xml:space="preserve"> 29</w:t>
      </w:r>
      <w:r>
        <w:rPr>
          <w:rFonts w:asciiTheme="majorHAnsi" w:hAnsiTheme="majorHAnsi"/>
          <w:sz w:val="16"/>
          <w:szCs w:val="16"/>
          <w:lang w:val="es-ES"/>
        </w:rPr>
        <w:t xml:space="preserve"> de mayo de</w:t>
      </w:r>
      <w:r w:rsidRPr="005F06A1">
        <w:rPr>
          <w:rFonts w:asciiTheme="majorHAnsi" w:hAnsiTheme="majorHAnsi"/>
          <w:sz w:val="16"/>
          <w:szCs w:val="16"/>
          <w:lang w:val="es-ES"/>
        </w:rPr>
        <w:t xml:space="preserve"> 2014</w:t>
      </w:r>
      <w:r>
        <w:rPr>
          <w:rFonts w:asciiTheme="majorHAnsi" w:hAnsiTheme="majorHAnsi"/>
          <w:sz w:val="16"/>
          <w:szCs w:val="16"/>
          <w:lang w:val="es-ES"/>
        </w:rPr>
        <w:t>, párr.</w:t>
      </w:r>
      <w:r w:rsidRPr="005F06A1">
        <w:rPr>
          <w:rFonts w:asciiTheme="majorHAnsi" w:hAnsiTheme="majorHAnsi"/>
          <w:sz w:val="16"/>
          <w:szCs w:val="16"/>
          <w:lang w:val="es-ES"/>
        </w:rPr>
        <w:t xml:space="preserve"> 161. </w:t>
      </w:r>
    </w:p>
  </w:footnote>
  <w:footnote w:id="68">
    <w:p w14:paraId="08C7E4EB" w14:textId="4315A5D6" w:rsidR="00BE380F" w:rsidRPr="005F06A1" w:rsidRDefault="00BE380F" w:rsidP="0075398D">
      <w:pPr>
        <w:pStyle w:val="Title"/>
        <w:ind w:firstLine="0"/>
        <w:jc w:val="both"/>
        <w:rPr>
          <w:rFonts w:asciiTheme="majorHAnsi" w:hAnsiTheme="majorHAnsi" w:cs="Arial"/>
          <w:b w:val="0"/>
          <w:sz w:val="16"/>
          <w:szCs w:val="16"/>
          <w:lang w:val="es-ES"/>
        </w:rPr>
      </w:pPr>
      <w:r w:rsidRPr="00D96DCF">
        <w:rPr>
          <w:rStyle w:val="FootnoteReference"/>
          <w:rFonts w:asciiTheme="majorHAnsi" w:hAnsiTheme="majorHAnsi"/>
          <w:b w:val="0"/>
          <w:sz w:val="16"/>
          <w:szCs w:val="16"/>
          <w:lang w:val="es-ES"/>
        </w:rPr>
        <w:footnoteRef/>
      </w:r>
      <w:r w:rsidRPr="00D96DCF">
        <w:rPr>
          <w:rFonts w:asciiTheme="majorHAnsi" w:hAnsiTheme="majorHAnsi"/>
          <w:b w:val="0"/>
          <w:sz w:val="16"/>
          <w:szCs w:val="16"/>
          <w:lang w:val="es-ES"/>
        </w:rPr>
        <w:t xml:space="preserve"> </w:t>
      </w:r>
      <w:r w:rsidRPr="005F06A1">
        <w:rPr>
          <w:rFonts w:asciiTheme="majorHAnsi" w:hAnsiTheme="majorHAnsi"/>
          <w:b w:val="0"/>
          <w:sz w:val="16"/>
          <w:szCs w:val="16"/>
          <w:lang w:val="es-ES"/>
        </w:rPr>
        <w:t>CIDH. Informe No.176/10</w:t>
      </w:r>
      <w:r>
        <w:rPr>
          <w:rFonts w:asciiTheme="majorHAnsi" w:hAnsiTheme="majorHAnsi"/>
          <w:b w:val="0"/>
          <w:sz w:val="16"/>
          <w:szCs w:val="16"/>
          <w:lang w:val="es-ES"/>
        </w:rPr>
        <w:t>.</w:t>
      </w:r>
      <w:r w:rsidRPr="005F06A1">
        <w:rPr>
          <w:rFonts w:asciiTheme="majorHAnsi" w:hAnsiTheme="majorHAnsi"/>
          <w:b w:val="0"/>
          <w:sz w:val="16"/>
          <w:szCs w:val="16"/>
          <w:lang w:val="es-ES"/>
        </w:rPr>
        <w:t xml:space="preserve"> Cas</w:t>
      </w:r>
      <w:r>
        <w:rPr>
          <w:rFonts w:asciiTheme="majorHAnsi" w:hAnsiTheme="majorHAnsi"/>
          <w:b w:val="0"/>
          <w:sz w:val="16"/>
          <w:szCs w:val="16"/>
          <w:lang w:val="es-ES"/>
        </w:rPr>
        <w:t>o</w:t>
      </w:r>
      <w:r w:rsidRPr="005F06A1">
        <w:rPr>
          <w:rFonts w:asciiTheme="majorHAnsi" w:hAnsiTheme="majorHAnsi"/>
          <w:b w:val="0"/>
          <w:sz w:val="16"/>
          <w:szCs w:val="16"/>
          <w:lang w:val="es-ES"/>
        </w:rPr>
        <w:t xml:space="preserve">s 12.576, 12.611 </w:t>
      </w:r>
      <w:r>
        <w:rPr>
          <w:rFonts w:asciiTheme="majorHAnsi" w:hAnsiTheme="majorHAnsi"/>
          <w:b w:val="0"/>
          <w:sz w:val="16"/>
          <w:szCs w:val="16"/>
          <w:lang w:val="es-ES"/>
        </w:rPr>
        <w:t>y</w:t>
      </w:r>
      <w:r w:rsidRPr="005F06A1">
        <w:rPr>
          <w:rFonts w:asciiTheme="majorHAnsi" w:hAnsiTheme="majorHAnsi"/>
          <w:b w:val="0"/>
          <w:sz w:val="16"/>
          <w:szCs w:val="16"/>
          <w:lang w:val="es-ES"/>
        </w:rPr>
        <w:t xml:space="preserve"> 12.612. </w:t>
      </w:r>
      <w:r>
        <w:rPr>
          <w:rFonts w:asciiTheme="majorHAnsi" w:hAnsiTheme="majorHAnsi"/>
          <w:b w:val="0"/>
          <w:sz w:val="16"/>
          <w:szCs w:val="16"/>
          <w:lang w:val="es-ES"/>
        </w:rPr>
        <w:t xml:space="preserve">Segundo </w:t>
      </w:r>
      <w:r w:rsidRPr="005F06A1">
        <w:rPr>
          <w:rFonts w:asciiTheme="majorHAnsi" w:hAnsiTheme="majorHAnsi"/>
          <w:b w:val="0"/>
          <w:sz w:val="16"/>
          <w:szCs w:val="16"/>
          <w:lang w:val="es-ES"/>
        </w:rPr>
        <w:t>Aniceto Nor</w:t>
      </w:r>
      <w:r>
        <w:rPr>
          <w:rFonts w:asciiTheme="majorHAnsi" w:hAnsiTheme="majorHAnsi"/>
          <w:b w:val="0"/>
          <w:sz w:val="16"/>
          <w:szCs w:val="16"/>
          <w:lang w:val="es-ES"/>
        </w:rPr>
        <w:t>í</w:t>
      </w:r>
      <w:r w:rsidRPr="005F06A1">
        <w:rPr>
          <w:rFonts w:asciiTheme="majorHAnsi" w:hAnsiTheme="majorHAnsi"/>
          <w:b w:val="0"/>
          <w:sz w:val="16"/>
          <w:szCs w:val="16"/>
          <w:lang w:val="es-ES"/>
        </w:rPr>
        <w:t>n Catrim</w:t>
      </w:r>
      <w:r>
        <w:rPr>
          <w:rFonts w:asciiTheme="majorHAnsi" w:hAnsiTheme="majorHAnsi"/>
          <w:b w:val="0"/>
          <w:sz w:val="16"/>
          <w:szCs w:val="16"/>
          <w:lang w:val="es-ES"/>
        </w:rPr>
        <w:t>á</w:t>
      </w:r>
      <w:r w:rsidRPr="005F06A1">
        <w:rPr>
          <w:rFonts w:asciiTheme="majorHAnsi" w:hAnsiTheme="majorHAnsi"/>
          <w:b w:val="0"/>
          <w:sz w:val="16"/>
          <w:szCs w:val="16"/>
          <w:lang w:val="es-ES"/>
        </w:rPr>
        <w:t xml:space="preserve">n, Juan Patricio Marileo Saravia, Víctor Ancalaf Llaupe </w:t>
      </w:r>
      <w:r>
        <w:rPr>
          <w:rFonts w:asciiTheme="majorHAnsi" w:hAnsiTheme="majorHAnsi"/>
          <w:b w:val="0"/>
          <w:sz w:val="16"/>
          <w:szCs w:val="16"/>
          <w:lang w:val="es-ES"/>
        </w:rPr>
        <w:t xml:space="preserve">y otros. </w:t>
      </w:r>
      <w:r w:rsidRPr="00D96DCF">
        <w:rPr>
          <w:rFonts w:asciiTheme="majorHAnsi" w:hAnsiTheme="majorHAnsi"/>
          <w:b w:val="0"/>
          <w:sz w:val="16"/>
          <w:szCs w:val="16"/>
          <w:lang w:val="es-ES"/>
        </w:rPr>
        <w:t xml:space="preserve">Fondo. </w:t>
      </w:r>
      <w:r>
        <w:rPr>
          <w:rFonts w:asciiTheme="majorHAnsi" w:hAnsiTheme="majorHAnsi"/>
          <w:b w:val="0"/>
          <w:sz w:val="16"/>
          <w:szCs w:val="16"/>
          <w:lang w:val="es-ES"/>
        </w:rPr>
        <w:t>5 de noviembre de 2010, párr.</w:t>
      </w:r>
      <w:r w:rsidRPr="005F06A1">
        <w:rPr>
          <w:rFonts w:asciiTheme="majorHAnsi" w:hAnsiTheme="majorHAnsi"/>
          <w:b w:val="0"/>
          <w:sz w:val="16"/>
          <w:szCs w:val="16"/>
          <w:lang w:val="es-ES"/>
        </w:rPr>
        <w:t xml:space="preserve"> 116.</w:t>
      </w:r>
    </w:p>
  </w:footnote>
  <w:footnote w:id="69">
    <w:p w14:paraId="5FF6CCEC" w14:textId="44A67E06"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Corte IDH. </w:t>
      </w:r>
      <w:r w:rsidRPr="00697DD9">
        <w:rPr>
          <w:rFonts w:asciiTheme="majorHAnsi" w:hAnsiTheme="majorHAnsi"/>
          <w:i/>
          <w:sz w:val="16"/>
          <w:szCs w:val="16"/>
          <w:lang w:val="es-ES"/>
        </w:rPr>
        <w:t>Caso J. vs. Perú</w:t>
      </w:r>
      <w:r w:rsidRPr="005F06A1">
        <w:rPr>
          <w:rFonts w:asciiTheme="majorHAnsi" w:hAnsiTheme="majorHAnsi"/>
          <w:sz w:val="16"/>
          <w:szCs w:val="16"/>
          <w:lang w:val="es-ES"/>
        </w:rPr>
        <w:t xml:space="preserve">. </w:t>
      </w:r>
      <w:r>
        <w:rPr>
          <w:rFonts w:asciiTheme="majorHAnsi" w:hAnsiTheme="majorHAnsi"/>
          <w:sz w:val="16"/>
          <w:szCs w:val="16"/>
          <w:lang w:val="es-ES"/>
        </w:rPr>
        <w:t>Excepción Preliminar</w:t>
      </w:r>
      <w:r w:rsidRPr="005F06A1">
        <w:rPr>
          <w:rFonts w:asciiTheme="majorHAnsi" w:hAnsiTheme="majorHAnsi"/>
          <w:sz w:val="16"/>
          <w:szCs w:val="16"/>
          <w:lang w:val="es-ES"/>
        </w:rPr>
        <w:t xml:space="preserve">, </w:t>
      </w:r>
      <w:r>
        <w:rPr>
          <w:rFonts w:asciiTheme="majorHAnsi" w:hAnsiTheme="majorHAnsi"/>
          <w:sz w:val="16"/>
          <w:szCs w:val="16"/>
          <w:lang w:val="es-ES"/>
        </w:rPr>
        <w:t>Fondo, Reparaciones y Costas</w:t>
      </w:r>
      <w:r w:rsidRPr="005F06A1">
        <w:rPr>
          <w:rFonts w:asciiTheme="majorHAnsi" w:hAnsiTheme="majorHAnsi"/>
          <w:sz w:val="16"/>
          <w:szCs w:val="16"/>
          <w:lang w:val="es-ES"/>
        </w:rPr>
        <w:t xml:space="preserve">. </w:t>
      </w:r>
      <w:r>
        <w:rPr>
          <w:rFonts w:asciiTheme="majorHAnsi" w:hAnsiTheme="majorHAnsi"/>
          <w:sz w:val="16"/>
          <w:szCs w:val="16"/>
          <w:lang w:val="es-ES"/>
        </w:rPr>
        <w:t>Sentencia de</w:t>
      </w:r>
      <w:r w:rsidRPr="005F06A1">
        <w:rPr>
          <w:rFonts w:asciiTheme="majorHAnsi" w:hAnsiTheme="majorHAnsi"/>
          <w:sz w:val="16"/>
          <w:szCs w:val="16"/>
          <w:lang w:val="es-ES"/>
        </w:rPr>
        <w:t xml:space="preserve"> 27</w:t>
      </w:r>
      <w:r>
        <w:rPr>
          <w:rFonts w:asciiTheme="majorHAnsi" w:hAnsiTheme="majorHAnsi"/>
          <w:sz w:val="16"/>
          <w:szCs w:val="16"/>
          <w:lang w:val="es-ES"/>
        </w:rPr>
        <w:t xml:space="preserve"> de noviembre de</w:t>
      </w:r>
      <w:r w:rsidRPr="005F06A1">
        <w:rPr>
          <w:rFonts w:asciiTheme="majorHAnsi" w:hAnsiTheme="majorHAnsi"/>
          <w:sz w:val="16"/>
          <w:szCs w:val="16"/>
          <w:lang w:val="es-ES"/>
        </w:rPr>
        <w:t xml:space="preserve"> 2013</w:t>
      </w:r>
      <w:r>
        <w:rPr>
          <w:rFonts w:asciiTheme="majorHAnsi" w:hAnsiTheme="majorHAnsi"/>
          <w:sz w:val="16"/>
          <w:szCs w:val="16"/>
          <w:lang w:val="es-ES"/>
        </w:rPr>
        <w:t xml:space="preserve">, párr. </w:t>
      </w:r>
      <w:r w:rsidRPr="005F06A1">
        <w:rPr>
          <w:rFonts w:asciiTheme="majorHAnsi" w:hAnsiTheme="majorHAnsi"/>
          <w:sz w:val="16"/>
          <w:szCs w:val="16"/>
          <w:lang w:val="es-ES"/>
        </w:rPr>
        <w:t>287.</w:t>
      </w:r>
    </w:p>
  </w:footnote>
  <w:footnote w:id="70">
    <w:p w14:paraId="349CE111" w14:textId="6271D0B1"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Corte IDH. </w:t>
      </w:r>
      <w:r w:rsidRPr="00697DD9">
        <w:rPr>
          <w:rFonts w:asciiTheme="majorHAnsi" w:hAnsiTheme="majorHAnsi"/>
          <w:i/>
          <w:sz w:val="16"/>
          <w:szCs w:val="16"/>
          <w:lang w:val="es-ES"/>
        </w:rPr>
        <w:t>Opinión Consultiva OC-6/86 del 9 de mayo de 1986. La expresión “leyes” en el artículo 30 de la Convención Americana sobre Derechos Humanos</w:t>
      </w:r>
      <w:r>
        <w:rPr>
          <w:rFonts w:asciiTheme="majorHAnsi" w:hAnsiTheme="majorHAnsi"/>
          <w:sz w:val="16"/>
          <w:szCs w:val="16"/>
          <w:lang w:val="es-ES"/>
        </w:rPr>
        <w:t>, párr. 32</w:t>
      </w:r>
      <w:r w:rsidRPr="005F06A1">
        <w:rPr>
          <w:rFonts w:asciiTheme="majorHAnsi" w:hAnsiTheme="majorHAnsi"/>
          <w:sz w:val="16"/>
          <w:szCs w:val="16"/>
          <w:lang w:val="es-ES"/>
        </w:rPr>
        <w:t>.</w:t>
      </w:r>
    </w:p>
  </w:footnote>
  <w:footnote w:id="71">
    <w:p w14:paraId="668900FC" w14:textId="6746CF85"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w:t>
      </w:r>
      <w:r w:rsidRPr="004C664A">
        <w:rPr>
          <w:rFonts w:asciiTheme="majorHAnsi" w:hAnsiTheme="majorHAnsi"/>
          <w:sz w:val="16"/>
          <w:szCs w:val="16"/>
          <w:lang w:val="es-ES"/>
        </w:rPr>
        <w:t xml:space="preserve">CIDH. </w:t>
      </w:r>
      <w:hyperlink r:id="rId32" w:history="1">
        <w:r w:rsidRPr="004C664A">
          <w:rPr>
            <w:rStyle w:val="Hyperlink"/>
            <w:rFonts w:asciiTheme="majorHAnsi" w:hAnsiTheme="majorHAnsi"/>
            <w:i/>
            <w:sz w:val="16"/>
            <w:szCs w:val="16"/>
            <w:lang w:val="es-ES"/>
          </w:rPr>
          <w:t>Criminalización de defensoras y defensores de derechos humanos</w:t>
        </w:r>
      </w:hyperlink>
      <w:r w:rsidRPr="004C664A">
        <w:rPr>
          <w:rFonts w:asciiTheme="majorHAnsi" w:hAnsiTheme="majorHAnsi"/>
          <w:sz w:val="16"/>
          <w:szCs w:val="16"/>
          <w:lang w:val="es-ES"/>
        </w:rPr>
        <w:t>. OEA/Ser.L/V/II.Doc.49/15, 31 de diciembre del 2015</w:t>
      </w:r>
      <w:r w:rsidRPr="005F06A1">
        <w:rPr>
          <w:rFonts w:asciiTheme="majorHAnsi" w:hAnsiTheme="majorHAnsi"/>
          <w:sz w:val="16"/>
          <w:szCs w:val="16"/>
          <w:lang w:val="es-ES"/>
        </w:rPr>
        <w:t>, p</w:t>
      </w:r>
      <w:r>
        <w:rPr>
          <w:rFonts w:asciiTheme="majorHAnsi" w:hAnsiTheme="majorHAnsi"/>
          <w:sz w:val="16"/>
          <w:szCs w:val="16"/>
          <w:lang w:val="es-ES"/>
        </w:rPr>
        <w:t>árr.</w:t>
      </w:r>
      <w:r w:rsidRPr="005F06A1">
        <w:rPr>
          <w:rFonts w:asciiTheme="majorHAnsi" w:hAnsiTheme="majorHAnsi"/>
          <w:sz w:val="16"/>
          <w:szCs w:val="16"/>
          <w:lang w:val="es-ES"/>
        </w:rPr>
        <w:t xml:space="preserve"> 241. </w:t>
      </w:r>
    </w:p>
  </w:footnote>
  <w:footnote w:id="72">
    <w:p w14:paraId="26A1F6AB" w14:textId="45389821"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Corte IDH. </w:t>
      </w:r>
      <w:r w:rsidRPr="00697DD9">
        <w:rPr>
          <w:rFonts w:asciiTheme="majorHAnsi" w:hAnsiTheme="majorHAnsi"/>
          <w:i/>
          <w:sz w:val="16"/>
          <w:szCs w:val="16"/>
          <w:lang w:val="es-ES"/>
        </w:rPr>
        <w:t>Caso Pollo Rivera y otros vs. Perú</w:t>
      </w:r>
      <w:r w:rsidRPr="005F06A1">
        <w:rPr>
          <w:rFonts w:asciiTheme="majorHAnsi" w:hAnsiTheme="majorHAnsi"/>
          <w:sz w:val="16"/>
          <w:szCs w:val="16"/>
          <w:lang w:val="es-ES"/>
        </w:rPr>
        <w:t xml:space="preserve">. Fondo, Reparaciones y Costas. Sentencia de 21 de octubre de 2016. Serie C </w:t>
      </w:r>
      <w:r>
        <w:rPr>
          <w:rFonts w:asciiTheme="majorHAnsi" w:hAnsiTheme="majorHAnsi"/>
          <w:sz w:val="16"/>
          <w:szCs w:val="16"/>
          <w:lang w:val="es-ES"/>
        </w:rPr>
        <w:t>N</w:t>
      </w:r>
      <w:r w:rsidRPr="005F06A1">
        <w:rPr>
          <w:rFonts w:asciiTheme="majorHAnsi" w:hAnsiTheme="majorHAnsi"/>
          <w:sz w:val="16"/>
          <w:szCs w:val="16"/>
          <w:lang w:val="es-ES"/>
        </w:rPr>
        <w:t>o. 319,</w:t>
      </w:r>
      <w:r>
        <w:rPr>
          <w:rFonts w:asciiTheme="majorHAnsi" w:hAnsiTheme="majorHAnsi"/>
          <w:sz w:val="16"/>
          <w:szCs w:val="16"/>
          <w:lang w:val="es-ES"/>
        </w:rPr>
        <w:t xml:space="preserve"> párr</w:t>
      </w:r>
      <w:r w:rsidRPr="005F06A1">
        <w:rPr>
          <w:rFonts w:asciiTheme="majorHAnsi" w:hAnsiTheme="majorHAnsi"/>
          <w:sz w:val="16"/>
          <w:szCs w:val="16"/>
          <w:lang w:val="es-ES"/>
        </w:rPr>
        <w:t xml:space="preserve">. 256. </w:t>
      </w:r>
    </w:p>
  </w:footnote>
  <w:footnote w:id="73">
    <w:p w14:paraId="6610D809" w14:textId="1FB73ED1"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Corte IDH. </w:t>
      </w:r>
      <w:r w:rsidRPr="00697DD9">
        <w:rPr>
          <w:rFonts w:asciiTheme="majorHAnsi" w:hAnsiTheme="majorHAnsi"/>
          <w:i/>
          <w:sz w:val="16"/>
          <w:szCs w:val="16"/>
          <w:lang w:val="es-ES"/>
        </w:rPr>
        <w:t>Caso Pollo Rivera y otros vs. Perú</w:t>
      </w:r>
      <w:r w:rsidRPr="005F06A1">
        <w:rPr>
          <w:rFonts w:asciiTheme="majorHAnsi" w:hAnsiTheme="majorHAnsi"/>
          <w:sz w:val="16"/>
          <w:szCs w:val="16"/>
          <w:lang w:val="es-ES"/>
        </w:rPr>
        <w:t xml:space="preserve">. Fondo, Reparaciones y Costas. Sentencia de 21 de octubre de 2016. Serie C </w:t>
      </w:r>
      <w:r>
        <w:rPr>
          <w:rFonts w:asciiTheme="majorHAnsi" w:hAnsiTheme="majorHAnsi"/>
          <w:sz w:val="16"/>
          <w:szCs w:val="16"/>
          <w:lang w:val="es-ES"/>
        </w:rPr>
        <w:t>N</w:t>
      </w:r>
      <w:r w:rsidRPr="005F06A1">
        <w:rPr>
          <w:rFonts w:asciiTheme="majorHAnsi" w:hAnsiTheme="majorHAnsi"/>
          <w:sz w:val="16"/>
          <w:szCs w:val="16"/>
          <w:lang w:val="es-ES"/>
        </w:rPr>
        <w:t>o. 319,</w:t>
      </w:r>
      <w:r>
        <w:rPr>
          <w:rFonts w:asciiTheme="majorHAnsi" w:hAnsiTheme="majorHAnsi"/>
          <w:sz w:val="16"/>
          <w:szCs w:val="16"/>
          <w:lang w:val="es-ES"/>
        </w:rPr>
        <w:t xml:space="preserve"> párr</w:t>
      </w:r>
      <w:r w:rsidRPr="005F06A1">
        <w:rPr>
          <w:rFonts w:asciiTheme="majorHAnsi" w:hAnsiTheme="majorHAnsi"/>
          <w:sz w:val="16"/>
          <w:szCs w:val="16"/>
          <w:lang w:val="es-ES"/>
        </w:rPr>
        <w:t xml:space="preserve">. 256; </w:t>
      </w:r>
      <w:r>
        <w:rPr>
          <w:rFonts w:asciiTheme="majorHAnsi" w:hAnsiTheme="majorHAnsi"/>
          <w:sz w:val="16"/>
          <w:szCs w:val="16"/>
          <w:lang w:val="es-ES"/>
        </w:rPr>
        <w:t>véase también</w:t>
      </w:r>
      <w:r w:rsidRPr="005F06A1">
        <w:rPr>
          <w:rFonts w:asciiTheme="majorHAnsi" w:hAnsiTheme="majorHAnsi"/>
          <w:sz w:val="16"/>
          <w:szCs w:val="16"/>
          <w:lang w:val="es-ES"/>
        </w:rPr>
        <w:t xml:space="preserve"> Corte IDH. </w:t>
      </w:r>
      <w:r w:rsidRPr="00697DD9">
        <w:rPr>
          <w:rFonts w:asciiTheme="majorHAnsi" w:hAnsiTheme="majorHAnsi"/>
          <w:i/>
          <w:sz w:val="16"/>
          <w:szCs w:val="16"/>
          <w:lang w:val="es-ES"/>
        </w:rPr>
        <w:t>Caso De la Cruz Flores Vs. Perú</w:t>
      </w:r>
      <w:r w:rsidRPr="005F06A1">
        <w:rPr>
          <w:rFonts w:asciiTheme="majorHAnsi" w:hAnsiTheme="majorHAnsi"/>
          <w:sz w:val="16"/>
          <w:szCs w:val="16"/>
          <w:lang w:val="es-ES"/>
        </w:rPr>
        <w:t xml:space="preserve">. </w:t>
      </w:r>
      <w:r>
        <w:rPr>
          <w:rFonts w:asciiTheme="majorHAnsi" w:hAnsiTheme="majorHAnsi"/>
          <w:sz w:val="16"/>
          <w:szCs w:val="16"/>
          <w:lang w:val="es-ES"/>
        </w:rPr>
        <w:t>Fondo, Reparaciones y Costas</w:t>
      </w:r>
      <w:r w:rsidRPr="005F06A1">
        <w:rPr>
          <w:rFonts w:asciiTheme="majorHAnsi" w:hAnsiTheme="majorHAnsi"/>
          <w:sz w:val="16"/>
          <w:szCs w:val="16"/>
          <w:lang w:val="es-ES"/>
        </w:rPr>
        <w:t xml:space="preserve">. </w:t>
      </w:r>
      <w:r>
        <w:rPr>
          <w:rFonts w:asciiTheme="majorHAnsi" w:hAnsiTheme="majorHAnsi"/>
          <w:sz w:val="16"/>
          <w:szCs w:val="16"/>
          <w:lang w:val="es-ES"/>
        </w:rPr>
        <w:t>Sentencia de</w:t>
      </w:r>
      <w:r w:rsidRPr="005F06A1">
        <w:rPr>
          <w:rFonts w:asciiTheme="majorHAnsi" w:hAnsiTheme="majorHAnsi"/>
          <w:sz w:val="16"/>
          <w:szCs w:val="16"/>
          <w:lang w:val="es-ES"/>
        </w:rPr>
        <w:t xml:space="preserve"> 18</w:t>
      </w:r>
      <w:r>
        <w:rPr>
          <w:rFonts w:asciiTheme="majorHAnsi" w:hAnsiTheme="majorHAnsi"/>
          <w:sz w:val="16"/>
          <w:szCs w:val="16"/>
          <w:lang w:val="es-ES"/>
        </w:rPr>
        <w:t xml:space="preserve"> de noviembre de</w:t>
      </w:r>
      <w:r w:rsidRPr="005F06A1">
        <w:rPr>
          <w:rFonts w:asciiTheme="majorHAnsi" w:hAnsiTheme="majorHAnsi"/>
          <w:sz w:val="16"/>
          <w:szCs w:val="16"/>
          <w:lang w:val="es-ES"/>
        </w:rPr>
        <w:t xml:space="preserve"> 2004</w:t>
      </w:r>
      <w:r>
        <w:rPr>
          <w:rFonts w:asciiTheme="majorHAnsi" w:hAnsiTheme="majorHAnsi"/>
          <w:sz w:val="16"/>
          <w:szCs w:val="16"/>
          <w:lang w:val="es-ES"/>
        </w:rPr>
        <w:t xml:space="preserve">, párr. </w:t>
      </w:r>
      <w:r w:rsidRPr="005F06A1">
        <w:rPr>
          <w:rFonts w:asciiTheme="majorHAnsi" w:hAnsiTheme="majorHAnsi"/>
          <w:sz w:val="16"/>
          <w:szCs w:val="16"/>
          <w:lang w:val="es-ES"/>
        </w:rPr>
        <w:t>102.</w:t>
      </w:r>
    </w:p>
  </w:footnote>
  <w:footnote w:id="74">
    <w:p w14:paraId="74E180DD" w14:textId="7BEAB80A" w:rsidR="00BE380F" w:rsidRPr="005F06A1" w:rsidRDefault="00BE380F" w:rsidP="0075398D">
      <w:pPr>
        <w:pStyle w:val="FootnoteText"/>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w:t>
      </w:r>
      <w:r>
        <w:rPr>
          <w:rFonts w:asciiTheme="majorHAnsi" w:hAnsiTheme="majorHAnsi"/>
          <w:sz w:val="16"/>
          <w:szCs w:val="16"/>
          <w:lang w:val="es-ES"/>
        </w:rPr>
        <w:t xml:space="preserve">El artículo </w:t>
      </w:r>
      <w:r w:rsidRPr="005F06A1">
        <w:rPr>
          <w:rFonts w:asciiTheme="majorHAnsi" w:hAnsiTheme="majorHAnsi"/>
          <w:sz w:val="16"/>
          <w:szCs w:val="16"/>
          <w:lang w:val="es-ES"/>
        </w:rPr>
        <w:t xml:space="preserve">25 </w:t>
      </w:r>
      <w:r>
        <w:rPr>
          <w:rFonts w:asciiTheme="majorHAnsi" w:hAnsiTheme="majorHAnsi"/>
          <w:sz w:val="16"/>
          <w:szCs w:val="16"/>
          <w:lang w:val="es-ES"/>
        </w:rPr>
        <w:t xml:space="preserve">de la </w:t>
      </w:r>
      <w:r w:rsidRPr="005F06A1">
        <w:rPr>
          <w:rFonts w:asciiTheme="majorHAnsi" w:hAnsiTheme="majorHAnsi"/>
          <w:sz w:val="16"/>
          <w:szCs w:val="16"/>
          <w:lang w:val="es-ES"/>
        </w:rPr>
        <w:t xml:space="preserve">Convención Americana </w:t>
      </w:r>
      <w:r>
        <w:rPr>
          <w:rFonts w:asciiTheme="majorHAnsi" w:hAnsiTheme="majorHAnsi"/>
          <w:sz w:val="16"/>
          <w:szCs w:val="16"/>
          <w:lang w:val="es-ES"/>
        </w:rPr>
        <w:t>dice</w:t>
      </w:r>
      <w:r w:rsidRPr="005F06A1">
        <w:rPr>
          <w:rFonts w:asciiTheme="majorHAnsi" w:hAnsiTheme="majorHAnsi"/>
          <w:sz w:val="16"/>
          <w:szCs w:val="16"/>
          <w:lang w:val="es-ES"/>
        </w:rPr>
        <w:t xml:space="preserve">: </w:t>
      </w:r>
      <w:r>
        <w:rPr>
          <w:rFonts w:asciiTheme="majorHAnsi" w:hAnsiTheme="majorHAnsi"/>
          <w:sz w:val="16"/>
          <w:szCs w:val="16"/>
          <w:lang w:val="es-ES"/>
        </w:rPr>
        <w:t>“</w:t>
      </w:r>
      <w:r w:rsidRPr="005F06A1">
        <w:rPr>
          <w:rFonts w:asciiTheme="majorHAnsi" w:hAnsiTheme="majorHAnsi"/>
          <w:sz w:val="16"/>
          <w:szCs w:val="16"/>
          <w:lang w:val="es-ES"/>
        </w:rPr>
        <w:t>1.</w:t>
      </w:r>
      <w:r w:rsidRPr="00293FA6">
        <w:rPr>
          <w:lang w:val="es-VE"/>
        </w:rPr>
        <w:t xml:space="preserve"> </w:t>
      </w:r>
      <w:r w:rsidRPr="006C4B9E">
        <w:rPr>
          <w:rFonts w:asciiTheme="majorHAnsi" w:hAnsiTheme="majorHAnsi"/>
          <w:sz w:val="16"/>
          <w:szCs w:val="16"/>
          <w:lang w:val="es-ES"/>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r>
        <w:rPr>
          <w:rFonts w:asciiTheme="majorHAnsi" w:hAnsiTheme="majorHAnsi"/>
          <w:sz w:val="16"/>
          <w:szCs w:val="16"/>
          <w:lang w:val="es-ES"/>
        </w:rPr>
        <w:t>”</w:t>
      </w:r>
      <w:r w:rsidRPr="005F06A1">
        <w:rPr>
          <w:rFonts w:asciiTheme="majorHAnsi" w:hAnsiTheme="majorHAnsi"/>
          <w:sz w:val="16"/>
          <w:szCs w:val="16"/>
          <w:lang w:val="es-ES"/>
        </w:rPr>
        <w:t>.</w:t>
      </w:r>
    </w:p>
  </w:footnote>
  <w:footnote w:id="75">
    <w:p w14:paraId="281FB239" w14:textId="4B98928A" w:rsidR="00BE380F" w:rsidRPr="005F06A1" w:rsidRDefault="00BE380F" w:rsidP="0075398D">
      <w:pPr>
        <w:tabs>
          <w:tab w:val="left" w:pos="180"/>
          <w:tab w:val="left" w:pos="900"/>
          <w:tab w:val="left" w:pos="1080"/>
        </w:tabs>
        <w:jc w:val="both"/>
        <w:rPr>
          <w:rFonts w:asciiTheme="majorHAnsi" w:hAnsiTheme="majorHAnsi"/>
          <w:sz w:val="16"/>
          <w:szCs w:val="16"/>
          <w:lang w:val="es-ES"/>
        </w:rPr>
      </w:pPr>
      <w:r w:rsidRPr="005F06A1">
        <w:rPr>
          <w:rStyle w:val="FootnoteReference"/>
          <w:rFonts w:asciiTheme="majorHAnsi" w:hAnsiTheme="majorHAnsi"/>
          <w:sz w:val="16"/>
          <w:szCs w:val="16"/>
          <w:lang w:val="es-ES"/>
        </w:rPr>
        <w:footnoteRef/>
      </w:r>
      <w:r w:rsidRPr="005F06A1">
        <w:rPr>
          <w:rFonts w:asciiTheme="majorHAnsi" w:hAnsiTheme="majorHAnsi"/>
          <w:color w:val="000000"/>
          <w:sz w:val="16"/>
          <w:szCs w:val="16"/>
          <w:lang w:val="es-ES"/>
        </w:rPr>
        <w:t xml:space="preserve"> </w:t>
      </w:r>
      <w:r>
        <w:rPr>
          <w:rFonts w:asciiTheme="majorHAnsi" w:hAnsiTheme="majorHAnsi"/>
          <w:color w:val="000000"/>
          <w:sz w:val="16"/>
          <w:szCs w:val="16"/>
          <w:lang w:val="es-ES"/>
        </w:rPr>
        <w:t xml:space="preserve">Corte IDH. </w:t>
      </w:r>
      <w:r w:rsidRPr="00697DD9">
        <w:rPr>
          <w:rFonts w:asciiTheme="majorHAnsi" w:hAnsiTheme="majorHAnsi"/>
          <w:i/>
          <w:color w:val="000000"/>
          <w:sz w:val="16"/>
          <w:szCs w:val="16"/>
          <w:lang w:val="es-ES"/>
        </w:rPr>
        <w:t>Caso Trabajadores Cesados del Congreso (Aguado Alfaro y otros)</w:t>
      </w:r>
      <w:r>
        <w:rPr>
          <w:rFonts w:asciiTheme="majorHAnsi" w:hAnsiTheme="majorHAnsi"/>
          <w:i/>
          <w:color w:val="000000"/>
          <w:sz w:val="16"/>
          <w:szCs w:val="16"/>
          <w:lang w:val="es-ES"/>
        </w:rPr>
        <w:t xml:space="preserve"> Vs. Perú</w:t>
      </w:r>
      <w:r w:rsidRPr="005F06A1">
        <w:rPr>
          <w:rFonts w:asciiTheme="majorHAnsi" w:hAnsiTheme="majorHAnsi"/>
          <w:color w:val="000000"/>
          <w:sz w:val="16"/>
          <w:szCs w:val="16"/>
          <w:lang w:val="es-ES"/>
        </w:rPr>
        <w:t xml:space="preserve">. </w:t>
      </w:r>
      <w:r>
        <w:rPr>
          <w:rFonts w:asciiTheme="majorHAnsi" w:hAnsiTheme="majorHAnsi"/>
          <w:color w:val="000000"/>
          <w:sz w:val="16"/>
          <w:szCs w:val="16"/>
          <w:lang w:val="es-ES"/>
        </w:rPr>
        <w:t>Excepciones Preliminares</w:t>
      </w:r>
      <w:r w:rsidRPr="005F06A1">
        <w:rPr>
          <w:rFonts w:asciiTheme="majorHAnsi" w:hAnsiTheme="majorHAnsi"/>
          <w:color w:val="000000"/>
          <w:sz w:val="16"/>
          <w:szCs w:val="16"/>
          <w:lang w:val="es-ES"/>
        </w:rPr>
        <w:t xml:space="preserve">, </w:t>
      </w:r>
      <w:r>
        <w:rPr>
          <w:rFonts w:asciiTheme="majorHAnsi" w:hAnsiTheme="majorHAnsi"/>
          <w:color w:val="000000"/>
          <w:sz w:val="16"/>
          <w:szCs w:val="16"/>
          <w:lang w:val="es-ES"/>
        </w:rPr>
        <w:t>Fondo, Reparaciones y Costas</w:t>
      </w:r>
      <w:r w:rsidRPr="005F06A1">
        <w:rPr>
          <w:rFonts w:asciiTheme="majorHAnsi" w:hAnsiTheme="majorHAnsi"/>
          <w:color w:val="000000"/>
          <w:sz w:val="16"/>
          <w:szCs w:val="16"/>
          <w:lang w:val="es-ES"/>
        </w:rPr>
        <w:t xml:space="preserve">. </w:t>
      </w:r>
      <w:r>
        <w:rPr>
          <w:rFonts w:asciiTheme="majorHAnsi" w:hAnsiTheme="majorHAnsi"/>
          <w:color w:val="000000"/>
          <w:sz w:val="16"/>
          <w:szCs w:val="16"/>
          <w:lang w:val="es-ES"/>
        </w:rPr>
        <w:t>Sentencia de</w:t>
      </w:r>
      <w:r w:rsidRPr="005F06A1">
        <w:rPr>
          <w:rFonts w:asciiTheme="majorHAnsi" w:hAnsiTheme="majorHAnsi"/>
          <w:color w:val="000000"/>
          <w:sz w:val="16"/>
          <w:szCs w:val="16"/>
          <w:lang w:val="es-ES"/>
        </w:rPr>
        <w:t xml:space="preserve"> 24</w:t>
      </w:r>
      <w:r>
        <w:rPr>
          <w:rFonts w:asciiTheme="majorHAnsi" w:hAnsiTheme="majorHAnsi"/>
          <w:color w:val="000000"/>
          <w:sz w:val="16"/>
          <w:szCs w:val="16"/>
          <w:lang w:val="es-ES"/>
        </w:rPr>
        <w:t xml:space="preserve"> de noviembre de</w:t>
      </w:r>
      <w:r w:rsidRPr="005F06A1">
        <w:rPr>
          <w:rFonts w:asciiTheme="majorHAnsi" w:hAnsiTheme="majorHAnsi"/>
          <w:color w:val="000000"/>
          <w:sz w:val="16"/>
          <w:szCs w:val="16"/>
          <w:lang w:val="es-ES"/>
        </w:rPr>
        <w:t xml:space="preserve"> 2006. </w:t>
      </w:r>
      <w:r>
        <w:rPr>
          <w:rFonts w:asciiTheme="majorHAnsi" w:hAnsiTheme="majorHAnsi"/>
          <w:color w:val="000000"/>
          <w:sz w:val="16"/>
          <w:szCs w:val="16"/>
          <w:lang w:val="es-ES"/>
        </w:rPr>
        <w:t>Serie</w:t>
      </w:r>
      <w:r w:rsidRPr="005F06A1">
        <w:rPr>
          <w:rFonts w:asciiTheme="majorHAnsi" w:hAnsiTheme="majorHAnsi"/>
          <w:color w:val="000000"/>
          <w:sz w:val="16"/>
          <w:szCs w:val="16"/>
          <w:lang w:val="es-ES"/>
        </w:rPr>
        <w:t xml:space="preserve"> C No. 158, párr. 125; </w:t>
      </w:r>
      <w:r>
        <w:rPr>
          <w:rFonts w:asciiTheme="majorHAnsi" w:hAnsiTheme="majorHAnsi"/>
          <w:color w:val="000000"/>
          <w:sz w:val="16"/>
          <w:szCs w:val="16"/>
          <w:lang w:val="es-ES"/>
        </w:rPr>
        <w:t xml:space="preserve">Corte IDH. </w:t>
      </w:r>
      <w:r w:rsidRPr="00697DD9">
        <w:rPr>
          <w:rFonts w:asciiTheme="majorHAnsi" w:hAnsiTheme="majorHAnsi"/>
          <w:i/>
          <w:color w:val="000000"/>
          <w:sz w:val="16"/>
          <w:szCs w:val="16"/>
          <w:lang w:val="es-ES"/>
        </w:rPr>
        <w:t>Caso Comunidad indígena Yakye Axa Vs. Paraguay</w:t>
      </w:r>
      <w:r>
        <w:rPr>
          <w:rFonts w:asciiTheme="majorHAnsi" w:hAnsiTheme="majorHAnsi"/>
          <w:color w:val="000000"/>
          <w:sz w:val="16"/>
          <w:szCs w:val="16"/>
          <w:lang w:val="es-ES"/>
        </w:rPr>
        <w:t>. Fondo, Reparaciones y Costas. Sentencia de</w:t>
      </w:r>
      <w:r w:rsidRPr="005F06A1">
        <w:rPr>
          <w:rFonts w:asciiTheme="majorHAnsi" w:hAnsiTheme="majorHAnsi"/>
          <w:color w:val="000000"/>
          <w:sz w:val="16"/>
          <w:szCs w:val="16"/>
          <w:lang w:val="es-ES"/>
        </w:rPr>
        <w:t xml:space="preserve"> 17</w:t>
      </w:r>
      <w:r>
        <w:rPr>
          <w:rFonts w:asciiTheme="majorHAnsi" w:hAnsiTheme="majorHAnsi"/>
          <w:color w:val="000000"/>
          <w:sz w:val="16"/>
          <w:szCs w:val="16"/>
          <w:lang w:val="es-ES"/>
        </w:rPr>
        <w:t xml:space="preserve"> de junio de</w:t>
      </w:r>
      <w:r w:rsidRPr="005F06A1">
        <w:rPr>
          <w:rFonts w:asciiTheme="majorHAnsi" w:hAnsiTheme="majorHAnsi"/>
          <w:color w:val="000000"/>
          <w:sz w:val="16"/>
          <w:szCs w:val="16"/>
          <w:lang w:val="es-ES"/>
        </w:rPr>
        <w:t xml:space="preserve"> 2005. </w:t>
      </w:r>
      <w:r>
        <w:rPr>
          <w:rFonts w:asciiTheme="majorHAnsi" w:hAnsiTheme="majorHAnsi"/>
          <w:color w:val="000000"/>
          <w:sz w:val="16"/>
          <w:szCs w:val="16"/>
          <w:lang w:val="es-ES"/>
        </w:rPr>
        <w:t>Serie</w:t>
      </w:r>
      <w:r w:rsidRPr="005F06A1">
        <w:rPr>
          <w:rFonts w:asciiTheme="majorHAnsi" w:hAnsiTheme="majorHAnsi"/>
          <w:color w:val="000000"/>
          <w:sz w:val="16"/>
          <w:szCs w:val="16"/>
          <w:lang w:val="es-ES"/>
        </w:rPr>
        <w:t xml:space="preserve"> C No. 125</w:t>
      </w:r>
      <w:r w:rsidRPr="005F06A1">
        <w:rPr>
          <w:rFonts w:asciiTheme="majorHAnsi" w:hAnsiTheme="majorHAnsi"/>
          <w:sz w:val="16"/>
          <w:szCs w:val="16"/>
          <w:lang w:val="es-ES"/>
        </w:rPr>
        <w:t xml:space="preserve">, párr. 61; </w:t>
      </w:r>
      <w:r>
        <w:rPr>
          <w:rFonts w:asciiTheme="majorHAnsi" w:hAnsiTheme="majorHAnsi"/>
          <w:sz w:val="16"/>
          <w:szCs w:val="16"/>
          <w:lang w:val="es-ES"/>
        </w:rPr>
        <w:t xml:space="preserve">Corte IDH. </w:t>
      </w:r>
      <w:r w:rsidRPr="00697DD9">
        <w:rPr>
          <w:rFonts w:asciiTheme="majorHAnsi" w:hAnsiTheme="majorHAnsi"/>
          <w:i/>
          <w:sz w:val="16"/>
          <w:szCs w:val="16"/>
          <w:lang w:val="es-ES"/>
        </w:rPr>
        <w:t>Caso “Cinco Pensionistas” Vs. Perú</w:t>
      </w:r>
      <w:r>
        <w:rPr>
          <w:rFonts w:asciiTheme="majorHAnsi" w:hAnsiTheme="majorHAnsi"/>
          <w:sz w:val="16"/>
          <w:szCs w:val="16"/>
          <w:lang w:val="es-ES"/>
        </w:rPr>
        <w:t>.</w:t>
      </w:r>
      <w:r w:rsidRPr="005F06A1">
        <w:rPr>
          <w:rFonts w:asciiTheme="majorHAnsi" w:hAnsiTheme="majorHAnsi"/>
          <w:color w:val="000000"/>
          <w:sz w:val="16"/>
          <w:szCs w:val="16"/>
          <w:lang w:val="es-ES"/>
        </w:rPr>
        <w:t xml:space="preserve"> </w:t>
      </w:r>
      <w:r>
        <w:rPr>
          <w:rFonts w:asciiTheme="majorHAnsi" w:hAnsiTheme="majorHAnsi"/>
          <w:color w:val="000000"/>
          <w:sz w:val="16"/>
          <w:szCs w:val="16"/>
          <w:lang w:val="es-ES"/>
        </w:rPr>
        <w:t>Fondo, Reparaciones y Costas. Sentencia de</w:t>
      </w:r>
      <w:r w:rsidRPr="005F06A1">
        <w:rPr>
          <w:rFonts w:asciiTheme="majorHAnsi" w:hAnsiTheme="majorHAnsi"/>
          <w:color w:val="000000"/>
          <w:sz w:val="16"/>
          <w:szCs w:val="16"/>
          <w:lang w:val="es-ES"/>
        </w:rPr>
        <w:t xml:space="preserve"> 28</w:t>
      </w:r>
      <w:r>
        <w:rPr>
          <w:rFonts w:asciiTheme="majorHAnsi" w:hAnsiTheme="majorHAnsi"/>
          <w:color w:val="000000"/>
          <w:sz w:val="16"/>
          <w:szCs w:val="16"/>
          <w:lang w:val="es-ES"/>
        </w:rPr>
        <w:t xml:space="preserve"> de febrero de</w:t>
      </w:r>
      <w:r w:rsidRPr="005F06A1">
        <w:rPr>
          <w:rFonts w:asciiTheme="majorHAnsi" w:hAnsiTheme="majorHAnsi"/>
          <w:color w:val="000000"/>
          <w:sz w:val="16"/>
          <w:szCs w:val="16"/>
          <w:lang w:val="es-ES"/>
        </w:rPr>
        <w:t xml:space="preserve"> 2003. </w:t>
      </w:r>
      <w:r>
        <w:rPr>
          <w:rFonts w:asciiTheme="majorHAnsi" w:hAnsiTheme="majorHAnsi"/>
          <w:color w:val="000000"/>
          <w:sz w:val="16"/>
          <w:szCs w:val="16"/>
          <w:lang w:val="es-ES"/>
        </w:rPr>
        <w:t>Serie</w:t>
      </w:r>
      <w:r w:rsidRPr="005F06A1">
        <w:rPr>
          <w:rFonts w:asciiTheme="majorHAnsi" w:hAnsiTheme="majorHAnsi"/>
          <w:color w:val="000000"/>
          <w:sz w:val="16"/>
          <w:szCs w:val="16"/>
          <w:lang w:val="es-ES"/>
        </w:rPr>
        <w:t xml:space="preserve"> C No. 98</w:t>
      </w:r>
      <w:r w:rsidRPr="005F06A1">
        <w:rPr>
          <w:rFonts w:asciiTheme="majorHAnsi" w:hAnsiTheme="majorHAnsi"/>
          <w:sz w:val="16"/>
          <w:szCs w:val="16"/>
          <w:lang w:val="es-ES"/>
        </w:rPr>
        <w:t>, párr. 136.</w:t>
      </w:r>
    </w:p>
  </w:footnote>
  <w:footnote w:id="76">
    <w:p w14:paraId="0202E07A" w14:textId="1FFFD7BF" w:rsidR="00BE380F" w:rsidRPr="005F06A1" w:rsidRDefault="00BE380F" w:rsidP="0075398D">
      <w:pPr>
        <w:pStyle w:val="FootnoteText"/>
        <w:jc w:val="both"/>
        <w:rPr>
          <w:lang w:val="es-ES"/>
        </w:rPr>
      </w:pPr>
      <w:r w:rsidRPr="005F06A1">
        <w:rPr>
          <w:rStyle w:val="FootnoteReference"/>
          <w:rFonts w:asciiTheme="majorHAnsi" w:hAnsiTheme="majorHAnsi"/>
          <w:sz w:val="16"/>
          <w:szCs w:val="16"/>
          <w:lang w:val="es-ES"/>
        </w:rPr>
        <w:footnoteRef/>
      </w:r>
      <w:r w:rsidRPr="005F06A1">
        <w:rPr>
          <w:rFonts w:asciiTheme="majorHAnsi" w:hAnsiTheme="majorHAnsi"/>
          <w:sz w:val="16"/>
          <w:szCs w:val="16"/>
          <w:lang w:val="es-ES"/>
        </w:rPr>
        <w:t xml:space="preserve"> </w:t>
      </w:r>
      <w:r>
        <w:rPr>
          <w:rFonts w:asciiTheme="majorHAnsi" w:hAnsiTheme="majorHAnsi"/>
          <w:sz w:val="16"/>
          <w:szCs w:val="16"/>
          <w:lang w:val="es-ES"/>
        </w:rPr>
        <w:t xml:space="preserve">Corte IDH. </w:t>
      </w:r>
      <w:hyperlink r:id="rId33" w:history="1">
        <w:r w:rsidRPr="00CC04A6">
          <w:rPr>
            <w:rStyle w:val="Hyperlink"/>
            <w:rFonts w:asciiTheme="majorHAnsi" w:hAnsiTheme="majorHAnsi"/>
            <w:i/>
            <w:sz w:val="16"/>
            <w:szCs w:val="16"/>
            <w:lang w:val="es-ES"/>
          </w:rPr>
          <w:t>Caso Boyce y otros vs. Barbados</w:t>
        </w:r>
      </w:hyperlink>
      <w:r w:rsidRPr="005F06A1">
        <w:rPr>
          <w:rFonts w:asciiTheme="majorHAnsi" w:hAnsiTheme="majorHAnsi"/>
          <w:sz w:val="16"/>
          <w:szCs w:val="16"/>
          <w:lang w:val="es-ES"/>
        </w:rPr>
        <w:t xml:space="preserve">. </w:t>
      </w:r>
      <w:r>
        <w:rPr>
          <w:rFonts w:asciiTheme="majorHAnsi" w:hAnsiTheme="majorHAnsi"/>
          <w:sz w:val="16"/>
          <w:szCs w:val="16"/>
          <w:lang w:val="es-ES"/>
        </w:rPr>
        <w:t>Excepción Preliminar</w:t>
      </w:r>
      <w:r w:rsidRPr="005F06A1">
        <w:rPr>
          <w:rFonts w:asciiTheme="majorHAnsi" w:hAnsiTheme="majorHAnsi"/>
          <w:sz w:val="16"/>
          <w:szCs w:val="16"/>
          <w:lang w:val="es-ES"/>
        </w:rPr>
        <w:t xml:space="preserve">, </w:t>
      </w:r>
      <w:r>
        <w:rPr>
          <w:rFonts w:asciiTheme="majorHAnsi" w:hAnsiTheme="majorHAnsi"/>
          <w:sz w:val="16"/>
          <w:szCs w:val="16"/>
          <w:lang w:val="es-ES"/>
        </w:rPr>
        <w:t>Fondo, Reparaciones y Costas</w:t>
      </w:r>
      <w:r w:rsidRPr="005F06A1">
        <w:rPr>
          <w:rFonts w:asciiTheme="majorHAnsi" w:hAnsiTheme="majorHAnsi"/>
          <w:sz w:val="16"/>
          <w:szCs w:val="16"/>
          <w:lang w:val="es-ES"/>
        </w:rPr>
        <w:t xml:space="preserve">. </w:t>
      </w:r>
      <w:r>
        <w:rPr>
          <w:rFonts w:asciiTheme="majorHAnsi" w:hAnsiTheme="majorHAnsi"/>
          <w:sz w:val="16"/>
          <w:szCs w:val="16"/>
          <w:lang w:val="es-ES"/>
        </w:rPr>
        <w:t>Sentencia de</w:t>
      </w:r>
      <w:r w:rsidRPr="005F06A1">
        <w:rPr>
          <w:rFonts w:asciiTheme="majorHAnsi" w:hAnsiTheme="majorHAnsi"/>
          <w:sz w:val="16"/>
          <w:szCs w:val="16"/>
          <w:lang w:val="es-ES"/>
        </w:rPr>
        <w:t xml:space="preserve"> 20</w:t>
      </w:r>
      <w:r>
        <w:rPr>
          <w:rFonts w:asciiTheme="majorHAnsi" w:hAnsiTheme="majorHAnsi"/>
          <w:sz w:val="16"/>
          <w:szCs w:val="16"/>
          <w:lang w:val="es-ES"/>
        </w:rPr>
        <w:t xml:space="preserve"> de noviembre de</w:t>
      </w:r>
      <w:r w:rsidRPr="005F06A1">
        <w:rPr>
          <w:rFonts w:asciiTheme="majorHAnsi" w:hAnsiTheme="majorHAnsi"/>
          <w:sz w:val="16"/>
          <w:szCs w:val="16"/>
          <w:lang w:val="es-ES"/>
        </w:rPr>
        <w:t xml:space="preserve"> 2007, p</w:t>
      </w:r>
      <w:r>
        <w:rPr>
          <w:rFonts w:asciiTheme="majorHAnsi" w:hAnsiTheme="majorHAnsi"/>
          <w:sz w:val="16"/>
          <w:szCs w:val="16"/>
          <w:lang w:val="es-ES"/>
        </w:rPr>
        <w:t xml:space="preserve">árrs. </w:t>
      </w:r>
      <w:r w:rsidRPr="005F06A1">
        <w:rPr>
          <w:rFonts w:asciiTheme="majorHAnsi" w:hAnsiTheme="majorHAnsi"/>
          <w:sz w:val="16"/>
          <w:szCs w:val="16"/>
          <w:lang w:val="es-ES"/>
        </w:rPr>
        <w:t>7</w:t>
      </w:r>
      <w:r>
        <w:rPr>
          <w:rFonts w:asciiTheme="majorHAnsi" w:hAnsiTheme="majorHAnsi"/>
          <w:sz w:val="16"/>
          <w:szCs w:val="16"/>
          <w:lang w:val="es-ES"/>
        </w:rPr>
        <w:t>5</w:t>
      </w:r>
      <w:r w:rsidRPr="005F06A1">
        <w:rPr>
          <w:rFonts w:asciiTheme="majorHAnsi" w:hAnsiTheme="majorHAnsi"/>
          <w:sz w:val="16"/>
          <w:szCs w:val="16"/>
          <w:lang w:val="es-ES"/>
        </w:rPr>
        <w:t xml:space="preserve"> </w:t>
      </w:r>
      <w:r>
        <w:rPr>
          <w:rFonts w:asciiTheme="majorHAnsi" w:hAnsiTheme="majorHAnsi"/>
          <w:sz w:val="16"/>
          <w:szCs w:val="16"/>
          <w:lang w:val="es-ES"/>
        </w:rPr>
        <w:t>y</w:t>
      </w:r>
      <w:r w:rsidRPr="005F06A1">
        <w:rPr>
          <w:rFonts w:asciiTheme="majorHAnsi" w:hAnsiTheme="majorHAnsi"/>
          <w:sz w:val="16"/>
          <w:szCs w:val="16"/>
          <w:lang w:val="es-ES"/>
        </w:rPr>
        <w:t xml:space="preserve"> 80.</w:t>
      </w:r>
      <w:r w:rsidRPr="005F06A1">
        <w:rPr>
          <w:lang w:val="es-ES"/>
        </w:rPr>
        <w:t xml:space="preserve"> </w:t>
      </w:r>
    </w:p>
  </w:footnote>
  <w:footnote w:id="77">
    <w:p w14:paraId="79F767F5" w14:textId="77777777" w:rsidR="00BE380F" w:rsidRPr="0040344D" w:rsidRDefault="00BE380F" w:rsidP="0075398D">
      <w:pPr>
        <w:pStyle w:val="FootnoteText"/>
        <w:jc w:val="both"/>
        <w:rPr>
          <w:rFonts w:asciiTheme="majorHAnsi" w:hAnsiTheme="majorHAnsi"/>
          <w:sz w:val="16"/>
          <w:szCs w:val="16"/>
          <w:lang w:val="es-ES_tradnl"/>
        </w:rPr>
      </w:pPr>
      <w:r w:rsidRPr="0040344D">
        <w:rPr>
          <w:rStyle w:val="FootnoteReference"/>
          <w:rFonts w:asciiTheme="majorHAnsi" w:hAnsiTheme="majorHAnsi"/>
          <w:sz w:val="16"/>
          <w:szCs w:val="16"/>
        </w:rPr>
        <w:footnoteRef/>
      </w:r>
      <w:r w:rsidRPr="00D246EB">
        <w:rPr>
          <w:rFonts w:asciiTheme="majorHAnsi" w:hAnsiTheme="majorHAnsi"/>
          <w:sz w:val="16"/>
          <w:szCs w:val="16"/>
          <w:lang w:val="es-ES"/>
        </w:rPr>
        <w:t xml:space="preserve"> Corte IDH, Caso Trabajadores de la Hacienda Brasil Verde vs. Brasil. Excepciones Preliminares, Fondo, Reparaciones y Costas. Sentencia de 20 de octubre de 2016. </w:t>
      </w:r>
      <w:r>
        <w:rPr>
          <w:rFonts w:asciiTheme="majorHAnsi" w:hAnsiTheme="majorHAnsi"/>
          <w:sz w:val="16"/>
          <w:szCs w:val="16"/>
        </w:rPr>
        <w:t xml:space="preserve">Serie C no. 318, párr.24.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C2444" w14:textId="77777777" w:rsidR="00BE380F" w:rsidRDefault="00BE380F" w:rsidP="00C14701">
    <w:pPr>
      <w:pStyle w:val="Header"/>
      <w:framePr w:wrap="around" w:vAnchor="text" w:hAnchor="margin" w:xAlign="center" w:y="1"/>
      <w:rPr>
        <w:rStyle w:val="PageNumber"/>
        <w:rFonts w:ascii="Times New Roman" w:eastAsia="Arial Unicode MS" w:hAnsi="Times New Roman" w:cs="Times New Roman"/>
        <w:bdr w:val="nil"/>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3D7ED3E" w14:textId="77777777" w:rsidR="00BE380F" w:rsidRDefault="00BE3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A11F2" w14:textId="3A69792D" w:rsidR="00BE380F" w:rsidRDefault="00BE380F" w:rsidP="002C1641">
    <w:pPr>
      <w:pStyle w:val="Header"/>
      <w:tabs>
        <w:tab w:val="clear" w:pos="4320"/>
        <w:tab w:val="clear" w:pos="8640"/>
      </w:tabs>
      <w:jc w:val="center"/>
      <w:rPr>
        <w:sz w:val="22"/>
        <w:szCs w:val="22"/>
      </w:rPr>
    </w:pPr>
    <w:r>
      <w:rPr>
        <w:noProof/>
        <w:sz w:val="22"/>
        <w:szCs w:val="22"/>
      </w:rPr>
      <w:drawing>
        <wp:inline distT="0" distB="0" distL="0" distR="0" wp14:anchorId="7B5A8564" wp14:editId="5ABC498F">
          <wp:extent cx="1972237" cy="104775"/>
          <wp:effectExtent l="0" t="0" r="9525" b="0"/>
          <wp:docPr id="12" name="Picture 1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B1F6337" w14:textId="77777777" w:rsidR="00BE380F" w:rsidRPr="00EC7D62" w:rsidRDefault="00113BBD" w:rsidP="002C1641">
    <w:pPr>
      <w:pStyle w:val="Header"/>
      <w:tabs>
        <w:tab w:val="clear" w:pos="4320"/>
        <w:tab w:val="clear" w:pos="8640"/>
      </w:tabs>
      <w:jc w:val="center"/>
      <w:rPr>
        <w:sz w:val="22"/>
        <w:szCs w:val="22"/>
      </w:rPr>
    </w:pPr>
    <w:r>
      <w:rPr>
        <w:noProof/>
        <w:sz w:val="22"/>
        <w:szCs w:val="22"/>
        <w:bdr w:val="nil"/>
      </w:rPr>
      <w:pict w14:anchorId="5AD577BE">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Tahoma"/>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Tahoma"/>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Tahoma"/>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Tahoma"/>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Tahoma"/>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Tahoma"/>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Tahoma"/>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Tahoma"/>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ahoma"/>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Tahoma"/>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Tahoma"/>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Tahoma"/>
        <w:color w:val="000000"/>
        <w:position w:val="0"/>
        <w:sz w:val="22"/>
        <w:szCs w:val="22"/>
        <w:u w:color="000000"/>
        <w:lang w:val="es-ES_tradnl"/>
      </w:rPr>
    </w:lvl>
  </w:abstractNum>
  <w:abstractNum w:abstractNumId="4" w15:restartNumberingAfterBreak="0">
    <w:nsid w:val="12322AA3"/>
    <w:multiLevelType w:val="hybridMultilevel"/>
    <w:tmpl w:val="06BA8E26"/>
    <w:lvl w:ilvl="0" w:tplc="BDDE7ADE">
      <w:start w:val="8"/>
      <w:numFmt w:val="decimal"/>
      <w:lvlText w:val="%1."/>
      <w:lvlJc w:val="left"/>
      <w:pPr>
        <w:tabs>
          <w:tab w:val="num" w:pos="1080"/>
        </w:tabs>
        <w:ind w:left="360" w:firstLine="720"/>
      </w:pPr>
      <w:rPr>
        <w:rFonts w:asciiTheme="majorHAnsi" w:hAnsiTheme="majorHAnsi" w:hint="default"/>
        <w:color w:val="auto"/>
        <w:sz w:val="20"/>
      </w:rPr>
    </w:lvl>
    <w:lvl w:ilvl="1" w:tplc="739EDB44">
      <w:start w:val="7"/>
      <w:numFmt w:val="decimal"/>
      <w:lvlText w:val="%2."/>
      <w:lvlJc w:val="left"/>
      <w:pPr>
        <w:tabs>
          <w:tab w:val="num" w:pos="1440"/>
        </w:tabs>
        <w:ind w:left="720" w:firstLine="720"/>
      </w:pPr>
      <w:rPr>
        <w:rFonts w:ascii="Univers" w:hAnsi="Univers" w:hint="default"/>
        <w:color w:val="auto"/>
        <w:sz w:val="20"/>
      </w:rPr>
    </w:lvl>
    <w:lvl w:ilvl="2" w:tplc="64C66088">
      <w:start w:val="4"/>
      <w:numFmt w:val="upperRoman"/>
      <w:lvlText w:val="%3."/>
      <w:lvlJc w:val="left"/>
      <w:pPr>
        <w:tabs>
          <w:tab w:val="num" w:pos="3060"/>
        </w:tabs>
        <w:ind w:left="3060" w:hanging="72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ahoma"/>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Tahoma"/>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Tahoma"/>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Tahoma"/>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Tahoma"/>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Tahoma"/>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Tahoma"/>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Tahoma"/>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Tahoma"/>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Tahoma"/>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Tahoma"/>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Tahoma"/>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Tahoma"/>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2" w15:restartNumberingAfterBreak="0">
    <w:nsid w:val="21E86F0F"/>
    <w:multiLevelType w:val="hybridMultilevel"/>
    <w:tmpl w:val="D39828EA"/>
    <w:styleLink w:val="ImportedStyle6"/>
    <w:lvl w:ilvl="0" w:tplc="1F008A38">
      <w:start w:val="1"/>
      <w:numFmt w:val="decimal"/>
      <w:lvlText w:val="%1."/>
      <w:lvlJc w:val="left"/>
      <w:pPr>
        <w:tabs>
          <w:tab w:val="num" w:pos="1500"/>
        </w:tabs>
        <w:ind w:left="780" w:hanging="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BB4C0FE">
      <w:start w:val="1"/>
      <w:numFmt w:val="lowerLetter"/>
      <w:lvlText w:val="%2."/>
      <w:lvlJc w:val="left"/>
      <w:pPr>
        <w:tabs>
          <w:tab w:val="num" w:pos="1095"/>
          <w:tab w:val="left" w:pos="1500"/>
        </w:tabs>
        <w:ind w:left="37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0D8AD98">
      <w:start w:val="1"/>
      <w:numFmt w:val="lowerRoman"/>
      <w:lvlText w:val="%3."/>
      <w:lvlJc w:val="left"/>
      <w:pPr>
        <w:tabs>
          <w:tab w:val="left" w:pos="1500"/>
          <w:tab w:val="num" w:pos="1755"/>
        </w:tabs>
        <w:ind w:left="103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0A8B96E">
      <w:start w:val="1"/>
      <w:numFmt w:val="upperLetter"/>
      <w:lvlText w:val="%4."/>
      <w:lvlJc w:val="left"/>
      <w:pPr>
        <w:tabs>
          <w:tab w:val="left" w:pos="1500"/>
          <w:tab w:val="num" w:pos="2835"/>
        </w:tabs>
        <w:ind w:left="211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DC85C6C">
      <w:start w:val="1"/>
      <w:numFmt w:val="upperRoman"/>
      <w:lvlText w:val="%5."/>
      <w:lvlJc w:val="left"/>
      <w:pPr>
        <w:tabs>
          <w:tab w:val="left" w:pos="1500"/>
          <w:tab w:val="num" w:pos="3555"/>
        </w:tabs>
        <w:ind w:left="283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AE27590">
      <w:start w:val="1"/>
      <w:numFmt w:val="lowerRoman"/>
      <w:lvlText w:val="%6."/>
      <w:lvlJc w:val="left"/>
      <w:pPr>
        <w:tabs>
          <w:tab w:val="left" w:pos="1500"/>
          <w:tab w:val="num" w:pos="3915"/>
        </w:tabs>
        <w:ind w:left="319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862A242">
      <w:start w:val="1"/>
      <w:numFmt w:val="decimal"/>
      <w:lvlText w:val="%7."/>
      <w:lvlJc w:val="left"/>
      <w:pPr>
        <w:tabs>
          <w:tab w:val="left" w:pos="1500"/>
          <w:tab w:val="num" w:pos="4635"/>
        </w:tabs>
        <w:ind w:left="391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41C683C">
      <w:start w:val="1"/>
      <w:numFmt w:val="lowerLetter"/>
      <w:lvlText w:val="%8."/>
      <w:lvlJc w:val="left"/>
      <w:pPr>
        <w:tabs>
          <w:tab w:val="left" w:pos="1500"/>
          <w:tab w:val="num" w:pos="5355"/>
        </w:tabs>
        <w:ind w:left="463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6B65770">
      <w:start w:val="1"/>
      <w:numFmt w:val="lowerRoman"/>
      <w:lvlText w:val="%9."/>
      <w:lvlJc w:val="left"/>
      <w:pPr>
        <w:tabs>
          <w:tab w:val="left" w:pos="1500"/>
          <w:tab w:val="num" w:pos="6075"/>
        </w:tabs>
        <w:ind w:left="535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15" w15:restartNumberingAfterBreak="0">
    <w:nsid w:val="23256FA9"/>
    <w:multiLevelType w:val="hybridMultilevel"/>
    <w:tmpl w:val="FE522B12"/>
    <w:lvl w:ilvl="0" w:tplc="361AEF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Tahoma"/>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7" w15:restartNumberingAfterBreak="0">
    <w:nsid w:val="390244F4"/>
    <w:multiLevelType w:val="hybridMultilevel"/>
    <w:tmpl w:val="10C6E60C"/>
    <w:lvl w:ilvl="0" w:tplc="721ADCF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ahoma"/>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Tahoma"/>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Tahoma"/>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Tahoma"/>
        <w:color w:val="000000"/>
        <w:position w:val="0"/>
        <w:sz w:val="22"/>
        <w:szCs w:val="22"/>
        <w:u w:color="000000"/>
        <w:lang w:val="es-ES_tradnl"/>
      </w:rPr>
    </w:lvl>
  </w:abstractNum>
  <w:abstractNum w:abstractNumId="29" w15:restartNumberingAfterBreak="0">
    <w:nsid w:val="3A35477D"/>
    <w:multiLevelType w:val="hybridMultilevel"/>
    <w:tmpl w:val="73727A48"/>
    <w:styleLink w:val="ImportedStyle5"/>
    <w:lvl w:ilvl="0" w:tplc="8B888242">
      <w:start w:val="1"/>
      <w:numFmt w:val="decimal"/>
      <w:lvlText w:val="%1."/>
      <w:lvlJc w:val="left"/>
      <w:pPr>
        <w:tabs>
          <w:tab w:val="num" w:pos="1500"/>
        </w:tabs>
        <w:ind w:left="780" w:hanging="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7361202">
      <w:start w:val="1"/>
      <w:numFmt w:val="lowerLetter"/>
      <w:lvlText w:val="%2."/>
      <w:lvlJc w:val="left"/>
      <w:pPr>
        <w:tabs>
          <w:tab w:val="num" w:pos="1095"/>
          <w:tab w:val="left" w:pos="1500"/>
        </w:tabs>
        <w:ind w:left="37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5486038E">
      <w:start w:val="1"/>
      <w:numFmt w:val="lowerRoman"/>
      <w:lvlText w:val="%3."/>
      <w:lvlJc w:val="left"/>
      <w:pPr>
        <w:tabs>
          <w:tab w:val="left" w:pos="1500"/>
          <w:tab w:val="num" w:pos="1755"/>
        </w:tabs>
        <w:ind w:left="103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5407FD4">
      <w:start w:val="1"/>
      <w:numFmt w:val="upperLetter"/>
      <w:lvlText w:val="%4."/>
      <w:lvlJc w:val="left"/>
      <w:pPr>
        <w:tabs>
          <w:tab w:val="left" w:pos="1500"/>
          <w:tab w:val="num" w:pos="2835"/>
        </w:tabs>
        <w:ind w:left="211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9EE6B6A">
      <w:start w:val="1"/>
      <w:numFmt w:val="upperRoman"/>
      <w:lvlText w:val="%5."/>
      <w:lvlJc w:val="left"/>
      <w:pPr>
        <w:tabs>
          <w:tab w:val="left" w:pos="1500"/>
          <w:tab w:val="num" w:pos="3555"/>
        </w:tabs>
        <w:ind w:left="283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23AF742">
      <w:start w:val="1"/>
      <w:numFmt w:val="lowerRoman"/>
      <w:lvlText w:val="%6."/>
      <w:lvlJc w:val="left"/>
      <w:pPr>
        <w:tabs>
          <w:tab w:val="left" w:pos="1500"/>
          <w:tab w:val="num" w:pos="3915"/>
        </w:tabs>
        <w:ind w:left="319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F3A4A12">
      <w:start w:val="1"/>
      <w:numFmt w:val="decimal"/>
      <w:lvlText w:val="%7."/>
      <w:lvlJc w:val="left"/>
      <w:pPr>
        <w:tabs>
          <w:tab w:val="left" w:pos="1500"/>
          <w:tab w:val="num" w:pos="4635"/>
        </w:tabs>
        <w:ind w:left="391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55CD5B0">
      <w:start w:val="1"/>
      <w:numFmt w:val="lowerLetter"/>
      <w:lvlText w:val="%8."/>
      <w:lvlJc w:val="left"/>
      <w:pPr>
        <w:tabs>
          <w:tab w:val="left" w:pos="1500"/>
          <w:tab w:val="num" w:pos="5355"/>
        </w:tabs>
        <w:ind w:left="463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841E64">
      <w:start w:val="1"/>
      <w:numFmt w:val="lowerRoman"/>
      <w:lvlText w:val="%9."/>
      <w:lvlJc w:val="left"/>
      <w:pPr>
        <w:tabs>
          <w:tab w:val="left" w:pos="1500"/>
          <w:tab w:val="num" w:pos="6075"/>
        </w:tabs>
        <w:ind w:left="535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31" w15:restartNumberingAfterBreak="0">
    <w:nsid w:val="3BD10F52"/>
    <w:multiLevelType w:val="hybridMultilevel"/>
    <w:tmpl w:val="F764777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6" w15:restartNumberingAfterBreak="0">
    <w:nsid w:val="45AF18FE"/>
    <w:multiLevelType w:val="hybridMultilevel"/>
    <w:tmpl w:val="A87ADA66"/>
    <w:lvl w:ilvl="0" w:tplc="375890AC">
      <w:start w:val="1"/>
      <w:numFmt w:val="lowerRoman"/>
      <w:lvlText w:val="%1)"/>
      <w:lvlJc w:val="left"/>
      <w:pPr>
        <w:ind w:left="1125" w:hanging="720"/>
      </w:pPr>
      <w:rPr>
        <w:rFonts w:asciiTheme="majorHAnsi" w:hAnsiTheme="majorHAnsi" w:hint="default"/>
        <w:sz w:val="20"/>
        <w:szCs w:val="2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8" w15:restartNumberingAfterBreak="0">
    <w:nsid w:val="47DF6AAA"/>
    <w:multiLevelType w:val="hybridMultilevel"/>
    <w:tmpl w:val="F764777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Tahoma"/>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Tahoma"/>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Tahoma"/>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Tahoma"/>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Tahoma"/>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Tahoma"/>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Tahoma"/>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Tahoma"/>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Tahoma"/>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46" w15:restartNumberingAfterBreak="0">
    <w:nsid w:val="524A2B98"/>
    <w:multiLevelType w:val="hybridMultilevel"/>
    <w:tmpl w:val="F7647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063FFC"/>
    <w:multiLevelType w:val="hybridMultilevel"/>
    <w:tmpl w:val="BB6A699E"/>
    <w:styleLink w:val="ImportedStyle4"/>
    <w:lvl w:ilvl="0" w:tplc="4D38D32A">
      <w:start w:val="1"/>
      <w:numFmt w:val="decimal"/>
      <w:lvlText w:val="%1."/>
      <w:lvlJc w:val="left"/>
      <w:pPr>
        <w:tabs>
          <w:tab w:val="num" w:pos="1440"/>
        </w:tabs>
        <w:ind w:left="705" w:firstLine="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45499D0">
      <w:start w:val="1"/>
      <w:numFmt w:val="lowerLetter"/>
      <w:lvlText w:val="%2."/>
      <w:lvlJc w:val="left"/>
      <w:pPr>
        <w:tabs>
          <w:tab w:val="num" w:pos="1095"/>
        </w:tabs>
        <w:ind w:left="360" w:firstLine="37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EAA06A2">
      <w:start w:val="1"/>
      <w:numFmt w:val="lowerRoman"/>
      <w:lvlText w:val="%3."/>
      <w:lvlJc w:val="left"/>
      <w:pPr>
        <w:tabs>
          <w:tab w:val="num" w:pos="1770"/>
        </w:tabs>
        <w:ind w:left="1035" w:firstLine="4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64ABDBE">
      <w:start w:val="1"/>
      <w:numFmt w:val="upperLetter"/>
      <w:lvlText w:val="%4."/>
      <w:lvlJc w:val="left"/>
      <w:pPr>
        <w:tabs>
          <w:tab w:val="num" w:pos="2850"/>
        </w:tabs>
        <w:ind w:left="2115" w:firstLine="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B2059AA">
      <w:start w:val="1"/>
      <w:numFmt w:val="upperRoman"/>
      <w:lvlText w:val="%5."/>
      <w:lvlJc w:val="left"/>
      <w:pPr>
        <w:tabs>
          <w:tab w:val="num" w:pos="3570"/>
        </w:tabs>
        <w:ind w:left="2835" w:firstLine="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9E490CC">
      <w:start w:val="1"/>
      <w:numFmt w:val="lowerRoman"/>
      <w:lvlText w:val="%6."/>
      <w:lvlJc w:val="left"/>
      <w:pPr>
        <w:tabs>
          <w:tab w:val="num" w:pos="3930"/>
        </w:tabs>
        <w:ind w:left="3195" w:firstLine="4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5286372">
      <w:start w:val="1"/>
      <w:numFmt w:val="decimal"/>
      <w:lvlText w:val="%7."/>
      <w:lvlJc w:val="left"/>
      <w:pPr>
        <w:tabs>
          <w:tab w:val="num" w:pos="4650"/>
        </w:tabs>
        <w:ind w:left="3915" w:firstLine="37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8CA4DA4">
      <w:start w:val="1"/>
      <w:numFmt w:val="lowerLetter"/>
      <w:lvlText w:val="%8."/>
      <w:lvlJc w:val="left"/>
      <w:pPr>
        <w:tabs>
          <w:tab w:val="num" w:pos="5370"/>
        </w:tabs>
        <w:ind w:left="4635" w:firstLine="37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440353E">
      <w:start w:val="1"/>
      <w:numFmt w:val="lowerRoman"/>
      <w:lvlText w:val="%9."/>
      <w:lvlJc w:val="left"/>
      <w:pPr>
        <w:tabs>
          <w:tab w:val="num" w:pos="6090"/>
        </w:tabs>
        <w:ind w:left="5355" w:firstLine="4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51" w15:restartNumberingAfterBreak="0">
    <w:nsid w:val="5C5E459A"/>
    <w:multiLevelType w:val="hybridMultilevel"/>
    <w:tmpl w:val="DFA2DF36"/>
    <w:styleLink w:val="ImportedStyle8"/>
    <w:lvl w:ilvl="0" w:tplc="AD90ED56">
      <w:start w:val="1"/>
      <w:numFmt w:val="decimal"/>
      <w:lvlText w:val="%1."/>
      <w:lvlJc w:val="left"/>
      <w:pPr>
        <w:ind w:left="1500" w:hanging="7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014B632">
      <w:start w:val="1"/>
      <w:numFmt w:val="lowerLetter"/>
      <w:lvlText w:val="%2."/>
      <w:lvlJc w:val="left"/>
      <w:pPr>
        <w:tabs>
          <w:tab w:val="left" w:pos="1500"/>
        </w:tabs>
        <w:ind w:left="181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A58011E">
      <w:start w:val="1"/>
      <w:numFmt w:val="lowerRoman"/>
      <w:lvlText w:val="%3."/>
      <w:lvlJc w:val="left"/>
      <w:pPr>
        <w:tabs>
          <w:tab w:val="left" w:pos="1500"/>
        </w:tabs>
        <w:ind w:left="2535"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DE2ADB6">
      <w:start w:val="1"/>
      <w:numFmt w:val="upperLetter"/>
      <w:lvlText w:val="%4."/>
      <w:lvlJc w:val="left"/>
      <w:pPr>
        <w:tabs>
          <w:tab w:val="left" w:pos="1500"/>
        </w:tabs>
        <w:ind w:left="3615"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C52CB328">
      <w:start w:val="1"/>
      <w:numFmt w:val="upperRoman"/>
      <w:lvlText w:val="%5."/>
      <w:lvlJc w:val="left"/>
      <w:pPr>
        <w:tabs>
          <w:tab w:val="left" w:pos="1500"/>
        </w:tabs>
        <w:ind w:left="4335"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9E88C54">
      <w:start w:val="1"/>
      <w:numFmt w:val="lowerRoman"/>
      <w:lvlText w:val="%6."/>
      <w:lvlJc w:val="left"/>
      <w:pPr>
        <w:tabs>
          <w:tab w:val="left" w:pos="1500"/>
        </w:tabs>
        <w:ind w:left="4695"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9405738">
      <w:start w:val="1"/>
      <w:numFmt w:val="decimal"/>
      <w:lvlText w:val="%7."/>
      <w:lvlJc w:val="left"/>
      <w:pPr>
        <w:tabs>
          <w:tab w:val="left" w:pos="1500"/>
        </w:tabs>
        <w:ind w:left="541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070B0D0">
      <w:start w:val="1"/>
      <w:numFmt w:val="lowerLetter"/>
      <w:lvlText w:val="%8."/>
      <w:lvlJc w:val="left"/>
      <w:pPr>
        <w:tabs>
          <w:tab w:val="left" w:pos="1500"/>
        </w:tabs>
        <w:ind w:left="613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A88B4D8">
      <w:start w:val="1"/>
      <w:numFmt w:val="lowerRoman"/>
      <w:lvlText w:val="%9."/>
      <w:lvlJc w:val="left"/>
      <w:pPr>
        <w:tabs>
          <w:tab w:val="left" w:pos="1500"/>
        </w:tabs>
        <w:ind w:left="6855"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2" w15:restartNumberingAfterBreak="0">
    <w:nsid w:val="5D7D4B9D"/>
    <w:multiLevelType w:val="hybridMultilevel"/>
    <w:tmpl w:val="6166DB58"/>
    <w:lvl w:ilvl="0" w:tplc="5830BC58">
      <w:start w:val="1"/>
      <w:numFmt w:val="decimal"/>
      <w:lvlText w:val="%1."/>
      <w:lvlJc w:val="left"/>
      <w:pPr>
        <w:ind w:left="720" w:hanging="360"/>
      </w:pPr>
      <w:rPr>
        <w:rFonts w:ascii="Cambria" w:hAnsi="Cambri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5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56" w15:restartNumberingAfterBreak="0">
    <w:nsid w:val="67CC5A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Tahoma"/>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Tahoma"/>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Tahoma"/>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Tahoma"/>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Tahoma"/>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Tahoma"/>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Tahoma"/>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Tahoma"/>
        <w:b/>
        <w:bCs/>
        <w:color w:val="000000"/>
        <w:position w:val="0"/>
        <w:sz w:val="22"/>
        <w:szCs w:val="22"/>
        <w:u w:val="single" w:color="000000"/>
        <w:lang w:val="es-ES_tradnl"/>
      </w:rPr>
    </w:lvl>
  </w:abstractNum>
  <w:abstractNum w:abstractNumId="5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59" w15:restartNumberingAfterBreak="0">
    <w:nsid w:val="70786ED7"/>
    <w:multiLevelType w:val="hybridMultilevel"/>
    <w:tmpl w:val="484010EC"/>
    <w:lvl w:ilvl="0" w:tplc="69020C3E">
      <w:start w:val="1"/>
      <w:numFmt w:val="upperRoman"/>
      <w:pStyle w:val="Heading1"/>
      <w:lvlText w:val="%1."/>
      <w:lvlJc w:val="left"/>
      <w:pPr>
        <w:ind w:left="720" w:hanging="360"/>
      </w:pPr>
      <w:rPr>
        <w:rFonts w:hint="default"/>
      </w:rPr>
    </w:lvl>
    <w:lvl w:ilvl="1" w:tplc="677C583C">
      <w:start w:val="1"/>
      <w:numFmt w:val="decimal"/>
      <w:lvlText w:val="%2."/>
      <w:lvlJc w:val="left"/>
      <w:pPr>
        <w:ind w:left="1440" w:hanging="360"/>
      </w:pPr>
      <w:rPr>
        <w:rFonts w:hint="default"/>
      </w:rPr>
    </w:lvl>
    <w:lvl w:ilvl="2" w:tplc="A9386074">
      <w:start w:val="1"/>
      <w:numFmt w:val="upperRoman"/>
      <w:lvlText w:val="%3)"/>
      <w:lvlJc w:val="left"/>
      <w:pPr>
        <w:ind w:left="2700" w:hanging="720"/>
      </w:pPr>
      <w:rPr>
        <w:rFonts w:ascii="Cambria" w:eastAsia="Arial Unicode MS" w:hAnsi="Cambria"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1E22A71"/>
    <w:multiLevelType w:val="hybridMultilevel"/>
    <w:tmpl w:val="E6504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6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6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ahoma"/>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Tahoma"/>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Tahoma"/>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Tahoma"/>
        <w:b/>
        <w:bCs/>
        <w:color w:val="000000"/>
        <w:position w:val="0"/>
        <w:sz w:val="22"/>
        <w:szCs w:val="22"/>
        <w:u w:color="000000"/>
        <w:lang w:val="es-ES_tradnl"/>
      </w:rPr>
    </w:lvl>
  </w:abstractNum>
  <w:abstractNum w:abstractNumId="6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65" w15:restartNumberingAfterBreak="0">
    <w:nsid w:val="7C051419"/>
    <w:multiLevelType w:val="hybridMultilevel"/>
    <w:tmpl w:val="66148FEE"/>
    <w:styleLink w:val="ImportedStyle3"/>
    <w:lvl w:ilvl="0" w:tplc="15D02884">
      <w:start w:val="1"/>
      <w:numFmt w:val="decimal"/>
      <w:lvlText w:val="%1."/>
      <w:lvlJc w:val="left"/>
      <w:pPr>
        <w:tabs>
          <w:tab w:val="num" w:pos="1260"/>
          <w:tab w:val="left" w:pos="1440"/>
          <w:tab w:val="left" w:pos="2040"/>
        </w:tabs>
        <w:ind w:left="54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1DCCBF6">
      <w:start w:val="1"/>
      <w:numFmt w:val="lowerLetter"/>
      <w:lvlText w:val="%2."/>
      <w:lvlJc w:val="left"/>
      <w:pPr>
        <w:tabs>
          <w:tab w:val="num" w:pos="1260"/>
          <w:tab w:val="left" w:pos="1440"/>
          <w:tab w:val="left" w:pos="2040"/>
        </w:tabs>
        <w:ind w:left="54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9A4F8BC">
      <w:start w:val="1"/>
      <w:numFmt w:val="lowerRoman"/>
      <w:lvlText w:val="%3."/>
      <w:lvlJc w:val="left"/>
      <w:pPr>
        <w:tabs>
          <w:tab w:val="left" w:pos="1260"/>
          <w:tab w:val="num" w:pos="1620"/>
          <w:tab w:val="left" w:pos="2040"/>
        </w:tabs>
        <w:ind w:left="900" w:firstLine="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A443A76">
      <w:start w:val="1"/>
      <w:numFmt w:val="decimal"/>
      <w:lvlText w:val="%4."/>
      <w:lvlJc w:val="left"/>
      <w:pPr>
        <w:tabs>
          <w:tab w:val="left" w:pos="1260"/>
          <w:tab w:val="left" w:pos="1440"/>
          <w:tab w:val="num" w:pos="2340"/>
        </w:tabs>
        <w:ind w:left="162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D267004">
      <w:start w:val="1"/>
      <w:numFmt w:val="lowerLetter"/>
      <w:lvlText w:val="%5."/>
      <w:lvlJc w:val="left"/>
      <w:pPr>
        <w:tabs>
          <w:tab w:val="left" w:pos="1260"/>
          <w:tab w:val="left" w:pos="1440"/>
          <w:tab w:val="left" w:pos="2040"/>
          <w:tab w:val="num" w:pos="3060"/>
        </w:tabs>
        <w:ind w:left="234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EAFEA3FC">
      <w:start w:val="1"/>
      <w:numFmt w:val="lowerRoman"/>
      <w:lvlText w:val="%6."/>
      <w:lvlJc w:val="left"/>
      <w:pPr>
        <w:tabs>
          <w:tab w:val="left" w:pos="1260"/>
          <w:tab w:val="left" w:pos="1440"/>
          <w:tab w:val="left" w:pos="2040"/>
          <w:tab w:val="num" w:pos="3780"/>
        </w:tabs>
        <w:ind w:left="3060" w:firstLine="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062C94E">
      <w:start w:val="1"/>
      <w:numFmt w:val="decimal"/>
      <w:lvlText w:val="%7."/>
      <w:lvlJc w:val="left"/>
      <w:pPr>
        <w:tabs>
          <w:tab w:val="left" w:pos="1260"/>
          <w:tab w:val="left" w:pos="1440"/>
          <w:tab w:val="left" w:pos="2040"/>
          <w:tab w:val="num" w:pos="4500"/>
        </w:tabs>
        <w:ind w:left="378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2DB87126">
      <w:start w:val="1"/>
      <w:numFmt w:val="lowerLetter"/>
      <w:lvlText w:val="%8."/>
      <w:lvlJc w:val="left"/>
      <w:pPr>
        <w:tabs>
          <w:tab w:val="left" w:pos="1260"/>
          <w:tab w:val="left" w:pos="1440"/>
          <w:tab w:val="left" w:pos="2040"/>
          <w:tab w:val="num" w:pos="5220"/>
        </w:tabs>
        <w:ind w:left="450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3CAD92A">
      <w:start w:val="1"/>
      <w:numFmt w:val="lowerRoman"/>
      <w:lvlText w:val="%9."/>
      <w:lvlJc w:val="left"/>
      <w:pPr>
        <w:tabs>
          <w:tab w:val="left" w:pos="1260"/>
          <w:tab w:val="left" w:pos="1440"/>
          <w:tab w:val="left" w:pos="2040"/>
          <w:tab w:val="num" w:pos="5940"/>
        </w:tabs>
        <w:ind w:left="5220" w:firstLine="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6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68" w15:restartNumberingAfterBreak="0">
    <w:nsid w:val="7D4C2BA8"/>
    <w:multiLevelType w:val="hybridMultilevel"/>
    <w:tmpl w:val="4C4671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7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val="single" w:color="000000"/>
        <w:lang w:val="es-ES_tradnl"/>
      </w:rPr>
    </w:lvl>
  </w:abstractNum>
  <w:num w:numId="1">
    <w:abstractNumId w:val="3"/>
  </w:num>
  <w:num w:numId="2">
    <w:abstractNumId w:val="5"/>
  </w:num>
  <w:num w:numId="3">
    <w:abstractNumId w:val="63"/>
  </w:num>
  <w:num w:numId="4">
    <w:abstractNumId w:val="22"/>
  </w:num>
  <w:num w:numId="5">
    <w:abstractNumId w:val="55"/>
  </w:num>
  <w:num w:numId="6">
    <w:abstractNumId w:val="28"/>
  </w:num>
  <w:num w:numId="7">
    <w:abstractNumId w:val="6"/>
  </w:num>
  <w:num w:numId="8">
    <w:abstractNumId w:val="18"/>
  </w:num>
  <w:num w:numId="9">
    <w:abstractNumId w:val="48"/>
  </w:num>
  <w:num w:numId="10">
    <w:abstractNumId w:val="0"/>
  </w:num>
  <w:num w:numId="11">
    <w:abstractNumId w:val="41"/>
  </w:num>
  <w:num w:numId="12">
    <w:abstractNumId w:val="42"/>
  </w:num>
  <w:num w:numId="13">
    <w:abstractNumId w:val="49"/>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30"/>
  </w:num>
  <w:num w:numId="32">
    <w:abstractNumId w:val="32"/>
  </w:num>
  <w:num w:numId="33">
    <w:abstractNumId w:val="33"/>
  </w:num>
  <w:num w:numId="34">
    <w:abstractNumId w:val="34"/>
  </w:num>
  <w:num w:numId="35">
    <w:abstractNumId w:val="35"/>
  </w:num>
  <w:num w:numId="36">
    <w:abstractNumId w:val="37"/>
  </w:num>
  <w:num w:numId="37">
    <w:abstractNumId w:val="39"/>
  </w:num>
  <w:num w:numId="38">
    <w:abstractNumId w:val="40"/>
  </w:num>
  <w:num w:numId="39">
    <w:abstractNumId w:val="43"/>
  </w:num>
  <w:num w:numId="40">
    <w:abstractNumId w:val="44"/>
  </w:num>
  <w:num w:numId="41">
    <w:abstractNumId w:val="54"/>
  </w:num>
  <w:num w:numId="42">
    <w:abstractNumId w:val="57"/>
  </w:num>
  <w:num w:numId="43">
    <w:abstractNumId w:val="58"/>
  </w:num>
  <w:num w:numId="44">
    <w:abstractNumId w:val="61"/>
  </w:num>
  <w:num w:numId="45">
    <w:abstractNumId w:val="62"/>
  </w:num>
  <w:num w:numId="46">
    <w:abstractNumId w:val="64"/>
  </w:num>
  <w:num w:numId="47">
    <w:abstractNumId w:val="66"/>
  </w:num>
  <w:num w:numId="48">
    <w:abstractNumId w:val="67"/>
  </w:num>
  <w:num w:numId="49">
    <w:abstractNumId w:val="69"/>
  </w:num>
  <w:num w:numId="50">
    <w:abstractNumId w:val="70"/>
  </w:num>
  <w:num w:numId="51">
    <w:abstractNumId w:val="21"/>
  </w:num>
  <w:num w:numId="52">
    <w:abstractNumId w:val="45"/>
  </w:num>
  <w:num w:numId="53">
    <w:abstractNumId w:val="59"/>
  </w:num>
  <w:num w:numId="54">
    <w:abstractNumId w:val="50"/>
  </w:num>
  <w:num w:numId="55">
    <w:abstractNumId w:val="56"/>
  </w:num>
  <w:num w:numId="56">
    <w:abstractNumId w:val="46"/>
  </w:num>
  <w:num w:numId="57">
    <w:abstractNumId w:val="4"/>
  </w:num>
  <w:num w:numId="58">
    <w:abstractNumId w:val="65"/>
  </w:num>
  <w:num w:numId="59">
    <w:abstractNumId w:val="47"/>
  </w:num>
  <w:num w:numId="60">
    <w:abstractNumId w:val="29"/>
  </w:num>
  <w:num w:numId="61">
    <w:abstractNumId w:val="12"/>
  </w:num>
  <w:num w:numId="62">
    <w:abstractNumId w:val="51"/>
  </w:num>
  <w:num w:numId="63">
    <w:abstractNumId w:val="38"/>
  </w:num>
  <w:num w:numId="64">
    <w:abstractNumId w:val="31"/>
  </w:num>
  <w:num w:numId="65">
    <w:abstractNumId w:val="68"/>
  </w:num>
  <w:num w:numId="66">
    <w:abstractNumId w:val="53"/>
  </w:num>
  <w:num w:numId="67">
    <w:abstractNumId w:val="36"/>
  </w:num>
  <w:num w:numId="68">
    <w:abstractNumId w:val="27"/>
  </w:num>
  <w:num w:numId="69">
    <w:abstractNumId w:val="15"/>
  </w:num>
  <w:num w:numId="70">
    <w:abstractNumId w:val="60"/>
  </w:num>
  <w:num w:numId="71">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4"/>
  <w:removePersonalInformation/>
  <w:removeDateAndTime/>
  <w:defaultTabStop w:val="36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132"/>
    <w:rsid w:val="000018BC"/>
    <w:rsid w:val="00001B5B"/>
    <w:rsid w:val="00002328"/>
    <w:rsid w:val="000030DC"/>
    <w:rsid w:val="000050CC"/>
    <w:rsid w:val="000053B9"/>
    <w:rsid w:val="00006DD7"/>
    <w:rsid w:val="00006E50"/>
    <w:rsid w:val="00006EDD"/>
    <w:rsid w:val="000070D7"/>
    <w:rsid w:val="00007690"/>
    <w:rsid w:val="00007B4D"/>
    <w:rsid w:val="00010877"/>
    <w:rsid w:val="00010A7E"/>
    <w:rsid w:val="000111A8"/>
    <w:rsid w:val="0001151C"/>
    <w:rsid w:val="00011E4C"/>
    <w:rsid w:val="00011EB8"/>
    <w:rsid w:val="00012470"/>
    <w:rsid w:val="00012683"/>
    <w:rsid w:val="00012ADD"/>
    <w:rsid w:val="00012E4F"/>
    <w:rsid w:val="00013F78"/>
    <w:rsid w:val="000157B5"/>
    <w:rsid w:val="00015F42"/>
    <w:rsid w:val="0001632A"/>
    <w:rsid w:val="00017552"/>
    <w:rsid w:val="0001788C"/>
    <w:rsid w:val="00021050"/>
    <w:rsid w:val="00021201"/>
    <w:rsid w:val="00022424"/>
    <w:rsid w:val="00022AAD"/>
    <w:rsid w:val="0002357A"/>
    <w:rsid w:val="00023F11"/>
    <w:rsid w:val="00024730"/>
    <w:rsid w:val="00024BB7"/>
    <w:rsid w:val="000253EF"/>
    <w:rsid w:val="000265CB"/>
    <w:rsid w:val="0002681D"/>
    <w:rsid w:val="00027222"/>
    <w:rsid w:val="0003022F"/>
    <w:rsid w:val="000303F4"/>
    <w:rsid w:val="00030834"/>
    <w:rsid w:val="000319F2"/>
    <w:rsid w:val="00031A82"/>
    <w:rsid w:val="00032BDA"/>
    <w:rsid w:val="0003324D"/>
    <w:rsid w:val="000332F4"/>
    <w:rsid w:val="00034C73"/>
    <w:rsid w:val="00036A8A"/>
    <w:rsid w:val="00037CC9"/>
    <w:rsid w:val="000400AB"/>
    <w:rsid w:val="00040416"/>
    <w:rsid w:val="00040A7D"/>
    <w:rsid w:val="00040C3A"/>
    <w:rsid w:val="00040ECB"/>
    <w:rsid w:val="000427EE"/>
    <w:rsid w:val="0004390C"/>
    <w:rsid w:val="00045601"/>
    <w:rsid w:val="000459E0"/>
    <w:rsid w:val="0004681B"/>
    <w:rsid w:val="0004761C"/>
    <w:rsid w:val="000476CF"/>
    <w:rsid w:val="00047F35"/>
    <w:rsid w:val="00050F42"/>
    <w:rsid w:val="000516F4"/>
    <w:rsid w:val="000517B2"/>
    <w:rsid w:val="00051EB4"/>
    <w:rsid w:val="000520FB"/>
    <w:rsid w:val="00052A24"/>
    <w:rsid w:val="00053172"/>
    <w:rsid w:val="00053D8F"/>
    <w:rsid w:val="00053EFA"/>
    <w:rsid w:val="00054E1B"/>
    <w:rsid w:val="000550C0"/>
    <w:rsid w:val="00055980"/>
    <w:rsid w:val="000564E1"/>
    <w:rsid w:val="000576AA"/>
    <w:rsid w:val="00057ABB"/>
    <w:rsid w:val="00057D4F"/>
    <w:rsid w:val="00057EDB"/>
    <w:rsid w:val="00060666"/>
    <w:rsid w:val="0006097A"/>
    <w:rsid w:val="00060D58"/>
    <w:rsid w:val="00062C0F"/>
    <w:rsid w:val="00062C28"/>
    <w:rsid w:val="00062FEC"/>
    <w:rsid w:val="000630E1"/>
    <w:rsid w:val="000639C0"/>
    <w:rsid w:val="00063DD8"/>
    <w:rsid w:val="0006411F"/>
    <w:rsid w:val="00064BE5"/>
    <w:rsid w:val="000657E1"/>
    <w:rsid w:val="00065EBD"/>
    <w:rsid w:val="00067767"/>
    <w:rsid w:val="000679BC"/>
    <w:rsid w:val="0007019C"/>
    <w:rsid w:val="00070ABD"/>
    <w:rsid w:val="00070F3A"/>
    <w:rsid w:val="0007127E"/>
    <w:rsid w:val="000716C5"/>
    <w:rsid w:val="00071A9D"/>
    <w:rsid w:val="00071E45"/>
    <w:rsid w:val="00072575"/>
    <w:rsid w:val="00073088"/>
    <w:rsid w:val="00074669"/>
    <w:rsid w:val="00075E23"/>
    <w:rsid w:val="00075E9A"/>
    <w:rsid w:val="000764E3"/>
    <w:rsid w:val="00077448"/>
    <w:rsid w:val="00077A87"/>
    <w:rsid w:val="00080249"/>
    <w:rsid w:val="00080357"/>
    <w:rsid w:val="00081EC3"/>
    <w:rsid w:val="000823DA"/>
    <w:rsid w:val="00082CBB"/>
    <w:rsid w:val="000830D5"/>
    <w:rsid w:val="00083E3C"/>
    <w:rsid w:val="00084A11"/>
    <w:rsid w:val="00084C5B"/>
    <w:rsid w:val="00084FE7"/>
    <w:rsid w:val="00085F60"/>
    <w:rsid w:val="00085F65"/>
    <w:rsid w:val="00086458"/>
    <w:rsid w:val="00086BA4"/>
    <w:rsid w:val="00086BFA"/>
    <w:rsid w:val="0008733D"/>
    <w:rsid w:val="00090720"/>
    <w:rsid w:val="00091707"/>
    <w:rsid w:val="000919DF"/>
    <w:rsid w:val="000922C5"/>
    <w:rsid w:val="000924E3"/>
    <w:rsid w:val="00092817"/>
    <w:rsid w:val="000929B1"/>
    <w:rsid w:val="000929D9"/>
    <w:rsid w:val="00092F32"/>
    <w:rsid w:val="00093055"/>
    <w:rsid w:val="0009344A"/>
    <w:rsid w:val="00093974"/>
    <w:rsid w:val="0009454E"/>
    <w:rsid w:val="00094AFA"/>
    <w:rsid w:val="00095575"/>
    <w:rsid w:val="0009575D"/>
    <w:rsid w:val="0009594B"/>
    <w:rsid w:val="00096FA0"/>
    <w:rsid w:val="0009719E"/>
    <w:rsid w:val="000972E2"/>
    <w:rsid w:val="000973C5"/>
    <w:rsid w:val="000A0419"/>
    <w:rsid w:val="000A0EF3"/>
    <w:rsid w:val="000A1126"/>
    <w:rsid w:val="000A1563"/>
    <w:rsid w:val="000A16DB"/>
    <w:rsid w:val="000A1E84"/>
    <w:rsid w:val="000A2085"/>
    <w:rsid w:val="000A254B"/>
    <w:rsid w:val="000A3276"/>
    <w:rsid w:val="000A3E84"/>
    <w:rsid w:val="000A3FB7"/>
    <w:rsid w:val="000A4138"/>
    <w:rsid w:val="000A4DDD"/>
    <w:rsid w:val="000A556A"/>
    <w:rsid w:val="000A5583"/>
    <w:rsid w:val="000A575F"/>
    <w:rsid w:val="000A57C2"/>
    <w:rsid w:val="000A584B"/>
    <w:rsid w:val="000A5B0F"/>
    <w:rsid w:val="000A62C0"/>
    <w:rsid w:val="000A650D"/>
    <w:rsid w:val="000A65A3"/>
    <w:rsid w:val="000A6C50"/>
    <w:rsid w:val="000A71D9"/>
    <w:rsid w:val="000A7A76"/>
    <w:rsid w:val="000A7DBA"/>
    <w:rsid w:val="000B040F"/>
    <w:rsid w:val="000B25FC"/>
    <w:rsid w:val="000B276D"/>
    <w:rsid w:val="000B2EF7"/>
    <w:rsid w:val="000B42E6"/>
    <w:rsid w:val="000B459E"/>
    <w:rsid w:val="000B478D"/>
    <w:rsid w:val="000B4DAF"/>
    <w:rsid w:val="000B4EAA"/>
    <w:rsid w:val="000B50C3"/>
    <w:rsid w:val="000B5673"/>
    <w:rsid w:val="000B64A7"/>
    <w:rsid w:val="000B7E36"/>
    <w:rsid w:val="000C0077"/>
    <w:rsid w:val="000C0092"/>
    <w:rsid w:val="000C0149"/>
    <w:rsid w:val="000C0497"/>
    <w:rsid w:val="000C04CF"/>
    <w:rsid w:val="000C05F2"/>
    <w:rsid w:val="000C1094"/>
    <w:rsid w:val="000C1B5A"/>
    <w:rsid w:val="000C2607"/>
    <w:rsid w:val="000C2798"/>
    <w:rsid w:val="000C376B"/>
    <w:rsid w:val="000C59DC"/>
    <w:rsid w:val="000C5BA0"/>
    <w:rsid w:val="000C6FFD"/>
    <w:rsid w:val="000D0860"/>
    <w:rsid w:val="000D10DB"/>
    <w:rsid w:val="000D1FC7"/>
    <w:rsid w:val="000D3921"/>
    <w:rsid w:val="000D3B27"/>
    <w:rsid w:val="000D3C8A"/>
    <w:rsid w:val="000D4786"/>
    <w:rsid w:val="000D499E"/>
    <w:rsid w:val="000D5691"/>
    <w:rsid w:val="000D6817"/>
    <w:rsid w:val="000D68F4"/>
    <w:rsid w:val="000D6EEF"/>
    <w:rsid w:val="000D6F4F"/>
    <w:rsid w:val="000E0F8F"/>
    <w:rsid w:val="000E1356"/>
    <w:rsid w:val="000E1572"/>
    <w:rsid w:val="000E3937"/>
    <w:rsid w:val="000E44C7"/>
    <w:rsid w:val="000E48E6"/>
    <w:rsid w:val="000E56C3"/>
    <w:rsid w:val="000E69B3"/>
    <w:rsid w:val="000E6EDD"/>
    <w:rsid w:val="000E7140"/>
    <w:rsid w:val="000E7636"/>
    <w:rsid w:val="000E7ED0"/>
    <w:rsid w:val="000E7F69"/>
    <w:rsid w:val="000F0A25"/>
    <w:rsid w:val="000F0E34"/>
    <w:rsid w:val="000F0E52"/>
    <w:rsid w:val="000F0EEC"/>
    <w:rsid w:val="000F2276"/>
    <w:rsid w:val="000F253D"/>
    <w:rsid w:val="000F2638"/>
    <w:rsid w:val="000F2BBB"/>
    <w:rsid w:val="000F44DE"/>
    <w:rsid w:val="000F4547"/>
    <w:rsid w:val="000F4D36"/>
    <w:rsid w:val="000F6E7F"/>
    <w:rsid w:val="000F7409"/>
    <w:rsid w:val="00100575"/>
    <w:rsid w:val="00101553"/>
    <w:rsid w:val="00102348"/>
    <w:rsid w:val="001024E3"/>
    <w:rsid w:val="00102521"/>
    <w:rsid w:val="001025B1"/>
    <w:rsid w:val="001032AB"/>
    <w:rsid w:val="00103526"/>
    <w:rsid w:val="00104387"/>
    <w:rsid w:val="00104889"/>
    <w:rsid w:val="00104896"/>
    <w:rsid w:val="00104C50"/>
    <w:rsid w:val="00105433"/>
    <w:rsid w:val="001063FA"/>
    <w:rsid w:val="00106990"/>
    <w:rsid w:val="00110623"/>
    <w:rsid w:val="00110679"/>
    <w:rsid w:val="00110A55"/>
    <w:rsid w:val="00111FBB"/>
    <w:rsid w:val="00112617"/>
    <w:rsid w:val="001126EB"/>
    <w:rsid w:val="00113149"/>
    <w:rsid w:val="00113242"/>
    <w:rsid w:val="001134A8"/>
    <w:rsid w:val="00113BBD"/>
    <w:rsid w:val="00113D69"/>
    <w:rsid w:val="00114527"/>
    <w:rsid w:val="00115009"/>
    <w:rsid w:val="0011627D"/>
    <w:rsid w:val="00117093"/>
    <w:rsid w:val="00117802"/>
    <w:rsid w:val="00123D96"/>
    <w:rsid w:val="00123ECD"/>
    <w:rsid w:val="00124EE1"/>
    <w:rsid w:val="001253DA"/>
    <w:rsid w:val="00125D3B"/>
    <w:rsid w:val="001267FB"/>
    <w:rsid w:val="00130A27"/>
    <w:rsid w:val="00130DE9"/>
    <w:rsid w:val="00131042"/>
    <w:rsid w:val="0013104F"/>
    <w:rsid w:val="0013178F"/>
    <w:rsid w:val="00131A3E"/>
    <w:rsid w:val="00131B01"/>
    <w:rsid w:val="00133465"/>
    <w:rsid w:val="0013403C"/>
    <w:rsid w:val="00134072"/>
    <w:rsid w:val="00134B21"/>
    <w:rsid w:val="00134FF0"/>
    <w:rsid w:val="001357AD"/>
    <w:rsid w:val="001365B6"/>
    <w:rsid w:val="00137903"/>
    <w:rsid w:val="00137A3C"/>
    <w:rsid w:val="00137EBA"/>
    <w:rsid w:val="00137FBC"/>
    <w:rsid w:val="00140921"/>
    <w:rsid w:val="00141103"/>
    <w:rsid w:val="00141DEA"/>
    <w:rsid w:val="00142AE8"/>
    <w:rsid w:val="00143E4B"/>
    <w:rsid w:val="00143EB9"/>
    <w:rsid w:val="00144954"/>
    <w:rsid w:val="0014495A"/>
    <w:rsid w:val="00145363"/>
    <w:rsid w:val="00145EDC"/>
    <w:rsid w:val="00147723"/>
    <w:rsid w:val="001503E0"/>
    <w:rsid w:val="00150DD0"/>
    <w:rsid w:val="00152085"/>
    <w:rsid w:val="00152829"/>
    <w:rsid w:val="00152944"/>
    <w:rsid w:val="0015335C"/>
    <w:rsid w:val="001539B8"/>
    <w:rsid w:val="00154179"/>
    <w:rsid w:val="0015419D"/>
    <w:rsid w:val="00154DAD"/>
    <w:rsid w:val="00155F1D"/>
    <w:rsid w:val="00157341"/>
    <w:rsid w:val="001577B2"/>
    <w:rsid w:val="00157A9F"/>
    <w:rsid w:val="001600A4"/>
    <w:rsid w:val="0016085A"/>
    <w:rsid w:val="0016108B"/>
    <w:rsid w:val="00161150"/>
    <w:rsid w:val="00162AAD"/>
    <w:rsid w:val="00162CEF"/>
    <w:rsid w:val="0016322C"/>
    <w:rsid w:val="001638DF"/>
    <w:rsid w:val="00163AF6"/>
    <w:rsid w:val="0016440B"/>
    <w:rsid w:val="00164631"/>
    <w:rsid w:val="0016465A"/>
    <w:rsid w:val="00166E97"/>
    <w:rsid w:val="00166F26"/>
    <w:rsid w:val="00167378"/>
    <w:rsid w:val="00167A34"/>
    <w:rsid w:val="00170952"/>
    <w:rsid w:val="00170976"/>
    <w:rsid w:val="001710D1"/>
    <w:rsid w:val="00171725"/>
    <w:rsid w:val="001729F2"/>
    <w:rsid w:val="001733D5"/>
    <w:rsid w:val="0017348C"/>
    <w:rsid w:val="001739DA"/>
    <w:rsid w:val="001739F5"/>
    <w:rsid w:val="001747B4"/>
    <w:rsid w:val="00174911"/>
    <w:rsid w:val="00174F72"/>
    <w:rsid w:val="00175827"/>
    <w:rsid w:val="00175FF3"/>
    <w:rsid w:val="0017642E"/>
    <w:rsid w:val="0018037F"/>
    <w:rsid w:val="001805B4"/>
    <w:rsid w:val="00180CD2"/>
    <w:rsid w:val="00180D3C"/>
    <w:rsid w:val="00180E3B"/>
    <w:rsid w:val="00180E3F"/>
    <w:rsid w:val="00180E6D"/>
    <w:rsid w:val="001819A8"/>
    <w:rsid w:val="00182F27"/>
    <w:rsid w:val="00183D1C"/>
    <w:rsid w:val="00184083"/>
    <w:rsid w:val="00184BFA"/>
    <w:rsid w:val="00184C6F"/>
    <w:rsid w:val="00187268"/>
    <w:rsid w:val="00187702"/>
    <w:rsid w:val="00190214"/>
    <w:rsid w:val="00191201"/>
    <w:rsid w:val="001917D9"/>
    <w:rsid w:val="00191F07"/>
    <w:rsid w:val="0019332D"/>
    <w:rsid w:val="001937A5"/>
    <w:rsid w:val="00193AA9"/>
    <w:rsid w:val="00194F22"/>
    <w:rsid w:val="00195976"/>
    <w:rsid w:val="001965CC"/>
    <w:rsid w:val="0019748D"/>
    <w:rsid w:val="00197E4F"/>
    <w:rsid w:val="001A2434"/>
    <w:rsid w:val="001A2543"/>
    <w:rsid w:val="001A512A"/>
    <w:rsid w:val="001A5F27"/>
    <w:rsid w:val="001A6423"/>
    <w:rsid w:val="001A64EB"/>
    <w:rsid w:val="001A7439"/>
    <w:rsid w:val="001A768E"/>
    <w:rsid w:val="001A7870"/>
    <w:rsid w:val="001A7EDC"/>
    <w:rsid w:val="001B0BF8"/>
    <w:rsid w:val="001B17B9"/>
    <w:rsid w:val="001B1E51"/>
    <w:rsid w:val="001B3279"/>
    <w:rsid w:val="001B3495"/>
    <w:rsid w:val="001B4974"/>
    <w:rsid w:val="001B5426"/>
    <w:rsid w:val="001B56BC"/>
    <w:rsid w:val="001B5F45"/>
    <w:rsid w:val="001B6CAA"/>
    <w:rsid w:val="001B6F5A"/>
    <w:rsid w:val="001B7A71"/>
    <w:rsid w:val="001B7BA1"/>
    <w:rsid w:val="001C04BF"/>
    <w:rsid w:val="001C1B41"/>
    <w:rsid w:val="001C2003"/>
    <w:rsid w:val="001C2173"/>
    <w:rsid w:val="001C255E"/>
    <w:rsid w:val="001C3032"/>
    <w:rsid w:val="001C38BC"/>
    <w:rsid w:val="001C3B2D"/>
    <w:rsid w:val="001C3B95"/>
    <w:rsid w:val="001C4006"/>
    <w:rsid w:val="001C48AF"/>
    <w:rsid w:val="001C6025"/>
    <w:rsid w:val="001C68E7"/>
    <w:rsid w:val="001C6E0E"/>
    <w:rsid w:val="001C6F52"/>
    <w:rsid w:val="001D1343"/>
    <w:rsid w:val="001D1A17"/>
    <w:rsid w:val="001D1FC1"/>
    <w:rsid w:val="001D20F6"/>
    <w:rsid w:val="001D2946"/>
    <w:rsid w:val="001D2B6C"/>
    <w:rsid w:val="001D3D21"/>
    <w:rsid w:val="001D4D75"/>
    <w:rsid w:val="001D59B1"/>
    <w:rsid w:val="001D7B45"/>
    <w:rsid w:val="001E0270"/>
    <w:rsid w:val="001E0A37"/>
    <w:rsid w:val="001E10CA"/>
    <w:rsid w:val="001E19B5"/>
    <w:rsid w:val="001E2867"/>
    <w:rsid w:val="001E3060"/>
    <w:rsid w:val="001E3B05"/>
    <w:rsid w:val="001E3F3E"/>
    <w:rsid w:val="001E477E"/>
    <w:rsid w:val="001E4D7D"/>
    <w:rsid w:val="001E50A7"/>
    <w:rsid w:val="001E53A1"/>
    <w:rsid w:val="001E53FB"/>
    <w:rsid w:val="001E5A1A"/>
    <w:rsid w:val="001E5F04"/>
    <w:rsid w:val="001E699E"/>
    <w:rsid w:val="001E6C37"/>
    <w:rsid w:val="001F0B72"/>
    <w:rsid w:val="001F1530"/>
    <w:rsid w:val="001F1600"/>
    <w:rsid w:val="001F1B88"/>
    <w:rsid w:val="001F1F7E"/>
    <w:rsid w:val="001F3A88"/>
    <w:rsid w:val="001F3B00"/>
    <w:rsid w:val="001F3CD7"/>
    <w:rsid w:val="001F3D15"/>
    <w:rsid w:val="001F62D9"/>
    <w:rsid w:val="001F6767"/>
    <w:rsid w:val="002027D1"/>
    <w:rsid w:val="00202A19"/>
    <w:rsid w:val="002035AA"/>
    <w:rsid w:val="00203841"/>
    <w:rsid w:val="00204924"/>
    <w:rsid w:val="00204DFD"/>
    <w:rsid w:val="002056C8"/>
    <w:rsid w:val="0020602D"/>
    <w:rsid w:val="002060BB"/>
    <w:rsid w:val="00207544"/>
    <w:rsid w:val="00207E1E"/>
    <w:rsid w:val="0021055A"/>
    <w:rsid w:val="00210E0E"/>
    <w:rsid w:val="00212CAA"/>
    <w:rsid w:val="00212CF8"/>
    <w:rsid w:val="00213A2F"/>
    <w:rsid w:val="00214A40"/>
    <w:rsid w:val="00215292"/>
    <w:rsid w:val="0021591D"/>
    <w:rsid w:val="00215CE2"/>
    <w:rsid w:val="00217D6A"/>
    <w:rsid w:val="0022169F"/>
    <w:rsid w:val="00222050"/>
    <w:rsid w:val="002226AA"/>
    <w:rsid w:val="00223245"/>
    <w:rsid w:val="00225375"/>
    <w:rsid w:val="002256AE"/>
    <w:rsid w:val="00225B08"/>
    <w:rsid w:val="002277C3"/>
    <w:rsid w:val="00227F75"/>
    <w:rsid w:val="0023061B"/>
    <w:rsid w:val="00231CD1"/>
    <w:rsid w:val="00233E74"/>
    <w:rsid w:val="002351E7"/>
    <w:rsid w:val="00236FA5"/>
    <w:rsid w:val="0024070A"/>
    <w:rsid w:val="00241B9E"/>
    <w:rsid w:val="0024247E"/>
    <w:rsid w:val="0024379B"/>
    <w:rsid w:val="00245446"/>
    <w:rsid w:val="00245A42"/>
    <w:rsid w:val="00246514"/>
    <w:rsid w:val="00246E7D"/>
    <w:rsid w:val="00247019"/>
    <w:rsid w:val="00247403"/>
    <w:rsid w:val="00247542"/>
    <w:rsid w:val="00247592"/>
    <w:rsid w:val="00250662"/>
    <w:rsid w:val="00250B61"/>
    <w:rsid w:val="00250F0E"/>
    <w:rsid w:val="00250F42"/>
    <w:rsid w:val="002517BF"/>
    <w:rsid w:val="00252FB1"/>
    <w:rsid w:val="00253F1B"/>
    <w:rsid w:val="00254C67"/>
    <w:rsid w:val="00255140"/>
    <w:rsid w:val="002552DF"/>
    <w:rsid w:val="0025532E"/>
    <w:rsid w:val="00255475"/>
    <w:rsid w:val="00255759"/>
    <w:rsid w:val="00256377"/>
    <w:rsid w:val="00256813"/>
    <w:rsid w:val="00256D45"/>
    <w:rsid w:val="00257893"/>
    <w:rsid w:val="0026109F"/>
    <w:rsid w:val="0026116D"/>
    <w:rsid w:val="0026154C"/>
    <w:rsid w:val="002626A2"/>
    <w:rsid w:val="002626F5"/>
    <w:rsid w:val="00262910"/>
    <w:rsid w:val="00262ECA"/>
    <w:rsid w:val="00263B2B"/>
    <w:rsid w:val="00264033"/>
    <w:rsid w:val="00264225"/>
    <w:rsid w:val="00264870"/>
    <w:rsid w:val="00264944"/>
    <w:rsid w:val="00264C00"/>
    <w:rsid w:val="002651E4"/>
    <w:rsid w:val="00265CC9"/>
    <w:rsid w:val="00266092"/>
    <w:rsid w:val="00266806"/>
    <w:rsid w:val="00266B61"/>
    <w:rsid w:val="0026712A"/>
    <w:rsid w:val="00267891"/>
    <w:rsid w:val="00267EF0"/>
    <w:rsid w:val="002701A7"/>
    <w:rsid w:val="002704DB"/>
    <w:rsid w:val="002704E0"/>
    <w:rsid w:val="00270C7A"/>
    <w:rsid w:val="00271175"/>
    <w:rsid w:val="00272596"/>
    <w:rsid w:val="00272854"/>
    <w:rsid w:val="00272A02"/>
    <w:rsid w:val="00272DEF"/>
    <w:rsid w:val="00272F7D"/>
    <w:rsid w:val="00273032"/>
    <w:rsid w:val="002730F6"/>
    <w:rsid w:val="00273817"/>
    <w:rsid w:val="00274F86"/>
    <w:rsid w:val="00275FC9"/>
    <w:rsid w:val="00276C31"/>
    <w:rsid w:val="002775BE"/>
    <w:rsid w:val="0028046B"/>
    <w:rsid w:val="00280F11"/>
    <w:rsid w:val="0028111A"/>
    <w:rsid w:val="00281C7C"/>
    <w:rsid w:val="00283909"/>
    <w:rsid w:val="00283971"/>
    <w:rsid w:val="00283FEF"/>
    <w:rsid w:val="00284829"/>
    <w:rsid w:val="00284E33"/>
    <w:rsid w:val="00284E86"/>
    <w:rsid w:val="00285EC8"/>
    <w:rsid w:val="002869C6"/>
    <w:rsid w:val="00286E49"/>
    <w:rsid w:val="00287068"/>
    <w:rsid w:val="00287642"/>
    <w:rsid w:val="00287680"/>
    <w:rsid w:val="00287BFF"/>
    <w:rsid w:val="00290094"/>
    <w:rsid w:val="00291C7D"/>
    <w:rsid w:val="00292239"/>
    <w:rsid w:val="00292BD8"/>
    <w:rsid w:val="00292CEC"/>
    <w:rsid w:val="0029397E"/>
    <w:rsid w:val="00293AEB"/>
    <w:rsid w:val="00293B75"/>
    <w:rsid w:val="00293FA6"/>
    <w:rsid w:val="0029466E"/>
    <w:rsid w:val="002946D1"/>
    <w:rsid w:val="00294727"/>
    <w:rsid w:val="00294B4A"/>
    <w:rsid w:val="00294FA9"/>
    <w:rsid w:val="0029615A"/>
    <w:rsid w:val="002963E4"/>
    <w:rsid w:val="0029715B"/>
    <w:rsid w:val="00297288"/>
    <w:rsid w:val="0029754B"/>
    <w:rsid w:val="002A00C2"/>
    <w:rsid w:val="002A036F"/>
    <w:rsid w:val="002A05B1"/>
    <w:rsid w:val="002A0FF3"/>
    <w:rsid w:val="002A1C6E"/>
    <w:rsid w:val="002A1D6A"/>
    <w:rsid w:val="002A24D4"/>
    <w:rsid w:val="002A2720"/>
    <w:rsid w:val="002A2E09"/>
    <w:rsid w:val="002A3CD5"/>
    <w:rsid w:val="002A6D5A"/>
    <w:rsid w:val="002A70A8"/>
    <w:rsid w:val="002A733A"/>
    <w:rsid w:val="002A7A01"/>
    <w:rsid w:val="002A7E04"/>
    <w:rsid w:val="002B008D"/>
    <w:rsid w:val="002B01A2"/>
    <w:rsid w:val="002B0BE7"/>
    <w:rsid w:val="002B110C"/>
    <w:rsid w:val="002B1184"/>
    <w:rsid w:val="002B1EF2"/>
    <w:rsid w:val="002B2AB5"/>
    <w:rsid w:val="002B2B5C"/>
    <w:rsid w:val="002B30E6"/>
    <w:rsid w:val="002B437F"/>
    <w:rsid w:val="002B4B61"/>
    <w:rsid w:val="002B4BBC"/>
    <w:rsid w:val="002B5F8A"/>
    <w:rsid w:val="002C10D7"/>
    <w:rsid w:val="002C1641"/>
    <w:rsid w:val="002C1705"/>
    <w:rsid w:val="002C1D2D"/>
    <w:rsid w:val="002C1EB3"/>
    <w:rsid w:val="002C1FE5"/>
    <w:rsid w:val="002C3312"/>
    <w:rsid w:val="002C3671"/>
    <w:rsid w:val="002C3D66"/>
    <w:rsid w:val="002C4070"/>
    <w:rsid w:val="002C4F62"/>
    <w:rsid w:val="002C5364"/>
    <w:rsid w:val="002C58D2"/>
    <w:rsid w:val="002C5A89"/>
    <w:rsid w:val="002C5EC4"/>
    <w:rsid w:val="002C7B08"/>
    <w:rsid w:val="002D033F"/>
    <w:rsid w:val="002D03B6"/>
    <w:rsid w:val="002D2317"/>
    <w:rsid w:val="002D3E56"/>
    <w:rsid w:val="002D45C2"/>
    <w:rsid w:val="002D4CA0"/>
    <w:rsid w:val="002D5B26"/>
    <w:rsid w:val="002D628F"/>
    <w:rsid w:val="002D6716"/>
    <w:rsid w:val="002D6E69"/>
    <w:rsid w:val="002D71ED"/>
    <w:rsid w:val="002D7DC4"/>
    <w:rsid w:val="002D7EA2"/>
    <w:rsid w:val="002E03A4"/>
    <w:rsid w:val="002E0A82"/>
    <w:rsid w:val="002E0D33"/>
    <w:rsid w:val="002E10DC"/>
    <w:rsid w:val="002E15DF"/>
    <w:rsid w:val="002E187C"/>
    <w:rsid w:val="002E18E3"/>
    <w:rsid w:val="002E1CDE"/>
    <w:rsid w:val="002E1DCB"/>
    <w:rsid w:val="002E2B08"/>
    <w:rsid w:val="002E349E"/>
    <w:rsid w:val="002E35D7"/>
    <w:rsid w:val="002E3C15"/>
    <w:rsid w:val="002E432F"/>
    <w:rsid w:val="002E43C9"/>
    <w:rsid w:val="002E4F78"/>
    <w:rsid w:val="002E61E7"/>
    <w:rsid w:val="002E6267"/>
    <w:rsid w:val="002E6E57"/>
    <w:rsid w:val="002E71E1"/>
    <w:rsid w:val="002E755E"/>
    <w:rsid w:val="002E78C1"/>
    <w:rsid w:val="002E7E79"/>
    <w:rsid w:val="002F097A"/>
    <w:rsid w:val="002F1351"/>
    <w:rsid w:val="002F1404"/>
    <w:rsid w:val="002F15EA"/>
    <w:rsid w:val="002F1716"/>
    <w:rsid w:val="002F17C9"/>
    <w:rsid w:val="002F1B00"/>
    <w:rsid w:val="002F2D41"/>
    <w:rsid w:val="002F3202"/>
    <w:rsid w:val="002F3554"/>
    <w:rsid w:val="002F3598"/>
    <w:rsid w:val="002F35CB"/>
    <w:rsid w:val="002F3D27"/>
    <w:rsid w:val="002F414B"/>
    <w:rsid w:val="002F443F"/>
    <w:rsid w:val="002F503E"/>
    <w:rsid w:val="002F56BB"/>
    <w:rsid w:val="002F5E45"/>
    <w:rsid w:val="002F605F"/>
    <w:rsid w:val="002F6201"/>
    <w:rsid w:val="002F63D9"/>
    <w:rsid w:val="002F6C1E"/>
    <w:rsid w:val="002F6ECD"/>
    <w:rsid w:val="002F7B0F"/>
    <w:rsid w:val="00301075"/>
    <w:rsid w:val="00301B3D"/>
    <w:rsid w:val="00301DFA"/>
    <w:rsid w:val="00301F71"/>
    <w:rsid w:val="00302733"/>
    <w:rsid w:val="00303707"/>
    <w:rsid w:val="00303B04"/>
    <w:rsid w:val="00303B8C"/>
    <w:rsid w:val="0030446B"/>
    <w:rsid w:val="00304EED"/>
    <w:rsid w:val="0030600F"/>
    <w:rsid w:val="003067F3"/>
    <w:rsid w:val="00306D2A"/>
    <w:rsid w:val="00307C8D"/>
    <w:rsid w:val="003103D0"/>
    <w:rsid w:val="003107B6"/>
    <w:rsid w:val="00310803"/>
    <w:rsid w:val="00310E56"/>
    <w:rsid w:val="0031103F"/>
    <w:rsid w:val="003112C6"/>
    <w:rsid w:val="00311A4F"/>
    <w:rsid w:val="00313332"/>
    <w:rsid w:val="00313502"/>
    <w:rsid w:val="00314078"/>
    <w:rsid w:val="00314713"/>
    <w:rsid w:val="003158EC"/>
    <w:rsid w:val="00315905"/>
    <w:rsid w:val="003164AD"/>
    <w:rsid w:val="00316559"/>
    <w:rsid w:val="00316BFA"/>
    <w:rsid w:val="0031724D"/>
    <w:rsid w:val="00317255"/>
    <w:rsid w:val="00317BEA"/>
    <w:rsid w:val="00317E8A"/>
    <w:rsid w:val="00320402"/>
    <w:rsid w:val="00320A64"/>
    <w:rsid w:val="00321A96"/>
    <w:rsid w:val="00322398"/>
    <w:rsid w:val="00322450"/>
    <w:rsid w:val="00323D46"/>
    <w:rsid w:val="003241CF"/>
    <w:rsid w:val="003245A7"/>
    <w:rsid w:val="003246B5"/>
    <w:rsid w:val="003249CF"/>
    <w:rsid w:val="003267B5"/>
    <w:rsid w:val="00327424"/>
    <w:rsid w:val="00327501"/>
    <w:rsid w:val="00330196"/>
    <w:rsid w:val="00330A1D"/>
    <w:rsid w:val="00330E0E"/>
    <w:rsid w:val="0033161A"/>
    <w:rsid w:val="00331687"/>
    <w:rsid w:val="0033169F"/>
    <w:rsid w:val="00332115"/>
    <w:rsid w:val="00332152"/>
    <w:rsid w:val="003330D2"/>
    <w:rsid w:val="00334F60"/>
    <w:rsid w:val="00336085"/>
    <w:rsid w:val="00337546"/>
    <w:rsid w:val="003378E0"/>
    <w:rsid w:val="00337961"/>
    <w:rsid w:val="00337C43"/>
    <w:rsid w:val="003407E0"/>
    <w:rsid w:val="00340A95"/>
    <w:rsid w:val="003410A6"/>
    <w:rsid w:val="003414AC"/>
    <w:rsid w:val="003414E6"/>
    <w:rsid w:val="00341C39"/>
    <w:rsid w:val="00342070"/>
    <w:rsid w:val="00342964"/>
    <w:rsid w:val="0034357F"/>
    <w:rsid w:val="003447BB"/>
    <w:rsid w:val="00344B38"/>
    <w:rsid w:val="0034593B"/>
    <w:rsid w:val="003464A2"/>
    <w:rsid w:val="00346D16"/>
    <w:rsid w:val="00347742"/>
    <w:rsid w:val="003520F3"/>
    <w:rsid w:val="00352984"/>
    <w:rsid w:val="00353417"/>
    <w:rsid w:val="00353AA7"/>
    <w:rsid w:val="00353EED"/>
    <w:rsid w:val="003544BC"/>
    <w:rsid w:val="0035485A"/>
    <w:rsid w:val="00354C44"/>
    <w:rsid w:val="00355779"/>
    <w:rsid w:val="00355DBF"/>
    <w:rsid w:val="00356185"/>
    <w:rsid w:val="00356ADE"/>
    <w:rsid w:val="00357206"/>
    <w:rsid w:val="0035782F"/>
    <w:rsid w:val="00357A85"/>
    <w:rsid w:val="00357C4D"/>
    <w:rsid w:val="00357D78"/>
    <w:rsid w:val="00360380"/>
    <w:rsid w:val="003604FE"/>
    <w:rsid w:val="0036137D"/>
    <w:rsid w:val="00361EB7"/>
    <w:rsid w:val="00362113"/>
    <w:rsid w:val="00362FE0"/>
    <w:rsid w:val="0036346A"/>
    <w:rsid w:val="00363DD2"/>
    <w:rsid w:val="00365D52"/>
    <w:rsid w:val="00366182"/>
    <w:rsid w:val="00366DBE"/>
    <w:rsid w:val="00367444"/>
    <w:rsid w:val="003675B8"/>
    <w:rsid w:val="00367FBF"/>
    <w:rsid w:val="0037070D"/>
    <w:rsid w:val="00370DD4"/>
    <w:rsid w:val="003712A0"/>
    <w:rsid w:val="003712A7"/>
    <w:rsid w:val="00371EFD"/>
    <w:rsid w:val="003724FD"/>
    <w:rsid w:val="00372C5E"/>
    <w:rsid w:val="00372F8E"/>
    <w:rsid w:val="00373790"/>
    <w:rsid w:val="003741EF"/>
    <w:rsid w:val="003745F9"/>
    <w:rsid w:val="00374940"/>
    <w:rsid w:val="003750C8"/>
    <w:rsid w:val="003759D2"/>
    <w:rsid w:val="00376244"/>
    <w:rsid w:val="00377AD8"/>
    <w:rsid w:val="00380582"/>
    <w:rsid w:val="00380645"/>
    <w:rsid w:val="00380A1D"/>
    <w:rsid w:val="00380B67"/>
    <w:rsid w:val="00380B68"/>
    <w:rsid w:val="00380ECF"/>
    <w:rsid w:val="00381B43"/>
    <w:rsid w:val="0038209A"/>
    <w:rsid w:val="00382598"/>
    <w:rsid w:val="00382CE7"/>
    <w:rsid w:val="0038330F"/>
    <w:rsid w:val="00384072"/>
    <w:rsid w:val="0038421B"/>
    <w:rsid w:val="00385B08"/>
    <w:rsid w:val="00386CF0"/>
    <w:rsid w:val="00386FEA"/>
    <w:rsid w:val="00387480"/>
    <w:rsid w:val="00387722"/>
    <w:rsid w:val="003902B2"/>
    <w:rsid w:val="0039061F"/>
    <w:rsid w:val="00390A8A"/>
    <w:rsid w:val="00390D19"/>
    <w:rsid w:val="00390E14"/>
    <w:rsid w:val="00391CD8"/>
    <w:rsid w:val="00393955"/>
    <w:rsid w:val="00393C8E"/>
    <w:rsid w:val="00394608"/>
    <w:rsid w:val="0039471C"/>
    <w:rsid w:val="00394A5D"/>
    <w:rsid w:val="00395A03"/>
    <w:rsid w:val="00396106"/>
    <w:rsid w:val="003964BF"/>
    <w:rsid w:val="00396CEE"/>
    <w:rsid w:val="003A187E"/>
    <w:rsid w:val="003A1AE3"/>
    <w:rsid w:val="003A27F4"/>
    <w:rsid w:val="003A2DC1"/>
    <w:rsid w:val="003A3C43"/>
    <w:rsid w:val="003A4790"/>
    <w:rsid w:val="003A485E"/>
    <w:rsid w:val="003A4B42"/>
    <w:rsid w:val="003A513C"/>
    <w:rsid w:val="003A527A"/>
    <w:rsid w:val="003A5C8E"/>
    <w:rsid w:val="003A6019"/>
    <w:rsid w:val="003A632E"/>
    <w:rsid w:val="003A71F1"/>
    <w:rsid w:val="003A7BFE"/>
    <w:rsid w:val="003B1057"/>
    <w:rsid w:val="003B12B2"/>
    <w:rsid w:val="003B294A"/>
    <w:rsid w:val="003B2C86"/>
    <w:rsid w:val="003B349D"/>
    <w:rsid w:val="003B3E94"/>
    <w:rsid w:val="003B517A"/>
    <w:rsid w:val="003B5C8C"/>
    <w:rsid w:val="003B63A0"/>
    <w:rsid w:val="003B640E"/>
    <w:rsid w:val="003B6423"/>
    <w:rsid w:val="003B66DC"/>
    <w:rsid w:val="003B6950"/>
    <w:rsid w:val="003B7EB1"/>
    <w:rsid w:val="003C0DCD"/>
    <w:rsid w:val="003C32BC"/>
    <w:rsid w:val="003C3722"/>
    <w:rsid w:val="003C4BC0"/>
    <w:rsid w:val="003C4D18"/>
    <w:rsid w:val="003C54AD"/>
    <w:rsid w:val="003C6480"/>
    <w:rsid w:val="003C67F1"/>
    <w:rsid w:val="003C6866"/>
    <w:rsid w:val="003C6FCC"/>
    <w:rsid w:val="003C7061"/>
    <w:rsid w:val="003C7113"/>
    <w:rsid w:val="003D0656"/>
    <w:rsid w:val="003D0C05"/>
    <w:rsid w:val="003D0D3E"/>
    <w:rsid w:val="003D1094"/>
    <w:rsid w:val="003D1B14"/>
    <w:rsid w:val="003D1E49"/>
    <w:rsid w:val="003D20B1"/>
    <w:rsid w:val="003D2871"/>
    <w:rsid w:val="003D2C7F"/>
    <w:rsid w:val="003D3435"/>
    <w:rsid w:val="003D3507"/>
    <w:rsid w:val="003D3E1C"/>
    <w:rsid w:val="003D40A7"/>
    <w:rsid w:val="003D4A67"/>
    <w:rsid w:val="003D51A2"/>
    <w:rsid w:val="003D5A38"/>
    <w:rsid w:val="003D5CD7"/>
    <w:rsid w:val="003D5F18"/>
    <w:rsid w:val="003D6644"/>
    <w:rsid w:val="003D66F0"/>
    <w:rsid w:val="003D79BC"/>
    <w:rsid w:val="003E06A3"/>
    <w:rsid w:val="003E0852"/>
    <w:rsid w:val="003E1FEC"/>
    <w:rsid w:val="003E2564"/>
    <w:rsid w:val="003E296F"/>
    <w:rsid w:val="003E2DA9"/>
    <w:rsid w:val="003E366F"/>
    <w:rsid w:val="003E452B"/>
    <w:rsid w:val="003E4D93"/>
    <w:rsid w:val="003E4E8A"/>
    <w:rsid w:val="003E520F"/>
    <w:rsid w:val="003E60B8"/>
    <w:rsid w:val="003E65E7"/>
    <w:rsid w:val="003E68BB"/>
    <w:rsid w:val="003E6FB6"/>
    <w:rsid w:val="003E70A6"/>
    <w:rsid w:val="003E7380"/>
    <w:rsid w:val="003F0153"/>
    <w:rsid w:val="003F03FA"/>
    <w:rsid w:val="003F0B2B"/>
    <w:rsid w:val="003F1230"/>
    <w:rsid w:val="003F128B"/>
    <w:rsid w:val="003F1820"/>
    <w:rsid w:val="003F1BBF"/>
    <w:rsid w:val="003F2D46"/>
    <w:rsid w:val="003F525A"/>
    <w:rsid w:val="003F5E78"/>
    <w:rsid w:val="003F6707"/>
    <w:rsid w:val="003F7001"/>
    <w:rsid w:val="003F7161"/>
    <w:rsid w:val="00400881"/>
    <w:rsid w:val="00400E6B"/>
    <w:rsid w:val="00400EA4"/>
    <w:rsid w:val="004010E9"/>
    <w:rsid w:val="0040128E"/>
    <w:rsid w:val="004020C2"/>
    <w:rsid w:val="004022E4"/>
    <w:rsid w:val="00403061"/>
    <w:rsid w:val="00404333"/>
    <w:rsid w:val="00404A51"/>
    <w:rsid w:val="00404EFC"/>
    <w:rsid w:val="00404F22"/>
    <w:rsid w:val="00405991"/>
    <w:rsid w:val="00405F19"/>
    <w:rsid w:val="00406721"/>
    <w:rsid w:val="00406CB6"/>
    <w:rsid w:val="0040735D"/>
    <w:rsid w:val="0040759C"/>
    <w:rsid w:val="00407F3D"/>
    <w:rsid w:val="00410925"/>
    <w:rsid w:val="00410BC8"/>
    <w:rsid w:val="00410D88"/>
    <w:rsid w:val="004122AE"/>
    <w:rsid w:val="0041301B"/>
    <w:rsid w:val="0041398A"/>
    <w:rsid w:val="00413B37"/>
    <w:rsid w:val="004142F6"/>
    <w:rsid w:val="004155D1"/>
    <w:rsid w:val="00415993"/>
    <w:rsid w:val="00415BAE"/>
    <w:rsid w:val="004165C2"/>
    <w:rsid w:val="00417263"/>
    <w:rsid w:val="00417356"/>
    <w:rsid w:val="0041797E"/>
    <w:rsid w:val="00417E33"/>
    <w:rsid w:val="00421BA4"/>
    <w:rsid w:val="0042244A"/>
    <w:rsid w:val="00423909"/>
    <w:rsid w:val="004258CE"/>
    <w:rsid w:val="0042692E"/>
    <w:rsid w:val="00426A93"/>
    <w:rsid w:val="00426DB7"/>
    <w:rsid w:val="0042717E"/>
    <w:rsid w:val="00427406"/>
    <w:rsid w:val="0042749C"/>
    <w:rsid w:val="00427B63"/>
    <w:rsid w:val="00432731"/>
    <w:rsid w:val="004332C3"/>
    <w:rsid w:val="004333AC"/>
    <w:rsid w:val="004336EA"/>
    <w:rsid w:val="0043380C"/>
    <w:rsid w:val="00436950"/>
    <w:rsid w:val="00436C44"/>
    <w:rsid w:val="00436C66"/>
    <w:rsid w:val="004404D0"/>
    <w:rsid w:val="00440C9B"/>
    <w:rsid w:val="0044139C"/>
    <w:rsid w:val="004413C0"/>
    <w:rsid w:val="00441D48"/>
    <w:rsid w:val="00441E7C"/>
    <w:rsid w:val="00442D9C"/>
    <w:rsid w:val="004432E5"/>
    <w:rsid w:val="00443E6F"/>
    <w:rsid w:val="00444596"/>
    <w:rsid w:val="00445C74"/>
    <w:rsid w:val="0044656D"/>
    <w:rsid w:val="00446F15"/>
    <w:rsid w:val="0044706E"/>
    <w:rsid w:val="00447468"/>
    <w:rsid w:val="00447B8F"/>
    <w:rsid w:val="00450A4A"/>
    <w:rsid w:val="00450D96"/>
    <w:rsid w:val="00451A25"/>
    <w:rsid w:val="00451DEB"/>
    <w:rsid w:val="004526C7"/>
    <w:rsid w:val="004529E6"/>
    <w:rsid w:val="00453466"/>
    <w:rsid w:val="00454492"/>
    <w:rsid w:val="0045481D"/>
    <w:rsid w:val="00455165"/>
    <w:rsid w:val="0045524E"/>
    <w:rsid w:val="00457228"/>
    <w:rsid w:val="00457B89"/>
    <w:rsid w:val="00460177"/>
    <w:rsid w:val="0046041C"/>
    <w:rsid w:val="0046072C"/>
    <w:rsid w:val="0046208F"/>
    <w:rsid w:val="00462248"/>
    <w:rsid w:val="0046269E"/>
    <w:rsid w:val="00462781"/>
    <w:rsid w:val="00462F9A"/>
    <w:rsid w:val="004630F5"/>
    <w:rsid w:val="004632C8"/>
    <w:rsid w:val="004642EF"/>
    <w:rsid w:val="00464AC3"/>
    <w:rsid w:val="00464D85"/>
    <w:rsid w:val="0046516D"/>
    <w:rsid w:val="004654E1"/>
    <w:rsid w:val="0046574C"/>
    <w:rsid w:val="00465954"/>
    <w:rsid w:val="004666FB"/>
    <w:rsid w:val="00467542"/>
    <w:rsid w:val="00467B7E"/>
    <w:rsid w:val="00467CF1"/>
    <w:rsid w:val="00467FED"/>
    <w:rsid w:val="0047006D"/>
    <w:rsid w:val="00471927"/>
    <w:rsid w:val="00471BC8"/>
    <w:rsid w:val="004730AF"/>
    <w:rsid w:val="00476B10"/>
    <w:rsid w:val="00477BE3"/>
    <w:rsid w:val="00477C46"/>
    <w:rsid w:val="00477D29"/>
    <w:rsid w:val="0048119E"/>
    <w:rsid w:val="00481C1F"/>
    <w:rsid w:val="00482011"/>
    <w:rsid w:val="00482208"/>
    <w:rsid w:val="00482528"/>
    <w:rsid w:val="00482644"/>
    <w:rsid w:val="00483146"/>
    <w:rsid w:val="00483697"/>
    <w:rsid w:val="00483974"/>
    <w:rsid w:val="00483D9E"/>
    <w:rsid w:val="00484B2F"/>
    <w:rsid w:val="00484F80"/>
    <w:rsid w:val="004850C2"/>
    <w:rsid w:val="00486A15"/>
    <w:rsid w:val="00486B19"/>
    <w:rsid w:val="0048701C"/>
    <w:rsid w:val="0048728E"/>
    <w:rsid w:val="004907E1"/>
    <w:rsid w:val="00490BE7"/>
    <w:rsid w:val="00490C98"/>
    <w:rsid w:val="00491115"/>
    <w:rsid w:val="0049232D"/>
    <w:rsid w:val="00492AE4"/>
    <w:rsid w:val="00493D82"/>
    <w:rsid w:val="0049419D"/>
    <w:rsid w:val="00495029"/>
    <w:rsid w:val="00495396"/>
    <w:rsid w:val="00495CD7"/>
    <w:rsid w:val="004962B8"/>
    <w:rsid w:val="00496687"/>
    <w:rsid w:val="00496C69"/>
    <w:rsid w:val="00496DBC"/>
    <w:rsid w:val="0049749D"/>
    <w:rsid w:val="004977D3"/>
    <w:rsid w:val="00497B9A"/>
    <w:rsid w:val="00497D68"/>
    <w:rsid w:val="004A0977"/>
    <w:rsid w:val="004A17A5"/>
    <w:rsid w:val="004A1B66"/>
    <w:rsid w:val="004A1EEA"/>
    <w:rsid w:val="004A2B9D"/>
    <w:rsid w:val="004A37A5"/>
    <w:rsid w:val="004A3806"/>
    <w:rsid w:val="004A3DC4"/>
    <w:rsid w:val="004A3F9D"/>
    <w:rsid w:val="004A4A3E"/>
    <w:rsid w:val="004A4DB0"/>
    <w:rsid w:val="004A514F"/>
    <w:rsid w:val="004A7C29"/>
    <w:rsid w:val="004B1281"/>
    <w:rsid w:val="004B1705"/>
    <w:rsid w:val="004B2634"/>
    <w:rsid w:val="004B2762"/>
    <w:rsid w:val="004B2B7F"/>
    <w:rsid w:val="004B2DE8"/>
    <w:rsid w:val="004B388C"/>
    <w:rsid w:val="004B40A9"/>
    <w:rsid w:val="004B45B7"/>
    <w:rsid w:val="004B4E6F"/>
    <w:rsid w:val="004B5331"/>
    <w:rsid w:val="004B545B"/>
    <w:rsid w:val="004B6077"/>
    <w:rsid w:val="004B66D7"/>
    <w:rsid w:val="004B7EB6"/>
    <w:rsid w:val="004C03F8"/>
    <w:rsid w:val="004C0FE4"/>
    <w:rsid w:val="004C127B"/>
    <w:rsid w:val="004C17B4"/>
    <w:rsid w:val="004C1D25"/>
    <w:rsid w:val="004C42F3"/>
    <w:rsid w:val="004C4B62"/>
    <w:rsid w:val="004C599D"/>
    <w:rsid w:val="004C664A"/>
    <w:rsid w:val="004C68B8"/>
    <w:rsid w:val="004C7257"/>
    <w:rsid w:val="004C758F"/>
    <w:rsid w:val="004C77DC"/>
    <w:rsid w:val="004C7EE2"/>
    <w:rsid w:val="004D0229"/>
    <w:rsid w:val="004D337D"/>
    <w:rsid w:val="004D37B1"/>
    <w:rsid w:val="004D394B"/>
    <w:rsid w:val="004D4782"/>
    <w:rsid w:val="004D4A6A"/>
    <w:rsid w:val="004D4D1B"/>
    <w:rsid w:val="004D5E9F"/>
    <w:rsid w:val="004D5F30"/>
    <w:rsid w:val="004D6025"/>
    <w:rsid w:val="004D657F"/>
    <w:rsid w:val="004D660E"/>
    <w:rsid w:val="004D72BC"/>
    <w:rsid w:val="004D78B4"/>
    <w:rsid w:val="004E038C"/>
    <w:rsid w:val="004E048E"/>
    <w:rsid w:val="004E2452"/>
    <w:rsid w:val="004E29FA"/>
    <w:rsid w:val="004E2BB5"/>
    <w:rsid w:val="004E3A16"/>
    <w:rsid w:val="004E4761"/>
    <w:rsid w:val="004E5303"/>
    <w:rsid w:val="004E58DB"/>
    <w:rsid w:val="004E6130"/>
    <w:rsid w:val="004E6C9C"/>
    <w:rsid w:val="004F01F0"/>
    <w:rsid w:val="004F04A5"/>
    <w:rsid w:val="004F0842"/>
    <w:rsid w:val="004F0928"/>
    <w:rsid w:val="004F15C4"/>
    <w:rsid w:val="004F16E8"/>
    <w:rsid w:val="004F1DAD"/>
    <w:rsid w:val="004F2694"/>
    <w:rsid w:val="004F2B91"/>
    <w:rsid w:val="004F2FC4"/>
    <w:rsid w:val="004F3195"/>
    <w:rsid w:val="004F37CA"/>
    <w:rsid w:val="004F3905"/>
    <w:rsid w:val="004F3DBE"/>
    <w:rsid w:val="004F439E"/>
    <w:rsid w:val="004F43A1"/>
    <w:rsid w:val="004F441A"/>
    <w:rsid w:val="004F4C1C"/>
    <w:rsid w:val="004F530D"/>
    <w:rsid w:val="004F5466"/>
    <w:rsid w:val="004F6949"/>
    <w:rsid w:val="004F69EA"/>
    <w:rsid w:val="004F69ED"/>
    <w:rsid w:val="004F73A7"/>
    <w:rsid w:val="005008C7"/>
    <w:rsid w:val="0050128F"/>
    <w:rsid w:val="00501399"/>
    <w:rsid w:val="00501DFB"/>
    <w:rsid w:val="005028FE"/>
    <w:rsid w:val="00502E35"/>
    <w:rsid w:val="00503C4C"/>
    <w:rsid w:val="0050536C"/>
    <w:rsid w:val="00505451"/>
    <w:rsid w:val="0050562E"/>
    <w:rsid w:val="00505B63"/>
    <w:rsid w:val="0050624E"/>
    <w:rsid w:val="005066A4"/>
    <w:rsid w:val="005068B0"/>
    <w:rsid w:val="00507534"/>
    <w:rsid w:val="00507BC4"/>
    <w:rsid w:val="00507BF9"/>
    <w:rsid w:val="00510311"/>
    <w:rsid w:val="00511377"/>
    <w:rsid w:val="005121CC"/>
    <w:rsid w:val="00512224"/>
    <w:rsid w:val="005128E4"/>
    <w:rsid w:val="00512A35"/>
    <w:rsid w:val="00513229"/>
    <w:rsid w:val="00513B75"/>
    <w:rsid w:val="005152B7"/>
    <w:rsid w:val="00516BBE"/>
    <w:rsid w:val="005172CC"/>
    <w:rsid w:val="00521909"/>
    <w:rsid w:val="005223AF"/>
    <w:rsid w:val="00523977"/>
    <w:rsid w:val="00524268"/>
    <w:rsid w:val="00524748"/>
    <w:rsid w:val="00525278"/>
    <w:rsid w:val="00525560"/>
    <w:rsid w:val="00525C32"/>
    <w:rsid w:val="00525F05"/>
    <w:rsid w:val="00526204"/>
    <w:rsid w:val="005267AC"/>
    <w:rsid w:val="00527461"/>
    <w:rsid w:val="00530295"/>
    <w:rsid w:val="00530B2B"/>
    <w:rsid w:val="00531008"/>
    <w:rsid w:val="00531386"/>
    <w:rsid w:val="0053187E"/>
    <w:rsid w:val="00531BC6"/>
    <w:rsid w:val="00531FDC"/>
    <w:rsid w:val="005325F6"/>
    <w:rsid w:val="00532F64"/>
    <w:rsid w:val="00533CF3"/>
    <w:rsid w:val="00533D17"/>
    <w:rsid w:val="005343C0"/>
    <w:rsid w:val="005346E1"/>
    <w:rsid w:val="00535135"/>
    <w:rsid w:val="005357A6"/>
    <w:rsid w:val="0053592E"/>
    <w:rsid w:val="00535FF9"/>
    <w:rsid w:val="005366E5"/>
    <w:rsid w:val="005367D0"/>
    <w:rsid w:val="00536848"/>
    <w:rsid w:val="00536B9E"/>
    <w:rsid w:val="00536D9D"/>
    <w:rsid w:val="005401F2"/>
    <w:rsid w:val="00540AEC"/>
    <w:rsid w:val="00540D36"/>
    <w:rsid w:val="005410DA"/>
    <w:rsid w:val="00541B01"/>
    <w:rsid w:val="005422EF"/>
    <w:rsid w:val="005430A6"/>
    <w:rsid w:val="00543705"/>
    <w:rsid w:val="005439C3"/>
    <w:rsid w:val="005442AD"/>
    <w:rsid w:val="00544C49"/>
    <w:rsid w:val="0054561F"/>
    <w:rsid w:val="005456B2"/>
    <w:rsid w:val="0054591A"/>
    <w:rsid w:val="005463BC"/>
    <w:rsid w:val="005474ED"/>
    <w:rsid w:val="00547EB7"/>
    <w:rsid w:val="00550141"/>
    <w:rsid w:val="0055160C"/>
    <w:rsid w:val="00551DE1"/>
    <w:rsid w:val="00552FC3"/>
    <w:rsid w:val="005531BB"/>
    <w:rsid w:val="00553EC6"/>
    <w:rsid w:val="005541E1"/>
    <w:rsid w:val="00554AD8"/>
    <w:rsid w:val="00554BAB"/>
    <w:rsid w:val="005557F2"/>
    <w:rsid w:val="00555A6E"/>
    <w:rsid w:val="00557C07"/>
    <w:rsid w:val="00561FAC"/>
    <w:rsid w:val="005625D4"/>
    <w:rsid w:val="005627FD"/>
    <w:rsid w:val="00562B7B"/>
    <w:rsid w:val="00562E4A"/>
    <w:rsid w:val="005633E7"/>
    <w:rsid w:val="00563F04"/>
    <w:rsid w:val="0056432A"/>
    <w:rsid w:val="005649BB"/>
    <w:rsid w:val="00564EFD"/>
    <w:rsid w:val="005653C0"/>
    <w:rsid w:val="00565909"/>
    <w:rsid w:val="00565B4B"/>
    <w:rsid w:val="00567D03"/>
    <w:rsid w:val="005706EF"/>
    <w:rsid w:val="00570AF2"/>
    <w:rsid w:val="00570B0D"/>
    <w:rsid w:val="00571247"/>
    <w:rsid w:val="0057402A"/>
    <w:rsid w:val="00574148"/>
    <w:rsid w:val="005744A4"/>
    <w:rsid w:val="005755D5"/>
    <w:rsid w:val="00575C82"/>
    <w:rsid w:val="00576205"/>
    <w:rsid w:val="005764DD"/>
    <w:rsid w:val="00576832"/>
    <w:rsid w:val="00576D19"/>
    <w:rsid w:val="005771D0"/>
    <w:rsid w:val="005779A6"/>
    <w:rsid w:val="005800E2"/>
    <w:rsid w:val="0058022B"/>
    <w:rsid w:val="00580FD1"/>
    <w:rsid w:val="00581ACD"/>
    <w:rsid w:val="00582750"/>
    <w:rsid w:val="00582FEA"/>
    <w:rsid w:val="0058343A"/>
    <w:rsid w:val="00584C28"/>
    <w:rsid w:val="00585DED"/>
    <w:rsid w:val="00587964"/>
    <w:rsid w:val="00587D7B"/>
    <w:rsid w:val="005902A3"/>
    <w:rsid w:val="0059066D"/>
    <w:rsid w:val="00590BF3"/>
    <w:rsid w:val="00590C43"/>
    <w:rsid w:val="005910C0"/>
    <w:rsid w:val="005916E2"/>
    <w:rsid w:val="0059191A"/>
    <w:rsid w:val="0059191D"/>
    <w:rsid w:val="00591B96"/>
    <w:rsid w:val="00591F60"/>
    <w:rsid w:val="005921FF"/>
    <w:rsid w:val="0059318E"/>
    <w:rsid w:val="005937E2"/>
    <w:rsid w:val="00594CE1"/>
    <w:rsid w:val="00596514"/>
    <w:rsid w:val="0059670F"/>
    <w:rsid w:val="00596ABE"/>
    <w:rsid w:val="00596AD3"/>
    <w:rsid w:val="00596F42"/>
    <w:rsid w:val="00597162"/>
    <w:rsid w:val="0059770B"/>
    <w:rsid w:val="00597C8A"/>
    <w:rsid w:val="00597E00"/>
    <w:rsid w:val="005A0108"/>
    <w:rsid w:val="005A0410"/>
    <w:rsid w:val="005A05DB"/>
    <w:rsid w:val="005A0E4A"/>
    <w:rsid w:val="005A1D02"/>
    <w:rsid w:val="005A27A5"/>
    <w:rsid w:val="005A2E9B"/>
    <w:rsid w:val="005A482E"/>
    <w:rsid w:val="005A5234"/>
    <w:rsid w:val="005A6205"/>
    <w:rsid w:val="005A6D0E"/>
    <w:rsid w:val="005A6E50"/>
    <w:rsid w:val="005A6EFD"/>
    <w:rsid w:val="005A734E"/>
    <w:rsid w:val="005B0001"/>
    <w:rsid w:val="005B0656"/>
    <w:rsid w:val="005B222D"/>
    <w:rsid w:val="005B28A7"/>
    <w:rsid w:val="005B38A5"/>
    <w:rsid w:val="005B3D3E"/>
    <w:rsid w:val="005B3DEC"/>
    <w:rsid w:val="005B3EF2"/>
    <w:rsid w:val="005B52B0"/>
    <w:rsid w:val="005B5C8B"/>
    <w:rsid w:val="005B5F01"/>
    <w:rsid w:val="005B67DE"/>
    <w:rsid w:val="005B6806"/>
    <w:rsid w:val="005B6B81"/>
    <w:rsid w:val="005B711D"/>
    <w:rsid w:val="005B76FC"/>
    <w:rsid w:val="005C00F9"/>
    <w:rsid w:val="005C05FA"/>
    <w:rsid w:val="005C164F"/>
    <w:rsid w:val="005C1853"/>
    <w:rsid w:val="005C1A8D"/>
    <w:rsid w:val="005C1D3C"/>
    <w:rsid w:val="005C1D8E"/>
    <w:rsid w:val="005C207A"/>
    <w:rsid w:val="005C23BD"/>
    <w:rsid w:val="005C2A55"/>
    <w:rsid w:val="005C2BA2"/>
    <w:rsid w:val="005C2E02"/>
    <w:rsid w:val="005C3149"/>
    <w:rsid w:val="005C4011"/>
    <w:rsid w:val="005C4225"/>
    <w:rsid w:val="005C4AF4"/>
    <w:rsid w:val="005C5F93"/>
    <w:rsid w:val="005C79E9"/>
    <w:rsid w:val="005D0AC5"/>
    <w:rsid w:val="005D0FBF"/>
    <w:rsid w:val="005D1076"/>
    <w:rsid w:val="005D1464"/>
    <w:rsid w:val="005D2666"/>
    <w:rsid w:val="005D2B08"/>
    <w:rsid w:val="005D3140"/>
    <w:rsid w:val="005D50AD"/>
    <w:rsid w:val="005D53CB"/>
    <w:rsid w:val="005D55A5"/>
    <w:rsid w:val="005D5C54"/>
    <w:rsid w:val="005D5DED"/>
    <w:rsid w:val="005D5E42"/>
    <w:rsid w:val="005D629A"/>
    <w:rsid w:val="005D67EC"/>
    <w:rsid w:val="005D6891"/>
    <w:rsid w:val="005D6A03"/>
    <w:rsid w:val="005D6AC4"/>
    <w:rsid w:val="005D6B2C"/>
    <w:rsid w:val="005D7191"/>
    <w:rsid w:val="005D7280"/>
    <w:rsid w:val="005E09BC"/>
    <w:rsid w:val="005E154B"/>
    <w:rsid w:val="005E1D4B"/>
    <w:rsid w:val="005E2719"/>
    <w:rsid w:val="005E2BDE"/>
    <w:rsid w:val="005E4A95"/>
    <w:rsid w:val="005E5196"/>
    <w:rsid w:val="005E5258"/>
    <w:rsid w:val="005E5419"/>
    <w:rsid w:val="005E6912"/>
    <w:rsid w:val="005E6C0C"/>
    <w:rsid w:val="005E6EE3"/>
    <w:rsid w:val="005E72A1"/>
    <w:rsid w:val="005E74C5"/>
    <w:rsid w:val="005E7642"/>
    <w:rsid w:val="005E772D"/>
    <w:rsid w:val="005E7B70"/>
    <w:rsid w:val="005F06A1"/>
    <w:rsid w:val="005F0F33"/>
    <w:rsid w:val="005F14E1"/>
    <w:rsid w:val="005F1C54"/>
    <w:rsid w:val="005F2A0D"/>
    <w:rsid w:val="005F32A0"/>
    <w:rsid w:val="005F36B8"/>
    <w:rsid w:val="005F3F11"/>
    <w:rsid w:val="005F5456"/>
    <w:rsid w:val="005F55DC"/>
    <w:rsid w:val="005F5DDA"/>
    <w:rsid w:val="005F66C7"/>
    <w:rsid w:val="005F6958"/>
    <w:rsid w:val="005F7C35"/>
    <w:rsid w:val="0060040E"/>
    <w:rsid w:val="006005C1"/>
    <w:rsid w:val="00600665"/>
    <w:rsid w:val="00600A96"/>
    <w:rsid w:val="00600DEB"/>
    <w:rsid w:val="00600EE3"/>
    <w:rsid w:val="00601688"/>
    <w:rsid w:val="006018C9"/>
    <w:rsid w:val="00602146"/>
    <w:rsid w:val="00602B9B"/>
    <w:rsid w:val="00603D6F"/>
    <w:rsid w:val="00603E8D"/>
    <w:rsid w:val="0060473C"/>
    <w:rsid w:val="00604B83"/>
    <w:rsid w:val="006059FA"/>
    <w:rsid w:val="00605ACC"/>
    <w:rsid w:val="00605AD7"/>
    <w:rsid w:val="00606AA4"/>
    <w:rsid w:val="00607523"/>
    <w:rsid w:val="00607F83"/>
    <w:rsid w:val="00610F4E"/>
    <w:rsid w:val="006112EF"/>
    <w:rsid w:val="0061250B"/>
    <w:rsid w:val="00612B43"/>
    <w:rsid w:val="00613027"/>
    <w:rsid w:val="00613120"/>
    <w:rsid w:val="00613A08"/>
    <w:rsid w:val="00613B96"/>
    <w:rsid w:val="0061412F"/>
    <w:rsid w:val="00614153"/>
    <w:rsid w:val="00614808"/>
    <w:rsid w:val="00614AE8"/>
    <w:rsid w:val="00615073"/>
    <w:rsid w:val="0061546B"/>
    <w:rsid w:val="006157CF"/>
    <w:rsid w:val="00616320"/>
    <w:rsid w:val="00617156"/>
    <w:rsid w:val="006206FF"/>
    <w:rsid w:val="00620A30"/>
    <w:rsid w:val="00620A65"/>
    <w:rsid w:val="00620B75"/>
    <w:rsid w:val="006225B7"/>
    <w:rsid w:val="00622E3A"/>
    <w:rsid w:val="00623324"/>
    <w:rsid w:val="006238CB"/>
    <w:rsid w:val="00623A8D"/>
    <w:rsid w:val="00624716"/>
    <w:rsid w:val="006247DB"/>
    <w:rsid w:val="00624E66"/>
    <w:rsid w:val="00626360"/>
    <w:rsid w:val="006263C9"/>
    <w:rsid w:val="006263CE"/>
    <w:rsid w:val="00626A1D"/>
    <w:rsid w:val="00627A51"/>
    <w:rsid w:val="00627C9F"/>
    <w:rsid w:val="006307DF"/>
    <w:rsid w:val="00630B42"/>
    <w:rsid w:val="00630C75"/>
    <w:rsid w:val="00630F01"/>
    <w:rsid w:val="00630F7D"/>
    <w:rsid w:val="006311DA"/>
    <w:rsid w:val="006311E9"/>
    <w:rsid w:val="00631477"/>
    <w:rsid w:val="006322B9"/>
    <w:rsid w:val="00632354"/>
    <w:rsid w:val="00632429"/>
    <w:rsid w:val="00632543"/>
    <w:rsid w:val="00632BF2"/>
    <w:rsid w:val="00633261"/>
    <w:rsid w:val="00633A4D"/>
    <w:rsid w:val="006354CD"/>
    <w:rsid w:val="00635A3B"/>
    <w:rsid w:val="00636406"/>
    <w:rsid w:val="00636E0C"/>
    <w:rsid w:val="00636F4A"/>
    <w:rsid w:val="00637539"/>
    <w:rsid w:val="00637B7B"/>
    <w:rsid w:val="00637E84"/>
    <w:rsid w:val="00640173"/>
    <w:rsid w:val="00640F76"/>
    <w:rsid w:val="006418C1"/>
    <w:rsid w:val="00641D46"/>
    <w:rsid w:val="006420B7"/>
    <w:rsid w:val="00642810"/>
    <w:rsid w:val="0064379D"/>
    <w:rsid w:val="00643F66"/>
    <w:rsid w:val="00644643"/>
    <w:rsid w:val="00644B04"/>
    <w:rsid w:val="006458AD"/>
    <w:rsid w:val="0064712F"/>
    <w:rsid w:val="0064793C"/>
    <w:rsid w:val="00650FA3"/>
    <w:rsid w:val="006516A4"/>
    <w:rsid w:val="006516FE"/>
    <w:rsid w:val="00651D1D"/>
    <w:rsid w:val="00652333"/>
    <w:rsid w:val="00653AC7"/>
    <w:rsid w:val="00654805"/>
    <w:rsid w:val="006549A4"/>
    <w:rsid w:val="00654F6F"/>
    <w:rsid w:val="00656085"/>
    <w:rsid w:val="00656446"/>
    <w:rsid w:val="00656562"/>
    <w:rsid w:val="00656570"/>
    <w:rsid w:val="0065672B"/>
    <w:rsid w:val="00656FE7"/>
    <w:rsid w:val="0065765B"/>
    <w:rsid w:val="006605AC"/>
    <w:rsid w:val="00661035"/>
    <w:rsid w:val="00661522"/>
    <w:rsid w:val="00662F5D"/>
    <w:rsid w:val="006634C1"/>
    <w:rsid w:val="00663DEA"/>
    <w:rsid w:val="006642AC"/>
    <w:rsid w:val="00664C08"/>
    <w:rsid w:val="00664DDE"/>
    <w:rsid w:val="00665524"/>
    <w:rsid w:val="006657AF"/>
    <w:rsid w:val="00666536"/>
    <w:rsid w:val="00666AEF"/>
    <w:rsid w:val="00670548"/>
    <w:rsid w:val="0067120E"/>
    <w:rsid w:val="00671A91"/>
    <w:rsid w:val="0067329C"/>
    <w:rsid w:val="006735FD"/>
    <w:rsid w:val="00674465"/>
    <w:rsid w:val="00674514"/>
    <w:rsid w:val="0067472A"/>
    <w:rsid w:val="0067486A"/>
    <w:rsid w:val="006759A5"/>
    <w:rsid w:val="006775E3"/>
    <w:rsid w:val="00677938"/>
    <w:rsid w:val="00677C5D"/>
    <w:rsid w:val="0068009E"/>
    <w:rsid w:val="00681B90"/>
    <w:rsid w:val="00683305"/>
    <w:rsid w:val="00684434"/>
    <w:rsid w:val="006847BC"/>
    <w:rsid w:val="0068493E"/>
    <w:rsid w:val="006849BF"/>
    <w:rsid w:val="00685184"/>
    <w:rsid w:val="00685195"/>
    <w:rsid w:val="00685C8E"/>
    <w:rsid w:val="00685CB2"/>
    <w:rsid w:val="00685D8D"/>
    <w:rsid w:val="00687329"/>
    <w:rsid w:val="00687432"/>
    <w:rsid w:val="00687725"/>
    <w:rsid w:val="006901ED"/>
    <w:rsid w:val="0069244C"/>
    <w:rsid w:val="00692996"/>
    <w:rsid w:val="00692A55"/>
    <w:rsid w:val="00695602"/>
    <w:rsid w:val="0069578C"/>
    <w:rsid w:val="00696C94"/>
    <w:rsid w:val="006972FB"/>
    <w:rsid w:val="00697DD9"/>
    <w:rsid w:val="006A0548"/>
    <w:rsid w:val="006A0F00"/>
    <w:rsid w:val="006A0F77"/>
    <w:rsid w:val="006A0FFE"/>
    <w:rsid w:val="006A11FD"/>
    <w:rsid w:val="006A17D2"/>
    <w:rsid w:val="006A2140"/>
    <w:rsid w:val="006A2290"/>
    <w:rsid w:val="006A3B33"/>
    <w:rsid w:val="006A4736"/>
    <w:rsid w:val="006A4B86"/>
    <w:rsid w:val="006A508B"/>
    <w:rsid w:val="006A538E"/>
    <w:rsid w:val="006A58D1"/>
    <w:rsid w:val="006A6E1A"/>
    <w:rsid w:val="006A70B4"/>
    <w:rsid w:val="006A72B7"/>
    <w:rsid w:val="006A73E6"/>
    <w:rsid w:val="006A7408"/>
    <w:rsid w:val="006A7764"/>
    <w:rsid w:val="006B0169"/>
    <w:rsid w:val="006B01E7"/>
    <w:rsid w:val="006B057B"/>
    <w:rsid w:val="006B130C"/>
    <w:rsid w:val="006B17B3"/>
    <w:rsid w:val="006B248C"/>
    <w:rsid w:val="006B2623"/>
    <w:rsid w:val="006B265D"/>
    <w:rsid w:val="006B295E"/>
    <w:rsid w:val="006B2D5C"/>
    <w:rsid w:val="006B339A"/>
    <w:rsid w:val="006B4324"/>
    <w:rsid w:val="006B544B"/>
    <w:rsid w:val="006B6C10"/>
    <w:rsid w:val="006B6D64"/>
    <w:rsid w:val="006B6FFA"/>
    <w:rsid w:val="006C0F5D"/>
    <w:rsid w:val="006C1815"/>
    <w:rsid w:val="006C2346"/>
    <w:rsid w:val="006C2B38"/>
    <w:rsid w:val="006C3D28"/>
    <w:rsid w:val="006C4152"/>
    <w:rsid w:val="006C4233"/>
    <w:rsid w:val="006C4596"/>
    <w:rsid w:val="006C4B9E"/>
    <w:rsid w:val="006C4EB1"/>
    <w:rsid w:val="006C5675"/>
    <w:rsid w:val="006C682F"/>
    <w:rsid w:val="006C6E31"/>
    <w:rsid w:val="006C7E62"/>
    <w:rsid w:val="006D0195"/>
    <w:rsid w:val="006D01E3"/>
    <w:rsid w:val="006D0424"/>
    <w:rsid w:val="006D1A3C"/>
    <w:rsid w:val="006D27EC"/>
    <w:rsid w:val="006D2C28"/>
    <w:rsid w:val="006D2D13"/>
    <w:rsid w:val="006D3110"/>
    <w:rsid w:val="006D3F51"/>
    <w:rsid w:val="006D41B0"/>
    <w:rsid w:val="006D41EE"/>
    <w:rsid w:val="006D48BB"/>
    <w:rsid w:val="006D5D5D"/>
    <w:rsid w:val="006D6E36"/>
    <w:rsid w:val="006D6E3A"/>
    <w:rsid w:val="006D7976"/>
    <w:rsid w:val="006E00AB"/>
    <w:rsid w:val="006E0166"/>
    <w:rsid w:val="006E0A24"/>
    <w:rsid w:val="006E0D5D"/>
    <w:rsid w:val="006E1163"/>
    <w:rsid w:val="006E18B8"/>
    <w:rsid w:val="006E1952"/>
    <w:rsid w:val="006E1BA4"/>
    <w:rsid w:val="006E2C76"/>
    <w:rsid w:val="006E35A0"/>
    <w:rsid w:val="006E4B61"/>
    <w:rsid w:val="006E4CCE"/>
    <w:rsid w:val="006E5C58"/>
    <w:rsid w:val="006E6048"/>
    <w:rsid w:val="006E67F6"/>
    <w:rsid w:val="006E6C78"/>
    <w:rsid w:val="006E6F1E"/>
    <w:rsid w:val="006E7B34"/>
    <w:rsid w:val="006E7EA4"/>
    <w:rsid w:val="006F1190"/>
    <w:rsid w:val="006F1290"/>
    <w:rsid w:val="006F1453"/>
    <w:rsid w:val="006F157C"/>
    <w:rsid w:val="006F3590"/>
    <w:rsid w:val="006F3597"/>
    <w:rsid w:val="006F374D"/>
    <w:rsid w:val="006F38DB"/>
    <w:rsid w:val="006F45BE"/>
    <w:rsid w:val="006F672E"/>
    <w:rsid w:val="006F7488"/>
    <w:rsid w:val="006F7564"/>
    <w:rsid w:val="006F7ACC"/>
    <w:rsid w:val="0070045F"/>
    <w:rsid w:val="00700471"/>
    <w:rsid w:val="00700C65"/>
    <w:rsid w:val="00701610"/>
    <w:rsid w:val="00701971"/>
    <w:rsid w:val="007019EF"/>
    <w:rsid w:val="00701B24"/>
    <w:rsid w:val="0070233C"/>
    <w:rsid w:val="00702565"/>
    <w:rsid w:val="0070267B"/>
    <w:rsid w:val="00702A7C"/>
    <w:rsid w:val="00702CD7"/>
    <w:rsid w:val="00702DE6"/>
    <w:rsid w:val="00702EA5"/>
    <w:rsid w:val="00703B59"/>
    <w:rsid w:val="00703F90"/>
    <w:rsid w:val="0070404E"/>
    <w:rsid w:val="00704098"/>
    <w:rsid w:val="0070456C"/>
    <w:rsid w:val="00704E13"/>
    <w:rsid w:val="0070603C"/>
    <w:rsid w:val="007064C9"/>
    <w:rsid w:val="00706591"/>
    <w:rsid w:val="00706698"/>
    <w:rsid w:val="00706D7E"/>
    <w:rsid w:val="00707486"/>
    <w:rsid w:val="007076FB"/>
    <w:rsid w:val="00707BAF"/>
    <w:rsid w:val="00707E8E"/>
    <w:rsid w:val="00710376"/>
    <w:rsid w:val="00710ED5"/>
    <w:rsid w:val="00711137"/>
    <w:rsid w:val="00712AEC"/>
    <w:rsid w:val="007140C0"/>
    <w:rsid w:val="00715928"/>
    <w:rsid w:val="00715945"/>
    <w:rsid w:val="00716BEC"/>
    <w:rsid w:val="00716D62"/>
    <w:rsid w:val="00717B70"/>
    <w:rsid w:val="0072003B"/>
    <w:rsid w:val="0072130B"/>
    <w:rsid w:val="007229B0"/>
    <w:rsid w:val="0072335A"/>
    <w:rsid w:val="007237C3"/>
    <w:rsid w:val="0072472F"/>
    <w:rsid w:val="007247E2"/>
    <w:rsid w:val="00727827"/>
    <w:rsid w:val="00727D80"/>
    <w:rsid w:val="00730731"/>
    <w:rsid w:val="00731DA0"/>
    <w:rsid w:val="007346A2"/>
    <w:rsid w:val="00735002"/>
    <w:rsid w:val="007359CB"/>
    <w:rsid w:val="00737A15"/>
    <w:rsid w:val="007400D8"/>
    <w:rsid w:val="0074145C"/>
    <w:rsid w:val="00741D4C"/>
    <w:rsid w:val="007433B0"/>
    <w:rsid w:val="007451C8"/>
    <w:rsid w:val="0074535C"/>
    <w:rsid w:val="0074572F"/>
    <w:rsid w:val="0074581C"/>
    <w:rsid w:val="00745899"/>
    <w:rsid w:val="0074614D"/>
    <w:rsid w:val="0074619C"/>
    <w:rsid w:val="00746AB9"/>
    <w:rsid w:val="00746B32"/>
    <w:rsid w:val="00750078"/>
    <w:rsid w:val="00750568"/>
    <w:rsid w:val="00750BB6"/>
    <w:rsid w:val="00751379"/>
    <w:rsid w:val="0075164B"/>
    <w:rsid w:val="00751AB7"/>
    <w:rsid w:val="007538FC"/>
    <w:rsid w:val="0075398D"/>
    <w:rsid w:val="007542BA"/>
    <w:rsid w:val="00754A2A"/>
    <w:rsid w:val="00754E95"/>
    <w:rsid w:val="00755F05"/>
    <w:rsid w:val="007561AD"/>
    <w:rsid w:val="00756737"/>
    <w:rsid w:val="007570FA"/>
    <w:rsid w:val="00757F66"/>
    <w:rsid w:val="007607C4"/>
    <w:rsid w:val="007607EC"/>
    <w:rsid w:val="00761A58"/>
    <w:rsid w:val="00762A2F"/>
    <w:rsid w:val="007649AF"/>
    <w:rsid w:val="00765219"/>
    <w:rsid w:val="00765584"/>
    <w:rsid w:val="00765CB7"/>
    <w:rsid w:val="00765CCE"/>
    <w:rsid w:val="0076643F"/>
    <w:rsid w:val="00771045"/>
    <w:rsid w:val="00771205"/>
    <w:rsid w:val="00773C5A"/>
    <w:rsid w:val="00773E82"/>
    <w:rsid w:val="00774375"/>
    <w:rsid w:val="007744CC"/>
    <w:rsid w:val="00777095"/>
    <w:rsid w:val="007771C5"/>
    <w:rsid w:val="007776FF"/>
    <w:rsid w:val="0078069F"/>
    <w:rsid w:val="0078085D"/>
    <w:rsid w:val="007809DA"/>
    <w:rsid w:val="00780ED7"/>
    <w:rsid w:val="00781539"/>
    <w:rsid w:val="00781C89"/>
    <w:rsid w:val="007820BB"/>
    <w:rsid w:val="0078210C"/>
    <w:rsid w:val="00782E68"/>
    <w:rsid w:val="0078426B"/>
    <w:rsid w:val="00784600"/>
    <w:rsid w:val="00784DE5"/>
    <w:rsid w:val="00784FEC"/>
    <w:rsid w:val="0078587E"/>
    <w:rsid w:val="0078595F"/>
    <w:rsid w:val="00785F8D"/>
    <w:rsid w:val="00786501"/>
    <w:rsid w:val="00790499"/>
    <w:rsid w:val="007928DA"/>
    <w:rsid w:val="00792BE0"/>
    <w:rsid w:val="00792DDB"/>
    <w:rsid w:val="00793A12"/>
    <w:rsid w:val="007940B6"/>
    <w:rsid w:val="00795940"/>
    <w:rsid w:val="00795E01"/>
    <w:rsid w:val="00796E7A"/>
    <w:rsid w:val="00797456"/>
    <w:rsid w:val="007977A5"/>
    <w:rsid w:val="00797A75"/>
    <w:rsid w:val="007A0F9D"/>
    <w:rsid w:val="007A13D7"/>
    <w:rsid w:val="007A17C8"/>
    <w:rsid w:val="007A18EB"/>
    <w:rsid w:val="007A2423"/>
    <w:rsid w:val="007A2EC7"/>
    <w:rsid w:val="007A2F70"/>
    <w:rsid w:val="007A31B0"/>
    <w:rsid w:val="007A3293"/>
    <w:rsid w:val="007A333F"/>
    <w:rsid w:val="007A3478"/>
    <w:rsid w:val="007A4240"/>
    <w:rsid w:val="007A44FF"/>
    <w:rsid w:val="007A4980"/>
    <w:rsid w:val="007A57A6"/>
    <w:rsid w:val="007A5B3D"/>
    <w:rsid w:val="007A7F31"/>
    <w:rsid w:val="007B04BF"/>
    <w:rsid w:val="007B151C"/>
    <w:rsid w:val="007B186C"/>
    <w:rsid w:val="007B19A1"/>
    <w:rsid w:val="007B19FE"/>
    <w:rsid w:val="007B1B6A"/>
    <w:rsid w:val="007B2769"/>
    <w:rsid w:val="007B3C72"/>
    <w:rsid w:val="007B430B"/>
    <w:rsid w:val="007B4826"/>
    <w:rsid w:val="007B4C00"/>
    <w:rsid w:val="007B5867"/>
    <w:rsid w:val="007B6279"/>
    <w:rsid w:val="007B6C22"/>
    <w:rsid w:val="007B762A"/>
    <w:rsid w:val="007C07E0"/>
    <w:rsid w:val="007C10AC"/>
    <w:rsid w:val="007C16AB"/>
    <w:rsid w:val="007C22DF"/>
    <w:rsid w:val="007C2BBE"/>
    <w:rsid w:val="007C3334"/>
    <w:rsid w:val="007C3481"/>
    <w:rsid w:val="007C50F6"/>
    <w:rsid w:val="007C52BB"/>
    <w:rsid w:val="007C5476"/>
    <w:rsid w:val="007C57B1"/>
    <w:rsid w:val="007C58E8"/>
    <w:rsid w:val="007C7402"/>
    <w:rsid w:val="007C757E"/>
    <w:rsid w:val="007C798F"/>
    <w:rsid w:val="007C7B95"/>
    <w:rsid w:val="007D0207"/>
    <w:rsid w:val="007D0309"/>
    <w:rsid w:val="007D06CB"/>
    <w:rsid w:val="007D1783"/>
    <w:rsid w:val="007D1E4F"/>
    <w:rsid w:val="007D238E"/>
    <w:rsid w:val="007D278F"/>
    <w:rsid w:val="007D2B98"/>
    <w:rsid w:val="007D2FEE"/>
    <w:rsid w:val="007D3E9B"/>
    <w:rsid w:val="007D4C93"/>
    <w:rsid w:val="007D4FA5"/>
    <w:rsid w:val="007D69AC"/>
    <w:rsid w:val="007D7270"/>
    <w:rsid w:val="007D7B1E"/>
    <w:rsid w:val="007D7D65"/>
    <w:rsid w:val="007E13CE"/>
    <w:rsid w:val="007E1856"/>
    <w:rsid w:val="007E239A"/>
    <w:rsid w:val="007E2FDE"/>
    <w:rsid w:val="007E42C4"/>
    <w:rsid w:val="007E5338"/>
    <w:rsid w:val="007E6DAC"/>
    <w:rsid w:val="007E783F"/>
    <w:rsid w:val="007F05E6"/>
    <w:rsid w:val="007F074A"/>
    <w:rsid w:val="007F09CC"/>
    <w:rsid w:val="007F2DA5"/>
    <w:rsid w:val="007F410D"/>
    <w:rsid w:val="007F42BF"/>
    <w:rsid w:val="007F4A54"/>
    <w:rsid w:val="007F4B82"/>
    <w:rsid w:val="007F4F2C"/>
    <w:rsid w:val="007F4FE2"/>
    <w:rsid w:val="00800983"/>
    <w:rsid w:val="00800E57"/>
    <w:rsid w:val="00801A8F"/>
    <w:rsid w:val="00801B96"/>
    <w:rsid w:val="0080393B"/>
    <w:rsid w:val="008039AE"/>
    <w:rsid w:val="00803F1C"/>
    <w:rsid w:val="00805784"/>
    <w:rsid w:val="00805885"/>
    <w:rsid w:val="0080600E"/>
    <w:rsid w:val="0081181A"/>
    <w:rsid w:val="0081219A"/>
    <w:rsid w:val="00812216"/>
    <w:rsid w:val="00812718"/>
    <w:rsid w:val="00812EAF"/>
    <w:rsid w:val="00813CCC"/>
    <w:rsid w:val="0081472E"/>
    <w:rsid w:val="00817612"/>
    <w:rsid w:val="008177D5"/>
    <w:rsid w:val="00817D2F"/>
    <w:rsid w:val="00820298"/>
    <w:rsid w:val="00820D73"/>
    <w:rsid w:val="008215C0"/>
    <w:rsid w:val="008218A2"/>
    <w:rsid w:val="00822A96"/>
    <w:rsid w:val="00822CBD"/>
    <w:rsid w:val="00823A91"/>
    <w:rsid w:val="00823CB9"/>
    <w:rsid w:val="00825B7F"/>
    <w:rsid w:val="00827DB7"/>
    <w:rsid w:val="00830E88"/>
    <w:rsid w:val="00833067"/>
    <w:rsid w:val="00834977"/>
    <w:rsid w:val="0083565F"/>
    <w:rsid w:val="00835F5A"/>
    <w:rsid w:val="0083716D"/>
    <w:rsid w:val="00837299"/>
    <w:rsid w:val="008373B6"/>
    <w:rsid w:val="00837C45"/>
    <w:rsid w:val="0084004B"/>
    <w:rsid w:val="00840540"/>
    <w:rsid w:val="00840F80"/>
    <w:rsid w:val="008414A3"/>
    <w:rsid w:val="008426FE"/>
    <w:rsid w:val="00844880"/>
    <w:rsid w:val="00845C1A"/>
    <w:rsid w:val="00846865"/>
    <w:rsid w:val="008472FB"/>
    <w:rsid w:val="00847A8B"/>
    <w:rsid w:val="00847B26"/>
    <w:rsid w:val="008509CC"/>
    <w:rsid w:val="00850B3B"/>
    <w:rsid w:val="00853419"/>
    <w:rsid w:val="00853A23"/>
    <w:rsid w:val="00854FE3"/>
    <w:rsid w:val="00855A97"/>
    <w:rsid w:val="008560E1"/>
    <w:rsid w:val="008564D1"/>
    <w:rsid w:val="00857F75"/>
    <w:rsid w:val="00860233"/>
    <w:rsid w:val="00860750"/>
    <w:rsid w:val="00861437"/>
    <w:rsid w:val="0086147D"/>
    <w:rsid w:val="00861972"/>
    <w:rsid w:val="00861EC2"/>
    <w:rsid w:val="008628FD"/>
    <w:rsid w:val="00863142"/>
    <w:rsid w:val="00863CD8"/>
    <w:rsid w:val="00864785"/>
    <w:rsid w:val="00865279"/>
    <w:rsid w:val="00865368"/>
    <w:rsid w:val="00865A1C"/>
    <w:rsid w:val="00865C97"/>
    <w:rsid w:val="00865C9B"/>
    <w:rsid w:val="0086628D"/>
    <w:rsid w:val="008665EC"/>
    <w:rsid w:val="00866D7E"/>
    <w:rsid w:val="008678EF"/>
    <w:rsid w:val="0087014C"/>
    <w:rsid w:val="00871372"/>
    <w:rsid w:val="00871EBE"/>
    <w:rsid w:val="008741A2"/>
    <w:rsid w:val="00874BEE"/>
    <w:rsid w:val="00874CCC"/>
    <w:rsid w:val="00875ABB"/>
    <w:rsid w:val="00875BAF"/>
    <w:rsid w:val="00875EC6"/>
    <w:rsid w:val="00875F17"/>
    <w:rsid w:val="00876085"/>
    <w:rsid w:val="00877551"/>
    <w:rsid w:val="00877E1B"/>
    <w:rsid w:val="00877E5C"/>
    <w:rsid w:val="0088072F"/>
    <w:rsid w:val="00880B21"/>
    <w:rsid w:val="00880F95"/>
    <w:rsid w:val="0088124B"/>
    <w:rsid w:val="0088294C"/>
    <w:rsid w:val="00882952"/>
    <w:rsid w:val="00882C32"/>
    <w:rsid w:val="0088373B"/>
    <w:rsid w:val="00883E89"/>
    <w:rsid w:val="00883EA4"/>
    <w:rsid w:val="00884270"/>
    <w:rsid w:val="0088447C"/>
    <w:rsid w:val="0088461A"/>
    <w:rsid w:val="008869BA"/>
    <w:rsid w:val="00887731"/>
    <w:rsid w:val="00887B7D"/>
    <w:rsid w:val="00887CAE"/>
    <w:rsid w:val="008903D5"/>
    <w:rsid w:val="0089156D"/>
    <w:rsid w:val="008917C2"/>
    <w:rsid w:val="00892161"/>
    <w:rsid w:val="00893E24"/>
    <w:rsid w:val="00893E44"/>
    <w:rsid w:val="008945B4"/>
    <w:rsid w:val="0089514B"/>
    <w:rsid w:val="00895544"/>
    <w:rsid w:val="0089554B"/>
    <w:rsid w:val="00895966"/>
    <w:rsid w:val="00896898"/>
    <w:rsid w:val="008969D3"/>
    <w:rsid w:val="008971D8"/>
    <w:rsid w:val="00897E12"/>
    <w:rsid w:val="00897EF6"/>
    <w:rsid w:val="008A065A"/>
    <w:rsid w:val="008A1C4B"/>
    <w:rsid w:val="008A3434"/>
    <w:rsid w:val="008A36FA"/>
    <w:rsid w:val="008A4FAC"/>
    <w:rsid w:val="008A5A80"/>
    <w:rsid w:val="008A5BF4"/>
    <w:rsid w:val="008A67CF"/>
    <w:rsid w:val="008A6B50"/>
    <w:rsid w:val="008A6DA2"/>
    <w:rsid w:val="008A7F97"/>
    <w:rsid w:val="008A7FC7"/>
    <w:rsid w:val="008B0E6D"/>
    <w:rsid w:val="008B0EE7"/>
    <w:rsid w:val="008B14CB"/>
    <w:rsid w:val="008B24D5"/>
    <w:rsid w:val="008B25FC"/>
    <w:rsid w:val="008B2DA9"/>
    <w:rsid w:val="008B3466"/>
    <w:rsid w:val="008B435A"/>
    <w:rsid w:val="008B44C5"/>
    <w:rsid w:val="008B5124"/>
    <w:rsid w:val="008B58C8"/>
    <w:rsid w:val="008B69F2"/>
    <w:rsid w:val="008C00E3"/>
    <w:rsid w:val="008C00EE"/>
    <w:rsid w:val="008C1E7C"/>
    <w:rsid w:val="008C2789"/>
    <w:rsid w:val="008C2DF6"/>
    <w:rsid w:val="008C56CB"/>
    <w:rsid w:val="008C606A"/>
    <w:rsid w:val="008C6FC4"/>
    <w:rsid w:val="008C7564"/>
    <w:rsid w:val="008C7E78"/>
    <w:rsid w:val="008D0556"/>
    <w:rsid w:val="008D307A"/>
    <w:rsid w:val="008D33C9"/>
    <w:rsid w:val="008D43BA"/>
    <w:rsid w:val="008D4C90"/>
    <w:rsid w:val="008D6249"/>
    <w:rsid w:val="008D6708"/>
    <w:rsid w:val="008D7317"/>
    <w:rsid w:val="008D7596"/>
    <w:rsid w:val="008D7DF4"/>
    <w:rsid w:val="008E10AE"/>
    <w:rsid w:val="008E135F"/>
    <w:rsid w:val="008E160E"/>
    <w:rsid w:val="008E3602"/>
    <w:rsid w:val="008E3759"/>
    <w:rsid w:val="008E4DBE"/>
    <w:rsid w:val="008E53E4"/>
    <w:rsid w:val="008E5615"/>
    <w:rsid w:val="008E71E6"/>
    <w:rsid w:val="008F25BD"/>
    <w:rsid w:val="008F298E"/>
    <w:rsid w:val="008F2A35"/>
    <w:rsid w:val="008F2A73"/>
    <w:rsid w:val="008F2E03"/>
    <w:rsid w:val="008F2E1C"/>
    <w:rsid w:val="008F38AA"/>
    <w:rsid w:val="008F3BF9"/>
    <w:rsid w:val="008F3E4A"/>
    <w:rsid w:val="008F40A5"/>
    <w:rsid w:val="008F4101"/>
    <w:rsid w:val="008F4522"/>
    <w:rsid w:val="008F49E6"/>
    <w:rsid w:val="008F559D"/>
    <w:rsid w:val="008F5CFD"/>
    <w:rsid w:val="008F6470"/>
    <w:rsid w:val="008F6C9D"/>
    <w:rsid w:val="008F7B4C"/>
    <w:rsid w:val="008F7D4D"/>
    <w:rsid w:val="008F7F3F"/>
    <w:rsid w:val="00900E29"/>
    <w:rsid w:val="00901880"/>
    <w:rsid w:val="009021D6"/>
    <w:rsid w:val="009041DC"/>
    <w:rsid w:val="009047EE"/>
    <w:rsid w:val="00904B4B"/>
    <w:rsid w:val="0090648F"/>
    <w:rsid w:val="0090668D"/>
    <w:rsid w:val="00907CCD"/>
    <w:rsid w:val="009104B4"/>
    <w:rsid w:val="00910B10"/>
    <w:rsid w:val="00912171"/>
    <w:rsid w:val="00912642"/>
    <w:rsid w:val="00912B38"/>
    <w:rsid w:val="00913B6D"/>
    <w:rsid w:val="00915CDE"/>
    <w:rsid w:val="00915FDE"/>
    <w:rsid w:val="0091677E"/>
    <w:rsid w:val="0091728F"/>
    <w:rsid w:val="009174A4"/>
    <w:rsid w:val="0091789D"/>
    <w:rsid w:val="00917AE3"/>
    <w:rsid w:val="00920191"/>
    <w:rsid w:val="00920A63"/>
    <w:rsid w:val="00921023"/>
    <w:rsid w:val="00922A9F"/>
    <w:rsid w:val="00923920"/>
    <w:rsid w:val="00924F0A"/>
    <w:rsid w:val="00924F1F"/>
    <w:rsid w:val="0092541F"/>
    <w:rsid w:val="00925564"/>
    <w:rsid w:val="00925C88"/>
    <w:rsid w:val="00925FCD"/>
    <w:rsid w:val="0092750D"/>
    <w:rsid w:val="00927739"/>
    <w:rsid w:val="00927B0B"/>
    <w:rsid w:val="0093035E"/>
    <w:rsid w:val="00930ED0"/>
    <w:rsid w:val="00931AD3"/>
    <w:rsid w:val="009322FE"/>
    <w:rsid w:val="00932B36"/>
    <w:rsid w:val="0093441A"/>
    <w:rsid w:val="00934829"/>
    <w:rsid w:val="0093555A"/>
    <w:rsid w:val="009356F2"/>
    <w:rsid w:val="00935735"/>
    <w:rsid w:val="009359E3"/>
    <w:rsid w:val="00935A29"/>
    <w:rsid w:val="0093658A"/>
    <w:rsid w:val="00936C4F"/>
    <w:rsid w:val="009412E0"/>
    <w:rsid w:val="0094199B"/>
    <w:rsid w:val="009424BD"/>
    <w:rsid w:val="00942AA6"/>
    <w:rsid w:val="00942BBC"/>
    <w:rsid w:val="009435DC"/>
    <w:rsid w:val="0094417C"/>
    <w:rsid w:val="00945F51"/>
    <w:rsid w:val="0094702E"/>
    <w:rsid w:val="00950D77"/>
    <w:rsid w:val="00951A16"/>
    <w:rsid w:val="009521DF"/>
    <w:rsid w:val="00952CAA"/>
    <w:rsid w:val="00952DC4"/>
    <w:rsid w:val="0095466D"/>
    <w:rsid w:val="009546BF"/>
    <w:rsid w:val="00954BF7"/>
    <w:rsid w:val="00955093"/>
    <w:rsid w:val="009554F0"/>
    <w:rsid w:val="0095556E"/>
    <w:rsid w:val="00955CAC"/>
    <w:rsid w:val="00955EA3"/>
    <w:rsid w:val="0095641C"/>
    <w:rsid w:val="00956965"/>
    <w:rsid w:val="00956E65"/>
    <w:rsid w:val="00957A32"/>
    <w:rsid w:val="00960555"/>
    <w:rsid w:val="009606E5"/>
    <w:rsid w:val="00963233"/>
    <w:rsid w:val="009653A0"/>
    <w:rsid w:val="009654C0"/>
    <w:rsid w:val="00965F42"/>
    <w:rsid w:val="009668D9"/>
    <w:rsid w:val="009668E5"/>
    <w:rsid w:val="0096706E"/>
    <w:rsid w:val="00967ECF"/>
    <w:rsid w:val="009700E6"/>
    <w:rsid w:val="009714F6"/>
    <w:rsid w:val="0097237F"/>
    <w:rsid w:val="009724C3"/>
    <w:rsid w:val="00973675"/>
    <w:rsid w:val="00973798"/>
    <w:rsid w:val="00973E1D"/>
    <w:rsid w:val="00975377"/>
    <w:rsid w:val="009753D7"/>
    <w:rsid w:val="0097562E"/>
    <w:rsid w:val="00975981"/>
    <w:rsid w:val="00976E74"/>
    <w:rsid w:val="00977100"/>
    <w:rsid w:val="00981FBA"/>
    <w:rsid w:val="00982E24"/>
    <w:rsid w:val="00982F66"/>
    <w:rsid w:val="00983268"/>
    <w:rsid w:val="009835AD"/>
    <w:rsid w:val="00983AF6"/>
    <w:rsid w:val="009843A2"/>
    <w:rsid w:val="00985A4B"/>
    <w:rsid w:val="00986129"/>
    <w:rsid w:val="00986662"/>
    <w:rsid w:val="00986AEE"/>
    <w:rsid w:val="009879D3"/>
    <w:rsid w:val="009908FF"/>
    <w:rsid w:val="00991198"/>
    <w:rsid w:val="00991846"/>
    <w:rsid w:val="009923C3"/>
    <w:rsid w:val="009937A7"/>
    <w:rsid w:val="00994092"/>
    <w:rsid w:val="0099457C"/>
    <w:rsid w:val="00994ECF"/>
    <w:rsid w:val="00996302"/>
    <w:rsid w:val="009967AF"/>
    <w:rsid w:val="0099714E"/>
    <w:rsid w:val="00997E99"/>
    <w:rsid w:val="009A03E7"/>
    <w:rsid w:val="009A0816"/>
    <w:rsid w:val="009A0B09"/>
    <w:rsid w:val="009A0F04"/>
    <w:rsid w:val="009A0F59"/>
    <w:rsid w:val="009A1A5D"/>
    <w:rsid w:val="009A1D2A"/>
    <w:rsid w:val="009A2505"/>
    <w:rsid w:val="009A28FA"/>
    <w:rsid w:val="009A3151"/>
    <w:rsid w:val="009A3641"/>
    <w:rsid w:val="009A36D7"/>
    <w:rsid w:val="009A3B62"/>
    <w:rsid w:val="009A45B3"/>
    <w:rsid w:val="009A6130"/>
    <w:rsid w:val="009A67CC"/>
    <w:rsid w:val="009A71B1"/>
    <w:rsid w:val="009A7953"/>
    <w:rsid w:val="009B07BE"/>
    <w:rsid w:val="009B1206"/>
    <w:rsid w:val="009B1525"/>
    <w:rsid w:val="009B1943"/>
    <w:rsid w:val="009B26C8"/>
    <w:rsid w:val="009B2F9E"/>
    <w:rsid w:val="009B351F"/>
    <w:rsid w:val="009B381B"/>
    <w:rsid w:val="009B39D5"/>
    <w:rsid w:val="009B4EFE"/>
    <w:rsid w:val="009B5129"/>
    <w:rsid w:val="009B541A"/>
    <w:rsid w:val="009B56A0"/>
    <w:rsid w:val="009B5D09"/>
    <w:rsid w:val="009B5F55"/>
    <w:rsid w:val="009B61B2"/>
    <w:rsid w:val="009B71D5"/>
    <w:rsid w:val="009B74A4"/>
    <w:rsid w:val="009B7926"/>
    <w:rsid w:val="009C0189"/>
    <w:rsid w:val="009C1615"/>
    <w:rsid w:val="009C1691"/>
    <w:rsid w:val="009C1877"/>
    <w:rsid w:val="009C1D8B"/>
    <w:rsid w:val="009C2068"/>
    <w:rsid w:val="009C26A2"/>
    <w:rsid w:val="009C2780"/>
    <w:rsid w:val="009C2F9F"/>
    <w:rsid w:val="009C4486"/>
    <w:rsid w:val="009C458A"/>
    <w:rsid w:val="009C4893"/>
    <w:rsid w:val="009C4A91"/>
    <w:rsid w:val="009C4D68"/>
    <w:rsid w:val="009C722C"/>
    <w:rsid w:val="009D0946"/>
    <w:rsid w:val="009D0DEE"/>
    <w:rsid w:val="009D15C7"/>
    <w:rsid w:val="009D16D3"/>
    <w:rsid w:val="009D2342"/>
    <w:rsid w:val="009D280B"/>
    <w:rsid w:val="009D3728"/>
    <w:rsid w:val="009D561E"/>
    <w:rsid w:val="009D5EC0"/>
    <w:rsid w:val="009D6116"/>
    <w:rsid w:val="009D6C96"/>
    <w:rsid w:val="009D7611"/>
    <w:rsid w:val="009E075C"/>
    <w:rsid w:val="009E0E11"/>
    <w:rsid w:val="009E27A9"/>
    <w:rsid w:val="009E3488"/>
    <w:rsid w:val="009E374A"/>
    <w:rsid w:val="009E38CE"/>
    <w:rsid w:val="009E3A41"/>
    <w:rsid w:val="009E3ABD"/>
    <w:rsid w:val="009E3C23"/>
    <w:rsid w:val="009E46AE"/>
    <w:rsid w:val="009E4906"/>
    <w:rsid w:val="009E5227"/>
    <w:rsid w:val="009E53DE"/>
    <w:rsid w:val="009E5620"/>
    <w:rsid w:val="009E6FD9"/>
    <w:rsid w:val="009E77B7"/>
    <w:rsid w:val="009E7A69"/>
    <w:rsid w:val="009F0226"/>
    <w:rsid w:val="009F08C8"/>
    <w:rsid w:val="009F0AED"/>
    <w:rsid w:val="009F0CF2"/>
    <w:rsid w:val="009F0D2A"/>
    <w:rsid w:val="009F114F"/>
    <w:rsid w:val="009F139A"/>
    <w:rsid w:val="009F1B62"/>
    <w:rsid w:val="009F1ED5"/>
    <w:rsid w:val="009F24AF"/>
    <w:rsid w:val="009F24FF"/>
    <w:rsid w:val="009F297A"/>
    <w:rsid w:val="009F2CC4"/>
    <w:rsid w:val="009F3705"/>
    <w:rsid w:val="009F4521"/>
    <w:rsid w:val="009F7113"/>
    <w:rsid w:val="009F76DF"/>
    <w:rsid w:val="009F76E5"/>
    <w:rsid w:val="00A003AD"/>
    <w:rsid w:val="00A0091A"/>
    <w:rsid w:val="00A014DA"/>
    <w:rsid w:val="00A03579"/>
    <w:rsid w:val="00A03B6C"/>
    <w:rsid w:val="00A03DA5"/>
    <w:rsid w:val="00A04432"/>
    <w:rsid w:val="00A05255"/>
    <w:rsid w:val="00A05C64"/>
    <w:rsid w:val="00A05DEE"/>
    <w:rsid w:val="00A06B1A"/>
    <w:rsid w:val="00A06FEB"/>
    <w:rsid w:val="00A07CAA"/>
    <w:rsid w:val="00A07E90"/>
    <w:rsid w:val="00A07EAF"/>
    <w:rsid w:val="00A10246"/>
    <w:rsid w:val="00A10403"/>
    <w:rsid w:val="00A10450"/>
    <w:rsid w:val="00A10A25"/>
    <w:rsid w:val="00A10C01"/>
    <w:rsid w:val="00A12250"/>
    <w:rsid w:val="00A12423"/>
    <w:rsid w:val="00A13660"/>
    <w:rsid w:val="00A13A94"/>
    <w:rsid w:val="00A13E93"/>
    <w:rsid w:val="00A14D37"/>
    <w:rsid w:val="00A15A9B"/>
    <w:rsid w:val="00A15C9A"/>
    <w:rsid w:val="00A163A4"/>
    <w:rsid w:val="00A167CB"/>
    <w:rsid w:val="00A167CF"/>
    <w:rsid w:val="00A1688B"/>
    <w:rsid w:val="00A17503"/>
    <w:rsid w:val="00A17625"/>
    <w:rsid w:val="00A17E82"/>
    <w:rsid w:val="00A2015A"/>
    <w:rsid w:val="00A20B65"/>
    <w:rsid w:val="00A20F5F"/>
    <w:rsid w:val="00A2213C"/>
    <w:rsid w:val="00A22B7B"/>
    <w:rsid w:val="00A23425"/>
    <w:rsid w:val="00A23924"/>
    <w:rsid w:val="00A23B83"/>
    <w:rsid w:val="00A24331"/>
    <w:rsid w:val="00A2456A"/>
    <w:rsid w:val="00A25B2E"/>
    <w:rsid w:val="00A25C0A"/>
    <w:rsid w:val="00A270CE"/>
    <w:rsid w:val="00A27314"/>
    <w:rsid w:val="00A31451"/>
    <w:rsid w:val="00A31C64"/>
    <w:rsid w:val="00A31CB0"/>
    <w:rsid w:val="00A32364"/>
    <w:rsid w:val="00A3286C"/>
    <w:rsid w:val="00A32D38"/>
    <w:rsid w:val="00A333B5"/>
    <w:rsid w:val="00A34111"/>
    <w:rsid w:val="00A34273"/>
    <w:rsid w:val="00A34B20"/>
    <w:rsid w:val="00A34F17"/>
    <w:rsid w:val="00A36168"/>
    <w:rsid w:val="00A36E16"/>
    <w:rsid w:val="00A37DA9"/>
    <w:rsid w:val="00A40463"/>
    <w:rsid w:val="00A40CED"/>
    <w:rsid w:val="00A4119E"/>
    <w:rsid w:val="00A41B25"/>
    <w:rsid w:val="00A42744"/>
    <w:rsid w:val="00A42803"/>
    <w:rsid w:val="00A43458"/>
    <w:rsid w:val="00A438C4"/>
    <w:rsid w:val="00A438F6"/>
    <w:rsid w:val="00A444C4"/>
    <w:rsid w:val="00A445B3"/>
    <w:rsid w:val="00A447CD"/>
    <w:rsid w:val="00A47174"/>
    <w:rsid w:val="00A47D0B"/>
    <w:rsid w:val="00A500DA"/>
    <w:rsid w:val="00A50201"/>
    <w:rsid w:val="00A5028C"/>
    <w:rsid w:val="00A50CF2"/>
    <w:rsid w:val="00A51E7A"/>
    <w:rsid w:val="00A52375"/>
    <w:rsid w:val="00A5251F"/>
    <w:rsid w:val="00A526A1"/>
    <w:rsid w:val="00A527E1"/>
    <w:rsid w:val="00A528D1"/>
    <w:rsid w:val="00A53025"/>
    <w:rsid w:val="00A533F2"/>
    <w:rsid w:val="00A53CFC"/>
    <w:rsid w:val="00A53D23"/>
    <w:rsid w:val="00A542D1"/>
    <w:rsid w:val="00A54E22"/>
    <w:rsid w:val="00A55776"/>
    <w:rsid w:val="00A56758"/>
    <w:rsid w:val="00A56827"/>
    <w:rsid w:val="00A56DD2"/>
    <w:rsid w:val="00A57D4E"/>
    <w:rsid w:val="00A60093"/>
    <w:rsid w:val="00A618DF"/>
    <w:rsid w:val="00A6269C"/>
    <w:rsid w:val="00A6287A"/>
    <w:rsid w:val="00A63958"/>
    <w:rsid w:val="00A64DA8"/>
    <w:rsid w:val="00A64EE8"/>
    <w:rsid w:val="00A64F5F"/>
    <w:rsid w:val="00A650D1"/>
    <w:rsid w:val="00A669C6"/>
    <w:rsid w:val="00A66BE5"/>
    <w:rsid w:val="00A709DB"/>
    <w:rsid w:val="00A70FA6"/>
    <w:rsid w:val="00A71D99"/>
    <w:rsid w:val="00A731AE"/>
    <w:rsid w:val="00A7505B"/>
    <w:rsid w:val="00A7605D"/>
    <w:rsid w:val="00A774E2"/>
    <w:rsid w:val="00A80C1E"/>
    <w:rsid w:val="00A81373"/>
    <w:rsid w:val="00A81D28"/>
    <w:rsid w:val="00A8335C"/>
    <w:rsid w:val="00A83588"/>
    <w:rsid w:val="00A844A9"/>
    <w:rsid w:val="00A84A45"/>
    <w:rsid w:val="00A84A53"/>
    <w:rsid w:val="00A84B01"/>
    <w:rsid w:val="00A8570B"/>
    <w:rsid w:val="00A871CA"/>
    <w:rsid w:val="00A8763E"/>
    <w:rsid w:val="00A87FF5"/>
    <w:rsid w:val="00A9162F"/>
    <w:rsid w:val="00A91C87"/>
    <w:rsid w:val="00A91F89"/>
    <w:rsid w:val="00A92714"/>
    <w:rsid w:val="00A92DCA"/>
    <w:rsid w:val="00A93EE8"/>
    <w:rsid w:val="00A947C6"/>
    <w:rsid w:val="00A94851"/>
    <w:rsid w:val="00A949C6"/>
    <w:rsid w:val="00A95F1A"/>
    <w:rsid w:val="00A978E7"/>
    <w:rsid w:val="00A97CDE"/>
    <w:rsid w:val="00AA0249"/>
    <w:rsid w:val="00AA23D3"/>
    <w:rsid w:val="00AA33AF"/>
    <w:rsid w:val="00AA4746"/>
    <w:rsid w:val="00AA515C"/>
    <w:rsid w:val="00AA5C88"/>
    <w:rsid w:val="00AA6015"/>
    <w:rsid w:val="00AA7338"/>
    <w:rsid w:val="00AA792C"/>
    <w:rsid w:val="00AA7A2C"/>
    <w:rsid w:val="00AA7E8A"/>
    <w:rsid w:val="00AB0745"/>
    <w:rsid w:val="00AB097B"/>
    <w:rsid w:val="00AB2F3B"/>
    <w:rsid w:val="00AB3118"/>
    <w:rsid w:val="00AB352F"/>
    <w:rsid w:val="00AB3712"/>
    <w:rsid w:val="00AB42A6"/>
    <w:rsid w:val="00AB55B8"/>
    <w:rsid w:val="00AB6166"/>
    <w:rsid w:val="00AB664B"/>
    <w:rsid w:val="00AB72E9"/>
    <w:rsid w:val="00AB7F41"/>
    <w:rsid w:val="00AC0531"/>
    <w:rsid w:val="00AC2C74"/>
    <w:rsid w:val="00AC313B"/>
    <w:rsid w:val="00AC388E"/>
    <w:rsid w:val="00AC4106"/>
    <w:rsid w:val="00AC4E50"/>
    <w:rsid w:val="00AC4F7C"/>
    <w:rsid w:val="00AC5587"/>
    <w:rsid w:val="00AC619C"/>
    <w:rsid w:val="00AC63E3"/>
    <w:rsid w:val="00AC6AE6"/>
    <w:rsid w:val="00AC6B3E"/>
    <w:rsid w:val="00AC704E"/>
    <w:rsid w:val="00AC7F4D"/>
    <w:rsid w:val="00AD06CE"/>
    <w:rsid w:val="00AD1B3F"/>
    <w:rsid w:val="00AD1E27"/>
    <w:rsid w:val="00AD29F5"/>
    <w:rsid w:val="00AD2BC6"/>
    <w:rsid w:val="00AD32E0"/>
    <w:rsid w:val="00AD34D9"/>
    <w:rsid w:val="00AD37C1"/>
    <w:rsid w:val="00AD38AF"/>
    <w:rsid w:val="00AD38E9"/>
    <w:rsid w:val="00AD4435"/>
    <w:rsid w:val="00AD452E"/>
    <w:rsid w:val="00AD493E"/>
    <w:rsid w:val="00AD4A7C"/>
    <w:rsid w:val="00AD4CD7"/>
    <w:rsid w:val="00AD4E05"/>
    <w:rsid w:val="00AD5771"/>
    <w:rsid w:val="00AD5EB5"/>
    <w:rsid w:val="00AD6658"/>
    <w:rsid w:val="00AD70E5"/>
    <w:rsid w:val="00AD7A33"/>
    <w:rsid w:val="00AE0DEC"/>
    <w:rsid w:val="00AE1302"/>
    <w:rsid w:val="00AE15A9"/>
    <w:rsid w:val="00AE1F0C"/>
    <w:rsid w:val="00AE1F2F"/>
    <w:rsid w:val="00AE38BC"/>
    <w:rsid w:val="00AE46AC"/>
    <w:rsid w:val="00AE4C43"/>
    <w:rsid w:val="00AE6271"/>
    <w:rsid w:val="00AE65BC"/>
    <w:rsid w:val="00AE66EC"/>
    <w:rsid w:val="00AE6AE5"/>
    <w:rsid w:val="00AE6F91"/>
    <w:rsid w:val="00AE7C77"/>
    <w:rsid w:val="00AF0440"/>
    <w:rsid w:val="00AF1C0F"/>
    <w:rsid w:val="00AF22CE"/>
    <w:rsid w:val="00AF2782"/>
    <w:rsid w:val="00AF3344"/>
    <w:rsid w:val="00AF5571"/>
    <w:rsid w:val="00AF79FA"/>
    <w:rsid w:val="00B016BF"/>
    <w:rsid w:val="00B016EF"/>
    <w:rsid w:val="00B01D8D"/>
    <w:rsid w:val="00B033E8"/>
    <w:rsid w:val="00B040A0"/>
    <w:rsid w:val="00B051F3"/>
    <w:rsid w:val="00B0667E"/>
    <w:rsid w:val="00B06BF4"/>
    <w:rsid w:val="00B11CB9"/>
    <w:rsid w:val="00B124E6"/>
    <w:rsid w:val="00B13EB4"/>
    <w:rsid w:val="00B1479A"/>
    <w:rsid w:val="00B14837"/>
    <w:rsid w:val="00B15A3D"/>
    <w:rsid w:val="00B160A4"/>
    <w:rsid w:val="00B167E9"/>
    <w:rsid w:val="00B16FF4"/>
    <w:rsid w:val="00B1724A"/>
    <w:rsid w:val="00B207F5"/>
    <w:rsid w:val="00B20B83"/>
    <w:rsid w:val="00B21064"/>
    <w:rsid w:val="00B21BC5"/>
    <w:rsid w:val="00B22202"/>
    <w:rsid w:val="00B22580"/>
    <w:rsid w:val="00B22C40"/>
    <w:rsid w:val="00B22E6B"/>
    <w:rsid w:val="00B23A86"/>
    <w:rsid w:val="00B24843"/>
    <w:rsid w:val="00B24E23"/>
    <w:rsid w:val="00B25CFF"/>
    <w:rsid w:val="00B27127"/>
    <w:rsid w:val="00B2728E"/>
    <w:rsid w:val="00B301E8"/>
    <w:rsid w:val="00B30278"/>
    <w:rsid w:val="00B314DB"/>
    <w:rsid w:val="00B315C5"/>
    <w:rsid w:val="00B316A7"/>
    <w:rsid w:val="00B31EBE"/>
    <w:rsid w:val="00B32F8B"/>
    <w:rsid w:val="00B34B9E"/>
    <w:rsid w:val="00B34D82"/>
    <w:rsid w:val="00B36C9C"/>
    <w:rsid w:val="00B36E37"/>
    <w:rsid w:val="00B3718B"/>
    <w:rsid w:val="00B37C3B"/>
    <w:rsid w:val="00B402D2"/>
    <w:rsid w:val="00B4081B"/>
    <w:rsid w:val="00B41722"/>
    <w:rsid w:val="00B419C8"/>
    <w:rsid w:val="00B41AAC"/>
    <w:rsid w:val="00B41D63"/>
    <w:rsid w:val="00B424CD"/>
    <w:rsid w:val="00B424D2"/>
    <w:rsid w:val="00B427A7"/>
    <w:rsid w:val="00B42ABC"/>
    <w:rsid w:val="00B432D6"/>
    <w:rsid w:val="00B43DB5"/>
    <w:rsid w:val="00B44F4C"/>
    <w:rsid w:val="00B45BE7"/>
    <w:rsid w:val="00B45ECD"/>
    <w:rsid w:val="00B46033"/>
    <w:rsid w:val="00B46313"/>
    <w:rsid w:val="00B4632A"/>
    <w:rsid w:val="00B473C7"/>
    <w:rsid w:val="00B478B1"/>
    <w:rsid w:val="00B478C4"/>
    <w:rsid w:val="00B506F8"/>
    <w:rsid w:val="00B50B12"/>
    <w:rsid w:val="00B50F68"/>
    <w:rsid w:val="00B5149E"/>
    <w:rsid w:val="00B515A8"/>
    <w:rsid w:val="00B5162C"/>
    <w:rsid w:val="00B540E8"/>
    <w:rsid w:val="00B55E95"/>
    <w:rsid w:val="00B5611B"/>
    <w:rsid w:val="00B574EE"/>
    <w:rsid w:val="00B575D6"/>
    <w:rsid w:val="00B602C1"/>
    <w:rsid w:val="00B60E25"/>
    <w:rsid w:val="00B61951"/>
    <w:rsid w:val="00B62894"/>
    <w:rsid w:val="00B62BC0"/>
    <w:rsid w:val="00B63572"/>
    <w:rsid w:val="00B63577"/>
    <w:rsid w:val="00B64D22"/>
    <w:rsid w:val="00B66444"/>
    <w:rsid w:val="00B67329"/>
    <w:rsid w:val="00B673F4"/>
    <w:rsid w:val="00B67539"/>
    <w:rsid w:val="00B70462"/>
    <w:rsid w:val="00B70F53"/>
    <w:rsid w:val="00B71500"/>
    <w:rsid w:val="00B7292E"/>
    <w:rsid w:val="00B72E00"/>
    <w:rsid w:val="00B73C13"/>
    <w:rsid w:val="00B74DAF"/>
    <w:rsid w:val="00B759BC"/>
    <w:rsid w:val="00B75D57"/>
    <w:rsid w:val="00B765F1"/>
    <w:rsid w:val="00B76BE8"/>
    <w:rsid w:val="00B77B09"/>
    <w:rsid w:val="00B801CB"/>
    <w:rsid w:val="00B83A9C"/>
    <w:rsid w:val="00B84FC7"/>
    <w:rsid w:val="00B85B6B"/>
    <w:rsid w:val="00B8646F"/>
    <w:rsid w:val="00B86577"/>
    <w:rsid w:val="00B8664E"/>
    <w:rsid w:val="00B868A4"/>
    <w:rsid w:val="00B8786D"/>
    <w:rsid w:val="00B87FBD"/>
    <w:rsid w:val="00B90178"/>
    <w:rsid w:val="00B920B7"/>
    <w:rsid w:val="00B92296"/>
    <w:rsid w:val="00B926A0"/>
    <w:rsid w:val="00B926B1"/>
    <w:rsid w:val="00B92DC9"/>
    <w:rsid w:val="00B933E4"/>
    <w:rsid w:val="00B933F3"/>
    <w:rsid w:val="00B94F89"/>
    <w:rsid w:val="00B96A36"/>
    <w:rsid w:val="00BA0256"/>
    <w:rsid w:val="00BA0E3E"/>
    <w:rsid w:val="00BA11D2"/>
    <w:rsid w:val="00BA198F"/>
    <w:rsid w:val="00BA1D41"/>
    <w:rsid w:val="00BA276C"/>
    <w:rsid w:val="00BA2988"/>
    <w:rsid w:val="00BA3099"/>
    <w:rsid w:val="00BA3133"/>
    <w:rsid w:val="00BA31DF"/>
    <w:rsid w:val="00BA53CB"/>
    <w:rsid w:val="00BA686D"/>
    <w:rsid w:val="00BA6FFA"/>
    <w:rsid w:val="00BA7984"/>
    <w:rsid w:val="00BA7C29"/>
    <w:rsid w:val="00BA7F72"/>
    <w:rsid w:val="00BB03E7"/>
    <w:rsid w:val="00BB042B"/>
    <w:rsid w:val="00BB0A79"/>
    <w:rsid w:val="00BB0D51"/>
    <w:rsid w:val="00BB0E79"/>
    <w:rsid w:val="00BB151F"/>
    <w:rsid w:val="00BB1804"/>
    <w:rsid w:val="00BB285D"/>
    <w:rsid w:val="00BB3066"/>
    <w:rsid w:val="00BB306F"/>
    <w:rsid w:val="00BB31F9"/>
    <w:rsid w:val="00BB3466"/>
    <w:rsid w:val="00BB356D"/>
    <w:rsid w:val="00BB36D4"/>
    <w:rsid w:val="00BB4587"/>
    <w:rsid w:val="00BB4D8F"/>
    <w:rsid w:val="00BB521F"/>
    <w:rsid w:val="00BB53AD"/>
    <w:rsid w:val="00BB5A59"/>
    <w:rsid w:val="00BB5F28"/>
    <w:rsid w:val="00BB6683"/>
    <w:rsid w:val="00BB6D96"/>
    <w:rsid w:val="00BB78FE"/>
    <w:rsid w:val="00BB7B0A"/>
    <w:rsid w:val="00BB7C52"/>
    <w:rsid w:val="00BC04B9"/>
    <w:rsid w:val="00BC04F8"/>
    <w:rsid w:val="00BC2154"/>
    <w:rsid w:val="00BC243A"/>
    <w:rsid w:val="00BC2B2C"/>
    <w:rsid w:val="00BC35EB"/>
    <w:rsid w:val="00BC397C"/>
    <w:rsid w:val="00BC492C"/>
    <w:rsid w:val="00BC4BF7"/>
    <w:rsid w:val="00BC5E97"/>
    <w:rsid w:val="00BC68ED"/>
    <w:rsid w:val="00BC6FB1"/>
    <w:rsid w:val="00BC73B5"/>
    <w:rsid w:val="00BD0AA3"/>
    <w:rsid w:val="00BD10AC"/>
    <w:rsid w:val="00BD232B"/>
    <w:rsid w:val="00BD2C5B"/>
    <w:rsid w:val="00BD3469"/>
    <w:rsid w:val="00BD393F"/>
    <w:rsid w:val="00BD4B89"/>
    <w:rsid w:val="00BD5B66"/>
    <w:rsid w:val="00BD7F14"/>
    <w:rsid w:val="00BE0098"/>
    <w:rsid w:val="00BE014C"/>
    <w:rsid w:val="00BE118B"/>
    <w:rsid w:val="00BE1438"/>
    <w:rsid w:val="00BE14B2"/>
    <w:rsid w:val="00BE1AD9"/>
    <w:rsid w:val="00BE201A"/>
    <w:rsid w:val="00BE309A"/>
    <w:rsid w:val="00BE3272"/>
    <w:rsid w:val="00BE35D9"/>
    <w:rsid w:val="00BE36D7"/>
    <w:rsid w:val="00BE380F"/>
    <w:rsid w:val="00BE4872"/>
    <w:rsid w:val="00BE4C89"/>
    <w:rsid w:val="00BE5974"/>
    <w:rsid w:val="00BE60A3"/>
    <w:rsid w:val="00BE6182"/>
    <w:rsid w:val="00BE6B74"/>
    <w:rsid w:val="00BE6DA0"/>
    <w:rsid w:val="00BE7E23"/>
    <w:rsid w:val="00BF0063"/>
    <w:rsid w:val="00BF08CB"/>
    <w:rsid w:val="00BF0AAB"/>
    <w:rsid w:val="00BF1F10"/>
    <w:rsid w:val="00BF2523"/>
    <w:rsid w:val="00BF2939"/>
    <w:rsid w:val="00BF2ECF"/>
    <w:rsid w:val="00BF4865"/>
    <w:rsid w:val="00BF4871"/>
    <w:rsid w:val="00BF4AF7"/>
    <w:rsid w:val="00BF7C42"/>
    <w:rsid w:val="00C0028D"/>
    <w:rsid w:val="00C01451"/>
    <w:rsid w:val="00C01BA5"/>
    <w:rsid w:val="00C01ED9"/>
    <w:rsid w:val="00C01FB1"/>
    <w:rsid w:val="00C03059"/>
    <w:rsid w:val="00C0391B"/>
    <w:rsid w:val="00C03A29"/>
    <w:rsid w:val="00C043C4"/>
    <w:rsid w:val="00C04473"/>
    <w:rsid w:val="00C05579"/>
    <w:rsid w:val="00C070BA"/>
    <w:rsid w:val="00C07884"/>
    <w:rsid w:val="00C101BC"/>
    <w:rsid w:val="00C12E55"/>
    <w:rsid w:val="00C12EE4"/>
    <w:rsid w:val="00C130DB"/>
    <w:rsid w:val="00C13B33"/>
    <w:rsid w:val="00C144E7"/>
    <w:rsid w:val="00C14557"/>
    <w:rsid w:val="00C14574"/>
    <w:rsid w:val="00C14701"/>
    <w:rsid w:val="00C14CE0"/>
    <w:rsid w:val="00C1525C"/>
    <w:rsid w:val="00C1586E"/>
    <w:rsid w:val="00C16D95"/>
    <w:rsid w:val="00C2124B"/>
    <w:rsid w:val="00C2142B"/>
    <w:rsid w:val="00C21762"/>
    <w:rsid w:val="00C224DF"/>
    <w:rsid w:val="00C22DD6"/>
    <w:rsid w:val="00C23809"/>
    <w:rsid w:val="00C23BA8"/>
    <w:rsid w:val="00C24049"/>
    <w:rsid w:val="00C24543"/>
    <w:rsid w:val="00C256A2"/>
    <w:rsid w:val="00C25808"/>
    <w:rsid w:val="00C26A69"/>
    <w:rsid w:val="00C27BFC"/>
    <w:rsid w:val="00C31770"/>
    <w:rsid w:val="00C31C07"/>
    <w:rsid w:val="00C3238A"/>
    <w:rsid w:val="00C3299B"/>
    <w:rsid w:val="00C32A61"/>
    <w:rsid w:val="00C33109"/>
    <w:rsid w:val="00C338B0"/>
    <w:rsid w:val="00C338E4"/>
    <w:rsid w:val="00C33EB0"/>
    <w:rsid w:val="00C340DC"/>
    <w:rsid w:val="00C343DA"/>
    <w:rsid w:val="00C3492D"/>
    <w:rsid w:val="00C34F68"/>
    <w:rsid w:val="00C35CD6"/>
    <w:rsid w:val="00C35CE1"/>
    <w:rsid w:val="00C3629F"/>
    <w:rsid w:val="00C36E35"/>
    <w:rsid w:val="00C4068A"/>
    <w:rsid w:val="00C41AB9"/>
    <w:rsid w:val="00C423E4"/>
    <w:rsid w:val="00C43FC7"/>
    <w:rsid w:val="00C443E8"/>
    <w:rsid w:val="00C44886"/>
    <w:rsid w:val="00C44ECB"/>
    <w:rsid w:val="00C45555"/>
    <w:rsid w:val="00C45576"/>
    <w:rsid w:val="00C45976"/>
    <w:rsid w:val="00C45A93"/>
    <w:rsid w:val="00C4696E"/>
    <w:rsid w:val="00C469D7"/>
    <w:rsid w:val="00C46A80"/>
    <w:rsid w:val="00C4716E"/>
    <w:rsid w:val="00C47791"/>
    <w:rsid w:val="00C4793D"/>
    <w:rsid w:val="00C47E39"/>
    <w:rsid w:val="00C506EB"/>
    <w:rsid w:val="00C50A5C"/>
    <w:rsid w:val="00C50C1E"/>
    <w:rsid w:val="00C528E7"/>
    <w:rsid w:val="00C53F60"/>
    <w:rsid w:val="00C546AB"/>
    <w:rsid w:val="00C5474E"/>
    <w:rsid w:val="00C548FA"/>
    <w:rsid w:val="00C55378"/>
    <w:rsid w:val="00C55560"/>
    <w:rsid w:val="00C573C7"/>
    <w:rsid w:val="00C60644"/>
    <w:rsid w:val="00C60E64"/>
    <w:rsid w:val="00C61997"/>
    <w:rsid w:val="00C62393"/>
    <w:rsid w:val="00C6266E"/>
    <w:rsid w:val="00C62BF4"/>
    <w:rsid w:val="00C66543"/>
    <w:rsid w:val="00C66996"/>
    <w:rsid w:val="00C669C1"/>
    <w:rsid w:val="00C66B72"/>
    <w:rsid w:val="00C674CD"/>
    <w:rsid w:val="00C67F18"/>
    <w:rsid w:val="00C7047B"/>
    <w:rsid w:val="00C7066C"/>
    <w:rsid w:val="00C7094B"/>
    <w:rsid w:val="00C714BB"/>
    <w:rsid w:val="00C7275B"/>
    <w:rsid w:val="00C7281A"/>
    <w:rsid w:val="00C73487"/>
    <w:rsid w:val="00C74AAA"/>
    <w:rsid w:val="00C74C37"/>
    <w:rsid w:val="00C7526E"/>
    <w:rsid w:val="00C75A4F"/>
    <w:rsid w:val="00C75E68"/>
    <w:rsid w:val="00C76135"/>
    <w:rsid w:val="00C766C8"/>
    <w:rsid w:val="00C768EA"/>
    <w:rsid w:val="00C77013"/>
    <w:rsid w:val="00C77F47"/>
    <w:rsid w:val="00C80BAC"/>
    <w:rsid w:val="00C81339"/>
    <w:rsid w:val="00C81FBE"/>
    <w:rsid w:val="00C82B0B"/>
    <w:rsid w:val="00C84513"/>
    <w:rsid w:val="00C84B0E"/>
    <w:rsid w:val="00C84E16"/>
    <w:rsid w:val="00C850FD"/>
    <w:rsid w:val="00C85508"/>
    <w:rsid w:val="00C85897"/>
    <w:rsid w:val="00C85CF6"/>
    <w:rsid w:val="00C85DDE"/>
    <w:rsid w:val="00C866C0"/>
    <w:rsid w:val="00C86C06"/>
    <w:rsid w:val="00C8737F"/>
    <w:rsid w:val="00C9055F"/>
    <w:rsid w:val="00C90A71"/>
    <w:rsid w:val="00C90AB9"/>
    <w:rsid w:val="00C92CF7"/>
    <w:rsid w:val="00C93070"/>
    <w:rsid w:val="00C936C3"/>
    <w:rsid w:val="00C949E2"/>
    <w:rsid w:val="00C94BF5"/>
    <w:rsid w:val="00C9567A"/>
    <w:rsid w:val="00C957E5"/>
    <w:rsid w:val="00C95BF6"/>
    <w:rsid w:val="00C9670F"/>
    <w:rsid w:val="00C96AF3"/>
    <w:rsid w:val="00C96BFF"/>
    <w:rsid w:val="00CA0E2F"/>
    <w:rsid w:val="00CA132C"/>
    <w:rsid w:val="00CA249C"/>
    <w:rsid w:val="00CA28C5"/>
    <w:rsid w:val="00CA44E8"/>
    <w:rsid w:val="00CA53A8"/>
    <w:rsid w:val="00CA53D1"/>
    <w:rsid w:val="00CA599F"/>
    <w:rsid w:val="00CA61E3"/>
    <w:rsid w:val="00CA65F1"/>
    <w:rsid w:val="00CA6E49"/>
    <w:rsid w:val="00CA7FA8"/>
    <w:rsid w:val="00CB13BC"/>
    <w:rsid w:val="00CB17C1"/>
    <w:rsid w:val="00CB2422"/>
    <w:rsid w:val="00CB2660"/>
    <w:rsid w:val="00CB2A1A"/>
    <w:rsid w:val="00CB3738"/>
    <w:rsid w:val="00CB3827"/>
    <w:rsid w:val="00CB3A1A"/>
    <w:rsid w:val="00CB3BAA"/>
    <w:rsid w:val="00CB4134"/>
    <w:rsid w:val="00CB46A5"/>
    <w:rsid w:val="00CB4710"/>
    <w:rsid w:val="00CB596A"/>
    <w:rsid w:val="00CB59F1"/>
    <w:rsid w:val="00CB5F9C"/>
    <w:rsid w:val="00CB712B"/>
    <w:rsid w:val="00CB7A42"/>
    <w:rsid w:val="00CC04A6"/>
    <w:rsid w:val="00CC1440"/>
    <w:rsid w:val="00CC2262"/>
    <w:rsid w:val="00CC30E5"/>
    <w:rsid w:val="00CC5E13"/>
    <w:rsid w:val="00CC5E90"/>
    <w:rsid w:val="00CC636B"/>
    <w:rsid w:val="00CD046C"/>
    <w:rsid w:val="00CD08CD"/>
    <w:rsid w:val="00CD30E5"/>
    <w:rsid w:val="00CD3501"/>
    <w:rsid w:val="00CD36BA"/>
    <w:rsid w:val="00CD6BCF"/>
    <w:rsid w:val="00CD6C80"/>
    <w:rsid w:val="00CD7517"/>
    <w:rsid w:val="00CE1390"/>
    <w:rsid w:val="00CE16AB"/>
    <w:rsid w:val="00CE20EE"/>
    <w:rsid w:val="00CE2BA0"/>
    <w:rsid w:val="00CE4868"/>
    <w:rsid w:val="00CE4999"/>
    <w:rsid w:val="00CE5199"/>
    <w:rsid w:val="00CE66D5"/>
    <w:rsid w:val="00CE6E2C"/>
    <w:rsid w:val="00CE7969"/>
    <w:rsid w:val="00CF100C"/>
    <w:rsid w:val="00CF1077"/>
    <w:rsid w:val="00CF1A57"/>
    <w:rsid w:val="00CF1FF5"/>
    <w:rsid w:val="00CF2824"/>
    <w:rsid w:val="00CF3EBB"/>
    <w:rsid w:val="00CF4138"/>
    <w:rsid w:val="00CF439C"/>
    <w:rsid w:val="00CF5539"/>
    <w:rsid w:val="00CF6754"/>
    <w:rsid w:val="00CF768E"/>
    <w:rsid w:val="00D002FC"/>
    <w:rsid w:val="00D01E08"/>
    <w:rsid w:val="00D029D6"/>
    <w:rsid w:val="00D02E9F"/>
    <w:rsid w:val="00D03633"/>
    <w:rsid w:val="00D03C39"/>
    <w:rsid w:val="00D04137"/>
    <w:rsid w:val="00D04674"/>
    <w:rsid w:val="00D05066"/>
    <w:rsid w:val="00D07439"/>
    <w:rsid w:val="00D0799B"/>
    <w:rsid w:val="00D07A1B"/>
    <w:rsid w:val="00D07C0D"/>
    <w:rsid w:val="00D11349"/>
    <w:rsid w:val="00D1169D"/>
    <w:rsid w:val="00D11888"/>
    <w:rsid w:val="00D127E5"/>
    <w:rsid w:val="00D12D6C"/>
    <w:rsid w:val="00D14582"/>
    <w:rsid w:val="00D14B21"/>
    <w:rsid w:val="00D15ABB"/>
    <w:rsid w:val="00D15E54"/>
    <w:rsid w:val="00D15EA1"/>
    <w:rsid w:val="00D16299"/>
    <w:rsid w:val="00D16C41"/>
    <w:rsid w:val="00D20D54"/>
    <w:rsid w:val="00D211D9"/>
    <w:rsid w:val="00D2131F"/>
    <w:rsid w:val="00D21D95"/>
    <w:rsid w:val="00D21DA2"/>
    <w:rsid w:val="00D21E25"/>
    <w:rsid w:val="00D2250C"/>
    <w:rsid w:val="00D22969"/>
    <w:rsid w:val="00D22B34"/>
    <w:rsid w:val="00D22F94"/>
    <w:rsid w:val="00D2345D"/>
    <w:rsid w:val="00D23785"/>
    <w:rsid w:val="00D24291"/>
    <w:rsid w:val="00D24498"/>
    <w:rsid w:val="00D2456B"/>
    <w:rsid w:val="00D252F0"/>
    <w:rsid w:val="00D25889"/>
    <w:rsid w:val="00D25C75"/>
    <w:rsid w:val="00D27FBF"/>
    <w:rsid w:val="00D31A13"/>
    <w:rsid w:val="00D32D94"/>
    <w:rsid w:val="00D3306F"/>
    <w:rsid w:val="00D33780"/>
    <w:rsid w:val="00D34020"/>
    <w:rsid w:val="00D340AA"/>
    <w:rsid w:val="00D34786"/>
    <w:rsid w:val="00D35114"/>
    <w:rsid w:val="00D35609"/>
    <w:rsid w:val="00D36696"/>
    <w:rsid w:val="00D36A2C"/>
    <w:rsid w:val="00D37539"/>
    <w:rsid w:val="00D37F9A"/>
    <w:rsid w:val="00D4040F"/>
    <w:rsid w:val="00D40A1E"/>
    <w:rsid w:val="00D41308"/>
    <w:rsid w:val="00D41747"/>
    <w:rsid w:val="00D42BAB"/>
    <w:rsid w:val="00D43C78"/>
    <w:rsid w:val="00D44A80"/>
    <w:rsid w:val="00D44B04"/>
    <w:rsid w:val="00D44BDF"/>
    <w:rsid w:val="00D4512A"/>
    <w:rsid w:val="00D45150"/>
    <w:rsid w:val="00D45500"/>
    <w:rsid w:val="00D46CDC"/>
    <w:rsid w:val="00D47631"/>
    <w:rsid w:val="00D47E97"/>
    <w:rsid w:val="00D5025B"/>
    <w:rsid w:val="00D50AFF"/>
    <w:rsid w:val="00D512DC"/>
    <w:rsid w:val="00D52B5B"/>
    <w:rsid w:val="00D537DA"/>
    <w:rsid w:val="00D53F3D"/>
    <w:rsid w:val="00D54580"/>
    <w:rsid w:val="00D5466A"/>
    <w:rsid w:val="00D54814"/>
    <w:rsid w:val="00D54FD9"/>
    <w:rsid w:val="00D558C4"/>
    <w:rsid w:val="00D55D01"/>
    <w:rsid w:val="00D568A0"/>
    <w:rsid w:val="00D56B44"/>
    <w:rsid w:val="00D57019"/>
    <w:rsid w:val="00D57833"/>
    <w:rsid w:val="00D6092C"/>
    <w:rsid w:val="00D61163"/>
    <w:rsid w:val="00D6144B"/>
    <w:rsid w:val="00D61880"/>
    <w:rsid w:val="00D62BD0"/>
    <w:rsid w:val="00D63033"/>
    <w:rsid w:val="00D63233"/>
    <w:rsid w:val="00D63CF8"/>
    <w:rsid w:val="00D65E4F"/>
    <w:rsid w:val="00D6603B"/>
    <w:rsid w:val="00D677D5"/>
    <w:rsid w:val="00D67E5B"/>
    <w:rsid w:val="00D712D3"/>
    <w:rsid w:val="00D71422"/>
    <w:rsid w:val="00D7145E"/>
    <w:rsid w:val="00D71773"/>
    <w:rsid w:val="00D728BB"/>
    <w:rsid w:val="00D72985"/>
    <w:rsid w:val="00D73376"/>
    <w:rsid w:val="00D73E27"/>
    <w:rsid w:val="00D73FF7"/>
    <w:rsid w:val="00D74A1F"/>
    <w:rsid w:val="00D74B5B"/>
    <w:rsid w:val="00D74C93"/>
    <w:rsid w:val="00D74F68"/>
    <w:rsid w:val="00D7558D"/>
    <w:rsid w:val="00D75719"/>
    <w:rsid w:val="00D75D35"/>
    <w:rsid w:val="00D76163"/>
    <w:rsid w:val="00D76232"/>
    <w:rsid w:val="00D7649A"/>
    <w:rsid w:val="00D8027F"/>
    <w:rsid w:val="00D80440"/>
    <w:rsid w:val="00D80C60"/>
    <w:rsid w:val="00D811FF"/>
    <w:rsid w:val="00D812BA"/>
    <w:rsid w:val="00D81D92"/>
    <w:rsid w:val="00D8250B"/>
    <w:rsid w:val="00D826A0"/>
    <w:rsid w:val="00D82EA8"/>
    <w:rsid w:val="00D838BE"/>
    <w:rsid w:val="00D83DD3"/>
    <w:rsid w:val="00D83FFE"/>
    <w:rsid w:val="00D85C75"/>
    <w:rsid w:val="00D86569"/>
    <w:rsid w:val="00D86F9C"/>
    <w:rsid w:val="00D87416"/>
    <w:rsid w:val="00D8763F"/>
    <w:rsid w:val="00D9040B"/>
    <w:rsid w:val="00D9087A"/>
    <w:rsid w:val="00D915AB"/>
    <w:rsid w:val="00D91B1E"/>
    <w:rsid w:val="00D92ABF"/>
    <w:rsid w:val="00D93047"/>
    <w:rsid w:val="00D93446"/>
    <w:rsid w:val="00D9382D"/>
    <w:rsid w:val="00D946AA"/>
    <w:rsid w:val="00D94A75"/>
    <w:rsid w:val="00D94D1C"/>
    <w:rsid w:val="00D9539C"/>
    <w:rsid w:val="00D95402"/>
    <w:rsid w:val="00D9587E"/>
    <w:rsid w:val="00D96245"/>
    <w:rsid w:val="00D96DCF"/>
    <w:rsid w:val="00D978E5"/>
    <w:rsid w:val="00DA1520"/>
    <w:rsid w:val="00DA1947"/>
    <w:rsid w:val="00DA2720"/>
    <w:rsid w:val="00DA2A7C"/>
    <w:rsid w:val="00DA3005"/>
    <w:rsid w:val="00DA300A"/>
    <w:rsid w:val="00DA341C"/>
    <w:rsid w:val="00DA4A24"/>
    <w:rsid w:val="00DA4E4E"/>
    <w:rsid w:val="00DA520B"/>
    <w:rsid w:val="00DA59E0"/>
    <w:rsid w:val="00DA5ECF"/>
    <w:rsid w:val="00DA6645"/>
    <w:rsid w:val="00DA67A8"/>
    <w:rsid w:val="00DA6AB3"/>
    <w:rsid w:val="00DA7151"/>
    <w:rsid w:val="00DA77AA"/>
    <w:rsid w:val="00DA7982"/>
    <w:rsid w:val="00DA79D0"/>
    <w:rsid w:val="00DA7B5F"/>
    <w:rsid w:val="00DB0017"/>
    <w:rsid w:val="00DB0D73"/>
    <w:rsid w:val="00DB0F13"/>
    <w:rsid w:val="00DB187F"/>
    <w:rsid w:val="00DB18A8"/>
    <w:rsid w:val="00DB3050"/>
    <w:rsid w:val="00DB30EC"/>
    <w:rsid w:val="00DB3374"/>
    <w:rsid w:val="00DB4A1E"/>
    <w:rsid w:val="00DB4D80"/>
    <w:rsid w:val="00DB5C3C"/>
    <w:rsid w:val="00DB6BE6"/>
    <w:rsid w:val="00DB710E"/>
    <w:rsid w:val="00DB793D"/>
    <w:rsid w:val="00DC008A"/>
    <w:rsid w:val="00DC07A4"/>
    <w:rsid w:val="00DC174C"/>
    <w:rsid w:val="00DC174D"/>
    <w:rsid w:val="00DC28C0"/>
    <w:rsid w:val="00DC2FF2"/>
    <w:rsid w:val="00DC3121"/>
    <w:rsid w:val="00DC4839"/>
    <w:rsid w:val="00DC5080"/>
    <w:rsid w:val="00DC6453"/>
    <w:rsid w:val="00DC6D2C"/>
    <w:rsid w:val="00DC7597"/>
    <w:rsid w:val="00DC7693"/>
    <w:rsid w:val="00DC78C5"/>
    <w:rsid w:val="00DC7A08"/>
    <w:rsid w:val="00DD045E"/>
    <w:rsid w:val="00DD072F"/>
    <w:rsid w:val="00DD1E65"/>
    <w:rsid w:val="00DD2615"/>
    <w:rsid w:val="00DD2635"/>
    <w:rsid w:val="00DD2AD4"/>
    <w:rsid w:val="00DD2B24"/>
    <w:rsid w:val="00DD2BE4"/>
    <w:rsid w:val="00DD2C54"/>
    <w:rsid w:val="00DD556D"/>
    <w:rsid w:val="00DD5DEE"/>
    <w:rsid w:val="00DD6285"/>
    <w:rsid w:val="00DD6DEF"/>
    <w:rsid w:val="00DD6F04"/>
    <w:rsid w:val="00DD759E"/>
    <w:rsid w:val="00DE0266"/>
    <w:rsid w:val="00DE13A8"/>
    <w:rsid w:val="00DE19A7"/>
    <w:rsid w:val="00DE26A2"/>
    <w:rsid w:val="00DE3C5E"/>
    <w:rsid w:val="00DE4BE1"/>
    <w:rsid w:val="00DE4C65"/>
    <w:rsid w:val="00DE62F2"/>
    <w:rsid w:val="00DE67FF"/>
    <w:rsid w:val="00DE735D"/>
    <w:rsid w:val="00DE7417"/>
    <w:rsid w:val="00DE783D"/>
    <w:rsid w:val="00DE7D2E"/>
    <w:rsid w:val="00DF1843"/>
    <w:rsid w:val="00DF1CDD"/>
    <w:rsid w:val="00DF1DF9"/>
    <w:rsid w:val="00DF37E5"/>
    <w:rsid w:val="00DF4BDE"/>
    <w:rsid w:val="00DF5077"/>
    <w:rsid w:val="00DF53A8"/>
    <w:rsid w:val="00DF66DD"/>
    <w:rsid w:val="00DF68E0"/>
    <w:rsid w:val="00DF7793"/>
    <w:rsid w:val="00E01B40"/>
    <w:rsid w:val="00E01BB4"/>
    <w:rsid w:val="00E02360"/>
    <w:rsid w:val="00E023DF"/>
    <w:rsid w:val="00E052B0"/>
    <w:rsid w:val="00E067A6"/>
    <w:rsid w:val="00E06DDE"/>
    <w:rsid w:val="00E0702F"/>
    <w:rsid w:val="00E0734B"/>
    <w:rsid w:val="00E0740A"/>
    <w:rsid w:val="00E07D21"/>
    <w:rsid w:val="00E10008"/>
    <w:rsid w:val="00E10362"/>
    <w:rsid w:val="00E11392"/>
    <w:rsid w:val="00E11667"/>
    <w:rsid w:val="00E11D68"/>
    <w:rsid w:val="00E13134"/>
    <w:rsid w:val="00E1451D"/>
    <w:rsid w:val="00E1542D"/>
    <w:rsid w:val="00E15FBA"/>
    <w:rsid w:val="00E16D9B"/>
    <w:rsid w:val="00E16F9D"/>
    <w:rsid w:val="00E17683"/>
    <w:rsid w:val="00E200F9"/>
    <w:rsid w:val="00E2121C"/>
    <w:rsid w:val="00E21902"/>
    <w:rsid w:val="00E22278"/>
    <w:rsid w:val="00E2284A"/>
    <w:rsid w:val="00E22E4E"/>
    <w:rsid w:val="00E230FD"/>
    <w:rsid w:val="00E2398E"/>
    <w:rsid w:val="00E23A98"/>
    <w:rsid w:val="00E24F1A"/>
    <w:rsid w:val="00E25A41"/>
    <w:rsid w:val="00E2673A"/>
    <w:rsid w:val="00E26F97"/>
    <w:rsid w:val="00E26FCD"/>
    <w:rsid w:val="00E27AA4"/>
    <w:rsid w:val="00E30281"/>
    <w:rsid w:val="00E30776"/>
    <w:rsid w:val="00E30D79"/>
    <w:rsid w:val="00E3317B"/>
    <w:rsid w:val="00E337D9"/>
    <w:rsid w:val="00E33D82"/>
    <w:rsid w:val="00E33E64"/>
    <w:rsid w:val="00E3622A"/>
    <w:rsid w:val="00E364C4"/>
    <w:rsid w:val="00E3757F"/>
    <w:rsid w:val="00E37980"/>
    <w:rsid w:val="00E42B78"/>
    <w:rsid w:val="00E42C74"/>
    <w:rsid w:val="00E43157"/>
    <w:rsid w:val="00E43212"/>
    <w:rsid w:val="00E4347E"/>
    <w:rsid w:val="00E4390D"/>
    <w:rsid w:val="00E43C54"/>
    <w:rsid w:val="00E43C96"/>
    <w:rsid w:val="00E44D02"/>
    <w:rsid w:val="00E45D29"/>
    <w:rsid w:val="00E461F9"/>
    <w:rsid w:val="00E46307"/>
    <w:rsid w:val="00E46F53"/>
    <w:rsid w:val="00E4781D"/>
    <w:rsid w:val="00E50136"/>
    <w:rsid w:val="00E518D4"/>
    <w:rsid w:val="00E533FF"/>
    <w:rsid w:val="00E53BD8"/>
    <w:rsid w:val="00E53DC6"/>
    <w:rsid w:val="00E53E5E"/>
    <w:rsid w:val="00E54CE1"/>
    <w:rsid w:val="00E54EF8"/>
    <w:rsid w:val="00E55087"/>
    <w:rsid w:val="00E56477"/>
    <w:rsid w:val="00E57833"/>
    <w:rsid w:val="00E57B31"/>
    <w:rsid w:val="00E57B6B"/>
    <w:rsid w:val="00E57ECF"/>
    <w:rsid w:val="00E57F21"/>
    <w:rsid w:val="00E602CC"/>
    <w:rsid w:val="00E6049E"/>
    <w:rsid w:val="00E608CA"/>
    <w:rsid w:val="00E61067"/>
    <w:rsid w:val="00E61732"/>
    <w:rsid w:val="00E61DC3"/>
    <w:rsid w:val="00E61FC3"/>
    <w:rsid w:val="00E62965"/>
    <w:rsid w:val="00E6356C"/>
    <w:rsid w:val="00E6364D"/>
    <w:rsid w:val="00E638CA"/>
    <w:rsid w:val="00E63B98"/>
    <w:rsid w:val="00E64645"/>
    <w:rsid w:val="00E64863"/>
    <w:rsid w:val="00E648F3"/>
    <w:rsid w:val="00E64AF6"/>
    <w:rsid w:val="00E64E6F"/>
    <w:rsid w:val="00E654A2"/>
    <w:rsid w:val="00E65CB4"/>
    <w:rsid w:val="00E66D47"/>
    <w:rsid w:val="00E67989"/>
    <w:rsid w:val="00E67CCB"/>
    <w:rsid w:val="00E709B3"/>
    <w:rsid w:val="00E70B54"/>
    <w:rsid w:val="00E711AB"/>
    <w:rsid w:val="00E7126F"/>
    <w:rsid w:val="00E71E57"/>
    <w:rsid w:val="00E71FD7"/>
    <w:rsid w:val="00E74123"/>
    <w:rsid w:val="00E74177"/>
    <w:rsid w:val="00E743F3"/>
    <w:rsid w:val="00E753FA"/>
    <w:rsid w:val="00E75BA9"/>
    <w:rsid w:val="00E7676B"/>
    <w:rsid w:val="00E767BD"/>
    <w:rsid w:val="00E7739E"/>
    <w:rsid w:val="00E774E4"/>
    <w:rsid w:val="00E77FBC"/>
    <w:rsid w:val="00E8058F"/>
    <w:rsid w:val="00E80E83"/>
    <w:rsid w:val="00E81771"/>
    <w:rsid w:val="00E819FB"/>
    <w:rsid w:val="00E81A3E"/>
    <w:rsid w:val="00E82F32"/>
    <w:rsid w:val="00E830CC"/>
    <w:rsid w:val="00E8617E"/>
    <w:rsid w:val="00E86ABD"/>
    <w:rsid w:val="00E86E84"/>
    <w:rsid w:val="00E86EAF"/>
    <w:rsid w:val="00E87515"/>
    <w:rsid w:val="00E8789F"/>
    <w:rsid w:val="00E908CF"/>
    <w:rsid w:val="00E91BE2"/>
    <w:rsid w:val="00E91EB8"/>
    <w:rsid w:val="00E920D0"/>
    <w:rsid w:val="00E92215"/>
    <w:rsid w:val="00E92291"/>
    <w:rsid w:val="00E92993"/>
    <w:rsid w:val="00E9316D"/>
    <w:rsid w:val="00E9318F"/>
    <w:rsid w:val="00E9323B"/>
    <w:rsid w:val="00E93BDB"/>
    <w:rsid w:val="00E94203"/>
    <w:rsid w:val="00E94D19"/>
    <w:rsid w:val="00E94E3D"/>
    <w:rsid w:val="00E95321"/>
    <w:rsid w:val="00E96942"/>
    <w:rsid w:val="00E978C5"/>
    <w:rsid w:val="00E97B71"/>
    <w:rsid w:val="00E97E98"/>
    <w:rsid w:val="00EA01E7"/>
    <w:rsid w:val="00EA077D"/>
    <w:rsid w:val="00EA1089"/>
    <w:rsid w:val="00EA1283"/>
    <w:rsid w:val="00EA14BA"/>
    <w:rsid w:val="00EA1551"/>
    <w:rsid w:val="00EA26BA"/>
    <w:rsid w:val="00EA406F"/>
    <w:rsid w:val="00EA425E"/>
    <w:rsid w:val="00EA4410"/>
    <w:rsid w:val="00EA47C8"/>
    <w:rsid w:val="00EA5364"/>
    <w:rsid w:val="00EA5A04"/>
    <w:rsid w:val="00EA5FE2"/>
    <w:rsid w:val="00EA603E"/>
    <w:rsid w:val="00EA66B7"/>
    <w:rsid w:val="00EA6A6E"/>
    <w:rsid w:val="00EA70E0"/>
    <w:rsid w:val="00EB0252"/>
    <w:rsid w:val="00EB077F"/>
    <w:rsid w:val="00EB24D7"/>
    <w:rsid w:val="00EB2E99"/>
    <w:rsid w:val="00EB4080"/>
    <w:rsid w:val="00EB454D"/>
    <w:rsid w:val="00EB454F"/>
    <w:rsid w:val="00EB497B"/>
    <w:rsid w:val="00EB4B7E"/>
    <w:rsid w:val="00EB51DC"/>
    <w:rsid w:val="00EB51EA"/>
    <w:rsid w:val="00EB55C1"/>
    <w:rsid w:val="00EB5608"/>
    <w:rsid w:val="00EB56B2"/>
    <w:rsid w:val="00EB6170"/>
    <w:rsid w:val="00EB62D9"/>
    <w:rsid w:val="00EB6B06"/>
    <w:rsid w:val="00EB7F0A"/>
    <w:rsid w:val="00EC0BA4"/>
    <w:rsid w:val="00EC112E"/>
    <w:rsid w:val="00EC1628"/>
    <w:rsid w:val="00EC20C2"/>
    <w:rsid w:val="00EC27D8"/>
    <w:rsid w:val="00EC2AAD"/>
    <w:rsid w:val="00EC31F9"/>
    <w:rsid w:val="00EC45C1"/>
    <w:rsid w:val="00EC50E9"/>
    <w:rsid w:val="00EC5570"/>
    <w:rsid w:val="00EC659C"/>
    <w:rsid w:val="00EC68B2"/>
    <w:rsid w:val="00EC6931"/>
    <w:rsid w:val="00EC74EB"/>
    <w:rsid w:val="00ED0E31"/>
    <w:rsid w:val="00ED1405"/>
    <w:rsid w:val="00ED147C"/>
    <w:rsid w:val="00ED18FD"/>
    <w:rsid w:val="00ED19E9"/>
    <w:rsid w:val="00ED1A76"/>
    <w:rsid w:val="00ED2D1D"/>
    <w:rsid w:val="00ED3A8E"/>
    <w:rsid w:val="00ED3AB2"/>
    <w:rsid w:val="00ED51FD"/>
    <w:rsid w:val="00ED56AB"/>
    <w:rsid w:val="00ED5BE1"/>
    <w:rsid w:val="00ED5D95"/>
    <w:rsid w:val="00ED5E9D"/>
    <w:rsid w:val="00EE04C1"/>
    <w:rsid w:val="00EE0B8E"/>
    <w:rsid w:val="00EE0BA9"/>
    <w:rsid w:val="00EE0D3E"/>
    <w:rsid w:val="00EE140F"/>
    <w:rsid w:val="00EE2D07"/>
    <w:rsid w:val="00EE3522"/>
    <w:rsid w:val="00EE36D7"/>
    <w:rsid w:val="00EE39AD"/>
    <w:rsid w:val="00EE39F1"/>
    <w:rsid w:val="00EE4E4B"/>
    <w:rsid w:val="00EE526D"/>
    <w:rsid w:val="00EE5A74"/>
    <w:rsid w:val="00EE5C5E"/>
    <w:rsid w:val="00EE5D7E"/>
    <w:rsid w:val="00EE5E58"/>
    <w:rsid w:val="00EE5F1C"/>
    <w:rsid w:val="00EE74B4"/>
    <w:rsid w:val="00EF04A0"/>
    <w:rsid w:val="00EF0764"/>
    <w:rsid w:val="00EF0CEF"/>
    <w:rsid w:val="00EF1247"/>
    <w:rsid w:val="00EF2493"/>
    <w:rsid w:val="00EF36AC"/>
    <w:rsid w:val="00EF49F0"/>
    <w:rsid w:val="00EF49F8"/>
    <w:rsid w:val="00EF4EC3"/>
    <w:rsid w:val="00EF52C2"/>
    <w:rsid w:val="00EF56CE"/>
    <w:rsid w:val="00EF5AA9"/>
    <w:rsid w:val="00EF619B"/>
    <w:rsid w:val="00EF6972"/>
    <w:rsid w:val="00EF7231"/>
    <w:rsid w:val="00F005EE"/>
    <w:rsid w:val="00F00B55"/>
    <w:rsid w:val="00F0246A"/>
    <w:rsid w:val="00F03911"/>
    <w:rsid w:val="00F046CA"/>
    <w:rsid w:val="00F0498B"/>
    <w:rsid w:val="00F04AFE"/>
    <w:rsid w:val="00F059CF"/>
    <w:rsid w:val="00F068F4"/>
    <w:rsid w:val="00F06961"/>
    <w:rsid w:val="00F07734"/>
    <w:rsid w:val="00F1005F"/>
    <w:rsid w:val="00F11242"/>
    <w:rsid w:val="00F12075"/>
    <w:rsid w:val="00F1380F"/>
    <w:rsid w:val="00F13CDA"/>
    <w:rsid w:val="00F14F0E"/>
    <w:rsid w:val="00F14F98"/>
    <w:rsid w:val="00F15799"/>
    <w:rsid w:val="00F15B41"/>
    <w:rsid w:val="00F15B6A"/>
    <w:rsid w:val="00F16AD4"/>
    <w:rsid w:val="00F175ED"/>
    <w:rsid w:val="00F1763D"/>
    <w:rsid w:val="00F17799"/>
    <w:rsid w:val="00F20236"/>
    <w:rsid w:val="00F2059E"/>
    <w:rsid w:val="00F20D2B"/>
    <w:rsid w:val="00F21553"/>
    <w:rsid w:val="00F21703"/>
    <w:rsid w:val="00F2328B"/>
    <w:rsid w:val="00F239C4"/>
    <w:rsid w:val="00F24C29"/>
    <w:rsid w:val="00F250BD"/>
    <w:rsid w:val="00F25192"/>
    <w:rsid w:val="00F253CC"/>
    <w:rsid w:val="00F25C31"/>
    <w:rsid w:val="00F267BE"/>
    <w:rsid w:val="00F26D14"/>
    <w:rsid w:val="00F27458"/>
    <w:rsid w:val="00F277DB"/>
    <w:rsid w:val="00F27ACD"/>
    <w:rsid w:val="00F27CD8"/>
    <w:rsid w:val="00F311E2"/>
    <w:rsid w:val="00F31814"/>
    <w:rsid w:val="00F3203E"/>
    <w:rsid w:val="00F3379A"/>
    <w:rsid w:val="00F33F7F"/>
    <w:rsid w:val="00F34265"/>
    <w:rsid w:val="00F35C2A"/>
    <w:rsid w:val="00F35E2A"/>
    <w:rsid w:val="00F36059"/>
    <w:rsid w:val="00F3664E"/>
    <w:rsid w:val="00F366AD"/>
    <w:rsid w:val="00F36D40"/>
    <w:rsid w:val="00F36F27"/>
    <w:rsid w:val="00F37481"/>
    <w:rsid w:val="00F37F99"/>
    <w:rsid w:val="00F40B92"/>
    <w:rsid w:val="00F427E6"/>
    <w:rsid w:val="00F42A87"/>
    <w:rsid w:val="00F434F9"/>
    <w:rsid w:val="00F438CD"/>
    <w:rsid w:val="00F44162"/>
    <w:rsid w:val="00F441B9"/>
    <w:rsid w:val="00F44EC9"/>
    <w:rsid w:val="00F45EBF"/>
    <w:rsid w:val="00F46498"/>
    <w:rsid w:val="00F46DA8"/>
    <w:rsid w:val="00F503B5"/>
    <w:rsid w:val="00F5092E"/>
    <w:rsid w:val="00F511F7"/>
    <w:rsid w:val="00F51F0D"/>
    <w:rsid w:val="00F522E4"/>
    <w:rsid w:val="00F523CA"/>
    <w:rsid w:val="00F52735"/>
    <w:rsid w:val="00F545AC"/>
    <w:rsid w:val="00F548A6"/>
    <w:rsid w:val="00F5497B"/>
    <w:rsid w:val="00F55507"/>
    <w:rsid w:val="00F557EB"/>
    <w:rsid w:val="00F55C94"/>
    <w:rsid w:val="00F55F3B"/>
    <w:rsid w:val="00F5694D"/>
    <w:rsid w:val="00F56A06"/>
    <w:rsid w:val="00F56A40"/>
    <w:rsid w:val="00F56BA5"/>
    <w:rsid w:val="00F56BE1"/>
    <w:rsid w:val="00F56D59"/>
    <w:rsid w:val="00F57538"/>
    <w:rsid w:val="00F6022A"/>
    <w:rsid w:val="00F6040D"/>
    <w:rsid w:val="00F60E01"/>
    <w:rsid w:val="00F61379"/>
    <w:rsid w:val="00F6160F"/>
    <w:rsid w:val="00F61998"/>
    <w:rsid w:val="00F61BE4"/>
    <w:rsid w:val="00F6255A"/>
    <w:rsid w:val="00F62C42"/>
    <w:rsid w:val="00F630BD"/>
    <w:rsid w:val="00F637BF"/>
    <w:rsid w:val="00F63F1D"/>
    <w:rsid w:val="00F644E6"/>
    <w:rsid w:val="00F6589A"/>
    <w:rsid w:val="00F66BDC"/>
    <w:rsid w:val="00F66CF0"/>
    <w:rsid w:val="00F67D79"/>
    <w:rsid w:val="00F71643"/>
    <w:rsid w:val="00F71C14"/>
    <w:rsid w:val="00F71CB2"/>
    <w:rsid w:val="00F71F53"/>
    <w:rsid w:val="00F725D1"/>
    <w:rsid w:val="00F73661"/>
    <w:rsid w:val="00F737D9"/>
    <w:rsid w:val="00F7392C"/>
    <w:rsid w:val="00F74044"/>
    <w:rsid w:val="00F746CA"/>
    <w:rsid w:val="00F74B0B"/>
    <w:rsid w:val="00F760C8"/>
    <w:rsid w:val="00F769C7"/>
    <w:rsid w:val="00F7730A"/>
    <w:rsid w:val="00F7784C"/>
    <w:rsid w:val="00F778ED"/>
    <w:rsid w:val="00F77995"/>
    <w:rsid w:val="00F77BFA"/>
    <w:rsid w:val="00F77E6F"/>
    <w:rsid w:val="00F80AF0"/>
    <w:rsid w:val="00F820EF"/>
    <w:rsid w:val="00F82683"/>
    <w:rsid w:val="00F83D11"/>
    <w:rsid w:val="00F84DAD"/>
    <w:rsid w:val="00F8560D"/>
    <w:rsid w:val="00F857F6"/>
    <w:rsid w:val="00F86E36"/>
    <w:rsid w:val="00F86EE8"/>
    <w:rsid w:val="00F87A1C"/>
    <w:rsid w:val="00F87A9A"/>
    <w:rsid w:val="00F90018"/>
    <w:rsid w:val="00F916AC"/>
    <w:rsid w:val="00F92CA1"/>
    <w:rsid w:val="00F93826"/>
    <w:rsid w:val="00F94A0A"/>
    <w:rsid w:val="00F9653B"/>
    <w:rsid w:val="00F97B89"/>
    <w:rsid w:val="00F97C28"/>
    <w:rsid w:val="00F97D53"/>
    <w:rsid w:val="00FA0062"/>
    <w:rsid w:val="00FA025B"/>
    <w:rsid w:val="00FA081A"/>
    <w:rsid w:val="00FA1759"/>
    <w:rsid w:val="00FA1ADA"/>
    <w:rsid w:val="00FA1B08"/>
    <w:rsid w:val="00FA2245"/>
    <w:rsid w:val="00FA2C02"/>
    <w:rsid w:val="00FA2C1D"/>
    <w:rsid w:val="00FA310E"/>
    <w:rsid w:val="00FA359A"/>
    <w:rsid w:val="00FA3BDF"/>
    <w:rsid w:val="00FA5712"/>
    <w:rsid w:val="00FA5EB6"/>
    <w:rsid w:val="00FA63CD"/>
    <w:rsid w:val="00FA6731"/>
    <w:rsid w:val="00FA7982"/>
    <w:rsid w:val="00FA7CCD"/>
    <w:rsid w:val="00FB0E27"/>
    <w:rsid w:val="00FB0F94"/>
    <w:rsid w:val="00FB10AF"/>
    <w:rsid w:val="00FB163E"/>
    <w:rsid w:val="00FB17F8"/>
    <w:rsid w:val="00FB1A16"/>
    <w:rsid w:val="00FB1A3C"/>
    <w:rsid w:val="00FB2597"/>
    <w:rsid w:val="00FB2B9F"/>
    <w:rsid w:val="00FB4EE9"/>
    <w:rsid w:val="00FB62CF"/>
    <w:rsid w:val="00FB672B"/>
    <w:rsid w:val="00FB7E59"/>
    <w:rsid w:val="00FC052E"/>
    <w:rsid w:val="00FC084F"/>
    <w:rsid w:val="00FC0B21"/>
    <w:rsid w:val="00FC1E3D"/>
    <w:rsid w:val="00FC210B"/>
    <w:rsid w:val="00FC2BA0"/>
    <w:rsid w:val="00FC3262"/>
    <w:rsid w:val="00FC3283"/>
    <w:rsid w:val="00FC3499"/>
    <w:rsid w:val="00FC3EB4"/>
    <w:rsid w:val="00FC544A"/>
    <w:rsid w:val="00FC6C58"/>
    <w:rsid w:val="00FC6FC5"/>
    <w:rsid w:val="00FC78B0"/>
    <w:rsid w:val="00FD1C8A"/>
    <w:rsid w:val="00FD1DD0"/>
    <w:rsid w:val="00FD243D"/>
    <w:rsid w:val="00FD279F"/>
    <w:rsid w:val="00FD3BD1"/>
    <w:rsid w:val="00FD3BEF"/>
    <w:rsid w:val="00FD49B3"/>
    <w:rsid w:val="00FD5518"/>
    <w:rsid w:val="00FD635E"/>
    <w:rsid w:val="00FD71F0"/>
    <w:rsid w:val="00FD746F"/>
    <w:rsid w:val="00FE09CA"/>
    <w:rsid w:val="00FE144F"/>
    <w:rsid w:val="00FE157F"/>
    <w:rsid w:val="00FE1C20"/>
    <w:rsid w:val="00FE1EAD"/>
    <w:rsid w:val="00FE21AB"/>
    <w:rsid w:val="00FE3B59"/>
    <w:rsid w:val="00FE3CEC"/>
    <w:rsid w:val="00FE40DE"/>
    <w:rsid w:val="00FE5165"/>
    <w:rsid w:val="00FE5347"/>
    <w:rsid w:val="00FE5603"/>
    <w:rsid w:val="00FE5CE4"/>
    <w:rsid w:val="00FE5EA9"/>
    <w:rsid w:val="00FE6B45"/>
    <w:rsid w:val="00FE6B58"/>
    <w:rsid w:val="00FE6EBC"/>
    <w:rsid w:val="00FE769E"/>
    <w:rsid w:val="00FF05BC"/>
    <w:rsid w:val="00FF0651"/>
    <w:rsid w:val="00FF13ED"/>
    <w:rsid w:val="00FF1B5F"/>
    <w:rsid w:val="00FF1C1C"/>
    <w:rsid w:val="00FF379A"/>
    <w:rsid w:val="00FF3FB7"/>
    <w:rsid w:val="00FF4B22"/>
    <w:rsid w:val="00FF5724"/>
    <w:rsid w:val="00FF5851"/>
    <w:rsid w:val="00FF6C89"/>
    <w:rsid w:val="00FF7B79"/>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8AA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sz w:val="24"/>
        <w:szCs w:val="24"/>
        <w:bdr w:val="nil"/>
        <w:lang w:val="es-ES" w:eastAsia="es-E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heading 1" w:uiPriority="9" w:qFormat="1"/>
    <w:lsdException w:name="heading 2" w:uiPriority="9" w:unhideWhenUsed="1" w:qFormat="1"/>
    <w:lsdException w:name="heading 3" w:uiPriority="9" w:unhideWhenUsed="1" w:qFormat="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F0CEF"/>
    <w:rPr>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54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541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84E33"/>
    <w:rPr>
      <w:u w:val="single"/>
    </w:rPr>
  </w:style>
  <w:style w:type="paragraph" w:customStyle="1" w:styleId="Cabeceraypie">
    <w:name w:val="Cabecera y pie"/>
    <w:rsid w:val="00284E33"/>
    <w:pPr>
      <w:tabs>
        <w:tab w:val="right" w:pos="9020"/>
      </w:tabs>
    </w:pPr>
    <w:rPr>
      <w:rFonts w:ascii="Helvetica" w:hAnsi="Arial Unicode MS" w:cs="Arial Unicode MS"/>
      <w:color w:val="000000"/>
    </w:rPr>
  </w:style>
  <w:style w:type="paragraph" w:styleId="Footer">
    <w:name w:val="footer"/>
    <w:link w:val="FooterChar"/>
    <w:uiPriority w:val="99"/>
    <w:rsid w:val="00284E33"/>
    <w:pPr>
      <w:tabs>
        <w:tab w:val="center" w:pos="4513"/>
        <w:tab w:val="right" w:pos="9026"/>
      </w:tabs>
    </w:pPr>
    <w:rPr>
      <w:rFonts w:ascii="Cambria" w:eastAsia="Cambria" w:hAnsi="Cambria" w:cs="Cambria"/>
      <w:color w:val="000000"/>
      <w:u w:color="000000"/>
      <w:lang w:val="en-US"/>
    </w:rPr>
  </w:style>
  <w:style w:type="paragraph" w:customStyle="1" w:styleId="Cuerpo">
    <w:name w:val="Cuerpo"/>
    <w:rsid w:val="00284E33"/>
    <w:rPr>
      <w:rFonts w:ascii="Cambria" w:eastAsia="Cambria" w:hAnsi="Cambria" w:cs="Cambria"/>
      <w:color w:val="000000"/>
      <w:u w:color="000000"/>
    </w:rPr>
  </w:style>
  <w:style w:type="paragraph" w:styleId="BodyTextIndent">
    <w:name w:val="Body Text Indent"/>
    <w:rsid w:val="00284E33"/>
    <w:pPr>
      <w:ind w:left="2160" w:hanging="720"/>
    </w:pPr>
    <w:rPr>
      <w:rFonts w:eastAsia="Times New Roman"/>
      <w:color w:val="000000"/>
      <w:u w:color="000000"/>
      <w:lang w:val="es-ES_tradnl"/>
    </w:rPr>
  </w:style>
  <w:style w:type="paragraph" w:styleId="ListParagraph">
    <w:name w:val="List Paragraph"/>
    <w:aliases w:val="Párrafo de lista1,List Paragraph1,Colorful List - Accent 11,List Paragraph11,List Paragraph2,Medium Grid 1 - Accent 21,Colorful List - Accent 12,Lista vistosa - Énfasis 11"/>
    <w:link w:val="ListParagraphChar"/>
    <w:qFormat/>
    <w:rsid w:val="00284E33"/>
    <w:pPr>
      <w:ind w:left="720"/>
    </w:pPr>
    <w:rPr>
      <w:rFonts w:ascii="Cambria" w:eastAsia="Cambria" w:hAnsi="Cambria" w:cs="Cambria"/>
      <w:color w:val="000000"/>
      <w:u w:color="000000"/>
      <w:lang w:val="en-US"/>
    </w:rPr>
  </w:style>
  <w:style w:type="numbering" w:customStyle="1" w:styleId="List0">
    <w:name w:val="List 0"/>
    <w:basedOn w:val="Estiloimportado1"/>
    <w:rsid w:val="00284E33"/>
    <w:pPr>
      <w:numPr>
        <w:numId w:val="31"/>
      </w:numPr>
    </w:pPr>
  </w:style>
  <w:style w:type="numbering" w:customStyle="1" w:styleId="Estiloimportado1">
    <w:name w:val="Estilo importado 1"/>
    <w:rsid w:val="00284E33"/>
  </w:style>
  <w:style w:type="numbering" w:customStyle="1" w:styleId="List1">
    <w:name w:val="List 1"/>
    <w:basedOn w:val="Estiloimportado2"/>
    <w:rsid w:val="00284E33"/>
    <w:pPr>
      <w:numPr>
        <w:numId w:val="1"/>
      </w:numPr>
    </w:pPr>
  </w:style>
  <w:style w:type="numbering" w:customStyle="1" w:styleId="Estiloimportado2">
    <w:name w:val="Estilo importado 2"/>
    <w:rsid w:val="00284E33"/>
  </w:style>
  <w:style w:type="numbering" w:customStyle="1" w:styleId="List210">
    <w:name w:val="List 21"/>
    <w:basedOn w:val="Estiloimportado3"/>
    <w:rsid w:val="00284E33"/>
    <w:pPr>
      <w:numPr>
        <w:numId w:val="52"/>
      </w:numPr>
    </w:pPr>
  </w:style>
  <w:style w:type="numbering" w:customStyle="1" w:styleId="Estiloimportado3">
    <w:name w:val="Estilo importado 3"/>
    <w:rsid w:val="00284E33"/>
  </w:style>
  <w:style w:type="numbering" w:customStyle="1" w:styleId="List31">
    <w:name w:val="List 31"/>
    <w:basedOn w:val="Estiloimportado4"/>
    <w:rsid w:val="00284E33"/>
    <w:pPr>
      <w:numPr>
        <w:numId w:val="51"/>
      </w:numPr>
    </w:pPr>
  </w:style>
  <w:style w:type="numbering" w:customStyle="1" w:styleId="Estiloimportado4">
    <w:name w:val="Estilo importado 4"/>
    <w:rsid w:val="00284E33"/>
  </w:style>
  <w:style w:type="numbering" w:customStyle="1" w:styleId="List41">
    <w:name w:val="List 41"/>
    <w:basedOn w:val="Estiloimportado5"/>
    <w:rsid w:val="00284E33"/>
    <w:pPr>
      <w:numPr>
        <w:numId w:val="2"/>
      </w:numPr>
    </w:pPr>
  </w:style>
  <w:style w:type="numbering" w:customStyle="1" w:styleId="Estiloimportado5">
    <w:name w:val="Estilo importado 5"/>
    <w:rsid w:val="00284E33"/>
  </w:style>
  <w:style w:type="numbering" w:customStyle="1" w:styleId="List510">
    <w:name w:val="List 51"/>
    <w:basedOn w:val="Estiloimportado6"/>
    <w:rsid w:val="00284E33"/>
    <w:pPr>
      <w:numPr>
        <w:numId w:val="54"/>
      </w:numPr>
    </w:pPr>
  </w:style>
  <w:style w:type="numbering" w:customStyle="1" w:styleId="Estiloimportado6">
    <w:name w:val="Estilo importado 6"/>
    <w:rsid w:val="00284E33"/>
  </w:style>
  <w:style w:type="numbering" w:customStyle="1" w:styleId="List6">
    <w:name w:val="List 6"/>
    <w:basedOn w:val="Estiloimportado7"/>
    <w:rsid w:val="00284E33"/>
    <w:pPr>
      <w:numPr>
        <w:numId w:val="3"/>
      </w:numPr>
    </w:pPr>
  </w:style>
  <w:style w:type="numbering" w:customStyle="1" w:styleId="Estiloimportado7">
    <w:name w:val="Estilo importado 7"/>
    <w:rsid w:val="00284E33"/>
  </w:style>
  <w:style w:type="numbering" w:customStyle="1" w:styleId="List7">
    <w:name w:val="List 7"/>
    <w:basedOn w:val="Estiloimportado8"/>
    <w:rsid w:val="00284E33"/>
    <w:pPr>
      <w:numPr>
        <w:numId w:val="4"/>
      </w:numPr>
    </w:pPr>
  </w:style>
  <w:style w:type="numbering" w:customStyle="1" w:styleId="Estiloimportado8">
    <w:name w:val="Estilo importado 8"/>
    <w:rsid w:val="00284E33"/>
  </w:style>
  <w:style w:type="numbering" w:customStyle="1" w:styleId="List8">
    <w:name w:val="List 8"/>
    <w:basedOn w:val="Estiloimportado9"/>
    <w:rsid w:val="00284E33"/>
    <w:pPr>
      <w:numPr>
        <w:numId w:val="5"/>
      </w:numPr>
    </w:pPr>
  </w:style>
  <w:style w:type="numbering" w:customStyle="1" w:styleId="Estiloimportado9">
    <w:name w:val="Estilo importado 9"/>
    <w:rsid w:val="00284E33"/>
  </w:style>
  <w:style w:type="numbering" w:customStyle="1" w:styleId="List9">
    <w:name w:val="List 9"/>
    <w:basedOn w:val="Estiloimportado10"/>
    <w:rsid w:val="00284E33"/>
    <w:pPr>
      <w:numPr>
        <w:numId w:val="22"/>
      </w:numPr>
    </w:pPr>
  </w:style>
  <w:style w:type="numbering" w:customStyle="1" w:styleId="Estiloimportado10">
    <w:name w:val="Estilo importado 10"/>
    <w:rsid w:val="00284E33"/>
  </w:style>
  <w:style w:type="numbering" w:customStyle="1" w:styleId="List10">
    <w:name w:val="List 10"/>
    <w:basedOn w:val="Estiloimportado11"/>
    <w:rsid w:val="00284E33"/>
    <w:pPr>
      <w:numPr>
        <w:numId w:val="6"/>
      </w:numPr>
    </w:pPr>
  </w:style>
  <w:style w:type="numbering" w:customStyle="1" w:styleId="Estiloimportado11">
    <w:name w:val="Estilo importado 11"/>
    <w:rsid w:val="00284E33"/>
  </w:style>
  <w:style w:type="numbering" w:customStyle="1" w:styleId="List11">
    <w:name w:val="List 11"/>
    <w:basedOn w:val="Estiloimportado12"/>
    <w:rsid w:val="00284E33"/>
    <w:pPr>
      <w:numPr>
        <w:numId w:val="7"/>
      </w:numPr>
    </w:pPr>
  </w:style>
  <w:style w:type="numbering" w:customStyle="1" w:styleId="Estiloimportado12">
    <w:name w:val="Estilo importado 12"/>
    <w:rsid w:val="00284E33"/>
  </w:style>
  <w:style w:type="numbering" w:customStyle="1" w:styleId="List12">
    <w:name w:val="List 12"/>
    <w:basedOn w:val="Estiloimportado13"/>
    <w:rsid w:val="00284E33"/>
    <w:pPr>
      <w:numPr>
        <w:numId w:val="36"/>
      </w:numPr>
    </w:pPr>
  </w:style>
  <w:style w:type="numbering" w:customStyle="1" w:styleId="Estiloimportado13">
    <w:name w:val="Estilo importado 13"/>
    <w:rsid w:val="00284E33"/>
  </w:style>
  <w:style w:type="numbering" w:customStyle="1" w:styleId="List13">
    <w:name w:val="List 13"/>
    <w:basedOn w:val="Estiloimportado14"/>
    <w:rsid w:val="00284E33"/>
    <w:pPr>
      <w:numPr>
        <w:numId w:val="42"/>
      </w:numPr>
    </w:pPr>
  </w:style>
  <w:style w:type="numbering" w:customStyle="1" w:styleId="Estiloimportado14">
    <w:name w:val="Estilo importado 14"/>
    <w:rsid w:val="00284E33"/>
  </w:style>
  <w:style w:type="numbering" w:customStyle="1" w:styleId="List14">
    <w:name w:val="List 14"/>
    <w:basedOn w:val="Estiloimportado15"/>
    <w:rsid w:val="00284E33"/>
    <w:pPr>
      <w:numPr>
        <w:numId w:val="17"/>
      </w:numPr>
    </w:pPr>
  </w:style>
  <w:style w:type="numbering" w:customStyle="1" w:styleId="Estiloimportado15">
    <w:name w:val="Estilo importado 15"/>
    <w:rsid w:val="00284E33"/>
  </w:style>
  <w:style w:type="numbering" w:customStyle="1" w:styleId="List15">
    <w:name w:val="List 15"/>
    <w:basedOn w:val="Estiloimportado16"/>
    <w:rsid w:val="00284E33"/>
    <w:pPr>
      <w:numPr>
        <w:numId w:val="16"/>
      </w:numPr>
    </w:pPr>
  </w:style>
  <w:style w:type="numbering" w:customStyle="1" w:styleId="Estiloimportado16">
    <w:name w:val="Estilo importado 16"/>
    <w:rsid w:val="00284E33"/>
  </w:style>
  <w:style w:type="numbering" w:customStyle="1" w:styleId="List16">
    <w:name w:val="List 16"/>
    <w:basedOn w:val="Estiloimportado16"/>
    <w:rsid w:val="00284E33"/>
    <w:pPr>
      <w:numPr>
        <w:numId w:val="10"/>
      </w:numPr>
    </w:pPr>
  </w:style>
  <w:style w:type="numbering" w:customStyle="1" w:styleId="List17">
    <w:name w:val="List 17"/>
    <w:basedOn w:val="Estiloimportado17"/>
    <w:rsid w:val="00284E33"/>
    <w:pPr>
      <w:numPr>
        <w:numId w:val="25"/>
      </w:numPr>
    </w:pPr>
  </w:style>
  <w:style w:type="numbering" w:customStyle="1" w:styleId="Estiloimportado17">
    <w:name w:val="Estilo importado 17"/>
    <w:rsid w:val="00284E33"/>
  </w:style>
  <w:style w:type="numbering" w:customStyle="1" w:styleId="List18">
    <w:name w:val="List 18"/>
    <w:basedOn w:val="Estiloimportado18"/>
    <w:rsid w:val="00284E33"/>
    <w:pPr>
      <w:numPr>
        <w:numId w:val="27"/>
      </w:numPr>
    </w:pPr>
  </w:style>
  <w:style w:type="numbering" w:customStyle="1" w:styleId="Estiloimportado18">
    <w:name w:val="Estilo importado 18"/>
    <w:rsid w:val="00284E33"/>
  </w:style>
  <w:style w:type="numbering" w:customStyle="1" w:styleId="List19">
    <w:name w:val="List 19"/>
    <w:basedOn w:val="Estiloimportado10"/>
    <w:rsid w:val="00284E33"/>
    <w:pPr>
      <w:numPr>
        <w:numId w:val="19"/>
      </w:numPr>
    </w:pPr>
  </w:style>
  <w:style w:type="numbering" w:customStyle="1" w:styleId="List20">
    <w:name w:val="List 20"/>
    <w:basedOn w:val="Estiloimportado12"/>
    <w:rsid w:val="00284E33"/>
    <w:pPr>
      <w:numPr>
        <w:numId w:val="43"/>
      </w:numPr>
    </w:pPr>
  </w:style>
  <w:style w:type="numbering" w:customStyle="1" w:styleId="List21">
    <w:name w:val="List 21"/>
    <w:basedOn w:val="Estiloimportado19"/>
    <w:rsid w:val="00284E33"/>
    <w:pPr>
      <w:numPr>
        <w:numId w:val="38"/>
      </w:numPr>
    </w:pPr>
  </w:style>
  <w:style w:type="numbering" w:customStyle="1" w:styleId="Estiloimportado19">
    <w:name w:val="Estilo importado 19"/>
    <w:rsid w:val="00284E33"/>
  </w:style>
  <w:style w:type="numbering" w:customStyle="1" w:styleId="List22">
    <w:name w:val="List 22"/>
    <w:basedOn w:val="Estiloimportado19"/>
    <w:rsid w:val="00284E33"/>
    <w:pPr>
      <w:numPr>
        <w:numId w:val="28"/>
      </w:numPr>
    </w:pPr>
  </w:style>
  <w:style w:type="numbering" w:customStyle="1" w:styleId="List23">
    <w:name w:val="List 23"/>
    <w:basedOn w:val="Estiloimportado19"/>
    <w:rsid w:val="00284E33"/>
    <w:pPr>
      <w:numPr>
        <w:numId w:val="18"/>
      </w:numPr>
    </w:pPr>
  </w:style>
  <w:style w:type="numbering" w:customStyle="1" w:styleId="List24">
    <w:name w:val="List 24"/>
    <w:basedOn w:val="Estiloimportado20"/>
    <w:rsid w:val="00284E33"/>
    <w:pPr>
      <w:numPr>
        <w:numId w:val="13"/>
      </w:numPr>
    </w:pPr>
  </w:style>
  <w:style w:type="numbering" w:customStyle="1" w:styleId="Estiloimportado20">
    <w:name w:val="Estilo importado 20"/>
    <w:rsid w:val="00284E33"/>
  </w:style>
  <w:style w:type="numbering" w:customStyle="1" w:styleId="List25">
    <w:name w:val="List 25"/>
    <w:basedOn w:val="Estiloimportado21"/>
    <w:rsid w:val="00284E33"/>
    <w:pPr>
      <w:numPr>
        <w:numId w:val="15"/>
      </w:numPr>
    </w:pPr>
  </w:style>
  <w:style w:type="numbering" w:customStyle="1" w:styleId="Estiloimportado21">
    <w:name w:val="Estilo importado 21"/>
    <w:rsid w:val="00284E33"/>
  </w:style>
  <w:style w:type="numbering" w:customStyle="1" w:styleId="List26">
    <w:name w:val="List 26"/>
    <w:basedOn w:val="Estiloimportado22"/>
    <w:rsid w:val="00284E33"/>
    <w:pPr>
      <w:numPr>
        <w:numId w:val="49"/>
      </w:numPr>
    </w:pPr>
  </w:style>
  <w:style w:type="numbering" w:customStyle="1" w:styleId="Estiloimportado22">
    <w:name w:val="Estilo importado 22"/>
    <w:rsid w:val="00284E33"/>
  </w:style>
  <w:style w:type="numbering" w:customStyle="1" w:styleId="List27">
    <w:name w:val="List 27"/>
    <w:basedOn w:val="Estiloimportado23"/>
    <w:rsid w:val="00284E33"/>
    <w:pPr>
      <w:numPr>
        <w:numId w:val="41"/>
      </w:numPr>
    </w:pPr>
  </w:style>
  <w:style w:type="numbering" w:customStyle="1" w:styleId="Estiloimportado23">
    <w:name w:val="Estilo importado 23"/>
    <w:rsid w:val="00284E33"/>
  </w:style>
  <w:style w:type="numbering" w:customStyle="1" w:styleId="List28">
    <w:name w:val="List 28"/>
    <w:basedOn w:val="Estiloimportado24"/>
    <w:rsid w:val="00284E33"/>
    <w:pPr>
      <w:numPr>
        <w:numId w:val="30"/>
      </w:numPr>
    </w:pPr>
  </w:style>
  <w:style w:type="numbering" w:customStyle="1" w:styleId="Estiloimportado24">
    <w:name w:val="Estilo importado 24"/>
    <w:rsid w:val="00284E33"/>
  </w:style>
  <w:style w:type="numbering" w:customStyle="1" w:styleId="List29">
    <w:name w:val="List 29"/>
    <w:basedOn w:val="Estiloimportado25"/>
    <w:rsid w:val="00284E33"/>
    <w:pPr>
      <w:numPr>
        <w:numId w:val="34"/>
      </w:numPr>
    </w:pPr>
  </w:style>
  <w:style w:type="numbering" w:customStyle="1" w:styleId="Estiloimportado25">
    <w:name w:val="Estilo importado 25"/>
    <w:rsid w:val="00284E33"/>
  </w:style>
  <w:style w:type="numbering" w:customStyle="1" w:styleId="List30">
    <w:name w:val="List 30"/>
    <w:basedOn w:val="Estiloimportado26"/>
    <w:rsid w:val="00284E33"/>
    <w:pPr>
      <w:numPr>
        <w:numId w:val="32"/>
      </w:numPr>
    </w:pPr>
  </w:style>
  <w:style w:type="numbering" w:customStyle="1" w:styleId="Estiloimportado26">
    <w:name w:val="Estilo importado 26"/>
    <w:rsid w:val="00284E33"/>
  </w:style>
  <w:style w:type="numbering" w:customStyle="1" w:styleId="List310">
    <w:name w:val="List 31"/>
    <w:basedOn w:val="Estiloimportado27"/>
    <w:rsid w:val="00284E33"/>
    <w:pPr>
      <w:numPr>
        <w:numId w:val="45"/>
      </w:numPr>
    </w:pPr>
  </w:style>
  <w:style w:type="numbering" w:customStyle="1" w:styleId="Estiloimportado27">
    <w:name w:val="Estilo importado 27"/>
    <w:rsid w:val="00284E33"/>
  </w:style>
  <w:style w:type="numbering" w:customStyle="1" w:styleId="List32">
    <w:name w:val="List 32"/>
    <w:basedOn w:val="Estiloimportado28"/>
    <w:rsid w:val="00284E33"/>
    <w:pPr>
      <w:numPr>
        <w:numId w:val="48"/>
      </w:numPr>
    </w:pPr>
  </w:style>
  <w:style w:type="numbering" w:customStyle="1" w:styleId="Estiloimportado28">
    <w:name w:val="Estilo importado 28"/>
    <w:rsid w:val="00284E33"/>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sid w:val="00284E33"/>
    <w:rPr>
      <w:rFonts w:ascii="Calibri" w:eastAsia="Calibri" w:hAnsi="Calibri" w:cs="Calibri"/>
      <w:color w:val="000000"/>
      <w:u w:color="000000"/>
      <w:lang w:val="en-US"/>
    </w:rPr>
  </w:style>
  <w:style w:type="numbering" w:customStyle="1" w:styleId="List33">
    <w:name w:val="List 33"/>
    <w:basedOn w:val="Estiloimportado29"/>
    <w:rsid w:val="00284E33"/>
    <w:pPr>
      <w:numPr>
        <w:numId w:val="26"/>
      </w:numPr>
    </w:pPr>
  </w:style>
  <w:style w:type="numbering" w:customStyle="1" w:styleId="Estiloimportado29">
    <w:name w:val="Estilo importado 29"/>
    <w:rsid w:val="00284E33"/>
  </w:style>
  <w:style w:type="numbering" w:customStyle="1" w:styleId="List34">
    <w:name w:val="List 34"/>
    <w:basedOn w:val="Estiloimportado30"/>
    <w:rsid w:val="00284E33"/>
    <w:pPr>
      <w:numPr>
        <w:numId w:val="11"/>
      </w:numPr>
    </w:pPr>
  </w:style>
  <w:style w:type="numbering" w:customStyle="1" w:styleId="Estiloimportado30">
    <w:name w:val="Estilo importado 30"/>
    <w:rsid w:val="00284E33"/>
  </w:style>
  <w:style w:type="numbering" w:customStyle="1" w:styleId="List35">
    <w:name w:val="List 35"/>
    <w:basedOn w:val="Estiloimportado31"/>
    <w:rsid w:val="00284E33"/>
    <w:pPr>
      <w:numPr>
        <w:numId w:val="8"/>
      </w:numPr>
    </w:pPr>
  </w:style>
  <w:style w:type="numbering" w:customStyle="1" w:styleId="Estiloimportado31">
    <w:name w:val="Estilo importado 31"/>
    <w:rsid w:val="00284E33"/>
  </w:style>
  <w:style w:type="numbering" w:customStyle="1" w:styleId="List36">
    <w:name w:val="List 36"/>
    <w:basedOn w:val="Estiloimportado32"/>
    <w:rsid w:val="00284E33"/>
    <w:pPr>
      <w:numPr>
        <w:numId w:val="14"/>
      </w:numPr>
    </w:pPr>
  </w:style>
  <w:style w:type="numbering" w:customStyle="1" w:styleId="Estiloimportado32">
    <w:name w:val="Estilo importado 32"/>
    <w:rsid w:val="00284E33"/>
  </w:style>
  <w:style w:type="numbering" w:customStyle="1" w:styleId="List37">
    <w:name w:val="List 37"/>
    <w:basedOn w:val="Estiloimportado33"/>
    <w:rsid w:val="00284E33"/>
    <w:pPr>
      <w:numPr>
        <w:numId w:val="47"/>
      </w:numPr>
    </w:pPr>
  </w:style>
  <w:style w:type="numbering" w:customStyle="1" w:styleId="Estiloimportado33">
    <w:name w:val="Estilo importado 33"/>
    <w:rsid w:val="00284E33"/>
  </w:style>
  <w:style w:type="numbering" w:customStyle="1" w:styleId="List38">
    <w:name w:val="List 38"/>
    <w:basedOn w:val="Estiloimportado34"/>
    <w:rsid w:val="00284E33"/>
    <w:pPr>
      <w:numPr>
        <w:numId w:val="35"/>
      </w:numPr>
    </w:pPr>
  </w:style>
  <w:style w:type="numbering" w:customStyle="1" w:styleId="Estiloimportado34">
    <w:name w:val="Estilo importado 34"/>
    <w:rsid w:val="00284E33"/>
  </w:style>
  <w:style w:type="numbering" w:customStyle="1" w:styleId="List39">
    <w:name w:val="List 39"/>
    <w:basedOn w:val="Estiloimportado35"/>
    <w:rsid w:val="00284E33"/>
    <w:pPr>
      <w:numPr>
        <w:numId w:val="46"/>
      </w:numPr>
    </w:pPr>
  </w:style>
  <w:style w:type="numbering" w:customStyle="1" w:styleId="Estiloimportado35">
    <w:name w:val="Estilo importado 35"/>
    <w:rsid w:val="00284E33"/>
  </w:style>
  <w:style w:type="numbering" w:customStyle="1" w:styleId="List40">
    <w:name w:val="List 40"/>
    <w:basedOn w:val="Estiloimportado36"/>
    <w:rsid w:val="00284E33"/>
    <w:pPr>
      <w:numPr>
        <w:numId w:val="21"/>
      </w:numPr>
    </w:pPr>
  </w:style>
  <w:style w:type="numbering" w:customStyle="1" w:styleId="Estiloimportado36">
    <w:name w:val="Estilo importado 36"/>
    <w:rsid w:val="00284E33"/>
  </w:style>
  <w:style w:type="numbering" w:customStyle="1" w:styleId="List410">
    <w:name w:val="List 41"/>
    <w:basedOn w:val="Estiloimportado37"/>
    <w:rsid w:val="00284E33"/>
    <w:pPr>
      <w:numPr>
        <w:numId w:val="44"/>
      </w:numPr>
    </w:pPr>
  </w:style>
  <w:style w:type="numbering" w:customStyle="1" w:styleId="Estiloimportado37">
    <w:name w:val="Estilo importado 37"/>
    <w:rsid w:val="00284E33"/>
  </w:style>
  <w:style w:type="numbering" w:customStyle="1" w:styleId="List42">
    <w:name w:val="List 42"/>
    <w:basedOn w:val="Estiloimportado12"/>
    <w:rsid w:val="00284E33"/>
    <w:pPr>
      <w:numPr>
        <w:numId w:val="12"/>
      </w:numPr>
    </w:pPr>
  </w:style>
  <w:style w:type="numbering" w:customStyle="1" w:styleId="List43">
    <w:name w:val="List 43"/>
    <w:basedOn w:val="Estiloimportado38"/>
    <w:rsid w:val="00284E33"/>
    <w:pPr>
      <w:numPr>
        <w:numId w:val="23"/>
      </w:numPr>
    </w:pPr>
  </w:style>
  <w:style w:type="numbering" w:customStyle="1" w:styleId="Estiloimportado38">
    <w:name w:val="Estilo importado 38"/>
    <w:rsid w:val="00284E33"/>
  </w:style>
  <w:style w:type="numbering" w:customStyle="1" w:styleId="List44">
    <w:name w:val="List 44"/>
    <w:basedOn w:val="Estiloimportado39"/>
    <w:rsid w:val="00284E33"/>
    <w:pPr>
      <w:numPr>
        <w:numId w:val="40"/>
      </w:numPr>
    </w:pPr>
  </w:style>
  <w:style w:type="numbering" w:customStyle="1" w:styleId="Estiloimportado39">
    <w:name w:val="Estilo importado 39"/>
    <w:rsid w:val="00284E33"/>
  </w:style>
  <w:style w:type="numbering" w:customStyle="1" w:styleId="List45">
    <w:name w:val="List 45"/>
    <w:basedOn w:val="Estiloimportado40"/>
    <w:rsid w:val="00284E33"/>
    <w:pPr>
      <w:numPr>
        <w:numId w:val="20"/>
      </w:numPr>
    </w:pPr>
  </w:style>
  <w:style w:type="numbering" w:customStyle="1" w:styleId="Estiloimportado40">
    <w:name w:val="Estilo importado 40"/>
    <w:rsid w:val="00284E33"/>
  </w:style>
  <w:style w:type="numbering" w:customStyle="1" w:styleId="List46">
    <w:name w:val="List 46"/>
    <w:basedOn w:val="Estiloimportado41"/>
    <w:rsid w:val="00284E33"/>
    <w:pPr>
      <w:numPr>
        <w:numId w:val="24"/>
      </w:numPr>
    </w:pPr>
  </w:style>
  <w:style w:type="numbering" w:customStyle="1" w:styleId="Estiloimportado41">
    <w:name w:val="Estilo importado 41"/>
    <w:rsid w:val="00284E33"/>
  </w:style>
  <w:style w:type="numbering" w:customStyle="1" w:styleId="List47">
    <w:name w:val="List 47"/>
    <w:basedOn w:val="Estiloimportado42"/>
    <w:rsid w:val="00284E33"/>
    <w:pPr>
      <w:numPr>
        <w:numId w:val="29"/>
      </w:numPr>
    </w:pPr>
  </w:style>
  <w:style w:type="numbering" w:customStyle="1" w:styleId="Estiloimportado42">
    <w:name w:val="Estilo importado 42"/>
    <w:rsid w:val="00284E33"/>
  </w:style>
  <w:style w:type="numbering" w:customStyle="1" w:styleId="List48">
    <w:name w:val="List 48"/>
    <w:basedOn w:val="Estiloimportado43"/>
    <w:rsid w:val="00284E33"/>
    <w:pPr>
      <w:numPr>
        <w:numId w:val="50"/>
      </w:numPr>
    </w:pPr>
  </w:style>
  <w:style w:type="numbering" w:customStyle="1" w:styleId="Estiloimportado43">
    <w:name w:val="Estilo importado 43"/>
    <w:rsid w:val="00284E33"/>
  </w:style>
  <w:style w:type="numbering" w:customStyle="1" w:styleId="List49">
    <w:name w:val="List 49"/>
    <w:basedOn w:val="Estiloimportado44"/>
    <w:rsid w:val="00284E33"/>
    <w:pPr>
      <w:numPr>
        <w:numId w:val="39"/>
      </w:numPr>
    </w:pPr>
  </w:style>
  <w:style w:type="numbering" w:customStyle="1" w:styleId="Estiloimportado44">
    <w:name w:val="Estilo importado 44"/>
    <w:rsid w:val="00284E33"/>
  </w:style>
  <w:style w:type="numbering" w:customStyle="1" w:styleId="List50">
    <w:name w:val="List 50"/>
    <w:basedOn w:val="Estiloimportado45"/>
    <w:rsid w:val="00284E33"/>
    <w:pPr>
      <w:numPr>
        <w:numId w:val="37"/>
      </w:numPr>
    </w:pPr>
  </w:style>
  <w:style w:type="numbering" w:customStyle="1" w:styleId="Estiloimportado45">
    <w:name w:val="Estilo importado 45"/>
    <w:rsid w:val="00284E33"/>
  </w:style>
  <w:style w:type="numbering" w:customStyle="1" w:styleId="List51">
    <w:name w:val="List 51"/>
    <w:basedOn w:val="Estiloimportado46"/>
    <w:rsid w:val="00284E33"/>
    <w:pPr>
      <w:numPr>
        <w:numId w:val="33"/>
      </w:numPr>
    </w:pPr>
  </w:style>
  <w:style w:type="numbering" w:customStyle="1" w:styleId="Estiloimportado46">
    <w:name w:val="Estilo importado 46"/>
    <w:rsid w:val="00284E33"/>
  </w:style>
  <w:style w:type="numbering" w:customStyle="1" w:styleId="List52">
    <w:name w:val="List 52"/>
    <w:basedOn w:val="Estiloimportado1"/>
    <w:rsid w:val="00284E33"/>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864785"/>
    <w:pPr>
      <w:tabs>
        <w:tab w:val="left" w:pos="1440"/>
        <w:tab w:val="right" w:leader="dot" w:pos="9350"/>
      </w:tabs>
      <w:spacing w:after="100"/>
      <w:ind w:left="1440" w:hanging="360"/>
    </w:pPr>
  </w:style>
  <w:style w:type="paragraph" w:styleId="TOC1">
    <w:name w:val="toc 1"/>
    <w:basedOn w:val="Normal"/>
    <w:next w:val="Normal"/>
    <w:autoRedefine/>
    <w:uiPriority w:val="39"/>
    <w:unhideWhenUsed/>
    <w:rsid w:val="00BF2939"/>
    <w:pPr>
      <w:tabs>
        <w:tab w:val="left" w:pos="1440"/>
        <w:tab w:val="right" w:leader="dot" w:pos="9350"/>
      </w:tabs>
      <w:spacing w:after="100"/>
      <w:ind w:left="720"/>
    </w:pPr>
    <w:rPr>
      <w:rFonts w:asciiTheme="majorHAnsi" w:hAnsiTheme="majorHAnsi"/>
      <w:noProof/>
      <w:sz w:val="20"/>
      <w:szCs w:val="20"/>
      <w:lang w:val="es-ES_tradnl"/>
    </w:rPr>
  </w:style>
  <w:style w:type="paragraph" w:styleId="TOC3">
    <w:name w:val="toc 3"/>
    <w:basedOn w:val="Normal"/>
    <w:next w:val="Normal"/>
    <w:autoRedefine/>
    <w:uiPriority w:val="39"/>
    <w:unhideWhenUsed/>
    <w:rsid w:val="00864785"/>
    <w:pPr>
      <w:tabs>
        <w:tab w:val="left" w:pos="880"/>
        <w:tab w:val="left" w:pos="180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link w:val="FootnotesrefssChar1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036A8A"/>
    <w:rPr>
      <w:rFonts w:ascii="Calibri" w:eastAsia="Calibri" w:hAnsi="Calibri" w:cs="Calibri"/>
      <w:color w:val="000000"/>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F45EB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Medium Grid 1 - Accent 21 Char,Colorful List - Accent 12 Char,Lista vistosa - Énfasis 11 Char"/>
    <w:link w:val="ListParagraph"/>
    <w:locked/>
    <w:rsid w:val="00F45EBF"/>
    <w:rPr>
      <w:rFonts w:ascii="Cambria" w:eastAsia="Cambria" w:hAnsi="Cambria" w:cs="Cambria"/>
      <w:color w:val="000000"/>
      <w:sz w:val="24"/>
      <w:szCs w:val="24"/>
      <w:u w:color="000000"/>
      <w:lang w:val="en-US"/>
    </w:rPr>
  </w:style>
  <w:style w:type="paragraph" w:customStyle="1" w:styleId="indent">
    <w:name w:val="indent"/>
    <w:basedOn w:val="Normal"/>
    <w:rsid w:val="00D874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D87416"/>
  </w:style>
  <w:style w:type="paragraph" w:styleId="NormalWeb">
    <w:name w:val="Normal (Web)"/>
    <w:basedOn w:val="Normal"/>
    <w:uiPriority w:val="99"/>
    <w:unhideWhenUsed/>
    <w:rsid w:val="005075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7D2FEE"/>
    <w:rPr>
      <w:rFonts w:ascii="Cambria" w:eastAsia="Times New Roman" w:hAnsi="Cambria"/>
      <w:b/>
      <w:bCs/>
      <w:bdr w:val="none" w:sz="0" w:space="0" w:color="auto" w:frame="1"/>
      <w:lang w:val="es-ES_tradnl" w:eastAsia="en-US"/>
    </w:rPr>
  </w:style>
  <w:style w:type="paragraph" w:customStyle="1" w:styleId="Style1">
    <w:name w:val="Style1"/>
    <w:basedOn w:val="Normal"/>
    <w:link w:val="Style1Char"/>
    <w:qFormat/>
    <w:rsid w:val="007D2FE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frame="1"/>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9D15C7"/>
    <w:rPr>
      <w:rFonts w:ascii="Calibri" w:hAnsi="Calibri"/>
      <w:color w:val="000000"/>
      <w:u w:color="000000"/>
    </w:rPr>
  </w:style>
  <w:style w:type="paragraph" w:customStyle="1" w:styleId="Footnotes">
    <w:name w:val="Footnotes"/>
    <w:basedOn w:val="FootnoteText"/>
    <w:qFormat/>
    <w:rsid w:val="000332F4"/>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1937A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lang w:val="es-ES_tradnl" w:eastAsia="es-ES"/>
    </w:rPr>
  </w:style>
  <w:style w:type="character" w:customStyle="1" w:styleId="apple-converted-space">
    <w:name w:val="apple-converted-space"/>
    <w:rsid w:val="007607EC"/>
  </w:style>
  <w:style w:type="character" w:customStyle="1" w:styleId="apple-style-span">
    <w:name w:val="apple-style-span"/>
    <w:basedOn w:val="DefaultParagraphFont"/>
    <w:rsid w:val="00095575"/>
    <w:rPr>
      <w:rFonts w:cs="Times New Roman"/>
    </w:rPr>
  </w:style>
  <w:style w:type="character" w:customStyle="1" w:styleId="Heading2Char">
    <w:name w:val="Heading 2 Char"/>
    <w:basedOn w:val="DefaultParagraphFont"/>
    <w:link w:val="Heading2"/>
    <w:uiPriority w:val="9"/>
    <w:rsid w:val="009B541A"/>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9B541A"/>
    <w:rPr>
      <w:rFonts w:asciiTheme="majorHAnsi" w:eastAsiaTheme="majorEastAsia" w:hAnsiTheme="majorHAnsi" w:cstheme="majorBidi"/>
      <w:b/>
      <w:bCs/>
      <w:color w:val="4F81BD" w:themeColor="accent1"/>
      <w:sz w:val="24"/>
      <w:szCs w:val="24"/>
      <w:lang w:val="en-US" w:eastAsia="en-US"/>
    </w:rPr>
  </w:style>
  <w:style w:type="paragraph" w:customStyle="1" w:styleId="Default">
    <w:name w:val="Default"/>
    <w:rsid w:val="009B54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bdr w:val="none" w:sz="0" w:space="0" w:color="auto"/>
      <w:lang w:val="en-GB" w:eastAsia="en-US"/>
    </w:rPr>
  </w:style>
  <w:style w:type="character" w:customStyle="1" w:styleId="sb8d990e2">
    <w:name w:val="sb8d990e2"/>
    <w:rsid w:val="00E43C54"/>
  </w:style>
  <w:style w:type="numbering" w:styleId="111111">
    <w:name w:val="Outline List 2"/>
    <w:basedOn w:val="NoList"/>
    <w:uiPriority w:val="99"/>
    <w:semiHidden/>
    <w:unhideWhenUsed/>
    <w:rsid w:val="00ED56AB"/>
    <w:pPr>
      <w:numPr>
        <w:numId w:val="55"/>
      </w:numPr>
    </w:pPr>
  </w:style>
  <w:style w:type="character" w:styleId="CommentReference">
    <w:name w:val="annotation reference"/>
    <w:basedOn w:val="DefaultParagraphFont"/>
    <w:uiPriority w:val="99"/>
    <w:semiHidden/>
    <w:unhideWhenUsed/>
    <w:rsid w:val="00EA6A6E"/>
    <w:rPr>
      <w:sz w:val="16"/>
      <w:szCs w:val="16"/>
    </w:rPr>
  </w:style>
  <w:style w:type="paragraph" w:styleId="CommentText">
    <w:name w:val="annotation text"/>
    <w:basedOn w:val="Normal"/>
    <w:link w:val="CommentTextChar"/>
    <w:uiPriority w:val="99"/>
    <w:semiHidden/>
    <w:unhideWhenUsed/>
    <w:rsid w:val="00EA6A6E"/>
    <w:rPr>
      <w:sz w:val="20"/>
      <w:szCs w:val="20"/>
    </w:rPr>
  </w:style>
  <w:style w:type="character" w:customStyle="1" w:styleId="CommentTextChar">
    <w:name w:val="Comment Text Char"/>
    <w:basedOn w:val="DefaultParagraphFont"/>
    <w:link w:val="CommentText"/>
    <w:uiPriority w:val="99"/>
    <w:semiHidden/>
    <w:rsid w:val="00EA6A6E"/>
    <w:rPr>
      <w:lang w:val="en-US" w:eastAsia="en-US"/>
    </w:rPr>
  </w:style>
  <w:style w:type="paragraph" w:styleId="CommentSubject">
    <w:name w:val="annotation subject"/>
    <w:basedOn w:val="CommentText"/>
    <w:next w:val="CommentText"/>
    <w:link w:val="CommentSubjectChar"/>
    <w:uiPriority w:val="99"/>
    <w:semiHidden/>
    <w:unhideWhenUsed/>
    <w:rsid w:val="00EA6A6E"/>
    <w:rPr>
      <w:b/>
      <w:bCs/>
    </w:rPr>
  </w:style>
  <w:style w:type="character" w:customStyle="1" w:styleId="CommentSubjectChar">
    <w:name w:val="Comment Subject Char"/>
    <w:basedOn w:val="CommentTextChar"/>
    <w:link w:val="CommentSubject"/>
    <w:uiPriority w:val="99"/>
    <w:semiHidden/>
    <w:rsid w:val="00EA6A6E"/>
    <w:rPr>
      <w:b/>
      <w:bCs/>
      <w:lang w:val="en-US" w:eastAsia="en-US"/>
    </w:rPr>
  </w:style>
  <w:style w:type="paragraph" w:styleId="Revision">
    <w:name w:val="Revision"/>
    <w:hidden/>
    <w:uiPriority w:val="99"/>
    <w:semiHidden/>
    <w:rsid w:val="006C1815"/>
    <w:pPr>
      <w:pBdr>
        <w:top w:val="none" w:sz="0" w:space="0" w:color="auto"/>
        <w:left w:val="none" w:sz="0" w:space="0" w:color="auto"/>
        <w:bottom w:val="none" w:sz="0" w:space="0" w:color="auto"/>
        <w:right w:val="none" w:sz="0" w:space="0" w:color="auto"/>
        <w:between w:val="none" w:sz="0" w:space="0" w:color="auto"/>
        <w:bar w:val="none" w:sz="0" w:color="auto"/>
      </w:pBdr>
    </w:pPr>
    <w:rPr>
      <w:lang w:val="en-US" w:eastAsia="en-US"/>
    </w:rPr>
  </w:style>
  <w:style w:type="character" w:styleId="Strong">
    <w:name w:val="Strong"/>
    <w:basedOn w:val="DefaultParagraphFont"/>
    <w:uiPriority w:val="22"/>
    <w:qFormat/>
    <w:rsid w:val="006A538E"/>
    <w:rPr>
      <w:b/>
      <w:bCs/>
    </w:rPr>
  </w:style>
  <w:style w:type="paragraph" w:customStyle="1" w:styleId="Body">
    <w:name w:val="Body"/>
    <w:rsid w:val="00191F07"/>
    <w:rPr>
      <w:rFonts w:cs="Arial Unicode MS"/>
      <w:color w:val="000000"/>
      <w:u w:color="000000"/>
      <w:lang w:val="en-US" w:eastAsia="en-US"/>
    </w:rPr>
  </w:style>
  <w:style w:type="numbering" w:customStyle="1" w:styleId="ImportedStyle3">
    <w:name w:val="Imported Style 3"/>
    <w:rsid w:val="006A72B7"/>
    <w:pPr>
      <w:numPr>
        <w:numId w:val="58"/>
      </w:numPr>
    </w:pPr>
  </w:style>
  <w:style w:type="numbering" w:customStyle="1" w:styleId="ImportedStyle4">
    <w:name w:val="Imported Style 4"/>
    <w:rsid w:val="00EA425E"/>
    <w:pPr>
      <w:numPr>
        <w:numId w:val="59"/>
      </w:numPr>
    </w:pPr>
  </w:style>
  <w:style w:type="numbering" w:customStyle="1" w:styleId="ImportedStyle5">
    <w:name w:val="Imported Style 5"/>
    <w:rsid w:val="00C80BAC"/>
    <w:pPr>
      <w:numPr>
        <w:numId w:val="60"/>
      </w:numPr>
    </w:pPr>
  </w:style>
  <w:style w:type="numbering" w:customStyle="1" w:styleId="ImportedStyle6">
    <w:name w:val="Imported Style 6"/>
    <w:rsid w:val="00264225"/>
    <w:pPr>
      <w:numPr>
        <w:numId w:val="61"/>
      </w:numPr>
    </w:pPr>
  </w:style>
  <w:style w:type="numbering" w:customStyle="1" w:styleId="ImportedStyle8">
    <w:name w:val="Imported Style 8"/>
    <w:rsid w:val="00037CC9"/>
    <w:pPr>
      <w:numPr>
        <w:numId w:val="62"/>
      </w:numPr>
    </w:pPr>
  </w:style>
  <w:style w:type="character" w:customStyle="1" w:styleId="Hyperlink0">
    <w:name w:val="Hyperlink.0"/>
    <w:basedOn w:val="DefaultParagraphFont"/>
    <w:rsid w:val="000A1126"/>
    <w:rPr>
      <w:rFonts w:ascii="Cambria" w:eastAsia="Cambria" w:hAnsi="Cambria" w:cs="Cambria"/>
      <w:color w:val="0000FF"/>
      <w:sz w:val="16"/>
      <w:szCs w:val="16"/>
      <w:u w:val="single" w:color="0000FF"/>
    </w:rPr>
  </w:style>
  <w:style w:type="paragraph" w:styleId="Index1">
    <w:name w:val="index 1"/>
    <w:basedOn w:val="Normal"/>
    <w:next w:val="Normal"/>
    <w:autoRedefine/>
    <w:uiPriority w:val="99"/>
    <w:semiHidden/>
    <w:unhideWhenUsed/>
    <w:rsid w:val="00C01BA5"/>
    <w:pPr>
      <w:ind w:left="240" w:hanging="240"/>
    </w:pPr>
  </w:style>
  <w:style w:type="paragraph" w:styleId="Index2">
    <w:name w:val="index 2"/>
    <w:basedOn w:val="Normal"/>
    <w:next w:val="Normal"/>
    <w:autoRedefine/>
    <w:uiPriority w:val="99"/>
    <w:semiHidden/>
    <w:unhideWhenUsed/>
    <w:rsid w:val="00C01BA5"/>
    <w:pPr>
      <w:ind w:left="480" w:hanging="240"/>
    </w:pPr>
  </w:style>
  <w:style w:type="paragraph" w:styleId="Index3">
    <w:name w:val="index 3"/>
    <w:basedOn w:val="Normal"/>
    <w:next w:val="Normal"/>
    <w:autoRedefine/>
    <w:uiPriority w:val="99"/>
    <w:semiHidden/>
    <w:unhideWhenUsed/>
    <w:rsid w:val="00C01BA5"/>
    <w:pPr>
      <w:ind w:left="720" w:hanging="240"/>
    </w:pPr>
  </w:style>
  <w:style w:type="paragraph" w:styleId="Index4">
    <w:name w:val="index 4"/>
    <w:basedOn w:val="Normal"/>
    <w:next w:val="Normal"/>
    <w:autoRedefine/>
    <w:uiPriority w:val="99"/>
    <w:semiHidden/>
    <w:unhideWhenUsed/>
    <w:rsid w:val="00C01BA5"/>
    <w:pPr>
      <w:ind w:left="960" w:hanging="240"/>
    </w:pPr>
  </w:style>
  <w:style w:type="paragraph" w:styleId="Index5">
    <w:name w:val="index 5"/>
    <w:basedOn w:val="Normal"/>
    <w:next w:val="Normal"/>
    <w:autoRedefine/>
    <w:uiPriority w:val="99"/>
    <w:semiHidden/>
    <w:unhideWhenUsed/>
    <w:rsid w:val="00C01BA5"/>
    <w:pPr>
      <w:ind w:left="1200" w:hanging="240"/>
    </w:pPr>
  </w:style>
  <w:style w:type="paragraph" w:styleId="Index6">
    <w:name w:val="index 6"/>
    <w:basedOn w:val="Normal"/>
    <w:next w:val="Normal"/>
    <w:autoRedefine/>
    <w:uiPriority w:val="99"/>
    <w:semiHidden/>
    <w:unhideWhenUsed/>
    <w:rsid w:val="00C01BA5"/>
    <w:pPr>
      <w:ind w:left="1440" w:hanging="240"/>
    </w:pPr>
  </w:style>
  <w:style w:type="paragraph" w:styleId="Index7">
    <w:name w:val="index 7"/>
    <w:basedOn w:val="Normal"/>
    <w:next w:val="Normal"/>
    <w:autoRedefine/>
    <w:uiPriority w:val="99"/>
    <w:semiHidden/>
    <w:unhideWhenUsed/>
    <w:rsid w:val="00C01BA5"/>
    <w:pPr>
      <w:ind w:left="1680" w:hanging="240"/>
    </w:pPr>
  </w:style>
  <w:style w:type="paragraph" w:styleId="Index8">
    <w:name w:val="index 8"/>
    <w:basedOn w:val="Normal"/>
    <w:next w:val="Normal"/>
    <w:autoRedefine/>
    <w:uiPriority w:val="99"/>
    <w:semiHidden/>
    <w:unhideWhenUsed/>
    <w:rsid w:val="00C01BA5"/>
    <w:pPr>
      <w:ind w:left="1920" w:hanging="240"/>
    </w:pPr>
  </w:style>
  <w:style w:type="paragraph" w:styleId="Index9">
    <w:name w:val="index 9"/>
    <w:basedOn w:val="Normal"/>
    <w:next w:val="Normal"/>
    <w:autoRedefine/>
    <w:uiPriority w:val="99"/>
    <w:semiHidden/>
    <w:unhideWhenUsed/>
    <w:rsid w:val="00C01BA5"/>
    <w:pPr>
      <w:ind w:left="2160" w:hanging="240"/>
    </w:pPr>
  </w:style>
  <w:style w:type="paragraph" w:styleId="IndexHeading">
    <w:name w:val="index heading"/>
    <w:basedOn w:val="Normal"/>
    <w:next w:val="Index1"/>
    <w:uiPriority w:val="99"/>
    <w:semiHidden/>
    <w:unhideWhenUsed/>
    <w:rsid w:val="00C01BA5"/>
  </w:style>
  <w:style w:type="paragraph" w:styleId="TOC5">
    <w:name w:val="toc 5"/>
    <w:basedOn w:val="Normal"/>
    <w:next w:val="Normal"/>
    <w:autoRedefine/>
    <w:rsid w:val="00E200F9"/>
    <w:pPr>
      <w:ind w:left="960"/>
    </w:pPr>
  </w:style>
  <w:style w:type="paragraph" w:styleId="TOC6">
    <w:name w:val="toc 6"/>
    <w:basedOn w:val="Normal"/>
    <w:next w:val="Normal"/>
    <w:autoRedefine/>
    <w:rsid w:val="00E200F9"/>
    <w:pPr>
      <w:ind w:left="1200"/>
    </w:pPr>
  </w:style>
  <w:style w:type="paragraph" w:styleId="TOC7">
    <w:name w:val="toc 7"/>
    <w:basedOn w:val="Normal"/>
    <w:next w:val="Normal"/>
    <w:autoRedefine/>
    <w:rsid w:val="00E200F9"/>
    <w:pPr>
      <w:ind w:left="1440"/>
    </w:pPr>
  </w:style>
  <w:style w:type="paragraph" w:styleId="TOC8">
    <w:name w:val="toc 8"/>
    <w:basedOn w:val="Normal"/>
    <w:next w:val="Normal"/>
    <w:autoRedefine/>
    <w:rsid w:val="00E200F9"/>
    <w:pPr>
      <w:ind w:left="1680"/>
    </w:pPr>
  </w:style>
  <w:style w:type="paragraph" w:styleId="TOC9">
    <w:name w:val="toc 9"/>
    <w:basedOn w:val="Normal"/>
    <w:next w:val="Normal"/>
    <w:autoRedefine/>
    <w:rsid w:val="00E200F9"/>
    <w:pPr>
      <w:ind w:left="1920"/>
    </w:pPr>
  </w:style>
  <w:style w:type="paragraph" w:customStyle="1" w:styleId="parrafos">
    <w:name w:val="parrafos"/>
    <w:basedOn w:val="Normal"/>
    <w:link w:val="parrafosChar"/>
    <w:qFormat/>
    <w:rsid w:val="0051222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pPr>
    <w:rPr>
      <w:rFonts w:asciiTheme="majorHAnsi" w:hAnsiTheme="majorHAnsi"/>
      <w:color w:val="000000" w:themeColor="text1"/>
      <w:sz w:val="20"/>
      <w:szCs w:val="20"/>
      <w:lang w:val="es-VE"/>
    </w:rPr>
  </w:style>
  <w:style w:type="character" w:customStyle="1" w:styleId="parrafosChar">
    <w:name w:val="parrafos Char"/>
    <w:basedOn w:val="DefaultParagraphFont"/>
    <w:link w:val="parrafos"/>
    <w:rsid w:val="00512224"/>
    <w:rPr>
      <w:rFonts w:asciiTheme="majorHAnsi" w:hAnsiTheme="majorHAnsi"/>
      <w:color w:val="000000" w:themeColor="text1"/>
      <w:sz w:val="20"/>
      <w:szCs w:val="20"/>
      <w:lang w:val="es-VE" w:eastAsia="en-US"/>
    </w:rPr>
  </w:style>
  <w:style w:type="paragraph" w:styleId="HTMLPreformatted">
    <w:name w:val="HTML Preformatted"/>
    <w:basedOn w:val="Normal"/>
    <w:link w:val="HTMLPreformattedChar"/>
    <w:uiPriority w:val="99"/>
    <w:semiHidden/>
    <w:unhideWhenUsed/>
    <w:rsid w:val="00ED51F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ED51FD"/>
    <w:rPr>
      <w:rFonts w:ascii="Courier New" w:eastAsia="Times New Roman" w:hAnsi="Courier New" w:cs="Courier New"/>
      <w:sz w:val="20"/>
      <w:szCs w:val="20"/>
      <w:bdr w:val="none" w:sz="0" w:space="0" w:color="auto"/>
      <w:lang w:val="en-US" w:eastAsia="en-US"/>
    </w:rPr>
  </w:style>
  <w:style w:type="character" w:styleId="FollowedHyperlink">
    <w:name w:val="FollowedHyperlink"/>
    <w:basedOn w:val="DefaultParagraphFont"/>
    <w:rsid w:val="00B22E6B"/>
    <w:rPr>
      <w:color w:val="800080" w:themeColor="followedHyperlink"/>
      <w:u w:val="single"/>
    </w:rPr>
  </w:style>
  <w:style w:type="paragraph" w:styleId="Title">
    <w:name w:val="Title"/>
    <w:basedOn w:val="Normal"/>
    <w:next w:val="Subtitle"/>
    <w:link w:val="TitleChar"/>
    <w:qFormat/>
    <w:rsid w:val="00F0391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center"/>
    </w:pPr>
    <w:rPr>
      <w:rFonts w:ascii="Univers" w:eastAsia="MS Mincho" w:hAnsi="Univers"/>
      <w:b/>
      <w:sz w:val="22"/>
      <w:bdr w:val="none" w:sz="0" w:space="0" w:color="auto"/>
      <w:lang w:val="es-ES_tradnl" w:eastAsia="ar-SA"/>
    </w:rPr>
  </w:style>
  <w:style w:type="character" w:customStyle="1" w:styleId="TitleChar">
    <w:name w:val="Title Char"/>
    <w:basedOn w:val="DefaultParagraphFont"/>
    <w:link w:val="Title"/>
    <w:rsid w:val="00F03911"/>
    <w:rPr>
      <w:rFonts w:ascii="Univers" w:eastAsia="MS Mincho" w:hAnsi="Univers"/>
      <w:b/>
      <w:sz w:val="22"/>
      <w:bdr w:val="none" w:sz="0" w:space="0" w:color="auto"/>
      <w:lang w:val="es-ES_tradnl" w:eastAsia="ar-SA"/>
    </w:rPr>
  </w:style>
  <w:style w:type="paragraph" w:styleId="Subtitle">
    <w:name w:val="Subtitle"/>
    <w:basedOn w:val="Normal"/>
    <w:next w:val="Normal"/>
    <w:link w:val="SubtitleChar"/>
    <w:rsid w:val="00F0391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F03911"/>
    <w:rPr>
      <w:rFonts w:asciiTheme="majorHAnsi" w:eastAsiaTheme="majorEastAsia" w:hAnsiTheme="majorHAnsi" w:cstheme="majorBidi"/>
      <w:i/>
      <w:iCs/>
      <w:color w:val="4F81BD" w:themeColor="accent1"/>
      <w:spacing w:val="15"/>
      <w:lang w:val="en-US" w:eastAsia="en-US"/>
    </w:rPr>
  </w:style>
  <w:style w:type="paragraph" w:styleId="BodyText3">
    <w:name w:val="Body Text 3"/>
    <w:basedOn w:val="Normal"/>
    <w:link w:val="BodyText3Char"/>
    <w:uiPriority w:val="99"/>
    <w:unhideWhenUsed/>
    <w:rsid w:val="00607523"/>
    <w:pPr>
      <w:spacing w:after="120"/>
    </w:pPr>
    <w:rPr>
      <w:rFonts w:ascii="Cambria" w:hAnsi="Cambria"/>
      <w:sz w:val="16"/>
      <w:szCs w:val="16"/>
      <w:lang w:val="es-ES" w:eastAsia="es-ES"/>
    </w:rPr>
  </w:style>
  <w:style w:type="character" w:customStyle="1" w:styleId="BodyText3Char">
    <w:name w:val="Body Text 3 Char"/>
    <w:basedOn w:val="DefaultParagraphFont"/>
    <w:link w:val="BodyText3"/>
    <w:uiPriority w:val="99"/>
    <w:rsid w:val="00607523"/>
    <w:rPr>
      <w:rFonts w:ascii="Cambria" w:hAnsi="Cambria"/>
      <w:sz w:val="16"/>
      <w:szCs w:val="16"/>
    </w:rPr>
  </w:style>
  <w:style w:type="character" w:customStyle="1" w:styleId="jlqj4b">
    <w:name w:val="jlqj4b"/>
    <w:basedOn w:val="DefaultParagraphFont"/>
    <w:rsid w:val="000C5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27233">
      <w:bodyDiv w:val="1"/>
      <w:marLeft w:val="0"/>
      <w:marRight w:val="0"/>
      <w:marTop w:val="0"/>
      <w:marBottom w:val="0"/>
      <w:divBdr>
        <w:top w:val="none" w:sz="0" w:space="0" w:color="auto"/>
        <w:left w:val="none" w:sz="0" w:space="0" w:color="auto"/>
        <w:bottom w:val="none" w:sz="0" w:space="0" w:color="auto"/>
        <w:right w:val="none" w:sz="0" w:space="0" w:color="auto"/>
      </w:divBdr>
    </w:div>
    <w:div w:id="169806594">
      <w:bodyDiv w:val="1"/>
      <w:marLeft w:val="0"/>
      <w:marRight w:val="0"/>
      <w:marTop w:val="0"/>
      <w:marBottom w:val="0"/>
      <w:divBdr>
        <w:top w:val="none" w:sz="0" w:space="0" w:color="auto"/>
        <w:left w:val="none" w:sz="0" w:space="0" w:color="auto"/>
        <w:bottom w:val="none" w:sz="0" w:space="0" w:color="auto"/>
        <w:right w:val="none" w:sz="0" w:space="0" w:color="auto"/>
      </w:divBdr>
    </w:div>
    <w:div w:id="284310188">
      <w:bodyDiv w:val="1"/>
      <w:marLeft w:val="0"/>
      <w:marRight w:val="0"/>
      <w:marTop w:val="0"/>
      <w:marBottom w:val="0"/>
      <w:divBdr>
        <w:top w:val="none" w:sz="0" w:space="0" w:color="auto"/>
        <w:left w:val="none" w:sz="0" w:space="0" w:color="auto"/>
        <w:bottom w:val="none" w:sz="0" w:space="0" w:color="auto"/>
        <w:right w:val="none" w:sz="0" w:space="0" w:color="auto"/>
      </w:divBdr>
    </w:div>
    <w:div w:id="453790944">
      <w:bodyDiv w:val="1"/>
      <w:marLeft w:val="0"/>
      <w:marRight w:val="0"/>
      <w:marTop w:val="0"/>
      <w:marBottom w:val="0"/>
      <w:divBdr>
        <w:top w:val="none" w:sz="0" w:space="0" w:color="auto"/>
        <w:left w:val="none" w:sz="0" w:space="0" w:color="auto"/>
        <w:bottom w:val="none" w:sz="0" w:space="0" w:color="auto"/>
        <w:right w:val="none" w:sz="0" w:space="0" w:color="auto"/>
      </w:divBdr>
    </w:div>
    <w:div w:id="593631155">
      <w:bodyDiv w:val="1"/>
      <w:marLeft w:val="0"/>
      <w:marRight w:val="0"/>
      <w:marTop w:val="0"/>
      <w:marBottom w:val="0"/>
      <w:divBdr>
        <w:top w:val="none" w:sz="0" w:space="0" w:color="auto"/>
        <w:left w:val="none" w:sz="0" w:space="0" w:color="auto"/>
        <w:bottom w:val="none" w:sz="0" w:space="0" w:color="auto"/>
        <w:right w:val="none" w:sz="0" w:space="0" w:color="auto"/>
      </w:divBdr>
    </w:div>
    <w:div w:id="626014000">
      <w:bodyDiv w:val="1"/>
      <w:marLeft w:val="0"/>
      <w:marRight w:val="0"/>
      <w:marTop w:val="0"/>
      <w:marBottom w:val="0"/>
      <w:divBdr>
        <w:top w:val="none" w:sz="0" w:space="0" w:color="auto"/>
        <w:left w:val="none" w:sz="0" w:space="0" w:color="auto"/>
        <w:bottom w:val="none" w:sz="0" w:space="0" w:color="auto"/>
        <w:right w:val="none" w:sz="0" w:space="0" w:color="auto"/>
      </w:divBdr>
    </w:div>
    <w:div w:id="659431177">
      <w:bodyDiv w:val="1"/>
      <w:marLeft w:val="0"/>
      <w:marRight w:val="0"/>
      <w:marTop w:val="0"/>
      <w:marBottom w:val="0"/>
      <w:divBdr>
        <w:top w:val="none" w:sz="0" w:space="0" w:color="auto"/>
        <w:left w:val="none" w:sz="0" w:space="0" w:color="auto"/>
        <w:bottom w:val="none" w:sz="0" w:space="0" w:color="auto"/>
        <w:right w:val="none" w:sz="0" w:space="0" w:color="auto"/>
      </w:divBdr>
    </w:div>
    <w:div w:id="761800827">
      <w:bodyDiv w:val="1"/>
      <w:marLeft w:val="0"/>
      <w:marRight w:val="0"/>
      <w:marTop w:val="0"/>
      <w:marBottom w:val="0"/>
      <w:divBdr>
        <w:top w:val="none" w:sz="0" w:space="0" w:color="auto"/>
        <w:left w:val="none" w:sz="0" w:space="0" w:color="auto"/>
        <w:bottom w:val="none" w:sz="0" w:space="0" w:color="auto"/>
        <w:right w:val="none" w:sz="0" w:space="0" w:color="auto"/>
      </w:divBdr>
    </w:div>
    <w:div w:id="790439445">
      <w:bodyDiv w:val="1"/>
      <w:marLeft w:val="0"/>
      <w:marRight w:val="0"/>
      <w:marTop w:val="0"/>
      <w:marBottom w:val="0"/>
      <w:divBdr>
        <w:top w:val="none" w:sz="0" w:space="0" w:color="auto"/>
        <w:left w:val="none" w:sz="0" w:space="0" w:color="auto"/>
        <w:bottom w:val="none" w:sz="0" w:space="0" w:color="auto"/>
        <w:right w:val="none" w:sz="0" w:space="0" w:color="auto"/>
      </w:divBdr>
    </w:div>
    <w:div w:id="816412868">
      <w:bodyDiv w:val="1"/>
      <w:marLeft w:val="0"/>
      <w:marRight w:val="0"/>
      <w:marTop w:val="0"/>
      <w:marBottom w:val="0"/>
      <w:divBdr>
        <w:top w:val="none" w:sz="0" w:space="0" w:color="auto"/>
        <w:left w:val="none" w:sz="0" w:space="0" w:color="auto"/>
        <w:bottom w:val="none" w:sz="0" w:space="0" w:color="auto"/>
        <w:right w:val="none" w:sz="0" w:space="0" w:color="auto"/>
      </w:divBdr>
    </w:div>
    <w:div w:id="902183040">
      <w:bodyDiv w:val="1"/>
      <w:marLeft w:val="0"/>
      <w:marRight w:val="0"/>
      <w:marTop w:val="0"/>
      <w:marBottom w:val="0"/>
      <w:divBdr>
        <w:top w:val="none" w:sz="0" w:space="0" w:color="auto"/>
        <w:left w:val="none" w:sz="0" w:space="0" w:color="auto"/>
        <w:bottom w:val="none" w:sz="0" w:space="0" w:color="auto"/>
        <w:right w:val="none" w:sz="0" w:space="0" w:color="auto"/>
      </w:divBdr>
    </w:div>
    <w:div w:id="998075842">
      <w:bodyDiv w:val="1"/>
      <w:marLeft w:val="0"/>
      <w:marRight w:val="0"/>
      <w:marTop w:val="0"/>
      <w:marBottom w:val="0"/>
      <w:divBdr>
        <w:top w:val="none" w:sz="0" w:space="0" w:color="auto"/>
        <w:left w:val="none" w:sz="0" w:space="0" w:color="auto"/>
        <w:bottom w:val="none" w:sz="0" w:space="0" w:color="auto"/>
        <w:right w:val="none" w:sz="0" w:space="0" w:color="auto"/>
      </w:divBdr>
    </w:div>
    <w:div w:id="1002781278">
      <w:bodyDiv w:val="1"/>
      <w:marLeft w:val="0"/>
      <w:marRight w:val="0"/>
      <w:marTop w:val="0"/>
      <w:marBottom w:val="0"/>
      <w:divBdr>
        <w:top w:val="none" w:sz="0" w:space="0" w:color="auto"/>
        <w:left w:val="none" w:sz="0" w:space="0" w:color="auto"/>
        <w:bottom w:val="none" w:sz="0" w:space="0" w:color="auto"/>
        <w:right w:val="none" w:sz="0" w:space="0" w:color="auto"/>
      </w:divBdr>
    </w:div>
    <w:div w:id="1007027173">
      <w:bodyDiv w:val="1"/>
      <w:marLeft w:val="0"/>
      <w:marRight w:val="0"/>
      <w:marTop w:val="0"/>
      <w:marBottom w:val="0"/>
      <w:divBdr>
        <w:top w:val="none" w:sz="0" w:space="0" w:color="auto"/>
        <w:left w:val="none" w:sz="0" w:space="0" w:color="auto"/>
        <w:bottom w:val="none" w:sz="0" w:space="0" w:color="auto"/>
        <w:right w:val="none" w:sz="0" w:space="0" w:color="auto"/>
      </w:divBdr>
    </w:div>
    <w:div w:id="1017468732">
      <w:bodyDiv w:val="1"/>
      <w:marLeft w:val="0"/>
      <w:marRight w:val="0"/>
      <w:marTop w:val="0"/>
      <w:marBottom w:val="0"/>
      <w:divBdr>
        <w:top w:val="none" w:sz="0" w:space="0" w:color="auto"/>
        <w:left w:val="none" w:sz="0" w:space="0" w:color="auto"/>
        <w:bottom w:val="none" w:sz="0" w:space="0" w:color="auto"/>
        <w:right w:val="none" w:sz="0" w:space="0" w:color="auto"/>
      </w:divBdr>
    </w:div>
    <w:div w:id="1055667373">
      <w:bodyDiv w:val="1"/>
      <w:marLeft w:val="0"/>
      <w:marRight w:val="0"/>
      <w:marTop w:val="0"/>
      <w:marBottom w:val="0"/>
      <w:divBdr>
        <w:top w:val="none" w:sz="0" w:space="0" w:color="auto"/>
        <w:left w:val="none" w:sz="0" w:space="0" w:color="auto"/>
        <w:bottom w:val="none" w:sz="0" w:space="0" w:color="auto"/>
        <w:right w:val="none" w:sz="0" w:space="0" w:color="auto"/>
      </w:divBdr>
    </w:div>
    <w:div w:id="1172794881">
      <w:bodyDiv w:val="1"/>
      <w:marLeft w:val="0"/>
      <w:marRight w:val="0"/>
      <w:marTop w:val="0"/>
      <w:marBottom w:val="0"/>
      <w:divBdr>
        <w:top w:val="none" w:sz="0" w:space="0" w:color="auto"/>
        <w:left w:val="none" w:sz="0" w:space="0" w:color="auto"/>
        <w:bottom w:val="none" w:sz="0" w:space="0" w:color="auto"/>
        <w:right w:val="none" w:sz="0" w:space="0" w:color="auto"/>
      </w:divBdr>
      <w:divsChild>
        <w:div w:id="1611014222">
          <w:marLeft w:val="0"/>
          <w:marRight w:val="0"/>
          <w:marTop w:val="0"/>
          <w:marBottom w:val="0"/>
          <w:divBdr>
            <w:top w:val="none" w:sz="0" w:space="0" w:color="auto"/>
            <w:left w:val="none" w:sz="0" w:space="0" w:color="auto"/>
            <w:bottom w:val="none" w:sz="0" w:space="0" w:color="auto"/>
            <w:right w:val="none" w:sz="0" w:space="0" w:color="auto"/>
          </w:divBdr>
        </w:div>
        <w:div w:id="1793983833">
          <w:marLeft w:val="0"/>
          <w:marRight w:val="0"/>
          <w:marTop w:val="0"/>
          <w:marBottom w:val="0"/>
          <w:divBdr>
            <w:top w:val="none" w:sz="0" w:space="0" w:color="auto"/>
            <w:left w:val="none" w:sz="0" w:space="0" w:color="auto"/>
            <w:bottom w:val="none" w:sz="0" w:space="0" w:color="auto"/>
            <w:right w:val="none" w:sz="0" w:space="0" w:color="auto"/>
          </w:divBdr>
        </w:div>
        <w:div w:id="806245953">
          <w:marLeft w:val="0"/>
          <w:marRight w:val="0"/>
          <w:marTop w:val="0"/>
          <w:marBottom w:val="0"/>
          <w:divBdr>
            <w:top w:val="none" w:sz="0" w:space="0" w:color="auto"/>
            <w:left w:val="none" w:sz="0" w:space="0" w:color="auto"/>
            <w:bottom w:val="none" w:sz="0" w:space="0" w:color="auto"/>
            <w:right w:val="none" w:sz="0" w:space="0" w:color="auto"/>
          </w:divBdr>
        </w:div>
        <w:div w:id="526989778">
          <w:marLeft w:val="0"/>
          <w:marRight w:val="0"/>
          <w:marTop w:val="0"/>
          <w:marBottom w:val="0"/>
          <w:divBdr>
            <w:top w:val="none" w:sz="0" w:space="0" w:color="auto"/>
            <w:left w:val="none" w:sz="0" w:space="0" w:color="auto"/>
            <w:bottom w:val="none" w:sz="0" w:space="0" w:color="auto"/>
            <w:right w:val="none" w:sz="0" w:space="0" w:color="auto"/>
          </w:divBdr>
        </w:div>
      </w:divsChild>
    </w:div>
    <w:div w:id="1240137861">
      <w:bodyDiv w:val="1"/>
      <w:marLeft w:val="0"/>
      <w:marRight w:val="0"/>
      <w:marTop w:val="0"/>
      <w:marBottom w:val="0"/>
      <w:divBdr>
        <w:top w:val="none" w:sz="0" w:space="0" w:color="auto"/>
        <w:left w:val="none" w:sz="0" w:space="0" w:color="auto"/>
        <w:bottom w:val="none" w:sz="0" w:space="0" w:color="auto"/>
        <w:right w:val="none" w:sz="0" w:space="0" w:color="auto"/>
      </w:divBdr>
      <w:divsChild>
        <w:div w:id="1585185547">
          <w:marLeft w:val="0"/>
          <w:marRight w:val="0"/>
          <w:marTop w:val="0"/>
          <w:marBottom w:val="0"/>
          <w:divBdr>
            <w:top w:val="none" w:sz="0" w:space="0" w:color="auto"/>
            <w:left w:val="none" w:sz="0" w:space="0" w:color="auto"/>
            <w:bottom w:val="none" w:sz="0" w:space="0" w:color="auto"/>
            <w:right w:val="none" w:sz="0" w:space="0" w:color="auto"/>
          </w:divBdr>
          <w:divsChild>
            <w:div w:id="2088572715">
              <w:marLeft w:val="0"/>
              <w:marRight w:val="0"/>
              <w:marTop w:val="0"/>
              <w:marBottom w:val="0"/>
              <w:divBdr>
                <w:top w:val="single" w:sz="6" w:space="0" w:color="CCCCCC"/>
                <w:left w:val="single" w:sz="6" w:space="0" w:color="CCCCCC"/>
                <w:bottom w:val="single" w:sz="6" w:space="0" w:color="CCCCCC"/>
                <w:right w:val="single" w:sz="6" w:space="0" w:color="CCCCCC"/>
              </w:divBdr>
              <w:divsChild>
                <w:div w:id="1099329160">
                  <w:marLeft w:val="0"/>
                  <w:marRight w:val="0"/>
                  <w:marTop w:val="0"/>
                  <w:marBottom w:val="0"/>
                  <w:divBdr>
                    <w:top w:val="none" w:sz="0" w:space="0" w:color="auto"/>
                    <w:left w:val="none" w:sz="0" w:space="0" w:color="auto"/>
                    <w:bottom w:val="none" w:sz="0" w:space="0" w:color="auto"/>
                    <w:right w:val="none" w:sz="0" w:space="0" w:color="auto"/>
                  </w:divBdr>
                  <w:divsChild>
                    <w:div w:id="1194071810">
                      <w:marLeft w:val="0"/>
                      <w:marRight w:val="0"/>
                      <w:marTop w:val="0"/>
                      <w:marBottom w:val="0"/>
                      <w:divBdr>
                        <w:top w:val="none" w:sz="0" w:space="0" w:color="auto"/>
                        <w:left w:val="none" w:sz="0" w:space="0" w:color="auto"/>
                        <w:bottom w:val="none" w:sz="0" w:space="0" w:color="auto"/>
                        <w:right w:val="none" w:sz="0" w:space="0" w:color="auto"/>
                      </w:divBdr>
                      <w:divsChild>
                        <w:div w:id="1103498750">
                          <w:marLeft w:val="120"/>
                          <w:marRight w:val="120"/>
                          <w:marTop w:val="60"/>
                          <w:marBottom w:val="60"/>
                          <w:divBdr>
                            <w:top w:val="none" w:sz="0" w:space="0" w:color="auto"/>
                            <w:left w:val="none" w:sz="0" w:space="0" w:color="auto"/>
                            <w:bottom w:val="none" w:sz="0" w:space="0" w:color="auto"/>
                            <w:right w:val="none" w:sz="0" w:space="0" w:color="auto"/>
                          </w:divBdr>
                          <w:divsChild>
                            <w:div w:id="367722524">
                              <w:marLeft w:val="0"/>
                              <w:marRight w:val="0"/>
                              <w:marTop w:val="0"/>
                              <w:marBottom w:val="0"/>
                              <w:divBdr>
                                <w:top w:val="none" w:sz="0" w:space="0" w:color="auto"/>
                                <w:left w:val="none" w:sz="0" w:space="0" w:color="auto"/>
                                <w:bottom w:val="none" w:sz="0" w:space="0" w:color="auto"/>
                                <w:right w:val="none" w:sz="0" w:space="0" w:color="auto"/>
                              </w:divBdr>
                              <w:divsChild>
                                <w:div w:id="622005663">
                                  <w:marLeft w:val="0"/>
                                  <w:marRight w:val="0"/>
                                  <w:marTop w:val="0"/>
                                  <w:marBottom w:val="0"/>
                                  <w:divBdr>
                                    <w:top w:val="none" w:sz="0" w:space="0" w:color="auto"/>
                                    <w:left w:val="none" w:sz="0" w:space="0" w:color="auto"/>
                                    <w:bottom w:val="none" w:sz="0" w:space="0" w:color="auto"/>
                                    <w:right w:val="none" w:sz="0" w:space="0" w:color="auto"/>
                                  </w:divBdr>
                                  <w:divsChild>
                                    <w:div w:id="859204787">
                                      <w:marLeft w:val="0"/>
                                      <w:marRight w:val="0"/>
                                      <w:marTop w:val="0"/>
                                      <w:marBottom w:val="0"/>
                                      <w:divBdr>
                                        <w:top w:val="none" w:sz="0" w:space="0" w:color="auto"/>
                                        <w:left w:val="none" w:sz="0" w:space="0" w:color="auto"/>
                                        <w:bottom w:val="none" w:sz="0" w:space="0" w:color="auto"/>
                                        <w:right w:val="none" w:sz="0" w:space="0" w:color="auto"/>
                                      </w:divBdr>
                                      <w:divsChild>
                                        <w:div w:id="11076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1574359">
      <w:bodyDiv w:val="1"/>
      <w:marLeft w:val="0"/>
      <w:marRight w:val="0"/>
      <w:marTop w:val="0"/>
      <w:marBottom w:val="0"/>
      <w:divBdr>
        <w:top w:val="none" w:sz="0" w:space="0" w:color="auto"/>
        <w:left w:val="none" w:sz="0" w:space="0" w:color="auto"/>
        <w:bottom w:val="none" w:sz="0" w:space="0" w:color="auto"/>
        <w:right w:val="none" w:sz="0" w:space="0" w:color="auto"/>
      </w:divBdr>
    </w:div>
    <w:div w:id="1357653825">
      <w:bodyDiv w:val="1"/>
      <w:marLeft w:val="0"/>
      <w:marRight w:val="0"/>
      <w:marTop w:val="0"/>
      <w:marBottom w:val="0"/>
      <w:divBdr>
        <w:top w:val="none" w:sz="0" w:space="0" w:color="auto"/>
        <w:left w:val="none" w:sz="0" w:space="0" w:color="auto"/>
        <w:bottom w:val="none" w:sz="0" w:space="0" w:color="auto"/>
        <w:right w:val="none" w:sz="0" w:space="0" w:color="auto"/>
      </w:divBdr>
    </w:div>
    <w:div w:id="1495100330">
      <w:bodyDiv w:val="1"/>
      <w:marLeft w:val="0"/>
      <w:marRight w:val="0"/>
      <w:marTop w:val="0"/>
      <w:marBottom w:val="0"/>
      <w:divBdr>
        <w:top w:val="none" w:sz="0" w:space="0" w:color="auto"/>
        <w:left w:val="none" w:sz="0" w:space="0" w:color="auto"/>
        <w:bottom w:val="none" w:sz="0" w:space="0" w:color="auto"/>
        <w:right w:val="none" w:sz="0" w:space="0" w:color="auto"/>
      </w:divBdr>
    </w:div>
    <w:div w:id="1553468312">
      <w:bodyDiv w:val="1"/>
      <w:marLeft w:val="0"/>
      <w:marRight w:val="0"/>
      <w:marTop w:val="0"/>
      <w:marBottom w:val="0"/>
      <w:divBdr>
        <w:top w:val="none" w:sz="0" w:space="0" w:color="auto"/>
        <w:left w:val="none" w:sz="0" w:space="0" w:color="auto"/>
        <w:bottom w:val="none" w:sz="0" w:space="0" w:color="auto"/>
        <w:right w:val="none" w:sz="0" w:space="0" w:color="auto"/>
      </w:divBdr>
    </w:div>
    <w:div w:id="1646351925">
      <w:bodyDiv w:val="1"/>
      <w:marLeft w:val="0"/>
      <w:marRight w:val="0"/>
      <w:marTop w:val="0"/>
      <w:marBottom w:val="0"/>
      <w:divBdr>
        <w:top w:val="none" w:sz="0" w:space="0" w:color="auto"/>
        <w:left w:val="none" w:sz="0" w:space="0" w:color="auto"/>
        <w:bottom w:val="none" w:sz="0" w:space="0" w:color="auto"/>
        <w:right w:val="none" w:sz="0" w:space="0" w:color="auto"/>
      </w:divBdr>
    </w:div>
    <w:div w:id="1725761932">
      <w:bodyDiv w:val="1"/>
      <w:marLeft w:val="0"/>
      <w:marRight w:val="0"/>
      <w:marTop w:val="0"/>
      <w:marBottom w:val="0"/>
      <w:divBdr>
        <w:top w:val="none" w:sz="0" w:space="0" w:color="auto"/>
        <w:left w:val="none" w:sz="0" w:space="0" w:color="auto"/>
        <w:bottom w:val="none" w:sz="0" w:space="0" w:color="auto"/>
        <w:right w:val="none" w:sz="0" w:space="0" w:color="auto"/>
      </w:divBdr>
    </w:div>
    <w:div w:id="1781098610">
      <w:bodyDiv w:val="1"/>
      <w:marLeft w:val="0"/>
      <w:marRight w:val="0"/>
      <w:marTop w:val="0"/>
      <w:marBottom w:val="0"/>
      <w:divBdr>
        <w:top w:val="none" w:sz="0" w:space="0" w:color="auto"/>
        <w:left w:val="none" w:sz="0" w:space="0" w:color="auto"/>
        <w:bottom w:val="none" w:sz="0" w:space="0" w:color="auto"/>
        <w:right w:val="none" w:sz="0" w:space="0" w:color="auto"/>
      </w:divBdr>
      <w:divsChild>
        <w:div w:id="604386590">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003743">
      <w:bodyDiv w:val="1"/>
      <w:marLeft w:val="0"/>
      <w:marRight w:val="0"/>
      <w:marTop w:val="0"/>
      <w:marBottom w:val="0"/>
      <w:divBdr>
        <w:top w:val="none" w:sz="0" w:space="0" w:color="auto"/>
        <w:left w:val="none" w:sz="0" w:space="0" w:color="auto"/>
        <w:bottom w:val="none" w:sz="0" w:space="0" w:color="auto"/>
        <w:right w:val="none" w:sz="0" w:space="0" w:color="auto"/>
      </w:divBdr>
      <w:divsChild>
        <w:div w:id="767655073">
          <w:marLeft w:val="0"/>
          <w:marRight w:val="0"/>
          <w:marTop w:val="0"/>
          <w:marBottom w:val="0"/>
          <w:divBdr>
            <w:top w:val="none" w:sz="0" w:space="0" w:color="auto"/>
            <w:left w:val="none" w:sz="0" w:space="0" w:color="auto"/>
            <w:bottom w:val="none" w:sz="0" w:space="0" w:color="auto"/>
            <w:right w:val="none" w:sz="0" w:space="0" w:color="auto"/>
          </w:divBdr>
        </w:div>
        <w:div w:id="1626814703">
          <w:marLeft w:val="0"/>
          <w:marRight w:val="0"/>
          <w:marTop w:val="0"/>
          <w:marBottom w:val="0"/>
          <w:divBdr>
            <w:top w:val="none" w:sz="0" w:space="0" w:color="auto"/>
            <w:left w:val="none" w:sz="0" w:space="0" w:color="auto"/>
            <w:bottom w:val="none" w:sz="0" w:space="0" w:color="auto"/>
            <w:right w:val="none" w:sz="0" w:space="0" w:color="auto"/>
          </w:divBdr>
        </w:div>
        <w:div w:id="1134443401">
          <w:marLeft w:val="0"/>
          <w:marRight w:val="0"/>
          <w:marTop w:val="0"/>
          <w:marBottom w:val="0"/>
          <w:divBdr>
            <w:top w:val="none" w:sz="0" w:space="0" w:color="auto"/>
            <w:left w:val="none" w:sz="0" w:space="0" w:color="auto"/>
            <w:bottom w:val="none" w:sz="0" w:space="0" w:color="auto"/>
            <w:right w:val="none" w:sz="0" w:space="0" w:color="auto"/>
          </w:divBdr>
        </w:div>
        <w:div w:id="228153966">
          <w:marLeft w:val="0"/>
          <w:marRight w:val="0"/>
          <w:marTop w:val="0"/>
          <w:marBottom w:val="0"/>
          <w:divBdr>
            <w:top w:val="none" w:sz="0" w:space="0" w:color="auto"/>
            <w:left w:val="none" w:sz="0" w:space="0" w:color="auto"/>
            <w:bottom w:val="none" w:sz="0" w:space="0" w:color="auto"/>
            <w:right w:val="none" w:sz="0" w:space="0" w:color="auto"/>
          </w:divBdr>
        </w:div>
        <w:div w:id="1658072371">
          <w:marLeft w:val="0"/>
          <w:marRight w:val="0"/>
          <w:marTop w:val="0"/>
          <w:marBottom w:val="0"/>
          <w:divBdr>
            <w:top w:val="none" w:sz="0" w:space="0" w:color="auto"/>
            <w:left w:val="none" w:sz="0" w:space="0" w:color="auto"/>
            <w:bottom w:val="none" w:sz="0" w:space="0" w:color="auto"/>
            <w:right w:val="none" w:sz="0" w:space="0" w:color="auto"/>
          </w:divBdr>
        </w:div>
        <w:div w:id="627473343">
          <w:marLeft w:val="0"/>
          <w:marRight w:val="0"/>
          <w:marTop w:val="0"/>
          <w:marBottom w:val="0"/>
          <w:divBdr>
            <w:top w:val="none" w:sz="0" w:space="0" w:color="auto"/>
            <w:left w:val="none" w:sz="0" w:space="0" w:color="auto"/>
            <w:bottom w:val="none" w:sz="0" w:space="0" w:color="auto"/>
            <w:right w:val="none" w:sz="0" w:space="0" w:color="auto"/>
          </w:divBdr>
        </w:div>
      </w:divsChild>
    </w:div>
    <w:div w:id="1879509757">
      <w:bodyDiv w:val="1"/>
      <w:marLeft w:val="0"/>
      <w:marRight w:val="0"/>
      <w:marTop w:val="0"/>
      <w:marBottom w:val="0"/>
      <w:divBdr>
        <w:top w:val="none" w:sz="0" w:space="0" w:color="auto"/>
        <w:left w:val="none" w:sz="0" w:space="0" w:color="auto"/>
        <w:bottom w:val="none" w:sz="0" w:space="0" w:color="auto"/>
        <w:right w:val="none" w:sz="0" w:space="0" w:color="auto"/>
      </w:divBdr>
    </w:div>
    <w:div w:id="1905022973">
      <w:bodyDiv w:val="1"/>
      <w:marLeft w:val="0"/>
      <w:marRight w:val="0"/>
      <w:marTop w:val="0"/>
      <w:marBottom w:val="0"/>
      <w:divBdr>
        <w:top w:val="none" w:sz="0" w:space="0" w:color="auto"/>
        <w:left w:val="none" w:sz="0" w:space="0" w:color="auto"/>
        <w:bottom w:val="none" w:sz="0" w:space="0" w:color="auto"/>
        <w:right w:val="none" w:sz="0" w:space="0" w:color="auto"/>
      </w:divBdr>
    </w:div>
    <w:div w:id="1985960237">
      <w:bodyDiv w:val="1"/>
      <w:marLeft w:val="0"/>
      <w:marRight w:val="0"/>
      <w:marTop w:val="0"/>
      <w:marBottom w:val="0"/>
      <w:divBdr>
        <w:top w:val="none" w:sz="0" w:space="0" w:color="auto"/>
        <w:left w:val="none" w:sz="0" w:space="0" w:color="auto"/>
        <w:bottom w:val="none" w:sz="0" w:space="0" w:color="auto"/>
        <w:right w:val="none" w:sz="0" w:space="0" w:color="auto"/>
      </w:divBdr>
    </w:div>
    <w:div w:id="1995447080">
      <w:bodyDiv w:val="1"/>
      <w:marLeft w:val="0"/>
      <w:marRight w:val="0"/>
      <w:marTop w:val="0"/>
      <w:marBottom w:val="0"/>
      <w:divBdr>
        <w:top w:val="none" w:sz="0" w:space="0" w:color="auto"/>
        <w:left w:val="none" w:sz="0" w:space="0" w:color="auto"/>
        <w:bottom w:val="none" w:sz="0" w:space="0" w:color="auto"/>
        <w:right w:val="none" w:sz="0" w:space="0" w:color="auto"/>
      </w:divBdr>
    </w:div>
    <w:div w:id="2075160282">
      <w:bodyDiv w:val="1"/>
      <w:marLeft w:val="0"/>
      <w:marRight w:val="0"/>
      <w:marTop w:val="0"/>
      <w:marBottom w:val="0"/>
      <w:divBdr>
        <w:top w:val="none" w:sz="0" w:space="0" w:color="auto"/>
        <w:left w:val="none" w:sz="0" w:space="0" w:color="auto"/>
        <w:bottom w:val="none" w:sz="0" w:space="0" w:color="auto"/>
        <w:right w:val="none" w:sz="0" w:space="0" w:color="auto"/>
      </w:divBdr>
    </w:div>
    <w:div w:id="2103142300">
      <w:bodyDiv w:val="1"/>
      <w:marLeft w:val="0"/>
      <w:marRight w:val="0"/>
      <w:marTop w:val="0"/>
      <w:marBottom w:val="0"/>
      <w:divBdr>
        <w:top w:val="none" w:sz="0" w:space="0" w:color="auto"/>
        <w:left w:val="none" w:sz="0" w:space="0" w:color="auto"/>
        <w:bottom w:val="none" w:sz="0" w:space="0" w:color="auto"/>
        <w:right w:val="none" w:sz="0" w:space="0" w:color="auto"/>
      </w:divBdr>
    </w:div>
    <w:div w:id="2106148263">
      <w:bodyDiv w:val="1"/>
      <w:marLeft w:val="0"/>
      <w:marRight w:val="0"/>
      <w:marTop w:val="0"/>
      <w:marBottom w:val="0"/>
      <w:divBdr>
        <w:top w:val="none" w:sz="0" w:space="0" w:color="auto"/>
        <w:left w:val="none" w:sz="0" w:space="0" w:color="auto"/>
        <w:bottom w:val="none" w:sz="0" w:space="0" w:color="auto"/>
        <w:right w:val="none" w:sz="0" w:space="0" w:color="auto"/>
      </w:divBdr>
    </w:div>
    <w:div w:id="2137991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3" Type="http://schemas.openxmlformats.org/officeDocument/2006/relationships/hyperlink" Target="http://hrlibrary.umn.edu/hrcommittee/spanish/488-1992.html" TargetMode="External"/><Relationship Id="rId18" Type="http://schemas.openxmlformats.org/officeDocument/2006/relationships/hyperlink" Target="https://www.ohchr.org/EN/HRBodies/HRC/RegularSessions/Session29/Documents/A_HRC_29_23_sp.doc" TargetMode="External"/><Relationship Id="rId26" Type="http://schemas.openxmlformats.org/officeDocument/2006/relationships/hyperlink" Target="https://www.oas.org/es/cidh/docs/pdfs/Jamaica2012esp.pdf" TargetMode="External"/><Relationship Id="rId3" Type="http://schemas.openxmlformats.org/officeDocument/2006/relationships/hyperlink" Target="https://www.oas.org/es/cidh/docs/pdfs/Jamaica2012esp.pdf" TargetMode="External"/><Relationship Id="rId21" Type="http://schemas.openxmlformats.org/officeDocument/2006/relationships/hyperlink" Target="https://www.refworld.org.es/docid/56c4358d4.html" TargetMode="External"/><Relationship Id="rId7" Type="http://schemas.openxmlformats.org/officeDocument/2006/relationships/hyperlink" Target="https://www.loc.gov/law/foreign-news/article/jamaica-challenge-to-law-on-homosexuality/" TargetMode="External"/><Relationship Id="rId12" Type="http://schemas.openxmlformats.org/officeDocument/2006/relationships/hyperlink" Target="https://www.refworld.org.es/docid/59022d324.html" TargetMode="External"/><Relationship Id="rId17" Type="http://schemas.openxmlformats.org/officeDocument/2006/relationships/hyperlink" Target="https://www.ohchr.org/Documents/Issues/Discrimination/A.HRC.19.41_spanish.pdf" TargetMode="External"/><Relationship Id="rId25" Type="http://schemas.openxmlformats.org/officeDocument/2006/relationships/hyperlink" Target="https://www.aclu.org/other/why-sodomy-laws-matter" TargetMode="External"/><Relationship Id="rId33" Type="http://schemas.openxmlformats.org/officeDocument/2006/relationships/hyperlink" Target="http://www.corteidh.or.cr/docs/casos/articulos/seriec_169_esp.pdf" TargetMode="External"/><Relationship Id="rId2" Type="http://schemas.openxmlformats.org/officeDocument/2006/relationships/hyperlink" Target="http://www.oas.org/es/cidh/informes/pdfs/LGBTI-ReconocimientoDerechos2019.pdf" TargetMode="External"/><Relationship Id="rId16" Type="http://schemas.openxmlformats.org/officeDocument/2006/relationships/hyperlink" Target="https://www.ohchr.org/EN/NewsEvents/Pages/DisplayNews.aspx?NewsID=24688&amp;LangID=E" TargetMode="External"/><Relationship Id="rId20" Type="http://schemas.openxmlformats.org/officeDocument/2006/relationships/hyperlink" Target="https://www.ohchr.org/Documents/Publications/LivingFreeAndEqual_SP.pdf" TargetMode="External"/><Relationship Id="rId29" Type="http://schemas.openxmlformats.org/officeDocument/2006/relationships/hyperlink" Target="http://www.oas.org/es/cidh/informes/pdfs/ViolenciaPersonasLGBTI.pdf" TargetMode="External"/><Relationship Id="rId1" Type="http://schemas.openxmlformats.org/officeDocument/2006/relationships/hyperlink" Target="https://www.constituteproject.org/constitution/Jamaica_2011.pdf" TargetMode="External"/><Relationship Id="rId6" Type="http://schemas.openxmlformats.org/officeDocument/2006/relationships/hyperlink" Target="http://www.oas.org/es/cidh/prensa/Comunicados/2018/110.asp" TargetMode="External"/><Relationship Id="rId11" Type="http://schemas.openxmlformats.org/officeDocument/2006/relationships/hyperlink" Target="https://www.acnur.org/fileadmin/Documentos/BDL/2016/10496.pdf" TargetMode="External"/><Relationship Id="rId24" Type="http://schemas.openxmlformats.org/officeDocument/2006/relationships/hyperlink" Target="file:///C:\Users\Stella%20Covre\Documents\My%20Documents\Work\OAS\CASE%20OF%20NORRIS%20v.%20IRELAND%20-%20%5bSpanish%20Translation%5d%20summary%20by%20the%20Spanish%20Cortes%20Generales.pdf" TargetMode="External"/><Relationship Id="rId32" Type="http://schemas.openxmlformats.org/officeDocument/2006/relationships/hyperlink" Target="https://www.refworld.org.es/docid/59022d324.html" TargetMode="External"/><Relationship Id="rId5" Type="http://schemas.openxmlformats.org/officeDocument/2006/relationships/hyperlink" Target="http://www.oas.org/es/cidh/informes/pdfs/ViolenciaPersonasLGBTI.pdf" TargetMode="External"/><Relationship Id="rId15" Type="http://schemas.openxmlformats.org/officeDocument/2006/relationships/hyperlink" Target="https://www.ohchr.org/EN/NewsEvents/Pages/DisplayNews.aspx?NewsID=24688&amp;LangID=E" TargetMode="External"/><Relationship Id="rId23" Type="http://schemas.openxmlformats.org/officeDocument/2006/relationships/hyperlink" Target="https://hudoc.echr.coe.int/eng" TargetMode="External"/><Relationship Id="rId28" Type="http://schemas.openxmlformats.org/officeDocument/2006/relationships/hyperlink" Target="https://www.oas.org/es/cidh/docs/pdfs/Jamaica2012esp.pdf" TargetMode="External"/><Relationship Id="rId10" Type="http://schemas.openxmlformats.org/officeDocument/2006/relationships/hyperlink" Target="https://www.oas.org/es/cidh/prensa/Comunicados/2016/119.asp" TargetMode="External"/><Relationship Id="rId19" Type="http://schemas.openxmlformats.org/officeDocument/2006/relationships/hyperlink" Target="https://undocs.org/pdf?symbol=es/A/HRC/28/66" TargetMode="External"/><Relationship Id="rId31" Type="http://schemas.openxmlformats.org/officeDocument/2006/relationships/hyperlink" Target="http://www.cidh.oas.org/demandas/12.502SP.pdf" TargetMode="External"/><Relationship Id="rId4" Type="http://schemas.openxmlformats.org/officeDocument/2006/relationships/hyperlink" Target="http://www.oas.org/es/cidh/prensa/Comunicados/2014/131A.asp" TargetMode="External"/><Relationship Id="rId9" Type="http://schemas.openxmlformats.org/officeDocument/2006/relationships/hyperlink" Target="http://www.oas.org/es/cidh/informes/pdfs/ViolenciaPersonasLGBTI.pdf" TargetMode="External"/><Relationship Id="rId14" Type="http://schemas.openxmlformats.org/officeDocument/2006/relationships/hyperlink" Target="http://docstore.ohchr.org/SelfServices/FilesHandler.ashx?enc=6QkG1d%2FPPRiCAqhKb7yhsrNEHisprpIVrkwdn%2B9ifTMXMzNZX8YAQHwMpF%2BRLteM8eamP2Ed95b3VsWvr2i9PB3BLkZ7x48BbJvZnhwOHACRe3jM%2FzVSGRrNdMKDR8N%2B" TargetMode="External"/><Relationship Id="rId22" Type="http://schemas.openxmlformats.org/officeDocument/2006/relationships/hyperlink" Target="https://www.achpr.org/pressrelease/detail?id=228" TargetMode="External"/><Relationship Id="rId27" Type="http://schemas.openxmlformats.org/officeDocument/2006/relationships/hyperlink" Target="http://www.oas.org/es/cidh/informes/pdfs/ViolenciaPersonasLGBTI.pdf" TargetMode="External"/><Relationship Id="rId30" Type="http://schemas.openxmlformats.org/officeDocument/2006/relationships/hyperlink" Target="http://www.cidh.oas.org/demandas/12.502SP.pdf" TargetMode="External"/><Relationship Id="rId8" Type="http://schemas.openxmlformats.org/officeDocument/2006/relationships/hyperlink" Target="https://www.refworld.org.es/docid/59022d324.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D3337-743D-0944-935B-36376675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13723</Words>
  <Characters>78223</Characters>
  <Application>Microsoft Office Word</Application>
  <DocSecurity>0</DocSecurity>
  <Lines>651</Lines>
  <Paragraphs>183</Paragraphs>
  <ScaleCrop>false</ScaleCrop>
  <Company/>
  <LinksUpToDate>false</LinksUpToDate>
  <CharactersWithSpaces>91763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2021-02-24T15:40:00Z</dcterms:created>
  <dcterms:modified xsi:type="dcterms:W3CDTF">2021-02-24T15:40:00Z</dcterms:modified>
</cp:coreProperties>
</file>