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ED35CB" w:rsidRDefault="00D306D1" w:rsidP="00627C9F">
      <w:pPr>
        <w:jc w:val="both"/>
        <w:rPr>
          <w:rFonts w:asciiTheme="majorHAnsi" w:hAnsiTheme="majorHAnsi" w:cs="Univers"/>
          <w:b/>
          <w:bCs/>
          <w:sz w:val="22"/>
          <w:szCs w:val="22"/>
          <w:lang w:val="es-ES"/>
        </w:rPr>
      </w:pPr>
      <w:r w:rsidRPr="00ED35C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67C63B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ED35C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D35CB">
        <w:rPr>
          <w:rFonts w:asciiTheme="majorHAnsi" w:hAnsiTheme="majorHAnsi" w:cs="Univers"/>
          <w:b/>
          <w:bCs/>
          <w:sz w:val="22"/>
          <w:szCs w:val="22"/>
          <w:lang w:val="es-ES"/>
        </w:rPr>
        <w:t xml:space="preserve"> </w:t>
      </w:r>
    </w:p>
    <w:p w:rsidR="00040C3A" w:rsidRPr="00ED35CB" w:rsidRDefault="00040C3A" w:rsidP="00040C3A">
      <w:pPr>
        <w:tabs>
          <w:tab w:val="center" w:pos="5400"/>
        </w:tabs>
        <w:suppressAutoHyphens/>
        <w:jc w:val="both"/>
        <w:rPr>
          <w:rFonts w:asciiTheme="majorHAnsi" w:hAnsiTheme="majorHAnsi"/>
          <w:sz w:val="22"/>
          <w:szCs w:val="22"/>
          <w:lang w:val="es-ES"/>
        </w:rPr>
      </w:pPr>
    </w:p>
    <w:p w:rsidR="00040C3A" w:rsidRPr="00ED35CB" w:rsidRDefault="00040C3A" w:rsidP="00040C3A">
      <w:pPr>
        <w:tabs>
          <w:tab w:val="center" w:pos="5400"/>
        </w:tabs>
        <w:suppressAutoHyphens/>
        <w:jc w:val="both"/>
        <w:rPr>
          <w:rFonts w:asciiTheme="majorHAnsi" w:hAnsiTheme="majorHAnsi"/>
          <w:sz w:val="22"/>
          <w:szCs w:val="22"/>
          <w:lang w:val="es-ES"/>
        </w:rPr>
      </w:pPr>
    </w:p>
    <w:p w:rsidR="005128E4" w:rsidRPr="00ED35CB" w:rsidRDefault="005128E4" w:rsidP="00040C3A">
      <w:pPr>
        <w:tabs>
          <w:tab w:val="center" w:pos="5400"/>
        </w:tabs>
        <w:suppressAutoHyphens/>
        <w:rPr>
          <w:rFonts w:asciiTheme="majorHAnsi" w:hAnsiTheme="majorHAnsi"/>
          <w:sz w:val="22"/>
          <w:szCs w:val="22"/>
          <w:lang w:val="es-ES"/>
        </w:rPr>
      </w:pPr>
    </w:p>
    <w:p w:rsidR="005128E4" w:rsidRPr="00ED35CB" w:rsidRDefault="005128E4" w:rsidP="00040C3A">
      <w:pPr>
        <w:tabs>
          <w:tab w:val="center" w:pos="5400"/>
        </w:tabs>
        <w:suppressAutoHyphens/>
        <w:rPr>
          <w:rFonts w:asciiTheme="majorHAnsi" w:hAnsiTheme="majorHAnsi"/>
          <w:sz w:val="22"/>
          <w:szCs w:val="22"/>
          <w:lang w:val="es-ES"/>
        </w:rPr>
      </w:pPr>
    </w:p>
    <w:p w:rsidR="005128E4" w:rsidRPr="00ED35CB" w:rsidRDefault="005128E4" w:rsidP="00040C3A">
      <w:pPr>
        <w:tabs>
          <w:tab w:val="center" w:pos="5400"/>
        </w:tabs>
        <w:suppressAutoHyphens/>
        <w:rPr>
          <w:rFonts w:asciiTheme="majorHAnsi" w:hAnsiTheme="majorHAnsi"/>
          <w:sz w:val="22"/>
          <w:szCs w:val="22"/>
          <w:lang w:val="es-ES"/>
        </w:rPr>
      </w:pPr>
    </w:p>
    <w:p w:rsidR="00040C3A" w:rsidRPr="00ED35CB" w:rsidRDefault="00040C3A" w:rsidP="005128E4">
      <w:pPr>
        <w:tabs>
          <w:tab w:val="center" w:pos="5400"/>
        </w:tabs>
        <w:suppressAutoHyphens/>
        <w:jc w:val="center"/>
        <w:rPr>
          <w:rFonts w:asciiTheme="majorHAnsi" w:hAnsiTheme="majorHAnsi"/>
          <w:sz w:val="22"/>
          <w:szCs w:val="22"/>
          <w:lang w:val="es-ES"/>
        </w:rPr>
      </w:pPr>
    </w:p>
    <w:p w:rsidR="00040C3A" w:rsidRPr="00ED35CB" w:rsidRDefault="00040C3A" w:rsidP="005128E4">
      <w:pPr>
        <w:tabs>
          <w:tab w:val="center" w:pos="5400"/>
        </w:tabs>
        <w:suppressAutoHyphens/>
        <w:jc w:val="center"/>
        <w:rPr>
          <w:rFonts w:asciiTheme="majorHAnsi" w:hAnsiTheme="majorHAnsi"/>
          <w:sz w:val="22"/>
          <w:szCs w:val="22"/>
          <w:lang w:val="es-ES"/>
        </w:rPr>
      </w:pPr>
    </w:p>
    <w:p w:rsidR="005B52B0" w:rsidRPr="00ED35CB" w:rsidRDefault="005B52B0" w:rsidP="005128E4">
      <w:pPr>
        <w:tabs>
          <w:tab w:val="center" w:pos="5400"/>
        </w:tabs>
        <w:suppressAutoHyphens/>
        <w:jc w:val="center"/>
        <w:rPr>
          <w:rFonts w:asciiTheme="majorHAnsi" w:hAnsiTheme="majorHAnsi"/>
          <w:sz w:val="22"/>
          <w:szCs w:val="22"/>
          <w:lang w:val="es-ES"/>
        </w:rPr>
      </w:pPr>
    </w:p>
    <w:p w:rsidR="005B52B0" w:rsidRPr="00ED35CB" w:rsidRDefault="005B52B0" w:rsidP="005128E4">
      <w:pPr>
        <w:tabs>
          <w:tab w:val="center" w:pos="5400"/>
        </w:tabs>
        <w:suppressAutoHyphens/>
        <w:jc w:val="center"/>
        <w:rPr>
          <w:rFonts w:asciiTheme="majorHAnsi" w:hAnsiTheme="majorHAnsi"/>
          <w:sz w:val="22"/>
          <w:szCs w:val="22"/>
          <w:lang w:val="es-ES"/>
        </w:rPr>
      </w:pPr>
    </w:p>
    <w:p w:rsidR="005B52B0" w:rsidRPr="00ED35CB" w:rsidRDefault="005B52B0" w:rsidP="005128E4">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3D3BC2" w:rsidP="00040C3A">
      <w:pPr>
        <w:tabs>
          <w:tab w:val="center" w:pos="5400"/>
        </w:tabs>
        <w:suppressAutoHyphens/>
        <w:jc w:val="center"/>
        <w:rPr>
          <w:rFonts w:asciiTheme="majorHAnsi" w:hAnsiTheme="majorHAnsi"/>
          <w:sz w:val="22"/>
          <w:szCs w:val="22"/>
          <w:lang w:val="es-ES"/>
        </w:rPr>
      </w:pPr>
      <w:r w:rsidRPr="00ED35C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375D1">
                              <w:rPr>
                                <w:rFonts w:asciiTheme="majorHAnsi" w:hAnsiTheme="majorHAnsi" w:cs="Arial"/>
                                <w:b/>
                                <w:bCs/>
                                <w:color w:val="0D0D0D" w:themeColor="text1" w:themeTint="F2"/>
                                <w:sz w:val="36"/>
                                <w:szCs w:val="22"/>
                                <w:lang w:val="es-ES_tradnl"/>
                              </w:rPr>
                              <w:t xml:space="preserve"> 157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0BCF">
                              <w:rPr>
                                <w:rFonts w:asciiTheme="majorHAnsi" w:hAnsiTheme="majorHAnsi" w:cs="Arial"/>
                                <w:b/>
                                <w:color w:val="0D0D0D" w:themeColor="text1" w:themeTint="F2"/>
                                <w:sz w:val="36"/>
                                <w:szCs w:val="22"/>
                                <w:lang w:val="es-ES_tradnl"/>
                              </w:rPr>
                              <w:t>1038-13</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81D4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B127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SAAVEDRA SILVA Y OTROS</w:t>
                            </w:r>
                          </w:p>
                          <w:bookmarkEnd w:id="1"/>
                          <w:p w:rsidR="005B52B0" w:rsidRPr="0010736F" w:rsidRDefault="002A0B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375D1">
                        <w:rPr>
                          <w:rFonts w:asciiTheme="majorHAnsi" w:hAnsiTheme="majorHAnsi" w:cs="Arial"/>
                          <w:b/>
                          <w:bCs/>
                          <w:color w:val="0D0D0D" w:themeColor="text1" w:themeTint="F2"/>
                          <w:sz w:val="36"/>
                          <w:szCs w:val="22"/>
                          <w:lang w:val="es-ES_tradnl"/>
                        </w:rPr>
                        <w:t xml:space="preserve"> 157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A0BCF">
                        <w:rPr>
                          <w:rFonts w:asciiTheme="majorHAnsi" w:hAnsiTheme="majorHAnsi" w:cs="Arial"/>
                          <w:b/>
                          <w:color w:val="0D0D0D" w:themeColor="text1" w:themeTint="F2"/>
                          <w:sz w:val="36"/>
                          <w:szCs w:val="22"/>
                          <w:lang w:val="es-ES_tradnl"/>
                        </w:rPr>
                        <w:t>1038-13</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C81D4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B127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SAAVEDRA SILVA Y OTROS</w:t>
                      </w:r>
                    </w:p>
                    <w:bookmarkEnd w:id="1"/>
                    <w:p w:rsidR="005B52B0" w:rsidRPr="0010736F" w:rsidRDefault="002A0B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ED35C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1375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375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167</w:t>
                            </w:r>
                          </w:p>
                          <w:p w:rsidR="00627C9F" w:rsidRPr="00C25ADB" w:rsidRDefault="001375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1375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375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167</w:t>
                      </w:r>
                    </w:p>
                    <w:p w:rsidR="00627C9F" w:rsidRPr="00C25ADB" w:rsidRDefault="001375D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cs="Arial"/>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5128E4" w:rsidRPr="00ED35CB" w:rsidRDefault="005128E4"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5128E4" w:rsidRPr="00ED35CB" w:rsidRDefault="005128E4" w:rsidP="00040C3A">
      <w:pPr>
        <w:tabs>
          <w:tab w:val="center" w:pos="5400"/>
        </w:tabs>
        <w:suppressAutoHyphens/>
        <w:jc w:val="center"/>
        <w:rPr>
          <w:rFonts w:asciiTheme="majorHAnsi" w:hAnsiTheme="majorHAnsi"/>
          <w:sz w:val="22"/>
          <w:szCs w:val="22"/>
          <w:lang w:val="es-ES"/>
        </w:rPr>
      </w:pPr>
    </w:p>
    <w:p w:rsidR="005128E4" w:rsidRPr="00ED35CB" w:rsidRDefault="005128E4" w:rsidP="00040C3A">
      <w:pPr>
        <w:tabs>
          <w:tab w:val="center" w:pos="5400"/>
        </w:tabs>
        <w:suppressAutoHyphens/>
        <w:jc w:val="center"/>
        <w:rPr>
          <w:rFonts w:asciiTheme="majorHAnsi" w:hAnsiTheme="majorHAnsi"/>
          <w:sz w:val="22"/>
          <w:szCs w:val="22"/>
          <w:lang w:val="es-ES"/>
        </w:rPr>
      </w:pPr>
    </w:p>
    <w:p w:rsidR="005128E4" w:rsidRPr="00ED35CB" w:rsidRDefault="005128E4"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040C3A" w:rsidRPr="00ED35CB" w:rsidRDefault="00040C3A" w:rsidP="00040C3A">
      <w:pPr>
        <w:tabs>
          <w:tab w:val="center" w:pos="5400"/>
        </w:tabs>
        <w:suppressAutoHyphens/>
        <w:jc w:val="center"/>
        <w:rPr>
          <w:rFonts w:asciiTheme="majorHAnsi" w:hAnsiTheme="majorHAnsi"/>
          <w:sz w:val="22"/>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90270B" w:rsidP="00040C3A">
      <w:pPr>
        <w:tabs>
          <w:tab w:val="center" w:pos="5400"/>
        </w:tabs>
        <w:suppressAutoHyphens/>
        <w:jc w:val="center"/>
        <w:rPr>
          <w:rFonts w:asciiTheme="majorHAnsi" w:hAnsiTheme="majorHAnsi"/>
          <w:sz w:val="18"/>
          <w:szCs w:val="22"/>
          <w:lang w:val="es-ES"/>
        </w:rPr>
      </w:pPr>
      <w:r w:rsidRPr="00ED35C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375D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375D1">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E5360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375D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375D1">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E5360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A50FCF" w:rsidP="00040C3A">
      <w:pPr>
        <w:tabs>
          <w:tab w:val="center" w:pos="5400"/>
        </w:tabs>
        <w:suppressAutoHyphens/>
        <w:jc w:val="center"/>
        <w:rPr>
          <w:rFonts w:asciiTheme="majorHAnsi" w:hAnsiTheme="majorHAnsi"/>
          <w:sz w:val="18"/>
          <w:szCs w:val="22"/>
          <w:lang w:val="es-ES"/>
        </w:rPr>
      </w:pPr>
    </w:p>
    <w:p w:rsidR="00A50FCF" w:rsidRPr="00ED35CB" w:rsidRDefault="0090270B" w:rsidP="00040C3A">
      <w:pPr>
        <w:tabs>
          <w:tab w:val="center" w:pos="5400"/>
        </w:tabs>
        <w:suppressAutoHyphens/>
        <w:jc w:val="center"/>
        <w:rPr>
          <w:rFonts w:asciiTheme="majorHAnsi" w:hAnsiTheme="majorHAnsi"/>
          <w:sz w:val="18"/>
          <w:szCs w:val="22"/>
          <w:lang w:val="es-ES"/>
        </w:rPr>
      </w:pPr>
      <w:r w:rsidRPr="00ED35C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75D1" w:rsidRPr="001375D1">
                              <w:rPr>
                                <w:rFonts w:asciiTheme="majorHAnsi" w:hAnsiTheme="majorHAnsi"/>
                                <w:color w:val="595959" w:themeColor="text1" w:themeTint="A6"/>
                                <w:sz w:val="18"/>
                                <w:szCs w:val="18"/>
                                <w:lang w:val="pt-BR"/>
                              </w:rPr>
                              <w:t>157</w:t>
                            </w:r>
                            <w:r w:rsidR="007B05C4" w:rsidRPr="001375D1">
                              <w:rPr>
                                <w:rFonts w:asciiTheme="majorHAnsi" w:hAnsiTheme="majorHAnsi"/>
                                <w:color w:val="595959" w:themeColor="text1" w:themeTint="A6"/>
                                <w:sz w:val="18"/>
                                <w:szCs w:val="18"/>
                                <w:lang w:val="pt-BR"/>
                              </w:rPr>
                              <w:t>/</w:t>
                            </w:r>
                            <w:r w:rsidR="001375D1" w:rsidRPr="001375D1">
                              <w:rPr>
                                <w:rFonts w:asciiTheme="majorHAnsi" w:hAnsiTheme="majorHAnsi"/>
                                <w:color w:val="595959" w:themeColor="text1" w:themeTint="A6"/>
                                <w:sz w:val="18"/>
                                <w:szCs w:val="18"/>
                                <w:lang w:val="pt-BR"/>
                              </w:rPr>
                              <w:t>20</w:t>
                            </w:r>
                            <w:r w:rsidRPr="001375D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375D1">
                              <w:rPr>
                                <w:rFonts w:asciiTheme="majorHAnsi" w:hAnsiTheme="majorHAnsi"/>
                                <w:color w:val="595959" w:themeColor="text1" w:themeTint="A6"/>
                                <w:sz w:val="18"/>
                                <w:szCs w:val="18"/>
                                <w:lang w:val="es-ES"/>
                              </w:rPr>
                              <w:t>1038</w:t>
                            </w:r>
                            <w:r w:rsidR="000433C9">
                              <w:rPr>
                                <w:rFonts w:asciiTheme="majorHAnsi" w:hAnsiTheme="majorHAnsi"/>
                                <w:color w:val="595959" w:themeColor="text1" w:themeTint="A6"/>
                                <w:sz w:val="18"/>
                                <w:szCs w:val="18"/>
                                <w:lang w:val="es-ES"/>
                              </w:rPr>
                              <w:t>-</w:t>
                            </w:r>
                            <w:r w:rsidR="001375D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375D1">
                              <w:rPr>
                                <w:rFonts w:asciiTheme="majorHAnsi" w:hAnsiTheme="majorHAnsi"/>
                                <w:color w:val="595959" w:themeColor="text1" w:themeTint="A6"/>
                                <w:sz w:val="18"/>
                                <w:szCs w:val="18"/>
                                <w:lang w:val="es-ES_tradnl"/>
                              </w:rPr>
                              <w:t>Alberto Saavedra Silva y otros</w:t>
                            </w:r>
                            <w:r w:rsidRPr="00890650">
                              <w:rPr>
                                <w:rFonts w:asciiTheme="majorHAnsi" w:hAnsiTheme="majorHAnsi"/>
                                <w:color w:val="595959" w:themeColor="text1" w:themeTint="A6"/>
                                <w:sz w:val="18"/>
                                <w:szCs w:val="18"/>
                                <w:lang w:val="es-ES_tradnl"/>
                              </w:rPr>
                              <w:t xml:space="preserve">. </w:t>
                            </w:r>
                            <w:r w:rsidR="001375D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375D1">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75D1" w:rsidRPr="001375D1">
                        <w:rPr>
                          <w:rFonts w:asciiTheme="majorHAnsi" w:hAnsiTheme="majorHAnsi"/>
                          <w:color w:val="595959" w:themeColor="text1" w:themeTint="A6"/>
                          <w:sz w:val="18"/>
                          <w:szCs w:val="18"/>
                          <w:lang w:val="pt-BR"/>
                        </w:rPr>
                        <w:t>157</w:t>
                      </w:r>
                      <w:r w:rsidR="007B05C4" w:rsidRPr="001375D1">
                        <w:rPr>
                          <w:rFonts w:asciiTheme="majorHAnsi" w:hAnsiTheme="majorHAnsi"/>
                          <w:color w:val="595959" w:themeColor="text1" w:themeTint="A6"/>
                          <w:sz w:val="18"/>
                          <w:szCs w:val="18"/>
                          <w:lang w:val="pt-BR"/>
                        </w:rPr>
                        <w:t>/</w:t>
                      </w:r>
                      <w:r w:rsidR="001375D1" w:rsidRPr="001375D1">
                        <w:rPr>
                          <w:rFonts w:asciiTheme="majorHAnsi" w:hAnsiTheme="majorHAnsi"/>
                          <w:color w:val="595959" w:themeColor="text1" w:themeTint="A6"/>
                          <w:sz w:val="18"/>
                          <w:szCs w:val="18"/>
                          <w:lang w:val="pt-BR"/>
                        </w:rPr>
                        <w:t>20</w:t>
                      </w:r>
                      <w:r w:rsidRPr="001375D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375D1">
                        <w:rPr>
                          <w:rFonts w:asciiTheme="majorHAnsi" w:hAnsiTheme="majorHAnsi"/>
                          <w:color w:val="595959" w:themeColor="text1" w:themeTint="A6"/>
                          <w:sz w:val="18"/>
                          <w:szCs w:val="18"/>
                          <w:lang w:val="es-ES"/>
                        </w:rPr>
                        <w:t>1038</w:t>
                      </w:r>
                      <w:r w:rsidR="000433C9">
                        <w:rPr>
                          <w:rFonts w:asciiTheme="majorHAnsi" w:hAnsiTheme="majorHAnsi"/>
                          <w:color w:val="595959" w:themeColor="text1" w:themeTint="A6"/>
                          <w:sz w:val="18"/>
                          <w:szCs w:val="18"/>
                          <w:lang w:val="es-ES"/>
                        </w:rPr>
                        <w:t>-</w:t>
                      </w:r>
                      <w:r w:rsidR="001375D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375D1">
                        <w:rPr>
                          <w:rFonts w:asciiTheme="majorHAnsi" w:hAnsiTheme="majorHAnsi"/>
                          <w:color w:val="595959" w:themeColor="text1" w:themeTint="A6"/>
                          <w:sz w:val="18"/>
                          <w:szCs w:val="18"/>
                          <w:lang w:val="es-ES_tradnl"/>
                        </w:rPr>
                        <w:t>Alberto Saavedra Silva y otros</w:t>
                      </w:r>
                      <w:r w:rsidRPr="00890650">
                        <w:rPr>
                          <w:rFonts w:asciiTheme="majorHAnsi" w:hAnsiTheme="majorHAnsi"/>
                          <w:color w:val="595959" w:themeColor="text1" w:themeTint="A6"/>
                          <w:sz w:val="18"/>
                          <w:szCs w:val="18"/>
                          <w:lang w:val="es-ES_tradnl"/>
                        </w:rPr>
                        <w:t xml:space="preserve">. </w:t>
                      </w:r>
                      <w:r w:rsidR="001375D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375D1">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D35CB" w:rsidRDefault="00A50FCF" w:rsidP="00040C3A">
      <w:pPr>
        <w:tabs>
          <w:tab w:val="center" w:pos="5400"/>
        </w:tabs>
        <w:suppressAutoHyphens/>
        <w:jc w:val="center"/>
        <w:rPr>
          <w:rFonts w:asciiTheme="majorHAnsi" w:hAnsiTheme="majorHAnsi"/>
          <w:sz w:val="18"/>
          <w:szCs w:val="22"/>
          <w:lang w:val="es-ES"/>
        </w:rPr>
      </w:pPr>
    </w:p>
    <w:p w:rsidR="0090270B" w:rsidRPr="00ED35CB" w:rsidRDefault="00D306D1" w:rsidP="005516A1">
      <w:pPr>
        <w:tabs>
          <w:tab w:val="center" w:pos="5400"/>
        </w:tabs>
        <w:suppressAutoHyphens/>
        <w:jc w:val="center"/>
        <w:rPr>
          <w:rFonts w:asciiTheme="majorHAnsi" w:hAnsiTheme="majorHAnsi"/>
          <w:b/>
          <w:sz w:val="20"/>
          <w:lang w:val="es-ES"/>
        </w:rPr>
      </w:pPr>
      <w:r w:rsidRPr="00ED35C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E53608"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E53608"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35C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D35CB" w:rsidRDefault="004A6A54" w:rsidP="005516A1">
      <w:pPr>
        <w:tabs>
          <w:tab w:val="center" w:pos="5400"/>
        </w:tabs>
        <w:suppressAutoHyphens/>
        <w:jc w:val="center"/>
        <w:rPr>
          <w:rFonts w:asciiTheme="majorHAnsi" w:hAnsiTheme="majorHAnsi"/>
          <w:b/>
          <w:sz w:val="20"/>
          <w:lang w:val="es-ES"/>
        </w:rPr>
        <w:sectPr w:rsidR="0070697F" w:rsidRPr="00ED35CB" w:rsidSect="00640CE0">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0"/>
          <w:cols w:space="720"/>
          <w:titlePg/>
          <w:docGrid w:linePitch="326"/>
        </w:sectPr>
      </w:pPr>
      <w:r w:rsidRPr="00ED35CB">
        <w:rPr>
          <w:rFonts w:asciiTheme="majorHAnsi" w:hAnsiTheme="majorHAnsi"/>
          <w:b/>
          <w:sz w:val="20"/>
          <w:lang w:val="es-ES"/>
        </w:rPr>
        <w:tab/>
      </w:r>
    </w:p>
    <w:p w:rsidR="003239B8" w:rsidRPr="00ED35CB" w:rsidRDefault="003239B8" w:rsidP="004A6A54">
      <w:pPr>
        <w:spacing w:after="240"/>
        <w:ind w:firstLine="720"/>
        <w:jc w:val="both"/>
        <w:rPr>
          <w:rFonts w:asciiTheme="majorHAnsi" w:hAnsiTheme="majorHAnsi"/>
          <w:b/>
          <w:bCs/>
          <w:sz w:val="20"/>
          <w:szCs w:val="20"/>
          <w:lang w:val="es-ES"/>
        </w:rPr>
      </w:pPr>
      <w:r w:rsidRPr="00ED35CB">
        <w:rPr>
          <w:rFonts w:asciiTheme="majorHAnsi" w:hAnsiTheme="majorHAnsi"/>
          <w:b/>
          <w:bCs/>
          <w:sz w:val="20"/>
          <w:szCs w:val="20"/>
          <w:lang w:val="es-ES"/>
        </w:rPr>
        <w:lastRenderedPageBreak/>
        <w:t>I.</w:t>
      </w:r>
      <w:r w:rsidRPr="00ED35C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53608" w:rsidTr="004A6A54">
        <w:tc>
          <w:tcPr>
            <w:tcW w:w="3600" w:type="dxa"/>
            <w:tcBorders>
              <w:top w:val="single" w:sz="4"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Parte peticionaria:</w:t>
            </w:r>
          </w:p>
        </w:tc>
        <w:tc>
          <w:tcPr>
            <w:tcW w:w="5760" w:type="dxa"/>
            <w:vAlign w:val="center"/>
          </w:tcPr>
          <w:p w:rsidR="003239B8" w:rsidRPr="00ED35CB" w:rsidRDefault="00B127F0" w:rsidP="00382F2A">
            <w:pPr>
              <w:jc w:val="both"/>
              <w:rPr>
                <w:rFonts w:ascii="Cambria" w:hAnsi="Cambria"/>
                <w:bCs/>
                <w:sz w:val="20"/>
                <w:szCs w:val="20"/>
                <w:lang w:val="es-ES"/>
              </w:rPr>
            </w:pPr>
            <w:r w:rsidRPr="00ED35CB">
              <w:rPr>
                <w:rFonts w:ascii="Cambria" w:hAnsi="Cambria"/>
                <w:bCs/>
                <w:sz w:val="20"/>
                <w:szCs w:val="20"/>
                <w:lang w:val="es-ES"/>
              </w:rPr>
              <w:t xml:space="preserve">Renata </w:t>
            </w:r>
            <w:proofErr w:type="spellStart"/>
            <w:r w:rsidRPr="00ED35CB">
              <w:rPr>
                <w:rFonts w:ascii="Cambria" w:hAnsi="Cambria"/>
                <w:bCs/>
                <w:sz w:val="20"/>
                <w:szCs w:val="20"/>
                <w:lang w:val="es-ES"/>
              </w:rPr>
              <w:t>Bregaglio</w:t>
            </w:r>
            <w:proofErr w:type="spellEnd"/>
            <w:r w:rsidRPr="00ED35CB">
              <w:rPr>
                <w:rFonts w:ascii="Cambria" w:hAnsi="Cambria"/>
                <w:bCs/>
                <w:sz w:val="20"/>
                <w:szCs w:val="20"/>
                <w:lang w:val="es-ES"/>
              </w:rPr>
              <w:t xml:space="preserve"> Lazarte </w:t>
            </w:r>
            <w:r w:rsidR="00ED35CB" w:rsidRPr="00ED35CB">
              <w:rPr>
                <w:rFonts w:ascii="Cambria" w:hAnsi="Cambria"/>
                <w:bCs/>
                <w:sz w:val="20"/>
                <w:szCs w:val="20"/>
                <w:lang w:val="es-ES"/>
              </w:rPr>
              <w:t>y Javier</w:t>
            </w:r>
            <w:r w:rsidRPr="00ED35CB">
              <w:rPr>
                <w:rFonts w:ascii="Cambria" w:hAnsi="Cambria"/>
                <w:bCs/>
                <w:sz w:val="20"/>
                <w:szCs w:val="20"/>
                <w:lang w:val="es-ES"/>
              </w:rPr>
              <w:t xml:space="preserve"> Mujica </w:t>
            </w:r>
            <w:proofErr w:type="spellStart"/>
            <w:r w:rsidRPr="00ED35CB">
              <w:rPr>
                <w:rFonts w:ascii="Cambria" w:hAnsi="Cambria"/>
                <w:bCs/>
                <w:sz w:val="20"/>
                <w:szCs w:val="20"/>
                <w:lang w:val="es-ES"/>
              </w:rPr>
              <w:t>Petit</w:t>
            </w:r>
            <w:proofErr w:type="spellEnd"/>
          </w:p>
        </w:tc>
      </w:tr>
      <w:tr w:rsidR="003239B8" w:rsidRPr="00E53608" w:rsidTr="004A6A54">
        <w:tc>
          <w:tcPr>
            <w:tcW w:w="3600" w:type="dxa"/>
            <w:tcBorders>
              <w:top w:val="single" w:sz="6" w:space="0" w:color="auto"/>
              <w:bottom w:val="single" w:sz="6" w:space="0" w:color="auto"/>
            </w:tcBorders>
            <w:shd w:val="clear" w:color="auto" w:fill="386294"/>
            <w:vAlign w:val="center"/>
          </w:tcPr>
          <w:p w:rsidR="003239B8" w:rsidRPr="00ED35CB" w:rsidRDefault="00042648" w:rsidP="00382F2A">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50FE6" w:rsidRPr="00ED35CB">
                  <w:rPr>
                    <w:rFonts w:ascii="Cambria" w:hAnsi="Cambria"/>
                    <w:b/>
                    <w:bCs/>
                    <w:color w:val="FFFFFF" w:themeColor="background1"/>
                    <w:sz w:val="20"/>
                    <w:szCs w:val="20"/>
                    <w:lang w:val="es-ES"/>
                  </w:rPr>
                  <w:t>Presunta víctima</w:t>
                </w:r>
              </w:sdtContent>
            </w:sdt>
            <w:r w:rsidR="003239B8" w:rsidRPr="00ED35CB">
              <w:rPr>
                <w:rFonts w:ascii="Cambria" w:hAnsi="Cambria"/>
                <w:b/>
                <w:bCs/>
                <w:color w:val="FFFFFF" w:themeColor="background1"/>
                <w:sz w:val="20"/>
                <w:szCs w:val="20"/>
                <w:lang w:val="es-ES"/>
              </w:rPr>
              <w:t>:</w:t>
            </w:r>
          </w:p>
        </w:tc>
        <w:tc>
          <w:tcPr>
            <w:tcW w:w="5760" w:type="dxa"/>
            <w:vAlign w:val="center"/>
          </w:tcPr>
          <w:p w:rsidR="003239B8" w:rsidRPr="00ED35CB" w:rsidRDefault="00B127F0" w:rsidP="00382F2A">
            <w:pPr>
              <w:jc w:val="both"/>
              <w:rPr>
                <w:rFonts w:ascii="Cambria" w:hAnsi="Cambria"/>
                <w:bCs/>
                <w:sz w:val="20"/>
                <w:szCs w:val="20"/>
                <w:lang w:val="es-ES"/>
              </w:rPr>
            </w:pPr>
            <w:r w:rsidRPr="00ED35CB">
              <w:rPr>
                <w:rFonts w:ascii="Cambria" w:hAnsi="Cambria"/>
                <w:bCs/>
                <w:sz w:val="20"/>
                <w:szCs w:val="20"/>
                <w:lang w:val="es-ES"/>
              </w:rPr>
              <w:t>Alberto Saavedra Silva y otros</w:t>
            </w:r>
            <w:r w:rsidRPr="00ED35CB">
              <w:rPr>
                <w:rStyle w:val="FootnoteReference"/>
                <w:rFonts w:ascii="Cambria" w:hAnsi="Cambria"/>
                <w:bCs/>
                <w:sz w:val="20"/>
                <w:szCs w:val="20"/>
                <w:lang w:val="es-ES"/>
              </w:rPr>
              <w:footnoteReference w:id="2"/>
            </w:r>
          </w:p>
        </w:tc>
      </w:tr>
      <w:tr w:rsidR="003239B8" w:rsidRPr="00ED35CB" w:rsidTr="004A6A54">
        <w:tc>
          <w:tcPr>
            <w:tcW w:w="3600"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Estado denunciado:</w:t>
            </w:r>
          </w:p>
        </w:tc>
        <w:tc>
          <w:tcPr>
            <w:tcW w:w="5760" w:type="dxa"/>
            <w:vAlign w:val="center"/>
          </w:tcPr>
          <w:p w:rsidR="003239B8" w:rsidRPr="00ED35CB" w:rsidRDefault="003B7ADF" w:rsidP="00382F2A">
            <w:pPr>
              <w:jc w:val="both"/>
              <w:rPr>
                <w:rFonts w:ascii="Cambria" w:hAnsi="Cambria"/>
                <w:bCs/>
                <w:sz w:val="20"/>
                <w:szCs w:val="20"/>
                <w:lang w:val="es-ES"/>
              </w:rPr>
            </w:pPr>
            <w:r w:rsidRPr="00ED35CB">
              <w:rPr>
                <w:rFonts w:ascii="Cambria" w:hAnsi="Cambria"/>
                <w:bCs/>
                <w:sz w:val="20"/>
                <w:szCs w:val="20"/>
                <w:lang w:val="es-ES"/>
              </w:rPr>
              <w:t>Perú</w:t>
            </w:r>
            <w:r w:rsidR="004A6A54" w:rsidRPr="00ED35CB">
              <w:rPr>
                <w:rStyle w:val="FootnoteReference"/>
                <w:rFonts w:ascii="Cambria" w:hAnsi="Cambria"/>
                <w:bCs/>
                <w:sz w:val="20"/>
                <w:szCs w:val="20"/>
                <w:lang w:val="es-ES"/>
              </w:rPr>
              <w:footnoteReference w:id="3"/>
            </w:r>
          </w:p>
        </w:tc>
      </w:tr>
      <w:tr w:rsidR="00223A29" w:rsidRPr="00E53608" w:rsidTr="004A6A54">
        <w:tc>
          <w:tcPr>
            <w:tcW w:w="3600" w:type="dxa"/>
            <w:tcBorders>
              <w:top w:val="single" w:sz="6" w:space="0" w:color="auto"/>
              <w:bottom w:val="single" w:sz="6" w:space="0" w:color="auto"/>
            </w:tcBorders>
            <w:shd w:val="clear" w:color="auto" w:fill="386294"/>
            <w:vAlign w:val="center"/>
          </w:tcPr>
          <w:p w:rsidR="00223A29" w:rsidRPr="00ED35CB" w:rsidRDefault="001B3A00" w:rsidP="00E4118C">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 xml:space="preserve">Derechos </w:t>
            </w:r>
            <w:r w:rsidR="00E4118C" w:rsidRPr="00ED35CB">
              <w:rPr>
                <w:rFonts w:ascii="Cambria" w:hAnsi="Cambria"/>
                <w:b/>
                <w:bCs/>
                <w:color w:val="FFFFFF" w:themeColor="background1"/>
                <w:sz w:val="20"/>
                <w:szCs w:val="20"/>
                <w:lang w:val="es-ES"/>
              </w:rPr>
              <w:t>invocados</w:t>
            </w:r>
            <w:r w:rsidRPr="00ED35CB">
              <w:rPr>
                <w:rFonts w:ascii="Cambria" w:hAnsi="Cambria"/>
                <w:b/>
                <w:bCs/>
                <w:color w:val="FFFFFF" w:themeColor="background1"/>
                <w:sz w:val="20"/>
                <w:szCs w:val="20"/>
                <w:lang w:val="es-ES"/>
              </w:rPr>
              <w:t>:</w:t>
            </w:r>
          </w:p>
        </w:tc>
        <w:tc>
          <w:tcPr>
            <w:tcW w:w="5760" w:type="dxa"/>
            <w:vAlign w:val="center"/>
          </w:tcPr>
          <w:p w:rsidR="00223A29" w:rsidRPr="00ED35CB" w:rsidRDefault="00936860" w:rsidP="00D119AD">
            <w:pPr>
              <w:jc w:val="both"/>
              <w:rPr>
                <w:rFonts w:ascii="Cambria" w:hAnsi="Cambria"/>
                <w:bCs/>
                <w:sz w:val="20"/>
                <w:szCs w:val="20"/>
                <w:lang w:val="es-ES"/>
              </w:rPr>
            </w:pPr>
            <w:r w:rsidRPr="00ED35CB">
              <w:rPr>
                <w:rFonts w:ascii="Cambria" w:hAnsi="Cambria"/>
                <w:bCs/>
                <w:sz w:val="20"/>
                <w:szCs w:val="20"/>
                <w:lang w:val="es-ES"/>
              </w:rPr>
              <w:t>Artículos 8 (garantías judiciales),</w:t>
            </w:r>
            <w:r w:rsidR="00524C77" w:rsidRPr="00ED35CB">
              <w:rPr>
                <w:rFonts w:ascii="Cambria" w:hAnsi="Cambria"/>
                <w:bCs/>
                <w:sz w:val="20"/>
                <w:szCs w:val="20"/>
                <w:lang w:val="es-ES"/>
              </w:rPr>
              <w:t xml:space="preserve"> 9 (principio de legalidad y de retroactividad), </w:t>
            </w:r>
            <w:r w:rsidR="00D119AD" w:rsidRPr="00ED35CB">
              <w:rPr>
                <w:rFonts w:ascii="Cambria" w:hAnsi="Cambria"/>
                <w:bCs/>
                <w:sz w:val="20"/>
                <w:szCs w:val="20"/>
                <w:lang w:val="es-ES"/>
              </w:rPr>
              <w:t>21 (propiedad privada), 25 (protección judicial) y 26 (derechos económicos, sociales y culturales) de la Convención Americana sobre Derechos Humanos</w:t>
            </w:r>
            <w:r w:rsidR="00D119AD" w:rsidRPr="00ED35CB">
              <w:rPr>
                <w:rStyle w:val="FootnoteReference"/>
                <w:rFonts w:ascii="Cambria" w:hAnsi="Cambria"/>
                <w:bCs/>
                <w:sz w:val="20"/>
                <w:szCs w:val="20"/>
                <w:lang w:val="es-ES"/>
              </w:rPr>
              <w:footnoteReference w:id="4"/>
            </w:r>
            <w:r w:rsidR="00FC1C4D" w:rsidRPr="00ED35CB">
              <w:rPr>
                <w:rFonts w:ascii="Cambria" w:hAnsi="Cambria"/>
                <w:bCs/>
                <w:sz w:val="20"/>
                <w:szCs w:val="20"/>
                <w:lang w:val="es-ES"/>
              </w:rPr>
              <w:t>,</w:t>
            </w:r>
            <w:r w:rsidR="00D119AD" w:rsidRPr="00ED35CB">
              <w:rPr>
                <w:rFonts w:ascii="Cambria" w:hAnsi="Cambria"/>
                <w:bCs/>
                <w:sz w:val="20"/>
                <w:szCs w:val="20"/>
                <w:lang w:val="es-ES"/>
              </w:rPr>
              <w:t xml:space="preserve"> en relación con sus artículos 1.1 (obligación de respetar los derechos) y 2 (deber de adoptar disposiciones de derecho interno)</w:t>
            </w:r>
          </w:p>
        </w:tc>
      </w:tr>
    </w:tbl>
    <w:p w:rsidR="003239B8" w:rsidRPr="00ED35CB" w:rsidRDefault="003239B8" w:rsidP="003239B8">
      <w:pPr>
        <w:spacing w:before="240" w:after="240"/>
        <w:ind w:firstLine="720"/>
        <w:jc w:val="both"/>
        <w:rPr>
          <w:rFonts w:asciiTheme="majorHAnsi" w:hAnsiTheme="majorHAnsi"/>
          <w:b/>
          <w:bCs/>
          <w:sz w:val="20"/>
          <w:szCs w:val="20"/>
          <w:lang w:val="es-ES"/>
        </w:rPr>
      </w:pPr>
      <w:r w:rsidRPr="00ED35CB">
        <w:rPr>
          <w:rFonts w:asciiTheme="majorHAnsi" w:hAnsiTheme="majorHAnsi"/>
          <w:b/>
          <w:bCs/>
          <w:sz w:val="20"/>
          <w:szCs w:val="20"/>
          <w:lang w:val="es-ES"/>
        </w:rPr>
        <w:t>II.</w:t>
      </w:r>
      <w:r w:rsidRPr="00ED35CB">
        <w:rPr>
          <w:rFonts w:asciiTheme="majorHAnsi" w:hAnsiTheme="majorHAnsi"/>
          <w:b/>
          <w:bCs/>
          <w:sz w:val="20"/>
          <w:szCs w:val="20"/>
          <w:lang w:val="es-ES"/>
        </w:rPr>
        <w:tab/>
        <w:t>TRÁMITE ANTE LA CIDH</w:t>
      </w:r>
      <w:r w:rsidR="008E3BFE" w:rsidRPr="00ED35CB">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D35CB" w:rsidTr="004A6A54">
        <w:tc>
          <w:tcPr>
            <w:tcW w:w="3600" w:type="dxa"/>
            <w:tcBorders>
              <w:top w:val="single" w:sz="6" w:space="0" w:color="auto"/>
              <w:bottom w:val="single" w:sz="6" w:space="0" w:color="auto"/>
            </w:tcBorders>
            <w:shd w:val="clear" w:color="auto" w:fill="386294"/>
            <w:vAlign w:val="center"/>
          </w:tcPr>
          <w:p w:rsidR="004C2312" w:rsidRPr="00ED35CB" w:rsidRDefault="004A6A54" w:rsidP="004A6A54">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P</w:t>
            </w:r>
            <w:r w:rsidR="004C2312" w:rsidRPr="00ED35CB">
              <w:rPr>
                <w:rFonts w:ascii="Cambria" w:hAnsi="Cambria"/>
                <w:b/>
                <w:bCs/>
                <w:color w:val="FFFFFF" w:themeColor="background1"/>
                <w:sz w:val="20"/>
                <w:szCs w:val="20"/>
                <w:lang w:val="es-ES"/>
              </w:rPr>
              <w:t>resentación de la petición:</w:t>
            </w:r>
          </w:p>
        </w:tc>
        <w:tc>
          <w:tcPr>
            <w:tcW w:w="5760" w:type="dxa"/>
            <w:vAlign w:val="center"/>
          </w:tcPr>
          <w:p w:rsidR="004C2312" w:rsidRPr="00ED35CB" w:rsidRDefault="00561A2E" w:rsidP="00382F2A">
            <w:pPr>
              <w:jc w:val="both"/>
              <w:rPr>
                <w:rFonts w:ascii="Cambria" w:hAnsi="Cambria"/>
                <w:bCs/>
                <w:sz w:val="20"/>
                <w:szCs w:val="20"/>
                <w:lang w:val="es-ES"/>
              </w:rPr>
            </w:pPr>
            <w:r w:rsidRPr="00ED35CB">
              <w:rPr>
                <w:rFonts w:ascii="Cambria" w:hAnsi="Cambria"/>
                <w:bCs/>
                <w:sz w:val="20"/>
                <w:szCs w:val="20"/>
                <w:lang w:val="es-ES"/>
              </w:rPr>
              <w:t>24 de junio de 2013</w:t>
            </w:r>
          </w:p>
        </w:tc>
      </w:tr>
      <w:tr w:rsidR="00131425" w:rsidRPr="00E53608" w:rsidTr="004A6A54">
        <w:tc>
          <w:tcPr>
            <w:tcW w:w="3600" w:type="dxa"/>
            <w:tcBorders>
              <w:top w:val="single" w:sz="6" w:space="0" w:color="auto"/>
              <w:bottom w:val="single" w:sz="6" w:space="0" w:color="auto"/>
            </w:tcBorders>
            <w:shd w:val="clear" w:color="auto" w:fill="386294"/>
            <w:vAlign w:val="center"/>
          </w:tcPr>
          <w:p w:rsidR="00131425" w:rsidRPr="00ED35CB" w:rsidRDefault="00131425" w:rsidP="004A6A54">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ED35CB" w:rsidRDefault="009659EA" w:rsidP="00382F2A">
            <w:pPr>
              <w:jc w:val="both"/>
              <w:rPr>
                <w:rFonts w:ascii="Cambria" w:hAnsi="Cambria"/>
                <w:bCs/>
                <w:sz w:val="20"/>
                <w:szCs w:val="20"/>
                <w:lang w:val="es-ES"/>
              </w:rPr>
            </w:pPr>
            <w:r w:rsidRPr="00ED35CB">
              <w:rPr>
                <w:rFonts w:ascii="Cambria" w:hAnsi="Cambria"/>
                <w:bCs/>
                <w:sz w:val="20"/>
                <w:szCs w:val="20"/>
                <w:lang w:val="es-ES"/>
              </w:rPr>
              <w:t>28 de octubre de 2013, 3 de noviembre de 2015 y 9 de septiembre de 2016</w:t>
            </w:r>
          </w:p>
        </w:tc>
      </w:tr>
      <w:tr w:rsidR="004C2312" w:rsidRPr="00ED35CB" w:rsidTr="004A6A54">
        <w:tc>
          <w:tcPr>
            <w:tcW w:w="3600" w:type="dxa"/>
            <w:tcBorders>
              <w:top w:val="single" w:sz="6" w:space="0" w:color="auto"/>
              <w:bottom w:val="single" w:sz="6" w:space="0" w:color="auto"/>
            </w:tcBorders>
            <w:shd w:val="clear" w:color="auto" w:fill="386294"/>
            <w:vAlign w:val="center"/>
          </w:tcPr>
          <w:p w:rsidR="004C2312" w:rsidRPr="00ED35CB" w:rsidRDefault="004A6A54" w:rsidP="004A6A54">
            <w:pPr>
              <w:jc w:val="center"/>
              <w:rPr>
                <w:rFonts w:ascii="Cambria" w:hAnsi="Cambria"/>
                <w:b/>
                <w:bCs/>
                <w:color w:val="FFFFFF" w:themeColor="background1"/>
                <w:sz w:val="20"/>
                <w:szCs w:val="20"/>
                <w:lang w:val="es-ES"/>
              </w:rPr>
            </w:pPr>
            <w:r w:rsidRPr="00ED35CB">
              <w:rPr>
                <w:rFonts w:ascii="Cambria" w:hAnsi="Cambria"/>
                <w:b/>
                <w:color w:val="FFFFFF" w:themeColor="background1"/>
                <w:sz w:val="20"/>
                <w:szCs w:val="20"/>
                <w:lang w:val="es-ES"/>
              </w:rPr>
              <w:t>N</w:t>
            </w:r>
            <w:r w:rsidR="004C2312" w:rsidRPr="00ED35CB">
              <w:rPr>
                <w:rFonts w:ascii="Cambria" w:hAnsi="Cambria"/>
                <w:b/>
                <w:color w:val="FFFFFF" w:themeColor="background1"/>
                <w:sz w:val="20"/>
                <w:szCs w:val="20"/>
                <w:lang w:val="es-ES"/>
              </w:rPr>
              <w:t>otificación de la petición al Estado:</w:t>
            </w:r>
          </w:p>
        </w:tc>
        <w:tc>
          <w:tcPr>
            <w:tcW w:w="5760" w:type="dxa"/>
            <w:vAlign w:val="center"/>
          </w:tcPr>
          <w:p w:rsidR="004C2312" w:rsidRPr="00ED35CB" w:rsidRDefault="009659EA" w:rsidP="00382F2A">
            <w:pPr>
              <w:jc w:val="both"/>
              <w:rPr>
                <w:rFonts w:ascii="Cambria" w:hAnsi="Cambria"/>
                <w:bCs/>
                <w:sz w:val="20"/>
                <w:szCs w:val="20"/>
                <w:lang w:val="es-ES"/>
              </w:rPr>
            </w:pPr>
            <w:r w:rsidRPr="00ED35CB">
              <w:rPr>
                <w:rFonts w:ascii="Cambria" w:hAnsi="Cambria"/>
                <w:bCs/>
                <w:sz w:val="20"/>
                <w:szCs w:val="20"/>
                <w:lang w:val="es-ES"/>
              </w:rPr>
              <w:t>11</w:t>
            </w:r>
            <w:r w:rsidR="00561A2E" w:rsidRPr="00ED35CB">
              <w:rPr>
                <w:rFonts w:ascii="Cambria" w:hAnsi="Cambria"/>
                <w:bCs/>
                <w:sz w:val="20"/>
                <w:szCs w:val="20"/>
                <w:lang w:val="es-ES"/>
              </w:rPr>
              <w:t xml:space="preserve"> de </w:t>
            </w:r>
            <w:r w:rsidRPr="00ED35CB">
              <w:rPr>
                <w:rFonts w:ascii="Cambria" w:hAnsi="Cambria"/>
                <w:bCs/>
                <w:sz w:val="20"/>
                <w:szCs w:val="20"/>
                <w:lang w:val="es-ES"/>
              </w:rPr>
              <w:t>noviembre</w:t>
            </w:r>
            <w:r w:rsidR="00561A2E" w:rsidRPr="00ED35CB">
              <w:rPr>
                <w:rFonts w:ascii="Cambria" w:hAnsi="Cambria"/>
                <w:bCs/>
                <w:sz w:val="20"/>
                <w:szCs w:val="20"/>
                <w:lang w:val="es-ES"/>
              </w:rPr>
              <w:t xml:space="preserve"> de 2016</w:t>
            </w:r>
          </w:p>
        </w:tc>
      </w:tr>
      <w:tr w:rsidR="004C2312" w:rsidRPr="00ED35CB" w:rsidTr="004A6A54">
        <w:tc>
          <w:tcPr>
            <w:tcW w:w="3600" w:type="dxa"/>
            <w:tcBorders>
              <w:top w:val="single" w:sz="6" w:space="0" w:color="auto"/>
              <w:bottom w:val="single" w:sz="6" w:space="0" w:color="auto"/>
            </w:tcBorders>
            <w:shd w:val="clear" w:color="auto" w:fill="386294"/>
            <w:vAlign w:val="center"/>
          </w:tcPr>
          <w:p w:rsidR="004C2312" w:rsidRPr="00ED35CB" w:rsidRDefault="004A6A54" w:rsidP="004A6A54">
            <w:pPr>
              <w:jc w:val="center"/>
              <w:rPr>
                <w:rFonts w:ascii="Cambria" w:hAnsi="Cambria"/>
                <w:b/>
                <w:bCs/>
                <w:color w:val="FFFFFF" w:themeColor="background1"/>
                <w:sz w:val="20"/>
                <w:szCs w:val="20"/>
                <w:lang w:val="es-ES"/>
              </w:rPr>
            </w:pPr>
            <w:r w:rsidRPr="00ED35CB">
              <w:rPr>
                <w:rFonts w:ascii="Cambria" w:hAnsi="Cambria"/>
                <w:b/>
                <w:color w:val="FFFFFF" w:themeColor="background1"/>
                <w:sz w:val="20"/>
                <w:szCs w:val="20"/>
                <w:lang w:val="es-ES"/>
              </w:rPr>
              <w:t>P</w:t>
            </w:r>
            <w:r w:rsidR="004C2312" w:rsidRPr="00ED35CB">
              <w:rPr>
                <w:rFonts w:ascii="Cambria" w:hAnsi="Cambria"/>
                <w:b/>
                <w:color w:val="FFFFFF" w:themeColor="background1"/>
                <w:sz w:val="20"/>
                <w:szCs w:val="20"/>
                <w:lang w:val="es-ES"/>
              </w:rPr>
              <w:t>rimera respuesta del Estado:</w:t>
            </w:r>
          </w:p>
        </w:tc>
        <w:tc>
          <w:tcPr>
            <w:tcW w:w="5760" w:type="dxa"/>
            <w:vAlign w:val="center"/>
          </w:tcPr>
          <w:p w:rsidR="004C2312" w:rsidRPr="00ED35CB" w:rsidRDefault="009659EA" w:rsidP="00382F2A">
            <w:pPr>
              <w:jc w:val="both"/>
              <w:rPr>
                <w:rFonts w:ascii="Cambria" w:hAnsi="Cambria"/>
                <w:bCs/>
                <w:sz w:val="20"/>
                <w:szCs w:val="20"/>
                <w:lang w:val="es-ES"/>
              </w:rPr>
            </w:pPr>
            <w:r w:rsidRPr="00ED35CB">
              <w:rPr>
                <w:rFonts w:ascii="Cambria" w:hAnsi="Cambria"/>
                <w:bCs/>
                <w:sz w:val="20"/>
                <w:szCs w:val="20"/>
                <w:lang w:val="es-ES"/>
              </w:rPr>
              <w:t>9 de febrero de 2017</w:t>
            </w:r>
          </w:p>
        </w:tc>
      </w:tr>
      <w:tr w:rsidR="004C2312" w:rsidRPr="00ED35CB" w:rsidTr="004A6A54">
        <w:tc>
          <w:tcPr>
            <w:tcW w:w="3600" w:type="dxa"/>
            <w:tcBorders>
              <w:top w:val="single" w:sz="6" w:space="0" w:color="auto"/>
              <w:bottom w:val="single" w:sz="6" w:space="0" w:color="auto"/>
            </w:tcBorders>
            <w:shd w:val="clear" w:color="auto" w:fill="386294"/>
            <w:vAlign w:val="center"/>
          </w:tcPr>
          <w:p w:rsidR="004C2312" w:rsidRPr="00ED35CB" w:rsidRDefault="008E3BFE" w:rsidP="008E3BFE">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ED35CB" w:rsidRDefault="009659EA" w:rsidP="00382F2A">
            <w:pPr>
              <w:jc w:val="both"/>
              <w:rPr>
                <w:rFonts w:ascii="Cambria" w:hAnsi="Cambria"/>
                <w:bCs/>
                <w:sz w:val="20"/>
                <w:szCs w:val="20"/>
                <w:lang w:val="es-ES"/>
              </w:rPr>
            </w:pPr>
            <w:r w:rsidRPr="00ED35CB">
              <w:rPr>
                <w:rFonts w:ascii="Cambria" w:hAnsi="Cambria"/>
                <w:bCs/>
                <w:sz w:val="20"/>
                <w:szCs w:val="20"/>
                <w:lang w:val="es-ES"/>
              </w:rPr>
              <w:t>23 de febrero de 2017</w:t>
            </w:r>
          </w:p>
        </w:tc>
      </w:tr>
      <w:tr w:rsidR="004C2312" w:rsidRPr="00ED35CB" w:rsidTr="004A6A54">
        <w:tc>
          <w:tcPr>
            <w:tcW w:w="3600" w:type="dxa"/>
            <w:tcBorders>
              <w:top w:val="single" w:sz="6" w:space="0" w:color="auto"/>
              <w:bottom w:val="single" w:sz="6" w:space="0" w:color="auto"/>
            </w:tcBorders>
            <w:shd w:val="clear" w:color="auto" w:fill="386294"/>
            <w:vAlign w:val="center"/>
          </w:tcPr>
          <w:p w:rsidR="004C2312" w:rsidRPr="00ED35CB" w:rsidRDefault="004C2312" w:rsidP="008E3BFE">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Observaciones adicionales del Estado:</w:t>
            </w:r>
          </w:p>
        </w:tc>
        <w:tc>
          <w:tcPr>
            <w:tcW w:w="5760" w:type="dxa"/>
            <w:vAlign w:val="center"/>
          </w:tcPr>
          <w:p w:rsidR="004C2312" w:rsidRPr="00ED35CB" w:rsidRDefault="009659EA" w:rsidP="00382F2A">
            <w:pPr>
              <w:jc w:val="both"/>
              <w:rPr>
                <w:rFonts w:ascii="Cambria" w:hAnsi="Cambria"/>
                <w:bCs/>
                <w:sz w:val="20"/>
                <w:szCs w:val="20"/>
                <w:lang w:val="es-ES"/>
              </w:rPr>
            </w:pPr>
            <w:r w:rsidRPr="00ED35CB">
              <w:rPr>
                <w:rFonts w:ascii="Cambria" w:hAnsi="Cambria"/>
                <w:bCs/>
                <w:sz w:val="20"/>
                <w:szCs w:val="20"/>
                <w:lang w:val="es-ES"/>
              </w:rPr>
              <w:t>19 de junio de 2018</w:t>
            </w:r>
          </w:p>
        </w:tc>
      </w:tr>
    </w:tbl>
    <w:p w:rsidR="003239B8" w:rsidRPr="00ED35CB" w:rsidRDefault="003239B8" w:rsidP="003239B8">
      <w:pPr>
        <w:spacing w:before="240" w:after="240"/>
        <w:ind w:firstLine="720"/>
        <w:jc w:val="both"/>
        <w:rPr>
          <w:rFonts w:asciiTheme="majorHAnsi" w:hAnsiTheme="majorHAnsi"/>
          <w:b/>
          <w:bCs/>
          <w:sz w:val="20"/>
          <w:szCs w:val="20"/>
          <w:lang w:val="es-ES"/>
        </w:rPr>
      </w:pPr>
      <w:r w:rsidRPr="00ED35CB">
        <w:rPr>
          <w:rFonts w:asciiTheme="majorHAnsi" w:hAnsiTheme="majorHAnsi"/>
          <w:b/>
          <w:bCs/>
          <w:sz w:val="20"/>
          <w:szCs w:val="20"/>
          <w:lang w:val="es-ES"/>
        </w:rPr>
        <w:t xml:space="preserve">III. </w:t>
      </w:r>
      <w:r w:rsidRPr="00ED35CB">
        <w:rPr>
          <w:rFonts w:asciiTheme="majorHAnsi" w:hAnsiTheme="majorHAnsi"/>
          <w:b/>
          <w:bCs/>
          <w:sz w:val="20"/>
          <w:szCs w:val="20"/>
          <w:lang w:val="es-ES"/>
        </w:rPr>
        <w:tab/>
        <w:t>COMPETENCIA</w:t>
      </w:r>
      <w:r w:rsidR="00EE00E9" w:rsidRPr="00ED35C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3239B8" w:rsidRPr="00ED35CB" w:rsidTr="00141FEF">
        <w:trPr>
          <w:cantSplit/>
        </w:trPr>
        <w:tc>
          <w:tcPr>
            <w:tcW w:w="3577" w:type="dxa"/>
            <w:tcBorders>
              <w:top w:val="single" w:sz="4" w:space="0" w:color="auto"/>
              <w:bottom w:val="single" w:sz="6" w:space="0" w:color="auto"/>
            </w:tcBorders>
            <w:shd w:val="clear" w:color="auto" w:fill="386294"/>
            <w:vAlign w:val="center"/>
          </w:tcPr>
          <w:p w:rsidR="003239B8" w:rsidRPr="00ED35CB" w:rsidRDefault="003239B8" w:rsidP="00382F2A">
            <w:pPr>
              <w:jc w:val="center"/>
              <w:rPr>
                <w:rFonts w:ascii="Cambria" w:hAnsi="Cambria"/>
                <w:b/>
                <w:bCs/>
                <w:i/>
                <w:color w:val="FFFFFF" w:themeColor="background1"/>
                <w:sz w:val="20"/>
                <w:szCs w:val="20"/>
                <w:lang w:val="es-ES"/>
              </w:rPr>
            </w:pPr>
            <w:r w:rsidRPr="00ED35CB">
              <w:rPr>
                <w:rFonts w:ascii="Cambria" w:hAnsi="Cambria"/>
                <w:b/>
                <w:bCs/>
                <w:color w:val="FFFFFF" w:themeColor="background1"/>
                <w:sz w:val="20"/>
                <w:szCs w:val="20"/>
                <w:lang w:val="es-ES"/>
              </w:rPr>
              <w:t>Competencia</w:t>
            </w:r>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Ratione</w:t>
            </w:r>
            <w:proofErr w:type="spellEnd"/>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personae</w:t>
            </w:r>
            <w:proofErr w:type="spellEnd"/>
            <w:r w:rsidRPr="00ED35CB">
              <w:rPr>
                <w:rFonts w:ascii="Cambria" w:hAnsi="Cambria"/>
                <w:b/>
                <w:bCs/>
                <w:i/>
                <w:color w:val="FFFFFF" w:themeColor="background1"/>
                <w:sz w:val="20"/>
                <w:szCs w:val="20"/>
                <w:lang w:val="es-ES"/>
              </w:rPr>
              <w:t>:</w:t>
            </w:r>
          </w:p>
        </w:tc>
        <w:tc>
          <w:tcPr>
            <w:tcW w:w="5143" w:type="dxa"/>
            <w:vAlign w:val="center"/>
          </w:tcPr>
          <w:p w:rsidR="003239B8" w:rsidRPr="00ED35CB" w:rsidRDefault="009305F2" w:rsidP="00382F2A">
            <w:pPr>
              <w:rPr>
                <w:rFonts w:ascii="Cambria" w:hAnsi="Cambria"/>
                <w:bCs/>
                <w:sz w:val="20"/>
                <w:szCs w:val="20"/>
                <w:lang w:val="es-ES"/>
              </w:rPr>
            </w:pPr>
            <w:r w:rsidRPr="00ED35CB">
              <w:rPr>
                <w:rFonts w:ascii="Cambria" w:hAnsi="Cambria"/>
                <w:bCs/>
                <w:sz w:val="20"/>
                <w:szCs w:val="20"/>
                <w:lang w:val="es-ES"/>
              </w:rPr>
              <w:t>Sí</w:t>
            </w:r>
          </w:p>
        </w:tc>
      </w:tr>
      <w:tr w:rsidR="003239B8" w:rsidRPr="00ED35CB" w:rsidTr="00141FEF">
        <w:trPr>
          <w:cantSplit/>
        </w:trPr>
        <w:tc>
          <w:tcPr>
            <w:tcW w:w="3577"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Competencia</w:t>
            </w:r>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Ratione</w:t>
            </w:r>
            <w:proofErr w:type="spellEnd"/>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loci</w:t>
            </w:r>
            <w:proofErr w:type="spellEnd"/>
            <w:r w:rsidRPr="00ED35CB">
              <w:rPr>
                <w:rFonts w:ascii="Cambria" w:hAnsi="Cambria"/>
                <w:b/>
                <w:bCs/>
                <w:color w:val="FFFFFF" w:themeColor="background1"/>
                <w:sz w:val="20"/>
                <w:szCs w:val="20"/>
                <w:lang w:val="es-ES"/>
              </w:rPr>
              <w:t>:</w:t>
            </w:r>
          </w:p>
        </w:tc>
        <w:tc>
          <w:tcPr>
            <w:tcW w:w="5143" w:type="dxa"/>
            <w:vAlign w:val="center"/>
          </w:tcPr>
          <w:p w:rsidR="003239B8" w:rsidRPr="00ED35CB" w:rsidRDefault="009305F2" w:rsidP="00382F2A">
            <w:pPr>
              <w:rPr>
                <w:rFonts w:ascii="Cambria" w:hAnsi="Cambria"/>
                <w:bCs/>
                <w:sz w:val="20"/>
                <w:szCs w:val="20"/>
                <w:lang w:val="es-ES"/>
              </w:rPr>
            </w:pPr>
            <w:r w:rsidRPr="00ED35CB">
              <w:rPr>
                <w:rFonts w:ascii="Cambria" w:hAnsi="Cambria"/>
                <w:bCs/>
                <w:sz w:val="20"/>
                <w:szCs w:val="20"/>
                <w:lang w:val="es-ES"/>
              </w:rPr>
              <w:t>Sí</w:t>
            </w:r>
          </w:p>
        </w:tc>
      </w:tr>
      <w:tr w:rsidR="003239B8" w:rsidRPr="00ED35CB" w:rsidTr="00141FEF">
        <w:trPr>
          <w:cantSplit/>
        </w:trPr>
        <w:tc>
          <w:tcPr>
            <w:tcW w:w="3577"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Competencia</w:t>
            </w:r>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Ratione</w:t>
            </w:r>
            <w:proofErr w:type="spellEnd"/>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temporis</w:t>
            </w:r>
            <w:proofErr w:type="spellEnd"/>
            <w:r w:rsidRPr="00ED35CB">
              <w:rPr>
                <w:rFonts w:ascii="Cambria" w:hAnsi="Cambria"/>
                <w:b/>
                <w:bCs/>
                <w:color w:val="FFFFFF" w:themeColor="background1"/>
                <w:sz w:val="20"/>
                <w:szCs w:val="20"/>
                <w:lang w:val="es-ES"/>
              </w:rPr>
              <w:t>:</w:t>
            </w:r>
          </w:p>
        </w:tc>
        <w:tc>
          <w:tcPr>
            <w:tcW w:w="5143" w:type="dxa"/>
            <w:vAlign w:val="center"/>
          </w:tcPr>
          <w:p w:rsidR="003239B8" w:rsidRPr="00ED35CB" w:rsidRDefault="009305F2" w:rsidP="00382F2A">
            <w:pPr>
              <w:rPr>
                <w:rFonts w:ascii="Cambria" w:hAnsi="Cambria"/>
                <w:bCs/>
                <w:sz w:val="20"/>
                <w:szCs w:val="20"/>
                <w:lang w:val="es-ES"/>
              </w:rPr>
            </w:pPr>
            <w:r w:rsidRPr="00ED35CB">
              <w:rPr>
                <w:rFonts w:ascii="Cambria" w:hAnsi="Cambria"/>
                <w:bCs/>
                <w:sz w:val="20"/>
                <w:szCs w:val="20"/>
                <w:lang w:val="es-ES"/>
              </w:rPr>
              <w:t>Sí</w:t>
            </w:r>
          </w:p>
        </w:tc>
      </w:tr>
      <w:tr w:rsidR="003239B8" w:rsidRPr="00E53608" w:rsidTr="00141FEF">
        <w:trPr>
          <w:cantSplit/>
        </w:trPr>
        <w:tc>
          <w:tcPr>
            <w:tcW w:w="3577"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Competencia</w:t>
            </w:r>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Ratione</w:t>
            </w:r>
            <w:proofErr w:type="spellEnd"/>
            <w:r w:rsidRPr="00ED35CB">
              <w:rPr>
                <w:rFonts w:ascii="Cambria" w:hAnsi="Cambria"/>
                <w:b/>
                <w:bCs/>
                <w:i/>
                <w:color w:val="FFFFFF" w:themeColor="background1"/>
                <w:sz w:val="20"/>
                <w:szCs w:val="20"/>
                <w:lang w:val="es-ES"/>
              </w:rPr>
              <w:t xml:space="preserve"> </w:t>
            </w:r>
            <w:proofErr w:type="spellStart"/>
            <w:r w:rsidRPr="00ED35CB">
              <w:rPr>
                <w:rFonts w:ascii="Cambria" w:hAnsi="Cambria"/>
                <w:b/>
                <w:bCs/>
                <w:i/>
                <w:color w:val="FFFFFF" w:themeColor="background1"/>
                <w:sz w:val="20"/>
                <w:szCs w:val="20"/>
                <w:lang w:val="es-ES"/>
              </w:rPr>
              <w:t>materia</w:t>
            </w:r>
            <w:r w:rsidR="00EE00E9" w:rsidRPr="00ED35CB">
              <w:rPr>
                <w:rFonts w:ascii="Cambria" w:hAnsi="Cambria"/>
                <w:b/>
                <w:bCs/>
                <w:i/>
                <w:color w:val="FFFFFF" w:themeColor="background1"/>
                <w:sz w:val="20"/>
                <w:szCs w:val="20"/>
                <w:lang w:val="es-ES"/>
              </w:rPr>
              <w:t>e</w:t>
            </w:r>
            <w:proofErr w:type="spellEnd"/>
            <w:r w:rsidRPr="00ED35CB">
              <w:rPr>
                <w:rFonts w:ascii="Cambria" w:hAnsi="Cambria"/>
                <w:b/>
                <w:bCs/>
                <w:color w:val="FFFFFF" w:themeColor="background1"/>
                <w:sz w:val="20"/>
                <w:szCs w:val="20"/>
                <w:lang w:val="es-ES"/>
              </w:rPr>
              <w:t>:</w:t>
            </w:r>
          </w:p>
        </w:tc>
        <w:tc>
          <w:tcPr>
            <w:tcW w:w="5143" w:type="dxa"/>
            <w:vAlign w:val="center"/>
          </w:tcPr>
          <w:p w:rsidR="003239B8" w:rsidRPr="00ED35CB" w:rsidRDefault="009305F2" w:rsidP="00382F2A">
            <w:pPr>
              <w:jc w:val="both"/>
              <w:rPr>
                <w:rFonts w:ascii="Cambria" w:hAnsi="Cambria"/>
                <w:bCs/>
                <w:sz w:val="20"/>
                <w:szCs w:val="20"/>
                <w:lang w:val="es-ES"/>
              </w:rPr>
            </w:pPr>
            <w:r w:rsidRPr="00ED35CB">
              <w:rPr>
                <w:rFonts w:ascii="Cambria" w:hAnsi="Cambria"/>
                <w:bCs/>
                <w:sz w:val="20"/>
                <w:szCs w:val="20"/>
                <w:lang w:val="es-ES"/>
              </w:rPr>
              <w:t>Sí</w:t>
            </w:r>
            <w:r w:rsidR="00141FEF" w:rsidRPr="00ED35CB">
              <w:rPr>
                <w:rFonts w:ascii="Cambria" w:hAnsi="Cambria"/>
                <w:bCs/>
                <w:sz w:val="20"/>
                <w:szCs w:val="20"/>
                <w:lang w:val="es-ES"/>
              </w:rPr>
              <w:t xml:space="preserve">, </w:t>
            </w:r>
            <w:r w:rsidR="00ED35CB" w:rsidRPr="00ED35CB">
              <w:rPr>
                <w:rFonts w:ascii="Cambria" w:hAnsi="Cambria"/>
                <w:bCs/>
                <w:sz w:val="20"/>
                <w:szCs w:val="20"/>
                <w:lang w:val="es-ES"/>
              </w:rPr>
              <w:t>Convención</w:t>
            </w:r>
            <w:r w:rsidR="00141FEF" w:rsidRPr="00ED35CB">
              <w:rPr>
                <w:rFonts w:ascii="Cambria" w:hAnsi="Cambria"/>
                <w:bCs/>
                <w:sz w:val="20"/>
                <w:szCs w:val="20"/>
                <w:lang w:val="es-ES"/>
              </w:rPr>
              <w:t xml:space="preserve"> Americana (</w:t>
            </w:r>
            <w:r w:rsidR="00ED35CB" w:rsidRPr="00ED35CB">
              <w:rPr>
                <w:rFonts w:ascii="Cambria" w:hAnsi="Cambria"/>
                <w:bCs/>
                <w:sz w:val="20"/>
                <w:szCs w:val="20"/>
                <w:lang w:val="es-ES"/>
              </w:rPr>
              <w:t>depósito</w:t>
            </w:r>
            <w:r w:rsidR="00141FEF" w:rsidRPr="00ED35CB">
              <w:rPr>
                <w:rFonts w:ascii="Cambria" w:hAnsi="Cambria"/>
                <w:bCs/>
                <w:sz w:val="20"/>
                <w:szCs w:val="20"/>
                <w:lang w:val="es-ES"/>
              </w:rPr>
              <w:t xml:space="preserve"> del instrumento de ratificación realizado el 28 de julio de 1978)</w:t>
            </w:r>
          </w:p>
        </w:tc>
      </w:tr>
    </w:tbl>
    <w:p w:rsidR="003239B8" w:rsidRPr="00ED35CB" w:rsidRDefault="003239B8" w:rsidP="003239B8">
      <w:pPr>
        <w:spacing w:before="240" w:after="240"/>
        <w:ind w:firstLine="720"/>
        <w:jc w:val="both"/>
        <w:rPr>
          <w:rFonts w:asciiTheme="majorHAnsi" w:hAnsiTheme="majorHAnsi"/>
          <w:b/>
          <w:bCs/>
          <w:sz w:val="20"/>
          <w:szCs w:val="20"/>
          <w:lang w:val="es-ES"/>
        </w:rPr>
      </w:pPr>
      <w:r w:rsidRPr="00ED35CB">
        <w:rPr>
          <w:rFonts w:asciiTheme="majorHAnsi" w:hAnsiTheme="majorHAnsi"/>
          <w:b/>
          <w:bCs/>
          <w:sz w:val="20"/>
          <w:szCs w:val="20"/>
          <w:lang w:val="es-ES"/>
        </w:rPr>
        <w:t xml:space="preserve">IV. </w:t>
      </w:r>
      <w:r w:rsidRPr="00ED35CB">
        <w:rPr>
          <w:rFonts w:asciiTheme="majorHAnsi" w:hAnsiTheme="majorHAnsi"/>
          <w:b/>
          <w:bCs/>
          <w:sz w:val="20"/>
          <w:szCs w:val="20"/>
          <w:lang w:val="es-ES"/>
        </w:rPr>
        <w:tab/>
      </w:r>
      <w:r w:rsidR="00EE00E9" w:rsidRPr="00ED35CB">
        <w:rPr>
          <w:rFonts w:asciiTheme="majorHAnsi" w:hAnsiTheme="majorHAnsi"/>
          <w:b/>
          <w:bCs/>
          <w:sz w:val="20"/>
          <w:szCs w:val="20"/>
          <w:lang w:val="es-ES"/>
        </w:rPr>
        <w:t>DUPLICACIÓN</w:t>
      </w:r>
      <w:r w:rsidR="00EE00E9" w:rsidRPr="00ED35CB">
        <w:rPr>
          <w:rFonts w:asciiTheme="majorHAnsi" w:hAnsiTheme="majorHAnsi"/>
          <w:b/>
          <w:bCs/>
          <w:color w:val="FFFFFF" w:themeColor="background1"/>
          <w:sz w:val="20"/>
          <w:szCs w:val="20"/>
          <w:lang w:val="es-ES"/>
        </w:rPr>
        <w:t xml:space="preserve"> </w:t>
      </w:r>
      <w:r w:rsidR="00EE00E9" w:rsidRPr="00ED35CB">
        <w:rPr>
          <w:rFonts w:asciiTheme="majorHAnsi" w:hAnsiTheme="majorHAnsi"/>
          <w:b/>
          <w:bCs/>
          <w:sz w:val="20"/>
          <w:szCs w:val="20"/>
          <w:lang w:val="es-ES"/>
        </w:rPr>
        <w:t>DE PROCEDIMIENTOS Y COSA JUZGADA</w:t>
      </w:r>
      <w:r w:rsidR="00EE00E9" w:rsidRPr="00ED35CB">
        <w:rPr>
          <w:rFonts w:asciiTheme="majorHAnsi" w:hAnsiTheme="majorHAnsi"/>
          <w:b/>
          <w:bCs/>
          <w:i/>
          <w:sz w:val="20"/>
          <w:szCs w:val="20"/>
          <w:lang w:val="es-ES"/>
        </w:rPr>
        <w:t xml:space="preserve"> </w:t>
      </w:r>
      <w:r w:rsidR="00141FEF" w:rsidRPr="00ED35CB">
        <w:rPr>
          <w:rFonts w:asciiTheme="majorHAnsi" w:hAnsiTheme="majorHAnsi"/>
          <w:b/>
          <w:bCs/>
          <w:sz w:val="20"/>
          <w:szCs w:val="20"/>
          <w:lang w:val="es-ES"/>
        </w:rPr>
        <w:t>INTERNACIONAL, CARACTERIZACIÓN</w:t>
      </w:r>
      <w:r w:rsidRPr="00ED35CB">
        <w:rPr>
          <w:rFonts w:asciiTheme="majorHAnsi" w:hAnsiTheme="majorHAnsi"/>
          <w:b/>
          <w:bCs/>
          <w:sz w:val="20"/>
          <w:szCs w:val="20"/>
          <w:lang w:val="es-ES"/>
        </w:rPr>
        <w:t xml:space="preserve">, </w:t>
      </w:r>
      <w:r w:rsidRPr="00ED35C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143"/>
      </w:tblGrid>
      <w:tr w:rsidR="00EE00E9" w:rsidRPr="00ED35CB" w:rsidTr="00141FEF">
        <w:trPr>
          <w:cantSplit/>
        </w:trPr>
        <w:tc>
          <w:tcPr>
            <w:tcW w:w="3577" w:type="dxa"/>
            <w:tcBorders>
              <w:top w:val="single" w:sz="4" w:space="0" w:color="auto"/>
              <w:bottom w:val="single" w:sz="6" w:space="0" w:color="auto"/>
            </w:tcBorders>
            <w:shd w:val="clear" w:color="auto" w:fill="386294"/>
            <w:vAlign w:val="center"/>
          </w:tcPr>
          <w:p w:rsidR="00EE00E9" w:rsidRPr="00ED35CB" w:rsidRDefault="00EE00E9"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Duplicación de procedimientos y cosa juzgada internacional:</w:t>
            </w:r>
          </w:p>
        </w:tc>
        <w:tc>
          <w:tcPr>
            <w:tcW w:w="5143" w:type="dxa"/>
            <w:vAlign w:val="center"/>
          </w:tcPr>
          <w:p w:rsidR="00EE00E9" w:rsidRPr="00ED35CB" w:rsidRDefault="009305F2" w:rsidP="00382F2A">
            <w:pPr>
              <w:jc w:val="both"/>
              <w:rPr>
                <w:rFonts w:ascii="Cambria" w:hAnsi="Cambria"/>
                <w:bCs/>
                <w:sz w:val="20"/>
                <w:szCs w:val="20"/>
                <w:lang w:val="es-ES"/>
              </w:rPr>
            </w:pPr>
            <w:r w:rsidRPr="00ED35CB">
              <w:rPr>
                <w:rFonts w:ascii="Cambria" w:hAnsi="Cambria"/>
                <w:bCs/>
                <w:sz w:val="20"/>
                <w:szCs w:val="20"/>
                <w:lang w:val="es-ES"/>
              </w:rPr>
              <w:t>No</w:t>
            </w:r>
          </w:p>
        </w:tc>
      </w:tr>
      <w:tr w:rsidR="003239B8" w:rsidRPr="00E53608" w:rsidTr="00141FEF">
        <w:trPr>
          <w:cantSplit/>
        </w:trPr>
        <w:tc>
          <w:tcPr>
            <w:tcW w:w="3577" w:type="dxa"/>
            <w:tcBorders>
              <w:top w:val="single" w:sz="4" w:space="0" w:color="auto"/>
              <w:bottom w:val="single" w:sz="6" w:space="0" w:color="auto"/>
            </w:tcBorders>
            <w:shd w:val="clear" w:color="auto" w:fill="386294"/>
            <w:vAlign w:val="center"/>
          </w:tcPr>
          <w:p w:rsidR="003239B8" w:rsidRPr="00ED35CB" w:rsidRDefault="003239B8" w:rsidP="00382F2A">
            <w:pPr>
              <w:jc w:val="center"/>
              <w:rPr>
                <w:rFonts w:ascii="Cambria" w:hAnsi="Cambria"/>
                <w:b/>
                <w:bCs/>
                <w:i/>
                <w:color w:val="FFFFFF" w:themeColor="background1"/>
                <w:sz w:val="20"/>
                <w:szCs w:val="20"/>
                <w:lang w:val="es-ES"/>
              </w:rPr>
            </w:pPr>
            <w:r w:rsidRPr="00ED35CB">
              <w:rPr>
                <w:rFonts w:ascii="Cambria" w:hAnsi="Cambria"/>
                <w:b/>
                <w:bCs/>
                <w:color w:val="FFFFFF" w:themeColor="background1"/>
                <w:sz w:val="20"/>
                <w:szCs w:val="20"/>
                <w:lang w:val="es-ES"/>
              </w:rPr>
              <w:t>Derechos declarados admisibles</w:t>
            </w:r>
            <w:r w:rsidRPr="00ED35CB">
              <w:rPr>
                <w:rFonts w:ascii="Cambria" w:hAnsi="Cambria"/>
                <w:b/>
                <w:bCs/>
                <w:i/>
                <w:color w:val="FFFFFF" w:themeColor="background1"/>
                <w:sz w:val="20"/>
                <w:szCs w:val="20"/>
                <w:lang w:val="es-ES"/>
              </w:rPr>
              <w:t>:</w:t>
            </w:r>
          </w:p>
        </w:tc>
        <w:tc>
          <w:tcPr>
            <w:tcW w:w="5143" w:type="dxa"/>
            <w:vAlign w:val="center"/>
          </w:tcPr>
          <w:p w:rsidR="003239B8" w:rsidRPr="00ED35CB" w:rsidRDefault="00D119AD" w:rsidP="00D119AD">
            <w:pPr>
              <w:jc w:val="both"/>
              <w:rPr>
                <w:rFonts w:ascii="Cambria" w:hAnsi="Cambria"/>
                <w:bCs/>
                <w:sz w:val="20"/>
                <w:szCs w:val="20"/>
                <w:lang w:val="es-ES"/>
              </w:rPr>
            </w:pPr>
            <w:r w:rsidRPr="00ED35CB">
              <w:rPr>
                <w:rFonts w:ascii="Cambria" w:hAnsi="Cambria"/>
                <w:bCs/>
                <w:sz w:val="20"/>
                <w:szCs w:val="20"/>
                <w:lang w:val="es-ES"/>
              </w:rPr>
              <w:t xml:space="preserve">Artículos 8 (garantías judiciales), 21 (propiedad privada), </w:t>
            </w:r>
            <w:r w:rsidR="00B863E7" w:rsidRPr="00ED35CB">
              <w:rPr>
                <w:rFonts w:ascii="Cambria" w:hAnsi="Cambria"/>
                <w:bCs/>
                <w:sz w:val="20"/>
                <w:szCs w:val="20"/>
                <w:lang w:val="es-ES"/>
              </w:rPr>
              <w:t xml:space="preserve">24 (igualdad ante la ley), </w:t>
            </w:r>
            <w:r w:rsidRPr="00ED35CB">
              <w:rPr>
                <w:rFonts w:ascii="Cambria" w:hAnsi="Cambria"/>
                <w:bCs/>
                <w:sz w:val="20"/>
                <w:szCs w:val="20"/>
                <w:lang w:val="es-ES"/>
              </w:rPr>
              <w:t>25 (protección judicial) y 26 (derechos económicos, sociales y culturales) de la Convención Americana</w:t>
            </w:r>
            <w:r w:rsidR="00A65324" w:rsidRPr="00ED35CB">
              <w:rPr>
                <w:rFonts w:ascii="Cambria" w:hAnsi="Cambria"/>
                <w:bCs/>
                <w:sz w:val="20"/>
                <w:szCs w:val="20"/>
                <w:lang w:val="es-ES"/>
              </w:rPr>
              <w:t>,</w:t>
            </w:r>
            <w:r w:rsidRPr="00ED35CB">
              <w:rPr>
                <w:rFonts w:ascii="Cambria" w:hAnsi="Cambria"/>
                <w:bCs/>
                <w:sz w:val="20"/>
                <w:szCs w:val="20"/>
                <w:lang w:val="es-ES"/>
              </w:rPr>
              <w:t xml:space="preserve"> en relación con sus artículos 1.1 (obligación de respetar los derechos) y 2 (deber de adoptar disposiciones de derecho interno)</w:t>
            </w:r>
          </w:p>
        </w:tc>
      </w:tr>
      <w:tr w:rsidR="003239B8" w:rsidRPr="00E53608" w:rsidTr="00141FEF">
        <w:trPr>
          <w:cantSplit/>
        </w:trPr>
        <w:tc>
          <w:tcPr>
            <w:tcW w:w="3577"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Agotamiento de recursos internos</w:t>
            </w:r>
            <w:r w:rsidR="00EE00E9" w:rsidRPr="00ED35CB">
              <w:rPr>
                <w:rFonts w:ascii="Cambria" w:hAnsi="Cambria"/>
                <w:b/>
                <w:bCs/>
                <w:color w:val="FFFFFF" w:themeColor="background1"/>
                <w:sz w:val="20"/>
                <w:szCs w:val="20"/>
                <w:lang w:val="es-ES"/>
              </w:rPr>
              <w:t xml:space="preserve"> o procedencia de una excepción</w:t>
            </w:r>
            <w:r w:rsidRPr="00ED35CB">
              <w:rPr>
                <w:rFonts w:ascii="Cambria" w:hAnsi="Cambria"/>
                <w:b/>
                <w:bCs/>
                <w:color w:val="FFFFFF" w:themeColor="background1"/>
                <w:sz w:val="20"/>
                <w:szCs w:val="20"/>
                <w:lang w:val="es-ES"/>
              </w:rPr>
              <w:t>:</w:t>
            </w:r>
          </w:p>
        </w:tc>
        <w:tc>
          <w:tcPr>
            <w:tcW w:w="5143" w:type="dxa"/>
            <w:vAlign w:val="center"/>
          </w:tcPr>
          <w:p w:rsidR="003239B8" w:rsidRPr="00ED35CB" w:rsidRDefault="0074451A" w:rsidP="00382F2A">
            <w:pPr>
              <w:rPr>
                <w:rFonts w:ascii="Cambria" w:hAnsi="Cambria"/>
                <w:bCs/>
                <w:sz w:val="20"/>
                <w:szCs w:val="20"/>
                <w:lang w:val="es-ES"/>
              </w:rPr>
            </w:pPr>
            <w:r w:rsidRPr="00ED35CB">
              <w:rPr>
                <w:bCs/>
                <w:sz w:val="20"/>
                <w:szCs w:val="20"/>
                <w:lang w:val="es-ES"/>
              </w:rPr>
              <w:t xml:space="preserve">Sí, aplica </w:t>
            </w:r>
            <w:r w:rsidR="00A65324" w:rsidRPr="00ED35CB">
              <w:rPr>
                <w:bCs/>
                <w:sz w:val="20"/>
                <w:szCs w:val="20"/>
                <w:lang w:val="es-ES"/>
              </w:rPr>
              <w:t xml:space="preserve">la </w:t>
            </w:r>
            <w:r w:rsidRPr="00ED35CB">
              <w:rPr>
                <w:bCs/>
                <w:sz w:val="20"/>
                <w:szCs w:val="20"/>
                <w:lang w:val="es-ES"/>
              </w:rPr>
              <w:t>excepción artículo 46.2.c de la Convención</w:t>
            </w:r>
          </w:p>
        </w:tc>
      </w:tr>
      <w:tr w:rsidR="003239B8" w:rsidRPr="00E53608" w:rsidTr="00141FEF">
        <w:trPr>
          <w:cantSplit/>
        </w:trPr>
        <w:tc>
          <w:tcPr>
            <w:tcW w:w="3577" w:type="dxa"/>
            <w:tcBorders>
              <w:top w:val="single" w:sz="6" w:space="0" w:color="auto"/>
              <w:bottom w:val="single" w:sz="6" w:space="0" w:color="auto"/>
            </w:tcBorders>
            <w:shd w:val="clear" w:color="auto" w:fill="386294"/>
            <w:vAlign w:val="center"/>
          </w:tcPr>
          <w:p w:rsidR="003239B8" w:rsidRPr="00ED35CB" w:rsidRDefault="003239B8" w:rsidP="00382F2A">
            <w:pPr>
              <w:jc w:val="center"/>
              <w:rPr>
                <w:rFonts w:ascii="Cambria" w:hAnsi="Cambria"/>
                <w:b/>
                <w:bCs/>
                <w:color w:val="FFFFFF" w:themeColor="background1"/>
                <w:sz w:val="20"/>
                <w:szCs w:val="20"/>
                <w:lang w:val="es-ES"/>
              </w:rPr>
            </w:pPr>
            <w:r w:rsidRPr="00ED35CB">
              <w:rPr>
                <w:rFonts w:ascii="Cambria" w:hAnsi="Cambria"/>
                <w:b/>
                <w:bCs/>
                <w:color w:val="FFFFFF" w:themeColor="background1"/>
                <w:sz w:val="20"/>
                <w:szCs w:val="20"/>
                <w:lang w:val="es-ES"/>
              </w:rPr>
              <w:t>Presentación dentro de plazo:</w:t>
            </w:r>
          </w:p>
        </w:tc>
        <w:tc>
          <w:tcPr>
            <w:tcW w:w="5143" w:type="dxa"/>
            <w:vAlign w:val="center"/>
          </w:tcPr>
          <w:p w:rsidR="003239B8" w:rsidRPr="00ED35CB" w:rsidRDefault="009305F2" w:rsidP="008520F4">
            <w:pPr>
              <w:rPr>
                <w:rFonts w:ascii="Cambria" w:hAnsi="Cambria"/>
                <w:bCs/>
                <w:sz w:val="20"/>
                <w:szCs w:val="20"/>
                <w:lang w:val="es-ES"/>
              </w:rPr>
            </w:pPr>
            <w:r w:rsidRPr="00ED35CB">
              <w:rPr>
                <w:bCs/>
                <w:sz w:val="20"/>
                <w:szCs w:val="20"/>
                <w:lang w:val="es-ES"/>
              </w:rPr>
              <w:t>Sí</w:t>
            </w:r>
            <w:r w:rsidR="00605C4A" w:rsidRPr="00ED35CB">
              <w:rPr>
                <w:bCs/>
                <w:sz w:val="20"/>
                <w:szCs w:val="20"/>
                <w:lang w:val="es-ES"/>
              </w:rPr>
              <w:t xml:space="preserve">, </w:t>
            </w:r>
            <w:r w:rsidR="008520F4" w:rsidRPr="00ED35CB">
              <w:rPr>
                <w:bCs/>
                <w:sz w:val="20"/>
                <w:szCs w:val="20"/>
                <w:lang w:val="es-ES"/>
              </w:rPr>
              <w:t>en los términos de la sección VI</w:t>
            </w:r>
          </w:p>
        </w:tc>
      </w:tr>
    </w:tbl>
    <w:p w:rsidR="00A309F9" w:rsidRDefault="00A309F9" w:rsidP="00AF497C">
      <w:pPr>
        <w:spacing w:before="240" w:after="240"/>
        <w:ind w:firstLine="720"/>
        <w:jc w:val="both"/>
        <w:rPr>
          <w:rFonts w:asciiTheme="majorHAnsi" w:hAnsiTheme="majorHAnsi"/>
          <w:b/>
          <w:sz w:val="20"/>
          <w:szCs w:val="20"/>
          <w:lang w:val="es-ES"/>
        </w:rPr>
      </w:pPr>
    </w:p>
    <w:p w:rsidR="00640CE0" w:rsidRPr="00ED35CB" w:rsidRDefault="00223A29" w:rsidP="00AF497C">
      <w:pPr>
        <w:spacing w:before="240" w:after="240"/>
        <w:ind w:firstLine="720"/>
        <w:jc w:val="both"/>
        <w:rPr>
          <w:rFonts w:asciiTheme="majorHAnsi" w:hAnsiTheme="majorHAnsi"/>
          <w:b/>
          <w:sz w:val="20"/>
          <w:szCs w:val="20"/>
          <w:lang w:val="es-ES"/>
        </w:rPr>
      </w:pPr>
      <w:r w:rsidRPr="00ED35CB">
        <w:rPr>
          <w:rFonts w:asciiTheme="majorHAnsi" w:hAnsiTheme="majorHAnsi"/>
          <w:b/>
          <w:sz w:val="20"/>
          <w:szCs w:val="20"/>
          <w:lang w:val="es-ES"/>
        </w:rPr>
        <w:lastRenderedPageBreak/>
        <w:t xml:space="preserve">V. </w:t>
      </w:r>
      <w:r w:rsidRPr="00ED35CB">
        <w:rPr>
          <w:rFonts w:asciiTheme="majorHAnsi" w:hAnsiTheme="majorHAnsi"/>
          <w:b/>
          <w:sz w:val="20"/>
          <w:szCs w:val="20"/>
          <w:lang w:val="es-ES"/>
        </w:rPr>
        <w:tab/>
      </w:r>
      <w:r w:rsidR="003239B8" w:rsidRPr="00ED35CB">
        <w:rPr>
          <w:rFonts w:asciiTheme="majorHAnsi" w:hAnsiTheme="majorHAnsi"/>
          <w:b/>
          <w:sz w:val="20"/>
          <w:szCs w:val="20"/>
          <w:lang w:val="es-ES"/>
        </w:rPr>
        <w:t xml:space="preserve">HECHOS ALEGADOS </w:t>
      </w:r>
    </w:p>
    <w:p w:rsidR="007F682F" w:rsidRPr="00ED35CB" w:rsidRDefault="0076696C" w:rsidP="007F6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La parte peticionaria denuncia violaciones</w:t>
      </w:r>
      <w:r w:rsidR="006C57C0" w:rsidRPr="00ED35CB">
        <w:rPr>
          <w:rFonts w:ascii="Cambria" w:hAnsi="Cambria"/>
          <w:sz w:val="20"/>
          <w:szCs w:val="20"/>
          <w:lang w:val="es-ES"/>
        </w:rPr>
        <w:t xml:space="preserve"> </w:t>
      </w:r>
      <w:r w:rsidR="00242AED" w:rsidRPr="00ED35CB">
        <w:rPr>
          <w:rFonts w:ascii="Cambria" w:hAnsi="Cambria"/>
          <w:sz w:val="20"/>
          <w:szCs w:val="20"/>
          <w:lang w:val="es-ES"/>
        </w:rPr>
        <w:t xml:space="preserve">a los derechos humanos de quince jubilados y cesantes </w:t>
      </w:r>
      <w:r w:rsidR="007F682F" w:rsidRPr="00ED35CB">
        <w:rPr>
          <w:rFonts w:ascii="Cambria" w:hAnsi="Cambria"/>
          <w:sz w:val="20"/>
          <w:szCs w:val="20"/>
          <w:lang w:val="es-ES"/>
        </w:rPr>
        <w:t xml:space="preserve">de la antigua </w:t>
      </w:r>
      <w:r w:rsidR="00242AED" w:rsidRPr="00ED35CB">
        <w:rPr>
          <w:rFonts w:ascii="Cambria" w:hAnsi="Cambria"/>
          <w:sz w:val="20"/>
          <w:szCs w:val="20"/>
          <w:lang w:val="es-ES"/>
        </w:rPr>
        <w:t>S</w:t>
      </w:r>
      <w:r w:rsidR="007F682F" w:rsidRPr="00ED35CB">
        <w:rPr>
          <w:rFonts w:ascii="Cambria" w:hAnsi="Cambria"/>
          <w:sz w:val="20"/>
          <w:szCs w:val="20"/>
          <w:lang w:val="es-ES"/>
        </w:rPr>
        <w:t xml:space="preserve">uperintendencia Nacional de </w:t>
      </w:r>
      <w:r w:rsidR="00242AED" w:rsidRPr="00ED35CB">
        <w:rPr>
          <w:rFonts w:ascii="Cambria" w:hAnsi="Cambria"/>
          <w:sz w:val="20"/>
          <w:szCs w:val="20"/>
          <w:lang w:val="es-ES"/>
        </w:rPr>
        <w:t>A</w:t>
      </w:r>
      <w:r w:rsidR="007F682F" w:rsidRPr="00ED35CB">
        <w:rPr>
          <w:rFonts w:ascii="Cambria" w:hAnsi="Cambria"/>
          <w:sz w:val="20"/>
          <w:szCs w:val="20"/>
          <w:lang w:val="es-ES"/>
        </w:rPr>
        <w:t>duanas, hoy llamada Superintendencia Nacional de Aduanas y Administración Tributaria (en adelante</w:t>
      </w:r>
      <w:r w:rsidR="00242AED" w:rsidRPr="00ED35CB">
        <w:rPr>
          <w:rFonts w:ascii="Cambria" w:hAnsi="Cambria"/>
          <w:sz w:val="20"/>
          <w:szCs w:val="20"/>
          <w:lang w:val="es-ES"/>
        </w:rPr>
        <w:t xml:space="preserve"> </w:t>
      </w:r>
      <w:r w:rsidR="007F682F" w:rsidRPr="00ED35CB">
        <w:rPr>
          <w:rFonts w:ascii="Cambria" w:hAnsi="Cambria"/>
          <w:sz w:val="20"/>
          <w:szCs w:val="20"/>
          <w:lang w:val="es-ES"/>
        </w:rPr>
        <w:t>“</w:t>
      </w:r>
      <w:r w:rsidR="00242AED" w:rsidRPr="00ED35CB">
        <w:rPr>
          <w:rFonts w:ascii="Cambria" w:hAnsi="Cambria"/>
          <w:sz w:val="20"/>
          <w:szCs w:val="20"/>
          <w:lang w:val="es-ES"/>
        </w:rPr>
        <w:t xml:space="preserve">la </w:t>
      </w:r>
      <w:r w:rsidR="007F682F" w:rsidRPr="00ED35CB">
        <w:rPr>
          <w:rFonts w:ascii="Cambria" w:hAnsi="Cambria"/>
          <w:sz w:val="20"/>
          <w:szCs w:val="20"/>
          <w:lang w:val="es-ES"/>
        </w:rPr>
        <w:t>SUNAT”)</w:t>
      </w:r>
      <w:r w:rsidR="00264117" w:rsidRPr="00ED35CB">
        <w:rPr>
          <w:rFonts w:ascii="Cambria" w:hAnsi="Cambria"/>
          <w:sz w:val="20"/>
          <w:szCs w:val="20"/>
          <w:lang w:val="es-ES"/>
        </w:rPr>
        <w:t>.</w:t>
      </w:r>
      <w:r w:rsidR="00242AED" w:rsidRPr="00ED35CB">
        <w:rPr>
          <w:rFonts w:ascii="Cambria" w:hAnsi="Cambria"/>
          <w:sz w:val="20"/>
          <w:szCs w:val="20"/>
          <w:lang w:val="es-ES"/>
        </w:rPr>
        <w:t xml:space="preserve"> Alegan fundamentalmente que estas personas </w:t>
      </w:r>
      <w:r w:rsidR="00264117" w:rsidRPr="00ED35CB">
        <w:rPr>
          <w:rFonts w:ascii="Cambria" w:hAnsi="Cambria"/>
          <w:sz w:val="20"/>
          <w:szCs w:val="20"/>
          <w:lang w:val="es-ES"/>
        </w:rPr>
        <w:t>no han recibido correctamente el pago de sus pensi</w:t>
      </w:r>
      <w:r w:rsidR="006C57C0" w:rsidRPr="00ED35CB">
        <w:rPr>
          <w:rFonts w:ascii="Cambria" w:hAnsi="Cambria"/>
          <w:sz w:val="20"/>
          <w:szCs w:val="20"/>
          <w:lang w:val="es-ES"/>
        </w:rPr>
        <w:t xml:space="preserve">ones por parte de la </w:t>
      </w:r>
      <w:r w:rsidR="00242AED" w:rsidRPr="00ED35CB">
        <w:rPr>
          <w:rFonts w:ascii="Cambria" w:hAnsi="Cambria"/>
          <w:sz w:val="20"/>
          <w:szCs w:val="20"/>
          <w:lang w:val="es-ES"/>
        </w:rPr>
        <w:t>SUNAT,</w:t>
      </w:r>
      <w:r w:rsidR="006C57C0" w:rsidRPr="00ED35CB">
        <w:rPr>
          <w:rFonts w:ascii="Cambria" w:hAnsi="Cambria"/>
          <w:sz w:val="20"/>
          <w:szCs w:val="20"/>
          <w:lang w:val="es-ES"/>
        </w:rPr>
        <w:t xml:space="preserve"> pese</w:t>
      </w:r>
      <w:r w:rsidR="00264117" w:rsidRPr="00ED35CB">
        <w:rPr>
          <w:rFonts w:ascii="Cambria" w:hAnsi="Cambria"/>
          <w:sz w:val="20"/>
          <w:szCs w:val="20"/>
          <w:lang w:val="es-ES"/>
        </w:rPr>
        <w:t xml:space="preserve"> a tener a su favor una </w:t>
      </w:r>
      <w:r w:rsidR="00EC04DD" w:rsidRPr="00ED35CB">
        <w:rPr>
          <w:rFonts w:ascii="Cambria" w:hAnsi="Cambria"/>
          <w:sz w:val="20"/>
          <w:szCs w:val="20"/>
          <w:lang w:val="es-ES"/>
        </w:rPr>
        <w:t>r</w:t>
      </w:r>
      <w:r w:rsidR="00264117" w:rsidRPr="00ED35CB">
        <w:rPr>
          <w:rFonts w:ascii="Cambria" w:hAnsi="Cambria"/>
          <w:sz w:val="20"/>
          <w:szCs w:val="20"/>
          <w:lang w:val="es-ES"/>
        </w:rPr>
        <w:t xml:space="preserve">esolución constituida como cosa juzgada. </w:t>
      </w:r>
      <w:r w:rsidR="00EC04DD" w:rsidRPr="00ED35CB">
        <w:rPr>
          <w:rFonts w:ascii="Cambria" w:hAnsi="Cambria"/>
          <w:sz w:val="20"/>
          <w:szCs w:val="20"/>
          <w:lang w:val="es-ES"/>
        </w:rPr>
        <w:t>Aducen</w:t>
      </w:r>
      <w:r w:rsidR="00264117" w:rsidRPr="00ED35CB">
        <w:rPr>
          <w:rFonts w:ascii="Cambria" w:hAnsi="Cambria"/>
          <w:sz w:val="20"/>
          <w:szCs w:val="20"/>
          <w:lang w:val="es-ES"/>
        </w:rPr>
        <w:t xml:space="preserve"> que llevan más de </w:t>
      </w:r>
      <w:r w:rsidR="00ED35CB" w:rsidRPr="00ED35CB">
        <w:rPr>
          <w:rFonts w:ascii="Cambria" w:hAnsi="Cambria"/>
          <w:sz w:val="20"/>
          <w:szCs w:val="20"/>
          <w:lang w:val="es-ES"/>
        </w:rPr>
        <w:t>dieciséis</w:t>
      </w:r>
      <w:r w:rsidR="00264117" w:rsidRPr="00ED35CB">
        <w:rPr>
          <w:rFonts w:ascii="Cambria" w:hAnsi="Cambria"/>
          <w:sz w:val="20"/>
          <w:szCs w:val="20"/>
          <w:lang w:val="es-ES"/>
        </w:rPr>
        <w:t xml:space="preserve"> años intentando ejecutar </w:t>
      </w:r>
      <w:r w:rsidR="00EC04DD" w:rsidRPr="00ED35CB">
        <w:rPr>
          <w:rFonts w:ascii="Cambria" w:hAnsi="Cambria"/>
          <w:sz w:val="20"/>
          <w:szCs w:val="20"/>
          <w:lang w:val="es-ES"/>
        </w:rPr>
        <w:t>dicha resolución</w:t>
      </w:r>
      <w:r w:rsidR="00264117" w:rsidRPr="00ED35CB">
        <w:rPr>
          <w:rFonts w:ascii="Cambria" w:hAnsi="Cambria"/>
          <w:sz w:val="20"/>
          <w:szCs w:val="20"/>
          <w:lang w:val="es-ES"/>
        </w:rPr>
        <w:t xml:space="preserve"> y que el Poder Judicial peruano ha contravenido fallos judiciales, dejándolos sin protecci</w:t>
      </w:r>
      <w:r w:rsidR="004D5463" w:rsidRPr="00ED35CB">
        <w:rPr>
          <w:rFonts w:ascii="Cambria" w:hAnsi="Cambria"/>
          <w:sz w:val="20"/>
          <w:szCs w:val="20"/>
          <w:lang w:val="es-ES"/>
        </w:rPr>
        <w:t>ón</w:t>
      </w:r>
      <w:r w:rsidR="006C57C0" w:rsidRPr="00ED35CB">
        <w:rPr>
          <w:rFonts w:ascii="Cambria" w:hAnsi="Cambria"/>
          <w:sz w:val="20"/>
          <w:szCs w:val="20"/>
          <w:lang w:val="es-ES"/>
        </w:rPr>
        <w:t xml:space="preserve"> alguna, como parte de </w:t>
      </w:r>
      <w:r w:rsidR="00EC04DD" w:rsidRPr="00ED35CB">
        <w:rPr>
          <w:rFonts w:ascii="Cambria" w:hAnsi="Cambria"/>
          <w:sz w:val="20"/>
          <w:szCs w:val="20"/>
          <w:lang w:val="es-ES"/>
        </w:rPr>
        <w:t>un patrón sistemático</w:t>
      </w:r>
      <w:r w:rsidR="006C57C0" w:rsidRPr="00ED35CB">
        <w:rPr>
          <w:rFonts w:ascii="Cambria" w:hAnsi="Cambria"/>
          <w:sz w:val="20"/>
          <w:szCs w:val="20"/>
          <w:lang w:val="es-ES"/>
        </w:rPr>
        <w:t xml:space="preserve"> </w:t>
      </w:r>
      <w:r w:rsidR="00EC04DD" w:rsidRPr="00ED35CB">
        <w:rPr>
          <w:rFonts w:ascii="Cambria" w:hAnsi="Cambria"/>
          <w:sz w:val="20"/>
          <w:szCs w:val="20"/>
          <w:lang w:val="es-ES"/>
        </w:rPr>
        <w:t>de</w:t>
      </w:r>
      <w:r w:rsidR="006C57C0" w:rsidRPr="00ED35CB">
        <w:rPr>
          <w:rFonts w:ascii="Cambria" w:hAnsi="Cambria"/>
          <w:sz w:val="20"/>
          <w:szCs w:val="20"/>
          <w:lang w:val="es-ES"/>
        </w:rPr>
        <w:t xml:space="preserve">l </w:t>
      </w:r>
      <w:r w:rsidR="004D5463" w:rsidRPr="00ED35CB">
        <w:rPr>
          <w:rFonts w:ascii="Cambria" w:hAnsi="Cambria"/>
          <w:sz w:val="20"/>
          <w:szCs w:val="20"/>
          <w:lang w:val="es-ES"/>
        </w:rPr>
        <w:t xml:space="preserve">Estado contra </w:t>
      </w:r>
      <w:r w:rsidR="00EC04DD" w:rsidRPr="00ED35CB">
        <w:rPr>
          <w:rFonts w:ascii="Cambria" w:hAnsi="Cambria"/>
          <w:sz w:val="20"/>
          <w:szCs w:val="20"/>
          <w:lang w:val="es-ES"/>
        </w:rPr>
        <w:t xml:space="preserve">los </w:t>
      </w:r>
      <w:r w:rsidR="004D5463" w:rsidRPr="00ED35CB">
        <w:rPr>
          <w:rFonts w:ascii="Cambria" w:hAnsi="Cambria"/>
          <w:sz w:val="20"/>
          <w:szCs w:val="20"/>
          <w:lang w:val="es-ES"/>
        </w:rPr>
        <w:t xml:space="preserve">jubilados. </w:t>
      </w:r>
    </w:p>
    <w:p w:rsidR="006B035D" w:rsidRPr="00ED35CB" w:rsidRDefault="00AB7397" w:rsidP="006B035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Según se indica en la petición, l</w:t>
      </w:r>
      <w:r w:rsidR="00F810CB" w:rsidRPr="00ED35CB">
        <w:rPr>
          <w:rFonts w:ascii="Cambria" w:hAnsi="Cambria"/>
          <w:sz w:val="20"/>
          <w:szCs w:val="20"/>
          <w:lang w:val="es-ES"/>
        </w:rPr>
        <w:t xml:space="preserve">as presuntas víctimas cesaron sus funciones entre 1989 y 1992 </w:t>
      </w:r>
      <w:r w:rsidR="00482B26" w:rsidRPr="00ED35CB">
        <w:rPr>
          <w:rFonts w:ascii="Cambria" w:hAnsi="Cambria"/>
          <w:sz w:val="20"/>
          <w:szCs w:val="20"/>
          <w:lang w:val="es-ES"/>
        </w:rPr>
        <w:t>acogiéndose al</w:t>
      </w:r>
      <w:r w:rsidR="00B739FA" w:rsidRPr="00ED35CB">
        <w:rPr>
          <w:rFonts w:ascii="Cambria" w:hAnsi="Cambria"/>
          <w:sz w:val="20"/>
          <w:szCs w:val="20"/>
          <w:lang w:val="es-ES"/>
        </w:rPr>
        <w:t xml:space="preserve"> cese voluntario dispuesto y regulado por </w:t>
      </w:r>
      <w:r w:rsidR="00F810CB" w:rsidRPr="00ED35CB">
        <w:rPr>
          <w:rFonts w:ascii="Cambria" w:hAnsi="Cambria"/>
          <w:sz w:val="20"/>
          <w:szCs w:val="20"/>
          <w:lang w:val="es-ES"/>
        </w:rPr>
        <w:t>el Decreto Legislativo No</w:t>
      </w:r>
      <w:r w:rsidR="00482B26" w:rsidRPr="00ED35CB">
        <w:rPr>
          <w:rFonts w:ascii="Cambria" w:hAnsi="Cambria"/>
          <w:sz w:val="20"/>
          <w:szCs w:val="20"/>
          <w:lang w:val="es-ES"/>
        </w:rPr>
        <w:t>.</w:t>
      </w:r>
      <w:r w:rsidR="00F810CB" w:rsidRPr="00ED35CB">
        <w:rPr>
          <w:rFonts w:ascii="Cambria" w:hAnsi="Cambria"/>
          <w:sz w:val="20"/>
          <w:szCs w:val="20"/>
          <w:lang w:val="es-ES"/>
        </w:rPr>
        <w:t xml:space="preserve"> 680 (en adelante “</w:t>
      </w:r>
      <w:r w:rsidR="00482B26" w:rsidRPr="00ED35CB">
        <w:rPr>
          <w:rFonts w:ascii="Cambria" w:hAnsi="Cambria"/>
          <w:sz w:val="20"/>
          <w:szCs w:val="20"/>
          <w:lang w:val="es-ES"/>
        </w:rPr>
        <w:t xml:space="preserve">el </w:t>
      </w:r>
      <w:r w:rsidR="00F810CB" w:rsidRPr="00ED35CB">
        <w:rPr>
          <w:rFonts w:ascii="Cambria" w:hAnsi="Cambria"/>
          <w:sz w:val="20"/>
          <w:szCs w:val="20"/>
          <w:lang w:val="es-ES"/>
        </w:rPr>
        <w:t>Decreto 680”)</w:t>
      </w:r>
      <w:r w:rsidR="00B739FA" w:rsidRPr="00ED35CB">
        <w:rPr>
          <w:rFonts w:ascii="Cambria" w:hAnsi="Cambria"/>
          <w:sz w:val="20"/>
          <w:szCs w:val="20"/>
          <w:lang w:val="es-ES"/>
        </w:rPr>
        <w:t xml:space="preserve">, </w:t>
      </w:r>
      <w:r w:rsidR="00482B26" w:rsidRPr="00ED35CB">
        <w:rPr>
          <w:rFonts w:ascii="Cambria" w:hAnsi="Cambria"/>
          <w:sz w:val="20"/>
          <w:szCs w:val="20"/>
          <w:lang w:val="es-ES"/>
        </w:rPr>
        <w:t>pasando a ser</w:t>
      </w:r>
      <w:r w:rsidR="00CC6078" w:rsidRPr="00ED35CB">
        <w:rPr>
          <w:rFonts w:ascii="Cambria" w:hAnsi="Cambria"/>
          <w:sz w:val="20"/>
          <w:szCs w:val="20"/>
          <w:lang w:val="es-ES"/>
        </w:rPr>
        <w:t xml:space="preserve"> pensionistas bajo el</w:t>
      </w:r>
      <w:r w:rsidR="00B739FA" w:rsidRPr="00ED35CB">
        <w:rPr>
          <w:rFonts w:ascii="Cambria" w:hAnsi="Cambria"/>
          <w:sz w:val="20"/>
          <w:szCs w:val="20"/>
          <w:lang w:val="es-ES"/>
        </w:rPr>
        <w:t xml:space="preserve"> régimen del Decreto Ley No</w:t>
      </w:r>
      <w:r w:rsidR="00482B26" w:rsidRPr="00ED35CB">
        <w:rPr>
          <w:rFonts w:ascii="Cambria" w:hAnsi="Cambria"/>
          <w:sz w:val="20"/>
          <w:szCs w:val="20"/>
          <w:lang w:val="es-ES"/>
        </w:rPr>
        <w:t>.</w:t>
      </w:r>
      <w:r w:rsidR="00B739FA" w:rsidRPr="00ED35CB">
        <w:rPr>
          <w:rFonts w:ascii="Cambria" w:hAnsi="Cambria"/>
          <w:sz w:val="20"/>
          <w:szCs w:val="20"/>
          <w:lang w:val="es-ES"/>
        </w:rPr>
        <w:t xml:space="preserve"> 20530</w:t>
      </w:r>
      <w:r w:rsidR="0091414A" w:rsidRPr="00ED35CB">
        <w:rPr>
          <w:rFonts w:ascii="Cambria" w:hAnsi="Cambria"/>
          <w:sz w:val="20"/>
          <w:szCs w:val="20"/>
          <w:lang w:val="es-ES"/>
        </w:rPr>
        <w:t xml:space="preserve">, el cual disponía la nivelación de sus pensiones de cesantía y jubilación con las remuneraciones de los servidores en actividad de la misma entidad en </w:t>
      </w:r>
      <w:r w:rsidR="00482B26" w:rsidRPr="00ED35CB">
        <w:rPr>
          <w:rFonts w:ascii="Cambria" w:hAnsi="Cambria"/>
          <w:sz w:val="20"/>
          <w:szCs w:val="20"/>
          <w:lang w:val="es-ES"/>
        </w:rPr>
        <w:t>la que habían trabajado</w:t>
      </w:r>
      <w:r w:rsidR="0091414A" w:rsidRPr="00ED35CB">
        <w:rPr>
          <w:rFonts w:ascii="Cambria" w:hAnsi="Cambria"/>
          <w:sz w:val="20"/>
          <w:szCs w:val="20"/>
          <w:lang w:val="es-ES"/>
        </w:rPr>
        <w:t>.</w:t>
      </w:r>
      <w:r w:rsidR="006B035D" w:rsidRPr="00ED35CB">
        <w:rPr>
          <w:rFonts w:ascii="Cambria" w:hAnsi="Cambria"/>
          <w:sz w:val="20"/>
          <w:szCs w:val="20"/>
          <w:lang w:val="es-ES"/>
        </w:rPr>
        <w:t xml:space="preserve"> </w:t>
      </w:r>
      <w:r w:rsidR="00482B26" w:rsidRPr="00ED35CB">
        <w:rPr>
          <w:rFonts w:ascii="Cambria" w:hAnsi="Cambria"/>
          <w:sz w:val="20"/>
          <w:szCs w:val="20"/>
          <w:lang w:val="es-ES"/>
        </w:rPr>
        <w:t xml:space="preserve">No obstante, </w:t>
      </w:r>
      <w:r w:rsidR="006B035D" w:rsidRPr="00ED35CB">
        <w:rPr>
          <w:rFonts w:ascii="Cambria" w:hAnsi="Cambria"/>
          <w:sz w:val="20"/>
          <w:szCs w:val="20"/>
          <w:lang w:val="es-ES"/>
        </w:rPr>
        <w:t xml:space="preserve">la </w:t>
      </w:r>
      <w:r w:rsidR="00242AED" w:rsidRPr="00ED35CB">
        <w:rPr>
          <w:rFonts w:ascii="Cambria" w:hAnsi="Cambria"/>
          <w:sz w:val="20"/>
          <w:szCs w:val="20"/>
          <w:lang w:val="es-ES"/>
        </w:rPr>
        <w:t>SUNAT</w:t>
      </w:r>
      <w:r w:rsidR="006B035D" w:rsidRPr="00ED35CB">
        <w:rPr>
          <w:rFonts w:ascii="Cambria" w:hAnsi="Cambria"/>
          <w:sz w:val="20"/>
          <w:szCs w:val="20"/>
          <w:lang w:val="es-ES"/>
        </w:rPr>
        <w:t xml:space="preserve"> </w:t>
      </w:r>
      <w:r w:rsidR="00482B26" w:rsidRPr="00ED35CB">
        <w:rPr>
          <w:rFonts w:ascii="Cambria" w:hAnsi="Cambria"/>
          <w:sz w:val="20"/>
          <w:szCs w:val="20"/>
          <w:lang w:val="es-ES"/>
        </w:rPr>
        <w:t>habría hecho</w:t>
      </w:r>
      <w:r w:rsidR="006B035D" w:rsidRPr="00ED35CB">
        <w:rPr>
          <w:rFonts w:ascii="Cambria" w:hAnsi="Cambria"/>
          <w:sz w:val="20"/>
          <w:szCs w:val="20"/>
          <w:lang w:val="es-ES"/>
        </w:rPr>
        <w:t xml:space="preserve"> una interpretación retroactiva del Decreto 680, en su artículo 6 </w:t>
      </w:r>
      <w:proofErr w:type="gramStart"/>
      <w:r w:rsidR="006B035D" w:rsidRPr="00ED35CB">
        <w:rPr>
          <w:rFonts w:ascii="Cambria" w:hAnsi="Cambria"/>
          <w:sz w:val="20"/>
          <w:szCs w:val="20"/>
          <w:lang w:val="es-ES"/>
        </w:rPr>
        <w:t>inciso</w:t>
      </w:r>
      <w:proofErr w:type="gramEnd"/>
      <w:r w:rsidR="006B035D" w:rsidRPr="00ED35CB">
        <w:rPr>
          <w:rFonts w:ascii="Cambria" w:hAnsi="Cambria"/>
          <w:sz w:val="20"/>
          <w:szCs w:val="20"/>
          <w:lang w:val="es-ES"/>
        </w:rPr>
        <w:t xml:space="preserve"> c) y de su </w:t>
      </w:r>
      <w:r w:rsidR="00482B26" w:rsidRPr="00ED35CB">
        <w:rPr>
          <w:rFonts w:ascii="Cambria" w:hAnsi="Cambria"/>
          <w:sz w:val="20"/>
          <w:szCs w:val="20"/>
          <w:lang w:val="es-ES"/>
        </w:rPr>
        <w:t>s</w:t>
      </w:r>
      <w:r w:rsidR="006B035D" w:rsidRPr="00ED35CB">
        <w:rPr>
          <w:rFonts w:ascii="Cambria" w:hAnsi="Cambria"/>
          <w:sz w:val="20"/>
          <w:szCs w:val="20"/>
          <w:lang w:val="es-ES"/>
        </w:rPr>
        <w:t xml:space="preserve">egunda </w:t>
      </w:r>
      <w:r w:rsidR="00482B26" w:rsidRPr="00ED35CB">
        <w:rPr>
          <w:rFonts w:ascii="Cambria" w:hAnsi="Cambria"/>
          <w:sz w:val="20"/>
          <w:szCs w:val="20"/>
          <w:lang w:val="es-ES"/>
        </w:rPr>
        <w:t>d</w:t>
      </w:r>
      <w:r w:rsidR="006B035D" w:rsidRPr="00ED35CB">
        <w:rPr>
          <w:rFonts w:ascii="Cambria" w:hAnsi="Cambria"/>
          <w:sz w:val="20"/>
          <w:szCs w:val="20"/>
          <w:lang w:val="es-ES"/>
        </w:rPr>
        <w:t xml:space="preserve">isposición </w:t>
      </w:r>
      <w:r w:rsidR="00482B26" w:rsidRPr="00ED35CB">
        <w:rPr>
          <w:rFonts w:ascii="Cambria" w:hAnsi="Cambria"/>
          <w:sz w:val="20"/>
          <w:szCs w:val="20"/>
          <w:lang w:val="es-ES"/>
        </w:rPr>
        <w:t>t</w:t>
      </w:r>
      <w:r w:rsidR="006B035D" w:rsidRPr="00ED35CB">
        <w:rPr>
          <w:rFonts w:ascii="Cambria" w:hAnsi="Cambria"/>
          <w:sz w:val="20"/>
          <w:szCs w:val="20"/>
          <w:lang w:val="es-ES"/>
        </w:rPr>
        <w:t>ransitoria</w:t>
      </w:r>
      <w:r w:rsidR="00482B26" w:rsidRPr="00ED35CB">
        <w:rPr>
          <w:rFonts w:ascii="Cambria" w:hAnsi="Cambria"/>
          <w:sz w:val="20"/>
          <w:szCs w:val="20"/>
          <w:lang w:val="es-ES"/>
        </w:rPr>
        <w:t>, en el sentido de desconocer</w:t>
      </w:r>
      <w:r w:rsidR="006B035D" w:rsidRPr="00ED35CB">
        <w:rPr>
          <w:rFonts w:ascii="Cambria" w:hAnsi="Cambria"/>
          <w:sz w:val="20"/>
          <w:szCs w:val="20"/>
          <w:lang w:val="es-ES"/>
        </w:rPr>
        <w:t xml:space="preserve"> el </w:t>
      </w:r>
      <w:r w:rsidR="00482B26" w:rsidRPr="00ED35CB">
        <w:rPr>
          <w:rFonts w:ascii="Cambria" w:hAnsi="Cambria"/>
          <w:sz w:val="20"/>
          <w:szCs w:val="20"/>
          <w:lang w:val="es-ES"/>
        </w:rPr>
        <w:t xml:space="preserve">mencionado </w:t>
      </w:r>
      <w:r w:rsidR="006B035D" w:rsidRPr="00ED35CB">
        <w:rPr>
          <w:rFonts w:ascii="Cambria" w:hAnsi="Cambria"/>
          <w:sz w:val="20"/>
          <w:szCs w:val="20"/>
          <w:lang w:val="es-ES"/>
        </w:rPr>
        <w:t>beneficio de nivelación</w:t>
      </w:r>
      <w:r w:rsidR="00482B26" w:rsidRPr="00ED35CB">
        <w:rPr>
          <w:rFonts w:ascii="Cambria" w:hAnsi="Cambria"/>
          <w:sz w:val="20"/>
          <w:szCs w:val="20"/>
          <w:lang w:val="es-ES"/>
        </w:rPr>
        <w:t xml:space="preserve"> de las presuntas víctimas</w:t>
      </w:r>
      <w:r w:rsidR="006B035D" w:rsidRPr="00ED35CB">
        <w:rPr>
          <w:rFonts w:ascii="Cambria" w:hAnsi="Cambria"/>
          <w:sz w:val="20"/>
          <w:szCs w:val="20"/>
          <w:lang w:val="es-ES"/>
        </w:rPr>
        <w:t>.</w:t>
      </w:r>
    </w:p>
    <w:p w:rsidR="00B739FA" w:rsidRPr="00ED35CB" w:rsidRDefault="00B56035" w:rsidP="00B739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Frente a esta</w:t>
      </w:r>
      <w:r w:rsidR="007078A3" w:rsidRPr="00ED35CB">
        <w:rPr>
          <w:rFonts w:ascii="Cambria" w:hAnsi="Cambria"/>
          <w:sz w:val="20"/>
          <w:szCs w:val="20"/>
          <w:lang w:val="es-ES"/>
        </w:rPr>
        <w:t xml:space="preserve"> situación, </w:t>
      </w:r>
      <w:r w:rsidR="00580D84" w:rsidRPr="00ED35CB">
        <w:rPr>
          <w:rFonts w:ascii="Cambria" w:hAnsi="Cambria"/>
          <w:sz w:val="20"/>
          <w:szCs w:val="20"/>
          <w:lang w:val="es-ES"/>
        </w:rPr>
        <w:t xml:space="preserve">el 3 de mayo de 1995 </w:t>
      </w:r>
      <w:r w:rsidRPr="00ED35CB">
        <w:rPr>
          <w:rFonts w:ascii="Cambria" w:hAnsi="Cambria"/>
          <w:sz w:val="20"/>
          <w:szCs w:val="20"/>
          <w:lang w:val="es-ES"/>
        </w:rPr>
        <w:t>sesenta y cinco</w:t>
      </w:r>
      <w:r w:rsidR="00B739FA" w:rsidRPr="00ED35CB">
        <w:rPr>
          <w:rFonts w:ascii="Cambria" w:hAnsi="Cambria"/>
          <w:sz w:val="20"/>
          <w:szCs w:val="20"/>
          <w:lang w:val="es-ES"/>
        </w:rPr>
        <w:t xml:space="preserve"> </w:t>
      </w:r>
      <w:r w:rsidRPr="00ED35CB">
        <w:rPr>
          <w:rFonts w:ascii="Cambria" w:hAnsi="Cambria"/>
          <w:sz w:val="20"/>
          <w:szCs w:val="20"/>
          <w:lang w:val="es-ES"/>
        </w:rPr>
        <w:t>miembros</w:t>
      </w:r>
      <w:r w:rsidR="00B739FA" w:rsidRPr="00ED35CB">
        <w:rPr>
          <w:rFonts w:ascii="Cambria" w:hAnsi="Cambria"/>
          <w:sz w:val="20"/>
          <w:szCs w:val="20"/>
          <w:lang w:val="es-ES"/>
        </w:rPr>
        <w:t xml:space="preserve"> de la Asociación Nacional de Trabajadores Cesantes y Jubilados de la Superintendencia Nacional de Aduanas (en adelante “ANAT-</w:t>
      </w:r>
      <w:r w:rsidR="00242AED" w:rsidRPr="00ED35CB">
        <w:rPr>
          <w:rFonts w:ascii="Cambria" w:hAnsi="Cambria"/>
          <w:sz w:val="20"/>
          <w:szCs w:val="20"/>
          <w:lang w:val="es-ES"/>
        </w:rPr>
        <w:t>SUNAT</w:t>
      </w:r>
      <w:r w:rsidR="00B739FA" w:rsidRPr="00ED35CB">
        <w:rPr>
          <w:rFonts w:ascii="Cambria" w:hAnsi="Cambria"/>
          <w:sz w:val="20"/>
          <w:szCs w:val="20"/>
          <w:lang w:val="es-ES"/>
        </w:rPr>
        <w:t xml:space="preserve">”), incluidas </w:t>
      </w:r>
      <w:r w:rsidR="007078A3" w:rsidRPr="00ED35CB">
        <w:rPr>
          <w:rFonts w:ascii="Cambria" w:hAnsi="Cambria"/>
          <w:sz w:val="20"/>
          <w:szCs w:val="20"/>
          <w:lang w:val="es-ES"/>
        </w:rPr>
        <w:t>las presuntas víctimas</w:t>
      </w:r>
      <w:r w:rsidR="00B739FA" w:rsidRPr="00ED35CB">
        <w:rPr>
          <w:rFonts w:ascii="Cambria" w:hAnsi="Cambria"/>
          <w:sz w:val="20"/>
          <w:szCs w:val="20"/>
          <w:lang w:val="es-ES"/>
        </w:rPr>
        <w:t>,</w:t>
      </w:r>
      <w:r w:rsidR="007078A3" w:rsidRPr="00ED35CB">
        <w:rPr>
          <w:rFonts w:ascii="Cambria" w:hAnsi="Cambria"/>
          <w:sz w:val="20"/>
          <w:szCs w:val="20"/>
          <w:lang w:val="es-ES"/>
        </w:rPr>
        <w:t xml:space="preserve"> </w:t>
      </w:r>
      <w:r w:rsidR="00B739FA" w:rsidRPr="00ED35CB">
        <w:rPr>
          <w:rFonts w:ascii="Cambria" w:hAnsi="Cambria"/>
          <w:sz w:val="20"/>
          <w:szCs w:val="20"/>
          <w:lang w:val="es-ES"/>
        </w:rPr>
        <w:t>impusieron una</w:t>
      </w:r>
      <w:r w:rsidR="007078A3" w:rsidRPr="00ED35CB">
        <w:rPr>
          <w:rFonts w:ascii="Cambria" w:hAnsi="Cambria"/>
          <w:sz w:val="20"/>
          <w:szCs w:val="20"/>
          <w:lang w:val="es-ES"/>
        </w:rPr>
        <w:t xml:space="preserve"> </w:t>
      </w:r>
      <w:r w:rsidR="00580D84" w:rsidRPr="00ED35CB">
        <w:rPr>
          <w:rFonts w:ascii="Cambria" w:hAnsi="Cambria"/>
          <w:sz w:val="20"/>
          <w:szCs w:val="20"/>
          <w:lang w:val="es-ES"/>
        </w:rPr>
        <w:t>demanda de amparo</w:t>
      </w:r>
      <w:r w:rsidR="00B739FA" w:rsidRPr="00ED35CB">
        <w:rPr>
          <w:rFonts w:ascii="Cambria" w:hAnsi="Cambria"/>
          <w:sz w:val="20"/>
          <w:szCs w:val="20"/>
          <w:lang w:val="es-ES"/>
        </w:rPr>
        <w:t xml:space="preserve"> ante el Tercer Juzgado Especializado en los Civil del Callao (en adelante “TJECC”)</w:t>
      </w:r>
      <w:r w:rsidRPr="00ED35CB">
        <w:rPr>
          <w:rFonts w:ascii="Cambria" w:hAnsi="Cambria"/>
          <w:sz w:val="20"/>
          <w:szCs w:val="20"/>
          <w:lang w:val="es-ES"/>
        </w:rPr>
        <w:t>,</w:t>
      </w:r>
      <w:r w:rsidR="007078A3" w:rsidRPr="00ED35CB">
        <w:rPr>
          <w:rFonts w:ascii="Cambria" w:hAnsi="Cambria"/>
          <w:sz w:val="20"/>
          <w:szCs w:val="20"/>
          <w:lang w:val="es-ES"/>
        </w:rPr>
        <w:t xml:space="preserve"> expediente No 240-1995</w:t>
      </w:r>
      <w:r w:rsidR="00B739FA" w:rsidRPr="00ED35CB">
        <w:rPr>
          <w:rFonts w:ascii="Cambria" w:hAnsi="Cambria"/>
          <w:sz w:val="20"/>
          <w:szCs w:val="20"/>
          <w:lang w:val="es-ES"/>
        </w:rPr>
        <w:t>,</w:t>
      </w:r>
      <w:r w:rsidR="007078A3" w:rsidRPr="00ED35CB">
        <w:rPr>
          <w:rFonts w:ascii="Cambria" w:hAnsi="Cambria"/>
          <w:sz w:val="20"/>
          <w:szCs w:val="20"/>
          <w:lang w:val="es-ES"/>
        </w:rPr>
        <w:t xml:space="preserve"> </w:t>
      </w:r>
      <w:r w:rsidRPr="00ED35CB">
        <w:rPr>
          <w:rFonts w:ascii="Cambria" w:hAnsi="Cambria"/>
          <w:sz w:val="20"/>
          <w:szCs w:val="20"/>
          <w:lang w:val="es-ES"/>
        </w:rPr>
        <w:t>solicitando</w:t>
      </w:r>
      <w:r w:rsidR="007078A3" w:rsidRPr="00ED35CB">
        <w:rPr>
          <w:rFonts w:ascii="Cambria" w:hAnsi="Cambria"/>
          <w:sz w:val="20"/>
          <w:szCs w:val="20"/>
          <w:lang w:val="es-ES"/>
        </w:rPr>
        <w:t xml:space="preserve"> la inaplicación del Decreto 680 y la nivelación de sus pensiones con las de los trabajadores en actividad de la SUNAT.</w:t>
      </w:r>
      <w:r w:rsidR="00B739FA" w:rsidRPr="00ED35CB">
        <w:rPr>
          <w:rFonts w:ascii="Cambria" w:hAnsi="Cambria"/>
          <w:sz w:val="20"/>
          <w:szCs w:val="20"/>
          <w:lang w:val="es-ES"/>
        </w:rPr>
        <w:t xml:space="preserve"> </w:t>
      </w:r>
      <w:r w:rsidR="004B0890" w:rsidRPr="00ED35CB">
        <w:rPr>
          <w:rFonts w:ascii="Cambria" w:hAnsi="Cambria"/>
          <w:sz w:val="20"/>
          <w:szCs w:val="20"/>
          <w:lang w:val="es-ES"/>
        </w:rPr>
        <w:t>No obstante, esta instancia declaró improcedente la acción de amparo mediante</w:t>
      </w:r>
      <w:r w:rsidR="00B739FA" w:rsidRPr="00ED35CB">
        <w:rPr>
          <w:rFonts w:ascii="Cambria" w:hAnsi="Cambria"/>
          <w:sz w:val="20"/>
          <w:szCs w:val="20"/>
          <w:lang w:val="es-ES"/>
        </w:rPr>
        <w:t xml:space="preserve"> Resolución No. 6 del 17 de julio de 1995</w:t>
      </w:r>
      <w:r w:rsidR="00CE4EBF" w:rsidRPr="00ED35CB">
        <w:rPr>
          <w:rFonts w:ascii="Cambria" w:hAnsi="Cambria"/>
          <w:sz w:val="20"/>
          <w:szCs w:val="20"/>
          <w:lang w:val="es-ES"/>
        </w:rPr>
        <w:t>.</w:t>
      </w:r>
    </w:p>
    <w:p w:rsidR="007078A3" w:rsidRPr="00ED35CB" w:rsidRDefault="00EA02E4" w:rsidP="00661F6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Esta</w:t>
      </w:r>
      <w:r w:rsidR="00A84A7C" w:rsidRPr="00ED35CB">
        <w:rPr>
          <w:rFonts w:ascii="Cambria" w:hAnsi="Cambria"/>
          <w:sz w:val="20"/>
          <w:szCs w:val="20"/>
          <w:lang w:val="es-ES"/>
        </w:rPr>
        <w:t xml:space="preserve"> r</w:t>
      </w:r>
      <w:r w:rsidR="006B035D" w:rsidRPr="00ED35CB">
        <w:rPr>
          <w:rFonts w:ascii="Cambria" w:hAnsi="Cambria"/>
          <w:sz w:val="20"/>
          <w:szCs w:val="20"/>
          <w:lang w:val="es-ES"/>
        </w:rPr>
        <w:t>esolución fue ape</w:t>
      </w:r>
      <w:r w:rsidR="00CE4EBF" w:rsidRPr="00ED35CB">
        <w:rPr>
          <w:rFonts w:ascii="Cambria" w:hAnsi="Cambria"/>
          <w:sz w:val="20"/>
          <w:szCs w:val="20"/>
          <w:lang w:val="es-ES"/>
        </w:rPr>
        <w:t>l</w:t>
      </w:r>
      <w:r w:rsidR="006B035D" w:rsidRPr="00ED35CB">
        <w:rPr>
          <w:rFonts w:ascii="Cambria" w:hAnsi="Cambria"/>
          <w:sz w:val="20"/>
          <w:szCs w:val="20"/>
          <w:lang w:val="es-ES"/>
        </w:rPr>
        <w:t xml:space="preserve">ada por las presuntas víctimas </w:t>
      </w:r>
      <w:r w:rsidR="00D400F1" w:rsidRPr="00ED35CB">
        <w:rPr>
          <w:rFonts w:ascii="Cambria" w:hAnsi="Cambria"/>
          <w:sz w:val="20"/>
          <w:szCs w:val="20"/>
          <w:lang w:val="es-ES"/>
        </w:rPr>
        <w:t>ante la</w:t>
      </w:r>
      <w:r w:rsidR="006B035D" w:rsidRPr="00ED35CB">
        <w:rPr>
          <w:rFonts w:ascii="Cambria" w:hAnsi="Cambria"/>
          <w:sz w:val="20"/>
          <w:szCs w:val="20"/>
          <w:lang w:val="es-ES"/>
        </w:rPr>
        <w:t xml:space="preserve"> Sala Civil de la Corte Superior del Callao, </w:t>
      </w:r>
      <w:r w:rsidR="00CC6078" w:rsidRPr="00ED35CB">
        <w:rPr>
          <w:rFonts w:ascii="Cambria" w:hAnsi="Cambria"/>
          <w:sz w:val="20"/>
          <w:szCs w:val="20"/>
          <w:lang w:val="es-ES"/>
        </w:rPr>
        <w:t xml:space="preserve">que </w:t>
      </w:r>
      <w:r w:rsidR="00363984" w:rsidRPr="00ED35CB">
        <w:rPr>
          <w:rFonts w:ascii="Cambria" w:hAnsi="Cambria"/>
          <w:sz w:val="20"/>
          <w:szCs w:val="20"/>
          <w:lang w:val="es-ES"/>
        </w:rPr>
        <w:t>mediante</w:t>
      </w:r>
      <w:r w:rsidR="006B035D" w:rsidRPr="00ED35CB">
        <w:rPr>
          <w:rFonts w:ascii="Cambria" w:hAnsi="Cambria"/>
          <w:sz w:val="20"/>
          <w:szCs w:val="20"/>
          <w:lang w:val="es-ES"/>
        </w:rPr>
        <w:t xml:space="preserve"> </w:t>
      </w:r>
      <w:r w:rsidR="00363984" w:rsidRPr="00ED35CB">
        <w:rPr>
          <w:rFonts w:ascii="Cambria" w:hAnsi="Cambria"/>
          <w:sz w:val="20"/>
          <w:szCs w:val="20"/>
          <w:lang w:val="es-ES"/>
        </w:rPr>
        <w:t>su R</w:t>
      </w:r>
      <w:r w:rsidR="006B035D" w:rsidRPr="00ED35CB">
        <w:rPr>
          <w:rFonts w:ascii="Cambria" w:hAnsi="Cambria"/>
          <w:sz w:val="20"/>
          <w:szCs w:val="20"/>
          <w:lang w:val="es-ES"/>
        </w:rPr>
        <w:t xml:space="preserve">esolución </w:t>
      </w:r>
      <w:r w:rsidR="00363984" w:rsidRPr="00ED35CB">
        <w:rPr>
          <w:rFonts w:ascii="Cambria" w:hAnsi="Cambria"/>
          <w:sz w:val="20"/>
          <w:szCs w:val="20"/>
          <w:lang w:val="es-ES"/>
        </w:rPr>
        <w:t>No.</w:t>
      </w:r>
      <w:r w:rsidR="006B035D" w:rsidRPr="00ED35CB">
        <w:rPr>
          <w:rFonts w:ascii="Cambria" w:hAnsi="Cambria"/>
          <w:sz w:val="20"/>
          <w:szCs w:val="20"/>
          <w:lang w:val="es-ES"/>
        </w:rPr>
        <w:t xml:space="preserve"> 21 del 3 de enero de 1996 (en adelante “</w:t>
      </w:r>
      <w:r w:rsidR="00363984" w:rsidRPr="00ED35CB">
        <w:rPr>
          <w:rFonts w:ascii="Cambria" w:hAnsi="Cambria"/>
          <w:sz w:val="20"/>
          <w:szCs w:val="20"/>
          <w:lang w:val="es-ES"/>
        </w:rPr>
        <w:t xml:space="preserve">la </w:t>
      </w:r>
      <w:r w:rsidR="006B035D" w:rsidRPr="00ED35CB">
        <w:rPr>
          <w:rFonts w:ascii="Cambria" w:hAnsi="Cambria"/>
          <w:sz w:val="20"/>
          <w:szCs w:val="20"/>
          <w:lang w:val="es-ES"/>
        </w:rPr>
        <w:t>Resolución 21</w:t>
      </w:r>
      <w:r w:rsidR="00ED35CB" w:rsidRPr="00ED35CB">
        <w:rPr>
          <w:rFonts w:ascii="Cambria" w:hAnsi="Cambria"/>
          <w:sz w:val="20"/>
          <w:szCs w:val="20"/>
          <w:lang w:val="es-ES"/>
        </w:rPr>
        <w:t>”) resolvió</w:t>
      </w:r>
      <w:r w:rsidR="006B035D" w:rsidRPr="00ED35CB">
        <w:rPr>
          <w:rFonts w:ascii="Cambria" w:hAnsi="Cambria"/>
          <w:sz w:val="20"/>
          <w:szCs w:val="20"/>
          <w:lang w:val="es-ES"/>
        </w:rPr>
        <w:t xml:space="preserve"> revocar la sentencia apelada</w:t>
      </w:r>
      <w:r w:rsidR="00363984" w:rsidRPr="00ED35CB">
        <w:rPr>
          <w:rFonts w:ascii="Cambria" w:hAnsi="Cambria"/>
          <w:sz w:val="20"/>
          <w:szCs w:val="20"/>
          <w:lang w:val="es-ES"/>
        </w:rPr>
        <w:t>,</w:t>
      </w:r>
      <w:r w:rsidR="006B035D" w:rsidRPr="00ED35CB">
        <w:rPr>
          <w:rFonts w:ascii="Cambria" w:hAnsi="Cambria"/>
          <w:sz w:val="20"/>
          <w:szCs w:val="20"/>
          <w:lang w:val="es-ES"/>
        </w:rPr>
        <w:t xml:space="preserve"> y</w:t>
      </w:r>
      <w:r w:rsidR="00363984" w:rsidRPr="00ED35CB">
        <w:rPr>
          <w:rFonts w:ascii="Cambria" w:hAnsi="Cambria"/>
          <w:sz w:val="20"/>
          <w:szCs w:val="20"/>
          <w:lang w:val="es-ES"/>
        </w:rPr>
        <w:t xml:space="preserve"> declarar</w:t>
      </w:r>
      <w:r w:rsidR="006B035D" w:rsidRPr="00ED35CB">
        <w:rPr>
          <w:rFonts w:ascii="Cambria" w:hAnsi="Cambria"/>
          <w:sz w:val="20"/>
          <w:szCs w:val="20"/>
          <w:lang w:val="es-ES"/>
        </w:rPr>
        <w:t xml:space="preserve"> inaplicable para los accionantes</w:t>
      </w:r>
      <w:r w:rsidR="00F5415F" w:rsidRPr="00ED35CB">
        <w:rPr>
          <w:rFonts w:ascii="Cambria" w:hAnsi="Cambria"/>
          <w:sz w:val="20"/>
          <w:szCs w:val="20"/>
          <w:lang w:val="es-ES"/>
        </w:rPr>
        <w:t xml:space="preserve"> el artículo 6 </w:t>
      </w:r>
      <w:r w:rsidR="00363984" w:rsidRPr="00ED35CB">
        <w:rPr>
          <w:rFonts w:ascii="Cambria" w:hAnsi="Cambria"/>
          <w:sz w:val="20"/>
          <w:szCs w:val="20"/>
          <w:lang w:val="es-ES"/>
        </w:rPr>
        <w:t xml:space="preserve">inciso </w:t>
      </w:r>
      <w:r w:rsidR="00F5415F" w:rsidRPr="00ED35CB">
        <w:rPr>
          <w:rFonts w:ascii="Cambria" w:hAnsi="Cambria"/>
          <w:sz w:val="20"/>
          <w:szCs w:val="20"/>
          <w:lang w:val="es-ES"/>
        </w:rPr>
        <w:t>c) y</w:t>
      </w:r>
      <w:r w:rsidR="00B739FA" w:rsidRPr="00ED35CB">
        <w:rPr>
          <w:rFonts w:ascii="Cambria" w:hAnsi="Cambria"/>
          <w:sz w:val="20"/>
          <w:szCs w:val="20"/>
          <w:lang w:val="es-ES"/>
        </w:rPr>
        <w:t xml:space="preserve"> la </w:t>
      </w:r>
      <w:r w:rsidR="00363984" w:rsidRPr="00ED35CB">
        <w:rPr>
          <w:rFonts w:ascii="Cambria" w:hAnsi="Cambria"/>
          <w:sz w:val="20"/>
          <w:szCs w:val="20"/>
          <w:lang w:val="es-ES"/>
        </w:rPr>
        <w:t>s</w:t>
      </w:r>
      <w:r w:rsidR="00B739FA" w:rsidRPr="00ED35CB">
        <w:rPr>
          <w:rFonts w:ascii="Cambria" w:hAnsi="Cambria"/>
          <w:sz w:val="20"/>
          <w:szCs w:val="20"/>
          <w:lang w:val="es-ES"/>
        </w:rPr>
        <w:t xml:space="preserve">egunda </w:t>
      </w:r>
      <w:r w:rsidR="00363984" w:rsidRPr="00ED35CB">
        <w:rPr>
          <w:rFonts w:ascii="Cambria" w:hAnsi="Cambria"/>
          <w:sz w:val="20"/>
          <w:szCs w:val="20"/>
          <w:lang w:val="es-ES"/>
        </w:rPr>
        <w:t>d</w:t>
      </w:r>
      <w:r w:rsidR="00B739FA" w:rsidRPr="00ED35CB">
        <w:rPr>
          <w:rFonts w:ascii="Cambria" w:hAnsi="Cambria"/>
          <w:sz w:val="20"/>
          <w:szCs w:val="20"/>
          <w:lang w:val="es-ES"/>
        </w:rPr>
        <w:t>isposición</w:t>
      </w:r>
      <w:r w:rsidR="00F5415F" w:rsidRPr="00ED35CB">
        <w:rPr>
          <w:rFonts w:ascii="Cambria" w:hAnsi="Cambria"/>
          <w:sz w:val="20"/>
          <w:szCs w:val="20"/>
          <w:lang w:val="es-ES"/>
        </w:rPr>
        <w:t xml:space="preserve"> </w:t>
      </w:r>
      <w:r w:rsidR="00363984" w:rsidRPr="00ED35CB">
        <w:rPr>
          <w:rFonts w:ascii="Cambria" w:hAnsi="Cambria"/>
          <w:sz w:val="20"/>
          <w:szCs w:val="20"/>
          <w:lang w:val="es-ES"/>
        </w:rPr>
        <w:t xml:space="preserve">transitoria </w:t>
      </w:r>
      <w:r w:rsidR="00F5415F" w:rsidRPr="00ED35CB">
        <w:rPr>
          <w:rFonts w:ascii="Cambria" w:hAnsi="Cambria"/>
          <w:sz w:val="20"/>
          <w:szCs w:val="20"/>
          <w:lang w:val="es-ES"/>
        </w:rPr>
        <w:t>del Decreto 680</w:t>
      </w:r>
      <w:r w:rsidR="008B3706" w:rsidRPr="00ED35CB">
        <w:rPr>
          <w:rFonts w:ascii="Cambria" w:hAnsi="Cambria"/>
          <w:sz w:val="20"/>
          <w:szCs w:val="20"/>
          <w:lang w:val="es-ES"/>
        </w:rPr>
        <w:t xml:space="preserve">. </w:t>
      </w:r>
      <w:r w:rsidR="00363984" w:rsidRPr="00ED35CB">
        <w:rPr>
          <w:rFonts w:ascii="Cambria" w:hAnsi="Cambria"/>
          <w:sz w:val="20"/>
          <w:szCs w:val="20"/>
          <w:lang w:val="es-ES"/>
        </w:rPr>
        <w:t>Esta</w:t>
      </w:r>
      <w:r w:rsidR="00190943" w:rsidRPr="00ED35CB">
        <w:rPr>
          <w:rFonts w:ascii="Cambria" w:hAnsi="Cambria"/>
          <w:sz w:val="20"/>
          <w:szCs w:val="20"/>
          <w:lang w:val="es-ES"/>
        </w:rPr>
        <w:t xml:space="preserve"> Resolución 21 fue elevada en consulta</w:t>
      </w:r>
      <w:r w:rsidR="00661F67" w:rsidRPr="00ED35CB">
        <w:rPr>
          <w:rFonts w:ascii="Cambria" w:hAnsi="Cambria"/>
          <w:sz w:val="20"/>
          <w:szCs w:val="20"/>
          <w:lang w:val="es-ES"/>
        </w:rPr>
        <w:t xml:space="preserve"> para su aprobación</w:t>
      </w:r>
      <w:r w:rsidR="00190943" w:rsidRPr="00ED35CB">
        <w:rPr>
          <w:rFonts w:ascii="Cambria" w:hAnsi="Cambria"/>
          <w:sz w:val="20"/>
          <w:szCs w:val="20"/>
          <w:lang w:val="es-ES"/>
        </w:rPr>
        <w:t xml:space="preserve"> a la Sala Constitucional y Social de la Corte Suprema de Justicia, que mediante</w:t>
      </w:r>
      <w:r w:rsidR="00363984" w:rsidRPr="00ED35CB">
        <w:rPr>
          <w:rFonts w:ascii="Cambria" w:hAnsi="Cambria"/>
          <w:sz w:val="20"/>
          <w:szCs w:val="20"/>
          <w:lang w:val="es-ES"/>
        </w:rPr>
        <w:t xml:space="preserve"> fallo</w:t>
      </w:r>
      <w:r w:rsidR="00190943" w:rsidRPr="00ED35CB">
        <w:rPr>
          <w:rFonts w:ascii="Cambria" w:hAnsi="Cambria"/>
          <w:sz w:val="20"/>
          <w:szCs w:val="20"/>
          <w:lang w:val="es-ES"/>
        </w:rPr>
        <w:t xml:space="preserve"> del 27 de febrero de 1996 declaró que las resoluciones de esta clase de acciones recaídas en la segunda instancia </w:t>
      </w:r>
      <w:r w:rsidR="00EC0160" w:rsidRPr="00ED35CB">
        <w:rPr>
          <w:rFonts w:ascii="Cambria" w:hAnsi="Cambria"/>
          <w:sz w:val="20"/>
          <w:szCs w:val="20"/>
          <w:lang w:val="es-ES"/>
        </w:rPr>
        <w:t>constituyen</w:t>
      </w:r>
      <w:r w:rsidR="00661F67" w:rsidRPr="00ED35CB">
        <w:rPr>
          <w:rFonts w:ascii="Cambria" w:hAnsi="Cambria"/>
          <w:sz w:val="20"/>
          <w:szCs w:val="20"/>
          <w:lang w:val="es-ES"/>
        </w:rPr>
        <w:t xml:space="preserve"> cosa </w:t>
      </w:r>
      <w:r w:rsidR="00190943" w:rsidRPr="00ED35CB">
        <w:rPr>
          <w:rFonts w:ascii="Cambria" w:hAnsi="Cambria"/>
          <w:sz w:val="20"/>
          <w:szCs w:val="20"/>
          <w:lang w:val="es-ES"/>
        </w:rPr>
        <w:t>juzgada</w:t>
      </w:r>
      <w:r w:rsidR="00661F67" w:rsidRPr="00ED35CB">
        <w:rPr>
          <w:rFonts w:ascii="Cambria" w:hAnsi="Cambria"/>
          <w:sz w:val="20"/>
          <w:szCs w:val="20"/>
          <w:lang w:val="es-ES"/>
        </w:rPr>
        <w:t>.</w:t>
      </w:r>
    </w:p>
    <w:p w:rsidR="009247B5" w:rsidRPr="00ED35CB" w:rsidRDefault="003045E7" w:rsidP="009247B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Como consecuencia de estos fallos favorables a los miembros de ANAT-SUNAT</w:t>
      </w:r>
      <w:r w:rsidR="009247B5" w:rsidRPr="00ED35CB">
        <w:rPr>
          <w:rFonts w:ascii="Cambria" w:hAnsi="Cambria"/>
          <w:sz w:val="20"/>
          <w:szCs w:val="20"/>
          <w:lang w:val="es-ES"/>
        </w:rPr>
        <w:t xml:space="preserve">, </w:t>
      </w:r>
      <w:r w:rsidRPr="00ED35CB">
        <w:rPr>
          <w:rFonts w:ascii="Cambria" w:hAnsi="Cambria"/>
          <w:sz w:val="20"/>
          <w:szCs w:val="20"/>
          <w:lang w:val="es-ES"/>
        </w:rPr>
        <w:t>el TJECC</w:t>
      </w:r>
      <w:r w:rsidR="009247B5" w:rsidRPr="00ED35CB">
        <w:rPr>
          <w:rFonts w:ascii="Cambria" w:hAnsi="Cambria"/>
          <w:sz w:val="20"/>
          <w:szCs w:val="20"/>
          <w:lang w:val="es-ES"/>
        </w:rPr>
        <w:t xml:space="preserve"> requirió a la SUNAT el pago de las pensiones niveladas sin topes ni restricción alguna</w:t>
      </w:r>
      <w:r w:rsidRPr="00ED35CB">
        <w:rPr>
          <w:rFonts w:ascii="Cambria" w:hAnsi="Cambria"/>
          <w:sz w:val="20"/>
          <w:szCs w:val="20"/>
          <w:lang w:val="es-ES"/>
        </w:rPr>
        <w:t xml:space="preserve"> en los términos</w:t>
      </w:r>
      <w:r w:rsidR="009247B5" w:rsidRPr="00ED35CB">
        <w:rPr>
          <w:rFonts w:ascii="Cambria" w:hAnsi="Cambria"/>
          <w:sz w:val="20"/>
          <w:szCs w:val="20"/>
          <w:lang w:val="es-ES"/>
        </w:rPr>
        <w:t xml:space="preserve"> del Decreto Ley No 20530</w:t>
      </w:r>
      <w:r w:rsidRPr="00ED35CB">
        <w:rPr>
          <w:rFonts w:ascii="Cambria" w:hAnsi="Cambria"/>
          <w:sz w:val="20"/>
          <w:szCs w:val="20"/>
          <w:lang w:val="es-ES"/>
        </w:rPr>
        <w:t xml:space="preserve">. Sin embargo, según alegan los </w:t>
      </w:r>
      <w:r w:rsidR="009247B5" w:rsidRPr="00ED35CB">
        <w:rPr>
          <w:rFonts w:ascii="Cambria" w:hAnsi="Cambria"/>
          <w:sz w:val="20"/>
          <w:szCs w:val="20"/>
          <w:lang w:val="es-ES"/>
        </w:rPr>
        <w:t>peticionarios</w:t>
      </w:r>
      <w:r w:rsidRPr="00ED35CB">
        <w:rPr>
          <w:rFonts w:ascii="Cambria" w:hAnsi="Cambria"/>
          <w:sz w:val="20"/>
          <w:szCs w:val="20"/>
          <w:lang w:val="es-ES"/>
        </w:rPr>
        <w:t>,</w:t>
      </w:r>
      <w:r w:rsidR="009247B5" w:rsidRPr="00ED35CB">
        <w:rPr>
          <w:rFonts w:ascii="Cambria" w:hAnsi="Cambria"/>
          <w:sz w:val="20"/>
          <w:szCs w:val="20"/>
          <w:lang w:val="es-ES"/>
        </w:rPr>
        <w:t xml:space="preserve"> la SUNAT se negó a nivelar las pensiones de los demandantes y a pagar las pensiones adeudadas.</w:t>
      </w:r>
    </w:p>
    <w:p w:rsidR="00206B99" w:rsidRPr="00ED35CB" w:rsidRDefault="00F42DB9" w:rsidP="00BA3B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Frente a esta</w:t>
      </w:r>
      <w:r w:rsidR="00313726" w:rsidRPr="00ED35CB">
        <w:rPr>
          <w:rFonts w:ascii="Cambria" w:hAnsi="Cambria"/>
          <w:sz w:val="20"/>
          <w:szCs w:val="20"/>
          <w:lang w:val="es-ES"/>
        </w:rPr>
        <w:t xml:space="preserve"> </w:t>
      </w:r>
      <w:r w:rsidRPr="00ED35CB">
        <w:rPr>
          <w:rFonts w:ascii="Cambria" w:hAnsi="Cambria"/>
          <w:sz w:val="20"/>
          <w:szCs w:val="20"/>
          <w:lang w:val="es-ES"/>
        </w:rPr>
        <w:t>n</w:t>
      </w:r>
      <w:r w:rsidR="00313726" w:rsidRPr="00ED35CB">
        <w:rPr>
          <w:rFonts w:ascii="Cambria" w:hAnsi="Cambria"/>
          <w:sz w:val="20"/>
          <w:szCs w:val="20"/>
          <w:lang w:val="es-ES"/>
        </w:rPr>
        <w:t>egativa, e</w:t>
      </w:r>
      <w:r w:rsidR="00BA3BA6" w:rsidRPr="00ED35CB">
        <w:rPr>
          <w:rFonts w:ascii="Cambria" w:hAnsi="Cambria"/>
          <w:sz w:val="20"/>
          <w:szCs w:val="20"/>
          <w:lang w:val="es-ES"/>
        </w:rPr>
        <w:t xml:space="preserve">l 25 de septiembre de 1997 </w:t>
      </w:r>
      <w:r w:rsidR="000D68A3" w:rsidRPr="00ED35CB">
        <w:rPr>
          <w:rFonts w:ascii="Cambria" w:hAnsi="Cambria"/>
          <w:sz w:val="20"/>
          <w:szCs w:val="20"/>
          <w:lang w:val="es-ES"/>
        </w:rPr>
        <w:t>sesenta y cinco</w:t>
      </w:r>
      <w:r w:rsidR="00BA3BA6" w:rsidRPr="00ED35CB">
        <w:rPr>
          <w:rFonts w:ascii="Cambria" w:hAnsi="Cambria"/>
          <w:sz w:val="20"/>
          <w:szCs w:val="20"/>
          <w:lang w:val="es-ES"/>
        </w:rPr>
        <w:t xml:space="preserve"> pensionistas miembros de ANAT-</w:t>
      </w:r>
      <w:r w:rsidR="00242AED" w:rsidRPr="00ED35CB">
        <w:rPr>
          <w:rFonts w:ascii="Cambria" w:hAnsi="Cambria"/>
          <w:sz w:val="20"/>
          <w:szCs w:val="20"/>
          <w:lang w:val="es-ES"/>
        </w:rPr>
        <w:t>SUNAT</w:t>
      </w:r>
      <w:r w:rsidR="00BA3BA6" w:rsidRPr="00ED35CB">
        <w:rPr>
          <w:rFonts w:ascii="Cambria" w:hAnsi="Cambria"/>
          <w:sz w:val="20"/>
          <w:szCs w:val="20"/>
          <w:lang w:val="es-ES"/>
        </w:rPr>
        <w:t xml:space="preserve"> interpusieron </w:t>
      </w:r>
      <w:r w:rsidR="000D68A3" w:rsidRPr="00ED35CB">
        <w:rPr>
          <w:rFonts w:ascii="Cambria" w:hAnsi="Cambria"/>
          <w:sz w:val="20"/>
          <w:szCs w:val="20"/>
          <w:lang w:val="es-ES"/>
        </w:rPr>
        <w:t xml:space="preserve">ante el TJECC </w:t>
      </w:r>
      <w:r w:rsidR="00BA3BA6" w:rsidRPr="00ED35CB">
        <w:rPr>
          <w:rFonts w:ascii="Cambria" w:hAnsi="Cambria"/>
          <w:sz w:val="20"/>
          <w:szCs w:val="20"/>
          <w:lang w:val="es-ES"/>
        </w:rPr>
        <w:t>una demanda de indemnización por daños y perjuicios contra la Superintendente de la SUNAT</w:t>
      </w:r>
      <w:r w:rsidR="000D68A3" w:rsidRPr="00ED35CB">
        <w:rPr>
          <w:rFonts w:ascii="Cambria" w:hAnsi="Cambria"/>
          <w:sz w:val="20"/>
          <w:szCs w:val="20"/>
          <w:lang w:val="es-ES"/>
        </w:rPr>
        <w:t xml:space="preserve"> (</w:t>
      </w:r>
      <w:r w:rsidR="00BA3BA6" w:rsidRPr="00ED35CB">
        <w:rPr>
          <w:rFonts w:ascii="Cambria" w:hAnsi="Cambria"/>
          <w:sz w:val="20"/>
          <w:szCs w:val="20"/>
          <w:lang w:val="es-ES"/>
        </w:rPr>
        <w:t>expediente No</w:t>
      </w:r>
      <w:r w:rsidR="000D68A3" w:rsidRPr="00ED35CB">
        <w:rPr>
          <w:rFonts w:ascii="Cambria" w:hAnsi="Cambria"/>
          <w:sz w:val="20"/>
          <w:szCs w:val="20"/>
          <w:lang w:val="es-ES"/>
        </w:rPr>
        <w:t>.</w:t>
      </w:r>
      <w:r w:rsidR="00BA3BA6" w:rsidRPr="00ED35CB">
        <w:rPr>
          <w:rFonts w:ascii="Cambria" w:hAnsi="Cambria"/>
          <w:sz w:val="20"/>
          <w:szCs w:val="20"/>
          <w:lang w:val="es-ES"/>
        </w:rPr>
        <w:t xml:space="preserve"> 00818-1997</w:t>
      </w:r>
      <w:r w:rsidR="000D68A3" w:rsidRPr="00ED35CB">
        <w:rPr>
          <w:rFonts w:ascii="Cambria" w:hAnsi="Cambria"/>
          <w:sz w:val="20"/>
          <w:szCs w:val="20"/>
          <w:lang w:val="es-ES"/>
        </w:rPr>
        <w:t>)</w:t>
      </w:r>
      <w:r w:rsidR="00BA3BA6" w:rsidRPr="00ED35CB">
        <w:rPr>
          <w:rFonts w:ascii="Cambria" w:hAnsi="Cambria"/>
          <w:sz w:val="20"/>
          <w:szCs w:val="20"/>
          <w:lang w:val="es-ES"/>
        </w:rPr>
        <w:t xml:space="preserve">. </w:t>
      </w:r>
      <w:r w:rsidR="000D68A3" w:rsidRPr="00ED35CB">
        <w:rPr>
          <w:rFonts w:ascii="Cambria" w:hAnsi="Cambria"/>
          <w:sz w:val="20"/>
          <w:szCs w:val="20"/>
          <w:lang w:val="es-ES"/>
        </w:rPr>
        <w:t>Esta</w:t>
      </w:r>
      <w:r w:rsidR="00BA3BA6" w:rsidRPr="00ED35CB">
        <w:rPr>
          <w:rFonts w:ascii="Cambria" w:hAnsi="Cambria"/>
          <w:sz w:val="20"/>
          <w:szCs w:val="20"/>
          <w:lang w:val="es-ES"/>
        </w:rPr>
        <w:t xml:space="preserve"> demanda fue declarada improcedente y apelada</w:t>
      </w:r>
      <w:r w:rsidR="00313726" w:rsidRPr="00ED35CB">
        <w:rPr>
          <w:rFonts w:ascii="Cambria" w:hAnsi="Cambria"/>
          <w:sz w:val="20"/>
          <w:szCs w:val="20"/>
          <w:lang w:val="es-ES"/>
        </w:rPr>
        <w:t xml:space="preserve"> </w:t>
      </w:r>
      <w:r w:rsidR="000D68A3" w:rsidRPr="00ED35CB">
        <w:rPr>
          <w:rFonts w:ascii="Cambria" w:hAnsi="Cambria"/>
          <w:sz w:val="20"/>
          <w:szCs w:val="20"/>
          <w:lang w:val="es-ES"/>
        </w:rPr>
        <w:t xml:space="preserve">por la ANAT-SUNAT, </w:t>
      </w:r>
      <w:r w:rsidR="00313726" w:rsidRPr="00ED35CB">
        <w:rPr>
          <w:rFonts w:ascii="Cambria" w:hAnsi="Cambria"/>
          <w:sz w:val="20"/>
          <w:szCs w:val="20"/>
          <w:lang w:val="es-ES"/>
        </w:rPr>
        <w:t xml:space="preserve">pero </w:t>
      </w:r>
      <w:r w:rsidR="00BA3BA6" w:rsidRPr="00ED35CB">
        <w:rPr>
          <w:rFonts w:ascii="Cambria" w:hAnsi="Cambria"/>
          <w:sz w:val="20"/>
          <w:szCs w:val="20"/>
          <w:lang w:val="es-ES"/>
        </w:rPr>
        <w:t xml:space="preserve">declarada improcedente por extemporánea. </w:t>
      </w:r>
    </w:p>
    <w:p w:rsidR="00505175" w:rsidRPr="00ED35CB" w:rsidRDefault="00ED35CB" w:rsidP="00BA3B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Adicionalmente</w:t>
      </w:r>
      <w:r w:rsidR="00E44EC9" w:rsidRPr="00ED35CB">
        <w:rPr>
          <w:rFonts w:ascii="Cambria" w:hAnsi="Cambria"/>
          <w:sz w:val="20"/>
          <w:szCs w:val="20"/>
          <w:lang w:val="es-ES"/>
        </w:rPr>
        <w:t xml:space="preserve">, a partir de </w:t>
      </w:r>
      <w:r w:rsidR="00505175" w:rsidRPr="00ED35CB">
        <w:rPr>
          <w:rFonts w:ascii="Cambria" w:hAnsi="Cambria"/>
          <w:sz w:val="20"/>
          <w:szCs w:val="20"/>
          <w:lang w:val="es-ES"/>
        </w:rPr>
        <w:t>2001 las presuntas víctimas</w:t>
      </w:r>
      <w:r w:rsidR="00661F67" w:rsidRPr="00ED35CB">
        <w:rPr>
          <w:rFonts w:ascii="Cambria" w:hAnsi="Cambria"/>
          <w:sz w:val="20"/>
          <w:szCs w:val="20"/>
          <w:lang w:val="es-ES"/>
        </w:rPr>
        <w:t xml:space="preserve"> de manera individual </w:t>
      </w:r>
      <w:r w:rsidR="00505175" w:rsidRPr="00ED35CB">
        <w:rPr>
          <w:rFonts w:ascii="Cambria" w:hAnsi="Cambria"/>
          <w:sz w:val="20"/>
          <w:szCs w:val="20"/>
          <w:lang w:val="es-ES"/>
        </w:rPr>
        <w:t>presentaron demandas adicionales de ejecución de la Resolución 21</w:t>
      </w:r>
      <w:r w:rsidR="00CF7DA5" w:rsidRPr="00ED35CB">
        <w:rPr>
          <w:rFonts w:ascii="Cambria" w:hAnsi="Cambria"/>
          <w:sz w:val="20"/>
          <w:szCs w:val="20"/>
          <w:lang w:val="es-ES"/>
        </w:rPr>
        <w:t xml:space="preserve"> </w:t>
      </w:r>
      <w:r w:rsidR="00E44EC9" w:rsidRPr="00ED35CB">
        <w:rPr>
          <w:rFonts w:ascii="Cambria" w:hAnsi="Cambria"/>
          <w:sz w:val="20"/>
          <w:szCs w:val="20"/>
          <w:lang w:val="es-ES"/>
        </w:rPr>
        <w:t xml:space="preserve">ante el TJECC. </w:t>
      </w:r>
      <w:r w:rsidR="00CF7DA5" w:rsidRPr="00ED35CB">
        <w:rPr>
          <w:rFonts w:ascii="Cambria" w:hAnsi="Cambria"/>
          <w:sz w:val="20"/>
          <w:szCs w:val="20"/>
          <w:lang w:val="es-ES"/>
        </w:rPr>
        <w:t>Este</w:t>
      </w:r>
      <w:r w:rsidR="00E44EC9" w:rsidRPr="00ED35CB">
        <w:rPr>
          <w:rFonts w:ascii="Cambria" w:hAnsi="Cambria"/>
          <w:sz w:val="20"/>
          <w:szCs w:val="20"/>
          <w:lang w:val="es-ES"/>
        </w:rPr>
        <w:t xml:space="preserve"> </w:t>
      </w:r>
      <w:r w:rsidR="00CF7DA5" w:rsidRPr="00ED35CB">
        <w:rPr>
          <w:rFonts w:ascii="Cambria" w:hAnsi="Cambria"/>
          <w:sz w:val="20"/>
          <w:szCs w:val="20"/>
          <w:lang w:val="es-ES"/>
        </w:rPr>
        <w:t>t</w:t>
      </w:r>
      <w:r w:rsidR="00E44EC9" w:rsidRPr="00ED35CB">
        <w:rPr>
          <w:rFonts w:ascii="Cambria" w:hAnsi="Cambria"/>
          <w:sz w:val="20"/>
          <w:szCs w:val="20"/>
          <w:lang w:val="es-ES"/>
        </w:rPr>
        <w:t>ribunal ordenó en cada caso la realización de distinta</w:t>
      </w:r>
      <w:r w:rsidR="00C50FE6" w:rsidRPr="00ED35CB">
        <w:rPr>
          <w:rFonts w:ascii="Cambria" w:hAnsi="Cambria"/>
          <w:sz w:val="20"/>
          <w:szCs w:val="20"/>
          <w:lang w:val="es-ES"/>
        </w:rPr>
        <w:t>s</w:t>
      </w:r>
      <w:r w:rsidR="008502BC">
        <w:rPr>
          <w:rFonts w:ascii="Cambria" w:hAnsi="Cambria"/>
          <w:sz w:val="20"/>
          <w:szCs w:val="20"/>
          <w:lang w:val="es-ES"/>
        </w:rPr>
        <w:t xml:space="preserve"> pericias</w:t>
      </w:r>
      <w:r w:rsidR="00E44EC9" w:rsidRPr="00ED35CB">
        <w:rPr>
          <w:rFonts w:ascii="Cambria" w:hAnsi="Cambria"/>
          <w:sz w:val="20"/>
          <w:szCs w:val="20"/>
          <w:lang w:val="es-ES"/>
        </w:rPr>
        <w:t xml:space="preserve"> que permitieran establece</w:t>
      </w:r>
      <w:r w:rsidR="00C50FE6" w:rsidRPr="00ED35CB">
        <w:rPr>
          <w:rFonts w:ascii="Cambria" w:hAnsi="Cambria"/>
          <w:sz w:val="20"/>
          <w:szCs w:val="20"/>
          <w:lang w:val="es-ES"/>
        </w:rPr>
        <w:t>r</w:t>
      </w:r>
      <w:r w:rsidR="00E44EC9" w:rsidRPr="00ED35CB">
        <w:rPr>
          <w:rFonts w:ascii="Cambria" w:hAnsi="Cambria"/>
          <w:sz w:val="20"/>
          <w:szCs w:val="20"/>
          <w:lang w:val="es-ES"/>
        </w:rPr>
        <w:t xml:space="preserve"> el monto que habría de pagarse por concepto de pensiones </w:t>
      </w:r>
      <w:r w:rsidR="00C50FE6" w:rsidRPr="00ED35CB">
        <w:rPr>
          <w:rFonts w:ascii="Cambria" w:hAnsi="Cambria"/>
          <w:sz w:val="20"/>
          <w:szCs w:val="20"/>
          <w:lang w:val="es-ES"/>
        </w:rPr>
        <w:t>niveladas</w:t>
      </w:r>
      <w:r w:rsidR="00E44EC9" w:rsidRPr="00ED35CB">
        <w:rPr>
          <w:rFonts w:ascii="Cambria" w:hAnsi="Cambria"/>
          <w:sz w:val="20"/>
          <w:szCs w:val="20"/>
          <w:lang w:val="es-ES"/>
        </w:rPr>
        <w:t xml:space="preserve"> y devengadas. En algunos casos</w:t>
      </w:r>
      <w:r w:rsidR="00C50FE6" w:rsidRPr="00ED35CB">
        <w:rPr>
          <w:rFonts w:ascii="Cambria" w:hAnsi="Cambria"/>
          <w:sz w:val="20"/>
          <w:szCs w:val="20"/>
          <w:lang w:val="es-ES"/>
        </w:rPr>
        <w:t xml:space="preserve"> el TJECC ordenó nivelar las pensiones y pagar</w:t>
      </w:r>
      <w:r w:rsidR="00661F67" w:rsidRPr="00ED35CB">
        <w:rPr>
          <w:rFonts w:ascii="Cambria" w:hAnsi="Cambria"/>
          <w:sz w:val="20"/>
          <w:szCs w:val="20"/>
          <w:lang w:val="es-ES"/>
        </w:rPr>
        <w:t xml:space="preserve"> </w:t>
      </w:r>
      <w:r w:rsidR="00F97346" w:rsidRPr="00ED35CB">
        <w:rPr>
          <w:rFonts w:ascii="Cambria" w:hAnsi="Cambria"/>
          <w:sz w:val="20"/>
          <w:szCs w:val="20"/>
          <w:lang w:val="es-ES"/>
        </w:rPr>
        <w:t>las</w:t>
      </w:r>
      <w:r w:rsidR="00661F67" w:rsidRPr="00ED35CB">
        <w:rPr>
          <w:rFonts w:ascii="Cambria" w:hAnsi="Cambria"/>
          <w:sz w:val="20"/>
          <w:szCs w:val="20"/>
          <w:lang w:val="es-ES"/>
        </w:rPr>
        <w:t xml:space="preserve"> devengadas</w:t>
      </w:r>
      <w:r w:rsidR="00CF7DA5" w:rsidRPr="00ED35CB">
        <w:rPr>
          <w:rFonts w:ascii="Cambria" w:hAnsi="Cambria"/>
          <w:sz w:val="20"/>
          <w:szCs w:val="20"/>
          <w:lang w:val="es-ES"/>
        </w:rPr>
        <w:t>,</w:t>
      </w:r>
      <w:r w:rsidR="00661F67" w:rsidRPr="00ED35CB">
        <w:rPr>
          <w:rFonts w:ascii="Cambria" w:hAnsi="Cambria"/>
          <w:sz w:val="20"/>
          <w:szCs w:val="20"/>
          <w:lang w:val="es-ES"/>
        </w:rPr>
        <w:t xml:space="preserve"> y </w:t>
      </w:r>
      <w:r w:rsidR="001049DB" w:rsidRPr="00ED35CB">
        <w:rPr>
          <w:rFonts w:ascii="Cambria" w:hAnsi="Cambria"/>
          <w:sz w:val="20"/>
          <w:szCs w:val="20"/>
          <w:lang w:val="es-ES"/>
        </w:rPr>
        <w:t xml:space="preserve">en otros </w:t>
      </w:r>
      <w:r w:rsidR="00C50FE6" w:rsidRPr="00ED35CB">
        <w:rPr>
          <w:rFonts w:ascii="Cambria" w:hAnsi="Cambria"/>
          <w:sz w:val="20"/>
          <w:szCs w:val="20"/>
          <w:lang w:val="es-ES"/>
        </w:rPr>
        <w:t xml:space="preserve">el proceso se alargó puesto que </w:t>
      </w:r>
      <w:r w:rsidR="001049DB" w:rsidRPr="00ED35CB">
        <w:rPr>
          <w:rFonts w:ascii="Cambria" w:hAnsi="Cambria"/>
          <w:sz w:val="20"/>
          <w:szCs w:val="20"/>
          <w:lang w:val="es-ES"/>
        </w:rPr>
        <w:t>SUNAT apeló</w:t>
      </w:r>
      <w:r w:rsidR="00515997">
        <w:rPr>
          <w:rStyle w:val="FootnoteReference"/>
          <w:rFonts w:ascii="Cambria" w:hAnsi="Cambria"/>
          <w:sz w:val="20"/>
          <w:szCs w:val="20"/>
          <w:lang w:val="es-ES"/>
        </w:rPr>
        <w:footnoteReference w:id="6"/>
      </w:r>
      <w:r w:rsidR="001049DB" w:rsidRPr="00ED35CB">
        <w:rPr>
          <w:rFonts w:ascii="Cambria" w:hAnsi="Cambria"/>
          <w:sz w:val="20"/>
          <w:szCs w:val="20"/>
          <w:lang w:val="es-ES"/>
        </w:rPr>
        <w:t xml:space="preserve">. </w:t>
      </w:r>
      <w:r w:rsidR="00F97346" w:rsidRPr="00ED35CB">
        <w:rPr>
          <w:rFonts w:ascii="Cambria" w:hAnsi="Cambria"/>
          <w:sz w:val="20"/>
          <w:szCs w:val="20"/>
          <w:lang w:val="es-ES"/>
        </w:rPr>
        <w:t xml:space="preserve">Los </w:t>
      </w:r>
      <w:r w:rsidR="00F97346" w:rsidRPr="00ED35CB">
        <w:rPr>
          <w:rFonts w:ascii="Cambria" w:hAnsi="Cambria"/>
          <w:sz w:val="20"/>
          <w:szCs w:val="20"/>
          <w:lang w:val="es-ES"/>
        </w:rPr>
        <w:lastRenderedPageBreak/>
        <w:t>peticionarios indican que incluso u</w:t>
      </w:r>
      <w:r w:rsidR="001049DB" w:rsidRPr="00ED35CB">
        <w:rPr>
          <w:rFonts w:ascii="Cambria" w:hAnsi="Cambria"/>
          <w:sz w:val="20"/>
          <w:szCs w:val="20"/>
          <w:lang w:val="es-ES"/>
        </w:rPr>
        <w:t>na presunta víctima falleció durante el proceso de ejecución de la Resolución 21, y su esposa se acreditó como la sucesora procesal.</w:t>
      </w:r>
    </w:p>
    <w:p w:rsidR="00505175" w:rsidRPr="00ED35CB" w:rsidRDefault="00381993" w:rsidP="00AA4E3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L</w:t>
      </w:r>
      <w:r w:rsidR="004D5463" w:rsidRPr="00ED35CB">
        <w:rPr>
          <w:rFonts w:ascii="Cambria" w:hAnsi="Cambria"/>
          <w:sz w:val="20"/>
          <w:szCs w:val="20"/>
          <w:lang w:val="es-ES"/>
        </w:rPr>
        <w:t xml:space="preserve">os peticionarios </w:t>
      </w:r>
      <w:r w:rsidRPr="00ED35CB">
        <w:rPr>
          <w:rFonts w:ascii="Cambria" w:hAnsi="Cambria"/>
          <w:sz w:val="20"/>
          <w:szCs w:val="20"/>
          <w:lang w:val="es-ES"/>
        </w:rPr>
        <w:t xml:space="preserve">alegan </w:t>
      </w:r>
      <w:r w:rsidR="004D5463" w:rsidRPr="00ED35CB">
        <w:rPr>
          <w:rFonts w:ascii="Cambria" w:hAnsi="Cambria"/>
          <w:sz w:val="20"/>
          <w:szCs w:val="20"/>
          <w:lang w:val="es-ES"/>
        </w:rPr>
        <w:t xml:space="preserve">que pese a lo anterior, la SUNAT presentó una </w:t>
      </w:r>
      <w:r w:rsidR="00505175" w:rsidRPr="00ED35CB">
        <w:rPr>
          <w:rFonts w:ascii="Cambria" w:hAnsi="Cambria"/>
          <w:sz w:val="20"/>
          <w:szCs w:val="20"/>
          <w:lang w:val="es-ES"/>
        </w:rPr>
        <w:t>demanda</w:t>
      </w:r>
      <w:r w:rsidR="004D5463" w:rsidRPr="00ED35CB">
        <w:rPr>
          <w:rFonts w:ascii="Cambria" w:hAnsi="Cambria"/>
          <w:sz w:val="20"/>
          <w:szCs w:val="20"/>
          <w:lang w:val="es-ES"/>
        </w:rPr>
        <w:t xml:space="preserve"> de amparo ante el Tribunal Constitucional</w:t>
      </w:r>
      <w:r w:rsidR="00505175" w:rsidRPr="00ED35CB">
        <w:rPr>
          <w:rFonts w:ascii="Cambria" w:hAnsi="Cambria"/>
          <w:sz w:val="20"/>
          <w:szCs w:val="20"/>
          <w:lang w:val="es-ES"/>
        </w:rPr>
        <w:t xml:space="preserve"> </w:t>
      </w:r>
      <w:r w:rsidRPr="00ED35CB">
        <w:rPr>
          <w:rFonts w:ascii="Cambria" w:hAnsi="Cambria"/>
          <w:sz w:val="20"/>
          <w:szCs w:val="20"/>
          <w:lang w:val="es-ES"/>
        </w:rPr>
        <w:t>(</w:t>
      </w:r>
      <w:r w:rsidR="00505175" w:rsidRPr="00ED35CB">
        <w:rPr>
          <w:rFonts w:ascii="Cambria" w:hAnsi="Cambria"/>
          <w:sz w:val="20"/>
          <w:szCs w:val="20"/>
          <w:lang w:val="es-ES"/>
        </w:rPr>
        <w:t>expediente No</w:t>
      </w:r>
      <w:r w:rsidRPr="00ED35CB">
        <w:rPr>
          <w:rFonts w:ascii="Cambria" w:hAnsi="Cambria"/>
          <w:sz w:val="20"/>
          <w:szCs w:val="20"/>
          <w:lang w:val="es-ES"/>
        </w:rPr>
        <w:t>.</w:t>
      </w:r>
      <w:r w:rsidR="00505175" w:rsidRPr="00ED35CB">
        <w:rPr>
          <w:rFonts w:ascii="Cambria" w:hAnsi="Cambria"/>
          <w:sz w:val="20"/>
          <w:szCs w:val="20"/>
          <w:lang w:val="es-ES"/>
        </w:rPr>
        <w:t xml:space="preserve"> 01601-2012-PA/TC</w:t>
      </w:r>
      <w:r w:rsidRPr="00ED35CB">
        <w:rPr>
          <w:rFonts w:ascii="Cambria" w:hAnsi="Cambria"/>
          <w:sz w:val="20"/>
          <w:szCs w:val="20"/>
          <w:lang w:val="es-ES"/>
        </w:rPr>
        <w:t>), el cual mediante</w:t>
      </w:r>
      <w:r w:rsidR="00990653" w:rsidRPr="00ED35CB">
        <w:rPr>
          <w:rFonts w:ascii="Cambria" w:hAnsi="Cambria"/>
          <w:sz w:val="20"/>
          <w:szCs w:val="20"/>
          <w:lang w:val="es-ES"/>
        </w:rPr>
        <w:t xml:space="preserve"> Resolución No</w:t>
      </w:r>
      <w:r w:rsidRPr="00ED35CB">
        <w:rPr>
          <w:rFonts w:ascii="Cambria" w:hAnsi="Cambria"/>
          <w:sz w:val="20"/>
          <w:szCs w:val="20"/>
          <w:lang w:val="es-ES"/>
        </w:rPr>
        <w:t>.</w:t>
      </w:r>
      <w:r w:rsidR="00990653" w:rsidRPr="00ED35CB">
        <w:rPr>
          <w:rFonts w:ascii="Cambria" w:hAnsi="Cambria"/>
          <w:sz w:val="20"/>
          <w:szCs w:val="20"/>
          <w:lang w:val="es-ES"/>
        </w:rPr>
        <w:t xml:space="preserve"> 190</w:t>
      </w:r>
      <w:r w:rsidRPr="00ED35CB">
        <w:rPr>
          <w:rFonts w:ascii="Cambria" w:hAnsi="Cambria"/>
          <w:sz w:val="20"/>
          <w:szCs w:val="20"/>
          <w:lang w:val="es-ES"/>
        </w:rPr>
        <w:t xml:space="preserve"> d</w:t>
      </w:r>
      <w:r w:rsidR="00990653" w:rsidRPr="00ED35CB">
        <w:rPr>
          <w:rFonts w:ascii="Cambria" w:hAnsi="Cambria"/>
          <w:sz w:val="20"/>
          <w:szCs w:val="20"/>
          <w:lang w:val="es-ES"/>
        </w:rPr>
        <w:t xml:space="preserve">el 6 de agosto de 2012 declaró </w:t>
      </w:r>
      <w:r w:rsidRPr="00ED35CB">
        <w:rPr>
          <w:rFonts w:ascii="Cambria" w:hAnsi="Cambria"/>
          <w:sz w:val="20"/>
          <w:szCs w:val="20"/>
          <w:lang w:val="es-ES"/>
        </w:rPr>
        <w:t>la</w:t>
      </w:r>
      <w:r w:rsidR="00990653" w:rsidRPr="00ED35CB">
        <w:rPr>
          <w:rFonts w:ascii="Cambria" w:hAnsi="Cambria"/>
          <w:sz w:val="20"/>
          <w:szCs w:val="20"/>
          <w:lang w:val="es-ES"/>
        </w:rPr>
        <w:t xml:space="preserve"> no factib</w:t>
      </w:r>
      <w:r w:rsidRPr="00ED35CB">
        <w:rPr>
          <w:rFonts w:ascii="Cambria" w:hAnsi="Cambria"/>
          <w:sz w:val="20"/>
          <w:szCs w:val="20"/>
          <w:lang w:val="es-ES"/>
        </w:rPr>
        <w:t>ilidad</w:t>
      </w:r>
      <w:r w:rsidR="00AE65EC">
        <w:rPr>
          <w:rFonts w:ascii="Cambria" w:hAnsi="Cambria"/>
          <w:sz w:val="20"/>
          <w:szCs w:val="20"/>
          <w:lang w:val="es-ES"/>
        </w:rPr>
        <w:t xml:space="preserve"> de</w:t>
      </w:r>
      <w:r w:rsidR="00990653" w:rsidRPr="00ED35CB">
        <w:rPr>
          <w:rFonts w:ascii="Cambria" w:hAnsi="Cambria"/>
          <w:sz w:val="20"/>
          <w:szCs w:val="20"/>
          <w:lang w:val="es-ES"/>
        </w:rPr>
        <w:t xml:space="preserve"> nivelar las pensiones de las presuntas víctimas y</w:t>
      </w:r>
      <w:r w:rsidRPr="00ED35CB">
        <w:rPr>
          <w:rFonts w:ascii="Cambria" w:hAnsi="Cambria"/>
          <w:sz w:val="20"/>
          <w:szCs w:val="20"/>
          <w:lang w:val="es-ES"/>
        </w:rPr>
        <w:t>,</w:t>
      </w:r>
      <w:r w:rsidR="00990653" w:rsidRPr="00ED35CB">
        <w:rPr>
          <w:rFonts w:ascii="Cambria" w:hAnsi="Cambria"/>
          <w:sz w:val="20"/>
          <w:szCs w:val="20"/>
          <w:lang w:val="es-ES"/>
        </w:rPr>
        <w:t xml:space="preserve"> por tanto</w:t>
      </w:r>
      <w:r w:rsidRPr="00ED35CB">
        <w:rPr>
          <w:rFonts w:ascii="Cambria" w:hAnsi="Cambria"/>
          <w:sz w:val="20"/>
          <w:szCs w:val="20"/>
          <w:lang w:val="es-ES"/>
        </w:rPr>
        <w:t>,</w:t>
      </w:r>
      <w:r w:rsidR="00990653" w:rsidRPr="00ED35CB">
        <w:rPr>
          <w:rFonts w:ascii="Cambria" w:hAnsi="Cambria"/>
          <w:sz w:val="20"/>
          <w:szCs w:val="20"/>
          <w:lang w:val="es-ES"/>
        </w:rPr>
        <w:t xml:space="preserve"> declaró nulo lo actuado en el proceso de ejecución de sentencia de la Resolución 21</w:t>
      </w:r>
      <w:r w:rsidR="00AA4E34" w:rsidRPr="00ED35CB">
        <w:rPr>
          <w:rFonts w:ascii="Cambria" w:hAnsi="Cambria"/>
          <w:sz w:val="20"/>
          <w:szCs w:val="20"/>
          <w:lang w:val="es-ES"/>
        </w:rPr>
        <w:t>. Las pres</w:t>
      </w:r>
      <w:r w:rsidR="006D356F" w:rsidRPr="00ED35CB">
        <w:rPr>
          <w:rFonts w:ascii="Cambria" w:hAnsi="Cambria"/>
          <w:sz w:val="20"/>
          <w:szCs w:val="20"/>
          <w:lang w:val="es-ES"/>
        </w:rPr>
        <w:t xml:space="preserve">untas víctimas </w:t>
      </w:r>
      <w:r w:rsidRPr="00ED35CB">
        <w:rPr>
          <w:rFonts w:ascii="Cambria" w:hAnsi="Cambria"/>
          <w:sz w:val="20"/>
          <w:szCs w:val="20"/>
          <w:lang w:val="es-ES"/>
        </w:rPr>
        <w:t>aducen</w:t>
      </w:r>
      <w:r w:rsidR="00505175" w:rsidRPr="00ED35CB">
        <w:rPr>
          <w:rFonts w:ascii="Cambria" w:hAnsi="Cambria"/>
          <w:sz w:val="20"/>
          <w:szCs w:val="20"/>
          <w:lang w:val="es-ES"/>
        </w:rPr>
        <w:t xml:space="preserve"> que dicho proceso no se les notificó y </w:t>
      </w:r>
      <w:r w:rsidRPr="00ED35CB">
        <w:rPr>
          <w:rFonts w:ascii="Cambria" w:hAnsi="Cambria"/>
          <w:sz w:val="20"/>
          <w:szCs w:val="20"/>
          <w:lang w:val="es-ES"/>
        </w:rPr>
        <w:t xml:space="preserve">que </w:t>
      </w:r>
      <w:r w:rsidR="00505175" w:rsidRPr="00ED35CB">
        <w:rPr>
          <w:rFonts w:ascii="Cambria" w:hAnsi="Cambria"/>
          <w:sz w:val="20"/>
          <w:szCs w:val="20"/>
          <w:lang w:val="es-ES"/>
        </w:rPr>
        <w:t>fueron excluidos del mismo, pese a que el resultado les afectaba directamente</w:t>
      </w:r>
      <w:r w:rsidR="006D356F" w:rsidRPr="00ED35CB">
        <w:rPr>
          <w:rFonts w:ascii="Cambria" w:hAnsi="Cambria"/>
          <w:sz w:val="20"/>
          <w:szCs w:val="20"/>
          <w:lang w:val="es-ES"/>
        </w:rPr>
        <w:t>. A raíz de esta decisión, los procesos de las demandas individuales de ejecución iniciadas en 2001 donde</w:t>
      </w:r>
      <w:r w:rsidR="00BF4597" w:rsidRPr="00ED35CB">
        <w:rPr>
          <w:rFonts w:ascii="Cambria" w:hAnsi="Cambria"/>
          <w:sz w:val="20"/>
          <w:szCs w:val="20"/>
          <w:lang w:val="es-ES"/>
        </w:rPr>
        <w:t xml:space="preserve"> ya</w:t>
      </w:r>
      <w:r w:rsidR="006D356F" w:rsidRPr="00ED35CB">
        <w:rPr>
          <w:rFonts w:ascii="Cambria" w:hAnsi="Cambria"/>
          <w:sz w:val="20"/>
          <w:szCs w:val="20"/>
          <w:lang w:val="es-ES"/>
        </w:rPr>
        <w:t xml:space="preserve"> había</w:t>
      </w:r>
      <w:r w:rsidR="001049DB" w:rsidRPr="00ED35CB">
        <w:rPr>
          <w:rFonts w:ascii="Cambria" w:hAnsi="Cambria"/>
          <w:sz w:val="20"/>
          <w:szCs w:val="20"/>
          <w:lang w:val="es-ES"/>
        </w:rPr>
        <w:t xml:space="preserve"> incluso</w:t>
      </w:r>
      <w:r w:rsidR="00BF4597" w:rsidRPr="00ED35CB">
        <w:rPr>
          <w:rFonts w:ascii="Cambria" w:hAnsi="Cambria"/>
          <w:sz w:val="20"/>
          <w:szCs w:val="20"/>
          <w:lang w:val="es-ES"/>
        </w:rPr>
        <w:t xml:space="preserve">, </w:t>
      </w:r>
      <w:r w:rsidR="006D356F" w:rsidRPr="00ED35CB">
        <w:rPr>
          <w:rFonts w:ascii="Cambria" w:hAnsi="Cambria"/>
          <w:sz w:val="20"/>
          <w:szCs w:val="20"/>
          <w:lang w:val="es-ES"/>
        </w:rPr>
        <w:t>en algunos casos</w:t>
      </w:r>
      <w:r w:rsidR="00BF4597" w:rsidRPr="00ED35CB">
        <w:rPr>
          <w:rFonts w:ascii="Cambria" w:hAnsi="Cambria"/>
          <w:sz w:val="20"/>
          <w:szCs w:val="20"/>
          <w:lang w:val="es-ES"/>
        </w:rPr>
        <w:t>,</w:t>
      </w:r>
      <w:r w:rsidR="006D356F" w:rsidRPr="00ED35CB">
        <w:rPr>
          <w:rFonts w:ascii="Cambria" w:hAnsi="Cambria"/>
          <w:sz w:val="20"/>
          <w:szCs w:val="20"/>
          <w:lang w:val="es-ES"/>
        </w:rPr>
        <w:t xml:space="preserve"> nivelaciones aceptadas a favor de las presuntas víctimas, quedaron sin efecto. </w:t>
      </w:r>
    </w:p>
    <w:p w:rsidR="00990653" w:rsidRPr="00ED35CB" w:rsidRDefault="009E34AF" w:rsidP="001049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En suma, l</w:t>
      </w:r>
      <w:r w:rsidR="005B38D6" w:rsidRPr="00ED35CB">
        <w:rPr>
          <w:rFonts w:ascii="Cambria" w:hAnsi="Cambria"/>
          <w:sz w:val="20"/>
          <w:szCs w:val="20"/>
          <w:lang w:val="es-ES"/>
        </w:rPr>
        <w:t>os peticionarios</w:t>
      </w:r>
      <w:r w:rsidRPr="00ED35CB">
        <w:rPr>
          <w:rFonts w:ascii="Cambria" w:hAnsi="Cambria"/>
          <w:sz w:val="20"/>
          <w:szCs w:val="20"/>
          <w:lang w:val="es-ES"/>
        </w:rPr>
        <w:t xml:space="preserve"> denuncian: (a) que se </w:t>
      </w:r>
      <w:r w:rsidR="00ED35CB" w:rsidRPr="00ED35CB">
        <w:rPr>
          <w:rFonts w:ascii="Cambria" w:hAnsi="Cambria"/>
          <w:sz w:val="20"/>
          <w:szCs w:val="20"/>
          <w:lang w:val="es-ES"/>
        </w:rPr>
        <w:t>les</w:t>
      </w:r>
      <w:r w:rsidRPr="00ED35CB">
        <w:rPr>
          <w:rFonts w:ascii="Cambria" w:hAnsi="Cambria"/>
          <w:sz w:val="20"/>
          <w:szCs w:val="20"/>
          <w:lang w:val="es-ES"/>
        </w:rPr>
        <w:t xml:space="preserve"> ha vulnerado a las presuntas </w:t>
      </w:r>
      <w:r w:rsidR="00ED35CB" w:rsidRPr="00ED35CB">
        <w:rPr>
          <w:rFonts w:ascii="Cambria" w:hAnsi="Cambria"/>
          <w:sz w:val="20"/>
          <w:szCs w:val="20"/>
          <w:lang w:val="es-ES"/>
        </w:rPr>
        <w:t>víctimas el</w:t>
      </w:r>
      <w:r w:rsidR="005B38D6" w:rsidRPr="00ED35CB">
        <w:rPr>
          <w:rFonts w:ascii="Cambria" w:hAnsi="Cambria"/>
          <w:sz w:val="20"/>
          <w:szCs w:val="20"/>
          <w:lang w:val="es-ES"/>
        </w:rPr>
        <w:t xml:space="preserve"> derecho a un recurso efectivo</w:t>
      </w:r>
      <w:r w:rsidR="00990653" w:rsidRPr="00ED35CB">
        <w:rPr>
          <w:rFonts w:ascii="Cambria" w:hAnsi="Cambria"/>
          <w:sz w:val="20"/>
          <w:szCs w:val="20"/>
          <w:lang w:val="es-ES"/>
        </w:rPr>
        <w:t>,</w:t>
      </w:r>
      <w:r w:rsidR="005B38D6" w:rsidRPr="00ED35CB">
        <w:rPr>
          <w:rFonts w:ascii="Cambria" w:hAnsi="Cambria"/>
          <w:sz w:val="20"/>
          <w:szCs w:val="20"/>
          <w:lang w:val="es-ES"/>
        </w:rPr>
        <w:t xml:space="preserve"> y al principio de legalidad y de no retroactividad al pretender aplicar indebidamente el Decreto Legislativo No. 680</w:t>
      </w:r>
      <w:r w:rsidRPr="00ED35CB">
        <w:rPr>
          <w:rFonts w:ascii="Cambria" w:hAnsi="Cambria"/>
          <w:sz w:val="20"/>
          <w:szCs w:val="20"/>
          <w:lang w:val="es-ES"/>
        </w:rPr>
        <w:t xml:space="preserve">; (b) </w:t>
      </w:r>
      <w:r w:rsidR="005B38D6" w:rsidRPr="00ED35CB">
        <w:rPr>
          <w:rFonts w:ascii="Cambria" w:hAnsi="Cambria"/>
          <w:sz w:val="20"/>
          <w:szCs w:val="20"/>
          <w:lang w:val="es-ES"/>
        </w:rPr>
        <w:t>que las presuntas víctimas adquirieron un derecho de propiedad sobre los efectos patrimoniales del derecho a la pensión y que el mismo se vulneró</w:t>
      </w:r>
      <w:r w:rsidRPr="00ED35CB">
        <w:rPr>
          <w:rFonts w:ascii="Cambria" w:hAnsi="Cambria"/>
          <w:sz w:val="20"/>
          <w:szCs w:val="20"/>
          <w:lang w:val="es-ES"/>
        </w:rPr>
        <w:t xml:space="preserve">; (c) </w:t>
      </w:r>
      <w:r w:rsidR="005B38D6" w:rsidRPr="00ED35CB">
        <w:rPr>
          <w:rFonts w:ascii="Cambria" w:hAnsi="Cambria"/>
          <w:sz w:val="20"/>
          <w:szCs w:val="20"/>
          <w:lang w:val="es-ES"/>
        </w:rPr>
        <w:t>que no se ha considerado el derecho progresivo y no regresivo a la seguridad social de las presuntas víctimas</w:t>
      </w:r>
      <w:r w:rsidRPr="00ED35CB">
        <w:rPr>
          <w:rFonts w:ascii="Cambria" w:hAnsi="Cambria"/>
          <w:sz w:val="20"/>
          <w:szCs w:val="20"/>
          <w:lang w:val="es-ES"/>
        </w:rPr>
        <w:t xml:space="preserve">; </w:t>
      </w:r>
      <w:r w:rsidR="002A1097" w:rsidRPr="00ED35CB">
        <w:rPr>
          <w:rFonts w:ascii="Cambria" w:hAnsi="Cambria"/>
          <w:sz w:val="20"/>
          <w:szCs w:val="20"/>
          <w:lang w:val="es-ES"/>
        </w:rPr>
        <w:t xml:space="preserve">y </w:t>
      </w:r>
      <w:r w:rsidRPr="00ED35CB">
        <w:rPr>
          <w:rFonts w:ascii="Cambria" w:hAnsi="Cambria"/>
          <w:sz w:val="20"/>
          <w:szCs w:val="20"/>
          <w:lang w:val="es-ES"/>
        </w:rPr>
        <w:t xml:space="preserve">(d) </w:t>
      </w:r>
      <w:r w:rsidR="00990653" w:rsidRPr="00ED35CB">
        <w:rPr>
          <w:rFonts w:ascii="Cambria" w:hAnsi="Cambria"/>
          <w:sz w:val="20"/>
          <w:szCs w:val="20"/>
          <w:lang w:val="es-ES"/>
        </w:rPr>
        <w:t xml:space="preserve">que el proceso ha excedido todo plazo razonable, </w:t>
      </w:r>
      <w:r w:rsidRPr="00ED35CB">
        <w:rPr>
          <w:rFonts w:ascii="Cambria" w:hAnsi="Cambria"/>
          <w:sz w:val="20"/>
          <w:szCs w:val="20"/>
          <w:lang w:val="es-ES"/>
        </w:rPr>
        <w:t xml:space="preserve">porque a la fecha no se ha </w:t>
      </w:r>
      <w:r w:rsidR="00990653" w:rsidRPr="00ED35CB">
        <w:rPr>
          <w:rFonts w:ascii="Cambria" w:hAnsi="Cambria"/>
          <w:sz w:val="20"/>
          <w:szCs w:val="20"/>
          <w:lang w:val="es-ES"/>
        </w:rPr>
        <w:t>ejecutado la Resolución 21</w:t>
      </w:r>
      <w:r w:rsidRPr="00ED35CB">
        <w:rPr>
          <w:rFonts w:ascii="Cambria" w:hAnsi="Cambria"/>
          <w:sz w:val="20"/>
          <w:szCs w:val="20"/>
          <w:lang w:val="es-ES"/>
        </w:rPr>
        <w:t>,</w:t>
      </w:r>
      <w:r w:rsidR="00990653" w:rsidRPr="00ED35CB">
        <w:rPr>
          <w:rFonts w:ascii="Cambria" w:hAnsi="Cambria"/>
          <w:sz w:val="20"/>
          <w:szCs w:val="20"/>
          <w:lang w:val="es-ES"/>
        </w:rPr>
        <w:t xml:space="preserve"> la cual </w:t>
      </w:r>
      <w:r w:rsidRPr="00ED35CB">
        <w:rPr>
          <w:rFonts w:ascii="Cambria" w:hAnsi="Cambria"/>
          <w:sz w:val="20"/>
          <w:szCs w:val="20"/>
          <w:lang w:val="es-ES"/>
        </w:rPr>
        <w:t>constituye cosa juzgada</w:t>
      </w:r>
      <w:r w:rsidR="00990653" w:rsidRPr="00ED35CB">
        <w:rPr>
          <w:rFonts w:ascii="Cambria" w:hAnsi="Cambria"/>
          <w:sz w:val="20"/>
          <w:szCs w:val="20"/>
          <w:lang w:val="es-ES"/>
        </w:rPr>
        <w:t>.</w:t>
      </w:r>
      <w:r w:rsidR="00AA4E34" w:rsidRPr="00ED35CB">
        <w:rPr>
          <w:rFonts w:ascii="Cambria" w:hAnsi="Cambria"/>
          <w:sz w:val="20"/>
          <w:szCs w:val="20"/>
          <w:lang w:val="es-ES"/>
        </w:rPr>
        <w:t xml:space="preserve"> </w:t>
      </w:r>
    </w:p>
    <w:p w:rsidR="001049DB" w:rsidRPr="00ED35CB" w:rsidRDefault="005B38D6" w:rsidP="001049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Asimismo, los peticionarios </w:t>
      </w:r>
      <w:r w:rsidR="009E34AF" w:rsidRPr="00ED35CB">
        <w:rPr>
          <w:rFonts w:ascii="Cambria" w:hAnsi="Cambria"/>
          <w:sz w:val="20"/>
          <w:szCs w:val="20"/>
          <w:lang w:val="es-ES"/>
        </w:rPr>
        <w:t>aducen</w:t>
      </w:r>
      <w:r w:rsidR="001049DB" w:rsidRPr="00ED35CB">
        <w:rPr>
          <w:rFonts w:ascii="Cambria" w:hAnsi="Cambria"/>
          <w:sz w:val="20"/>
          <w:szCs w:val="20"/>
          <w:lang w:val="es-ES"/>
        </w:rPr>
        <w:t xml:space="preserve"> que la práctica de desconocer el derecho a la seguridad social de miles de pensionistas en Perú y la negativa del Estado de acatar las sentencias judiciales de sus propios jueces que le ordenan respetar o restituir los derechos</w:t>
      </w:r>
      <w:r w:rsidR="00580D66" w:rsidRPr="00ED35CB">
        <w:rPr>
          <w:rFonts w:ascii="Cambria" w:hAnsi="Cambria"/>
          <w:sz w:val="20"/>
          <w:szCs w:val="20"/>
          <w:lang w:val="es-ES"/>
        </w:rPr>
        <w:t xml:space="preserve"> pensionarios, </w:t>
      </w:r>
      <w:r w:rsidR="001049DB" w:rsidRPr="00ED35CB">
        <w:rPr>
          <w:rFonts w:ascii="Cambria" w:hAnsi="Cambria"/>
          <w:sz w:val="20"/>
          <w:szCs w:val="20"/>
          <w:lang w:val="es-ES"/>
        </w:rPr>
        <w:t>es antigua y constituye un patrón sistemático</w:t>
      </w:r>
      <w:r w:rsidRPr="00ED35CB">
        <w:rPr>
          <w:rFonts w:ascii="Cambria" w:hAnsi="Cambria"/>
          <w:sz w:val="20"/>
          <w:szCs w:val="20"/>
          <w:lang w:val="es-ES"/>
        </w:rPr>
        <w:t xml:space="preserve"> de violación de derechos de los pensionados. </w:t>
      </w:r>
    </w:p>
    <w:p w:rsidR="00C20AB4" w:rsidRPr="00ED35CB" w:rsidRDefault="00C20AB4" w:rsidP="00FB210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Por su parte, el Estado </w:t>
      </w:r>
      <w:r w:rsidR="00B6463F" w:rsidRPr="00ED35CB">
        <w:rPr>
          <w:rFonts w:ascii="Cambria" w:hAnsi="Cambria"/>
          <w:sz w:val="20"/>
          <w:szCs w:val="20"/>
          <w:lang w:val="es-ES"/>
        </w:rPr>
        <w:t>alega la</w:t>
      </w:r>
      <w:r w:rsidRPr="00ED35CB">
        <w:rPr>
          <w:rFonts w:ascii="Cambria" w:hAnsi="Cambria"/>
          <w:sz w:val="20"/>
          <w:szCs w:val="20"/>
          <w:lang w:val="es-ES"/>
        </w:rPr>
        <w:t xml:space="preserve"> falta del agotamiento de los recursos internos. </w:t>
      </w:r>
      <w:r w:rsidR="00B6463F" w:rsidRPr="00ED35CB">
        <w:rPr>
          <w:rFonts w:ascii="Cambria" w:hAnsi="Cambria"/>
          <w:sz w:val="20"/>
          <w:szCs w:val="20"/>
          <w:lang w:val="es-ES"/>
        </w:rPr>
        <w:t>Aduce</w:t>
      </w:r>
      <w:r w:rsidRPr="00ED35CB">
        <w:rPr>
          <w:rFonts w:ascii="Cambria" w:hAnsi="Cambria"/>
          <w:sz w:val="20"/>
          <w:szCs w:val="20"/>
          <w:lang w:val="es-ES"/>
        </w:rPr>
        <w:t xml:space="preserve"> que la petición se refiere al proceso de amparo interpuesto por los peticionarios, mismo que culminó y constituyó cosa juzgada con la expedición de la Resolución </w:t>
      </w:r>
      <w:r w:rsidR="00580D66" w:rsidRPr="00ED35CB">
        <w:rPr>
          <w:rFonts w:ascii="Cambria" w:hAnsi="Cambria"/>
          <w:sz w:val="20"/>
          <w:szCs w:val="20"/>
          <w:lang w:val="es-ES"/>
        </w:rPr>
        <w:t xml:space="preserve">21 del 3 de enero de 1996. </w:t>
      </w:r>
      <w:r w:rsidR="00B6463F" w:rsidRPr="00ED35CB">
        <w:rPr>
          <w:rFonts w:ascii="Cambria" w:hAnsi="Cambria"/>
          <w:sz w:val="20"/>
          <w:szCs w:val="20"/>
          <w:lang w:val="es-ES"/>
        </w:rPr>
        <w:t>Y</w:t>
      </w:r>
      <w:r w:rsidR="00580D66" w:rsidRPr="00ED35CB">
        <w:rPr>
          <w:rFonts w:ascii="Cambria" w:hAnsi="Cambria"/>
          <w:sz w:val="20"/>
          <w:szCs w:val="20"/>
          <w:lang w:val="es-ES"/>
        </w:rPr>
        <w:t xml:space="preserve"> que p</w:t>
      </w:r>
      <w:r w:rsidRPr="00ED35CB">
        <w:rPr>
          <w:rFonts w:ascii="Cambria" w:hAnsi="Cambria"/>
          <w:sz w:val="20"/>
          <w:szCs w:val="20"/>
          <w:lang w:val="es-ES"/>
        </w:rPr>
        <w:t xml:space="preserve">osteriormente se ha seguido un proceso de ejecución que aún no ha culminado con una decisión final. Indica que la Comisión no es una instancia para resolver diferencias con respeto a supuestas violaciones que no han sido </w:t>
      </w:r>
      <w:r w:rsidR="00B6463F" w:rsidRPr="00ED35CB">
        <w:rPr>
          <w:rFonts w:ascii="Cambria" w:hAnsi="Cambria"/>
          <w:sz w:val="20"/>
          <w:szCs w:val="20"/>
          <w:lang w:val="es-ES"/>
        </w:rPr>
        <w:t>establecidas</w:t>
      </w:r>
      <w:r w:rsidRPr="00ED35CB">
        <w:rPr>
          <w:rFonts w:ascii="Cambria" w:hAnsi="Cambria"/>
          <w:sz w:val="20"/>
          <w:szCs w:val="20"/>
          <w:lang w:val="es-ES"/>
        </w:rPr>
        <w:t xml:space="preserve"> por </w:t>
      </w:r>
      <w:r w:rsidR="00B6463F" w:rsidRPr="00ED35CB">
        <w:rPr>
          <w:rFonts w:ascii="Cambria" w:hAnsi="Cambria"/>
          <w:sz w:val="20"/>
          <w:szCs w:val="20"/>
          <w:lang w:val="es-ES"/>
        </w:rPr>
        <w:t xml:space="preserve">los </w:t>
      </w:r>
      <w:r w:rsidRPr="00ED35CB">
        <w:rPr>
          <w:rFonts w:ascii="Cambria" w:hAnsi="Cambria"/>
          <w:sz w:val="20"/>
          <w:szCs w:val="20"/>
          <w:lang w:val="es-ES"/>
        </w:rPr>
        <w:t xml:space="preserve">tribunales nacionales o que se encuentren pendientes de </w:t>
      </w:r>
      <w:r w:rsidR="00D4353E">
        <w:rPr>
          <w:rFonts w:ascii="Cambria" w:hAnsi="Cambria"/>
          <w:sz w:val="20"/>
          <w:szCs w:val="20"/>
          <w:lang w:val="es-ES"/>
        </w:rPr>
        <w:t>re</w:t>
      </w:r>
      <w:r w:rsidRPr="00ED35CB">
        <w:rPr>
          <w:rFonts w:ascii="Cambria" w:hAnsi="Cambria"/>
          <w:sz w:val="20"/>
          <w:szCs w:val="20"/>
          <w:lang w:val="es-ES"/>
        </w:rPr>
        <w:t>solución. Además</w:t>
      </w:r>
      <w:r w:rsidR="00276CC7" w:rsidRPr="00ED35CB">
        <w:rPr>
          <w:rFonts w:ascii="Cambria" w:hAnsi="Cambria"/>
          <w:sz w:val="20"/>
          <w:szCs w:val="20"/>
          <w:lang w:val="es-ES"/>
        </w:rPr>
        <w:t>,</w:t>
      </w:r>
      <w:r w:rsidRPr="00ED35CB">
        <w:rPr>
          <w:rFonts w:ascii="Cambria" w:hAnsi="Cambria"/>
          <w:sz w:val="20"/>
          <w:szCs w:val="20"/>
          <w:lang w:val="es-ES"/>
        </w:rPr>
        <w:t xml:space="preserve"> afirma que los diversos procesos de ejecución que han planteado </w:t>
      </w:r>
      <w:r w:rsidR="00276CC7" w:rsidRPr="00ED35CB">
        <w:rPr>
          <w:rFonts w:ascii="Cambria" w:hAnsi="Cambria"/>
          <w:sz w:val="20"/>
          <w:szCs w:val="20"/>
          <w:lang w:val="es-ES"/>
        </w:rPr>
        <w:t>las presuntas víctimas</w:t>
      </w:r>
      <w:r w:rsidRPr="00ED35CB">
        <w:rPr>
          <w:rFonts w:ascii="Cambria" w:hAnsi="Cambria"/>
          <w:sz w:val="20"/>
          <w:szCs w:val="20"/>
          <w:lang w:val="es-ES"/>
        </w:rPr>
        <w:t xml:space="preserve"> responden a que </w:t>
      </w:r>
      <w:r w:rsidR="00D7527E" w:rsidRPr="00ED35CB">
        <w:rPr>
          <w:rFonts w:ascii="Cambria" w:hAnsi="Cambria"/>
          <w:sz w:val="20"/>
          <w:szCs w:val="20"/>
          <w:lang w:val="es-ES"/>
        </w:rPr>
        <w:t>ésta</w:t>
      </w:r>
      <w:r w:rsidR="00276CC7" w:rsidRPr="00ED35CB">
        <w:rPr>
          <w:rFonts w:ascii="Cambria" w:hAnsi="Cambria"/>
          <w:sz w:val="20"/>
          <w:szCs w:val="20"/>
          <w:lang w:val="es-ES"/>
        </w:rPr>
        <w:t xml:space="preserve">s </w:t>
      </w:r>
      <w:r w:rsidRPr="00ED35CB">
        <w:rPr>
          <w:rFonts w:ascii="Cambria" w:hAnsi="Cambria"/>
          <w:sz w:val="20"/>
          <w:szCs w:val="20"/>
          <w:lang w:val="es-ES"/>
        </w:rPr>
        <w:t>buscan únicamente que se ejecute la Resolución</w:t>
      </w:r>
      <w:r w:rsidR="00D7527E" w:rsidRPr="00ED35CB">
        <w:rPr>
          <w:rFonts w:ascii="Cambria" w:hAnsi="Cambria"/>
          <w:sz w:val="20"/>
          <w:szCs w:val="20"/>
          <w:lang w:val="es-ES"/>
        </w:rPr>
        <w:t xml:space="preserve"> 21 bajo</w:t>
      </w:r>
      <w:r w:rsidRPr="00ED35CB">
        <w:rPr>
          <w:rFonts w:ascii="Cambria" w:hAnsi="Cambria"/>
          <w:sz w:val="20"/>
          <w:szCs w:val="20"/>
          <w:lang w:val="es-ES"/>
        </w:rPr>
        <w:t xml:space="preserve"> sus propios términos.</w:t>
      </w:r>
    </w:p>
    <w:p w:rsidR="00264117" w:rsidRPr="00ED35CB" w:rsidRDefault="00C20AB4" w:rsidP="00BA3B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Aún más, el Estado afirma que la ejecución de la sentencia de amparo no resolvería la cuestión de la nivelación de la pensión, sino sólo la inaplicación del artículo 6 inciso </w:t>
      </w:r>
      <w:r w:rsidR="005B38D6" w:rsidRPr="00ED35CB">
        <w:rPr>
          <w:rFonts w:ascii="Cambria" w:hAnsi="Cambria"/>
          <w:sz w:val="20"/>
          <w:szCs w:val="20"/>
          <w:lang w:val="es-ES"/>
        </w:rPr>
        <w:t>c</w:t>
      </w:r>
      <w:r w:rsidR="00CA186C" w:rsidRPr="00ED35CB">
        <w:rPr>
          <w:rFonts w:ascii="Cambria" w:hAnsi="Cambria"/>
          <w:sz w:val="20"/>
          <w:szCs w:val="20"/>
          <w:lang w:val="es-ES"/>
        </w:rPr>
        <w:t>)</w:t>
      </w:r>
      <w:r w:rsidR="00E70145">
        <w:rPr>
          <w:rFonts w:ascii="Cambria" w:hAnsi="Cambria"/>
          <w:sz w:val="20"/>
          <w:szCs w:val="20"/>
          <w:lang w:val="es-ES"/>
        </w:rPr>
        <w:t xml:space="preserve"> y</w:t>
      </w:r>
      <w:r w:rsidR="00E70145" w:rsidRPr="00E70145">
        <w:rPr>
          <w:rFonts w:ascii="Cambria" w:hAnsi="Cambria"/>
          <w:sz w:val="20"/>
          <w:szCs w:val="20"/>
          <w:lang w:val="es-ES"/>
        </w:rPr>
        <w:t xml:space="preserve"> </w:t>
      </w:r>
      <w:r w:rsidR="00E70145" w:rsidRPr="00ED35CB">
        <w:rPr>
          <w:rFonts w:ascii="Cambria" w:hAnsi="Cambria"/>
          <w:sz w:val="20"/>
          <w:szCs w:val="20"/>
          <w:lang w:val="es-ES"/>
        </w:rPr>
        <w:t>la segunda disposición transitoria</w:t>
      </w:r>
      <w:r w:rsidR="005B38D6" w:rsidRPr="00ED35CB">
        <w:rPr>
          <w:rFonts w:ascii="Cambria" w:hAnsi="Cambria"/>
          <w:sz w:val="20"/>
          <w:szCs w:val="20"/>
          <w:lang w:val="es-ES"/>
        </w:rPr>
        <w:t xml:space="preserve"> del Decreto 680, y que el amparo tiene como efecto retraer las cosas al estado anterior, no el de posibilitar el abono y nivelación </w:t>
      </w:r>
      <w:r w:rsidR="0050545E" w:rsidRPr="00ED35CB">
        <w:rPr>
          <w:rFonts w:ascii="Cambria" w:hAnsi="Cambria"/>
          <w:sz w:val="20"/>
          <w:szCs w:val="20"/>
          <w:lang w:val="es-ES"/>
        </w:rPr>
        <w:t>de una</w:t>
      </w:r>
      <w:r w:rsidR="005B38D6" w:rsidRPr="00ED35CB">
        <w:rPr>
          <w:rFonts w:ascii="Cambria" w:hAnsi="Cambria"/>
          <w:sz w:val="20"/>
          <w:szCs w:val="20"/>
          <w:lang w:val="es-ES"/>
        </w:rPr>
        <w:t xml:space="preserve"> forma contraria a la ley.</w:t>
      </w:r>
      <w:r w:rsidR="00CA186C" w:rsidRPr="00ED35CB">
        <w:rPr>
          <w:rFonts w:ascii="Cambria" w:hAnsi="Cambria"/>
          <w:sz w:val="20"/>
          <w:szCs w:val="20"/>
          <w:lang w:val="es-ES"/>
        </w:rPr>
        <w:t xml:space="preserve"> </w:t>
      </w:r>
      <w:r w:rsidRPr="00ED35CB">
        <w:rPr>
          <w:rFonts w:ascii="Cambria" w:hAnsi="Cambria"/>
          <w:sz w:val="20"/>
          <w:szCs w:val="20"/>
          <w:lang w:val="es-ES"/>
        </w:rPr>
        <w:t xml:space="preserve">Argumenta que correspondía plantear una demanda contenciosa administrativa en la que </w:t>
      </w:r>
      <w:r w:rsidR="0050545E" w:rsidRPr="00ED35CB">
        <w:rPr>
          <w:rFonts w:ascii="Cambria" w:hAnsi="Cambria"/>
          <w:sz w:val="20"/>
          <w:szCs w:val="20"/>
          <w:lang w:val="es-ES"/>
        </w:rPr>
        <w:t xml:space="preserve">se </w:t>
      </w:r>
      <w:r w:rsidRPr="00ED35CB">
        <w:rPr>
          <w:rFonts w:ascii="Cambria" w:hAnsi="Cambria"/>
          <w:sz w:val="20"/>
          <w:szCs w:val="20"/>
          <w:lang w:val="es-ES"/>
        </w:rPr>
        <w:t>pudiera debatir y probar su pretensión, lo cual no realizaron los peticionarios. De tal form</w:t>
      </w:r>
      <w:r w:rsidR="0050545E" w:rsidRPr="00ED35CB">
        <w:rPr>
          <w:rFonts w:ascii="Cambria" w:hAnsi="Cambria"/>
          <w:sz w:val="20"/>
          <w:szCs w:val="20"/>
          <w:lang w:val="es-ES"/>
        </w:rPr>
        <w:t xml:space="preserve">a que no activaron la vía idónea para este </w:t>
      </w:r>
      <w:r w:rsidR="0050545E" w:rsidRPr="00ED35CB">
        <w:rPr>
          <w:rFonts w:ascii="Cambria" w:hAnsi="Cambria"/>
          <w:sz w:val="20"/>
          <w:szCs w:val="20"/>
          <w:lang w:val="es-ES"/>
        </w:rPr>
        <w:lastRenderedPageBreak/>
        <w:t>caso</w:t>
      </w:r>
      <w:r w:rsidRPr="00ED35CB">
        <w:rPr>
          <w:rFonts w:ascii="Cambria" w:hAnsi="Cambria"/>
          <w:sz w:val="20"/>
          <w:szCs w:val="20"/>
          <w:lang w:val="es-ES"/>
        </w:rPr>
        <w:t>.</w:t>
      </w:r>
      <w:r w:rsidR="005B38D6" w:rsidRPr="00ED35CB">
        <w:rPr>
          <w:rFonts w:ascii="Cambria" w:hAnsi="Cambria"/>
          <w:sz w:val="20"/>
          <w:szCs w:val="20"/>
          <w:lang w:val="es-ES"/>
        </w:rPr>
        <w:t xml:space="preserve"> </w:t>
      </w:r>
      <w:r w:rsidR="003B348B" w:rsidRPr="00ED35CB">
        <w:rPr>
          <w:rFonts w:ascii="Cambria" w:hAnsi="Cambria"/>
          <w:sz w:val="20"/>
          <w:szCs w:val="20"/>
          <w:lang w:val="es-ES"/>
        </w:rPr>
        <w:t xml:space="preserve">El Estado también </w:t>
      </w:r>
      <w:r w:rsidR="005B38D6" w:rsidRPr="00ED35CB">
        <w:rPr>
          <w:rFonts w:ascii="Cambria" w:hAnsi="Cambria"/>
          <w:sz w:val="20"/>
          <w:szCs w:val="20"/>
          <w:lang w:val="es-ES"/>
        </w:rPr>
        <w:t>asevera</w:t>
      </w:r>
      <w:r w:rsidR="003B348B" w:rsidRPr="00ED35CB">
        <w:rPr>
          <w:rFonts w:ascii="Cambria" w:hAnsi="Cambria"/>
          <w:sz w:val="20"/>
          <w:szCs w:val="20"/>
          <w:lang w:val="es-ES"/>
        </w:rPr>
        <w:t xml:space="preserve"> que no hay configuración de violación de derechos alegados a partir de los hechos que se narran en la petici</w:t>
      </w:r>
      <w:r w:rsidR="0050545E" w:rsidRPr="00ED35CB">
        <w:rPr>
          <w:rFonts w:ascii="Cambria" w:hAnsi="Cambria"/>
          <w:sz w:val="20"/>
          <w:szCs w:val="20"/>
          <w:lang w:val="es-ES"/>
        </w:rPr>
        <w:t>ón y pide que la misma</w:t>
      </w:r>
      <w:r w:rsidR="005B38D6" w:rsidRPr="00ED35CB">
        <w:rPr>
          <w:rFonts w:ascii="Cambria" w:hAnsi="Cambria"/>
          <w:sz w:val="20"/>
          <w:szCs w:val="20"/>
          <w:lang w:val="es-ES"/>
        </w:rPr>
        <w:t xml:space="preserve"> sea inadmisible</w:t>
      </w:r>
    </w:p>
    <w:p w:rsidR="00A9415A" w:rsidRPr="00ED35CB" w:rsidRDefault="00A9415A" w:rsidP="00CA18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ED35CB">
        <w:rPr>
          <w:rFonts w:asciiTheme="majorHAnsi" w:hAnsiTheme="majorHAnsi"/>
          <w:b/>
          <w:bCs/>
          <w:sz w:val="20"/>
          <w:szCs w:val="20"/>
          <w:lang w:val="es-ES"/>
        </w:rPr>
        <w:t>VI.</w:t>
      </w:r>
      <w:r w:rsidRPr="00ED35CB">
        <w:rPr>
          <w:rFonts w:asciiTheme="majorHAnsi" w:hAnsiTheme="majorHAnsi"/>
          <w:b/>
          <w:bCs/>
          <w:sz w:val="20"/>
          <w:szCs w:val="20"/>
          <w:lang w:val="es-ES"/>
        </w:rPr>
        <w:tab/>
        <w:t xml:space="preserve">ANÁLISIS DE </w:t>
      </w:r>
      <w:r w:rsidRPr="00ED35CB">
        <w:rPr>
          <w:rFonts w:asciiTheme="majorHAnsi" w:hAnsiTheme="majorHAnsi"/>
          <w:b/>
          <w:sz w:val="20"/>
          <w:szCs w:val="20"/>
          <w:lang w:val="es-ES"/>
        </w:rPr>
        <w:t>AGOTAMIENTO DE LOS RECURSOS INTERNOS Y PLAZO DE PRESENTACIÓN</w:t>
      </w:r>
      <w:r w:rsidRPr="00ED35CB">
        <w:rPr>
          <w:rFonts w:asciiTheme="majorHAnsi" w:hAnsiTheme="majorHAnsi"/>
          <w:b/>
          <w:bCs/>
          <w:sz w:val="20"/>
          <w:szCs w:val="20"/>
          <w:lang w:val="es-ES"/>
        </w:rPr>
        <w:t xml:space="preserve"> </w:t>
      </w:r>
    </w:p>
    <w:p w:rsidR="00CA186C" w:rsidRPr="00ED35CB" w:rsidRDefault="00C91884" w:rsidP="005361E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Los peticionarios alegan que ha existido retardo injustificado en la</w:t>
      </w:r>
      <w:r w:rsidR="00C96039" w:rsidRPr="00ED35CB">
        <w:rPr>
          <w:rFonts w:ascii="Cambria" w:hAnsi="Cambria"/>
          <w:sz w:val="20"/>
          <w:szCs w:val="20"/>
          <w:lang w:val="es-ES"/>
        </w:rPr>
        <w:t xml:space="preserve"> ejecución de la Resolución 21 del 3 de enero de 1996</w:t>
      </w:r>
      <w:r w:rsidR="005361E0" w:rsidRPr="00ED35CB">
        <w:rPr>
          <w:rFonts w:ascii="Cambria" w:hAnsi="Cambria"/>
          <w:sz w:val="20"/>
          <w:szCs w:val="20"/>
          <w:lang w:val="es-ES"/>
        </w:rPr>
        <w:t>, cuyo proceso culminó y fue declarado cosa juzgada por la Sala Constitucional y Social de la Corte Suprema de Justicia</w:t>
      </w:r>
      <w:r w:rsidR="00CA186C" w:rsidRPr="00ED35CB">
        <w:rPr>
          <w:rFonts w:ascii="Cambria" w:hAnsi="Cambria"/>
          <w:sz w:val="20"/>
          <w:szCs w:val="20"/>
          <w:lang w:val="es-ES"/>
        </w:rPr>
        <w:t xml:space="preserve"> mediante sentencia de 27 de febrero de 1996. Sin que a la fecha se haya cumplido aquella decisión de amparo que reconoció los derechos como jubilados y pensionistas de las presuntas víctimas. A este respecto, el Estado, lejos de controvertir este hecho, sustenta su alegato de falta de agotamiento de los recursos internos precisamente en el reconocimiento de que aún está pendiente de </w:t>
      </w:r>
      <w:r w:rsidR="00ED7D16" w:rsidRPr="00ED35CB">
        <w:rPr>
          <w:rFonts w:ascii="Cambria" w:hAnsi="Cambria"/>
          <w:sz w:val="20"/>
          <w:szCs w:val="20"/>
          <w:lang w:val="es-ES"/>
        </w:rPr>
        <w:t>una decisión final</w:t>
      </w:r>
      <w:r w:rsidR="00CA186C" w:rsidRPr="00ED35CB">
        <w:rPr>
          <w:rFonts w:ascii="Cambria" w:hAnsi="Cambria"/>
          <w:sz w:val="20"/>
          <w:szCs w:val="20"/>
          <w:lang w:val="es-ES"/>
        </w:rPr>
        <w:t xml:space="preserve"> el proceso de ejecución de aquella Resolución 21. </w:t>
      </w:r>
    </w:p>
    <w:p w:rsidR="00846648" w:rsidRPr="00ED35CB" w:rsidRDefault="00C91884" w:rsidP="004F79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En atención a estas consideraciones</w:t>
      </w:r>
      <w:r w:rsidR="00C11CE2" w:rsidRPr="00ED35CB">
        <w:rPr>
          <w:rFonts w:ascii="Cambria" w:hAnsi="Cambria"/>
          <w:sz w:val="20"/>
          <w:szCs w:val="20"/>
          <w:lang w:val="es-ES"/>
        </w:rPr>
        <w:t xml:space="preserve"> l</w:t>
      </w:r>
      <w:r w:rsidRPr="00ED35CB">
        <w:rPr>
          <w:rFonts w:ascii="Cambria" w:hAnsi="Cambria"/>
          <w:sz w:val="20"/>
          <w:szCs w:val="20"/>
          <w:lang w:val="es-ES"/>
        </w:rPr>
        <w:t>a Comi</w:t>
      </w:r>
      <w:r w:rsidR="005361E0" w:rsidRPr="00ED35CB">
        <w:rPr>
          <w:rFonts w:ascii="Cambria" w:hAnsi="Cambria"/>
          <w:sz w:val="20"/>
          <w:szCs w:val="20"/>
          <w:lang w:val="es-ES"/>
        </w:rPr>
        <w:t xml:space="preserve">sión </w:t>
      </w:r>
      <w:r w:rsidR="00C11CE2" w:rsidRPr="00ED35CB">
        <w:rPr>
          <w:rFonts w:ascii="Cambria" w:hAnsi="Cambria"/>
          <w:sz w:val="20"/>
          <w:szCs w:val="20"/>
          <w:lang w:val="es-ES"/>
        </w:rPr>
        <w:t>observa,</w:t>
      </w:r>
      <w:r w:rsidR="005361E0" w:rsidRPr="00ED35CB">
        <w:rPr>
          <w:rFonts w:ascii="Cambria" w:hAnsi="Cambria"/>
          <w:sz w:val="20"/>
          <w:szCs w:val="20"/>
          <w:lang w:val="es-ES"/>
        </w:rPr>
        <w:t xml:space="preserve"> en primer lugar</w:t>
      </w:r>
      <w:r w:rsidR="00C11CE2" w:rsidRPr="00ED35CB">
        <w:rPr>
          <w:rFonts w:ascii="Cambria" w:hAnsi="Cambria"/>
          <w:sz w:val="20"/>
          <w:szCs w:val="20"/>
          <w:lang w:val="es-ES"/>
        </w:rPr>
        <w:t>,</w:t>
      </w:r>
      <w:r w:rsidR="005361E0" w:rsidRPr="00ED35CB">
        <w:rPr>
          <w:rFonts w:ascii="Cambria" w:hAnsi="Cambria"/>
          <w:sz w:val="20"/>
          <w:szCs w:val="20"/>
          <w:lang w:val="es-ES"/>
        </w:rPr>
        <w:t xml:space="preserve"> </w:t>
      </w:r>
      <w:r w:rsidRPr="00ED35CB">
        <w:rPr>
          <w:rFonts w:ascii="Cambria" w:hAnsi="Cambria"/>
          <w:sz w:val="20"/>
          <w:szCs w:val="20"/>
          <w:lang w:val="es-ES"/>
        </w:rPr>
        <w:t xml:space="preserve">que las presuntas víctimas activaron la vía legal idónea para hacer valer sus derechos, siendo esta la </w:t>
      </w:r>
      <w:r w:rsidR="00C11CE2" w:rsidRPr="00ED35CB">
        <w:rPr>
          <w:rFonts w:ascii="Cambria" w:hAnsi="Cambria"/>
          <w:sz w:val="20"/>
          <w:szCs w:val="20"/>
          <w:lang w:val="es-ES"/>
        </w:rPr>
        <w:t>acción de amparo, lo cual no ha sido desvirtuado por el Estado, y que, de hecho, comenzó a tener efectos verificables en el actuar judicial posterior del TJECC</w:t>
      </w:r>
      <w:r w:rsidRPr="00ED35CB">
        <w:rPr>
          <w:rFonts w:ascii="Cambria" w:hAnsi="Cambria"/>
          <w:sz w:val="20"/>
          <w:szCs w:val="20"/>
          <w:lang w:val="es-ES"/>
        </w:rPr>
        <w:t xml:space="preserve">. </w:t>
      </w:r>
      <w:r w:rsidR="00C11CE2" w:rsidRPr="00ED35CB">
        <w:rPr>
          <w:rFonts w:ascii="Cambria" w:hAnsi="Cambria"/>
          <w:sz w:val="20"/>
          <w:szCs w:val="20"/>
          <w:lang w:val="es-ES"/>
        </w:rPr>
        <w:t xml:space="preserve">Y luego, que como </w:t>
      </w:r>
      <w:r w:rsidR="00397D7C" w:rsidRPr="00ED35CB">
        <w:rPr>
          <w:rFonts w:ascii="Cambria" w:hAnsi="Cambria" w:cs="Calibri"/>
          <w:sz w:val="20"/>
          <w:szCs w:val="20"/>
          <w:lang w:val="es-ES"/>
        </w:rPr>
        <w:t xml:space="preserve">surge </w:t>
      </w:r>
      <w:r w:rsidR="00C11CE2" w:rsidRPr="00ED35CB">
        <w:rPr>
          <w:rFonts w:ascii="Cambria" w:hAnsi="Cambria" w:cs="Calibri"/>
          <w:sz w:val="20"/>
          <w:szCs w:val="20"/>
          <w:lang w:val="es-ES"/>
        </w:rPr>
        <w:t xml:space="preserve">claramente de la propia argumentación de las partes, </w:t>
      </w:r>
      <w:r w:rsidR="00E92115" w:rsidRPr="00ED35CB">
        <w:rPr>
          <w:rFonts w:ascii="Cambria" w:hAnsi="Cambria"/>
          <w:sz w:val="20"/>
          <w:szCs w:val="20"/>
          <w:lang w:val="es-ES"/>
        </w:rPr>
        <w:t xml:space="preserve">aún no </w:t>
      </w:r>
      <w:r w:rsidR="00C11CE2" w:rsidRPr="00ED35CB">
        <w:rPr>
          <w:rFonts w:ascii="Cambria" w:hAnsi="Cambria"/>
          <w:sz w:val="20"/>
          <w:szCs w:val="20"/>
          <w:lang w:val="es-ES"/>
        </w:rPr>
        <w:t xml:space="preserve">se </w:t>
      </w:r>
      <w:r w:rsidR="00E92115" w:rsidRPr="00ED35CB">
        <w:rPr>
          <w:rFonts w:ascii="Cambria" w:hAnsi="Cambria"/>
          <w:sz w:val="20"/>
          <w:szCs w:val="20"/>
          <w:lang w:val="es-ES"/>
        </w:rPr>
        <w:t xml:space="preserve">ha </w:t>
      </w:r>
      <w:r w:rsidR="00C11CE2" w:rsidRPr="00ED35CB">
        <w:rPr>
          <w:rFonts w:ascii="Cambria" w:hAnsi="Cambria"/>
          <w:sz w:val="20"/>
          <w:szCs w:val="20"/>
          <w:lang w:val="es-ES"/>
        </w:rPr>
        <w:t>cumplido con</w:t>
      </w:r>
      <w:r w:rsidR="00E92115" w:rsidRPr="00ED35CB">
        <w:rPr>
          <w:rFonts w:ascii="Cambria" w:hAnsi="Cambria" w:cs="Calibri"/>
          <w:sz w:val="20"/>
          <w:szCs w:val="20"/>
          <w:lang w:val="es-ES"/>
        </w:rPr>
        <w:t xml:space="preserve"> </w:t>
      </w:r>
      <w:r w:rsidR="007129D0" w:rsidRPr="00ED35CB">
        <w:rPr>
          <w:rFonts w:ascii="Cambria" w:hAnsi="Cambria" w:cs="Calibri"/>
          <w:sz w:val="20"/>
          <w:szCs w:val="20"/>
          <w:lang w:val="es-ES"/>
        </w:rPr>
        <w:t>la Resolución 21 del 3 de enero de 1996 de la</w:t>
      </w:r>
      <w:r w:rsidR="00397D7C" w:rsidRPr="00ED35CB">
        <w:rPr>
          <w:rFonts w:ascii="Cambria" w:hAnsi="Cambria" w:cs="Calibri"/>
          <w:sz w:val="20"/>
          <w:szCs w:val="20"/>
          <w:lang w:val="es-ES"/>
        </w:rPr>
        <w:t xml:space="preserve"> Sala Civil </w:t>
      </w:r>
      <w:r w:rsidR="007129D0" w:rsidRPr="00ED35CB">
        <w:rPr>
          <w:rFonts w:ascii="Cambria" w:hAnsi="Cambria" w:cs="Calibri"/>
          <w:sz w:val="20"/>
          <w:szCs w:val="20"/>
          <w:lang w:val="es-ES"/>
        </w:rPr>
        <w:t>de la Corte Superior del Calla</w:t>
      </w:r>
      <w:r w:rsidR="00C11CE2" w:rsidRPr="00ED35CB">
        <w:rPr>
          <w:rFonts w:ascii="Cambria" w:hAnsi="Cambria" w:cs="Calibri"/>
          <w:sz w:val="20"/>
          <w:szCs w:val="20"/>
          <w:lang w:val="es-ES"/>
        </w:rPr>
        <w:t>o</w:t>
      </w:r>
      <w:r w:rsidR="00E92115" w:rsidRPr="00ED35CB">
        <w:rPr>
          <w:rFonts w:ascii="Cambria" w:hAnsi="Cambria"/>
          <w:sz w:val="20"/>
          <w:szCs w:val="20"/>
          <w:lang w:val="es-ES"/>
        </w:rPr>
        <w:t xml:space="preserve">. </w:t>
      </w:r>
      <w:r w:rsidR="00C11CE2" w:rsidRPr="00ED35CB">
        <w:rPr>
          <w:rFonts w:ascii="Cambria" w:hAnsi="Cambria" w:cs="Calibri"/>
          <w:sz w:val="20"/>
          <w:szCs w:val="20"/>
          <w:lang w:val="es-ES"/>
        </w:rPr>
        <w:t>En este sentido</w:t>
      </w:r>
      <w:r w:rsidR="00846648" w:rsidRPr="00ED35CB">
        <w:rPr>
          <w:rFonts w:ascii="Cambria" w:hAnsi="Cambria" w:cs="Calibri"/>
          <w:sz w:val="20"/>
          <w:szCs w:val="20"/>
          <w:lang w:val="es-ES"/>
        </w:rPr>
        <w:t xml:space="preserve">, la Comisión </w:t>
      </w:r>
      <w:r w:rsidR="00C11CE2" w:rsidRPr="00ED35CB">
        <w:rPr>
          <w:rFonts w:ascii="Cambria" w:hAnsi="Cambria" w:cs="Calibri"/>
          <w:sz w:val="20"/>
          <w:szCs w:val="20"/>
          <w:lang w:val="es-ES"/>
        </w:rPr>
        <w:t>concluye</w:t>
      </w:r>
      <w:r w:rsidR="00846648" w:rsidRPr="00ED35CB">
        <w:rPr>
          <w:rFonts w:ascii="Cambria" w:hAnsi="Cambria" w:cs="Calibri"/>
          <w:sz w:val="20"/>
          <w:szCs w:val="20"/>
          <w:lang w:val="es-ES"/>
        </w:rPr>
        <w:t xml:space="preserve"> que </w:t>
      </w:r>
      <w:r w:rsidR="00C11CE2" w:rsidRPr="00ED35CB">
        <w:rPr>
          <w:rFonts w:ascii="Cambria" w:hAnsi="Cambria" w:cs="Calibri"/>
          <w:sz w:val="20"/>
          <w:szCs w:val="20"/>
          <w:lang w:val="es-ES"/>
        </w:rPr>
        <w:t>resulta</w:t>
      </w:r>
      <w:r w:rsidR="00846648" w:rsidRPr="00ED35CB">
        <w:rPr>
          <w:rFonts w:ascii="Cambria" w:hAnsi="Cambria" w:cs="Calibri"/>
          <w:sz w:val="20"/>
          <w:szCs w:val="20"/>
          <w:lang w:val="es-ES"/>
        </w:rPr>
        <w:t xml:space="preserve"> aplicable la excepción establecida en el artículo 46.2.c) de la Convención Americana.</w:t>
      </w:r>
    </w:p>
    <w:p w:rsidR="004F7971" w:rsidRPr="00ED35CB" w:rsidRDefault="00C91884" w:rsidP="00C11CE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Asimismo, </w:t>
      </w:r>
      <w:r w:rsidR="00C11CE2" w:rsidRPr="00ED35CB">
        <w:rPr>
          <w:rFonts w:ascii="Cambria" w:hAnsi="Cambria"/>
          <w:sz w:val="20"/>
          <w:szCs w:val="20"/>
          <w:lang w:val="es-ES"/>
        </w:rPr>
        <w:t>teniendo en cuenta que la</w:t>
      </w:r>
      <w:r w:rsidR="004F7971" w:rsidRPr="00ED35CB">
        <w:rPr>
          <w:rFonts w:ascii="Cambria" w:hAnsi="Cambria"/>
          <w:sz w:val="20"/>
          <w:szCs w:val="20"/>
          <w:lang w:val="es-ES"/>
        </w:rPr>
        <w:t xml:space="preserve"> petición</w:t>
      </w:r>
      <w:r w:rsidRPr="00ED35CB">
        <w:rPr>
          <w:rFonts w:ascii="Cambria" w:hAnsi="Cambria"/>
          <w:sz w:val="20"/>
          <w:szCs w:val="20"/>
          <w:lang w:val="es-ES"/>
        </w:rPr>
        <w:t xml:space="preserve"> </w:t>
      </w:r>
      <w:r w:rsidR="004F7971" w:rsidRPr="00ED35CB">
        <w:rPr>
          <w:rFonts w:ascii="Cambria" w:hAnsi="Cambria"/>
          <w:sz w:val="20"/>
          <w:szCs w:val="20"/>
          <w:lang w:val="es-ES"/>
        </w:rPr>
        <w:t xml:space="preserve">fue </w:t>
      </w:r>
      <w:r w:rsidRPr="00ED35CB">
        <w:rPr>
          <w:rFonts w:ascii="Cambria" w:hAnsi="Cambria"/>
          <w:sz w:val="20"/>
          <w:szCs w:val="20"/>
          <w:lang w:val="es-ES"/>
        </w:rPr>
        <w:t xml:space="preserve"> presentada el </w:t>
      </w:r>
      <w:r w:rsidR="004F7971" w:rsidRPr="00ED35CB">
        <w:rPr>
          <w:rFonts w:ascii="Cambria" w:hAnsi="Cambria"/>
          <w:sz w:val="20"/>
          <w:szCs w:val="20"/>
          <w:lang w:val="es-ES"/>
        </w:rPr>
        <w:t>24 de junio de 2013</w:t>
      </w:r>
      <w:r w:rsidR="00C11CE2" w:rsidRPr="00ED35CB">
        <w:rPr>
          <w:rFonts w:ascii="Cambria" w:hAnsi="Cambria"/>
          <w:sz w:val="20"/>
          <w:szCs w:val="20"/>
          <w:lang w:val="es-ES"/>
        </w:rPr>
        <w:t>, y que los efectos de la denegatoria de los derechos de las presuntas víctimas por parte de autoridades administrativas y judiciales se habrían extendido hasta el presente</w:t>
      </w:r>
      <w:r w:rsidR="006F1A3A">
        <w:rPr>
          <w:rFonts w:ascii="Cambria" w:hAnsi="Cambria"/>
          <w:sz w:val="20"/>
          <w:szCs w:val="20"/>
          <w:lang w:val="es-ES"/>
        </w:rPr>
        <w:t xml:space="preserve">; </w:t>
      </w:r>
      <w:r w:rsidR="00C11CE2" w:rsidRPr="00ED35CB">
        <w:rPr>
          <w:rFonts w:ascii="Cambria" w:hAnsi="Cambria"/>
          <w:sz w:val="20"/>
          <w:szCs w:val="20"/>
          <w:lang w:val="es-ES"/>
        </w:rPr>
        <w:t xml:space="preserve">y </w:t>
      </w:r>
      <w:r w:rsidR="006F1A3A">
        <w:rPr>
          <w:rFonts w:ascii="Cambria" w:hAnsi="Cambria"/>
          <w:sz w:val="20"/>
          <w:szCs w:val="20"/>
          <w:lang w:val="es-ES"/>
        </w:rPr>
        <w:t xml:space="preserve">tomando en cuenta que las presuntas víctimas se han mantenido litigando y reclamando sus derechos a nivel interno desde 1995 hasta los años inmediatamente anteriores a la presentación de la presente petición, siendo además personas adultas mayores, </w:t>
      </w:r>
      <w:r w:rsidR="00C11CE2" w:rsidRPr="00ED35CB">
        <w:rPr>
          <w:rFonts w:ascii="Cambria" w:hAnsi="Cambria"/>
          <w:sz w:val="20"/>
          <w:szCs w:val="20"/>
          <w:lang w:val="es-ES"/>
        </w:rPr>
        <w:t>l</w:t>
      </w:r>
      <w:r w:rsidR="00CB6610" w:rsidRPr="00ED35CB">
        <w:rPr>
          <w:rFonts w:ascii="Cambria" w:hAnsi="Cambria"/>
          <w:sz w:val="20"/>
          <w:szCs w:val="20"/>
          <w:lang w:val="es-ES"/>
        </w:rPr>
        <w:t xml:space="preserve">a Comisión considera </w:t>
      </w:r>
      <w:r w:rsidRPr="00ED35CB">
        <w:rPr>
          <w:rFonts w:ascii="Cambria" w:hAnsi="Cambria"/>
          <w:sz w:val="20"/>
          <w:szCs w:val="20"/>
          <w:lang w:val="es-ES"/>
        </w:rPr>
        <w:t xml:space="preserve">que la petición fue presentada dentro de un plazo razonable </w:t>
      </w:r>
      <w:r w:rsidR="00C11CE2" w:rsidRPr="00ED35CB">
        <w:rPr>
          <w:rFonts w:ascii="Cambria" w:hAnsi="Cambria"/>
          <w:sz w:val="20"/>
          <w:szCs w:val="20"/>
          <w:lang w:val="es-ES"/>
        </w:rPr>
        <w:t xml:space="preserve">en los términos del artículo 32.2 de su Reglamento, en concordancia con el artículo </w:t>
      </w:r>
      <w:r w:rsidRPr="00ED35CB">
        <w:rPr>
          <w:rFonts w:ascii="Cambria" w:hAnsi="Cambria"/>
          <w:sz w:val="20"/>
          <w:szCs w:val="20"/>
          <w:lang w:val="es-ES"/>
        </w:rPr>
        <w:t>46.2 de la Convención Americana</w:t>
      </w:r>
      <w:r w:rsidR="00C11CE2" w:rsidRPr="00ED35CB">
        <w:rPr>
          <w:rFonts w:ascii="Cambria" w:hAnsi="Cambria"/>
          <w:sz w:val="20"/>
          <w:szCs w:val="20"/>
          <w:lang w:val="es-ES"/>
        </w:rPr>
        <w:t>.</w:t>
      </w:r>
    </w:p>
    <w:p w:rsidR="00A9415A" w:rsidRPr="00ED35CB" w:rsidRDefault="00A9415A" w:rsidP="005E48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D35CB">
        <w:rPr>
          <w:rFonts w:asciiTheme="majorHAnsi" w:hAnsiTheme="majorHAnsi"/>
          <w:b/>
          <w:bCs/>
          <w:sz w:val="20"/>
          <w:szCs w:val="20"/>
          <w:lang w:val="es-ES"/>
        </w:rPr>
        <w:t>VII.</w:t>
      </w:r>
      <w:r w:rsidRPr="00ED35CB">
        <w:rPr>
          <w:rFonts w:asciiTheme="majorHAnsi" w:hAnsiTheme="majorHAnsi"/>
          <w:b/>
          <w:bCs/>
          <w:sz w:val="20"/>
          <w:szCs w:val="20"/>
          <w:lang w:val="es-ES"/>
        </w:rPr>
        <w:tab/>
        <w:t>ANÁLISIS DE CARACTERIZACIÓN DE LOS HECHOS ALEGADOS</w:t>
      </w:r>
    </w:p>
    <w:p w:rsidR="00C9217B" w:rsidRPr="00ED35CB" w:rsidRDefault="00707A22" w:rsidP="00707A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El Estado sostiene que los hechos descritos no caracterizan una violación de los derechos garantizados por la Convención Americana, supuesto previsto en el artículo 47.b de </w:t>
      </w:r>
      <w:r w:rsidR="00ED35CB" w:rsidRPr="00ED35CB">
        <w:rPr>
          <w:rFonts w:ascii="Cambria" w:hAnsi="Cambria"/>
          <w:sz w:val="20"/>
          <w:szCs w:val="20"/>
          <w:lang w:val="es-ES"/>
        </w:rPr>
        <w:t>esta</w:t>
      </w:r>
      <w:r w:rsidRPr="00ED35CB">
        <w:rPr>
          <w:rFonts w:ascii="Cambria" w:hAnsi="Cambria"/>
          <w:sz w:val="20"/>
          <w:szCs w:val="20"/>
          <w:lang w:val="es-ES"/>
        </w:rPr>
        <w:t xml:space="preserve">. Respecto a lo anterior, la Comisión considera que no corresponde en esta etapa del procedimiento decidir si se produjeron o no las alegadas violaciones en perjuicio de las presuntas víctimas. A efectos de la admisibilidad, la CIDH debe resolver en este momento únicamente si se exponen hechos que, de ser probados, caracterizarían violaciones a la Convención Americana como lo estipula el artículo 47.b de </w:t>
      </w:r>
      <w:r w:rsidR="00ED35CB" w:rsidRPr="00ED35CB">
        <w:rPr>
          <w:rFonts w:ascii="Cambria" w:hAnsi="Cambria"/>
          <w:sz w:val="20"/>
          <w:szCs w:val="20"/>
          <w:lang w:val="es-ES"/>
        </w:rPr>
        <w:t>esta</w:t>
      </w:r>
      <w:r w:rsidRPr="00ED35CB">
        <w:rPr>
          <w:rFonts w:ascii="Cambria" w:hAnsi="Cambria"/>
          <w:sz w:val="20"/>
          <w:szCs w:val="20"/>
          <w:lang w:val="es-ES"/>
        </w:rPr>
        <w:t>, y si la petición es "manifiestamente infundada" o si es “evidente su total improcedencia”, según el inciso (c) del mismo artículo</w:t>
      </w:r>
      <w:r w:rsidR="005B3E0E" w:rsidRPr="00ED35CB">
        <w:rPr>
          <w:rStyle w:val="FootnoteReference"/>
          <w:rFonts w:ascii="Cambria" w:hAnsi="Cambria" w:cs="Calibri"/>
          <w:sz w:val="20"/>
          <w:szCs w:val="20"/>
          <w:lang w:val="es-ES"/>
        </w:rPr>
        <w:footnoteReference w:id="7"/>
      </w:r>
      <w:r w:rsidRPr="00ED35CB">
        <w:rPr>
          <w:rFonts w:ascii="Cambria" w:hAnsi="Cambria"/>
          <w:sz w:val="20"/>
          <w:szCs w:val="20"/>
          <w:lang w:val="es-ES"/>
        </w:rPr>
        <w:t>.</w:t>
      </w:r>
    </w:p>
    <w:p w:rsidR="00A1003E" w:rsidRDefault="00A1003E" w:rsidP="00A10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Theme="majorHAnsi" w:hAnsiTheme="majorHAnsi"/>
          <w:sz w:val="20"/>
          <w:szCs w:val="20"/>
          <w:lang w:val="es-ES"/>
        </w:rPr>
        <w:t xml:space="preserve">Así, tras examinar los elementos de hecho y de derecho expuestos por las partes, en particular el hecho de que las presuntas víctimas son personas adultas mayores, cuyos derechos deben ser protegidos mediante medidas positivas por parte del Estado, y que llevan más de veinticinco años reclamando sus derechos, la Comisión concluye que las alegaciones de la parte peticionaria no resultan manifiestamente infundadas, y que las mismas, de ser ciertas, podrían caracterizar violaciones a los derechos protegidos en los </w:t>
      </w:r>
      <w:r w:rsidR="00DB6FFD" w:rsidRPr="00ED35CB">
        <w:rPr>
          <w:rFonts w:ascii="Cambria" w:hAnsi="Cambria"/>
          <w:sz w:val="20"/>
          <w:szCs w:val="20"/>
          <w:lang w:val="es-ES"/>
        </w:rPr>
        <w:t xml:space="preserve">artículos 8 (garantías judiciales), 21 (propiedad privada), </w:t>
      </w:r>
      <w:r w:rsidR="002E24FB" w:rsidRPr="00ED35CB">
        <w:rPr>
          <w:rFonts w:ascii="Cambria" w:hAnsi="Cambria"/>
          <w:sz w:val="20"/>
          <w:szCs w:val="20"/>
          <w:lang w:val="es-ES"/>
        </w:rPr>
        <w:t xml:space="preserve">24 (igualdad ante la ley), </w:t>
      </w:r>
      <w:r w:rsidR="00DB6FFD" w:rsidRPr="00ED35CB">
        <w:rPr>
          <w:rFonts w:ascii="Cambria" w:hAnsi="Cambria"/>
          <w:sz w:val="20"/>
          <w:szCs w:val="20"/>
          <w:lang w:val="es-ES"/>
        </w:rPr>
        <w:t>25 (protección judicial) y 26 (derechos económicos, sociales y culturales) de la Convención Americana en relación con sus artículos 1.1 (obligación de respetar los derechos) y 2 (deber de adoptar disposiciones de derecho interno)</w:t>
      </w:r>
      <w:r w:rsidR="002E24FB" w:rsidRPr="00ED35CB">
        <w:rPr>
          <w:rFonts w:ascii="Cambria" w:hAnsi="Cambria"/>
          <w:sz w:val="20"/>
          <w:szCs w:val="20"/>
          <w:lang w:val="es-ES"/>
        </w:rPr>
        <w:t>.</w:t>
      </w:r>
    </w:p>
    <w:p w:rsidR="00A309F9" w:rsidRPr="00ED35CB" w:rsidRDefault="00A309F9" w:rsidP="00A100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309F9">
        <w:rPr>
          <w:rFonts w:ascii="Cambria" w:hAnsi="Cambria"/>
          <w:sz w:val="20"/>
          <w:szCs w:val="20"/>
          <w:lang w:val="es-ES"/>
        </w:rPr>
        <w:lastRenderedPageBreak/>
        <w:t xml:space="preserve">En cuanto a las alegadas violaciones al </w:t>
      </w:r>
      <w:r>
        <w:rPr>
          <w:rFonts w:ascii="Cambria" w:hAnsi="Cambria"/>
          <w:sz w:val="20"/>
          <w:szCs w:val="20"/>
          <w:lang w:val="es-ES"/>
        </w:rPr>
        <w:t xml:space="preserve">artículo </w:t>
      </w:r>
      <w:r w:rsidRPr="00ED35CB">
        <w:rPr>
          <w:rFonts w:ascii="Cambria" w:hAnsi="Cambria"/>
          <w:sz w:val="20"/>
          <w:szCs w:val="20"/>
          <w:lang w:val="es-ES"/>
        </w:rPr>
        <w:t>9 (principio de legalidad y de retroactividad)</w:t>
      </w:r>
      <w:r w:rsidRPr="00A309F9">
        <w:rPr>
          <w:rFonts w:ascii="Cambria" w:hAnsi="Cambria"/>
          <w:sz w:val="20"/>
          <w:szCs w:val="20"/>
          <w:lang w:val="es-ES"/>
        </w:rPr>
        <w:t xml:space="preserve"> de la </w:t>
      </w:r>
      <w:proofErr w:type="spellStart"/>
      <w:r w:rsidRPr="00A309F9">
        <w:rPr>
          <w:rFonts w:ascii="Cambria" w:hAnsi="Cambria"/>
          <w:sz w:val="20"/>
          <w:szCs w:val="20"/>
          <w:lang w:val="es-ES"/>
        </w:rPr>
        <w:t>Convención</w:t>
      </w:r>
      <w:proofErr w:type="spellEnd"/>
      <w:r w:rsidRPr="00A309F9">
        <w:rPr>
          <w:rFonts w:ascii="Cambria" w:hAnsi="Cambria"/>
          <w:sz w:val="20"/>
          <w:szCs w:val="20"/>
          <w:lang w:val="es-ES"/>
        </w:rPr>
        <w:t xml:space="preserve"> Americana, la </w:t>
      </w:r>
      <w:proofErr w:type="spellStart"/>
      <w:r w:rsidRPr="00A309F9">
        <w:rPr>
          <w:rFonts w:ascii="Cambria" w:hAnsi="Cambria"/>
          <w:sz w:val="20"/>
          <w:szCs w:val="20"/>
          <w:lang w:val="es-ES"/>
        </w:rPr>
        <w:t>Comisión</w:t>
      </w:r>
      <w:proofErr w:type="spellEnd"/>
      <w:r w:rsidRPr="00A309F9">
        <w:rPr>
          <w:rFonts w:ascii="Cambria" w:hAnsi="Cambria"/>
          <w:sz w:val="20"/>
          <w:szCs w:val="20"/>
          <w:lang w:val="es-ES"/>
        </w:rPr>
        <w:t xml:space="preserve"> estima que la parte peticionaria no ha presentado</w:t>
      </w:r>
      <w:r>
        <w:rPr>
          <w:rFonts w:ascii="Cambria" w:hAnsi="Cambria"/>
          <w:sz w:val="20"/>
          <w:szCs w:val="20"/>
          <w:lang w:val="es-ES"/>
        </w:rPr>
        <w:t xml:space="preserve"> </w:t>
      </w:r>
      <w:r w:rsidRPr="00A309F9">
        <w:rPr>
          <w:rFonts w:ascii="Cambria" w:hAnsi="Cambria"/>
          <w:sz w:val="20"/>
          <w:szCs w:val="20"/>
          <w:lang w:val="es-ES"/>
        </w:rPr>
        <w:t xml:space="preserve">elementos o sustento suficiente que le permitan considerar, </w:t>
      </w:r>
      <w:r w:rsidRPr="00A309F9">
        <w:rPr>
          <w:rFonts w:ascii="Cambria" w:hAnsi="Cambria"/>
          <w:i/>
          <w:iCs/>
          <w:sz w:val="20"/>
          <w:szCs w:val="20"/>
          <w:lang w:val="es-ES"/>
        </w:rPr>
        <w:t>prima facie</w:t>
      </w:r>
      <w:r w:rsidRPr="00A309F9">
        <w:rPr>
          <w:rFonts w:ascii="Cambria" w:hAnsi="Cambria"/>
          <w:sz w:val="20"/>
          <w:szCs w:val="20"/>
          <w:lang w:val="es-ES"/>
        </w:rPr>
        <w:t xml:space="preserve">, la </w:t>
      </w:r>
      <w:r>
        <w:rPr>
          <w:rFonts w:ascii="Cambria" w:hAnsi="Cambria"/>
          <w:sz w:val="20"/>
          <w:szCs w:val="20"/>
          <w:lang w:val="es-ES"/>
        </w:rPr>
        <w:t>su posible violación.</w:t>
      </w:r>
    </w:p>
    <w:p w:rsidR="003239B8" w:rsidRPr="00ED35CB" w:rsidRDefault="003239B8" w:rsidP="003239B8">
      <w:pPr>
        <w:pStyle w:val="ListParagraph"/>
        <w:spacing w:before="240" w:after="240"/>
        <w:jc w:val="both"/>
        <w:rPr>
          <w:rFonts w:asciiTheme="majorHAnsi" w:hAnsiTheme="majorHAnsi"/>
          <w:b/>
          <w:bCs/>
          <w:sz w:val="20"/>
          <w:szCs w:val="20"/>
          <w:lang w:val="es-ES"/>
        </w:rPr>
      </w:pPr>
      <w:r w:rsidRPr="00ED35CB">
        <w:rPr>
          <w:rFonts w:asciiTheme="majorHAnsi" w:hAnsiTheme="majorHAnsi"/>
          <w:b/>
          <w:bCs/>
          <w:sz w:val="20"/>
          <w:szCs w:val="20"/>
          <w:lang w:val="es-ES"/>
        </w:rPr>
        <w:t xml:space="preserve">VIII. </w:t>
      </w:r>
      <w:r w:rsidRPr="00ED35CB">
        <w:rPr>
          <w:rFonts w:asciiTheme="majorHAnsi" w:hAnsiTheme="majorHAnsi"/>
          <w:b/>
          <w:bCs/>
          <w:sz w:val="20"/>
          <w:szCs w:val="20"/>
          <w:lang w:val="es-ES"/>
        </w:rPr>
        <w:tab/>
        <w:t>DECISIÓN</w:t>
      </w:r>
    </w:p>
    <w:p w:rsidR="00A309F9" w:rsidRDefault="003239B8" w:rsidP="00E04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Declarar admisible la pr</w:t>
      </w:r>
      <w:r w:rsidR="00E04B05" w:rsidRPr="00ED35CB">
        <w:rPr>
          <w:rFonts w:ascii="Cambria" w:hAnsi="Cambria"/>
          <w:sz w:val="20"/>
          <w:szCs w:val="20"/>
          <w:lang w:val="es-ES"/>
        </w:rPr>
        <w:t xml:space="preserve">esente petición en relación con los artículos 8, 21, </w:t>
      </w:r>
      <w:r w:rsidR="00FF1A51" w:rsidRPr="00ED35CB">
        <w:rPr>
          <w:rFonts w:ascii="Cambria" w:hAnsi="Cambria"/>
          <w:sz w:val="20"/>
          <w:szCs w:val="20"/>
          <w:lang w:val="es-ES"/>
        </w:rPr>
        <w:t xml:space="preserve">24, </w:t>
      </w:r>
      <w:r w:rsidR="00E04B05" w:rsidRPr="00ED35CB">
        <w:rPr>
          <w:rFonts w:ascii="Cambria" w:hAnsi="Cambria"/>
          <w:sz w:val="20"/>
          <w:szCs w:val="20"/>
          <w:lang w:val="es-ES"/>
        </w:rPr>
        <w:t>25 y 26 de la Convención Americana en relación con los artículos 1.1 y 2 del mismo instrumento;</w:t>
      </w:r>
      <w:r w:rsidR="00FF1A51" w:rsidRPr="00ED35CB">
        <w:rPr>
          <w:rFonts w:ascii="Cambria" w:hAnsi="Cambria"/>
          <w:sz w:val="20"/>
          <w:szCs w:val="20"/>
          <w:lang w:val="es-ES"/>
        </w:rPr>
        <w:t xml:space="preserve"> </w:t>
      </w:r>
    </w:p>
    <w:p w:rsidR="003239B8" w:rsidRPr="00ED35CB" w:rsidRDefault="00A309F9" w:rsidP="00E04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Declarar inadmisible la presente petición en relación con el artículo 9 de la Convención Americana; </w:t>
      </w:r>
      <w:r w:rsidR="00FF1A51" w:rsidRPr="00ED35CB">
        <w:rPr>
          <w:rFonts w:ascii="Cambria" w:hAnsi="Cambria"/>
          <w:sz w:val="20"/>
          <w:szCs w:val="20"/>
          <w:lang w:val="es-ES"/>
        </w:rPr>
        <w:t>y</w:t>
      </w:r>
    </w:p>
    <w:p w:rsidR="00940E3B" w:rsidRDefault="004A6A54" w:rsidP="00940E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375D1" w:rsidRPr="00A37B82" w:rsidRDefault="001375D1" w:rsidP="001375D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1375D1" w:rsidRPr="00A37B82" w:rsidRDefault="001375D1" w:rsidP="001375D1">
      <w:pPr>
        <w:suppressAutoHyphens/>
        <w:ind w:firstLine="720"/>
        <w:jc w:val="both"/>
        <w:rPr>
          <w:rFonts w:asciiTheme="majorHAnsi" w:hAnsiTheme="majorHAnsi" w:cs="Arial"/>
          <w:noProof/>
          <w:spacing w:val="-2"/>
          <w:sz w:val="20"/>
          <w:szCs w:val="20"/>
          <w:lang w:val="es-CL"/>
        </w:rPr>
      </w:pPr>
    </w:p>
    <w:p w:rsidR="001375D1" w:rsidRPr="00ED35CB" w:rsidRDefault="001375D1" w:rsidP="001375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rsidR="00940E3B" w:rsidRPr="00ED35CB" w:rsidRDefault="00940E3B">
      <w:pPr>
        <w:rPr>
          <w:rFonts w:ascii="Cambria" w:hAnsi="Cambria"/>
          <w:sz w:val="20"/>
          <w:szCs w:val="20"/>
          <w:lang w:val="es-ES"/>
        </w:rPr>
      </w:pPr>
      <w:r w:rsidRPr="00ED35CB">
        <w:rPr>
          <w:rFonts w:ascii="Cambria" w:hAnsi="Cambria"/>
          <w:sz w:val="20"/>
          <w:szCs w:val="20"/>
          <w:lang w:val="es-ES"/>
        </w:rPr>
        <w:br w:type="page"/>
      </w:r>
    </w:p>
    <w:p w:rsidR="000C22F6" w:rsidRPr="00ED35CB" w:rsidRDefault="000C22F6" w:rsidP="000C22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Cambria" w:hAnsi="Cambria"/>
          <w:b/>
          <w:sz w:val="20"/>
          <w:szCs w:val="20"/>
          <w:lang w:val="es-ES"/>
        </w:rPr>
      </w:pPr>
      <w:r w:rsidRPr="00ED35CB">
        <w:rPr>
          <w:rFonts w:ascii="Cambria" w:hAnsi="Cambria"/>
          <w:b/>
          <w:sz w:val="20"/>
          <w:szCs w:val="20"/>
          <w:lang w:val="es-ES"/>
        </w:rPr>
        <w:lastRenderedPageBreak/>
        <w:t>Anexo 1</w:t>
      </w:r>
    </w:p>
    <w:p w:rsidR="00940E3B" w:rsidRPr="00ED35CB" w:rsidRDefault="000C22F6" w:rsidP="000C22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Cambria" w:hAnsi="Cambria"/>
          <w:b/>
          <w:sz w:val="20"/>
          <w:szCs w:val="20"/>
          <w:lang w:val="es-ES"/>
        </w:rPr>
      </w:pPr>
      <w:r w:rsidRPr="00ED35CB">
        <w:rPr>
          <w:rFonts w:ascii="Cambria" w:hAnsi="Cambria"/>
          <w:b/>
          <w:sz w:val="20"/>
          <w:szCs w:val="20"/>
          <w:lang w:val="es-ES"/>
        </w:rPr>
        <w:t xml:space="preserve">Listado de </w:t>
      </w:r>
      <w:r w:rsidR="00ED35CB" w:rsidRPr="00ED35CB">
        <w:rPr>
          <w:rFonts w:ascii="Cambria" w:hAnsi="Cambria"/>
          <w:b/>
          <w:sz w:val="20"/>
          <w:szCs w:val="20"/>
          <w:lang w:val="es-ES"/>
        </w:rPr>
        <w:t>presuntas víctimas</w:t>
      </w:r>
    </w:p>
    <w:p w:rsidR="00940E3B" w:rsidRPr="00ED35CB" w:rsidRDefault="00940E3B"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1.</w:t>
      </w:r>
      <w:r w:rsidR="000C22F6" w:rsidRPr="00ED35CB">
        <w:rPr>
          <w:rFonts w:ascii="Cambria" w:hAnsi="Cambria"/>
          <w:sz w:val="20"/>
          <w:szCs w:val="20"/>
          <w:lang w:val="es-ES"/>
        </w:rPr>
        <w:t xml:space="preserve">  </w:t>
      </w:r>
      <w:r w:rsidRPr="00ED35CB">
        <w:rPr>
          <w:rFonts w:ascii="Cambria" w:hAnsi="Cambria"/>
          <w:sz w:val="20"/>
          <w:szCs w:val="20"/>
          <w:lang w:val="es-ES"/>
        </w:rPr>
        <w:t xml:space="preserve">Alberto Saavedra Silva (representado por su viuda Bertha Murillo </w:t>
      </w:r>
      <w:proofErr w:type="spellStart"/>
      <w:r w:rsidRPr="00ED35CB">
        <w:rPr>
          <w:rFonts w:ascii="Cambria" w:hAnsi="Cambria"/>
          <w:sz w:val="20"/>
          <w:szCs w:val="20"/>
          <w:lang w:val="es-ES"/>
        </w:rPr>
        <w:t>Celi</w:t>
      </w:r>
      <w:proofErr w:type="spellEnd"/>
      <w:r w:rsidRPr="00ED35CB">
        <w:rPr>
          <w:rFonts w:ascii="Cambria" w:hAnsi="Cambria"/>
          <w:sz w:val="20"/>
          <w:szCs w:val="20"/>
          <w:lang w:val="es-ES"/>
        </w:rPr>
        <w:t>)</w:t>
      </w:r>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2. </w:t>
      </w:r>
      <w:r w:rsidR="00940E3B" w:rsidRPr="00ED35CB">
        <w:rPr>
          <w:rFonts w:ascii="Cambria" w:hAnsi="Cambria"/>
          <w:sz w:val="20"/>
          <w:szCs w:val="20"/>
          <w:lang w:val="es-ES"/>
        </w:rPr>
        <w:t xml:space="preserve">Alfonso </w:t>
      </w:r>
      <w:proofErr w:type="spellStart"/>
      <w:r w:rsidR="00940E3B" w:rsidRPr="00ED35CB">
        <w:rPr>
          <w:rFonts w:ascii="Cambria" w:hAnsi="Cambria"/>
          <w:sz w:val="20"/>
          <w:szCs w:val="20"/>
          <w:lang w:val="es-ES"/>
        </w:rPr>
        <w:t>Mideyros</w:t>
      </w:r>
      <w:proofErr w:type="spellEnd"/>
      <w:r w:rsidR="00940E3B" w:rsidRPr="00ED35CB">
        <w:rPr>
          <w:rFonts w:ascii="Cambria" w:hAnsi="Cambria"/>
          <w:sz w:val="20"/>
          <w:szCs w:val="20"/>
          <w:lang w:val="es-ES"/>
        </w:rPr>
        <w:t xml:space="preserve"> Gonzales</w:t>
      </w:r>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3. </w:t>
      </w:r>
      <w:proofErr w:type="spellStart"/>
      <w:r w:rsidR="00940E3B" w:rsidRPr="00ED35CB">
        <w:rPr>
          <w:rFonts w:ascii="Cambria" w:hAnsi="Cambria"/>
          <w:sz w:val="20"/>
          <w:szCs w:val="20"/>
          <w:lang w:val="es-ES"/>
        </w:rPr>
        <w:t>Aristides</w:t>
      </w:r>
      <w:proofErr w:type="spellEnd"/>
      <w:r w:rsidR="00940E3B" w:rsidRPr="00ED35CB">
        <w:rPr>
          <w:rFonts w:ascii="Cambria" w:hAnsi="Cambria"/>
          <w:sz w:val="20"/>
          <w:szCs w:val="20"/>
          <w:lang w:val="es-ES"/>
        </w:rPr>
        <w:t xml:space="preserve"> Vila Pérez</w:t>
      </w:r>
    </w:p>
    <w:p w:rsidR="00940E3B" w:rsidRPr="00ED35CB" w:rsidRDefault="00940E3B"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4.</w:t>
      </w:r>
      <w:r w:rsidR="000C22F6" w:rsidRPr="00ED35CB">
        <w:rPr>
          <w:rFonts w:ascii="Cambria" w:hAnsi="Cambria"/>
          <w:sz w:val="20"/>
          <w:szCs w:val="20"/>
          <w:lang w:val="es-ES"/>
        </w:rPr>
        <w:t xml:space="preserve">  </w:t>
      </w:r>
      <w:proofErr w:type="spellStart"/>
      <w:r w:rsidRPr="00ED35CB">
        <w:rPr>
          <w:rFonts w:ascii="Cambria" w:hAnsi="Cambria"/>
          <w:sz w:val="20"/>
          <w:szCs w:val="20"/>
          <w:lang w:val="es-ES"/>
        </w:rPr>
        <w:t>Clodoaldo</w:t>
      </w:r>
      <w:proofErr w:type="spellEnd"/>
      <w:r w:rsidRPr="00ED35CB">
        <w:rPr>
          <w:rFonts w:ascii="Cambria" w:hAnsi="Cambria"/>
          <w:sz w:val="20"/>
          <w:szCs w:val="20"/>
          <w:lang w:val="es-ES"/>
        </w:rPr>
        <w:t xml:space="preserve"> Quijano Cajas</w:t>
      </w:r>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5. </w:t>
      </w:r>
      <w:r w:rsidR="00940E3B" w:rsidRPr="00ED35CB">
        <w:rPr>
          <w:rFonts w:ascii="Cambria" w:hAnsi="Cambria"/>
          <w:sz w:val="20"/>
          <w:szCs w:val="20"/>
          <w:lang w:val="es-ES"/>
        </w:rPr>
        <w:t xml:space="preserve">Emilio </w:t>
      </w:r>
      <w:r w:rsidR="00ED35CB" w:rsidRPr="00ED35CB">
        <w:rPr>
          <w:rFonts w:ascii="Cambria" w:hAnsi="Cambria"/>
          <w:sz w:val="20"/>
          <w:szCs w:val="20"/>
          <w:lang w:val="es-ES"/>
        </w:rPr>
        <w:t>Solórzano</w:t>
      </w:r>
      <w:r w:rsidR="00940E3B" w:rsidRPr="00ED35CB">
        <w:rPr>
          <w:rFonts w:ascii="Cambria" w:hAnsi="Cambria"/>
          <w:sz w:val="20"/>
          <w:szCs w:val="20"/>
          <w:lang w:val="es-ES"/>
        </w:rPr>
        <w:t xml:space="preserve"> </w:t>
      </w:r>
      <w:proofErr w:type="spellStart"/>
      <w:r w:rsidR="00940E3B" w:rsidRPr="00ED35CB">
        <w:rPr>
          <w:rFonts w:ascii="Cambria" w:hAnsi="Cambria"/>
          <w:sz w:val="20"/>
          <w:szCs w:val="20"/>
          <w:lang w:val="es-ES"/>
        </w:rPr>
        <w:t>Borrovich</w:t>
      </w:r>
      <w:proofErr w:type="spellEnd"/>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6. </w:t>
      </w:r>
      <w:r w:rsidR="00940E3B" w:rsidRPr="00ED35CB">
        <w:rPr>
          <w:rFonts w:ascii="Cambria" w:hAnsi="Cambria"/>
          <w:sz w:val="20"/>
          <w:szCs w:val="20"/>
          <w:lang w:val="es-ES"/>
        </w:rPr>
        <w:t xml:space="preserve">Gaspar Luna Ramírez </w:t>
      </w:r>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7. </w:t>
      </w:r>
      <w:r w:rsidR="00940E3B" w:rsidRPr="00ED35CB">
        <w:rPr>
          <w:rFonts w:ascii="Cambria" w:hAnsi="Cambria"/>
          <w:sz w:val="20"/>
          <w:szCs w:val="20"/>
          <w:lang w:val="es-ES"/>
        </w:rPr>
        <w:t>Héctor Armando Fonseca Benavente</w:t>
      </w:r>
    </w:p>
    <w:p w:rsidR="00940E3B" w:rsidRPr="00ED35CB" w:rsidRDefault="000C22F6"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8. </w:t>
      </w:r>
      <w:r w:rsidR="00940E3B" w:rsidRPr="00ED35CB">
        <w:rPr>
          <w:rFonts w:ascii="Cambria" w:hAnsi="Cambria"/>
          <w:sz w:val="20"/>
          <w:szCs w:val="20"/>
          <w:lang w:val="es-ES"/>
        </w:rPr>
        <w:t>Humberto Francisco Corzo Torres</w:t>
      </w:r>
    </w:p>
    <w:p w:rsidR="00940E3B" w:rsidRPr="00ED35CB"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9. </w:t>
      </w:r>
      <w:r w:rsidR="00940E3B" w:rsidRPr="00ED35CB">
        <w:rPr>
          <w:rFonts w:ascii="Cambria" w:hAnsi="Cambria"/>
          <w:sz w:val="20"/>
          <w:szCs w:val="20"/>
          <w:lang w:val="es-ES"/>
        </w:rPr>
        <w:t xml:space="preserve">José Gonzales Moreno </w:t>
      </w:r>
    </w:p>
    <w:p w:rsidR="00940E3B" w:rsidRPr="00ED35CB"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10. </w:t>
      </w:r>
      <w:r w:rsidR="00940E3B" w:rsidRPr="00ED35CB">
        <w:rPr>
          <w:rFonts w:ascii="Cambria" w:hAnsi="Cambria"/>
          <w:sz w:val="20"/>
          <w:szCs w:val="20"/>
          <w:lang w:val="es-ES"/>
        </w:rPr>
        <w:t>Juan Gutiérrez Estrada</w:t>
      </w:r>
    </w:p>
    <w:p w:rsidR="00940E3B" w:rsidRPr="008502BC"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502BC">
        <w:rPr>
          <w:rFonts w:ascii="Cambria" w:hAnsi="Cambria"/>
          <w:sz w:val="20"/>
          <w:szCs w:val="20"/>
          <w:lang w:val="pt-BR"/>
        </w:rPr>
        <w:t xml:space="preserve">11. </w:t>
      </w:r>
      <w:r w:rsidR="00940E3B" w:rsidRPr="008502BC">
        <w:rPr>
          <w:rFonts w:ascii="Cambria" w:hAnsi="Cambria"/>
          <w:sz w:val="20"/>
          <w:szCs w:val="20"/>
          <w:lang w:val="pt-BR"/>
        </w:rPr>
        <w:t>Lucio Lam Mejía</w:t>
      </w:r>
    </w:p>
    <w:p w:rsidR="00940E3B" w:rsidRPr="008502BC"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502BC">
        <w:rPr>
          <w:rFonts w:ascii="Cambria" w:hAnsi="Cambria"/>
          <w:sz w:val="20"/>
          <w:szCs w:val="20"/>
          <w:lang w:val="pt-BR"/>
        </w:rPr>
        <w:t xml:space="preserve">12. </w:t>
      </w:r>
      <w:r w:rsidR="00940E3B" w:rsidRPr="008502BC">
        <w:rPr>
          <w:rFonts w:ascii="Cambria" w:hAnsi="Cambria"/>
          <w:sz w:val="20"/>
          <w:szCs w:val="20"/>
          <w:lang w:val="pt-BR"/>
        </w:rPr>
        <w:t>Luis Flores Rivera</w:t>
      </w:r>
    </w:p>
    <w:p w:rsidR="00940E3B" w:rsidRPr="008502BC"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502BC">
        <w:rPr>
          <w:rFonts w:ascii="Cambria" w:hAnsi="Cambria"/>
          <w:sz w:val="20"/>
          <w:szCs w:val="20"/>
          <w:lang w:val="pt-BR"/>
        </w:rPr>
        <w:t xml:space="preserve">13. </w:t>
      </w:r>
      <w:r w:rsidR="00940E3B" w:rsidRPr="008502BC">
        <w:rPr>
          <w:rFonts w:ascii="Cambria" w:hAnsi="Cambria"/>
          <w:sz w:val="20"/>
          <w:szCs w:val="20"/>
          <w:lang w:val="pt-BR"/>
        </w:rPr>
        <w:t>Salvador Silva Fernández</w:t>
      </w:r>
    </w:p>
    <w:p w:rsidR="00940E3B" w:rsidRPr="00ED35CB"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14. </w:t>
      </w:r>
      <w:r w:rsidR="00940E3B" w:rsidRPr="00ED35CB">
        <w:rPr>
          <w:rFonts w:ascii="Cambria" w:hAnsi="Cambria"/>
          <w:sz w:val="20"/>
          <w:szCs w:val="20"/>
          <w:lang w:val="es-ES"/>
        </w:rPr>
        <w:t>Serapio Benito Sáenz Falcón</w:t>
      </w:r>
    </w:p>
    <w:p w:rsidR="00940E3B" w:rsidRPr="00ED35CB" w:rsidRDefault="001F6F54"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D35CB">
        <w:rPr>
          <w:rFonts w:ascii="Cambria" w:hAnsi="Cambria"/>
          <w:sz w:val="20"/>
          <w:szCs w:val="20"/>
          <w:lang w:val="es-ES"/>
        </w:rPr>
        <w:t xml:space="preserve">15. </w:t>
      </w:r>
      <w:r w:rsidR="00940E3B" w:rsidRPr="00ED35CB">
        <w:rPr>
          <w:rFonts w:ascii="Cambria" w:hAnsi="Cambria"/>
          <w:sz w:val="20"/>
          <w:szCs w:val="20"/>
          <w:lang w:val="es-ES"/>
        </w:rPr>
        <w:t>Víctor Manuel Valdivieso Castillo</w:t>
      </w:r>
    </w:p>
    <w:p w:rsidR="00722C9F" w:rsidRPr="00ED35CB" w:rsidRDefault="00722C9F" w:rsidP="00940E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sectPr w:rsidR="00722C9F" w:rsidRPr="00ED35CB" w:rsidSect="00640CE0">
      <w:pgSz w:w="12240" w:h="15840" w:code="1"/>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48" w:rsidRDefault="00042648">
      <w:r>
        <w:separator/>
      </w:r>
    </w:p>
  </w:endnote>
  <w:endnote w:type="continuationSeparator" w:id="0">
    <w:p w:rsidR="00042648" w:rsidRDefault="000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2A" w:rsidRDefault="007B4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B4D2A">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48" w:rsidRPr="000F35ED" w:rsidRDefault="0004264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42648" w:rsidRPr="000F35ED" w:rsidRDefault="00042648" w:rsidP="000F35ED">
      <w:pPr>
        <w:rPr>
          <w:rFonts w:asciiTheme="majorHAnsi" w:hAnsiTheme="majorHAnsi"/>
          <w:sz w:val="16"/>
          <w:szCs w:val="16"/>
        </w:rPr>
      </w:pPr>
      <w:r w:rsidRPr="000F35ED">
        <w:rPr>
          <w:rFonts w:asciiTheme="majorHAnsi" w:hAnsiTheme="majorHAnsi"/>
          <w:sz w:val="16"/>
          <w:szCs w:val="16"/>
        </w:rPr>
        <w:separator/>
      </w:r>
    </w:p>
    <w:p w:rsidR="00042648" w:rsidRPr="000F35ED" w:rsidRDefault="0004264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42648" w:rsidRPr="000F35ED" w:rsidRDefault="0004264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127F0" w:rsidRPr="00E879D5" w:rsidRDefault="00B127F0" w:rsidP="00141FEF">
      <w:pPr>
        <w:pStyle w:val="FootnoteText"/>
        <w:ind w:firstLine="720"/>
        <w:jc w:val="both"/>
        <w:rPr>
          <w:rFonts w:asciiTheme="majorHAnsi" w:hAnsiTheme="majorHAnsi"/>
          <w:sz w:val="16"/>
          <w:szCs w:val="16"/>
          <w:lang w:val="es-ES"/>
        </w:rPr>
      </w:pPr>
      <w:r w:rsidRPr="00E879D5">
        <w:rPr>
          <w:rStyle w:val="FootnoteReference"/>
          <w:rFonts w:asciiTheme="majorHAnsi" w:hAnsiTheme="majorHAnsi"/>
          <w:sz w:val="16"/>
          <w:szCs w:val="16"/>
        </w:rPr>
        <w:footnoteRef/>
      </w:r>
      <w:r w:rsidRPr="00E879D5">
        <w:rPr>
          <w:rFonts w:asciiTheme="majorHAnsi" w:hAnsiTheme="majorHAnsi"/>
          <w:sz w:val="16"/>
          <w:szCs w:val="16"/>
          <w:lang w:val="es-ES"/>
        </w:rPr>
        <w:t xml:space="preserve"> La petición refiere a </w:t>
      </w:r>
      <w:r w:rsidR="00465136" w:rsidRPr="00E879D5">
        <w:rPr>
          <w:rFonts w:asciiTheme="majorHAnsi" w:hAnsiTheme="majorHAnsi"/>
          <w:sz w:val="16"/>
          <w:szCs w:val="16"/>
          <w:lang w:val="es-ES"/>
        </w:rPr>
        <w:t>quince</w:t>
      </w:r>
      <w:r w:rsidRPr="00E879D5">
        <w:rPr>
          <w:rFonts w:asciiTheme="majorHAnsi" w:hAnsiTheme="majorHAnsi"/>
          <w:sz w:val="16"/>
          <w:szCs w:val="16"/>
          <w:lang w:val="es-ES"/>
        </w:rPr>
        <w:t xml:space="preserve"> presuntas víctimas</w:t>
      </w:r>
      <w:r w:rsidR="00465136" w:rsidRPr="00E879D5">
        <w:rPr>
          <w:rFonts w:asciiTheme="majorHAnsi" w:hAnsiTheme="majorHAnsi"/>
          <w:sz w:val="16"/>
          <w:szCs w:val="16"/>
          <w:lang w:val="es-ES"/>
        </w:rPr>
        <w:t xml:space="preserve"> individualizadas en el</w:t>
      </w:r>
      <w:r w:rsidRPr="00E879D5">
        <w:rPr>
          <w:rFonts w:asciiTheme="majorHAnsi" w:hAnsiTheme="majorHAnsi"/>
          <w:sz w:val="16"/>
          <w:szCs w:val="16"/>
          <w:lang w:val="es-ES"/>
        </w:rPr>
        <w:t xml:space="preserve"> anexo</w:t>
      </w:r>
      <w:r w:rsidR="00465136" w:rsidRPr="00E879D5">
        <w:rPr>
          <w:rFonts w:asciiTheme="majorHAnsi" w:hAnsiTheme="majorHAnsi"/>
          <w:sz w:val="16"/>
          <w:szCs w:val="16"/>
          <w:lang w:val="es-ES"/>
        </w:rPr>
        <w:t xml:space="preserve"> del presente informe</w:t>
      </w:r>
      <w:r w:rsidR="006C57C0" w:rsidRPr="00E879D5">
        <w:rPr>
          <w:rFonts w:asciiTheme="majorHAnsi" w:hAnsiTheme="majorHAnsi"/>
          <w:sz w:val="16"/>
          <w:szCs w:val="16"/>
          <w:lang w:val="es-ES"/>
        </w:rPr>
        <w:t>.</w:t>
      </w:r>
    </w:p>
  </w:footnote>
  <w:footnote w:id="3">
    <w:p w:rsidR="004A6A54" w:rsidRPr="00E879D5" w:rsidRDefault="004A6A54" w:rsidP="00141FEF">
      <w:pPr>
        <w:pStyle w:val="FootnoteText"/>
        <w:ind w:firstLine="720"/>
        <w:jc w:val="both"/>
        <w:rPr>
          <w:rFonts w:asciiTheme="majorHAnsi" w:hAnsiTheme="majorHAnsi"/>
          <w:sz w:val="16"/>
          <w:szCs w:val="16"/>
          <w:lang w:val="es-ES"/>
        </w:rPr>
      </w:pPr>
      <w:r w:rsidRPr="00E879D5">
        <w:rPr>
          <w:rStyle w:val="FootnoteReference"/>
          <w:rFonts w:asciiTheme="majorHAnsi" w:hAnsiTheme="majorHAnsi"/>
          <w:sz w:val="16"/>
          <w:szCs w:val="16"/>
        </w:rPr>
        <w:footnoteRef/>
      </w:r>
      <w:r w:rsidRPr="00E879D5">
        <w:rPr>
          <w:rFonts w:asciiTheme="majorHAnsi" w:hAnsiTheme="majorHAnsi"/>
          <w:sz w:val="16"/>
          <w:szCs w:val="16"/>
          <w:lang w:val="es-ES"/>
        </w:rPr>
        <w:t xml:space="preserve"> Conforme a lo dispuesto en el artículo 17.2.a del Reglamento de</w:t>
      </w:r>
      <w:r w:rsidR="00D119AD" w:rsidRPr="00E879D5">
        <w:rPr>
          <w:rFonts w:asciiTheme="majorHAnsi" w:hAnsiTheme="majorHAnsi"/>
          <w:sz w:val="16"/>
          <w:szCs w:val="16"/>
          <w:lang w:val="es-ES"/>
        </w:rPr>
        <w:t xml:space="preserve"> la Comisión, la</w:t>
      </w:r>
      <w:r w:rsidR="00982469" w:rsidRPr="00E879D5">
        <w:rPr>
          <w:rFonts w:asciiTheme="majorHAnsi" w:hAnsiTheme="majorHAnsi"/>
          <w:sz w:val="16"/>
          <w:szCs w:val="16"/>
          <w:lang w:val="es-ES"/>
        </w:rPr>
        <w:t xml:space="preserve"> Comisionad</w:t>
      </w:r>
      <w:r w:rsidR="00D119AD" w:rsidRPr="00E879D5">
        <w:rPr>
          <w:rFonts w:asciiTheme="majorHAnsi" w:hAnsiTheme="majorHAnsi"/>
          <w:sz w:val="16"/>
          <w:szCs w:val="16"/>
          <w:lang w:val="es-ES"/>
        </w:rPr>
        <w:t>a</w:t>
      </w:r>
      <w:r w:rsidR="00982469" w:rsidRPr="00E879D5">
        <w:rPr>
          <w:rFonts w:asciiTheme="majorHAnsi" w:hAnsiTheme="majorHAnsi"/>
          <w:sz w:val="16"/>
          <w:szCs w:val="16"/>
          <w:lang w:val="es-ES"/>
        </w:rPr>
        <w:t xml:space="preserve"> </w:t>
      </w:r>
      <w:r w:rsidR="00D119AD" w:rsidRPr="00E879D5">
        <w:rPr>
          <w:rFonts w:asciiTheme="majorHAnsi" w:hAnsiTheme="majorHAnsi"/>
          <w:sz w:val="16"/>
          <w:szCs w:val="16"/>
          <w:lang w:val="es-ES"/>
        </w:rPr>
        <w:t>Julissa Mantilla Falcón, de nacionalidad peruana</w:t>
      </w:r>
      <w:r w:rsidRPr="00E879D5">
        <w:rPr>
          <w:rFonts w:asciiTheme="majorHAnsi" w:hAnsiTheme="majorHAnsi"/>
          <w:sz w:val="16"/>
          <w:szCs w:val="16"/>
          <w:lang w:val="es-ES"/>
        </w:rPr>
        <w:t>, no participó en el debate ni en la decisión del presente asunto.</w:t>
      </w:r>
    </w:p>
  </w:footnote>
  <w:footnote w:id="4">
    <w:p w:rsidR="00D119AD" w:rsidRPr="00E879D5" w:rsidRDefault="00D119AD" w:rsidP="00141FEF">
      <w:pPr>
        <w:pStyle w:val="FootnoteText"/>
        <w:ind w:firstLine="720"/>
        <w:jc w:val="both"/>
        <w:rPr>
          <w:rFonts w:asciiTheme="majorHAnsi" w:hAnsiTheme="majorHAnsi"/>
          <w:sz w:val="16"/>
          <w:szCs w:val="16"/>
          <w:lang w:val="es-MX"/>
        </w:rPr>
      </w:pPr>
      <w:r w:rsidRPr="00E879D5">
        <w:rPr>
          <w:rStyle w:val="FootnoteReference"/>
          <w:rFonts w:asciiTheme="majorHAnsi" w:hAnsiTheme="majorHAnsi"/>
          <w:sz w:val="16"/>
          <w:szCs w:val="16"/>
        </w:rPr>
        <w:footnoteRef/>
      </w:r>
      <w:r w:rsidRPr="00E879D5">
        <w:rPr>
          <w:rFonts w:asciiTheme="majorHAnsi" w:hAnsiTheme="majorHAnsi"/>
          <w:sz w:val="16"/>
          <w:szCs w:val="16"/>
          <w:lang w:val="es-MX"/>
        </w:rPr>
        <w:t xml:space="preserve"> </w:t>
      </w:r>
      <w:r w:rsidRPr="00E879D5">
        <w:rPr>
          <w:rFonts w:asciiTheme="majorHAnsi" w:hAnsiTheme="majorHAnsi"/>
          <w:sz w:val="16"/>
          <w:szCs w:val="16"/>
          <w:lang w:val="es-ES"/>
        </w:rPr>
        <w:t>En adelante “</w:t>
      </w:r>
      <w:r w:rsidR="006A5687" w:rsidRPr="00E879D5">
        <w:rPr>
          <w:rFonts w:asciiTheme="majorHAnsi" w:hAnsiTheme="majorHAnsi"/>
          <w:sz w:val="16"/>
          <w:szCs w:val="16"/>
          <w:lang w:val="es-ES"/>
        </w:rPr>
        <w:t xml:space="preserve">la </w:t>
      </w:r>
      <w:r w:rsidRPr="00E879D5">
        <w:rPr>
          <w:rFonts w:asciiTheme="majorHAnsi" w:hAnsiTheme="majorHAnsi"/>
          <w:sz w:val="16"/>
          <w:szCs w:val="16"/>
          <w:lang w:val="es-ES"/>
        </w:rPr>
        <w:t>Convención” o “</w:t>
      </w:r>
      <w:r w:rsidR="006A5687" w:rsidRPr="00E879D5">
        <w:rPr>
          <w:rFonts w:asciiTheme="majorHAnsi" w:hAnsiTheme="majorHAnsi"/>
          <w:sz w:val="16"/>
          <w:szCs w:val="16"/>
          <w:lang w:val="es-ES"/>
        </w:rPr>
        <w:t xml:space="preserve">la </w:t>
      </w:r>
      <w:r w:rsidRPr="00E879D5">
        <w:rPr>
          <w:rFonts w:asciiTheme="majorHAnsi" w:hAnsiTheme="majorHAnsi"/>
          <w:sz w:val="16"/>
          <w:szCs w:val="16"/>
          <w:lang w:val="es-ES"/>
        </w:rPr>
        <w:t>Convención Americana”.</w:t>
      </w:r>
    </w:p>
  </w:footnote>
  <w:footnote w:id="5">
    <w:p w:rsidR="008E3BFE" w:rsidRPr="00E879D5" w:rsidRDefault="008E3BFE" w:rsidP="00141FEF">
      <w:pPr>
        <w:pStyle w:val="FootnoteText"/>
        <w:ind w:firstLine="720"/>
        <w:jc w:val="both"/>
        <w:rPr>
          <w:rFonts w:asciiTheme="majorHAnsi" w:hAnsiTheme="majorHAnsi"/>
          <w:sz w:val="16"/>
          <w:szCs w:val="16"/>
          <w:lang w:val="es-ES"/>
        </w:rPr>
      </w:pPr>
      <w:r w:rsidRPr="00E879D5">
        <w:rPr>
          <w:rStyle w:val="FootnoteReference"/>
          <w:rFonts w:asciiTheme="majorHAnsi" w:hAnsiTheme="majorHAnsi"/>
          <w:sz w:val="16"/>
          <w:szCs w:val="16"/>
        </w:rPr>
        <w:footnoteRef/>
      </w:r>
      <w:r w:rsidRPr="00E879D5">
        <w:rPr>
          <w:rFonts w:asciiTheme="majorHAnsi" w:hAnsiTheme="majorHAnsi"/>
          <w:sz w:val="16"/>
          <w:szCs w:val="16"/>
          <w:lang w:val="es-ES"/>
        </w:rPr>
        <w:t xml:space="preserve"> Las observaciones de cada parte fueron debidamente trasladadas a la parte contraria.</w:t>
      </w:r>
    </w:p>
  </w:footnote>
  <w:footnote w:id="6">
    <w:p w:rsidR="00515997" w:rsidRPr="00E879D5" w:rsidRDefault="00515997" w:rsidP="00515997">
      <w:pPr>
        <w:pStyle w:val="FootnoteText"/>
        <w:ind w:firstLine="720"/>
        <w:jc w:val="both"/>
        <w:rPr>
          <w:rFonts w:asciiTheme="majorHAnsi" w:hAnsiTheme="majorHAnsi"/>
          <w:sz w:val="16"/>
          <w:szCs w:val="16"/>
          <w:lang w:val="es-ES"/>
        </w:rPr>
      </w:pPr>
      <w:r w:rsidRPr="00E879D5">
        <w:rPr>
          <w:rStyle w:val="FootnoteReference"/>
          <w:rFonts w:asciiTheme="majorHAnsi" w:hAnsiTheme="majorHAnsi"/>
          <w:sz w:val="16"/>
          <w:szCs w:val="16"/>
        </w:rPr>
        <w:footnoteRef/>
      </w:r>
      <w:r w:rsidRPr="00E879D5">
        <w:rPr>
          <w:rFonts w:asciiTheme="majorHAnsi" w:hAnsiTheme="majorHAnsi"/>
          <w:sz w:val="16"/>
          <w:szCs w:val="16"/>
          <w:lang w:val="es-ES"/>
        </w:rPr>
        <w:t xml:space="preserve"> Las presuntas víctimas de manera individual presentaron demandas adicionales de ejecución de la Resolución 21 ante el TJECC. Este tribunal ordenó en cada caso la re</w:t>
      </w:r>
      <w:r w:rsidR="008502BC">
        <w:rPr>
          <w:rFonts w:asciiTheme="majorHAnsi" w:hAnsiTheme="majorHAnsi"/>
          <w:sz w:val="16"/>
          <w:szCs w:val="16"/>
          <w:lang w:val="es-ES"/>
        </w:rPr>
        <w:t>alización de distintas pericia</w:t>
      </w:r>
      <w:r w:rsidRPr="00E879D5">
        <w:rPr>
          <w:rFonts w:asciiTheme="majorHAnsi" w:hAnsiTheme="majorHAnsi"/>
          <w:sz w:val="16"/>
          <w:szCs w:val="16"/>
          <w:lang w:val="es-ES"/>
        </w:rPr>
        <w:t>s que permitieran establecer el monto que habría de pagarse por concepto de pensiones niveladas y devengadas y posteriormente a esto se dieron diversos escenarios en cada proceso: a) Tres presuntas víctimas demandaron la ejecución de la sentencia el 4 de octubre de 1999, en su caso la demanda fue declarada infundada en todos sus extremos por el TJECC. Apelaron ante la Sala Civil del mismo tribunal pero fue declarada improcedente. b) El 24 de julio de 2001, cuatro presuntas víctimas presentaron demanda de ejecución. Recibieron resolución positiva y por tres años recibieron sus pensiones niveladas, antes de la nulidad. c) Dos presuntas víctimas la presentaron el 24 de agosto de 2001. Las periciales en este caso fueron aprobadas por la Segunda Sala Civil del Callao hasta el 3 de septiembre de 2009. El proceso aún no terminaba cuando se declaró la nulidad por la Resolución No. 190. d) Una presunta víctima inició el proceso el 10 de septiembre de 2001. El TJECC dio resolución a su favor el 4 de julio de 2011 y requirió a la SUNAT la nivelación y el pago de pensiones devengadas. e) Otra presunta víctima interpuso la demanda el 31 de octubre de 2001, la que tuvo resolución a su favor de nivelación el 12 de agosto de 2009. Adicionalmente, habría iniciado un proceso contencioso administrativo ante el Quinto Juzgado Laboral del Callao, para solicitar a la SUNAT el pago de las pensiones devengadas. Este juzgado turnó el proceso al Segundo Juzgado Contencioso Administrativo de la Corte Superior de Justicia del Callao, pero este mismo juzgado lo devolvió al TJECC cuando se declaró la nulidad con la Resolución No 190. f) En este caso, la presunta víctima inició la demanda el 27 de noviembre de 2001 y obtuvo resolución a su favor para nivelar y pagar pensiones el 3 de mayo de 2010. g) La presunta víctima interpuso la demanda el 14 de diciembre de 2001 y aún no se había resuelto cuando se dio la nulidad. h) El 17 de diciembre de 2001, la presunta víctima inició la demanda, durante el proceso falleció y su esposa se acreditó como la sucesora procesal, quien apeló las periciales que la TJECC había realizado, el procedimiento continuó sin resolución hasta que se declaró nulo por la Resolución No. 190. i) En este caso, el TJECC, decidió que la remuneración a la que tendría derecho la presunta víctima no incluiría una remuneración diferencial, lo cual fue apelado ante la Primera Sala Civil del Callao por la presunta víctima. Dicha sala decidió el 4 de junio de 2007 en sentido favorable para la presunta víctima.</w:t>
      </w:r>
    </w:p>
  </w:footnote>
  <w:footnote w:id="7">
    <w:p w:rsidR="005B3E0E" w:rsidRPr="00E879D5" w:rsidRDefault="005B3E0E" w:rsidP="00141FEF">
      <w:pPr>
        <w:pStyle w:val="FootnoteText"/>
        <w:jc w:val="both"/>
        <w:rPr>
          <w:rFonts w:asciiTheme="majorHAnsi" w:hAnsiTheme="majorHAnsi"/>
          <w:sz w:val="16"/>
          <w:szCs w:val="16"/>
          <w:lang w:val="es-MX"/>
        </w:rPr>
      </w:pPr>
      <w:r w:rsidRPr="00E879D5">
        <w:rPr>
          <w:rFonts w:asciiTheme="majorHAnsi" w:hAnsiTheme="majorHAnsi"/>
          <w:sz w:val="16"/>
          <w:szCs w:val="16"/>
          <w:lang w:val="es-ES"/>
        </w:rPr>
        <w:tab/>
      </w:r>
      <w:r w:rsidRPr="00E879D5">
        <w:rPr>
          <w:rStyle w:val="FootnoteReference"/>
          <w:rFonts w:asciiTheme="majorHAnsi" w:hAnsiTheme="majorHAnsi"/>
          <w:sz w:val="16"/>
          <w:szCs w:val="16"/>
        </w:rPr>
        <w:footnoteRef/>
      </w:r>
      <w:r w:rsidRPr="00E879D5">
        <w:rPr>
          <w:rFonts w:asciiTheme="majorHAnsi" w:hAnsiTheme="majorHAnsi"/>
          <w:sz w:val="16"/>
          <w:szCs w:val="16"/>
          <w:lang w:val="es-ES"/>
        </w:rPr>
        <w:t xml:space="preserve"> CIDH, Informe No. 49/13, Petición 1225-04, Admisibilidad, Gerardo Cruz Pacheco, México, 12 de julio de 2012, párr.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382F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42648" w:rsidP="00A50FCF">
    <w:pPr>
      <w:pStyle w:val="Header"/>
      <w:tabs>
        <w:tab w:val="clear" w:pos="4320"/>
        <w:tab w:val="clear" w:pos="8640"/>
      </w:tabs>
      <w:jc w:val="center"/>
      <w:rPr>
        <w:sz w:val="22"/>
        <w:szCs w:val="22"/>
      </w:rPr>
    </w:pPr>
    <w:r>
      <w:rPr>
        <w:noProof/>
        <w:sz w:val="22"/>
        <w:szCs w:val="22"/>
        <w:bdr w:val="nil"/>
      </w:rPr>
      <w:pict w14:anchorId="4367A34C">
        <v:rect id="_x0000_i1025" alt="" style="width:331.35pt;height:.05pt;mso-width-percent:0;mso-height-percent:0;mso-width-percent:0;mso-height-percent:0" o:hrpct="708"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2A" w:rsidRDefault="007B4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DD6CF200"/>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5ACAB4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F5218F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4"/>
  </w:num>
  <w:num w:numId="60">
    <w:abstractNumId w:val="35"/>
  </w:num>
  <w:num w:numId="61">
    <w:abstractNumId w:val="35"/>
    <w:lvlOverride w:ilvl="0">
      <w:startOverride w:val="1"/>
    </w:lvlOverride>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Y" w:vendorID="64" w:dllVersion="6" w:nlCheck="1" w:checkStyle="1"/>
  <w:activeWritingStyle w:appName="MSWord" w:lang="es-AR" w:vendorID="64" w:dllVersion="6" w:nlCheck="1" w:checkStyle="1"/>
  <w:activeWritingStyle w:appName="MSWord" w:lang="es-PA" w:vendorID="64" w:dllVersion="6" w:nlCheck="1" w:checkStyle="1"/>
  <w:activeWritingStyle w:appName="MSWord" w:lang="es-EC"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PA"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269"/>
    <w:rsid w:val="000119F5"/>
    <w:rsid w:val="00012FF4"/>
    <w:rsid w:val="0001788C"/>
    <w:rsid w:val="000305A8"/>
    <w:rsid w:val="000337EF"/>
    <w:rsid w:val="00040C3A"/>
    <w:rsid w:val="000419AD"/>
    <w:rsid w:val="00042648"/>
    <w:rsid w:val="000433C9"/>
    <w:rsid w:val="00054587"/>
    <w:rsid w:val="00071174"/>
    <w:rsid w:val="000716C5"/>
    <w:rsid w:val="00075E23"/>
    <w:rsid w:val="0007719A"/>
    <w:rsid w:val="00083153"/>
    <w:rsid w:val="00087683"/>
    <w:rsid w:val="0009344A"/>
    <w:rsid w:val="000A392E"/>
    <w:rsid w:val="000A575F"/>
    <w:rsid w:val="000C22F6"/>
    <w:rsid w:val="000C34F5"/>
    <w:rsid w:val="000D05CB"/>
    <w:rsid w:val="000D10DB"/>
    <w:rsid w:val="000D68A3"/>
    <w:rsid w:val="000E25B7"/>
    <w:rsid w:val="000E5EB5"/>
    <w:rsid w:val="000F2EBD"/>
    <w:rsid w:val="000F35ED"/>
    <w:rsid w:val="000F7976"/>
    <w:rsid w:val="001049DB"/>
    <w:rsid w:val="00107131"/>
    <w:rsid w:val="0010736F"/>
    <w:rsid w:val="00113F73"/>
    <w:rsid w:val="00120AB0"/>
    <w:rsid w:val="00121CC2"/>
    <w:rsid w:val="00131425"/>
    <w:rsid w:val="00133EE5"/>
    <w:rsid w:val="001375D1"/>
    <w:rsid w:val="00141FEF"/>
    <w:rsid w:val="00144705"/>
    <w:rsid w:val="0016687A"/>
    <w:rsid w:val="00167A34"/>
    <w:rsid w:val="0018004A"/>
    <w:rsid w:val="0018189D"/>
    <w:rsid w:val="00190943"/>
    <w:rsid w:val="001A090D"/>
    <w:rsid w:val="001A520D"/>
    <w:rsid w:val="001A6B7A"/>
    <w:rsid w:val="001A7870"/>
    <w:rsid w:val="001B3A00"/>
    <w:rsid w:val="001C1B41"/>
    <w:rsid w:val="001D2823"/>
    <w:rsid w:val="001D65EF"/>
    <w:rsid w:val="001E3CC9"/>
    <w:rsid w:val="001E49E7"/>
    <w:rsid w:val="001F6F54"/>
    <w:rsid w:val="001F7201"/>
    <w:rsid w:val="00204277"/>
    <w:rsid w:val="00206B99"/>
    <w:rsid w:val="002141BB"/>
    <w:rsid w:val="00223A29"/>
    <w:rsid w:val="002250A3"/>
    <w:rsid w:val="00235217"/>
    <w:rsid w:val="00242AED"/>
    <w:rsid w:val="00246D1F"/>
    <w:rsid w:val="00247403"/>
    <w:rsid w:val="00247542"/>
    <w:rsid w:val="00247ED5"/>
    <w:rsid w:val="00252E99"/>
    <w:rsid w:val="00264117"/>
    <w:rsid w:val="00266B61"/>
    <w:rsid w:val="0026712A"/>
    <w:rsid w:val="002704DB"/>
    <w:rsid w:val="002731BA"/>
    <w:rsid w:val="00276CC7"/>
    <w:rsid w:val="00287F55"/>
    <w:rsid w:val="00294DF0"/>
    <w:rsid w:val="002A0AAE"/>
    <w:rsid w:val="002A0BCF"/>
    <w:rsid w:val="002A1097"/>
    <w:rsid w:val="002A4464"/>
    <w:rsid w:val="002A5820"/>
    <w:rsid w:val="002D2B26"/>
    <w:rsid w:val="002D7EA2"/>
    <w:rsid w:val="002E187C"/>
    <w:rsid w:val="002E24FB"/>
    <w:rsid w:val="002F62F0"/>
    <w:rsid w:val="00302235"/>
    <w:rsid w:val="00302733"/>
    <w:rsid w:val="003045E7"/>
    <w:rsid w:val="00305835"/>
    <w:rsid w:val="00306417"/>
    <w:rsid w:val="00306F33"/>
    <w:rsid w:val="00313726"/>
    <w:rsid w:val="00314078"/>
    <w:rsid w:val="0031535D"/>
    <w:rsid w:val="003239B8"/>
    <w:rsid w:val="00325BD2"/>
    <w:rsid w:val="0033169F"/>
    <w:rsid w:val="00344977"/>
    <w:rsid w:val="00346C95"/>
    <w:rsid w:val="003503A1"/>
    <w:rsid w:val="00356185"/>
    <w:rsid w:val="00360380"/>
    <w:rsid w:val="00363984"/>
    <w:rsid w:val="0037519E"/>
    <w:rsid w:val="00381993"/>
    <w:rsid w:val="00382F2A"/>
    <w:rsid w:val="00386CF0"/>
    <w:rsid w:val="00397D7C"/>
    <w:rsid w:val="003A7265"/>
    <w:rsid w:val="003B348B"/>
    <w:rsid w:val="003B70FB"/>
    <w:rsid w:val="003B7ADF"/>
    <w:rsid w:val="003C0C30"/>
    <w:rsid w:val="003C676B"/>
    <w:rsid w:val="003D3BC2"/>
    <w:rsid w:val="003E6CA1"/>
    <w:rsid w:val="003F5154"/>
    <w:rsid w:val="003F51BE"/>
    <w:rsid w:val="00404253"/>
    <w:rsid w:val="00405F9C"/>
    <w:rsid w:val="004065A8"/>
    <w:rsid w:val="00414B9C"/>
    <w:rsid w:val="004165C2"/>
    <w:rsid w:val="00434A65"/>
    <w:rsid w:val="00441ECB"/>
    <w:rsid w:val="004445C1"/>
    <w:rsid w:val="00445193"/>
    <w:rsid w:val="00462C1B"/>
    <w:rsid w:val="00465136"/>
    <w:rsid w:val="00467B7E"/>
    <w:rsid w:val="00472FFF"/>
    <w:rsid w:val="00473BB4"/>
    <w:rsid w:val="00477592"/>
    <w:rsid w:val="00482B26"/>
    <w:rsid w:val="00486F1C"/>
    <w:rsid w:val="0049419D"/>
    <w:rsid w:val="004A6A54"/>
    <w:rsid w:val="004B0890"/>
    <w:rsid w:val="004B421C"/>
    <w:rsid w:val="004C20D2"/>
    <w:rsid w:val="004C2312"/>
    <w:rsid w:val="004C4B62"/>
    <w:rsid w:val="004C54C9"/>
    <w:rsid w:val="004C7D0D"/>
    <w:rsid w:val="004D4ABA"/>
    <w:rsid w:val="004D5463"/>
    <w:rsid w:val="004D6025"/>
    <w:rsid w:val="004E1ECB"/>
    <w:rsid w:val="004E2649"/>
    <w:rsid w:val="004F4017"/>
    <w:rsid w:val="004F626F"/>
    <w:rsid w:val="004F7971"/>
    <w:rsid w:val="00501399"/>
    <w:rsid w:val="005047ED"/>
    <w:rsid w:val="00505175"/>
    <w:rsid w:val="0050545E"/>
    <w:rsid w:val="0050633D"/>
    <w:rsid w:val="00507BC4"/>
    <w:rsid w:val="005128E4"/>
    <w:rsid w:val="005133DB"/>
    <w:rsid w:val="00513EA8"/>
    <w:rsid w:val="00514504"/>
    <w:rsid w:val="00515997"/>
    <w:rsid w:val="00521E1F"/>
    <w:rsid w:val="00524C77"/>
    <w:rsid w:val="00525560"/>
    <w:rsid w:val="005361E0"/>
    <w:rsid w:val="00544C49"/>
    <w:rsid w:val="005516A1"/>
    <w:rsid w:val="005559EF"/>
    <w:rsid w:val="00561A2E"/>
    <w:rsid w:val="00563557"/>
    <w:rsid w:val="0057402A"/>
    <w:rsid w:val="005771D0"/>
    <w:rsid w:val="00580D66"/>
    <w:rsid w:val="00580D84"/>
    <w:rsid w:val="0058240B"/>
    <w:rsid w:val="0059191A"/>
    <w:rsid w:val="00592120"/>
    <w:rsid w:val="005921FF"/>
    <w:rsid w:val="005A24ED"/>
    <w:rsid w:val="005A6D0E"/>
    <w:rsid w:val="005B38D6"/>
    <w:rsid w:val="005B3E0E"/>
    <w:rsid w:val="005B4D20"/>
    <w:rsid w:val="005B52B0"/>
    <w:rsid w:val="005B542B"/>
    <w:rsid w:val="005B6806"/>
    <w:rsid w:val="005C4225"/>
    <w:rsid w:val="005C5AB3"/>
    <w:rsid w:val="005D3B2C"/>
    <w:rsid w:val="005E4841"/>
    <w:rsid w:val="005F0DAD"/>
    <w:rsid w:val="005F0F33"/>
    <w:rsid w:val="00600DEB"/>
    <w:rsid w:val="00601D6A"/>
    <w:rsid w:val="00605C4A"/>
    <w:rsid w:val="006143FD"/>
    <w:rsid w:val="00615499"/>
    <w:rsid w:val="00627C9F"/>
    <w:rsid w:val="006311E9"/>
    <w:rsid w:val="00632354"/>
    <w:rsid w:val="00635421"/>
    <w:rsid w:val="00640CE0"/>
    <w:rsid w:val="00642810"/>
    <w:rsid w:val="00652333"/>
    <w:rsid w:val="006575AA"/>
    <w:rsid w:val="00661F67"/>
    <w:rsid w:val="00667CEF"/>
    <w:rsid w:val="0068009E"/>
    <w:rsid w:val="00692219"/>
    <w:rsid w:val="006A17D2"/>
    <w:rsid w:val="006A5687"/>
    <w:rsid w:val="006A73E6"/>
    <w:rsid w:val="006B035D"/>
    <w:rsid w:val="006B2D5C"/>
    <w:rsid w:val="006C0ECF"/>
    <w:rsid w:val="006C4EB1"/>
    <w:rsid w:val="006C57C0"/>
    <w:rsid w:val="006D1999"/>
    <w:rsid w:val="006D1F51"/>
    <w:rsid w:val="006D356F"/>
    <w:rsid w:val="006E0166"/>
    <w:rsid w:val="006E2FFB"/>
    <w:rsid w:val="006E7B34"/>
    <w:rsid w:val="006F1A3A"/>
    <w:rsid w:val="0070697F"/>
    <w:rsid w:val="007078A3"/>
    <w:rsid w:val="00707A22"/>
    <w:rsid w:val="007103C4"/>
    <w:rsid w:val="007129D0"/>
    <w:rsid w:val="0072199C"/>
    <w:rsid w:val="00722C9F"/>
    <w:rsid w:val="007253B8"/>
    <w:rsid w:val="00733E57"/>
    <w:rsid w:val="0073741F"/>
    <w:rsid w:val="0074451A"/>
    <w:rsid w:val="0076643F"/>
    <w:rsid w:val="0076696C"/>
    <w:rsid w:val="00777F63"/>
    <w:rsid w:val="007903BA"/>
    <w:rsid w:val="007A5817"/>
    <w:rsid w:val="007B05C4"/>
    <w:rsid w:val="007B4D2A"/>
    <w:rsid w:val="007B60E9"/>
    <w:rsid w:val="007B6CC3"/>
    <w:rsid w:val="007B76D3"/>
    <w:rsid w:val="007C3334"/>
    <w:rsid w:val="007D2B98"/>
    <w:rsid w:val="007E21BC"/>
    <w:rsid w:val="007E7C82"/>
    <w:rsid w:val="007F2AA1"/>
    <w:rsid w:val="007F588D"/>
    <w:rsid w:val="007F682F"/>
    <w:rsid w:val="00803F1C"/>
    <w:rsid w:val="0080600E"/>
    <w:rsid w:val="00814688"/>
    <w:rsid w:val="00817612"/>
    <w:rsid w:val="008305A1"/>
    <w:rsid w:val="008338A4"/>
    <w:rsid w:val="00834D49"/>
    <w:rsid w:val="00837ADC"/>
    <w:rsid w:val="00837C45"/>
    <w:rsid w:val="00844730"/>
    <w:rsid w:val="008457C2"/>
    <w:rsid w:val="00846648"/>
    <w:rsid w:val="008502BC"/>
    <w:rsid w:val="008520F4"/>
    <w:rsid w:val="00857A82"/>
    <w:rsid w:val="00873836"/>
    <w:rsid w:val="00885737"/>
    <w:rsid w:val="00890650"/>
    <w:rsid w:val="008944DC"/>
    <w:rsid w:val="00897E12"/>
    <w:rsid w:val="008A7E0F"/>
    <w:rsid w:val="008B12F5"/>
    <w:rsid w:val="008B3706"/>
    <w:rsid w:val="008C32A8"/>
    <w:rsid w:val="008C5E2D"/>
    <w:rsid w:val="008D768D"/>
    <w:rsid w:val="008E3759"/>
    <w:rsid w:val="008E3BFE"/>
    <w:rsid w:val="008F1912"/>
    <w:rsid w:val="008F1A7B"/>
    <w:rsid w:val="0090270B"/>
    <w:rsid w:val="009041DC"/>
    <w:rsid w:val="0091011B"/>
    <w:rsid w:val="0091414A"/>
    <w:rsid w:val="00917B5A"/>
    <w:rsid w:val="00920A58"/>
    <w:rsid w:val="00920A8C"/>
    <w:rsid w:val="009247B5"/>
    <w:rsid w:val="009305F2"/>
    <w:rsid w:val="00934A2C"/>
    <w:rsid w:val="00936860"/>
    <w:rsid w:val="00940E3B"/>
    <w:rsid w:val="00947D11"/>
    <w:rsid w:val="00964C94"/>
    <w:rsid w:val="009659EA"/>
    <w:rsid w:val="0096706E"/>
    <w:rsid w:val="00973DC2"/>
    <w:rsid w:val="00973F3A"/>
    <w:rsid w:val="00974491"/>
    <w:rsid w:val="00975C4E"/>
    <w:rsid w:val="00981FBA"/>
    <w:rsid w:val="00982469"/>
    <w:rsid w:val="00990653"/>
    <w:rsid w:val="009944D5"/>
    <w:rsid w:val="00997BC5"/>
    <w:rsid w:val="009A4F41"/>
    <w:rsid w:val="009B381B"/>
    <w:rsid w:val="009D1753"/>
    <w:rsid w:val="009D7611"/>
    <w:rsid w:val="009E0B61"/>
    <w:rsid w:val="009E1B47"/>
    <w:rsid w:val="009E1C6F"/>
    <w:rsid w:val="009E34AF"/>
    <w:rsid w:val="009E53DE"/>
    <w:rsid w:val="009E6ADA"/>
    <w:rsid w:val="00A0238B"/>
    <w:rsid w:val="00A1003E"/>
    <w:rsid w:val="00A11212"/>
    <w:rsid w:val="00A11E44"/>
    <w:rsid w:val="00A30100"/>
    <w:rsid w:val="00A309F9"/>
    <w:rsid w:val="00A328B3"/>
    <w:rsid w:val="00A345D6"/>
    <w:rsid w:val="00A50FCF"/>
    <w:rsid w:val="00A528D1"/>
    <w:rsid w:val="00A610CD"/>
    <w:rsid w:val="00A65324"/>
    <w:rsid w:val="00A758AA"/>
    <w:rsid w:val="00A8107E"/>
    <w:rsid w:val="00A83742"/>
    <w:rsid w:val="00A84A7C"/>
    <w:rsid w:val="00A93194"/>
    <w:rsid w:val="00A9415A"/>
    <w:rsid w:val="00AA09A2"/>
    <w:rsid w:val="00AA4E34"/>
    <w:rsid w:val="00AA6F65"/>
    <w:rsid w:val="00AA7996"/>
    <w:rsid w:val="00AB7397"/>
    <w:rsid w:val="00AC19CB"/>
    <w:rsid w:val="00AE5488"/>
    <w:rsid w:val="00AE65EC"/>
    <w:rsid w:val="00AE6F91"/>
    <w:rsid w:val="00AF497C"/>
    <w:rsid w:val="00AF5571"/>
    <w:rsid w:val="00B07341"/>
    <w:rsid w:val="00B075E4"/>
    <w:rsid w:val="00B127F0"/>
    <w:rsid w:val="00B30539"/>
    <w:rsid w:val="00B314DB"/>
    <w:rsid w:val="00B361F2"/>
    <w:rsid w:val="00B3718B"/>
    <w:rsid w:val="00B3745F"/>
    <w:rsid w:val="00B43712"/>
    <w:rsid w:val="00B4632A"/>
    <w:rsid w:val="00B530F1"/>
    <w:rsid w:val="00B56035"/>
    <w:rsid w:val="00B6463F"/>
    <w:rsid w:val="00B739FA"/>
    <w:rsid w:val="00B863E7"/>
    <w:rsid w:val="00B93D7F"/>
    <w:rsid w:val="00B95876"/>
    <w:rsid w:val="00BA276C"/>
    <w:rsid w:val="00BA3BA6"/>
    <w:rsid w:val="00BB019D"/>
    <w:rsid w:val="00BB306F"/>
    <w:rsid w:val="00BD0FF5"/>
    <w:rsid w:val="00BD4B89"/>
    <w:rsid w:val="00BD5922"/>
    <w:rsid w:val="00BD685B"/>
    <w:rsid w:val="00BF02CB"/>
    <w:rsid w:val="00BF4597"/>
    <w:rsid w:val="00BF4D68"/>
    <w:rsid w:val="00BF6FD8"/>
    <w:rsid w:val="00C03680"/>
    <w:rsid w:val="00C054DF"/>
    <w:rsid w:val="00C11CE2"/>
    <w:rsid w:val="00C20AB4"/>
    <w:rsid w:val="00C21762"/>
    <w:rsid w:val="00C21FEF"/>
    <w:rsid w:val="00C23BA4"/>
    <w:rsid w:val="00C24543"/>
    <w:rsid w:val="00C256A2"/>
    <w:rsid w:val="00C25ADB"/>
    <w:rsid w:val="00C30042"/>
    <w:rsid w:val="00C50FE6"/>
    <w:rsid w:val="00C51515"/>
    <w:rsid w:val="00C5660B"/>
    <w:rsid w:val="00C66B72"/>
    <w:rsid w:val="00C81D4F"/>
    <w:rsid w:val="00C872B3"/>
    <w:rsid w:val="00C87AC4"/>
    <w:rsid w:val="00C91884"/>
    <w:rsid w:val="00C9217B"/>
    <w:rsid w:val="00C9567A"/>
    <w:rsid w:val="00C96039"/>
    <w:rsid w:val="00CA186C"/>
    <w:rsid w:val="00CB212D"/>
    <w:rsid w:val="00CB2660"/>
    <w:rsid w:val="00CB6610"/>
    <w:rsid w:val="00CC5E90"/>
    <w:rsid w:val="00CC6078"/>
    <w:rsid w:val="00CD046C"/>
    <w:rsid w:val="00CE076C"/>
    <w:rsid w:val="00CE4EBF"/>
    <w:rsid w:val="00CE5199"/>
    <w:rsid w:val="00CE66D5"/>
    <w:rsid w:val="00CF637A"/>
    <w:rsid w:val="00CF7DA5"/>
    <w:rsid w:val="00D059DE"/>
    <w:rsid w:val="00D05ABD"/>
    <w:rsid w:val="00D119AD"/>
    <w:rsid w:val="00D12AB6"/>
    <w:rsid w:val="00D13FCE"/>
    <w:rsid w:val="00D306D1"/>
    <w:rsid w:val="00D30800"/>
    <w:rsid w:val="00D34786"/>
    <w:rsid w:val="00D37BFC"/>
    <w:rsid w:val="00D400F1"/>
    <w:rsid w:val="00D4353E"/>
    <w:rsid w:val="00D4636F"/>
    <w:rsid w:val="00D47A8E"/>
    <w:rsid w:val="00D525E3"/>
    <w:rsid w:val="00D52D14"/>
    <w:rsid w:val="00D61CB5"/>
    <w:rsid w:val="00D659C5"/>
    <w:rsid w:val="00D712D3"/>
    <w:rsid w:val="00D71422"/>
    <w:rsid w:val="00D7189C"/>
    <w:rsid w:val="00D72DC6"/>
    <w:rsid w:val="00D7527E"/>
    <w:rsid w:val="00D7558D"/>
    <w:rsid w:val="00D81D92"/>
    <w:rsid w:val="00D876F9"/>
    <w:rsid w:val="00DA7B5F"/>
    <w:rsid w:val="00DB6FFD"/>
    <w:rsid w:val="00DC11E7"/>
    <w:rsid w:val="00DC24E3"/>
    <w:rsid w:val="00DC7023"/>
    <w:rsid w:val="00DC769A"/>
    <w:rsid w:val="00DD3D86"/>
    <w:rsid w:val="00DD4AD2"/>
    <w:rsid w:val="00DE2862"/>
    <w:rsid w:val="00DF1EC4"/>
    <w:rsid w:val="00E00ECF"/>
    <w:rsid w:val="00E0340B"/>
    <w:rsid w:val="00E04A90"/>
    <w:rsid w:val="00E04B05"/>
    <w:rsid w:val="00E05103"/>
    <w:rsid w:val="00E0551F"/>
    <w:rsid w:val="00E05CE6"/>
    <w:rsid w:val="00E12421"/>
    <w:rsid w:val="00E219C7"/>
    <w:rsid w:val="00E4118C"/>
    <w:rsid w:val="00E43157"/>
    <w:rsid w:val="00E44EC9"/>
    <w:rsid w:val="00E461CE"/>
    <w:rsid w:val="00E53608"/>
    <w:rsid w:val="00E573E4"/>
    <w:rsid w:val="00E64C3D"/>
    <w:rsid w:val="00E70145"/>
    <w:rsid w:val="00E720CA"/>
    <w:rsid w:val="00E72382"/>
    <w:rsid w:val="00E84EB5"/>
    <w:rsid w:val="00E85662"/>
    <w:rsid w:val="00E8789F"/>
    <w:rsid w:val="00E879D5"/>
    <w:rsid w:val="00E92115"/>
    <w:rsid w:val="00E97B71"/>
    <w:rsid w:val="00EA02E4"/>
    <w:rsid w:val="00EA3D34"/>
    <w:rsid w:val="00EB454D"/>
    <w:rsid w:val="00EC0160"/>
    <w:rsid w:val="00EC04DD"/>
    <w:rsid w:val="00ED0802"/>
    <w:rsid w:val="00ED35CB"/>
    <w:rsid w:val="00ED549D"/>
    <w:rsid w:val="00ED5E10"/>
    <w:rsid w:val="00ED76BE"/>
    <w:rsid w:val="00ED7D16"/>
    <w:rsid w:val="00EE00E9"/>
    <w:rsid w:val="00EE5AB9"/>
    <w:rsid w:val="00EF1326"/>
    <w:rsid w:val="00EF1AAA"/>
    <w:rsid w:val="00EF619B"/>
    <w:rsid w:val="00F00B55"/>
    <w:rsid w:val="00F02AD1"/>
    <w:rsid w:val="00F253CC"/>
    <w:rsid w:val="00F361DC"/>
    <w:rsid w:val="00F37106"/>
    <w:rsid w:val="00F42DB9"/>
    <w:rsid w:val="00F44E25"/>
    <w:rsid w:val="00F519CF"/>
    <w:rsid w:val="00F5415F"/>
    <w:rsid w:val="00F56BA5"/>
    <w:rsid w:val="00F60E22"/>
    <w:rsid w:val="00F810CB"/>
    <w:rsid w:val="00F81395"/>
    <w:rsid w:val="00F81BB8"/>
    <w:rsid w:val="00F90C64"/>
    <w:rsid w:val="00F917D1"/>
    <w:rsid w:val="00F9653B"/>
    <w:rsid w:val="00F97346"/>
    <w:rsid w:val="00FB62CF"/>
    <w:rsid w:val="00FC1C4D"/>
    <w:rsid w:val="00FD3C3B"/>
    <w:rsid w:val="00FE07DD"/>
    <w:rsid w:val="00FE6B45"/>
    <w:rsid w:val="00FF1A5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F1A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F1A7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1A7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F1A7B"/>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54154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472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4422"/>
    <w:rsid w:val="000C6F18"/>
    <w:rsid w:val="00200821"/>
    <w:rsid w:val="0025245B"/>
    <w:rsid w:val="00290B11"/>
    <w:rsid w:val="002A3923"/>
    <w:rsid w:val="002C48A9"/>
    <w:rsid w:val="00394049"/>
    <w:rsid w:val="003B0C71"/>
    <w:rsid w:val="004B5BBB"/>
    <w:rsid w:val="004F2DF8"/>
    <w:rsid w:val="00517E2A"/>
    <w:rsid w:val="006F24A1"/>
    <w:rsid w:val="00811338"/>
    <w:rsid w:val="008D2F81"/>
    <w:rsid w:val="00901736"/>
    <w:rsid w:val="00911D7C"/>
    <w:rsid w:val="009A261B"/>
    <w:rsid w:val="009C6C12"/>
    <w:rsid w:val="00AA2E17"/>
    <w:rsid w:val="00AC15A4"/>
    <w:rsid w:val="00AF1F5D"/>
    <w:rsid w:val="00B0336C"/>
    <w:rsid w:val="00BE059E"/>
    <w:rsid w:val="00D241E9"/>
    <w:rsid w:val="00D7750D"/>
    <w:rsid w:val="00EA0C0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29FD-2395-4D03-B075-D708189E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157/20</dc:title>
  <dc:subject/>
  <dc:creator/>
  <cp:keywords/>
  <dc:description/>
  <cp:lastModifiedBy/>
  <cp:revision>1</cp:revision>
  <dcterms:created xsi:type="dcterms:W3CDTF">2020-07-22T16:52:00Z</dcterms:created>
  <dcterms:modified xsi:type="dcterms:W3CDTF">2020-07-22T16:52:00Z</dcterms:modified>
</cp:coreProperties>
</file>