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4637" w:rsidRPr="00006B74" w:rsidRDefault="00BB613E"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-415290</wp:posOffset>
                </wp:positionH>
                <wp:positionV relativeFrom="paragraph">
                  <wp:posOffset>-438785</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397061"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Default="00BB613E"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527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r w:rsidR="0052463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" filled="f" stroked="f" strokeweight=".5pt">
                <v:path arrowok="t"/>
                <v:textbox>
                  <w:txbxContent>
                    <w:p w:rsidR="00524637" w:rsidRDefault="00BB613E"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527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r w:rsidR="00524637">
                        <w:tab/>
                        <w:t xml:space="preserve">                              </w:t>
                      </w:r>
                    </w:p>
                  </w:txbxContent>
                </v:textbox>
              </v:shape>
            </w:pict>
          </mc:Fallback>
        </mc:AlternateContent>
      </w:r>
      <w:r w:rsidR="00524637">
        <w:rPr>
          <w:rFonts w:ascii="Cambria" w:hAnsi="Cambria" w:cs="Univers"/>
          <w:b/>
          <w:bCs/>
          <w:sz w:val="22"/>
          <w:szCs w:val="22"/>
          <w:lang w:val="es-ES"/>
        </w:rPr>
        <w:t xml:space="preserve"> </w:t>
      </w: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524637" w:rsidRPr="00006B74" w:rsidRDefault="005246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BB613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50335">
                              <w:rPr>
                                <w:rFonts w:ascii="Cambria" w:hAnsi="Cambria" w:cs="Arial"/>
                                <w:b/>
                                <w:bCs/>
                                <w:color w:val="0D0D0D"/>
                                <w:sz w:val="36"/>
                                <w:szCs w:val="22"/>
                                <w:lang w:val="es-ES_tradnl"/>
                              </w:rPr>
                              <w:t xml:space="preserve">INFORME </w:t>
                            </w:r>
                            <w:r w:rsidRPr="00B50335">
                              <w:rPr>
                                <w:rFonts w:ascii="Cambria" w:hAnsi="Cambria" w:cs="Arial"/>
                                <w:b/>
                                <w:bCs/>
                                <w:color w:val="0D0D0D"/>
                                <w:sz w:val="36"/>
                                <w:szCs w:val="40"/>
                                <w:lang w:val="es-ES_tradnl"/>
                              </w:rPr>
                              <w:t>No.</w:t>
                            </w:r>
                            <w:r w:rsidR="000A0151">
                              <w:rPr>
                                <w:rFonts w:ascii="Cambria" w:hAnsi="Cambria" w:cs="Arial"/>
                                <w:b/>
                                <w:bCs/>
                                <w:color w:val="0D0D0D"/>
                                <w:sz w:val="36"/>
                                <w:szCs w:val="22"/>
                                <w:lang w:val="es-ES_tradnl"/>
                              </w:rPr>
                              <w:t xml:space="preserve"> 109</w:t>
                            </w:r>
                            <w:r w:rsidRPr="00B50335">
                              <w:rPr>
                                <w:rFonts w:ascii="Cambria" w:hAnsi="Cambria" w:cs="Arial"/>
                                <w:b/>
                                <w:bCs/>
                                <w:color w:val="0D0D0D"/>
                                <w:sz w:val="36"/>
                                <w:szCs w:val="22"/>
                                <w:lang w:val="es-ES_tradnl"/>
                              </w:rPr>
                              <w:t>/</w:t>
                            </w:r>
                            <w:r>
                              <w:rPr>
                                <w:rFonts w:ascii="Cambria" w:hAnsi="Cambria" w:cs="Arial"/>
                                <w:b/>
                                <w:bCs/>
                                <w:color w:val="0D0D0D"/>
                                <w:sz w:val="36"/>
                                <w:szCs w:val="22"/>
                                <w:lang w:val="es-ES_tradnl"/>
                              </w:rPr>
                              <w:t>20</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50335">
                              <w:rPr>
                                <w:rFonts w:ascii="Cambria" w:hAnsi="Cambria" w:cs="Arial"/>
                                <w:b/>
                                <w:color w:val="0D0D0D"/>
                                <w:sz w:val="36"/>
                                <w:szCs w:val="22"/>
                                <w:lang w:val="es-ES_tradnl"/>
                              </w:rPr>
                              <w:t xml:space="preserve">PETICIÓN 1079-09 </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 xml:space="preserve">INFORME DE ADMISIBILIDAD </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ALEJANDRO ANTONIO TORRES TORO</w:t>
                            </w:r>
                          </w:p>
                          <w:bookmarkEnd w:id="1"/>
                          <w:p w:rsidR="00524637" w:rsidRPr="00B50335" w:rsidRDefault="00524637" w:rsidP="00950369">
                            <w:pPr>
                              <w:pBdr>
                                <w:top w:val="none" w:sz="0" w:space="0" w:color="auto"/>
                                <w:left w:val="none" w:sz="0" w:space="0" w:color="auto"/>
                                <w:bottom w:val="none" w:sz="0" w:space="0" w:color="auto"/>
                                <w:right w:val="none" w:sz="0" w:space="0" w:color="auto"/>
                                <w:bar w:val="none" w:sz="0" w:color="auto"/>
                              </w:pBdr>
                              <w:rPr>
                                <w:rFonts w:ascii="Cambria" w:hAnsi="Cambria"/>
                                <w:color w:val="0D0D0D"/>
                                <w:lang w:val="es-ES_tradnl"/>
                              </w:rPr>
                            </w:pPr>
                            <w:r w:rsidRPr="00B50335">
                              <w:rPr>
                                <w:rFonts w:ascii="Cambria" w:hAnsi="Cambria"/>
                              </w:rPr>
                              <w:t>PERÚ</w:t>
                            </w:r>
                          </w:p>
                          <w:p w:rsidR="00524637" w:rsidRPr="00B50335" w:rsidRDefault="00524637" w:rsidP="00950369">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B50335">
                        <w:rPr>
                          <w:rFonts w:ascii="Cambria" w:hAnsi="Cambria" w:cs="Arial"/>
                          <w:b/>
                          <w:bCs/>
                          <w:color w:val="0D0D0D"/>
                          <w:sz w:val="36"/>
                          <w:szCs w:val="22"/>
                          <w:lang w:val="es-ES_tradnl"/>
                        </w:rPr>
                        <w:t xml:space="preserve">INFORME </w:t>
                      </w:r>
                      <w:r w:rsidRPr="00B50335">
                        <w:rPr>
                          <w:rFonts w:ascii="Cambria" w:hAnsi="Cambria" w:cs="Arial"/>
                          <w:b/>
                          <w:bCs/>
                          <w:color w:val="0D0D0D"/>
                          <w:sz w:val="36"/>
                          <w:szCs w:val="40"/>
                          <w:lang w:val="es-ES_tradnl"/>
                        </w:rPr>
                        <w:t>No.</w:t>
                      </w:r>
                      <w:r w:rsidR="000A0151">
                        <w:rPr>
                          <w:rFonts w:ascii="Cambria" w:hAnsi="Cambria" w:cs="Arial"/>
                          <w:b/>
                          <w:bCs/>
                          <w:color w:val="0D0D0D"/>
                          <w:sz w:val="36"/>
                          <w:szCs w:val="22"/>
                          <w:lang w:val="es-ES_tradnl"/>
                        </w:rPr>
                        <w:t xml:space="preserve"> 109</w:t>
                      </w:r>
                      <w:r w:rsidRPr="00B50335">
                        <w:rPr>
                          <w:rFonts w:ascii="Cambria" w:hAnsi="Cambria" w:cs="Arial"/>
                          <w:b/>
                          <w:bCs/>
                          <w:color w:val="0D0D0D"/>
                          <w:sz w:val="36"/>
                          <w:szCs w:val="22"/>
                          <w:lang w:val="es-ES_tradnl"/>
                        </w:rPr>
                        <w:t>/</w:t>
                      </w:r>
                      <w:r>
                        <w:rPr>
                          <w:rFonts w:ascii="Cambria" w:hAnsi="Cambria" w:cs="Arial"/>
                          <w:b/>
                          <w:bCs/>
                          <w:color w:val="0D0D0D"/>
                          <w:sz w:val="36"/>
                          <w:szCs w:val="22"/>
                          <w:lang w:val="es-ES_tradnl"/>
                        </w:rPr>
                        <w:t>20</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B50335">
                        <w:rPr>
                          <w:rFonts w:ascii="Cambria" w:hAnsi="Cambria" w:cs="Arial"/>
                          <w:b/>
                          <w:color w:val="0D0D0D"/>
                          <w:sz w:val="36"/>
                          <w:szCs w:val="22"/>
                          <w:lang w:val="es-ES_tradnl"/>
                        </w:rPr>
                        <w:t xml:space="preserve">PETICIÓN 1079-09 </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 xml:space="preserve">INFORME DE ADMISIBILIDAD </w:t>
                      </w:r>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524637" w:rsidRPr="00B50335" w:rsidRDefault="00524637"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B50335">
                        <w:rPr>
                          <w:rFonts w:ascii="Cambria" w:hAnsi="Cambria" w:cs="Arial"/>
                          <w:color w:val="0D0D0D"/>
                          <w:szCs w:val="22"/>
                          <w:lang w:val="es-ES_tradnl"/>
                        </w:rPr>
                        <w:t>ALEJANDRO ANTONIO TORRES TORO</w:t>
                      </w:r>
                    </w:p>
                    <w:bookmarkEnd w:id="1"/>
                    <w:p w:rsidR="00524637" w:rsidRPr="00B50335" w:rsidRDefault="00524637" w:rsidP="00950369">
                      <w:pPr>
                        <w:pBdr>
                          <w:top w:val="none" w:sz="0" w:space="0" w:color="auto"/>
                          <w:left w:val="none" w:sz="0" w:space="0" w:color="auto"/>
                          <w:bottom w:val="none" w:sz="0" w:space="0" w:color="auto"/>
                          <w:right w:val="none" w:sz="0" w:space="0" w:color="auto"/>
                          <w:bar w:val="none" w:sz="0" w:color="auto"/>
                        </w:pBdr>
                        <w:rPr>
                          <w:rFonts w:ascii="Cambria" w:hAnsi="Cambria"/>
                          <w:color w:val="0D0D0D"/>
                          <w:lang w:val="es-ES_tradnl"/>
                        </w:rPr>
                      </w:pPr>
                      <w:r w:rsidRPr="00B50335">
                        <w:rPr>
                          <w:rFonts w:ascii="Cambria" w:hAnsi="Cambria"/>
                        </w:rPr>
                        <w:t>PERÚ</w:t>
                      </w:r>
                    </w:p>
                    <w:p w:rsidR="00524637" w:rsidRPr="00B50335" w:rsidRDefault="00524637" w:rsidP="00950369">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119</w:t>
                            </w:r>
                          </w:p>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524637">
                              <w:rPr>
                                <w:rFonts w:ascii="Calibri" w:hAnsi="Calibri"/>
                                <w:color w:val="FFFFFF"/>
                                <w:sz w:val="22"/>
                                <w:lang w:val="es-ES"/>
                              </w:rPr>
                              <w:t xml:space="preserve"> 2020</w:t>
                            </w:r>
                          </w:p>
                          <w:p w:rsidR="00524637" w:rsidRPr="00B50335" w:rsidRDefault="0052463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B50335">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" filled="f" stroked="f" strokeweight=".5pt">
                <v:path arrowok="t"/>
                <v:textbox>
                  <w:txbxContent>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119</w:t>
                      </w:r>
                    </w:p>
                    <w:p w:rsidR="00524637" w:rsidRPr="00B50335" w:rsidRDefault="000A0151"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24 abril</w:t>
                      </w:r>
                      <w:r w:rsidR="00524637">
                        <w:rPr>
                          <w:rFonts w:ascii="Calibri" w:hAnsi="Calibri"/>
                          <w:color w:val="FFFFFF"/>
                          <w:sz w:val="22"/>
                          <w:lang w:val="es-ES"/>
                        </w:rPr>
                        <w:t xml:space="preserve"> 2020</w:t>
                      </w:r>
                    </w:p>
                    <w:p w:rsidR="00524637" w:rsidRPr="00B50335" w:rsidRDefault="0052463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B50335">
                        <w:rPr>
                          <w:rFonts w:ascii="Calibri" w:hAnsi="Calibri"/>
                          <w:color w:val="FFFFFF"/>
                          <w:sz w:val="22"/>
                          <w:lang w:val="es-ES"/>
                        </w:rPr>
                        <w:t>Original: español</w:t>
                      </w:r>
                    </w:p>
                  </w:txbxContent>
                </v:textbox>
              </v:shape>
            </w:pict>
          </mc:Fallback>
        </mc:AlternateContent>
      </w: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BB613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Pr="00B50335" w:rsidRDefault="00524637"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B50335">
                              <w:rPr>
                                <w:rFonts w:ascii="Cambria" w:hAnsi="Cambria"/>
                                <w:color w:val="0D0D0D"/>
                                <w:sz w:val="18"/>
                                <w:szCs w:val="22"/>
                                <w:lang w:val="es-ES"/>
                              </w:rPr>
                              <w:t xml:space="preserve">Aprobado </w:t>
                            </w:r>
                            <w:proofErr w:type="spellStart"/>
                            <w:r w:rsidRPr="00B50335">
                              <w:rPr>
                                <w:rFonts w:ascii="Cambria" w:hAnsi="Cambria"/>
                                <w:color w:val="0D0D0D"/>
                                <w:sz w:val="18"/>
                                <w:szCs w:val="22"/>
                                <w:lang w:val="es-ES"/>
                              </w:rPr>
                              <w:t>electr</w:t>
                            </w:r>
                            <w:r w:rsidRPr="00B50335">
                              <w:rPr>
                                <w:rFonts w:ascii="Cambria" w:hAnsi="Cambria"/>
                                <w:color w:val="0D0D0D"/>
                                <w:sz w:val="18"/>
                                <w:szCs w:val="22"/>
                                <w:lang w:val="es-ES_tradnl"/>
                              </w:rPr>
                              <w:t>ónicamente</w:t>
                            </w:r>
                            <w:proofErr w:type="spellEnd"/>
                            <w:r w:rsidRPr="00B50335">
                              <w:rPr>
                                <w:rFonts w:ascii="Cambria" w:hAnsi="Cambria"/>
                                <w:color w:val="0D0D0D"/>
                                <w:sz w:val="18"/>
                                <w:szCs w:val="22"/>
                                <w:lang w:val="es-ES"/>
                              </w:rPr>
                              <w:t xml:space="preserve"> por </w:t>
                            </w:r>
                            <w:r>
                              <w:rPr>
                                <w:rFonts w:ascii="Cambria" w:hAnsi="Cambria"/>
                                <w:color w:val="0D0D0D"/>
                                <w:sz w:val="18"/>
                                <w:szCs w:val="22"/>
                                <w:lang w:val="es-ES"/>
                              </w:rPr>
                              <w:t xml:space="preserve">la Comisión el </w:t>
                            </w:r>
                            <w:r w:rsidR="000A0151">
                              <w:rPr>
                                <w:rFonts w:ascii="Cambria" w:hAnsi="Cambria"/>
                                <w:color w:val="0D0D0D"/>
                                <w:sz w:val="18"/>
                                <w:szCs w:val="22"/>
                                <w:lang w:val="es-ES"/>
                              </w:rPr>
                              <w:t>24</w:t>
                            </w:r>
                            <w:r>
                              <w:rPr>
                                <w:rFonts w:ascii="Cambria" w:hAnsi="Cambria"/>
                                <w:color w:val="0D0D0D"/>
                                <w:sz w:val="18"/>
                                <w:szCs w:val="22"/>
                                <w:lang w:val="es-ES"/>
                              </w:rPr>
                              <w:t xml:space="preserve"> de </w:t>
                            </w:r>
                            <w:r w:rsidR="000A0151">
                              <w:rPr>
                                <w:rFonts w:ascii="Cambria" w:hAnsi="Cambria"/>
                                <w:color w:val="0D0D0D"/>
                                <w:sz w:val="18"/>
                                <w:szCs w:val="22"/>
                                <w:lang w:val="es-ES"/>
                              </w:rPr>
                              <w:t>abril</w:t>
                            </w:r>
                            <w:r>
                              <w:rPr>
                                <w:rFonts w:ascii="Cambria" w:hAnsi="Cambria"/>
                                <w:color w:val="0D0D0D"/>
                                <w:sz w:val="18"/>
                                <w:szCs w:val="22"/>
                                <w:lang w:val="es-ES"/>
                              </w:rPr>
                              <w:t xml:space="preserve"> de 2020</w:t>
                            </w:r>
                            <w:r w:rsidR="002914D1">
                              <w:rPr>
                                <w:rFonts w:ascii="Cambria" w:hAnsi="Cambria"/>
                                <w:color w:val="0D0D0D"/>
                                <w:sz w:val="18"/>
                                <w:szCs w:val="22"/>
                                <w:lang w:val="es-ES"/>
                              </w:rPr>
                              <w:t>.</w:t>
                            </w:r>
                          </w:p>
                          <w:p w:rsidR="00524637" w:rsidRPr="00B50335" w:rsidRDefault="0052463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524637" w:rsidRPr="00B50335" w:rsidRDefault="0052463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524637" w:rsidRPr="00B50335" w:rsidRDefault="00524637"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B50335">
                        <w:rPr>
                          <w:rFonts w:ascii="Cambria" w:hAnsi="Cambria"/>
                          <w:color w:val="0D0D0D"/>
                          <w:sz w:val="18"/>
                          <w:szCs w:val="22"/>
                          <w:lang w:val="es-ES"/>
                        </w:rPr>
                        <w:t xml:space="preserve">Aprobado </w:t>
                      </w:r>
                      <w:proofErr w:type="spellStart"/>
                      <w:r w:rsidRPr="00B50335">
                        <w:rPr>
                          <w:rFonts w:ascii="Cambria" w:hAnsi="Cambria"/>
                          <w:color w:val="0D0D0D"/>
                          <w:sz w:val="18"/>
                          <w:szCs w:val="22"/>
                          <w:lang w:val="es-ES"/>
                        </w:rPr>
                        <w:t>electr</w:t>
                      </w:r>
                      <w:r w:rsidRPr="00B50335">
                        <w:rPr>
                          <w:rFonts w:ascii="Cambria" w:hAnsi="Cambria"/>
                          <w:color w:val="0D0D0D"/>
                          <w:sz w:val="18"/>
                          <w:szCs w:val="22"/>
                          <w:lang w:val="es-ES_tradnl"/>
                        </w:rPr>
                        <w:t>ónicamente</w:t>
                      </w:r>
                      <w:proofErr w:type="spellEnd"/>
                      <w:r w:rsidRPr="00B50335">
                        <w:rPr>
                          <w:rFonts w:ascii="Cambria" w:hAnsi="Cambria"/>
                          <w:color w:val="0D0D0D"/>
                          <w:sz w:val="18"/>
                          <w:szCs w:val="22"/>
                          <w:lang w:val="es-ES"/>
                        </w:rPr>
                        <w:t xml:space="preserve"> por </w:t>
                      </w:r>
                      <w:r>
                        <w:rPr>
                          <w:rFonts w:ascii="Cambria" w:hAnsi="Cambria"/>
                          <w:color w:val="0D0D0D"/>
                          <w:sz w:val="18"/>
                          <w:szCs w:val="22"/>
                          <w:lang w:val="es-ES"/>
                        </w:rPr>
                        <w:t xml:space="preserve">la Comisión el </w:t>
                      </w:r>
                      <w:r w:rsidR="000A0151">
                        <w:rPr>
                          <w:rFonts w:ascii="Cambria" w:hAnsi="Cambria"/>
                          <w:color w:val="0D0D0D"/>
                          <w:sz w:val="18"/>
                          <w:szCs w:val="22"/>
                          <w:lang w:val="es-ES"/>
                        </w:rPr>
                        <w:t>24</w:t>
                      </w:r>
                      <w:r>
                        <w:rPr>
                          <w:rFonts w:ascii="Cambria" w:hAnsi="Cambria"/>
                          <w:color w:val="0D0D0D"/>
                          <w:sz w:val="18"/>
                          <w:szCs w:val="22"/>
                          <w:lang w:val="es-ES"/>
                        </w:rPr>
                        <w:t xml:space="preserve"> de </w:t>
                      </w:r>
                      <w:r w:rsidR="000A0151">
                        <w:rPr>
                          <w:rFonts w:ascii="Cambria" w:hAnsi="Cambria"/>
                          <w:color w:val="0D0D0D"/>
                          <w:sz w:val="18"/>
                          <w:szCs w:val="22"/>
                          <w:lang w:val="es-ES"/>
                        </w:rPr>
                        <w:t>abril</w:t>
                      </w:r>
                      <w:r>
                        <w:rPr>
                          <w:rFonts w:ascii="Cambria" w:hAnsi="Cambria"/>
                          <w:color w:val="0D0D0D"/>
                          <w:sz w:val="18"/>
                          <w:szCs w:val="22"/>
                          <w:lang w:val="es-ES"/>
                        </w:rPr>
                        <w:t xml:space="preserve"> de 2020</w:t>
                      </w:r>
                      <w:r w:rsidR="002914D1">
                        <w:rPr>
                          <w:rFonts w:ascii="Cambria" w:hAnsi="Cambria"/>
                          <w:color w:val="0D0D0D"/>
                          <w:sz w:val="18"/>
                          <w:szCs w:val="22"/>
                          <w:lang w:val="es-ES"/>
                        </w:rPr>
                        <w:t>.</w:t>
                      </w:r>
                    </w:p>
                    <w:p w:rsidR="00524637" w:rsidRPr="00B50335" w:rsidRDefault="00524637"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524637" w:rsidRPr="00B50335" w:rsidRDefault="00524637"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BB613E"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Pr="00B50335" w:rsidRDefault="0052463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B50335">
                              <w:rPr>
                                <w:rFonts w:ascii="Cambria" w:hAnsi="Cambria"/>
                                <w:b/>
                                <w:color w:val="595959"/>
                                <w:sz w:val="18"/>
                                <w:szCs w:val="18"/>
                                <w:lang w:val="pt-BR"/>
                              </w:rPr>
                              <w:t>Citar como:</w:t>
                            </w:r>
                            <w:r w:rsidRPr="00B50335">
                              <w:rPr>
                                <w:rFonts w:ascii="Cambria" w:hAnsi="Cambria"/>
                                <w:color w:val="595959"/>
                                <w:sz w:val="18"/>
                                <w:szCs w:val="18"/>
                                <w:lang w:val="pt-BR"/>
                              </w:rPr>
                              <w:t xml:space="preserve"> CIDH, Informe No. </w:t>
                            </w:r>
                            <w:r w:rsidR="000A0151" w:rsidRPr="000A0151">
                              <w:rPr>
                                <w:rFonts w:ascii="Cambria" w:hAnsi="Cambria"/>
                                <w:color w:val="595959"/>
                                <w:sz w:val="18"/>
                                <w:szCs w:val="18"/>
                                <w:lang w:val="pt-BR"/>
                              </w:rPr>
                              <w:t>107</w:t>
                            </w:r>
                            <w:r w:rsidRPr="000A0151">
                              <w:rPr>
                                <w:rFonts w:ascii="Cambria" w:hAnsi="Cambria"/>
                                <w:color w:val="595959"/>
                                <w:sz w:val="18"/>
                                <w:szCs w:val="18"/>
                                <w:lang w:val="pt-BR"/>
                              </w:rPr>
                              <w:t xml:space="preserve">/20. </w:t>
                            </w:r>
                            <w:r w:rsidR="002914D1">
                              <w:rPr>
                                <w:rFonts w:ascii="Cambria" w:hAnsi="Cambria"/>
                                <w:color w:val="595959"/>
                                <w:sz w:val="18"/>
                                <w:szCs w:val="18"/>
                                <w:lang w:val="pt-BR"/>
                              </w:rPr>
                              <w:t xml:space="preserve">Petición 1079-09. </w:t>
                            </w:r>
                            <w:r w:rsidRPr="00B50335">
                              <w:rPr>
                                <w:rFonts w:ascii="Cambria" w:hAnsi="Cambria"/>
                                <w:color w:val="595959"/>
                                <w:sz w:val="18"/>
                                <w:szCs w:val="18"/>
                                <w:lang w:val="es-ES_tradnl"/>
                              </w:rPr>
                              <w:t>Admisibilidad. Alejandro Antonio Torres Toro. Perú</w:t>
                            </w:r>
                            <w:r w:rsidR="002914D1">
                              <w:rPr>
                                <w:rFonts w:ascii="Cambria" w:hAnsi="Cambria"/>
                                <w:color w:val="595959"/>
                                <w:sz w:val="18"/>
                                <w:szCs w:val="18"/>
                                <w:lang w:val="es-ES_tradnl"/>
                              </w:rPr>
                              <w:t xml:space="preserve">. </w:t>
                            </w:r>
                            <w:r w:rsidR="000A0151">
                              <w:rPr>
                                <w:rFonts w:ascii="Cambria" w:hAnsi="Cambria"/>
                                <w:color w:val="595959"/>
                                <w:sz w:val="18"/>
                                <w:szCs w:val="18"/>
                                <w:lang w:val="es-ES"/>
                              </w:rPr>
                              <w:t>24 de abril de 2020</w:t>
                            </w:r>
                            <w:r w:rsidRPr="00B50335">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524637" w:rsidRPr="00B50335" w:rsidRDefault="00524637"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B50335">
                        <w:rPr>
                          <w:rFonts w:ascii="Cambria" w:hAnsi="Cambria"/>
                          <w:b/>
                          <w:color w:val="595959"/>
                          <w:sz w:val="18"/>
                          <w:szCs w:val="18"/>
                          <w:lang w:val="pt-BR"/>
                        </w:rPr>
                        <w:t>Citar como:</w:t>
                      </w:r>
                      <w:r w:rsidRPr="00B50335">
                        <w:rPr>
                          <w:rFonts w:ascii="Cambria" w:hAnsi="Cambria"/>
                          <w:color w:val="595959"/>
                          <w:sz w:val="18"/>
                          <w:szCs w:val="18"/>
                          <w:lang w:val="pt-BR"/>
                        </w:rPr>
                        <w:t xml:space="preserve"> CIDH, Informe No. </w:t>
                      </w:r>
                      <w:r w:rsidR="000A0151" w:rsidRPr="000A0151">
                        <w:rPr>
                          <w:rFonts w:ascii="Cambria" w:hAnsi="Cambria"/>
                          <w:color w:val="595959"/>
                          <w:sz w:val="18"/>
                          <w:szCs w:val="18"/>
                          <w:lang w:val="pt-BR"/>
                        </w:rPr>
                        <w:t>107</w:t>
                      </w:r>
                      <w:r w:rsidRPr="000A0151">
                        <w:rPr>
                          <w:rFonts w:ascii="Cambria" w:hAnsi="Cambria"/>
                          <w:color w:val="595959"/>
                          <w:sz w:val="18"/>
                          <w:szCs w:val="18"/>
                          <w:lang w:val="pt-BR"/>
                        </w:rPr>
                        <w:t xml:space="preserve">/20. </w:t>
                      </w:r>
                      <w:r w:rsidR="002914D1">
                        <w:rPr>
                          <w:rFonts w:ascii="Cambria" w:hAnsi="Cambria"/>
                          <w:color w:val="595959"/>
                          <w:sz w:val="18"/>
                          <w:szCs w:val="18"/>
                          <w:lang w:val="pt-BR"/>
                        </w:rPr>
                        <w:t xml:space="preserve">Petición 1079-09. </w:t>
                      </w:r>
                      <w:r w:rsidRPr="00B50335">
                        <w:rPr>
                          <w:rFonts w:ascii="Cambria" w:hAnsi="Cambria"/>
                          <w:color w:val="595959"/>
                          <w:sz w:val="18"/>
                          <w:szCs w:val="18"/>
                          <w:lang w:val="es-ES_tradnl"/>
                        </w:rPr>
                        <w:t>Admisibilidad. Alejandro Antonio Torres Toro. Perú</w:t>
                      </w:r>
                      <w:r w:rsidR="002914D1">
                        <w:rPr>
                          <w:rFonts w:ascii="Cambria" w:hAnsi="Cambria"/>
                          <w:color w:val="595959"/>
                          <w:sz w:val="18"/>
                          <w:szCs w:val="18"/>
                          <w:lang w:val="es-ES_tradnl"/>
                        </w:rPr>
                        <w:t xml:space="preserve">. </w:t>
                      </w:r>
                      <w:r w:rsidR="000A0151">
                        <w:rPr>
                          <w:rFonts w:ascii="Cambria" w:hAnsi="Cambria"/>
                          <w:color w:val="595959"/>
                          <w:sz w:val="18"/>
                          <w:szCs w:val="18"/>
                          <w:lang w:val="es-ES"/>
                        </w:rPr>
                        <w:t>24 de abril de 2020</w:t>
                      </w:r>
                      <w:r w:rsidRPr="00B50335">
                        <w:rPr>
                          <w:rFonts w:ascii="Cambria" w:hAnsi="Cambria"/>
                          <w:color w:val="595959"/>
                          <w:sz w:val="18"/>
                          <w:szCs w:val="18"/>
                          <w:lang w:val="es-ES"/>
                        </w:rPr>
                        <w:t>.</w:t>
                      </w:r>
                    </w:p>
                  </w:txbxContent>
                </v:textbox>
              </v:shape>
            </w:pict>
          </mc:Fallback>
        </mc:AlternateContent>
      </w:r>
    </w:p>
    <w:p w:rsidR="00524637" w:rsidRPr="00006B74" w:rsidRDefault="0052463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524637" w:rsidRPr="00006B74" w:rsidRDefault="00BB613E"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637" w:rsidRPr="00B50335" w:rsidRDefault="0052463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50335">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1"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n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" filled="f" stroked="f" strokeweight=".5pt">
                <v:path arrowok="t"/>
                <v:textbox>
                  <w:txbxContent>
                    <w:p w:rsidR="00524637" w:rsidRPr="00B50335" w:rsidRDefault="00524637"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50335">
                        <w:rPr>
                          <w:rFonts w:ascii="Calibri" w:hAnsi="Calibri"/>
                          <w:b/>
                          <w:color w:val="FFFFFF"/>
                          <w:lang w:val="pt-BR"/>
                        </w:rPr>
                        <w:t>www.cidh.org</w:t>
                      </w:r>
                    </w:p>
                  </w:txbxContent>
                </v:textbox>
              </v:shape>
            </w:pict>
          </mc:Fallback>
        </mc:AlternateContent>
      </w:r>
    </w:p>
    <w:p w:rsidR="00524637" w:rsidRPr="00006B74" w:rsidRDefault="007B0DF7"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524637"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r>
        <w:rPr>
          <w:noProof/>
        </w:rPr>
        <mc:AlternateContent>
          <mc:Choice Requires="wps">
            <w:drawing>
              <wp:anchor distT="0" distB="0" distL="114300" distR="114300" simplePos="0" relativeHeight="251660288" behindDoc="0" locked="0" layoutInCell="1" allowOverlap="1">
                <wp:simplePos x="0" y="0"/>
                <wp:positionH relativeFrom="column">
                  <wp:posOffset>1328738</wp:posOffset>
                </wp:positionH>
                <wp:positionV relativeFrom="paragraph">
                  <wp:posOffset>423546</wp:posOffset>
                </wp:positionV>
                <wp:extent cx="4181475" cy="633730"/>
                <wp:effectExtent l="0" t="0" r="952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33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24637" w:rsidRPr="00B50335" w:rsidRDefault="00BB613E"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2" type="#_x0000_t202" style="position:absolute;left:0;text-align:left;margin-left:104.65pt;margin-top:33.35pt;width:329.2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qRhQIAABY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" stroked="f" strokeweight=".5pt">
                <v:textbox>
                  <w:txbxContent>
                    <w:p w:rsidR="00524637" w:rsidRPr="00B50335" w:rsidRDefault="00BB613E"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5475"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txbxContent>
                </v:textbox>
              </v:shape>
            </w:pict>
          </mc:Fallback>
        </mc:AlternateContent>
      </w:r>
      <w:r w:rsidR="00524637" w:rsidRPr="00006B74">
        <w:rPr>
          <w:rFonts w:ascii="Cambria" w:hAnsi="Cambria"/>
          <w:b/>
          <w:sz w:val="20"/>
          <w:lang w:val="es-ES"/>
        </w:rPr>
        <w:tab/>
      </w:r>
    </w:p>
    <w:p w:rsidR="00524637" w:rsidRPr="00006B74" w:rsidRDefault="00524637"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524637" w:rsidRPr="001B4C00" w:rsidTr="00B50335">
        <w:tc>
          <w:tcPr>
            <w:tcW w:w="2790" w:type="dxa"/>
            <w:tcBorders>
              <w:top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Parte peticionaria</w:t>
            </w:r>
          </w:p>
        </w:tc>
        <w:tc>
          <w:tcPr>
            <w:tcW w:w="6570" w:type="dxa"/>
            <w:tcBorders>
              <w:top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Alejandro Antonio Torres Toro</w:t>
            </w:r>
          </w:p>
        </w:tc>
      </w:tr>
      <w:tr w:rsidR="00524637" w:rsidRPr="001B4C00" w:rsidTr="00B50335">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Presunta víctima</w:t>
            </w:r>
          </w:p>
        </w:tc>
        <w:tc>
          <w:tcPr>
            <w:tcW w:w="6570" w:type="dxa"/>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Alejandro Antonio Torres Toro</w:t>
            </w:r>
          </w:p>
        </w:tc>
      </w:tr>
      <w:tr w:rsidR="00524637" w:rsidRPr="00006B74" w:rsidTr="00B50335">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Estado denunciado</w:t>
            </w:r>
          </w:p>
        </w:tc>
        <w:tc>
          <w:tcPr>
            <w:tcW w:w="6570" w:type="dxa"/>
            <w:vAlign w:val="center"/>
          </w:tcPr>
          <w:p w:rsidR="00524637" w:rsidRPr="00B50335" w:rsidRDefault="00524637" w:rsidP="00422E3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Perú</w:t>
            </w:r>
            <w:r w:rsidR="007B0DF7">
              <w:rPr>
                <w:rStyle w:val="FootnoteReference"/>
                <w:rFonts w:ascii="Cambria" w:hAnsi="Cambria"/>
                <w:bCs/>
                <w:sz w:val="19"/>
                <w:szCs w:val="19"/>
                <w:lang w:val="es-ES"/>
              </w:rPr>
              <w:footnoteReference w:id="2"/>
            </w:r>
            <w:r w:rsidRPr="00B50335">
              <w:rPr>
                <w:rStyle w:val="FootnoteReference"/>
                <w:rFonts w:ascii="Cambria" w:hAnsi="Cambria"/>
                <w:bCs/>
                <w:sz w:val="19"/>
                <w:szCs w:val="19"/>
                <w:lang w:val="es-ES"/>
              </w:rPr>
              <w:t xml:space="preserve"> </w:t>
            </w:r>
          </w:p>
        </w:tc>
      </w:tr>
      <w:tr w:rsidR="00524637" w:rsidRPr="00270A7C" w:rsidTr="00B50335">
        <w:tc>
          <w:tcPr>
            <w:tcW w:w="2790" w:type="dxa"/>
            <w:tcBorders>
              <w:bottom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Derechos invocados</w:t>
            </w:r>
          </w:p>
        </w:tc>
        <w:tc>
          <w:tcPr>
            <w:tcW w:w="6570" w:type="dxa"/>
            <w:tcBorders>
              <w:bottom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sz w:val="19"/>
                <w:szCs w:val="19"/>
                <w:lang w:val="es-ES"/>
              </w:rPr>
            </w:pPr>
            <w:r w:rsidRPr="00B50335">
              <w:rPr>
                <w:rFonts w:ascii="Cambria" w:hAnsi="Cambria"/>
                <w:bCs/>
                <w:sz w:val="19"/>
                <w:szCs w:val="19"/>
                <w:lang w:val="es-AR"/>
              </w:rPr>
              <w:t>Art</w:t>
            </w:r>
            <w:r>
              <w:rPr>
                <w:rFonts w:ascii="Cambria" w:hAnsi="Cambria"/>
                <w:bCs/>
                <w:sz w:val="19"/>
                <w:szCs w:val="19"/>
                <w:lang w:val="es-AR"/>
              </w:rPr>
              <w:t>ículos 8 (garantías judiciales) y</w:t>
            </w:r>
            <w:r w:rsidRPr="00B50335">
              <w:rPr>
                <w:rFonts w:ascii="Cambria" w:hAnsi="Cambria"/>
                <w:bCs/>
                <w:sz w:val="19"/>
                <w:szCs w:val="19"/>
                <w:lang w:val="es-AR"/>
              </w:rPr>
              <w:t xml:space="preserve"> 25 (protección judicial)</w:t>
            </w:r>
            <w:r>
              <w:rPr>
                <w:rFonts w:ascii="Cambria" w:hAnsi="Cambria"/>
                <w:bCs/>
                <w:sz w:val="19"/>
                <w:szCs w:val="19"/>
                <w:lang w:val="es-AR"/>
              </w:rPr>
              <w:t xml:space="preserve"> </w:t>
            </w:r>
            <w:r w:rsidRPr="00B50335">
              <w:rPr>
                <w:rFonts w:ascii="Cambria" w:hAnsi="Cambria"/>
                <w:bCs/>
                <w:sz w:val="19"/>
                <w:szCs w:val="19"/>
                <w:lang w:val="es-ES"/>
              </w:rPr>
              <w:t xml:space="preserve">de la Convención </w:t>
            </w:r>
            <w:r>
              <w:rPr>
                <w:rFonts w:ascii="Cambria" w:hAnsi="Cambria"/>
                <w:bCs/>
                <w:sz w:val="19"/>
                <w:szCs w:val="19"/>
                <w:lang w:val="es-ES"/>
              </w:rPr>
              <w:t>Americana sobre Derechos Humanos,</w:t>
            </w:r>
            <w:r w:rsidRPr="00B50335">
              <w:rPr>
                <w:rStyle w:val="FootnoteReference"/>
                <w:rFonts w:ascii="Cambria" w:hAnsi="Cambria"/>
                <w:bCs/>
                <w:sz w:val="19"/>
                <w:szCs w:val="19"/>
                <w:lang w:val="es-ES"/>
              </w:rPr>
              <w:footnoteReference w:id="3"/>
            </w:r>
            <w:r w:rsidRPr="00B50335">
              <w:rPr>
                <w:rFonts w:ascii="Cambria" w:hAnsi="Cambria"/>
                <w:bCs/>
                <w:sz w:val="19"/>
                <w:szCs w:val="19"/>
                <w:lang w:val="es-AR"/>
              </w:rPr>
              <w:t xml:space="preserve"> en relación con sus artículos 1.1 (obligación de respetar los derechos) y 2 (deber de adoptar disposiciones de derecho interno)</w:t>
            </w:r>
            <w:r w:rsidRPr="00B50335">
              <w:rPr>
                <w:rFonts w:ascii="Cambria" w:hAnsi="Cambria"/>
                <w:sz w:val="19"/>
                <w:szCs w:val="19"/>
                <w:lang w:val="es-ES"/>
              </w:rPr>
              <w:t>; artículo XVIII (justicia) de la Declaración Americana de los Derechos y Deberes del Hombre</w:t>
            </w:r>
            <w:r w:rsidRPr="00B50335">
              <w:rPr>
                <w:rStyle w:val="FootnoteReference"/>
                <w:rFonts w:ascii="Cambria" w:hAnsi="Cambria"/>
                <w:sz w:val="19"/>
                <w:szCs w:val="19"/>
                <w:lang w:val="es-ES"/>
              </w:rPr>
              <w:footnoteReference w:id="4"/>
            </w:r>
            <w:r w:rsidRPr="00B50335">
              <w:rPr>
                <w:rFonts w:ascii="Cambria" w:hAnsi="Cambria"/>
                <w:sz w:val="19"/>
                <w:szCs w:val="19"/>
                <w:lang w:val="es-ES"/>
              </w:rPr>
              <w:t xml:space="preserve"> y otros tratados internacionales</w:t>
            </w:r>
            <w:r w:rsidRPr="00B50335">
              <w:rPr>
                <w:rStyle w:val="FootnoteReference"/>
                <w:rFonts w:ascii="Cambria" w:hAnsi="Cambria"/>
                <w:sz w:val="19"/>
                <w:szCs w:val="19"/>
                <w:lang w:val="es-ES"/>
              </w:rPr>
              <w:footnoteReference w:id="5"/>
            </w:r>
          </w:p>
        </w:tc>
      </w:tr>
    </w:tbl>
    <w:p w:rsidR="00524637" w:rsidRPr="00006B74" w:rsidRDefault="005246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sidRPr="00006B74">
        <w:rPr>
          <w:rStyle w:val="FootnoteReference"/>
          <w:rFonts w:ascii="Cambria" w:hAnsi="Cambria"/>
          <w:b/>
          <w:sz w:val="20"/>
          <w:szCs w:val="20"/>
          <w:lang w:val="es-ES"/>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524637" w:rsidRPr="00006B74" w:rsidTr="00B50335">
        <w:tc>
          <w:tcPr>
            <w:tcW w:w="2790" w:type="dxa"/>
            <w:tcBorders>
              <w:top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Recepción de la petición</w:t>
            </w:r>
          </w:p>
        </w:tc>
        <w:tc>
          <w:tcPr>
            <w:tcW w:w="6570" w:type="dxa"/>
            <w:tcBorders>
              <w:top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28 de agosto de 2009</w:t>
            </w:r>
          </w:p>
        </w:tc>
      </w:tr>
      <w:tr w:rsidR="00524637" w:rsidRPr="00006B74" w:rsidTr="00B50335">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color w:val="FFFFFF"/>
                <w:sz w:val="19"/>
                <w:szCs w:val="19"/>
                <w:lang w:val="es-ES"/>
              </w:rPr>
              <w:t>Notificación de la petición</w:t>
            </w:r>
          </w:p>
        </w:tc>
        <w:tc>
          <w:tcPr>
            <w:tcW w:w="6570" w:type="dxa"/>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7 de abril de 2017</w:t>
            </w:r>
          </w:p>
        </w:tc>
      </w:tr>
      <w:tr w:rsidR="00524637" w:rsidRPr="00006B74" w:rsidTr="00B50335">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color w:val="FFFFFF"/>
                <w:sz w:val="19"/>
                <w:szCs w:val="19"/>
                <w:lang w:val="es-ES"/>
              </w:rPr>
              <w:t>Primera respuesta del Estado</w:t>
            </w:r>
          </w:p>
        </w:tc>
        <w:tc>
          <w:tcPr>
            <w:tcW w:w="6570" w:type="dxa"/>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7 de julio de 2017</w:t>
            </w:r>
          </w:p>
        </w:tc>
      </w:tr>
      <w:tr w:rsidR="00524637" w:rsidRPr="00270A7C" w:rsidTr="00B50335">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Observaciones adicionales de la parte peticionaria</w:t>
            </w:r>
          </w:p>
        </w:tc>
        <w:tc>
          <w:tcPr>
            <w:tcW w:w="6570" w:type="dxa"/>
            <w:vAlign w:val="center"/>
          </w:tcPr>
          <w:p w:rsidR="00524637" w:rsidRPr="00B50335" w:rsidRDefault="00524637" w:rsidP="00DE4F0D">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Pr>
                <w:rFonts w:ascii="Cambria" w:hAnsi="Cambria"/>
                <w:bCs/>
                <w:sz w:val="19"/>
                <w:szCs w:val="19"/>
                <w:lang w:val="es-ES"/>
              </w:rPr>
              <w:t>30 de noviembre de 2009,</w:t>
            </w:r>
            <w:r w:rsidRPr="00B50335">
              <w:rPr>
                <w:rFonts w:ascii="Cambria" w:hAnsi="Cambria"/>
                <w:bCs/>
                <w:sz w:val="19"/>
                <w:szCs w:val="19"/>
                <w:lang w:val="es-ES"/>
              </w:rPr>
              <w:t xml:space="preserve"> 28 de febrero</w:t>
            </w:r>
            <w:r>
              <w:rPr>
                <w:rFonts w:ascii="Cambria" w:hAnsi="Cambria"/>
                <w:bCs/>
                <w:sz w:val="19"/>
                <w:szCs w:val="19"/>
                <w:lang w:val="es-ES"/>
              </w:rPr>
              <w:t xml:space="preserve"> de 2013, 14 de febrero y</w:t>
            </w:r>
            <w:r w:rsidRPr="00B50335">
              <w:rPr>
                <w:rFonts w:ascii="Cambria" w:hAnsi="Cambria"/>
                <w:bCs/>
                <w:sz w:val="19"/>
                <w:szCs w:val="19"/>
                <w:lang w:val="es-ES"/>
              </w:rPr>
              <w:t xml:space="preserve"> 28 de diciembre de 2017</w:t>
            </w:r>
          </w:p>
        </w:tc>
      </w:tr>
      <w:tr w:rsidR="00524637" w:rsidRPr="00006B74" w:rsidTr="00B50335">
        <w:tc>
          <w:tcPr>
            <w:tcW w:w="2790" w:type="dxa"/>
            <w:tcBorders>
              <w:bottom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Observaciones adicionales del Estado</w:t>
            </w:r>
          </w:p>
        </w:tc>
        <w:tc>
          <w:tcPr>
            <w:tcW w:w="6570" w:type="dxa"/>
            <w:tcBorders>
              <w:bottom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19 de junio de 2018</w:t>
            </w:r>
          </w:p>
        </w:tc>
      </w:tr>
    </w:tbl>
    <w:p w:rsidR="00524637" w:rsidRPr="00006B74" w:rsidRDefault="005246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0"/>
        <w:gridCol w:w="6482"/>
      </w:tblGrid>
      <w:tr w:rsidR="00524637" w:rsidRPr="00006B74" w:rsidTr="00B50335">
        <w:trPr>
          <w:cantSplit/>
        </w:trPr>
        <w:tc>
          <w:tcPr>
            <w:tcW w:w="2790" w:type="dxa"/>
            <w:tcBorders>
              <w:top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B50335">
              <w:rPr>
                <w:rFonts w:ascii="Cambria" w:hAnsi="Cambria"/>
                <w:bCs/>
                <w:i/>
                <w:color w:val="FFFFFF"/>
                <w:sz w:val="19"/>
                <w:szCs w:val="19"/>
                <w:lang w:val="es-ES"/>
              </w:rPr>
              <w:t>Ratione personae</w:t>
            </w:r>
          </w:p>
        </w:tc>
        <w:tc>
          <w:tcPr>
            <w:tcW w:w="6570" w:type="dxa"/>
            <w:tcBorders>
              <w:top w:val="single" w:sz="4" w:space="0" w:color="auto"/>
            </w:tcBorders>
            <w:vAlign w:val="center"/>
          </w:tcPr>
          <w:p w:rsidR="00524637" w:rsidRPr="00B50335" w:rsidRDefault="00524637"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50335">
              <w:rPr>
                <w:rFonts w:ascii="Cambria" w:hAnsi="Cambria"/>
                <w:bCs/>
                <w:sz w:val="19"/>
                <w:szCs w:val="19"/>
                <w:lang w:val="es-ES"/>
              </w:rPr>
              <w:t>Sí</w:t>
            </w:r>
          </w:p>
        </w:tc>
      </w:tr>
      <w:tr w:rsidR="00524637" w:rsidRPr="00006B74" w:rsidTr="00B50335">
        <w:trPr>
          <w:cantSplit/>
        </w:trPr>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i/>
                <w:color w:val="FFFFFF"/>
                <w:sz w:val="19"/>
                <w:szCs w:val="19"/>
                <w:lang w:val="es-ES"/>
              </w:rPr>
              <w:t>Ratione loci</w:t>
            </w:r>
          </w:p>
        </w:tc>
        <w:tc>
          <w:tcPr>
            <w:tcW w:w="6570" w:type="dxa"/>
            <w:vAlign w:val="center"/>
          </w:tcPr>
          <w:p w:rsidR="00524637" w:rsidRPr="00B50335" w:rsidRDefault="00524637"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50335">
              <w:rPr>
                <w:rFonts w:ascii="Cambria" w:hAnsi="Cambria"/>
                <w:bCs/>
                <w:sz w:val="19"/>
                <w:szCs w:val="19"/>
                <w:lang w:val="es-ES"/>
              </w:rPr>
              <w:t>Sí</w:t>
            </w:r>
          </w:p>
        </w:tc>
      </w:tr>
      <w:tr w:rsidR="00524637" w:rsidRPr="00006B74" w:rsidTr="00B50335">
        <w:trPr>
          <w:cantSplit/>
        </w:trPr>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i/>
                <w:color w:val="FFFFFF"/>
                <w:sz w:val="19"/>
                <w:szCs w:val="19"/>
                <w:lang w:val="es-ES"/>
              </w:rPr>
              <w:t>Ratione temporis</w:t>
            </w:r>
          </w:p>
        </w:tc>
        <w:tc>
          <w:tcPr>
            <w:tcW w:w="6570" w:type="dxa"/>
            <w:vAlign w:val="center"/>
          </w:tcPr>
          <w:p w:rsidR="00524637" w:rsidRPr="00B50335" w:rsidRDefault="00524637"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50335">
              <w:rPr>
                <w:rFonts w:ascii="Cambria" w:hAnsi="Cambria"/>
                <w:bCs/>
                <w:sz w:val="19"/>
                <w:szCs w:val="19"/>
                <w:lang w:val="es-ES"/>
              </w:rPr>
              <w:t>Sí</w:t>
            </w:r>
          </w:p>
        </w:tc>
      </w:tr>
      <w:tr w:rsidR="00524637" w:rsidRPr="00270A7C" w:rsidTr="00B50335">
        <w:trPr>
          <w:cantSplit/>
        </w:trPr>
        <w:tc>
          <w:tcPr>
            <w:tcW w:w="2790" w:type="dxa"/>
            <w:tcBorders>
              <w:bottom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i/>
                <w:color w:val="FFFFFF"/>
                <w:sz w:val="19"/>
                <w:szCs w:val="19"/>
                <w:lang w:val="es-ES"/>
              </w:rPr>
              <w:t>Ratione materiae</w:t>
            </w:r>
          </w:p>
        </w:tc>
        <w:tc>
          <w:tcPr>
            <w:tcW w:w="6570" w:type="dxa"/>
            <w:tcBorders>
              <w:bottom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Sí, Convención Americana (depósito del instrumento</w:t>
            </w:r>
            <w:r>
              <w:rPr>
                <w:rFonts w:ascii="Cambria" w:hAnsi="Cambria"/>
                <w:bCs/>
                <w:sz w:val="19"/>
                <w:szCs w:val="19"/>
                <w:lang w:val="es-ES"/>
              </w:rPr>
              <w:t xml:space="preserve"> de ratificación</w:t>
            </w:r>
            <w:r w:rsidRPr="00B50335">
              <w:rPr>
                <w:rFonts w:ascii="Cambria" w:hAnsi="Cambria"/>
                <w:bCs/>
                <w:sz w:val="19"/>
                <w:szCs w:val="19"/>
                <w:lang w:val="es-ES"/>
              </w:rPr>
              <w:t xml:space="preserve"> realizado el 28 de julio de 1978)</w:t>
            </w:r>
          </w:p>
        </w:tc>
      </w:tr>
    </w:tbl>
    <w:p w:rsidR="00524637" w:rsidRPr="00006B74" w:rsidRDefault="00524637"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Pr="00006B74">
        <w:rPr>
          <w:rFonts w:ascii="Cambria" w:hAnsi="Cambria"/>
          <w:b/>
          <w:bCs/>
          <w:sz w:val="20"/>
          <w:szCs w:val="20"/>
          <w:lang w:val="es-ES"/>
        </w:rPr>
        <w:t xml:space="preserve">INTERNACIONAL,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524637" w:rsidRPr="00777BBC" w:rsidTr="00B50335">
        <w:trPr>
          <w:cantSplit/>
        </w:trPr>
        <w:tc>
          <w:tcPr>
            <w:tcW w:w="2790" w:type="dxa"/>
            <w:tcBorders>
              <w:top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ES"/>
              </w:rPr>
              <w:t>No</w:t>
            </w:r>
          </w:p>
        </w:tc>
      </w:tr>
      <w:tr w:rsidR="00524637" w:rsidRPr="00270A7C" w:rsidTr="00B50335">
        <w:trPr>
          <w:cantSplit/>
        </w:trPr>
        <w:tc>
          <w:tcPr>
            <w:tcW w:w="2790" w:type="dxa"/>
            <w:tcBorders>
              <w:top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B50335">
              <w:rPr>
                <w:rFonts w:ascii="Cambria" w:hAnsi="Cambria"/>
                <w:bCs/>
                <w:color w:val="FFFFFF"/>
                <w:sz w:val="19"/>
                <w:szCs w:val="19"/>
                <w:lang w:val="es-ES"/>
              </w:rPr>
              <w:t>Derechos admitidos</w:t>
            </w:r>
          </w:p>
        </w:tc>
        <w:tc>
          <w:tcPr>
            <w:tcW w:w="6570" w:type="dxa"/>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B50335">
              <w:rPr>
                <w:rFonts w:ascii="Cambria" w:hAnsi="Cambria"/>
                <w:bCs/>
                <w:sz w:val="19"/>
                <w:szCs w:val="19"/>
                <w:lang w:val="es-AR"/>
              </w:rPr>
              <w:t>Artículos 8 (garantías judiciales),</w:t>
            </w:r>
            <w:r>
              <w:rPr>
                <w:rFonts w:ascii="Cambria" w:hAnsi="Cambria"/>
                <w:bCs/>
                <w:sz w:val="19"/>
                <w:szCs w:val="19"/>
                <w:lang w:val="es-AR"/>
              </w:rPr>
              <w:t xml:space="preserve"> 23 (derechos políticos),</w:t>
            </w:r>
            <w:r w:rsidRPr="00B50335">
              <w:rPr>
                <w:rFonts w:ascii="Cambria" w:hAnsi="Cambria"/>
                <w:bCs/>
                <w:sz w:val="19"/>
                <w:szCs w:val="19"/>
                <w:lang w:val="es-AR"/>
              </w:rPr>
              <w:t xml:space="preserve"> 25 (protección judicial) y</w:t>
            </w:r>
            <w:r w:rsidRPr="00B50335">
              <w:rPr>
                <w:rFonts w:ascii="Cambria" w:hAnsi="Cambria"/>
                <w:sz w:val="19"/>
                <w:szCs w:val="19"/>
                <w:lang w:val="es-AR"/>
              </w:rPr>
              <w:t xml:space="preserve"> 26 (derechos económicos, sociales y culturales) </w:t>
            </w:r>
            <w:r w:rsidRPr="00B50335">
              <w:rPr>
                <w:rFonts w:ascii="Cambria" w:hAnsi="Cambria"/>
                <w:bCs/>
                <w:sz w:val="19"/>
                <w:szCs w:val="19"/>
                <w:lang w:val="es-AR"/>
              </w:rPr>
              <w:t xml:space="preserve"> </w:t>
            </w:r>
            <w:r w:rsidRPr="00B50335">
              <w:rPr>
                <w:rFonts w:ascii="Cambria" w:hAnsi="Cambria"/>
                <w:bCs/>
                <w:sz w:val="19"/>
                <w:szCs w:val="19"/>
                <w:lang w:val="es-ES"/>
              </w:rPr>
              <w:t>de la Convención Americana</w:t>
            </w:r>
            <w:r w:rsidRPr="00B50335">
              <w:rPr>
                <w:rFonts w:ascii="Cambria" w:hAnsi="Cambria"/>
                <w:bCs/>
                <w:sz w:val="19"/>
                <w:szCs w:val="19"/>
                <w:lang w:val="es-AR"/>
              </w:rPr>
              <w:t xml:space="preserve"> en relación con sus artículos 1.1 (obligación de respetar los derechos) y 2 (deber de adoptar disposiciones de derecho interno)</w:t>
            </w:r>
          </w:p>
        </w:tc>
      </w:tr>
      <w:tr w:rsidR="00524637" w:rsidRPr="00777BBC" w:rsidTr="00B50335">
        <w:trPr>
          <w:cantSplit/>
        </w:trPr>
        <w:tc>
          <w:tcPr>
            <w:tcW w:w="2790" w:type="dxa"/>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Agotamiento de recursos o procedencia de una excepción</w:t>
            </w:r>
          </w:p>
        </w:tc>
        <w:tc>
          <w:tcPr>
            <w:tcW w:w="6570" w:type="dxa"/>
            <w:vAlign w:val="center"/>
          </w:tcPr>
          <w:p w:rsidR="00524637" w:rsidRPr="00B50335" w:rsidRDefault="00524637" w:rsidP="00314B4C">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50335">
              <w:rPr>
                <w:rFonts w:ascii="Cambria" w:hAnsi="Cambria"/>
                <w:bCs/>
                <w:sz w:val="19"/>
                <w:szCs w:val="19"/>
                <w:lang w:val="es-ES"/>
              </w:rPr>
              <w:t>Sí, 17 de marzo de 2009</w:t>
            </w:r>
          </w:p>
        </w:tc>
      </w:tr>
      <w:tr w:rsidR="00524637" w:rsidRPr="00270A7C" w:rsidTr="00B50335">
        <w:trPr>
          <w:cantSplit/>
        </w:trPr>
        <w:tc>
          <w:tcPr>
            <w:tcW w:w="2790" w:type="dxa"/>
            <w:tcBorders>
              <w:bottom w:val="single" w:sz="4" w:space="0" w:color="auto"/>
            </w:tcBorders>
            <w:shd w:val="clear" w:color="auto" w:fill="386294"/>
            <w:vAlign w:val="center"/>
          </w:tcPr>
          <w:p w:rsidR="00524637" w:rsidRPr="00B50335" w:rsidRDefault="00524637" w:rsidP="00B50335">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B50335">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524637" w:rsidRPr="00B50335" w:rsidRDefault="00524637"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B50335">
              <w:rPr>
                <w:rFonts w:ascii="Cambria" w:hAnsi="Cambria"/>
                <w:bCs/>
                <w:sz w:val="19"/>
                <w:szCs w:val="19"/>
                <w:lang w:val="es-AR"/>
              </w:rPr>
              <w:t>Sí, en los términos de la sección VI</w:t>
            </w:r>
          </w:p>
        </w:tc>
      </w:tr>
    </w:tbl>
    <w:p w:rsidR="00524637" w:rsidRPr="00006B74" w:rsidRDefault="00524637" w:rsidP="0064775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524637" w:rsidRDefault="00524637" w:rsidP="0008653D">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D74348">
        <w:rPr>
          <w:sz w:val="20"/>
          <w:szCs w:val="20"/>
          <w:lang w:val="es-ES"/>
        </w:rPr>
        <w:t xml:space="preserve">El peticionario denuncia presuntas violaciones a </w:t>
      </w:r>
      <w:r>
        <w:rPr>
          <w:sz w:val="20"/>
          <w:szCs w:val="20"/>
          <w:lang w:val="es-ES"/>
        </w:rPr>
        <w:t>sus</w:t>
      </w:r>
      <w:r w:rsidRPr="00D74348">
        <w:rPr>
          <w:sz w:val="20"/>
          <w:szCs w:val="20"/>
          <w:lang w:val="es-ES"/>
        </w:rPr>
        <w:t xml:space="preserve"> derechos humanos, alegando que </w:t>
      </w:r>
      <w:r>
        <w:rPr>
          <w:sz w:val="20"/>
          <w:szCs w:val="20"/>
          <w:lang w:val="es-ES"/>
        </w:rPr>
        <w:t>fue</w:t>
      </w:r>
      <w:r w:rsidRPr="00D74348">
        <w:rPr>
          <w:sz w:val="20"/>
          <w:szCs w:val="20"/>
          <w:lang w:val="es-ES"/>
        </w:rPr>
        <w:t xml:space="preserve"> </w:t>
      </w:r>
      <w:r>
        <w:rPr>
          <w:sz w:val="20"/>
          <w:szCs w:val="20"/>
          <w:lang w:val="es-ES"/>
        </w:rPr>
        <w:t>injustificadamente</w:t>
      </w:r>
      <w:r w:rsidRPr="00D74348">
        <w:rPr>
          <w:sz w:val="20"/>
          <w:szCs w:val="20"/>
          <w:lang w:val="es-ES"/>
        </w:rPr>
        <w:t xml:space="preserve"> destituido </w:t>
      </w:r>
      <w:r>
        <w:rPr>
          <w:sz w:val="20"/>
          <w:szCs w:val="20"/>
          <w:lang w:val="es-ES"/>
        </w:rPr>
        <w:t>del cargo de juez p</w:t>
      </w:r>
      <w:r w:rsidRPr="00D74348">
        <w:rPr>
          <w:sz w:val="20"/>
          <w:szCs w:val="20"/>
          <w:lang w:val="es-ES"/>
        </w:rPr>
        <w:t xml:space="preserve">enal </w:t>
      </w:r>
      <w:r>
        <w:rPr>
          <w:sz w:val="20"/>
          <w:szCs w:val="20"/>
          <w:lang w:val="es-ES"/>
        </w:rPr>
        <w:t xml:space="preserve">a </w:t>
      </w:r>
      <w:r w:rsidRPr="00D74348">
        <w:rPr>
          <w:sz w:val="20"/>
          <w:szCs w:val="20"/>
          <w:lang w:val="es-ES"/>
        </w:rPr>
        <w:t xml:space="preserve">consecuencia de </w:t>
      </w:r>
      <w:r>
        <w:rPr>
          <w:sz w:val="20"/>
          <w:szCs w:val="20"/>
          <w:lang w:val="es-ES"/>
        </w:rPr>
        <w:t>un criterio jurisdiccional vertido en el ejercicio de sus funciones, mediante un proceso irregular y sin tener acceso a una tutela judicial efectiva</w:t>
      </w:r>
      <w:r w:rsidRPr="00D74348">
        <w:rPr>
          <w:sz w:val="20"/>
          <w:szCs w:val="20"/>
          <w:lang w:val="es-ES"/>
        </w:rPr>
        <w:t xml:space="preserve">. </w:t>
      </w:r>
    </w:p>
    <w:p w:rsidR="00524637" w:rsidRPr="0033040B" w:rsidRDefault="00524637" w:rsidP="0008653D">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Pr>
          <w:sz w:val="20"/>
          <w:szCs w:val="20"/>
          <w:lang w:val="es-ES"/>
        </w:rPr>
        <w:t>R</w:t>
      </w:r>
      <w:r w:rsidRPr="0033040B">
        <w:rPr>
          <w:sz w:val="20"/>
          <w:szCs w:val="20"/>
          <w:lang w:val="es-ES"/>
        </w:rPr>
        <w:t>elata que cuando fue Juez Suplente del Juzgado Especializado en lo Penal de la Provincia de Rioja de l</w:t>
      </w:r>
      <w:r>
        <w:rPr>
          <w:sz w:val="20"/>
          <w:szCs w:val="20"/>
          <w:lang w:val="es-ES"/>
        </w:rPr>
        <w:t>a Corte Superior de San Martin atendió</w:t>
      </w:r>
      <w:r w:rsidRPr="0033040B">
        <w:rPr>
          <w:sz w:val="20"/>
          <w:szCs w:val="20"/>
          <w:lang w:val="es-ES"/>
        </w:rPr>
        <w:t xml:space="preserve"> una solicitud de libertad provisional </w:t>
      </w:r>
      <w:r>
        <w:rPr>
          <w:sz w:val="20"/>
          <w:szCs w:val="20"/>
          <w:lang w:val="es-ES"/>
        </w:rPr>
        <w:t>presentada por</w:t>
      </w:r>
      <w:r w:rsidRPr="0033040B">
        <w:rPr>
          <w:sz w:val="20"/>
          <w:szCs w:val="20"/>
          <w:lang w:val="es-ES"/>
        </w:rPr>
        <w:t xml:space="preserve"> un </w:t>
      </w:r>
      <w:r>
        <w:rPr>
          <w:sz w:val="20"/>
          <w:szCs w:val="20"/>
          <w:lang w:val="es-ES"/>
        </w:rPr>
        <w:t>procesado</w:t>
      </w:r>
      <w:r w:rsidRPr="0033040B">
        <w:rPr>
          <w:sz w:val="20"/>
          <w:szCs w:val="20"/>
          <w:lang w:val="es-ES"/>
        </w:rPr>
        <w:t xml:space="preserve"> por delito de Hurto Agravado</w:t>
      </w:r>
      <w:r>
        <w:rPr>
          <w:sz w:val="20"/>
          <w:szCs w:val="20"/>
          <w:lang w:val="es-ES"/>
        </w:rPr>
        <w:t>. En una primera oportunidad el peticionario declaró la solicitud “por ahora improcedente” porque el solicitante no había presentado su documento de identidad ni sus antecedentes penales y luego, tras haber sido presentados estos documentos, consideró procedente declarar la libertad provisional en el mismo cuaderno. Indica que e</w:t>
      </w:r>
      <w:r w:rsidRPr="0033040B">
        <w:rPr>
          <w:sz w:val="20"/>
          <w:szCs w:val="20"/>
          <w:lang w:val="es-ES"/>
        </w:rPr>
        <w:t>l Ministerio Público apeló a la liberta</w:t>
      </w:r>
      <w:r>
        <w:rPr>
          <w:sz w:val="20"/>
          <w:szCs w:val="20"/>
          <w:lang w:val="es-ES"/>
        </w:rPr>
        <w:t xml:space="preserve">d provisional concedida </w:t>
      </w:r>
      <w:r>
        <w:rPr>
          <w:sz w:val="20"/>
          <w:szCs w:val="20"/>
          <w:lang w:val="es-ES"/>
        </w:rPr>
        <w:lastRenderedPageBreak/>
        <w:t>considerando que el trámite de la solicitud debió reiniciarse en un nuevo cuaderno. El 22 de marzo de 2001</w:t>
      </w:r>
      <w:r w:rsidRPr="0033040B">
        <w:rPr>
          <w:sz w:val="20"/>
          <w:szCs w:val="20"/>
          <w:lang w:val="es-ES"/>
        </w:rPr>
        <w:t>, la Sala Penal de la Corte S</w:t>
      </w:r>
      <w:r>
        <w:rPr>
          <w:sz w:val="20"/>
          <w:szCs w:val="20"/>
          <w:lang w:val="es-ES"/>
        </w:rPr>
        <w:t>uperior de Justicia de San Martí</w:t>
      </w:r>
      <w:r w:rsidRPr="0033040B">
        <w:rPr>
          <w:sz w:val="20"/>
          <w:szCs w:val="20"/>
          <w:lang w:val="es-ES"/>
        </w:rPr>
        <w:t>n</w:t>
      </w:r>
      <w:r>
        <w:rPr>
          <w:sz w:val="20"/>
          <w:szCs w:val="20"/>
          <w:lang w:val="es-ES"/>
        </w:rPr>
        <w:t xml:space="preserve"> resolvió la apelación</w:t>
      </w:r>
      <w:r w:rsidRPr="0033040B">
        <w:rPr>
          <w:sz w:val="20"/>
          <w:szCs w:val="20"/>
          <w:lang w:val="es-ES"/>
        </w:rPr>
        <w:t xml:space="preserve"> revoca</w:t>
      </w:r>
      <w:r>
        <w:rPr>
          <w:sz w:val="20"/>
          <w:szCs w:val="20"/>
          <w:lang w:val="es-ES"/>
        </w:rPr>
        <w:t>ndo</w:t>
      </w:r>
      <w:r w:rsidRPr="0033040B">
        <w:rPr>
          <w:sz w:val="20"/>
          <w:szCs w:val="20"/>
          <w:lang w:val="es-ES"/>
        </w:rPr>
        <w:t xml:space="preserve"> </w:t>
      </w:r>
      <w:r>
        <w:rPr>
          <w:sz w:val="20"/>
          <w:szCs w:val="20"/>
          <w:lang w:val="es-ES"/>
        </w:rPr>
        <w:t>la</w:t>
      </w:r>
      <w:r w:rsidRPr="0033040B">
        <w:rPr>
          <w:sz w:val="20"/>
          <w:szCs w:val="20"/>
          <w:lang w:val="es-ES"/>
        </w:rPr>
        <w:t xml:space="preserve"> libertad provisional y ordena</w:t>
      </w:r>
      <w:r>
        <w:rPr>
          <w:sz w:val="20"/>
          <w:szCs w:val="20"/>
          <w:lang w:val="es-ES"/>
        </w:rPr>
        <w:t>ndo</w:t>
      </w:r>
      <w:r w:rsidRPr="0033040B">
        <w:rPr>
          <w:sz w:val="20"/>
          <w:szCs w:val="20"/>
          <w:lang w:val="es-ES"/>
        </w:rPr>
        <w:t xml:space="preserve"> la remisión de copias de la actuación del peticionario al Órgano Distrital de Control de la Magistratura de la Corte S</w:t>
      </w:r>
      <w:r>
        <w:rPr>
          <w:sz w:val="20"/>
          <w:szCs w:val="20"/>
          <w:lang w:val="es-ES"/>
        </w:rPr>
        <w:t>uperior de Justicia de San Martí</w:t>
      </w:r>
      <w:r w:rsidRPr="0033040B">
        <w:rPr>
          <w:sz w:val="20"/>
          <w:szCs w:val="20"/>
          <w:lang w:val="es-ES"/>
        </w:rPr>
        <w:t>n (en adelante el “ODICMA”).</w:t>
      </w:r>
    </w:p>
    <w:p w:rsidR="00524637" w:rsidRPr="00381CEA" w:rsidRDefault="00524637" w:rsidP="0008653D">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381CEA">
        <w:rPr>
          <w:sz w:val="20"/>
          <w:szCs w:val="20"/>
          <w:lang w:val="es-ES"/>
        </w:rPr>
        <w:t>Indica que mediante resolución del 11 de mayo de 2001 fue sancionado por el ODICMA con una multa del diez por ciento (10%) de su haber de magistrado, concluyendo que la libertad otorgada fue irregular y contraria al Código de Procedimientos Penales. Ante ello, el peticionario presentó recurso de apelación ante la Oficina de Control de la Magistratura (en adelante la “OCMA”). Señala que el 23 de enero de 2002 la OCMA, desvirtuando la naturaleza del recurso, respondió su apelación proponiendo a la Corte Suprema de Justicia que le suspendiera provisionalmente y que solicitara su destitución al Consejo Nacional de la Magistratura (en adelante el “CNM”). A</w:t>
      </w:r>
      <w:r w:rsidRPr="00381CEA">
        <w:rPr>
          <w:sz w:val="20"/>
          <w:szCs w:val="20"/>
          <w:lang w:val="es-PA"/>
        </w:rPr>
        <w:t>lega que la OCMA violó el artículo 237(3) de la Ley 27444 General de Procedimientos Administrativos el cual establece “Cuando el infractor sancionado recurra o impugne la resolución adoptada, la Resolución de los recursos que interponga no podrá determinar la imposición de sanciones más graves al sancionado”.</w:t>
      </w:r>
    </w:p>
    <w:p w:rsidR="00524637" w:rsidRDefault="00524637" w:rsidP="00A4489F">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Pr>
          <w:sz w:val="20"/>
          <w:szCs w:val="20"/>
          <w:lang w:val="es-ES"/>
        </w:rPr>
        <w:t>Señala que l</w:t>
      </w:r>
      <w:r w:rsidRPr="00D74348">
        <w:rPr>
          <w:sz w:val="20"/>
          <w:szCs w:val="20"/>
          <w:lang w:val="es-ES"/>
        </w:rPr>
        <w:t>a Corte Suprema de</w:t>
      </w:r>
      <w:r>
        <w:rPr>
          <w:sz w:val="20"/>
          <w:szCs w:val="20"/>
          <w:lang w:val="es-ES"/>
        </w:rPr>
        <w:t xml:space="preserve"> Justicia remitió la información al CNM, quien</w:t>
      </w:r>
      <w:r w:rsidRPr="00D74348">
        <w:rPr>
          <w:sz w:val="20"/>
          <w:szCs w:val="20"/>
          <w:lang w:val="es-ES"/>
        </w:rPr>
        <w:t xml:space="preserve"> </w:t>
      </w:r>
      <w:r>
        <w:rPr>
          <w:sz w:val="20"/>
          <w:szCs w:val="20"/>
          <w:lang w:val="es-ES"/>
        </w:rPr>
        <w:t>inició</w:t>
      </w:r>
      <w:r w:rsidRPr="00D74348">
        <w:rPr>
          <w:sz w:val="20"/>
          <w:szCs w:val="20"/>
          <w:lang w:val="es-ES"/>
        </w:rPr>
        <w:t xml:space="preserve"> un procedimie</w:t>
      </w:r>
      <w:r>
        <w:rPr>
          <w:sz w:val="20"/>
          <w:szCs w:val="20"/>
          <w:lang w:val="es-ES"/>
        </w:rPr>
        <w:t>nto administrativo disciplinario</w:t>
      </w:r>
      <w:r w:rsidRPr="00D74348">
        <w:rPr>
          <w:sz w:val="20"/>
          <w:szCs w:val="20"/>
          <w:lang w:val="es-ES"/>
        </w:rPr>
        <w:t xml:space="preserve"> </w:t>
      </w:r>
      <w:r>
        <w:rPr>
          <w:sz w:val="20"/>
          <w:szCs w:val="20"/>
          <w:lang w:val="es-ES"/>
        </w:rPr>
        <w:t>en su contra y decidió el</w:t>
      </w:r>
      <w:r w:rsidRPr="00D74348">
        <w:rPr>
          <w:sz w:val="20"/>
          <w:szCs w:val="20"/>
          <w:lang w:val="es-ES"/>
        </w:rPr>
        <w:t xml:space="preserve"> 16 de septiembre de 2002 devolver los actuados a la Corte Suprema de Justicia, a efectos de que </w:t>
      </w:r>
      <w:r>
        <w:rPr>
          <w:sz w:val="20"/>
          <w:szCs w:val="20"/>
          <w:lang w:val="es-ES"/>
        </w:rPr>
        <w:t>ésta se pronunciara con respecto a la apelación de la multa</w:t>
      </w:r>
      <w:r w:rsidRPr="00D74348">
        <w:rPr>
          <w:sz w:val="20"/>
          <w:szCs w:val="20"/>
          <w:lang w:val="es-ES"/>
        </w:rPr>
        <w:t>.</w:t>
      </w:r>
      <w:r>
        <w:rPr>
          <w:sz w:val="20"/>
          <w:szCs w:val="20"/>
          <w:lang w:val="es-ES"/>
        </w:rPr>
        <w:t xml:space="preserve"> Alega que el</w:t>
      </w:r>
      <w:r w:rsidRPr="0033040B">
        <w:rPr>
          <w:sz w:val="20"/>
          <w:szCs w:val="20"/>
          <w:lang w:val="es-ES"/>
        </w:rPr>
        <w:t xml:space="preserve"> 18 de enero de 2003</w:t>
      </w:r>
      <w:r>
        <w:rPr>
          <w:sz w:val="20"/>
          <w:szCs w:val="20"/>
          <w:lang w:val="es-ES"/>
        </w:rPr>
        <w:t xml:space="preserve"> la OCMA resolvió</w:t>
      </w:r>
      <w:r w:rsidRPr="0033040B">
        <w:rPr>
          <w:sz w:val="20"/>
          <w:szCs w:val="20"/>
          <w:lang w:val="es-ES"/>
        </w:rPr>
        <w:t xml:space="preserve"> dejar sin efecto su </w:t>
      </w:r>
      <w:r>
        <w:rPr>
          <w:sz w:val="20"/>
          <w:szCs w:val="20"/>
          <w:lang w:val="es-ES"/>
        </w:rPr>
        <w:t>r</w:t>
      </w:r>
      <w:r w:rsidRPr="0033040B">
        <w:rPr>
          <w:sz w:val="20"/>
          <w:szCs w:val="20"/>
          <w:lang w:val="es-ES"/>
        </w:rPr>
        <w:t>e</w:t>
      </w:r>
      <w:r>
        <w:rPr>
          <w:sz w:val="20"/>
          <w:szCs w:val="20"/>
          <w:lang w:val="es-ES"/>
        </w:rPr>
        <w:t>solución del 23 de enero de 2002, dejar sin efecto la sanción de multa y</w:t>
      </w:r>
      <w:r w:rsidRPr="0033040B">
        <w:rPr>
          <w:sz w:val="20"/>
          <w:szCs w:val="20"/>
          <w:lang w:val="es-ES"/>
        </w:rPr>
        <w:t xml:space="preserve"> propone</w:t>
      </w:r>
      <w:r>
        <w:rPr>
          <w:sz w:val="20"/>
          <w:szCs w:val="20"/>
          <w:lang w:val="es-ES"/>
        </w:rPr>
        <w:t>r nuevamente</w:t>
      </w:r>
      <w:r w:rsidRPr="0033040B">
        <w:rPr>
          <w:sz w:val="20"/>
          <w:szCs w:val="20"/>
          <w:lang w:val="es-ES"/>
        </w:rPr>
        <w:t xml:space="preserve"> </w:t>
      </w:r>
      <w:r>
        <w:rPr>
          <w:sz w:val="20"/>
          <w:szCs w:val="20"/>
          <w:lang w:val="es-ES"/>
        </w:rPr>
        <w:t>que</w:t>
      </w:r>
      <w:r w:rsidRPr="0033040B">
        <w:rPr>
          <w:sz w:val="20"/>
          <w:szCs w:val="20"/>
          <w:lang w:val="es-ES"/>
        </w:rPr>
        <w:t xml:space="preserve"> la Corte Suprema de Justicia</w:t>
      </w:r>
      <w:r>
        <w:rPr>
          <w:sz w:val="20"/>
          <w:szCs w:val="20"/>
          <w:lang w:val="es-ES"/>
        </w:rPr>
        <w:t xml:space="preserve"> le suspenda provisionalmente y</w:t>
      </w:r>
      <w:r w:rsidRPr="0033040B">
        <w:rPr>
          <w:sz w:val="20"/>
          <w:szCs w:val="20"/>
          <w:lang w:val="es-ES"/>
        </w:rPr>
        <w:t xml:space="preserve"> </w:t>
      </w:r>
      <w:r>
        <w:rPr>
          <w:sz w:val="20"/>
          <w:szCs w:val="20"/>
          <w:lang w:val="es-ES"/>
        </w:rPr>
        <w:t xml:space="preserve">solicite su destitución al CNM. </w:t>
      </w:r>
      <w:r w:rsidRPr="0033040B">
        <w:rPr>
          <w:sz w:val="20"/>
          <w:szCs w:val="20"/>
          <w:lang w:val="es-ES"/>
        </w:rPr>
        <w:t>En consecuencia</w:t>
      </w:r>
      <w:r>
        <w:rPr>
          <w:sz w:val="20"/>
          <w:szCs w:val="20"/>
          <w:lang w:val="es-ES"/>
        </w:rPr>
        <w:t>, la Corte Suprema de Justicia</w:t>
      </w:r>
      <w:r w:rsidRPr="0033040B">
        <w:rPr>
          <w:sz w:val="20"/>
          <w:szCs w:val="20"/>
          <w:lang w:val="es-ES"/>
        </w:rPr>
        <w:t xml:space="preserve"> </w:t>
      </w:r>
      <w:r>
        <w:rPr>
          <w:sz w:val="20"/>
          <w:szCs w:val="20"/>
          <w:lang w:val="es-ES"/>
        </w:rPr>
        <w:t>remitió</w:t>
      </w:r>
      <w:r w:rsidRPr="0033040B">
        <w:rPr>
          <w:sz w:val="20"/>
          <w:szCs w:val="20"/>
          <w:lang w:val="es-ES"/>
        </w:rPr>
        <w:t xml:space="preserve"> nuevamente un pedido de destitución al CNM, </w:t>
      </w:r>
      <w:r>
        <w:rPr>
          <w:sz w:val="20"/>
          <w:szCs w:val="20"/>
          <w:lang w:val="es-ES"/>
        </w:rPr>
        <w:t>donde se</w:t>
      </w:r>
      <w:r w:rsidRPr="0033040B">
        <w:rPr>
          <w:sz w:val="20"/>
          <w:szCs w:val="20"/>
          <w:lang w:val="es-ES"/>
        </w:rPr>
        <w:t xml:space="preserve"> abre un segundo proceso administrativo por los mismos hechos </w:t>
      </w:r>
      <w:r>
        <w:rPr>
          <w:sz w:val="20"/>
          <w:szCs w:val="20"/>
          <w:lang w:val="es-ES"/>
        </w:rPr>
        <w:t xml:space="preserve">que el procedimiento anterior. </w:t>
      </w:r>
      <w:r w:rsidRPr="0033040B">
        <w:rPr>
          <w:sz w:val="20"/>
          <w:szCs w:val="20"/>
          <w:lang w:val="es-ES"/>
        </w:rPr>
        <w:t>Según el peticionario, puso a conocimiento que existía otro proceso administrat</w:t>
      </w:r>
      <w:r>
        <w:rPr>
          <w:sz w:val="20"/>
          <w:szCs w:val="20"/>
          <w:lang w:val="es-ES"/>
        </w:rPr>
        <w:t>ivo por los mismos hechos y pidió que se acumularan</w:t>
      </w:r>
      <w:r w:rsidRPr="0033040B">
        <w:rPr>
          <w:sz w:val="20"/>
          <w:szCs w:val="20"/>
          <w:lang w:val="es-ES"/>
        </w:rPr>
        <w:t xml:space="preserve"> los </w:t>
      </w:r>
      <w:r>
        <w:rPr>
          <w:sz w:val="20"/>
          <w:szCs w:val="20"/>
          <w:lang w:val="es-ES"/>
        </w:rPr>
        <w:t>dos procesos. El 24 de septiembre de 2003 el CNM emitió una r</w:t>
      </w:r>
      <w:r w:rsidRPr="0033040B">
        <w:rPr>
          <w:sz w:val="20"/>
          <w:szCs w:val="20"/>
          <w:lang w:val="es-ES"/>
        </w:rPr>
        <w:t xml:space="preserve">esolución </w:t>
      </w:r>
      <w:r>
        <w:rPr>
          <w:sz w:val="20"/>
          <w:szCs w:val="20"/>
          <w:lang w:val="es-ES"/>
        </w:rPr>
        <w:t>destituyendo al peticionario</w:t>
      </w:r>
      <w:r w:rsidRPr="0033040B">
        <w:rPr>
          <w:sz w:val="20"/>
          <w:szCs w:val="20"/>
          <w:lang w:val="es-ES"/>
        </w:rPr>
        <w:t xml:space="preserve"> por inconducta funcional</w:t>
      </w:r>
      <w:r>
        <w:rPr>
          <w:sz w:val="20"/>
          <w:szCs w:val="20"/>
          <w:lang w:val="es-ES"/>
        </w:rPr>
        <w:t>. El peticionario interpuso recurso de r</w:t>
      </w:r>
      <w:r w:rsidRPr="0033040B">
        <w:rPr>
          <w:sz w:val="20"/>
          <w:szCs w:val="20"/>
          <w:lang w:val="es-ES"/>
        </w:rPr>
        <w:t xml:space="preserve">econsideración, el cual </w:t>
      </w:r>
      <w:r>
        <w:rPr>
          <w:sz w:val="20"/>
          <w:szCs w:val="20"/>
          <w:lang w:val="es-ES"/>
        </w:rPr>
        <w:t>aduce fue</w:t>
      </w:r>
      <w:r w:rsidRPr="0033040B">
        <w:rPr>
          <w:sz w:val="20"/>
          <w:szCs w:val="20"/>
          <w:lang w:val="es-ES"/>
        </w:rPr>
        <w:t xml:space="preserve"> declara</w:t>
      </w:r>
      <w:r>
        <w:rPr>
          <w:sz w:val="20"/>
          <w:szCs w:val="20"/>
          <w:lang w:val="es-ES"/>
        </w:rPr>
        <w:t>do improcedente el</w:t>
      </w:r>
      <w:r w:rsidRPr="0033040B">
        <w:rPr>
          <w:sz w:val="20"/>
          <w:szCs w:val="20"/>
          <w:lang w:val="es-ES"/>
        </w:rPr>
        <w:t xml:space="preserve"> 20 de enero de 2004</w:t>
      </w:r>
      <w:r>
        <w:rPr>
          <w:sz w:val="20"/>
          <w:szCs w:val="20"/>
          <w:lang w:val="es-ES"/>
        </w:rPr>
        <w:t xml:space="preserve"> sin que se atendieran las nuevas pruebas que había aportado.</w:t>
      </w:r>
      <w:r>
        <w:rPr>
          <w:sz w:val="20"/>
          <w:szCs w:val="20"/>
          <w:lang w:val="es-ES"/>
        </w:rPr>
        <w:tab/>
      </w:r>
    </w:p>
    <w:p w:rsidR="00524637" w:rsidRPr="007C3137" w:rsidRDefault="00524637" w:rsidP="007C3137">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7C3137">
        <w:rPr>
          <w:sz w:val="20"/>
          <w:szCs w:val="20"/>
          <w:lang w:val="es-ES"/>
        </w:rPr>
        <w:t>El peticionario indica que interpuso demanda de amparo solicitando que se declararan nulas las resoluciones emitidas en su contra el 23 de enero de 2002 y 18 de enero de 2003 por el OCMA, el 25 de junio de 2002 y 27 de marzo de 2003 por el CNM y el 11 de mayo de 2001 por el ODICMA</w:t>
      </w:r>
      <w:r>
        <w:rPr>
          <w:sz w:val="20"/>
          <w:szCs w:val="20"/>
          <w:lang w:val="es-ES"/>
        </w:rPr>
        <w:t xml:space="preserve">; </w:t>
      </w:r>
      <w:r w:rsidRPr="007C3137">
        <w:rPr>
          <w:sz w:val="20"/>
          <w:szCs w:val="20"/>
          <w:lang w:val="es-ES"/>
        </w:rPr>
        <w:t>por ser estas violatorias de sus derechos</w:t>
      </w:r>
      <w:r>
        <w:rPr>
          <w:sz w:val="20"/>
          <w:szCs w:val="20"/>
          <w:lang w:val="es-ES"/>
        </w:rPr>
        <w:t xml:space="preserve"> constitucionales</w:t>
      </w:r>
      <w:r w:rsidRPr="007C3137">
        <w:rPr>
          <w:sz w:val="20"/>
          <w:szCs w:val="20"/>
          <w:lang w:val="es-ES"/>
        </w:rPr>
        <w:t xml:space="preserve"> </w:t>
      </w:r>
      <w:r w:rsidRPr="007C3137">
        <w:rPr>
          <w:sz w:val="20"/>
          <w:szCs w:val="20"/>
          <w:lang w:val="es-PA"/>
        </w:rPr>
        <w:t xml:space="preserve">al trabajo, al debido proceso, </w:t>
      </w:r>
      <w:r>
        <w:rPr>
          <w:sz w:val="20"/>
          <w:szCs w:val="20"/>
          <w:lang w:val="es-PA"/>
        </w:rPr>
        <w:t>al honor y a la tutela efectiva</w:t>
      </w:r>
      <w:r>
        <w:rPr>
          <w:sz w:val="20"/>
          <w:szCs w:val="20"/>
          <w:lang w:val="es-ES"/>
        </w:rPr>
        <w:t>. El</w:t>
      </w:r>
      <w:r w:rsidRPr="007C3137">
        <w:rPr>
          <w:sz w:val="20"/>
          <w:szCs w:val="20"/>
          <w:lang w:val="es-ES"/>
        </w:rPr>
        <w:t xml:space="preserve"> 4 de enero de 2006 el Quincuagésimo Cuarto Juzgado Especializado en lo Civil de Lima declaró infundada la demanda por considerar que no se había acreditado la vulneración de los derechos invocados. Según el peticionario, esta decisión se adoptó en base a información incompleta pues el CNM no envió la totalidad de los expedientes disciplinarios. Frente a esta decisión, el peticionario presentó recurso de apelación, el que fue declarado improcedente el 4 de junio de 2007 por la Tercera Sala Civil de la Corte Superior de Justicia de Lima. Luego, interpuso recurso de agravio constitucional, el cual fue resuelto el 11 diciembre de 2008 por la Sala Segunda del Tribunal Constitucional, declarando infundada la demanda al concluir que las resoluciones eran inimpugnables puesto que El CNM cumplió con motivar las resoluciones y dar audiencia al interesado. El peticionario considera que esta decisión careció de debida fundamentación, pues el tribunal se limitó a avalar la facultad de destitución del CNM, sin fundamentar las razones por las que consideraba improcedente los argumentos </w:t>
      </w:r>
      <w:r>
        <w:rPr>
          <w:sz w:val="20"/>
          <w:szCs w:val="20"/>
          <w:lang w:val="es-ES"/>
        </w:rPr>
        <w:t xml:space="preserve">presentados </w:t>
      </w:r>
      <w:r w:rsidRPr="007C3137">
        <w:rPr>
          <w:sz w:val="20"/>
          <w:szCs w:val="20"/>
          <w:lang w:val="es-ES"/>
        </w:rPr>
        <w:t xml:space="preserve">respecto a la violación de los principios </w:t>
      </w:r>
      <w:r w:rsidRPr="007C3137">
        <w:rPr>
          <w:i/>
          <w:sz w:val="20"/>
          <w:szCs w:val="20"/>
          <w:lang w:val="es-ES"/>
        </w:rPr>
        <w:t>non bis in ídem y no reformatio</w:t>
      </w:r>
      <w:r>
        <w:rPr>
          <w:i/>
          <w:sz w:val="20"/>
          <w:szCs w:val="20"/>
          <w:lang w:val="es-ES"/>
        </w:rPr>
        <w:t xml:space="preserve"> in pei</w:t>
      </w:r>
      <w:r w:rsidRPr="007C3137">
        <w:rPr>
          <w:i/>
          <w:sz w:val="20"/>
          <w:szCs w:val="20"/>
          <w:lang w:val="es-ES"/>
        </w:rPr>
        <w:t>us.</w:t>
      </w:r>
    </w:p>
    <w:p w:rsidR="00524637" w:rsidRPr="00AB6945" w:rsidRDefault="00524637" w:rsidP="00824139">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b/>
          <w:color w:val="auto"/>
          <w:sz w:val="20"/>
          <w:szCs w:val="20"/>
          <w:u w:val="single"/>
          <w:lang w:val="es-ES"/>
        </w:rPr>
      </w:pPr>
      <w:r>
        <w:rPr>
          <w:color w:val="auto"/>
          <w:sz w:val="20"/>
          <w:szCs w:val="20"/>
          <w:lang w:val="es-ES"/>
        </w:rPr>
        <w:t xml:space="preserve">Por otra parte, </w:t>
      </w:r>
      <w:r w:rsidRPr="00390BAB">
        <w:rPr>
          <w:color w:val="auto"/>
          <w:sz w:val="20"/>
          <w:szCs w:val="20"/>
          <w:lang w:val="es-ES"/>
        </w:rPr>
        <w:t>la Fiscalía de la Nación decidió abrir una investigación contra el peticionario por la presunta comisión de los delitos de prevaricato y encubrimiento personal agravad</w:t>
      </w:r>
      <w:r>
        <w:rPr>
          <w:color w:val="auto"/>
          <w:sz w:val="20"/>
          <w:szCs w:val="20"/>
          <w:lang w:val="es-ES"/>
        </w:rPr>
        <w:t>o, la que el peticionario indica fue declarada infundada el</w:t>
      </w:r>
      <w:r w:rsidRPr="00390BAB">
        <w:rPr>
          <w:color w:val="auto"/>
          <w:sz w:val="20"/>
          <w:szCs w:val="20"/>
          <w:lang w:val="es-ES"/>
        </w:rPr>
        <w:t xml:space="preserve"> </w:t>
      </w:r>
      <w:r>
        <w:rPr>
          <w:color w:val="auto"/>
          <w:sz w:val="20"/>
          <w:szCs w:val="20"/>
          <w:lang w:val="es-ES"/>
        </w:rPr>
        <w:t>3 de abril de 2006 concluyéndose que los</w:t>
      </w:r>
      <w:r w:rsidRPr="00390BAB">
        <w:rPr>
          <w:color w:val="auto"/>
          <w:sz w:val="20"/>
          <w:szCs w:val="20"/>
          <w:lang w:val="es-ES"/>
        </w:rPr>
        <w:t xml:space="preserve"> hechos no son constitutivos de delitos</w:t>
      </w:r>
      <w:r>
        <w:rPr>
          <w:color w:val="auto"/>
          <w:sz w:val="20"/>
          <w:szCs w:val="20"/>
          <w:lang w:val="es-ES"/>
        </w:rPr>
        <w:t>,</w:t>
      </w:r>
      <w:r w:rsidRPr="00390BAB">
        <w:rPr>
          <w:color w:val="auto"/>
          <w:sz w:val="20"/>
          <w:szCs w:val="20"/>
          <w:lang w:val="es-ES"/>
        </w:rPr>
        <w:t xml:space="preserve"> sino de grave irregularidad de carácter funcional con ausencia de dolo.</w:t>
      </w:r>
    </w:p>
    <w:p w:rsidR="00524637" w:rsidRPr="00AB6945" w:rsidRDefault="00524637" w:rsidP="00157B18">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b/>
          <w:color w:val="auto"/>
          <w:sz w:val="20"/>
          <w:szCs w:val="20"/>
          <w:u w:val="single"/>
          <w:lang w:val="es-ES"/>
        </w:rPr>
      </w:pPr>
      <w:r w:rsidRPr="00AB6945">
        <w:rPr>
          <w:sz w:val="20"/>
          <w:szCs w:val="20"/>
          <w:lang w:val="es-ES"/>
        </w:rPr>
        <w:t xml:space="preserve">El peticionario alega que se han vulnerado sus derechos humanos </w:t>
      </w:r>
      <w:r>
        <w:rPr>
          <w:sz w:val="20"/>
          <w:szCs w:val="20"/>
          <w:lang w:val="es-ES"/>
        </w:rPr>
        <w:t>al ser</w:t>
      </w:r>
      <w:r w:rsidRPr="00AB6945">
        <w:rPr>
          <w:sz w:val="20"/>
          <w:szCs w:val="20"/>
          <w:lang w:val="es-ES"/>
        </w:rPr>
        <w:t xml:space="preserve"> destituido por un mero desacuerdo de las autoridades con un criterio jurisdiccional que emitió en relación a un tema procesal (si sé podía ordenar la libertad provisional en el mismo cuaderno o si el procesado requería reiniciar el trámite); resaltando que su criterio fue conforme al principio de economía procesal y la protección de los derechos del procesado. Considera que se le vulneró la prohibición de doble juzgamiento pues se le abrieron dos procesos disciplinarios por los mismos hechos. De igual manera, porque presentó una apelación contra una sanción y, en contravención a la ley, se le impuso una sanción más grave que la apelada. En adición, sostiene que se le </w:t>
      </w:r>
      <w:r w:rsidRPr="00AB6945">
        <w:rPr>
          <w:sz w:val="20"/>
          <w:szCs w:val="20"/>
          <w:lang w:val="es-ES"/>
        </w:rPr>
        <w:lastRenderedPageBreak/>
        <w:t xml:space="preserve">vulneró el derecho a la tutela judicial efectiva pues ninguno de los tribunales que conocieron sus demandas se pronunciaron sobre o fundamentaron la improcedencia de sus reclamaciones respecto a las violaciones de los principios </w:t>
      </w:r>
      <w:r>
        <w:rPr>
          <w:i/>
          <w:sz w:val="20"/>
          <w:szCs w:val="20"/>
          <w:lang w:val="es-ES"/>
        </w:rPr>
        <w:t>non bis in ídem y no reformatio in pei</w:t>
      </w:r>
      <w:r w:rsidRPr="00AB6945">
        <w:rPr>
          <w:i/>
          <w:sz w:val="20"/>
          <w:szCs w:val="20"/>
          <w:lang w:val="es-ES"/>
        </w:rPr>
        <w:t>us</w:t>
      </w:r>
      <w:r w:rsidRPr="00AB6945">
        <w:rPr>
          <w:sz w:val="20"/>
          <w:szCs w:val="20"/>
          <w:lang w:val="es-ES"/>
        </w:rPr>
        <w:t>. También sostiene que se le vulneró el debido proceso pues, pese a su solicitud de que se pidieran los expedientes completos, todos los tribunales que conocieron su demanda resolvieron en base sólo a las copias incompletas enviadas por el CNM.  Resalta que su destitución irregular le impidió postular al cargo de magistrado, así como ejercer la docencia universitaria y cargos dentro de la administración pública.</w:t>
      </w:r>
      <w:r>
        <w:rPr>
          <w:sz w:val="20"/>
          <w:szCs w:val="20"/>
          <w:lang w:val="es-ES"/>
        </w:rPr>
        <w:t xml:space="preserve"> Por último, sostiene que los recursos internos se agotaron con la decisión emitida por el Tribunal Constitucional con respecto a su recurso de agravio constitucional, la que le fue notificada el 17 de marzo de 2009.</w:t>
      </w:r>
    </w:p>
    <w:p w:rsidR="00524637" w:rsidRDefault="00524637" w:rsidP="007B60FF">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Pr>
          <w:sz w:val="20"/>
          <w:szCs w:val="20"/>
          <w:lang w:val="es-ES"/>
        </w:rPr>
        <w:t>A su vez,</w:t>
      </w:r>
      <w:r w:rsidRPr="00156FF3">
        <w:rPr>
          <w:sz w:val="20"/>
          <w:szCs w:val="20"/>
          <w:lang w:val="es-ES"/>
        </w:rPr>
        <w:t xml:space="preserve"> el Estado afirma que los hechos alegados no caracterizan violaciones a los derechos humanos porque: i) la C</w:t>
      </w:r>
      <w:r>
        <w:rPr>
          <w:sz w:val="20"/>
          <w:szCs w:val="20"/>
          <w:lang w:val="es-ES"/>
        </w:rPr>
        <w:t>omisión Interamericana de Derechos Humanos (en adelante “C</w:t>
      </w:r>
      <w:r w:rsidRPr="00156FF3">
        <w:rPr>
          <w:sz w:val="20"/>
          <w:szCs w:val="20"/>
          <w:lang w:val="es-ES"/>
        </w:rPr>
        <w:t>IDH</w:t>
      </w:r>
      <w:r>
        <w:rPr>
          <w:sz w:val="20"/>
          <w:szCs w:val="20"/>
          <w:lang w:val="es-ES"/>
        </w:rPr>
        <w:t>”)</w:t>
      </w:r>
      <w:r w:rsidRPr="00156FF3">
        <w:rPr>
          <w:sz w:val="20"/>
          <w:szCs w:val="20"/>
          <w:lang w:val="es-ES"/>
        </w:rPr>
        <w:t xml:space="preserve"> carece de competencia </w:t>
      </w:r>
      <w:r w:rsidRPr="00156FF3">
        <w:rPr>
          <w:i/>
          <w:sz w:val="20"/>
          <w:szCs w:val="20"/>
          <w:lang w:val="es-ES"/>
        </w:rPr>
        <w:t>materiae</w:t>
      </w:r>
      <w:r w:rsidRPr="00156FF3">
        <w:rPr>
          <w:sz w:val="20"/>
          <w:szCs w:val="20"/>
          <w:lang w:val="es-ES"/>
        </w:rPr>
        <w:t xml:space="preserve"> para conocer vulneración al derecho al trabajo, ya este derecho no se encuentra previsto ni protegido en la Convención Americana; ii) no existieron dos procedimientos sancionadores por los mismos hechos en contra del peticionario, la Resolución del 22 de </w:t>
      </w:r>
      <w:r>
        <w:rPr>
          <w:sz w:val="20"/>
          <w:szCs w:val="20"/>
          <w:lang w:val="es-ES"/>
        </w:rPr>
        <w:t xml:space="preserve">enero </w:t>
      </w:r>
      <w:r w:rsidRPr="00156FF3">
        <w:rPr>
          <w:sz w:val="20"/>
          <w:szCs w:val="20"/>
          <w:lang w:val="es-ES"/>
        </w:rPr>
        <w:t>de 2004 señala que el primer proceso disciplinario se devolvieron los actuados y no se culminó en una sanción, en consecuencia, no se encuentra en trámite como equivocadamente sostiene el procesado</w:t>
      </w:r>
      <w:r w:rsidRPr="00156FF3">
        <w:rPr>
          <w:i/>
          <w:sz w:val="20"/>
          <w:szCs w:val="20"/>
          <w:lang w:val="es-ES"/>
        </w:rPr>
        <w:t>;</w:t>
      </w:r>
      <w:r w:rsidRPr="00156FF3">
        <w:rPr>
          <w:sz w:val="20"/>
          <w:szCs w:val="20"/>
          <w:lang w:val="es-ES"/>
        </w:rPr>
        <w:t xml:space="preserve"> iii) el peticionario ha tenido la posibilidad presentar en sede judicial y en sede administrativa</w:t>
      </w:r>
      <w:r>
        <w:rPr>
          <w:sz w:val="20"/>
          <w:szCs w:val="20"/>
          <w:lang w:val="es-ES"/>
        </w:rPr>
        <w:t xml:space="preserve"> todos los</w:t>
      </w:r>
      <w:r w:rsidRPr="00156FF3">
        <w:rPr>
          <w:sz w:val="20"/>
          <w:szCs w:val="20"/>
          <w:lang w:val="es-ES"/>
        </w:rPr>
        <w:t xml:space="preserve"> recursos, escritos y medios probatorios </w:t>
      </w:r>
      <w:r>
        <w:rPr>
          <w:sz w:val="20"/>
          <w:szCs w:val="20"/>
          <w:lang w:val="es-ES"/>
        </w:rPr>
        <w:t xml:space="preserve">que tuvo a bien </w:t>
      </w:r>
      <w:r w:rsidRPr="00156FF3">
        <w:rPr>
          <w:sz w:val="20"/>
          <w:szCs w:val="20"/>
          <w:lang w:val="es-ES"/>
        </w:rPr>
        <w:t>como se advierte del acto de la vista del 19 de agosto de 2003 y de la declaración del peticionario en el proce</w:t>
      </w:r>
      <w:r>
        <w:rPr>
          <w:sz w:val="20"/>
          <w:szCs w:val="20"/>
          <w:lang w:val="es-ES"/>
        </w:rPr>
        <w:t xml:space="preserve">dimiento disciplinario; iv) el peticionario pretende improcedentemente que la Comisión actué como una cuarta instancia y sustituya su propia evaluación de los hechos por la de los tribunales internos. </w:t>
      </w:r>
    </w:p>
    <w:p w:rsidR="00524637" w:rsidRDefault="00524637" w:rsidP="00157B18">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Pr>
          <w:sz w:val="20"/>
          <w:szCs w:val="20"/>
          <w:lang w:val="es-ES"/>
        </w:rPr>
        <w:t>Por otra parte, e</w:t>
      </w:r>
      <w:r w:rsidRPr="007B60FF">
        <w:rPr>
          <w:sz w:val="20"/>
          <w:szCs w:val="20"/>
          <w:lang w:val="es-ES"/>
        </w:rPr>
        <w:t>l Estado señala que ni la</w:t>
      </w:r>
      <w:r>
        <w:rPr>
          <w:sz w:val="20"/>
          <w:szCs w:val="20"/>
          <w:lang w:val="es-ES"/>
        </w:rPr>
        <w:t xml:space="preserve">s resoluciones </w:t>
      </w:r>
      <w:r w:rsidRPr="007B60FF">
        <w:rPr>
          <w:sz w:val="20"/>
          <w:szCs w:val="20"/>
          <w:lang w:val="es-ES"/>
        </w:rPr>
        <w:t>de primera</w:t>
      </w:r>
      <w:r>
        <w:rPr>
          <w:sz w:val="20"/>
          <w:szCs w:val="20"/>
          <w:lang w:val="es-ES"/>
        </w:rPr>
        <w:t xml:space="preserve"> y segunda</w:t>
      </w:r>
      <w:r w:rsidRPr="007B60FF">
        <w:rPr>
          <w:sz w:val="20"/>
          <w:szCs w:val="20"/>
          <w:lang w:val="es-ES"/>
        </w:rPr>
        <w:t xml:space="preserve"> </w:t>
      </w:r>
      <w:r>
        <w:rPr>
          <w:sz w:val="20"/>
          <w:szCs w:val="20"/>
          <w:lang w:val="es-ES"/>
        </w:rPr>
        <w:t>instancia</w:t>
      </w:r>
      <w:r w:rsidRPr="007B60FF">
        <w:rPr>
          <w:sz w:val="20"/>
          <w:szCs w:val="20"/>
          <w:lang w:val="es-ES"/>
        </w:rPr>
        <w:t xml:space="preserve"> ni la Sentencia del Tribunal Constitucional, informan que el peticionario haya hecho alusión en sus escritos </w:t>
      </w:r>
      <w:r>
        <w:rPr>
          <w:sz w:val="20"/>
          <w:szCs w:val="20"/>
          <w:lang w:val="es-ES"/>
        </w:rPr>
        <w:t xml:space="preserve">a </w:t>
      </w:r>
      <w:r w:rsidRPr="007B60FF">
        <w:rPr>
          <w:sz w:val="20"/>
          <w:szCs w:val="20"/>
          <w:lang w:val="es-ES"/>
        </w:rPr>
        <w:t xml:space="preserve">que el CNM </w:t>
      </w:r>
      <w:r>
        <w:rPr>
          <w:sz w:val="20"/>
          <w:szCs w:val="20"/>
          <w:lang w:val="es-ES"/>
        </w:rPr>
        <w:t>haya</w:t>
      </w:r>
      <w:r w:rsidRPr="007B60FF">
        <w:rPr>
          <w:sz w:val="20"/>
          <w:szCs w:val="20"/>
          <w:lang w:val="es-ES"/>
        </w:rPr>
        <w:t xml:space="preserve"> otorgado copias borrosas e incompletas de los expedientes administrativos de los procedimientos disciplinarios. </w:t>
      </w:r>
      <w:r>
        <w:rPr>
          <w:sz w:val="20"/>
          <w:szCs w:val="20"/>
          <w:lang w:val="es-ES"/>
        </w:rPr>
        <w:t xml:space="preserve">El Estado considera </w:t>
      </w:r>
      <w:r w:rsidRPr="007B60FF">
        <w:rPr>
          <w:sz w:val="20"/>
          <w:szCs w:val="20"/>
          <w:lang w:val="es-ES"/>
        </w:rPr>
        <w:t xml:space="preserve">el peticionario no puede alegar </w:t>
      </w:r>
      <w:r>
        <w:rPr>
          <w:sz w:val="20"/>
          <w:szCs w:val="20"/>
          <w:lang w:val="es-ES"/>
        </w:rPr>
        <w:t>dicho planteamiento</w:t>
      </w:r>
      <w:r w:rsidRPr="007B60FF">
        <w:rPr>
          <w:sz w:val="20"/>
          <w:szCs w:val="20"/>
          <w:lang w:val="es-ES"/>
        </w:rPr>
        <w:t xml:space="preserve"> si es que no lo hizo en sede interna</w:t>
      </w:r>
      <w:r>
        <w:rPr>
          <w:sz w:val="20"/>
          <w:szCs w:val="20"/>
          <w:lang w:val="es-ES"/>
        </w:rPr>
        <w:t>. De igual manera, a</w:t>
      </w:r>
      <w:r w:rsidRPr="00824139">
        <w:rPr>
          <w:sz w:val="20"/>
          <w:szCs w:val="20"/>
          <w:lang w:val="es-ES"/>
        </w:rPr>
        <w:t>rgumenta que la presunta víctima no ha agotado los recursos internos porque no ha iniciado procedimiento contencioso administrativo co</w:t>
      </w:r>
      <w:r>
        <w:rPr>
          <w:sz w:val="20"/>
          <w:szCs w:val="20"/>
          <w:lang w:val="es-ES"/>
        </w:rPr>
        <w:t>ntra las referidas resoluciones.</w:t>
      </w:r>
      <w:r w:rsidRPr="00824139">
        <w:rPr>
          <w:sz w:val="20"/>
          <w:szCs w:val="20"/>
          <w:lang w:val="es-ES"/>
        </w:rPr>
        <w:t xml:space="preserve"> </w:t>
      </w:r>
      <w:r>
        <w:rPr>
          <w:sz w:val="20"/>
          <w:szCs w:val="20"/>
          <w:lang w:val="es-ES"/>
        </w:rPr>
        <w:t>El peticionario podría haber presentado una nueva demanda ante la jurisdicción contenciosa administrativa. A</w:t>
      </w:r>
      <w:r w:rsidRPr="00824139">
        <w:rPr>
          <w:sz w:val="20"/>
          <w:szCs w:val="20"/>
          <w:lang w:val="es-ES"/>
        </w:rPr>
        <w:t>demás</w:t>
      </w:r>
      <w:r>
        <w:rPr>
          <w:sz w:val="20"/>
          <w:szCs w:val="20"/>
          <w:lang w:val="es-ES"/>
        </w:rPr>
        <w:t>, destaca</w:t>
      </w:r>
      <w:r w:rsidRPr="00824139">
        <w:rPr>
          <w:sz w:val="20"/>
          <w:szCs w:val="20"/>
          <w:lang w:val="es-ES"/>
        </w:rPr>
        <w:t xml:space="preserve"> el peticionario </w:t>
      </w:r>
      <w:r>
        <w:rPr>
          <w:sz w:val="20"/>
          <w:szCs w:val="20"/>
          <w:lang w:val="es-ES"/>
        </w:rPr>
        <w:t xml:space="preserve">ha </w:t>
      </w:r>
      <w:r w:rsidRPr="00824139">
        <w:rPr>
          <w:sz w:val="20"/>
          <w:szCs w:val="20"/>
          <w:lang w:val="es-ES"/>
        </w:rPr>
        <w:t xml:space="preserve">señalado que está siendo procesado por el Ministerio Publico, lo que significa </w:t>
      </w:r>
      <w:r>
        <w:rPr>
          <w:sz w:val="20"/>
          <w:szCs w:val="20"/>
          <w:lang w:val="es-ES"/>
        </w:rPr>
        <w:t xml:space="preserve">que </w:t>
      </w:r>
      <w:r w:rsidRPr="00824139">
        <w:rPr>
          <w:sz w:val="20"/>
          <w:szCs w:val="20"/>
          <w:lang w:val="es-ES"/>
        </w:rPr>
        <w:t xml:space="preserve">podría cuestionar su situación jurídica ante </w:t>
      </w:r>
      <w:r>
        <w:rPr>
          <w:sz w:val="20"/>
          <w:szCs w:val="20"/>
          <w:lang w:val="es-ES"/>
        </w:rPr>
        <w:t>éste</w:t>
      </w:r>
      <w:r w:rsidRPr="00824139">
        <w:rPr>
          <w:sz w:val="20"/>
          <w:szCs w:val="20"/>
          <w:lang w:val="es-ES"/>
        </w:rPr>
        <w:t>, lo que demuestra que no se han agotado los recursos internos tampoco en este supuesto.</w:t>
      </w:r>
    </w:p>
    <w:p w:rsidR="00524637" w:rsidRPr="007C3137" w:rsidRDefault="00524637" w:rsidP="007C3137">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524637" w:rsidRPr="00B13B20" w:rsidRDefault="00524637" w:rsidP="00B13B20">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b/>
          <w:color w:val="auto"/>
          <w:sz w:val="20"/>
          <w:szCs w:val="20"/>
          <w:u w:val="single"/>
          <w:lang w:val="es-ES"/>
        </w:rPr>
      </w:pPr>
      <w:r w:rsidRPr="007C3137">
        <w:rPr>
          <w:sz w:val="20"/>
          <w:szCs w:val="20"/>
          <w:lang w:val="es-ES"/>
        </w:rPr>
        <w:t xml:space="preserve">La Comisión </w:t>
      </w:r>
      <w:r>
        <w:rPr>
          <w:sz w:val="20"/>
          <w:szCs w:val="20"/>
          <w:lang w:val="es-ES"/>
        </w:rPr>
        <w:t>observa que el peticionario sostiene los recursos internos se agotaron con la decisión emitida por el Tribunal Constitucional con respecto a su recurso de agravio constitucional, la que le fue notificada el 17 de marzo de 2009. De igual manera, toma nota que el Estado ha argumentado que los recursos internos no se encuentran agotados porque el peticionario no ha acudido a la vía contencioso administrativa y el proceso adelantado por el Ministerio Público contra éste permanece en curso.</w:t>
      </w:r>
    </w:p>
    <w:p w:rsidR="00524637" w:rsidRDefault="00524637" w:rsidP="007C3137">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B91E2D">
        <w:rPr>
          <w:color w:val="auto"/>
          <w:sz w:val="20"/>
          <w:szCs w:val="20"/>
          <w:lang w:val="es-ES"/>
        </w:rPr>
        <w:t>Los reclamos del peticionario se refieren a posibles violaciones a sus derechos humanos y constitucionales en el contexto del proceso que conllevó a su destitución. La Comisión estima que la justicia constitucional constituía una vía idónea para que estos reclamos fueran atendidos a nivel doméstico y</w:t>
      </w:r>
      <w:r>
        <w:rPr>
          <w:color w:val="FF0000"/>
          <w:sz w:val="20"/>
          <w:szCs w:val="20"/>
          <w:lang w:val="es-ES"/>
        </w:rPr>
        <w:t>,</w:t>
      </w:r>
      <w:r>
        <w:rPr>
          <w:sz w:val="20"/>
          <w:szCs w:val="20"/>
          <w:lang w:val="es-ES"/>
        </w:rPr>
        <w:t xml:space="preserve"> en consecuencia, que la</w:t>
      </w:r>
      <w:r w:rsidRPr="007C3137">
        <w:rPr>
          <w:sz w:val="20"/>
          <w:szCs w:val="20"/>
          <w:lang w:val="es-ES"/>
        </w:rPr>
        <w:t xml:space="preserve"> decisión final con respecto a la destitución de la presunta víctima fue la emitida por el Tribunal Constitucional en respuesta a su recurso de agravio constitucional. Dicha decisión fue notificada al peticionario el 17 de marzo de 2009 y la petición ante la Comisión fue recibida el </w:t>
      </w:r>
      <w:r w:rsidRPr="007C3137">
        <w:rPr>
          <w:bCs/>
          <w:sz w:val="20"/>
          <w:szCs w:val="20"/>
          <w:lang w:val="es-ES"/>
        </w:rPr>
        <w:t>28 de agosto de 2009</w:t>
      </w:r>
      <w:r w:rsidRPr="007C3137">
        <w:rPr>
          <w:sz w:val="20"/>
          <w:szCs w:val="20"/>
          <w:lang w:val="es-ES"/>
        </w:rPr>
        <w:t>. Por lo tanto, la Comisión concluye que la petición satisface los requisitos previstos en los artículos 46.1(a) y 46.1(b) de la Convención Americana.</w:t>
      </w:r>
    </w:p>
    <w:p w:rsidR="00524637" w:rsidRPr="00513123" w:rsidRDefault="00524637" w:rsidP="007C3137">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7C3137">
        <w:rPr>
          <w:sz w:val="20"/>
          <w:szCs w:val="20"/>
          <w:lang w:val="es-ES"/>
        </w:rPr>
        <w:t xml:space="preserve"> En cuanto a la aducida falta de agotamiento de la vía contenciosa administrativa,</w:t>
      </w:r>
      <w:r w:rsidRPr="007C3137">
        <w:rPr>
          <w:rFonts w:cs="Calibri"/>
          <w:sz w:val="20"/>
          <w:szCs w:val="20"/>
          <w:lang w:val="es-ES_tradnl"/>
        </w:rPr>
        <w:t xml:space="preserve"> la CIDH ya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w:t>
      </w:r>
      <w:r w:rsidRPr="007C3137">
        <w:rPr>
          <w:rFonts w:cs="Calibri"/>
          <w:sz w:val="20"/>
          <w:szCs w:val="20"/>
          <w:lang w:val="es-ES_tradnl"/>
        </w:rPr>
        <w:lastRenderedPageBreak/>
        <w:t>ordenamiento jurídico interno y el Estado tuvo la oportunidad de remediar la cuestión en su jurisdicción, la finalidad de la norma internacional está cumplida</w:t>
      </w:r>
      <w:r>
        <w:rPr>
          <w:rStyle w:val="FootnoteReference"/>
          <w:sz w:val="20"/>
          <w:szCs w:val="20"/>
          <w:lang w:val="es-ES_tradnl"/>
        </w:rPr>
        <w:footnoteReference w:id="7"/>
      </w:r>
      <w:r w:rsidRPr="007C3137">
        <w:rPr>
          <w:rFonts w:cs="Calibri"/>
          <w:sz w:val="20"/>
          <w:szCs w:val="20"/>
          <w:lang w:val="es-ES_tradnl"/>
        </w:rPr>
        <w:t>.</w:t>
      </w:r>
    </w:p>
    <w:p w:rsidR="00524637" w:rsidRPr="00513123" w:rsidRDefault="00524637" w:rsidP="00513123">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513123">
        <w:rPr>
          <w:rFonts w:cs="Calibri"/>
          <w:sz w:val="20"/>
          <w:szCs w:val="20"/>
          <w:lang w:val="es-ES_tradnl"/>
        </w:rPr>
        <w:t xml:space="preserve">Con respeto a la aducida falta de agotamiento de los recursos internos en lo referente al proceso penal iniciado contra el peticionario, la Comisión considera que la petición se refiere sólo a presuntas violaciones en los procesos administrativos y constitucionales por lo que no es necesario determinar si los recursos internos se encuentran agotados en cuanto al proceso penal. </w:t>
      </w:r>
    </w:p>
    <w:p w:rsidR="00524637" w:rsidRPr="00513123" w:rsidRDefault="00524637" w:rsidP="00513123">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513123">
        <w:rPr>
          <w:sz w:val="20"/>
          <w:szCs w:val="20"/>
          <w:lang w:val="es-PA"/>
        </w:rPr>
        <w:t>La Comisión toma nota que las partes han presentado relatos contradictorios con respecto a si el peticionario presentó durante los procesos domésticos sus alegaciones respecto a que las copias enviadas por el CNM estaban incompletas. Este aspecto de la controversia será revisado por la Comisión en la etapa de fondo.</w:t>
      </w:r>
    </w:p>
    <w:p w:rsidR="00524637" w:rsidRPr="00513123" w:rsidRDefault="00524637" w:rsidP="00513123">
      <w:pPr>
        <w:pBdr>
          <w:top w:val="none" w:sz="0" w:space="0" w:color="auto"/>
          <w:left w:val="none" w:sz="0" w:space="0" w:color="auto"/>
          <w:bottom w:val="none" w:sz="0" w:space="0" w:color="auto"/>
          <w:right w:val="none" w:sz="0" w:space="0" w:color="auto"/>
          <w:bar w:val="none" w:sz="0" w:color="auto"/>
        </w:pBdr>
        <w:spacing w:before="120" w:after="120"/>
        <w:ind w:firstLine="720"/>
        <w:jc w:val="both"/>
        <w:rPr>
          <w:b/>
          <w:bCs/>
          <w:sz w:val="20"/>
          <w:szCs w:val="20"/>
          <w:lang w:val="es-ES"/>
        </w:rPr>
      </w:pPr>
      <w:r w:rsidRPr="00513123">
        <w:rPr>
          <w:b/>
          <w:bCs/>
          <w:sz w:val="20"/>
          <w:szCs w:val="20"/>
          <w:lang w:val="es-ES"/>
        </w:rPr>
        <w:t xml:space="preserve">VII. </w:t>
      </w:r>
      <w:r w:rsidRPr="00513123">
        <w:rPr>
          <w:b/>
          <w:bCs/>
          <w:sz w:val="20"/>
          <w:szCs w:val="20"/>
          <w:lang w:val="es-ES"/>
        </w:rPr>
        <w:tab/>
        <w:t>CARACTERIZACIÓN</w:t>
      </w:r>
    </w:p>
    <w:p w:rsidR="00524637" w:rsidRDefault="00524637" w:rsidP="00513123">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sz w:val="20"/>
          <w:szCs w:val="20"/>
          <w:lang w:val="es-ES"/>
        </w:rPr>
      </w:pPr>
      <w:r w:rsidRPr="00513123">
        <w:rPr>
          <w:sz w:val="20"/>
          <w:szCs w:val="20"/>
          <w:lang w:val="es-ES"/>
        </w:rPr>
        <w:t xml:space="preserve">La Comisión observa que la presente petición incluye alegaciones con respecto a que el peticionario fue sancionado por razón de una diferencia de criterio en contravención a su independencia judicial; a que las autoridades administrativas, al resolver su apelación, le impusieron en contravención a la ley y sus competencias una sanción más grave que la apelada; </w:t>
      </w:r>
      <w:r>
        <w:rPr>
          <w:sz w:val="20"/>
          <w:szCs w:val="20"/>
          <w:lang w:val="es-ES"/>
        </w:rPr>
        <w:t xml:space="preserve"> y a que el peticionario no tuvo acceso a un recurso que permitiera la revisión por parte de las autoridades judiciales de las posibles violaciones a la independencia judicial y al debido proceso.</w:t>
      </w:r>
    </w:p>
    <w:p w:rsidR="00524637" w:rsidRPr="002A6F49" w:rsidRDefault="00524637" w:rsidP="002A6F49">
      <w:pPr>
        <w:widowControl w:val="0"/>
        <w:numPr>
          <w:ilvl w:val="0"/>
          <w:numId w:val="61"/>
        </w:numPr>
        <w:pBdr>
          <w:top w:val="none" w:sz="0" w:space="0" w:color="auto"/>
          <w:left w:val="none" w:sz="0" w:space="0" w:color="auto"/>
          <w:bottom w:val="none" w:sz="0" w:space="0" w:color="auto"/>
          <w:right w:val="none" w:sz="0" w:space="0" w:color="auto"/>
          <w:bar w:val="none" w:sz="0" w:color="auto"/>
        </w:pBdr>
        <w:tabs>
          <w:tab w:val="left" w:pos="709"/>
        </w:tabs>
        <w:autoSpaceDE w:val="0"/>
        <w:autoSpaceDN w:val="0"/>
        <w:adjustRightInd w:val="0"/>
        <w:ind w:left="0" w:firstLine="0"/>
        <w:jc w:val="both"/>
        <w:rPr>
          <w:sz w:val="20"/>
          <w:szCs w:val="20"/>
          <w:lang w:val="es-CO"/>
        </w:rPr>
      </w:pPr>
      <w:r w:rsidRPr="008F6FDF">
        <w:rPr>
          <w:sz w:val="20"/>
          <w:szCs w:val="20"/>
          <w:lang w:val="es-ES"/>
        </w:rPr>
        <w:t>Ante alegaciones de esta naturaleza la Comisión considera pertinente recordar que ya ha concluido que “</w:t>
      </w:r>
      <w:r w:rsidRPr="008F6FDF">
        <w:rPr>
          <w:sz w:val="20"/>
          <w:szCs w:val="20"/>
          <w:lang w:val="es-PA"/>
        </w:rPr>
        <w:t>está prohibido por el derecho internacional establecer como causal disciplinaria actuaciones relacionadas con el juicio o criterio jurídico desarrollen las y los operadores de justicia en alguna de resolución”</w:t>
      </w:r>
      <w:r>
        <w:rPr>
          <w:rStyle w:val="FootnoteReference"/>
          <w:sz w:val="20"/>
          <w:szCs w:val="20"/>
          <w:lang w:val="es-PA"/>
        </w:rPr>
        <w:footnoteReference w:id="8"/>
      </w:r>
      <w:r w:rsidRPr="002A6F49">
        <w:rPr>
          <w:sz w:val="20"/>
          <w:szCs w:val="20"/>
          <w:lang w:val="es-PA"/>
        </w:rPr>
        <w:t>. De igual manera ha expresado que “los Estados deben prever en sus regímenes disciplinarios tanto una posibilidad de recurrir el fallo ante un superior jerárquico que realice una revisión de aspectos de hecho y de derecho, como asegurar un recurso judicial idóneo y efectivo en relación con las posibles violaciones a derechos que ocurran dentro del propio proceso disciplinario”</w:t>
      </w:r>
      <w:r>
        <w:rPr>
          <w:rStyle w:val="FootnoteReference"/>
          <w:sz w:val="20"/>
          <w:szCs w:val="20"/>
          <w:lang w:val="es-PA"/>
        </w:rPr>
        <w:footnoteReference w:id="9"/>
      </w:r>
      <w:r w:rsidRPr="002A6F49">
        <w:rPr>
          <w:sz w:val="20"/>
          <w:szCs w:val="20"/>
          <w:lang w:val="es-PA"/>
        </w:rPr>
        <w:t>.  De igual manera recuerda que la Corte Interamericana ha determinado que “</w:t>
      </w:r>
      <w:r w:rsidRPr="002A6F49">
        <w:rPr>
          <w:sz w:val="20"/>
          <w:szCs w:val="20"/>
          <w:lang w:val="es-CO"/>
        </w:rPr>
        <w:t>cuando</w:t>
      </w:r>
      <w:r w:rsidRPr="002A6F49">
        <w:rPr>
          <w:rFonts w:cs="Times"/>
          <w:sz w:val="20"/>
          <w:szCs w:val="20"/>
          <w:lang w:val="es-ES"/>
        </w:rPr>
        <w:t xml:space="preserve"> se afecta en forma arbitraria la permanencia de los jueces en su cargo, se vulnera el derecho a la independencia judicial consagrado en el artículo 8.1 de la Convención Americana, en conjunción con el derecho de acceso y permanencia en condiciones generales de igualdad en un cargo público, establecido en el artículo 23.1.c de la Convención Americana”</w:t>
      </w:r>
      <w:r>
        <w:rPr>
          <w:rStyle w:val="FootnoteReference"/>
          <w:sz w:val="20"/>
          <w:szCs w:val="20"/>
          <w:lang w:val="es-ES"/>
        </w:rPr>
        <w:footnoteReference w:id="10"/>
      </w:r>
      <w:r w:rsidRPr="002A6F49">
        <w:rPr>
          <w:rFonts w:cs="Times"/>
          <w:sz w:val="20"/>
          <w:szCs w:val="20"/>
          <w:lang w:val="es-ES"/>
        </w:rPr>
        <w:t xml:space="preserve">. </w:t>
      </w:r>
    </w:p>
    <w:p w:rsidR="00524637" w:rsidRPr="00B91E2D" w:rsidRDefault="00524637" w:rsidP="008F6FDF">
      <w:pPr>
        <w:pStyle w:val="ListParagraph"/>
        <w:pBdr>
          <w:top w:val="none" w:sz="0" w:space="0" w:color="auto"/>
          <w:left w:val="none" w:sz="0" w:space="0" w:color="auto"/>
          <w:bottom w:val="none" w:sz="0" w:space="0" w:color="auto"/>
          <w:right w:val="none" w:sz="0" w:space="0" w:color="auto"/>
          <w:bar w:val="none" w:sz="0" w:color="auto"/>
        </w:pBdr>
        <w:spacing w:after="120"/>
        <w:ind w:left="0"/>
        <w:jc w:val="both"/>
        <w:rPr>
          <w:color w:val="auto"/>
          <w:sz w:val="20"/>
          <w:szCs w:val="20"/>
          <w:lang w:val="es-ES"/>
        </w:rPr>
      </w:pPr>
    </w:p>
    <w:p w:rsidR="00524637" w:rsidRPr="00CC3ACA" w:rsidRDefault="00524637" w:rsidP="00CC3ACA">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color w:val="FF0000"/>
          <w:sz w:val="20"/>
          <w:szCs w:val="20"/>
          <w:lang w:val="es-ES"/>
        </w:rPr>
      </w:pPr>
      <w:r w:rsidRPr="00CC3ACA">
        <w:rPr>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CC3ACA">
        <w:rPr>
          <w:bCs/>
          <w:sz w:val="20"/>
          <w:szCs w:val="20"/>
          <w:lang w:val="es-AR"/>
        </w:rPr>
        <w:t xml:space="preserve">8 (garantías judiciales), 23 (derechos políticos), 25 (protección judicial) y </w:t>
      </w:r>
      <w:r w:rsidRPr="00CC3ACA">
        <w:rPr>
          <w:sz w:val="20"/>
          <w:szCs w:val="20"/>
          <w:lang w:val="es-AR"/>
        </w:rPr>
        <w:t xml:space="preserve">26 (derechos económicos, sociales y culturales) de la Convención Americana </w:t>
      </w:r>
      <w:r w:rsidRPr="00CC3ACA">
        <w:rPr>
          <w:sz w:val="20"/>
          <w:szCs w:val="20"/>
          <w:lang w:val="es-ES"/>
        </w:rPr>
        <w:t xml:space="preserve">en relación con sus artículos </w:t>
      </w:r>
      <w:r w:rsidRPr="00CC3ACA">
        <w:rPr>
          <w:bCs/>
          <w:sz w:val="20"/>
          <w:szCs w:val="20"/>
          <w:lang w:val="es-AR"/>
        </w:rPr>
        <w:t>1.1 (obligación de respetar los derechos) y 2 (deber de adoptar disposiciones de derecho interno).</w:t>
      </w:r>
    </w:p>
    <w:p w:rsidR="00524637" w:rsidRPr="00CC3ACA" w:rsidRDefault="00524637" w:rsidP="00CC3ACA">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color w:val="FF0000"/>
          <w:sz w:val="20"/>
          <w:szCs w:val="20"/>
          <w:lang w:val="es-ES"/>
        </w:rPr>
      </w:pPr>
      <w:r>
        <w:rPr>
          <w:rFonts w:cs="Calibri"/>
          <w:sz w:val="20"/>
          <w:szCs w:val="20"/>
          <w:lang w:val="es-ES"/>
        </w:rPr>
        <w:t>E</w:t>
      </w:r>
      <w:r w:rsidRPr="00CC3ACA">
        <w:rPr>
          <w:rFonts w:cs="Calibri"/>
          <w:sz w:val="20"/>
          <w:szCs w:val="20"/>
          <w:lang w:val="es-ES_tradnl"/>
        </w:rPr>
        <w:t>n cuanto a los alegatos sobre violaciones la Declaración Americana, 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continúa. Las alegadas violaciones al artículo XVIII</w:t>
      </w:r>
      <w:r>
        <w:rPr>
          <w:rFonts w:cs="Calibri"/>
          <w:sz w:val="20"/>
          <w:szCs w:val="20"/>
          <w:lang w:val="es-ES_tradnl"/>
        </w:rPr>
        <w:t xml:space="preserve"> (justicia)</w:t>
      </w:r>
      <w:r w:rsidRPr="00CC3ACA">
        <w:rPr>
          <w:rFonts w:cs="Calibri"/>
          <w:sz w:val="20"/>
          <w:szCs w:val="20"/>
          <w:lang w:val="es-ES_tradnl"/>
        </w:rPr>
        <w:t xml:space="preserve"> de la Declaración Americana no escapan del ámbito de protección de los artículos 8 y 25 de la Convención Americana, por lo que la Comisión examinará dichos alegatos a la luz de estos artículos. </w:t>
      </w:r>
    </w:p>
    <w:p w:rsidR="00524637" w:rsidRPr="002E2692" w:rsidRDefault="00524637" w:rsidP="00CC3ACA">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color w:val="FF0000"/>
          <w:sz w:val="20"/>
          <w:szCs w:val="20"/>
          <w:lang w:val="es-ES"/>
        </w:rPr>
      </w:pPr>
      <w:r>
        <w:rPr>
          <w:bCs/>
          <w:sz w:val="20"/>
          <w:szCs w:val="20"/>
          <w:lang w:val="es-AR"/>
        </w:rPr>
        <w:t>Respecto</w:t>
      </w:r>
      <w:r w:rsidRPr="00CC3ACA">
        <w:rPr>
          <w:bCs/>
          <w:sz w:val="20"/>
          <w:szCs w:val="20"/>
          <w:lang w:val="es-AR"/>
        </w:rPr>
        <w:t xml:space="preserve"> a las alegadas violaciones al Pacto Internacional de Derechos Civiles y Políticos, la Comisión carece de competencia para establecer violaciones a las normas de dicho tratado, sin prejuicio de lo </w:t>
      </w:r>
      <w:r w:rsidRPr="00CC3ACA">
        <w:rPr>
          <w:bCs/>
          <w:sz w:val="20"/>
          <w:szCs w:val="20"/>
          <w:lang w:val="es-AR"/>
        </w:rPr>
        <w:lastRenderedPageBreak/>
        <w:t>cual podrá tomarlo en cuenta como parte de su ejercicio interpretativo de las normas de la Convención Americana en la etapa de fondo del presente caso, en los términos del artículo 29 de la Convención</w:t>
      </w:r>
      <w:r w:rsidRPr="00CC3ACA">
        <w:rPr>
          <w:sz w:val="20"/>
          <w:szCs w:val="20"/>
          <w:lang w:val="es-ES"/>
        </w:rPr>
        <w:t xml:space="preserve">. </w:t>
      </w:r>
    </w:p>
    <w:p w:rsidR="00524637" w:rsidRPr="002E2692" w:rsidRDefault="00524637" w:rsidP="002E2692">
      <w:pPr>
        <w:pStyle w:val="ListParagraph"/>
        <w:numPr>
          <w:ilvl w:val="0"/>
          <w:numId w:val="61"/>
        </w:numPr>
        <w:pBdr>
          <w:top w:val="none" w:sz="0" w:space="0" w:color="auto"/>
          <w:left w:val="none" w:sz="0" w:space="0" w:color="auto"/>
          <w:bottom w:val="none" w:sz="0" w:space="0" w:color="auto"/>
          <w:right w:val="none" w:sz="0" w:space="0" w:color="auto"/>
          <w:bar w:val="none" w:sz="0" w:color="auto"/>
        </w:pBdr>
        <w:spacing w:after="120"/>
        <w:ind w:left="0" w:firstLine="720"/>
        <w:jc w:val="both"/>
        <w:rPr>
          <w:color w:val="FF0000"/>
          <w:sz w:val="20"/>
          <w:szCs w:val="20"/>
          <w:lang w:val="es-ES"/>
        </w:rPr>
      </w:pPr>
      <w:r w:rsidRPr="002E2692">
        <w:rPr>
          <w:rFonts w:cs="Calibri"/>
          <w:sz w:val="20"/>
          <w:szCs w:val="20"/>
          <w:lang w:val="es-ES_tradnl"/>
        </w:rPr>
        <w:t>Por último, respecto al alegato del Estado referente a la fórmula de la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w:t>
      </w:r>
    </w:p>
    <w:p w:rsidR="00524637" w:rsidRPr="00006B74" w:rsidRDefault="00524637" w:rsidP="008C5751">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006B74">
        <w:rPr>
          <w:rFonts w:ascii="Cambria" w:hAnsi="Cambria"/>
          <w:b/>
          <w:bCs/>
          <w:sz w:val="20"/>
          <w:szCs w:val="20"/>
          <w:lang w:val="es-ES"/>
        </w:rPr>
        <w:t xml:space="preserve">VIII. </w:t>
      </w:r>
      <w:r w:rsidRPr="00006B74">
        <w:rPr>
          <w:rFonts w:ascii="Cambria" w:hAnsi="Cambria"/>
          <w:b/>
          <w:bCs/>
          <w:sz w:val="20"/>
          <w:szCs w:val="20"/>
          <w:lang w:val="es-ES"/>
        </w:rPr>
        <w:tab/>
        <w:t>DECISIÓN</w:t>
      </w:r>
    </w:p>
    <w:p w:rsidR="00524637" w:rsidRPr="00F9093A" w:rsidRDefault="00524637" w:rsidP="00EB1FA8">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F9093A">
        <w:rPr>
          <w:rFonts w:ascii="Cambria" w:hAnsi="Cambria"/>
          <w:sz w:val="20"/>
          <w:szCs w:val="20"/>
          <w:lang w:val="es-ES"/>
        </w:rPr>
        <w:t xml:space="preserve">Declarar admisible la presente petición en relación con los </w:t>
      </w:r>
      <w:r w:rsidRPr="00F9093A">
        <w:rPr>
          <w:rFonts w:ascii="Cambria" w:hAnsi="Cambria"/>
          <w:bCs/>
          <w:sz w:val="20"/>
          <w:szCs w:val="20"/>
          <w:lang w:val="es-ES"/>
        </w:rPr>
        <w:t xml:space="preserve">artículos </w:t>
      </w:r>
      <w:r>
        <w:rPr>
          <w:rFonts w:ascii="Cambria" w:hAnsi="Cambria"/>
          <w:bCs/>
          <w:sz w:val="20"/>
          <w:szCs w:val="20"/>
          <w:lang w:val="es-ES"/>
        </w:rPr>
        <w:t>8, 23,</w:t>
      </w:r>
      <w:r w:rsidRPr="00F9093A">
        <w:rPr>
          <w:rFonts w:ascii="Cambria" w:hAnsi="Cambria"/>
          <w:bCs/>
          <w:sz w:val="20"/>
          <w:szCs w:val="20"/>
          <w:lang w:val="es-ES"/>
        </w:rPr>
        <w:t xml:space="preserve"> 25 y 26 de la Convención Americana en rela</w:t>
      </w:r>
      <w:r>
        <w:rPr>
          <w:rFonts w:ascii="Cambria" w:hAnsi="Cambria"/>
          <w:bCs/>
          <w:sz w:val="20"/>
          <w:szCs w:val="20"/>
          <w:lang w:val="es-ES"/>
        </w:rPr>
        <w:t>ción con sus artículos 1.1. y 2.</w:t>
      </w:r>
    </w:p>
    <w:p w:rsidR="00B248C2" w:rsidRPr="00B248C2" w:rsidRDefault="00524637" w:rsidP="00563B1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hAnsiTheme="majorHAnsi" w:cs="Arial"/>
          <w:noProof/>
          <w:spacing w:val="-2"/>
          <w:sz w:val="20"/>
          <w:szCs w:val="20"/>
          <w:lang w:val="es-CL"/>
        </w:rPr>
      </w:pPr>
      <w:r w:rsidRPr="00B248C2">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B248C2" w:rsidRPr="00B248C2" w:rsidRDefault="00B248C2" w:rsidP="00B248C2">
      <w:pPr>
        <w:pBdr>
          <w:top w:val="none" w:sz="0" w:space="0" w:color="auto"/>
          <w:left w:val="none" w:sz="0" w:space="0" w:color="auto"/>
          <w:bottom w:val="none" w:sz="0" w:space="0" w:color="auto"/>
          <w:right w:val="none" w:sz="0" w:space="0" w:color="auto"/>
          <w:bar w:val="none" w:sz="0" w:color="auto"/>
        </w:pBdr>
        <w:suppressAutoHyphens/>
        <w:spacing w:after="120"/>
        <w:ind w:firstLine="720"/>
        <w:jc w:val="both"/>
        <w:rPr>
          <w:rFonts w:ascii="Cambria" w:hAnsi="Cambria" w:cs="Arial"/>
          <w:noProof/>
          <w:sz w:val="20"/>
          <w:szCs w:val="20"/>
          <w:lang w:val="es-CL"/>
        </w:rPr>
      </w:pPr>
      <w:r w:rsidRPr="00B248C2">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24</w:t>
      </w:r>
      <w:r w:rsidRPr="00B248C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248C2">
        <w:rPr>
          <w:rFonts w:asciiTheme="majorHAnsi" w:hAnsiTheme="majorHAnsi"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w:t>
      </w:r>
      <w:r>
        <w:rPr>
          <w:rFonts w:asciiTheme="majorHAnsi" w:hAnsiTheme="majorHAnsi" w:cs="Arial"/>
          <w:noProof/>
          <w:spacing w:val="-2"/>
          <w:sz w:val="20"/>
          <w:szCs w:val="20"/>
          <w:lang w:val="es-CL"/>
        </w:rPr>
        <w:t xml:space="preserve"> y</w:t>
      </w:r>
      <w:r w:rsidRPr="00B248C2">
        <w:rPr>
          <w:rFonts w:asciiTheme="majorHAnsi" w:hAnsiTheme="majorHAnsi" w:cs="Arial"/>
          <w:noProof/>
          <w:spacing w:val="-2"/>
          <w:sz w:val="20"/>
          <w:szCs w:val="20"/>
          <w:lang w:val="es-CL"/>
        </w:rPr>
        <w:t xml:space="preserve"> </w:t>
      </w:r>
      <w:r w:rsidR="00520FE5" w:rsidRPr="00520FE5">
        <w:rPr>
          <w:rFonts w:asciiTheme="majorHAnsi" w:hAnsiTheme="majorHAnsi" w:cs="Arial"/>
          <w:noProof/>
          <w:spacing w:val="-2"/>
          <w:sz w:val="20"/>
          <w:szCs w:val="20"/>
          <w:lang w:val="es-CL"/>
        </w:rPr>
        <w:t>Stuardo Ralón Orellana</w:t>
      </w:r>
      <w:r w:rsidRPr="00B248C2">
        <w:rPr>
          <w:rFonts w:asciiTheme="majorHAnsi" w:hAnsiTheme="majorHAnsi" w:cs="Arial"/>
          <w:noProof/>
          <w:spacing w:val="-2"/>
          <w:sz w:val="20"/>
          <w:szCs w:val="20"/>
          <w:lang w:val="es-CL"/>
        </w:rPr>
        <w:t>, Miembros de la Comisión.</w:t>
      </w:r>
      <w:r w:rsidRPr="00B248C2">
        <w:rPr>
          <w:rFonts w:asciiTheme="majorHAnsi" w:hAnsiTheme="majorHAnsi" w:cs="Arial"/>
          <w:noProof/>
          <w:sz w:val="20"/>
          <w:szCs w:val="20"/>
          <w:lang w:val="es-CL"/>
        </w:rPr>
        <w:t xml:space="preserve"> </w:t>
      </w:r>
    </w:p>
    <w:p w:rsidR="00B248C2" w:rsidRPr="00691479" w:rsidRDefault="00B248C2" w:rsidP="00B248C2">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sz w:val="20"/>
          <w:szCs w:val="20"/>
          <w:lang w:val="es-ES"/>
        </w:rPr>
      </w:pPr>
    </w:p>
    <w:sectPr w:rsidR="00B248C2" w:rsidRPr="00691479"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2E" w:rsidRDefault="009C722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C722E" w:rsidRDefault="009C722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7C" w:rsidRDefault="00270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37" w:rsidRPr="00934A2C" w:rsidRDefault="0052463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0A7C">
      <w:rPr>
        <w:noProof/>
        <w:sz w:val="16"/>
        <w:szCs w:val="22"/>
      </w:rPr>
      <w:t>5</w:t>
    </w:r>
    <w:r w:rsidRPr="00934A2C">
      <w:rPr>
        <w:sz w:val="16"/>
        <w:szCs w:val="22"/>
      </w:rPr>
      <w:fldChar w:fldCharType="end"/>
    </w:r>
  </w:p>
  <w:p w:rsidR="00524637" w:rsidRDefault="00524637">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37" w:rsidRPr="00934A2C" w:rsidRDefault="0052463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524637" w:rsidRDefault="00524637">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2E" w:rsidRPr="000F35ED" w:rsidRDefault="009C722E">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9C722E" w:rsidRPr="000F35ED" w:rsidRDefault="009C722E"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9C722E" w:rsidRPr="000F35ED" w:rsidRDefault="009C722E"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9C722E" w:rsidRPr="000F35ED" w:rsidRDefault="009C722E"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7B0DF7" w:rsidRPr="007B0DF7" w:rsidRDefault="007B0DF7" w:rsidP="007B0DF7">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6E0D53">
        <w:rPr>
          <w:rStyle w:val="FootnoteReference"/>
          <w:rFonts w:ascii="Cambria" w:hAnsi="Cambria"/>
          <w:sz w:val="16"/>
          <w:szCs w:val="16"/>
        </w:rPr>
        <w:footnoteRef/>
      </w:r>
      <w:r w:rsidRPr="006E0D53">
        <w:rPr>
          <w:rFonts w:ascii="Cambria" w:hAnsi="Cambria"/>
          <w:sz w:val="16"/>
          <w:szCs w:val="16"/>
          <w:lang w:val="es-PA"/>
        </w:rPr>
        <w:t xml:space="preserve"> </w:t>
      </w:r>
      <w:r w:rsidRPr="006E0D53">
        <w:rPr>
          <w:rFonts w:ascii="Cambria" w:hAnsi="Cambria"/>
          <w:sz w:val="16"/>
          <w:szCs w:val="16"/>
          <w:lang w:val="es-ES"/>
        </w:rPr>
        <w:t xml:space="preserve">Conforme a lo dispuesto en el artículo 17.2.a del Reglamento de la Comisión, </w:t>
      </w:r>
      <w:r w:rsidRPr="006E0D53">
        <w:rPr>
          <w:rFonts w:ascii="Cambria" w:hAnsi="Cambria"/>
          <w:color w:val="auto"/>
          <w:sz w:val="16"/>
          <w:szCs w:val="16"/>
          <w:lang w:val="es-ES"/>
        </w:rPr>
        <w:t xml:space="preserve">la Comisionada </w:t>
      </w:r>
      <w:r w:rsidRPr="006E0D53">
        <w:rPr>
          <w:rFonts w:ascii="Cambria" w:hAnsi="Cambria"/>
          <w:sz w:val="16"/>
          <w:szCs w:val="16"/>
          <w:lang w:val="es-ES"/>
        </w:rPr>
        <w:t>Juli</w:t>
      </w:r>
      <w:r>
        <w:rPr>
          <w:rFonts w:ascii="Cambria" w:hAnsi="Cambria"/>
          <w:sz w:val="16"/>
          <w:szCs w:val="16"/>
          <w:lang w:val="es-ES"/>
        </w:rPr>
        <w:t>s</w:t>
      </w:r>
      <w:r w:rsidRPr="006E0D53">
        <w:rPr>
          <w:rFonts w:ascii="Cambria" w:hAnsi="Cambria"/>
          <w:sz w:val="16"/>
          <w:szCs w:val="16"/>
          <w:lang w:val="es-ES"/>
        </w:rPr>
        <w:t xml:space="preserve">sa Mantilla Falcón, de </w:t>
      </w:r>
      <w:r w:rsidRPr="006E0D53">
        <w:rPr>
          <w:rFonts w:ascii="Cambria" w:hAnsi="Cambria"/>
          <w:color w:val="auto"/>
          <w:sz w:val="16"/>
          <w:szCs w:val="16"/>
          <w:lang w:val="es-ES"/>
        </w:rPr>
        <w:t>nacionalidad peruana, no participó en el debate ni en la decisión del presente asunto.</w:t>
      </w:r>
    </w:p>
  </w:footnote>
  <w:footnote w:id="3">
    <w:p w:rsidR="00524637" w:rsidRPr="000A0151" w:rsidRDefault="00524637" w:rsidP="001A084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05328B">
        <w:rPr>
          <w:rStyle w:val="FootnoteReference"/>
          <w:rFonts w:ascii="Cambria" w:hAnsi="Cambria"/>
          <w:sz w:val="16"/>
          <w:szCs w:val="16"/>
        </w:rPr>
        <w:footnoteRef/>
      </w:r>
      <w:r w:rsidRPr="0005328B">
        <w:rPr>
          <w:rFonts w:ascii="Cambria" w:hAnsi="Cambria"/>
          <w:sz w:val="16"/>
          <w:szCs w:val="16"/>
          <w:lang w:val="es-ES"/>
        </w:rPr>
        <w:t xml:space="preserve"> En adelante “la Convención Americana” o “la Convención”.</w:t>
      </w:r>
    </w:p>
  </w:footnote>
  <w:footnote w:id="4">
    <w:p w:rsidR="00524637" w:rsidRPr="000A0151" w:rsidRDefault="00524637" w:rsidP="001A084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05328B">
        <w:rPr>
          <w:rStyle w:val="FootnoteReference"/>
          <w:rFonts w:ascii="Cambria" w:hAnsi="Cambria"/>
          <w:sz w:val="16"/>
          <w:szCs w:val="16"/>
        </w:rPr>
        <w:footnoteRef/>
      </w:r>
      <w:r w:rsidRPr="0005328B">
        <w:rPr>
          <w:rFonts w:ascii="Cambria" w:hAnsi="Cambria"/>
          <w:sz w:val="16"/>
          <w:szCs w:val="16"/>
          <w:lang w:val="es-ES"/>
        </w:rPr>
        <w:t xml:space="preserve"> En adel</w:t>
      </w:r>
      <w:r>
        <w:rPr>
          <w:rFonts w:ascii="Cambria" w:hAnsi="Cambria"/>
          <w:sz w:val="16"/>
          <w:szCs w:val="16"/>
          <w:lang w:val="es-ES"/>
        </w:rPr>
        <w:t xml:space="preserve">ante “la Declaración Americana” o “la Declaración”. </w:t>
      </w:r>
    </w:p>
  </w:footnote>
  <w:footnote w:id="5">
    <w:p w:rsidR="00524637" w:rsidRPr="0005328B" w:rsidRDefault="00524637" w:rsidP="001A084E">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bCs/>
          <w:sz w:val="16"/>
          <w:szCs w:val="16"/>
          <w:lang w:val="es-ES"/>
        </w:rPr>
      </w:pPr>
      <w:r w:rsidRPr="0005328B">
        <w:rPr>
          <w:rStyle w:val="FootnoteReference"/>
          <w:rFonts w:ascii="Cambria" w:hAnsi="Cambria"/>
          <w:sz w:val="16"/>
          <w:szCs w:val="16"/>
        </w:rPr>
        <w:footnoteRef/>
      </w:r>
      <w:r w:rsidRPr="0005328B">
        <w:rPr>
          <w:rFonts w:ascii="Cambria" w:hAnsi="Cambria"/>
          <w:sz w:val="16"/>
          <w:szCs w:val="16"/>
          <w:lang w:val="es-ES"/>
        </w:rPr>
        <w:t xml:space="preserve"> </w:t>
      </w:r>
      <w:r w:rsidRPr="0005328B">
        <w:rPr>
          <w:rFonts w:ascii="Cambria" w:hAnsi="Cambria"/>
          <w:bCs/>
          <w:sz w:val="16"/>
          <w:szCs w:val="16"/>
          <w:lang w:val="es-AR"/>
        </w:rPr>
        <w:t>Artículos 3 y 14 del Pacto Internacional de Derechos Civiles y Políticos.</w:t>
      </w:r>
    </w:p>
    <w:p w:rsidR="00524637" w:rsidRPr="000A0151" w:rsidRDefault="00524637" w:rsidP="001A084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Pr>
          <w:rFonts w:ascii="Cambria" w:hAnsi="Cambria"/>
          <w:bCs/>
          <w:sz w:val="16"/>
          <w:szCs w:val="16"/>
          <w:lang w:val="es-ES"/>
        </w:rPr>
        <w:t xml:space="preserve">  </w:t>
      </w:r>
      <w:r w:rsidRPr="0005328B">
        <w:rPr>
          <w:rFonts w:ascii="Cambria" w:hAnsi="Cambria"/>
          <w:bCs/>
          <w:sz w:val="16"/>
          <w:szCs w:val="16"/>
          <w:lang w:val="es-ES"/>
        </w:rPr>
        <w:t xml:space="preserve">Artículo 8 de la Declaración Universal de los Derechos Humanos </w:t>
      </w:r>
    </w:p>
  </w:footnote>
  <w:footnote w:id="6">
    <w:p w:rsidR="00524637" w:rsidRPr="000A0151" w:rsidRDefault="00524637" w:rsidP="001A084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05328B">
        <w:rPr>
          <w:rStyle w:val="FootnoteReference"/>
          <w:rFonts w:ascii="Cambria" w:hAnsi="Cambria"/>
          <w:sz w:val="16"/>
          <w:szCs w:val="16"/>
        </w:rPr>
        <w:footnoteRef/>
      </w:r>
      <w:r w:rsidRPr="0005328B">
        <w:rPr>
          <w:rFonts w:ascii="Cambria" w:hAnsi="Cambria"/>
          <w:sz w:val="16"/>
          <w:szCs w:val="16"/>
          <w:lang w:val="es-ES"/>
        </w:rPr>
        <w:t xml:space="preserve"> Las observaciones de cada parte fueron debidamente trasladadas a la parte contraria.</w:t>
      </w:r>
    </w:p>
  </w:footnote>
  <w:footnote w:id="7">
    <w:p w:rsidR="00524637" w:rsidRDefault="00524637" w:rsidP="00021EE7">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s="Calibri"/>
          <w:sz w:val="16"/>
          <w:szCs w:val="16"/>
          <w:lang w:val="es-ES"/>
        </w:rPr>
      </w:pPr>
      <w:r w:rsidRPr="00454994">
        <w:rPr>
          <w:rStyle w:val="FootnoteReference"/>
          <w:rFonts w:ascii="Cambria" w:hAnsi="Cambria"/>
          <w:sz w:val="16"/>
          <w:szCs w:val="16"/>
        </w:rPr>
        <w:footnoteRef/>
      </w:r>
      <w:r w:rsidRPr="00454994">
        <w:rPr>
          <w:rFonts w:ascii="Cambria" w:hAnsi="Cambria"/>
          <w:sz w:val="16"/>
          <w:szCs w:val="16"/>
          <w:lang w:val="es-ES"/>
        </w:rPr>
        <w:t xml:space="preserve"> </w:t>
      </w:r>
      <w:r w:rsidRPr="00454994">
        <w:rPr>
          <w:rFonts w:ascii="Cambria" w:hAnsi="Cambria" w:cs="Calibri"/>
          <w:sz w:val="16"/>
          <w:szCs w:val="16"/>
          <w:lang w:val="es-ES"/>
        </w:rPr>
        <w:t>CIDH, Informe No. 16/18, Petición 884-07. Admisibilidad. Victoria Piedad Palacios Tejada de Saavedra. Perú. 24 de febrero de 2018, párr. 12.</w:t>
      </w:r>
    </w:p>
    <w:p w:rsidR="00524637" w:rsidRPr="00B91E2D" w:rsidRDefault="00524637" w:rsidP="00021EE7">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olor w:val="auto"/>
          <w:sz w:val="16"/>
          <w:szCs w:val="16"/>
          <w:lang w:val="es-ES"/>
        </w:rPr>
      </w:pPr>
      <w:r w:rsidRPr="00B91E2D">
        <w:rPr>
          <w:rFonts w:ascii="Cambria" w:hAnsi="Cambria" w:cs="Calibri"/>
          <w:color w:val="auto"/>
          <w:sz w:val="16"/>
          <w:szCs w:val="16"/>
          <w:vertAlign w:val="superscript"/>
          <w:lang w:val="es-ES"/>
        </w:rPr>
        <w:t>7</w:t>
      </w:r>
      <w:r w:rsidRPr="00B91E2D">
        <w:rPr>
          <w:rFonts w:ascii="Cambria" w:hAnsi="Cambria"/>
          <w:color w:val="auto"/>
          <w:sz w:val="16"/>
          <w:szCs w:val="16"/>
          <w:lang w:val="es-ES"/>
        </w:rPr>
        <w:t xml:space="preserve"> CIDH. </w:t>
      </w:r>
      <w:proofErr w:type="spellStart"/>
      <w:r w:rsidRPr="00B91E2D">
        <w:rPr>
          <w:rFonts w:ascii="Cambria" w:hAnsi="Cambria"/>
          <w:color w:val="auto"/>
          <w:sz w:val="16"/>
          <w:szCs w:val="16"/>
          <w:lang w:val="es-AR"/>
        </w:rPr>
        <w:t>Garant</w:t>
      </w:r>
      <w:r w:rsidRPr="00B91E2D">
        <w:rPr>
          <w:rFonts w:ascii="Cambria" w:hAnsi="Cambria"/>
          <w:color w:val="auto"/>
          <w:sz w:val="16"/>
          <w:szCs w:val="16"/>
          <w:lang w:val="es-PA"/>
        </w:rPr>
        <w:t>ías</w:t>
      </w:r>
      <w:proofErr w:type="spellEnd"/>
      <w:r w:rsidRPr="00B91E2D">
        <w:rPr>
          <w:rFonts w:ascii="Cambria" w:hAnsi="Cambria"/>
          <w:color w:val="auto"/>
          <w:sz w:val="16"/>
          <w:szCs w:val="16"/>
          <w:lang w:val="es-PA"/>
        </w:rPr>
        <w:t xml:space="preserve"> para la Independencia de las y los Operadores de Justicia</w:t>
      </w:r>
      <w:r w:rsidRPr="00B91E2D">
        <w:rPr>
          <w:rFonts w:ascii="Cambria" w:hAnsi="Cambria"/>
          <w:color w:val="auto"/>
          <w:sz w:val="16"/>
          <w:szCs w:val="16"/>
          <w:lang w:val="es-ES"/>
        </w:rPr>
        <w:t>. OEA/</w:t>
      </w:r>
      <w:proofErr w:type="spellStart"/>
      <w:r w:rsidRPr="00B91E2D">
        <w:rPr>
          <w:rFonts w:ascii="Cambria" w:hAnsi="Cambria"/>
          <w:color w:val="auto"/>
          <w:sz w:val="16"/>
          <w:szCs w:val="16"/>
          <w:lang w:val="es-ES"/>
        </w:rPr>
        <w:t>Ser.L</w:t>
      </w:r>
      <w:proofErr w:type="spellEnd"/>
      <w:r w:rsidRPr="00B91E2D">
        <w:rPr>
          <w:rFonts w:ascii="Cambria" w:hAnsi="Cambria"/>
          <w:color w:val="auto"/>
          <w:sz w:val="16"/>
          <w:szCs w:val="16"/>
          <w:lang w:val="es-ES"/>
        </w:rPr>
        <w:t xml:space="preserve">/V/II.Doc. 44/13 </w:t>
      </w:r>
      <w:proofErr w:type="spellStart"/>
      <w:r w:rsidRPr="00B91E2D">
        <w:rPr>
          <w:rFonts w:ascii="Cambria" w:hAnsi="Cambria"/>
          <w:color w:val="auto"/>
          <w:sz w:val="16"/>
          <w:szCs w:val="16"/>
          <w:lang w:val="es-ES"/>
        </w:rPr>
        <w:t>párr</w:t>
      </w:r>
      <w:proofErr w:type="spellEnd"/>
      <w:r w:rsidRPr="00B91E2D">
        <w:rPr>
          <w:rFonts w:ascii="Cambria" w:hAnsi="Cambria"/>
          <w:color w:val="auto"/>
          <w:sz w:val="16"/>
          <w:szCs w:val="16"/>
          <w:lang w:val="es-ES"/>
        </w:rPr>
        <w:t xml:space="preserve"> 216.</w:t>
      </w:r>
    </w:p>
    <w:p w:rsidR="00524637" w:rsidRDefault="00524637" w:rsidP="00CC3ACA">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olor w:val="auto"/>
          <w:sz w:val="16"/>
          <w:szCs w:val="16"/>
          <w:lang w:val="es-ES"/>
        </w:rPr>
      </w:pPr>
      <w:r w:rsidRPr="00B91E2D">
        <w:rPr>
          <w:rFonts w:ascii="Cambria" w:hAnsi="Cambria"/>
          <w:color w:val="auto"/>
          <w:sz w:val="16"/>
          <w:szCs w:val="16"/>
          <w:vertAlign w:val="superscript"/>
          <w:lang w:val="es-ES"/>
        </w:rPr>
        <w:t>8</w:t>
      </w:r>
      <w:r w:rsidRPr="00B91E2D">
        <w:rPr>
          <w:rFonts w:ascii="Cambria" w:hAnsi="Cambria"/>
          <w:color w:val="auto"/>
          <w:sz w:val="16"/>
          <w:szCs w:val="16"/>
          <w:lang w:val="es-ES"/>
        </w:rPr>
        <w:t xml:space="preserve"> CIDH. </w:t>
      </w:r>
      <w:proofErr w:type="spellStart"/>
      <w:r w:rsidRPr="00B91E2D">
        <w:rPr>
          <w:rFonts w:ascii="Cambria" w:hAnsi="Cambria"/>
          <w:color w:val="auto"/>
          <w:sz w:val="16"/>
          <w:szCs w:val="16"/>
          <w:lang w:val="es-AR"/>
        </w:rPr>
        <w:t>Garant</w:t>
      </w:r>
      <w:r w:rsidRPr="00B91E2D">
        <w:rPr>
          <w:rFonts w:ascii="Cambria" w:hAnsi="Cambria"/>
          <w:color w:val="auto"/>
          <w:sz w:val="16"/>
          <w:szCs w:val="16"/>
          <w:lang w:val="es-PA"/>
        </w:rPr>
        <w:t>ías</w:t>
      </w:r>
      <w:proofErr w:type="spellEnd"/>
      <w:r w:rsidRPr="00B91E2D">
        <w:rPr>
          <w:rFonts w:ascii="Cambria" w:hAnsi="Cambria"/>
          <w:color w:val="auto"/>
          <w:sz w:val="16"/>
          <w:szCs w:val="16"/>
          <w:lang w:val="es-PA"/>
        </w:rPr>
        <w:t xml:space="preserve"> para la Independencia de las y los Operadores de Justicia</w:t>
      </w:r>
      <w:r w:rsidRPr="00B91E2D">
        <w:rPr>
          <w:rFonts w:ascii="Cambria" w:hAnsi="Cambria"/>
          <w:color w:val="auto"/>
          <w:sz w:val="16"/>
          <w:szCs w:val="16"/>
          <w:lang w:val="es-ES"/>
        </w:rPr>
        <w:t>. OEA/</w:t>
      </w:r>
      <w:proofErr w:type="spellStart"/>
      <w:r w:rsidRPr="00B91E2D">
        <w:rPr>
          <w:rFonts w:ascii="Cambria" w:hAnsi="Cambria"/>
          <w:color w:val="auto"/>
          <w:sz w:val="16"/>
          <w:szCs w:val="16"/>
          <w:lang w:val="es-ES"/>
        </w:rPr>
        <w:t>Ser.L</w:t>
      </w:r>
      <w:proofErr w:type="spellEnd"/>
      <w:r w:rsidRPr="00B91E2D">
        <w:rPr>
          <w:rFonts w:ascii="Cambria" w:hAnsi="Cambria"/>
          <w:color w:val="auto"/>
          <w:sz w:val="16"/>
          <w:szCs w:val="16"/>
          <w:lang w:val="es-ES"/>
        </w:rPr>
        <w:t xml:space="preserve">/V/II.Doc. 44/13 </w:t>
      </w:r>
      <w:proofErr w:type="spellStart"/>
      <w:r w:rsidRPr="00B91E2D">
        <w:rPr>
          <w:rFonts w:ascii="Cambria" w:hAnsi="Cambria"/>
          <w:color w:val="auto"/>
          <w:sz w:val="16"/>
          <w:szCs w:val="16"/>
          <w:lang w:val="es-ES"/>
        </w:rPr>
        <w:t>párr</w:t>
      </w:r>
      <w:proofErr w:type="spellEnd"/>
      <w:r w:rsidRPr="00B91E2D">
        <w:rPr>
          <w:rFonts w:ascii="Cambria" w:hAnsi="Cambria"/>
          <w:color w:val="auto"/>
          <w:sz w:val="16"/>
          <w:szCs w:val="16"/>
          <w:lang w:val="es-ES"/>
        </w:rPr>
        <w:t xml:space="preserve"> 238.</w:t>
      </w:r>
    </w:p>
    <w:p w:rsidR="000A0151" w:rsidRPr="00B91E2D" w:rsidRDefault="000A0151" w:rsidP="00CC3ACA">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rFonts w:ascii="Cambria" w:hAnsi="Cambria"/>
          <w:color w:val="auto"/>
          <w:sz w:val="16"/>
          <w:szCs w:val="16"/>
          <w:lang w:val="es-ES"/>
        </w:rPr>
      </w:pPr>
      <w:r w:rsidRPr="00422E3E">
        <w:rPr>
          <w:rStyle w:val="FootnoteReference"/>
          <w:lang w:val="es-419"/>
        </w:rPr>
        <w:t>9</w:t>
      </w:r>
      <w:r w:rsidRPr="002A6F49">
        <w:rPr>
          <w:lang w:val="es-US"/>
        </w:rPr>
        <w:t xml:space="preserve"> </w:t>
      </w:r>
      <w:r w:rsidRPr="00D92B1C">
        <w:rPr>
          <w:rFonts w:ascii="Cambria" w:hAnsi="Cambria"/>
          <w:sz w:val="16"/>
          <w:szCs w:val="16"/>
          <w:lang w:val="es-PA"/>
        </w:rPr>
        <w:t>Corte IDH. Caso de la Corte Suprema de Justicia (Quintana Coello y otros) vs. Ecuador. Excepción Preliminar, Fondo, Reparaciones y Costas. Sentencia de 23 de agosto de 2013</w:t>
      </w:r>
      <w:r>
        <w:rPr>
          <w:rFonts w:ascii="Cambria" w:hAnsi="Cambria"/>
          <w:sz w:val="16"/>
          <w:szCs w:val="16"/>
          <w:lang w:val="es-PA"/>
        </w:rPr>
        <w:t xml:space="preserve"> </w:t>
      </w:r>
      <w:proofErr w:type="spellStart"/>
      <w:r>
        <w:rPr>
          <w:rFonts w:ascii="Cambria" w:hAnsi="Cambria"/>
          <w:sz w:val="16"/>
          <w:szCs w:val="16"/>
          <w:lang w:val="es-PA"/>
        </w:rPr>
        <w:t>párr</w:t>
      </w:r>
      <w:proofErr w:type="spellEnd"/>
      <w:r>
        <w:rPr>
          <w:rFonts w:ascii="Cambria" w:hAnsi="Cambria"/>
          <w:sz w:val="16"/>
          <w:szCs w:val="16"/>
          <w:lang w:val="es-PA"/>
        </w:rPr>
        <w:t xml:space="preserve"> 155</w:t>
      </w:r>
      <w:r w:rsidRPr="00D92B1C">
        <w:rPr>
          <w:rFonts w:ascii="Cambria" w:hAnsi="Cambria"/>
          <w:sz w:val="16"/>
          <w:szCs w:val="16"/>
          <w:lang w:val="es-PA"/>
        </w:rPr>
        <w:t>.</w:t>
      </w:r>
    </w:p>
    <w:p w:rsidR="00524637" w:rsidRPr="00B248C2" w:rsidRDefault="00524637" w:rsidP="00021EE7">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sz w:val="2"/>
          <w:szCs w:val="2"/>
          <w:lang w:val="es-419"/>
        </w:rPr>
      </w:pPr>
    </w:p>
  </w:footnote>
  <w:footnote w:id="8">
    <w:p w:rsidR="00524637" w:rsidRPr="00B248C2" w:rsidRDefault="00524637" w:rsidP="00D749B7">
      <w:pPr>
        <w:pBdr>
          <w:top w:val="none" w:sz="0" w:space="0" w:color="auto"/>
          <w:left w:val="none" w:sz="0" w:space="0" w:color="auto"/>
          <w:bottom w:val="none" w:sz="0" w:space="0" w:color="auto"/>
          <w:right w:val="none" w:sz="0" w:space="0" w:color="auto"/>
          <w:bar w:val="none" w:sz="0" w:color="auto"/>
        </w:pBdr>
        <w:rPr>
          <w:sz w:val="2"/>
          <w:szCs w:val="2"/>
          <w:lang w:val="es-419"/>
        </w:rPr>
      </w:pPr>
    </w:p>
  </w:footnote>
  <w:footnote w:id="9">
    <w:p w:rsidR="00524637" w:rsidRPr="00B248C2" w:rsidRDefault="00524637">
      <w:pPr>
        <w:pStyle w:val="FootnoteText"/>
        <w:pBdr>
          <w:top w:val="none" w:sz="0" w:space="0" w:color="auto"/>
          <w:left w:val="none" w:sz="0" w:space="0" w:color="auto"/>
          <w:bottom w:val="none" w:sz="0" w:space="0" w:color="auto"/>
          <w:right w:val="none" w:sz="0" w:space="0" w:color="auto"/>
          <w:bar w:val="none" w:sz="0" w:color="auto"/>
        </w:pBdr>
        <w:rPr>
          <w:sz w:val="2"/>
          <w:szCs w:val="2"/>
          <w:lang w:val="es-419"/>
        </w:rPr>
      </w:pPr>
    </w:p>
  </w:footnote>
  <w:footnote w:id="10">
    <w:p w:rsidR="00524637" w:rsidRPr="00B248C2" w:rsidRDefault="00524637" w:rsidP="002A6F49">
      <w:pPr>
        <w:pStyle w:val="FootnoteText"/>
        <w:pBdr>
          <w:top w:val="none" w:sz="0" w:space="0" w:color="auto"/>
          <w:left w:val="none" w:sz="0" w:space="0" w:color="auto"/>
          <w:bottom w:val="none" w:sz="0" w:space="0" w:color="auto"/>
          <w:right w:val="none" w:sz="0" w:space="0" w:color="auto"/>
          <w:bar w:val="none" w:sz="0" w:color="auto"/>
        </w:pBdr>
        <w:ind w:firstLine="720"/>
        <w:rPr>
          <w:sz w:val="2"/>
          <w:szCs w:val="2"/>
          <w:lang w:val="es-4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37" w:rsidRDefault="00524637"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524637" w:rsidRDefault="00524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37" w:rsidRDefault="00BB613E" w:rsidP="00A50FCF">
    <w:pPr>
      <w:pStyle w:val="Header"/>
      <w:tabs>
        <w:tab w:val="clear" w:pos="4320"/>
        <w:tab w:val="clear" w:pos="8640"/>
      </w:tabs>
      <w:jc w:val="center"/>
      <w:rPr>
        <w:sz w:val="22"/>
        <w:szCs w:val="22"/>
      </w:rPr>
    </w:pPr>
    <w:r>
      <w:rPr>
        <w:noProof/>
        <w:sz w:val="22"/>
        <w:szCs w:val="22"/>
      </w:rPr>
      <w:drawing>
        <wp:inline distT="0" distB="0" distL="0" distR="0">
          <wp:extent cx="1924050"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4775"/>
                  </a:xfrm>
                  <a:prstGeom prst="rect">
                    <a:avLst/>
                  </a:prstGeom>
                  <a:noFill/>
                  <a:ln>
                    <a:noFill/>
                  </a:ln>
                </pic:spPr>
              </pic:pic>
            </a:graphicData>
          </a:graphic>
        </wp:inline>
      </w:drawing>
    </w:r>
  </w:p>
  <w:p w:rsidR="00524637" w:rsidRPr="00EC7D62" w:rsidRDefault="009C722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7C" w:rsidRDefault="00270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82954F5"/>
    <w:multiLevelType w:val="hybridMultilevel"/>
    <w:tmpl w:val="56E29AEA"/>
    <w:lvl w:ilvl="0" w:tplc="A9FA53EE">
      <w:start w:val="1"/>
      <w:numFmt w:val="decimal"/>
      <w:lvlText w:val="%1."/>
      <w:lvlJc w:val="left"/>
      <w:pPr>
        <w:ind w:left="135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6" w15:restartNumberingAfterBreak="0">
    <w:nsid w:val="5B07743F"/>
    <w:multiLevelType w:val="hybridMultilevel"/>
    <w:tmpl w:val="1B2A5AD4"/>
    <w:lvl w:ilvl="0" w:tplc="30A0D168">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6F0A23D7"/>
    <w:multiLevelType w:val="hybridMultilevel"/>
    <w:tmpl w:val="21285A3A"/>
    <w:lvl w:ilvl="0" w:tplc="0E287DDE">
      <w:start w:val="1"/>
      <w:numFmt w:val="decimal"/>
      <w:lvlText w:val="%1&gt;"/>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8" w15:restartNumberingAfterBreak="0">
    <w:nsid w:val="79017DE6"/>
    <w:multiLevelType w:val="hybridMultilevel"/>
    <w:tmpl w:val="BE44EA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E64D32"/>
    <w:multiLevelType w:val="hybridMultilevel"/>
    <w:tmpl w:val="1BE0B2B4"/>
    <w:lvl w:ilvl="0" w:tplc="B044D3C6">
      <w:start w:val="1"/>
      <w:numFmt w:val="decimal"/>
      <w:lvlText w:val="%1."/>
      <w:lvlJc w:val="left"/>
      <w:pPr>
        <w:tabs>
          <w:tab w:val="num" w:pos="2098"/>
        </w:tabs>
      </w:pPr>
      <w:rPr>
        <w:rFonts w:ascii="Verdana" w:eastAsia="Times New Roman" w:hAnsi="Verdana" w:cs="Times New Roman"/>
        <w:b w:val="0"/>
        <w:i w:val="0"/>
        <w:color w:val="auto"/>
        <w:sz w:val="20"/>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5"/>
  </w:num>
  <w:num w:numId="2">
    <w:abstractNumId w:val="7"/>
  </w:num>
  <w:num w:numId="3">
    <w:abstractNumId w:val="57"/>
  </w:num>
  <w:num w:numId="4">
    <w:abstractNumId w:val="24"/>
  </w:num>
  <w:num w:numId="5">
    <w:abstractNumId w:val="50"/>
  </w:num>
  <w:num w:numId="6">
    <w:abstractNumId w:val="29"/>
  </w:num>
  <w:num w:numId="7">
    <w:abstractNumId w:val="8"/>
  </w:num>
  <w:num w:numId="8">
    <w:abstractNumId w:val="19"/>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1"/>
  </w:num>
  <w:num w:numId="43">
    <w:abstractNumId w:val="52"/>
  </w:num>
  <w:num w:numId="44">
    <w:abstractNumId w:val="55"/>
  </w:num>
  <w:num w:numId="45">
    <w:abstractNumId w:val="56"/>
  </w:num>
  <w:num w:numId="46">
    <w:abstractNumId w:val="59"/>
  </w:num>
  <w:num w:numId="47">
    <w:abstractNumId w:val="60"/>
  </w:num>
  <w:num w:numId="48">
    <w:abstractNumId w:val="61"/>
  </w:num>
  <w:num w:numId="49">
    <w:abstractNumId w:val="63"/>
  </w:num>
  <w:num w:numId="50">
    <w:abstractNumId w:val="65"/>
  </w:num>
  <w:num w:numId="51">
    <w:abstractNumId w:val="23"/>
  </w:num>
  <w:num w:numId="52">
    <w:abstractNumId w:val="42"/>
  </w:num>
  <w:num w:numId="53">
    <w:abstractNumId w:val="54"/>
  </w:num>
  <w:num w:numId="54">
    <w:abstractNumId w:val="47"/>
  </w:num>
  <w:num w:numId="55">
    <w:abstractNumId w:val="6"/>
  </w:num>
  <w:num w:numId="56">
    <w:abstractNumId w:val="44"/>
  </w:num>
  <w:num w:numId="57">
    <w:abstractNumId w:val="64"/>
  </w:num>
  <w:num w:numId="58">
    <w:abstractNumId w:val="22"/>
  </w:num>
  <w:num w:numId="59">
    <w:abstractNumId w:val="4"/>
  </w:num>
  <w:num w:numId="60">
    <w:abstractNumId w:val="49"/>
  </w:num>
  <w:num w:numId="61">
    <w:abstractNumId w:val="18"/>
  </w:num>
  <w:num w:numId="62">
    <w:abstractNumId w:val="53"/>
  </w:num>
  <w:num w:numId="63">
    <w:abstractNumId w:val="46"/>
  </w:num>
  <w:num w:numId="64">
    <w:abstractNumId w:val="58"/>
  </w:num>
  <w:num w:numId="65">
    <w:abstractNumId w:val="3"/>
  </w:num>
  <w:num w:numId="66">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32CC"/>
    <w:rsid w:val="00015371"/>
    <w:rsid w:val="00015701"/>
    <w:rsid w:val="0001788C"/>
    <w:rsid w:val="00020B75"/>
    <w:rsid w:val="0002186F"/>
    <w:rsid w:val="00021EE7"/>
    <w:rsid w:val="000337EF"/>
    <w:rsid w:val="00040C3A"/>
    <w:rsid w:val="000419AD"/>
    <w:rsid w:val="00050FAA"/>
    <w:rsid w:val="0005328B"/>
    <w:rsid w:val="000534E5"/>
    <w:rsid w:val="00057D37"/>
    <w:rsid w:val="000716C5"/>
    <w:rsid w:val="00073463"/>
    <w:rsid w:val="00075E23"/>
    <w:rsid w:val="0008653D"/>
    <w:rsid w:val="0009006E"/>
    <w:rsid w:val="0009344A"/>
    <w:rsid w:val="000A0151"/>
    <w:rsid w:val="000A19F8"/>
    <w:rsid w:val="000A3254"/>
    <w:rsid w:val="000A392E"/>
    <w:rsid w:val="000A5025"/>
    <w:rsid w:val="000A575F"/>
    <w:rsid w:val="000A63D0"/>
    <w:rsid w:val="000B0579"/>
    <w:rsid w:val="000C1C69"/>
    <w:rsid w:val="000C3A31"/>
    <w:rsid w:val="000C73A5"/>
    <w:rsid w:val="000D0692"/>
    <w:rsid w:val="000D10DB"/>
    <w:rsid w:val="000E2789"/>
    <w:rsid w:val="000E5EB5"/>
    <w:rsid w:val="000F35ED"/>
    <w:rsid w:val="00107131"/>
    <w:rsid w:val="0010736F"/>
    <w:rsid w:val="00111A8A"/>
    <w:rsid w:val="001125DC"/>
    <w:rsid w:val="00113F73"/>
    <w:rsid w:val="00116797"/>
    <w:rsid w:val="00121CC2"/>
    <w:rsid w:val="00125BC4"/>
    <w:rsid w:val="00131D8B"/>
    <w:rsid w:val="00133EE5"/>
    <w:rsid w:val="00136E3D"/>
    <w:rsid w:val="00143EFE"/>
    <w:rsid w:val="001479C0"/>
    <w:rsid w:val="0015330B"/>
    <w:rsid w:val="00156FF3"/>
    <w:rsid w:val="00157B18"/>
    <w:rsid w:val="00166101"/>
    <w:rsid w:val="00167A34"/>
    <w:rsid w:val="00176BB3"/>
    <w:rsid w:val="00177EEF"/>
    <w:rsid w:val="001803B4"/>
    <w:rsid w:val="001A084E"/>
    <w:rsid w:val="001A7870"/>
    <w:rsid w:val="001B3A00"/>
    <w:rsid w:val="001B4C00"/>
    <w:rsid w:val="001C12FA"/>
    <w:rsid w:val="001C1B41"/>
    <w:rsid w:val="001D65EF"/>
    <w:rsid w:val="001E49E7"/>
    <w:rsid w:val="001E4F91"/>
    <w:rsid w:val="001F0268"/>
    <w:rsid w:val="001F271B"/>
    <w:rsid w:val="001F7201"/>
    <w:rsid w:val="00204931"/>
    <w:rsid w:val="00215254"/>
    <w:rsid w:val="00223A29"/>
    <w:rsid w:val="002250A3"/>
    <w:rsid w:val="00231294"/>
    <w:rsid w:val="00235217"/>
    <w:rsid w:val="002355A9"/>
    <w:rsid w:val="00244632"/>
    <w:rsid w:val="00246D1F"/>
    <w:rsid w:val="00247403"/>
    <w:rsid w:val="00247542"/>
    <w:rsid w:val="00266B61"/>
    <w:rsid w:val="0026712A"/>
    <w:rsid w:val="002704DB"/>
    <w:rsid w:val="00270A7C"/>
    <w:rsid w:val="002745F4"/>
    <w:rsid w:val="00277BDA"/>
    <w:rsid w:val="002876BD"/>
    <w:rsid w:val="002914D1"/>
    <w:rsid w:val="0029575A"/>
    <w:rsid w:val="002A0AAE"/>
    <w:rsid w:val="002A5820"/>
    <w:rsid w:val="002A6F49"/>
    <w:rsid w:val="002C3350"/>
    <w:rsid w:val="002D1451"/>
    <w:rsid w:val="002D2B26"/>
    <w:rsid w:val="002D7EA2"/>
    <w:rsid w:val="002E187C"/>
    <w:rsid w:val="002E21DD"/>
    <w:rsid w:val="002E2692"/>
    <w:rsid w:val="002E5FE8"/>
    <w:rsid w:val="002E7512"/>
    <w:rsid w:val="002F3724"/>
    <w:rsid w:val="00302733"/>
    <w:rsid w:val="003121D5"/>
    <w:rsid w:val="00314078"/>
    <w:rsid w:val="00314B4C"/>
    <w:rsid w:val="0031535D"/>
    <w:rsid w:val="00315465"/>
    <w:rsid w:val="003239B8"/>
    <w:rsid w:val="0033040B"/>
    <w:rsid w:val="0033169F"/>
    <w:rsid w:val="0034224A"/>
    <w:rsid w:val="00343438"/>
    <w:rsid w:val="00344977"/>
    <w:rsid w:val="00346C95"/>
    <w:rsid w:val="00351155"/>
    <w:rsid w:val="0035208B"/>
    <w:rsid w:val="00356185"/>
    <w:rsid w:val="00360380"/>
    <w:rsid w:val="00365BFF"/>
    <w:rsid w:val="00367252"/>
    <w:rsid w:val="0037519E"/>
    <w:rsid w:val="00377547"/>
    <w:rsid w:val="00381CEA"/>
    <w:rsid w:val="003823C8"/>
    <w:rsid w:val="00386C6C"/>
    <w:rsid w:val="00386CF0"/>
    <w:rsid w:val="00390BAB"/>
    <w:rsid w:val="003942EC"/>
    <w:rsid w:val="003A6337"/>
    <w:rsid w:val="003B4FF6"/>
    <w:rsid w:val="003B70FB"/>
    <w:rsid w:val="003B713F"/>
    <w:rsid w:val="003C6112"/>
    <w:rsid w:val="003C676B"/>
    <w:rsid w:val="003C7D7C"/>
    <w:rsid w:val="003D0A55"/>
    <w:rsid w:val="003D175F"/>
    <w:rsid w:val="003D3BC2"/>
    <w:rsid w:val="003D74EE"/>
    <w:rsid w:val="003E614F"/>
    <w:rsid w:val="003E6CA1"/>
    <w:rsid w:val="003E6CE1"/>
    <w:rsid w:val="003F25E4"/>
    <w:rsid w:val="003F557E"/>
    <w:rsid w:val="00402212"/>
    <w:rsid w:val="004065A8"/>
    <w:rsid w:val="004153F5"/>
    <w:rsid w:val="004165C2"/>
    <w:rsid w:val="00422E3E"/>
    <w:rsid w:val="004249F2"/>
    <w:rsid w:val="004304AD"/>
    <w:rsid w:val="00441B78"/>
    <w:rsid w:val="00441ECB"/>
    <w:rsid w:val="00442B81"/>
    <w:rsid w:val="00445193"/>
    <w:rsid w:val="00447CCF"/>
    <w:rsid w:val="00454994"/>
    <w:rsid w:val="004565BA"/>
    <w:rsid w:val="00462C1B"/>
    <w:rsid w:val="00467B7E"/>
    <w:rsid w:val="0047080D"/>
    <w:rsid w:val="00473BB4"/>
    <w:rsid w:val="00476211"/>
    <w:rsid w:val="0047706C"/>
    <w:rsid w:val="00477592"/>
    <w:rsid w:val="00486F1C"/>
    <w:rsid w:val="0049419D"/>
    <w:rsid w:val="004A59CC"/>
    <w:rsid w:val="004A6A54"/>
    <w:rsid w:val="004B7D6C"/>
    <w:rsid w:val="004C20D2"/>
    <w:rsid w:val="004C2312"/>
    <w:rsid w:val="004C3D79"/>
    <w:rsid w:val="004C4B62"/>
    <w:rsid w:val="004C54C9"/>
    <w:rsid w:val="004C616A"/>
    <w:rsid w:val="004D4ABA"/>
    <w:rsid w:val="004D6025"/>
    <w:rsid w:val="004D614A"/>
    <w:rsid w:val="004E19B1"/>
    <w:rsid w:val="004E2649"/>
    <w:rsid w:val="004F018C"/>
    <w:rsid w:val="004F1612"/>
    <w:rsid w:val="004F7909"/>
    <w:rsid w:val="00501399"/>
    <w:rsid w:val="00501652"/>
    <w:rsid w:val="0050633D"/>
    <w:rsid w:val="00507BC4"/>
    <w:rsid w:val="005128E4"/>
    <w:rsid w:val="00513123"/>
    <w:rsid w:val="005133DB"/>
    <w:rsid w:val="00520FE5"/>
    <w:rsid w:val="00524637"/>
    <w:rsid w:val="00525560"/>
    <w:rsid w:val="005415E6"/>
    <w:rsid w:val="00544216"/>
    <w:rsid w:val="00544C49"/>
    <w:rsid w:val="005516A1"/>
    <w:rsid w:val="005530D6"/>
    <w:rsid w:val="00563557"/>
    <w:rsid w:val="00564AD8"/>
    <w:rsid w:val="0057402A"/>
    <w:rsid w:val="00574CB7"/>
    <w:rsid w:val="00574D87"/>
    <w:rsid w:val="005771D0"/>
    <w:rsid w:val="00587C3A"/>
    <w:rsid w:val="00590638"/>
    <w:rsid w:val="0059191A"/>
    <w:rsid w:val="005921FF"/>
    <w:rsid w:val="00594707"/>
    <w:rsid w:val="005A24ED"/>
    <w:rsid w:val="005A6D0E"/>
    <w:rsid w:val="005B29F3"/>
    <w:rsid w:val="005B37CC"/>
    <w:rsid w:val="005B52B0"/>
    <w:rsid w:val="005B6806"/>
    <w:rsid w:val="005B6D22"/>
    <w:rsid w:val="005C261A"/>
    <w:rsid w:val="005C4225"/>
    <w:rsid w:val="005C7989"/>
    <w:rsid w:val="005D66AD"/>
    <w:rsid w:val="005E0B65"/>
    <w:rsid w:val="005E11B2"/>
    <w:rsid w:val="005E7F3F"/>
    <w:rsid w:val="005F0DAD"/>
    <w:rsid w:val="005F0F33"/>
    <w:rsid w:val="005F4865"/>
    <w:rsid w:val="00600DEB"/>
    <w:rsid w:val="006068B7"/>
    <w:rsid w:val="006132CC"/>
    <w:rsid w:val="0061542B"/>
    <w:rsid w:val="00622982"/>
    <w:rsid w:val="006277DE"/>
    <w:rsid w:val="00627C9F"/>
    <w:rsid w:val="006301D4"/>
    <w:rsid w:val="006311E9"/>
    <w:rsid w:val="00632354"/>
    <w:rsid w:val="00642810"/>
    <w:rsid w:val="00647756"/>
    <w:rsid w:val="006509DA"/>
    <w:rsid w:val="00652333"/>
    <w:rsid w:val="00671D1F"/>
    <w:rsid w:val="006775AB"/>
    <w:rsid w:val="0068009E"/>
    <w:rsid w:val="006819E9"/>
    <w:rsid w:val="00686471"/>
    <w:rsid w:val="0068794B"/>
    <w:rsid w:val="00691479"/>
    <w:rsid w:val="00691BBE"/>
    <w:rsid w:val="00692219"/>
    <w:rsid w:val="0069402E"/>
    <w:rsid w:val="00695D59"/>
    <w:rsid w:val="006A17D2"/>
    <w:rsid w:val="006A73E6"/>
    <w:rsid w:val="006B2C5D"/>
    <w:rsid w:val="006B2D5C"/>
    <w:rsid w:val="006B2EE8"/>
    <w:rsid w:val="006C3590"/>
    <w:rsid w:val="006C4EB1"/>
    <w:rsid w:val="006E0166"/>
    <w:rsid w:val="006E772A"/>
    <w:rsid w:val="006E7B34"/>
    <w:rsid w:val="007048D9"/>
    <w:rsid w:val="0070657E"/>
    <w:rsid w:val="0070697F"/>
    <w:rsid w:val="00706F95"/>
    <w:rsid w:val="00715C82"/>
    <w:rsid w:val="0072199C"/>
    <w:rsid w:val="00722C9F"/>
    <w:rsid w:val="007253B8"/>
    <w:rsid w:val="00727B0E"/>
    <w:rsid w:val="00730425"/>
    <w:rsid w:val="007350F0"/>
    <w:rsid w:val="0073598C"/>
    <w:rsid w:val="0073741F"/>
    <w:rsid w:val="00751AB5"/>
    <w:rsid w:val="0076643F"/>
    <w:rsid w:val="00777BBC"/>
    <w:rsid w:val="00777F63"/>
    <w:rsid w:val="007852B5"/>
    <w:rsid w:val="00796A37"/>
    <w:rsid w:val="007A5817"/>
    <w:rsid w:val="007B05C4"/>
    <w:rsid w:val="007B0DF7"/>
    <w:rsid w:val="007B60E9"/>
    <w:rsid w:val="007B60FF"/>
    <w:rsid w:val="007B6CC3"/>
    <w:rsid w:val="007C11BB"/>
    <w:rsid w:val="007C3137"/>
    <w:rsid w:val="007C3334"/>
    <w:rsid w:val="007C402A"/>
    <w:rsid w:val="007D2B98"/>
    <w:rsid w:val="007D7C02"/>
    <w:rsid w:val="007E21BC"/>
    <w:rsid w:val="007E4D43"/>
    <w:rsid w:val="007E58FE"/>
    <w:rsid w:val="007E7C82"/>
    <w:rsid w:val="007F588D"/>
    <w:rsid w:val="00802748"/>
    <w:rsid w:val="00803F1C"/>
    <w:rsid w:val="0080600E"/>
    <w:rsid w:val="008061EE"/>
    <w:rsid w:val="00813605"/>
    <w:rsid w:val="00817612"/>
    <w:rsid w:val="00817DBC"/>
    <w:rsid w:val="008213D9"/>
    <w:rsid w:val="00824139"/>
    <w:rsid w:val="008255CF"/>
    <w:rsid w:val="008338A4"/>
    <w:rsid w:val="0083407D"/>
    <w:rsid w:val="00834D49"/>
    <w:rsid w:val="00837C45"/>
    <w:rsid w:val="008411F0"/>
    <w:rsid w:val="008439BC"/>
    <w:rsid w:val="00844730"/>
    <w:rsid w:val="008457C2"/>
    <w:rsid w:val="00857A82"/>
    <w:rsid w:val="00871526"/>
    <w:rsid w:val="00873836"/>
    <w:rsid w:val="00874593"/>
    <w:rsid w:val="00875668"/>
    <w:rsid w:val="00885737"/>
    <w:rsid w:val="00890650"/>
    <w:rsid w:val="00897E12"/>
    <w:rsid w:val="008A0F81"/>
    <w:rsid w:val="008A310C"/>
    <w:rsid w:val="008A7E0F"/>
    <w:rsid w:val="008B0523"/>
    <w:rsid w:val="008B12F5"/>
    <w:rsid w:val="008B5932"/>
    <w:rsid w:val="008C5751"/>
    <w:rsid w:val="008D2290"/>
    <w:rsid w:val="008D709C"/>
    <w:rsid w:val="008D768D"/>
    <w:rsid w:val="008E0FD8"/>
    <w:rsid w:val="008E0FDF"/>
    <w:rsid w:val="008E1071"/>
    <w:rsid w:val="008E328A"/>
    <w:rsid w:val="008E3759"/>
    <w:rsid w:val="008E3BFE"/>
    <w:rsid w:val="008E5B96"/>
    <w:rsid w:val="008E7900"/>
    <w:rsid w:val="008F1912"/>
    <w:rsid w:val="008F6FDF"/>
    <w:rsid w:val="0090270B"/>
    <w:rsid w:val="00903522"/>
    <w:rsid w:val="009041DC"/>
    <w:rsid w:val="0091369C"/>
    <w:rsid w:val="009144DF"/>
    <w:rsid w:val="00917B5A"/>
    <w:rsid w:val="00920A58"/>
    <w:rsid w:val="00920A8C"/>
    <w:rsid w:val="00934A2C"/>
    <w:rsid w:val="009358AD"/>
    <w:rsid w:val="00935F06"/>
    <w:rsid w:val="00937B3A"/>
    <w:rsid w:val="00950369"/>
    <w:rsid w:val="00954B82"/>
    <w:rsid w:val="00956677"/>
    <w:rsid w:val="00957000"/>
    <w:rsid w:val="00962436"/>
    <w:rsid w:val="0096706E"/>
    <w:rsid w:val="00974491"/>
    <w:rsid w:val="00975C4E"/>
    <w:rsid w:val="00981FBA"/>
    <w:rsid w:val="00985C64"/>
    <w:rsid w:val="00997BC5"/>
    <w:rsid w:val="009A0B78"/>
    <w:rsid w:val="009A4F41"/>
    <w:rsid w:val="009A7D79"/>
    <w:rsid w:val="009B381B"/>
    <w:rsid w:val="009C2FC5"/>
    <w:rsid w:val="009C6427"/>
    <w:rsid w:val="009C722E"/>
    <w:rsid w:val="009D1753"/>
    <w:rsid w:val="009D6502"/>
    <w:rsid w:val="009D7611"/>
    <w:rsid w:val="009D78A5"/>
    <w:rsid w:val="009E08DD"/>
    <w:rsid w:val="009E0B61"/>
    <w:rsid w:val="009E53DE"/>
    <w:rsid w:val="009E7C00"/>
    <w:rsid w:val="009F6426"/>
    <w:rsid w:val="00A0691C"/>
    <w:rsid w:val="00A11E44"/>
    <w:rsid w:val="00A154C8"/>
    <w:rsid w:val="00A22397"/>
    <w:rsid w:val="00A32313"/>
    <w:rsid w:val="00A328B3"/>
    <w:rsid w:val="00A4489F"/>
    <w:rsid w:val="00A50FCF"/>
    <w:rsid w:val="00A528D1"/>
    <w:rsid w:val="00A610CD"/>
    <w:rsid w:val="00A625E0"/>
    <w:rsid w:val="00A74947"/>
    <w:rsid w:val="00A758AA"/>
    <w:rsid w:val="00A808F6"/>
    <w:rsid w:val="00A92093"/>
    <w:rsid w:val="00AA09A2"/>
    <w:rsid w:val="00AA121E"/>
    <w:rsid w:val="00AA7996"/>
    <w:rsid w:val="00AB6945"/>
    <w:rsid w:val="00AC19CB"/>
    <w:rsid w:val="00AD1886"/>
    <w:rsid w:val="00AD71DA"/>
    <w:rsid w:val="00AE5488"/>
    <w:rsid w:val="00AE6F91"/>
    <w:rsid w:val="00AF5571"/>
    <w:rsid w:val="00B00FE8"/>
    <w:rsid w:val="00B06B4E"/>
    <w:rsid w:val="00B07036"/>
    <w:rsid w:val="00B07341"/>
    <w:rsid w:val="00B13B20"/>
    <w:rsid w:val="00B202B5"/>
    <w:rsid w:val="00B248C2"/>
    <w:rsid w:val="00B26EEA"/>
    <w:rsid w:val="00B30539"/>
    <w:rsid w:val="00B314DB"/>
    <w:rsid w:val="00B361F2"/>
    <w:rsid w:val="00B3718B"/>
    <w:rsid w:val="00B4632A"/>
    <w:rsid w:val="00B479F0"/>
    <w:rsid w:val="00B50335"/>
    <w:rsid w:val="00B5067D"/>
    <w:rsid w:val="00B530F1"/>
    <w:rsid w:val="00B53E3D"/>
    <w:rsid w:val="00B54CDF"/>
    <w:rsid w:val="00B57297"/>
    <w:rsid w:val="00B64E31"/>
    <w:rsid w:val="00B727E0"/>
    <w:rsid w:val="00B736AF"/>
    <w:rsid w:val="00B742BE"/>
    <w:rsid w:val="00B87359"/>
    <w:rsid w:val="00B91E2D"/>
    <w:rsid w:val="00B923F0"/>
    <w:rsid w:val="00B97946"/>
    <w:rsid w:val="00BA276C"/>
    <w:rsid w:val="00BA2C80"/>
    <w:rsid w:val="00BA5544"/>
    <w:rsid w:val="00BB306F"/>
    <w:rsid w:val="00BB3FBD"/>
    <w:rsid w:val="00BB4413"/>
    <w:rsid w:val="00BB613E"/>
    <w:rsid w:val="00BC6CD0"/>
    <w:rsid w:val="00BD4B89"/>
    <w:rsid w:val="00BD5922"/>
    <w:rsid w:val="00BD76D9"/>
    <w:rsid w:val="00BE3108"/>
    <w:rsid w:val="00BE7791"/>
    <w:rsid w:val="00BF02CB"/>
    <w:rsid w:val="00BF4EDE"/>
    <w:rsid w:val="00BF514A"/>
    <w:rsid w:val="00BF6FD8"/>
    <w:rsid w:val="00BF775D"/>
    <w:rsid w:val="00C004CF"/>
    <w:rsid w:val="00C03680"/>
    <w:rsid w:val="00C054DF"/>
    <w:rsid w:val="00C10AFC"/>
    <w:rsid w:val="00C21562"/>
    <w:rsid w:val="00C21762"/>
    <w:rsid w:val="00C21FEF"/>
    <w:rsid w:val="00C24543"/>
    <w:rsid w:val="00C256A2"/>
    <w:rsid w:val="00C35A26"/>
    <w:rsid w:val="00C44535"/>
    <w:rsid w:val="00C51515"/>
    <w:rsid w:val="00C53910"/>
    <w:rsid w:val="00C5660B"/>
    <w:rsid w:val="00C56854"/>
    <w:rsid w:val="00C5788A"/>
    <w:rsid w:val="00C63D92"/>
    <w:rsid w:val="00C66B72"/>
    <w:rsid w:val="00C72885"/>
    <w:rsid w:val="00C73155"/>
    <w:rsid w:val="00C7576E"/>
    <w:rsid w:val="00C87AC4"/>
    <w:rsid w:val="00C9567A"/>
    <w:rsid w:val="00CA48A3"/>
    <w:rsid w:val="00CB212D"/>
    <w:rsid w:val="00CB2660"/>
    <w:rsid w:val="00CC0BC5"/>
    <w:rsid w:val="00CC3ACA"/>
    <w:rsid w:val="00CC5E90"/>
    <w:rsid w:val="00CD046C"/>
    <w:rsid w:val="00CD186A"/>
    <w:rsid w:val="00CE076C"/>
    <w:rsid w:val="00CE5199"/>
    <w:rsid w:val="00CE66D5"/>
    <w:rsid w:val="00CF637A"/>
    <w:rsid w:val="00D059DE"/>
    <w:rsid w:val="00D05ABD"/>
    <w:rsid w:val="00D0737F"/>
    <w:rsid w:val="00D13FCE"/>
    <w:rsid w:val="00D17E8C"/>
    <w:rsid w:val="00D306D1"/>
    <w:rsid w:val="00D30800"/>
    <w:rsid w:val="00D32C13"/>
    <w:rsid w:val="00D34786"/>
    <w:rsid w:val="00D37BFC"/>
    <w:rsid w:val="00D42822"/>
    <w:rsid w:val="00D45902"/>
    <w:rsid w:val="00D47A8E"/>
    <w:rsid w:val="00D52D14"/>
    <w:rsid w:val="00D55256"/>
    <w:rsid w:val="00D56D93"/>
    <w:rsid w:val="00D656C5"/>
    <w:rsid w:val="00D67080"/>
    <w:rsid w:val="00D712D3"/>
    <w:rsid w:val="00D71422"/>
    <w:rsid w:val="00D72DC6"/>
    <w:rsid w:val="00D73F5E"/>
    <w:rsid w:val="00D74348"/>
    <w:rsid w:val="00D749B7"/>
    <w:rsid w:val="00D7558D"/>
    <w:rsid w:val="00D77503"/>
    <w:rsid w:val="00D81D92"/>
    <w:rsid w:val="00D876F9"/>
    <w:rsid w:val="00D877B6"/>
    <w:rsid w:val="00D92B1C"/>
    <w:rsid w:val="00D93A90"/>
    <w:rsid w:val="00DA7B5F"/>
    <w:rsid w:val="00DC11E7"/>
    <w:rsid w:val="00DC7023"/>
    <w:rsid w:val="00DC769A"/>
    <w:rsid w:val="00DD061E"/>
    <w:rsid w:val="00DD2D08"/>
    <w:rsid w:val="00DD3D86"/>
    <w:rsid w:val="00DE12F0"/>
    <w:rsid w:val="00DE4F0D"/>
    <w:rsid w:val="00DE53FB"/>
    <w:rsid w:val="00DF1EC4"/>
    <w:rsid w:val="00DF51E9"/>
    <w:rsid w:val="00E01943"/>
    <w:rsid w:val="00E0340B"/>
    <w:rsid w:val="00E03B0F"/>
    <w:rsid w:val="00E04A90"/>
    <w:rsid w:val="00E0551F"/>
    <w:rsid w:val="00E11111"/>
    <w:rsid w:val="00E111CB"/>
    <w:rsid w:val="00E219C7"/>
    <w:rsid w:val="00E26CCA"/>
    <w:rsid w:val="00E27F56"/>
    <w:rsid w:val="00E4118C"/>
    <w:rsid w:val="00E43157"/>
    <w:rsid w:val="00E461CE"/>
    <w:rsid w:val="00E64139"/>
    <w:rsid w:val="00E67714"/>
    <w:rsid w:val="00E720CA"/>
    <w:rsid w:val="00E83357"/>
    <w:rsid w:val="00E84EB5"/>
    <w:rsid w:val="00E85662"/>
    <w:rsid w:val="00E8789F"/>
    <w:rsid w:val="00E87A11"/>
    <w:rsid w:val="00E92747"/>
    <w:rsid w:val="00E928F4"/>
    <w:rsid w:val="00E97382"/>
    <w:rsid w:val="00E97B71"/>
    <w:rsid w:val="00EA261D"/>
    <w:rsid w:val="00EA3D34"/>
    <w:rsid w:val="00EA4A5E"/>
    <w:rsid w:val="00EB140A"/>
    <w:rsid w:val="00EB1FA8"/>
    <w:rsid w:val="00EB3BED"/>
    <w:rsid w:val="00EB454D"/>
    <w:rsid w:val="00EC0738"/>
    <w:rsid w:val="00EC26E9"/>
    <w:rsid w:val="00EC72AB"/>
    <w:rsid w:val="00EC7D62"/>
    <w:rsid w:val="00ED2F03"/>
    <w:rsid w:val="00ED549D"/>
    <w:rsid w:val="00ED76BE"/>
    <w:rsid w:val="00ED7F05"/>
    <w:rsid w:val="00EE00E9"/>
    <w:rsid w:val="00EE014D"/>
    <w:rsid w:val="00EE3C9B"/>
    <w:rsid w:val="00EF35AB"/>
    <w:rsid w:val="00EF4C44"/>
    <w:rsid w:val="00EF619B"/>
    <w:rsid w:val="00F00B55"/>
    <w:rsid w:val="00F02AD1"/>
    <w:rsid w:val="00F04591"/>
    <w:rsid w:val="00F06354"/>
    <w:rsid w:val="00F1117E"/>
    <w:rsid w:val="00F253CC"/>
    <w:rsid w:val="00F262A3"/>
    <w:rsid w:val="00F332EF"/>
    <w:rsid w:val="00F37106"/>
    <w:rsid w:val="00F519CF"/>
    <w:rsid w:val="00F53168"/>
    <w:rsid w:val="00F56BA5"/>
    <w:rsid w:val="00F60E22"/>
    <w:rsid w:val="00F622E3"/>
    <w:rsid w:val="00F63B39"/>
    <w:rsid w:val="00F81395"/>
    <w:rsid w:val="00F81887"/>
    <w:rsid w:val="00F81BB8"/>
    <w:rsid w:val="00F9093A"/>
    <w:rsid w:val="00F917D1"/>
    <w:rsid w:val="00F9342C"/>
    <w:rsid w:val="00F9653B"/>
    <w:rsid w:val="00FA56EA"/>
    <w:rsid w:val="00FA7EDA"/>
    <w:rsid w:val="00FB62CF"/>
    <w:rsid w:val="00FC0F4A"/>
    <w:rsid w:val="00FC2B4A"/>
    <w:rsid w:val="00FC3330"/>
    <w:rsid w:val="00FC7E1B"/>
    <w:rsid w:val="00FD3C3B"/>
    <w:rsid w:val="00FD56C0"/>
    <w:rsid w:val="00FE07DD"/>
    <w:rsid w:val="00FE5C9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3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64E31"/>
    <w:rPr>
      <w:rFonts w:cs="Times New Roman"/>
      <w:u w:val="single"/>
    </w:rPr>
  </w:style>
  <w:style w:type="paragraph" w:customStyle="1" w:styleId="Cabeceraypie">
    <w:name w:val="Cabecera y pie"/>
    <w:uiPriority w:val="99"/>
    <w:rsid w:val="00B64E3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64E31"/>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64E3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64E31"/>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751AB5"/>
    <w:rPr>
      <w:rFonts w:cs="Times New Roman"/>
      <w:sz w:val="24"/>
      <w:szCs w:val="24"/>
      <w:lang w:val="en-US" w:eastAsia="en-US"/>
    </w:rPr>
  </w:style>
  <w:style w:type="paragraph" w:styleId="ListParagraph">
    <w:name w:val="List Paragraph"/>
    <w:basedOn w:val="Normal"/>
    <w:uiPriority w:val="99"/>
    <w:qFormat/>
    <w:rsid w:val="00B64E31"/>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1"/>
    <w:uiPriority w:val="99"/>
    <w:rsid w:val="00B64E31"/>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uiPriority w:val="99"/>
    <w:semiHidden/>
    <w:rsid w:val="001148D3"/>
    <w:rPr>
      <w:sz w:val="20"/>
      <w:szCs w:val="20"/>
      <w:lang w:val="en-US" w:eastAsia="en-US"/>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t Cha"/>
    <w:basedOn w:val="DefaultParagraphFont"/>
    <w:uiPriority w:val="99"/>
    <w:semiHidden/>
    <w:rPr>
      <w:rFonts w:cs="Times New Roman"/>
      <w:sz w:val="20"/>
      <w:szCs w:val="20"/>
      <w:lang w:val="en-US" w:eastAsia="en-US"/>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t Ch"/>
    <w:basedOn w:val="DefaultParagraphFont"/>
    <w:uiPriority w:val="99"/>
    <w:semiHidden/>
    <w:locked/>
    <w:rsid w:val="00EA261D"/>
    <w:rPr>
      <w:rFonts w:cs="Times New Roman"/>
      <w:sz w:val="20"/>
      <w:szCs w:val="20"/>
      <w:lang w:val="en-US" w:eastAsia="en-US"/>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t Ch2"/>
    <w:basedOn w:val="DefaultParagraphFont"/>
    <w:uiPriority w:val="99"/>
    <w:semiHidden/>
    <w:locked/>
    <w:rsid w:val="006B2C5D"/>
    <w:rPr>
      <w:rFonts w:cs="Times New Roman"/>
      <w:sz w:val="20"/>
      <w:szCs w:val="20"/>
      <w:lang w:val="en-US" w:eastAsia="en-US"/>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t Ch1"/>
    <w:basedOn w:val="DefaultParagraphFont"/>
    <w:uiPriority w:val="99"/>
    <w:semiHidden/>
    <w:rsid w:val="008B0523"/>
    <w:rPr>
      <w:rFonts w:cs="Times New Roman"/>
      <w:sz w:val="20"/>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locked/>
    <w:rsid w:val="0031535D"/>
    <w:rPr>
      <w:rFonts w:ascii="Calibri" w:hAnsi="Calibri" w:cs="Times New Roman"/>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iPriority w:val="99"/>
    <w:locked/>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rsid w:val="005B6D22"/>
    <w:rPr>
      <w:sz w:val="20"/>
      <w:szCs w:val="20"/>
    </w:rPr>
  </w:style>
  <w:style w:type="character" w:customStyle="1" w:styleId="CommentTextChar">
    <w:name w:val="Comment Text Char"/>
    <w:basedOn w:val="DefaultParagraphFont"/>
    <w:link w:val="CommentText"/>
    <w:uiPriority w:val="99"/>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14B4C"/>
    <w:pPr>
      <w:pBdr>
        <w:top w:val="none" w:sz="0" w:space="0" w:color="auto"/>
        <w:left w:val="none" w:sz="0" w:space="0" w:color="auto"/>
        <w:bottom w:val="none" w:sz="0" w:space="0" w:color="auto"/>
        <w:right w:val="none" w:sz="0" w:space="0" w:color="auto"/>
        <w:bar w:val="none" w:sz="0" w:color="auto"/>
      </w:pBdr>
      <w:jc w:val="both"/>
    </w:pPr>
    <w:rPr>
      <w:sz w:val="20"/>
      <w:szCs w:val="20"/>
      <w:vertAlign w:val="superscript"/>
      <w:lang w:val="es-ES" w:eastAsia="es-ES"/>
    </w:rPr>
  </w:style>
  <w:style w:type="numbering" w:customStyle="1" w:styleId="List16">
    <w:name w:val="List 16"/>
    <w:rsid w:val="001148D3"/>
    <w:pPr>
      <w:numPr>
        <w:numId w:val="10"/>
      </w:numPr>
    </w:pPr>
  </w:style>
  <w:style w:type="numbering" w:customStyle="1" w:styleId="List36">
    <w:name w:val="List 36"/>
    <w:rsid w:val="001148D3"/>
    <w:pPr>
      <w:numPr>
        <w:numId w:val="14"/>
      </w:numPr>
    </w:pPr>
  </w:style>
  <w:style w:type="numbering" w:customStyle="1" w:styleId="List25">
    <w:name w:val="List 25"/>
    <w:rsid w:val="001148D3"/>
    <w:pPr>
      <w:numPr>
        <w:numId w:val="15"/>
      </w:numPr>
    </w:pPr>
  </w:style>
  <w:style w:type="numbering" w:customStyle="1" w:styleId="List1">
    <w:name w:val="List 1"/>
    <w:rsid w:val="001148D3"/>
    <w:pPr>
      <w:numPr>
        <w:numId w:val="1"/>
      </w:numPr>
    </w:pPr>
  </w:style>
  <w:style w:type="numbering" w:customStyle="1" w:styleId="List11">
    <w:name w:val="List 11"/>
    <w:rsid w:val="001148D3"/>
    <w:pPr>
      <w:numPr>
        <w:numId w:val="7"/>
      </w:numPr>
    </w:pPr>
  </w:style>
  <w:style w:type="numbering" w:customStyle="1" w:styleId="List15">
    <w:name w:val="List 15"/>
    <w:rsid w:val="001148D3"/>
    <w:pPr>
      <w:numPr>
        <w:numId w:val="16"/>
      </w:numPr>
    </w:pPr>
  </w:style>
  <w:style w:type="numbering" w:customStyle="1" w:styleId="List14">
    <w:name w:val="List 14"/>
    <w:rsid w:val="001148D3"/>
    <w:pPr>
      <w:numPr>
        <w:numId w:val="17"/>
      </w:numPr>
    </w:pPr>
  </w:style>
  <w:style w:type="numbering" w:customStyle="1" w:styleId="List23">
    <w:name w:val="List 23"/>
    <w:rsid w:val="001148D3"/>
    <w:pPr>
      <w:numPr>
        <w:numId w:val="18"/>
      </w:numPr>
    </w:pPr>
  </w:style>
  <w:style w:type="numbering" w:customStyle="1" w:styleId="List19">
    <w:name w:val="List 19"/>
    <w:rsid w:val="001148D3"/>
    <w:pPr>
      <w:numPr>
        <w:numId w:val="19"/>
      </w:numPr>
    </w:pPr>
  </w:style>
  <w:style w:type="numbering" w:customStyle="1" w:styleId="List45">
    <w:name w:val="List 45"/>
    <w:rsid w:val="001148D3"/>
    <w:pPr>
      <w:numPr>
        <w:numId w:val="20"/>
      </w:numPr>
    </w:pPr>
  </w:style>
  <w:style w:type="numbering" w:customStyle="1" w:styleId="List40">
    <w:name w:val="List 40"/>
    <w:rsid w:val="001148D3"/>
    <w:pPr>
      <w:numPr>
        <w:numId w:val="21"/>
      </w:numPr>
    </w:pPr>
  </w:style>
  <w:style w:type="numbering" w:customStyle="1" w:styleId="List9">
    <w:name w:val="List 9"/>
    <w:rsid w:val="001148D3"/>
    <w:pPr>
      <w:numPr>
        <w:numId w:val="22"/>
      </w:numPr>
    </w:pPr>
  </w:style>
  <w:style w:type="numbering" w:customStyle="1" w:styleId="List43">
    <w:name w:val="List 43"/>
    <w:rsid w:val="001148D3"/>
    <w:pPr>
      <w:numPr>
        <w:numId w:val="23"/>
      </w:numPr>
    </w:pPr>
  </w:style>
  <w:style w:type="numbering" w:customStyle="1" w:styleId="List46">
    <w:name w:val="List 46"/>
    <w:rsid w:val="001148D3"/>
    <w:pPr>
      <w:numPr>
        <w:numId w:val="24"/>
      </w:numPr>
    </w:pPr>
  </w:style>
  <w:style w:type="numbering" w:customStyle="1" w:styleId="List35">
    <w:name w:val="List 35"/>
    <w:rsid w:val="001148D3"/>
    <w:pPr>
      <w:numPr>
        <w:numId w:val="8"/>
      </w:numPr>
    </w:pPr>
  </w:style>
  <w:style w:type="numbering" w:customStyle="1" w:styleId="List17">
    <w:name w:val="List 17"/>
    <w:rsid w:val="001148D3"/>
    <w:pPr>
      <w:numPr>
        <w:numId w:val="25"/>
      </w:numPr>
    </w:pPr>
  </w:style>
  <w:style w:type="numbering" w:customStyle="1" w:styleId="List33">
    <w:name w:val="List 33"/>
    <w:rsid w:val="001148D3"/>
    <w:pPr>
      <w:numPr>
        <w:numId w:val="26"/>
      </w:numPr>
    </w:pPr>
  </w:style>
  <w:style w:type="numbering" w:customStyle="1" w:styleId="List7">
    <w:name w:val="List 7"/>
    <w:rsid w:val="001148D3"/>
    <w:pPr>
      <w:numPr>
        <w:numId w:val="4"/>
      </w:numPr>
    </w:pPr>
  </w:style>
  <w:style w:type="numbering" w:customStyle="1" w:styleId="List18">
    <w:name w:val="List 18"/>
    <w:rsid w:val="001148D3"/>
    <w:pPr>
      <w:numPr>
        <w:numId w:val="27"/>
      </w:numPr>
    </w:pPr>
  </w:style>
  <w:style w:type="numbering" w:customStyle="1" w:styleId="List22">
    <w:name w:val="List 22"/>
    <w:rsid w:val="001148D3"/>
    <w:pPr>
      <w:numPr>
        <w:numId w:val="28"/>
      </w:numPr>
    </w:pPr>
  </w:style>
  <w:style w:type="numbering" w:customStyle="1" w:styleId="List47">
    <w:name w:val="List 47"/>
    <w:rsid w:val="001148D3"/>
    <w:pPr>
      <w:numPr>
        <w:numId w:val="29"/>
      </w:numPr>
    </w:pPr>
  </w:style>
  <w:style w:type="numbering" w:customStyle="1" w:styleId="List28">
    <w:name w:val="List 28"/>
    <w:rsid w:val="001148D3"/>
    <w:pPr>
      <w:numPr>
        <w:numId w:val="30"/>
      </w:numPr>
    </w:pPr>
  </w:style>
  <w:style w:type="numbering" w:customStyle="1" w:styleId="List10">
    <w:name w:val="List 10"/>
    <w:rsid w:val="001148D3"/>
    <w:pPr>
      <w:numPr>
        <w:numId w:val="6"/>
      </w:numPr>
    </w:pPr>
  </w:style>
  <w:style w:type="numbering" w:customStyle="1" w:styleId="List0">
    <w:name w:val="List 0"/>
    <w:rsid w:val="001148D3"/>
    <w:pPr>
      <w:numPr>
        <w:numId w:val="31"/>
      </w:numPr>
    </w:pPr>
  </w:style>
  <w:style w:type="numbering" w:customStyle="1" w:styleId="List30">
    <w:name w:val="List 30"/>
    <w:rsid w:val="001148D3"/>
    <w:pPr>
      <w:numPr>
        <w:numId w:val="32"/>
      </w:numPr>
    </w:pPr>
  </w:style>
  <w:style w:type="numbering" w:customStyle="1" w:styleId="List29">
    <w:name w:val="List 29"/>
    <w:rsid w:val="001148D3"/>
    <w:pPr>
      <w:numPr>
        <w:numId w:val="34"/>
      </w:numPr>
    </w:pPr>
  </w:style>
  <w:style w:type="numbering" w:customStyle="1" w:styleId="List38">
    <w:name w:val="List 38"/>
    <w:rsid w:val="001148D3"/>
    <w:pPr>
      <w:numPr>
        <w:numId w:val="35"/>
      </w:numPr>
    </w:pPr>
  </w:style>
  <w:style w:type="numbering" w:customStyle="1" w:styleId="List12">
    <w:name w:val="List 12"/>
    <w:rsid w:val="001148D3"/>
    <w:pPr>
      <w:numPr>
        <w:numId w:val="36"/>
      </w:numPr>
    </w:pPr>
  </w:style>
  <w:style w:type="numbering" w:customStyle="1" w:styleId="List50">
    <w:name w:val="List 50"/>
    <w:rsid w:val="001148D3"/>
    <w:pPr>
      <w:numPr>
        <w:numId w:val="37"/>
      </w:numPr>
    </w:pPr>
  </w:style>
  <w:style w:type="numbering" w:customStyle="1" w:styleId="List34">
    <w:name w:val="List 34"/>
    <w:rsid w:val="001148D3"/>
    <w:pPr>
      <w:numPr>
        <w:numId w:val="11"/>
      </w:numPr>
    </w:pPr>
  </w:style>
  <w:style w:type="numbering" w:customStyle="1" w:styleId="List42">
    <w:name w:val="List 42"/>
    <w:rsid w:val="001148D3"/>
    <w:pPr>
      <w:numPr>
        <w:numId w:val="12"/>
      </w:numPr>
    </w:pPr>
  </w:style>
  <w:style w:type="numbering" w:customStyle="1" w:styleId="List49">
    <w:name w:val="List 49"/>
    <w:rsid w:val="001148D3"/>
    <w:pPr>
      <w:numPr>
        <w:numId w:val="39"/>
      </w:numPr>
    </w:pPr>
  </w:style>
  <w:style w:type="numbering" w:customStyle="1" w:styleId="List44">
    <w:name w:val="List 44"/>
    <w:rsid w:val="001148D3"/>
    <w:pPr>
      <w:numPr>
        <w:numId w:val="40"/>
      </w:numPr>
    </w:pPr>
  </w:style>
  <w:style w:type="numbering" w:customStyle="1" w:styleId="List21">
    <w:name w:val="List 21"/>
    <w:rsid w:val="001148D3"/>
    <w:pPr>
      <w:numPr>
        <w:numId w:val="52"/>
      </w:numPr>
    </w:pPr>
  </w:style>
  <w:style w:type="numbering" w:customStyle="1" w:styleId="List52">
    <w:name w:val="List 52"/>
    <w:rsid w:val="001148D3"/>
    <w:pPr>
      <w:numPr>
        <w:numId w:val="9"/>
      </w:numPr>
    </w:pPr>
  </w:style>
  <w:style w:type="numbering" w:customStyle="1" w:styleId="List24">
    <w:name w:val="List 24"/>
    <w:rsid w:val="001148D3"/>
    <w:pPr>
      <w:numPr>
        <w:numId w:val="13"/>
      </w:numPr>
    </w:pPr>
  </w:style>
  <w:style w:type="numbering" w:customStyle="1" w:styleId="List51">
    <w:name w:val="List 51"/>
    <w:rsid w:val="001148D3"/>
    <w:pPr>
      <w:numPr>
        <w:numId w:val="54"/>
      </w:numPr>
    </w:pPr>
  </w:style>
  <w:style w:type="numbering" w:customStyle="1" w:styleId="List27">
    <w:name w:val="List 27"/>
    <w:rsid w:val="001148D3"/>
    <w:pPr>
      <w:numPr>
        <w:numId w:val="41"/>
      </w:numPr>
    </w:pPr>
  </w:style>
  <w:style w:type="numbering" w:customStyle="1" w:styleId="List8">
    <w:name w:val="List 8"/>
    <w:rsid w:val="001148D3"/>
    <w:pPr>
      <w:numPr>
        <w:numId w:val="5"/>
      </w:numPr>
    </w:pPr>
  </w:style>
  <w:style w:type="numbering" w:customStyle="1" w:styleId="List13">
    <w:name w:val="List 13"/>
    <w:rsid w:val="001148D3"/>
    <w:pPr>
      <w:numPr>
        <w:numId w:val="42"/>
      </w:numPr>
    </w:pPr>
  </w:style>
  <w:style w:type="numbering" w:customStyle="1" w:styleId="List20">
    <w:name w:val="List 20"/>
    <w:rsid w:val="001148D3"/>
    <w:pPr>
      <w:numPr>
        <w:numId w:val="43"/>
      </w:numPr>
    </w:pPr>
  </w:style>
  <w:style w:type="numbering" w:customStyle="1" w:styleId="List41">
    <w:name w:val="List 41"/>
    <w:rsid w:val="001148D3"/>
    <w:pPr>
      <w:numPr>
        <w:numId w:val="44"/>
      </w:numPr>
    </w:pPr>
  </w:style>
  <w:style w:type="numbering" w:customStyle="1" w:styleId="List31">
    <w:name w:val="List 31"/>
    <w:rsid w:val="001148D3"/>
    <w:pPr>
      <w:numPr>
        <w:numId w:val="45"/>
      </w:numPr>
    </w:pPr>
  </w:style>
  <w:style w:type="numbering" w:customStyle="1" w:styleId="List6">
    <w:name w:val="List 6"/>
    <w:rsid w:val="001148D3"/>
    <w:pPr>
      <w:numPr>
        <w:numId w:val="3"/>
      </w:numPr>
    </w:pPr>
  </w:style>
  <w:style w:type="numbering" w:customStyle="1" w:styleId="List39">
    <w:name w:val="List 39"/>
    <w:rsid w:val="001148D3"/>
    <w:pPr>
      <w:numPr>
        <w:numId w:val="46"/>
      </w:numPr>
    </w:pPr>
  </w:style>
  <w:style w:type="numbering" w:customStyle="1" w:styleId="List37">
    <w:name w:val="List 37"/>
    <w:rsid w:val="001148D3"/>
    <w:pPr>
      <w:numPr>
        <w:numId w:val="47"/>
      </w:numPr>
    </w:pPr>
  </w:style>
  <w:style w:type="numbering" w:customStyle="1" w:styleId="List32">
    <w:name w:val="List 32"/>
    <w:rsid w:val="001148D3"/>
    <w:pPr>
      <w:numPr>
        <w:numId w:val="48"/>
      </w:numPr>
    </w:pPr>
  </w:style>
  <w:style w:type="numbering" w:customStyle="1" w:styleId="List26">
    <w:name w:val="List 26"/>
    <w:rsid w:val="001148D3"/>
    <w:pPr>
      <w:numPr>
        <w:numId w:val="49"/>
      </w:numPr>
    </w:pPr>
  </w:style>
  <w:style w:type="numbering" w:customStyle="1" w:styleId="List48">
    <w:name w:val="List 48"/>
    <w:rsid w:val="001148D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8347">
      <w:marLeft w:val="0"/>
      <w:marRight w:val="0"/>
      <w:marTop w:val="0"/>
      <w:marBottom w:val="0"/>
      <w:divBdr>
        <w:top w:val="none" w:sz="0" w:space="0" w:color="auto"/>
        <w:left w:val="none" w:sz="0" w:space="0" w:color="auto"/>
        <w:bottom w:val="none" w:sz="0" w:space="0" w:color="auto"/>
        <w:right w:val="none" w:sz="0" w:space="0" w:color="auto"/>
      </w:divBdr>
    </w:div>
    <w:div w:id="274598348">
      <w:marLeft w:val="0"/>
      <w:marRight w:val="0"/>
      <w:marTop w:val="0"/>
      <w:marBottom w:val="0"/>
      <w:divBdr>
        <w:top w:val="none" w:sz="0" w:space="0" w:color="auto"/>
        <w:left w:val="none" w:sz="0" w:space="0" w:color="auto"/>
        <w:bottom w:val="none" w:sz="0" w:space="0" w:color="auto"/>
        <w:right w:val="none" w:sz="0" w:space="0" w:color="auto"/>
      </w:divBdr>
    </w:div>
    <w:div w:id="274598349">
      <w:marLeft w:val="0"/>
      <w:marRight w:val="0"/>
      <w:marTop w:val="0"/>
      <w:marBottom w:val="0"/>
      <w:divBdr>
        <w:top w:val="none" w:sz="0" w:space="0" w:color="auto"/>
        <w:left w:val="none" w:sz="0" w:space="0" w:color="auto"/>
        <w:bottom w:val="none" w:sz="0" w:space="0" w:color="auto"/>
        <w:right w:val="none" w:sz="0" w:space="0" w:color="auto"/>
      </w:divBdr>
    </w:div>
    <w:div w:id="274598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7B1E-9316-4BA4-9786-4973CB5B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2936</Words>
  <Characters>15561</Characters>
  <Application>Microsoft Office Word</Application>
  <DocSecurity>0</DocSecurity>
  <Lines>345</Lines>
  <Paragraphs>115</Paragraphs>
  <ScaleCrop>false</ScaleCrop>
  <Company/>
  <LinksUpToDate>false</LinksUpToDate>
  <CharactersWithSpaces>18382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109/20</dc:title>
  <dc:subject/>
  <dc:creator/>
  <cp:keywords/>
  <dc:description/>
  <cp:lastModifiedBy/>
  <cp:revision>1</cp:revision>
  <dcterms:created xsi:type="dcterms:W3CDTF">2020-06-26T15:21:00Z</dcterms:created>
  <dcterms:modified xsi:type="dcterms:W3CDTF">2020-06-26T15:21:00Z</dcterms:modified>
</cp:coreProperties>
</file>