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4E463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44CCE" w:rsidRDefault="00544CCE"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544CCE" w:rsidRDefault="00544CCE"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B1A5E64" w:rsidR="00544CCE" w:rsidRPr="004E2649" w:rsidRDefault="00544CCE"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035A">
                              <w:rPr>
                                <w:rFonts w:asciiTheme="majorHAnsi" w:hAnsiTheme="majorHAnsi" w:cs="Arial"/>
                                <w:b/>
                                <w:bCs/>
                                <w:color w:val="0D0D0D" w:themeColor="text1" w:themeTint="F2"/>
                                <w:sz w:val="36"/>
                                <w:szCs w:val="22"/>
                                <w:lang w:val="es-ES_tradnl"/>
                              </w:rPr>
                              <w:t xml:space="preserve"> 238</w:t>
                            </w:r>
                            <w:r>
                              <w:rPr>
                                <w:rFonts w:asciiTheme="majorHAnsi" w:hAnsiTheme="majorHAnsi" w:cs="Arial"/>
                                <w:b/>
                                <w:bCs/>
                                <w:color w:val="0D0D0D" w:themeColor="text1" w:themeTint="F2"/>
                                <w:sz w:val="36"/>
                                <w:szCs w:val="22"/>
                                <w:lang w:val="es-ES_tradnl"/>
                              </w:rPr>
                              <w:t>/20</w:t>
                            </w:r>
                          </w:p>
                          <w:p w14:paraId="3E93845E" w14:textId="76E3DE5A" w:rsidR="00544CCE" w:rsidRDefault="00544CCE"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1437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367384C2" w:rsidR="00544CCE" w:rsidRPr="0010736F" w:rsidRDefault="00544CCE"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544CCE" w:rsidRPr="0010736F" w:rsidRDefault="00544CCE" w:rsidP="000673D0">
                            <w:pPr>
                              <w:spacing w:line="276" w:lineRule="auto"/>
                              <w:rPr>
                                <w:rFonts w:asciiTheme="majorHAnsi" w:hAnsiTheme="majorHAnsi" w:cs="Arial"/>
                                <w:color w:val="0D0D0D" w:themeColor="text1" w:themeTint="F2"/>
                                <w:szCs w:val="22"/>
                                <w:lang w:val="es-ES_tradnl"/>
                              </w:rPr>
                            </w:pPr>
                            <w:bookmarkStart w:id="1" w:name="_ftnref1"/>
                          </w:p>
                          <w:bookmarkEnd w:id="1"/>
                          <w:p w14:paraId="213AA93C" w14:textId="01356CCB" w:rsidR="00544CCE"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WILBERT ELKI MEZA MAJINO</w:t>
                            </w:r>
                          </w:p>
                          <w:p w14:paraId="627B2D33" w14:textId="77777777" w:rsidR="00544CCE" w:rsidRPr="005E3EF7"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PERÚ</w:t>
                            </w:r>
                          </w:p>
                          <w:p w14:paraId="6D9AEAC1" w14:textId="77777777" w:rsidR="00544CCE" w:rsidRPr="00AE5488" w:rsidRDefault="00544CCE"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2B1A5E64" w:rsidR="00544CCE" w:rsidRPr="004E2649" w:rsidRDefault="00544CCE"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A035A">
                        <w:rPr>
                          <w:rFonts w:asciiTheme="majorHAnsi" w:hAnsiTheme="majorHAnsi" w:cs="Arial"/>
                          <w:b/>
                          <w:bCs/>
                          <w:color w:val="0D0D0D" w:themeColor="text1" w:themeTint="F2"/>
                          <w:sz w:val="36"/>
                          <w:szCs w:val="22"/>
                          <w:lang w:val="es-ES_tradnl"/>
                        </w:rPr>
                        <w:t xml:space="preserve"> 238</w:t>
                      </w:r>
                      <w:r>
                        <w:rPr>
                          <w:rFonts w:asciiTheme="majorHAnsi" w:hAnsiTheme="majorHAnsi" w:cs="Arial"/>
                          <w:b/>
                          <w:bCs/>
                          <w:color w:val="0D0D0D" w:themeColor="text1" w:themeTint="F2"/>
                          <w:sz w:val="36"/>
                          <w:szCs w:val="22"/>
                          <w:lang w:val="es-ES_tradnl"/>
                        </w:rPr>
                        <w:t>/20</w:t>
                      </w:r>
                    </w:p>
                    <w:p w14:paraId="3E93845E" w14:textId="76E3DE5A" w:rsidR="00544CCE" w:rsidRDefault="00544CCE"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1437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367384C2" w:rsidR="00544CCE" w:rsidRPr="0010736F" w:rsidRDefault="00544CCE"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p>
                    <w:p w14:paraId="7AE16563" w14:textId="77777777" w:rsidR="00544CCE" w:rsidRPr="0010736F" w:rsidRDefault="00544CCE" w:rsidP="000673D0">
                      <w:pPr>
                        <w:spacing w:line="276" w:lineRule="auto"/>
                        <w:rPr>
                          <w:rFonts w:asciiTheme="majorHAnsi" w:hAnsiTheme="majorHAnsi" w:cs="Arial"/>
                          <w:color w:val="0D0D0D" w:themeColor="text1" w:themeTint="F2"/>
                          <w:szCs w:val="22"/>
                          <w:lang w:val="es-ES_tradnl"/>
                        </w:rPr>
                      </w:pPr>
                      <w:bookmarkStart w:id="2" w:name="_ftnref1"/>
                    </w:p>
                    <w:bookmarkEnd w:id="2"/>
                    <w:p w14:paraId="213AA93C" w14:textId="01356CCB" w:rsidR="00544CCE"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WILBERT ELKI MEZA MAJINO</w:t>
                      </w:r>
                    </w:p>
                    <w:p w14:paraId="627B2D33" w14:textId="77777777" w:rsidR="00544CCE" w:rsidRPr="005E3EF7" w:rsidRDefault="00544CCE" w:rsidP="00A2417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Theme="majorHAnsi" w:hAnsiTheme="majorHAnsi" w:cs="Arial"/>
                          <w:color w:val="0D0D0D" w:themeColor="text1" w:themeTint="F2"/>
                          <w:szCs w:val="22"/>
                          <w:lang w:val="es-ES_tradnl"/>
                        </w:rPr>
                        <w:t>PERÚ</w:t>
                      </w:r>
                    </w:p>
                    <w:p w14:paraId="6D9AEAC1" w14:textId="77777777" w:rsidR="00544CCE" w:rsidRPr="00AE5488" w:rsidRDefault="00544CCE"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9D3EA2C" w:rsidR="00544CCE" w:rsidRPr="004E2649" w:rsidRDefault="000A035A"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72531D5" w:rsidR="00544CCE" w:rsidRPr="004E2649" w:rsidRDefault="000A035A"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253</w:t>
                            </w:r>
                          </w:p>
                          <w:p w14:paraId="0BBD91A2" w14:textId="4198306F" w:rsidR="00544CCE" w:rsidRPr="00C25ADB" w:rsidRDefault="000A035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septiembre</w:t>
                            </w:r>
                            <w:r w:rsidR="00544CCE" w:rsidRPr="00C25ADB">
                              <w:rPr>
                                <w:rFonts w:asciiTheme="minorHAnsi" w:hAnsiTheme="minorHAnsi"/>
                                <w:color w:val="FFFFFF" w:themeColor="background1"/>
                                <w:sz w:val="22"/>
                                <w:lang w:val="es-PA"/>
                              </w:rPr>
                              <w:t xml:space="preserve"> 2020</w:t>
                            </w:r>
                          </w:p>
                          <w:p w14:paraId="0288BA97" w14:textId="77777777" w:rsidR="00544CCE" w:rsidRPr="00C25ADB" w:rsidRDefault="00544CCE"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79D3EA2C" w:rsidR="00544CCE" w:rsidRPr="004E2649" w:rsidRDefault="000A035A"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72531D5" w:rsidR="00544CCE" w:rsidRPr="004E2649" w:rsidRDefault="000A035A"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253</w:t>
                      </w:r>
                    </w:p>
                    <w:p w14:paraId="0BBD91A2" w14:textId="4198306F" w:rsidR="00544CCE" w:rsidRPr="00C25ADB" w:rsidRDefault="000A035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septiembre</w:t>
                      </w:r>
                      <w:r w:rsidR="00544CCE" w:rsidRPr="00C25ADB">
                        <w:rPr>
                          <w:rFonts w:asciiTheme="minorHAnsi" w:hAnsiTheme="minorHAnsi"/>
                          <w:color w:val="FFFFFF" w:themeColor="background1"/>
                          <w:sz w:val="22"/>
                          <w:lang w:val="es-PA"/>
                        </w:rPr>
                        <w:t xml:space="preserve"> 2020</w:t>
                      </w:r>
                    </w:p>
                    <w:p w14:paraId="0288BA97" w14:textId="77777777" w:rsidR="00544CCE" w:rsidRPr="00C25ADB" w:rsidRDefault="00544CCE"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8C588D0" w:rsidR="00544CCE" w:rsidRPr="00890650" w:rsidRDefault="00544CCE"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035A">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A035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D857CB">
                              <w:rPr>
                                <w:rFonts w:asciiTheme="majorHAnsi" w:hAnsiTheme="majorHAnsi"/>
                                <w:color w:val="0D0D0D" w:themeColor="text1" w:themeTint="F2"/>
                                <w:sz w:val="18"/>
                                <w:szCs w:val="22"/>
                                <w:lang w:val="es-ES"/>
                              </w:rPr>
                              <w:t>.</w:t>
                            </w:r>
                          </w:p>
                          <w:p w14:paraId="4F6ABB5B" w14:textId="77777777" w:rsidR="00544CCE" w:rsidRPr="007A5817" w:rsidRDefault="00544CCE"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44CCE" w:rsidRPr="00167A34" w:rsidRDefault="00544CCE"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58C588D0" w:rsidR="00544CCE" w:rsidRPr="00890650" w:rsidRDefault="00544CCE"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A035A">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A035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D857CB">
                        <w:rPr>
                          <w:rFonts w:asciiTheme="majorHAnsi" w:hAnsiTheme="majorHAnsi"/>
                          <w:color w:val="0D0D0D" w:themeColor="text1" w:themeTint="F2"/>
                          <w:sz w:val="18"/>
                          <w:szCs w:val="22"/>
                          <w:lang w:val="es-ES"/>
                        </w:rPr>
                        <w:t>.</w:t>
                      </w:r>
                    </w:p>
                    <w:p w14:paraId="4F6ABB5B" w14:textId="77777777" w:rsidR="00544CCE" w:rsidRPr="007A5817" w:rsidRDefault="00544CCE"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44CCE" w:rsidRPr="00167A34" w:rsidRDefault="00544CCE"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1D8DAA7A" w:rsidR="00544CCE" w:rsidRPr="007B05C4" w:rsidRDefault="00544CCE"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035A" w:rsidRPr="000A035A">
                              <w:rPr>
                                <w:rFonts w:asciiTheme="majorHAnsi" w:hAnsiTheme="majorHAnsi"/>
                                <w:color w:val="595959" w:themeColor="text1" w:themeTint="A6"/>
                                <w:sz w:val="18"/>
                                <w:szCs w:val="18"/>
                                <w:lang w:val="pt-BR"/>
                              </w:rPr>
                              <w:t>238</w:t>
                            </w:r>
                            <w:r w:rsidRPr="000A035A">
                              <w:rPr>
                                <w:rFonts w:asciiTheme="majorHAnsi" w:hAnsiTheme="majorHAnsi"/>
                                <w:color w:val="595959" w:themeColor="text1" w:themeTint="A6"/>
                                <w:sz w:val="18"/>
                                <w:szCs w:val="18"/>
                                <w:lang w:val="pt-BR"/>
                              </w:rPr>
                              <w:t xml:space="preserve">/20. </w:t>
                            </w:r>
                            <w:r>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1437-09. </w:t>
                            </w:r>
                            <w:r w:rsidR="000A035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roofErr w:type="spellStart"/>
                            <w:r>
                              <w:rPr>
                                <w:rFonts w:ascii="Cambria" w:hAnsi="Cambria"/>
                                <w:color w:val="595959"/>
                                <w:sz w:val="18"/>
                                <w:szCs w:val="18"/>
                                <w:lang w:val="es-ES_tradnl"/>
                              </w:rPr>
                              <w:t>Wilber</w:t>
                            </w:r>
                            <w:proofErr w:type="spellEnd"/>
                            <w:r>
                              <w:rPr>
                                <w:rFonts w:ascii="Cambria" w:hAnsi="Cambria"/>
                                <w:color w:val="595959"/>
                                <w:sz w:val="18"/>
                                <w:szCs w:val="18"/>
                                <w:lang w:val="es-ES_tradnl"/>
                              </w:rPr>
                              <w:t xml:space="preserve"> </w:t>
                            </w:r>
                            <w:proofErr w:type="spellStart"/>
                            <w:r>
                              <w:rPr>
                                <w:rFonts w:ascii="Cambria" w:hAnsi="Cambria"/>
                                <w:color w:val="595959"/>
                                <w:sz w:val="18"/>
                                <w:szCs w:val="18"/>
                                <w:lang w:val="es-ES_tradnl"/>
                              </w:rPr>
                              <w:t>Elki</w:t>
                            </w:r>
                            <w:proofErr w:type="spellEnd"/>
                            <w:r>
                              <w:rPr>
                                <w:rFonts w:ascii="Cambria" w:hAnsi="Cambria"/>
                                <w:color w:val="595959"/>
                                <w:sz w:val="18"/>
                                <w:szCs w:val="18"/>
                                <w:lang w:val="es-ES_tradnl"/>
                              </w:rPr>
                              <w:t xml:space="preserve"> Meza </w:t>
                            </w:r>
                            <w:proofErr w:type="spellStart"/>
                            <w:r>
                              <w:rPr>
                                <w:rFonts w:ascii="Cambria" w:hAnsi="Cambria"/>
                                <w:color w:val="595959"/>
                                <w:sz w:val="18"/>
                                <w:szCs w:val="18"/>
                                <w:lang w:val="es-ES_tradnl"/>
                              </w:rPr>
                              <w:t>Majino</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A035A">
                              <w:rPr>
                                <w:rFonts w:asciiTheme="majorHAnsi" w:hAnsiTheme="majorHAnsi"/>
                                <w:color w:val="595959" w:themeColor="text1" w:themeTint="A6"/>
                                <w:sz w:val="18"/>
                                <w:szCs w:val="18"/>
                                <w:lang w:val="es-ES"/>
                              </w:rPr>
                              <w:t>4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1D8DAA7A" w:rsidR="00544CCE" w:rsidRPr="007B05C4" w:rsidRDefault="00544CCE"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035A" w:rsidRPr="000A035A">
                        <w:rPr>
                          <w:rFonts w:asciiTheme="majorHAnsi" w:hAnsiTheme="majorHAnsi"/>
                          <w:color w:val="595959" w:themeColor="text1" w:themeTint="A6"/>
                          <w:sz w:val="18"/>
                          <w:szCs w:val="18"/>
                          <w:lang w:val="pt-BR"/>
                        </w:rPr>
                        <w:t>238</w:t>
                      </w:r>
                      <w:r w:rsidRPr="000A035A">
                        <w:rPr>
                          <w:rFonts w:asciiTheme="majorHAnsi" w:hAnsiTheme="majorHAnsi"/>
                          <w:color w:val="595959" w:themeColor="text1" w:themeTint="A6"/>
                          <w:sz w:val="18"/>
                          <w:szCs w:val="18"/>
                          <w:lang w:val="pt-BR"/>
                        </w:rPr>
                        <w:t xml:space="preserve">/20. </w:t>
                      </w:r>
                      <w:r>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1437-09. </w:t>
                      </w:r>
                      <w:r w:rsidR="000A035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roofErr w:type="spellStart"/>
                      <w:r>
                        <w:rPr>
                          <w:rFonts w:ascii="Cambria" w:hAnsi="Cambria"/>
                          <w:color w:val="595959"/>
                          <w:sz w:val="18"/>
                          <w:szCs w:val="18"/>
                          <w:lang w:val="es-ES_tradnl"/>
                        </w:rPr>
                        <w:t>Wilber</w:t>
                      </w:r>
                      <w:proofErr w:type="spellEnd"/>
                      <w:r>
                        <w:rPr>
                          <w:rFonts w:ascii="Cambria" w:hAnsi="Cambria"/>
                          <w:color w:val="595959"/>
                          <w:sz w:val="18"/>
                          <w:szCs w:val="18"/>
                          <w:lang w:val="es-ES_tradnl"/>
                        </w:rPr>
                        <w:t xml:space="preserve"> </w:t>
                      </w:r>
                      <w:proofErr w:type="spellStart"/>
                      <w:r>
                        <w:rPr>
                          <w:rFonts w:ascii="Cambria" w:hAnsi="Cambria"/>
                          <w:color w:val="595959"/>
                          <w:sz w:val="18"/>
                          <w:szCs w:val="18"/>
                          <w:lang w:val="es-ES_tradnl"/>
                        </w:rPr>
                        <w:t>Elki</w:t>
                      </w:r>
                      <w:proofErr w:type="spellEnd"/>
                      <w:r>
                        <w:rPr>
                          <w:rFonts w:ascii="Cambria" w:hAnsi="Cambria"/>
                          <w:color w:val="595959"/>
                          <w:sz w:val="18"/>
                          <w:szCs w:val="18"/>
                          <w:lang w:val="es-ES_tradnl"/>
                        </w:rPr>
                        <w:t xml:space="preserve"> Meza </w:t>
                      </w:r>
                      <w:proofErr w:type="spellStart"/>
                      <w:r>
                        <w:rPr>
                          <w:rFonts w:ascii="Cambria" w:hAnsi="Cambria"/>
                          <w:color w:val="595959"/>
                          <w:sz w:val="18"/>
                          <w:szCs w:val="18"/>
                          <w:lang w:val="es-ES_tradnl"/>
                        </w:rPr>
                        <w:t>Majino</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A035A">
                        <w:rPr>
                          <w:rFonts w:asciiTheme="majorHAnsi" w:hAnsiTheme="majorHAnsi"/>
                          <w:color w:val="595959" w:themeColor="text1" w:themeTint="A6"/>
                          <w:sz w:val="18"/>
                          <w:szCs w:val="18"/>
                          <w:lang w:val="es-ES"/>
                        </w:rPr>
                        <w:t>4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641988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59D7344" w:rsidR="00544CCE" w:rsidRPr="00D72DC6" w:rsidRDefault="00D857CB" w:rsidP="000673D0">
                            <w:pPr>
                              <w:rPr>
                                <w:color w:val="FFFFFF" w:themeColor="background1"/>
                                <w14:textFill>
                                  <w14:noFill/>
                                </w14:textFill>
                              </w:rPr>
                            </w:pPr>
                            <w:r>
                              <w:rPr>
                                <w:noProof/>
                                <w:color w:val="FFFFFF" w:themeColor="background1"/>
                              </w:rPr>
                              <w:drawing>
                                <wp:inline distT="0" distB="0" distL="0" distR="0" wp14:anchorId="045BAEEE" wp14:editId="632C47FC">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059D7344" w:rsidR="00544CCE" w:rsidRPr="00D72DC6" w:rsidRDefault="00D857CB" w:rsidP="000673D0">
                      <w:pPr>
                        <w:rPr>
                          <w:color w:val="FFFFFF" w:themeColor="background1"/>
                          <w14:textFill>
                            <w14:noFill/>
                          </w14:textFill>
                        </w:rPr>
                      </w:pPr>
                      <w:r>
                        <w:rPr>
                          <w:noProof/>
                          <w:color w:val="FFFFFF" w:themeColor="background1"/>
                        </w:rPr>
                        <w:drawing>
                          <wp:inline distT="0" distB="0" distL="0" distR="0" wp14:anchorId="045BAEEE" wp14:editId="632C47FC">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44CCE" w:rsidRPr="004B7EB6" w:rsidRDefault="00544CCE"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544CCE" w:rsidRPr="004B7EB6" w:rsidRDefault="00544CCE"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874458" w14:paraId="325744E4" w14:textId="77777777" w:rsidTr="0074464F">
        <w:tc>
          <w:tcPr>
            <w:tcW w:w="3600" w:type="dxa"/>
            <w:tcBorders>
              <w:top w:val="single" w:sz="4" w:space="0" w:color="auto"/>
              <w:bottom w:val="single" w:sz="6" w:space="0" w:color="auto"/>
            </w:tcBorders>
            <w:shd w:val="clear" w:color="auto" w:fill="386294"/>
            <w:vAlign w:val="center"/>
          </w:tcPr>
          <w:p w14:paraId="26710EBE" w14:textId="77777777" w:rsidR="000673D0" w:rsidRPr="000673D0" w:rsidRDefault="000673D0" w:rsidP="0074464F">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Parte </w:t>
            </w:r>
            <w:proofErr w:type="spellStart"/>
            <w:r w:rsidRPr="000673D0">
              <w:rPr>
                <w:rFonts w:ascii="Cambria" w:hAnsi="Cambria"/>
                <w:b/>
                <w:bCs/>
                <w:color w:val="FFFFFF" w:themeColor="background1"/>
                <w:sz w:val="20"/>
                <w:szCs w:val="20"/>
              </w:rPr>
              <w:t>peticionaria</w:t>
            </w:r>
            <w:proofErr w:type="spellEnd"/>
            <w:r w:rsidRPr="000673D0">
              <w:rPr>
                <w:rFonts w:ascii="Cambria" w:hAnsi="Cambria"/>
                <w:b/>
                <w:bCs/>
                <w:color w:val="FFFFFF" w:themeColor="background1"/>
                <w:sz w:val="20"/>
                <w:szCs w:val="20"/>
              </w:rPr>
              <w:t>:</w:t>
            </w:r>
          </w:p>
        </w:tc>
        <w:tc>
          <w:tcPr>
            <w:tcW w:w="5760" w:type="dxa"/>
            <w:vAlign w:val="center"/>
          </w:tcPr>
          <w:p w14:paraId="5A4F615E" w14:textId="5B7AFD7E" w:rsidR="000673D0" w:rsidRPr="00BF7851" w:rsidRDefault="003B6E9C" w:rsidP="0074464F">
            <w:pPr>
              <w:jc w:val="both"/>
              <w:rPr>
                <w:rFonts w:ascii="Cambria" w:hAnsi="Cambria"/>
                <w:bCs/>
                <w:sz w:val="20"/>
                <w:szCs w:val="20"/>
                <w:lang w:val="es-PA"/>
              </w:rPr>
            </w:pPr>
            <w:proofErr w:type="spellStart"/>
            <w:r>
              <w:rPr>
                <w:rFonts w:ascii="Cambria" w:hAnsi="Cambria"/>
                <w:bCs/>
                <w:sz w:val="20"/>
                <w:szCs w:val="20"/>
                <w:lang w:val="es-PA" w:eastAsia="es-ES"/>
              </w:rPr>
              <w:t>Anibal</w:t>
            </w:r>
            <w:proofErr w:type="spellEnd"/>
            <w:r>
              <w:rPr>
                <w:rFonts w:ascii="Cambria" w:hAnsi="Cambria"/>
                <w:bCs/>
                <w:sz w:val="20"/>
                <w:szCs w:val="20"/>
                <w:lang w:val="es-PA" w:eastAsia="es-ES"/>
              </w:rPr>
              <w:t xml:space="preserve"> Florentino Arias y </w:t>
            </w:r>
            <w:proofErr w:type="spellStart"/>
            <w:r>
              <w:rPr>
                <w:rFonts w:ascii="Cambria" w:hAnsi="Cambria"/>
                <w:bCs/>
                <w:sz w:val="20"/>
                <w:szCs w:val="20"/>
                <w:lang w:val="es-PA" w:eastAsia="es-ES"/>
              </w:rPr>
              <w:t>Wilber</w:t>
            </w:r>
            <w:r w:rsidR="00EB7FF9">
              <w:rPr>
                <w:rFonts w:ascii="Cambria" w:hAnsi="Cambria"/>
                <w:bCs/>
                <w:sz w:val="20"/>
                <w:szCs w:val="20"/>
                <w:lang w:val="es-PA" w:eastAsia="es-ES"/>
              </w:rPr>
              <w:t>t</w:t>
            </w:r>
            <w:proofErr w:type="spellEnd"/>
            <w:r>
              <w:rPr>
                <w:rFonts w:ascii="Cambria" w:hAnsi="Cambria"/>
                <w:bCs/>
                <w:sz w:val="20"/>
                <w:szCs w:val="20"/>
                <w:lang w:val="es-PA" w:eastAsia="es-ES"/>
              </w:rPr>
              <w:t xml:space="preserve"> </w:t>
            </w:r>
            <w:proofErr w:type="spellStart"/>
            <w:r>
              <w:rPr>
                <w:rFonts w:ascii="Cambria" w:hAnsi="Cambria"/>
                <w:bCs/>
                <w:sz w:val="20"/>
                <w:szCs w:val="20"/>
                <w:lang w:val="es-PA" w:eastAsia="es-ES"/>
              </w:rPr>
              <w:t>Elki</w:t>
            </w:r>
            <w:proofErr w:type="spellEnd"/>
            <w:r>
              <w:rPr>
                <w:rFonts w:ascii="Cambria" w:hAnsi="Cambria"/>
                <w:bCs/>
                <w:sz w:val="20"/>
                <w:szCs w:val="20"/>
                <w:lang w:val="es-PA" w:eastAsia="es-ES"/>
              </w:rPr>
              <w:t xml:space="preserve"> Meza </w:t>
            </w:r>
            <w:proofErr w:type="spellStart"/>
            <w:r>
              <w:rPr>
                <w:rFonts w:ascii="Cambria" w:hAnsi="Cambria"/>
                <w:bCs/>
                <w:sz w:val="20"/>
                <w:szCs w:val="20"/>
                <w:lang w:val="es-PA" w:eastAsia="es-ES"/>
              </w:rPr>
              <w:t>Majino</w:t>
            </w:r>
            <w:proofErr w:type="spellEnd"/>
          </w:p>
        </w:tc>
      </w:tr>
      <w:tr w:rsidR="00A24179" w:rsidRPr="003B6E9C" w14:paraId="79A5B539" w14:textId="77777777" w:rsidTr="0074464F">
        <w:tc>
          <w:tcPr>
            <w:tcW w:w="3600" w:type="dxa"/>
            <w:tcBorders>
              <w:top w:val="single" w:sz="6" w:space="0" w:color="auto"/>
              <w:bottom w:val="single" w:sz="6" w:space="0" w:color="auto"/>
            </w:tcBorders>
            <w:shd w:val="clear" w:color="auto" w:fill="386294"/>
            <w:vAlign w:val="center"/>
          </w:tcPr>
          <w:p w14:paraId="58FAAE53" w14:textId="77777777" w:rsidR="00A24179" w:rsidRPr="000673D0" w:rsidRDefault="00911704" w:rsidP="00A2417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657627907CB4FF2B74FE239B14B7826"/>
                </w:placeholder>
                <w:dropDownList>
                  <w:listItem w:value="Choose an item."/>
                  <w:listItem w:displayText="Presunta víctima" w:value="Presunta víctima"/>
                  <w:listItem w:displayText="Presuntas víctimas" w:value="Presuntas víctimas"/>
                </w:dropDownList>
              </w:sdtPr>
              <w:sdtEndPr/>
              <w:sdtContent>
                <w:r w:rsidR="00A24179" w:rsidRPr="000673D0">
                  <w:rPr>
                    <w:rFonts w:ascii="Cambria" w:hAnsi="Cambria"/>
                    <w:b/>
                    <w:bCs/>
                    <w:color w:val="FFFFFF" w:themeColor="background1"/>
                    <w:sz w:val="20"/>
                    <w:szCs w:val="20"/>
                  </w:rPr>
                  <w:t>Presunta víctima</w:t>
                </w:r>
              </w:sdtContent>
            </w:sdt>
            <w:r w:rsidR="00A24179" w:rsidRPr="000673D0">
              <w:rPr>
                <w:rFonts w:ascii="Cambria" w:hAnsi="Cambria"/>
                <w:b/>
                <w:bCs/>
                <w:color w:val="FFFFFF" w:themeColor="background1"/>
                <w:sz w:val="20"/>
                <w:szCs w:val="20"/>
              </w:rPr>
              <w:t>:</w:t>
            </w:r>
          </w:p>
        </w:tc>
        <w:tc>
          <w:tcPr>
            <w:tcW w:w="5760" w:type="dxa"/>
            <w:vAlign w:val="center"/>
          </w:tcPr>
          <w:p w14:paraId="23FE9BA4" w14:textId="3FBF33AD" w:rsidR="00A24179" w:rsidRPr="000673D0" w:rsidRDefault="003B6E9C" w:rsidP="00A24179">
            <w:pPr>
              <w:jc w:val="both"/>
              <w:rPr>
                <w:rFonts w:ascii="Cambria" w:hAnsi="Cambria"/>
                <w:bCs/>
                <w:sz w:val="20"/>
                <w:szCs w:val="20"/>
                <w:lang w:val="es-ES"/>
              </w:rPr>
            </w:pPr>
            <w:proofErr w:type="spellStart"/>
            <w:r>
              <w:rPr>
                <w:rFonts w:ascii="Cambria" w:hAnsi="Cambria"/>
                <w:bCs/>
                <w:sz w:val="20"/>
                <w:szCs w:val="20"/>
                <w:lang w:val="es-ES" w:eastAsia="es-ES"/>
              </w:rPr>
              <w:t>Wilbert</w:t>
            </w:r>
            <w:proofErr w:type="spellEnd"/>
            <w:r>
              <w:rPr>
                <w:rFonts w:ascii="Cambria" w:hAnsi="Cambria"/>
                <w:bCs/>
                <w:sz w:val="20"/>
                <w:szCs w:val="20"/>
                <w:lang w:val="es-ES" w:eastAsia="es-ES"/>
              </w:rPr>
              <w:t xml:space="preserve"> </w:t>
            </w:r>
            <w:proofErr w:type="spellStart"/>
            <w:r>
              <w:rPr>
                <w:rFonts w:ascii="Cambria" w:hAnsi="Cambria"/>
                <w:bCs/>
                <w:sz w:val="20"/>
                <w:szCs w:val="20"/>
                <w:lang w:val="es-ES" w:eastAsia="es-ES"/>
              </w:rPr>
              <w:t>Elki</w:t>
            </w:r>
            <w:proofErr w:type="spellEnd"/>
            <w:r>
              <w:rPr>
                <w:rFonts w:ascii="Cambria" w:hAnsi="Cambria"/>
                <w:bCs/>
                <w:sz w:val="20"/>
                <w:szCs w:val="20"/>
                <w:lang w:val="es-ES" w:eastAsia="es-ES"/>
              </w:rPr>
              <w:t xml:space="preserve"> Meza </w:t>
            </w:r>
            <w:proofErr w:type="spellStart"/>
            <w:r>
              <w:rPr>
                <w:rFonts w:ascii="Cambria" w:hAnsi="Cambria"/>
                <w:bCs/>
                <w:sz w:val="20"/>
                <w:szCs w:val="20"/>
                <w:lang w:val="es-ES" w:eastAsia="es-ES"/>
              </w:rPr>
              <w:t>Majino</w:t>
            </w:r>
            <w:proofErr w:type="spellEnd"/>
          </w:p>
        </w:tc>
      </w:tr>
      <w:tr w:rsidR="00A24179" w:rsidRPr="000673D0" w14:paraId="45362DF7" w14:textId="77777777" w:rsidTr="0074464F">
        <w:tc>
          <w:tcPr>
            <w:tcW w:w="3600" w:type="dxa"/>
            <w:tcBorders>
              <w:top w:val="single" w:sz="6" w:space="0" w:color="auto"/>
              <w:bottom w:val="single" w:sz="6" w:space="0" w:color="auto"/>
            </w:tcBorders>
            <w:shd w:val="clear" w:color="auto" w:fill="386294"/>
            <w:vAlign w:val="center"/>
          </w:tcPr>
          <w:p w14:paraId="652632F5" w14:textId="77777777" w:rsidR="00A24179" w:rsidRPr="000673D0" w:rsidRDefault="00A24179" w:rsidP="00A24179">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Estado </w:t>
            </w:r>
            <w:proofErr w:type="spellStart"/>
            <w:r w:rsidRPr="000673D0">
              <w:rPr>
                <w:rFonts w:ascii="Cambria" w:hAnsi="Cambria"/>
                <w:b/>
                <w:bCs/>
                <w:color w:val="FFFFFF" w:themeColor="background1"/>
                <w:sz w:val="20"/>
                <w:szCs w:val="20"/>
              </w:rPr>
              <w:t>denunciado</w:t>
            </w:r>
            <w:proofErr w:type="spellEnd"/>
            <w:r w:rsidRPr="000673D0">
              <w:rPr>
                <w:rFonts w:ascii="Cambria" w:hAnsi="Cambria"/>
                <w:b/>
                <w:bCs/>
                <w:color w:val="FFFFFF" w:themeColor="background1"/>
                <w:sz w:val="20"/>
                <w:szCs w:val="20"/>
              </w:rPr>
              <w:t>:</w:t>
            </w:r>
          </w:p>
        </w:tc>
        <w:tc>
          <w:tcPr>
            <w:tcW w:w="5760" w:type="dxa"/>
            <w:vAlign w:val="center"/>
          </w:tcPr>
          <w:p w14:paraId="057DC689" w14:textId="5FC63727" w:rsidR="00A24179" w:rsidRPr="000673D0" w:rsidRDefault="00A24179" w:rsidP="00A24179">
            <w:pPr>
              <w:jc w:val="both"/>
              <w:rPr>
                <w:rFonts w:ascii="Cambria" w:hAnsi="Cambria"/>
                <w:bCs/>
                <w:sz w:val="20"/>
                <w:szCs w:val="20"/>
              </w:rPr>
            </w:pPr>
            <w:proofErr w:type="spellStart"/>
            <w:r>
              <w:rPr>
                <w:rFonts w:ascii="Cambria" w:hAnsi="Cambria"/>
                <w:bCs/>
                <w:sz w:val="20"/>
                <w:szCs w:val="20"/>
              </w:rPr>
              <w:t>Perú</w:t>
            </w:r>
            <w:proofErr w:type="spellEnd"/>
            <w:r>
              <w:rPr>
                <w:rStyle w:val="FootnoteReference"/>
                <w:rFonts w:ascii="Cambria" w:hAnsi="Cambria"/>
                <w:bCs/>
                <w:sz w:val="20"/>
                <w:szCs w:val="20"/>
              </w:rPr>
              <w:footnoteReference w:id="2"/>
            </w:r>
          </w:p>
        </w:tc>
      </w:tr>
      <w:tr w:rsidR="00A24179" w:rsidRPr="00874458" w14:paraId="4329FE9B" w14:textId="77777777" w:rsidTr="0074464F">
        <w:tc>
          <w:tcPr>
            <w:tcW w:w="3600" w:type="dxa"/>
            <w:tcBorders>
              <w:top w:val="single" w:sz="6" w:space="0" w:color="auto"/>
              <w:bottom w:val="single" w:sz="6" w:space="0" w:color="auto"/>
            </w:tcBorders>
            <w:shd w:val="clear" w:color="auto" w:fill="386294"/>
            <w:vAlign w:val="center"/>
          </w:tcPr>
          <w:p w14:paraId="4A8E3F69" w14:textId="77777777" w:rsidR="00A24179" w:rsidRPr="000673D0" w:rsidRDefault="00A24179" w:rsidP="00A24179">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invocados</w:t>
            </w:r>
            <w:proofErr w:type="spellEnd"/>
            <w:r w:rsidRPr="000673D0">
              <w:rPr>
                <w:rFonts w:ascii="Cambria" w:hAnsi="Cambria"/>
                <w:b/>
                <w:bCs/>
                <w:color w:val="FFFFFF" w:themeColor="background1"/>
                <w:sz w:val="20"/>
                <w:szCs w:val="20"/>
              </w:rPr>
              <w:t>:</w:t>
            </w:r>
          </w:p>
        </w:tc>
        <w:tc>
          <w:tcPr>
            <w:tcW w:w="5760" w:type="dxa"/>
            <w:vAlign w:val="center"/>
          </w:tcPr>
          <w:p w14:paraId="4E238173" w14:textId="6456C7D0" w:rsidR="00A24179" w:rsidRPr="000673D0" w:rsidRDefault="00A24179" w:rsidP="003B6E9C">
            <w:pPr>
              <w:jc w:val="both"/>
              <w:rPr>
                <w:rFonts w:ascii="Cambria" w:hAnsi="Cambria"/>
                <w:bCs/>
                <w:sz w:val="20"/>
                <w:szCs w:val="20"/>
                <w:lang w:val="es-PA"/>
              </w:rPr>
            </w:pPr>
            <w:r>
              <w:rPr>
                <w:rFonts w:ascii="Cambria" w:hAnsi="Cambria"/>
                <w:bCs/>
                <w:sz w:val="20"/>
                <w:szCs w:val="20"/>
                <w:lang w:val="es-PA"/>
              </w:rPr>
              <w:t xml:space="preserve">Artículos </w:t>
            </w:r>
            <w:r w:rsidR="003B6E9C">
              <w:rPr>
                <w:rFonts w:ascii="Cambria" w:hAnsi="Cambria"/>
                <w:bCs/>
                <w:sz w:val="20"/>
                <w:szCs w:val="20"/>
                <w:lang w:val="es-PA"/>
              </w:rPr>
              <w:t>5 (integridad personal),</w:t>
            </w:r>
            <w:r w:rsidR="009B5DF9">
              <w:rPr>
                <w:rFonts w:ascii="Cambria" w:hAnsi="Cambria"/>
                <w:bCs/>
                <w:sz w:val="20"/>
                <w:szCs w:val="20"/>
                <w:lang w:val="es-PA"/>
              </w:rPr>
              <w:t xml:space="preserve"> 7 (libertad personal),</w:t>
            </w:r>
            <w:r w:rsidR="003B6E9C">
              <w:rPr>
                <w:rFonts w:ascii="Cambria" w:hAnsi="Cambria"/>
                <w:bCs/>
                <w:sz w:val="20"/>
                <w:szCs w:val="20"/>
                <w:lang w:val="es-PA"/>
              </w:rPr>
              <w:t xml:space="preserve"> 8 (garantías judiciales), 9 (principio de legalidad), 25 (protección judicial) </w:t>
            </w:r>
            <w:r w:rsidR="00D84565">
              <w:rPr>
                <w:rFonts w:ascii="Cambria" w:hAnsi="Cambria"/>
                <w:bCs/>
                <w:sz w:val="20"/>
                <w:szCs w:val="20"/>
                <w:lang w:val="es-PA"/>
              </w:rPr>
              <w:t xml:space="preserve">de la </w:t>
            </w:r>
            <w:r>
              <w:rPr>
                <w:rFonts w:ascii="Cambria" w:hAnsi="Cambria"/>
                <w:bCs/>
                <w:sz w:val="20"/>
                <w:szCs w:val="20"/>
                <w:lang w:val="es-PA"/>
              </w:rPr>
              <w:t>Convención Americana sobre Derechos Humanos</w:t>
            </w:r>
            <w:r>
              <w:rPr>
                <w:rStyle w:val="FootnoteReference"/>
                <w:rFonts w:ascii="Cambria" w:hAnsi="Cambria"/>
                <w:bCs/>
                <w:sz w:val="20"/>
                <w:szCs w:val="20"/>
                <w:lang w:val="es-PA"/>
              </w:rPr>
              <w:footnoteReference w:id="3"/>
            </w:r>
            <w:r w:rsidR="00F94E7B">
              <w:rPr>
                <w:rFonts w:ascii="Cambria" w:hAnsi="Cambria"/>
                <w:bCs/>
                <w:sz w:val="20"/>
                <w:szCs w:val="20"/>
                <w:lang w:val="es-PA"/>
              </w:rPr>
              <w:t xml:space="preserve"> y otros instrumentos internacionales</w:t>
            </w:r>
            <w:r w:rsidR="00F94E7B">
              <w:rPr>
                <w:rStyle w:val="FootnoteReference"/>
                <w:rFonts w:ascii="Cambria" w:hAnsi="Cambria"/>
                <w:bCs/>
                <w:sz w:val="20"/>
                <w:szCs w:val="20"/>
                <w:lang w:val="es-PA"/>
              </w:rPr>
              <w:footnoteReference w:id="4"/>
            </w:r>
          </w:p>
        </w:tc>
      </w:tr>
    </w:tbl>
    <w:p w14:paraId="3D195461" w14:textId="7777777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II.</w:t>
      </w:r>
      <w:r w:rsidRPr="000673D0">
        <w:rPr>
          <w:rFonts w:asciiTheme="majorHAnsi" w:hAnsiTheme="majorHAnsi"/>
          <w:b/>
          <w:bCs/>
          <w:sz w:val="20"/>
          <w:szCs w:val="20"/>
          <w:lang w:val="es-ES"/>
        </w:rPr>
        <w:tab/>
        <w:t>TRÁMITE ANTE LA CIDH</w:t>
      </w:r>
      <w:r w:rsidRPr="000673D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BF7851" w14:paraId="6D778EBA" w14:textId="77777777" w:rsidTr="0074464F">
        <w:tc>
          <w:tcPr>
            <w:tcW w:w="3600" w:type="dxa"/>
            <w:tcBorders>
              <w:top w:val="single" w:sz="6" w:space="0" w:color="auto"/>
              <w:bottom w:val="single" w:sz="6" w:space="0" w:color="auto"/>
            </w:tcBorders>
            <w:shd w:val="clear" w:color="auto" w:fill="386294"/>
            <w:vAlign w:val="center"/>
          </w:tcPr>
          <w:p w14:paraId="0FC6DF7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Presentación de la petición:</w:t>
            </w:r>
          </w:p>
        </w:tc>
        <w:tc>
          <w:tcPr>
            <w:tcW w:w="5760" w:type="dxa"/>
            <w:vAlign w:val="center"/>
          </w:tcPr>
          <w:p w14:paraId="5B768921" w14:textId="37A208A9" w:rsidR="000673D0" w:rsidRPr="000673D0" w:rsidRDefault="00F94E7B" w:rsidP="00D84565">
            <w:pPr>
              <w:jc w:val="both"/>
              <w:rPr>
                <w:rFonts w:ascii="Cambria" w:hAnsi="Cambria"/>
                <w:bCs/>
                <w:sz w:val="20"/>
                <w:szCs w:val="20"/>
                <w:lang w:val="es-ES"/>
              </w:rPr>
            </w:pPr>
            <w:r>
              <w:rPr>
                <w:rFonts w:ascii="Cambria" w:hAnsi="Cambria"/>
                <w:bCs/>
                <w:sz w:val="20"/>
                <w:szCs w:val="20"/>
                <w:lang w:val="es-ES"/>
              </w:rPr>
              <w:t>12 de noviembre de 2009</w:t>
            </w:r>
          </w:p>
        </w:tc>
      </w:tr>
      <w:tr w:rsidR="00D84565" w:rsidRPr="00874458" w14:paraId="416D9840" w14:textId="77777777" w:rsidTr="0074464F">
        <w:tc>
          <w:tcPr>
            <w:tcW w:w="3600" w:type="dxa"/>
            <w:tcBorders>
              <w:top w:val="single" w:sz="6" w:space="0" w:color="auto"/>
              <w:bottom w:val="single" w:sz="6" w:space="0" w:color="auto"/>
            </w:tcBorders>
            <w:shd w:val="clear" w:color="auto" w:fill="386294"/>
            <w:vAlign w:val="center"/>
          </w:tcPr>
          <w:p w14:paraId="39131047" w14:textId="17F4B03E" w:rsidR="00D84565" w:rsidRPr="000673D0" w:rsidRDefault="00D84565" w:rsidP="0074464F">
            <w:pPr>
              <w:jc w:val="center"/>
              <w:rPr>
                <w:rFonts w:ascii="Cambria" w:hAnsi="Cambria"/>
                <w:b/>
                <w:bCs/>
                <w:color w:val="FFFFFF" w:themeColor="background1"/>
                <w:sz w:val="20"/>
                <w:szCs w:val="20"/>
                <w:lang w:val="es-ES"/>
              </w:rPr>
            </w:pPr>
            <w:r w:rsidRPr="00365E52">
              <w:rPr>
                <w:rFonts w:ascii="Cambria" w:hAnsi="Cambria"/>
                <w:b/>
                <w:bCs/>
                <w:color w:val="FFFFFF"/>
                <w:sz w:val="20"/>
                <w:szCs w:val="20"/>
                <w:lang w:val="es-ES"/>
              </w:rPr>
              <w:t>Información adicional recibida durante la etapa de estudio</w:t>
            </w:r>
          </w:p>
        </w:tc>
        <w:tc>
          <w:tcPr>
            <w:tcW w:w="5760" w:type="dxa"/>
            <w:vAlign w:val="center"/>
          </w:tcPr>
          <w:p w14:paraId="2B6449BD" w14:textId="3920C293" w:rsidR="00D84565" w:rsidRDefault="002534B2" w:rsidP="00D84565">
            <w:pPr>
              <w:jc w:val="both"/>
              <w:rPr>
                <w:rFonts w:ascii="Cambria" w:hAnsi="Cambria"/>
                <w:bCs/>
                <w:sz w:val="20"/>
                <w:szCs w:val="20"/>
                <w:lang w:val="es-ES"/>
              </w:rPr>
            </w:pPr>
            <w:r>
              <w:rPr>
                <w:rFonts w:ascii="Cambria" w:hAnsi="Cambria"/>
                <w:bCs/>
                <w:sz w:val="20"/>
                <w:szCs w:val="20"/>
                <w:lang w:val="es-ES"/>
              </w:rPr>
              <w:t>11 de diciembre de 2012 y 19 de junio de 2015</w:t>
            </w:r>
          </w:p>
        </w:tc>
      </w:tr>
      <w:tr w:rsidR="000673D0" w:rsidRPr="000673D0" w14:paraId="5511A9CE" w14:textId="77777777" w:rsidTr="0074464F">
        <w:tc>
          <w:tcPr>
            <w:tcW w:w="3600" w:type="dxa"/>
            <w:tcBorders>
              <w:top w:val="single" w:sz="6" w:space="0" w:color="auto"/>
              <w:bottom w:val="single" w:sz="6" w:space="0" w:color="auto"/>
            </w:tcBorders>
            <w:shd w:val="clear" w:color="auto" w:fill="386294"/>
            <w:vAlign w:val="center"/>
          </w:tcPr>
          <w:p w14:paraId="1EAB6A5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Notificación de la petición al Estado:</w:t>
            </w:r>
          </w:p>
        </w:tc>
        <w:tc>
          <w:tcPr>
            <w:tcW w:w="5760" w:type="dxa"/>
            <w:vAlign w:val="center"/>
          </w:tcPr>
          <w:p w14:paraId="311A328A" w14:textId="34F3C2AE" w:rsidR="000673D0" w:rsidRPr="000673D0" w:rsidRDefault="00BA54A9" w:rsidP="0074464F">
            <w:pPr>
              <w:jc w:val="both"/>
              <w:rPr>
                <w:rFonts w:ascii="Cambria" w:hAnsi="Cambria"/>
                <w:bCs/>
                <w:sz w:val="20"/>
                <w:szCs w:val="20"/>
                <w:lang w:val="es-ES"/>
              </w:rPr>
            </w:pPr>
            <w:r>
              <w:rPr>
                <w:rFonts w:ascii="Cambria" w:hAnsi="Cambria"/>
                <w:bCs/>
                <w:sz w:val="20"/>
                <w:szCs w:val="20"/>
                <w:lang w:val="es-ES"/>
              </w:rPr>
              <w:t>30 de septiembre de 2016</w:t>
            </w:r>
          </w:p>
        </w:tc>
      </w:tr>
      <w:tr w:rsidR="000673D0" w:rsidRPr="000673D0" w14:paraId="474D175D" w14:textId="77777777" w:rsidTr="0074464F">
        <w:tc>
          <w:tcPr>
            <w:tcW w:w="3600" w:type="dxa"/>
            <w:tcBorders>
              <w:top w:val="single" w:sz="6" w:space="0" w:color="auto"/>
              <w:bottom w:val="single" w:sz="6" w:space="0" w:color="auto"/>
            </w:tcBorders>
            <w:shd w:val="clear" w:color="auto" w:fill="386294"/>
            <w:vAlign w:val="center"/>
          </w:tcPr>
          <w:p w14:paraId="21AC1D3A"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Primera respuesta del Estado:</w:t>
            </w:r>
          </w:p>
        </w:tc>
        <w:tc>
          <w:tcPr>
            <w:tcW w:w="5760" w:type="dxa"/>
            <w:vAlign w:val="center"/>
          </w:tcPr>
          <w:p w14:paraId="62EA084B" w14:textId="2B39F4B8" w:rsidR="000673D0" w:rsidRPr="000673D0" w:rsidRDefault="00BA54A9" w:rsidP="0074464F">
            <w:pPr>
              <w:jc w:val="both"/>
              <w:rPr>
                <w:rFonts w:ascii="Cambria" w:hAnsi="Cambria"/>
                <w:bCs/>
                <w:sz w:val="20"/>
                <w:szCs w:val="20"/>
                <w:lang w:val="es-ES"/>
              </w:rPr>
            </w:pPr>
            <w:r>
              <w:rPr>
                <w:rFonts w:ascii="Cambria" w:hAnsi="Cambria"/>
                <w:bCs/>
                <w:sz w:val="20"/>
                <w:szCs w:val="20"/>
                <w:lang w:val="es-ES"/>
              </w:rPr>
              <w:t>3 de enero de 2017</w:t>
            </w:r>
          </w:p>
        </w:tc>
      </w:tr>
      <w:tr w:rsidR="007D2698" w:rsidRPr="003B6E9C" w14:paraId="58C13B90" w14:textId="77777777" w:rsidTr="0074464F">
        <w:tc>
          <w:tcPr>
            <w:tcW w:w="3600" w:type="dxa"/>
            <w:tcBorders>
              <w:top w:val="single" w:sz="6" w:space="0" w:color="auto"/>
              <w:bottom w:val="single" w:sz="6" w:space="0" w:color="auto"/>
            </w:tcBorders>
            <w:shd w:val="clear" w:color="auto" w:fill="386294"/>
            <w:vAlign w:val="center"/>
          </w:tcPr>
          <w:p w14:paraId="54B96764" w14:textId="293BB91D" w:rsidR="007D2698" w:rsidRPr="000673D0" w:rsidRDefault="00BD57F2" w:rsidP="0074464F">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7C05672" w14:textId="0C294734" w:rsidR="007D2698" w:rsidRDefault="00BA54A9" w:rsidP="0074464F">
            <w:pPr>
              <w:jc w:val="both"/>
              <w:rPr>
                <w:rFonts w:ascii="Cambria" w:hAnsi="Cambria"/>
                <w:bCs/>
                <w:sz w:val="20"/>
                <w:szCs w:val="20"/>
                <w:lang w:val="es-ES"/>
              </w:rPr>
            </w:pPr>
            <w:r>
              <w:rPr>
                <w:rFonts w:ascii="Cambria" w:hAnsi="Cambria"/>
                <w:bCs/>
                <w:sz w:val="20"/>
                <w:szCs w:val="20"/>
                <w:lang w:val="es-ES"/>
              </w:rPr>
              <w:t>16 de marzo de 2017</w:t>
            </w:r>
          </w:p>
        </w:tc>
      </w:tr>
      <w:tr w:rsidR="00BA54A9" w:rsidRPr="00874458" w14:paraId="1E0975C8" w14:textId="77777777" w:rsidTr="0074464F">
        <w:tc>
          <w:tcPr>
            <w:tcW w:w="3600" w:type="dxa"/>
            <w:tcBorders>
              <w:top w:val="single" w:sz="6" w:space="0" w:color="auto"/>
              <w:bottom w:val="single" w:sz="6" w:space="0" w:color="auto"/>
            </w:tcBorders>
            <w:shd w:val="clear" w:color="auto" w:fill="386294"/>
            <w:vAlign w:val="center"/>
          </w:tcPr>
          <w:p w14:paraId="1BC8D77C" w14:textId="729E97E7" w:rsidR="00BA54A9" w:rsidRDefault="00BA54A9" w:rsidP="0074464F">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02FF7A74" w14:textId="361BA015" w:rsidR="00BA54A9" w:rsidRDefault="00BA54A9" w:rsidP="0074464F">
            <w:pPr>
              <w:jc w:val="both"/>
              <w:rPr>
                <w:rFonts w:ascii="Cambria" w:hAnsi="Cambria"/>
                <w:bCs/>
                <w:sz w:val="20"/>
                <w:szCs w:val="20"/>
                <w:lang w:val="es-ES"/>
              </w:rPr>
            </w:pPr>
            <w:r>
              <w:rPr>
                <w:rFonts w:ascii="Cambria" w:hAnsi="Cambria"/>
                <w:bCs/>
                <w:sz w:val="20"/>
                <w:szCs w:val="20"/>
                <w:lang w:val="es-ES"/>
              </w:rPr>
              <w:t>18 de octubre de 2019 y 7 de junio de 2020</w:t>
            </w:r>
          </w:p>
        </w:tc>
      </w:tr>
    </w:tbl>
    <w:p w14:paraId="738616C2" w14:textId="7777777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III. </w:t>
      </w:r>
      <w:r w:rsidRPr="000673D0">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0673D0" w:rsidRPr="000673D0" w14:paraId="3225DD29" w14:textId="77777777" w:rsidTr="0074464F">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0673D0" w:rsidRDefault="000673D0" w:rsidP="0074464F">
            <w:pPr>
              <w:jc w:val="center"/>
              <w:rPr>
                <w:rFonts w:ascii="Cambria" w:hAnsi="Cambria"/>
                <w:b/>
                <w:bCs/>
                <w:i/>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personae:</w:t>
            </w:r>
          </w:p>
        </w:tc>
        <w:tc>
          <w:tcPr>
            <w:tcW w:w="5760" w:type="dxa"/>
            <w:vAlign w:val="center"/>
          </w:tcPr>
          <w:p w14:paraId="55AEE8CD" w14:textId="77777777" w:rsidR="000673D0" w:rsidRPr="000673D0" w:rsidRDefault="000673D0" w:rsidP="0074464F">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0673D0" w14:paraId="10BCE6F2" w14:textId="77777777" w:rsidTr="0074464F">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0673D0" w:rsidRDefault="000673D0" w:rsidP="0074464F">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loci</w:t>
            </w:r>
            <w:r w:rsidRPr="000673D0">
              <w:rPr>
                <w:rFonts w:ascii="Cambria" w:hAnsi="Cambria"/>
                <w:b/>
                <w:bCs/>
                <w:color w:val="FFFFFF" w:themeColor="background1"/>
                <w:sz w:val="20"/>
                <w:szCs w:val="20"/>
              </w:rPr>
              <w:t>:</w:t>
            </w:r>
          </w:p>
        </w:tc>
        <w:tc>
          <w:tcPr>
            <w:tcW w:w="5760" w:type="dxa"/>
            <w:vAlign w:val="center"/>
          </w:tcPr>
          <w:p w14:paraId="77DDBD87" w14:textId="77777777" w:rsidR="000673D0" w:rsidRPr="000673D0" w:rsidRDefault="000673D0" w:rsidP="0074464F">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0673D0" w14:paraId="351D9A06" w14:textId="77777777" w:rsidTr="0074464F">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0673D0" w:rsidRDefault="000673D0" w:rsidP="0074464F">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temporis</w:t>
            </w:r>
            <w:proofErr w:type="spellEnd"/>
            <w:r w:rsidRPr="000673D0">
              <w:rPr>
                <w:rFonts w:ascii="Cambria" w:hAnsi="Cambria"/>
                <w:b/>
                <w:bCs/>
                <w:color w:val="FFFFFF" w:themeColor="background1"/>
                <w:sz w:val="20"/>
                <w:szCs w:val="20"/>
              </w:rPr>
              <w:t>:</w:t>
            </w:r>
          </w:p>
        </w:tc>
        <w:tc>
          <w:tcPr>
            <w:tcW w:w="5760" w:type="dxa"/>
            <w:vAlign w:val="center"/>
          </w:tcPr>
          <w:p w14:paraId="76910945" w14:textId="77777777" w:rsidR="000673D0" w:rsidRPr="000673D0" w:rsidRDefault="000673D0" w:rsidP="0074464F">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874458" w14:paraId="160B34C2" w14:textId="77777777" w:rsidTr="0074464F">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0673D0" w:rsidRDefault="000673D0" w:rsidP="0074464F">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materiae</w:t>
            </w:r>
            <w:proofErr w:type="spellEnd"/>
            <w:r w:rsidRPr="000673D0">
              <w:rPr>
                <w:rFonts w:ascii="Cambria" w:hAnsi="Cambria"/>
                <w:b/>
                <w:bCs/>
                <w:color w:val="FFFFFF" w:themeColor="background1"/>
                <w:sz w:val="20"/>
                <w:szCs w:val="20"/>
              </w:rPr>
              <w:t>:</w:t>
            </w:r>
          </w:p>
        </w:tc>
        <w:tc>
          <w:tcPr>
            <w:tcW w:w="5760" w:type="dxa"/>
            <w:vAlign w:val="center"/>
          </w:tcPr>
          <w:p w14:paraId="6AB0A733" w14:textId="70C4646C" w:rsidR="000673D0" w:rsidRPr="000673D0" w:rsidRDefault="006E0D53" w:rsidP="0074464F">
            <w:pPr>
              <w:jc w:val="both"/>
              <w:rPr>
                <w:rFonts w:ascii="Cambria" w:hAnsi="Cambria"/>
                <w:bCs/>
                <w:sz w:val="20"/>
                <w:szCs w:val="20"/>
                <w:lang w:val="es-ES"/>
              </w:rPr>
            </w:pPr>
            <w:r w:rsidRPr="00F9093A">
              <w:rPr>
                <w:rFonts w:asciiTheme="majorHAnsi" w:hAnsiTheme="majorHAnsi"/>
                <w:bCs/>
                <w:sz w:val="19"/>
                <w:szCs w:val="19"/>
                <w:lang w:val="es-ES"/>
              </w:rPr>
              <w:t>Sí, Convención Americana (depósito del instrumento realizado el 28 de julio de 1978)</w:t>
            </w:r>
            <w:r w:rsidR="00550772">
              <w:rPr>
                <w:rFonts w:asciiTheme="majorHAnsi" w:hAnsiTheme="majorHAnsi"/>
                <w:bCs/>
                <w:sz w:val="19"/>
                <w:szCs w:val="19"/>
                <w:lang w:val="es-ES"/>
              </w:rPr>
              <w:t xml:space="preserve"> y Convención Interamericana Para Prevenir y Sancionar la Tortura (depósito del instrumento realizado el 28 de marzo de 1991)</w:t>
            </w:r>
          </w:p>
        </w:tc>
      </w:tr>
    </w:tbl>
    <w:p w14:paraId="46F3B92A" w14:textId="44E990E7" w:rsidR="000673D0" w:rsidRPr="000673D0" w:rsidRDefault="000673D0" w:rsidP="000673D0">
      <w:pPr>
        <w:spacing w:before="240"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t xml:space="preserve">IV. </w:t>
      </w:r>
      <w:r w:rsidRPr="000673D0">
        <w:rPr>
          <w:rFonts w:asciiTheme="majorHAnsi" w:hAnsiTheme="majorHAnsi"/>
          <w:b/>
          <w:bCs/>
          <w:sz w:val="20"/>
          <w:szCs w:val="20"/>
          <w:lang w:val="es-ES"/>
        </w:rPr>
        <w:tab/>
        <w:t>DUPLICACIÓN</w:t>
      </w:r>
      <w:r w:rsidRPr="000673D0">
        <w:rPr>
          <w:rFonts w:asciiTheme="majorHAnsi" w:hAnsiTheme="majorHAnsi"/>
          <w:b/>
          <w:bCs/>
          <w:color w:val="FFFFFF" w:themeColor="background1"/>
          <w:sz w:val="20"/>
          <w:szCs w:val="20"/>
          <w:lang w:val="es-ES"/>
        </w:rPr>
        <w:t xml:space="preserve"> </w:t>
      </w:r>
      <w:r w:rsidRPr="000673D0">
        <w:rPr>
          <w:rFonts w:asciiTheme="majorHAnsi" w:hAnsiTheme="majorHAnsi"/>
          <w:b/>
          <w:bCs/>
          <w:sz w:val="20"/>
          <w:szCs w:val="20"/>
          <w:lang w:val="es-ES"/>
        </w:rPr>
        <w:t>DE PROCEDIMIENTOS Y COSA JUZGADA</w:t>
      </w:r>
      <w:r w:rsidRPr="000673D0">
        <w:rPr>
          <w:rFonts w:asciiTheme="majorHAnsi" w:hAnsiTheme="majorHAnsi"/>
          <w:b/>
          <w:bCs/>
          <w:i/>
          <w:sz w:val="20"/>
          <w:szCs w:val="20"/>
          <w:lang w:val="es-ES"/>
        </w:rPr>
        <w:t xml:space="preserve"> </w:t>
      </w:r>
      <w:r w:rsidR="00CB7301" w:rsidRPr="000673D0">
        <w:rPr>
          <w:rFonts w:asciiTheme="majorHAnsi" w:hAnsiTheme="majorHAnsi"/>
          <w:b/>
          <w:bCs/>
          <w:sz w:val="20"/>
          <w:szCs w:val="20"/>
          <w:lang w:val="es-ES"/>
        </w:rPr>
        <w:t>INTERNACIONAL, CARACTERIZACIÓN</w:t>
      </w:r>
      <w:r w:rsidRPr="000673D0">
        <w:rPr>
          <w:rFonts w:asciiTheme="majorHAnsi" w:hAnsiTheme="majorHAnsi"/>
          <w:b/>
          <w:bCs/>
          <w:sz w:val="20"/>
          <w:szCs w:val="20"/>
          <w:lang w:val="es-ES"/>
        </w:rPr>
        <w:t xml:space="preserve">, </w:t>
      </w:r>
      <w:r w:rsidRPr="000673D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0673D0" w:rsidRPr="000673D0" w14:paraId="3755C687" w14:textId="77777777" w:rsidTr="0074464F">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0673D0" w:rsidRDefault="000673D0" w:rsidP="0074464F">
            <w:pPr>
              <w:jc w:val="both"/>
              <w:rPr>
                <w:rFonts w:ascii="Cambria" w:hAnsi="Cambria"/>
                <w:bCs/>
                <w:sz w:val="20"/>
                <w:szCs w:val="20"/>
                <w:lang w:val="es-ES"/>
              </w:rPr>
            </w:pPr>
            <w:r w:rsidRPr="000673D0">
              <w:rPr>
                <w:rFonts w:ascii="Cambria" w:hAnsi="Cambria"/>
                <w:bCs/>
                <w:sz w:val="20"/>
                <w:szCs w:val="20"/>
                <w:lang w:val="es-ES"/>
              </w:rPr>
              <w:t>No</w:t>
            </w:r>
          </w:p>
        </w:tc>
      </w:tr>
      <w:tr w:rsidR="000673D0" w:rsidRPr="00874458" w14:paraId="5733AA78" w14:textId="77777777" w:rsidTr="0074464F">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0673D0" w:rsidRDefault="000673D0" w:rsidP="0074464F">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declarados</w:t>
            </w:r>
            <w:proofErr w:type="spellEnd"/>
            <w:r w:rsidRPr="000673D0">
              <w:rPr>
                <w:rFonts w:ascii="Cambria" w:hAnsi="Cambria"/>
                <w:b/>
                <w:bCs/>
                <w:color w:val="FFFFFF" w:themeColor="background1"/>
                <w:sz w:val="20"/>
                <w:szCs w:val="20"/>
              </w:rPr>
              <w:t xml:space="preserve"> </w:t>
            </w:r>
            <w:proofErr w:type="spellStart"/>
            <w:r w:rsidRPr="000673D0">
              <w:rPr>
                <w:rFonts w:ascii="Cambria" w:hAnsi="Cambria"/>
                <w:b/>
                <w:bCs/>
                <w:color w:val="FFFFFF" w:themeColor="background1"/>
                <w:sz w:val="20"/>
                <w:szCs w:val="20"/>
              </w:rPr>
              <w:t>admisibles</w:t>
            </w:r>
            <w:proofErr w:type="spellEnd"/>
            <w:r w:rsidRPr="000673D0">
              <w:rPr>
                <w:rFonts w:ascii="Cambria" w:hAnsi="Cambria"/>
                <w:b/>
                <w:bCs/>
                <w:i/>
                <w:color w:val="FFFFFF" w:themeColor="background1"/>
                <w:sz w:val="20"/>
                <w:szCs w:val="20"/>
              </w:rPr>
              <w:t>:</w:t>
            </w:r>
          </w:p>
        </w:tc>
        <w:tc>
          <w:tcPr>
            <w:tcW w:w="5760" w:type="dxa"/>
            <w:vAlign w:val="center"/>
          </w:tcPr>
          <w:p w14:paraId="5EB169C6" w14:textId="1DC4FF50" w:rsidR="000673D0" w:rsidRPr="0027522A" w:rsidRDefault="00BA54A9" w:rsidP="0074464F">
            <w:pPr>
              <w:jc w:val="both"/>
              <w:rPr>
                <w:rFonts w:ascii="Cambria" w:hAnsi="Cambria"/>
                <w:bCs/>
                <w:sz w:val="20"/>
                <w:szCs w:val="20"/>
                <w:lang w:val="es-PA"/>
              </w:rPr>
            </w:pPr>
            <w:r>
              <w:rPr>
                <w:rFonts w:ascii="Cambria" w:hAnsi="Cambria"/>
                <w:bCs/>
                <w:sz w:val="20"/>
                <w:szCs w:val="20"/>
                <w:lang w:val="es-PA"/>
              </w:rPr>
              <w:t xml:space="preserve">Artículos 5 (integridad personal), 7 (libertad personal), 8 (garantías judiciales), 9 (principio de legalidad) y 25 (protección judicial) de la Convención Americana </w:t>
            </w:r>
            <w:r w:rsidR="0027522A">
              <w:rPr>
                <w:rFonts w:ascii="Cambria" w:hAnsi="Cambria"/>
                <w:bCs/>
                <w:sz w:val="20"/>
                <w:szCs w:val="20"/>
                <w:lang w:val="es-PA"/>
              </w:rPr>
              <w:t>en relación con su artículo 1.1. (obligación de respetar los derechos)</w:t>
            </w:r>
            <w:r>
              <w:rPr>
                <w:rFonts w:ascii="Cambria" w:hAnsi="Cambria"/>
                <w:bCs/>
                <w:sz w:val="20"/>
                <w:szCs w:val="20"/>
                <w:lang w:val="es-PA"/>
              </w:rPr>
              <w:t xml:space="preserve"> y 2 (deber de adoptar disposiciones de derecho interno)</w:t>
            </w:r>
            <w:r w:rsidR="00550772">
              <w:rPr>
                <w:rFonts w:ascii="Cambria" w:hAnsi="Cambria"/>
                <w:bCs/>
                <w:sz w:val="20"/>
                <w:szCs w:val="20"/>
                <w:lang w:val="es-PA"/>
              </w:rPr>
              <w:t>; y artículos 1, 6 y 8 de la Convención Interamericana Para Prevenir y Sancionar la Tortura</w:t>
            </w:r>
          </w:p>
        </w:tc>
      </w:tr>
      <w:tr w:rsidR="000673D0" w:rsidRPr="00874458" w14:paraId="56C738B6" w14:textId="77777777" w:rsidTr="0074464F">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0673D0" w:rsidRDefault="000673D0" w:rsidP="0074464F">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7B5A6AFC" w14:textId="5D791AFC" w:rsidR="000673D0" w:rsidRPr="000673D0" w:rsidRDefault="0027522A" w:rsidP="0074464F">
            <w:pPr>
              <w:rPr>
                <w:rFonts w:ascii="Cambria" w:hAnsi="Cambria"/>
                <w:bCs/>
                <w:sz w:val="20"/>
                <w:szCs w:val="20"/>
                <w:lang w:val="es-ES"/>
              </w:rPr>
            </w:pPr>
            <w:r>
              <w:rPr>
                <w:rFonts w:ascii="Cambria" w:hAnsi="Cambria"/>
                <w:bCs/>
                <w:sz w:val="20"/>
                <w:szCs w:val="20"/>
                <w:lang w:val="es-ES"/>
              </w:rPr>
              <w:t>Sí</w:t>
            </w:r>
            <w:r w:rsidR="006E0D53">
              <w:rPr>
                <w:rFonts w:ascii="Cambria" w:hAnsi="Cambria"/>
                <w:bCs/>
                <w:sz w:val="20"/>
                <w:szCs w:val="20"/>
                <w:lang w:val="es-ES"/>
              </w:rPr>
              <w:t>, en los términos de la Sección VI</w:t>
            </w:r>
          </w:p>
        </w:tc>
      </w:tr>
      <w:tr w:rsidR="000673D0" w:rsidRPr="00874458" w14:paraId="64377EF5" w14:textId="77777777" w:rsidTr="0074464F">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0673D0" w:rsidRDefault="000673D0" w:rsidP="0074464F">
            <w:pPr>
              <w:jc w:val="center"/>
              <w:rPr>
                <w:rFonts w:ascii="Cambria" w:hAnsi="Cambria"/>
                <w:b/>
                <w:bCs/>
                <w:color w:val="FFFFFF" w:themeColor="background1"/>
                <w:sz w:val="20"/>
                <w:szCs w:val="20"/>
              </w:rPr>
            </w:pPr>
            <w:r w:rsidRPr="0027522A">
              <w:rPr>
                <w:rFonts w:ascii="Cambria" w:hAnsi="Cambria"/>
                <w:b/>
                <w:bCs/>
                <w:color w:val="FFFFFF" w:themeColor="background1"/>
                <w:sz w:val="20"/>
                <w:szCs w:val="20"/>
                <w:lang w:val="es-PA"/>
              </w:rPr>
              <w:t xml:space="preserve">Presentación </w:t>
            </w:r>
            <w:proofErr w:type="spellStart"/>
            <w:r w:rsidRPr="000673D0">
              <w:rPr>
                <w:rFonts w:ascii="Cambria" w:hAnsi="Cambria"/>
                <w:b/>
                <w:bCs/>
                <w:color w:val="FFFFFF" w:themeColor="background1"/>
                <w:sz w:val="20"/>
                <w:szCs w:val="20"/>
              </w:rPr>
              <w:t>dentro</w:t>
            </w:r>
            <w:proofErr w:type="spellEnd"/>
            <w:r w:rsidRPr="000673D0">
              <w:rPr>
                <w:rFonts w:ascii="Cambria" w:hAnsi="Cambria"/>
                <w:b/>
                <w:bCs/>
                <w:color w:val="FFFFFF" w:themeColor="background1"/>
                <w:sz w:val="20"/>
                <w:szCs w:val="20"/>
              </w:rPr>
              <w:t xml:space="preserve"> de </w:t>
            </w:r>
            <w:proofErr w:type="spellStart"/>
            <w:r w:rsidRPr="000673D0">
              <w:rPr>
                <w:rFonts w:ascii="Cambria" w:hAnsi="Cambria"/>
                <w:b/>
                <w:bCs/>
                <w:color w:val="FFFFFF" w:themeColor="background1"/>
                <w:sz w:val="20"/>
                <w:szCs w:val="20"/>
              </w:rPr>
              <w:t>plazo</w:t>
            </w:r>
            <w:proofErr w:type="spellEnd"/>
            <w:r w:rsidRPr="000673D0">
              <w:rPr>
                <w:rFonts w:ascii="Cambria" w:hAnsi="Cambria"/>
                <w:b/>
                <w:bCs/>
                <w:color w:val="FFFFFF" w:themeColor="background1"/>
                <w:sz w:val="20"/>
                <w:szCs w:val="20"/>
              </w:rPr>
              <w:t>:</w:t>
            </w:r>
          </w:p>
        </w:tc>
        <w:tc>
          <w:tcPr>
            <w:tcW w:w="5760" w:type="dxa"/>
            <w:vAlign w:val="center"/>
          </w:tcPr>
          <w:p w14:paraId="6D2FF784" w14:textId="6C954EC1" w:rsidR="000673D0" w:rsidRPr="006E0D53" w:rsidRDefault="0027522A" w:rsidP="0074464F">
            <w:pPr>
              <w:rPr>
                <w:rFonts w:ascii="Cambria" w:hAnsi="Cambria"/>
                <w:bCs/>
                <w:sz w:val="20"/>
                <w:szCs w:val="20"/>
                <w:lang w:val="es-PA"/>
              </w:rPr>
            </w:pPr>
            <w:r>
              <w:rPr>
                <w:rFonts w:ascii="Cambria" w:hAnsi="Cambria"/>
                <w:bCs/>
                <w:sz w:val="20"/>
                <w:szCs w:val="20"/>
                <w:lang w:val="es-PA"/>
              </w:rPr>
              <w:t>Sí</w:t>
            </w:r>
            <w:r w:rsidR="006E0D53" w:rsidRPr="006E0D53">
              <w:rPr>
                <w:rFonts w:ascii="Cambria" w:hAnsi="Cambria"/>
                <w:bCs/>
                <w:sz w:val="20"/>
                <w:szCs w:val="20"/>
                <w:lang w:val="es-PA"/>
              </w:rPr>
              <w:t xml:space="preserve">, en los términos de la </w:t>
            </w:r>
            <w:r w:rsidR="006E0D53">
              <w:rPr>
                <w:rFonts w:ascii="Cambria" w:hAnsi="Cambria"/>
                <w:bCs/>
                <w:sz w:val="20"/>
                <w:szCs w:val="20"/>
                <w:lang w:val="es-PA"/>
              </w:rPr>
              <w:t>Sección VI</w:t>
            </w:r>
          </w:p>
        </w:tc>
      </w:tr>
    </w:tbl>
    <w:p w14:paraId="18E6423B" w14:textId="77777777" w:rsidR="003239B8" w:rsidRPr="000673D0" w:rsidRDefault="00223A29" w:rsidP="003239B8">
      <w:pPr>
        <w:spacing w:before="240" w:after="240"/>
        <w:ind w:firstLine="720"/>
        <w:jc w:val="both"/>
        <w:rPr>
          <w:rFonts w:asciiTheme="majorHAnsi" w:hAnsiTheme="majorHAnsi"/>
          <w:b/>
          <w:sz w:val="20"/>
          <w:szCs w:val="20"/>
          <w:lang w:val="es-UY"/>
        </w:rPr>
      </w:pPr>
      <w:r w:rsidRPr="000673D0">
        <w:rPr>
          <w:rFonts w:asciiTheme="majorHAnsi" w:hAnsiTheme="majorHAnsi"/>
          <w:b/>
          <w:sz w:val="20"/>
          <w:szCs w:val="20"/>
          <w:lang w:val="es-UY"/>
        </w:rPr>
        <w:lastRenderedPageBreak/>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06ECE73D" w14:textId="35172272" w:rsidR="00890F4F" w:rsidRPr="0007375C" w:rsidRDefault="00890F4F" w:rsidP="00890F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proofErr w:type="spellStart"/>
      <w:r>
        <w:rPr>
          <w:rFonts w:ascii="Cambria" w:hAnsi="Cambria"/>
          <w:sz w:val="20"/>
          <w:szCs w:val="20"/>
          <w:lang w:val="es-PA"/>
        </w:rPr>
        <w:t>Anibal</w:t>
      </w:r>
      <w:proofErr w:type="spellEnd"/>
      <w:r>
        <w:rPr>
          <w:rFonts w:ascii="Cambria" w:hAnsi="Cambria"/>
          <w:sz w:val="20"/>
          <w:szCs w:val="20"/>
          <w:lang w:val="es-PA"/>
        </w:rPr>
        <w:t xml:space="preserve"> </w:t>
      </w:r>
      <w:proofErr w:type="spellStart"/>
      <w:r>
        <w:rPr>
          <w:rFonts w:ascii="Cambria" w:hAnsi="Cambria"/>
          <w:sz w:val="20"/>
          <w:szCs w:val="20"/>
          <w:lang w:val="es-PA"/>
        </w:rPr>
        <w:t>Florentio</w:t>
      </w:r>
      <w:proofErr w:type="spellEnd"/>
      <w:r>
        <w:rPr>
          <w:rFonts w:ascii="Cambria" w:hAnsi="Cambria"/>
          <w:sz w:val="20"/>
          <w:szCs w:val="20"/>
          <w:lang w:val="es-PA"/>
        </w:rPr>
        <w:t xml:space="preserve"> Arias y </w:t>
      </w:r>
      <w:proofErr w:type="spellStart"/>
      <w:r>
        <w:rPr>
          <w:rFonts w:ascii="Cambria" w:hAnsi="Cambria"/>
          <w:sz w:val="20"/>
          <w:szCs w:val="20"/>
          <w:lang w:val="es-PA"/>
        </w:rPr>
        <w:t>Wilber</w:t>
      </w:r>
      <w:r w:rsidR="00EB7FF9">
        <w:rPr>
          <w:rFonts w:ascii="Cambria" w:hAnsi="Cambria"/>
          <w:sz w:val="20"/>
          <w:szCs w:val="20"/>
          <w:lang w:val="es-PA"/>
        </w:rPr>
        <w:t>t</w:t>
      </w:r>
      <w:proofErr w:type="spellEnd"/>
      <w:r>
        <w:rPr>
          <w:rFonts w:ascii="Cambria" w:hAnsi="Cambria"/>
          <w:sz w:val="20"/>
          <w:szCs w:val="20"/>
          <w:lang w:val="es-PA"/>
        </w:rPr>
        <w:t xml:space="preserve"> </w:t>
      </w:r>
      <w:proofErr w:type="spellStart"/>
      <w:r>
        <w:rPr>
          <w:rFonts w:ascii="Cambria" w:hAnsi="Cambria"/>
          <w:sz w:val="20"/>
          <w:szCs w:val="20"/>
          <w:lang w:val="es-PA"/>
        </w:rPr>
        <w:t>Elki</w:t>
      </w:r>
      <w:proofErr w:type="spellEnd"/>
      <w:r>
        <w:rPr>
          <w:rFonts w:ascii="Cambria" w:hAnsi="Cambria"/>
          <w:sz w:val="20"/>
          <w:szCs w:val="20"/>
          <w:lang w:val="es-PA"/>
        </w:rPr>
        <w:t xml:space="preserve"> Meza </w:t>
      </w:r>
      <w:proofErr w:type="spellStart"/>
      <w:r>
        <w:rPr>
          <w:rFonts w:ascii="Cambria" w:hAnsi="Cambria"/>
          <w:sz w:val="20"/>
          <w:szCs w:val="20"/>
          <w:lang w:val="es-PA"/>
        </w:rPr>
        <w:t>Majino</w:t>
      </w:r>
      <w:proofErr w:type="spellEnd"/>
      <w:r>
        <w:rPr>
          <w:rFonts w:ascii="Cambria" w:hAnsi="Cambria"/>
          <w:sz w:val="20"/>
          <w:szCs w:val="20"/>
          <w:lang w:val="es-PA"/>
        </w:rPr>
        <w:t xml:space="preserve"> (en adelante “la parte peticionaria”) denuncian presuntas violaciones a los derechos humanos de </w:t>
      </w:r>
      <w:proofErr w:type="spellStart"/>
      <w:r>
        <w:rPr>
          <w:rFonts w:ascii="Cambria" w:hAnsi="Cambria"/>
          <w:sz w:val="20"/>
          <w:szCs w:val="20"/>
          <w:lang w:val="es-PA"/>
        </w:rPr>
        <w:t>Wilber</w:t>
      </w:r>
      <w:proofErr w:type="spellEnd"/>
      <w:r>
        <w:rPr>
          <w:rFonts w:ascii="Cambria" w:hAnsi="Cambria"/>
          <w:sz w:val="20"/>
          <w:szCs w:val="20"/>
          <w:lang w:val="es-PA"/>
        </w:rPr>
        <w:t xml:space="preserve"> </w:t>
      </w:r>
      <w:proofErr w:type="spellStart"/>
      <w:r>
        <w:rPr>
          <w:rFonts w:ascii="Cambria" w:hAnsi="Cambria"/>
          <w:sz w:val="20"/>
          <w:szCs w:val="20"/>
          <w:lang w:val="es-PA"/>
        </w:rPr>
        <w:t>Elki</w:t>
      </w:r>
      <w:proofErr w:type="spellEnd"/>
      <w:r>
        <w:rPr>
          <w:rFonts w:ascii="Cambria" w:hAnsi="Cambria"/>
          <w:sz w:val="20"/>
          <w:szCs w:val="20"/>
          <w:lang w:val="es-PA"/>
        </w:rPr>
        <w:t xml:space="preserve"> Meza </w:t>
      </w:r>
      <w:proofErr w:type="spellStart"/>
      <w:r>
        <w:rPr>
          <w:rFonts w:ascii="Cambria" w:hAnsi="Cambria"/>
          <w:sz w:val="20"/>
          <w:szCs w:val="20"/>
          <w:lang w:val="es-PA"/>
        </w:rPr>
        <w:t>Majino</w:t>
      </w:r>
      <w:proofErr w:type="spellEnd"/>
      <w:r>
        <w:rPr>
          <w:rFonts w:ascii="Cambria" w:hAnsi="Cambria"/>
          <w:sz w:val="20"/>
          <w:szCs w:val="20"/>
          <w:lang w:val="es-PA"/>
        </w:rPr>
        <w:t xml:space="preserve"> (en adelante “la presunta víctima”) alegando que este fue privado ilegalmente de su libertad, sometido a torturas, sujeto a un proceso penal ante una autoridad que no constituía su juez natural, privado de la presunción de inocencia y su derecho a la defensa, condenado en base a un tipo penal vago y abstracto que no cumplía con los parámetros del principio de legalidad, </w:t>
      </w:r>
      <w:r w:rsidR="0025642C">
        <w:rPr>
          <w:rFonts w:ascii="Cambria" w:hAnsi="Cambria"/>
          <w:sz w:val="20"/>
          <w:szCs w:val="20"/>
          <w:lang w:val="es-PA"/>
        </w:rPr>
        <w:t xml:space="preserve">e impuesto una pena mayor a la que era aplicable al referido tipo penal en el momento en que supuestamente se cometió el delito. </w:t>
      </w:r>
    </w:p>
    <w:p w14:paraId="14182A0E" w14:textId="2873B3AA" w:rsidR="0007375C" w:rsidRPr="00DA01B0" w:rsidRDefault="0007375C" w:rsidP="00890F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PA"/>
        </w:rPr>
        <w:t xml:space="preserve">La parte peticionaria relata que </w:t>
      </w:r>
      <w:r w:rsidR="0038546E">
        <w:rPr>
          <w:rFonts w:ascii="Cambria" w:hAnsi="Cambria"/>
          <w:sz w:val="20"/>
          <w:szCs w:val="20"/>
          <w:lang w:val="es-PA"/>
        </w:rPr>
        <w:t xml:space="preserve">el 22 de agosto de 2002 la presunta víctima se encontraba en una cabina de internet realizando sus actividades laborales de comerciante cuando fue detenido sin orden judicial por agentes del Estado. </w:t>
      </w:r>
      <w:r w:rsidR="007B7B95">
        <w:rPr>
          <w:rFonts w:ascii="Cambria" w:hAnsi="Cambria"/>
          <w:sz w:val="20"/>
          <w:szCs w:val="20"/>
          <w:lang w:val="es-PA"/>
        </w:rPr>
        <w:t xml:space="preserve">Alegan que tras su detención la presunta víctima fue atado de manos y pie se le vendaron sus ojos para luego trasladarlo a las Playas de Ventanilla donde fue sometido a maltratos físicos y torturas físicas y psicológicas. </w:t>
      </w:r>
      <w:r w:rsidR="00DA01B0">
        <w:rPr>
          <w:rFonts w:ascii="Cambria" w:hAnsi="Cambria"/>
          <w:sz w:val="20"/>
          <w:szCs w:val="20"/>
          <w:lang w:val="es-PA"/>
        </w:rPr>
        <w:t xml:space="preserve">Sostiene que, con la finalidad de justificar su arbitraria detención y cobrar una recompensa de un millón de dólares ofrecida por el Estado a quienes capturaran altos mandos terroristas, se sindicó a la presunta víctima como presunto responsable del aparato logístico y económico de la organización terrorista Sendero Luminoso. Explica que el Tribunal a quo de la Sala Penal Nacional emitió sentencia contra la presunta víctima condenándolo como responsable de terrorismo en agravio del Estado e imponiéndole una pena de 20 años de prisión. </w:t>
      </w:r>
    </w:p>
    <w:p w14:paraId="4E63F904" w14:textId="2267CA45" w:rsidR="00DA01B0" w:rsidRPr="009766E2" w:rsidRDefault="00DA01B0" w:rsidP="00890F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PA"/>
        </w:rPr>
        <w:t>Denuncia que la investigaci</w:t>
      </w:r>
      <w:r w:rsidR="00893046">
        <w:rPr>
          <w:rFonts w:ascii="Cambria" w:hAnsi="Cambria"/>
          <w:sz w:val="20"/>
          <w:szCs w:val="20"/>
          <w:lang w:val="es-PA"/>
        </w:rPr>
        <w:t xml:space="preserve">ón y el proceso penal que conllevaron a la condena de la presunta víctima estuvieron plagados de irregularidades que vulneraron sus derechos humanos entre ellas: </w:t>
      </w:r>
      <w:r w:rsidR="00672709">
        <w:rPr>
          <w:rFonts w:ascii="Cambria" w:hAnsi="Cambria"/>
          <w:sz w:val="20"/>
          <w:szCs w:val="20"/>
          <w:lang w:val="es-PA"/>
        </w:rPr>
        <w:t>que, pese a que la ciudad de L</w:t>
      </w:r>
      <w:r w:rsidR="00114186">
        <w:rPr>
          <w:rFonts w:ascii="Cambria" w:hAnsi="Cambria"/>
          <w:sz w:val="20"/>
          <w:szCs w:val="20"/>
          <w:lang w:val="es-PA"/>
        </w:rPr>
        <w:t xml:space="preserve">ima no se encontraba en Estado de emergencia, la presunta víctima fue aislado en los calabozos de la Dirección Contra el Terrorismo (DIRCOTE) donde fue víctima de torturas perfeccionándose bajo estas circunstancias diligencias de prueba y su manifestación policial las que luego no fueron anuladas por las autoridades </w:t>
      </w:r>
      <w:r w:rsidR="00AB0896">
        <w:rPr>
          <w:rFonts w:ascii="Cambria" w:hAnsi="Cambria"/>
          <w:sz w:val="20"/>
          <w:szCs w:val="20"/>
          <w:lang w:val="es-PA"/>
        </w:rPr>
        <w:t xml:space="preserve">judiciales </w:t>
      </w:r>
      <w:r w:rsidR="00114186">
        <w:rPr>
          <w:rFonts w:ascii="Cambria" w:hAnsi="Cambria"/>
          <w:sz w:val="20"/>
          <w:szCs w:val="20"/>
          <w:lang w:val="es-PA"/>
        </w:rPr>
        <w:t>pese a las impugnaciones presentadas;</w:t>
      </w:r>
      <w:r w:rsidR="00AB0896">
        <w:rPr>
          <w:rFonts w:ascii="Cambria" w:hAnsi="Cambria"/>
          <w:sz w:val="20"/>
          <w:szCs w:val="20"/>
          <w:lang w:val="es-PA"/>
        </w:rPr>
        <w:t xml:space="preserve"> que se le condenó por un delito tipificado en un decreto que no tenía validez por haber sido emitido por un gobierno de facto; que el tipo penal por el que se le condenó </w:t>
      </w:r>
      <w:r w:rsidR="00AD456D">
        <w:rPr>
          <w:rFonts w:ascii="Cambria" w:hAnsi="Cambria"/>
          <w:sz w:val="20"/>
          <w:szCs w:val="20"/>
          <w:lang w:val="es-PA"/>
        </w:rPr>
        <w:t xml:space="preserve">(terrorismo en modalidad de afiliación) </w:t>
      </w:r>
      <w:r w:rsidR="00AB0896">
        <w:rPr>
          <w:rFonts w:ascii="Cambria" w:hAnsi="Cambria"/>
          <w:sz w:val="20"/>
          <w:szCs w:val="20"/>
          <w:lang w:val="es-PA"/>
        </w:rPr>
        <w:t>no cumplía los requisitos mínimos del principio de legalidad por ser abstracto, difuso, abie</w:t>
      </w:r>
      <w:r w:rsidR="00AB7254">
        <w:rPr>
          <w:rFonts w:ascii="Cambria" w:hAnsi="Cambria"/>
          <w:sz w:val="20"/>
          <w:szCs w:val="20"/>
          <w:lang w:val="es-PA"/>
        </w:rPr>
        <w:t xml:space="preserve">rto e impreciso; que se le aplicó de forma retroactiva un decreto emitido con posterioridad a </w:t>
      </w:r>
      <w:r w:rsidR="00C5548C">
        <w:rPr>
          <w:rFonts w:ascii="Cambria" w:hAnsi="Cambria"/>
          <w:sz w:val="20"/>
          <w:szCs w:val="20"/>
          <w:lang w:val="es-PA"/>
        </w:rPr>
        <w:t xml:space="preserve">los hechos que se le imputaron y que aumentó la pena del delito por el cual fue condenado de 15 años a 20; que se violentó el principio del juez natural pues el proceso se condujo ante juzgados especiales de terrorismo distintos a </w:t>
      </w:r>
      <w:r w:rsidR="005E52AA">
        <w:rPr>
          <w:rFonts w:ascii="Cambria" w:hAnsi="Cambria"/>
          <w:sz w:val="20"/>
          <w:szCs w:val="20"/>
          <w:lang w:val="es-PA"/>
        </w:rPr>
        <w:t xml:space="preserve">los previstos en el sistema judicial peruano con anterioridad a los hechos que </w:t>
      </w:r>
      <w:r w:rsidR="00524EDC">
        <w:rPr>
          <w:rFonts w:ascii="Cambria" w:hAnsi="Cambria"/>
          <w:sz w:val="20"/>
          <w:szCs w:val="20"/>
          <w:lang w:val="es-PA"/>
        </w:rPr>
        <w:t xml:space="preserve">dieron </w:t>
      </w:r>
      <w:r w:rsidR="005E52AA">
        <w:rPr>
          <w:rFonts w:ascii="Cambria" w:hAnsi="Cambria"/>
          <w:sz w:val="20"/>
          <w:szCs w:val="20"/>
          <w:lang w:val="es-PA"/>
        </w:rPr>
        <w:t xml:space="preserve">lugar a la condena; </w:t>
      </w:r>
      <w:r w:rsidR="00114186">
        <w:rPr>
          <w:rFonts w:ascii="Cambria" w:hAnsi="Cambria"/>
          <w:sz w:val="20"/>
          <w:szCs w:val="20"/>
          <w:lang w:val="es-PA"/>
        </w:rPr>
        <w:t xml:space="preserve"> </w:t>
      </w:r>
      <w:r w:rsidR="00893046">
        <w:rPr>
          <w:rFonts w:ascii="Cambria" w:hAnsi="Cambria"/>
          <w:sz w:val="20"/>
          <w:szCs w:val="20"/>
          <w:lang w:val="es-PA"/>
        </w:rPr>
        <w:t>que la condena se basó en un “acta de verificación de comunicación vía internet” sin haberse comprobado mediante peritaje la autenticidad, falsedad o adulteraci</w:t>
      </w:r>
      <w:r w:rsidR="00CC63E4">
        <w:rPr>
          <w:rFonts w:ascii="Cambria" w:hAnsi="Cambria"/>
          <w:sz w:val="20"/>
          <w:szCs w:val="20"/>
          <w:lang w:val="es-PA"/>
        </w:rPr>
        <w:t>ón del contenido de esta</w:t>
      </w:r>
      <w:r w:rsidR="009766E2">
        <w:rPr>
          <w:rFonts w:ascii="Cambria" w:hAnsi="Cambria"/>
          <w:sz w:val="20"/>
          <w:szCs w:val="20"/>
          <w:lang w:val="es-PA"/>
        </w:rPr>
        <w:t>.</w:t>
      </w:r>
    </w:p>
    <w:p w14:paraId="303ADF4F" w14:textId="78A30A28" w:rsidR="000B7DC4" w:rsidRPr="000B7DC4" w:rsidRDefault="009766E2"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La parte peticionaria sostiene que la presunta víctima ha agotado todos los recursos disponibles en la jurisdicción doméstica. Indica que se presentó una demanda de nulidad contra la sentencia condenatoria resultando </w:t>
      </w:r>
      <w:r>
        <w:rPr>
          <w:rFonts w:ascii="Cambria" w:hAnsi="Cambria"/>
          <w:sz w:val="20"/>
          <w:szCs w:val="20"/>
          <w:lang w:val="es-PA"/>
        </w:rPr>
        <w:t>en que el 24 de mayo de 2006 la Segunda Sala Penal Transitoria de la Corte Suprema de Justicia confirmara la sentencia. En adición, indica que interpuso demanda de habeas corpus contra la</w:t>
      </w:r>
      <w:r w:rsidR="00A6358B">
        <w:rPr>
          <w:rFonts w:ascii="Cambria" w:hAnsi="Cambria"/>
          <w:sz w:val="20"/>
          <w:szCs w:val="20"/>
          <w:lang w:val="es-PA"/>
        </w:rPr>
        <w:t xml:space="preserve">s autoridades de primera y segunda instancia </w:t>
      </w:r>
      <w:r>
        <w:rPr>
          <w:rFonts w:ascii="Cambria" w:hAnsi="Cambria"/>
          <w:sz w:val="20"/>
          <w:szCs w:val="20"/>
          <w:lang w:val="es-PA"/>
        </w:rPr>
        <w:t>denun</w:t>
      </w:r>
      <w:r w:rsidR="00A6358B">
        <w:rPr>
          <w:rFonts w:ascii="Cambria" w:hAnsi="Cambria"/>
          <w:sz w:val="20"/>
          <w:szCs w:val="20"/>
          <w:lang w:val="es-PA"/>
        </w:rPr>
        <w:t>ciando que se le había privado de libertad en base a un proceso irregular, la que fue declarada infundada por el Segundo Juzgado Penal. Luego, apeló esta decisión ante la Quinta Sala de Reos Libres de la Corte Superior de Justicia quien confirmó la resolución denegatoria. Finalmente, interpuso recurso de agravio constitucional para que su acción de habeas corpus fuera reexaminada por el Tribunal Constitucional, quien el 16 de ma</w:t>
      </w:r>
      <w:r w:rsidR="00C01E35">
        <w:rPr>
          <w:rFonts w:ascii="Cambria" w:hAnsi="Cambria"/>
          <w:sz w:val="20"/>
          <w:szCs w:val="20"/>
          <w:lang w:val="es-PA"/>
        </w:rPr>
        <w:t>yo de 2009 declaró infundada la demanda</w:t>
      </w:r>
      <w:r w:rsidR="00A6358B">
        <w:rPr>
          <w:rFonts w:ascii="Cambria" w:hAnsi="Cambria"/>
          <w:sz w:val="20"/>
          <w:szCs w:val="20"/>
          <w:lang w:val="es-PA"/>
        </w:rPr>
        <w:t xml:space="preserve">. </w:t>
      </w:r>
      <w:r w:rsidR="00894733">
        <w:rPr>
          <w:rFonts w:ascii="Cambria" w:hAnsi="Cambria"/>
          <w:sz w:val="20"/>
          <w:szCs w:val="20"/>
          <w:lang w:val="es-PA"/>
        </w:rPr>
        <w:t>Resalta</w:t>
      </w:r>
      <w:r w:rsidR="00A6358B">
        <w:rPr>
          <w:rFonts w:ascii="Cambria" w:hAnsi="Cambria"/>
          <w:sz w:val="20"/>
          <w:szCs w:val="20"/>
          <w:lang w:val="es-PA"/>
        </w:rPr>
        <w:t xml:space="preserve"> que sus reclamaciones con respecto a la violación del principio de irretroactividad maligna de la ley penal fueron planteadas en su acción de habeas corpus. </w:t>
      </w:r>
      <w:r w:rsidR="00894733">
        <w:rPr>
          <w:rFonts w:ascii="Cambria" w:hAnsi="Cambria"/>
          <w:sz w:val="20"/>
          <w:szCs w:val="20"/>
          <w:lang w:val="es-PA"/>
        </w:rPr>
        <w:t xml:space="preserve">Añade que las torturas </w:t>
      </w:r>
      <w:r w:rsidR="00A31E2D">
        <w:rPr>
          <w:rFonts w:ascii="Cambria" w:hAnsi="Cambria"/>
          <w:sz w:val="20"/>
          <w:szCs w:val="20"/>
          <w:lang w:val="es-PA"/>
        </w:rPr>
        <w:t>come</w:t>
      </w:r>
      <w:r w:rsidR="000B7DC4">
        <w:rPr>
          <w:rFonts w:ascii="Cambria" w:hAnsi="Cambria"/>
          <w:sz w:val="20"/>
          <w:szCs w:val="20"/>
          <w:lang w:val="es-PA"/>
        </w:rPr>
        <w:t xml:space="preserve">tidas contra la presunta víctima durante su </w:t>
      </w:r>
      <w:r w:rsidR="00894733">
        <w:rPr>
          <w:rFonts w:ascii="Cambria" w:hAnsi="Cambria"/>
          <w:sz w:val="20"/>
          <w:szCs w:val="20"/>
          <w:lang w:val="es-PA"/>
        </w:rPr>
        <w:t xml:space="preserve">detención fueron denunciadas mientras el proceso penal en su contra se encontraba </w:t>
      </w:r>
      <w:r w:rsidR="000B7DC4">
        <w:rPr>
          <w:rFonts w:ascii="Cambria" w:hAnsi="Cambria"/>
          <w:sz w:val="20"/>
          <w:szCs w:val="20"/>
          <w:lang w:val="es-PA"/>
        </w:rPr>
        <w:t xml:space="preserve">en </w:t>
      </w:r>
      <w:r w:rsidR="00894733">
        <w:rPr>
          <w:rFonts w:ascii="Cambria" w:hAnsi="Cambria"/>
          <w:sz w:val="20"/>
          <w:szCs w:val="20"/>
          <w:lang w:val="es-PA"/>
        </w:rPr>
        <w:t>desarrollo, primero ante el representante del Ministerio Público y luego ante las autoridades judiciales</w:t>
      </w:r>
      <w:r w:rsidR="00C4720A">
        <w:rPr>
          <w:rFonts w:ascii="Cambria" w:hAnsi="Cambria"/>
          <w:sz w:val="20"/>
          <w:szCs w:val="20"/>
          <w:lang w:val="es-PA"/>
        </w:rPr>
        <w:t xml:space="preserve"> quienes rechazaron las impugnaciones presentadas y no garantizaron el contradictorio de la prueba pertinente</w:t>
      </w:r>
      <w:r w:rsidR="00894733">
        <w:rPr>
          <w:rFonts w:ascii="Cambria" w:hAnsi="Cambria"/>
          <w:sz w:val="20"/>
          <w:szCs w:val="20"/>
          <w:lang w:val="es-PA"/>
        </w:rPr>
        <w:t>. Denuncia</w:t>
      </w:r>
      <w:r w:rsidR="00C4720A">
        <w:rPr>
          <w:rFonts w:ascii="Cambria" w:hAnsi="Cambria"/>
          <w:sz w:val="20"/>
          <w:szCs w:val="20"/>
          <w:lang w:val="es-PA"/>
        </w:rPr>
        <w:t xml:space="preserve"> además</w:t>
      </w:r>
      <w:r w:rsidR="00894733">
        <w:rPr>
          <w:rFonts w:ascii="Cambria" w:hAnsi="Cambria"/>
          <w:sz w:val="20"/>
          <w:szCs w:val="20"/>
          <w:lang w:val="es-PA"/>
        </w:rPr>
        <w:t xml:space="preserve"> que en el proceso se presentó una grabación </w:t>
      </w:r>
      <w:r w:rsidR="00C4720A">
        <w:rPr>
          <w:rFonts w:ascii="Cambria" w:hAnsi="Cambria"/>
          <w:sz w:val="20"/>
          <w:szCs w:val="20"/>
          <w:lang w:val="es-PA"/>
        </w:rPr>
        <w:t>tomada cuando la presunta víctima fue intervenido por la policía pero que omitieron mostrar la filmación de los maltratos y agresiones cometidas contra este.</w:t>
      </w:r>
    </w:p>
    <w:p w14:paraId="53E550F6" w14:textId="3326C963" w:rsidR="00894733" w:rsidRPr="009C1E1E" w:rsidRDefault="000B7DC4"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PA"/>
        </w:rPr>
        <w:lastRenderedPageBreak/>
        <w:t>El Estado, por su parte,</w:t>
      </w:r>
      <w:r w:rsidR="00560B92">
        <w:rPr>
          <w:rFonts w:ascii="Cambria" w:hAnsi="Cambria"/>
          <w:sz w:val="20"/>
          <w:szCs w:val="20"/>
          <w:lang w:val="es-PA"/>
        </w:rPr>
        <w:t xml:space="preserve"> señala que la parte peticionaria invoca instrumentos que no pertenecen al Sistema Interamericano y que no pueden ser objeto de evaluación y pronunciamiento por parte de la Comisión.</w:t>
      </w:r>
      <w:r>
        <w:rPr>
          <w:rFonts w:ascii="Cambria" w:hAnsi="Cambria"/>
          <w:sz w:val="20"/>
          <w:szCs w:val="20"/>
          <w:lang w:val="es-PA"/>
        </w:rPr>
        <w:t xml:space="preserve"> </w:t>
      </w:r>
      <w:r w:rsidR="00560B92">
        <w:rPr>
          <w:rFonts w:ascii="Cambria" w:hAnsi="Cambria"/>
          <w:sz w:val="20"/>
          <w:szCs w:val="20"/>
          <w:lang w:val="es-PA"/>
        </w:rPr>
        <w:t>Manifiesta</w:t>
      </w:r>
      <w:r w:rsidR="007F3D65">
        <w:rPr>
          <w:rFonts w:ascii="Cambria" w:hAnsi="Cambria"/>
          <w:sz w:val="20"/>
          <w:szCs w:val="20"/>
          <w:lang w:val="es-PA"/>
        </w:rPr>
        <w:t xml:space="preserve"> que la petición debe ser i</w:t>
      </w:r>
      <w:r w:rsidR="00560B92">
        <w:rPr>
          <w:rFonts w:ascii="Cambria" w:hAnsi="Cambria"/>
          <w:sz w:val="20"/>
          <w:szCs w:val="20"/>
          <w:lang w:val="es-PA"/>
        </w:rPr>
        <w:t>nadmitida con fundamento en el artículo</w:t>
      </w:r>
      <w:r w:rsidR="00C4720A">
        <w:rPr>
          <w:rFonts w:ascii="Cambria" w:hAnsi="Cambria"/>
          <w:sz w:val="20"/>
          <w:szCs w:val="20"/>
          <w:lang w:val="es-PA"/>
        </w:rPr>
        <w:t xml:space="preserve"> </w:t>
      </w:r>
      <w:r w:rsidR="00A31E2D">
        <w:rPr>
          <w:rFonts w:ascii="Cambria" w:hAnsi="Cambria"/>
          <w:sz w:val="20"/>
          <w:szCs w:val="20"/>
          <w:lang w:val="es-PA"/>
        </w:rPr>
        <w:t>46 de la Con</w:t>
      </w:r>
      <w:r w:rsidR="00672709">
        <w:rPr>
          <w:rFonts w:ascii="Cambria" w:hAnsi="Cambria"/>
          <w:sz w:val="20"/>
          <w:szCs w:val="20"/>
          <w:lang w:val="es-PA"/>
        </w:rPr>
        <w:t>vención Americana porque</w:t>
      </w:r>
      <w:r w:rsidR="00A31E2D">
        <w:rPr>
          <w:rFonts w:ascii="Cambria" w:hAnsi="Cambria"/>
          <w:sz w:val="20"/>
          <w:szCs w:val="20"/>
          <w:lang w:val="es-PA"/>
        </w:rPr>
        <w:t xml:space="preserve"> la presunta víctima no ha cumplido con agotar los recursos de la jurisdicción interna. Sostiene que la presunta víctima no planteo </w:t>
      </w:r>
      <w:r w:rsidR="009C1E1E">
        <w:rPr>
          <w:rFonts w:ascii="Cambria" w:hAnsi="Cambria"/>
          <w:sz w:val="20"/>
          <w:szCs w:val="20"/>
          <w:lang w:val="es-PA"/>
        </w:rPr>
        <w:t xml:space="preserve">en sus acciones de nulidad y habeas corpus </w:t>
      </w:r>
      <w:r w:rsidR="00A31E2D">
        <w:rPr>
          <w:rFonts w:ascii="Cambria" w:hAnsi="Cambria"/>
          <w:sz w:val="20"/>
          <w:szCs w:val="20"/>
          <w:lang w:val="es-PA"/>
        </w:rPr>
        <w:t xml:space="preserve">sus reclamaciones con respecto a la supuesta </w:t>
      </w:r>
      <w:r w:rsidR="009C1E1E">
        <w:rPr>
          <w:rFonts w:ascii="Cambria" w:hAnsi="Cambria"/>
          <w:sz w:val="20"/>
          <w:szCs w:val="20"/>
          <w:lang w:val="es-PA"/>
        </w:rPr>
        <w:t>vulneración específica del principio de legalidad, tipicidad o no retroactividad en materia penal e indica que esto queda evidenciado en las sentencias que resolvieron estos recursos. Señala que el proceso constitucional constituía un recurso idóneo y eficaz para que estos reclamos fueran atendidos y que se privó a los tribunales domésticos de la oportunidad de emitir un pronunciamiento al respecto. Añade que el Estado no puede ser responsabilizado por el ejercicio inadecuado de la defensa legal de la presunta víctima durante el proceso constitucional.</w:t>
      </w:r>
      <w:r w:rsidR="00560B92">
        <w:rPr>
          <w:rFonts w:ascii="Cambria" w:hAnsi="Cambria"/>
          <w:sz w:val="20"/>
          <w:szCs w:val="20"/>
          <w:lang w:val="es-PA"/>
        </w:rPr>
        <w:t xml:space="preserve"> Resalta además que el proceso contra la presunta víctima se adelantó en el contexto de la lucha del Estado contra el grupo terrorista Sendero Luminoso el</w:t>
      </w:r>
      <w:r w:rsidR="00C01E35">
        <w:rPr>
          <w:rFonts w:ascii="Cambria" w:hAnsi="Cambria"/>
          <w:sz w:val="20"/>
          <w:szCs w:val="20"/>
          <w:lang w:val="es-PA"/>
        </w:rPr>
        <w:t xml:space="preserve"> que promovía una ideología anti</w:t>
      </w:r>
      <w:r w:rsidR="00560B92">
        <w:rPr>
          <w:rFonts w:ascii="Cambria" w:hAnsi="Cambria"/>
          <w:sz w:val="20"/>
          <w:szCs w:val="20"/>
          <w:lang w:val="es-PA"/>
        </w:rPr>
        <w:t xml:space="preserve"> derechos humanos y fue responsable de múltiples actos de violencia contra la sociedad civil; por lo que el Estado tenía el deber y derecho de defenderse siempre que respetara los derechos fundamentales de sus ciudadanos. </w:t>
      </w:r>
    </w:p>
    <w:p w14:paraId="7B1B9EE2" w14:textId="73A076CF" w:rsidR="00D867BB" w:rsidRDefault="009C1E1E"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También señala que la petición deber </w:t>
      </w:r>
      <w:r w:rsidR="00672709">
        <w:rPr>
          <w:rFonts w:ascii="Cambria" w:hAnsi="Cambria"/>
          <w:sz w:val="20"/>
          <w:szCs w:val="20"/>
          <w:lang w:val="es-UY"/>
        </w:rPr>
        <w:t xml:space="preserve">ser </w:t>
      </w:r>
      <w:r>
        <w:rPr>
          <w:rFonts w:ascii="Cambria" w:hAnsi="Cambria"/>
          <w:sz w:val="20"/>
          <w:szCs w:val="20"/>
          <w:lang w:val="es-UY"/>
        </w:rPr>
        <w:t>inadmitida con fundamento en el artículo 47 de la Convención Americana porque l</w:t>
      </w:r>
      <w:r w:rsidR="009A4B90">
        <w:rPr>
          <w:rFonts w:ascii="Cambria" w:hAnsi="Cambria"/>
          <w:sz w:val="20"/>
          <w:szCs w:val="20"/>
          <w:lang w:val="es-UY"/>
        </w:rPr>
        <w:t>os hechos expuestos en ella no implican vulneración de los derechos del peticionario. Sostiene que la intención de la parte peticionaria es que la Comisión, en contravención a su naturaleza subsidiaria, actúe como una cuarta instancia o tribunal de alzada y revise las valoraciones y pronunciamientos de los tribunales internos con los que está en desacuerdo. Resalta que</w:t>
      </w:r>
      <w:r w:rsidR="00982C1A">
        <w:rPr>
          <w:rFonts w:ascii="Cambria" w:hAnsi="Cambria"/>
          <w:sz w:val="20"/>
          <w:szCs w:val="20"/>
          <w:lang w:val="es-UY"/>
        </w:rPr>
        <w:t xml:space="preserve"> a la presunta víctima se le garantizó el derecho a ejercer su defensa, presentar impugnaciones y apelar la sentencia condenatoria; por lo que </w:t>
      </w:r>
      <w:r w:rsidR="009A4B90">
        <w:rPr>
          <w:rFonts w:ascii="Cambria" w:hAnsi="Cambria"/>
          <w:sz w:val="20"/>
          <w:szCs w:val="20"/>
          <w:lang w:val="es-UY"/>
        </w:rPr>
        <w:t xml:space="preserve">el mero hecho de que se hayan emitido sentencias desfavorables </w:t>
      </w:r>
      <w:r w:rsidR="00982C1A">
        <w:rPr>
          <w:rFonts w:ascii="Cambria" w:hAnsi="Cambria"/>
          <w:sz w:val="20"/>
          <w:szCs w:val="20"/>
          <w:lang w:val="es-UY"/>
        </w:rPr>
        <w:t>a sus intereses</w:t>
      </w:r>
      <w:r w:rsidR="009A4B90">
        <w:rPr>
          <w:rFonts w:ascii="Cambria" w:hAnsi="Cambria"/>
          <w:sz w:val="20"/>
          <w:szCs w:val="20"/>
          <w:lang w:val="es-UY"/>
        </w:rPr>
        <w:t xml:space="preserve"> no implica una vulneración de sus derechos. </w:t>
      </w:r>
    </w:p>
    <w:p w14:paraId="4F4ECD30" w14:textId="3D3FF334" w:rsidR="009C1E1E" w:rsidRDefault="009A4B90"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Explica que si bien la presunta víctima alegó que fue víctima de torturas y violaciones a su integridad personal </w:t>
      </w:r>
      <w:r w:rsidR="00D867BB">
        <w:rPr>
          <w:rFonts w:ascii="Cambria" w:hAnsi="Cambria"/>
          <w:sz w:val="20"/>
          <w:szCs w:val="20"/>
          <w:lang w:val="es-UY"/>
        </w:rPr>
        <w:t>estas denuncias debieron ser desestimadas en los procesos domésticos porque no se acreditó</w:t>
      </w:r>
      <w:r>
        <w:rPr>
          <w:rFonts w:ascii="Cambria" w:hAnsi="Cambria"/>
          <w:sz w:val="20"/>
          <w:szCs w:val="20"/>
          <w:lang w:val="es-UY"/>
        </w:rPr>
        <w:t xml:space="preserve"> ninguna prueba que respaldara esta </w:t>
      </w:r>
      <w:r w:rsidR="00D867BB">
        <w:rPr>
          <w:rFonts w:ascii="Cambria" w:hAnsi="Cambria"/>
          <w:sz w:val="20"/>
          <w:szCs w:val="20"/>
          <w:lang w:val="es-UY"/>
        </w:rPr>
        <w:t xml:space="preserve">afirmación. Destaca que dentro del proceso penal se presentó un video tomado cuando </w:t>
      </w:r>
      <w:r w:rsidR="00672709">
        <w:rPr>
          <w:rFonts w:ascii="Cambria" w:hAnsi="Cambria"/>
          <w:sz w:val="20"/>
          <w:szCs w:val="20"/>
          <w:lang w:val="es-UY"/>
        </w:rPr>
        <w:t>la presunta víctima fue detenida</w:t>
      </w:r>
      <w:r w:rsidR="00D867BB">
        <w:rPr>
          <w:rFonts w:ascii="Cambria" w:hAnsi="Cambria"/>
          <w:sz w:val="20"/>
          <w:szCs w:val="20"/>
          <w:lang w:val="es-UY"/>
        </w:rPr>
        <w:t xml:space="preserve"> en el cual este se encontraba esposado pero tranquilo y leyendo un acta sin que se observara ningún signo de violencia. También señala que la detención de la presunta víctima no fue ilegal pues se fundamentó en una requisitoria que existía en su contra. Resalta que esto fue reconocido por la presunta víctima en su escrito de recurso de nulidad donde indic</w:t>
      </w:r>
      <w:r w:rsidR="005E5681">
        <w:rPr>
          <w:rFonts w:ascii="Cambria" w:hAnsi="Cambria"/>
          <w:sz w:val="20"/>
          <w:szCs w:val="20"/>
          <w:lang w:val="es-UY"/>
        </w:rPr>
        <w:t>ó que al momento de su detención existía una requisitoria en su contra por tenencia ilegal de arma, aunque no por terrorismo. Sostiene además que al peticionario se le comunicó la existencia de una orden judicial para su detención al momento en que esta se ejecutó y que esto quedó evidenciado en la sentencia condenatoria de primera instancia.</w:t>
      </w:r>
    </w:p>
    <w:p w14:paraId="6DDFB979" w14:textId="5B86F24E" w:rsidR="005E5681" w:rsidRPr="00894733" w:rsidRDefault="005E5681" w:rsidP="0089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Manifiesta que el que el proceso contra la presunta víctima haya sido adelan</w:t>
      </w:r>
      <w:r w:rsidR="00544CCE">
        <w:rPr>
          <w:rFonts w:ascii="Cambria" w:hAnsi="Cambria"/>
          <w:sz w:val="20"/>
          <w:szCs w:val="20"/>
          <w:lang w:val="es-UY"/>
        </w:rPr>
        <w:t xml:space="preserve">tado ante la Sala Penal Nacional no implica violación de su derecho al juez natural o predeterminado por ley. Explica que los jueces que integran esta sala pertenecen a la jurisdicción ordinaria y que el proceso contra la presunta víctima se ventiló ante ella porque esta era la autoridad competente para juzgar casos de terrorismo en base al principio de especialidad por la materia y el territorio. </w:t>
      </w:r>
      <w:r w:rsidR="002129A2">
        <w:rPr>
          <w:rFonts w:ascii="Cambria" w:hAnsi="Cambria"/>
          <w:sz w:val="20"/>
          <w:szCs w:val="20"/>
          <w:lang w:val="es-UY"/>
        </w:rPr>
        <w:t xml:space="preserve">Agrega que en los procesos penales ante la Sala Penal Nacional </w:t>
      </w:r>
      <w:r w:rsidR="00BB5B2B">
        <w:rPr>
          <w:rFonts w:ascii="Cambria" w:hAnsi="Cambria"/>
          <w:sz w:val="20"/>
          <w:szCs w:val="20"/>
          <w:lang w:val="es-UY"/>
        </w:rPr>
        <w:t>se respetan todas las garantías judiciales y la presunción de inocencia estando esto evidenciado en las estadísticas de resultado de la Sala las cuales indican que 42.80% de las personas procesadas por terrorismo ante ella entre 2003 y 2013 fueron absueltas.</w:t>
      </w:r>
      <w:r w:rsidR="00982C1A">
        <w:rPr>
          <w:rFonts w:ascii="Cambria" w:hAnsi="Cambria"/>
          <w:sz w:val="20"/>
          <w:szCs w:val="20"/>
          <w:lang w:val="es-UY"/>
        </w:rPr>
        <w:t xml:space="preserve"> También alega que no se trasgredió ni incumplió el principio de legalidad en materia penal pues la ley penal deber interpretada por cada juez penal en cada caso concreto. </w:t>
      </w:r>
    </w:p>
    <w:p w14:paraId="6F4D4171" w14:textId="442CD4CF" w:rsidR="003239B8" w:rsidRPr="000673D0" w:rsidRDefault="003239B8" w:rsidP="00890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0673D0">
        <w:rPr>
          <w:rFonts w:asciiTheme="majorHAnsi" w:eastAsia="Cambria" w:hAnsiTheme="majorHAnsi" w:cs="Cambria"/>
          <w:b/>
          <w:bCs/>
          <w:color w:val="000000"/>
          <w:sz w:val="20"/>
          <w:szCs w:val="20"/>
          <w:u w:color="000000"/>
          <w:lang w:val="es-ES" w:eastAsia="es-ES"/>
        </w:rPr>
        <w:t>VI.</w:t>
      </w:r>
      <w:r w:rsidRPr="000673D0">
        <w:rPr>
          <w:rFonts w:asciiTheme="majorHAnsi" w:eastAsia="Cambria" w:hAnsiTheme="majorHAnsi" w:cs="Cambria"/>
          <w:b/>
          <w:bCs/>
          <w:color w:val="000000"/>
          <w:sz w:val="20"/>
          <w:szCs w:val="20"/>
          <w:u w:color="000000"/>
          <w:lang w:val="es-ES" w:eastAsia="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sz w:val="20"/>
          <w:szCs w:val="20"/>
          <w:lang w:val="es-ES"/>
        </w:rPr>
        <w:t>AGOTAMIENTO DE LOS RECURSOS INTERNOS Y PLAZO DE PRESENTACIÓN</w:t>
      </w:r>
      <w:r w:rsidR="008D1350">
        <w:rPr>
          <w:rFonts w:asciiTheme="majorHAnsi" w:hAnsiTheme="majorHAnsi"/>
          <w:b/>
          <w:sz w:val="20"/>
          <w:szCs w:val="20"/>
          <w:lang w:val="es-ES"/>
        </w:rPr>
        <w:t xml:space="preserve"> </w:t>
      </w:r>
      <w:r w:rsidR="00C21FEF" w:rsidRPr="000673D0">
        <w:rPr>
          <w:rFonts w:asciiTheme="majorHAnsi" w:eastAsia="Cambria" w:hAnsiTheme="majorHAnsi" w:cs="Cambria"/>
          <w:b/>
          <w:bCs/>
          <w:color w:val="000000"/>
          <w:sz w:val="20"/>
          <w:szCs w:val="20"/>
          <w:u w:color="000000"/>
          <w:lang w:val="es-ES" w:eastAsia="es-ES"/>
        </w:rPr>
        <w:t xml:space="preserve"> </w:t>
      </w:r>
    </w:p>
    <w:p w14:paraId="620A3B95" w14:textId="4934A54F" w:rsidR="00122F86" w:rsidRDefault="00BB4418" w:rsidP="008D1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01BA">
        <w:rPr>
          <w:rFonts w:asciiTheme="majorHAnsi" w:hAnsiTheme="majorHAnsi"/>
          <w:sz w:val="20"/>
          <w:szCs w:val="20"/>
          <w:lang w:val="es-ES"/>
        </w:rPr>
        <w:t xml:space="preserve">La Comisión observa que </w:t>
      </w:r>
      <w:r w:rsidR="008D1350">
        <w:rPr>
          <w:rFonts w:asciiTheme="majorHAnsi" w:hAnsiTheme="majorHAnsi"/>
          <w:sz w:val="20"/>
          <w:szCs w:val="20"/>
          <w:lang w:val="es-ES"/>
        </w:rPr>
        <w:t xml:space="preserve">la parte peticionaria ha alegado que </w:t>
      </w:r>
      <w:r w:rsidR="00122F86">
        <w:rPr>
          <w:rFonts w:asciiTheme="majorHAnsi" w:hAnsiTheme="majorHAnsi"/>
          <w:sz w:val="20"/>
          <w:szCs w:val="20"/>
          <w:lang w:val="es-ES"/>
        </w:rPr>
        <w:t>la presunta víctima ha agotado todos los recursos disponibles en la jurisdicción domésticas</w:t>
      </w:r>
      <w:r w:rsidR="00711FCC">
        <w:rPr>
          <w:rFonts w:asciiTheme="majorHAnsi" w:hAnsiTheme="majorHAnsi"/>
          <w:sz w:val="20"/>
          <w:szCs w:val="20"/>
          <w:lang w:val="es-ES"/>
        </w:rPr>
        <w:t>, que las alegadas violaciones a su integridad personal fueron denunciadas ante las autoridades a cargo del proceso penal</w:t>
      </w:r>
      <w:r w:rsidR="00122F86">
        <w:rPr>
          <w:rFonts w:asciiTheme="majorHAnsi" w:hAnsiTheme="majorHAnsi"/>
          <w:sz w:val="20"/>
          <w:szCs w:val="20"/>
          <w:lang w:val="es-ES"/>
        </w:rPr>
        <w:t xml:space="preserve"> y que sus reclamaciones con respecto a una violación del principio de legalidad fueron planteadas en la acción de habeas corpus interpuesta por este. </w:t>
      </w:r>
      <w:r w:rsidR="004A60C4">
        <w:rPr>
          <w:rFonts w:asciiTheme="majorHAnsi" w:hAnsiTheme="majorHAnsi"/>
          <w:sz w:val="20"/>
          <w:szCs w:val="20"/>
          <w:lang w:val="es-ES"/>
        </w:rPr>
        <w:t xml:space="preserve">A su vez, </w:t>
      </w:r>
      <w:r w:rsidR="00122F86">
        <w:rPr>
          <w:rFonts w:asciiTheme="majorHAnsi" w:hAnsiTheme="majorHAnsi"/>
          <w:sz w:val="20"/>
          <w:szCs w:val="20"/>
          <w:lang w:val="es-ES"/>
        </w:rPr>
        <w:t>el Estado ha sostenido que los recursos internos no fueron debidamente agotados porque las alegadas violaciones al principio de legalidad no fueron planteadas ante los tribunales domésticos.</w:t>
      </w:r>
    </w:p>
    <w:p w14:paraId="7F66E998" w14:textId="33B1739A" w:rsidR="00A352A2" w:rsidRDefault="004A60C4" w:rsidP="008D1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 xml:space="preserve">La Comisión toma nota de la controversia existente entre las partes con respecto a si las reclamaciones pertinentes a las aducidas violaciones al principio de legalidad fueron planteadas a nivel doméstico. Ante esta controversia, la Comisión valora que en el expediente consta copia aportada por el peticionario de un inscrito de interposición de acción de habeas corpus con sello de recibido del Poder Judicial fechado 28 de diciembre de 2006. En este escrito se indica “la presente acción de garantías </w:t>
      </w:r>
      <w:r w:rsidR="00711FCC">
        <w:rPr>
          <w:rFonts w:asciiTheme="majorHAnsi" w:hAnsiTheme="majorHAnsi"/>
          <w:sz w:val="20"/>
          <w:szCs w:val="20"/>
          <w:lang w:val="es-ES"/>
        </w:rPr>
        <w:t xml:space="preserve">la dirijo contra la SALA PENAL NACIONAL DE TERRORISMO, EL PODER EJECUTIVO, Y PODER LEGISLATIVO por ser las responsables, de la violación a mis derechos constitucionales a la libertad y seguridad personales, al debido proceso, a la presunción de inocencia, no ser encarcelado arbitrariamente </w:t>
      </w:r>
      <w:r w:rsidR="00711FCC" w:rsidRPr="00672709">
        <w:rPr>
          <w:rFonts w:asciiTheme="majorHAnsi" w:hAnsiTheme="majorHAnsi"/>
          <w:sz w:val="20"/>
          <w:szCs w:val="20"/>
          <w:lang w:val="es-ES"/>
        </w:rPr>
        <w:t>y la no retroactividad en forma maligna de la ley penal</w:t>
      </w:r>
      <w:r w:rsidR="00711FCC" w:rsidRPr="00675D21">
        <w:rPr>
          <w:rFonts w:asciiTheme="majorHAnsi" w:hAnsiTheme="majorHAnsi"/>
          <w:sz w:val="20"/>
          <w:szCs w:val="20"/>
          <w:lang w:val="es-ES"/>
        </w:rPr>
        <w:t>”</w:t>
      </w:r>
      <w:r w:rsidR="00675D21">
        <w:rPr>
          <w:rFonts w:asciiTheme="majorHAnsi" w:hAnsiTheme="majorHAnsi"/>
          <w:sz w:val="20"/>
          <w:szCs w:val="20"/>
          <w:lang w:val="es-ES"/>
        </w:rPr>
        <w:t>. La Comisión valor que Estado no ha denunciado ni surge del expediente la falsedad de este documento. Por esta razón la Comisión, para efectos del presente análisis de admisibilidad, da por probado que las alegadas violaciones al principio de legalidad fueron planteadas ante las autoridades domésticas mediante la acción de habeas corpus.</w:t>
      </w:r>
    </w:p>
    <w:p w14:paraId="364BFE90" w14:textId="2BD06AF2" w:rsidR="00675D21" w:rsidRPr="00434D45" w:rsidRDefault="00675D21" w:rsidP="00434D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165A">
        <w:rPr>
          <w:rFonts w:asciiTheme="majorHAnsi" w:hAnsiTheme="majorHAnsi"/>
          <w:sz w:val="20"/>
          <w:szCs w:val="20"/>
          <w:lang w:val="es-ES"/>
        </w:rPr>
        <w:t xml:space="preserve">La Comisión observa que </w:t>
      </w:r>
      <w:r w:rsidR="00A1165A" w:rsidRPr="00A1165A">
        <w:rPr>
          <w:rFonts w:asciiTheme="majorHAnsi" w:hAnsiTheme="majorHAnsi"/>
          <w:sz w:val="20"/>
          <w:szCs w:val="20"/>
          <w:lang w:val="es-ES"/>
        </w:rPr>
        <w:t>surge del expediente que la presu</w:t>
      </w:r>
      <w:r w:rsidR="00672709">
        <w:rPr>
          <w:rFonts w:asciiTheme="majorHAnsi" w:hAnsiTheme="majorHAnsi"/>
          <w:sz w:val="20"/>
          <w:szCs w:val="20"/>
          <w:lang w:val="es-ES"/>
        </w:rPr>
        <w:t>nta víctima habría sido sometida</w:t>
      </w:r>
      <w:r w:rsidR="00A1165A" w:rsidRPr="00A1165A">
        <w:rPr>
          <w:rFonts w:asciiTheme="majorHAnsi" w:hAnsiTheme="majorHAnsi"/>
          <w:sz w:val="20"/>
          <w:szCs w:val="20"/>
          <w:lang w:val="es-ES"/>
        </w:rPr>
        <w:t xml:space="preserve"> a un proceso penal ordinario en el que resultó condenado y dentro del cual denunció las alegadas viola</w:t>
      </w:r>
      <w:r w:rsidR="00672709">
        <w:rPr>
          <w:rFonts w:asciiTheme="majorHAnsi" w:hAnsiTheme="majorHAnsi"/>
          <w:sz w:val="20"/>
          <w:szCs w:val="20"/>
          <w:lang w:val="es-ES"/>
        </w:rPr>
        <w:t>ciones a su integridad personal.</w:t>
      </w:r>
      <w:r w:rsidR="00A1165A" w:rsidRPr="00A1165A">
        <w:rPr>
          <w:rFonts w:asciiTheme="majorHAnsi" w:hAnsiTheme="majorHAnsi"/>
          <w:sz w:val="20"/>
          <w:szCs w:val="20"/>
          <w:lang w:val="es-ES"/>
        </w:rPr>
        <w:t xml:space="preserve"> Luego interpuso acción de nulidad contra la sentencia condenatoria y, tras resultar infructuosa esta acción, recurrió extraordinariamente a la justicia constitucional a través de una acción de habeas corpus en la que denunció las alegadas violaciones a sus derechos. El Estado no ha indicado ni surge del expediente que existan recursos internos no agotados que pudieran resultar idóneos para que las reclamaciones planteadas en la petición sean atendidas a nivel doméstico. En adición, la Comisión recuerda que ya ha determinado que “</w:t>
      </w:r>
      <w:r w:rsidR="00A1165A" w:rsidRPr="00A1165A">
        <w:rPr>
          <w:rFonts w:ascii="Cambria" w:hAnsi="Cambria" w:cs="Calibri"/>
          <w:sz w:val="20"/>
          <w:szCs w:val="20"/>
          <w:lang w:val="es-ES_tradnl"/>
        </w:rPr>
        <w:t>que si bien en principio, en un caso como el presente puede ser suficiente que la presunta víctima agote los recursos ordinarios, si agota recursos extraordinarios con la expectativa razonable de obtener un resultado favorable, entonces los mismos pueden tomarse en cuenta como recursos válidamente agotados para efectos del cumplimiento de los requisitos de admisibilidad de la petición</w:t>
      </w:r>
      <w:r w:rsidR="00A1165A">
        <w:rPr>
          <w:rFonts w:ascii="Cambria" w:hAnsi="Cambria" w:cs="Calibri"/>
          <w:sz w:val="20"/>
          <w:szCs w:val="20"/>
          <w:lang w:val="es-ES_tradnl"/>
        </w:rPr>
        <w:t>”</w:t>
      </w:r>
      <w:r w:rsidR="00A1165A">
        <w:rPr>
          <w:rStyle w:val="FootnoteReference"/>
          <w:rFonts w:ascii="Cambria" w:hAnsi="Cambria" w:cs="Calibri"/>
          <w:sz w:val="20"/>
          <w:szCs w:val="20"/>
          <w:lang w:val="es-ES_tradnl"/>
        </w:rPr>
        <w:footnoteReference w:id="6"/>
      </w:r>
      <w:r w:rsidR="00A1165A" w:rsidRPr="00A1165A">
        <w:rPr>
          <w:rFonts w:ascii="Cambria" w:hAnsi="Cambria" w:cs="Calibri"/>
          <w:sz w:val="20"/>
          <w:szCs w:val="20"/>
          <w:lang w:val="es-ES_tradnl"/>
        </w:rPr>
        <w:t>.</w:t>
      </w:r>
      <w:r w:rsidR="00FD101F">
        <w:rPr>
          <w:rFonts w:ascii="Cambria" w:hAnsi="Cambria" w:cs="Calibri"/>
          <w:sz w:val="20"/>
          <w:szCs w:val="20"/>
          <w:lang w:val="es-ES_tradnl"/>
        </w:rPr>
        <w:t xml:space="preserve"> Por estas razones, la Comisión estima que la decisión definitiva que agotó los recursos internos con respecto a la presente petición fue la emitida por el Tribunal Constitucional rechazando el recurso de agravio constitucional interpuesto por la presunta víctima. </w:t>
      </w:r>
      <w:r w:rsidR="00434D45">
        <w:rPr>
          <w:rFonts w:ascii="Cambria" w:hAnsi="Cambria" w:cs="Calibri"/>
          <w:sz w:val="20"/>
          <w:szCs w:val="20"/>
          <w:lang w:val="es-ES_tradnl"/>
        </w:rPr>
        <w:t xml:space="preserve">Dado que esta decisión definitiva se emitió el 16 de mayo de 2009 y la petición fue presentada el 12 de noviembre de 2009, la Comisión concluye que la presente petición cumple con los requisitos del artículo 46.1(a) y (b) de la Convención Americana. </w:t>
      </w:r>
    </w:p>
    <w:p w14:paraId="1E24FD27" w14:textId="229BF74E" w:rsidR="00524EDC" w:rsidRPr="00524EDC" w:rsidRDefault="003239B8" w:rsidP="00524EDC">
      <w:pPr>
        <w:pStyle w:val="ListParagraph"/>
        <w:spacing w:before="240" w:after="240"/>
        <w:jc w:val="both"/>
        <w:rPr>
          <w:rFonts w:asciiTheme="majorHAnsi" w:hAnsiTheme="majorHAnsi"/>
          <w:b/>
          <w:bCs/>
          <w:sz w:val="20"/>
          <w:szCs w:val="20"/>
          <w:lang w:val="es-UY"/>
        </w:rPr>
      </w:pPr>
      <w:r w:rsidRPr="000673D0">
        <w:rPr>
          <w:rFonts w:asciiTheme="majorHAnsi" w:hAnsiTheme="majorHAnsi"/>
          <w:b/>
          <w:bCs/>
          <w:sz w:val="20"/>
          <w:szCs w:val="20"/>
          <w:lang w:val="es-ES"/>
        </w:rPr>
        <w:t>VII.</w:t>
      </w:r>
      <w:r w:rsidRPr="000673D0">
        <w:rPr>
          <w:rFonts w:asciiTheme="majorHAnsi" w:hAnsiTheme="majorHAnsi"/>
          <w:b/>
          <w:bCs/>
          <w:sz w:val="20"/>
          <w:szCs w:val="20"/>
          <w:lang w:val="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bCs/>
          <w:sz w:val="20"/>
          <w:szCs w:val="20"/>
          <w:lang w:val="es-ES"/>
        </w:rPr>
        <w:t xml:space="preserve">CARACTERIZACIÓN </w:t>
      </w:r>
      <w:r w:rsidR="00C21FEF" w:rsidRPr="000673D0">
        <w:rPr>
          <w:rFonts w:asciiTheme="majorHAnsi" w:hAnsiTheme="majorHAnsi"/>
          <w:b/>
          <w:bCs/>
          <w:sz w:val="20"/>
          <w:szCs w:val="20"/>
          <w:lang w:val="es-UY"/>
        </w:rPr>
        <w:t>DE LOS HECHOS ALEGADOS</w:t>
      </w:r>
      <w:r w:rsidR="003C6443">
        <w:rPr>
          <w:rFonts w:asciiTheme="majorHAnsi" w:hAnsiTheme="majorHAnsi"/>
          <w:b/>
          <w:bCs/>
          <w:sz w:val="20"/>
          <w:szCs w:val="20"/>
          <w:lang w:val="es-UY"/>
        </w:rPr>
        <w:t xml:space="preserve"> </w:t>
      </w:r>
    </w:p>
    <w:p w14:paraId="5EF25934" w14:textId="42180F34" w:rsidR="00291B95" w:rsidRPr="00291B95" w:rsidRDefault="00291B95" w:rsidP="00E573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Pr>
          <w:rFonts w:asciiTheme="majorHAnsi" w:hAnsiTheme="majorHAnsi"/>
          <w:sz w:val="20"/>
          <w:szCs w:val="20"/>
          <w:lang w:val="es-PA"/>
        </w:rPr>
        <w:t xml:space="preserve">La Comisión observa que la presente petición incluye </w:t>
      </w:r>
      <w:r w:rsidR="00434D45">
        <w:rPr>
          <w:rFonts w:asciiTheme="majorHAnsi" w:hAnsiTheme="majorHAnsi"/>
          <w:sz w:val="20"/>
          <w:szCs w:val="20"/>
          <w:lang w:val="es-PA"/>
        </w:rPr>
        <w:t>alegaciones con respecto a que la presunta v</w:t>
      </w:r>
      <w:r w:rsidR="00050284">
        <w:rPr>
          <w:rFonts w:asciiTheme="majorHAnsi" w:hAnsiTheme="majorHAnsi"/>
          <w:sz w:val="20"/>
          <w:szCs w:val="20"/>
          <w:lang w:val="es-PA"/>
        </w:rPr>
        <w:t>íctima fue sometido</w:t>
      </w:r>
      <w:r w:rsidR="00434D45">
        <w:rPr>
          <w:rFonts w:asciiTheme="majorHAnsi" w:hAnsiTheme="majorHAnsi"/>
          <w:sz w:val="20"/>
          <w:szCs w:val="20"/>
          <w:lang w:val="es-PA"/>
        </w:rPr>
        <w:t xml:space="preserve"> a torturas y otras violaciones a su integridad física y ps</w:t>
      </w:r>
      <w:r w:rsidR="00050284">
        <w:rPr>
          <w:rFonts w:asciiTheme="majorHAnsi" w:hAnsiTheme="majorHAnsi"/>
          <w:sz w:val="20"/>
          <w:szCs w:val="20"/>
          <w:lang w:val="es-PA"/>
        </w:rPr>
        <w:t>íquica;</w:t>
      </w:r>
      <w:r w:rsidR="00434D45">
        <w:rPr>
          <w:rFonts w:asciiTheme="majorHAnsi" w:hAnsiTheme="majorHAnsi"/>
          <w:sz w:val="20"/>
          <w:szCs w:val="20"/>
          <w:lang w:val="es-PA"/>
        </w:rPr>
        <w:t xml:space="preserve"> a que </w:t>
      </w:r>
      <w:r w:rsidR="00050284">
        <w:rPr>
          <w:rFonts w:asciiTheme="majorHAnsi" w:hAnsiTheme="majorHAnsi"/>
          <w:sz w:val="20"/>
          <w:szCs w:val="20"/>
          <w:lang w:val="es-PA"/>
        </w:rPr>
        <w:t>a la presunta víctima se le tomó manifestación policial bajo apremio la que luego fue aceptada como válida en el proceso penal en su contra</w:t>
      </w:r>
      <w:r w:rsidR="009A43F0">
        <w:rPr>
          <w:rFonts w:asciiTheme="majorHAnsi" w:hAnsiTheme="majorHAnsi"/>
          <w:sz w:val="20"/>
          <w:szCs w:val="20"/>
          <w:lang w:val="es-PA"/>
        </w:rPr>
        <w:t xml:space="preserve"> sin que se iniciara una investigación seria al respecto</w:t>
      </w:r>
      <w:r w:rsidR="00050284">
        <w:rPr>
          <w:rFonts w:asciiTheme="majorHAnsi" w:hAnsiTheme="majorHAnsi"/>
          <w:sz w:val="20"/>
          <w:szCs w:val="20"/>
          <w:lang w:val="es-PA"/>
        </w:rPr>
        <w:t xml:space="preserve">; y a que la </w:t>
      </w:r>
      <w:r w:rsidR="00672709">
        <w:rPr>
          <w:rFonts w:asciiTheme="majorHAnsi" w:hAnsiTheme="majorHAnsi"/>
          <w:sz w:val="20"/>
          <w:szCs w:val="20"/>
          <w:lang w:val="es-PA"/>
        </w:rPr>
        <w:t>presunta víctima fue sentenciada</w:t>
      </w:r>
      <w:r w:rsidR="00050284">
        <w:rPr>
          <w:rFonts w:asciiTheme="majorHAnsi" w:hAnsiTheme="majorHAnsi"/>
          <w:sz w:val="20"/>
          <w:szCs w:val="20"/>
          <w:lang w:val="es-PA"/>
        </w:rPr>
        <w:t xml:space="preserve"> </w:t>
      </w:r>
      <w:r w:rsidR="00232906">
        <w:rPr>
          <w:rFonts w:asciiTheme="majorHAnsi" w:hAnsiTheme="majorHAnsi"/>
          <w:sz w:val="20"/>
          <w:szCs w:val="20"/>
          <w:lang w:val="es-PA"/>
        </w:rPr>
        <w:t>en base a una norma dictada con posterioridad a los hechos que se le imputaron, la que además incumplía los parámetros mínimos de legalidad para la tipificación de ilícitos penal por ser demasiado vaga.</w:t>
      </w:r>
    </w:p>
    <w:p w14:paraId="3BB1C348" w14:textId="35A84B4A" w:rsidR="00291B95" w:rsidRPr="00293D18" w:rsidRDefault="00105964" w:rsidP="00E573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3A71F3">
        <w:rPr>
          <w:rFonts w:asciiTheme="majorHAnsi" w:hAnsiTheme="majorHAnsi"/>
          <w:sz w:val="20"/>
          <w:szCs w:val="20"/>
          <w:lang w:val="es-ES"/>
        </w:rPr>
        <w:t xml:space="preserve">Dada la naturaleza de las alegaciones, la Comisión considera pertinente recordar </w:t>
      </w:r>
      <w:r w:rsidRPr="003A71F3">
        <w:rPr>
          <w:rFonts w:asciiTheme="majorHAnsi" w:hAnsiTheme="majorHAnsi"/>
          <w:color w:val="000000" w:themeColor="text1"/>
          <w:sz w:val="20"/>
          <w:szCs w:val="20"/>
          <w:lang w:val="es-AR"/>
        </w:rPr>
        <w:t xml:space="preserve">que </w:t>
      </w:r>
      <w:r w:rsidR="009A43F0" w:rsidRPr="003A71F3">
        <w:rPr>
          <w:rFonts w:asciiTheme="majorHAnsi" w:hAnsiTheme="majorHAnsi"/>
          <w:color w:val="000000" w:themeColor="text1"/>
          <w:sz w:val="20"/>
          <w:szCs w:val="20"/>
          <w:lang w:val="es-AR"/>
        </w:rPr>
        <w:t>ya ha manifestado que “</w:t>
      </w:r>
      <w:r w:rsidR="009A43F0" w:rsidRPr="003A71F3">
        <w:rPr>
          <w:rFonts w:asciiTheme="majorHAnsi" w:hAnsiTheme="majorHAnsi"/>
          <w:sz w:val="20"/>
          <w:szCs w:val="20"/>
          <w:lang w:val="es-PA"/>
        </w:rPr>
        <w:t>la regla de la exclusión implica que</w:t>
      </w:r>
      <w:r w:rsidR="00672709">
        <w:rPr>
          <w:rFonts w:asciiTheme="majorHAnsi" w:hAnsiTheme="majorHAnsi"/>
          <w:sz w:val="20"/>
          <w:szCs w:val="20"/>
          <w:lang w:val="es-PA"/>
        </w:rPr>
        <w:t>,</w:t>
      </w:r>
      <w:r w:rsidR="009A43F0" w:rsidRPr="003A71F3">
        <w:rPr>
          <w:rFonts w:asciiTheme="majorHAnsi" w:hAnsiTheme="majorHAnsi"/>
          <w:sz w:val="20"/>
          <w:szCs w:val="20"/>
          <w:lang w:val="es-PA"/>
        </w:rPr>
        <w:t xml:space="preserve"> ante una denuncia de la existencia de prueba o declaración obtenida bajo tortura, las autoridades a cargo de la investigación y proceso penal deben iniciar inmediatamente una investigación seria para esclarecer lo sucedido y, de ser el caso, excluir la referida prueba o declaración. Dar continuidad a un proceso penal, otorgándole plena validez a pruebas y declaraciones que se alegan como obtenidas bajo tortura, sin dar inicio a una investigación, constituye un claro desconocimiento de la regla de la exclusión”</w:t>
      </w:r>
      <w:r w:rsidR="00151E82" w:rsidRPr="003A71F3">
        <w:rPr>
          <w:rStyle w:val="FootnoteReference"/>
          <w:rFonts w:asciiTheme="majorHAnsi" w:hAnsiTheme="majorHAnsi"/>
          <w:sz w:val="20"/>
          <w:szCs w:val="20"/>
          <w:lang w:val="es-PA"/>
        </w:rPr>
        <w:footnoteReference w:id="7"/>
      </w:r>
      <w:r w:rsidR="00151E82" w:rsidRPr="003A71F3">
        <w:rPr>
          <w:rStyle w:val="FootnoteReference"/>
          <w:rFonts w:asciiTheme="majorHAnsi" w:hAnsiTheme="majorHAnsi"/>
          <w:sz w:val="20"/>
          <w:szCs w:val="20"/>
          <w:lang w:val="es-PA"/>
        </w:rPr>
        <w:t xml:space="preserve"> </w:t>
      </w:r>
      <w:r w:rsidR="00151E82" w:rsidRPr="003A71F3">
        <w:rPr>
          <w:rFonts w:asciiTheme="majorHAnsi" w:hAnsiTheme="majorHAnsi"/>
          <w:sz w:val="20"/>
          <w:szCs w:val="20"/>
          <w:lang w:val="es-PA"/>
        </w:rPr>
        <w:t>.</w:t>
      </w:r>
      <w:r w:rsidR="00672709">
        <w:rPr>
          <w:rFonts w:asciiTheme="majorHAnsi" w:hAnsiTheme="majorHAnsi"/>
          <w:sz w:val="20"/>
          <w:szCs w:val="20"/>
          <w:lang w:val="es-PA"/>
        </w:rPr>
        <w:t xml:space="preserve"> </w:t>
      </w:r>
      <w:r w:rsidR="00151E82" w:rsidRPr="003A71F3">
        <w:rPr>
          <w:rFonts w:asciiTheme="majorHAnsi" w:hAnsiTheme="majorHAnsi"/>
          <w:sz w:val="20"/>
          <w:szCs w:val="20"/>
          <w:lang w:val="es-PA"/>
        </w:rPr>
        <w:t>De igual manera, que la Corte Interamericana ha señalado que “que la elaboración de los tipos penales supone una clara definición de la conducta incriminada, que fije sus elementos y permita deslindarla de comportamientos no punibles o conductas ilícitas sancionables con medidas no penales”</w:t>
      </w:r>
      <w:r w:rsidR="00151E82" w:rsidRPr="003A71F3">
        <w:rPr>
          <w:rStyle w:val="FootnoteReference"/>
          <w:rFonts w:asciiTheme="majorHAnsi" w:hAnsiTheme="majorHAnsi"/>
          <w:sz w:val="20"/>
          <w:szCs w:val="20"/>
          <w:lang w:val="es-PA"/>
        </w:rPr>
        <w:footnoteReference w:id="8"/>
      </w:r>
      <w:r w:rsidR="00151E82" w:rsidRPr="003A71F3">
        <w:rPr>
          <w:rFonts w:asciiTheme="majorHAnsi" w:hAnsiTheme="majorHAnsi"/>
          <w:sz w:val="20"/>
          <w:szCs w:val="20"/>
          <w:lang w:val="es-PA"/>
        </w:rPr>
        <w:t>.</w:t>
      </w:r>
      <w:r w:rsidR="003A71F3" w:rsidRPr="003A71F3">
        <w:rPr>
          <w:rFonts w:asciiTheme="majorHAnsi" w:hAnsiTheme="majorHAnsi"/>
          <w:sz w:val="20"/>
          <w:szCs w:val="20"/>
          <w:lang w:val="es-PA"/>
        </w:rPr>
        <w:t xml:space="preserve"> La Corte Interamericana también ha expresado que “En un Estado de Derecho, los principios de legalidad e </w:t>
      </w:r>
      <w:r w:rsidR="003A71F3" w:rsidRPr="003A71F3">
        <w:rPr>
          <w:rFonts w:asciiTheme="majorHAnsi" w:hAnsiTheme="majorHAnsi"/>
          <w:sz w:val="20"/>
          <w:szCs w:val="20"/>
          <w:lang w:val="es-PA"/>
        </w:rPr>
        <w:lastRenderedPageBreak/>
        <w:t>irretroactividad presiden la actuación de todos los órganos del Estado, en sus respectivas competencias, particularmente cuando viene al caso el ejercicio de su poder punitivo”</w:t>
      </w:r>
      <w:r w:rsidR="003A71F3">
        <w:rPr>
          <w:rStyle w:val="FootnoteReference"/>
          <w:rFonts w:asciiTheme="majorHAnsi" w:hAnsiTheme="majorHAnsi"/>
          <w:sz w:val="20"/>
          <w:szCs w:val="20"/>
          <w:lang w:val="es-PA"/>
        </w:rPr>
        <w:footnoteReference w:id="9"/>
      </w:r>
      <w:r w:rsidR="003A71F3" w:rsidRPr="003A71F3">
        <w:rPr>
          <w:rFonts w:asciiTheme="majorHAnsi" w:hAnsiTheme="majorHAnsi"/>
          <w:sz w:val="20"/>
          <w:szCs w:val="20"/>
          <w:lang w:val="es-PA"/>
        </w:rPr>
        <w:t>.</w:t>
      </w:r>
    </w:p>
    <w:p w14:paraId="5296EC8F" w14:textId="5E11C40F" w:rsidR="00FF0FB1" w:rsidRPr="00293D18" w:rsidRDefault="00FF0FB1" w:rsidP="00293D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293D18">
        <w:rPr>
          <w:rFonts w:ascii="Cambria" w:hAnsi="Cambria" w:cs="Arial"/>
          <w:sz w:val="20"/>
          <w:szCs w:val="20"/>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 hechos alegados, de corroborarse como ciertos, podrían caracterizar violaciones a los artículos </w:t>
      </w:r>
      <w:r w:rsidR="00293D18" w:rsidRPr="00293D18">
        <w:rPr>
          <w:rFonts w:ascii="Cambria" w:hAnsi="Cambria"/>
          <w:bCs/>
          <w:sz w:val="20"/>
          <w:szCs w:val="20"/>
          <w:lang w:val="es-PA"/>
        </w:rPr>
        <w:t>5 (integridad personal), 7 (libertad personal), 8 (garantías judiciales), 9 (principio de legalidad) y 25 (protección judicial) de la Convención Americana en relación con su artículo 1.1. (obligación de respetar los derechos) y 2 (deber de adoptar di</w:t>
      </w:r>
      <w:r w:rsidR="00550772">
        <w:rPr>
          <w:rFonts w:ascii="Cambria" w:hAnsi="Cambria"/>
          <w:bCs/>
          <w:sz w:val="20"/>
          <w:szCs w:val="20"/>
          <w:lang w:val="es-PA"/>
        </w:rPr>
        <w:t>sposiciones de derecho interno), así como los artículos 1, 6 y 8 de la Convención Interamericana Para Prevenir y Sancionar la Tortura</w:t>
      </w:r>
    </w:p>
    <w:p w14:paraId="47052ECD" w14:textId="0DC6747C" w:rsidR="00293D18" w:rsidRPr="00293D18" w:rsidRDefault="00293D18" w:rsidP="00293D18">
      <w:pPr>
        <w:pStyle w:val="ListParagraph"/>
        <w:numPr>
          <w:ilvl w:val="0"/>
          <w:numId w:val="103"/>
        </w:numPr>
        <w:contextualSpacing/>
        <w:jc w:val="both"/>
        <w:rPr>
          <w:rFonts w:cs="Calibri"/>
          <w:sz w:val="20"/>
          <w:szCs w:val="20"/>
          <w:lang w:val="es-ES"/>
        </w:rPr>
      </w:pPr>
      <w:r w:rsidRPr="00293D18">
        <w:rPr>
          <w:rFonts w:cs="Calibri"/>
          <w:sz w:val="20"/>
          <w:szCs w:val="20"/>
          <w:lang w:val="es-PE"/>
        </w:rPr>
        <w:t>C</w:t>
      </w:r>
      <w:proofErr w:type="spellStart"/>
      <w:r w:rsidRPr="00293D18">
        <w:rPr>
          <w:rFonts w:cs="Calibri"/>
          <w:sz w:val="20"/>
          <w:szCs w:val="20"/>
          <w:lang w:val="es-ES_tradnl"/>
        </w:rPr>
        <w:t>on</w:t>
      </w:r>
      <w:proofErr w:type="spellEnd"/>
      <w:r w:rsidRPr="00293D18">
        <w:rPr>
          <w:rFonts w:cs="Calibri"/>
          <w:sz w:val="20"/>
          <w:szCs w:val="20"/>
          <w:lang w:val="es-ES_tradnl"/>
        </w:rPr>
        <w:t xml:space="preserve"> respecto a las alegadas violaciones a instrumentos fuera del Sistema Interamericano, La Comisión carece de competencia </w:t>
      </w:r>
      <w:proofErr w:type="spellStart"/>
      <w:r w:rsidRPr="00293D18">
        <w:rPr>
          <w:rFonts w:cs="Calibri"/>
          <w:i/>
          <w:sz w:val="20"/>
          <w:szCs w:val="20"/>
          <w:lang w:val="es-ES_tradnl"/>
        </w:rPr>
        <w:t>ratione</w:t>
      </w:r>
      <w:proofErr w:type="spellEnd"/>
      <w:r w:rsidRPr="00293D18">
        <w:rPr>
          <w:rFonts w:cs="Calibri"/>
          <w:i/>
          <w:sz w:val="20"/>
          <w:szCs w:val="20"/>
          <w:lang w:val="es-ES_tradnl"/>
        </w:rPr>
        <w:t xml:space="preserve"> </w:t>
      </w:r>
      <w:proofErr w:type="spellStart"/>
      <w:r w:rsidRPr="00293D18">
        <w:rPr>
          <w:rFonts w:cs="Calibri"/>
          <w:i/>
          <w:sz w:val="20"/>
          <w:szCs w:val="20"/>
          <w:lang w:val="es-ES_tradnl"/>
        </w:rPr>
        <w:t>materiae</w:t>
      </w:r>
      <w:proofErr w:type="spellEnd"/>
      <w:r w:rsidRPr="00293D18">
        <w:rPr>
          <w:rFonts w:cs="Calibri"/>
          <w:sz w:val="20"/>
          <w:szCs w:val="20"/>
          <w:lang w:val="es-ES_tradnl"/>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sidRPr="00FC2B4A">
        <w:rPr>
          <w:rStyle w:val="FootnoteReference"/>
          <w:rFonts w:cs="Calibri"/>
          <w:sz w:val="20"/>
          <w:szCs w:val="20"/>
        </w:rPr>
        <w:footnoteReference w:id="10"/>
      </w:r>
      <w:r w:rsidRPr="00293D18">
        <w:rPr>
          <w:rFonts w:cs="Calibri"/>
          <w:sz w:val="20"/>
          <w:szCs w:val="20"/>
          <w:lang w:val="es-ES_tradnl"/>
        </w:rPr>
        <w:t>.</w:t>
      </w:r>
    </w:p>
    <w:p w14:paraId="116F707F" w14:textId="77777777" w:rsidR="00293D18" w:rsidRPr="00293D18" w:rsidRDefault="00293D18" w:rsidP="00293D18">
      <w:pPr>
        <w:pStyle w:val="ListParagraph"/>
        <w:contextualSpacing/>
        <w:jc w:val="both"/>
        <w:rPr>
          <w:rFonts w:cs="Calibri"/>
          <w:sz w:val="20"/>
          <w:szCs w:val="20"/>
          <w:lang w:val="es-ES"/>
        </w:rPr>
      </w:pPr>
    </w:p>
    <w:p w14:paraId="7C7D8E75" w14:textId="3604CA52" w:rsidR="00BB1DBF" w:rsidRPr="007C5832" w:rsidRDefault="00BB1DBF" w:rsidP="00BB1DBF">
      <w:pPr>
        <w:pStyle w:val="ListParagraph"/>
        <w:numPr>
          <w:ilvl w:val="0"/>
          <w:numId w:val="103"/>
        </w:numPr>
        <w:jc w:val="both"/>
        <w:rPr>
          <w:rFonts w:asciiTheme="majorHAnsi" w:hAnsiTheme="majorHAnsi"/>
          <w:sz w:val="20"/>
          <w:szCs w:val="20"/>
          <w:lang w:val="es-MX"/>
        </w:rPr>
      </w:pPr>
      <w:r w:rsidRPr="007C5832">
        <w:rPr>
          <w:rFonts w:cs="Calibri"/>
          <w:sz w:val="20"/>
          <w:szCs w:val="20"/>
          <w:lang w:val="es-ES_tradnl"/>
        </w:rPr>
        <w:t>Con respecto a los alegatos del Estado referidos a la llamada fórmula de “cuarta instancia”</w:t>
      </w:r>
      <w:r w:rsidRPr="007C5832">
        <w:rPr>
          <w:sz w:val="20"/>
          <w:szCs w:val="20"/>
          <w:lang w:val="es-ES_tradnl"/>
        </w:rPr>
        <w:t>,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00151E82">
        <w:rPr>
          <w:sz w:val="20"/>
          <w:szCs w:val="20"/>
          <w:lang w:val="es-ES_tradnl"/>
        </w:rPr>
        <w:t>”</w:t>
      </w:r>
      <w:r>
        <w:rPr>
          <w:sz w:val="20"/>
          <w:szCs w:val="20"/>
          <w:lang w:val="es-ES_tradnl"/>
        </w:rPr>
        <w:t>.</w:t>
      </w:r>
      <w:r w:rsidRPr="007C5832">
        <w:rPr>
          <w:rStyle w:val="FootnoteReference"/>
          <w:rFonts w:cs="Calibri"/>
          <w:sz w:val="20"/>
          <w:szCs w:val="20"/>
          <w:lang w:val="es-ES_tradnl"/>
        </w:rPr>
        <w:footnoteReference w:id="11"/>
      </w:r>
    </w:p>
    <w:p w14:paraId="29BB41F5" w14:textId="77777777" w:rsidR="003239B8" w:rsidRPr="00560B92" w:rsidRDefault="003239B8" w:rsidP="003239B8">
      <w:pPr>
        <w:pStyle w:val="ListParagraph"/>
        <w:spacing w:before="240" w:after="240"/>
        <w:jc w:val="both"/>
        <w:rPr>
          <w:rFonts w:asciiTheme="majorHAnsi" w:hAnsiTheme="majorHAnsi"/>
          <w:b/>
          <w:bCs/>
          <w:sz w:val="20"/>
          <w:szCs w:val="20"/>
        </w:rPr>
      </w:pPr>
      <w:r w:rsidRPr="000673D0">
        <w:rPr>
          <w:rFonts w:asciiTheme="majorHAnsi" w:hAnsiTheme="majorHAnsi"/>
          <w:b/>
          <w:bCs/>
          <w:sz w:val="20"/>
          <w:szCs w:val="20"/>
          <w:lang w:val="es-ES"/>
        </w:rPr>
        <w:t xml:space="preserve">VIII. </w:t>
      </w:r>
      <w:r w:rsidRPr="000673D0">
        <w:rPr>
          <w:rFonts w:asciiTheme="majorHAnsi" w:hAnsiTheme="majorHAnsi"/>
          <w:b/>
          <w:bCs/>
          <w:sz w:val="20"/>
          <w:szCs w:val="20"/>
          <w:lang w:val="es-ES"/>
        </w:rPr>
        <w:tab/>
        <w:t>DECISIÓN</w:t>
      </w:r>
    </w:p>
    <w:p w14:paraId="570DA61C" w14:textId="45D7BDDF" w:rsidR="000419AD" w:rsidRPr="000673D0" w:rsidRDefault="000419AD" w:rsidP="00DD04E7">
      <w:pPr>
        <w:pStyle w:val="ListParagraph"/>
        <w:numPr>
          <w:ilvl w:val="0"/>
          <w:numId w:val="109"/>
        </w:numPr>
        <w:jc w:val="both"/>
        <w:rPr>
          <w:rFonts w:eastAsia="Arial Unicode MS" w:cs="Times New Roman"/>
          <w:color w:val="auto"/>
          <w:sz w:val="20"/>
          <w:szCs w:val="20"/>
          <w:lang w:val="es-ES" w:eastAsia="en-US"/>
        </w:rPr>
      </w:pPr>
      <w:r w:rsidRPr="000673D0">
        <w:rPr>
          <w:rFonts w:eastAsia="Arial Unicode MS" w:cs="Times New Roman"/>
          <w:color w:val="auto"/>
          <w:sz w:val="20"/>
          <w:szCs w:val="20"/>
          <w:lang w:val="es-ES" w:eastAsia="en-US"/>
        </w:rPr>
        <w:t xml:space="preserve">Declarar </w:t>
      </w:r>
      <w:r w:rsidRPr="001401BA">
        <w:rPr>
          <w:rFonts w:eastAsia="Arial Unicode MS" w:cs="Times New Roman"/>
          <w:color w:val="000000" w:themeColor="text1"/>
          <w:sz w:val="20"/>
          <w:szCs w:val="20"/>
          <w:lang w:val="es-ES" w:eastAsia="en-US"/>
        </w:rPr>
        <w:t>admisible</w:t>
      </w:r>
      <w:r w:rsidRPr="000673D0">
        <w:rPr>
          <w:rFonts w:eastAsia="Arial Unicode MS" w:cs="Times New Roman"/>
          <w:color w:val="FF0000"/>
          <w:sz w:val="20"/>
          <w:szCs w:val="20"/>
          <w:lang w:val="es-ES" w:eastAsia="en-US"/>
        </w:rPr>
        <w:t xml:space="preserve"> </w:t>
      </w:r>
      <w:r w:rsidRPr="000673D0">
        <w:rPr>
          <w:rFonts w:eastAsia="Arial Unicode MS" w:cs="Times New Roman"/>
          <w:color w:val="auto"/>
          <w:sz w:val="20"/>
          <w:szCs w:val="20"/>
          <w:lang w:val="es-ES" w:eastAsia="en-US"/>
        </w:rPr>
        <w:t xml:space="preserve">la presente petición </w:t>
      </w:r>
      <w:r w:rsidR="00560B92">
        <w:rPr>
          <w:rFonts w:eastAsia="Arial Unicode MS" w:cs="Times New Roman"/>
          <w:color w:val="auto"/>
          <w:sz w:val="20"/>
          <w:szCs w:val="20"/>
          <w:lang w:val="es-ES" w:eastAsia="en-US"/>
        </w:rPr>
        <w:t>con respecto a los artículos 5, 7, 8, 9 y 25 de la Convención Americana en relación con sus artículos 1.1. y 2</w:t>
      </w:r>
      <w:r w:rsidR="00550772">
        <w:rPr>
          <w:rFonts w:eastAsia="Arial Unicode MS" w:cs="Times New Roman"/>
          <w:color w:val="auto"/>
          <w:sz w:val="20"/>
          <w:szCs w:val="20"/>
          <w:lang w:val="es-ES" w:eastAsia="en-US"/>
        </w:rPr>
        <w:t>, y los artículos 1, 6 y 8 de la Convención Interamericana Para Prevenir y Sancionar la Tortura</w:t>
      </w:r>
      <w:r w:rsidR="00560B92">
        <w:rPr>
          <w:rFonts w:eastAsia="Arial Unicode MS" w:cs="Times New Roman"/>
          <w:color w:val="auto"/>
          <w:sz w:val="20"/>
          <w:szCs w:val="20"/>
          <w:lang w:val="es-ES" w:eastAsia="en-US"/>
        </w:rPr>
        <w:t xml:space="preserve">. </w:t>
      </w:r>
    </w:p>
    <w:p w14:paraId="41AA5BF6" w14:textId="77777777" w:rsidR="000419AD" w:rsidRPr="000673D0" w:rsidRDefault="000419AD" w:rsidP="000419AD">
      <w:pPr>
        <w:pStyle w:val="ListParagraph"/>
        <w:rPr>
          <w:rFonts w:eastAsia="Arial Unicode MS" w:cs="Times New Roman"/>
          <w:color w:val="auto"/>
          <w:sz w:val="20"/>
          <w:szCs w:val="20"/>
          <w:lang w:val="es-ES" w:eastAsia="en-US"/>
        </w:rPr>
      </w:pPr>
    </w:p>
    <w:p w14:paraId="60BAEC73" w14:textId="7CF480A3" w:rsidR="000A035A" w:rsidRPr="000A035A" w:rsidRDefault="004A6A54" w:rsidP="000A035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73D0">
        <w:rPr>
          <w:rFonts w:asciiTheme="majorHAnsi" w:hAnsiTheme="majorHAnsi"/>
          <w:sz w:val="20"/>
          <w:szCs w:val="20"/>
          <w:lang w:val="es-ES"/>
        </w:rPr>
        <w:t>Notificar a las partes la presente decisión;</w:t>
      </w:r>
      <w:r w:rsidR="00154020">
        <w:rPr>
          <w:rFonts w:asciiTheme="majorHAnsi" w:hAnsiTheme="majorHAnsi"/>
          <w:sz w:val="20"/>
          <w:szCs w:val="20"/>
          <w:lang w:val="es-ES"/>
        </w:rPr>
        <w:t xml:space="preserve"> </w:t>
      </w:r>
      <w:r w:rsidR="00154020" w:rsidRPr="00ED6875">
        <w:rPr>
          <w:rFonts w:ascii="Cambria" w:hAnsi="Cambria"/>
          <w:sz w:val="20"/>
          <w:szCs w:val="20"/>
          <w:lang w:val="es-ES"/>
        </w:rPr>
        <w:t>continuar con el análisis del fondo de la cuestión</w:t>
      </w:r>
      <w:r w:rsidRPr="000673D0">
        <w:rPr>
          <w:rFonts w:asciiTheme="majorHAnsi" w:hAnsiTheme="majorHAnsi"/>
          <w:sz w:val="20"/>
          <w:szCs w:val="20"/>
          <w:lang w:val="es-ES"/>
        </w:rPr>
        <w:t xml:space="preserve"> y publicar esta decisión e incluirla en su Informe Anual a la Asamblea General de la Organización de los Estados Americanos.</w:t>
      </w:r>
    </w:p>
    <w:p w14:paraId="3E17BE9A" w14:textId="6449F9A3" w:rsidR="000A035A" w:rsidRPr="00874458" w:rsidRDefault="000A035A" w:rsidP="0087445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A035A" w:rsidRPr="00874458"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ED202" w14:textId="77777777" w:rsidR="00911704" w:rsidRDefault="00911704">
      <w:r>
        <w:separator/>
      </w:r>
    </w:p>
  </w:endnote>
  <w:endnote w:type="continuationSeparator" w:id="0">
    <w:p w14:paraId="1DC30152" w14:textId="77777777" w:rsidR="00911704" w:rsidRDefault="0091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FEE3" w14:textId="77777777" w:rsidR="00235E6D" w:rsidRDefault="00235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76914"/>
      <w:docPartObj>
        <w:docPartGallery w:val="Page Numbers (Bottom of Page)"/>
        <w:docPartUnique/>
      </w:docPartObj>
    </w:sdtPr>
    <w:sdtEndPr>
      <w:rPr>
        <w:noProof/>
        <w:sz w:val="16"/>
        <w:szCs w:val="22"/>
      </w:rPr>
    </w:sdtEndPr>
    <w:sdtContent>
      <w:p w14:paraId="612FB856" w14:textId="77777777" w:rsidR="00544CCE" w:rsidRPr="00934A2C" w:rsidRDefault="00544C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44CCE" w:rsidRDefault="00544C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1C8E" w14:textId="77777777" w:rsidR="00544CCE" w:rsidRPr="00934A2C" w:rsidRDefault="00544CCE">
    <w:pPr>
      <w:pStyle w:val="Footer"/>
      <w:jc w:val="center"/>
      <w:rPr>
        <w:sz w:val="16"/>
        <w:szCs w:val="22"/>
      </w:rPr>
    </w:pPr>
  </w:p>
  <w:p w14:paraId="4EA5439C" w14:textId="77777777" w:rsidR="00544CCE" w:rsidRDefault="00544C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E46EF78" w:rsidR="00544CCE" w:rsidRPr="00934A2C" w:rsidRDefault="00544C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35E6D">
          <w:rPr>
            <w:noProof/>
            <w:sz w:val="16"/>
            <w:szCs w:val="22"/>
          </w:rPr>
          <w:t>1</w:t>
        </w:r>
        <w:r w:rsidRPr="00934A2C">
          <w:rPr>
            <w:noProof/>
            <w:sz w:val="16"/>
            <w:szCs w:val="22"/>
          </w:rPr>
          <w:fldChar w:fldCharType="end"/>
        </w:r>
      </w:p>
    </w:sdtContent>
  </w:sdt>
  <w:p w14:paraId="68530E6A" w14:textId="77777777" w:rsidR="00544CCE" w:rsidRDefault="00544C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44CCE" w:rsidRPr="00934A2C" w:rsidRDefault="00544CCE">
    <w:pPr>
      <w:pStyle w:val="Footer"/>
      <w:jc w:val="center"/>
      <w:rPr>
        <w:sz w:val="16"/>
        <w:szCs w:val="22"/>
      </w:rPr>
    </w:pPr>
  </w:p>
  <w:p w14:paraId="49059CE3" w14:textId="77777777" w:rsidR="00544CCE" w:rsidRDefault="00544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F4E5" w14:textId="77777777" w:rsidR="00911704" w:rsidRPr="000F35ED" w:rsidRDefault="0091170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0EAEAC" w14:textId="77777777" w:rsidR="00911704" w:rsidRPr="000F35ED" w:rsidRDefault="00911704" w:rsidP="000F35ED">
      <w:pPr>
        <w:rPr>
          <w:rFonts w:asciiTheme="majorHAnsi" w:hAnsiTheme="majorHAnsi"/>
          <w:sz w:val="16"/>
          <w:szCs w:val="16"/>
        </w:rPr>
      </w:pPr>
      <w:r w:rsidRPr="000F35ED">
        <w:rPr>
          <w:rFonts w:asciiTheme="majorHAnsi" w:hAnsiTheme="majorHAnsi"/>
          <w:sz w:val="16"/>
          <w:szCs w:val="16"/>
        </w:rPr>
        <w:separator/>
      </w:r>
    </w:p>
    <w:p w14:paraId="6C4FCCBB" w14:textId="77777777" w:rsidR="00911704" w:rsidRPr="000F35ED" w:rsidRDefault="0091170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5772930" w14:textId="77777777" w:rsidR="00911704" w:rsidRPr="000F35ED" w:rsidRDefault="0091170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3EBBEB" w14:textId="510D2E7F" w:rsidR="00544CCE" w:rsidRPr="006E0D53" w:rsidRDefault="00544CCE" w:rsidP="00C1285C">
      <w:pPr>
        <w:pStyle w:val="FootnoteText"/>
        <w:ind w:firstLine="720"/>
        <w:jc w:val="both"/>
        <w:rPr>
          <w:rFonts w:asciiTheme="majorHAnsi" w:hAnsiTheme="majorHAnsi"/>
          <w:sz w:val="16"/>
          <w:szCs w:val="16"/>
          <w:lang w:val="es-PA"/>
        </w:rPr>
      </w:pPr>
      <w:r w:rsidRPr="006E0D53">
        <w:rPr>
          <w:rStyle w:val="FootnoteReference"/>
          <w:rFonts w:asciiTheme="majorHAnsi" w:hAnsiTheme="majorHAnsi"/>
          <w:sz w:val="16"/>
          <w:szCs w:val="16"/>
        </w:rPr>
        <w:footnoteRef/>
      </w:r>
      <w:r w:rsidRPr="006E0D53">
        <w:rPr>
          <w:rFonts w:asciiTheme="majorHAnsi" w:hAnsiTheme="majorHAnsi"/>
          <w:sz w:val="16"/>
          <w:szCs w:val="16"/>
          <w:lang w:val="es-PA"/>
        </w:rPr>
        <w:t xml:space="preserve"> </w:t>
      </w:r>
      <w:r w:rsidRPr="006E0D53">
        <w:rPr>
          <w:rFonts w:asciiTheme="majorHAnsi" w:hAnsiTheme="majorHAnsi"/>
          <w:sz w:val="16"/>
          <w:szCs w:val="16"/>
          <w:lang w:val="es-ES"/>
        </w:rPr>
        <w:t xml:space="preserve">Conforme a lo dispuesto en el artículo 17.2.a del Reglamento de la Comisión, </w:t>
      </w:r>
      <w:r w:rsidRPr="006E0D53">
        <w:rPr>
          <w:rFonts w:asciiTheme="majorHAnsi" w:hAnsiTheme="majorHAnsi"/>
          <w:color w:val="auto"/>
          <w:sz w:val="16"/>
          <w:szCs w:val="16"/>
          <w:lang w:val="es-ES"/>
        </w:rPr>
        <w:t xml:space="preserve">la Comisionada </w:t>
      </w:r>
      <w:r w:rsidRPr="006E0D53">
        <w:rPr>
          <w:rFonts w:asciiTheme="majorHAnsi" w:hAnsiTheme="majorHAnsi"/>
          <w:color w:val="000000" w:themeColor="text1"/>
          <w:sz w:val="16"/>
          <w:szCs w:val="16"/>
          <w:lang w:val="es-ES"/>
        </w:rPr>
        <w:t>Julissa Mantilla Falcón</w:t>
      </w:r>
      <w:r w:rsidRPr="006E0D53">
        <w:rPr>
          <w:rFonts w:asciiTheme="majorHAnsi" w:hAnsiTheme="majorHAnsi"/>
          <w:sz w:val="16"/>
          <w:szCs w:val="16"/>
          <w:lang w:val="es-ES"/>
        </w:rPr>
        <w:t xml:space="preserve">, de </w:t>
      </w:r>
      <w:r w:rsidRPr="006E0D53">
        <w:rPr>
          <w:rFonts w:asciiTheme="majorHAnsi" w:hAnsiTheme="majorHAnsi"/>
          <w:color w:val="auto"/>
          <w:sz w:val="16"/>
          <w:szCs w:val="16"/>
          <w:lang w:val="es-ES"/>
        </w:rPr>
        <w:t>nacionalidad peruana, no participó en el debate ni en la decisión del presente asunto.</w:t>
      </w:r>
    </w:p>
  </w:footnote>
  <w:footnote w:id="3">
    <w:p w14:paraId="3CB67836" w14:textId="74D9E9B1" w:rsidR="00544CCE" w:rsidRPr="00BF7851" w:rsidRDefault="00544CCE" w:rsidP="00BF7851">
      <w:pPr>
        <w:pStyle w:val="FootnoteText"/>
        <w:ind w:firstLine="720"/>
        <w:jc w:val="both"/>
        <w:rPr>
          <w:rFonts w:asciiTheme="majorHAnsi" w:hAnsiTheme="majorHAnsi"/>
          <w:sz w:val="16"/>
          <w:szCs w:val="16"/>
          <w:lang w:val="es-PA"/>
        </w:rPr>
      </w:pPr>
      <w:r w:rsidRPr="00BF7851">
        <w:rPr>
          <w:rStyle w:val="FootnoteReference"/>
          <w:rFonts w:asciiTheme="majorHAnsi" w:hAnsiTheme="majorHAnsi"/>
          <w:sz w:val="16"/>
          <w:szCs w:val="16"/>
        </w:rPr>
        <w:footnoteRef/>
      </w:r>
      <w:r w:rsidRPr="00BF7851">
        <w:rPr>
          <w:rFonts w:asciiTheme="majorHAnsi" w:hAnsiTheme="majorHAnsi"/>
          <w:sz w:val="16"/>
          <w:szCs w:val="16"/>
          <w:lang w:val="es-PA"/>
        </w:rPr>
        <w:t xml:space="preserve"> En adelante “la Convención Americana”.</w:t>
      </w:r>
    </w:p>
  </w:footnote>
  <w:footnote w:id="4">
    <w:p w14:paraId="703C74F7" w14:textId="5C5E4EA5" w:rsidR="00544CCE" w:rsidRPr="00F94E7B" w:rsidRDefault="00544CCE" w:rsidP="00F94E7B">
      <w:pPr>
        <w:pStyle w:val="FootnoteText"/>
        <w:ind w:firstLine="720"/>
        <w:jc w:val="both"/>
        <w:rPr>
          <w:rFonts w:asciiTheme="majorHAnsi" w:hAnsiTheme="majorHAnsi"/>
          <w:sz w:val="16"/>
          <w:szCs w:val="16"/>
          <w:lang w:val="es-PA"/>
        </w:rPr>
      </w:pPr>
      <w:r>
        <w:rPr>
          <w:rStyle w:val="FootnoteReference"/>
        </w:rPr>
        <w:footnoteRef/>
      </w:r>
      <w:r w:rsidRPr="00F94E7B">
        <w:rPr>
          <w:lang w:val="es-PA"/>
        </w:rPr>
        <w:t xml:space="preserve"> </w:t>
      </w:r>
      <w:r>
        <w:rPr>
          <w:rFonts w:asciiTheme="majorHAnsi" w:hAnsiTheme="majorHAnsi"/>
          <w:sz w:val="16"/>
          <w:szCs w:val="16"/>
          <w:lang w:val="es-PA"/>
        </w:rPr>
        <w:t xml:space="preserve">Declaración Universal de los Derechos Humanos, Pacto Internacional de Derechos Civiles y Políticos, Convención Europea de Derechos Humanos, Declaración de los Derechos y Libertades Fundamentales del Parlamento Europeo y Convenios de </w:t>
      </w:r>
      <w:proofErr w:type="spellStart"/>
      <w:r>
        <w:rPr>
          <w:rFonts w:asciiTheme="majorHAnsi" w:hAnsiTheme="majorHAnsi"/>
          <w:sz w:val="16"/>
          <w:szCs w:val="16"/>
          <w:lang w:val="es-PA"/>
        </w:rPr>
        <w:t>Gnebra</w:t>
      </w:r>
      <w:proofErr w:type="spellEnd"/>
      <w:r>
        <w:rPr>
          <w:rFonts w:asciiTheme="majorHAnsi" w:hAnsiTheme="majorHAnsi"/>
          <w:sz w:val="16"/>
          <w:szCs w:val="16"/>
          <w:lang w:val="es-PA"/>
        </w:rPr>
        <w:t xml:space="preserve">. </w:t>
      </w:r>
    </w:p>
  </w:footnote>
  <w:footnote w:id="5">
    <w:p w14:paraId="08CD6656" w14:textId="77777777" w:rsidR="00544CCE" w:rsidRPr="006E0D53" w:rsidRDefault="00544CCE" w:rsidP="000673D0">
      <w:pPr>
        <w:pStyle w:val="FootnoteText"/>
        <w:ind w:firstLine="720"/>
        <w:jc w:val="both"/>
        <w:rPr>
          <w:rFonts w:asciiTheme="majorHAnsi" w:hAnsiTheme="majorHAnsi"/>
          <w:sz w:val="16"/>
          <w:szCs w:val="16"/>
          <w:lang w:val="es-ES"/>
        </w:rPr>
      </w:pPr>
      <w:r w:rsidRPr="006E0D53">
        <w:rPr>
          <w:rStyle w:val="FootnoteReference"/>
          <w:rFonts w:asciiTheme="majorHAnsi" w:hAnsiTheme="majorHAnsi"/>
          <w:sz w:val="16"/>
          <w:szCs w:val="16"/>
        </w:rPr>
        <w:footnoteRef/>
      </w:r>
      <w:r w:rsidRPr="006E0D53">
        <w:rPr>
          <w:rFonts w:asciiTheme="majorHAnsi" w:hAnsiTheme="majorHAnsi"/>
          <w:sz w:val="16"/>
          <w:szCs w:val="16"/>
          <w:lang w:val="es-ES"/>
        </w:rPr>
        <w:t xml:space="preserve"> Las observaciones de cada parte fueron debidamente trasladadas a la parte contraria.</w:t>
      </w:r>
    </w:p>
  </w:footnote>
  <w:footnote w:id="6">
    <w:p w14:paraId="657D1B08" w14:textId="4ADC447D" w:rsidR="00A1165A" w:rsidRPr="00151E82" w:rsidRDefault="00A1165A" w:rsidP="00151E82">
      <w:pPr>
        <w:pStyle w:val="FootnoteText"/>
        <w:ind w:firstLine="720"/>
        <w:jc w:val="both"/>
        <w:rPr>
          <w:rFonts w:asciiTheme="majorHAnsi" w:hAnsiTheme="majorHAnsi"/>
          <w:sz w:val="16"/>
          <w:szCs w:val="16"/>
          <w:lang w:val="es-PA"/>
        </w:rPr>
      </w:pPr>
      <w:r w:rsidRPr="00151E82">
        <w:rPr>
          <w:rStyle w:val="FootnoteReference"/>
          <w:rFonts w:asciiTheme="majorHAnsi" w:hAnsiTheme="majorHAnsi"/>
          <w:sz w:val="16"/>
          <w:szCs w:val="16"/>
        </w:rPr>
        <w:footnoteRef/>
      </w:r>
      <w:r w:rsidRPr="00151E82">
        <w:rPr>
          <w:rFonts w:asciiTheme="majorHAnsi" w:hAnsiTheme="majorHAnsi"/>
          <w:sz w:val="16"/>
          <w:szCs w:val="16"/>
          <w:lang w:val="es-PA"/>
        </w:rPr>
        <w:t xml:space="preserve"> CIDH, Informe No. 179/19. Petición 507-09. Admisibilidad. Omar Dario Clavijo Gutierrez. Colombia. 5 de diciembre de 2019, </w:t>
      </w:r>
      <w:proofErr w:type="spellStart"/>
      <w:r w:rsidRPr="00151E82">
        <w:rPr>
          <w:rFonts w:asciiTheme="majorHAnsi" w:hAnsiTheme="majorHAnsi"/>
          <w:sz w:val="16"/>
          <w:szCs w:val="16"/>
          <w:lang w:val="es-PA"/>
        </w:rPr>
        <w:t>párr</w:t>
      </w:r>
      <w:proofErr w:type="spellEnd"/>
      <w:r w:rsidRPr="00151E82">
        <w:rPr>
          <w:rFonts w:asciiTheme="majorHAnsi" w:hAnsiTheme="majorHAnsi"/>
          <w:sz w:val="16"/>
          <w:szCs w:val="16"/>
          <w:lang w:val="es-PA"/>
        </w:rPr>
        <w:t xml:space="preserve"> 7.</w:t>
      </w:r>
    </w:p>
  </w:footnote>
  <w:footnote w:id="7">
    <w:p w14:paraId="7B557207" w14:textId="77777777" w:rsidR="00151E82" w:rsidRPr="00151E82" w:rsidRDefault="00151E82" w:rsidP="00151E82">
      <w:pPr>
        <w:pStyle w:val="FootnoteText"/>
        <w:ind w:firstLine="720"/>
        <w:jc w:val="both"/>
        <w:rPr>
          <w:rFonts w:asciiTheme="majorHAnsi" w:hAnsiTheme="majorHAnsi"/>
          <w:sz w:val="16"/>
          <w:szCs w:val="16"/>
          <w:lang w:val="es-PA"/>
        </w:rPr>
      </w:pPr>
      <w:r w:rsidRPr="00151E82">
        <w:rPr>
          <w:rStyle w:val="FootnoteReference"/>
          <w:rFonts w:asciiTheme="majorHAnsi" w:hAnsiTheme="majorHAnsi"/>
          <w:sz w:val="16"/>
          <w:szCs w:val="16"/>
        </w:rPr>
        <w:footnoteRef/>
      </w:r>
      <w:r w:rsidRPr="00151E82">
        <w:rPr>
          <w:rFonts w:asciiTheme="majorHAnsi" w:hAnsiTheme="majorHAnsi"/>
          <w:sz w:val="16"/>
          <w:szCs w:val="16"/>
          <w:lang w:val="es-PA"/>
        </w:rPr>
        <w:t xml:space="preserve"> CIDH, Informe No. 40/14, Caso 11.438. Fondo. Herrera Espinoza y otros. Ecuador. 17 de julio de 2014, párr. 186.</w:t>
      </w:r>
    </w:p>
    <w:p w14:paraId="5863B243" w14:textId="2657D31C" w:rsidR="00151E82" w:rsidRPr="00151E82" w:rsidRDefault="00151E82" w:rsidP="00151E82">
      <w:pPr>
        <w:pStyle w:val="FootnoteText"/>
        <w:jc w:val="both"/>
        <w:rPr>
          <w:rFonts w:asciiTheme="majorHAnsi" w:hAnsiTheme="majorHAnsi"/>
          <w:sz w:val="16"/>
          <w:szCs w:val="16"/>
          <w:lang w:val="es-PA"/>
        </w:rPr>
      </w:pPr>
    </w:p>
  </w:footnote>
  <w:footnote w:id="8">
    <w:p w14:paraId="28B8B527" w14:textId="368F4418" w:rsidR="00151E82" w:rsidRPr="00151E82" w:rsidRDefault="00151E82" w:rsidP="00151E82">
      <w:pPr>
        <w:pStyle w:val="FootnoteText"/>
        <w:ind w:firstLine="720"/>
        <w:jc w:val="both"/>
        <w:rPr>
          <w:rFonts w:asciiTheme="majorHAnsi" w:hAnsiTheme="majorHAnsi"/>
          <w:sz w:val="16"/>
          <w:szCs w:val="16"/>
          <w:lang w:val="es-PA"/>
        </w:rPr>
      </w:pPr>
      <w:r w:rsidRPr="00151E82">
        <w:rPr>
          <w:rStyle w:val="FootnoteReference"/>
          <w:rFonts w:asciiTheme="majorHAnsi" w:hAnsiTheme="majorHAnsi"/>
          <w:sz w:val="16"/>
          <w:szCs w:val="16"/>
        </w:rPr>
        <w:footnoteRef/>
      </w:r>
      <w:r w:rsidRPr="00151E82">
        <w:rPr>
          <w:rFonts w:asciiTheme="majorHAnsi" w:hAnsiTheme="majorHAnsi"/>
          <w:sz w:val="16"/>
          <w:szCs w:val="16"/>
          <w:lang w:val="es-PA"/>
        </w:rPr>
        <w:t xml:space="preserve"> Corte IDH, Caso de la Cruz Flores vs. Perú, Sentencia de Fondo, Reparaciones y Costas. 18 de noviembre de 2004, </w:t>
      </w:r>
      <w:r>
        <w:rPr>
          <w:rFonts w:asciiTheme="majorHAnsi" w:hAnsiTheme="majorHAnsi"/>
          <w:sz w:val="16"/>
          <w:szCs w:val="16"/>
          <w:lang w:val="es-PA"/>
        </w:rPr>
        <w:t xml:space="preserve">párr. 79. </w:t>
      </w:r>
    </w:p>
  </w:footnote>
  <w:footnote w:id="9">
    <w:p w14:paraId="480BE52E" w14:textId="4EC838F4" w:rsidR="003A71F3" w:rsidRPr="003A71F3" w:rsidRDefault="003A71F3" w:rsidP="003A71F3">
      <w:pPr>
        <w:pStyle w:val="FootnoteText"/>
        <w:ind w:firstLine="720"/>
        <w:jc w:val="both"/>
        <w:rPr>
          <w:rFonts w:asciiTheme="majorHAnsi" w:hAnsiTheme="majorHAnsi"/>
          <w:sz w:val="16"/>
          <w:szCs w:val="16"/>
          <w:lang w:val="es-PA"/>
        </w:rPr>
      </w:pPr>
      <w:r>
        <w:rPr>
          <w:rStyle w:val="FootnoteReference"/>
        </w:rPr>
        <w:footnoteRef/>
      </w:r>
      <w:r w:rsidRPr="003A71F3">
        <w:rPr>
          <w:lang w:val="es-PA"/>
        </w:rPr>
        <w:t xml:space="preserve"> </w:t>
      </w:r>
      <w:r>
        <w:rPr>
          <w:rFonts w:asciiTheme="majorHAnsi" w:hAnsiTheme="majorHAnsi"/>
          <w:sz w:val="16"/>
          <w:szCs w:val="16"/>
          <w:lang w:val="es-PA"/>
        </w:rPr>
        <w:t xml:space="preserve">Corte IDH, Caso </w:t>
      </w:r>
      <w:proofErr w:type="spellStart"/>
      <w:r>
        <w:rPr>
          <w:rFonts w:asciiTheme="majorHAnsi" w:hAnsiTheme="majorHAnsi"/>
          <w:sz w:val="16"/>
          <w:szCs w:val="16"/>
          <w:lang w:val="es-PA"/>
        </w:rPr>
        <w:t>Lori</w:t>
      </w:r>
      <w:proofErr w:type="spellEnd"/>
      <w:r>
        <w:rPr>
          <w:rFonts w:asciiTheme="majorHAnsi" w:hAnsiTheme="majorHAnsi"/>
          <w:sz w:val="16"/>
          <w:szCs w:val="16"/>
          <w:lang w:val="es-PA"/>
        </w:rPr>
        <w:t xml:space="preserve"> </w:t>
      </w:r>
      <w:proofErr w:type="spellStart"/>
      <w:r>
        <w:rPr>
          <w:rFonts w:asciiTheme="majorHAnsi" w:hAnsiTheme="majorHAnsi"/>
          <w:sz w:val="16"/>
          <w:szCs w:val="16"/>
          <w:lang w:val="es-PA"/>
        </w:rPr>
        <w:t>Berenson</w:t>
      </w:r>
      <w:proofErr w:type="spellEnd"/>
      <w:r>
        <w:rPr>
          <w:rFonts w:asciiTheme="majorHAnsi" w:hAnsiTheme="majorHAnsi"/>
          <w:sz w:val="16"/>
          <w:szCs w:val="16"/>
          <w:lang w:val="es-PA"/>
        </w:rPr>
        <w:t xml:space="preserve"> Mejía vs. Perú, Sentencia de Fondo, Reparaciones y Costas. 25 de noviembre de 2004. párr. 126</w:t>
      </w:r>
    </w:p>
  </w:footnote>
  <w:footnote w:id="10">
    <w:p w14:paraId="7FE9C2EC" w14:textId="77777777" w:rsidR="00293D18" w:rsidRPr="006132CC" w:rsidRDefault="00293D18" w:rsidP="00293D18">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26/17</w:t>
      </w:r>
      <w:r>
        <w:rPr>
          <w:rFonts w:ascii="Cambria" w:hAnsi="Cambria"/>
          <w:sz w:val="16"/>
          <w:szCs w:val="16"/>
          <w:lang w:val="es-ES"/>
        </w:rPr>
        <w:t>, Petición 1208-08</w:t>
      </w:r>
      <w:r w:rsidRPr="006132CC">
        <w:rPr>
          <w:rFonts w:ascii="Cambria" w:hAnsi="Cambria"/>
          <w:sz w:val="16"/>
          <w:szCs w:val="16"/>
          <w:lang w:val="es-ES"/>
        </w:rPr>
        <w:t xml:space="preserve">. Admisibilidad. William Olaya Moreno y familia. Colombia. 18 de marzo de 2017, párr. 9. </w:t>
      </w:r>
    </w:p>
  </w:footnote>
  <w:footnote w:id="11">
    <w:p w14:paraId="77CF2466" w14:textId="77777777" w:rsidR="00544CCE" w:rsidRPr="00C5191D" w:rsidRDefault="00544CCE" w:rsidP="00BB1DBF">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3B67" w14:textId="77777777" w:rsidR="00544CCE" w:rsidRDefault="00544CCE" w:rsidP="0074464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44CCE" w:rsidRDefault="00544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1B9" w14:textId="77777777" w:rsidR="00544CCE" w:rsidRDefault="00544CCE"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44CCE" w:rsidRPr="00EC7D62" w:rsidRDefault="00911704"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B1D5" w14:textId="77777777" w:rsidR="00235E6D" w:rsidRDefault="00235E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44CCE" w:rsidRDefault="00544CCE" w:rsidP="0074464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44CCE" w:rsidRDefault="00544C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544CCE" w:rsidRDefault="00544CC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44CCE" w:rsidRPr="00EC7D62" w:rsidRDefault="00911704"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034"/>
    <w:rsid w:val="00006E1F"/>
    <w:rsid w:val="000070D7"/>
    <w:rsid w:val="0001788C"/>
    <w:rsid w:val="000257E2"/>
    <w:rsid w:val="000337EF"/>
    <w:rsid w:val="00040C3A"/>
    <w:rsid w:val="000419AD"/>
    <w:rsid w:val="000433C9"/>
    <w:rsid w:val="00050284"/>
    <w:rsid w:val="000673D0"/>
    <w:rsid w:val="000716C5"/>
    <w:rsid w:val="0007375C"/>
    <w:rsid w:val="00075E23"/>
    <w:rsid w:val="000869F2"/>
    <w:rsid w:val="00087F17"/>
    <w:rsid w:val="0009344A"/>
    <w:rsid w:val="000A035A"/>
    <w:rsid w:val="000A392E"/>
    <w:rsid w:val="000A575F"/>
    <w:rsid w:val="000B04D4"/>
    <w:rsid w:val="000B5E85"/>
    <w:rsid w:val="000B7DC4"/>
    <w:rsid w:val="000D05CB"/>
    <w:rsid w:val="000D10DB"/>
    <w:rsid w:val="000E5EB5"/>
    <w:rsid w:val="000F35ED"/>
    <w:rsid w:val="00104635"/>
    <w:rsid w:val="00105964"/>
    <w:rsid w:val="00107131"/>
    <w:rsid w:val="0010736F"/>
    <w:rsid w:val="001123A2"/>
    <w:rsid w:val="00113F73"/>
    <w:rsid w:val="00114186"/>
    <w:rsid w:val="00117B6F"/>
    <w:rsid w:val="00121CC2"/>
    <w:rsid w:val="00122F86"/>
    <w:rsid w:val="00126214"/>
    <w:rsid w:val="00131425"/>
    <w:rsid w:val="00133EE5"/>
    <w:rsid w:val="001401BA"/>
    <w:rsid w:val="00151E82"/>
    <w:rsid w:val="00154020"/>
    <w:rsid w:val="001550D0"/>
    <w:rsid w:val="00167A34"/>
    <w:rsid w:val="001A7870"/>
    <w:rsid w:val="001B3A00"/>
    <w:rsid w:val="001C1B41"/>
    <w:rsid w:val="001D016C"/>
    <w:rsid w:val="001D65EF"/>
    <w:rsid w:val="001E49E7"/>
    <w:rsid w:val="001F2442"/>
    <w:rsid w:val="001F7201"/>
    <w:rsid w:val="002129A2"/>
    <w:rsid w:val="00223A29"/>
    <w:rsid w:val="002250A3"/>
    <w:rsid w:val="002307D0"/>
    <w:rsid w:val="00232906"/>
    <w:rsid w:val="00233029"/>
    <w:rsid w:val="00235217"/>
    <w:rsid w:val="00235E6D"/>
    <w:rsid w:val="00246D1F"/>
    <w:rsid w:val="00247403"/>
    <w:rsid w:val="00247542"/>
    <w:rsid w:val="002534B2"/>
    <w:rsid w:val="0025642C"/>
    <w:rsid w:val="00266B61"/>
    <w:rsid w:val="0026712A"/>
    <w:rsid w:val="002704DB"/>
    <w:rsid w:val="0027522A"/>
    <w:rsid w:val="00291B95"/>
    <w:rsid w:val="00293D18"/>
    <w:rsid w:val="002A0AAE"/>
    <w:rsid w:val="002A5820"/>
    <w:rsid w:val="002D2B26"/>
    <w:rsid w:val="002D3B8E"/>
    <w:rsid w:val="002D7EA2"/>
    <w:rsid w:val="002E187C"/>
    <w:rsid w:val="002F5874"/>
    <w:rsid w:val="00302733"/>
    <w:rsid w:val="00314078"/>
    <w:rsid w:val="0031535D"/>
    <w:rsid w:val="003208EB"/>
    <w:rsid w:val="003239B8"/>
    <w:rsid w:val="0032599E"/>
    <w:rsid w:val="00330572"/>
    <w:rsid w:val="0033169F"/>
    <w:rsid w:val="00344977"/>
    <w:rsid w:val="003457A8"/>
    <w:rsid w:val="00346C95"/>
    <w:rsid w:val="00356185"/>
    <w:rsid w:val="00356657"/>
    <w:rsid w:val="00360380"/>
    <w:rsid w:val="00365178"/>
    <w:rsid w:val="003654E4"/>
    <w:rsid w:val="003713EF"/>
    <w:rsid w:val="0037519E"/>
    <w:rsid w:val="0038546E"/>
    <w:rsid w:val="00385E25"/>
    <w:rsid w:val="00386CF0"/>
    <w:rsid w:val="003A71F3"/>
    <w:rsid w:val="003B6E9C"/>
    <w:rsid w:val="003B70FB"/>
    <w:rsid w:val="003C6443"/>
    <w:rsid w:val="003C676B"/>
    <w:rsid w:val="003D1C06"/>
    <w:rsid w:val="003D3BC2"/>
    <w:rsid w:val="003E6CA1"/>
    <w:rsid w:val="004065A8"/>
    <w:rsid w:val="004165C2"/>
    <w:rsid w:val="00425310"/>
    <w:rsid w:val="00434D45"/>
    <w:rsid w:val="00441ECB"/>
    <w:rsid w:val="00445193"/>
    <w:rsid w:val="00462C1B"/>
    <w:rsid w:val="00467B7E"/>
    <w:rsid w:val="00471F3C"/>
    <w:rsid w:val="00473BB4"/>
    <w:rsid w:val="00477592"/>
    <w:rsid w:val="00486F1C"/>
    <w:rsid w:val="0049419D"/>
    <w:rsid w:val="004A5844"/>
    <w:rsid w:val="004A60C4"/>
    <w:rsid w:val="004A6A54"/>
    <w:rsid w:val="004B167A"/>
    <w:rsid w:val="004C20D2"/>
    <w:rsid w:val="004C2312"/>
    <w:rsid w:val="004C2929"/>
    <w:rsid w:val="004C4B62"/>
    <w:rsid w:val="004C54C9"/>
    <w:rsid w:val="004D308D"/>
    <w:rsid w:val="004D39E3"/>
    <w:rsid w:val="004D4ABA"/>
    <w:rsid w:val="004D6025"/>
    <w:rsid w:val="004E2649"/>
    <w:rsid w:val="004F1B82"/>
    <w:rsid w:val="004F626F"/>
    <w:rsid w:val="00501399"/>
    <w:rsid w:val="0050633D"/>
    <w:rsid w:val="00507BC4"/>
    <w:rsid w:val="005128E4"/>
    <w:rsid w:val="005133DB"/>
    <w:rsid w:val="00514504"/>
    <w:rsid w:val="00524EDC"/>
    <w:rsid w:val="00525560"/>
    <w:rsid w:val="00532D2F"/>
    <w:rsid w:val="00544C49"/>
    <w:rsid w:val="00544CCE"/>
    <w:rsid w:val="00550772"/>
    <w:rsid w:val="005516A1"/>
    <w:rsid w:val="0055412A"/>
    <w:rsid w:val="005559EF"/>
    <w:rsid w:val="00560B92"/>
    <w:rsid w:val="00563557"/>
    <w:rsid w:val="00565BB3"/>
    <w:rsid w:val="0057402A"/>
    <w:rsid w:val="005771D0"/>
    <w:rsid w:val="0059191A"/>
    <w:rsid w:val="005921FF"/>
    <w:rsid w:val="005A24ED"/>
    <w:rsid w:val="005A6D0E"/>
    <w:rsid w:val="005A7843"/>
    <w:rsid w:val="005B3584"/>
    <w:rsid w:val="005B5111"/>
    <w:rsid w:val="005B52B0"/>
    <w:rsid w:val="005B6806"/>
    <w:rsid w:val="005C3B7C"/>
    <w:rsid w:val="005C4225"/>
    <w:rsid w:val="005E52AA"/>
    <w:rsid w:val="005E5681"/>
    <w:rsid w:val="005F0DAD"/>
    <w:rsid w:val="005F0F33"/>
    <w:rsid w:val="005F7A8D"/>
    <w:rsid w:val="00600DEB"/>
    <w:rsid w:val="00601F26"/>
    <w:rsid w:val="00605251"/>
    <w:rsid w:val="00607435"/>
    <w:rsid w:val="00610B1D"/>
    <w:rsid w:val="00627C9F"/>
    <w:rsid w:val="006311E9"/>
    <w:rsid w:val="00632354"/>
    <w:rsid w:val="00635421"/>
    <w:rsid w:val="00642810"/>
    <w:rsid w:val="00652333"/>
    <w:rsid w:val="00672709"/>
    <w:rsid w:val="006738EF"/>
    <w:rsid w:val="00675D21"/>
    <w:rsid w:val="0068009E"/>
    <w:rsid w:val="00682149"/>
    <w:rsid w:val="00686879"/>
    <w:rsid w:val="00692219"/>
    <w:rsid w:val="006A17D2"/>
    <w:rsid w:val="006A73E6"/>
    <w:rsid w:val="006B2D5C"/>
    <w:rsid w:val="006C4EB1"/>
    <w:rsid w:val="006E0166"/>
    <w:rsid w:val="006E0D53"/>
    <w:rsid w:val="006E0F71"/>
    <w:rsid w:val="006E2FFB"/>
    <w:rsid w:val="006E7B34"/>
    <w:rsid w:val="0070697F"/>
    <w:rsid w:val="00711FCC"/>
    <w:rsid w:val="0072199C"/>
    <w:rsid w:val="00722C9F"/>
    <w:rsid w:val="007253B8"/>
    <w:rsid w:val="00726F26"/>
    <w:rsid w:val="00737197"/>
    <w:rsid w:val="0073741F"/>
    <w:rsid w:val="0074464F"/>
    <w:rsid w:val="0075440A"/>
    <w:rsid w:val="0076643F"/>
    <w:rsid w:val="0077184A"/>
    <w:rsid w:val="00777F63"/>
    <w:rsid w:val="007822E2"/>
    <w:rsid w:val="007A5817"/>
    <w:rsid w:val="007B05C4"/>
    <w:rsid w:val="007B60E9"/>
    <w:rsid w:val="007B6CC3"/>
    <w:rsid w:val="007B76D3"/>
    <w:rsid w:val="007B7B95"/>
    <w:rsid w:val="007C3334"/>
    <w:rsid w:val="007C5E15"/>
    <w:rsid w:val="007D2698"/>
    <w:rsid w:val="007D2B98"/>
    <w:rsid w:val="007E21BC"/>
    <w:rsid w:val="007E3825"/>
    <w:rsid w:val="007E58B4"/>
    <w:rsid w:val="007E7C82"/>
    <w:rsid w:val="007F2AA1"/>
    <w:rsid w:val="007F3D65"/>
    <w:rsid w:val="007F588D"/>
    <w:rsid w:val="0080185B"/>
    <w:rsid w:val="00803F1C"/>
    <w:rsid w:val="0080600E"/>
    <w:rsid w:val="00810015"/>
    <w:rsid w:val="008135D0"/>
    <w:rsid w:val="00814688"/>
    <w:rsid w:val="00817612"/>
    <w:rsid w:val="008217E8"/>
    <w:rsid w:val="008338A4"/>
    <w:rsid w:val="00834D49"/>
    <w:rsid w:val="008351F2"/>
    <w:rsid w:val="00837C45"/>
    <w:rsid w:val="00844730"/>
    <w:rsid w:val="008457C2"/>
    <w:rsid w:val="00857A82"/>
    <w:rsid w:val="00873836"/>
    <w:rsid w:val="00874458"/>
    <w:rsid w:val="00885737"/>
    <w:rsid w:val="00886A61"/>
    <w:rsid w:val="00890650"/>
    <w:rsid w:val="00890F4F"/>
    <w:rsid w:val="00893046"/>
    <w:rsid w:val="00894733"/>
    <w:rsid w:val="008947D6"/>
    <w:rsid w:val="0089527D"/>
    <w:rsid w:val="008963AD"/>
    <w:rsid w:val="00897E12"/>
    <w:rsid w:val="008A7E0F"/>
    <w:rsid w:val="008B12F5"/>
    <w:rsid w:val="008B2145"/>
    <w:rsid w:val="008B4291"/>
    <w:rsid w:val="008B7990"/>
    <w:rsid w:val="008C5E2D"/>
    <w:rsid w:val="008D1350"/>
    <w:rsid w:val="008D768D"/>
    <w:rsid w:val="008E3759"/>
    <w:rsid w:val="008E3BFE"/>
    <w:rsid w:val="008F1912"/>
    <w:rsid w:val="008F79C2"/>
    <w:rsid w:val="0090270B"/>
    <w:rsid w:val="009041DC"/>
    <w:rsid w:val="00907E6C"/>
    <w:rsid w:val="00911704"/>
    <w:rsid w:val="00912D32"/>
    <w:rsid w:val="00917B5A"/>
    <w:rsid w:val="00920A58"/>
    <w:rsid w:val="00920A8C"/>
    <w:rsid w:val="0093324F"/>
    <w:rsid w:val="00934A2C"/>
    <w:rsid w:val="00957C67"/>
    <w:rsid w:val="0096706E"/>
    <w:rsid w:val="00974491"/>
    <w:rsid w:val="00975C4E"/>
    <w:rsid w:val="009766E2"/>
    <w:rsid w:val="00981FBA"/>
    <w:rsid w:val="00982C1A"/>
    <w:rsid w:val="00997BC5"/>
    <w:rsid w:val="009A43F0"/>
    <w:rsid w:val="009A4B90"/>
    <w:rsid w:val="009A4F41"/>
    <w:rsid w:val="009B2BBA"/>
    <w:rsid w:val="009B381B"/>
    <w:rsid w:val="009B51A5"/>
    <w:rsid w:val="009B5DF9"/>
    <w:rsid w:val="009C1E1E"/>
    <w:rsid w:val="009D1753"/>
    <w:rsid w:val="009D7611"/>
    <w:rsid w:val="009E0B61"/>
    <w:rsid w:val="009E53DE"/>
    <w:rsid w:val="00A00483"/>
    <w:rsid w:val="00A03A53"/>
    <w:rsid w:val="00A11212"/>
    <w:rsid w:val="00A1165A"/>
    <w:rsid w:val="00A11E44"/>
    <w:rsid w:val="00A166C0"/>
    <w:rsid w:val="00A24179"/>
    <w:rsid w:val="00A30100"/>
    <w:rsid w:val="00A31E2D"/>
    <w:rsid w:val="00A328B3"/>
    <w:rsid w:val="00A352A2"/>
    <w:rsid w:val="00A42259"/>
    <w:rsid w:val="00A50FCF"/>
    <w:rsid w:val="00A528D1"/>
    <w:rsid w:val="00A610CD"/>
    <w:rsid w:val="00A6358B"/>
    <w:rsid w:val="00A758AA"/>
    <w:rsid w:val="00AA09A2"/>
    <w:rsid w:val="00AA7996"/>
    <w:rsid w:val="00AB0896"/>
    <w:rsid w:val="00AB2CF2"/>
    <w:rsid w:val="00AB2E3E"/>
    <w:rsid w:val="00AB7254"/>
    <w:rsid w:val="00AC17F8"/>
    <w:rsid w:val="00AC19CB"/>
    <w:rsid w:val="00AD4153"/>
    <w:rsid w:val="00AD456D"/>
    <w:rsid w:val="00AD7C07"/>
    <w:rsid w:val="00AE5488"/>
    <w:rsid w:val="00AE6F91"/>
    <w:rsid w:val="00AF0F15"/>
    <w:rsid w:val="00AF5571"/>
    <w:rsid w:val="00B07341"/>
    <w:rsid w:val="00B11828"/>
    <w:rsid w:val="00B21B61"/>
    <w:rsid w:val="00B248BA"/>
    <w:rsid w:val="00B30539"/>
    <w:rsid w:val="00B314DB"/>
    <w:rsid w:val="00B361F2"/>
    <w:rsid w:val="00B3718B"/>
    <w:rsid w:val="00B3745F"/>
    <w:rsid w:val="00B4632A"/>
    <w:rsid w:val="00B530F1"/>
    <w:rsid w:val="00B84777"/>
    <w:rsid w:val="00B96ABE"/>
    <w:rsid w:val="00BA1241"/>
    <w:rsid w:val="00BA276C"/>
    <w:rsid w:val="00BA54A9"/>
    <w:rsid w:val="00BB1DBF"/>
    <w:rsid w:val="00BB306F"/>
    <w:rsid w:val="00BB4418"/>
    <w:rsid w:val="00BB5B2B"/>
    <w:rsid w:val="00BD4B89"/>
    <w:rsid w:val="00BD5341"/>
    <w:rsid w:val="00BD57F2"/>
    <w:rsid w:val="00BD5922"/>
    <w:rsid w:val="00BE29A1"/>
    <w:rsid w:val="00BF02CB"/>
    <w:rsid w:val="00BF6FD8"/>
    <w:rsid w:val="00BF7851"/>
    <w:rsid w:val="00C01E35"/>
    <w:rsid w:val="00C03680"/>
    <w:rsid w:val="00C054DF"/>
    <w:rsid w:val="00C06298"/>
    <w:rsid w:val="00C1285C"/>
    <w:rsid w:val="00C21762"/>
    <w:rsid w:val="00C21FEF"/>
    <w:rsid w:val="00C23BA4"/>
    <w:rsid w:val="00C24543"/>
    <w:rsid w:val="00C256A2"/>
    <w:rsid w:val="00C25ADB"/>
    <w:rsid w:val="00C4720A"/>
    <w:rsid w:val="00C51515"/>
    <w:rsid w:val="00C5168D"/>
    <w:rsid w:val="00C5548C"/>
    <w:rsid w:val="00C5660B"/>
    <w:rsid w:val="00C66B72"/>
    <w:rsid w:val="00C71FE2"/>
    <w:rsid w:val="00C80D0E"/>
    <w:rsid w:val="00C87AC4"/>
    <w:rsid w:val="00C9567A"/>
    <w:rsid w:val="00C96913"/>
    <w:rsid w:val="00CA74D2"/>
    <w:rsid w:val="00CB212D"/>
    <w:rsid w:val="00CB2660"/>
    <w:rsid w:val="00CB7301"/>
    <w:rsid w:val="00CC5E90"/>
    <w:rsid w:val="00CC63E4"/>
    <w:rsid w:val="00CD046C"/>
    <w:rsid w:val="00CE076C"/>
    <w:rsid w:val="00CE5199"/>
    <w:rsid w:val="00CE66D5"/>
    <w:rsid w:val="00CF3698"/>
    <w:rsid w:val="00CF637A"/>
    <w:rsid w:val="00D02399"/>
    <w:rsid w:val="00D059DE"/>
    <w:rsid w:val="00D05ABD"/>
    <w:rsid w:val="00D13FCE"/>
    <w:rsid w:val="00D17253"/>
    <w:rsid w:val="00D306D1"/>
    <w:rsid w:val="00D30800"/>
    <w:rsid w:val="00D34786"/>
    <w:rsid w:val="00D37BFC"/>
    <w:rsid w:val="00D42170"/>
    <w:rsid w:val="00D47A8E"/>
    <w:rsid w:val="00D51E4D"/>
    <w:rsid w:val="00D52D14"/>
    <w:rsid w:val="00D61E5B"/>
    <w:rsid w:val="00D712D3"/>
    <w:rsid w:val="00D71422"/>
    <w:rsid w:val="00D7212A"/>
    <w:rsid w:val="00D72DC6"/>
    <w:rsid w:val="00D7558D"/>
    <w:rsid w:val="00D81D92"/>
    <w:rsid w:val="00D84565"/>
    <w:rsid w:val="00D857CB"/>
    <w:rsid w:val="00D867BB"/>
    <w:rsid w:val="00D876F9"/>
    <w:rsid w:val="00DA01B0"/>
    <w:rsid w:val="00DA7B5F"/>
    <w:rsid w:val="00DB622C"/>
    <w:rsid w:val="00DC11E7"/>
    <w:rsid w:val="00DC24E3"/>
    <w:rsid w:val="00DC7023"/>
    <w:rsid w:val="00DC769A"/>
    <w:rsid w:val="00DD04D0"/>
    <w:rsid w:val="00DD04E7"/>
    <w:rsid w:val="00DD3D86"/>
    <w:rsid w:val="00DD4AD2"/>
    <w:rsid w:val="00DF1EC4"/>
    <w:rsid w:val="00E00097"/>
    <w:rsid w:val="00E0340B"/>
    <w:rsid w:val="00E04A90"/>
    <w:rsid w:val="00E0551F"/>
    <w:rsid w:val="00E219C7"/>
    <w:rsid w:val="00E33833"/>
    <w:rsid w:val="00E4118C"/>
    <w:rsid w:val="00E43157"/>
    <w:rsid w:val="00E461CE"/>
    <w:rsid w:val="00E53A0D"/>
    <w:rsid w:val="00E573E4"/>
    <w:rsid w:val="00E709B3"/>
    <w:rsid w:val="00E720CA"/>
    <w:rsid w:val="00E80667"/>
    <w:rsid w:val="00E84EB5"/>
    <w:rsid w:val="00E85662"/>
    <w:rsid w:val="00E8789F"/>
    <w:rsid w:val="00E97B71"/>
    <w:rsid w:val="00EA3D34"/>
    <w:rsid w:val="00EB2D50"/>
    <w:rsid w:val="00EB454D"/>
    <w:rsid w:val="00EB72BC"/>
    <w:rsid w:val="00EB7FF9"/>
    <w:rsid w:val="00EC6CBF"/>
    <w:rsid w:val="00ED549D"/>
    <w:rsid w:val="00ED76BE"/>
    <w:rsid w:val="00EE00E9"/>
    <w:rsid w:val="00EF1AAA"/>
    <w:rsid w:val="00EF619B"/>
    <w:rsid w:val="00F00B55"/>
    <w:rsid w:val="00F02AD1"/>
    <w:rsid w:val="00F05C0A"/>
    <w:rsid w:val="00F100CB"/>
    <w:rsid w:val="00F253CC"/>
    <w:rsid w:val="00F369F4"/>
    <w:rsid w:val="00F37106"/>
    <w:rsid w:val="00F44E25"/>
    <w:rsid w:val="00F474DA"/>
    <w:rsid w:val="00F519CF"/>
    <w:rsid w:val="00F5266F"/>
    <w:rsid w:val="00F56BA5"/>
    <w:rsid w:val="00F60E22"/>
    <w:rsid w:val="00F73F5C"/>
    <w:rsid w:val="00F81395"/>
    <w:rsid w:val="00F81BB8"/>
    <w:rsid w:val="00F90C64"/>
    <w:rsid w:val="00F917D1"/>
    <w:rsid w:val="00F91D76"/>
    <w:rsid w:val="00F94E7B"/>
    <w:rsid w:val="00F9653B"/>
    <w:rsid w:val="00FA58CD"/>
    <w:rsid w:val="00FB62CF"/>
    <w:rsid w:val="00FD101F"/>
    <w:rsid w:val="00FD3C3B"/>
    <w:rsid w:val="00FE07DD"/>
    <w:rsid w:val="00FE0A9E"/>
    <w:rsid w:val="00FE6B45"/>
    <w:rsid w:val="00FF0F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4D4"/>
    <w:rPr>
      <w:sz w:val="16"/>
      <w:szCs w:val="16"/>
    </w:rPr>
  </w:style>
  <w:style w:type="paragraph" w:styleId="CommentText">
    <w:name w:val="annotation text"/>
    <w:basedOn w:val="Normal"/>
    <w:link w:val="CommentTextChar"/>
    <w:uiPriority w:val="99"/>
    <w:semiHidden/>
    <w:unhideWhenUsed/>
    <w:rsid w:val="000B04D4"/>
    <w:rPr>
      <w:sz w:val="20"/>
      <w:szCs w:val="20"/>
    </w:rPr>
  </w:style>
  <w:style w:type="character" w:customStyle="1" w:styleId="CommentTextChar">
    <w:name w:val="Comment Text Char"/>
    <w:basedOn w:val="DefaultParagraphFont"/>
    <w:link w:val="CommentText"/>
    <w:uiPriority w:val="99"/>
    <w:semiHidden/>
    <w:rsid w:val="000B04D4"/>
    <w:rPr>
      <w:lang w:val="en-US" w:eastAsia="en-US"/>
    </w:rPr>
  </w:style>
  <w:style w:type="paragraph" w:styleId="CommentSubject">
    <w:name w:val="annotation subject"/>
    <w:basedOn w:val="CommentText"/>
    <w:next w:val="CommentText"/>
    <w:link w:val="CommentSubjectChar"/>
    <w:uiPriority w:val="99"/>
    <w:semiHidden/>
    <w:unhideWhenUsed/>
    <w:rsid w:val="000B04D4"/>
    <w:rPr>
      <w:b/>
      <w:bCs/>
    </w:rPr>
  </w:style>
  <w:style w:type="character" w:customStyle="1" w:styleId="CommentSubjectChar">
    <w:name w:val="Comment Subject Char"/>
    <w:basedOn w:val="CommentTextChar"/>
    <w:link w:val="CommentSubject"/>
    <w:uiPriority w:val="99"/>
    <w:semiHidden/>
    <w:rsid w:val="000B04D4"/>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A24179"/>
    <w:rPr>
      <w:rFonts w:ascii="Calibri" w:eastAsia="Times New Roman"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B1DB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EndnoteReference">
    <w:name w:val="endnote reference"/>
    <w:basedOn w:val="DefaultParagraphFont"/>
    <w:uiPriority w:val="99"/>
    <w:semiHidden/>
    <w:unhideWhenUsed/>
    <w:rsid w:val="00B11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7627907CB4FF2B74FE239B14B7826"/>
        <w:category>
          <w:name w:val="General"/>
          <w:gallery w:val="placeholder"/>
        </w:category>
        <w:types>
          <w:type w:val="bbPlcHdr"/>
        </w:types>
        <w:behaviors>
          <w:behavior w:val="content"/>
        </w:behaviors>
        <w:guid w:val="{74EEB328-E666-482B-B8B7-9DAD3D55F6DD}"/>
      </w:docPartPr>
      <w:docPartBody>
        <w:p w:rsidR="00472EC9" w:rsidRDefault="00974E95" w:rsidP="00974E95">
          <w:pPr>
            <w:pStyle w:val="5657627907CB4FF2B74FE239B14B782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66883"/>
    <w:rsid w:val="00200821"/>
    <w:rsid w:val="0025245B"/>
    <w:rsid w:val="002B2527"/>
    <w:rsid w:val="002F7F78"/>
    <w:rsid w:val="00354D03"/>
    <w:rsid w:val="00394049"/>
    <w:rsid w:val="004040E0"/>
    <w:rsid w:val="004261AD"/>
    <w:rsid w:val="00472EC9"/>
    <w:rsid w:val="004B5BBB"/>
    <w:rsid w:val="004F2DF8"/>
    <w:rsid w:val="00653F27"/>
    <w:rsid w:val="006E7149"/>
    <w:rsid w:val="006F24A1"/>
    <w:rsid w:val="007E7E89"/>
    <w:rsid w:val="00810AA5"/>
    <w:rsid w:val="00974E95"/>
    <w:rsid w:val="009A261B"/>
    <w:rsid w:val="00A41635"/>
    <w:rsid w:val="00AA2E17"/>
    <w:rsid w:val="00AC15A4"/>
    <w:rsid w:val="00B0336C"/>
    <w:rsid w:val="00BB54B6"/>
    <w:rsid w:val="00C35B5F"/>
    <w:rsid w:val="00C4173D"/>
    <w:rsid w:val="00CF6DC0"/>
    <w:rsid w:val="00D241E9"/>
    <w:rsid w:val="00D7750D"/>
    <w:rsid w:val="00D85E3F"/>
    <w:rsid w:val="00DD1972"/>
    <w:rsid w:val="00DD3F81"/>
    <w:rsid w:val="00EC7C95"/>
    <w:rsid w:val="00F00D2F"/>
    <w:rsid w:val="00F128DF"/>
    <w:rsid w:val="00F3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E9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6F10F8106C6B41A68AE460B6FEC61D9E">
    <w:name w:val="6F10F8106C6B41A68AE460B6FEC61D9E"/>
    <w:rsid w:val="00C35B5F"/>
    <w:pPr>
      <w:spacing w:after="160" w:line="259" w:lineRule="auto"/>
    </w:pPr>
  </w:style>
  <w:style w:type="paragraph" w:customStyle="1" w:styleId="5657627907CB4FF2B74FE239B14B7826">
    <w:name w:val="5657627907CB4FF2B74FE239B14B7826"/>
    <w:rsid w:val="00974E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7C2F-F6D8-466D-8E9D-85B9A20D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3156</Words>
  <Characters>16636</Characters>
  <Application>Microsoft Office Word</Application>
  <DocSecurity>0</DocSecurity>
  <Lines>313</Lines>
  <Paragraphs>89</Paragraphs>
  <ScaleCrop>false</ScaleCrop>
  <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238/20</dc:title>
  <dc:creator/>
  <cp:lastModifiedBy/>
  <cp:revision>1</cp:revision>
  <dcterms:created xsi:type="dcterms:W3CDTF">2020-10-20T15:13:00Z</dcterms:created>
  <dcterms:modified xsi:type="dcterms:W3CDTF">2020-10-20T15:14:00Z</dcterms:modified>
</cp:coreProperties>
</file>