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1539C6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DE05A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245F2">
                              <w:rPr>
                                <w:rFonts w:asciiTheme="majorHAnsi" w:hAnsiTheme="majorHAnsi" w:cs="Arial"/>
                                <w:b/>
                                <w:bCs/>
                                <w:color w:val="0D0D0D" w:themeColor="text1" w:themeTint="F2"/>
                                <w:sz w:val="36"/>
                                <w:szCs w:val="22"/>
                                <w:lang w:val="es-ES_tradnl"/>
                              </w:rPr>
                              <w:t xml:space="preserve"> 57</w:t>
                            </w:r>
                            <w:r w:rsidR="007B05C4">
                              <w:rPr>
                                <w:rFonts w:asciiTheme="majorHAnsi" w:hAnsiTheme="majorHAnsi" w:cs="Arial"/>
                                <w:b/>
                                <w:bCs/>
                                <w:color w:val="0D0D0D" w:themeColor="text1" w:themeTint="F2"/>
                                <w:sz w:val="36"/>
                                <w:szCs w:val="22"/>
                                <w:lang w:val="es-ES_tradnl"/>
                              </w:rPr>
                              <w:t>/</w:t>
                            </w:r>
                            <w:r w:rsidR="00D70DE2">
                              <w:rPr>
                                <w:rFonts w:asciiTheme="majorHAnsi" w:hAnsiTheme="majorHAnsi" w:cs="Arial"/>
                                <w:b/>
                                <w:bCs/>
                                <w:color w:val="0D0D0D" w:themeColor="text1" w:themeTint="F2"/>
                                <w:sz w:val="36"/>
                                <w:szCs w:val="22"/>
                                <w:lang w:val="es-ES_tradnl"/>
                              </w:rPr>
                              <w:t>20</w:t>
                            </w:r>
                          </w:p>
                          <w:p w14:paraId="09C54AB3" w14:textId="7EE864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4551">
                              <w:rPr>
                                <w:rFonts w:asciiTheme="majorHAnsi" w:hAnsiTheme="majorHAnsi" w:cs="Arial"/>
                                <w:b/>
                                <w:color w:val="0D0D0D" w:themeColor="text1" w:themeTint="F2"/>
                                <w:sz w:val="36"/>
                                <w:szCs w:val="22"/>
                                <w:lang w:val="es-ES_tradnl"/>
                              </w:rPr>
                              <w:t>199-0</w:t>
                            </w:r>
                            <w:r w:rsidR="00FF6761">
                              <w:rPr>
                                <w:rFonts w:asciiTheme="majorHAnsi" w:hAnsiTheme="majorHAnsi" w:cs="Arial"/>
                                <w:b/>
                                <w:color w:val="0D0D0D" w:themeColor="text1" w:themeTint="F2"/>
                                <w:sz w:val="36"/>
                                <w:szCs w:val="22"/>
                                <w:lang w:val="es-ES_tradnl"/>
                              </w:rPr>
                              <w:t>9</w:t>
                            </w:r>
                          </w:p>
                          <w:p w14:paraId="70CF6833" w14:textId="7C53B3D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406C0F7" w14:textId="3A574337" w:rsidR="00FF6761" w:rsidRPr="0010736F" w:rsidRDefault="00FF67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DEL BUSTO MEDINA Y OTROS</w:t>
                            </w:r>
                          </w:p>
                          <w:bookmarkEnd w:id="1"/>
                          <w:p w14:paraId="35068D0D" w14:textId="25AC216D" w:rsidR="005B52B0" w:rsidRPr="0010736F" w:rsidRDefault="00FF67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DE05A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245F2">
                        <w:rPr>
                          <w:rFonts w:asciiTheme="majorHAnsi" w:hAnsiTheme="majorHAnsi" w:cs="Arial"/>
                          <w:b/>
                          <w:bCs/>
                          <w:color w:val="0D0D0D" w:themeColor="text1" w:themeTint="F2"/>
                          <w:sz w:val="36"/>
                          <w:szCs w:val="22"/>
                          <w:lang w:val="es-ES_tradnl"/>
                        </w:rPr>
                        <w:t xml:space="preserve"> 57</w:t>
                      </w:r>
                      <w:r w:rsidR="007B05C4">
                        <w:rPr>
                          <w:rFonts w:asciiTheme="majorHAnsi" w:hAnsiTheme="majorHAnsi" w:cs="Arial"/>
                          <w:b/>
                          <w:bCs/>
                          <w:color w:val="0D0D0D" w:themeColor="text1" w:themeTint="F2"/>
                          <w:sz w:val="36"/>
                          <w:szCs w:val="22"/>
                          <w:lang w:val="es-ES_tradnl"/>
                        </w:rPr>
                        <w:t>/</w:t>
                      </w:r>
                      <w:r w:rsidR="00D70DE2">
                        <w:rPr>
                          <w:rFonts w:asciiTheme="majorHAnsi" w:hAnsiTheme="majorHAnsi" w:cs="Arial"/>
                          <w:b/>
                          <w:bCs/>
                          <w:color w:val="0D0D0D" w:themeColor="text1" w:themeTint="F2"/>
                          <w:sz w:val="36"/>
                          <w:szCs w:val="22"/>
                          <w:lang w:val="es-ES_tradnl"/>
                        </w:rPr>
                        <w:t>20</w:t>
                      </w:r>
                    </w:p>
                    <w:p w14:paraId="09C54AB3" w14:textId="7EE864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4551">
                        <w:rPr>
                          <w:rFonts w:asciiTheme="majorHAnsi" w:hAnsiTheme="majorHAnsi" w:cs="Arial"/>
                          <w:b/>
                          <w:color w:val="0D0D0D" w:themeColor="text1" w:themeTint="F2"/>
                          <w:sz w:val="36"/>
                          <w:szCs w:val="22"/>
                          <w:lang w:val="es-ES_tradnl"/>
                        </w:rPr>
                        <w:t>199-0</w:t>
                      </w:r>
                      <w:r w:rsidR="00FF6761">
                        <w:rPr>
                          <w:rFonts w:asciiTheme="majorHAnsi" w:hAnsiTheme="majorHAnsi" w:cs="Arial"/>
                          <w:b/>
                          <w:color w:val="0D0D0D" w:themeColor="text1" w:themeTint="F2"/>
                          <w:sz w:val="36"/>
                          <w:szCs w:val="22"/>
                          <w:lang w:val="es-ES_tradnl"/>
                        </w:rPr>
                        <w:t>9</w:t>
                      </w:r>
                    </w:p>
                    <w:p w14:paraId="70CF6833" w14:textId="7C53B3D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406C0F7" w14:textId="3A574337" w:rsidR="00FF6761" w:rsidRPr="0010736F" w:rsidRDefault="00FF67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DEL BUSTO MEDINA Y OTROS</w:t>
                      </w:r>
                    </w:p>
                    <w:bookmarkEnd w:id="1"/>
                    <w:p w14:paraId="35068D0D" w14:textId="25AC216D" w:rsidR="005B52B0" w:rsidRPr="0010736F" w:rsidRDefault="00FF67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C949AAB" w:rsidR="00627C9F" w:rsidRPr="005245F2" w:rsidRDefault="005245F2" w:rsidP="007A5817">
                            <w:pPr>
                              <w:spacing w:line="276" w:lineRule="auto"/>
                              <w:jc w:val="right"/>
                              <w:rPr>
                                <w:rFonts w:asciiTheme="minorHAnsi" w:hAnsiTheme="minorHAnsi"/>
                                <w:color w:val="FFFFFF" w:themeColor="background1"/>
                                <w:sz w:val="22"/>
                                <w:lang w:val="es-419"/>
                              </w:rPr>
                            </w:pPr>
                            <w:r w:rsidRPr="005245F2">
                              <w:rPr>
                                <w:rFonts w:asciiTheme="minorHAnsi" w:hAnsiTheme="minorHAnsi"/>
                                <w:color w:val="FFFFFF" w:themeColor="background1"/>
                                <w:sz w:val="22"/>
                                <w:lang w:val="es-419"/>
                              </w:rPr>
                              <w:t>OEA/</w:t>
                            </w:r>
                            <w:proofErr w:type="spellStart"/>
                            <w:r w:rsidRPr="005245F2">
                              <w:rPr>
                                <w:rFonts w:asciiTheme="minorHAnsi" w:hAnsiTheme="minorHAnsi"/>
                                <w:color w:val="FFFFFF" w:themeColor="background1"/>
                                <w:sz w:val="22"/>
                                <w:lang w:val="es-419"/>
                              </w:rPr>
                              <w:t>Ser.L</w:t>
                            </w:r>
                            <w:proofErr w:type="spellEnd"/>
                            <w:r w:rsidRPr="005245F2">
                              <w:rPr>
                                <w:rFonts w:asciiTheme="minorHAnsi" w:hAnsiTheme="minorHAnsi"/>
                                <w:color w:val="FFFFFF" w:themeColor="background1"/>
                                <w:sz w:val="22"/>
                                <w:lang w:val="es-419"/>
                              </w:rPr>
                              <w:t>/V/II.</w:t>
                            </w:r>
                          </w:p>
                          <w:p w14:paraId="6A41611B" w14:textId="57ECE384" w:rsidR="00627C9F" w:rsidRPr="005245F2" w:rsidRDefault="005245F2" w:rsidP="007A5817">
                            <w:pPr>
                              <w:spacing w:line="276" w:lineRule="auto"/>
                              <w:jc w:val="right"/>
                              <w:rPr>
                                <w:rFonts w:asciiTheme="minorHAnsi" w:hAnsiTheme="minorHAnsi"/>
                                <w:color w:val="FFFFFF" w:themeColor="background1"/>
                                <w:sz w:val="22"/>
                                <w:lang w:val="es-419"/>
                              </w:rPr>
                            </w:pPr>
                            <w:r w:rsidRPr="005245F2">
                              <w:rPr>
                                <w:rFonts w:asciiTheme="minorHAnsi" w:hAnsiTheme="minorHAnsi"/>
                                <w:color w:val="FFFFFF" w:themeColor="background1"/>
                                <w:sz w:val="22"/>
                                <w:lang w:val="es-419"/>
                              </w:rPr>
                              <w:t>Doc. 6</w:t>
                            </w:r>
                            <w:r>
                              <w:rPr>
                                <w:rFonts w:asciiTheme="minorHAnsi" w:hAnsiTheme="minorHAnsi"/>
                                <w:color w:val="FFFFFF" w:themeColor="background1"/>
                                <w:sz w:val="22"/>
                                <w:lang w:val="es-419"/>
                              </w:rPr>
                              <w:t>7</w:t>
                            </w:r>
                          </w:p>
                          <w:p w14:paraId="69373ED2" w14:textId="1D469327" w:rsidR="00627C9F" w:rsidRPr="00A728EE" w:rsidRDefault="005245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D70DE2">
                              <w:rPr>
                                <w:rFonts w:asciiTheme="minorHAnsi" w:hAnsiTheme="minorHAnsi"/>
                                <w:color w:val="FFFFFF" w:themeColor="background1"/>
                                <w:sz w:val="22"/>
                                <w:lang w:val="es-PA"/>
                              </w:rPr>
                              <w:t xml:space="preserve"> 2020</w:t>
                            </w:r>
                          </w:p>
                          <w:p w14:paraId="0771DB5B" w14:textId="77777777" w:rsidR="00627C9F" w:rsidRPr="00A728EE" w:rsidRDefault="00E0340B" w:rsidP="007A5817">
                            <w:pPr>
                              <w:spacing w:line="276" w:lineRule="auto"/>
                              <w:jc w:val="right"/>
                              <w:rPr>
                                <w:rFonts w:asciiTheme="minorHAnsi" w:hAnsiTheme="minorHAnsi"/>
                                <w:color w:val="FFFFFF" w:themeColor="background1"/>
                                <w:sz w:val="22"/>
                                <w:lang w:val="es-PA"/>
                              </w:rPr>
                            </w:pPr>
                            <w:r w:rsidRPr="00A728EE">
                              <w:rPr>
                                <w:rFonts w:asciiTheme="minorHAnsi" w:hAnsiTheme="minorHAnsi"/>
                                <w:color w:val="FFFFFF" w:themeColor="background1"/>
                                <w:sz w:val="22"/>
                                <w:lang w:val="es-PA"/>
                              </w:rPr>
                              <w:t xml:space="preserve">Original: </w:t>
                            </w:r>
                            <w:r w:rsidR="008B12F5" w:rsidRPr="00A728EE">
                              <w:rPr>
                                <w:rFonts w:asciiTheme="minorHAnsi" w:hAnsiTheme="minorHAnsi"/>
                                <w:color w:val="FFFFFF" w:themeColor="background1"/>
                                <w:sz w:val="22"/>
                                <w:lang w:val="es-PA"/>
                              </w:rPr>
                              <w:t>e</w:t>
                            </w:r>
                            <w:r w:rsidR="00627C9F" w:rsidRPr="00A728EE">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C949AAB" w:rsidR="00627C9F" w:rsidRPr="005245F2" w:rsidRDefault="005245F2" w:rsidP="007A5817">
                      <w:pPr>
                        <w:spacing w:line="276" w:lineRule="auto"/>
                        <w:jc w:val="right"/>
                        <w:rPr>
                          <w:rFonts w:asciiTheme="minorHAnsi" w:hAnsiTheme="minorHAnsi"/>
                          <w:color w:val="FFFFFF" w:themeColor="background1"/>
                          <w:sz w:val="22"/>
                          <w:lang w:val="es-419"/>
                        </w:rPr>
                      </w:pPr>
                      <w:r w:rsidRPr="005245F2">
                        <w:rPr>
                          <w:rFonts w:asciiTheme="minorHAnsi" w:hAnsiTheme="minorHAnsi"/>
                          <w:color w:val="FFFFFF" w:themeColor="background1"/>
                          <w:sz w:val="22"/>
                          <w:lang w:val="es-419"/>
                        </w:rPr>
                        <w:t>OEA/Ser.L/V/II.</w:t>
                      </w:r>
                    </w:p>
                    <w:p w14:paraId="6A41611B" w14:textId="57ECE384" w:rsidR="00627C9F" w:rsidRPr="005245F2" w:rsidRDefault="005245F2" w:rsidP="007A5817">
                      <w:pPr>
                        <w:spacing w:line="276" w:lineRule="auto"/>
                        <w:jc w:val="right"/>
                        <w:rPr>
                          <w:rFonts w:asciiTheme="minorHAnsi" w:hAnsiTheme="minorHAnsi"/>
                          <w:color w:val="FFFFFF" w:themeColor="background1"/>
                          <w:sz w:val="22"/>
                          <w:lang w:val="es-419"/>
                        </w:rPr>
                      </w:pPr>
                      <w:r w:rsidRPr="005245F2">
                        <w:rPr>
                          <w:rFonts w:asciiTheme="minorHAnsi" w:hAnsiTheme="minorHAnsi"/>
                          <w:color w:val="FFFFFF" w:themeColor="background1"/>
                          <w:sz w:val="22"/>
                          <w:lang w:val="es-419"/>
                        </w:rPr>
                        <w:t>Doc. 6</w:t>
                      </w:r>
                      <w:r>
                        <w:rPr>
                          <w:rFonts w:asciiTheme="minorHAnsi" w:hAnsiTheme="minorHAnsi"/>
                          <w:color w:val="FFFFFF" w:themeColor="background1"/>
                          <w:sz w:val="22"/>
                          <w:lang w:val="es-419"/>
                        </w:rPr>
                        <w:t>7</w:t>
                      </w:r>
                    </w:p>
                    <w:p w14:paraId="69373ED2" w14:textId="1D469327" w:rsidR="00627C9F" w:rsidRPr="00A728EE" w:rsidRDefault="005245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D70DE2">
                        <w:rPr>
                          <w:rFonts w:asciiTheme="minorHAnsi" w:hAnsiTheme="minorHAnsi"/>
                          <w:color w:val="FFFFFF" w:themeColor="background1"/>
                          <w:sz w:val="22"/>
                          <w:lang w:val="es-PA"/>
                        </w:rPr>
                        <w:t xml:space="preserve"> 2020</w:t>
                      </w:r>
                    </w:p>
                    <w:p w14:paraId="0771DB5B" w14:textId="77777777" w:rsidR="00627C9F" w:rsidRPr="00A728EE" w:rsidRDefault="00E0340B" w:rsidP="007A5817">
                      <w:pPr>
                        <w:spacing w:line="276" w:lineRule="auto"/>
                        <w:jc w:val="right"/>
                        <w:rPr>
                          <w:rFonts w:asciiTheme="minorHAnsi" w:hAnsiTheme="minorHAnsi"/>
                          <w:color w:val="FFFFFF" w:themeColor="background1"/>
                          <w:sz w:val="22"/>
                          <w:lang w:val="es-PA"/>
                        </w:rPr>
                      </w:pPr>
                      <w:r w:rsidRPr="00A728EE">
                        <w:rPr>
                          <w:rFonts w:asciiTheme="minorHAnsi" w:hAnsiTheme="minorHAnsi"/>
                          <w:color w:val="FFFFFF" w:themeColor="background1"/>
                          <w:sz w:val="22"/>
                          <w:lang w:val="es-PA"/>
                        </w:rPr>
                        <w:t xml:space="preserve">Original: </w:t>
                      </w:r>
                      <w:r w:rsidR="008B12F5" w:rsidRPr="00A728EE">
                        <w:rPr>
                          <w:rFonts w:asciiTheme="minorHAnsi" w:hAnsiTheme="minorHAnsi"/>
                          <w:color w:val="FFFFFF" w:themeColor="background1"/>
                          <w:sz w:val="22"/>
                          <w:lang w:val="es-PA"/>
                        </w:rPr>
                        <w:t>e</w:t>
                      </w:r>
                      <w:r w:rsidR="00627C9F" w:rsidRPr="00A728EE">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5053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5245F2">
                              <w:rPr>
                                <w:rFonts w:asciiTheme="majorHAnsi" w:hAnsiTheme="majorHAnsi"/>
                                <w:color w:val="0D0D0D" w:themeColor="text1" w:themeTint="F2"/>
                                <w:sz w:val="18"/>
                                <w:szCs w:val="22"/>
                                <w:lang w:val="es-ES"/>
                              </w:rPr>
                              <w:t xml:space="preserve"> por la Comisión el 26</w:t>
                            </w:r>
                            <w:r w:rsidRPr="00890650">
                              <w:rPr>
                                <w:rFonts w:asciiTheme="majorHAnsi" w:hAnsiTheme="majorHAnsi"/>
                                <w:color w:val="0D0D0D" w:themeColor="text1" w:themeTint="F2"/>
                                <w:sz w:val="18"/>
                                <w:szCs w:val="22"/>
                                <w:lang w:val="es-ES"/>
                              </w:rPr>
                              <w:t xml:space="preserve"> de </w:t>
                            </w:r>
                            <w:r w:rsidR="005245F2">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245F2">
                              <w:rPr>
                                <w:rFonts w:asciiTheme="majorHAnsi" w:hAnsiTheme="majorHAnsi"/>
                                <w:color w:val="0D0D0D" w:themeColor="text1" w:themeTint="F2"/>
                                <w:sz w:val="18"/>
                                <w:szCs w:val="22"/>
                                <w:lang w:val="es-ES"/>
                              </w:rPr>
                              <w:t>20</w:t>
                            </w:r>
                            <w:r w:rsidR="008D289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E5053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5245F2">
                        <w:rPr>
                          <w:rFonts w:asciiTheme="majorHAnsi" w:hAnsiTheme="majorHAnsi"/>
                          <w:color w:val="0D0D0D" w:themeColor="text1" w:themeTint="F2"/>
                          <w:sz w:val="18"/>
                          <w:szCs w:val="22"/>
                          <w:lang w:val="es-ES"/>
                        </w:rPr>
                        <w:t xml:space="preserve"> por la Comisión el 26</w:t>
                      </w:r>
                      <w:r w:rsidRPr="00890650">
                        <w:rPr>
                          <w:rFonts w:asciiTheme="majorHAnsi" w:hAnsiTheme="majorHAnsi"/>
                          <w:color w:val="0D0D0D" w:themeColor="text1" w:themeTint="F2"/>
                          <w:sz w:val="18"/>
                          <w:szCs w:val="22"/>
                          <w:lang w:val="es-ES"/>
                        </w:rPr>
                        <w:t xml:space="preserve"> de </w:t>
                      </w:r>
                      <w:r w:rsidR="005245F2">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245F2">
                        <w:rPr>
                          <w:rFonts w:asciiTheme="majorHAnsi" w:hAnsiTheme="majorHAnsi"/>
                          <w:color w:val="0D0D0D" w:themeColor="text1" w:themeTint="F2"/>
                          <w:sz w:val="18"/>
                          <w:szCs w:val="22"/>
                          <w:lang w:val="es-ES"/>
                        </w:rPr>
                        <w:t>20</w:t>
                      </w:r>
                      <w:r w:rsidR="008D289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9E9C05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5F2" w:rsidRPr="005245F2">
                              <w:rPr>
                                <w:rFonts w:asciiTheme="majorHAnsi" w:hAnsiTheme="majorHAnsi"/>
                                <w:color w:val="595959" w:themeColor="text1" w:themeTint="A6"/>
                                <w:sz w:val="18"/>
                                <w:szCs w:val="18"/>
                                <w:lang w:val="pt-BR"/>
                              </w:rPr>
                              <w:t>57</w:t>
                            </w:r>
                            <w:r w:rsidR="007B05C4" w:rsidRPr="005245F2">
                              <w:rPr>
                                <w:rFonts w:asciiTheme="majorHAnsi" w:hAnsiTheme="majorHAnsi"/>
                                <w:color w:val="595959" w:themeColor="text1" w:themeTint="A6"/>
                                <w:sz w:val="18"/>
                                <w:szCs w:val="18"/>
                                <w:lang w:val="pt-BR"/>
                              </w:rPr>
                              <w:t>/</w:t>
                            </w:r>
                            <w:r w:rsidR="005245F2" w:rsidRPr="005245F2">
                              <w:rPr>
                                <w:rFonts w:asciiTheme="majorHAnsi" w:hAnsiTheme="majorHAnsi"/>
                                <w:color w:val="595959" w:themeColor="text1" w:themeTint="A6"/>
                                <w:sz w:val="18"/>
                                <w:szCs w:val="18"/>
                                <w:lang w:val="pt-BR"/>
                              </w:rPr>
                              <w:t>20</w:t>
                            </w:r>
                            <w:r w:rsidRPr="005245F2">
                              <w:rPr>
                                <w:rFonts w:asciiTheme="majorHAnsi" w:hAnsiTheme="majorHAnsi"/>
                                <w:color w:val="595959" w:themeColor="text1" w:themeTint="A6"/>
                                <w:sz w:val="18"/>
                                <w:szCs w:val="18"/>
                                <w:lang w:val="pt-BR"/>
                              </w:rPr>
                              <w:t xml:space="preserve">. </w:t>
                            </w:r>
                            <w:r w:rsidR="008D2897">
                              <w:rPr>
                                <w:rFonts w:asciiTheme="majorHAnsi" w:hAnsiTheme="majorHAnsi"/>
                                <w:color w:val="595959" w:themeColor="text1" w:themeTint="A6"/>
                                <w:sz w:val="18"/>
                                <w:szCs w:val="18"/>
                                <w:lang w:val="pt-BR"/>
                              </w:rPr>
                              <w:t>Petición 199-09.</w:t>
                            </w:r>
                            <w:r w:rsidRPr="00890650">
                              <w:rPr>
                                <w:rFonts w:asciiTheme="majorHAnsi" w:hAnsiTheme="majorHAnsi"/>
                                <w:color w:val="595959" w:themeColor="text1" w:themeTint="A6"/>
                                <w:sz w:val="18"/>
                                <w:szCs w:val="18"/>
                                <w:lang w:val="es-ES_tradnl"/>
                              </w:rPr>
                              <w:t xml:space="preserve">Admisibilidad. </w:t>
                            </w:r>
                            <w:r w:rsidR="00FF6761">
                              <w:rPr>
                                <w:rFonts w:asciiTheme="majorHAnsi" w:hAnsiTheme="majorHAnsi"/>
                                <w:color w:val="595959" w:themeColor="text1" w:themeTint="A6"/>
                                <w:sz w:val="18"/>
                                <w:szCs w:val="18"/>
                                <w:lang w:val="es-ES_tradnl"/>
                              </w:rPr>
                              <w:t>José del Busto Medina y Otros</w:t>
                            </w:r>
                            <w:r w:rsidRPr="00890650">
                              <w:rPr>
                                <w:rFonts w:asciiTheme="majorHAnsi" w:hAnsiTheme="majorHAnsi"/>
                                <w:color w:val="595959" w:themeColor="text1" w:themeTint="A6"/>
                                <w:sz w:val="18"/>
                                <w:szCs w:val="18"/>
                                <w:lang w:val="es-ES_tradnl"/>
                              </w:rPr>
                              <w:t xml:space="preserve">. </w:t>
                            </w:r>
                            <w:r w:rsidR="005245F2">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9E9C05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5F2" w:rsidRPr="005245F2">
                        <w:rPr>
                          <w:rFonts w:asciiTheme="majorHAnsi" w:hAnsiTheme="majorHAnsi"/>
                          <w:color w:val="595959" w:themeColor="text1" w:themeTint="A6"/>
                          <w:sz w:val="18"/>
                          <w:szCs w:val="18"/>
                          <w:lang w:val="pt-BR"/>
                        </w:rPr>
                        <w:t>57</w:t>
                      </w:r>
                      <w:r w:rsidR="007B05C4" w:rsidRPr="005245F2">
                        <w:rPr>
                          <w:rFonts w:asciiTheme="majorHAnsi" w:hAnsiTheme="majorHAnsi"/>
                          <w:color w:val="595959" w:themeColor="text1" w:themeTint="A6"/>
                          <w:sz w:val="18"/>
                          <w:szCs w:val="18"/>
                          <w:lang w:val="pt-BR"/>
                        </w:rPr>
                        <w:t>/</w:t>
                      </w:r>
                      <w:r w:rsidR="005245F2" w:rsidRPr="005245F2">
                        <w:rPr>
                          <w:rFonts w:asciiTheme="majorHAnsi" w:hAnsiTheme="majorHAnsi"/>
                          <w:color w:val="595959" w:themeColor="text1" w:themeTint="A6"/>
                          <w:sz w:val="18"/>
                          <w:szCs w:val="18"/>
                          <w:lang w:val="pt-BR"/>
                        </w:rPr>
                        <w:t>20</w:t>
                      </w:r>
                      <w:r w:rsidRPr="005245F2">
                        <w:rPr>
                          <w:rFonts w:asciiTheme="majorHAnsi" w:hAnsiTheme="majorHAnsi"/>
                          <w:color w:val="595959" w:themeColor="text1" w:themeTint="A6"/>
                          <w:sz w:val="18"/>
                          <w:szCs w:val="18"/>
                          <w:lang w:val="pt-BR"/>
                        </w:rPr>
                        <w:t xml:space="preserve">. </w:t>
                      </w:r>
                      <w:r w:rsidR="008D2897">
                        <w:rPr>
                          <w:rFonts w:asciiTheme="majorHAnsi" w:hAnsiTheme="majorHAnsi"/>
                          <w:color w:val="595959" w:themeColor="text1" w:themeTint="A6"/>
                          <w:sz w:val="18"/>
                          <w:szCs w:val="18"/>
                          <w:lang w:val="pt-BR"/>
                        </w:rPr>
                        <w:t>Petición 199-09.</w:t>
                      </w:r>
                      <w:r w:rsidRPr="00890650">
                        <w:rPr>
                          <w:rFonts w:asciiTheme="majorHAnsi" w:hAnsiTheme="majorHAnsi"/>
                          <w:color w:val="595959" w:themeColor="text1" w:themeTint="A6"/>
                          <w:sz w:val="18"/>
                          <w:szCs w:val="18"/>
                          <w:lang w:val="es-ES_tradnl"/>
                        </w:rPr>
                        <w:t xml:space="preserve">Admisibilidad. </w:t>
                      </w:r>
                      <w:r w:rsidR="00FF6761">
                        <w:rPr>
                          <w:rFonts w:asciiTheme="majorHAnsi" w:hAnsiTheme="majorHAnsi"/>
                          <w:color w:val="595959" w:themeColor="text1" w:themeTint="A6"/>
                          <w:sz w:val="18"/>
                          <w:szCs w:val="18"/>
                          <w:lang w:val="es-ES_tradnl"/>
                        </w:rPr>
                        <w:t>José del Busto Medina y Otros</w:t>
                      </w:r>
                      <w:r w:rsidRPr="00890650">
                        <w:rPr>
                          <w:rFonts w:asciiTheme="majorHAnsi" w:hAnsiTheme="majorHAnsi"/>
                          <w:color w:val="595959" w:themeColor="text1" w:themeTint="A6"/>
                          <w:sz w:val="18"/>
                          <w:szCs w:val="18"/>
                          <w:lang w:val="es-ES_tradnl"/>
                        </w:rPr>
                        <w:t xml:space="preserve">. </w:t>
                      </w:r>
                      <w:r w:rsidR="005245F2">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32895AC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395C0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A6B3EA2" w:rsidR="0070697F" w:rsidRPr="00006B74" w:rsidRDefault="0018009C"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08BF909">
                <wp:simplePos x="0" y="0"/>
                <wp:positionH relativeFrom="column">
                  <wp:posOffset>1356904</wp:posOffset>
                </wp:positionH>
                <wp:positionV relativeFrom="paragraph">
                  <wp:posOffset>674007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EA2AB18" w:rsidR="00D72DC6" w:rsidRPr="00D72DC6" w:rsidRDefault="008D2897" w:rsidP="00F02AD1">
                            <w:pPr>
                              <w:rPr>
                                <w:color w:val="FFFFFF" w:themeColor="background1"/>
                                <w14:textFill>
                                  <w14:noFill/>
                                </w14:textFill>
                              </w:rPr>
                            </w:pPr>
                            <w:r>
                              <w:rPr>
                                <w:noProof/>
                                <w:color w:val="FFFFFF" w:themeColor="background1"/>
                              </w:rPr>
                              <w:drawing>
                                <wp:inline distT="0" distB="0" distL="0" distR="0" wp14:anchorId="218A99E1" wp14:editId="5D3DFE4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6.85pt;margin-top:53.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" fillcolor="white [3201]" stroked="f" strokeweight=".5pt">
                <v:textbox>
                  <w:txbxContent>
                    <w:p w14:paraId="2A1ECD3C" w14:textId="5EA2AB18" w:rsidR="00D72DC6" w:rsidRPr="00D72DC6" w:rsidRDefault="008D2897" w:rsidP="00F02AD1">
                      <w:pPr>
                        <w:rPr>
                          <w:color w:val="FFFFFF" w:themeColor="background1"/>
                          <w14:textFill>
                            <w14:noFill/>
                          </w14:textFill>
                        </w:rPr>
                      </w:pPr>
                      <w:r>
                        <w:rPr>
                          <w:noProof/>
                          <w:color w:val="FFFFFF" w:themeColor="background1"/>
                        </w:rPr>
                        <w:drawing>
                          <wp:inline distT="0" distB="0" distL="0" distR="0" wp14:anchorId="218A99E1" wp14:editId="5D3DFE4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D2897"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E73C4E0" w:rsidR="003239B8" w:rsidRPr="00006B74" w:rsidRDefault="00056C57" w:rsidP="008D2290">
            <w:pPr>
              <w:jc w:val="both"/>
              <w:rPr>
                <w:rFonts w:ascii="Cambria" w:hAnsi="Cambria"/>
                <w:bCs/>
                <w:sz w:val="19"/>
                <w:szCs w:val="19"/>
                <w:lang w:val="es-ES"/>
              </w:rPr>
            </w:pPr>
            <w:r>
              <w:rPr>
                <w:rFonts w:ascii="Cambria" w:hAnsi="Cambria"/>
                <w:bCs/>
                <w:sz w:val="19"/>
                <w:szCs w:val="19"/>
                <w:lang w:val="es-ES"/>
              </w:rPr>
              <w:t>José Felix Palomino Manchego</w:t>
            </w:r>
            <w:r>
              <w:rPr>
                <w:rStyle w:val="FootnoteReference"/>
                <w:rFonts w:ascii="Cambria" w:hAnsi="Cambria"/>
                <w:bCs/>
                <w:sz w:val="19"/>
                <w:szCs w:val="19"/>
                <w:lang w:val="es-ES"/>
              </w:rPr>
              <w:footnoteReference w:id="2"/>
            </w:r>
            <w:r>
              <w:rPr>
                <w:rFonts w:ascii="Cambria" w:hAnsi="Cambria"/>
                <w:bCs/>
                <w:sz w:val="19"/>
                <w:szCs w:val="19"/>
                <w:lang w:val="es-ES"/>
              </w:rPr>
              <w:t xml:space="preserve"> y </w:t>
            </w:r>
            <w:r w:rsidR="007F23DC">
              <w:rPr>
                <w:rFonts w:ascii="Cambria" w:hAnsi="Cambria"/>
                <w:bCs/>
                <w:sz w:val="19"/>
                <w:szCs w:val="19"/>
                <w:lang w:val="es-ES"/>
              </w:rPr>
              <w:t>Carlos Blancas Bustama</w:t>
            </w:r>
            <w:r w:rsidR="00B00082">
              <w:rPr>
                <w:rFonts w:ascii="Cambria" w:hAnsi="Cambria"/>
                <w:bCs/>
                <w:sz w:val="19"/>
                <w:szCs w:val="19"/>
                <w:lang w:val="es-ES"/>
              </w:rPr>
              <w:t>nte</w:t>
            </w:r>
            <w:r w:rsidR="00B00082">
              <w:rPr>
                <w:rStyle w:val="FootnoteReference"/>
                <w:rFonts w:ascii="Cambria" w:hAnsi="Cambria"/>
                <w:bCs/>
                <w:sz w:val="19"/>
                <w:szCs w:val="19"/>
                <w:lang w:val="es-ES"/>
              </w:rPr>
              <w:footnoteReference w:id="3"/>
            </w:r>
          </w:p>
        </w:tc>
      </w:tr>
      <w:tr w:rsidR="003239B8" w:rsidRPr="008D289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CD44E5"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1489331A" w:rsidR="003239B8" w:rsidRPr="00006B74" w:rsidRDefault="00B00082" w:rsidP="005B6D22">
            <w:pPr>
              <w:jc w:val="both"/>
              <w:rPr>
                <w:rFonts w:ascii="Cambria" w:hAnsi="Cambria"/>
                <w:bCs/>
                <w:sz w:val="19"/>
                <w:szCs w:val="19"/>
                <w:lang w:val="es-ES"/>
              </w:rPr>
            </w:pPr>
            <w:r>
              <w:rPr>
                <w:rFonts w:ascii="Cambria" w:hAnsi="Cambria"/>
                <w:bCs/>
                <w:sz w:val="19"/>
                <w:szCs w:val="19"/>
                <w:lang w:val="es-ES"/>
              </w:rPr>
              <w:t>José del Busto Mediana y otros</w:t>
            </w:r>
            <w:r>
              <w:rPr>
                <w:rStyle w:val="FootnoteReference"/>
                <w:rFonts w:ascii="Cambria" w:hAnsi="Cambria"/>
                <w:bCs/>
                <w:sz w:val="19"/>
                <w:szCs w:val="19"/>
                <w:lang w:val="es-ES"/>
              </w:rPr>
              <w:footnoteReference w:id="4"/>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B9D4D3B" w:rsidR="003239B8" w:rsidRPr="00006B74" w:rsidRDefault="00A21A05" w:rsidP="008D2290">
            <w:pPr>
              <w:jc w:val="both"/>
              <w:rPr>
                <w:rFonts w:ascii="Cambria" w:hAnsi="Cambria"/>
                <w:bCs/>
                <w:sz w:val="19"/>
                <w:szCs w:val="19"/>
                <w:lang w:val="es-ES"/>
              </w:rPr>
            </w:pPr>
            <w:r w:rsidRPr="00A21A05">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5"/>
            </w:r>
          </w:p>
        </w:tc>
      </w:tr>
      <w:tr w:rsidR="00223A29" w:rsidRPr="008D289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83639F0" w:rsidR="00223A29" w:rsidRPr="00006B74" w:rsidRDefault="00BF514A" w:rsidP="000F2DB2">
            <w:pPr>
              <w:jc w:val="both"/>
              <w:rPr>
                <w:rFonts w:ascii="Cambria" w:hAnsi="Cambria"/>
                <w:bCs/>
                <w:sz w:val="19"/>
                <w:szCs w:val="19"/>
                <w:lang w:val="es-ES"/>
              </w:rPr>
            </w:pPr>
            <w:r w:rsidRPr="00006B74">
              <w:rPr>
                <w:rFonts w:ascii="Cambria" w:hAnsi="Cambria"/>
                <w:bCs/>
                <w:sz w:val="19"/>
                <w:szCs w:val="19"/>
                <w:lang w:val="es-ES"/>
              </w:rPr>
              <w:t xml:space="preserve">Artículos </w:t>
            </w:r>
            <w:r w:rsidR="00B77262" w:rsidRPr="00B77262">
              <w:rPr>
                <w:rFonts w:ascii="Cambria" w:hAnsi="Cambria"/>
                <w:bCs/>
                <w:sz w:val="19"/>
                <w:szCs w:val="19"/>
                <w:lang w:val="es-ES"/>
              </w:rPr>
              <w:t>8</w:t>
            </w:r>
            <w:r w:rsidR="00B77262">
              <w:rPr>
                <w:rFonts w:ascii="Cambria" w:hAnsi="Cambria"/>
                <w:bCs/>
                <w:sz w:val="19"/>
                <w:szCs w:val="19"/>
                <w:lang w:val="es-ES"/>
              </w:rPr>
              <w:t xml:space="preserve"> (garantías judiciales), </w:t>
            </w:r>
            <w:r w:rsidR="00B77262" w:rsidRPr="00AB2E56">
              <w:rPr>
                <w:rFonts w:ascii="Cambria" w:hAnsi="Cambria"/>
                <w:bCs/>
                <w:sz w:val="19"/>
                <w:szCs w:val="19"/>
                <w:lang w:val="es-ES"/>
              </w:rPr>
              <w:t xml:space="preserve">11 (honra y dignidad), </w:t>
            </w:r>
            <w:r w:rsidR="00B77262">
              <w:rPr>
                <w:rFonts w:ascii="Cambria" w:hAnsi="Cambria"/>
                <w:bCs/>
                <w:sz w:val="19"/>
                <w:szCs w:val="19"/>
                <w:lang w:val="es-ES"/>
              </w:rPr>
              <w:t xml:space="preserve">23(derechos políticos) y 25 (protección judicial) </w:t>
            </w:r>
            <w:r w:rsidRPr="00006B74">
              <w:rPr>
                <w:rFonts w:ascii="Cambria" w:hAnsi="Cambria"/>
                <w:bCs/>
                <w:sz w:val="19"/>
                <w:szCs w:val="19"/>
                <w:lang w:val="es-ES"/>
              </w:rPr>
              <w:t xml:space="preserve">de la </w:t>
            </w:r>
            <w:r w:rsidRPr="00B77262">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6"/>
            </w:r>
            <w:r w:rsidR="00B77262">
              <w:rPr>
                <w:rFonts w:ascii="Cambria" w:hAnsi="Cambria"/>
                <w:bCs/>
                <w:sz w:val="19"/>
                <w:szCs w:val="19"/>
                <w:lang w:val="es-ES"/>
              </w:rPr>
              <w:t xml:space="preserve"> en relación sus artículos 1.1. (obligación de respetar los derechos)</w:t>
            </w:r>
            <w:r w:rsidR="000F2DB2">
              <w:rPr>
                <w:rFonts w:ascii="Cambria" w:hAnsi="Cambria"/>
                <w:bCs/>
                <w:sz w:val="19"/>
                <w:szCs w:val="19"/>
                <w:lang w:val="es-ES"/>
              </w:rPr>
              <w:t xml:space="preserve"> y Artículos 6 y 7 del Protocolo adicional a la Convención Americana Sobre Derechos Humanos en Materia de Derechos Económicos Sociales y Culturales “Protocolo de San Salvador”</w:t>
            </w:r>
            <w:r w:rsidR="000F2DB2">
              <w:rPr>
                <w:rStyle w:val="FootnoteReference"/>
                <w:rFonts w:ascii="Cambria" w:hAnsi="Cambria"/>
                <w:bCs/>
                <w:sz w:val="19"/>
                <w:szCs w:val="19"/>
                <w:lang w:val="es-ES"/>
              </w:rPr>
              <w:footnoteReference w:id="7"/>
            </w:r>
            <w:r w:rsidR="000F2DB2">
              <w:rPr>
                <w:rFonts w:ascii="Cambria" w:hAnsi="Cambria"/>
                <w:bCs/>
                <w:sz w:val="19"/>
                <w:szCs w:val="19"/>
                <w:lang w:val="es-ES"/>
              </w:rPr>
              <w:t>.</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8"/>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77262"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65794DE0" w:rsidR="004C2312" w:rsidRPr="00006B74" w:rsidRDefault="00D8164B" w:rsidP="002625EA">
            <w:pPr>
              <w:jc w:val="both"/>
              <w:rPr>
                <w:rFonts w:ascii="Cambria" w:hAnsi="Cambria"/>
                <w:bCs/>
                <w:sz w:val="19"/>
                <w:szCs w:val="19"/>
                <w:lang w:val="es-ES"/>
              </w:rPr>
            </w:pPr>
            <w:r>
              <w:rPr>
                <w:rFonts w:ascii="Cambria" w:hAnsi="Cambria"/>
                <w:bCs/>
                <w:sz w:val="19"/>
                <w:szCs w:val="19"/>
                <w:lang w:val="es-ES"/>
              </w:rPr>
              <w:t>16 de enero de 2009</w:t>
            </w:r>
          </w:p>
        </w:tc>
      </w:tr>
      <w:tr w:rsidR="004C2312" w:rsidRPr="00B77262"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0E1FFB9" w:rsidR="004C2312" w:rsidRPr="00006B74" w:rsidRDefault="00C60E62" w:rsidP="008D2290">
            <w:pPr>
              <w:jc w:val="both"/>
              <w:rPr>
                <w:rFonts w:ascii="Cambria" w:hAnsi="Cambria"/>
                <w:bCs/>
                <w:sz w:val="19"/>
                <w:szCs w:val="19"/>
                <w:lang w:val="es-ES"/>
              </w:rPr>
            </w:pPr>
            <w:r>
              <w:rPr>
                <w:rFonts w:ascii="Cambria" w:hAnsi="Cambria"/>
                <w:bCs/>
                <w:sz w:val="19"/>
                <w:szCs w:val="19"/>
                <w:lang w:val="es-ES"/>
              </w:rPr>
              <w:t>29 de noviembre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791C0D6F" w:rsidR="00F06354" w:rsidRPr="00006B74" w:rsidRDefault="00C60E62" w:rsidP="00F06354">
            <w:pPr>
              <w:jc w:val="both"/>
              <w:rPr>
                <w:rFonts w:ascii="Cambria" w:hAnsi="Cambria"/>
                <w:bCs/>
                <w:sz w:val="19"/>
                <w:szCs w:val="19"/>
                <w:lang w:val="es-ES"/>
              </w:rPr>
            </w:pPr>
            <w:r>
              <w:rPr>
                <w:rFonts w:ascii="Cambria" w:hAnsi="Cambria"/>
                <w:bCs/>
                <w:sz w:val="19"/>
                <w:szCs w:val="19"/>
                <w:lang w:val="es-ES"/>
              </w:rPr>
              <w:t>27 de febrero de 2017</w:t>
            </w:r>
          </w:p>
        </w:tc>
      </w:tr>
      <w:tr w:rsidR="00F06354" w:rsidRPr="008D2897"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6FA60DD6" w:rsidR="00F06354" w:rsidRPr="00006B74" w:rsidRDefault="00C60E62" w:rsidP="007F23DC">
            <w:pPr>
              <w:jc w:val="both"/>
              <w:rPr>
                <w:rFonts w:ascii="Cambria" w:hAnsi="Cambria"/>
                <w:bCs/>
                <w:sz w:val="19"/>
                <w:szCs w:val="19"/>
                <w:lang w:val="es-ES"/>
              </w:rPr>
            </w:pPr>
            <w:r>
              <w:rPr>
                <w:rFonts w:ascii="Cambria" w:hAnsi="Cambria"/>
                <w:bCs/>
                <w:sz w:val="19"/>
                <w:szCs w:val="19"/>
                <w:lang w:val="es-ES"/>
              </w:rPr>
              <w:t>28 de enero de 2011</w:t>
            </w:r>
            <w:r w:rsidR="00816943">
              <w:rPr>
                <w:rFonts w:ascii="Cambria" w:hAnsi="Cambria"/>
                <w:bCs/>
                <w:sz w:val="19"/>
                <w:szCs w:val="19"/>
                <w:lang w:val="es-ES"/>
              </w:rPr>
              <w:t>; 9 de mayo y 20 de diciembre de 2013; 11 de julio de 2014</w:t>
            </w:r>
            <w:r w:rsidR="00950855">
              <w:rPr>
                <w:rFonts w:ascii="Cambria" w:hAnsi="Cambria"/>
                <w:bCs/>
                <w:sz w:val="19"/>
                <w:szCs w:val="19"/>
                <w:lang w:val="es-ES"/>
              </w:rPr>
              <w:t xml:space="preserve">; 31 de agosto de 2016; 30 de septiembre y 3 de noviembre de 2016; </w:t>
            </w:r>
            <w:r w:rsidR="00506654">
              <w:rPr>
                <w:rFonts w:ascii="Cambria" w:hAnsi="Cambria"/>
                <w:bCs/>
                <w:sz w:val="19"/>
                <w:szCs w:val="19"/>
                <w:lang w:val="es-ES"/>
              </w:rPr>
              <w:t xml:space="preserve"> 28 de febrero</w:t>
            </w:r>
            <w:r w:rsidR="006217FF">
              <w:rPr>
                <w:rFonts w:ascii="Cambria" w:hAnsi="Cambria"/>
                <w:bCs/>
                <w:sz w:val="19"/>
                <w:szCs w:val="19"/>
                <w:lang w:val="es-ES"/>
              </w:rPr>
              <w:t>,</w:t>
            </w:r>
            <w:r w:rsidR="00950855">
              <w:rPr>
                <w:rFonts w:ascii="Cambria" w:hAnsi="Cambria"/>
                <w:bCs/>
                <w:sz w:val="19"/>
                <w:szCs w:val="19"/>
                <w:lang w:val="es-ES"/>
              </w:rPr>
              <w:t xml:space="preserve"> </w:t>
            </w:r>
            <w:r w:rsidR="00506654">
              <w:rPr>
                <w:rFonts w:ascii="Cambria" w:hAnsi="Cambria"/>
                <w:bCs/>
                <w:sz w:val="19"/>
                <w:szCs w:val="19"/>
                <w:lang w:val="es-ES"/>
              </w:rPr>
              <w:t>4 de marzo</w:t>
            </w:r>
            <w:r w:rsidR="006217FF">
              <w:rPr>
                <w:rFonts w:ascii="Cambria" w:hAnsi="Cambria"/>
                <w:bCs/>
                <w:sz w:val="19"/>
                <w:szCs w:val="19"/>
                <w:lang w:val="es-ES"/>
              </w:rPr>
              <w:t xml:space="preserve">, 18 </w:t>
            </w:r>
            <w:r w:rsidR="00506654">
              <w:rPr>
                <w:rFonts w:ascii="Cambria" w:hAnsi="Cambria"/>
                <w:bCs/>
                <w:sz w:val="19"/>
                <w:szCs w:val="19"/>
                <w:lang w:val="es-ES"/>
              </w:rPr>
              <w:t xml:space="preserve"> </w:t>
            </w:r>
            <w:r w:rsidR="007F23DC">
              <w:rPr>
                <w:rFonts w:ascii="Cambria" w:hAnsi="Cambria"/>
                <w:bCs/>
                <w:sz w:val="19"/>
                <w:szCs w:val="19"/>
                <w:lang w:val="es-ES"/>
              </w:rPr>
              <w:t xml:space="preserve">y </w:t>
            </w:r>
            <w:r w:rsidR="00192423">
              <w:rPr>
                <w:rFonts w:ascii="Cambria" w:hAnsi="Cambria"/>
                <w:bCs/>
                <w:sz w:val="19"/>
                <w:szCs w:val="19"/>
                <w:lang w:val="es-ES"/>
              </w:rPr>
              <w:t>21 de julio</w:t>
            </w:r>
            <w:r w:rsidR="007F23DC">
              <w:rPr>
                <w:rFonts w:ascii="Cambria" w:hAnsi="Cambria"/>
                <w:bCs/>
                <w:sz w:val="19"/>
                <w:szCs w:val="19"/>
                <w:lang w:val="es-ES"/>
              </w:rPr>
              <w:t>, y 14 de noviembre</w:t>
            </w:r>
            <w:r w:rsidR="00192423">
              <w:rPr>
                <w:rFonts w:ascii="Cambria" w:hAnsi="Cambria"/>
                <w:bCs/>
                <w:sz w:val="19"/>
                <w:szCs w:val="19"/>
                <w:lang w:val="es-ES"/>
              </w:rPr>
              <w:t xml:space="preserve"> </w:t>
            </w:r>
            <w:r w:rsidR="006217FF">
              <w:rPr>
                <w:rFonts w:ascii="Cambria" w:hAnsi="Cambria"/>
                <w:bCs/>
                <w:sz w:val="19"/>
                <w:szCs w:val="19"/>
                <w:lang w:val="es-ES"/>
              </w:rPr>
              <w:t>de</w:t>
            </w:r>
            <w:r w:rsidR="00506654">
              <w:rPr>
                <w:rFonts w:ascii="Cambria" w:hAnsi="Cambria"/>
                <w:bCs/>
                <w:sz w:val="19"/>
                <w:szCs w:val="19"/>
                <w:lang w:val="es-ES"/>
              </w:rPr>
              <w:t xml:space="preserve"> 2017;</w:t>
            </w:r>
            <w:r w:rsidR="00E735CA">
              <w:rPr>
                <w:rFonts w:ascii="Cambria" w:hAnsi="Cambria"/>
                <w:bCs/>
                <w:sz w:val="19"/>
                <w:szCs w:val="19"/>
                <w:lang w:val="es-ES"/>
              </w:rPr>
              <w:t xml:space="preserve">14 de julio y 27 de septiembre de 2018; </w:t>
            </w:r>
            <w:r w:rsidR="000E38B6">
              <w:rPr>
                <w:rFonts w:ascii="Cambria" w:hAnsi="Cambria"/>
                <w:bCs/>
                <w:sz w:val="19"/>
                <w:szCs w:val="19"/>
                <w:lang w:val="es-ES"/>
              </w:rPr>
              <w:t xml:space="preserve">y </w:t>
            </w:r>
            <w:r w:rsidR="00E735CA">
              <w:rPr>
                <w:rFonts w:ascii="Cambria" w:hAnsi="Cambria"/>
                <w:bCs/>
                <w:sz w:val="19"/>
                <w:szCs w:val="19"/>
                <w:lang w:val="es-ES"/>
              </w:rPr>
              <w:t>7 de enero de 2019.</w:t>
            </w:r>
          </w:p>
        </w:tc>
      </w:tr>
      <w:tr w:rsidR="00F06354" w:rsidRPr="008D2897"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506DB01F" w:rsidR="00F06354" w:rsidRPr="00006B74" w:rsidRDefault="000E38B6" w:rsidP="00F06354">
            <w:pPr>
              <w:jc w:val="both"/>
              <w:rPr>
                <w:rFonts w:ascii="Cambria" w:hAnsi="Cambria"/>
                <w:bCs/>
                <w:sz w:val="19"/>
                <w:szCs w:val="19"/>
                <w:lang w:val="es-ES"/>
              </w:rPr>
            </w:pPr>
            <w:r>
              <w:rPr>
                <w:rFonts w:ascii="Cambria" w:hAnsi="Cambria"/>
                <w:bCs/>
                <w:sz w:val="19"/>
                <w:szCs w:val="19"/>
                <w:lang w:val="es-ES"/>
              </w:rPr>
              <w:t xml:space="preserve">18 de octubre de 2017 y </w:t>
            </w:r>
            <w:r w:rsidR="00C305D2">
              <w:rPr>
                <w:rFonts w:ascii="Cambria" w:hAnsi="Cambria"/>
                <w:bCs/>
                <w:sz w:val="19"/>
                <w:szCs w:val="19"/>
                <w:lang w:val="es-ES"/>
              </w:rPr>
              <w:t>20 de marzo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78F659E4" w:rsidR="003239B8" w:rsidRPr="00006B74" w:rsidRDefault="000E38B6"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3C3D7E72" w:rsidR="003239B8" w:rsidRPr="00006B74" w:rsidRDefault="000E38B6"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1AD26F62" w:rsidR="003239B8" w:rsidRPr="00006B74" w:rsidRDefault="000E38B6" w:rsidP="008D2290">
            <w:pPr>
              <w:rPr>
                <w:bCs/>
                <w:sz w:val="19"/>
                <w:szCs w:val="19"/>
                <w:lang w:val="es-ES"/>
              </w:rPr>
            </w:pPr>
            <w:r>
              <w:rPr>
                <w:bCs/>
                <w:sz w:val="19"/>
                <w:szCs w:val="19"/>
                <w:lang w:val="es-ES"/>
              </w:rPr>
              <w:t>Sí</w:t>
            </w:r>
          </w:p>
        </w:tc>
      </w:tr>
      <w:tr w:rsidR="003239B8" w:rsidRPr="008D2897"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45A95E25" w:rsidR="003239B8" w:rsidRPr="00006B74" w:rsidRDefault="000E38B6" w:rsidP="008D2290">
            <w:pPr>
              <w:jc w:val="both"/>
              <w:rPr>
                <w:rFonts w:ascii="Cambria" w:hAnsi="Cambria"/>
                <w:bCs/>
                <w:sz w:val="19"/>
                <w:szCs w:val="19"/>
                <w:lang w:val="es-ES"/>
              </w:rPr>
            </w:pPr>
            <w:r>
              <w:rPr>
                <w:rFonts w:ascii="Cambria" w:hAnsi="Cambria"/>
                <w:bCs/>
                <w:sz w:val="19"/>
                <w:szCs w:val="19"/>
                <w:lang w:val="es-ES"/>
              </w:rPr>
              <w:t xml:space="preserve">Sí, </w:t>
            </w:r>
            <w:r>
              <w:rPr>
                <w:rFonts w:ascii="Cambria" w:hAnsi="Cambria"/>
                <w:bCs/>
                <w:sz w:val="20"/>
                <w:szCs w:val="20"/>
                <w:lang w:val="es-ES"/>
              </w:rPr>
              <w:t>Convención Americana (depósito de instrumento realizado el 28 de julio de 1978)</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056C5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24A7E2D9" w:rsidR="00EE00E9" w:rsidRPr="00006B74" w:rsidRDefault="006152D9" w:rsidP="008D2290">
            <w:pPr>
              <w:jc w:val="both"/>
              <w:rPr>
                <w:rFonts w:ascii="Cambria" w:hAnsi="Cambria"/>
                <w:bCs/>
                <w:sz w:val="19"/>
                <w:szCs w:val="19"/>
                <w:lang w:val="es-ES"/>
              </w:rPr>
            </w:pPr>
            <w:r>
              <w:rPr>
                <w:rFonts w:ascii="Cambria" w:hAnsi="Cambria"/>
                <w:bCs/>
                <w:sz w:val="19"/>
                <w:szCs w:val="19"/>
                <w:lang w:val="es-ES"/>
              </w:rPr>
              <w:t>No</w:t>
            </w:r>
          </w:p>
        </w:tc>
      </w:tr>
      <w:tr w:rsidR="003239B8" w:rsidRPr="008D2897"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483818B9" w:rsidR="003239B8" w:rsidRPr="00006B74" w:rsidRDefault="00BE208D" w:rsidP="00372686">
            <w:pPr>
              <w:jc w:val="both"/>
              <w:rPr>
                <w:rFonts w:ascii="Cambria" w:hAnsi="Cambria"/>
                <w:bCs/>
                <w:sz w:val="19"/>
                <w:szCs w:val="19"/>
                <w:lang w:val="es-ES"/>
              </w:rPr>
            </w:pPr>
            <w:r w:rsidRPr="00006B74">
              <w:rPr>
                <w:rFonts w:ascii="Cambria" w:hAnsi="Cambria"/>
                <w:bCs/>
                <w:sz w:val="19"/>
                <w:szCs w:val="19"/>
                <w:lang w:val="es-ES"/>
              </w:rPr>
              <w:t xml:space="preserve">Artículos </w:t>
            </w:r>
            <w:r w:rsidRPr="00B77262">
              <w:rPr>
                <w:rFonts w:ascii="Cambria" w:hAnsi="Cambria"/>
                <w:bCs/>
                <w:sz w:val="19"/>
                <w:szCs w:val="19"/>
                <w:lang w:val="es-ES"/>
              </w:rPr>
              <w:t>8</w:t>
            </w:r>
            <w:r>
              <w:rPr>
                <w:rFonts w:ascii="Cambria" w:hAnsi="Cambria"/>
                <w:bCs/>
                <w:sz w:val="19"/>
                <w:szCs w:val="19"/>
                <w:lang w:val="es-ES"/>
              </w:rPr>
              <w:t xml:space="preserve"> (garantías judiciales), </w:t>
            </w:r>
            <w:r w:rsidRPr="00AB2E56">
              <w:rPr>
                <w:rFonts w:ascii="Cambria" w:hAnsi="Cambria"/>
                <w:bCs/>
                <w:sz w:val="19"/>
                <w:szCs w:val="19"/>
                <w:lang w:val="es-ES"/>
              </w:rPr>
              <w:t xml:space="preserve">11 (honra y dignidad), </w:t>
            </w:r>
            <w:r>
              <w:rPr>
                <w:rFonts w:ascii="Cambria" w:hAnsi="Cambria"/>
                <w:bCs/>
                <w:sz w:val="19"/>
                <w:szCs w:val="19"/>
                <w:lang w:val="es-ES"/>
              </w:rPr>
              <w:t xml:space="preserve">23(derechos políticos), </w:t>
            </w:r>
            <w:r w:rsidRPr="00AB2E56">
              <w:rPr>
                <w:rFonts w:ascii="Cambria" w:hAnsi="Cambria"/>
                <w:bCs/>
                <w:sz w:val="19"/>
                <w:szCs w:val="19"/>
                <w:lang w:val="es-ES"/>
              </w:rPr>
              <w:t>24 (igualdad ante la ley),</w:t>
            </w:r>
            <w:r>
              <w:rPr>
                <w:rFonts w:ascii="Cambria" w:hAnsi="Cambria"/>
                <w:bCs/>
                <w:sz w:val="19"/>
                <w:szCs w:val="19"/>
                <w:lang w:val="es-ES"/>
              </w:rPr>
              <w:t xml:space="preserve"> 25 (protección judicial) y 26 (derechos económicos, sociales y culturales) </w:t>
            </w:r>
            <w:r w:rsidRPr="00006B74">
              <w:rPr>
                <w:rFonts w:ascii="Cambria" w:hAnsi="Cambria"/>
                <w:bCs/>
                <w:sz w:val="19"/>
                <w:szCs w:val="19"/>
                <w:lang w:val="es-ES"/>
              </w:rPr>
              <w:t xml:space="preserve">de la </w:t>
            </w:r>
            <w:r w:rsidRPr="00B77262">
              <w:rPr>
                <w:rFonts w:ascii="Cambria" w:hAnsi="Cambria"/>
                <w:bCs/>
                <w:sz w:val="19"/>
                <w:szCs w:val="19"/>
                <w:lang w:val="es-ES"/>
              </w:rPr>
              <w:t xml:space="preserve">Convención Americana </w:t>
            </w:r>
            <w:r>
              <w:rPr>
                <w:rFonts w:ascii="Cambria" w:hAnsi="Cambria"/>
                <w:bCs/>
                <w:sz w:val="19"/>
                <w:szCs w:val="19"/>
                <w:lang w:val="es-ES"/>
              </w:rPr>
              <w:t>en relación sus artículos 1.1. (obligación de respetar los derechos) y 2 (deber de adoptar disposiciones de derecho interno).</w:t>
            </w:r>
          </w:p>
        </w:tc>
      </w:tr>
      <w:tr w:rsidR="003239B8" w:rsidRPr="008D2897"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79566346" w:rsidR="003239B8" w:rsidRPr="00006B74" w:rsidRDefault="006152D9" w:rsidP="00BB3FBD">
            <w:pPr>
              <w:rPr>
                <w:rFonts w:ascii="Cambria" w:hAnsi="Cambria"/>
                <w:bCs/>
                <w:sz w:val="19"/>
                <w:szCs w:val="19"/>
                <w:lang w:val="es-ES"/>
              </w:rPr>
            </w:pPr>
            <w:r>
              <w:rPr>
                <w:rFonts w:ascii="Cambria" w:hAnsi="Cambria"/>
                <w:bCs/>
                <w:sz w:val="19"/>
                <w:szCs w:val="19"/>
                <w:lang w:val="es-ES"/>
              </w:rPr>
              <w:t>Sí, en los términos de la sección VI</w:t>
            </w:r>
          </w:p>
        </w:tc>
      </w:tr>
      <w:tr w:rsidR="003239B8" w:rsidRPr="008D2897"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67F80F0E" w:rsidR="003239B8" w:rsidRPr="00006B74" w:rsidRDefault="006152D9" w:rsidP="008D2290">
            <w:pPr>
              <w:rPr>
                <w:bCs/>
                <w:sz w:val="19"/>
                <w:szCs w:val="19"/>
                <w:lang w:val="es-ES"/>
              </w:rPr>
            </w:pPr>
            <w:r>
              <w:rPr>
                <w:bCs/>
                <w:sz w:val="19"/>
                <w:szCs w:val="19"/>
                <w:lang w:val="es-ES"/>
              </w:rPr>
              <w:t>Sí, en los términos de la sección VI</w:t>
            </w:r>
          </w:p>
        </w:tc>
      </w:tr>
    </w:tbl>
    <w:p w14:paraId="18E6423B" w14:textId="5FDE25B0" w:rsidR="003239B8"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BCC202F" w14:textId="34FF247A" w:rsidR="00771B87" w:rsidRDefault="006152D9" w:rsidP="00771B87">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 xml:space="preserve">1. La Comisión inicia por tomar nota que en la presente petición las presuntas víctimas se han dividido en dos grupos </w:t>
      </w:r>
      <w:r w:rsidR="005A7500">
        <w:rPr>
          <w:rFonts w:asciiTheme="majorHAnsi" w:hAnsiTheme="majorHAnsi"/>
          <w:sz w:val="20"/>
          <w:szCs w:val="20"/>
          <w:lang w:val="es-ES"/>
        </w:rPr>
        <w:t>con representación legal separada. En el presente informe “la parte peticionaria”</w:t>
      </w:r>
      <w:r w:rsidR="00232590">
        <w:rPr>
          <w:rFonts w:asciiTheme="majorHAnsi" w:hAnsiTheme="majorHAnsi"/>
          <w:sz w:val="20"/>
          <w:szCs w:val="20"/>
          <w:lang w:val="es-ES"/>
        </w:rPr>
        <w:t xml:space="preserve"> se utilizará </w:t>
      </w:r>
      <w:r w:rsidR="00232590">
        <w:rPr>
          <w:rFonts w:asciiTheme="majorHAnsi" w:hAnsiTheme="majorHAnsi"/>
          <w:sz w:val="20"/>
          <w:szCs w:val="20"/>
          <w:lang w:val="es-ES"/>
        </w:rPr>
        <w:lastRenderedPageBreak/>
        <w:t xml:space="preserve">para referirse conjuntamente a ambos grupos y se hará la indicación </w:t>
      </w:r>
      <w:r w:rsidR="00AA4E74">
        <w:rPr>
          <w:rFonts w:asciiTheme="majorHAnsi" w:hAnsiTheme="majorHAnsi"/>
          <w:sz w:val="20"/>
          <w:szCs w:val="20"/>
          <w:lang w:val="es-ES"/>
        </w:rPr>
        <w:t xml:space="preserve">pertinente en los casos de alegaciones que provienen de sólo uno de los grupos.  </w:t>
      </w:r>
    </w:p>
    <w:p w14:paraId="03D4DCE8" w14:textId="66B5DD96" w:rsidR="00A728EE" w:rsidRDefault="00A728EE" w:rsidP="00A728EE">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 xml:space="preserve">2. La parte peticionaria denuncia presuntas violaciones a los derechos humanos de 17 personas quienes alega fueron forzadas a renunciar a los cargos que ocupaban en un banco estatal y no tuvieron acceso a una efectiva protección judicial contra este acto; estando esto evidenciado en que incluso durante el tiempo en que estuvo vigente una sentencia de amparo ordenando su reintegro la misma no fue ejecutada de manera efectiva. </w:t>
      </w:r>
    </w:p>
    <w:p w14:paraId="6C7A677F" w14:textId="555AD7D6" w:rsidR="00AA4E74" w:rsidRDefault="00A728EE" w:rsidP="0064775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3</w:t>
      </w:r>
      <w:r w:rsidR="00AA4E74">
        <w:rPr>
          <w:rFonts w:asciiTheme="majorHAnsi" w:hAnsiTheme="majorHAnsi"/>
          <w:sz w:val="20"/>
          <w:szCs w:val="20"/>
          <w:lang w:val="es-ES"/>
        </w:rPr>
        <w:t xml:space="preserve">. La parte peticionaria relata </w:t>
      </w:r>
      <w:r w:rsidR="009C4D7A">
        <w:rPr>
          <w:rFonts w:asciiTheme="majorHAnsi" w:hAnsiTheme="majorHAnsi"/>
          <w:sz w:val="20"/>
          <w:szCs w:val="20"/>
          <w:lang w:val="es-ES"/>
        </w:rPr>
        <w:t>que</w:t>
      </w:r>
      <w:r w:rsidR="00B67458">
        <w:rPr>
          <w:rFonts w:asciiTheme="majorHAnsi" w:hAnsiTheme="majorHAnsi"/>
          <w:sz w:val="20"/>
          <w:szCs w:val="20"/>
          <w:lang w:val="es-ES"/>
        </w:rPr>
        <w:t xml:space="preserve"> el 12 de marzo de 1992 </w:t>
      </w:r>
      <w:r w:rsidR="00AB222F">
        <w:rPr>
          <w:rFonts w:asciiTheme="majorHAnsi" w:hAnsiTheme="majorHAnsi"/>
          <w:sz w:val="20"/>
          <w:szCs w:val="20"/>
          <w:lang w:val="es-ES"/>
        </w:rPr>
        <w:t>se informó a los trabajadores del B</w:t>
      </w:r>
      <w:r>
        <w:rPr>
          <w:rFonts w:asciiTheme="majorHAnsi" w:hAnsiTheme="majorHAnsi"/>
          <w:sz w:val="20"/>
          <w:szCs w:val="20"/>
          <w:lang w:val="es-ES"/>
        </w:rPr>
        <w:t xml:space="preserve">anco </w:t>
      </w:r>
      <w:r w:rsidR="00AB222F">
        <w:rPr>
          <w:rFonts w:asciiTheme="majorHAnsi" w:hAnsiTheme="majorHAnsi"/>
          <w:sz w:val="20"/>
          <w:szCs w:val="20"/>
          <w:lang w:val="es-ES"/>
        </w:rPr>
        <w:t>C</w:t>
      </w:r>
      <w:r>
        <w:rPr>
          <w:rFonts w:asciiTheme="majorHAnsi" w:hAnsiTheme="majorHAnsi"/>
          <w:sz w:val="20"/>
          <w:szCs w:val="20"/>
          <w:lang w:val="es-ES"/>
        </w:rPr>
        <w:t xml:space="preserve">entral de </w:t>
      </w:r>
      <w:r w:rsidR="00AB222F">
        <w:rPr>
          <w:rFonts w:asciiTheme="majorHAnsi" w:hAnsiTheme="majorHAnsi"/>
          <w:sz w:val="20"/>
          <w:szCs w:val="20"/>
          <w:lang w:val="es-ES"/>
        </w:rPr>
        <w:t>R</w:t>
      </w:r>
      <w:r>
        <w:rPr>
          <w:rFonts w:asciiTheme="majorHAnsi" w:hAnsiTheme="majorHAnsi"/>
          <w:sz w:val="20"/>
          <w:szCs w:val="20"/>
          <w:lang w:val="es-ES"/>
        </w:rPr>
        <w:t>eserva (en adelante “el BCR”)</w:t>
      </w:r>
      <w:r w:rsidR="00AB222F">
        <w:rPr>
          <w:rFonts w:asciiTheme="majorHAnsi" w:hAnsiTheme="majorHAnsi"/>
          <w:sz w:val="20"/>
          <w:szCs w:val="20"/>
          <w:lang w:val="es-ES"/>
        </w:rPr>
        <w:t xml:space="preserve"> que se había aprobado un programa de renuncias voluntarias con incentivos económicos, el que se extendía hasta el 11 de mayo de 1992</w:t>
      </w:r>
      <w:r w:rsidR="0025072B">
        <w:rPr>
          <w:rStyle w:val="FootnoteReference"/>
          <w:rFonts w:asciiTheme="majorHAnsi" w:hAnsiTheme="majorHAnsi"/>
          <w:sz w:val="20"/>
          <w:szCs w:val="20"/>
          <w:lang w:val="es-ES"/>
        </w:rPr>
        <w:footnoteReference w:id="9"/>
      </w:r>
      <w:r w:rsidR="00AB222F">
        <w:rPr>
          <w:rFonts w:asciiTheme="majorHAnsi" w:hAnsiTheme="majorHAnsi"/>
          <w:sz w:val="20"/>
          <w:szCs w:val="20"/>
          <w:lang w:val="es-ES"/>
        </w:rPr>
        <w:t>. Alega que el 26 de mayo de 1992 el Gerente General del BCR cursó agresivamente cartas dirigidas a 72 trabajadores que no se habían acogido a la renuncia v</w:t>
      </w:r>
      <w:r w:rsidR="00537DB9">
        <w:rPr>
          <w:rFonts w:asciiTheme="majorHAnsi" w:hAnsiTheme="majorHAnsi"/>
          <w:sz w:val="20"/>
          <w:szCs w:val="20"/>
          <w:lang w:val="es-ES"/>
        </w:rPr>
        <w:t xml:space="preserve">oluntaria, informándoles que se había iniciado un proceso formal de reducción de personal y que se estaría solicitando el “cese colectivo” de personal, </w:t>
      </w:r>
      <w:r w:rsidR="0025072B">
        <w:rPr>
          <w:rFonts w:asciiTheme="majorHAnsi" w:hAnsiTheme="majorHAnsi"/>
          <w:sz w:val="20"/>
          <w:szCs w:val="20"/>
          <w:lang w:val="es-ES"/>
        </w:rPr>
        <w:t>así</w:t>
      </w:r>
      <w:r w:rsidR="00537DB9">
        <w:rPr>
          <w:rFonts w:asciiTheme="majorHAnsi" w:hAnsiTheme="majorHAnsi"/>
          <w:sz w:val="20"/>
          <w:szCs w:val="20"/>
          <w:lang w:val="es-ES"/>
        </w:rPr>
        <w:t xml:space="preserve"> como de la “oportunidad” de acogerse el programa de retiros voluntarios </w:t>
      </w:r>
      <w:r w:rsidR="0025072B">
        <w:rPr>
          <w:rFonts w:asciiTheme="majorHAnsi" w:hAnsiTheme="majorHAnsi"/>
          <w:sz w:val="20"/>
          <w:szCs w:val="20"/>
          <w:lang w:val="es-ES"/>
        </w:rPr>
        <w:t>el cual se</w:t>
      </w:r>
      <w:r w:rsidR="00537DB9">
        <w:rPr>
          <w:rFonts w:asciiTheme="majorHAnsi" w:hAnsiTheme="majorHAnsi"/>
          <w:sz w:val="20"/>
          <w:szCs w:val="20"/>
          <w:lang w:val="es-ES"/>
        </w:rPr>
        <w:t xml:space="preserve"> había reabierto por tres días</w:t>
      </w:r>
      <w:r w:rsidR="0025072B">
        <w:rPr>
          <w:rFonts w:asciiTheme="majorHAnsi" w:hAnsiTheme="majorHAnsi"/>
          <w:sz w:val="20"/>
          <w:szCs w:val="20"/>
          <w:lang w:val="es-ES"/>
        </w:rPr>
        <w:t xml:space="preserve"> improrrogables</w:t>
      </w:r>
      <w:r w:rsidR="00537DB9">
        <w:rPr>
          <w:rFonts w:asciiTheme="majorHAnsi" w:hAnsiTheme="majorHAnsi"/>
          <w:sz w:val="20"/>
          <w:szCs w:val="20"/>
          <w:lang w:val="es-ES"/>
        </w:rPr>
        <w:t>.</w:t>
      </w:r>
      <w:r w:rsidR="0025072B">
        <w:rPr>
          <w:rFonts w:asciiTheme="majorHAnsi" w:hAnsiTheme="majorHAnsi"/>
          <w:sz w:val="20"/>
          <w:szCs w:val="20"/>
          <w:lang w:val="es-ES"/>
        </w:rPr>
        <w:t xml:space="preserve"> Aduce que, ante estas circunstancias, las presuntas víctimas</w:t>
      </w:r>
      <w:r w:rsidR="00EC7B61">
        <w:rPr>
          <w:rStyle w:val="FootnoteReference"/>
          <w:rFonts w:asciiTheme="majorHAnsi" w:hAnsiTheme="majorHAnsi"/>
          <w:sz w:val="20"/>
          <w:szCs w:val="20"/>
          <w:lang w:val="es-ES"/>
        </w:rPr>
        <w:footnoteReference w:id="10"/>
      </w:r>
      <w:r w:rsidR="0025072B">
        <w:rPr>
          <w:rFonts w:asciiTheme="majorHAnsi" w:hAnsiTheme="majorHAnsi"/>
          <w:sz w:val="20"/>
          <w:szCs w:val="20"/>
          <w:lang w:val="es-ES"/>
        </w:rPr>
        <w:t xml:space="preserve"> se vieron obligadas a renunciar bajo amenaza de ser incluidos en la lista de despedidos por cese colectivo</w:t>
      </w:r>
      <w:r w:rsidR="00EC7B61">
        <w:rPr>
          <w:rStyle w:val="FootnoteReference"/>
          <w:rFonts w:asciiTheme="majorHAnsi" w:hAnsiTheme="majorHAnsi"/>
          <w:sz w:val="20"/>
          <w:szCs w:val="20"/>
          <w:lang w:val="es-ES"/>
        </w:rPr>
        <w:footnoteReference w:id="11"/>
      </w:r>
      <w:r w:rsidR="0025072B">
        <w:rPr>
          <w:rFonts w:asciiTheme="majorHAnsi" w:hAnsiTheme="majorHAnsi"/>
          <w:sz w:val="20"/>
          <w:szCs w:val="20"/>
          <w:lang w:val="es-ES"/>
        </w:rPr>
        <w:t xml:space="preserve">.  </w:t>
      </w:r>
    </w:p>
    <w:p w14:paraId="6D438DDD" w14:textId="1B3689B0" w:rsidR="00C21824" w:rsidRDefault="00A728EE" w:rsidP="0064775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4</w:t>
      </w:r>
      <w:r w:rsidR="00442557">
        <w:rPr>
          <w:rFonts w:asciiTheme="majorHAnsi" w:hAnsiTheme="majorHAnsi"/>
          <w:sz w:val="20"/>
          <w:szCs w:val="20"/>
          <w:lang w:val="es-ES"/>
        </w:rPr>
        <w:t xml:space="preserve">. </w:t>
      </w:r>
      <w:r w:rsidR="00905F94">
        <w:rPr>
          <w:rFonts w:asciiTheme="majorHAnsi" w:hAnsiTheme="majorHAnsi"/>
          <w:sz w:val="20"/>
          <w:szCs w:val="20"/>
          <w:lang w:val="es-ES"/>
        </w:rPr>
        <w:t>Sostiene que lo ocurrido a las presuntas víctima en 1992 se trató de un “despido fraudulento”</w:t>
      </w:r>
      <w:r w:rsidR="003E51D8">
        <w:rPr>
          <w:rStyle w:val="FootnoteReference"/>
          <w:rFonts w:asciiTheme="majorHAnsi" w:hAnsiTheme="majorHAnsi"/>
          <w:sz w:val="20"/>
          <w:szCs w:val="20"/>
          <w:lang w:val="es-ES"/>
        </w:rPr>
        <w:footnoteReference w:id="12"/>
      </w:r>
      <w:r w:rsidR="00905F94">
        <w:rPr>
          <w:rFonts w:asciiTheme="majorHAnsi" w:hAnsiTheme="majorHAnsi"/>
          <w:sz w:val="20"/>
          <w:szCs w:val="20"/>
          <w:lang w:val="es-ES"/>
        </w:rPr>
        <w:t xml:space="preserve">. </w:t>
      </w:r>
      <w:r w:rsidR="00F12C92">
        <w:rPr>
          <w:rFonts w:asciiTheme="majorHAnsi" w:hAnsiTheme="majorHAnsi"/>
          <w:sz w:val="20"/>
          <w:szCs w:val="20"/>
          <w:lang w:val="es-ES"/>
        </w:rPr>
        <w:t>Indica que en el 2002 la asociación de ex trabajadores del BCR ejerció una acción de habeas data para solicitar</w:t>
      </w:r>
      <w:r w:rsidR="00905F94">
        <w:rPr>
          <w:rFonts w:asciiTheme="majorHAnsi" w:hAnsiTheme="majorHAnsi"/>
          <w:sz w:val="20"/>
          <w:szCs w:val="20"/>
          <w:lang w:val="es-ES"/>
        </w:rPr>
        <w:t xml:space="preserve"> información sobre el programa de renuncias voluntarias</w:t>
      </w:r>
      <w:r w:rsidR="004065A0">
        <w:rPr>
          <w:rFonts w:asciiTheme="majorHAnsi" w:hAnsiTheme="majorHAnsi"/>
          <w:sz w:val="20"/>
          <w:szCs w:val="20"/>
          <w:lang w:val="es-ES"/>
        </w:rPr>
        <w:t>,</w:t>
      </w:r>
      <w:r w:rsidR="00B1396E">
        <w:rPr>
          <w:rFonts w:asciiTheme="majorHAnsi" w:hAnsiTheme="majorHAnsi"/>
          <w:sz w:val="20"/>
          <w:szCs w:val="20"/>
          <w:lang w:val="es-ES"/>
        </w:rPr>
        <w:t xml:space="preserve"> </w:t>
      </w:r>
      <w:r w:rsidR="003B7CFF">
        <w:rPr>
          <w:rFonts w:asciiTheme="majorHAnsi" w:hAnsiTheme="majorHAnsi"/>
          <w:sz w:val="20"/>
          <w:szCs w:val="20"/>
          <w:lang w:val="es-ES"/>
        </w:rPr>
        <w:t>a través de la que pudieron verificar</w:t>
      </w:r>
      <w:r w:rsidR="004065A0">
        <w:rPr>
          <w:rStyle w:val="FootnoteReference"/>
          <w:rFonts w:asciiTheme="majorHAnsi" w:hAnsiTheme="majorHAnsi"/>
          <w:sz w:val="20"/>
          <w:szCs w:val="20"/>
          <w:lang w:val="es-ES"/>
        </w:rPr>
        <w:footnoteReference w:id="13"/>
      </w:r>
      <w:r w:rsidR="003B7CFF">
        <w:rPr>
          <w:rFonts w:asciiTheme="majorHAnsi" w:hAnsiTheme="majorHAnsi"/>
          <w:sz w:val="20"/>
          <w:szCs w:val="20"/>
          <w:lang w:val="es-ES"/>
        </w:rPr>
        <w:t xml:space="preserve"> la no existencia de un acuerdo de directorio que aprobar</w:t>
      </w:r>
      <w:r w:rsidR="0044127B">
        <w:rPr>
          <w:rFonts w:asciiTheme="majorHAnsi" w:hAnsiTheme="majorHAnsi"/>
          <w:sz w:val="20"/>
          <w:szCs w:val="20"/>
          <w:lang w:val="es-ES"/>
        </w:rPr>
        <w:t>a</w:t>
      </w:r>
      <w:r w:rsidR="003B7CFF">
        <w:rPr>
          <w:rFonts w:asciiTheme="majorHAnsi" w:hAnsiTheme="majorHAnsi"/>
          <w:sz w:val="20"/>
          <w:szCs w:val="20"/>
          <w:lang w:val="es-ES"/>
        </w:rPr>
        <w:t xml:space="preserve"> la supuesta reapertura del programa de renuncias en mayo de 1992</w:t>
      </w:r>
      <w:r w:rsidR="0044127B">
        <w:rPr>
          <w:rStyle w:val="FootnoteReference"/>
          <w:rFonts w:asciiTheme="majorHAnsi" w:hAnsiTheme="majorHAnsi"/>
          <w:sz w:val="20"/>
          <w:szCs w:val="20"/>
          <w:lang w:val="es-ES"/>
        </w:rPr>
        <w:footnoteReference w:id="14"/>
      </w:r>
      <w:r w:rsidR="003B7CFF">
        <w:rPr>
          <w:rFonts w:asciiTheme="majorHAnsi" w:hAnsiTheme="majorHAnsi"/>
          <w:sz w:val="20"/>
          <w:szCs w:val="20"/>
          <w:lang w:val="es-ES"/>
        </w:rPr>
        <w:t>, así como</w:t>
      </w:r>
      <w:r w:rsidR="0044127B">
        <w:rPr>
          <w:rFonts w:asciiTheme="majorHAnsi" w:hAnsiTheme="majorHAnsi"/>
          <w:sz w:val="20"/>
          <w:szCs w:val="20"/>
          <w:lang w:val="es-ES"/>
        </w:rPr>
        <w:t xml:space="preserve"> la existencia</w:t>
      </w:r>
      <w:r w:rsidR="003B7CFF">
        <w:rPr>
          <w:rFonts w:asciiTheme="majorHAnsi" w:hAnsiTheme="majorHAnsi"/>
          <w:sz w:val="20"/>
          <w:szCs w:val="20"/>
          <w:lang w:val="es-ES"/>
        </w:rPr>
        <w:t xml:space="preserve"> de un infor</w:t>
      </w:r>
      <w:r w:rsidR="004065A0">
        <w:rPr>
          <w:rFonts w:asciiTheme="majorHAnsi" w:hAnsiTheme="majorHAnsi"/>
          <w:sz w:val="20"/>
          <w:szCs w:val="20"/>
          <w:lang w:val="es-ES"/>
        </w:rPr>
        <w:t xml:space="preserve">me donde el asesor externo del BCR </w:t>
      </w:r>
      <w:r w:rsidR="003B7CFF">
        <w:rPr>
          <w:rFonts w:asciiTheme="majorHAnsi" w:hAnsiTheme="majorHAnsi"/>
          <w:sz w:val="20"/>
          <w:szCs w:val="20"/>
          <w:lang w:val="es-ES"/>
        </w:rPr>
        <w:t>indicaba que se debía presionar a los trabajadores para que renunciaran.</w:t>
      </w:r>
      <w:r w:rsidR="00063562">
        <w:rPr>
          <w:rFonts w:asciiTheme="majorHAnsi" w:hAnsiTheme="majorHAnsi"/>
          <w:sz w:val="20"/>
          <w:szCs w:val="20"/>
          <w:lang w:val="es-ES"/>
        </w:rPr>
        <w:t xml:space="preserve"> Señala que </w:t>
      </w:r>
      <w:r w:rsidR="0044127B">
        <w:rPr>
          <w:rFonts w:asciiTheme="majorHAnsi" w:hAnsiTheme="majorHAnsi"/>
          <w:sz w:val="20"/>
          <w:szCs w:val="20"/>
          <w:lang w:val="es-ES"/>
        </w:rPr>
        <w:t>al obtener esta informaci</w:t>
      </w:r>
      <w:r w:rsidR="00063562">
        <w:rPr>
          <w:rFonts w:asciiTheme="majorHAnsi" w:hAnsiTheme="majorHAnsi"/>
          <w:sz w:val="20"/>
          <w:szCs w:val="20"/>
          <w:lang w:val="es-ES"/>
        </w:rPr>
        <w:t>ón 34 ex-trabajadores del BCR, entre ellos las presuntas víctimas, interpusieron</w:t>
      </w:r>
      <w:r w:rsidR="0061035C">
        <w:rPr>
          <w:rFonts w:asciiTheme="majorHAnsi" w:hAnsiTheme="majorHAnsi"/>
          <w:sz w:val="20"/>
          <w:szCs w:val="20"/>
          <w:lang w:val="es-ES"/>
        </w:rPr>
        <w:t xml:space="preserve"> el 3 de octubre de 2003 un proceso constitucional de amparo denunciando la simulación fraudulenta cometida contra los ex</w:t>
      </w:r>
      <w:r w:rsidR="00C21824">
        <w:rPr>
          <w:rFonts w:asciiTheme="majorHAnsi" w:hAnsiTheme="majorHAnsi"/>
          <w:sz w:val="20"/>
          <w:szCs w:val="20"/>
          <w:lang w:val="es-ES"/>
        </w:rPr>
        <w:t>-trabajadores y solicitando la restitución de los trabajadores a sus puestos de trabajo. En oposición a esta acción, el BCR presentó una excepción de caducidad de la acción.</w:t>
      </w:r>
    </w:p>
    <w:p w14:paraId="6F3C3F63" w14:textId="6A8A761D" w:rsidR="00442557" w:rsidRDefault="00A728EE" w:rsidP="0064775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5</w:t>
      </w:r>
      <w:r w:rsidR="00C21824">
        <w:rPr>
          <w:rFonts w:asciiTheme="majorHAnsi" w:hAnsiTheme="majorHAnsi"/>
          <w:sz w:val="20"/>
          <w:szCs w:val="20"/>
          <w:lang w:val="es-ES"/>
        </w:rPr>
        <w:t>. Indica que el juzgado de primera instancia</w:t>
      </w:r>
      <w:r w:rsidR="00CB44F9">
        <w:rPr>
          <w:rFonts w:asciiTheme="majorHAnsi" w:hAnsiTheme="majorHAnsi"/>
          <w:sz w:val="20"/>
          <w:szCs w:val="20"/>
          <w:lang w:val="es-ES"/>
        </w:rPr>
        <w:t xml:space="preserve"> rechazó la caducidad</w:t>
      </w:r>
      <w:r w:rsidR="00C21824">
        <w:rPr>
          <w:rFonts w:asciiTheme="majorHAnsi" w:hAnsiTheme="majorHAnsi"/>
          <w:sz w:val="20"/>
          <w:szCs w:val="20"/>
          <w:lang w:val="es-ES"/>
        </w:rPr>
        <w:t xml:space="preserve"> concluy</w:t>
      </w:r>
      <w:r w:rsidR="00CB44F9">
        <w:rPr>
          <w:rFonts w:asciiTheme="majorHAnsi" w:hAnsiTheme="majorHAnsi"/>
          <w:sz w:val="20"/>
          <w:szCs w:val="20"/>
          <w:lang w:val="es-ES"/>
        </w:rPr>
        <w:t>endo</w:t>
      </w:r>
      <w:r w:rsidR="00C21824">
        <w:rPr>
          <w:rFonts w:asciiTheme="majorHAnsi" w:hAnsiTheme="majorHAnsi"/>
          <w:sz w:val="20"/>
          <w:szCs w:val="20"/>
          <w:lang w:val="es-ES"/>
        </w:rPr>
        <w:t xml:space="preserve"> que el plazo para la presentación de la acción empezaba a correr a partir de que se obtuvo la informaci</w:t>
      </w:r>
      <w:r w:rsidR="00CB44F9">
        <w:rPr>
          <w:rFonts w:asciiTheme="majorHAnsi" w:hAnsiTheme="majorHAnsi"/>
          <w:sz w:val="20"/>
          <w:szCs w:val="20"/>
          <w:lang w:val="es-ES"/>
        </w:rPr>
        <w:t>ón relativa al supuesto fraude a través de habeas data, pero declaró i</w:t>
      </w:r>
      <w:r w:rsidR="001F28AA">
        <w:rPr>
          <w:rFonts w:asciiTheme="majorHAnsi" w:hAnsiTheme="majorHAnsi"/>
          <w:sz w:val="20"/>
          <w:szCs w:val="20"/>
          <w:lang w:val="es-ES"/>
        </w:rPr>
        <w:t>nfundada</w:t>
      </w:r>
      <w:r w:rsidR="00CB44F9">
        <w:rPr>
          <w:rFonts w:asciiTheme="majorHAnsi" w:hAnsiTheme="majorHAnsi"/>
          <w:sz w:val="20"/>
          <w:szCs w:val="20"/>
          <w:lang w:val="es-ES"/>
        </w:rPr>
        <w:t xml:space="preserve"> la acción.</w:t>
      </w:r>
      <w:r w:rsidR="001F28AA">
        <w:rPr>
          <w:rFonts w:asciiTheme="majorHAnsi" w:hAnsiTheme="majorHAnsi"/>
          <w:sz w:val="20"/>
          <w:szCs w:val="20"/>
          <w:lang w:val="es-ES"/>
        </w:rPr>
        <w:t xml:space="preserve"> L</w:t>
      </w:r>
      <w:r w:rsidR="00CB44F9">
        <w:rPr>
          <w:rFonts w:asciiTheme="majorHAnsi" w:hAnsiTheme="majorHAnsi"/>
          <w:sz w:val="20"/>
          <w:szCs w:val="20"/>
          <w:lang w:val="es-ES"/>
        </w:rPr>
        <w:t>uego</w:t>
      </w:r>
      <w:r w:rsidR="001F28AA">
        <w:rPr>
          <w:rFonts w:asciiTheme="majorHAnsi" w:hAnsiTheme="majorHAnsi"/>
          <w:sz w:val="20"/>
          <w:szCs w:val="20"/>
          <w:lang w:val="es-ES"/>
        </w:rPr>
        <w:t>, la Cuarta Sala Civil de Lima emitió el 15 de diciembre de 2006 decisión</w:t>
      </w:r>
      <w:r w:rsidR="00CB44F9">
        <w:rPr>
          <w:rFonts w:asciiTheme="majorHAnsi" w:hAnsiTheme="majorHAnsi"/>
          <w:sz w:val="20"/>
          <w:szCs w:val="20"/>
          <w:lang w:val="es-ES"/>
        </w:rPr>
        <w:t xml:space="preserve"> </w:t>
      </w:r>
      <w:r w:rsidR="001F28AA">
        <w:rPr>
          <w:rFonts w:asciiTheme="majorHAnsi" w:hAnsiTheme="majorHAnsi"/>
          <w:sz w:val="20"/>
          <w:szCs w:val="20"/>
          <w:lang w:val="es-ES"/>
        </w:rPr>
        <w:t>de</w:t>
      </w:r>
      <w:r w:rsidR="00CB44F9">
        <w:rPr>
          <w:rFonts w:asciiTheme="majorHAnsi" w:hAnsiTheme="majorHAnsi"/>
          <w:sz w:val="20"/>
          <w:szCs w:val="20"/>
          <w:lang w:val="es-ES"/>
        </w:rPr>
        <w:t xml:space="preserve"> segunda instancia </w:t>
      </w:r>
      <w:r w:rsidR="001F28AA">
        <w:rPr>
          <w:rFonts w:asciiTheme="majorHAnsi" w:hAnsiTheme="majorHAnsi"/>
          <w:sz w:val="20"/>
          <w:szCs w:val="20"/>
          <w:lang w:val="es-ES"/>
        </w:rPr>
        <w:t xml:space="preserve">declarando fundada la demanda y ordenando </w:t>
      </w:r>
      <w:r w:rsidR="00CB44F9">
        <w:rPr>
          <w:rFonts w:asciiTheme="majorHAnsi" w:hAnsiTheme="majorHAnsi"/>
          <w:sz w:val="20"/>
          <w:szCs w:val="20"/>
          <w:lang w:val="es-ES"/>
        </w:rPr>
        <w:t xml:space="preserve">la reposición de los demandantes a sus puestos de trabajo. </w:t>
      </w:r>
      <w:r w:rsidR="0026497D">
        <w:rPr>
          <w:rFonts w:asciiTheme="majorHAnsi" w:hAnsiTheme="majorHAnsi"/>
          <w:sz w:val="20"/>
          <w:szCs w:val="20"/>
          <w:lang w:val="es-ES"/>
        </w:rPr>
        <w:t xml:space="preserve">Alega que esta decisión fue </w:t>
      </w:r>
      <w:r w:rsidR="00205331">
        <w:rPr>
          <w:rFonts w:asciiTheme="majorHAnsi" w:hAnsiTheme="majorHAnsi"/>
          <w:sz w:val="20"/>
          <w:szCs w:val="20"/>
          <w:lang w:val="es-ES"/>
        </w:rPr>
        <w:t>recibida hostilmente por las fuerzas políticas de gobierno resultando en que el presidente Alán García se pronunciara públicamente en contra de ella</w:t>
      </w:r>
      <w:r w:rsidR="00205331">
        <w:rPr>
          <w:rStyle w:val="FootnoteReference"/>
          <w:rFonts w:asciiTheme="majorHAnsi" w:hAnsiTheme="majorHAnsi"/>
          <w:sz w:val="20"/>
          <w:szCs w:val="20"/>
          <w:lang w:val="es-ES"/>
        </w:rPr>
        <w:footnoteReference w:id="15"/>
      </w:r>
      <w:r w:rsidR="00147354">
        <w:rPr>
          <w:rFonts w:asciiTheme="majorHAnsi" w:hAnsiTheme="majorHAnsi"/>
          <w:sz w:val="20"/>
          <w:szCs w:val="20"/>
          <w:lang w:val="es-ES"/>
        </w:rPr>
        <w:t xml:space="preserve"> y en que los jueces que dictaron la sentencia </w:t>
      </w:r>
      <w:r w:rsidR="0004721D">
        <w:rPr>
          <w:rFonts w:asciiTheme="majorHAnsi" w:hAnsiTheme="majorHAnsi"/>
          <w:sz w:val="20"/>
          <w:szCs w:val="20"/>
          <w:lang w:val="es-ES"/>
        </w:rPr>
        <w:t xml:space="preserve">a su favor </w:t>
      </w:r>
      <w:r w:rsidR="00147354">
        <w:rPr>
          <w:rFonts w:asciiTheme="majorHAnsi" w:hAnsiTheme="majorHAnsi"/>
          <w:sz w:val="20"/>
          <w:szCs w:val="20"/>
          <w:lang w:val="es-ES"/>
        </w:rPr>
        <w:t>fueran destituidos</w:t>
      </w:r>
      <w:r w:rsidR="00147354">
        <w:rPr>
          <w:rStyle w:val="FootnoteReference"/>
          <w:rFonts w:asciiTheme="majorHAnsi" w:hAnsiTheme="majorHAnsi"/>
          <w:sz w:val="20"/>
          <w:szCs w:val="20"/>
          <w:lang w:val="es-ES"/>
        </w:rPr>
        <w:footnoteReference w:id="16"/>
      </w:r>
      <w:r w:rsidR="00147354">
        <w:rPr>
          <w:rFonts w:asciiTheme="majorHAnsi" w:hAnsiTheme="majorHAnsi"/>
          <w:sz w:val="20"/>
          <w:szCs w:val="20"/>
          <w:lang w:val="es-ES"/>
        </w:rPr>
        <w:t xml:space="preserve"> (aunque luego reincorporados).</w:t>
      </w:r>
      <w:r w:rsidR="0004721D">
        <w:rPr>
          <w:rFonts w:asciiTheme="majorHAnsi" w:hAnsiTheme="majorHAnsi"/>
          <w:sz w:val="20"/>
          <w:szCs w:val="20"/>
          <w:lang w:val="es-ES"/>
        </w:rPr>
        <w:t xml:space="preserve"> </w:t>
      </w:r>
      <w:r w:rsidR="00751955">
        <w:rPr>
          <w:rFonts w:asciiTheme="majorHAnsi" w:hAnsiTheme="majorHAnsi"/>
          <w:sz w:val="20"/>
          <w:szCs w:val="20"/>
          <w:lang w:val="es-ES"/>
        </w:rPr>
        <w:t xml:space="preserve">Resaltan que, sin haber nunca cumplido con la sentencia, el BCR interpuso una acción de amparo contra la sentencia que concedía amparo a su favor, la que fue admitida por la Octava Sala Civil de Lima </w:t>
      </w:r>
      <w:r w:rsidR="00751955">
        <w:rPr>
          <w:rFonts w:asciiTheme="majorHAnsi" w:hAnsiTheme="majorHAnsi"/>
          <w:sz w:val="20"/>
          <w:szCs w:val="20"/>
          <w:lang w:val="es-ES"/>
        </w:rPr>
        <w:lastRenderedPageBreak/>
        <w:t>el 14 de febrero de 2007. Dentro de este proceso se dict</w:t>
      </w:r>
      <w:r w:rsidR="008700FA">
        <w:rPr>
          <w:rFonts w:asciiTheme="majorHAnsi" w:hAnsiTheme="majorHAnsi"/>
          <w:sz w:val="20"/>
          <w:szCs w:val="20"/>
          <w:lang w:val="es-ES"/>
        </w:rPr>
        <w:t>ó</w:t>
      </w:r>
      <w:r w:rsidR="00E70232">
        <w:rPr>
          <w:rFonts w:asciiTheme="majorHAnsi" w:hAnsiTheme="majorHAnsi"/>
          <w:sz w:val="20"/>
          <w:szCs w:val="20"/>
          <w:lang w:val="es-ES"/>
        </w:rPr>
        <w:t xml:space="preserve"> el 5 junio de 2007</w:t>
      </w:r>
      <w:r w:rsidR="008700FA">
        <w:rPr>
          <w:rFonts w:asciiTheme="majorHAnsi" w:hAnsiTheme="majorHAnsi"/>
          <w:sz w:val="20"/>
          <w:szCs w:val="20"/>
          <w:lang w:val="es-ES"/>
        </w:rPr>
        <w:t xml:space="preserve"> una medida cautelar suspendiendo la ejecución de la sentencia que ordenaba los reintegros.  </w:t>
      </w:r>
    </w:p>
    <w:p w14:paraId="723A7588" w14:textId="2D1C5A49" w:rsidR="008700FA" w:rsidRDefault="00A728EE" w:rsidP="0064775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6</w:t>
      </w:r>
      <w:r w:rsidR="008700FA">
        <w:rPr>
          <w:rFonts w:asciiTheme="majorHAnsi" w:hAnsiTheme="majorHAnsi"/>
          <w:sz w:val="20"/>
          <w:szCs w:val="20"/>
          <w:lang w:val="es-ES"/>
        </w:rPr>
        <w:t xml:space="preserve">. </w:t>
      </w:r>
      <w:r w:rsidR="00E70232">
        <w:rPr>
          <w:rFonts w:asciiTheme="majorHAnsi" w:hAnsiTheme="majorHAnsi"/>
          <w:sz w:val="20"/>
          <w:szCs w:val="20"/>
          <w:lang w:val="es-ES"/>
        </w:rPr>
        <w:t>Los representantes del primer grupo señalan que, tras la interposición de múltiples recursos, lograron</w:t>
      </w:r>
      <w:r w:rsidR="00313E48">
        <w:rPr>
          <w:rFonts w:asciiTheme="majorHAnsi" w:hAnsiTheme="majorHAnsi"/>
          <w:sz w:val="20"/>
          <w:szCs w:val="20"/>
          <w:lang w:val="es-ES"/>
        </w:rPr>
        <w:t xml:space="preserve"> que</w:t>
      </w:r>
      <w:r w:rsidR="00E70232">
        <w:rPr>
          <w:rFonts w:asciiTheme="majorHAnsi" w:hAnsiTheme="majorHAnsi"/>
          <w:sz w:val="20"/>
          <w:szCs w:val="20"/>
          <w:lang w:val="es-ES"/>
        </w:rPr>
        <w:t xml:space="preserve"> el 15 de junio de</w:t>
      </w:r>
      <w:r w:rsidR="00313E48">
        <w:rPr>
          <w:rFonts w:asciiTheme="majorHAnsi" w:hAnsiTheme="majorHAnsi"/>
          <w:sz w:val="20"/>
          <w:szCs w:val="20"/>
          <w:lang w:val="es-ES"/>
        </w:rPr>
        <w:t xml:space="preserve">l 2011 </w:t>
      </w:r>
      <w:r w:rsidR="00F601DD">
        <w:rPr>
          <w:rFonts w:asciiTheme="majorHAnsi" w:hAnsiTheme="majorHAnsi"/>
          <w:sz w:val="20"/>
          <w:szCs w:val="20"/>
          <w:lang w:val="es-ES"/>
        </w:rPr>
        <w:t>se levantara la referida medida cautelar, por lo que estas presuntas víctimas fueron reincorporadas al BCR. Aducen que, pese a esta reincorporaci</w:t>
      </w:r>
      <w:r w:rsidR="009C7592">
        <w:rPr>
          <w:rFonts w:asciiTheme="majorHAnsi" w:hAnsiTheme="majorHAnsi"/>
          <w:sz w:val="20"/>
          <w:szCs w:val="20"/>
          <w:lang w:val="es-ES"/>
        </w:rPr>
        <w:t xml:space="preserve">ón, el BCR no cumplió a cabalidad con la </w:t>
      </w:r>
      <w:r w:rsidR="009C7592" w:rsidRPr="0026185F">
        <w:rPr>
          <w:rFonts w:asciiTheme="majorHAnsi" w:hAnsiTheme="majorHAnsi"/>
          <w:sz w:val="20"/>
          <w:szCs w:val="20"/>
          <w:lang w:val="es-ES"/>
        </w:rPr>
        <w:t>sentencia</w:t>
      </w:r>
      <w:r w:rsidR="00A55761" w:rsidRPr="0026185F">
        <w:rPr>
          <w:rFonts w:asciiTheme="majorHAnsi" w:hAnsiTheme="majorHAnsi"/>
          <w:sz w:val="20"/>
          <w:szCs w:val="20"/>
          <w:lang w:val="es-ES"/>
        </w:rPr>
        <w:t>,</w:t>
      </w:r>
      <w:r w:rsidR="009C7592" w:rsidRPr="0026185F">
        <w:rPr>
          <w:rFonts w:asciiTheme="majorHAnsi" w:hAnsiTheme="majorHAnsi"/>
          <w:sz w:val="20"/>
          <w:szCs w:val="20"/>
          <w:lang w:val="es-ES"/>
        </w:rPr>
        <w:t xml:space="preserve"> aislando </w:t>
      </w:r>
      <w:r w:rsidR="00A55761" w:rsidRPr="0026185F">
        <w:rPr>
          <w:rFonts w:asciiTheme="majorHAnsi" w:hAnsiTheme="majorHAnsi"/>
          <w:sz w:val="20"/>
          <w:szCs w:val="20"/>
          <w:lang w:val="es-ES"/>
        </w:rPr>
        <w:t xml:space="preserve">discriminatoriamente </w:t>
      </w:r>
      <w:r w:rsidR="009C7592" w:rsidRPr="0026185F">
        <w:rPr>
          <w:rFonts w:asciiTheme="majorHAnsi" w:hAnsiTheme="majorHAnsi"/>
          <w:sz w:val="20"/>
          <w:szCs w:val="20"/>
          <w:lang w:val="es-ES"/>
        </w:rPr>
        <w:t>a los trabajadores reincorporados en una oficina de 20 mts</w:t>
      </w:r>
      <w:r w:rsidR="009C7592" w:rsidRPr="0026185F">
        <w:rPr>
          <w:rFonts w:asciiTheme="majorHAnsi" w:hAnsiTheme="majorHAnsi"/>
          <w:sz w:val="20"/>
          <w:szCs w:val="20"/>
          <w:vertAlign w:val="superscript"/>
          <w:lang w:val="es-ES"/>
        </w:rPr>
        <w:t>2</w:t>
      </w:r>
      <w:r w:rsidR="00A55761" w:rsidRPr="0026185F">
        <w:rPr>
          <w:rFonts w:asciiTheme="majorHAnsi" w:hAnsiTheme="majorHAnsi"/>
          <w:sz w:val="20"/>
          <w:szCs w:val="20"/>
          <w:vertAlign w:val="superscript"/>
          <w:lang w:val="es-ES"/>
        </w:rPr>
        <w:t xml:space="preserve"> </w:t>
      </w:r>
      <w:r w:rsidR="00C10F3D" w:rsidRPr="0026185F">
        <w:rPr>
          <w:rFonts w:asciiTheme="majorHAnsi" w:hAnsiTheme="majorHAnsi"/>
          <w:sz w:val="20"/>
          <w:szCs w:val="20"/>
          <w:lang w:val="es-ES"/>
        </w:rPr>
        <w:t xml:space="preserve">, ubicada fuera de las instalaciones del banco, </w:t>
      </w:r>
      <w:r w:rsidR="009C7592" w:rsidRPr="0026185F">
        <w:rPr>
          <w:rFonts w:asciiTheme="majorHAnsi" w:hAnsiTheme="majorHAnsi"/>
          <w:sz w:val="20"/>
          <w:szCs w:val="20"/>
          <w:lang w:val="es-ES"/>
        </w:rPr>
        <w:t>con un solo baño y una sola computadora</w:t>
      </w:r>
      <w:r w:rsidR="00372686">
        <w:rPr>
          <w:rFonts w:asciiTheme="majorHAnsi" w:hAnsiTheme="majorHAnsi"/>
          <w:sz w:val="20"/>
          <w:szCs w:val="20"/>
          <w:lang w:val="es-ES"/>
        </w:rPr>
        <w:t xml:space="preserve">. </w:t>
      </w:r>
      <w:r w:rsidR="00A55761" w:rsidRPr="0026185F">
        <w:rPr>
          <w:rFonts w:asciiTheme="majorHAnsi" w:hAnsiTheme="majorHAnsi"/>
          <w:sz w:val="20"/>
          <w:szCs w:val="20"/>
          <w:lang w:val="es-ES"/>
        </w:rPr>
        <w:t>Además, señala que a los trabajadores reintegrados no se les concedió</w:t>
      </w:r>
      <w:r w:rsidR="00F17C0C" w:rsidRPr="0026185F">
        <w:rPr>
          <w:rFonts w:asciiTheme="majorHAnsi" w:hAnsiTheme="majorHAnsi"/>
          <w:sz w:val="20"/>
          <w:szCs w:val="20"/>
          <w:lang w:val="es-ES"/>
        </w:rPr>
        <w:t xml:space="preserve"> responsabilidades específicas de acuer</w:t>
      </w:r>
      <w:r w:rsidR="00A55761" w:rsidRPr="0026185F">
        <w:rPr>
          <w:rFonts w:asciiTheme="majorHAnsi" w:hAnsiTheme="majorHAnsi"/>
          <w:sz w:val="20"/>
          <w:szCs w:val="20"/>
          <w:lang w:val="es-ES"/>
        </w:rPr>
        <w:t>do a sus niveles profesionales;</w:t>
      </w:r>
      <w:r w:rsidR="00F17C0C" w:rsidRPr="0026185F">
        <w:rPr>
          <w:rFonts w:asciiTheme="majorHAnsi" w:hAnsiTheme="majorHAnsi"/>
          <w:sz w:val="20"/>
          <w:szCs w:val="20"/>
          <w:lang w:val="es-ES"/>
        </w:rPr>
        <w:t xml:space="preserve"> </w:t>
      </w:r>
      <w:r w:rsidR="00A55761" w:rsidRPr="0026185F">
        <w:rPr>
          <w:rFonts w:asciiTheme="majorHAnsi" w:hAnsiTheme="majorHAnsi"/>
          <w:sz w:val="20"/>
          <w:szCs w:val="20"/>
          <w:lang w:val="es-ES"/>
        </w:rPr>
        <w:t>se les pagó a</w:t>
      </w:r>
      <w:r w:rsidR="00F17C0C" w:rsidRPr="0026185F">
        <w:rPr>
          <w:rFonts w:asciiTheme="majorHAnsi" w:hAnsiTheme="majorHAnsi"/>
          <w:sz w:val="20"/>
          <w:szCs w:val="20"/>
          <w:lang w:val="es-ES"/>
        </w:rPr>
        <w:t xml:space="preserve"> todos el mismo salario mínimo en lugar del que les correspondía por escala</w:t>
      </w:r>
      <w:r w:rsidR="00A55761" w:rsidRPr="0026185F">
        <w:rPr>
          <w:rFonts w:asciiTheme="majorHAnsi" w:hAnsiTheme="majorHAnsi"/>
          <w:sz w:val="20"/>
          <w:szCs w:val="20"/>
          <w:lang w:val="es-ES"/>
        </w:rPr>
        <w:t>; y se les excluyó de beneficios tales como bonos que se otorgaron a</w:t>
      </w:r>
      <w:r w:rsidR="00C10F3D" w:rsidRPr="0026185F">
        <w:rPr>
          <w:rFonts w:asciiTheme="majorHAnsi" w:hAnsiTheme="majorHAnsi"/>
          <w:sz w:val="20"/>
          <w:szCs w:val="20"/>
          <w:lang w:val="es-ES"/>
        </w:rPr>
        <w:t xml:space="preserve"> los otros trabajadores del banco</w:t>
      </w:r>
      <w:r w:rsidR="00B90BB2" w:rsidRPr="0026185F">
        <w:rPr>
          <w:rFonts w:asciiTheme="majorHAnsi" w:hAnsiTheme="majorHAnsi"/>
          <w:sz w:val="20"/>
          <w:szCs w:val="20"/>
          <w:lang w:val="es-ES"/>
        </w:rPr>
        <w:t>.</w:t>
      </w:r>
      <w:r w:rsidR="009C7592" w:rsidRPr="0026185F">
        <w:rPr>
          <w:rFonts w:asciiTheme="majorHAnsi" w:hAnsiTheme="majorHAnsi"/>
          <w:sz w:val="20"/>
          <w:szCs w:val="20"/>
          <w:lang w:val="es-ES"/>
        </w:rPr>
        <w:t xml:space="preserve"> </w:t>
      </w:r>
      <w:r w:rsidR="00911F04">
        <w:rPr>
          <w:rFonts w:asciiTheme="majorHAnsi" w:hAnsiTheme="majorHAnsi"/>
          <w:sz w:val="20"/>
          <w:szCs w:val="20"/>
          <w:lang w:val="es-ES"/>
        </w:rPr>
        <w:t xml:space="preserve">Los representantes del segundo grupo, en cambio, indican que sus representados jamás fueron reincorporados al BCR. </w:t>
      </w:r>
    </w:p>
    <w:p w14:paraId="07B8EC09" w14:textId="5A6E5D8C" w:rsidR="000032DD" w:rsidRDefault="00A728EE" w:rsidP="00ED47F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7</w:t>
      </w:r>
      <w:r w:rsidR="00B90BB2">
        <w:rPr>
          <w:rFonts w:asciiTheme="majorHAnsi" w:hAnsiTheme="majorHAnsi"/>
          <w:sz w:val="20"/>
          <w:szCs w:val="20"/>
          <w:lang w:val="es-ES"/>
        </w:rPr>
        <w:t xml:space="preserve">. La parte peticionaria relata que </w:t>
      </w:r>
      <w:r w:rsidR="00313E48">
        <w:rPr>
          <w:rFonts w:asciiTheme="majorHAnsi" w:hAnsiTheme="majorHAnsi"/>
          <w:sz w:val="20"/>
          <w:szCs w:val="20"/>
          <w:lang w:val="es-ES"/>
        </w:rPr>
        <w:t xml:space="preserve">el 22 de noviembre de 2011 la Tercera Sala Civil de Lima </w:t>
      </w:r>
      <w:r w:rsidR="00EC3A97">
        <w:rPr>
          <w:rFonts w:asciiTheme="majorHAnsi" w:hAnsiTheme="majorHAnsi"/>
          <w:sz w:val="20"/>
          <w:szCs w:val="20"/>
          <w:lang w:val="es-ES"/>
        </w:rPr>
        <w:t>declaró</w:t>
      </w:r>
      <w:r w:rsidR="00313E48">
        <w:rPr>
          <w:rFonts w:asciiTheme="majorHAnsi" w:hAnsiTheme="majorHAnsi"/>
          <w:sz w:val="20"/>
          <w:szCs w:val="20"/>
          <w:lang w:val="es-ES"/>
        </w:rPr>
        <w:t xml:space="preserve"> fundado el “amparo contra amparo” interpuesto por la BCR</w:t>
      </w:r>
      <w:r w:rsidR="00EC3A97">
        <w:rPr>
          <w:rFonts w:asciiTheme="majorHAnsi" w:hAnsiTheme="majorHAnsi"/>
          <w:sz w:val="20"/>
          <w:szCs w:val="20"/>
          <w:lang w:val="es-ES"/>
        </w:rPr>
        <w:t xml:space="preserve"> y anuló</w:t>
      </w:r>
      <w:r w:rsidR="00313E48">
        <w:rPr>
          <w:rFonts w:asciiTheme="majorHAnsi" w:hAnsiTheme="majorHAnsi"/>
          <w:sz w:val="20"/>
          <w:szCs w:val="20"/>
          <w:lang w:val="es-ES"/>
        </w:rPr>
        <w:t xml:space="preserve"> la sentencia previamente emitida a su favor</w:t>
      </w:r>
      <w:r w:rsidR="00EC3A97">
        <w:rPr>
          <w:rFonts w:asciiTheme="majorHAnsi" w:hAnsiTheme="majorHAnsi"/>
          <w:sz w:val="20"/>
          <w:szCs w:val="20"/>
          <w:lang w:val="es-ES"/>
        </w:rPr>
        <w:t>, aduciendo que la misma carecía de debida motivación</w:t>
      </w:r>
      <w:r w:rsidR="004F26AE">
        <w:rPr>
          <w:rStyle w:val="FootnoteReference"/>
          <w:rFonts w:asciiTheme="majorHAnsi" w:hAnsiTheme="majorHAnsi"/>
          <w:sz w:val="20"/>
          <w:szCs w:val="20"/>
          <w:lang w:val="es-ES"/>
        </w:rPr>
        <w:footnoteReference w:id="17"/>
      </w:r>
      <w:r w:rsidR="00313E48">
        <w:rPr>
          <w:rFonts w:asciiTheme="majorHAnsi" w:hAnsiTheme="majorHAnsi"/>
          <w:sz w:val="20"/>
          <w:szCs w:val="20"/>
          <w:lang w:val="es-ES"/>
        </w:rPr>
        <w:t>. Esta decisión fue luego confirmada en segunda instancia por la Sala de Derecho Constitucional y Social Permanente el 30 de octubre de 2012</w:t>
      </w:r>
      <w:r w:rsidR="00A7135D">
        <w:rPr>
          <w:rStyle w:val="FootnoteReference"/>
          <w:rFonts w:asciiTheme="majorHAnsi" w:hAnsiTheme="majorHAnsi"/>
          <w:sz w:val="20"/>
          <w:szCs w:val="20"/>
          <w:lang w:val="es-ES"/>
        </w:rPr>
        <w:footnoteReference w:id="18"/>
      </w:r>
      <w:r w:rsidR="00313E48">
        <w:rPr>
          <w:rFonts w:asciiTheme="majorHAnsi" w:hAnsiTheme="majorHAnsi"/>
          <w:sz w:val="20"/>
          <w:szCs w:val="20"/>
          <w:lang w:val="es-ES"/>
        </w:rPr>
        <w:t>.</w:t>
      </w:r>
      <w:r w:rsidR="00D92E3D">
        <w:rPr>
          <w:rFonts w:asciiTheme="majorHAnsi" w:hAnsiTheme="majorHAnsi"/>
          <w:sz w:val="20"/>
          <w:szCs w:val="20"/>
          <w:lang w:val="es-ES"/>
        </w:rPr>
        <w:t xml:space="preserve"> Por esta razón la Cuarta Sala Civil de Lima emitió una nueva sentencia de segunda instancia, en la que se declaró fundada la excepción de caducidad de la acción interpuesta por el BCR en 2003. Los representantes del primer grupo alegan, que pese a que esta nueva sentencia </w:t>
      </w:r>
      <w:r w:rsidR="003F54E8">
        <w:rPr>
          <w:rFonts w:asciiTheme="majorHAnsi" w:hAnsiTheme="majorHAnsi"/>
          <w:sz w:val="20"/>
          <w:szCs w:val="20"/>
          <w:lang w:val="es-ES"/>
        </w:rPr>
        <w:t>no fue notificada sino hasta el 3 de septiembre de 2013, el</w:t>
      </w:r>
      <w:r w:rsidR="00E81CF1">
        <w:rPr>
          <w:rFonts w:asciiTheme="majorHAnsi" w:hAnsiTheme="majorHAnsi"/>
          <w:sz w:val="20"/>
          <w:szCs w:val="20"/>
          <w:lang w:val="es-ES"/>
        </w:rPr>
        <w:t xml:space="preserve"> 18 de junio de 2013 el </w:t>
      </w:r>
      <w:r w:rsidR="003F54E8">
        <w:rPr>
          <w:rFonts w:asciiTheme="majorHAnsi" w:hAnsiTheme="majorHAnsi"/>
          <w:sz w:val="20"/>
          <w:szCs w:val="20"/>
          <w:lang w:val="es-ES"/>
        </w:rPr>
        <w:t xml:space="preserve">BCR </w:t>
      </w:r>
      <w:r w:rsidR="00432984">
        <w:rPr>
          <w:rFonts w:asciiTheme="majorHAnsi" w:hAnsiTheme="majorHAnsi"/>
          <w:sz w:val="20"/>
          <w:szCs w:val="20"/>
          <w:lang w:val="es-ES"/>
        </w:rPr>
        <w:t>despidió</w:t>
      </w:r>
      <w:r w:rsidR="00432984">
        <w:rPr>
          <w:rStyle w:val="FootnoteReference"/>
          <w:rFonts w:asciiTheme="majorHAnsi" w:hAnsiTheme="majorHAnsi"/>
          <w:sz w:val="20"/>
          <w:szCs w:val="20"/>
          <w:lang w:val="es-ES"/>
        </w:rPr>
        <w:footnoteReference w:id="19"/>
      </w:r>
      <w:r w:rsidR="00432984">
        <w:rPr>
          <w:rFonts w:asciiTheme="majorHAnsi" w:hAnsiTheme="majorHAnsi"/>
          <w:sz w:val="20"/>
          <w:szCs w:val="20"/>
          <w:lang w:val="es-ES"/>
        </w:rPr>
        <w:t xml:space="preserve"> a todos los trabajadores que habían sido reintegrados</w:t>
      </w:r>
      <w:r w:rsidR="009F3D92">
        <w:rPr>
          <w:rStyle w:val="FootnoteReference"/>
          <w:rFonts w:asciiTheme="majorHAnsi" w:hAnsiTheme="majorHAnsi"/>
          <w:sz w:val="20"/>
          <w:szCs w:val="20"/>
          <w:lang w:val="es-ES"/>
        </w:rPr>
        <w:footnoteReference w:id="20"/>
      </w:r>
      <w:r w:rsidR="00432984">
        <w:rPr>
          <w:rFonts w:asciiTheme="majorHAnsi" w:hAnsiTheme="majorHAnsi"/>
          <w:sz w:val="20"/>
          <w:szCs w:val="20"/>
          <w:lang w:val="es-ES"/>
        </w:rPr>
        <w:t xml:space="preserve">. </w:t>
      </w:r>
      <w:r w:rsidR="00434A64">
        <w:rPr>
          <w:rFonts w:asciiTheme="majorHAnsi" w:hAnsiTheme="majorHAnsi"/>
          <w:sz w:val="20"/>
          <w:szCs w:val="20"/>
          <w:lang w:val="es-ES"/>
        </w:rPr>
        <w:t>La parte peticionaria indica que se interpuso agravio constitucional contra la nueva sentencia de la Cuarta Sala</w:t>
      </w:r>
      <w:r w:rsidR="00E81CF1">
        <w:rPr>
          <w:rFonts w:asciiTheme="majorHAnsi" w:hAnsiTheme="majorHAnsi"/>
          <w:sz w:val="20"/>
          <w:szCs w:val="20"/>
          <w:lang w:val="es-ES"/>
        </w:rPr>
        <w:t>, pese a lo cual el Tribunal Constitucional confirmó el 20 de julio de 2016 la procedencia de la excepci</w:t>
      </w:r>
      <w:r w:rsidR="004F26AE">
        <w:rPr>
          <w:rFonts w:asciiTheme="majorHAnsi" w:hAnsiTheme="majorHAnsi"/>
          <w:sz w:val="20"/>
          <w:szCs w:val="20"/>
          <w:lang w:val="es-ES"/>
        </w:rPr>
        <w:t>ón de caducidad</w:t>
      </w:r>
      <w:r w:rsidR="00E81CF1">
        <w:rPr>
          <w:rFonts w:asciiTheme="majorHAnsi" w:hAnsiTheme="majorHAnsi"/>
          <w:sz w:val="20"/>
          <w:szCs w:val="20"/>
          <w:lang w:val="es-ES"/>
        </w:rPr>
        <w:t xml:space="preserve"> </w:t>
      </w:r>
      <w:r w:rsidR="004F26AE">
        <w:rPr>
          <w:rFonts w:asciiTheme="majorHAnsi" w:hAnsiTheme="majorHAnsi"/>
          <w:sz w:val="20"/>
          <w:szCs w:val="20"/>
          <w:lang w:val="es-ES"/>
        </w:rPr>
        <w:t xml:space="preserve">por </w:t>
      </w:r>
      <w:r w:rsidR="00400629">
        <w:rPr>
          <w:rFonts w:asciiTheme="majorHAnsi" w:hAnsiTheme="majorHAnsi"/>
          <w:sz w:val="20"/>
          <w:szCs w:val="20"/>
          <w:lang w:val="es-ES"/>
        </w:rPr>
        <w:t>considerar que el</w:t>
      </w:r>
      <w:r w:rsidR="004F26AE">
        <w:rPr>
          <w:rFonts w:asciiTheme="majorHAnsi" w:hAnsiTheme="majorHAnsi"/>
          <w:sz w:val="20"/>
          <w:szCs w:val="20"/>
          <w:lang w:val="es-ES"/>
        </w:rPr>
        <w:t xml:space="preserve"> </w:t>
      </w:r>
      <w:r w:rsidR="00400629">
        <w:rPr>
          <w:rFonts w:asciiTheme="majorHAnsi" w:hAnsiTheme="majorHAnsi"/>
          <w:sz w:val="20"/>
          <w:szCs w:val="20"/>
          <w:lang w:val="es-ES"/>
        </w:rPr>
        <w:t xml:space="preserve">plazo debía contarse </w:t>
      </w:r>
      <w:r w:rsidR="004F26AE">
        <w:rPr>
          <w:rFonts w:asciiTheme="majorHAnsi" w:hAnsiTheme="majorHAnsi"/>
          <w:sz w:val="20"/>
          <w:szCs w:val="20"/>
          <w:lang w:val="es-ES"/>
        </w:rPr>
        <w:t>a partir</w:t>
      </w:r>
      <w:r w:rsidR="00400629">
        <w:rPr>
          <w:rFonts w:asciiTheme="majorHAnsi" w:hAnsiTheme="majorHAnsi"/>
          <w:sz w:val="20"/>
          <w:szCs w:val="20"/>
          <w:lang w:val="es-ES"/>
        </w:rPr>
        <w:t xml:space="preserve"> </w:t>
      </w:r>
      <w:r w:rsidR="004F26AE">
        <w:rPr>
          <w:rFonts w:asciiTheme="majorHAnsi" w:hAnsiTheme="majorHAnsi"/>
          <w:sz w:val="20"/>
          <w:szCs w:val="20"/>
          <w:lang w:val="es-ES"/>
        </w:rPr>
        <w:t>de 1992 cuando ocurrió el daño alegado</w:t>
      </w:r>
      <w:r w:rsidR="004F26AE">
        <w:rPr>
          <w:rStyle w:val="FootnoteReference"/>
          <w:rFonts w:asciiTheme="majorHAnsi" w:hAnsiTheme="majorHAnsi"/>
          <w:sz w:val="20"/>
          <w:szCs w:val="20"/>
          <w:lang w:val="es-ES"/>
        </w:rPr>
        <w:footnoteReference w:id="21"/>
      </w:r>
      <w:r w:rsidR="004F26AE">
        <w:rPr>
          <w:rFonts w:asciiTheme="majorHAnsi" w:hAnsiTheme="majorHAnsi"/>
          <w:sz w:val="20"/>
          <w:szCs w:val="20"/>
          <w:lang w:val="es-ES"/>
        </w:rPr>
        <w:t>.</w:t>
      </w:r>
      <w:r w:rsidR="00A7135D">
        <w:rPr>
          <w:rFonts w:asciiTheme="majorHAnsi" w:hAnsiTheme="majorHAnsi"/>
          <w:sz w:val="20"/>
          <w:szCs w:val="20"/>
          <w:lang w:val="es-ES"/>
        </w:rPr>
        <w:t xml:space="preserve"> </w:t>
      </w:r>
    </w:p>
    <w:p w14:paraId="5A2292AE" w14:textId="09EC60DA" w:rsidR="00ED47F6" w:rsidRDefault="00A728EE" w:rsidP="00ED47F6">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8</w:t>
      </w:r>
      <w:r w:rsidR="00ED47F6">
        <w:rPr>
          <w:rFonts w:asciiTheme="majorHAnsi" w:hAnsiTheme="majorHAnsi"/>
          <w:sz w:val="20"/>
          <w:szCs w:val="20"/>
          <w:lang w:val="es-ES"/>
        </w:rPr>
        <w:t xml:space="preserve">. Los representantes </w:t>
      </w:r>
      <w:r w:rsidR="003C3907">
        <w:rPr>
          <w:rFonts w:asciiTheme="majorHAnsi" w:hAnsiTheme="majorHAnsi"/>
          <w:sz w:val="20"/>
          <w:szCs w:val="20"/>
          <w:lang w:val="es-ES"/>
        </w:rPr>
        <w:t xml:space="preserve">del segundo grupo señalan que </w:t>
      </w:r>
      <w:r w:rsidR="003C3907" w:rsidRPr="00D70DE2">
        <w:rPr>
          <w:rFonts w:asciiTheme="majorHAnsi" w:hAnsiTheme="majorHAnsi"/>
          <w:sz w:val="20"/>
          <w:szCs w:val="20"/>
          <w:lang w:val="es-ES"/>
        </w:rPr>
        <w:t>en el caso particular del</w:t>
      </w:r>
      <w:r w:rsidR="00C6128B" w:rsidRPr="00D70DE2">
        <w:rPr>
          <w:rFonts w:asciiTheme="majorHAnsi" w:hAnsiTheme="majorHAnsi"/>
          <w:sz w:val="20"/>
          <w:szCs w:val="20"/>
          <w:lang w:val="es-ES"/>
        </w:rPr>
        <w:t xml:space="preserve"> </w:t>
      </w:r>
      <w:r w:rsidR="00C6128B">
        <w:rPr>
          <w:rFonts w:asciiTheme="majorHAnsi" w:hAnsiTheme="majorHAnsi"/>
          <w:sz w:val="20"/>
          <w:szCs w:val="20"/>
          <w:lang w:val="es-ES"/>
        </w:rPr>
        <w:t>señor José Augusto del Busto Medina fue incluido en el 2017 en el Registro Nacional de Trabajadores Cesados Irregularmente</w:t>
      </w:r>
      <w:r w:rsidR="00266E9B">
        <w:rPr>
          <w:rFonts w:asciiTheme="majorHAnsi" w:hAnsiTheme="majorHAnsi"/>
          <w:sz w:val="20"/>
          <w:szCs w:val="20"/>
          <w:lang w:val="es-ES"/>
        </w:rPr>
        <w:t xml:space="preserve"> (RNTCI)</w:t>
      </w:r>
      <w:r w:rsidR="00C6128B">
        <w:rPr>
          <w:rFonts w:asciiTheme="majorHAnsi" w:hAnsiTheme="majorHAnsi"/>
          <w:sz w:val="20"/>
          <w:szCs w:val="20"/>
          <w:lang w:val="es-ES"/>
        </w:rPr>
        <w:t xml:space="preserve"> lo que implica un reconocimiento por parte del Estado de que su cese de empleo fue llevado de forma ileg</w:t>
      </w:r>
      <w:r w:rsidR="00A1624A">
        <w:rPr>
          <w:rFonts w:asciiTheme="majorHAnsi" w:hAnsiTheme="majorHAnsi"/>
          <w:sz w:val="20"/>
          <w:szCs w:val="20"/>
          <w:lang w:val="es-ES"/>
        </w:rPr>
        <w:t>ítima</w:t>
      </w:r>
      <w:r w:rsidR="00C6128B">
        <w:rPr>
          <w:rStyle w:val="FootnoteReference"/>
          <w:rFonts w:asciiTheme="majorHAnsi" w:hAnsiTheme="majorHAnsi"/>
          <w:sz w:val="20"/>
          <w:szCs w:val="20"/>
          <w:lang w:val="es-ES"/>
        </w:rPr>
        <w:footnoteReference w:id="22"/>
      </w:r>
      <w:r w:rsidR="00A1624A">
        <w:rPr>
          <w:rFonts w:asciiTheme="majorHAnsi" w:hAnsiTheme="majorHAnsi"/>
          <w:sz w:val="20"/>
          <w:szCs w:val="20"/>
          <w:lang w:val="es-ES"/>
        </w:rPr>
        <w:t>.</w:t>
      </w:r>
      <w:r w:rsidR="00431599">
        <w:rPr>
          <w:rFonts w:asciiTheme="majorHAnsi" w:hAnsiTheme="majorHAnsi"/>
          <w:sz w:val="20"/>
          <w:szCs w:val="20"/>
          <w:lang w:val="es-ES"/>
        </w:rPr>
        <w:t xml:space="preserve"> Alega que con base a este reconocimiento ha </w:t>
      </w:r>
      <w:r w:rsidR="00266E9B">
        <w:rPr>
          <w:rFonts w:asciiTheme="majorHAnsi" w:hAnsiTheme="majorHAnsi"/>
          <w:sz w:val="20"/>
          <w:szCs w:val="20"/>
          <w:lang w:val="es-ES"/>
        </w:rPr>
        <w:t>solicitado, sin éxito, su reincorporación al BCR con fundamento en el beneficio que la l</w:t>
      </w:r>
      <w:r w:rsidR="00431599">
        <w:rPr>
          <w:rFonts w:asciiTheme="majorHAnsi" w:hAnsiTheme="majorHAnsi"/>
          <w:sz w:val="20"/>
          <w:szCs w:val="20"/>
          <w:lang w:val="es-ES"/>
        </w:rPr>
        <w:t>ey No. 27803</w:t>
      </w:r>
      <w:r w:rsidR="00237E7B">
        <w:rPr>
          <w:rFonts w:asciiTheme="majorHAnsi" w:hAnsiTheme="majorHAnsi"/>
          <w:sz w:val="20"/>
          <w:szCs w:val="20"/>
          <w:lang w:val="es-ES"/>
        </w:rPr>
        <w:t xml:space="preserve"> le otorga. </w:t>
      </w:r>
      <w:r w:rsidR="00266E9B">
        <w:rPr>
          <w:rFonts w:asciiTheme="majorHAnsi" w:hAnsiTheme="majorHAnsi"/>
          <w:sz w:val="20"/>
          <w:szCs w:val="20"/>
          <w:lang w:val="es-ES"/>
        </w:rPr>
        <w:t xml:space="preserve">Por su parte, el representante del primer grupo alega que las presuntas víctimas fueron inicialmente incluidas en el RNTCI pero luego retiradas de la lista a consecuencia de haber interpuesto sus acciones de habeas data y de amparo en 2002 y 2003. </w:t>
      </w:r>
    </w:p>
    <w:p w14:paraId="41A790E0" w14:textId="53BD3661" w:rsidR="00997D94" w:rsidRDefault="00997D94" w:rsidP="00997D94">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 xml:space="preserve">9. </w:t>
      </w:r>
      <w:r w:rsidRPr="00413231">
        <w:rPr>
          <w:rFonts w:ascii="Cambria" w:hAnsi="Cambria"/>
          <w:sz w:val="20"/>
          <w:szCs w:val="20"/>
          <w:lang w:val="es-ES"/>
        </w:rPr>
        <w:t>La parte peticionaria sostiene que el Estado es responsable por la violación de los derechos humanos de las presuntas víctimas</w:t>
      </w:r>
      <w:r w:rsidR="007D71A0">
        <w:rPr>
          <w:rFonts w:ascii="Cambria" w:hAnsi="Cambria"/>
          <w:sz w:val="20"/>
          <w:szCs w:val="20"/>
          <w:lang w:val="es-ES_tradnl"/>
        </w:rPr>
        <w:t>,</w:t>
      </w:r>
      <w:r w:rsidRPr="00413231">
        <w:rPr>
          <w:rFonts w:ascii="Cambria" w:hAnsi="Cambria"/>
          <w:sz w:val="20"/>
          <w:szCs w:val="20"/>
          <w:lang w:val="es-ES"/>
        </w:rPr>
        <w:t xml:space="preserve"> señalando que no se respetó su derecho a un recurso sencillo y efectivo pues, aunque su acción de amparo resultó en una sentencia favorable con grado de cosa juzgada, no se dio cumplimiento a ésta, siendo suspendida su ejecución por años en base a procesos judiciales posteriores, en los que medió la intervención política del poder </w:t>
      </w:r>
      <w:r w:rsidRPr="00714E7F">
        <w:rPr>
          <w:rFonts w:ascii="Cambria" w:hAnsi="Cambria"/>
          <w:sz w:val="20"/>
          <w:szCs w:val="20"/>
          <w:lang w:val="es-ES"/>
        </w:rPr>
        <w:t>ejecutivo</w:t>
      </w:r>
      <w:r w:rsidRPr="00413231">
        <w:rPr>
          <w:rStyle w:val="FootnoteReference"/>
          <w:rFonts w:ascii="Cambria" w:hAnsi="Cambria"/>
          <w:sz w:val="20"/>
          <w:szCs w:val="20"/>
          <w:lang w:val="es-ES"/>
        </w:rPr>
        <w:footnoteReference w:id="23"/>
      </w:r>
      <w:r w:rsidRPr="00413231">
        <w:rPr>
          <w:rFonts w:ascii="Cambria" w:hAnsi="Cambria"/>
          <w:sz w:val="20"/>
          <w:szCs w:val="20"/>
          <w:lang w:val="es-ES"/>
        </w:rPr>
        <w:t>. Considera</w:t>
      </w:r>
      <w:r>
        <w:rPr>
          <w:rFonts w:ascii="Cambria" w:hAnsi="Cambria"/>
          <w:sz w:val="20"/>
          <w:szCs w:val="20"/>
          <w:lang w:val="es-ES"/>
        </w:rPr>
        <w:t xml:space="preserve"> que</w:t>
      </w:r>
      <w:r w:rsidRPr="00413231">
        <w:rPr>
          <w:rFonts w:ascii="Cambria" w:hAnsi="Cambria"/>
          <w:sz w:val="20"/>
          <w:szCs w:val="20"/>
          <w:lang w:val="es-ES"/>
        </w:rPr>
        <w:t xml:space="preserve"> el respeto del derecho al trabajo exige que los trabajadores sean reintegrados mientras se decide cualquier impugnación de la sentencia que ordena su </w:t>
      </w:r>
      <w:r w:rsidRPr="00413231">
        <w:rPr>
          <w:rFonts w:ascii="Cambria" w:hAnsi="Cambria"/>
          <w:sz w:val="20"/>
          <w:szCs w:val="20"/>
          <w:lang w:val="es-ES"/>
        </w:rPr>
        <w:lastRenderedPageBreak/>
        <w:t>reintegro</w:t>
      </w:r>
      <w:r w:rsidRPr="00413231">
        <w:rPr>
          <w:rStyle w:val="FootnoteReference"/>
          <w:rFonts w:ascii="Cambria" w:hAnsi="Cambria"/>
          <w:sz w:val="20"/>
          <w:szCs w:val="20"/>
          <w:lang w:val="es-ES"/>
        </w:rPr>
        <w:footnoteReference w:id="24"/>
      </w:r>
      <w:r w:rsidRPr="00413231">
        <w:rPr>
          <w:rFonts w:ascii="Cambria" w:hAnsi="Cambria"/>
          <w:sz w:val="20"/>
          <w:szCs w:val="20"/>
          <w:lang w:val="es-ES"/>
        </w:rPr>
        <w:t>. De igual manera, considera que no se debió conceder la excepción de caducidad a favor del BCR, pues esta entidad les ocultó fraudulentamente información, impidiéndoles presentar su acción de amparo en fecha más temprana. El representante del primer grupo en adición denuncia que los trabajadores que fueron temporalmente reintegrados fueron tratados de manera discriminatoria y que la falta de cumplimiento de la sentencia afectó la in</w:t>
      </w:r>
      <w:r>
        <w:rPr>
          <w:rFonts w:ascii="Cambria" w:hAnsi="Cambria"/>
          <w:sz w:val="20"/>
          <w:szCs w:val="20"/>
          <w:lang w:val="es-ES"/>
        </w:rPr>
        <w:t xml:space="preserve">tegridad personal de varios de </w:t>
      </w:r>
      <w:r w:rsidRPr="00413231">
        <w:rPr>
          <w:rFonts w:ascii="Cambria" w:hAnsi="Cambria"/>
          <w:sz w:val="20"/>
          <w:szCs w:val="20"/>
          <w:lang w:val="es-ES"/>
        </w:rPr>
        <w:t xml:space="preserve">los trabajadores, impidiéndoles acceder a tratamientos médicos que requerían, poniendo en peligro sus vidas.  Por su parte, el representante del segundo grupo indica que el Estado ya ha reconocido que los ceses fueron irregulares al incluir a José del Busto Medina en el </w:t>
      </w:r>
      <w:r w:rsidRPr="00413231">
        <w:rPr>
          <w:rFonts w:asciiTheme="majorHAnsi" w:hAnsiTheme="majorHAnsi"/>
          <w:sz w:val="20"/>
          <w:szCs w:val="20"/>
          <w:lang w:val="es-ES"/>
        </w:rPr>
        <w:t xml:space="preserve">RNTCI, pero no ha reparado el daño causado. </w:t>
      </w:r>
    </w:p>
    <w:p w14:paraId="37A5E6A7" w14:textId="40EBE263" w:rsidR="00A728EE" w:rsidRPr="00A728EE" w:rsidRDefault="00E72887" w:rsidP="00A728EE">
      <w:pPr>
        <w:spacing w:before="120" w:after="120"/>
        <w:ind w:firstLine="720"/>
        <w:jc w:val="both"/>
        <w:rPr>
          <w:rFonts w:ascii="Cambria" w:hAnsi="Cambria"/>
          <w:sz w:val="20"/>
          <w:szCs w:val="20"/>
          <w:lang w:val="es-ES"/>
        </w:rPr>
      </w:pPr>
      <w:r>
        <w:rPr>
          <w:rFonts w:asciiTheme="majorHAnsi" w:hAnsiTheme="majorHAnsi"/>
          <w:sz w:val="20"/>
          <w:szCs w:val="20"/>
          <w:lang w:val="es-ES"/>
        </w:rPr>
        <w:t>10</w:t>
      </w:r>
      <w:r w:rsidR="00A728EE">
        <w:rPr>
          <w:rFonts w:asciiTheme="majorHAnsi" w:hAnsiTheme="majorHAnsi"/>
          <w:sz w:val="20"/>
          <w:szCs w:val="20"/>
          <w:lang w:val="es-ES"/>
        </w:rPr>
        <w:t xml:space="preserve">. </w:t>
      </w:r>
      <w:r w:rsidR="00A728EE">
        <w:rPr>
          <w:rFonts w:ascii="Cambria" w:hAnsi="Cambria"/>
          <w:sz w:val="20"/>
          <w:szCs w:val="20"/>
          <w:lang w:val="es-ES"/>
        </w:rPr>
        <w:t>En su escrito inicial de petición, la parte peticionaria expresó que el requisito de agotamiento de los recursos internos no debía aplicarse a su petición por no existir, para su caso, el debido proceso legal en el Perú producto de la evidente interferenci</w:t>
      </w:r>
      <w:r w:rsidR="003C3907">
        <w:rPr>
          <w:rFonts w:ascii="Cambria" w:hAnsi="Cambria"/>
          <w:sz w:val="20"/>
          <w:szCs w:val="20"/>
          <w:lang w:val="es-ES"/>
        </w:rPr>
        <w:t>a del máximo representante del Poder E</w:t>
      </w:r>
      <w:r w:rsidR="00A728EE">
        <w:rPr>
          <w:rFonts w:ascii="Cambria" w:hAnsi="Cambria"/>
          <w:sz w:val="20"/>
          <w:szCs w:val="20"/>
          <w:lang w:val="es-ES"/>
        </w:rPr>
        <w:t xml:space="preserve">jecutivo.  Posteriormente, el representante del primer grupo ha alegado que se debe aplicar a su petición la excepción contenida en el artículo 46.2(c) de la Convención por existir excesiva demora en los procesos judiciales en los que participaron, resaltado que al momento de presentar su petición no se había resuelto su apelación presentada contra la medida cautelar que suspendió la ejecución de la sentencia dictada a su favor. De igual manera, el representante del segundo grupo ha argumentado que la violación a la protección judicial se configuró por el incumplimiento de la sentencia favorable de amparo, respecto a la cual las presuntas víctimas agotaron todos los recursos, siendo el incumplimiento y la interposición de acciones contra éste circunstancias posteriores que sólo agravan la violación ya consumada.  </w:t>
      </w:r>
    </w:p>
    <w:p w14:paraId="480FA547" w14:textId="6B1C0471" w:rsidR="00771B87" w:rsidRDefault="00E72887" w:rsidP="00771B87">
      <w:pPr>
        <w:spacing w:before="120" w:after="120"/>
        <w:ind w:firstLine="720"/>
        <w:jc w:val="both"/>
        <w:rPr>
          <w:rFonts w:asciiTheme="majorHAnsi" w:hAnsiTheme="majorHAnsi"/>
          <w:sz w:val="20"/>
          <w:szCs w:val="20"/>
          <w:lang w:val="es-ES"/>
        </w:rPr>
      </w:pPr>
      <w:r>
        <w:rPr>
          <w:rFonts w:asciiTheme="majorHAnsi" w:hAnsiTheme="majorHAnsi"/>
          <w:sz w:val="20"/>
          <w:szCs w:val="20"/>
          <w:lang w:val="es-ES"/>
        </w:rPr>
        <w:t>11</w:t>
      </w:r>
      <w:r w:rsidR="00A1624A">
        <w:rPr>
          <w:rFonts w:asciiTheme="majorHAnsi" w:hAnsiTheme="majorHAnsi"/>
          <w:sz w:val="20"/>
          <w:szCs w:val="20"/>
          <w:lang w:val="es-ES"/>
        </w:rPr>
        <w:t>.</w:t>
      </w:r>
      <w:r w:rsidR="007545F8">
        <w:rPr>
          <w:rFonts w:asciiTheme="majorHAnsi" w:hAnsiTheme="majorHAnsi"/>
          <w:sz w:val="20"/>
          <w:szCs w:val="20"/>
          <w:lang w:val="es-ES"/>
        </w:rPr>
        <w:t xml:space="preserve"> El Estado, por su parte, resalta que </w:t>
      </w:r>
      <w:r w:rsidR="00E02AB2">
        <w:rPr>
          <w:rFonts w:asciiTheme="majorHAnsi" w:hAnsiTheme="majorHAnsi"/>
          <w:sz w:val="20"/>
          <w:szCs w:val="20"/>
          <w:lang w:val="es-ES"/>
        </w:rPr>
        <w:t>la sentencia que la parte peticionaria reclama como incumplida no adquirió el grado de cosa juzgada pues su ejecución se suspendi</w:t>
      </w:r>
      <w:r w:rsidR="003E7840">
        <w:rPr>
          <w:rFonts w:asciiTheme="majorHAnsi" w:hAnsiTheme="majorHAnsi"/>
          <w:sz w:val="20"/>
          <w:szCs w:val="20"/>
          <w:lang w:val="es-ES"/>
        </w:rPr>
        <w:t xml:space="preserve">ó </w:t>
      </w:r>
      <w:r w:rsidR="00E02AB2">
        <w:rPr>
          <w:rFonts w:asciiTheme="majorHAnsi" w:hAnsiTheme="majorHAnsi"/>
          <w:sz w:val="20"/>
          <w:szCs w:val="20"/>
          <w:lang w:val="es-ES"/>
        </w:rPr>
        <w:t>mediante una medida cautelar legalmente dictada en un proceso de amparo contra resolución judicial</w:t>
      </w:r>
      <w:r w:rsidR="003E7840">
        <w:rPr>
          <w:rFonts w:asciiTheme="majorHAnsi" w:hAnsiTheme="majorHAnsi"/>
          <w:sz w:val="20"/>
          <w:szCs w:val="20"/>
          <w:lang w:val="es-ES"/>
        </w:rPr>
        <w:t>;</w:t>
      </w:r>
      <w:r w:rsidR="00E02AB2">
        <w:rPr>
          <w:rFonts w:asciiTheme="majorHAnsi" w:hAnsiTheme="majorHAnsi"/>
          <w:sz w:val="20"/>
          <w:szCs w:val="20"/>
          <w:lang w:val="es-ES"/>
        </w:rPr>
        <w:t xml:space="preserve"> el cual es un proceso permitido por el ordenamiento jurídico constitucional peruano y dentro del cual las presunta víctimas tuvieron todas las oportunidades para ejercer su defensa e impugnar las decisiones que les fueron adversas. </w:t>
      </w:r>
      <w:r w:rsidR="003E7840">
        <w:rPr>
          <w:rFonts w:asciiTheme="majorHAnsi" w:hAnsiTheme="majorHAnsi"/>
          <w:sz w:val="20"/>
          <w:szCs w:val="20"/>
          <w:lang w:val="es-ES"/>
        </w:rPr>
        <w:t xml:space="preserve"> También señala que existen contradicciones en los hechos alegados por los representantes de los distintos grupos de presuntas víctimas. </w:t>
      </w:r>
    </w:p>
    <w:p w14:paraId="48CC978D" w14:textId="69E541AF" w:rsidR="00997D94" w:rsidRPr="00997D94" w:rsidRDefault="00E72887" w:rsidP="00997D94">
      <w:pPr>
        <w:spacing w:before="120" w:after="120"/>
        <w:ind w:firstLine="720"/>
        <w:jc w:val="both"/>
        <w:rPr>
          <w:rFonts w:ascii="Cambria" w:hAnsi="Cambria"/>
          <w:sz w:val="20"/>
          <w:szCs w:val="20"/>
          <w:lang w:val="es-ES"/>
        </w:rPr>
      </w:pPr>
      <w:r>
        <w:rPr>
          <w:rFonts w:asciiTheme="majorHAnsi" w:hAnsiTheme="majorHAnsi"/>
          <w:sz w:val="20"/>
          <w:szCs w:val="20"/>
          <w:lang w:val="es-ES"/>
        </w:rPr>
        <w:t>12</w:t>
      </w:r>
      <w:r w:rsidR="00997D94">
        <w:rPr>
          <w:rFonts w:asciiTheme="majorHAnsi" w:hAnsiTheme="majorHAnsi"/>
          <w:sz w:val="20"/>
          <w:szCs w:val="20"/>
          <w:lang w:val="es-ES"/>
        </w:rPr>
        <w:t>.</w:t>
      </w:r>
      <w:r w:rsidR="00997D94">
        <w:rPr>
          <w:rFonts w:ascii="Cambria" w:hAnsi="Cambria"/>
          <w:sz w:val="20"/>
          <w:szCs w:val="20"/>
          <w:lang w:val="es-ES"/>
        </w:rPr>
        <w:t xml:space="preserve"> Afirma que los hechos alegados no caracterizan violaciones a los derechos humanos porque la sentencia cuyo cumplimiento los peticionarios demandan no tenía el grado de cosa juzgada, siendo esta impugnada y suspendida mediante mecanismos previstos en la ley</w:t>
      </w:r>
      <w:r w:rsidR="00997D94">
        <w:rPr>
          <w:rStyle w:val="FootnoteReference"/>
          <w:rFonts w:ascii="Cambria" w:hAnsi="Cambria"/>
          <w:sz w:val="20"/>
          <w:szCs w:val="20"/>
          <w:lang w:val="es-ES"/>
        </w:rPr>
        <w:footnoteReference w:id="25"/>
      </w:r>
      <w:r w:rsidR="00997D94">
        <w:rPr>
          <w:rFonts w:ascii="Cambria" w:hAnsi="Cambria"/>
          <w:sz w:val="20"/>
          <w:szCs w:val="20"/>
          <w:lang w:val="es-ES"/>
        </w:rPr>
        <w:t xml:space="preserve">.  Resalta que la referida sentencia fue finalmente declarada nula por los tribunales domésticos siguiendo el debido proceso. Considera que la no ejecución de una sentencia que se demostró nula no puede considerarse una violación a la Convención. Alega que la parte peticionaria pretende improcedentemente que la Comisión actúe como una cuarta instancia para revisar sentencias domésticas con las que está en desacuerdo. También señala que la Comisión carece de competencia </w:t>
      </w:r>
      <w:r w:rsidR="00997D94" w:rsidRPr="003C3907">
        <w:rPr>
          <w:rFonts w:ascii="Cambria" w:hAnsi="Cambria"/>
          <w:i/>
          <w:sz w:val="20"/>
          <w:szCs w:val="20"/>
          <w:lang w:val="es-ES"/>
        </w:rPr>
        <w:t>ratione materiae</w:t>
      </w:r>
      <w:r w:rsidR="00997D94">
        <w:rPr>
          <w:rFonts w:ascii="Cambria" w:hAnsi="Cambria"/>
          <w:sz w:val="20"/>
          <w:szCs w:val="20"/>
          <w:lang w:val="es-ES"/>
        </w:rPr>
        <w:t xml:space="preserve"> para referirse a violaciones respecto al derecho al trabajo.</w:t>
      </w:r>
    </w:p>
    <w:p w14:paraId="539D0FB7" w14:textId="16F895F6" w:rsidR="00A728EE" w:rsidRPr="00A728EE" w:rsidRDefault="00E72887" w:rsidP="00A728EE">
      <w:pPr>
        <w:spacing w:before="120" w:after="120"/>
        <w:ind w:firstLine="720"/>
        <w:jc w:val="both"/>
        <w:rPr>
          <w:rFonts w:ascii="Cambria" w:hAnsi="Cambria"/>
          <w:sz w:val="20"/>
          <w:szCs w:val="20"/>
          <w:lang w:val="es-ES"/>
        </w:rPr>
      </w:pPr>
      <w:r>
        <w:rPr>
          <w:rFonts w:asciiTheme="majorHAnsi" w:hAnsiTheme="majorHAnsi"/>
          <w:sz w:val="20"/>
          <w:szCs w:val="20"/>
          <w:lang w:val="es-ES"/>
        </w:rPr>
        <w:t>13</w:t>
      </w:r>
      <w:r w:rsidR="00A728EE">
        <w:rPr>
          <w:rFonts w:asciiTheme="majorHAnsi" w:hAnsiTheme="majorHAnsi"/>
          <w:sz w:val="20"/>
          <w:szCs w:val="20"/>
          <w:lang w:val="es-ES"/>
        </w:rPr>
        <w:t xml:space="preserve">. </w:t>
      </w:r>
      <w:r w:rsidR="00A728EE">
        <w:rPr>
          <w:rFonts w:ascii="Cambria" w:hAnsi="Cambria"/>
          <w:sz w:val="20"/>
          <w:szCs w:val="20"/>
          <w:lang w:val="es-ES"/>
        </w:rPr>
        <w:t>También señala que al momento de presentarse la petición los recursos internos no se encontraban agotados, quedando esto evidenciado en el hecho de que constan en el expediente decisiones judiciales posteriores a la presentación de la petición. También señala que los peticionarios han interpuesto y se la han resuelto recursos en gobiernos posteriores al del presidente García, quedando desvirtuado su argumento respecto a una supuesta falta de debido proceso por razón de intervención política.</w:t>
      </w:r>
    </w:p>
    <w:p w14:paraId="3FE6F5AE" w14:textId="095772C7" w:rsidR="004C616A"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32B9C6D4" w14:textId="450800FE" w:rsidR="003C3907" w:rsidRDefault="00E72887" w:rsidP="003C3907">
      <w:pPr>
        <w:spacing w:before="120" w:after="120"/>
        <w:ind w:firstLine="720"/>
        <w:jc w:val="both"/>
        <w:rPr>
          <w:rFonts w:ascii="Cambria" w:hAnsi="Cambria"/>
          <w:sz w:val="20"/>
          <w:szCs w:val="20"/>
          <w:lang w:val="es-ES"/>
        </w:rPr>
      </w:pPr>
      <w:r>
        <w:rPr>
          <w:rFonts w:ascii="Cambria" w:hAnsi="Cambria"/>
          <w:sz w:val="20"/>
          <w:szCs w:val="20"/>
          <w:lang w:val="es-ES"/>
        </w:rPr>
        <w:t>14</w:t>
      </w:r>
      <w:r w:rsidR="00771B87">
        <w:rPr>
          <w:rFonts w:ascii="Cambria" w:hAnsi="Cambria"/>
          <w:sz w:val="20"/>
          <w:szCs w:val="20"/>
          <w:lang w:val="es-ES"/>
        </w:rPr>
        <w:t>.</w:t>
      </w:r>
      <w:r w:rsidR="003C3907">
        <w:rPr>
          <w:rFonts w:ascii="Cambria" w:hAnsi="Cambria"/>
          <w:sz w:val="20"/>
          <w:szCs w:val="20"/>
          <w:lang w:val="es-ES"/>
        </w:rPr>
        <w:t xml:space="preserve"> La Comisión observa que la parte peticionaria ha alegado que debe ser exenta del requisito de agotamiento de los recursos internos por que no han tenido acceso al debido proceso legal y que además </w:t>
      </w:r>
      <w:r w:rsidR="00036090">
        <w:rPr>
          <w:rFonts w:ascii="Cambria" w:hAnsi="Cambria"/>
          <w:sz w:val="20"/>
          <w:szCs w:val="20"/>
          <w:lang w:val="es-ES"/>
        </w:rPr>
        <w:t xml:space="preserve">el representante del primer grupo de </w:t>
      </w:r>
      <w:r w:rsidR="007D71A0">
        <w:rPr>
          <w:rFonts w:ascii="Cambria" w:hAnsi="Cambria"/>
          <w:sz w:val="20"/>
          <w:szCs w:val="20"/>
          <w:lang w:val="es-ES"/>
        </w:rPr>
        <w:t xml:space="preserve">presuntas </w:t>
      </w:r>
      <w:r w:rsidR="00036090">
        <w:rPr>
          <w:rFonts w:ascii="Cambria" w:hAnsi="Cambria"/>
          <w:sz w:val="20"/>
          <w:szCs w:val="20"/>
          <w:lang w:val="es-ES"/>
        </w:rPr>
        <w:t xml:space="preserve">víctimas ha alegado que ha existido una demora injustificada en la resolución de sus acciones judiciales la que amerita la aplicación de la excepción al requisito de agotamiento contemplada en el artículo 46.2(c) de la Convención Americana. También toma nota que el Estado ha resaltado que los recursos internos no se encontraban agotados al momento en que la petición fue presentada. </w:t>
      </w:r>
    </w:p>
    <w:p w14:paraId="272CCBF2" w14:textId="56A00318" w:rsidR="00824EF0" w:rsidRPr="00771B87" w:rsidRDefault="003C3907" w:rsidP="003C3907">
      <w:pPr>
        <w:spacing w:before="120" w:after="120"/>
        <w:ind w:firstLine="720"/>
        <w:jc w:val="both"/>
        <w:rPr>
          <w:rFonts w:ascii="Cambria" w:hAnsi="Cambria"/>
          <w:sz w:val="20"/>
          <w:szCs w:val="20"/>
          <w:lang w:val="es-ES"/>
        </w:rPr>
      </w:pPr>
      <w:r>
        <w:rPr>
          <w:rFonts w:ascii="Cambria" w:hAnsi="Cambria"/>
          <w:sz w:val="20"/>
          <w:szCs w:val="20"/>
          <w:lang w:val="es-ES"/>
        </w:rPr>
        <w:lastRenderedPageBreak/>
        <w:t xml:space="preserve">15. </w:t>
      </w:r>
      <w:r w:rsidR="00771B87">
        <w:rPr>
          <w:rFonts w:ascii="Cambria" w:hAnsi="Cambria"/>
          <w:sz w:val="20"/>
          <w:szCs w:val="20"/>
          <w:lang w:val="es-ES"/>
        </w:rPr>
        <w:t xml:space="preserve"> </w:t>
      </w:r>
      <w:r w:rsidR="00824EF0" w:rsidRPr="00824EF0">
        <w:rPr>
          <w:rFonts w:asciiTheme="majorHAnsi" w:hAnsiTheme="majorHAnsi" w:cs="Calibri"/>
          <w:sz w:val="20"/>
          <w:szCs w:val="20"/>
          <w:lang w:val="es-ES"/>
        </w:rPr>
        <w:t>La CIDH reitera su posición constante según la cual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824EF0">
        <w:rPr>
          <w:rFonts w:asciiTheme="majorHAnsi" w:hAnsiTheme="majorHAnsi" w:cs="Calibri"/>
          <w:sz w:val="20"/>
          <w:szCs w:val="20"/>
          <w:lang w:val="es-ES"/>
        </w:rPr>
        <w:t xml:space="preserve"> Por este motivo</w:t>
      </w:r>
      <w:r w:rsidR="00E72887">
        <w:rPr>
          <w:rFonts w:asciiTheme="majorHAnsi" w:hAnsiTheme="majorHAnsi" w:cs="Calibri"/>
          <w:sz w:val="20"/>
          <w:szCs w:val="20"/>
          <w:lang w:val="es-ES"/>
        </w:rPr>
        <w:t>, sin desconocer los argumentos presentados por el Estado al respecto, estima que</w:t>
      </w:r>
      <w:r w:rsidR="00824EF0">
        <w:rPr>
          <w:rFonts w:asciiTheme="majorHAnsi" w:hAnsiTheme="majorHAnsi" w:cs="Calibri"/>
          <w:sz w:val="20"/>
          <w:szCs w:val="20"/>
          <w:lang w:val="es-ES"/>
        </w:rPr>
        <w:t xml:space="preserve"> no resulta necesario en este caso pronunciarse respecto a si los recursos internos se encontraban agotados al momento de presentarse la petición. </w:t>
      </w:r>
      <w:r w:rsidR="004D3EFE">
        <w:rPr>
          <w:rFonts w:asciiTheme="majorHAnsi" w:hAnsiTheme="majorHAnsi" w:cs="Calibri"/>
          <w:sz w:val="20"/>
          <w:szCs w:val="20"/>
          <w:lang w:val="es-ES"/>
        </w:rPr>
        <w:t>La Comisión toma nota de que el Estado no ha indicado que, al momento de decidirse esta admisibilidad, existan recursos idóneos no agotados para que las reclamaciones de la parte peticionaria sean atendidas a nivel doméstico. Por esta razón, concluye que la presente petición cump</w:t>
      </w:r>
      <w:r w:rsidR="0004544A">
        <w:rPr>
          <w:rFonts w:asciiTheme="majorHAnsi" w:hAnsiTheme="majorHAnsi" w:cs="Calibri"/>
          <w:sz w:val="20"/>
          <w:szCs w:val="20"/>
          <w:lang w:val="es-ES"/>
        </w:rPr>
        <w:t xml:space="preserve">le con los requisitos de agotamiento de los recursos internos y presentación dentro de plazo en los términos del artículo 46.1(a) y (b) de la Convención Americana.  </w:t>
      </w:r>
    </w:p>
    <w:p w14:paraId="746D86E8" w14:textId="0DFEC6D9" w:rsidR="002804C4" w:rsidRDefault="00F04591" w:rsidP="002804C4">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r w:rsidR="0016303E">
        <w:rPr>
          <w:rStyle w:val="FootnoteReference"/>
          <w:rFonts w:asciiTheme="majorHAnsi" w:hAnsiTheme="majorHAnsi"/>
          <w:b/>
          <w:bCs/>
          <w:sz w:val="20"/>
          <w:szCs w:val="20"/>
          <w:lang w:val="es-ES"/>
        </w:rPr>
        <w:footnoteReference w:id="26"/>
      </w:r>
    </w:p>
    <w:p w14:paraId="08ABC783" w14:textId="2DCD1624" w:rsidR="00997D94" w:rsidRPr="00516C13" w:rsidRDefault="003C3907" w:rsidP="00516C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16</w:t>
      </w:r>
      <w:r w:rsidR="00607FA6" w:rsidRPr="00997D94">
        <w:rPr>
          <w:rFonts w:ascii="Cambria" w:hAnsi="Cambria"/>
          <w:sz w:val="20"/>
          <w:szCs w:val="20"/>
          <w:lang w:val="es-ES"/>
        </w:rPr>
        <w:t xml:space="preserve">. </w:t>
      </w:r>
      <w:r>
        <w:rPr>
          <w:rFonts w:ascii="Cambria" w:hAnsi="Cambria"/>
          <w:sz w:val="20"/>
          <w:szCs w:val="20"/>
          <w:lang w:val="es-ES"/>
        </w:rPr>
        <w:t xml:space="preserve"> </w:t>
      </w:r>
      <w:r w:rsidR="00997D94" w:rsidRPr="00997D94">
        <w:rPr>
          <w:rFonts w:ascii="Cambria" w:hAnsi="Cambria"/>
          <w:sz w:val="20"/>
          <w:szCs w:val="20"/>
          <w:lang w:val="es-ES"/>
        </w:rPr>
        <w:t xml:space="preserve">La Comisión observa que la presente petición incluye alegaciones con respecto a </w:t>
      </w:r>
      <w:r w:rsidR="00997D94">
        <w:rPr>
          <w:rFonts w:ascii="Cambria" w:hAnsi="Cambria"/>
          <w:sz w:val="20"/>
          <w:szCs w:val="20"/>
          <w:lang w:val="es-ES"/>
        </w:rPr>
        <w:t xml:space="preserve">que </w:t>
      </w:r>
      <w:r w:rsidR="00516C13">
        <w:rPr>
          <w:rFonts w:ascii="Cambria" w:hAnsi="Cambria"/>
          <w:sz w:val="20"/>
          <w:szCs w:val="20"/>
          <w:lang w:val="es-ES"/>
        </w:rPr>
        <w:t>las presuntas víctimas fueron favorecidas por una sentencia que ordenó su reintegro</w:t>
      </w:r>
      <w:r w:rsidR="00F7521B">
        <w:rPr>
          <w:rFonts w:ascii="Cambria" w:hAnsi="Cambria"/>
          <w:sz w:val="20"/>
          <w:szCs w:val="20"/>
          <w:lang w:val="es-ES"/>
        </w:rPr>
        <w:t xml:space="preserve"> en 2006</w:t>
      </w:r>
      <w:r w:rsidR="00516C13">
        <w:rPr>
          <w:rFonts w:ascii="Cambria" w:hAnsi="Cambria"/>
          <w:sz w:val="20"/>
          <w:szCs w:val="20"/>
          <w:lang w:val="es-ES"/>
        </w:rPr>
        <w:t xml:space="preserve">, la que luego fue impugnada no siendo resuelta definitivamente la situación jurídica de los trabajadores sino hasta </w:t>
      </w:r>
      <w:r w:rsidR="00F7521B">
        <w:rPr>
          <w:rFonts w:ascii="Cambria" w:hAnsi="Cambria"/>
          <w:sz w:val="20"/>
          <w:szCs w:val="20"/>
          <w:lang w:val="es-ES"/>
        </w:rPr>
        <w:t xml:space="preserve">2016, casi 10 años después; a que la ejecución de la sentencia favorable se encontró suspendida por más cuatro años pese a que lo derechos de los trabajadores exigía que se perfeccionara el reintegro en tanto su condición jurídica no quedara plenamente definida; a que la sentencia fue incumplida durante los periodos en que estuvo vigente pero no suspendida; </w:t>
      </w:r>
      <w:r w:rsidR="00516C13">
        <w:rPr>
          <w:rFonts w:ascii="Cambria" w:hAnsi="Cambria"/>
          <w:sz w:val="20"/>
          <w:szCs w:val="20"/>
          <w:lang w:val="es-ES"/>
        </w:rPr>
        <w:t xml:space="preserve"> </w:t>
      </w:r>
      <w:r w:rsidR="00F7521B">
        <w:rPr>
          <w:rFonts w:ascii="Cambria" w:hAnsi="Cambria"/>
          <w:sz w:val="20"/>
          <w:szCs w:val="20"/>
          <w:lang w:val="es-ES"/>
        </w:rPr>
        <w:t xml:space="preserve">a que las presuntas víctimas fueron denigradas mediante declaraciones públicas de altas autoridades del Estado; que el primer grupo de </w:t>
      </w:r>
      <w:r w:rsidR="00733443">
        <w:rPr>
          <w:rFonts w:ascii="Cambria" w:hAnsi="Cambria"/>
          <w:sz w:val="20"/>
          <w:szCs w:val="20"/>
          <w:lang w:val="es-ES"/>
        </w:rPr>
        <w:t xml:space="preserve">presuntas </w:t>
      </w:r>
      <w:r w:rsidR="00F7521B">
        <w:rPr>
          <w:rFonts w:ascii="Cambria" w:hAnsi="Cambria"/>
          <w:sz w:val="20"/>
          <w:szCs w:val="20"/>
          <w:lang w:val="es-ES"/>
        </w:rPr>
        <w:t xml:space="preserve">víctimas recibió un trato discriminatoria durante el tiempo que duró su reincorporación al BCR; </w:t>
      </w:r>
      <w:r w:rsidR="00F7521B">
        <w:rPr>
          <w:rFonts w:asciiTheme="majorHAnsi" w:hAnsiTheme="majorHAnsi"/>
          <w:sz w:val="20"/>
          <w:szCs w:val="20"/>
          <w:lang w:val="es-PA"/>
        </w:rPr>
        <w:t>y que al señor</w:t>
      </w:r>
      <w:r w:rsidR="00F7521B" w:rsidRPr="00714E7F">
        <w:rPr>
          <w:rFonts w:asciiTheme="majorHAnsi" w:hAnsiTheme="majorHAnsi"/>
          <w:sz w:val="20"/>
          <w:szCs w:val="20"/>
          <w:lang w:val="es-PA"/>
        </w:rPr>
        <w:t xml:space="preserve"> José del Busto Medina</w:t>
      </w:r>
      <w:r w:rsidR="00F7521B">
        <w:rPr>
          <w:rFonts w:asciiTheme="majorHAnsi" w:hAnsiTheme="majorHAnsi"/>
          <w:sz w:val="20"/>
          <w:szCs w:val="20"/>
          <w:lang w:val="es-PA"/>
        </w:rPr>
        <w:t xml:space="preserve"> no se la ha brindado reparación pese a que existe un</w:t>
      </w:r>
      <w:r w:rsidR="00F7521B" w:rsidRPr="00714E7F">
        <w:rPr>
          <w:rFonts w:asciiTheme="majorHAnsi" w:hAnsiTheme="majorHAnsi"/>
          <w:sz w:val="20"/>
          <w:szCs w:val="20"/>
          <w:lang w:val="es-PA"/>
        </w:rPr>
        <w:t xml:space="preserve"> reconocimiento formal de que su cese fue irregular</w:t>
      </w:r>
    </w:p>
    <w:p w14:paraId="01CB8E8A" w14:textId="71F7EB84" w:rsidR="00E72887" w:rsidRPr="00E72887" w:rsidRDefault="00372686" w:rsidP="00E728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Theme="majorHAnsi" w:hAnsiTheme="majorHAnsi"/>
          <w:sz w:val="20"/>
          <w:szCs w:val="20"/>
          <w:lang w:val="es-ES"/>
        </w:rPr>
        <w:t>17</w:t>
      </w:r>
      <w:r w:rsidR="00607FA6" w:rsidRPr="00E72887">
        <w:rPr>
          <w:rFonts w:asciiTheme="majorHAnsi" w:hAnsiTheme="majorHAnsi"/>
          <w:sz w:val="20"/>
          <w:szCs w:val="20"/>
          <w:lang w:val="es-ES"/>
        </w:rPr>
        <w:t>.</w:t>
      </w:r>
      <w:r w:rsidR="00E72887" w:rsidRPr="00E72887">
        <w:rPr>
          <w:rFonts w:ascii="Cambria" w:hAnsi="Cambria"/>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E72887" w:rsidRPr="00E72887">
        <w:rPr>
          <w:rFonts w:ascii="Cambria" w:hAnsi="Cambria"/>
          <w:bCs/>
          <w:sz w:val="20"/>
          <w:szCs w:val="20"/>
          <w:lang w:val="es-ES"/>
        </w:rPr>
        <w:t>8 (garantías judiciales),</w:t>
      </w:r>
      <w:r w:rsidR="00036090">
        <w:rPr>
          <w:rFonts w:ascii="Cambria" w:hAnsi="Cambria"/>
          <w:bCs/>
          <w:sz w:val="20"/>
          <w:szCs w:val="20"/>
          <w:lang w:val="es-ES"/>
        </w:rPr>
        <w:t xml:space="preserve"> 11 (honra y dignidad), </w:t>
      </w:r>
      <w:r w:rsidR="00E72887" w:rsidRPr="00E72887">
        <w:rPr>
          <w:rFonts w:ascii="Cambria" w:hAnsi="Cambria"/>
          <w:bCs/>
          <w:sz w:val="20"/>
          <w:szCs w:val="20"/>
          <w:lang w:val="es-ES"/>
        </w:rPr>
        <w:t>23(derechos políticos), 25 (protección judicial) y 26 (derechos económicos, sociales y culturales) de la Convención Americana sobre Derechos Humanos en relación sus artículos 1.1. (obligación de respetar los derechos) y 2 (deber de adoptar di</w:t>
      </w:r>
      <w:r w:rsidR="00036090">
        <w:rPr>
          <w:rFonts w:ascii="Cambria" w:hAnsi="Cambria"/>
          <w:bCs/>
          <w:sz w:val="20"/>
          <w:szCs w:val="20"/>
          <w:lang w:val="es-ES"/>
        </w:rPr>
        <w:t>sposiciones de derecho internos en perjuicio de todas las presuntas v</w:t>
      </w:r>
      <w:r w:rsidR="007E033D">
        <w:rPr>
          <w:rFonts w:ascii="Cambria" w:hAnsi="Cambria"/>
          <w:bCs/>
          <w:sz w:val="20"/>
          <w:szCs w:val="20"/>
          <w:lang w:val="es-ES"/>
        </w:rPr>
        <w:t xml:space="preserve">íctimas. Adicionalmente, la Comisión estima que los hechos alegado pudieran caracterizar violaciones </w:t>
      </w:r>
      <w:r w:rsidR="00036090">
        <w:rPr>
          <w:rFonts w:ascii="Cambria" w:hAnsi="Cambria"/>
          <w:bCs/>
          <w:sz w:val="20"/>
          <w:szCs w:val="20"/>
          <w:lang w:val="es-ES"/>
        </w:rPr>
        <w:t>al artículo 24 (igualdad ante la ley) de la Convención Americana en perjuicio de las presuntas víctimas pertenecientes al primer grupo.</w:t>
      </w:r>
    </w:p>
    <w:p w14:paraId="6A370F96" w14:textId="365620F8" w:rsidR="00584BE4" w:rsidRDefault="00372686" w:rsidP="00584BE4">
      <w:pPr>
        <w:spacing w:before="120" w:after="120"/>
        <w:ind w:firstLine="720"/>
        <w:jc w:val="both"/>
        <w:rPr>
          <w:rFonts w:asciiTheme="majorHAnsi" w:hAnsiTheme="majorHAnsi" w:cs="Calibri"/>
          <w:sz w:val="20"/>
          <w:szCs w:val="20"/>
          <w:lang w:val="es-ES"/>
        </w:rPr>
      </w:pPr>
      <w:r>
        <w:rPr>
          <w:rFonts w:asciiTheme="majorHAnsi" w:hAnsiTheme="majorHAnsi"/>
          <w:sz w:val="20"/>
          <w:szCs w:val="20"/>
          <w:lang w:val="es-ES"/>
        </w:rPr>
        <w:t>18</w:t>
      </w:r>
      <w:r w:rsidR="00401AFE">
        <w:rPr>
          <w:rFonts w:asciiTheme="majorHAnsi" w:hAnsiTheme="majorHAnsi"/>
          <w:sz w:val="20"/>
          <w:szCs w:val="20"/>
          <w:lang w:val="es-ES"/>
        </w:rPr>
        <w:t>.</w:t>
      </w:r>
      <w:r w:rsidR="00607FA6">
        <w:rPr>
          <w:rFonts w:asciiTheme="majorHAnsi" w:hAnsiTheme="majorHAnsi"/>
          <w:sz w:val="20"/>
          <w:szCs w:val="20"/>
          <w:lang w:val="es-ES"/>
        </w:rPr>
        <w:t xml:space="preserve"> </w:t>
      </w:r>
      <w:r w:rsidR="00BE208D" w:rsidRPr="00BE208D">
        <w:rPr>
          <w:rFonts w:asciiTheme="majorHAnsi" w:hAnsiTheme="majorHAnsi" w:cs="Calibri"/>
          <w:sz w:val="20"/>
          <w:szCs w:val="20"/>
          <w:lang w:val="es-ES"/>
        </w:rPr>
        <w:t>En cuanto a los alegatos sobre violaciones a los artículos 6 y 7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503240DC" w14:textId="2579A5F5" w:rsidR="00786D24" w:rsidRPr="00607FA6" w:rsidRDefault="00372686" w:rsidP="00607FA6">
      <w:pPr>
        <w:spacing w:before="120" w:after="120"/>
        <w:ind w:firstLine="720"/>
        <w:jc w:val="both"/>
        <w:rPr>
          <w:rFonts w:ascii="Cambria" w:hAnsi="Cambria"/>
          <w:sz w:val="20"/>
          <w:szCs w:val="20"/>
          <w:lang w:val="es-ES"/>
        </w:rPr>
      </w:pPr>
      <w:r>
        <w:rPr>
          <w:rFonts w:asciiTheme="majorHAnsi" w:hAnsiTheme="majorHAnsi" w:cs="Calibri"/>
          <w:sz w:val="20"/>
          <w:szCs w:val="20"/>
          <w:lang w:val="es-ES"/>
        </w:rPr>
        <w:t>19</w:t>
      </w:r>
      <w:r w:rsidR="00607FA6">
        <w:rPr>
          <w:rFonts w:asciiTheme="majorHAnsi" w:hAnsiTheme="majorHAnsi" w:cs="Calibri"/>
          <w:sz w:val="20"/>
          <w:szCs w:val="20"/>
          <w:lang w:val="es-ES"/>
        </w:rPr>
        <w:t>.</w:t>
      </w:r>
      <w:r w:rsidR="00607FA6">
        <w:rPr>
          <w:rFonts w:ascii="Cambria" w:hAnsi="Cambria"/>
          <w:sz w:val="20"/>
          <w:szCs w:val="20"/>
          <w:lang w:val="es-ES"/>
        </w:rPr>
        <w:t xml:space="preserve"> </w:t>
      </w:r>
      <w:r w:rsidR="00786D24" w:rsidRPr="00786D24">
        <w:rPr>
          <w:rFonts w:asciiTheme="majorHAnsi" w:hAnsiTheme="majorHAnsi" w:cs="Calibr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1F285FFD" w:rsidR="003239B8" w:rsidRPr="00786D24" w:rsidRDefault="003239B8" w:rsidP="004531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86D24">
        <w:rPr>
          <w:rFonts w:asciiTheme="majorHAnsi" w:hAnsiTheme="majorHAnsi"/>
          <w:sz w:val="20"/>
          <w:szCs w:val="20"/>
          <w:lang w:val="es-ES"/>
        </w:rPr>
        <w:t>Declarar admisible la presente petición en relación con</w:t>
      </w:r>
      <w:r w:rsidR="003A6337" w:rsidRPr="00786D24">
        <w:rPr>
          <w:rFonts w:asciiTheme="majorHAnsi" w:hAnsiTheme="majorHAnsi"/>
          <w:sz w:val="20"/>
          <w:szCs w:val="20"/>
          <w:lang w:val="es-ES"/>
        </w:rPr>
        <w:t xml:space="preserve"> los </w:t>
      </w:r>
      <w:r w:rsidR="003A6337" w:rsidRPr="00786D24">
        <w:rPr>
          <w:rFonts w:ascii="Cambria" w:hAnsi="Cambria"/>
          <w:bCs/>
          <w:sz w:val="20"/>
          <w:szCs w:val="20"/>
          <w:lang w:val="es-ES"/>
        </w:rPr>
        <w:t xml:space="preserve">artículos </w:t>
      </w:r>
      <w:r w:rsidR="00786D24" w:rsidRPr="00786D24">
        <w:rPr>
          <w:rFonts w:ascii="Cambria" w:hAnsi="Cambria"/>
          <w:bCs/>
          <w:sz w:val="20"/>
          <w:szCs w:val="20"/>
          <w:lang w:val="es-ES"/>
        </w:rPr>
        <w:t>8, 11, 23, 24, 25 y 26 de la Convención Americana en relación con sus artículos 1.1. y 2.</w:t>
      </w:r>
    </w:p>
    <w:p w14:paraId="7CD4DFBD" w14:textId="0FEE9C71" w:rsidR="003239B8" w:rsidRDefault="004A6A54" w:rsidP="004531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lastRenderedPageBreak/>
        <w:t xml:space="preserve">Notificar a las partes la presente decisión; </w:t>
      </w:r>
      <w:r w:rsidRPr="00786D24">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3D22E2FE" w14:textId="0C9D43AA" w:rsidR="005245F2" w:rsidRPr="00A37B82" w:rsidRDefault="005245F2" w:rsidP="005245F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w:t>
      </w:r>
      <w:r w:rsidR="008D2897">
        <w:rPr>
          <w:rFonts w:asciiTheme="majorHAnsi" w:hAnsiTheme="majorHAnsi" w:cs="Arial"/>
          <w:noProof/>
          <w:spacing w:val="-2"/>
          <w:sz w:val="20"/>
          <w:szCs w:val="20"/>
          <w:lang w:val="es-CL"/>
        </w:rPr>
        <w:t xml:space="preserve">Edgar </w:t>
      </w:r>
      <w:r>
        <w:rPr>
          <w:rFonts w:asciiTheme="majorHAnsi" w:hAnsiTheme="majorHAnsi" w:cs="Arial"/>
          <w:noProof/>
          <w:spacing w:val="-2"/>
          <w:sz w:val="20"/>
          <w:szCs w:val="20"/>
          <w:lang w:val="es-CL"/>
        </w:rPr>
        <w:t xml:space="preserve">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E6B0B14" w14:textId="77777777" w:rsidR="005245F2" w:rsidRPr="00A37B82" w:rsidRDefault="005245F2" w:rsidP="005245F2">
      <w:pPr>
        <w:suppressAutoHyphens/>
        <w:ind w:firstLine="720"/>
        <w:jc w:val="both"/>
        <w:rPr>
          <w:rFonts w:asciiTheme="majorHAnsi" w:hAnsiTheme="majorHAnsi" w:cs="Arial"/>
          <w:noProof/>
          <w:spacing w:val="-2"/>
          <w:sz w:val="20"/>
          <w:szCs w:val="20"/>
          <w:lang w:val="es-CL"/>
        </w:rPr>
      </w:pPr>
    </w:p>
    <w:p w14:paraId="0531DC75" w14:textId="44593E98" w:rsidR="005245F2" w:rsidRDefault="005245F2" w:rsidP="005245F2">
      <w:pPr>
        <w:suppressAutoHyphens/>
        <w:jc w:val="center"/>
        <w:rPr>
          <w:rFonts w:ascii="Cambria" w:hAnsi="Cambria"/>
          <w:spacing w:val="-2"/>
          <w:sz w:val="20"/>
          <w:szCs w:val="20"/>
          <w:lang w:val="es-SV"/>
        </w:rPr>
      </w:pPr>
    </w:p>
    <w:p w14:paraId="4FF44F0D" w14:textId="77777777" w:rsidR="005245F2" w:rsidRDefault="005245F2" w:rsidP="005245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7F5E1E9D" w14:textId="3F2EA597" w:rsidR="005245F2" w:rsidRDefault="005245F2" w:rsidP="005245F2">
      <w:pPr>
        <w:jc w:val="center"/>
        <w:rPr>
          <w:rFonts w:asciiTheme="majorHAnsi" w:hAnsiTheme="majorHAnsi"/>
          <w:b/>
          <w:sz w:val="20"/>
          <w:szCs w:val="20"/>
          <w:lang w:val="es-ES"/>
        </w:rPr>
      </w:pPr>
      <w:r>
        <w:rPr>
          <w:rFonts w:asciiTheme="majorHAnsi" w:hAnsiTheme="majorHAnsi"/>
          <w:sz w:val="20"/>
          <w:szCs w:val="20"/>
          <w:lang w:val="es-ES"/>
        </w:rPr>
        <w:br w:type="page"/>
      </w:r>
      <w:r w:rsidR="007912BB">
        <w:rPr>
          <w:rFonts w:asciiTheme="majorHAnsi" w:hAnsiTheme="majorHAnsi"/>
          <w:b/>
          <w:sz w:val="20"/>
          <w:szCs w:val="20"/>
          <w:lang w:val="es-ES"/>
        </w:rPr>
        <w:lastRenderedPageBreak/>
        <w:t>Anexo</w:t>
      </w:r>
    </w:p>
    <w:p w14:paraId="6BE9B220" w14:textId="3B8BDB05" w:rsidR="00786D24" w:rsidRDefault="007912BB" w:rsidP="005245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Pr>
          <w:rFonts w:asciiTheme="majorHAnsi" w:hAnsiTheme="majorHAnsi"/>
          <w:b/>
          <w:sz w:val="20"/>
          <w:szCs w:val="20"/>
          <w:lang w:val="es-ES"/>
        </w:rPr>
        <w:t>(</w:t>
      </w:r>
      <w:r w:rsidR="00786D24">
        <w:rPr>
          <w:rFonts w:asciiTheme="majorHAnsi" w:hAnsiTheme="majorHAnsi"/>
          <w:b/>
          <w:sz w:val="20"/>
          <w:szCs w:val="20"/>
          <w:lang w:val="es-ES"/>
        </w:rPr>
        <w:t>Presuntas Víctimas</w:t>
      </w:r>
      <w:r w:rsidR="00786D24">
        <w:rPr>
          <w:rStyle w:val="FootnoteReference"/>
          <w:rFonts w:asciiTheme="majorHAnsi" w:hAnsiTheme="majorHAnsi"/>
          <w:b/>
          <w:sz w:val="20"/>
          <w:szCs w:val="20"/>
          <w:lang w:val="es-ES"/>
        </w:rPr>
        <w:footnoteReference w:id="27"/>
      </w:r>
      <w:r>
        <w:rPr>
          <w:rFonts w:asciiTheme="majorHAnsi" w:hAnsiTheme="majorHAnsi"/>
          <w:b/>
          <w:sz w:val="20"/>
          <w:szCs w:val="20"/>
          <w:lang w:val="es-ES"/>
        </w:rPr>
        <w:t>)</w:t>
      </w:r>
    </w:p>
    <w:p w14:paraId="41310592" w14:textId="77777777" w:rsidR="00E136E1" w:rsidRDefault="00E136E1" w:rsidP="00786D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
        </w:rPr>
      </w:pPr>
    </w:p>
    <w:p w14:paraId="10AF965F" w14:textId="1A4F663B" w:rsidR="00E136E1" w:rsidRDefault="00E136E1" w:rsidP="00786D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u w:val="single"/>
          <w:lang w:val="es-ES"/>
        </w:rPr>
      </w:pPr>
      <w:r>
        <w:rPr>
          <w:rFonts w:asciiTheme="majorHAnsi" w:hAnsiTheme="majorHAnsi"/>
          <w:sz w:val="20"/>
          <w:szCs w:val="20"/>
          <w:u w:val="single"/>
          <w:lang w:val="es-ES"/>
        </w:rPr>
        <w:t>Primer Grupo</w:t>
      </w:r>
    </w:p>
    <w:p w14:paraId="3B28764E" w14:textId="1D4BF7A7"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Roberto Joaquín Barreto Jimeno</w:t>
      </w:r>
    </w:p>
    <w:p w14:paraId="363B5581" w14:textId="06907F48"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Zoila María Jannett Figueroa Ramírez</w:t>
      </w:r>
    </w:p>
    <w:p w14:paraId="13999908" w14:textId="06C84923"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Edwin Tulio Cruces Arana</w:t>
      </w:r>
    </w:p>
    <w:p w14:paraId="706FA98C" w14:textId="185D0C68"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Enrique del Busto Durand</w:t>
      </w:r>
    </w:p>
    <w:p w14:paraId="7559FD73" w14:textId="0843B3E4"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Gaby María Osorio Osorio</w:t>
      </w:r>
    </w:p>
    <w:p w14:paraId="6F5418AE" w14:textId="79750EE4"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Martha Patricia Jiménez Delgado</w:t>
      </w:r>
    </w:p>
    <w:p w14:paraId="73F7834D" w14:textId="7505E1C3"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Salcedo Ayres Gloria Concepción</w:t>
      </w:r>
    </w:p>
    <w:p w14:paraId="32C2C4D5" w14:textId="681C44AE" w:rsidR="00E136E1" w:rsidRDefault="00E136E1"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Benjamina Lucía Herrera Rodríguez</w:t>
      </w:r>
    </w:p>
    <w:p w14:paraId="4ADBAA2C" w14:textId="0F3040C8" w:rsidR="00E136E1"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Ana María Ruales Patrón</w:t>
      </w:r>
    </w:p>
    <w:p w14:paraId="124C2B92" w14:textId="1AE0AA2A" w:rsidR="007912BB"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Eduardo Larrañaga Espejo</w:t>
      </w:r>
    </w:p>
    <w:p w14:paraId="4931E9BC" w14:textId="693CD8A5" w:rsidR="007912BB"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Julio César Canales Giribaldi</w:t>
      </w:r>
    </w:p>
    <w:p w14:paraId="131D61C7" w14:textId="63F16CA7" w:rsidR="007912BB"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Fortunato Morales Vélez</w:t>
      </w:r>
    </w:p>
    <w:p w14:paraId="44A0B2A0" w14:textId="652F4210" w:rsidR="007912BB"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Viviana Teresa Velezmoro Bavestrello</w:t>
      </w:r>
    </w:p>
    <w:p w14:paraId="3FE23C47" w14:textId="4968301D" w:rsidR="007912BB" w:rsidRDefault="007912BB" w:rsidP="0045314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Pedro Humberto Chávez Rea</w:t>
      </w:r>
    </w:p>
    <w:p w14:paraId="3D0A9749" w14:textId="77777777" w:rsidR="007912BB" w:rsidRDefault="007912BB" w:rsidP="007912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360"/>
        <w:jc w:val="both"/>
        <w:rPr>
          <w:rFonts w:asciiTheme="majorHAnsi" w:hAnsiTheme="majorHAnsi"/>
          <w:sz w:val="20"/>
          <w:szCs w:val="20"/>
          <w:lang w:val="es-ES"/>
        </w:rPr>
      </w:pPr>
    </w:p>
    <w:p w14:paraId="4EDB26A9" w14:textId="33C66731" w:rsidR="007912BB" w:rsidRDefault="007912BB" w:rsidP="007912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360"/>
        <w:jc w:val="both"/>
        <w:rPr>
          <w:rFonts w:asciiTheme="majorHAnsi" w:hAnsiTheme="majorHAnsi"/>
          <w:sz w:val="20"/>
          <w:szCs w:val="20"/>
          <w:u w:val="single"/>
          <w:lang w:val="es-ES"/>
        </w:rPr>
      </w:pPr>
      <w:r>
        <w:rPr>
          <w:rFonts w:asciiTheme="majorHAnsi" w:hAnsiTheme="majorHAnsi"/>
          <w:sz w:val="20"/>
          <w:szCs w:val="20"/>
          <w:u w:val="single"/>
          <w:lang w:val="es-ES"/>
        </w:rPr>
        <w:t>Segundo Grupo</w:t>
      </w:r>
    </w:p>
    <w:p w14:paraId="486708B8" w14:textId="2779463C" w:rsidR="007912BB" w:rsidRDefault="007912BB" w:rsidP="0045314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Augusto del Busto Medina</w:t>
      </w:r>
    </w:p>
    <w:p w14:paraId="0DDB0C73" w14:textId="13F07E4A" w:rsidR="007912BB" w:rsidRDefault="007912BB" w:rsidP="0045314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Alfredo Guillén Mendoza</w:t>
      </w:r>
    </w:p>
    <w:p w14:paraId="6EB0E93B" w14:textId="306D5123" w:rsidR="007912BB" w:rsidRPr="007912BB" w:rsidRDefault="007912BB" w:rsidP="0045314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Norma Capuñay González</w:t>
      </w:r>
    </w:p>
    <w:sectPr w:rsidR="007912BB" w:rsidRPr="007912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FBC99" w14:textId="77777777" w:rsidR="00CD44E5" w:rsidRDefault="00CD44E5">
      <w:r>
        <w:separator/>
      </w:r>
    </w:p>
  </w:endnote>
  <w:endnote w:type="continuationSeparator" w:id="0">
    <w:p w14:paraId="4CE89726" w14:textId="77777777" w:rsidR="00CD44E5" w:rsidRDefault="00C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B982" w14:textId="77777777" w:rsidR="00DD0E0F" w:rsidRDefault="00DD0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1E7629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0E0F">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5D6E" w14:textId="77777777" w:rsidR="00CD44E5" w:rsidRPr="000F35ED" w:rsidRDefault="00CD44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6686F7" w14:textId="77777777" w:rsidR="00CD44E5" w:rsidRPr="000F35ED" w:rsidRDefault="00CD44E5" w:rsidP="000F35ED">
      <w:pPr>
        <w:rPr>
          <w:rFonts w:asciiTheme="majorHAnsi" w:hAnsiTheme="majorHAnsi"/>
          <w:sz w:val="16"/>
          <w:szCs w:val="16"/>
        </w:rPr>
      </w:pPr>
      <w:r w:rsidRPr="000F35ED">
        <w:rPr>
          <w:rFonts w:asciiTheme="majorHAnsi" w:hAnsiTheme="majorHAnsi"/>
          <w:sz w:val="16"/>
          <w:szCs w:val="16"/>
        </w:rPr>
        <w:separator/>
      </w:r>
    </w:p>
    <w:p w14:paraId="31547325" w14:textId="77777777" w:rsidR="00CD44E5" w:rsidRPr="000F35ED" w:rsidRDefault="00CD44E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A841427" w14:textId="77777777" w:rsidR="00CD44E5" w:rsidRPr="000F35ED" w:rsidRDefault="00CD44E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20DBF91" w14:textId="1DB429D2" w:rsidR="00056C57" w:rsidRPr="00232590" w:rsidRDefault="00056C57" w:rsidP="00056C57">
      <w:pPr>
        <w:pStyle w:val="FootnoteText"/>
        <w:ind w:firstLine="720"/>
        <w:jc w:val="both"/>
        <w:rPr>
          <w:rFonts w:asciiTheme="majorHAnsi" w:hAnsiTheme="majorHAnsi"/>
          <w:sz w:val="16"/>
          <w:szCs w:val="16"/>
          <w:lang w:val="es-PA"/>
        </w:rPr>
      </w:pPr>
      <w:r w:rsidRPr="00232590">
        <w:rPr>
          <w:rStyle w:val="FootnoteReference"/>
          <w:rFonts w:asciiTheme="majorHAnsi" w:hAnsiTheme="majorHAnsi"/>
          <w:sz w:val="16"/>
          <w:szCs w:val="16"/>
        </w:rPr>
        <w:footnoteRef/>
      </w:r>
      <w:r w:rsidRPr="00232590">
        <w:rPr>
          <w:rFonts w:asciiTheme="majorHAnsi" w:hAnsiTheme="majorHAnsi"/>
          <w:sz w:val="16"/>
          <w:szCs w:val="16"/>
          <w:lang w:val="es-PA"/>
        </w:rPr>
        <w:t xml:space="preserve"> </w:t>
      </w:r>
      <w:r w:rsidR="00B00082" w:rsidRPr="00232590">
        <w:rPr>
          <w:rFonts w:asciiTheme="majorHAnsi" w:hAnsiTheme="majorHAnsi"/>
          <w:sz w:val="16"/>
          <w:szCs w:val="16"/>
          <w:lang w:val="es-PA"/>
        </w:rPr>
        <w:t>Abogado principal que representa al</w:t>
      </w:r>
      <w:r w:rsidRPr="00232590">
        <w:rPr>
          <w:rFonts w:asciiTheme="majorHAnsi" w:hAnsiTheme="majorHAnsi"/>
          <w:sz w:val="16"/>
          <w:szCs w:val="16"/>
          <w:lang w:val="es-PA"/>
        </w:rPr>
        <w:t xml:space="preserve"> primer grupo de presuntas víctimas (Ver anexo)</w:t>
      </w:r>
    </w:p>
  </w:footnote>
  <w:footnote w:id="3">
    <w:p w14:paraId="496E7F44" w14:textId="73B2E7FC" w:rsidR="00B00082" w:rsidRPr="00232590" w:rsidRDefault="00B00082" w:rsidP="00B00082">
      <w:pPr>
        <w:pStyle w:val="FootnoteText"/>
        <w:ind w:firstLine="720"/>
        <w:jc w:val="both"/>
        <w:rPr>
          <w:rFonts w:asciiTheme="majorHAnsi" w:hAnsiTheme="majorHAnsi"/>
          <w:sz w:val="16"/>
          <w:szCs w:val="16"/>
          <w:lang w:val="es-PA"/>
        </w:rPr>
      </w:pPr>
      <w:r w:rsidRPr="00232590">
        <w:rPr>
          <w:rStyle w:val="FootnoteReference"/>
          <w:rFonts w:asciiTheme="majorHAnsi" w:hAnsiTheme="majorHAnsi"/>
          <w:sz w:val="16"/>
          <w:szCs w:val="16"/>
        </w:rPr>
        <w:footnoteRef/>
      </w:r>
      <w:r w:rsidRPr="00232590">
        <w:rPr>
          <w:rFonts w:asciiTheme="majorHAnsi" w:hAnsiTheme="majorHAnsi"/>
          <w:sz w:val="16"/>
          <w:szCs w:val="16"/>
          <w:lang w:val="es-PA"/>
        </w:rPr>
        <w:t xml:space="preserve"> Abogado principal que representa al segundo grupo de presuntas víctimas (Ver anexo)</w:t>
      </w:r>
    </w:p>
  </w:footnote>
  <w:footnote w:id="4">
    <w:p w14:paraId="6E7A3426" w14:textId="3CE27ABD" w:rsidR="00B00082" w:rsidRPr="00232590" w:rsidRDefault="00B00082" w:rsidP="00B00082">
      <w:pPr>
        <w:pStyle w:val="FootnoteText"/>
        <w:ind w:firstLine="720"/>
        <w:jc w:val="both"/>
        <w:rPr>
          <w:rFonts w:asciiTheme="majorHAnsi" w:hAnsiTheme="majorHAnsi"/>
          <w:sz w:val="16"/>
          <w:szCs w:val="16"/>
          <w:lang w:val="es-PA"/>
        </w:rPr>
      </w:pPr>
      <w:r w:rsidRPr="00232590">
        <w:rPr>
          <w:rStyle w:val="FootnoteReference"/>
          <w:rFonts w:asciiTheme="majorHAnsi" w:hAnsiTheme="majorHAnsi"/>
          <w:sz w:val="16"/>
          <w:szCs w:val="16"/>
        </w:rPr>
        <w:footnoteRef/>
      </w:r>
      <w:r w:rsidRPr="00232590">
        <w:rPr>
          <w:rFonts w:asciiTheme="majorHAnsi" w:hAnsiTheme="majorHAnsi"/>
          <w:sz w:val="16"/>
          <w:szCs w:val="16"/>
          <w:lang w:val="es-PA"/>
        </w:rPr>
        <w:t xml:space="preserve"> La petición se refiere a dos grupos de presuntas víctimas que totalizan </w:t>
      </w:r>
      <w:r w:rsidR="0026185F">
        <w:rPr>
          <w:rFonts w:asciiTheme="majorHAnsi" w:hAnsiTheme="majorHAnsi"/>
          <w:sz w:val="16"/>
          <w:szCs w:val="16"/>
          <w:lang w:val="es-PA"/>
        </w:rPr>
        <w:t>diecisiete</w:t>
      </w:r>
      <w:r w:rsidRPr="00232590">
        <w:rPr>
          <w:rFonts w:asciiTheme="majorHAnsi" w:hAnsiTheme="majorHAnsi"/>
          <w:sz w:val="16"/>
          <w:szCs w:val="16"/>
          <w:lang w:val="es-PA"/>
        </w:rPr>
        <w:t xml:space="preserve"> presuntas víctimas las que se detallan en el anexo</w:t>
      </w:r>
      <w:r w:rsidR="00232590">
        <w:rPr>
          <w:rFonts w:asciiTheme="majorHAnsi" w:hAnsiTheme="majorHAnsi"/>
          <w:sz w:val="16"/>
          <w:szCs w:val="16"/>
          <w:lang w:val="es-PA"/>
        </w:rPr>
        <w:t>.</w:t>
      </w:r>
    </w:p>
  </w:footnote>
  <w:footnote w:id="5">
    <w:p w14:paraId="06C1BEFA" w14:textId="0DEB1631" w:rsidR="004A6A54" w:rsidRPr="00232590" w:rsidRDefault="004A6A54" w:rsidP="00056C57">
      <w:pPr>
        <w:pStyle w:val="FootnoteText"/>
        <w:ind w:firstLine="720"/>
        <w:jc w:val="both"/>
        <w:rPr>
          <w:rFonts w:asciiTheme="majorHAnsi" w:hAnsiTheme="majorHAnsi"/>
          <w:sz w:val="16"/>
          <w:szCs w:val="16"/>
          <w:lang w:val="es-ES"/>
        </w:rPr>
      </w:pPr>
      <w:r w:rsidRPr="00232590">
        <w:rPr>
          <w:rStyle w:val="FootnoteReference"/>
          <w:rFonts w:asciiTheme="majorHAnsi" w:hAnsiTheme="majorHAnsi"/>
          <w:sz w:val="16"/>
          <w:szCs w:val="16"/>
        </w:rPr>
        <w:footnoteRef/>
      </w:r>
      <w:r w:rsidRPr="00232590">
        <w:rPr>
          <w:rFonts w:asciiTheme="majorHAnsi" w:hAnsiTheme="majorHAnsi"/>
          <w:sz w:val="16"/>
          <w:szCs w:val="16"/>
          <w:lang w:val="es-ES"/>
        </w:rPr>
        <w:t xml:space="preserve"> </w:t>
      </w:r>
      <w:r w:rsidR="00EC3A97" w:rsidRPr="001D5A20">
        <w:rPr>
          <w:rFonts w:asciiTheme="majorHAnsi" w:hAnsiTheme="majorHAnsi"/>
          <w:sz w:val="16"/>
          <w:szCs w:val="16"/>
          <w:lang w:val="es-ES"/>
        </w:rPr>
        <w:t xml:space="preserve">Conforme a lo dispuesto en el artículo 17.2.a del Reglamento de la Comisión, el Comisionado </w:t>
      </w:r>
      <w:proofErr w:type="spellStart"/>
      <w:r w:rsidR="00BF048D">
        <w:rPr>
          <w:rFonts w:asciiTheme="majorHAnsi" w:hAnsiTheme="majorHAnsi"/>
          <w:sz w:val="16"/>
          <w:szCs w:val="16"/>
          <w:lang w:val="es-ES"/>
        </w:rPr>
        <w:t>Julisa</w:t>
      </w:r>
      <w:proofErr w:type="spellEnd"/>
      <w:r w:rsidR="00BF048D">
        <w:rPr>
          <w:rFonts w:asciiTheme="majorHAnsi" w:hAnsiTheme="majorHAnsi"/>
          <w:sz w:val="16"/>
          <w:szCs w:val="16"/>
          <w:lang w:val="es-ES"/>
        </w:rPr>
        <w:t xml:space="preserve"> Mantilla Falcón</w:t>
      </w:r>
      <w:r w:rsidR="00EC3A97" w:rsidRPr="001D5A20">
        <w:rPr>
          <w:rFonts w:asciiTheme="majorHAnsi" w:hAnsiTheme="majorHAnsi"/>
          <w:sz w:val="16"/>
          <w:szCs w:val="16"/>
          <w:lang w:val="es-ES"/>
        </w:rPr>
        <w:t>, de nacionalidad Peruana, no participó en el debate ni en la decisión del presente asunto.</w:t>
      </w:r>
    </w:p>
  </w:footnote>
  <w:footnote w:id="6">
    <w:p w14:paraId="215EEB52" w14:textId="3D2F5FA7" w:rsidR="00BF514A" w:rsidRPr="00232590" w:rsidRDefault="00BF514A" w:rsidP="00056C57">
      <w:pPr>
        <w:pStyle w:val="FootnoteText"/>
        <w:ind w:firstLine="720"/>
        <w:jc w:val="both"/>
        <w:rPr>
          <w:rFonts w:asciiTheme="majorHAnsi" w:hAnsiTheme="majorHAnsi"/>
          <w:sz w:val="16"/>
          <w:szCs w:val="16"/>
          <w:lang w:val="es-ES"/>
        </w:rPr>
      </w:pPr>
      <w:r w:rsidRPr="00232590">
        <w:rPr>
          <w:rStyle w:val="FootnoteReference"/>
          <w:rFonts w:asciiTheme="majorHAnsi" w:hAnsiTheme="majorHAnsi"/>
          <w:sz w:val="16"/>
          <w:szCs w:val="16"/>
        </w:rPr>
        <w:footnoteRef/>
      </w:r>
      <w:r w:rsidRPr="00232590">
        <w:rPr>
          <w:rFonts w:asciiTheme="majorHAnsi" w:hAnsiTheme="majorHAnsi"/>
          <w:sz w:val="16"/>
          <w:szCs w:val="16"/>
          <w:lang w:val="es-ES"/>
        </w:rPr>
        <w:t xml:space="preserve"> En adelante “la Convención Americana” o “la Convención”.</w:t>
      </w:r>
    </w:p>
  </w:footnote>
  <w:footnote w:id="7">
    <w:p w14:paraId="2359680F" w14:textId="3923C176" w:rsidR="000F2DB2" w:rsidRPr="00232590" w:rsidRDefault="000F2DB2" w:rsidP="000F2DB2">
      <w:pPr>
        <w:pStyle w:val="FootnoteText"/>
        <w:ind w:firstLine="720"/>
        <w:jc w:val="both"/>
        <w:rPr>
          <w:rFonts w:asciiTheme="majorHAnsi" w:hAnsiTheme="majorHAnsi"/>
          <w:sz w:val="16"/>
          <w:szCs w:val="16"/>
          <w:lang w:val="es-PA"/>
        </w:rPr>
      </w:pPr>
      <w:r w:rsidRPr="00232590">
        <w:rPr>
          <w:rStyle w:val="FootnoteReference"/>
          <w:rFonts w:asciiTheme="majorHAnsi" w:hAnsiTheme="majorHAnsi"/>
          <w:sz w:val="16"/>
          <w:szCs w:val="16"/>
        </w:rPr>
        <w:footnoteRef/>
      </w:r>
      <w:r w:rsidRPr="00232590">
        <w:rPr>
          <w:rFonts w:asciiTheme="majorHAnsi" w:hAnsiTheme="majorHAnsi"/>
          <w:sz w:val="16"/>
          <w:szCs w:val="16"/>
          <w:lang w:val="es-PA"/>
        </w:rPr>
        <w:t xml:space="preserve"> En adelante el “Protocolo de San Salvador” o “el </w:t>
      </w:r>
      <w:r w:rsidR="0026185F" w:rsidRPr="00232590">
        <w:rPr>
          <w:rFonts w:asciiTheme="majorHAnsi" w:hAnsiTheme="majorHAnsi"/>
          <w:sz w:val="16"/>
          <w:szCs w:val="16"/>
          <w:lang w:val="es-PA"/>
        </w:rPr>
        <w:t>Protocolo</w:t>
      </w:r>
      <w:r w:rsidRPr="00232590">
        <w:rPr>
          <w:rFonts w:asciiTheme="majorHAnsi" w:hAnsiTheme="majorHAnsi"/>
          <w:sz w:val="16"/>
          <w:szCs w:val="16"/>
          <w:lang w:val="es-PA"/>
        </w:rPr>
        <w:t>”.</w:t>
      </w:r>
    </w:p>
  </w:footnote>
  <w:footnote w:id="8">
    <w:p w14:paraId="79F07139" w14:textId="77777777" w:rsidR="008E3BFE" w:rsidRPr="00056C57" w:rsidRDefault="008E3BFE" w:rsidP="00056C57">
      <w:pPr>
        <w:pStyle w:val="FootnoteText"/>
        <w:ind w:firstLine="720"/>
        <w:jc w:val="both"/>
        <w:rPr>
          <w:rFonts w:asciiTheme="majorHAnsi" w:hAnsiTheme="majorHAnsi"/>
          <w:sz w:val="16"/>
          <w:szCs w:val="16"/>
          <w:lang w:val="es-ES"/>
        </w:rPr>
      </w:pPr>
      <w:r w:rsidRPr="00232590">
        <w:rPr>
          <w:rStyle w:val="FootnoteReference"/>
          <w:rFonts w:asciiTheme="majorHAnsi" w:hAnsiTheme="majorHAnsi"/>
          <w:sz w:val="16"/>
          <w:szCs w:val="16"/>
        </w:rPr>
        <w:footnoteRef/>
      </w:r>
      <w:r w:rsidRPr="00232590">
        <w:rPr>
          <w:rFonts w:asciiTheme="majorHAnsi" w:hAnsiTheme="majorHAnsi"/>
          <w:sz w:val="16"/>
          <w:szCs w:val="16"/>
          <w:lang w:val="es-ES"/>
        </w:rPr>
        <w:t xml:space="preserve"> Las observaciones de cada parte fueron debidamente trasladadas a la parte contraria.</w:t>
      </w:r>
    </w:p>
  </w:footnote>
  <w:footnote w:id="9">
    <w:p w14:paraId="306032BC" w14:textId="0BA28D1C" w:rsidR="0025072B" w:rsidRPr="00751955" w:rsidRDefault="0025072B"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Alega que este programa formaba parte de una política general de “reorganización” de todas las entidades públicas impulsada por el gobierno que regía al país en esa fecha.</w:t>
      </w:r>
    </w:p>
  </w:footnote>
  <w:footnote w:id="10">
    <w:p w14:paraId="554EF4FD" w14:textId="592D48B0" w:rsidR="00EC7B61" w:rsidRPr="00751955" w:rsidRDefault="00EC7B61"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Con la excepción de la presunta víctima José del Busto Medina quien, según alega, nunca firmó el muto disenso pero se le impidió el ingreso a su puesto de trabajo y más adelante se le comunicó por carta notarial que su “su dinero estaba depositado en una cuenta del Banco de la N</w:t>
      </w:r>
      <w:r w:rsidR="003C3907">
        <w:rPr>
          <w:rFonts w:asciiTheme="majorHAnsi" w:hAnsiTheme="majorHAnsi"/>
          <w:sz w:val="16"/>
          <w:szCs w:val="16"/>
          <w:lang w:val="es-PA"/>
        </w:rPr>
        <w:t>ación”. Alega que en el caso de</w:t>
      </w:r>
      <w:r w:rsidRPr="00751955">
        <w:rPr>
          <w:rFonts w:asciiTheme="majorHAnsi" w:hAnsiTheme="majorHAnsi"/>
          <w:sz w:val="16"/>
          <w:szCs w:val="16"/>
          <w:lang w:val="es-PA"/>
        </w:rPr>
        <w:t xml:space="preserve"> esta presunta víc</w:t>
      </w:r>
      <w:r w:rsidR="00442557" w:rsidRPr="00751955">
        <w:rPr>
          <w:rFonts w:asciiTheme="majorHAnsi" w:hAnsiTheme="majorHAnsi"/>
          <w:sz w:val="16"/>
          <w:szCs w:val="16"/>
          <w:lang w:val="es-PA"/>
        </w:rPr>
        <w:t>tima el vínculo laboral no llegó</w:t>
      </w:r>
      <w:r w:rsidRPr="00751955">
        <w:rPr>
          <w:rFonts w:asciiTheme="majorHAnsi" w:hAnsiTheme="majorHAnsi"/>
          <w:sz w:val="16"/>
          <w:szCs w:val="16"/>
          <w:lang w:val="es-PA"/>
        </w:rPr>
        <w:t xml:space="preserve"> a disolverse puesto que nunca renunció ni cobró el referido dinero. </w:t>
      </w:r>
    </w:p>
  </w:footnote>
  <w:footnote w:id="11">
    <w:p w14:paraId="57F5B3AD" w14:textId="3A44B533" w:rsidR="00EC7B61" w:rsidRPr="00751955" w:rsidRDefault="00EC7B61"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Sostiene que el 5 de junio de 1992 fueron cesados los pocos trabajadores que no se habían acogido al programa de retiros voluntarios.</w:t>
      </w:r>
    </w:p>
  </w:footnote>
  <w:footnote w:id="12">
    <w:p w14:paraId="40BA428D" w14:textId="782CC819" w:rsidR="003E51D8" w:rsidRPr="00751955" w:rsidRDefault="003E51D8"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Indica que la existencia de vicios de la voluntad en las supuestas renuncias de los ex-trabajadores del BCR quedó constatada en informe del Defensor del Pueblo de Perú de 28 de agosto de 2003.</w:t>
      </w:r>
    </w:p>
  </w:footnote>
  <w:footnote w:id="13">
    <w:p w14:paraId="614FDD12" w14:textId="140C5274" w:rsidR="004065A0" w:rsidRPr="00751955" w:rsidRDefault="004065A0"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Luego de que el BCR fuera requerido de consignar la información bajo amenaza de denuncia penal el 30 de julio de 2003.</w:t>
      </w:r>
    </w:p>
  </w:footnote>
  <w:footnote w:id="14">
    <w:p w14:paraId="58EB0749" w14:textId="379A7B02" w:rsidR="0044127B" w:rsidRPr="00751955" w:rsidRDefault="0044127B"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Considera que esto evidencia que el gerente general actuó de manera arbitraria y unilateral para conseguir la “renuncia” de aquellos trabajadores que no quería que permanecieran en el banco. </w:t>
      </w:r>
    </w:p>
  </w:footnote>
  <w:footnote w:id="15">
    <w:p w14:paraId="7DBF3CA2" w14:textId="04F3415C" w:rsidR="00205331" w:rsidRPr="00751955" w:rsidRDefault="00205331"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w:t>
      </w:r>
      <w:r w:rsidR="007777AD" w:rsidRPr="00751955">
        <w:rPr>
          <w:rFonts w:asciiTheme="majorHAnsi" w:hAnsiTheme="majorHAnsi"/>
          <w:sz w:val="16"/>
          <w:szCs w:val="16"/>
          <w:lang w:val="es-PA"/>
        </w:rPr>
        <w:t>Entre otras declaraciones, indican que el presidente expresó “Se fueron con indemnizaciones altísimas y vuelven con recursos de amparo” y “¿Por qué el pueblo tendría que pagar así? Eso no es justicia. Es aprovechamiento de los vacíos de la ley</w:t>
      </w:r>
      <w:r w:rsidR="00147354" w:rsidRPr="00751955">
        <w:rPr>
          <w:rFonts w:asciiTheme="majorHAnsi" w:hAnsiTheme="majorHAnsi"/>
          <w:sz w:val="16"/>
          <w:szCs w:val="16"/>
          <w:lang w:val="es-PA"/>
        </w:rPr>
        <w:t>”</w:t>
      </w:r>
      <w:r w:rsidR="007777AD" w:rsidRPr="00751955">
        <w:rPr>
          <w:rFonts w:asciiTheme="majorHAnsi" w:hAnsiTheme="majorHAnsi"/>
          <w:sz w:val="16"/>
          <w:szCs w:val="16"/>
          <w:lang w:val="es-PA"/>
        </w:rPr>
        <w:t>.</w:t>
      </w:r>
    </w:p>
  </w:footnote>
  <w:footnote w:id="16">
    <w:p w14:paraId="7C03B952" w14:textId="49991CA2" w:rsidR="00147354" w:rsidRPr="00147354" w:rsidRDefault="00147354" w:rsidP="00751955">
      <w:pPr>
        <w:pStyle w:val="FootnoteText"/>
        <w:ind w:firstLine="720"/>
        <w:jc w:val="both"/>
        <w:rPr>
          <w:rFonts w:asciiTheme="majorHAnsi" w:hAnsiTheme="majorHAnsi"/>
          <w:sz w:val="16"/>
          <w:szCs w:val="16"/>
          <w:lang w:val="es-PA"/>
        </w:rPr>
      </w:pPr>
      <w:r w:rsidRPr="00751955">
        <w:rPr>
          <w:rStyle w:val="FootnoteReference"/>
          <w:rFonts w:asciiTheme="majorHAnsi" w:hAnsiTheme="majorHAnsi"/>
          <w:sz w:val="16"/>
          <w:szCs w:val="16"/>
        </w:rPr>
        <w:footnoteRef/>
      </w:r>
      <w:r w:rsidRPr="00751955">
        <w:rPr>
          <w:rFonts w:asciiTheme="majorHAnsi" w:hAnsiTheme="majorHAnsi"/>
          <w:sz w:val="16"/>
          <w:szCs w:val="16"/>
          <w:lang w:val="es-PA"/>
        </w:rPr>
        <w:t xml:space="preserve"> Alegan que, luego de las palabras del </w:t>
      </w:r>
      <w:r w:rsidR="0026185F">
        <w:rPr>
          <w:rFonts w:asciiTheme="majorHAnsi" w:hAnsiTheme="majorHAnsi"/>
          <w:sz w:val="16"/>
          <w:szCs w:val="16"/>
          <w:lang w:val="es-PA"/>
        </w:rPr>
        <w:t>P</w:t>
      </w:r>
      <w:r w:rsidRPr="00751955">
        <w:rPr>
          <w:rFonts w:asciiTheme="majorHAnsi" w:hAnsiTheme="majorHAnsi"/>
          <w:sz w:val="16"/>
          <w:szCs w:val="16"/>
          <w:lang w:val="es-PA"/>
        </w:rPr>
        <w:t>residente, la jefa de la oficina de control de la magistratura inició con una sospechosa celeridad la investigación contra los magistrados que les favorecieron y que</w:t>
      </w:r>
      <w:r w:rsidR="0004721D" w:rsidRPr="00751955">
        <w:rPr>
          <w:rFonts w:asciiTheme="majorHAnsi" w:hAnsiTheme="majorHAnsi"/>
          <w:sz w:val="16"/>
          <w:szCs w:val="16"/>
          <w:lang w:val="es-PA"/>
        </w:rPr>
        <w:t xml:space="preserve"> el presidente manifestó públicamente estar de acuerdo con la destitución</w:t>
      </w:r>
      <w:r w:rsidRPr="00751955">
        <w:rPr>
          <w:rFonts w:asciiTheme="majorHAnsi" w:hAnsiTheme="majorHAnsi"/>
          <w:sz w:val="16"/>
          <w:szCs w:val="16"/>
          <w:lang w:val="es-PA"/>
        </w:rPr>
        <w:t>.</w:t>
      </w:r>
      <w:r>
        <w:rPr>
          <w:rFonts w:asciiTheme="majorHAnsi" w:hAnsiTheme="majorHAnsi"/>
          <w:sz w:val="16"/>
          <w:szCs w:val="16"/>
          <w:lang w:val="es-PA"/>
        </w:rPr>
        <w:t xml:space="preserve"> </w:t>
      </w:r>
    </w:p>
  </w:footnote>
  <w:footnote w:id="17">
    <w:p w14:paraId="5EE3F8E7" w14:textId="7CAF6467" w:rsidR="004F26AE" w:rsidRPr="00372686" w:rsidRDefault="004F26AE" w:rsidP="004F26AE">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Por razón de que el tribunal de segunda instancia no había realizado una evaluación individualizada de </w:t>
      </w:r>
      <w:r w:rsidR="00FC7ECF" w:rsidRPr="00372686">
        <w:rPr>
          <w:rFonts w:asciiTheme="majorHAnsi" w:hAnsiTheme="majorHAnsi"/>
          <w:sz w:val="16"/>
          <w:szCs w:val="16"/>
          <w:lang w:val="es-PA"/>
        </w:rPr>
        <w:t>los</w:t>
      </w:r>
      <w:r w:rsidRPr="00372686">
        <w:rPr>
          <w:rFonts w:asciiTheme="majorHAnsi" w:hAnsiTheme="majorHAnsi"/>
          <w:sz w:val="16"/>
          <w:szCs w:val="16"/>
          <w:lang w:val="es-PA"/>
        </w:rPr>
        <w:t xml:space="preserve"> casos de cada uno de los trabajadores.</w:t>
      </w:r>
    </w:p>
  </w:footnote>
  <w:footnote w:id="18">
    <w:p w14:paraId="6432EB43" w14:textId="261F1473" w:rsidR="00A7135D" w:rsidRPr="00372686" w:rsidRDefault="00A7135D" w:rsidP="00A7135D">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Los representantes del segundo grupo indican que presentaron una demanda de amparo contra esta resolución invocando que se había incumplido el precedente vinculante emitido por el Tribunal Constitucional en sentencia del 25 de noviembre de 2009 por el cual </w:t>
      </w:r>
      <w:r w:rsidR="00657546" w:rsidRPr="00372686">
        <w:rPr>
          <w:rFonts w:asciiTheme="majorHAnsi" w:hAnsiTheme="majorHAnsi"/>
          <w:sz w:val="16"/>
          <w:szCs w:val="16"/>
          <w:lang w:val="es-PA"/>
        </w:rPr>
        <w:t>la procedencia de demandas de amparo</w:t>
      </w:r>
      <w:r w:rsidR="00911006">
        <w:rPr>
          <w:rFonts w:asciiTheme="majorHAnsi" w:hAnsiTheme="majorHAnsi"/>
          <w:sz w:val="16"/>
          <w:szCs w:val="16"/>
          <w:lang w:val="es-PA"/>
        </w:rPr>
        <w:t xml:space="preserve"> contra decisiones</w:t>
      </w:r>
      <w:r w:rsidR="00657546" w:rsidRPr="00372686">
        <w:rPr>
          <w:rFonts w:asciiTheme="majorHAnsi" w:hAnsiTheme="majorHAnsi"/>
          <w:sz w:val="16"/>
          <w:szCs w:val="16"/>
          <w:lang w:val="es-PA"/>
        </w:rPr>
        <w:t xml:space="preserve"> que ordenan la reposición laboral requiere que primero se ejecute la reposición. Sin embargo, esta fue declarada improcedente </w:t>
      </w:r>
      <w:r w:rsidR="00ED47F6" w:rsidRPr="00372686">
        <w:rPr>
          <w:rFonts w:asciiTheme="majorHAnsi" w:hAnsiTheme="majorHAnsi"/>
          <w:sz w:val="16"/>
          <w:szCs w:val="16"/>
          <w:lang w:val="es-PA"/>
        </w:rPr>
        <w:t>por la Tercera Sala Civil de Lima el 10 de enero de 2014 en decisión que luego fue confirmada por el Tribunal Constitucional el 3 de marzo de 2016.</w:t>
      </w:r>
    </w:p>
  </w:footnote>
  <w:footnote w:id="19">
    <w:p w14:paraId="0BC557F3" w14:textId="73452FCE" w:rsidR="00432984" w:rsidRPr="00372686" w:rsidRDefault="00432984" w:rsidP="00432984">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Aducen que ya anteriormente en enero de 2013 el BCR los había intentado destituir pero habían sido reincorporados por orden judicial.</w:t>
      </w:r>
    </w:p>
  </w:footnote>
  <w:footnote w:id="20">
    <w:p w14:paraId="00A0F8E1" w14:textId="2C8D9026" w:rsidR="009F3D92" w:rsidRPr="00372686" w:rsidRDefault="009F3D92" w:rsidP="00DA3964">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w:t>
      </w:r>
      <w:r w:rsidR="00DA3964" w:rsidRPr="00372686">
        <w:rPr>
          <w:rFonts w:asciiTheme="majorHAnsi" w:hAnsiTheme="majorHAnsi"/>
          <w:sz w:val="16"/>
          <w:szCs w:val="16"/>
          <w:lang w:val="es-PA"/>
        </w:rPr>
        <w:t xml:space="preserve">En el caso de la presunta víctima Roberto </w:t>
      </w:r>
      <w:r w:rsidR="00FC7ECF" w:rsidRPr="00372686">
        <w:rPr>
          <w:rFonts w:asciiTheme="majorHAnsi" w:hAnsiTheme="majorHAnsi"/>
          <w:sz w:val="16"/>
          <w:szCs w:val="16"/>
          <w:lang w:val="es-PA"/>
        </w:rPr>
        <w:t>Joaquín</w:t>
      </w:r>
      <w:r w:rsidR="00DA3964" w:rsidRPr="00372686">
        <w:rPr>
          <w:rFonts w:asciiTheme="majorHAnsi" w:hAnsiTheme="majorHAnsi"/>
          <w:sz w:val="16"/>
          <w:szCs w:val="16"/>
          <w:lang w:val="es-PA"/>
        </w:rPr>
        <w:t xml:space="preserve"> Barreto Jimeno denuncian que se le notificó de su despido en su domicilio</w:t>
      </w:r>
      <w:r w:rsidR="00504608" w:rsidRPr="00372686">
        <w:rPr>
          <w:rFonts w:asciiTheme="majorHAnsi" w:hAnsiTheme="majorHAnsi"/>
          <w:sz w:val="16"/>
          <w:szCs w:val="16"/>
          <w:lang w:val="es-PA"/>
        </w:rPr>
        <w:t>, pesé a que el BCR tenía conocimiento que el mismo se encontraba en recuperación post-operatoria luego de haber sufrido un infarto cardiovascular en las instalaciones de la entidad.</w:t>
      </w:r>
    </w:p>
  </w:footnote>
  <w:footnote w:id="21">
    <w:p w14:paraId="79345419" w14:textId="4F8DF297" w:rsidR="004F26AE" w:rsidRPr="00372686" w:rsidRDefault="004F26AE" w:rsidP="004F26AE">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El tribunal consideró que el no contar con la información se obtuvo mediante habeas data en 2003 no representaba impedimento para que los demandantes presentara el amparo de manera más oportuna.</w:t>
      </w:r>
    </w:p>
  </w:footnote>
  <w:footnote w:id="22">
    <w:p w14:paraId="10BBB19D" w14:textId="078A45F5" w:rsidR="00C6128B" w:rsidRPr="00372686" w:rsidRDefault="00C6128B" w:rsidP="00C6128B">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Considera que los efectos de este reconocimiento son extensivos a Carlos Alfredo Guillén Mendoza y Norma </w:t>
      </w:r>
      <w:proofErr w:type="spellStart"/>
      <w:r w:rsidRPr="00372686">
        <w:rPr>
          <w:rFonts w:asciiTheme="majorHAnsi" w:hAnsiTheme="majorHAnsi"/>
          <w:sz w:val="16"/>
          <w:szCs w:val="16"/>
          <w:lang w:val="es-PA"/>
        </w:rPr>
        <w:t>Capuñay</w:t>
      </w:r>
      <w:proofErr w:type="spellEnd"/>
      <w:r w:rsidRPr="00372686">
        <w:rPr>
          <w:rFonts w:asciiTheme="majorHAnsi" w:hAnsiTheme="majorHAnsi"/>
          <w:sz w:val="16"/>
          <w:szCs w:val="16"/>
          <w:lang w:val="es-PA"/>
        </w:rPr>
        <w:t xml:space="preserve"> González dado que sus despidos fueron ejecutados bajo las mismas circunstancias que el del señor del Busto.</w:t>
      </w:r>
    </w:p>
  </w:footnote>
  <w:footnote w:id="23">
    <w:p w14:paraId="3FDF248A" w14:textId="77777777" w:rsidR="00997D94" w:rsidRPr="00EA3DA0" w:rsidRDefault="00997D94" w:rsidP="00997D94">
      <w:pPr>
        <w:pStyle w:val="FootnoteText"/>
        <w:ind w:firstLine="720"/>
        <w:jc w:val="both"/>
        <w:rPr>
          <w:rFonts w:asciiTheme="majorHAnsi" w:hAnsiTheme="majorHAnsi"/>
          <w:sz w:val="16"/>
          <w:szCs w:val="16"/>
          <w:lang w:val="es-PA"/>
        </w:rPr>
      </w:pPr>
      <w:r w:rsidRPr="00372686">
        <w:rPr>
          <w:rStyle w:val="FootnoteReference"/>
          <w:rFonts w:asciiTheme="majorHAnsi" w:hAnsiTheme="majorHAnsi"/>
          <w:sz w:val="16"/>
          <w:szCs w:val="16"/>
        </w:rPr>
        <w:footnoteRef/>
      </w:r>
      <w:r w:rsidRPr="00372686">
        <w:rPr>
          <w:rFonts w:asciiTheme="majorHAnsi" w:hAnsiTheme="majorHAnsi"/>
          <w:sz w:val="16"/>
          <w:szCs w:val="16"/>
          <w:lang w:val="es-PA"/>
        </w:rPr>
        <w:t xml:space="preserve"> También reclama de manera más general la demora excesiva en la resolución de las distintas acciones judiciales en las que se han visto involucrados.</w:t>
      </w:r>
    </w:p>
  </w:footnote>
  <w:footnote w:id="24">
    <w:p w14:paraId="6E89A483" w14:textId="77777777" w:rsidR="00997D94" w:rsidRPr="000B4619" w:rsidRDefault="00997D94" w:rsidP="00997D94">
      <w:pPr>
        <w:pStyle w:val="FootnoteText"/>
        <w:ind w:firstLine="720"/>
        <w:jc w:val="both"/>
        <w:rPr>
          <w:rFonts w:asciiTheme="majorHAnsi" w:hAnsiTheme="majorHAnsi"/>
          <w:sz w:val="16"/>
          <w:szCs w:val="16"/>
          <w:lang w:val="es-PA"/>
        </w:rPr>
      </w:pPr>
      <w:r w:rsidRPr="000B4619">
        <w:rPr>
          <w:rStyle w:val="FootnoteReference"/>
          <w:rFonts w:asciiTheme="majorHAnsi" w:hAnsiTheme="majorHAnsi"/>
          <w:sz w:val="16"/>
          <w:szCs w:val="16"/>
        </w:rPr>
        <w:footnoteRef/>
      </w:r>
      <w:r w:rsidRPr="000B4619">
        <w:rPr>
          <w:rFonts w:asciiTheme="majorHAnsi" w:hAnsiTheme="majorHAnsi"/>
          <w:sz w:val="16"/>
          <w:szCs w:val="16"/>
          <w:lang w:val="es-PA"/>
        </w:rPr>
        <w:t xml:space="preserve"> Resaltan que esto ha sido reconocido a nivel doméstico en precedente vinculante emitido por el Tribunal Constitucional en sentencia del 25 de noviembre de 2009.</w:t>
      </w:r>
    </w:p>
  </w:footnote>
  <w:footnote w:id="25">
    <w:p w14:paraId="53B497AB" w14:textId="77777777" w:rsidR="00997D94" w:rsidRPr="002804C4" w:rsidRDefault="00997D94" w:rsidP="00997D94">
      <w:pPr>
        <w:pStyle w:val="FootnoteText"/>
        <w:ind w:firstLine="720"/>
        <w:jc w:val="both"/>
        <w:rPr>
          <w:rFonts w:asciiTheme="majorHAnsi" w:hAnsiTheme="majorHAnsi"/>
          <w:sz w:val="16"/>
          <w:szCs w:val="16"/>
          <w:lang w:val="es-PA"/>
        </w:rPr>
      </w:pPr>
      <w:r>
        <w:rPr>
          <w:rStyle w:val="FootnoteReference"/>
        </w:rPr>
        <w:footnoteRef/>
      </w:r>
      <w:r w:rsidRPr="002804C4">
        <w:rPr>
          <w:lang w:val="es-PA"/>
        </w:rPr>
        <w:t xml:space="preserve"> </w:t>
      </w:r>
      <w:r>
        <w:rPr>
          <w:rFonts w:asciiTheme="majorHAnsi" w:hAnsiTheme="majorHAnsi"/>
          <w:sz w:val="16"/>
          <w:szCs w:val="16"/>
          <w:lang w:val="es-PA"/>
        </w:rPr>
        <w:t xml:space="preserve">Considera que el tiempo entre que se dictó la sentencia y se emitió la medida cautelar que la suspendió fue corto, por lo que la no ejecución de la sentencia durante este periodo no implica violación a la Convención. </w:t>
      </w:r>
    </w:p>
  </w:footnote>
  <w:footnote w:id="26">
    <w:p w14:paraId="021F1993" w14:textId="73DDA33D" w:rsidR="0016303E" w:rsidRPr="0016303E" w:rsidRDefault="0016303E" w:rsidP="0016303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16"/>
          <w:szCs w:val="16"/>
          <w:lang w:val="es-ES"/>
        </w:rPr>
      </w:pPr>
      <w:r w:rsidRPr="0016303E">
        <w:rPr>
          <w:rStyle w:val="FootnoteReference"/>
          <w:rFonts w:asciiTheme="majorHAnsi" w:hAnsiTheme="majorHAnsi"/>
          <w:sz w:val="16"/>
          <w:szCs w:val="16"/>
        </w:rPr>
        <w:footnoteRef/>
      </w:r>
      <w:r w:rsidRPr="0016303E">
        <w:rPr>
          <w:rFonts w:asciiTheme="majorHAnsi" w:hAnsiTheme="majorHAnsi"/>
          <w:sz w:val="16"/>
          <w:szCs w:val="16"/>
          <w:lang w:val="es-PA"/>
        </w:rPr>
        <w:t xml:space="preserve"> </w:t>
      </w:r>
      <w:r w:rsidRPr="0016303E">
        <w:rPr>
          <w:rFonts w:asciiTheme="majorHAnsi" w:hAnsiTheme="majorHAnsi"/>
          <w:sz w:val="16"/>
          <w:szCs w:val="16"/>
          <w:lang w:val="es-ES"/>
        </w:rPr>
        <w:t xml:space="preserve">La Comisión toma nota que el Estado ha objetado a la existencia de posibles contradicciones en las alegaciones de los representantes de los distintos grupos de presuntas víctimas. Sin embargo, para efectos de la etapa de admisibilidad, el análisis de la Comisión se limita a determinar si las alegaciones son manifiestamente infundadas y si estas pudieran, de ser ciertas, caracterizar violaciones a la Convención.  El análisis respecto a la veracidad de las distintas alegaciones corresponderá a la etapa de fondo. </w:t>
      </w:r>
    </w:p>
  </w:footnote>
  <w:footnote w:id="27">
    <w:p w14:paraId="3BEAA7B3" w14:textId="7E84A168" w:rsidR="00786D24" w:rsidRPr="00786D24" w:rsidRDefault="00786D24" w:rsidP="00786D24">
      <w:pPr>
        <w:pStyle w:val="FootnoteText"/>
        <w:ind w:firstLine="720"/>
        <w:jc w:val="both"/>
        <w:rPr>
          <w:rFonts w:asciiTheme="majorHAnsi" w:hAnsiTheme="majorHAnsi"/>
          <w:sz w:val="16"/>
          <w:szCs w:val="16"/>
          <w:lang w:val="es-PA"/>
        </w:rPr>
      </w:pPr>
      <w:r>
        <w:rPr>
          <w:rStyle w:val="FootnoteReference"/>
        </w:rPr>
        <w:footnoteRef/>
      </w:r>
      <w:r w:rsidRPr="00786D24">
        <w:rPr>
          <w:lang w:val="es-PA"/>
        </w:rPr>
        <w:t xml:space="preserve"> </w:t>
      </w:r>
      <w:r>
        <w:rPr>
          <w:rFonts w:asciiTheme="majorHAnsi" w:hAnsiTheme="majorHAnsi"/>
          <w:sz w:val="16"/>
          <w:szCs w:val="16"/>
          <w:lang w:val="es-PA"/>
        </w:rPr>
        <w:t>La Comisión toma nota que el E</w:t>
      </w:r>
      <w:r w:rsidR="00E136E1">
        <w:rPr>
          <w:rFonts w:asciiTheme="majorHAnsi" w:hAnsiTheme="majorHAnsi"/>
          <w:sz w:val="16"/>
          <w:szCs w:val="16"/>
          <w:lang w:val="es-PA"/>
        </w:rPr>
        <w:t>stado ha objetado la incorporación</w:t>
      </w:r>
      <w:r>
        <w:rPr>
          <w:rFonts w:asciiTheme="majorHAnsi" w:hAnsiTheme="majorHAnsi"/>
          <w:sz w:val="16"/>
          <w:szCs w:val="16"/>
          <w:lang w:val="es-PA"/>
        </w:rPr>
        <w:t xml:space="preserve"> por parte</w:t>
      </w:r>
      <w:r w:rsidR="00E136E1">
        <w:rPr>
          <w:rFonts w:asciiTheme="majorHAnsi" w:hAnsiTheme="majorHAnsi"/>
          <w:sz w:val="16"/>
          <w:szCs w:val="16"/>
          <w:lang w:val="es-PA"/>
        </w:rPr>
        <w:t xml:space="preserve"> de los peticionarios, durante el trámite de admisibilidad, de presuntas </w:t>
      </w:r>
      <w:r>
        <w:rPr>
          <w:rFonts w:asciiTheme="majorHAnsi" w:hAnsiTheme="majorHAnsi"/>
          <w:sz w:val="16"/>
          <w:szCs w:val="16"/>
          <w:lang w:val="es-PA"/>
        </w:rPr>
        <w:t xml:space="preserve">víctimas que no fueron incluidas en el escrito inicial de petición. Sin embargo, </w:t>
      </w:r>
      <w:r w:rsidR="00E136E1">
        <w:rPr>
          <w:rFonts w:asciiTheme="majorHAnsi" w:hAnsiTheme="majorHAnsi"/>
          <w:sz w:val="16"/>
          <w:szCs w:val="16"/>
          <w:lang w:val="es-PA"/>
        </w:rPr>
        <w:t xml:space="preserve">la Comisión estima que, </w:t>
      </w:r>
      <w:r>
        <w:rPr>
          <w:rFonts w:asciiTheme="majorHAnsi" w:hAnsiTheme="majorHAnsi"/>
          <w:sz w:val="16"/>
          <w:szCs w:val="16"/>
          <w:lang w:val="es-PA"/>
        </w:rPr>
        <w:t>en la etapa de admisibilidad</w:t>
      </w:r>
      <w:r w:rsidR="00E136E1">
        <w:rPr>
          <w:rFonts w:asciiTheme="majorHAnsi" w:hAnsiTheme="majorHAnsi"/>
          <w:sz w:val="16"/>
          <w:szCs w:val="16"/>
          <w:lang w:val="es-PA"/>
        </w:rPr>
        <w:t>,</w:t>
      </w:r>
      <w:r>
        <w:rPr>
          <w:rFonts w:asciiTheme="majorHAnsi" w:hAnsiTheme="majorHAnsi"/>
          <w:sz w:val="16"/>
          <w:szCs w:val="16"/>
          <w:lang w:val="es-PA"/>
        </w:rPr>
        <w:t xml:space="preserve"> es permitido que la parte</w:t>
      </w:r>
      <w:r w:rsidR="00E136E1">
        <w:rPr>
          <w:rFonts w:asciiTheme="majorHAnsi" w:hAnsiTheme="majorHAnsi"/>
          <w:sz w:val="16"/>
          <w:szCs w:val="16"/>
          <w:lang w:val="es-PA"/>
        </w:rPr>
        <w:t xml:space="preserve"> peticionaria aporte información adicional respecto a otras presuntas víctimas, siempre y cuando ésta guarde relación con la petición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D44E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6E56" w14:textId="77777777" w:rsidR="00DD0E0F" w:rsidRDefault="00DD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7435DF"/>
    <w:multiLevelType w:val="hybridMultilevel"/>
    <w:tmpl w:val="6C44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A136BE0"/>
    <w:multiLevelType w:val="hybridMultilevel"/>
    <w:tmpl w:val="2FF2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5"/>
  </w:num>
  <w:num w:numId="56">
    <w:abstractNumId w:val="41"/>
  </w:num>
  <w:num w:numId="57">
    <w:abstractNumId w:val="2"/>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32DD"/>
    <w:rsid w:val="000065D0"/>
    <w:rsid w:val="00006B74"/>
    <w:rsid w:val="00006E1F"/>
    <w:rsid w:val="000070D7"/>
    <w:rsid w:val="000104F5"/>
    <w:rsid w:val="00015701"/>
    <w:rsid w:val="0001788C"/>
    <w:rsid w:val="0002186F"/>
    <w:rsid w:val="000337EF"/>
    <w:rsid w:val="00036090"/>
    <w:rsid w:val="00040C3A"/>
    <w:rsid w:val="000419AD"/>
    <w:rsid w:val="0004544A"/>
    <w:rsid w:val="0004721D"/>
    <w:rsid w:val="00056C57"/>
    <w:rsid w:val="00063562"/>
    <w:rsid w:val="000716C5"/>
    <w:rsid w:val="00075E23"/>
    <w:rsid w:val="0009344A"/>
    <w:rsid w:val="000A3254"/>
    <w:rsid w:val="000A392E"/>
    <w:rsid w:val="000A575F"/>
    <w:rsid w:val="000B0579"/>
    <w:rsid w:val="000B4619"/>
    <w:rsid w:val="000C1C69"/>
    <w:rsid w:val="000D10DB"/>
    <w:rsid w:val="000D1FE3"/>
    <w:rsid w:val="000E2789"/>
    <w:rsid w:val="000E38B6"/>
    <w:rsid w:val="000E5EB5"/>
    <w:rsid w:val="000F2DB2"/>
    <w:rsid w:val="000F35ED"/>
    <w:rsid w:val="00107131"/>
    <w:rsid w:val="0010736F"/>
    <w:rsid w:val="00111A8A"/>
    <w:rsid w:val="00113F73"/>
    <w:rsid w:val="00121CC2"/>
    <w:rsid w:val="00131D8B"/>
    <w:rsid w:val="00133EE5"/>
    <w:rsid w:val="00136E3D"/>
    <w:rsid w:val="00143EFE"/>
    <w:rsid w:val="00147354"/>
    <w:rsid w:val="001479C0"/>
    <w:rsid w:val="0015330B"/>
    <w:rsid w:val="0016303E"/>
    <w:rsid w:val="00167A34"/>
    <w:rsid w:val="00177EEF"/>
    <w:rsid w:val="0018009C"/>
    <w:rsid w:val="001829F5"/>
    <w:rsid w:val="00192423"/>
    <w:rsid w:val="001935D4"/>
    <w:rsid w:val="00196FE7"/>
    <w:rsid w:val="001A7870"/>
    <w:rsid w:val="001B3A00"/>
    <w:rsid w:val="001C1B41"/>
    <w:rsid w:val="001D65EF"/>
    <w:rsid w:val="001E49E7"/>
    <w:rsid w:val="001F271B"/>
    <w:rsid w:val="001F28AA"/>
    <w:rsid w:val="001F7201"/>
    <w:rsid w:val="00202452"/>
    <w:rsid w:val="00204931"/>
    <w:rsid w:val="00205331"/>
    <w:rsid w:val="00223A29"/>
    <w:rsid w:val="002250A3"/>
    <w:rsid w:val="00231294"/>
    <w:rsid w:val="00232590"/>
    <w:rsid w:val="00235217"/>
    <w:rsid w:val="00237E7B"/>
    <w:rsid w:val="00241D2B"/>
    <w:rsid w:val="00246D1F"/>
    <w:rsid w:val="00247403"/>
    <w:rsid w:val="00247542"/>
    <w:rsid w:val="0025072B"/>
    <w:rsid w:val="00260203"/>
    <w:rsid w:val="0026185F"/>
    <w:rsid w:val="0026497D"/>
    <w:rsid w:val="00266B61"/>
    <w:rsid w:val="00266E9B"/>
    <w:rsid w:val="0026712A"/>
    <w:rsid w:val="002704DB"/>
    <w:rsid w:val="00274551"/>
    <w:rsid w:val="00277BDA"/>
    <w:rsid w:val="002804C4"/>
    <w:rsid w:val="00283638"/>
    <w:rsid w:val="0029575A"/>
    <w:rsid w:val="002A0AAE"/>
    <w:rsid w:val="002A5820"/>
    <w:rsid w:val="002C3350"/>
    <w:rsid w:val="002D2B26"/>
    <w:rsid w:val="002D7EA2"/>
    <w:rsid w:val="002E187C"/>
    <w:rsid w:val="002E2298"/>
    <w:rsid w:val="002E7512"/>
    <w:rsid w:val="00302733"/>
    <w:rsid w:val="003121D5"/>
    <w:rsid w:val="00313E48"/>
    <w:rsid w:val="00314078"/>
    <w:rsid w:val="0031535D"/>
    <w:rsid w:val="00320B16"/>
    <w:rsid w:val="003239B8"/>
    <w:rsid w:val="0033169F"/>
    <w:rsid w:val="0033251E"/>
    <w:rsid w:val="0034224A"/>
    <w:rsid w:val="00343438"/>
    <w:rsid w:val="00344977"/>
    <w:rsid w:val="00346C95"/>
    <w:rsid w:val="00351155"/>
    <w:rsid w:val="0035243E"/>
    <w:rsid w:val="00356185"/>
    <w:rsid w:val="00360380"/>
    <w:rsid w:val="00372686"/>
    <w:rsid w:val="0037519E"/>
    <w:rsid w:val="00386C6C"/>
    <w:rsid w:val="00386CF0"/>
    <w:rsid w:val="003A6337"/>
    <w:rsid w:val="003B4FF6"/>
    <w:rsid w:val="003B70FB"/>
    <w:rsid w:val="003B7CFF"/>
    <w:rsid w:val="003C201D"/>
    <w:rsid w:val="003C3907"/>
    <w:rsid w:val="003C676B"/>
    <w:rsid w:val="003D0A55"/>
    <w:rsid w:val="003D3BC2"/>
    <w:rsid w:val="003E51D8"/>
    <w:rsid w:val="003E6CA1"/>
    <w:rsid w:val="003E7840"/>
    <w:rsid w:val="003F54E8"/>
    <w:rsid w:val="00400629"/>
    <w:rsid w:val="00401AFE"/>
    <w:rsid w:val="004065A0"/>
    <w:rsid w:val="004065A8"/>
    <w:rsid w:val="00413231"/>
    <w:rsid w:val="004165C2"/>
    <w:rsid w:val="004304AD"/>
    <w:rsid w:val="00431599"/>
    <w:rsid w:val="00432984"/>
    <w:rsid w:val="00434A64"/>
    <w:rsid w:val="00435C0C"/>
    <w:rsid w:val="0044127B"/>
    <w:rsid w:val="00441ECB"/>
    <w:rsid w:val="00442557"/>
    <w:rsid w:val="00445193"/>
    <w:rsid w:val="00445754"/>
    <w:rsid w:val="00447CCF"/>
    <w:rsid w:val="00450CFF"/>
    <w:rsid w:val="00453145"/>
    <w:rsid w:val="004565BA"/>
    <w:rsid w:val="004609BC"/>
    <w:rsid w:val="00462C1B"/>
    <w:rsid w:val="00467B7E"/>
    <w:rsid w:val="00473BB4"/>
    <w:rsid w:val="00477592"/>
    <w:rsid w:val="00486F1C"/>
    <w:rsid w:val="0049419D"/>
    <w:rsid w:val="004A2778"/>
    <w:rsid w:val="004A4B11"/>
    <w:rsid w:val="004A59CC"/>
    <w:rsid w:val="004A6A54"/>
    <w:rsid w:val="004C20D2"/>
    <w:rsid w:val="004C2312"/>
    <w:rsid w:val="004C4B62"/>
    <w:rsid w:val="004C54C9"/>
    <w:rsid w:val="004C616A"/>
    <w:rsid w:val="004D3EFE"/>
    <w:rsid w:val="004D4ABA"/>
    <w:rsid w:val="004D6025"/>
    <w:rsid w:val="004E19B1"/>
    <w:rsid w:val="004E2649"/>
    <w:rsid w:val="004F26AE"/>
    <w:rsid w:val="00501399"/>
    <w:rsid w:val="00501652"/>
    <w:rsid w:val="00504608"/>
    <w:rsid w:val="0050633D"/>
    <w:rsid w:val="00506654"/>
    <w:rsid w:val="00507BC4"/>
    <w:rsid w:val="005128E4"/>
    <w:rsid w:val="005133DB"/>
    <w:rsid w:val="00516C13"/>
    <w:rsid w:val="005245F2"/>
    <w:rsid w:val="00525560"/>
    <w:rsid w:val="005350FE"/>
    <w:rsid w:val="00537DB9"/>
    <w:rsid w:val="005415E6"/>
    <w:rsid w:val="00544216"/>
    <w:rsid w:val="00544C49"/>
    <w:rsid w:val="005516A1"/>
    <w:rsid w:val="00552B09"/>
    <w:rsid w:val="00563557"/>
    <w:rsid w:val="0057402A"/>
    <w:rsid w:val="00574B25"/>
    <w:rsid w:val="00574CB7"/>
    <w:rsid w:val="005771D0"/>
    <w:rsid w:val="00584BE4"/>
    <w:rsid w:val="00590F24"/>
    <w:rsid w:val="0059191A"/>
    <w:rsid w:val="005921FF"/>
    <w:rsid w:val="005A24ED"/>
    <w:rsid w:val="005A6D0E"/>
    <w:rsid w:val="005A7500"/>
    <w:rsid w:val="005B37CC"/>
    <w:rsid w:val="005B52B0"/>
    <w:rsid w:val="005B6806"/>
    <w:rsid w:val="005B6D22"/>
    <w:rsid w:val="005C261A"/>
    <w:rsid w:val="005C4225"/>
    <w:rsid w:val="005C7989"/>
    <w:rsid w:val="005E0B65"/>
    <w:rsid w:val="005E11B2"/>
    <w:rsid w:val="005F0DAD"/>
    <w:rsid w:val="005F0F33"/>
    <w:rsid w:val="00600DEB"/>
    <w:rsid w:val="00607674"/>
    <w:rsid w:val="00607FA6"/>
    <w:rsid w:val="0061035C"/>
    <w:rsid w:val="00610A1E"/>
    <w:rsid w:val="006152D9"/>
    <w:rsid w:val="006217FF"/>
    <w:rsid w:val="006277DE"/>
    <w:rsid w:val="00627C9F"/>
    <w:rsid w:val="006311E9"/>
    <w:rsid w:val="00632354"/>
    <w:rsid w:val="00642810"/>
    <w:rsid w:val="00647756"/>
    <w:rsid w:val="006509DA"/>
    <w:rsid w:val="00652333"/>
    <w:rsid w:val="00657546"/>
    <w:rsid w:val="0068009E"/>
    <w:rsid w:val="006819E9"/>
    <w:rsid w:val="00686471"/>
    <w:rsid w:val="00691BBE"/>
    <w:rsid w:val="00692219"/>
    <w:rsid w:val="006A17D2"/>
    <w:rsid w:val="006A73E6"/>
    <w:rsid w:val="006B2D5C"/>
    <w:rsid w:val="006C4EB1"/>
    <w:rsid w:val="006E0166"/>
    <w:rsid w:val="006E4F03"/>
    <w:rsid w:val="006E7B34"/>
    <w:rsid w:val="0070697F"/>
    <w:rsid w:val="00714E7F"/>
    <w:rsid w:val="0072199C"/>
    <w:rsid w:val="00722C9F"/>
    <w:rsid w:val="007253B8"/>
    <w:rsid w:val="00733443"/>
    <w:rsid w:val="0073598C"/>
    <w:rsid w:val="0073741F"/>
    <w:rsid w:val="00751955"/>
    <w:rsid w:val="007545F8"/>
    <w:rsid w:val="0076643F"/>
    <w:rsid w:val="00771B87"/>
    <w:rsid w:val="007777AD"/>
    <w:rsid w:val="00777F63"/>
    <w:rsid w:val="007852B5"/>
    <w:rsid w:val="00786D24"/>
    <w:rsid w:val="007912BB"/>
    <w:rsid w:val="00796E1B"/>
    <w:rsid w:val="007A5817"/>
    <w:rsid w:val="007B05C4"/>
    <w:rsid w:val="007B60E9"/>
    <w:rsid w:val="007B6CC3"/>
    <w:rsid w:val="007C3334"/>
    <w:rsid w:val="007C402A"/>
    <w:rsid w:val="007D2B98"/>
    <w:rsid w:val="007D60BB"/>
    <w:rsid w:val="007D71A0"/>
    <w:rsid w:val="007D7C02"/>
    <w:rsid w:val="007E033D"/>
    <w:rsid w:val="007E21BC"/>
    <w:rsid w:val="007E58FE"/>
    <w:rsid w:val="007E7C82"/>
    <w:rsid w:val="007F23DC"/>
    <w:rsid w:val="007F588D"/>
    <w:rsid w:val="00802748"/>
    <w:rsid w:val="00803F1C"/>
    <w:rsid w:val="00805557"/>
    <w:rsid w:val="0080600E"/>
    <w:rsid w:val="008104FE"/>
    <w:rsid w:val="00816943"/>
    <w:rsid w:val="00816A29"/>
    <w:rsid w:val="00817612"/>
    <w:rsid w:val="00824EF0"/>
    <w:rsid w:val="0083387F"/>
    <w:rsid w:val="008338A4"/>
    <w:rsid w:val="00834D49"/>
    <w:rsid w:val="00837C45"/>
    <w:rsid w:val="008411F0"/>
    <w:rsid w:val="00844730"/>
    <w:rsid w:val="008457C2"/>
    <w:rsid w:val="00857A82"/>
    <w:rsid w:val="008700FA"/>
    <w:rsid w:val="00871526"/>
    <w:rsid w:val="00873836"/>
    <w:rsid w:val="00880F66"/>
    <w:rsid w:val="00885737"/>
    <w:rsid w:val="00890650"/>
    <w:rsid w:val="00895BBA"/>
    <w:rsid w:val="00897E12"/>
    <w:rsid w:val="008A0F81"/>
    <w:rsid w:val="008A7E0F"/>
    <w:rsid w:val="008B12F5"/>
    <w:rsid w:val="008B5932"/>
    <w:rsid w:val="008B6FF9"/>
    <w:rsid w:val="008C4B20"/>
    <w:rsid w:val="008C5751"/>
    <w:rsid w:val="008D2897"/>
    <w:rsid w:val="008D768D"/>
    <w:rsid w:val="008E328A"/>
    <w:rsid w:val="008E3759"/>
    <w:rsid w:val="008E3BFE"/>
    <w:rsid w:val="008E7900"/>
    <w:rsid w:val="008F1912"/>
    <w:rsid w:val="0090270B"/>
    <w:rsid w:val="009041DC"/>
    <w:rsid w:val="00905F94"/>
    <w:rsid w:val="00911006"/>
    <w:rsid w:val="00911F04"/>
    <w:rsid w:val="00912D4C"/>
    <w:rsid w:val="00917B5A"/>
    <w:rsid w:val="00920A58"/>
    <w:rsid w:val="00920A8C"/>
    <w:rsid w:val="00925056"/>
    <w:rsid w:val="00934A2C"/>
    <w:rsid w:val="00935F06"/>
    <w:rsid w:val="00937B3A"/>
    <w:rsid w:val="00950855"/>
    <w:rsid w:val="00954B82"/>
    <w:rsid w:val="00962436"/>
    <w:rsid w:val="0096706E"/>
    <w:rsid w:val="00974491"/>
    <w:rsid w:val="00975C4E"/>
    <w:rsid w:val="00981FBA"/>
    <w:rsid w:val="00997BC5"/>
    <w:rsid w:val="00997D94"/>
    <w:rsid w:val="009A4F41"/>
    <w:rsid w:val="009B381B"/>
    <w:rsid w:val="009C2FC5"/>
    <w:rsid w:val="009C3786"/>
    <w:rsid w:val="009C4D7A"/>
    <w:rsid w:val="009C7592"/>
    <w:rsid w:val="009D1753"/>
    <w:rsid w:val="009D5502"/>
    <w:rsid w:val="009D6502"/>
    <w:rsid w:val="009D7611"/>
    <w:rsid w:val="009D78A5"/>
    <w:rsid w:val="009E0B61"/>
    <w:rsid w:val="009E53DE"/>
    <w:rsid w:val="009E59D6"/>
    <w:rsid w:val="009E7C00"/>
    <w:rsid w:val="009F3D92"/>
    <w:rsid w:val="00A0691C"/>
    <w:rsid w:val="00A11E44"/>
    <w:rsid w:val="00A1624A"/>
    <w:rsid w:val="00A21A05"/>
    <w:rsid w:val="00A22397"/>
    <w:rsid w:val="00A328B3"/>
    <w:rsid w:val="00A50FCF"/>
    <w:rsid w:val="00A528D1"/>
    <w:rsid w:val="00A55761"/>
    <w:rsid w:val="00A610CD"/>
    <w:rsid w:val="00A625E0"/>
    <w:rsid w:val="00A7135D"/>
    <w:rsid w:val="00A728EE"/>
    <w:rsid w:val="00A74947"/>
    <w:rsid w:val="00A758AA"/>
    <w:rsid w:val="00AA09A2"/>
    <w:rsid w:val="00AA4E74"/>
    <w:rsid w:val="00AA7996"/>
    <w:rsid w:val="00AB222F"/>
    <w:rsid w:val="00AB2E56"/>
    <w:rsid w:val="00AC19CB"/>
    <w:rsid w:val="00AD1886"/>
    <w:rsid w:val="00AD4745"/>
    <w:rsid w:val="00AD5389"/>
    <w:rsid w:val="00AE5488"/>
    <w:rsid w:val="00AE6F91"/>
    <w:rsid w:val="00AF5571"/>
    <w:rsid w:val="00B00082"/>
    <w:rsid w:val="00B06B4E"/>
    <w:rsid w:val="00B07341"/>
    <w:rsid w:val="00B1396E"/>
    <w:rsid w:val="00B202B5"/>
    <w:rsid w:val="00B20952"/>
    <w:rsid w:val="00B30539"/>
    <w:rsid w:val="00B314DB"/>
    <w:rsid w:val="00B361F2"/>
    <w:rsid w:val="00B3718B"/>
    <w:rsid w:val="00B4632A"/>
    <w:rsid w:val="00B5067D"/>
    <w:rsid w:val="00B530F1"/>
    <w:rsid w:val="00B67424"/>
    <w:rsid w:val="00B67458"/>
    <w:rsid w:val="00B736AF"/>
    <w:rsid w:val="00B77262"/>
    <w:rsid w:val="00B90BB2"/>
    <w:rsid w:val="00B97946"/>
    <w:rsid w:val="00BA276C"/>
    <w:rsid w:val="00BA5544"/>
    <w:rsid w:val="00BA71E7"/>
    <w:rsid w:val="00BB306F"/>
    <w:rsid w:val="00BB3FBD"/>
    <w:rsid w:val="00BC6CD0"/>
    <w:rsid w:val="00BD4B89"/>
    <w:rsid w:val="00BD5922"/>
    <w:rsid w:val="00BD76D9"/>
    <w:rsid w:val="00BE208D"/>
    <w:rsid w:val="00BF02CB"/>
    <w:rsid w:val="00BF048D"/>
    <w:rsid w:val="00BF514A"/>
    <w:rsid w:val="00BF6FD8"/>
    <w:rsid w:val="00BF775D"/>
    <w:rsid w:val="00C03680"/>
    <w:rsid w:val="00C054DF"/>
    <w:rsid w:val="00C10AFC"/>
    <w:rsid w:val="00C10F3D"/>
    <w:rsid w:val="00C21562"/>
    <w:rsid w:val="00C21762"/>
    <w:rsid w:val="00C21824"/>
    <w:rsid w:val="00C21FEF"/>
    <w:rsid w:val="00C24543"/>
    <w:rsid w:val="00C256A2"/>
    <w:rsid w:val="00C305D2"/>
    <w:rsid w:val="00C30C39"/>
    <w:rsid w:val="00C34F36"/>
    <w:rsid w:val="00C35A26"/>
    <w:rsid w:val="00C51515"/>
    <w:rsid w:val="00C53910"/>
    <w:rsid w:val="00C5660B"/>
    <w:rsid w:val="00C56854"/>
    <w:rsid w:val="00C5788A"/>
    <w:rsid w:val="00C60E62"/>
    <w:rsid w:val="00C6128B"/>
    <w:rsid w:val="00C66B72"/>
    <w:rsid w:val="00C87AC4"/>
    <w:rsid w:val="00C944DB"/>
    <w:rsid w:val="00C9567A"/>
    <w:rsid w:val="00CA4128"/>
    <w:rsid w:val="00CA48A3"/>
    <w:rsid w:val="00CB212D"/>
    <w:rsid w:val="00CB2660"/>
    <w:rsid w:val="00CB44F9"/>
    <w:rsid w:val="00CC187C"/>
    <w:rsid w:val="00CC5E90"/>
    <w:rsid w:val="00CD046C"/>
    <w:rsid w:val="00CD44E5"/>
    <w:rsid w:val="00CE076C"/>
    <w:rsid w:val="00CE5199"/>
    <w:rsid w:val="00CE66D5"/>
    <w:rsid w:val="00CF637A"/>
    <w:rsid w:val="00D059DE"/>
    <w:rsid w:val="00D05ABD"/>
    <w:rsid w:val="00D13FCE"/>
    <w:rsid w:val="00D306D1"/>
    <w:rsid w:val="00D30800"/>
    <w:rsid w:val="00D34786"/>
    <w:rsid w:val="00D37BFC"/>
    <w:rsid w:val="00D42822"/>
    <w:rsid w:val="00D47A8E"/>
    <w:rsid w:val="00D52D14"/>
    <w:rsid w:val="00D55256"/>
    <w:rsid w:val="00D65267"/>
    <w:rsid w:val="00D70DE2"/>
    <w:rsid w:val="00D712D3"/>
    <w:rsid w:val="00D71422"/>
    <w:rsid w:val="00D72DC6"/>
    <w:rsid w:val="00D73F5E"/>
    <w:rsid w:val="00D7558D"/>
    <w:rsid w:val="00D77503"/>
    <w:rsid w:val="00D8164B"/>
    <w:rsid w:val="00D81D92"/>
    <w:rsid w:val="00D84E35"/>
    <w:rsid w:val="00D876F9"/>
    <w:rsid w:val="00D877B6"/>
    <w:rsid w:val="00D92E3D"/>
    <w:rsid w:val="00DA3964"/>
    <w:rsid w:val="00DA7B5F"/>
    <w:rsid w:val="00DC11E7"/>
    <w:rsid w:val="00DC5046"/>
    <w:rsid w:val="00DC7023"/>
    <w:rsid w:val="00DC769A"/>
    <w:rsid w:val="00DD0E0F"/>
    <w:rsid w:val="00DD3D86"/>
    <w:rsid w:val="00DE12F0"/>
    <w:rsid w:val="00DF1EC4"/>
    <w:rsid w:val="00E01943"/>
    <w:rsid w:val="00E02AB2"/>
    <w:rsid w:val="00E0340B"/>
    <w:rsid w:val="00E04A90"/>
    <w:rsid w:val="00E0551F"/>
    <w:rsid w:val="00E1046C"/>
    <w:rsid w:val="00E136E1"/>
    <w:rsid w:val="00E178C9"/>
    <w:rsid w:val="00E219C7"/>
    <w:rsid w:val="00E26CCA"/>
    <w:rsid w:val="00E4118C"/>
    <w:rsid w:val="00E43157"/>
    <w:rsid w:val="00E461CE"/>
    <w:rsid w:val="00E54815"/>
    <w:rsid w:val="00E70232"/>
    <w:rsid w:val="00E720CA"/>
    <w:rsid w:val="00E72887"/>
    <w:rsid w:val="00E735CA"/>
    <w:rsid w:val="00E81CF1"/>
    <w:rsid w:val="00E84EB5"/>
    <w:rsid w:val="00E85662"/>
    <w:rsid w:val="00E8789F"/>
    <w:rsid w:val="00E97B71"/>
    <w:rsid w:val="00EA3D34"/>
    <w:rsid w:val="00EA3DA0"/>
    <w:rsid w:val="00EB454D"/>
    <w:rsid w:val="00EB6798"/>
    <w:rsid w:val="00EC3A97"/>
    <w:rsid w:val="00EC72AB"/>
    <w:rsid w:val="00EC7B61"/>
    <w:rsid w:val="00ED2F03"/>
    <w:rsid w:val="00ED47F6"/>
    <w:rsid w:val="00ED549D"/>
    <w:rsid w:val="00ED76BE"/>
    <w:rsid w:val="00ED7F05"/>
    <w:rsid w:val="00EE00E9"/>
    <w:rsid w:val="00EE014D"/>
    <w:rsid w:val="00EF35AB"/>
    <w:rsid w:val="00EF4C44"/>
    <w:rsid w:val="00EF619B"/>
    <w:rsid w:val="00F009ED"/>
    <w:rsid w:val="00F00B55"/>
    <w:rsid w:val="00F02AD1"/>
    <w:rsid w:val="00F04591"/>
    <w:rsid w:val="00F06354"/>
    <w:rsid w:val="00F12C92"/>
    <w:rsid w:val="00F17C0C"/>
    <w:rsid w:val="00F253CC"/>
    <w:rsid w:val="00F260B2"/>
    <w:rsid w:val="00F332EF"/>
    <w:rsid w:val="00F37106"/>
    <w:rsid w:val="00F37CB2"/>
    <w:rsid w:val="00F473D2"/>
    <w:rsid w:val="00F519CF"/>
    <w:rsid w:val="00F56BA5"/>
    <w:rsid w:val="00F601DD"/>
    <w:rsid w:val="00F60E22"/>
    <w:rsid w:val="00F61B88"/>
    <w:rsid w:val="00F63B39"/>
    <w:rsid w:val="00F7521B"/>
    <w:rsid w:val="00F81395"/>
    <w:rsid w:val="00F81887"/>
    <w:rsid w:val="00F81BB8"/>
    <w:rsid w:val="00F87EDB"/>
    <w:rsid w:val="00F917D1"/>
    <w:rsid w:val="00F9342C"/>
    <w:rsid w:val="00F9653B"/>
    <w:rsid w:val="00FA56EA"/>
    <w:rsid w:val="00FB62CF"/>
    <w:rsid w:val="00FC0F4A"/>
    <w:rsid w:val="00FC3330"/>
    <w:rsid w:val="00FC7ECF"/>
    <w:rsid w:val="00FD3C3B"/>
    <w:rsid w:val="00FE07DD"/>
    <w:rsid w:val="00FE6B45"/>
    <w:rsid w:val="00FF55F3"/>
    <w:rsid w:val="00FF5851"/>
    <w:rsid w:val="00FF676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05B5E"/>
    <w:rsid w:val="00183B6F"/>
    <w:rsid w:val="00200821"/>
    <w:rsid w:val="00232A18"/>
    <w:rsid w:val="0030679E"/>
    <w:rsid w:val="00394049"/>
    <w:rsid w:val="004F2DF8"/>
    <w:rsid w:val="006E2B51"/>
    <w:rsid w:val="00820A2C"/>
    <w:rsid w:val="008A37D6"/>
    <w:rsid w:val="00920425"/>
    <w:rsid w:val="00942213"/>
    <w:rsid w:val="009523AD"/>
    <w:rsid w:val="00967A62"/>
    <w:rsid w:val="0097453C"/>
    <w:rsid w:val="009A261B"/>
    <w:rsid w:val="009C5C08"/>
    <w:rsid w:val="00AC15A4"/>
    <w:rsid w:val="00B0336C"/>
    <w:rsid w:val="00B554D6"/>
    <w:rsid w:val="00B6080F"/>
    <w:rsid w:val="00C06715"/>
    <w:rsid w:val="00C11833"/>
    <w:rsid w:val="00C56634"/>
    <w:rsid w:val="00C81E38"/>
    <w:rsid w:val="00D46351"/>
    <w:rsid w:val="00D914DF"/>
    <w:rsid w:val="00D93A3E"/>
    <w:rsid w:val="00E45B56"/>
    <w:rsid w:val="00E77140"/>
    <w:rsid w:val="00E907ED"/>
    <w:rsid w:val="00EC5ECB"/>
    <w:rsid w:val="00F00D2F"/>
    <w:rsid w:val="00F128DF"/>
    <w:rsid w:val="00F84866"/>
    <w:rsid w:val="00F9309B"/>
    <w:rsid w:val="00FA3CF8"/>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D0EA-C0B1-4DA0-92D3-F461E0BF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16289</Characters>
  <Application>Microsoft Office Word</Application>
  <DocSecurity>0</DocSecurity>
  <Lines>313</Lines>
  <Paragraphs>89</Paragraphs>
  <ScaleCrop>false</ScaleCrop>
  <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57/20</dc:title>
  <dc:creator/>
  <cp:lastModifiedBy/>
  <cp:revision>1</cp:revision>
  <dcterms:created xsi:type="dcterms:W3CDTF">2020-06-17T14:44:00Z</dcterms:created>
  <dcterms:modified xsi:type="dcterms:W3CDTF">2020-06-17T14:44:00Z</dcterms:modified>
</cp:coreProperties>
</file>