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4A50B7" w:rsidRDefault="00D306D1" w:rsidP="00627C9F">
      <w:pPr>
        <w:jc w:val="both"/>
        <w:rPr>
          <w:rFonts w:asciiTheme="majorHAnsi" w:hAnsiTheme="majorHAnsi" w:cs="Univers"/>
          <w:b/>
          <w:bCs/>
          <w:sz w:val="22"/>
          <w:szCs w:val="22"/>
          <w:lang w:val="es-ES"/>
        </w:rPr>
      </w:pPr>
      <w:r w:rsidRPr="004A50B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BF7B60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A50B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4A50B7"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4A50B7"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4A50B7" w:rsidRDefault="005128E4" w:rsidP="00040C3A">
      <w:pPr>
        <w:tabs>
          <w:tab w:val="center" w:pos="5400"/>
        </w:tabs>
        <w:suppressAutoHyphens/>
        <w:rPr>
          <w:rFonts w:asciiTheme="majorHAnsi" w:hAnsiTheme="majorHAnsi"/>
          <w:sz w:val="22"/>
          <w:szCs w:val="22"/>
          <w:lang w:val="es-ES"/>
        </w:rPr>
      </w:pPr>
    </w:p>
    <w:p w14:paraId="12A36B24" w14:textId="77777777" w:rsidR="005128E4" w:rsidRPr="004A50B7" w:rsidRDefault="005128E4" w:rsidP="00040C3A">
      <w:pPr>
        <w:tabs>
          <w:tab w:val="center" w:pos="5400"/>
        </w:tabs>
        <w:suppressAutoHyphens/>
        <w:rPr>
          <w:rFonts w:asciiTheme="majorHAnsi" w:hAnsiTheme="majorHAnsi"/>
          <w:sz w:val="22"/>
          <w:szCs w:val="22"/>
          <w:lang w:val="es-ES"/>
        </w:rPr>
      </w:pPr>
    </w:p>
    <w:p w14:paraId="2252093D" w14:textId="77777777" w:rsidR="005128E4" w:rsidRPr="004A50B7" w:rsidRDefault="005128E4" w:rsidP="00040C3A">
      <w:pPr>
        <w:tabs>
          <w:tab w:val="center" w:pos="5400"/>
        </w:tabs>
        <w:suppressAutoHyphens/>
        <w:rPr>
          <w:rFonts w:asciiTheme="majorHAnsi" w:hAnsiTheme="majorHAnsi"/>
          <w:sz w:val="22"/>
          <w:szCs w:val="22"/>
          <w:lang w:val="es-ES"/>
        </w:rPr>
      </w:pPr>
    </w:p>
    <w:p w14:paraId="403935BD" w14:textId="77777777" w:rsidR="00040C3A" w:rsidRPr="004A50B7"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4A50B7"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4A50B7"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4A50B7"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4A50B7"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4A50B7" w:rsidRDefault="003D3BC2" w:rsidP="00040C3A">
      <w:pPr>
        <w:tabs>
          <w:tab w:val="center" w:pos="5400"/>
        </w:tabs>
        <w:suppressAutoHyphens/>
        <w:jc w:val="center"/>
        <w:rPr>
          <w:rFonts w:asciiTheme="majorHAnsi" w:hAnsiTheme="majorHAnsi"/>
          <w:sz w:val="22"/>
          <w:szCs w:val="22"/>
          <w:lang w:val="es-ES"/>
        </w:rPr>
      </w:pPr>
      <w:r w:rsidRPr="004A50B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C3A389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F7106">
                              <w:rPr>
                                <w:rFonts w:asciiTheme="majorHAnsi" w:hAnsiTheme="majorHAnsi" w:cs="Arial"/>
                                <w:b/>
                                <w:bCs/>
                                <w:color w:val="0D0D0D" w:themeColor="text1" w:themeTint="F2"/>
                                <w:sz w:val="36"/>
                                <w:szCs w:val="22"/>
                                <w:lang w:val="es-ES_tradnl"/>
                              </w:rPr>
                              <w:t>18</w:t>
                            </w:r>
                            <w:r w:rsidR="007B05C4">
                              <w:rPr>
                                <w:rFonts w:asciiTheme="majorHAnsi" w:hAnsiTheme="majorHAnsi" w:cs="Arial"/>
                                <w:b/>
                                <w:bCs/>
                                <w:color w:val="0D0D0D" w:themeColor="text1" w:themeTint="F2"/>
                                <w:sz w:val="36"/>
                                <w:szCs w:val="22"/>
                                <w:lang w:val="es-ES_tradnl"/>
                              </w:rPr>
                              <w:t>/</w:t>
                            </w:r>
                            <w:r w:rsidR="004E5178">
                              <w:rPr>
                                <w:rFonts w:asciiTheme="majorHAnsi" w:hAnsiTheme="majorHAnsi" w:cs="Arial"/>
                                <w:b/>
                                <w:bCs/>
                                <w:color w:val="0D0D0D" w:themeColor="text1" w:themeTint="F2"/>
                                <w:sz w:val="36"/>
                                <w:szCs w:val="22"/>
                                <w:lang w:val="es-ES_tradnl"/>
                              </w:rPr>
                              <w:t>20</w:t>
                            </w:r>
                          </w:p>
                          <w:p w14:paraId="09C54AB3" w14:textId="6BA428A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A7FC2">
                              <w:rPr>
                                <w:rFonts w:asciiTheme="majorHAnsi" w:hAnsiTheme="majorHAnsi" w:cs="Arial"/>
                                <w:b/>
                                <w:color w:val="0D0D0D" w:themeColor="text1" w:themeTint="F2"/>
                                <w:sz w:val="36"/>
                                <w:szCs w:val="22"/>
                                <w:lang w:val="es-ES_tradnl"/>
                              </w:rPr>
                              <w:t>449</w:t>
                            </w:r>
                            <w:r w:rsidR="00246D1F" w:rsidRPr="004E2649">
                              <w:rPr>
                                <w:rFonts w:asciiTheme="majorHAnsi" w:hAnsiTheme="majorHAnsi" w:cs="Arial"/>
                                <w:b/>
                                <w:color w:val="0D0D0D" w:themeColor="text1" w:themeTint="F2"/>
                                <w:sz w:val="36"/>
                                <w:szCs w:val="22"/>
                                <w:lang w:val="es-ES_tradnl"/>
                              </w:rPr>
                              <w:t>-</w:t>
                            </w:r>
                            <w:r w:rsidR="007A7FC2">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70CF6833" w14:textId="4BD8F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9DECB58" w:rsidR="005B52B0" w:rsidRPr="0010736F" w:rsidRDefault="007A7FC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w:t>
                            </w:r>
                            <w:r w:rsidR="007D3AF7">
                              <w:rPr>
                                <w:rFonts w:asciiTheme="majorHAnsi" w:hAnsiTheme="majorHAnsi" w:cs="Arial"/>
                                <w:color w:val="0D0D0D" w:themeColor="text1" w:themeTint="F2"/>
                                <w:szCs w:val="22"/>
                                <w:lang w:val="es-ES_tradnl"/>
                              </w:rPr>
                              <w:t xml:space="preserve"> Y FAMILIA</w:t>
                            </w:r>
                          </w:p>
                          <w:bookmarkEnd w:id="1"/>
                          <w:p w14:paraId="35068D0D" w14:textId="351F832C" w:rsidR="005B52B0" w:rsidRPr="0010736F" w:rsidRDefault="007A7FC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C3A389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F7106">
                        <w:rPr>
                          <w:rFonts w:asciiTheme="majorHAnsi" w:hAnsiTheme="majorHAnsi" w:cs="Arial"/>
                          <w:b/>
                          <w:bCs/>
                          <w:color w:val="0D0D0D" w:themeColor="text1" w:themeTint="F2"/>
                          <w:sz w:val="36"/>
                          <w:szCs w:val="22"/>
                          <w:lang w:val="es-ES_tradnl"/>
                        </w:rPr>
                        <w:t>18</w:t>
                      </w:r>
                      <w:r w:rsidR="007B05C4">
                        <w:rPr>
                          <w:rFonts w:asciiTheme="majorHAnsi" w:hAnsiTheme="majorHAnsi" w:cs="Arial"/>
                          <w:b/>
                          <w:bCs/>
                          <w:color w:val="0D0D0D" w:themeColor="text1" w:themeTint="F2"/>
                          <w:sz w:val="36"/>
                          <w:szCs w:val="22"/>
                          <w:lang w:val="es-ES_tradnl"/>
                        </w:rPr>
                        <w:t>/</w:t>
                      </w:r>
                      <w:r w:rsidR="004E5178">
                        <w:rPr>
                          <w:rFonts w:asciiTheme="majorHAnsi" w:hAnsiTheme="majorHAnsi" w:cs="Arial"/>
                          <w:b/>
                          <w:bCs/>
                          <w:color w:val="0D0D0D" w:themeColor="text1" w:themeTint="F2"/>
                          <w:sz w:val="36"/>
                          <w:szCs w:val="22"/>
                          <w:lang w:val="es-ES_tradnl"/>
                        </w:rPr>
                        <w:t>20</w:t>
                      </w:r>
                    </w:p>
                    <w:p w14:paraId="09C54AB3" w14:textId="6BA428A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A7FC2">
                        <w:rPr>
                          <w:rFonts w:asciiTheme="majorHAnsi" w:hAnsiTheme="majorHAnsi" w:cs="Arial"/>
                          <w:b/>
                          <w:color w:val="0D0D0D" w:themeColor="text1" w:themeTint="F2"/>
                          <w:sz w:val="36"/>
                          <w:szCs w:val="22"/>
                          <w:lang w:val="es-ES_tradnl"/>
                        </w:rPr>
                        <w:t>449</w:t>
                      </w:r>
                      <w:r w:rsidR="00246D1F" w:rsidRPr="004E2649">
                        <w:rPr>
                          <w:rFonts w:asciiTheme="majorHAnsi" w:hAnsiTheme="majorHAnsi" w:cs="Arial"/>
                          <w:b/>
                          <w:color w:val="0D0D0D" w:themeColor="text1" w:themeTint="F2"/>
                          <w:sz w:val="36"/>
                          <w:szCs w:val="22"/>
                          <w:lang w:val="es-ES_tradnl"/>
                        </w:rPr>
                        <w:t>-</w:t>
                      </w:r>
                      <w:r w:rsidR="007A7FC2">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70CF6833" w14:textId="4BD8F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9DECB58" w:rsidR="005B52B0" w:rsidRPr="0010736F" w:rsidRDefault="007A7FC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w:t>
                      </w:r>
                      <w:r w:rsidR="007D3AF7">
                        <w:rPr>
                          <w:rFonts w:asciiTheme="majorHAnsi" w:hAnsiTheme="majorHAnsi" w:cs="Arial"/>
                          <w:color w:val="0D0D0D" w:themeColor="text1" w:themeTint="F2"/>
                          <w:szCs w:val="22"/>
                          <w:lang w:val="es-ES_tradnl"/>
                        </w:rPr>
                        <w:t xml:space="preserve"> Y FAMILIA</w:t>
                      </w:r>
                    </w:p>
                    <w:bookmarkEnd w:id="1"/>
                    <w:p w14:paraId="35068D0D" w14:textId="351F832C" w:rsidR="005B52B0" w:rsidRPr="0010736F" w:rsidRDefault="007A7FC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4A50B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4A38B65"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1B68A98" w:rsidR="00627C9F" w:rsidRPr="00935F06" w:rsidRDefault="00FF71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25 </w:t>
                            </w:r>
                          </w:p>
                          <w:p w14:paraId="69373ED2" w14:textId="4FD6EFC5" w:rsidR="00627C9F" w:rsidRPr="004E5178" w:rsidRDefault="00FF7106"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w:t>
                            </w:r>
                            <w:r w:rsidR="00627C9F" w:rsidRPr="004E5178">
                              <w:rPr>
                                <w:rFonts w:asciiTheme="minorHAnsi" w:hAnsiTheme="minorHAnsi"/>
                                <w:color w:val="FFFFFF" w:themeColor="background1"/>
                                <w:sz w:val="22"/>
                                <w:lang w:val="es-MX"/>
                              </w:rPr>
                              <w:t xml:space="preserve"> </w:t>
                            </w:r>
                            <w:r>
                              <w:rPr>
                                <w:rFonts w:asciiTheme="minorHAnsi" w:hAnsiTheme="minorHAnsi"/>
                                <w:color w:val="FFFFFF" w:themeColor="background1"/>
                                <w:sz w:val="22"/>
                                <w:lang w:val="es-MX"/>
                              </w:rPr>
                              <w:t>marzo</w:t>
                            </w:r>
                            <w:r w:rsidR="00627C9F" w:rsidRPr="004E5178">
                              <w:rPr>
                                <w:rFonts w:asciiTheme="minorHAnsi" w:hAnsiTheme="minorHAnsi"/>
                                <w:color w:val="FFFFFF" w:themeColor="background1"/>
                                <w:sz w:val="22"/>
                                <w:lang w:val="es-MX"/>
                              </w:rPr>
                              <w:t xml:space="preserve"> 20</w:t>
                            </w:r>
                            <w:r w:rsidR="004E5178">
                              <w:rPr>
                                <w:rFonts w:asciiTheme="minorHAnsi" w:hAnsiTheme="minorHAnsi"/>
                                <w:color w:val="FFFFFF" w:themeColor="background1"/>
                                <w:sz w:val="22"/>
                                <w:lang w:val="es-MX"/>
                              </w:rPr>
                              <w:t>20</w:t>
                            </w:r>
                          </w:p>
                          <w:p w14:paraId="0771DB5B" w14:textId="77777777" w:rsidR="00627C9F" w:rsidRPr="004E5178" w:rsidRDefault="00E0340B" w:rsidP="007A5817">
                            <w:pPr>
                              <w:spacing w:line="276" w:lineRule="auto"/>
                              <w:jc w:val="right"/>
                              <w:rPr>
                                <w:rFonts w:asciiTheme="minorHAnsi" w:hAnsiTheme="minorHAnsi"/>
                                <w:color w:val="FFFFFF" w:themeColor="background1"/>
                                <w:sz w:val="22"/>
                                <w:lang w:val="es-MX"/>
                              </w:rPr>
                            </w:pPr>
                            <w:r w:rsidRPr="004E5178">
                              <w:rPr>
                                <w:rFonts w:asciiTheme="minorHAnsi" w:hAnsiTheme="minorHAnsi"/>
                                <w:color w:val="FFFFFF" w:themeColor="background1"/>
                                <w:sz w:val="22"/>
                                <w:lang w:val="es-MX"/>
                              </w:rPr>
                              <w:t xml:space="preserve">Original: </w:t>
                            </w:r>
                            <w:r w:rsidR="008B12F5" w:rsidRPr="004E5178">
                              <w:rPr>
                                <w:rFonts w:asciiTheme="minorHAnsi" w:hAnsiTheme="minorHAnsi"/>
                                <w:color w:val="FFFFFF" w:themeColor="background1"/>
                                <w:sz w:val="22"/>
                                <w:lang w:val="es-MX"/>
                              </w:rPr>
                              <w:t>e</w:t>
                            </w:r>
                            <w:r w:rsidR="00627C9F" w:rsidRPr="004E5178">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4A38B65"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1B68A98" w:rsidR="00627C9F" w:rsidRPr="00935F06" w:rsidRDefault="00FF71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25 </w:t>
                      </w:r>
                    </w:p>
                    <w:p w14:paraId="69373ED2" w14:textId="4FD6EFC5" w:rsidR="00627C9F" w:rsidRPr="004E5178" w:rsidRDefault="00FF7106"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w:t>
                      </w:r>
                      <w:r w:rsidR="00627C9F" w:rsidRPr="004E5178">
                        <w:rPr>
                          <w:rFonts w:asciiTheme="minorHAnsi" w:hAnsiTheme="minorHAnsi"/>
                          <w:color w:val="FFFFFF" w:themeColor="background1"/>
                          <w:sz w:val="22"/>
                          <w:lang w:val="es-MX"/>
                        </w:rPr>
                        <w:t xml:space="preserve"> </w:t>
                      </w:r>
                      <w:r>
                        <w:rPr>
                          <w:rFonts w:asciiTheme="minorHAnsi" w:hAnsiTheme="minorHAnsi"/>
                          <w:color w:val="FFFFFF" w:themeColor="background1"/>
                          <w:sz w:val="22"/>
                          <w:lang w:val="es-MX"/>
                        </w:rPr>
                        <w:t>marzo</w:t>
                      </w:r>
                      <w:r w:rsidR="00627C9F" w:rsidRPr="004E5178">
                        <w:rPr>
                          <w:rFonts w:asciiTheme="minorHAnsi" w:hAnsiTheme="minorHAnsi"/>
                          <w:color w:val="FFFFFF" w:themeColor="background1"/>
                          <w:sz w:val="22"/>
                          <w:lang w:val="es-MX"/>
                        </w:rPr>
                        <w:t xml:space="preserve"> 20</w:t>
                      </w:r>
                      <w:r w:rsidR="004E5178">
                        <w:rPr>
                          <w:rFonts w:asciiTheme="minorHAnsi" w:hAnsiTheme="minorHAnsi"/>
                          <w:color w:val="FFFFFF" w:themeColor="background1"/>
                          <w:sz w:val="22"/>
                          <w:lang w:val="es-MX"/>
                        </w:rPr>
                        <w:t>20</w:t>
                      </w:r>
                    </w:p>
                    <w:p w14:paraId="0771DB5B" w14:textId="77777777" w:rsidR="00627C9F" w:rsidRPr="004E5178" w:rsidRDefault="00E0340B" w:rsidP="007A5817">
                      <w:pPr>
                        <w:spacing w:line="276" w:lineRule="auto"/>
                        <w:jc w:val="right"/>
                        <w:rPr>
                          <w:rFonts w:asciiTheme="minorHAnsi" w:hAnsiTheme="minorHAnsi"/>
                          <w:color w:val="FFFFFF" w:themeColor="background1"/>
                          <w:sz w:val="22"/>
                          <w:lang w:val="es-MX"/>
                        </w:rPr>
                      </w:pPr>
                      <w:r w:rsidRPr="004E5178">
                        <w:rPr>
                          <w:rFonts w:asciiTheme="minorHAnsi" w:hAnsiTheme="minorHAnsi"/>
                          <w:color w:val="FFFFFF" w:themeColor="background1"/>
                          <w:sz w:val="22"/>
                          <w:lang w:val="es-MX"/>
                        </w:rPr>
                        <w:t xml:space="preserve">Original: </w:t>
                      </w:r>
                      <w:r w:rsidR="008B12F5" w:rsidRPr="004E5178">
                        <w:rPr>
                          <w:rFonts w:asciiTheme="minorHAnsi" w:hAnsiTheme="minorHAnsi"/>
                          <w:color w:val="FFFFFF" w:themeColor="background1"/>
                          <w:sz w:val="22"/>
                          <w:lang w:val="es-MX"/>
                        </w:rPr>
                        <w:t>e</w:t>
                      </w:r>
                      <w:r w:rsidR="00627C9F" w:rsidRPr="004E5178">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4A50B7"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4A50B7"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4A50B7"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4A50B7"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4A50B7"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4A50B7"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4A50B7" w:rsidRDefault="0090270B" w:rsidP="00040C3A">
      <w:pPr>
        <w:tabs>
          <w:tab w:val="center" w:pos="5400"/>
        </w:tabs>
        <w:suppressAutoHyphens/>
        <w:jc w:val="center"/>
        <w:rPr>
          <w:rFonts w:asciiTheme="majorHAnsi" w:hAnsiTheme="majorHAnsi"/>
          <w:sz w:val="18"/>
          <w:szCs w:val="22"/>
          <w:lang w:val="es-ES"/>
        </w:rPr>
      </w:pPr>
      <w:r w:rsidRPr="004A50B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5E976A5" w:rsidR="00DD3D86" w:rsidRPr="00423C17" w:rsidRDefault="00DD3D86" w:rsidP="00DD3D86">
                            <w:pPr>
                              <w:tabs>
                                <w:tab w:val="center" w:pos="5400"/>
                              </w:tabs>
                              <w:suppressAutoHyphens/>
                              <w:spacing w:before="60"/>
                              <w:rPr>
                                <w:rFonts w:asciiTheme="majorHAnsi" w:hAnsiTheme="majorHAnsi"/>
                                <w:color w:val="0D0D0D" w:themeColor="text1" w:themeTint="F2"/>
                                <w:sz w:val="18"/>
                                <w:szCs w:val="22"/>
                                <w:lang w:val="es-MX"/>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F7106">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FF710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004E5178">
                              <w:rPr>
                                <w:rFonts w:asciiTheme="majorHAnsi" w:hAnsiTheme="majorHAnsi"/>
                                <w:color w:val="0D0D0D" w:themeColor="text1" w:themeTint="F2"/>
                                <w:sz w:val="18"/>
                                <w:szCs w:val="22"/>
                                <w:lang w:val="es-ES"/>
                              </w:rPr>
                              <w:t>de 2020</w:t>
                            </w:r>
                            <w:r w:rsidR="00C25CA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5E976A5" w:rsidR="00DD3D86" w:rsidRPr="00423C17" w:rsidRDefault="00DD3D86" w:rsidP="00DD3D86">
                      <w:pPr>
                        <w:tabs>
                          <w:tab w:val="center" w:pos="5400"/>
                        </w:tabs>
                        <w:suppressAutoHyphens/>
                        <w:spacing w:before="60"/>
                        <w:rPr>
                          <w:rFonts w:asciiTheme="majorHAnsi" w:hAnsiTheme="majorHAnsi"/>
                          <w:color w:val="0D0D0D" w:themeColor="text1" w:themeTint="F2"/>
                          <w:sz w:val="18"/>
                          <w:szCs w:val="22"/>
                          <w:lang w:val="es-MX"/>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F7106">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FF710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004E5178">
                        <w:rPr>
                          <w:rFonts w:asciiTheme="majorHAnsi" w:hAnsiTheme="majorHAnsi"/>
                          <w:color w:val="0D0D0D" w:themeColor="text1" w:themeTint="F2"/>
                          <w:sz w:val="18"/>
                          <w:szCs w:val="22"/>
                          <w:lang w:val="es-ES"/>
                        </w:rPr>
                        <w:t>de 2020</w:t>
                      </w:r>
                      <w:r w:rsidR="00C25CA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4A50B7" w:rsidRDefault="0090270B" w:rsidP="00040C3A">
      <w:pPr>
        <w:tabs>
          <w:tab w:val="center" w:pos="5400"/>
        </w:tabs>
        <w:suppressAutoHyphens/>
        <w:jc w:val="center"/>
        <w:rPr>
          <w:rFonts w:asciiTheme="majorHAnsi" w:hAnsiTheme="majorHAnsi"/>
          <w:sz w:val="18"/>
          <w:szCs w:val="22"/>
          <w:lang w:val="es-ES"/>
        </w:rPr>
      </w:pPr>
      <w:r w:rsidRPr="004A50B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87957E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F7106" w:rsidRPr="00FF7106">
                              <w:rPr>
                                <w:rFonts w:asciiTheme="majorHAnsi" w:hAnsiTheme="majorHAnsi"/>
                                <w:color w:val="595959" w:themeColor="text1" w:themeTint="A6"/>
                                <w:sz w:val="18"/>
                                <w:szCs w:val="18"/>
                                <w:lang w:val="pt-BR"/>
                              </w:rPr>
                              <w:t>18</w:t>
                            </w:r>
                            <w:r w:rsidR="007B05C4" w:rsidRPr="00FF7106">
                              <w:rPr>
                                <w:rFonts w:asciiTheme="majorHAnsi" w:hAnsiTheme="majorHAnsi"/>
                                <w:color w:val="595959" w:themeColor="text1" w:themeTint="A6"/>
                                <w:sz w:val="18"/>
                                <w:szCs w:val="18"/>
                                <w:lang w:val="pt-BR"/>
                              </w:rPr>
                              <w:t>/</w:t>
                            </w:r>
                            <w:r w:rsidR="00FF7106" w:rsidRPr="00FF7106">
                              <w:rPr>
                                <w:rFonts w:asciiTheme="majorHAnsi" w:hAnsiTheme="majorHAnsi"/>
                                <w:color w:val="595959" w:themeColor="text1" w:themeTint="A6"/>
                                <w:sz w:val="18"/>
                                <w:szCs w:val="18"/>
                                <w:lang w:val="pt-BR"/>
                              </w:rPr>
                              <w:t>20</w:t>
                            </w:r>
                            <w:r w:rsidR="000D4AF2" w:rsidRPr="00FF7106">
                              <w:rPr>
                                <w:rFonts w:asciiTheme="majorHAnsi" w:hAnsiTheme="majorHAnsi"/>
                                <w:color w:val="595959" w:themeColor="text1" w:themeTint="A6"/>
                                <w:sz w:val="18"/>
                                <w:szCs w:val="18"/>
                                <w:lang w:val="pt-BR"/>
                              </w:rPr>
                              <w:t xml:space="preserve">. </w:t>
                            </w:r>
                            <w:r w:rsidR="00D0789D">
                              <w:rPr>
                                <w:rFonts w:asciiTheme="majorHAnsi" w:hAnsiTheme="majorHAnsi"/>
                                <w:color w:val="595959" w:themeColor="text1" w:themeTint="A6"/>
                                <w:sz w:val="18"/>
                                <w:szCs w:val="18"/>
                                <w:lang w:val="es-ES_tradnl"/>
                              </w:rPr>
                              <w:t xml:space="preserve">Petición 449-16. </w:t>
                            </w:r>
                            <w:r w:rsidR="000D4AF2">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D4AF2">
                              <w:rPr>
                                <w:rFonts w:asciiTheme="majorHAnsi" w:hAnsiTheme="majorHAnsi"/>
                                <w:color w:val="595959" w:themeColor="text1" w:themeTint="A6"/>
                                <w:sz w:val="18"/>
                                <w:szCs w:val="18"/>
                                <w:lang w:val="es-ES_tradnl"/>
                              </w:rPr>
                              <w:t>Maria</w:t>
                            </w:r>
                            <w:r w:rsidRPr="00890650">
                              <w:rPr>
                                <w:rFonts w:asciiTheme="majorHAnsi" w:hAnsiTheme="majorHAnsi"/>
                                <w:color w:val="595959" w:themeColor="text1" w:themeTint="A6"/>
                                <w:sz w:val="18"/>
                                <w:szCs w:val="18"/>
                                <w:lang w:val="es-ES_tradnl"/>
                              </w:rPr>
                              <w:t>.</w:t>
                            </w:r>
                            <w:r w:rsidR="000D4AF2">
                              <w:rPr>
                                <w:rFonts w:asciiTheme="majorHAnsi" w:hAnsiTheme="majorHAnsi"/>
                                <w:color w:val="595959" w:themeColor="text1" w:themeTint="A6"/>
                                <w:sz w:val="18"/>
                                <w:szCs w:val="18"/>
                                <w:lang w:val="es-ES_tradnl"/>
                              </w:rPr>
                              <w:t xml:space="preserve"> Perú</w:t>
                            </w:r>
                            <w:r w:rsidRPr="00890650">
                              <w:rPr>
                                <w:rFonts w:asciiTheme="majorHAnsi" w:hAnsiTheme="majorHAnsi"/>
                                <w:color w:val="595959" w:themeColor="text1" w:themeTint="A6"/>
                                <w:sz w:val="18"/>
                                <w:szCs w:val="18"/>
                                <w:lang w:val="es-ES_tradnl"/>
                              </w:rPr>
                              <w:t xml:space="preserve">. </w:t>
                            </w:r>
                            <w:r w:rsidR="00FF7106">
                              <w:rPr>
                                <w:rFonts w:asciiTheme="majorHAnsi" w:hAnsiTheme="majorHAnsi"/>
                                <w:color w:val="595959" w:themeColor="text1" w:themeTint="A6"/>
                                <w:sz w:val="18"/>
                                <w:szCs w:val="18"/>
                                <w:lang w:val="es-ES"/>
                              </w:rPr>
                              <w:t>22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87957E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F7106" w:rsidRPr="00FF7106">
                        <w:rPr>
                          <w:rFonts w:asciiTheme="majorHAnsi" w:hAnsiTheme="majorHAnsi"/>
                          <w:color w:val="595959" w:themeColor="text1" w:themeTint="A6"/>
                          <w:sz w:val="18"/>
                          <w:szCs w:val="18"/>
                          <w:lang w:val="pt-BR"/>
                        </w:rPr>
                        <w:t>18</w:t>
                      </w:r>
                      <w:r w:rsidR="007B05C4" w:rsidRPr="00FF7106">
                        <w:rPr>
                          <w:rFonts w:asciiTheme="majorHAnsi" w:hAnsiTheme="majorHAnsi"/>
                          <w:color w:val="595959" w:themeColor="text1" w:themeTint="A6"/>
                          <w:sz w:val="18"/>
                          <w:szCs w:val="18"/>
                          <w:lang w:val="pt-BR"/>
                        </w:rPr>
                        <w:t>/</w:t>
                      </w:r>
                      <w:r w:rsidR="00FF7106" w:rsidRPr="00FF7106">
                        <w:rPr>
                          <w:rFonts w:asciiTheme="majorHAnsi" w:hAnsiTheme="majorHAnsi"/>
                          <w:color w:val="595959" w:themeColor="text1" w:themeTint="A6"/>
                          <w:sz w:val="18"/>
                          <w:szCs w:val="18"/>
                          <w:lang w:val="pt-BR"/>
                        </w:rPr>
                        <w:t>20</w:t>
                      </w:r>
                      <w:r w:rsidR="000D4AF2" w:rsidRPr="00FF7106">
                        <w:rPr>
                          <w:rFonts w:asciiTheme="majorHAnsi" w:hAnsiTheme="majorHAnsi"/>
                          <w:color w:val="595959" w:themeColor="text1" w:themeTint="A6"/>
                          <w:sz w:val="18"/>
                          <w:szCs w:val="18"/>
                          <w:lang w:val="pt-BR"/>
                        </w:rPr>
                        <w:t xml:space="preserve">. </w:t>
                      </w:r>
                      <w:r w:rsidR="00D0789D">
                        <w:rPr>
                          <w:rFonts w:asciiTheme="majorHAnsi" w:hAnsiTheme="majorHAnsi"/>
                          <w:color w:val="595959" w:themeColor="text1" w:themeTint="A6"/>
                          <w:sz w:val="18"/>
                          <w:szCs w:val="18"/>
                          <w:lang w:val="es-ES_tradnl"/>
                        </w:rPr>
                        <w:t xml:space="preserve">Petición 449-16. </w:t>
                      </w:r>
                      <w:r w:rsidR="000D4AF2">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0D4AF2">
                        <w:rPr>
                          <w:rFonts w:asciiTheme="majorHAnsi" w:hAnsiTheme="majorHAnsi"/>
                          <w:color w:val="595959" w:themeColor="text1" w:themeTint="A6"/>
                          <w:sz w:val="18"/>
                          <w:szCs w:val="18"/>
                          <w:lang w:val="es-ES_tradnl"/>
                        </w:rPr>
                        <w:t>Maria</w:t>
                      </w:r>
                      <w:r w:rsidRPr="00890650">
                        <w:rPr>
                          <w:rFonts w:asciiTheme="majorHAnsi" w:hAnsiTheme="majorHAnsi"/>
                          <w:color w:val="595959" w:themeColor="text1" w:themeTint="A6"/>
                          <w:sz w:val="18"/>
                          <w:szCs w:val="18"/>
                          <w:lang w:val="es-ES_tradnl"/>
                        </w:rPr>
                        <w:t>.</w:t>
                      </w:r>
                      <w:r w:rsidR="000D4AF2">
                        <w:rPr>
                          <w:rFonts w:asciiTheme="majorHAnsi" w:hAnsiTheme="majorHAnsi"/>
                          <w:color w:val="595959" w:themeColor="text1" w:themeTint="A6"/>
                          <w:sz w:val="18"/>
                          <w:szCs w:val="18"/>
                          <w:lang w:val="es-ES_tradnl"/>
                        </w:rPr>
                        <w:t xml:space="preserve"> Perú</w:t>
                      </w:r>
                      <w:r w:rsidRPr="00890650">
                        <w:rPr>
                          <w:rFonts w:asciiTheme="majorHAnsi" w:hAnsiTheme="majorHAnsi"/>
                          <w:color w:val="595959" w:themeColor="text1" w:themeTint="A6"/>
                          <w:sz w:val="18"/>
                          <w:szCs w:val="18"/>
                          <w:lang w:val="es-ES_tradnl"/>
                        </w:rPr>
                        <w:t xml:space="preserve">. </w:t>
                      </w:r>
                      <w:r w:rsidR="00FF7106">
                        <w:rPr>
                          <w:rFonts w:asciiTheme="majorHAnsi" w:hAnsiTheme="majorHAnsi"/>
                          <w:color w:val="595959" w:themeColor="text1" w:themeTint="A6"/>
                          <w:sz w:val="18"/>
                          <w:szCs w:val="18"/>
                          <w:lang w:val="es-ES"/>
                        </w:rPr>
                        <w:t>22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4A50B7"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4A50B7" w:rsidRDefault="00D306D1" w:rsidP="005516A1">
      <w:pPr>
        <w:tabs>
          <w:tab w:val="center" w:pos="5400"/>
        </w:tabs>
        <w:suppressAutoHyphens/>
        <w:jc w:val="center"/>
        <w:rPr>
          <w:rFonts w:asciiTheme="majorHAnsi" w:hAnsiTheme="majorHAnsi"/>
          <w:b/>
          <w:sz w:val="20"/>
          <w:lang w:val="es-ES"/>
        </w:rPr>
      </w:pPr>
      <w:r w:rsidRPr="004A50B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DB088F7" w:rsidR="00D72DC6" w:rsidRPr="00D72DC6" w:rsidRDefault="00C25CA9" w:rsidP="00F02AD1">
                            <w:pPr>
                              <w:rPr>
                                <w:color w:val="FFFFFF" w:themeColor="background1"/>
                                <w14:textFill>
                                  <w14:noFill/>
                                </w14:textFill>
                              </w:rPr>
                            </w:pPr>
                            <w:r>
                              <w:rPr>
                                <w:noProof/>
                                <w:color w:val="FFFFFF" w:themeColor="background1"/>
                              </w:rPr>
                              <w:drawing>
                                <wp:inline distT="0" distB="0" distL="0" distR="0" wp14:anchorId="48831C5C" wp14:editId="68E3CAD7">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DB088F7" w:rsidR="00D72DC6" w:rsidRPr="00D72DC6" w:rsidRDefault="00C25CA9" w:rsidP="00F02AD1">
                      <w:pPr>
                        <w:rPr>
                          <w:color w:val="FFFFFF" w:themeColor="background1"/>
                          <w14:textFill>
                            <w14:noFill/>
                          </w14:textFill>
                        </w:rPr>
                      </w:pPr>
                      <w:r>
                        <w:rPr>
                          <w:noProof/>
                          <w:color w:val="FFFFFF" w:themeColor="background1"/>
                        </w:rPr>
                        <w:drawing>
                          <wp:inline distT="0" distB="0" distL="0" distR="0" wp14:anchorId="48831C5C" wp14:editId="68E3CAD7">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A50B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4A50B7" w:rsidRDefault="004A6A54" w:rsidP="005516A1">
      <w:pPr>
        <w:tabs>
          <w:tab w:val="center" w:pos="5400"/>
        </w:tabs>
        <w:suppressAutoHyphens/>
        <w:jc w:val="center"/>
        <w:rPr>
          <w:rFonts w:asciiTheme="majorHAnsi" w:hAnsiTheme="majorHAnsi"/>
          <w:b/>
          <w:sz w:val="20"/>
          <w:lang w:val="es-ES"/>
        </w:rPr>
        <w:sectPr w:rsidR="0070697F" w:rsidRPr="004A50B7"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4A50B7">
        <w:rPr>
          <w:rFonts w:asciiTheme="majorHAnsi" w:hAnsiTheme="majorHAnsi"/>
          <w:b/>
          <w:sz w:val="20"/>
          <w:lang w:val="es-ES"/>
        </w:rPr>
        <w:tab/>
      </w:r>
    </w:p>
    <w:p w14:paraId="376DDC8B" w14:textId="77777777" w:rsidR="003239B8" w:rsidRPr="004A50B7" w:rsidRDefault="003239B8" w:rsidP="007C402A">
      <w:pPr>
        <w:spacing w:after="120"/>
        <w:ind w:firstLine="720"/>
        <w:jc w:val="both"/>
        <w:rPr>
          <w:rFonts w:asciiTheme="majorHAnsi" w:hAnsiTheme="majorHAnsi"/>
          <w:b/>
          <w:bCs/>
          <w:sz w:val="20"/>
          <w:szCs w:val="20"/>
          <w:lang w:val="es-ES"/>
        </w:rPr>
      </w:pPr>
      <w:r w:rsidRPr="004A50B7">
        <w:rPr>
          <w:rFonts w:asciiTheme="majorHAnsi" w:hAnsiTheme="majorHAnsi"/>
          <w:b/>
          <w:bCs/>
          <w:sz w:val="20"/>
          <w:szCs w:val="20"/>
          <w:lang w:val="es-ES"/>
        </w:rPr>
        <w:lastRenderedPageBreak/>
        <w:t>I.</w:t>
      </w:r>
      <w:r w:rsidRPr="004A50B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A523AF"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4A50B7" w:rsidRDefault="00D77503" w:rsidP="008D2290">
            <w:pPr>
              <w:jc w:val="center"/>
              <w:rPr>
                <w:rFonts w:asciiTheme="majorHAnsi" w:hAnsiTheme="majorHAnsi"/>
                <w:bCs/>
                <w:color w:val="FFFFFF" w:themeColor="background1"/>
                <w:sz w:val="19"/>
                <w:szCs w:val="19"/>
                <w:lang w:val="es-ES"/>
              </w:rPr>
            </w:pPr>
            <w:r w:rsidRPr="004A50B7">
              <w:rPr>
                <w:rFonts w:asciiTheme="majorHAnsi" w:hAnsiTheme="majorHAnsi"/>
                <w:bCs/>
                <w:color w:val="FFFFFF" w:themeColor="background1"/>
                <w:sz w:val="19"/>
                <w:szCs w:val="19"/>
                <w:lang w:val="es-ES"/>
              </w:rPr>
              <w:t>Parte peticionaria</w:t>
            </w:r>
          </w:p>
        </w:tc>
        <w:tc>
          <w:tcPr>
            <w:tcW w:w="6570" w:type="dxa"/>
            <w:vAlign w:val="center"/>
          </w:tcPr>
          <w:p w14:paraId="3C5315D8" w14:textId="440D710E" w:rsidR="003239B8" w:rsidRPr="004A50B7" w:rsidRDefault="006614D5" w:rsidP="006614D5">
            <w:pPr>
              <w:jc w:val="both"/>
              <w:rPr>
                <w:rFonts w:asciiTheme="majorHAnsi" w:hAnsiTheme="majorHAnsi"/>
                <w:bCs/>
                <w:sz w:val="19"/>
                <w:szCs w:val="19"/>
                <w:lang w:val="es-ES"/>
              </w:rPr>
            </w:pPr>
            <w:r w:rsidRPr="004A50B7">
              <w:rPr>
                <w:rFonts w:asciiTheme="majorHAnsi" w:hAnsiTheme="majorHAnsi"/>
                <w:bCs/>
                <w:sz w:val="19"/>
                <w:szCs w:val="19"/>
                <w:lang w:val="es-ES"/>
              </w:rPr>
              <w:t>Centro de Derechos Reproductivos (CRR) y otros</w:t>
            </w:r>
            <w:r w:rsidRPr="004A50B7">
              <w:rPr>
                <w:rStyle w:val="FootnoteReference"/>
                <w:rFonts w:asciiTheme="majorHAnsi" w:hAnsiTheme="majorHAnsi"/>
                <w:bCs/>
                <w:sz w:val="19"/>
                <w:szCs w:val="19"/>
                <w:lang w:val="es-ES"/>
              </w:rPr>
              <w:footnoteReference w:id="2"/>
            </w:r>
          </w:p>
        </w:tc>
      </w:tr>
      <w:tr w:rsidR="003239B8" w:rsidRPr="004A50B7"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4A50B7" w:rsidRDefault="00E26DDD" w:rsidP="008D2290">
            <w:pPr>
              <w:jc w:val="center"/>
              <w:rPr>
                <w:rFonts w:asciiTheme="majorHAnsi" w:hAnsiTheme="majorHAnsi"/>
                <w:bCs/>
                <w:color w:val="FFFFFF" w:themeColor="background1"/>
                <w:sz w:val="19"/>
                <w:szCs w:val="19"/>
                <w:lang w:val="es-ES"/>
              </w:rPr>
            </w:pPr>
            <w:sdt>
              <w:sdtPr>
                <w:rPr>
                  <w:rFonts w:asciiTheme="majorHAnsi" w:hAnsiTheme="majorHAnsi"/>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A50B7">
                  <w:rPr>
                    <w:rFonts w:asciiTheme="majorHAnsi" w:hAnsiTheme="majorHAnsi"/>
                    <w:bCs/>
                    <w:color w:val="FFFFFF" w:themeColor="background1"/>
                    <w:sz w:val="19"/>
                    <w:szCs w:val="19"/>
                    <w:lang w:val="es-ES"/>
                  </w:rPr>
                  <w:t>Presunta víctima</w:t>
                </w:r>
              </w:sdtContent>
            </w:sdt>
          </w:p>
        </w:tc>
        <w:tc>
          <w:tcPr>
            <w:tcW w:w="6570" w:type="dxa"/>
            <w:vAlign w:val="center"/>
          </w:tcPr>
          <w:p w14:paraId="4AEBF59E" w14:textId="47E24504" w:rsidR="003239B8" w:rsidRPr="004A50B7" w:rsidRDefault="00083A1A" w:rsidP="005B6D22">
            <w:pPr>
              <w:jc w:val="both"/>
              <w:rPr>
                <w:rFonts w:asciiTheme="majorHAnsi" w:hAnsiTheme="majorHAnsi"/>
                <w:bCs/>
                <w:sz w:val="19"/>
                <w:szCs w:val="19"/>
                <w:lang w:val="es-ES"/>
              </w:rPr>
            </w:pPr>
            <w:r w:rsidRPr="004A50B7">
              <w:rPr>
                <w:rFonts w:asciiTheme="majorHAnsi" w:hAnsiTheme="majorHAnsi"/>
                <w:bCs/>
                <w:sz w:val="19"/>
                <w:szCs w:val="19"/>
                <w:lang w:val="es-ES"/>
              </w:rPr>
              <w:t>Maria</w:t>
            </w:r>
            <w:r w:rsidRPr="004A50B7">
              <w:rPr>
                <w:rStyle w:val="FootnoteReference"/>
                <w:rFonts w:asciiTheme="majorHAnsi" w:hAnsiTheme="majorHAnsi"/>
                <w:bCs/>
                <w:sz w:val="19"/>
                <w:szCs w:val="19"/>
                <w:lang w:val="es-ES"/>
              </w:rPr>
              <w:footnoteReference w:id="3"/>
            </w:r>
            <w:r w:rsidR="007D3AF7" w:rsidRPr="004A50B7">
              <w:rPr>
                <w:rFonts w:asciiTheme="majorHAnsi" w:hAnsiTheme="majorHAnsi"/>
                <w:bCs/>
                <w:sz w:val="19"/>
                <w:szCs w:val="19"/>
                <w:lang w:val="es-ES"/>
              </w:rPr>
              <w:t xml:space="preserve"> y familia</w:t>
            </w:r>
          </w:p>
        </w:tc>
      </w:tr>
      <w:tr w:rsidR="003239B8" w:rsidRPr="004A50B7"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4A50B7" w:rsidRDefault="00D77503" w:rsidP="008D2290">
            <w:pPr>
              <w:jc w:val="center"/>
              <w:rPr>
                <w:rFonts w:asciiTheme="majorHAnsi" w:hAnsiTheme="majorHAnsi"/>
                <w:bCs/>
                <w:color w:val="FFFFFF" w:themeColor="background1"/>
                <w:sz w:val="19"/>
                <w:szCs w:val="19"/>
                <w:lang w:val="es-ES"/>
              </w:rPr>
            </w:pPr>
            <w:r w:rsidRPr="004A50B7">
              <w:rPr>
                <w:rFonts w:asciiTheme="majorHAnsi" w:hAnsiTheme="majorHAnsi"/>
                <w:bCs/>
                <w:color w:val="FFFFFF" w:themeColor="background1"/>
                <w:sz w:val="19"/>
                <w:szCs w:val="19"/>
                <w:lang w:val="es-ES"/>
              </w:rPr>
              <w:t>Estado denunciado</w:t>
            </w:r>
          </w:p>
        </w:tc>
        <w:tc>
          <w:tcPr>
            <w:tcW w:w="6570" w:type="dxa"/>
            <w:vAlign w:val="center"/>
          </w:tcPr>
          <w:p w14:paraId="274C8A50" w14:textId="41AFFCD2" w:rsidR="003239B8" w:rsidRPr="004A50B7" w:rsidRDefault="000D4AF2" w:rsidP="008D2290">
            <w:pPr>
              <w:jc w:val="both"/>
              <w:rPr>
                <w:rFonts w:asciiTheme="majorHAnsi" w:hAnsiTheme="majorHAnsi"/>
                <w:bCs/>
                <w:sz w:val="19"/>
                <w:szCs w:val="19"/>
                <w:lang w:val="es-ES"/>
              </w:rPr>
            </w:pPr>
            <w:r w:rsidRPr="004A50B7">
              <w:rPr>
                <w:rFonts w:asciiTheme="majorHAnsi" w:hAnsiTheme="majorHAnsi"/>
                <w:bCs/>
                <w:sz w:val="19"/>
                <w:szCs w:val="19"/>
                <w:lang w:val="es-ES"/>
              </w:rPr>
              <w:t>Perú</w:t>
            </w:r>
            <w:r w:rsidR="004A6A54" w:rsidRPr="004A50B7">
              <w:rPr>
                <w:rStyle w:val="FootnoteReference"/>
                <w:rFonts w:asciiTheme="majorHAnsi" w:hAnsiTheme="majorHAnsi"/>
                <w:bCs/>
                <w:sz w:val="19"/>
                <w:szCs w:val="19"/>
                <w:lang w:val="es-ES"/>
              </w:rPr>
              <w:footnoteReference w:id="4"/>
            </w:r>
          </w:p>
        </w:tc>
      </w:tr>
      <w:tr w:rsidR="00223A29" w:rsidRPr="00A523AF"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4A50B7" w:rsidRDefault="001B3A00" w:rsidP="00E4118C">
            <w:pPr>
              <w:jc w:val="center"/>
              <w:rPr>
                <w:rFonts w:asciiTheme="majorHAnsi" w:hAnsiTheme="majorHAnsi"/>
                <w:bCs/>
                <w:color w:val="FFFFFF" w:themeColor="background1"/>
                <w:sz w:val="19"/>
                <w:szCs w:val="19"/>
                <w:lang w:val="es-ES"/>
              </w:rPr>
            </w:pPr>
            <w:r w:rsidRPr="004A50B7">
              <w:rPr>
                <w:rFonts w:asciiTheme="majorHAnsi" w:hAnsiTheme="majorHAnsi"/>
                <w:bCs/>
                <w:color w:val="FFFFFF" w:themeColor="background1"/>
                <w:sz w:val="19"/>
                <w:szCs w:val="19"/>
                <w:lang w:val="es-ES"/>
              </w:rPr>
              <w:t xml:space="preserve">Derechos </w:t>
            </w:r>
            <w:r w:rsidR="00E4118C" w:rsidRPr="004A50B7">
              <w:rPr>
                <w:rFonts w:asciiTheme="majorHAnsi" w:hAnsiTheme="majorHAnsi"/>
                <w:bCs/>
                <w:color w:val="FFFFFF" w:themeColor="background1"/>
                <w:sz w:val="19"/>
                <w:szCs w:val="19"/>
                <w:lang w:val="es-ES"/>
              </w:rPr>
              <w:t>invocados</w:t>
            </w:r>
          </w:p>
        </w:tc>
        <w:tc>
          <w:tcPr>
            <w:tcW w:w="6570" w:type="dxa"/>
            <w:vAlign w:val="center"/>
          </w:tcPr>
          <w:p w14:paraId="6DEE1EEB" w14:textId="45602D11" w:rsidR="00223A29" w:rsidRPr="004A50B7" w:rsidRDefault="00BF514A" w:rsidP="00BD222D">
            <w:pPr>
              <w:jc w:val="both"/>
              <w:rPr>
                <w:rFonts w:asciiTheme="majorHAnsi" w:hAnsiTheme="majorHAnsi"/>
                <w:bCs/>
                <w:sz w:val="19"/>
                <w:szCs w:val="19"/>
                <w:lang w:val="es-ES"/>
              </w:rPr>
            </w:pPr>
            <w:r w:rsidRPr="004A50B7">
              <w:rPr>
                <w:rFonts w:asciiTheme="majorHAnsi" w:hAnsiTheme="majorHAnsi"/>
                <w:bCs/>
                <w:sz w:val="19"/>
                <w:szCs w:val="19"/>
                <w:lang w:val="es-ES"/>
              </w:rPr>
              <w:t xml:space="preserve">Artículos </w:t>
            </w:r>
            <w:r w:rsidR="00BD222D" w:rsidRPr="004A50B7">
              <w:rPr>
                <w:rFonts w:asciiTheme="majorHAnsi" w:hAnsiTheme="majorHAnsi"/>
                <w:bCs/>
                <w:sz w:val="19"/>
                <w:szCs w:val="19"/>
                <w:lang w:val="es-ES"/>
              </w:rPr>
              <w:t>5 (integridad personal)</w:t>
            </w:r>
            <w:r w:rsidR="00C36A06" w:rsidRPr="004A50B7">
              <w:rPr>
                <w:rFonts w:asciiTheme="majorHAnsi" w:hAnsiTheme="majorHAnsi"/>
                <w:bCs/>
                <w:sz w:val="19"/>
                <w:szCs w:val="19"/>
                <w:lang w:val="es-ES"/>
              </w:rPr>
              <w:t xml:space="preserve">, </w:t>
            </w:r>
            <w:r w:rsidR="00BD222D" w:rsidRPr="004A50B7">
              <w:rPr>
                <w:rFonts w:asciiTheme="majorHAnsi" w:hAnsiTheme="majorHAnsi"/>
                <w:bCs/>
                <w:sz w:val="19"/>
                <w:szCs w:val="19"/>
                <w:lang w:val="es-ES"/>
              </w:rPr>
              <w:t xml:space="preserve">7 (libertad personal), 8 (garantías judiciales), </w:t>
            </w:r>
            <w:r w:rsidR="00C36A06" w:rsidRPr="004A50B7">
              <w:rPr>
                <w:rFonts w:asciiTheme="majorHAnsi" w:hAnsiTheme="majorHAnsi"/>
                <w:bCs/>
                <w:sz w:val="19"/>
                <w:szCs w:val="19"/>
                <w:lang w:val="es-ES"/>
              </w:rPr>
              <w:t>11</w:t>
            </w:r>
            <w:r w:rsidR="00BD222D" w:rsidRPr="004A50B7">
              <w:rPr>
                <w:rFonts w:asciiTheme="majorHAnsi" w:hAnsiTheme="majorHAnsi"/>
                <w:bCs/>
                <w:sz w:val="19"/>
                <w:szCs w:val="19"/>
                <w:lang w:val="es-ES"/>
              </w:rPr>
              <w:t xml:space="preserve"> (honra y dignidad)</w:t>
            </w:r>
            <w:r w:rsidR="00C36A06" w:rsidRPr="004A50B7">
              <w:rPr>
                <w:rFonts w:asciiTheme="majorHAnsi" w:hAnsiTheme="majorHAnsi"/>
                <w:bCs/>
                <w:sz w:val="19"/>
                <w:szCs w:val="19"/>
                <w:lang w:val="es-ES"/>
              </w:rPr>
              <w:t>, 25</w:t>
            </w:r>
            <w:r w:rsidR="00BD222D" w:rsidRPr="004A50B7">
              <w:rPr>
                <w:rFonts w:asciiTheme="majorHAnsi" w:hAnsiTheme="majorHAnsi"/>
                <w:bCs/>
                <w:sz w:val="19"/>
                <w:szCs w:val="19"/>
                <w:lang w:val="es-ES"/>
              </w:rPr>
              <w:t xml:space="preserve"> (protección judicial)</w:t>
            </w:r>
            <w:r w:rsidR="00C36A06" w:rsidRPr="004A50B7">
              <w:rPr>
                <w:rFonts w:asciiTheme="majorHAnsi" w:hAnsiTheme="majorHAnsi"/>
                <w:bCs/>
                <w:sz w:val="19"/>
                <w:szCs w:val="19"/>
                <w:lang w:val="es-ES"/>
              </w:rPr>
              <w:t>, 26</w:t>
            </w:r>
            <w:r w:rsidR="00BD222D" w:rsidRPr="004A50B7">
              <w:rPr>
                <w:rFonts w:asciiTheme="majorHAnsi" w:hAnsiTheme="majorHAnsi"/>
                <w:bCs/>
                <w:sz w:val="19"/>
                <w:szCs w:val="19"/>
                <w:lang w:val="es-ES"/>
              </w:rPr>
              <w:t xml:space="preserve"> (derechos económicos, sociales y culturales)de la Convención Americana sobre Derechos Humanos</w:t>
            </w:r>
            <w:r w:rsidR="00BD222D" w:rsidRPr="004A50B7">
              <w:rPr>
                <w:rStyle w:val="FootnoteReference"/>
                <w:rFonts w:asciiTheme="majorHAnsi" w:hAnsiTheme="majorHAnsi"/>
                <w:bCs/>
                <w:sz w:val="19"/>
                <w:szCs w:val="19"/>
                <w:lang w:val="es-ES"/>
              </w:rPr>
              <w:footnoteReference w:id="5"/>
            </w:r>
            <w:r w:rsidR="00BD222D" w:rsidRPr="004A50B7">
              <w:rPr>
                <w:rFonts w:asciiTheme="majorHAnsi" w:hAnsiTheme="majorHAnsi"/>
                <w:bCs/>
                <w:sz w:val="19"/>
                <w:szCs w:val="19"/>
                <w:lang w:val="es-ES"/>
              </w:rPr>
              <w:t xml:space="preserve">, en relación con su artículo </w:t>
            </w:r>
            <w:r w:rsidR="00C36A06" w:rsidRPr="004A50B7">
              <w:rPr>
                <w:rFonts w:asciiTheme="majorHAnsi" w:hAnsiTheme="majorHAnsi"/>
                <w:bCs/>
                <w:sz w:val="19"/>
                <w:szCs w:val="19"/>
                <w:lang w:val="es-ES"/>
              </w:rPr>
              <w:t>1.1</w:t>
            </w:r>
            <w:r w:rsidR="00BD222D" w:rsidRPr="004A50B7">
              <w:rPr>
                <w:rFonts w:asciiTheme="majorHAnsi" w:hAnsiTheme="majorHAnsi"/>
                <w:bCs/>
                <w:sz w:val="19"/>
                <w:szCs w:val="19"/>
                <w:lang w:val="es-ES"/>
              </w:rPr>
              <w:t xml:space="preserve"> (obligación de respetar los derechos);</w:t>
            </w:r>
            <w:r w:rsidR="00C36A06" w:rsidRPr="004A50B7">
              <w:rPr>
                <w:rFonts w:asciiTheme="majorHAnsi" w:hAnsiTheme="majorHAnsi"/>
                <w:bCs/>
                <w:sz w:val="19"/>
                <w:szCs w:val="19"/>
                <w:lang w:val="es-ES"/>
              </w:rPr>
              <w:t xml:space="preserve"> </w:t>
            </w:r>
            <w:r w:rsidR="00BD222D" w:rsidRPr="004A50B7">
              <w:rPr>
                <w:rFonts w:asciiTheme="majorHAnsi" w:hAnsiTheme="majorHAnsi"/>
                <w:bCs/>
                <w:sz w:val="19"/>
                <w:szCs w:val="19"/>
                <w:lang w:val="es-ES"/>
              </w:rPr>
              <w:t xml:space="preserve">y </w:t>
            </w:r>
            <w:r w:rsidR="00C36A06" w:rsidRPr="004A50B7">
              <w:rPr>
                <w:rFonts w:asciiTheme="majorHAnsi" w:hAnsiTheme="majorHAnsi"/>
                <w:bCs/>
                <w:sz w:val="19"/>
                <w:szCs w:val="19"/>
                <w:lang w:val="es-ES"/>
              </w:rPr>
              <w:t xml:space="preserve">articulo 7 </w:t>
            </w:r>
            <w:r w:rsidR="00042B1F" w:rsidRPr="004A50B7">
              <w:rPr>
                <w:rFonts w:asciiTheme="majorHAnsi" w:hAnsiTheme="majorHAnsi"/>
                <w:bCs/>
                <w:sz w:val="19"/>
                <w:szCs w:val="19"/>
                <w:lang w:val="es-ES"/>
              </w:rPr>
              <w:t>Convención Interamericana para Prevenir, Sancionar y Erradicar la Violencia contra la Mujer</w:t>
            </w:r>
            <w:r w:rsidR="00042B1F" w:rsidRPr="004A50B7">
              <w:rPr>
                <w:rStyle w:val="FootnoteReference"/>
                <w:rFonts w:asciiTheme="majorHAnsi" w:hAnsiTheme="majorHAnsi"/>
                <w:bCs/>
                <w:sz w:val="19"/>
                <w:szCs w:val="19"/>
                <w:lang w:val="es-ES"/>
              </w:rPr>
              <w:footnoteReference w:id="6"/>
            </w:r>
          </w:p>
        </w:tc>
      </w:tr>
    </w:tbl>
    <w:p w14:paraId="20263696" w14:textId="77777777" w:rsidR="003239B8" w:rsidRPr="004A50B7" w:rsidRDefault="003239B8" w:rsidP="007C402A">
      <w:pPr>
        <w:spacing w:before="120" w:after="120"/>
        <w:ind w:firstLine="720"/>
        <w:jc w:val="both"/>
        <w:rPr>
          <w:rFonts w:asciiTheme="majorHAnsi" w:hAnsiTheme="majorHAnsi"/>
          <w:b/>
          <w:bCs/>
          <w:sz w:val="20"/>
          <w:szCs w:val="20"/>
          <w:lang w:val="es-ES"/>
        </w:rPr>
      </w:pPr>
      <w:r w:rsidRPr="004A50B7">
        <w:rPr>
          <w:rFonts w:asciiTheme="majorHAnsi" w:hAnsiTheme="majorHAnsi"/>
          <w:b/>
          <w:bCs/>
          <w:sz w:val="20"/>
          <w:szCs w:val="20"/>
          <w:lang w:val="es-ES"/>
        </w:rPr>
        <w:t>II.</w:t>
      </w:r>
      <w:r w:rsidRPr="004A50B7">
        <w:rPr>
          <w:rFonts w:asciiTheme="majorHAnsi" w:hAnsiTheme="majorHAnsi"/>
          <w:b/>
          <w:bCs/>
          <w:sz w:val="20"/>
          <w:szCs w:val="20"/>
          <w:lang w:val="es-ES"/>
        </w:rPr>
        <w:tab/>
        <w:t>TRÁMITE ANTE LA CIDH</w:t>
      </w:r>
      <w:r w:rsidR="008E3BFE" w:rsidRPr="004A50B7">
        <w:rPr>
          <w:rStyle w:val="FootnoteReference"/>
          <w:rFonts w:asciiTheme="majorHAnsi" w:hAnsiTheme="majorHAnsi"/>
          <w:b/>
          <w:sz w:val="20"/>
          <w:szCs w:val="20"/>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4A50B7" w14:paraId="306EFCB0" w14:textId="77777777" w:rsidTr="004E5178">
        <w:tc>
          <w:tcPr>
            <w:tcW w:w="2790" w:type="dxa"/>
            <w:tcBorders>
              <w:top w:val="single" w:sz="6" w:space="0" w:color="auto"/>
              <w:bottom w:val="single" w:sz="6" w:space="0" w:color="auto"/>
            </w:tcBorders>
            <w:shd w:val="clear" w:color="auto" w:fill="386294"/>
            <w:vAlign w:val="center"/>
          </w:tcPr>
          <w:p w14:paraId="7508D16F" w14:textId="2A4C7FC3" w:rsidR="004C2312" w:rsidRPr="004A50B7" w:rsidRDefault="000C1C69" w:rsidP="004A6A54">
            <w:pPr>
              <w:jc w:val="center"/>
              <w:rPr>
                <w:rFonts w:asciiTheme="majorHAnsi" w:hAnsiTheme="majorHAnsi"/>
                <w:bCs/>
                <w:color w:val="FFFFFF" w:themeColor="background1"/>
                <w:sz w:val="19"/>
                <w:szCs w:val="19"/>
                <w:lang w:val="es-ES"/>
              </w:rPr>
            </w:pPr>
            <w:r w:rsidRPr="004A50B7">
              <w:rPr>
                <w:rFonts w:asciiTheme="majorHAnsi" w:hAnsiTheme="majorHAnsi"/>
                <w:bCs/>
                <w:color w:val="FFFFFF" w:themeColor="background1"/>
                <w:sz w:val="19"/>
                <w:szCs w:val="19"/>
                <w:lang w:val="es-ES"/>
              </w:rPr>
              <w:t>Recepción</w:t>
            </w:r>
            <w:r w:rsidR="00D77503" w:rsidRPr="004A50B7">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031E482B" w:rsidR="004C2312" w:rsidRPr="004A50B7" w:rsidRDefault="00CE099F" w:rsidP="002625EA">
            <w:pPr>
              <w:jc w:val="both"/>
              <w:rPr>
                <w:rFonts w:asciiTheme="majorHAnsi" w:hAnsiTheme="majorHAnsi"/>
                <w:bCs/>
                <w:sz w:val="19"/>
                <w:szCs w:val="19"/>
                <w:lang w:val="es-ES"/>
              </w:rPr>
            </w:pPr>
            <w:r w:rsidRPr="004A50B7">
              <w:rPr>
                <w:rFonts w:asciiTheme="majorHAnsi" w:hAnsiTheme="majorHAnsi"/>
                <w:bCs/>
                <w:sz w:val="19"/>
                <w:szCs w:val="19"/>
                <w:lang w:val="es-ES"/>
              </w:rPr>
              <w:t>17 de marzo de 2016</w:t>
            </w:r>
          </w:p>
        </w:tc>
      </w:tr>
      <w:tr w:rsidR="004E5178" w:rsidRPr="00A523AF" w14:paraId="56D10579" w14:textId="77777777" w:rsidTr="00694281">
        <w:tc>
          <w:tcPr>
            <w:tcW w:w="2790" w:type="dxa"/>
            <w:tcBorders>
              <w:top w:val="single" w:sz="6" w:space="0" w:color="auto"/>
              <w:bottom w:val="single" w:sz="6" w:space="0" w:color="auto"/>
            </w:tcBorders>
            <w:shd w:val="clear" w:color="auto" w:fill="386294"/>
          </w:tcPr>
          <w:p w14:paraId="41E0DB11" w14:textId="0883F123" w:rsidR="004E5178" w:rsidRPr="004A50B7" w:rsidRDefault="004E5178" w:rsidP="004E5178">
            <w:pPr>
              <w:jc w:val="center"/>
              <w:rPr>
                <w:rFonts w:asciiTheme="majorHAnsi" w:hAnsiTheme="majorHAnsi"/>
                <w:color w:val="FFFFFF" w:themeColor="background1"/>
                <w:sz w:val="19"/>
                <w:szCs w:val="19"/>
                <w:lang w:val="es-ES"/>
              </w:rPr>
            </w:pPr>
            <w:r w:rsidRPr="004A50B7">
              <w:rPr>
                <w:rFonts w:asciiTheme="majorHAnsi" w:hAnsiTheme="majorHAnsi"/>
                <w:color w:val="FFFFFF" w:themeColor="background1"/>
                <w:sz w:val="19"/>
                <w:szCs w:val="19"/>
                <w:lang w:val="es-MX"/>
              </w:rPr>
              <w:t>Información adicional recibida durante la etapa de estudio:</w:t>
            </w:r>
          </w:p>
        </w:tc>
        <w:tc>
          <w:tcPr>
            <w:tcW w:w="6570" w:type="dxa"/>
          </w:tcPr>
          <w:p w14:paraId="6A40E654" w14:textId="4E4D5C93" w:rsidR="004E5178" w:rsidRPr="004A50B7" w:rsidRDefault="00A90FF8" w:rsidP="004E5178">
            <w:pPr>
              <w:jc w:val="both"/>
              <w:rPr>
                <w:rFonts w:asciiTheme="majorHAnsi" w:hAnsiTheme="majorHAnsi"/>
                <w:bCs/>
                <w:color w:val="FFFFFF" w:themeColor="background1"/>
                <w:sz w:val="19"/>
                <w:szCs w:val="19"/>
                <w:lang w:val="es-ES"/>
              </w:rPr>
            </w:pPr>
            <w:r w:rsidRPr="004A50B7">
              <w:rPr>
                <w:rFonts w:asciiTheme="majorHAnsi" w:hAnsiTheme="majorHAnsi"/>
                <w:bCs/>
                <w:sz w:val="19"/>
                <w:szCs w:val="19"/>
                <w:lang w:val="es-ES"/>
              </w:rPr>
              <w:t>2 de noviembre de 2016 y</w:t>
            </w:r>
            <w:r w:rsidR="004E5178" w:rsidRPr="004A50B7">
              <w:rPr>
                <w:rFonts w:asciiTheme="majorHAnsi" w:hAnsiTheme="majorHAnsi"/>
                <w:bCs/>
                <w:sz w:val="19"/>
                <w:szCs w:val="19"/>
                <w:lang w:val="es-ES"/>
              </w:rPr>
              <w:t xml:space="preserve"> 26 de mayo de 2017; 27 de febrero de 2018</w:t>
            </w:r>
          </w:p>
        </w:tc>
      </w:tr>
      <w:tr w:rsidR="004C2312" w:rsidRPr="004A50B7" w14:paraId="1BDCD5C6" w14:textId="77777777" w:rsidTr="004E5178">
        <w:tc>
          <w:tcPr>
            <w:tcW w:w="2790" w:type="dxa"/>
            <w:tcBorders>
              <w:top w:val="single" w:sz="6" w:space="0" w:color="auto"/>
              <w:bottom w:val="single" w:sz="6" w:space="0" w:color="auto"/>
            </w:tcBorders>
            <w:shd w:val="clear" w:color="auto" w:fill="386294"/>
            <w:vAlign w:val="center"/>
          </w:tcPr>
          <w:p w14:paraId="7A18664F" w14:textId="53CE1B14" w:rsidR="004C2312" w:rsidRPr="004A50B7" w:rsidRDefault="004A6A54" w:rsidP="000C1C69">
            <w:pPr>
              <w:jc w:val="center"/>
              <w:rPr>
                <w:rFonts w:asciiTheme="majorHAnsi" w:hAnsiTheme="majorHAnsi"/>
                <w:bCs/>
                <w:color w:val="FFFFFF" w:themeColor="background1"/>
                <w:sz w:val="19"/>
                <w:szCs w:val="19"/>
                <w:lang w:val="es-ES"/>
              </w:rPr>
            </w:pPr>
            <w:r w:rsidRPr="004A50B7">
              <w:rPr>
                <w:rFonts w:asciiTheme="majorHAnsi" w:hAnsiTheme="majorHAnsi"/>
                <w:color w:val="FFFFFF" w:themeColor="background1"/>
                <w:sz w:val="19"/>
                <w:szCs w:val="19"/>
                <w:lang w:val="es-ES"/>
              </w:rPr>
              <w:t>N</w:t>
            </w:r>
            <w:r w:rsidR="004C2312" w:rsidRPr="004A50B7">
              <w:rPr>
                <w:rFonts w:asciiTheme="majorHAnsi" w:hAnsiTheme="majorHAnsi"/>
                <w:color w:val="FFFFFF" w:themeColor="background1"/>
                <w:sz w:val="19"/>
                <w:szCs w:val="19"/>
                <w:lang w:val="es-ES"/>
              </w:rPr>
              <w:t>otificación de la petición</w:t>
            </w:r>
          </w:p>
        </w:tc>
        <w:tc>
          <w:tcPr>
            <w:tcW w:w="6570" w:type="dxa"/>
            <w:vAlign w:val="center"/>
          </w:tcPr>
          <w:p w14:paraId="1519DA6A" w14:textId="224C17B0" w:rsidR="004C2312" w:rsidRPr="004A50B7" w:rsidRDefault="00B904A5" w:rsidP="008D2290">
            <w:pPr>
              <w:jc w:val="both"/>
              <w:rPr>
                <w:rFonts w:asciiTheme="majorHAnsi" w:hAnsiTheme="majorHAnsi"/>
                <w:bCs/>
                <w:sz w:val="19"/>
                <w:szCs w:val="19"/>
                <w:lang w:val="es-ES"/>
              </w:rPr>
            </w:pPr>
            <w:r w:rsidRPr="004A50B7">
              <w:rPr>
                <w:rFonts w:asciiTheme="majorHAnsi" w:hAnsiTheme="majorHAnsi"/>
                <w:bCs/>
                <w:sz w:val="19"/>
                <w:szCs w:val="19"/>
                <w:lang w:val="es-ES"/>
              </w:rPr>
              <w:t>17 de julio de 2018</w:t>
            </w:r>
          </w:p>
        </w:tc>
      </w:tr>
      <w:tr w:rsidR="00F06354" w:rsidRPr="004A50B7" w14:paraId="6147A8D5" w14:textId="77777777" w:rsidTr="004E5178">
        <w:tc>
          <w:tcPr>
            <w:tcW w:w="2790" w:type="dxa"/>
            <w:tcBorders>
              <w:top w:val="single" w:sz="6" w:space="0" w:color="auto"/>
              <w:bottom w:val="single" w:sz="6" w:space="0" w:color="auto"/>
            </w:tcBorders>
            <w:shd w:val="clear" w:color="auto" w:fill="386294"/>
            <w:vAlign w:val="center"/>
          </w:tcPr>
          <w:p w14:paraId="0201C86D" w14:textId="678B514E" w:rsidR="00F06354" w:rsidRPr="004A50B7" w:rsidRDefault="00D77503" w:rsidP="00F06354">
            <w:pPr>
              <w:jc w:val="center"/>
              <w:rPr>
                <w:rFonts w:asciiTheme="majorHAnsi" w:hAnsiTheme="majorHAnsi"/>
                <w:bCs/>
                <w:color w:val="FFFFFF" w:themeColor="background1"/>
                <w:sz w:val="19"/>
                <w:szCs w:val="19"/>
                <w:lang w:val="es-ES"/>
              </w:rPr>
            </w:pPr>
            <w:r w:rsidRPr="004A50B7">
              <w:rPr>
                <w:rFonts w:asciiTheme="majorHAnsi" w:hAnsiTheme="majorHAnsi"/>
                <w:color w:val="FFFFFF" w:themeColor="background1"/>
                <w:sz w:val="19"/>
                <w:szCs w:val="19"/>
                <w:lang w:val="es-ES"/>
              </w:rPr>
              <w:t>Primera respuesta del Estado</w:t>
            </w:r>
          </w:p>
        </w:tc>
        <w:tc>
          <w:tcPr>
            <w:tcW w:w="6570" w:type="dxa"/>
            <w:vAlign w:val="center"/>
          </w:tcPr>
          <w:p w14:paraId="1972B99E" w14:textId="5C358F01" w:rsidR="00F06354" w:rsidRPr="004A50B7" w:rsidRDefault="00B904A5" w:rsidP="00F06354">
            <w:pPr>
              <w:jc w:val="both"/>
              <w:rPr>
                <w:rFonts w:asciiTheme="majorHAnsi" w:hAnsiTheme="majorHAnsi"/>
                <w:bCs/>
                <w:sz w:val="19"/>
                <w:szCs w:val="19"/>
                <w:lang w:val="es-ES"/>
              </w:rPr>
            </w:pPr>
            <w:r w:rsidRPr="004A50B7">
              <w:rPr>
                <w:rFonts w:asciiTheme="majorHAnsi" w:hAnsiTheme="majorHAnsi"/>
                <w:bCs/>
                <w:sz w:val="19"/>
                <w:szCs w:val="19"/>
                <w:lang w:val="es-ES"/>
              </w:rPr>
              <w:t>18 de octubre de 2018</w:t>
            </w:r>
          </w:p>
        </w:tc>
      </w:tr>
      <w:tr w:rsidR="00F06354" w:rsidRPr="00A523AF" w14:paraId="322668B6" w14:textId="77777777" w:rsidTr="004E5178">
        <w:tc>
          <w:tcPr>
            <w:tcW w:w="2790" w:type="dxa"/>
            <w:tcBorders>
              <w:top w:val="single" w:sz="6" w:space="0" w:color="auto"/>
              <w:bottom w:val="single" w:sz="6" w:space="0" w:color="auto"/>
            </w:tcBorders>
            <w:shd w:val="clear" w:color="auto" w:fill="386294"/>
            <w:vAlign w:val="center"/>
          </w:tcPr>
          <w:p w14:paraId="1524DA55" w14:textId="2EFC7BC3" w:rsidR="00F06354" w:rsidRPr="004A50B7" w:rsidRDefault="00F06354" w:rsidP="00F06354">
            <w:pPr>
              <w:jc w:val="center"/>
              <w:rPr>
                <w:rFonts w:asciiTheme="majorHAnsi" w:hAnsiTheme="majorHAnsi"/>
                <w:bCs/>
                <w:color w:val="FFFFFF" w:themeColor="background1"/>
                <w:sz w:val="19"/>
                <w:szCs w:val="19"/>
                <w:lang w:val="es-ES"/>
              </w:rPr>
            </w:pPr>
            <w:r w:rsidRPr="004A50B7">
              <w:rPr>
                <w:rFonts w:asciiTheme="majorHAnsi" w:hAnsiTheme="majorHAnsi"/>
                <w:bCs/>
                <w:color w:val="FFFFFF" w:themeColor="background1"/>
                <w:sz w:val="19"/>
                <w:szCs w:val="19"/>
                <w:lang w:val="es-ES"/>
              </w:rPr>
              <w:t>Observaciones adicionales de</w:t>
            </w:r>
            <w:r w:rsidR="00D77503" w:rsidRPr="004A50B7">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78D48667" w:rsidR="00F06354" w:rsidRPr="004A50B7" w:rsidRDefault="00C66806" w:rsidP="00D77503">
            <w:pPr>
              <w:jc w:val="both"/>
              <w:rPr>
                <w:rFonts w:asciiTheme="majorHAnsi" w:hAnsiTheme="majorHAnsi"/>
                <w:bCs/>
                <w:sz w:val="19"/>
                <w:szCs w:val="19"/>
                <w:lang w:val="es-ES"/>
              </w:rPr>
            </w:pPr>
            <w:r w:rsidRPr="004A50B7">
              <w:rPr>
                <w:rFonts w:asciiTheme="majorHAnsi" w:hAnsiTheme="majorHAnsi"/>
                <w:bCs/>
                <w:sz w:val="19"/>
                <w:szCs w:val="19"/>
                <w:lang w:val="es-ES"/>
              </w:rPr>
              <w:t>1 de febrero de 2019; 25 de abril de 2019</w:t>
            </w:r>
          </w:p>
        </w:tc>
      </w:tr>
      <w:tr w:rsidR="004764BE" w:rsidRPr="004A50B7" w14:paraId="465C8FA4" w14:textId="77777777" w:rsidTr="004E5178">
        <w:tc>
          <w:tcPr>
            <w:tcW w:w="2790" w:type="dxa"/>
            <w:tcBorders>
              <w:top w:val="single" w:sz="6" w:space="0" w:color="auto"/>
              <w:bottom w:val="single" w:sz="6" w:space="0" w:color="auto"/>
            </w:tcBorders>
            <w:shd w:val="clear" w:color="auto" w:fill="386294"/>
            <w:vAlign w:val="center"/>
          </w:tcPr>
          <w:p w14:paraId="26739B7B" w14:textId="220A9A3F" w:rsidR="004764BE" w:rsidRPr="004A50B7" w:rsidRDefault="004764BE" w:rsidP="004764BE">
            <w:pPr>
              <w:jc w:val="center"/>
              <w:rPr>
                <w:rFonts w:asciiTheme="majorHAnsi" w:hAnsiTheme="majorHAnsi"/>
                <w:bCs/>
                <w:color w:val="FFFFFF" w:themeColor="background1"/>
                <w:sz w:val="19"/>
                <w:szCs w:val="19"/>
                <w:lang w:val="es-ES"/>
              </w:rPr>
            </w:pPr>
            <w:r w:rsidRPr="004A50B7">
              <w:rPr>
                <w:rFonts w:asciiTheme="majorHAnsi" w:hAnsiTheme="majorHAnsi"/>
                <w:bCs/>
                <w:color w:val="FFFFFF" w:themeColor="background1"/>
                <w:sz w:val="19"/>
                <w:szCs w:val="19"/>
                <w:lang w:val="es-ES"/>
              </w:rPr>
              <w:t>Observaciones adicionales del Estado</w:t>
            </w:r>
          </w:p>
        </w:tc>
        <w:tc>
          <w:tcPr>
            <w:tcW w:w="6570" w:type="dxa"/>
            <w:vAlign w:val="center"/>
          </w:tcPr>
          <w:p w14:paraId="3C20835E" w14:textId="0BCC37DC" w:rsidR="004764BE" w:rsidRPr="004A50B7" w:rsidRDefault="004764BE" w:rsidP="00D77503">
            <w:pPr>
              <w:jc w:val="both"/>
              <w:rPr>
                <w:rFonts w:asciiTheme="majorHAnsi" w:hAnsiTheme="majorHAnsi"/>
                <w:bCs/>
                <w:sz w:val="19"/>
                <w:szCs w:val="19"/>
                <w:lang w:val="es-ES"/>
              </w:rPr>
            </w:pPr>
            <w:r w:rsidRPr="004A50B7">
              <w:rPr>
                <w:rFonts w:asciiTheme="majorHAnsi" w:hAnsiTheme="majorHAnsi"/>
                <w:bCs/>
                <w:sz w:val="19"/>
                <w:szCs w:val="19"/>
                <w:lang w:val="es-ES"/>
              </w:rPr>
              <w:t>2 de octubre de 2019</w:t>
            </w:r>
          </w:p>
        </w:tc>
      </w:tr>
    </w:tbl>
    <w:p w14:paraId="21DAA666" w14:textId="5065046E" w:rsidR="003239B8" w:rsidRPr="004A50B7" w:rsidRDefault="003239B8" w:rsidP="007C402A">
      <w:pPr>
        <w:spacing w:before="120" w:after="120"/>
        <w:ind w:firstLine="720"/>
        <w:jc w:val="both"/>
        <w:rPr>
          <w:rFonts w:asciiTheme="majorHAnsi" w:hAnsiTheme="majorHAnsi"/>
          <w:b/>
          <w:bCs/>
          <w:sz w:val="20"/>
          <w:szCs w:val="20"/>
          <w:lang w:val="es-ES"/>
        </w:rPr>
      </w:pPr>
      <w:r w:rsidRPr="004A50B7">
        <w:rPr>
          <w:rFonts w:asciiTheme="majorHAnsi" w:hAnsiTheme="majorHAnsi"/>
          <w:b/>
          <w:bCs/>
          <w:sz w:val="20"/>
          <w:szCs w:val="20"/>
          <w:lang w:val="es-ES"/>
        </w:rPr>
        <w:t xml:space="preserve">III. </w:t>
      </w:r>
      <w:r w:rsidRPr="004A50B7">
        <w:rPr>
          <w:rFonts w:asciiTheme="majorHAnsi" w:hAnsiTheme="majorHAnsi"/>
          <w:b/>
          <w:bCs/>
          <w:sz w:val="20"/>
          <w:szCs w:val="20"/>
          <w:lang w:val="es-ES"/>
        </w:rPr>
        <w:tab/>
        <w:t>COMPETENCIA</w:t>
      </w:r>
      <w:r w:rsidR="00EE00E9" w:rsidRPr="004A50B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4A50B7"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A50B7" w:rsidRDefault="00D77503" w:rsidP="008D2290">
            <w:pPr>
              <w:jc w:val="center"/>
              <w:rPr>
                <w:rFonts w:asciiTheme="majorHAnsi" w:hAnsiTheme="majorHAnsi"/>
                <w:bCs/>
                <w:i/>
                <w:color w:val="FFFFFF" w:themeColor="background1"/>
                <w:sz w:val="19"/>
                <w:szCs w:val="19"/>
                <w:lang w:val="es-ES"/>
              </w:rPr>
            </w:pPr>
            <w:r w:rsidRPr="004A50B7">
              <w:rPr>
                <w:rFonts w:asciiTheme="majorHAnsi" w:hAnsiTheme="majorHAnsi"/>
                <w:bCs/>
                <w:i/>
                <w:color w:val="FFFFFF" w:themeColor="background1"/>
                <w:sz w:val="19"/>
                <w:szCs w:val="19"/>
                <w:lang w:val="es-ES"/>
              </w:rPr>
              <w:t>Ratione personae</w:t>
            </w:r>
          </w:p>
        </w:tc>
        <w:tc>
          <w:tcPr>
            <w:tcW w:w="6570" w:type="dxa"/>
            <w:vAlign w:val="center"/>
          </w:tcPr>
          <w:p w14:paraId="7707F3E9" w14:textId="14EF9E95" w:rsidR="003239B8" w:rsidRPr="004A50B7" w:rsidRDefault="00D907AF" w:rsidP="008D2290">
            <w:pPr>
              <w:rPr>
                <w:rFonts w:asciiTheme="majorHAnsi" w:hAnsiTheme="majorHAnsi"/>
                <w:bCs/>
                <w:sz w:val="19"/>
                <w:szCs w:val="19"/>
                <w:lang w:val="es-ES"/>
              </w:rPr>
            </w:pPr>
            <w:r w:rsidRPr="004A50B7">
              <w:rPr>
                <w:rFonts w:asciiTheme="majorHAnsi" w:hAnsiTheme="majorHAnsi"/>
                <w:bCs/>
                <w:sz w:val="19"/>
                <w:szCs w:val="19"/>
                <w:lang w:val="es-ES"/>
              </w:rPr>
              <w:t>Sí</w:t>
            </w:r>
          </w:p>
        </w:tc>
      </w:tr>
      <w:tr w:rsidR="003239B8" w:rsidRPr="004A50B7"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A50B7" w:rsidRDefault="003239B8" w:rsidP="00D77503">
            <w:pPr>
              <w:jc w:val="center"/>
              <w:rPr>
                <w:rFonts w:asciiTheme="majorHAnsi" w:hAnsiTheme="majorHAnsi"/>
                <w:bCs/>
                <w:color w:val="FFFFFF" w:themeColor="background1"/>
                <w:sz w:val="19"/>
                <w:szCs w:val="19"/>
                <w:lang w:val="es-ES"/>
              </w:rPr>
            </w:pPr>
            <w:r w:rsidRPr="004A50B7">
              <w:rPr>
                <w:rFonts w:asciiTheme="majorHAnsi" w:hAnsiTheme="majorHAnsi"/>
                <w:bCs/>
                <w:i/>
                <w:color w:val="FFFFFF" w:themeColor="background1"/>
                <w:sz w:val="19"/>
                <w:szCs w:val="19"/>
                <w:lang w:val="es-ES"/>
              </w:rPr>
              <w:t>Ratione loci</w:t>
            </w:r>
          </w:p>
        </w:tc>
        <w:tc>
          <w:tcPr>
            <w:tcW w:w="6570" w:type="dxa"/>
            <w:vAlign w:val="center"/>
          </w:tcPr>
          <w:p w14:paraId="12C931CB" w14:textId="66CA0149" w:rsidR="003239B8" w:rsidRPr="004A50B7" w:rsidRDefault="00D907AF" w:rsidP="008D2290">
            <w:pPr>
              <w:rPr>
                <w:rFonts w:asciiTheme="majorHAnsi" w:hAnsiTheme="majorHAnsi"/>
                <w:bCs/>
                <w:sz w:val="19"/>
                <w:szCs w:val="19"/>
                <w:lang w:val="es-ES"/>
              </w:rPr>
            </w:pPr>
            <w:r w:rsidRPr="004A50B7">
              <w:rPr>
                <w:rFonts w:asciiTheme="majorHAnsi" w:hAnsiTheme="majorHAnsi"/>
                <w:bCs/>
                <w:sz w:val="19"/>
                <w:szCs w:val="19"/>
                <w:lang w:val="es-ES"/>
              </w:rPr>
              <w:t>Sí</w:t>
            </w:r>
          </w:p>
        </w:tc>
      </w:tr>
      <w:tr w:rsidR="003239B8" w:rsidRPr="004A50B7"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A50B7" w:rsidRDefault="003239B8" w:rsidP="008D2290">
            <w:pPr>
              <w:jc w:val="center"/>
              <w:rPr>
                <w:rFonts w:asciiTheme="majorHAnsi" w:hAnsiTheme="majorHAnsi"/>
                <w:bCs/>
                <w:color w:val="FFFFFF" w:themeColor="background1"/>
                <w:sz w:val="19"/>
                <w:szCs w:val="19"/>
                <w:lang w:val="es-ES"/>
              </w:rPr>
            </w:pPr>
            <w:r w:rsidRPr="004A50B7">
              <w:rPr>
                <w:rFonts w:asciiTheme="majorHAnsi" w:hAnsiTheme="majorHAnsi"/>
                <w:bCs/>
                <w:i/>
                <w:color w:val="FFFFFF" w:themeColor="background1"/>
                <w:sz w:val="19"/>
                <w:szCs w:val="19"/>
                <w:lang w:val="es-ES"/>
              </w:rPr>
              <w:t>Ratione temporis</w:t>
            </w:r>
          </w:p>
        </w:tc>
        <w:tc>
          <w:tcPr>
            <w:tcW w:w="6570" w:type="dxa"/>
            <w:vAlign w:val="center"/>
          </w:tcPr>
          <w:p w14:paraId="6F8B059B" w14:textId="1CC063AE" w:rsidR="003239B8" w:rsidRPr="004A50B7" w:rsidRDefault="00D907AF" w:rsidP="008D2290">
            <w:pPr>
              <w:rPr>
                <w:rFonts w:asciiTheme="majorHAnsi" w:hAnsiTheme="majorHAnsi"/>
                <w:bCs/>
                <w:sz w:val="19"/>
                <w:szCs w:val="19"/>
                <w:lang w:val="es-ES"/>
              </w:rPr>
            </w:pPr>
            <w:r w:rsidRPr="004A50B7">
              <w:rPr>
                <w:rFonts w:asciiTheme="majorHAnsi" w:hAnsiTheme="majorHAnsi"/>
                <w:bCs/>
                <w:sz w:val="19"/>
                <w:szCs w:val="19"/>
                <w:lang w:val="es-ES"/>
              </w:rPr>
              <w:t>Sí</w:t>
            </w:r>
          </w:p>
        </w:tc>
      </w:tr>
      <w:tr w:rsidR="003239B8" w:rsidRPr="00A523AF"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A50B7" w:rsidRDefault="003239B8" w:rsidP="008D2290">
            <w:pPr>
              <w:jc w:val="center"/>
              <w:rPr>
                <w:rFonts w:asciiTheme="majorHAnsi" w:hAnsiTheme="majorHAnsi"/>
                <w:bCs/>
                <w:color w:val="FFFFFF" w:themeColor="background1"/>
                <w:sz w:val="19"/>
                <w:szCs w:val="19"/>
                <w:lang w:val="es-ES"/>
              </w:rPr>
            </w:pPr>
            <w:r w:rsidRPr="004A50B7">
              <w:rPr>
                <w:rFonts w:asciiTheme="majorHAnsi" w:hAnsiTheme="majorHAnsi"/>
                <w:bCs/>
                <w:i/>
                <w:color w:val="FFFFFF" w:themeColor="background1"/>
                <w:sz w:val="19"/>
                <w:szCs w:val="19"/>
                <w:lang w:val="es-ES"/>
              </w:rPr>
              <w:t>Ratione materia</w:t>
            </w:r>
            <w:r w:rsidR="00EE00E9" w:rsidRPr="004A50B7">
              <w:rPr>
                <w:rFonts w:asciiTheme="majorHAnsi" w:hAnsiTheme="majorHAnsi"/>
                <w:bCs/>
                <w:i/>
                <w:color w:val="FFFFFF" w:themeColor="background1"/>
                <w:sz w:val="19"/>
                <w:szCs w:val="19"/>
                <w:lang w:val="es-ES"/>
              </w:rPr>
              <w:t>e</w:t>
            </w:r>
          </w:p>
        </w:tc>
        <w:tc>
          <w:tcPr>
            <w:tcW w:w="6570" w:type="dxa"/>
            <w:vAlign w:val="center"/>
          </w:tcPr>
          <w:p w14:paraId="0C122F44" w14:textId="6333BEA0" w:rsidR="003239B8" w:rsidRPr="004A50B7" w:rsidRDefault="00042B1F" w:rsidP="00042B1F">
            <w:pPr>
              <w:jc w:val="both"/>
              <w:rPr>
                <w:rFonts w:asciiTheme="majorHAnsi" w:hAnsiTheme="majorHAnsi"/>
                <w:bCs/>
                <w:sz w:val="19"/>
                <w:szCs w:val="19"/>
                <w:lang w:val="es-ES"/>
              </w:rPr>
            </w:pPr>
            <w:r w:rsidRPr="004A50B7">
              <w:rPr>
                <w:rFonts w:asciiTheme="majorHAnsi" w:hAnsiTheme="majorHAnsi"/>
                <w:bCs/>
                <w:sz w:val="19"/>
                <w:szCs w:val="19"/>
                <w:lang w:val="es-ES"/>
              </w:rPr>
              <w:t>Sí, Convención Americana (depósito de instrumento realizado el 28 de julio de 1978); y</w:t>
            </w:r>
            <w:r w:rsidRPr="004A50B7">
              <w:rPr>
                <w:rFonts w:asciiTheme="majorHAnsi" w:hAnsiTheme="majorHAnsi"/>
                <w:sz w:val="19"/>
                <w:szCs w:val="19"/>
                <w:lang w:val="es-MX"/>
              </w:rPr>
              <w:t xml:space="preserve"> Convención de Belem do Pará </w:t>
            </w:r>
            <w:r w:rsidRPr="004A50B7">
              <w:rPr>
                <w:rFonts w:asciiTheme="majorHAnsi" w:hAnsiTheme="majorHAnsi"/>
                <w:bCs/>
                <w:sz w:val="19"/>
                <w:szCs w:val="19"/>
                <w:lang w:val="es-ES"/>
              </w:rPr>
              <w:t>(depósito de instrumento realizado el 4 de junio de 1996)</w:t>
            </w:r>
          </w:p>
        </w:tc>
      </w:tr>
    </w:tbl>
    <w:p w14:paraId="4E92C444" w14:textId="417719B6" w:rsidR="003239B8" w:rsidRPr="004A50B7" w:rsidRDefault="003239B8" w:rsidP="007C402A">
      <w:pPr>
        <w:spacing w:before="120" w:after="120"/>
        <w:ind w:firstLine="720"/>
        <w:jc w:val="both"/>
        <w:rPr>
          <w:rFonts w:asciiTheme="majorHAnsi" w:hAnsiTheme="majorHAnsi"/>
          <w:b/>
          <w:bCs/>
          <w:sz w:val="20"/>
          <w:szCs w:val="20"/>
          <w:lang w:val="es-ES"/>
        </w:rPr>
      </w:pPr>
      <w:r w:rsidRPr="004A50B7">
        <w:rPr>
          <w:rFonts w:asciiTheme="majorHAnsi" w:hAnsiTheme="majorHAnsi"/>
          <w:b/>
          <w:bCs/>
          <w:sz w:val="20"/>
          <w:szCs w:val="20"/>
          <w:lang w:val="es-ES"/>
        </w:rPr>
        <w:t xml:space="preserve">IV. </w:t>
      </w:r>
      <w:r w:rsidRPr="004A50B7">
        <w:rPr>
          <w:rFonts w:asciiTheme="majorHAnsi" w:hAnsiTheme="majorHAnsi"/>
          <w:b/>
          <w:bCs/>
          <w:sz w:val="20"/>
          <w:szCs w:val="20"/>
          <w:lang w:val="es-ES"/>
        </w:rPr>
        <w:tab/>
      </w:r>
      <w:r w:rsidR="00EE00E9" w:rsidRPr="004A50B7">
        <w:rPr>
          <w:rFonts w:asciiTheme="majorHAnsi" w:hAnsiTheme="majorHAnsi"/>
          <w:b/>
          <w:bCs/>
          <w:sz w:val="20"/>
          <w:szCs w:val="20"/>
          <w:lang w:val="es-ES"/>
        </w:rPr>
        <w:t>DUPLICACIÓN</w:t>
      </w:r>
      <w:r w:rsidR="00EE00E9" w:rsidRPr="004A50B7">
        <w:rPr>
          <w:rFonts w:asciiTheme="majorHAnsi" w:hAnsiTheme="majorHAnsi"/>
          <w:b/>
          <w:bCs/>
          <w:color w:val="FFFFFF" w:themeColor="background1"/>
          <w:sz w:val="20"/>
          <w:szCs w:val="20"/>
          <w:lang w:val="es-ES"/>
        </w:rPr>
        <w:t xml:space="preserve"> </w:t>
      </w:r>
      <w:r w:rsidR="00EE00E9" w:rsidRPr="004A50B7">
        <w:rPr>
          <w:rFonts w:asciiTheme="majorHAnsi" w:hAnsiTheme="majorHAnsi"/>
          <w:b/>
          <w:bCs/>
          <w:sz w:val="20"/>
          <w:szCs w:val="20"/>
          <w:lang w:val="es-ES"/>
        </w:rPr>
        <w:t>DE PROCEDIMIENTOS Y COSA JUZGADA</w:t>
      </w:r>
      <w:r w:rsidR="00EE00E9" w:rsidRPr="004A50B7">
        <w:rPr>
          <w:rFonts w:asciiTheme="majorHAnsi" w:hAnsiTheme="majorHAnsi"/>
          <w:b/>
          <w:bCs/>
          <w:i/>
          <w:sz w:val="20"/>
          <w:szCs w:val="20"/>
          <w:lang w:val="es-ES"/>
        </w:rPr>
        <w:t xml:space="preserve"> </w:t>
      </w:r>
      <w:r w:rsidR="004E5178" w:rsidRPr="004A50B7">
        <w:rPr>
          <w:rFonts w:asciiTheme="majorHAnsi" w:hAnsiTheme="majorHAnsi"/>
          <w:b/>
          <w:bCs/>
          <w:sz w:val="20"/>
          <w:szCs w:val="20"/>
          <w:lang w:val="es-ES"/>
        </w:rPr>
        <w:t>INTERNACIONAL, CARACTERIZACIÓN</w:t>
      </w:r>
      <w:r w:rsidRPr="004A50B7">
        <w:rPr>
          <w:rFonts w:asciiTheme="majorHAnsi" w:hAnsiTheme="majorHAnsi"/>
          <w:b/>
          <w:bCs/>
          <w:sz w:val="20"/>
          <w:szCs w:val="20"/>
          <w:lang w:val="es-ES"/>
        </w:rPr>
        <w:t xml:space="preserve">, </w:t>
      </w:r>
      <w:r w:rsidRPr="004A50B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4A50B7"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A50B7" w:rsidRDefault="00EE00E9" w:rsidP="00954B82">
            <w:pPr>
              <w:jc w:val="center"/>
              <w:rPr>
                <w:rFonts w:asciiTheme="majorHAnsi" w:hAnsiTheme="majorHAnsi"/>
                <w:bCs/>
                <w:color w:val="FFFFFF" w:themeColor="background1"/>
                <w:sz w:val="19"/>
                <w:szCs w:val="19"/>
                <w:lang w:val="es-ES"/>
              </w:rPr>
            </w:pPr>
            <w:r w:rsidRPr="004A50B7">
              <w:rPr>
                <w:rFonts w:asciiTheme="majorHAnsi" w:hAnsiTheme="majorHAnsi"/>
                <w:bCs/>
                <w:color w:val="FFFFFF" w:themeColor="background1"/>
                <w:sz w:val="19"/>
                <w:szCs w:val="19"/>
                <w:lang w:val="es-ES"/>
              </w:rPr>
              <w:t xml:space="preserve">Duplicación </w:t>
            </w:r>
            <w:r w:rsidR="00D77503" w:rsidRPr="004A50B7">
              <w:rPr>
                <w:rFonts w:asciiTheme="majorHAnsi" w:hAnsiTheme="majorHAnsi"/>
                <w:bCs/>
                <w:color w:val="FFFFFF" w:themeColor="background1"/>
                <w:sz w:val="19"/>
                <w:szCs w:val="19"/>
                <w:lang w:val="es-ES"/>
              </w:rPr>
              <w:t>y cosa juzgada internacional</w:t>
            </w:r>
          </w:p>
        </w:tc>
        <w:tc>
          <w:tcPr>
            <w:tcW w:w="6570" w:type="dxa"/>
            <w:vAlign w:val="center"/>
          </w:tcPr>
          <w:p w14:paraId="240941E6" w14:textId="0DB3E0CB" w:rsidR="00EE00E9" w:rsidRPr="004A50B7" w:rsidRDefault="00C36A06" w:rsidP="008D2290">
            <w:pPr>
              <w:jc w:val="both"/>
              <w:rPr>
                <w:rFonts w:asciiTheme="majorHAnsi" w:hAnsiTheme="majorHAnsi"/>
                <w:bCs/>
                <w:sz w:val="19"/>
                <w:szCs w:val="19"/>
                <w:lang w:val="es-ES"/>
              </w:rPr>
            </w:pPr>
            <w:r w:rsidRPr="004A50B7">
              <w:rPr>
                <w:rFonts w:asciiTheme="majorHAnsi" w:hAnsiTheme="majorHAnsi"/>
                <w:bCs/>
                <w:sz w:val="19"/>
                <w:szCs w:val="19"/>
                <w:lang w:val="es-ES"/>
              </w:rPr>
              <w:t>No</w:t>
            </w:r>
          </w:p>
        </w:tc>
      </w:tr>
      <w:tr w:rsidR="003239B8" w:rsidRPr="00A523AF"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2ED57D7" w:rsidR="003239B8" w:rsidRPr="004A50B7" w:rsidRDefault="003239B8" w:rsidP="004E5178">
            <w:pPr>
              <w:jc w:val="center"/>
              <w:rPr>
                <w:rFonts w:asciiTheme="majorHAnsi" w:hAnsiTheme="majorHAnsi"/>
                <w:bCs/>
                <w:i/>
                <w:color w:val="FFFFFF" w:themeColor="background1"/>
                <w:sz w:val="19"/>
                <w:szCs w:val="19"/>
                <w:lang w:val="es-ES"/>
              </w:rPr>
            </w:pPr>
            <w:r w:rsidRPr="004A50B7">
              <w:rPr>
                <w:rFonts w:asciiTheme="majorHAnsi" w:hAnsiTheme="majorHAnsi"/>
                <w:bCs/>
                <w:color w:val="FFFFFF" w:themeColor="background1"/>
                <w:sz w:val="19"/>
                <w:szCs w:val="19"/>
                <w:lang w:val="es-ES"/>
              </w:rPr>
              <w:t xml:space="preserve">Derechos </w:t>
            </w:r>
            <w:r w:rsidR="004E5178" w:rsidRPr="004A50B7">
              <w:rPr>
                <w:rFonts w:asciiTheme="majorHAnsi" w:hAnsiTheme="majorHAnsi"/>
                <w:bCs/>
                <w:color w:val="FFFFFF" w:themeColor="background1"/>
                <w:sz w:val="19"/>
                <w:szCs w:val="19"/>
                <w:lang w:val="es-ES"/>
              </w:rPr>
              <w:t>declarados admisibles</w:t>
            </w:r>
          </w:p>
        </w:tc>
        <w:tc>
          <w:tcPr>
            <w:tcW w:w="6570" w:type="dxa"/>
            <w:vAlign w:val="center"/>
          </w:tcPr>
          <w:p w14:paraId="6310C8F7" w14:textId="2C105DD4" w:rsidR="003239B8" w:rsidRPr="004A50B7" w:rsidRDefault="00A1168F" w:rsidP="004D6B61">
            <w:pPr>
              <w:jc w:val="both"/>
              <w:rPr>
                <w:rFonts w:asciiTheme="majorHAnsi" w:hAnsiTheme="majorHAnsi"/>
                <w:bCs/>
                <w:sz w:val="19"/>
                <w:szCs w:val="19"/>
                <w:lang w:val="es-ES"/>
              </w:rPr>
            </w:pPr>
            <w:r w:rsidRPr="004A50B7">
              <w:rPr>
                <w:rFonts w:asciiTheme="majorHAnsi" w:hAnsiTheme="majorHAnsi"/>
                <w:bCs/>
                <w:sz w:val="19"/>
                <w:szCs w:val="19"/>
                <w:lang w:val="es-ES"/>
              </w:rPr>
              <w:t xml:space="preserve">Artículos 5 (integridad personal), </w:t>
            </w:r>
            <w:r w:rsidR="002017AE" w:rsidRPr="004A50B7">
              <w:rPr>
                <w:rFonts w:asciiTheme="majorHAnsi" w:hAnsiTheme="majorHAnsi"/>
                <w:bCs/>
                <w:sz w:val="19"/>
                <w:szCs w:val="19"/>
                <w:lang w:val="es-ES"/>
              </w:rPr>
              <w:t xml:space="preserve">7 (libertad personal), </w:t>
            </w:r>
            <w:r w:rsidRPr="004A50B7">
              <w:rPr>
                <w:rFonts w:asciiTheme="majorHAnsi" w:hAnsiTheme="majorHAnsi"/>
                <w:bCs/>
                <w:sz w:val="19"/>
                <w:szCs w:val="19"/>
                <w:lang w:val="es-ES"/>
              </w:rPr>
              <w:t xml:space="preserve">8 (garantías judiciales), 11 (honra y dignidad), </w:t>
            </w:r>
            <w:r w:rsidR="00591457" w:rsidRPr="004A50B7">
              <w:rPr>
                <w:rFonts w:asciiTheme="majorHAnsi" w:hAnsiTheme="majorHAnsi"/>
                <w:bCs/>
                <w:sz w:val="19"/>
                <w:szCs w:val="19"/>
                <w:lang w:val="es-ES"/>
              </w:rPr>
              <w:t xml:space="preserve">24 (igualdad ante la ley), </w:t>
            </w:r>
            <w:r w:rsidRPr="004A50B7">
              <w:rPr>
                <w:rFonts w:asciiTheme="majorHAnsi" w:hAnsiTheme="majorHAnsi"/>
                <w:bCs/>
                <w:sz w:val="19"/>
                <w:szCs w:val="19"/>
                <w:lang w:val="es-ES"/>
              </w:rPr>
              <w:t xml:space="preserve">25 (protección judicial) y 26 (derechos económicos, sociales y culturales) de la Convención Americana, en concordancia con </w:t>
            </w:r>
            <w:r w:rsidR="004D6B61" w:rsidRPr="004A50B7">
              <w:rPr>
                <w:rFonts w:asciiTheme="majorHAnsi" w:hAnsiTheme="majorHAnsi"/>
                <w:bCs/>
                <w:sz w:val="19"/>
                <w:szCs w:val="19"/>
                <w:lang w:val="es-ES"/>
              </w:rPr>
              <w:t>sus</w:t>
            </w:r>
            <w:r w:rsidRPr="004A50B7">
              <w:rPr>
                <w:rFonts w:asciiTheme="majorHAnsi" w:hAnsiTheme="majorHAnsi"/>
                <w:bCs/>
                <w:sz w:val="19"/>
                <w:szCs w:val="19"/>
                <w:lang w:val="es-ES"/>
              </w:rPr>
              <w:t xml:space="preserve"> artículos 1.1 (obligación de respetar los derechos) y 2 (deber de adoptar disposiciones de derecho interno); </w:t>
            </w:r>
            <w:r w:rsidR="004D6B61" w:rsidRPr="004A50B7">
              <w:rPr>
                <w:rFonts w:asciiTheme="majorHAnsi" w:hAnsiTheme="majorHAnsi"/>
                <w:bCs/>
                <w:sz w:val="19"/>
                <w:szCs w:val="19"/>
                <w:lang w:val="es-ES"/>
              </w:rPr>
              <w:t>y</w:t>
            </w:r>
            <w:r w:rsidRPr="004A50B7">
              <w:rPr>
                <w:rFonts w:asciiTheme="majorHAnsi" w:hAnsiTheme="majorHAnsi"/>
                <w:bCs/>
                <w:sz w:val="19"/>
                <w:szCs w:val="19"/>
                <w:lang w:val="es-ES"/>
              </w:rPr>
              <w:t xml:space="preserve"> el artículo 7 de la Convención de Belém do Pará</w:t>
            </w:r>
          </w:p>
        </w:tc>
      </w:tr>
      <w:tr w:rsidR="003239B8" w:rsidRPr="00A523AF"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4A50B7" w:rsidRDefault="003239B8" w:rsidP="00D77503">
            <w:pPr>
              <w:jc w:val="center"/>
              <w:rPr>
                <w:rFonts w:asciiTheme="majorHAnsi" w:hAnsiTheme="majorHAnsi"/>
                <w:bCs/>
                <w:color w:val="FFFFFF" w:themeColor="background1"/>
                <w:sz w:val="19"/>
                <w:szCs w:val="19"/>
                <w:lang w:val="es-ES"/>
              </w:rPr>
            </w:pPr>
            <w:r w:rsidRPr="004A50B7">
              <w:rPr>
                <w:rFonts w:asciiTheme="majorHAnsi" w:hAnsiTheme="majorHAnsi"/>
                <w:bCs/>
                <w:color w:val="FFFFFF" w:themeColor="background1"/>
                <w:sz w:val="19"/>
                <w:szCs w:val="19"/>
                <w:lang w:val="es-ES"/>
              </w:rPr>
              <w:t xml:space="preserve">Agotamiento de recursos </w:t>
            </w:r>
            <w:r w:rsidR="00D77503" w:rsidRPr="004A50B7">
              <w:rPr>
                <w:rFonts w:asciiTheme="majorHAnsi" w:hAnsiTheme="majorHAnsi"/>
                <w:bCs/>
                <w:color w:val="FFFFFF" w:themeColor="background1"/>
                <w:sz w:val="19"/>
                <w:szCs w:val="19"/>
                <w:lang w:val="es-ES"/>
              </w:rPr>
              <w:t>o procedencia de una excepción</w:t>
            </w:r>
          </w:p>
        </w:tc>
        <w:tc>
          <w:tcPr>
            <w:tcW w:w="6570" w:type="dxa"/>
            <w:vAlign w:val="center"/>
          </w:tcPr>
          <w:p w14:paraId="69C53E8A" w14:textId="3942E5A6" w:rsidR="003239B8" w:rsidRPr="004A50B7" w:rsidRDefault="008C183B" w:rsidP="00BB3FBD">
            <w:pPr>
              <w:rPr>
                <w:rFonts w:asciiTheme="majorHAnsi" w:hAnsiTheme="majorHAnsi"/>
                <w:bCs/>
                <w:sz w:val="19"/>
                <w:szCs w:val="19"/>
                <w:lang w:val="es-ES"/>
              </w:rPr>
            </w:pPr>
            <w:r w:rsidRPr="004A50B7">
              <w:rPr>
                <w:rFonts w:asciiTheme="majorHAnsi" w:hAnsiTheme="majorHAnsi"/>
                <w:bCs/>
                <w:sz w:val="19"/>
                <w:szCs w:val="19"/>
                <w:lang w:val="es-ES"/>
              </w:rPr>
              <w:t xml:space="preserve">Se aplica </w:t>
            </w:r>
            <w:r w:rsidR="00423C17" w:rsidRPr="004A50B7">
              <w:rPr>
                <w:rFonts w:asciiTheme="majorHAnsi" w:hAnsiTheme="majorHAnsi"/>
                <w:bCs/>
                <w:sz w:val="19"/>
                <w:szCs w:val="19"/>
                <w:lang w:val="es-ES"/>
              </w:rPr>
              <w:t xml:space="preserve">las </w:t>
            </w:r>
            <w:r w:rsidRPr="004A50B7">
              <w:rPr>
                <w:rFonts w:asciiTheme="majorHAnsi" w:hAnsiTheme="majorHAnsi"/>
                <w:bCs/>
                <w:sz w:val="19"/>
                <w:szCs w:val="19"/>
                <w:lang w:val="es-ES"/>
              </w:rPr>
              <w:t xml:space="preserve">excepciones </w:t>
            </w:r>
            <w:r w:rsidR="00423C17" w:rsidRPr="004A50B7">
              <w:rPr>
                <w:rFonts w:asciiTheme="majorHAnsi" w:hAnsiTheme="majorHAnsi"/>
                <w:bCs/>
                <w:sz w:val="19"/>
                <w:szCs w:val="19"/>
                <w:lang w:val="es-ES"/>
              </w:rPr>
              <w:t xml:space="preserve">de los </w:t>
            </w:r>
            <w:r w:rsidRPr="004A50B7">
              <w:rPr>
                <w:rFonts w:asciiTheme="majorHAnsi" w:hAnsiTheme="majorHAnsi"/>
                <w:bCs/>
                <w:sz w:val="19"/>
                <w:szCs w:val="19"/>
                <w:lang w:val="es-ES"/>
              </w:rPr>
              <w:t>artículos 46.2.a y 46.2.c, en términos de la sección VI</w:t>
            </w:r>
          </w:p>
        </w:tc>
      </w:tr>
      <w:tr w:rsidR="003239B8" w:rsidRPr="00A523AF"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A50B7" w:rsidRDefault="00D77503" w:rsidP="008D2290">
            <w:pPr>
              <w:jc w:val="center"/>
              <w:rPr>
                <w:rFonts w:asciiTheme="majorHAnsi" w:hAnsiTheme="majorHAnsi"/>
                <w:bCs/>
                <w:color w:val="FFFFFF" w:themeColor="background1"/>
                <w:sz w:val="19"/>
                <w:szCs w:val="19"/>
                <w:lang w:val="es-ES"/>
              </w:rPr>
            </w:pPr>
            <w:r w:rsidRPr="004A50B7">
              <w:rPr>
                <w:rFonts w:asciiTheme="majorHAnsi" w:hAnsiTheme="majorHAnsi"/>
                <w:bCs/>
                <w:color w:val="FFFFFF" w:themeColor="background1"/>
                <w:sz w:val="19"/>
                <w:szCs w:val="19"/>
                <w:lang w:val="es-ES"/>
              </w:rPr>
              <w:t>Presentación dentro de plazo</w:t>
            </w:r>
          </w:p>
        </w:tc>
        <w:tc>
          <w:tcPr>
            <w:tcW w:w="6570" w:type="dxa"/>
            <w:vAlign w:val="center"/>
          </w:tcPr>
          <w:p w14:paraId="4A2A4569" w14:textId="416DD717" w:rsidR="003239B8" w:rsidRPr="004A50B7" w:rsidRDefault="008C183B" w:rsidP="008D2290">
            <w:pPr>
              <w:rPr>
                <w:rFonts w:asciiTheme="majorHAnsi" w:hAnsiTheme="majorHAnsi"/>
                <w:bCs/>
                <w:sz w:val="19"/>
                <w:szCs w:val="19"/>
                <w:lang w:val="es-ES"/>
              </w:rPr>
            </w:pPr>
            <w:r w:rsidRPr="004A50B7">
              <w:rPr>
                <w:rFonts w:asciiTheme="majorHAnsi" w:hAnsiTheme="majorHAnsi"/>
                <w:bCs/>
                <w:sz w:val="19"/>
                <w:szCs w:val="19"/>
                <w:lang w:val="es-ES"/>
              </w:rPr>
              <w:t>Sí, en términos de la sección VI</w:t>
            </w:r>
          </w:p>
        </w:tc>
      </w:tr>
    </w:tbl>
    <w:p w14:paraId="705C7624" w14:textId="77777777" w:rsidR="00FF7106" w:rsidRPr="004A50B7" w:rsidRDefault="00FF7106" w:rsidP="00647756">
      <w:pPr>
        <w:spacing w:before="120" w:after="120"/>
        <w:ind w:firstLine="720"/>
        <w:jc w:val="both"/>
        <w:rPr>
          <w:rFonts w:asciiTheme="majorHAnsi" w:hAnsiTheme="majorHAnsi"/>
          <w:b/>
          <w:sz w:val="20"/>
          <w:szCs w:val="20"/>
          <w:lang w:val="es-ES"/>
        </w:rPr>
      </w:pPr>
    </w:p>
    <w:p w14:paraId="18E6423B" w14:textId="5A224922" w:rsidR="003239B8" w:rsidRPr="004A50B7" w:rsidRDefault="00223A29" w:rsidP="00647756">
      <w:pPr>
        <w:spacing w:before="120" w:after="120"/>
        <w:ind w:firstLine="720"/>
        <w:jc w:val="both"/>
        <w:rPr>
          <w:rFonts w:asciiTheme="majorHAnsi" w:hAnsiTheme="majorHAnsi"/>
          <w:b/>
          <w:sz w:val="20"/>
          <w:szCs w:val="20"/>
          <w:lang w:val="es-ES"/>
        </w:rPr>
      </w:pPr>
      <w:r w:rsidRPr="004A50B7">
        <w:rPr>
          <w:rFonts w:asciiTheme="majorHAnsi" w:hAnsiTheme="majorHAnsi"/>
          <w:b/>
          <w:sz w:val="20"/>
          <w:szCs w:val="20"/>
          <w:lang w:val="es-ES"/>
        </w:rPr>
        <w:lastRenderedPageBreak/>
        <w:t xml:space="preserve">V. </w:t>
      </w:r>
      <w:r w:rsidRPr="004A50B7">
        <w:rPr>
          <w:rFonts w:asciiTheme="majorHAnsi" w:hAnsiTheme="majorHAnsi"/>
          <w:b/>
          <w:sz w:val="20"/>
          <w:szCs w:val="20"/>
          <w:lang w:val="es-ES"/>
        </w:rPr>
        <w:tab/>
      </w:r>
      <w:r w:rsidR="0034224A" w:rsidRPr="004A50B7">
        <w:rPr>
          <w:rFonts w:asciiTheme="majorHAnsi" w:hAnsiTheme="majorHAnsi"/>
          <w:b/>
          <w:sz w:val="20"/>
          <w:szCs w:val="20"/>
          <w:lang w:val="es-ES"/>
        </w:rPr>
        <w:t>RESUMEN DE LOS HECHOS ALEGADOS</w:t>
      </w:r>
    </w:p>
    <w:p w14:paraId="0BD1FC5D" w14:textId="08C1DD4C" w:rsidR="005D57B7" w:rsidRPr="004A50B7" w:rsidRDefault="000E15AD" w:rsidP="00006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 xml:space="preserve">La parte peticionaria </w:t>
      </w:r>
      <w:r w:rsidR="00006CC8" w:rsidRPr="004A50B7">
        <w:rPr>
          <w:rFonts w:asciiTheme="majorHAnsi" w:hAnsiTheme="majorHAnsi"/>
          <w:sz w:val="20"/>
          <w:szCs w:val="20"/>
          <w:lang w:val="es-ES"/>
        </w:rPr>
        <w:t>alega que la presunta víctima fue sexualmente abusada en dos ocasiones</w:t>
      </w:r>
      <w:r w:rsidR="002F77AE" w:rsidRPr="004A50B7">
        <w:rPr>
          <w:rFonts w:asciiTheme="majorHAnsi" w:hAnsiTheme="majorHAnsi"/>
          <w:sz w:val="20"/>
          <w:szCs w:val="20"/>
          <w:lang w:val="es-ES"/>
        </w:rPr>
        <w:t xml:space="preserve"> y d</w:t>
      </w:r>
      <w:r w:rsidRPr="004A50B7">
        <w:rPr>
          <w:rFonts w:asciiTheme="majorHAnsi" w:hAnsiTheme="majorHAnsi"/>
          <w:sz w:val="20"/>
          <w:szCs w:val="20"/>
          <w:lang w:val="es-ES"/>
        </w:rPr>
        <w:t>enuncia la responsabilidad del Estado por falta de investigación diligente</w:t>
      </w:r>
      <w:r w:rsidR="00006CC8" w:rsidRPr="004A50B7">
        <w:rPr>
          <w:rFonts w:asciiTheme="majorHAnsi" w:hAnsiTheme="majorHAnsi"/>
          <w:sz w:val="20"/>
          <w:szCs w:val="20"/>
          <w:lang w:val="es-ES"/>
        </w:rPr>
        <w:t>, dejando los hechos en la impunidad respecto a tres de los responsables.</w:t>
      </w:r>
      <w:r w:rsidRPr="004A50B7">
        <w:rPr>
          <w:rFonts w:asciiTheme="majorHAnsi" w:hAnsiTheme="majorHAnsi"/>
          <w:sz w:val="20"/>
          <w:szCs w:val="20"/>
          <w:lang w:val="es-ES"/>
        </w:rPr>
        <w:t xml:space="preserve"> Asimismo, </w:t>
      </w:r>
      <w:r w:rsidR="001C006C" w:rsidRPr="004A50B7">
        <w:rPr>
          <w:rFonts w:asciiTheme="majorHAnsi" w:hAnsiTheme="majorHAnsi"/>
          <w:sz w:val="20"/>
          <w:szCs w:val="20"/>
          <w:lang w:val="es-ES"/>
        </w:rPr>
        <w:t>d</w:t>
      </w:r>
      <w:r w:rsidR="00064AE6" w:rsidRPr="004A50B7">
        <w:rPr>
          <w:rFonts w:asciiTheme="majorHAnsi" w:hAnsiTheme="majorHAnsi"/>
          <w:sz w:val="20"/>
          <w:szCs w:val="20"/>
          <w:lang w:val="es-ES"/>
        </w:rPr>
        <w:t>enuncia la denegación del libre acceso a la anticoncepción oral de emergencia</w:t>
      </w:r>
      <w:r w:rsidR="001C006C" w:rsidRPr="004A50B7">
        <w:rPr>
          <w:rFonts w:asciiTheme="majorHAnsi" w:hAnsiTheme="majorHAnsi"/>
          <w:sz w:val="20"/>
          <w:szCs w:val="20"/>
          <w:lang w:val="es-ES"/>
        </w:rPr>
        <w:t xml:space="preserve"> (AOE)</w:t>
      </w:r>
      <w:r w:rsidR="00006CC8" w:rsidRPr="004A50B7">
        <w:rPr>
          <w:rFonts w:asciiTheme="majorHAnsi" w:hAnsiTheme="majorHAnsi"/>
          <w:sz w:val="20"/>
          <w:szCs w:val="20"/>
          <w:lang w:val="es-ES"/>
        </w:rPr>
        <w:t xml:space="preserve"> mientras se encontraba en el hospital</w:t>
      </w:r>
      <w:r w:rsidR="002017AE" w:rsidRPr="004A50B7">
        <w:rPr>
          <w:rFonts w:asciiTheme="majorHAnsi" w:hAnsiTheme="majorHAnsi"/>
          <w:sz w:val="20"/>
          <w:szCs w:val="20"/>
          <w:lang w:val="es-ES"/>
        </w:rPr>
        <w:t xml:space="preserve"> y el derecho a controlar autónomamente y en libertad su capacidad reproductiva</w:t>
      </w:r>
      <w:r w:rsidR="002017AE" w:rsidRPr="004A50B7">
        <w:rPr>
          <w:rStyle w:val="FootnoteReference"/>
          <w:rFonts w:asciiTheme="majorHAnsi" w:hAnsiTheme="majorHAnsi"/>
          <w:sz w:val="20"/>
          <w:szCs w:val="20"/>
          <w:lang w:val="es-ES"/>
        </w:rPr>
        <w:footnoteReference w:id="8"/>
      </w:r>
      <w:r w:rsidR="00006CC8" w:rsidRPr="004A50B7">
        <w:rPr>
          <w:rFonts w:asciiTheme="majorHAnsi" w:hAnsiTheme="majorHAnsi"/>
          <w:sz w:val="20"/>
          <w:szCs w:val="20"/>
          <w:lang w:val="es-ES"/>
        </w:rPr>
        <w:t xml:space="preserve">. Aduce que como parte de las </w:t>
      </w:r>
      <w:r w:rsidR="00A01924" w:rsidRPr="004A50B7">
        <w:rPr>
          <w:rFonts w:asciiTheme="majorHAnsi" w:hAnsiTheme="majorHAnsi"/>
          <w:sz w:val="20"/>
          <w:szCs w:val="20"/>
          <w:lang w:val="es-ES"/>
        </w:rPr>
        <w:t xml:space="preserve">garantías debidas </w:t>
      </w:r>
      <w:r w:rsidR="00006CC8" w:rsidRPr="004A50B7">
        <w:rPr>
          <w:rFonts w:asciiTheme="majorHAnsi" w:hAnsiTheme="majorHAnsi"/>
          <w:sz w:val="20"/>
          <w:szCs w:val="20"/>
          <w:lang w:val="es-ES"/>
        </w:rPr>
        <w:t>sin discriminación, y como parte de los servicios de salud brindados a víctimas de violencia sexual, tal denegación constituyó una violación de</w:t>
      </w:r>
      <w:r w:rsidR="00FC07DF" w:rsidRPr="004A50B7">
        <w:rPr>
          <w:rFonts w:asciiTheme="majorHAnsi" w:hAnsiTheme="majorHAnsi"/>
          <w:sz w:val="20"/>
          <w:szCs w:val="20"/>
          <w:lang w:val="es-ES"/>
        </w:rPr>
        <w:t xml:space="preserve"> sus derechos.</w:t>
      </w:r>
    </w:p>
    <w:p w14:paraId="2F173C49" w14:textId="19C24D49" w:rsidR="00E73A56" w:rsidRPr="004A50B7" w:rsidRDefault="00A01924" w:rsidP="00E73A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La</w:t>
      </w:r>
      <w:r w:rsidR="009A6D4B" w:rsidRPr="004A50B7">
        <w:rPr>
          <w:rFonts w:asciiTheme="majorHAnsi" w:hAnsiTheme="majorHAnsi"/>
          <w:sz w:val="20"/>
          <w:szCs w:val="20"/>
          <w:lang w:val="es-ES"/>
        </w:rPr>
        <w:t xml:space="preserve"> </w:t>
      </w:r>
      <w:r w:rsidRPr="004A50B7">
        <w:rPr>
          <w:rFonts w:asciiTheme="majorHAnsi" w:hAnsiTheme="majorHAnsi"/>
          <w:sz w:val="20"/>
          <w:szCs w:val="20"/>
          <w:lang w:val="es-ES"/>
        </w:rPr>
        <w:t xml:space="preserve">parte </w:t>
      </w:r>
      <w:r w:rsidR="009A6D4B" w:rsidRPr="004A50B7">
        <w:rPr>
          <w:rFonts w:asciiTheme="majorHAnsi" w:hAnsiTheme="majorHAnsi"/>
          <w:sz w:val="20"/>
          <w:szCs w:val="20"/>
          <w:lang w:val="es-ES"/>
        </w:rPr>
        <w:t>peticionari</w:t>
      </w:r>
      <w:r w:rsidRPr="004A50B7">
        <w:rPr>
          <w:rFonts w:asciiTheme="majorHAnsi" w:hAnsiTheme="majorHAnsi"/>
          <w:sz w:val="20"/>
          <w:szCs w:val="20"/>
          <w:lang w:val="es-ES"/>
        </w:rPr>
        <w:t>a</w:t>
      </w:r>
      <w:r w:rsidR="009A6D4B" w:rsidRPr="004A50B7">
        <w:rPr>
          <w:rFonts w:asciiTheme="majorHAnsi" w:hAnsiTheme="majorHAnsi"/>
          <w:sz w:val="20"/>
          <w:szCs w:val="20"/>
          <w:lang w:val="es-ES"/>
        </w:rPr>
        <w:t xml:space="preserve"> indica que </w:t>
      </w:r>
      <w:r w:rsidR="00D36DD2" w:rsidRPr="004A50B7">
        <w:rPr>
          <w:rFonts w:asciiTheme="majorHAnsi" w:hAnsiTheme="majorHAnsi"/>
          <w:sz w:val="20"/>
          <w:szCs w:val="20"/>
          <w:lang w:val="es-ES"/>
        </w:rPr>
        <w:t>mediante resolución ministerial, el 13 de julio de 2001</w:t>
      </w:r>
      <w:r w:rsidR="009A6D4B" w:rsidRPr="004A50B7">
        <w:rPr>
          <w:rFonts w:asciiTheme="majorHAnsi" w:hAnsiTheme="majorHAnsi"/>
          <w:sz w:val="20"/>
          <w:szCs w:val="20"/>
          <w:lang w:val="es-ES"/>
        </w:rPr>
        <w:t xml:space="preserve"> se ampliaron las normas de planificación familiar</w:t>
      </w:r>
      <w:r w:rsidR="0031042E" w:rsidRPr="004A50B7">
        <w:rPr>
          <w:rFonts w:asciiTheme="majorHAnsi" w:hAnsiTheme="majorHAnsi"/>
          <w:sz w:val="20"/>
          <w:szCs w:val="20"/>
          <w:lang w:val="es-ES"/>
        </w:rPr>
        <w:t xml:space="preserve"> y se incorporó a</w:t>
      </w:r>
      <w:r w:rsidR="009A6D4B" w:rsidRPr="004A50B7">
        <w:rPr>
          <w:rFonts w:asciiTheme="majorHAnsi" w:hAnsiTheme="majorHAnsi"/>
          <w:sz w:val="20"/>
          <w:szCs w:val="20"/>
          <w:lang w:val="es-ES"/>
        </w:rPr>
        <w:t xml:space="preserve"> la AOE como método anticonceptivo</w:t>
      </w:r>
      <w:r w:rsidR="003E0776" w:rsidRPr="004A50B7">
        <w:rPr>
          <w:rStyle w:val="FootnoteReference"/>
          <w:rFonts w:asciiTheme="majorHAnsi" w:hAnsiTheme="majorHAnsi"/>
          <w:sz w:val="20"/>
          <w:szCs w:val="20"/>
          <w:lang w:val="es-ES"/>
        </w:rPr>
        <w:footnoteReference w:id="9"/>
      </w:r>
      <w:r w:rsidR="009A6D4B" w:rsidRPr="004A50B7">
        <w:rPr>
          <w:rFonts w:asciiTheme="majorHAnsi" w:hAnsiTheme="majorHAnsi"/>
          <w:sz w:val="20"/>
          <w:szCs w:val="20"/>
          <w:lang w:val="es-ES"/>
        </w:rPr>
        <w:t>. El 21 de junio del 2004, el Ministerio de Salud aprobó las Guías Nacionales de Atención Integral a la Salud Sexual y Reproductiva, incluyendo al Protocolo sobre violencia contra la mujer</w:t>
      </w:r>
      <w:r w:rsidR="003E0776" w:rsidRPr="004A50B7">
        <w:rPr>
          <w:rFonts w:asciiTheme="majorHAnsi" w:hAnsiTheme="majorHAnsi"/>
          <w:sz w:val="20"/>
          <w:szCs w:val="20"/>
          <w:lang w:val="es-ES"/>
        </w:rPr>
        <w:t>,</w:t>
      </w:r>
      <w:r w:rsidR="009A6D4B" w:rsidRPr="004A50B7">
        <w:rPr>
          <w:rFonts w:asciiTheme="majorHAnsi" w:hAnsiTheme="majorHAnsi"/>
          <w:sz w:val="20"/>
          <w:szCs w:val="20"/>
          <w:lang w:val="es-ES"/>
        </w:rPr>
        <w:t xml:space="preserve"> en el cual se señala que en casos de consulta por violación sexual, se ofrezca y administre AOE. Finalmente, el 18 de julio de 2005, el Ministerio de Salud aprobó la “Norma Técnica de Planificación Familiar” que reconoce </w:t>
      </w:r>
      <w:r w:rsidR="00D36DD2" w:rsidRPr="004A50B7">
        <w:rPr>
          <w:rFonts w:asciiTheme="majorHAnsi" w:hAnsiTheme="majorHAnsi"/>
          <w:sz w:val="20"/>
          <w:szCs w:val="20"/>
          <w:lang w:val="es-ES"/>
        </w:rPr>
        <w:t xml:space="preserve">la AOE </w:t>
      </w:r>
      <w:r w:rsidR="009A6D4B" w:rsidRPr="004A50B7">
        <w:rPr>
          <w:rFonts w:asciiTheme="majorHAnsi" w:hAnsiTheme="majorHAnsi"/>
          <w:sz w:val="20"/>
          <w:szCs w:val="20"/>
          <w:lang w:val="es-ES"/>
        </w:rPr>
        <w:t>como uno de los métodos anticonceptivos. Sin embargo, en sentencia del 16 de octubre de 2009, el Tribunal Constitucional ordenó al Ministerio de Salud que se abstenga de desarrollar como política pública la distribución gratuita a nivel nacional de la denominada “Píldora del Día Siguiente”, Levornorgestrel</w:t>
      </w:r>
      <w:r w:rsidR="007A5A98" w:rsidRPr="004A50B7">
        <w:rPr>
          <w:rStyle w:val="FootnoteReference"/>
          <w:rFonts w:asciiTheme="majorHAnsi" w:hAnsiTheme="majorHAnsi"/>
          <w:sz w:val="20"/>
          <w:szCs w:val="20"/>
          <w:lang w:val="es-ES"/>
        </w:rPr>
        <w:footnoteReference w:id="10"/>
      </w:r>
      <w:r w:rsidR="007A5A98" w:rsidRPr="004A50B7">
        <w:rPr>
          <w:rFonts w:asciiTheme="majorHAnsi" w:hAnsiTheme="majorHAnsi"/>
          <w:sz w:val="20"/>
          <w:szCs w:val="20"/>
          <w:lang w:val="es-ES"/>
        </w:rPr>
        <w:t>.</w:t>
      </w:r>
      <w:r w:rsidR="00056845" w:rsidRPr="004A50B7">
        <w:rPr>
          <w:rFonts w:asciiTheme="majorHAnsi" w:hAnsiTheme="majorHAnsi"/>
          <w:sz w:val="20"/>
          <w:szCs w:val="20"/>
          <w:lang w:val="es-ES"/>
        </w:rPr>
        <w:t xml:space="preserve"> L</w:t>
      </w:r>
      <w:r w:rsidR="00EC75DB" w:rsidRPr="004A50B7">
        <w:rPr>
          <w:rFonts w:asciiTheme="majorHAnsi" w:hAnsiTheme="majorHAnsi"/>
          <w:sz w:val="20"/>
          <w:szCs w:val="20"/>
          <w:lang w:val="es-ES"/>
        </w:rPr>
        <w:t xml:space="preserve">a parte </w:t>
      </w:r>
      <w:r w:rsidR="00056845" w:rsidRPr="004A50B7">
        <w:rPr>
          <w:rFonts w:asciiTheme="majorHAnsi" w:hAnsiTheme="majorHAnsi"/>
          <w:sz w:val="20"/>
          <w:szCs w:val="20"/>
          <w:lang w:val="es-ES"/>
        </w:rPr>
        <w:t>peticionari</w:t>
      </w:r>
      <w:r w:rsidR="00EC75DB" w:rsidRPr="004A50B7">
        <w:rPr>
          <w:rFonts w:asciiTheme="majorHAnsi" w:hAnsiTheme="majorHAnsi"/>
          <w:sz w:val="20"/>
          <w:szCs w:val="20"/>
          <w:lang w:val="es-ES"/>
        </w:rPr>
        <w:t>a</w:t>
      </w:r>
      <w:r w:rsidR="00056845" w:rsidRPr="004A50B7">
        <w:rPr>
          <w:rFonts w:asciiTheme="majorHAnsi" w:hAnsiTheme="majorHAnsi"/>
          <w:sz w:val="20"/>
          <w:szCs w:val="20"/>
          <w:lang w:val="es-ES"/>
        </w:rPr>
        <w:t xml:space="preserve"> </w:t>
      </w:r>
      <w:r w:rsidR="00535E33" w:rsidRPr="004A50B7">
        <w:rPr>
          <w:rFonts w:asciiTheme="majorHAnsi" w:hAnsiTheme="majorHAnsi"/>
          <w:sz w:val="20"/>
          <w:szCs w:val="20"/>
          <w:lang w:val="es-ES"/>
        </w:rPr>
        <w:t>informa</w:t>
      </w:r>
      <w:r w:rsidR="00E73A56" w:rsidRPr="004A50B7">
        <w:rPr>
          <w:rFonts w:asciiTheme="majorHAnsi" w:hAnsiTheme="majorHAnsi"/>
          <w:sz w:val="20"/>
          <w:szCs w:val="20"/>
          <w:lang w:val="es-ES"/>
        </w:rPr>
        <w:t xml:space="preserve"> que </w:t>
      </w:r>
      <w:r w:rsidR="007A5A98" w:rsidRPr="004A50B7">
        <w:rPr>
          <w:rFonts w:asciiTheme="majorHAnsi" w:hAnsiTheme="majorHAnsi"/>
          <w:sz w:val="20"/>
          <w:szCs w:val="20"/>
          <w:lang w:val="es-ES"/>
        </w:rPr>
        <w:t>en consecuencia de</w:t>
      </w:r>
      <w:r w:rsidR="00E73A56" w:rsidRPr="004A50B7">
        <w:rPr>
          <w:rFonts w:asciiTheme="majorHAnsi" w:hAnsiTheme="majorHAnsi"/>
          <w:sz w:val="20"/>
          <w:szCs w:val="20"/>
          <w:lang w:val="es-ES"/>
        </w:rPr>
        <w:t xml:space="preserve"> dicha decisión, el Estado </w:t>
      </w:r>
      <w:r w:rsidR="001367F4" w:rsidRPr="004A50B7">
        <w:rPr>
          <w:rFonts w:asciiTheme="majorHAnsi" w:hAnsiTheme="majorHAnsi"/>
          <w:sz w:val="20"/>
          <w:szCs w:val="20"/>
          <w:lang w:val="es-ES"/>
        </w:rPr>
        <w:t>no</w:t>
      </w:r>
      <w:r w:rsidR="00E73A56" w:rsidRPr="004A50B7">
        <w:rPr>
          <w:rFonts w:asciiTheme="majorHAnsi" w:hAnsiTheme="majorHAnsi"/>
          <w:sz w:val="20"/>
          <w:szCs w:val="20"/>
          <w:lang w:val="es-ES"/>
        </w:rPr>
        <w:t xml:space="preserve"> provee gratuitamente la AOE ni la vende en las </w:t>
      </w:r>
      <w:r w:rsidR="00A40A41" w:rsidRPr="004A50B7">
        <w:rPr>
          <w:rFonts w:asciiTheme="majorHAnsi" w:hAnsiTheme="majorHAnsi"/>
          <w:sz w:val="20"/>
          <w:szCs w:val="20"/>
          <w:lang w:val="es-ES"/>
        </w:rPr>
        <w:t>farmacias</w:t>
      </w:r>
      <w:r w:rsidR="001367F4" w:rsidRPr="004A50B7">
        <w:rPr>
          <w:rFonts w:asciiTheme="majorHAnsi" w:hAnsiTheme="majorHAnsi"/>
          <w:sz w:val="20"/>
          <w:szCs w:val="20"/>
          <w:lang w:val="es-ES"/>
        </w:rPr>
        <w:t xml:space="preserve"> de los hospitales públicos</w:t>
      </w:r>
      <w:r w:rsidR="00EC75DB" w:rsidRPr="004A50B7">
        <w:rPr>
          <w:rFonts w:asciiTheme="majorHAnsi" w:hAnsiTheme="majorHAnsi"/>
          <w:sz w:val="20"/>
          <w:szCs w:val="20"/>
          <w:lang w:val="es-ES"/>
        </w:rPr>
        <w:t xml:space="preserve"> pese a que </w:t>
      </w:r>
      <w:r w:rsidR="00E73A56" w:rsidRPr="004A50B7">
        <w:rPr>
          <w:rFonts w:asciiTheme="majorHAnsi" w:hAnsiTheme="majorHAnsi"/>
          <w:sz w:val="20"/>
          <w:szCs w:val="20"/>
          <w:lang w:val="es-ES"/>
        </w:rPr>
        <w:t>sigue permitida su distribución y venta en las boticas y farmacias privadas, generando una situación de discriminación, pues no todas las mujeres, menos aún las niñas y adolescentes, cuentan con los recursos económicos necesarios para acceder a ella.</w:t>
      </w:r>
    </w:p>
    <w:p w14:paraId="2AF45947" w14:textId="51ECD755" w:rsidR="002A639B" w:rsidRPr="004A50B7" w:rsidRDefault="005D57B7" w:rsidP="008347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La parte peticionar</w:t>
      </w:r>
      <w:r w:rsidR="00F354B8" w:rsidRPr="004A50B7">
        <w:rPr>
          <w:rFonts w:asciiTheme="majorHAnsi" w:hAnsiTheme="majorHAnsi"/>
          <w:sz w:val="20"/>
          <w:szCs w:val="20"/>
          <w:lang w:val="es-ES"/>
        </w:rPr>
        <w:t>ia aduce que</w:t>
      </w:r>
      <w:r w:rsidR="00CB10BC" w:rsidRPr="004A50B7">
        <w:rPr>
          <w:rFonts w:asciiTheme="majorHAnsi" w:hAnsiTheme="majorHAnsi"/>
          <w:sz w:val="20"/>
          <w:szCs w:val="20"/>
          <w:lang w:val="es-ES"/>
        </w:rPr>
        <w:t xml:space="preserve"> fue </w:t>
      </w:r>
      <w:r w:rsidR="00F354B8" w:rsidRPr="004A50B7">
        <w:rPr>
          <w:rFonts w:asciiTheme="majorHAnsi" w:hAnsiTheme="majorHAnsi"/>
          <w:sz w:val="20"/>
          <w:szCs w:val="20"/>
          <w:lang w:val="es-ES"/>
        </w:rPr>
        <w:t>en tal contexto</w:t>
      </w:r>
      <w:r w:rsidR="00CB10BC" w:rsidRPr="004A50B7">
        <w:rPr>
          <w:rFonts w:asciiTheme="majorHAnsi" w:hAnsiTheme="majorHAnsi"/>
          <w:sz w:val="20"/>
          <w:szCs w:val="20"/>
          <w:lang w:val="es-ES"/>
        </w:rPr>
        <w:t xml:space="preserve"> que</w:t>
      </w:r>
      <w:r w:rsidR="00F354B8" w:rsidRPr="004A50B7">
        <w:rPr>
          <w:rFonts w:asciiTheme="majorHAnsi" w:hAnsiTheme="majorHAnsi"/>
          <w:sz w:val="20"/>
          <w:szCs w:val="20"/>
          <w:lang w:val="es-ES"/>
        </w:rPr>
        <w:t xml:space="preserve"> se denegó </w:t>
      </w:r>
      <w:r w:rsidR="00E35042" w:rsidRPr="004A50B7">
        <w:rPr>
          <w:rFonts w:asciiTheme="majorHAnsi" w:hAnsiTheme="majorHAnsi"/>
          <w:sz w:val="20"/>
          <w:szCs w:val="20"/>
          <w:lang w:val="es-ES"/>
        </w:rPr>
        <w:t>a la presunta víctima</w:t>
      </w:r>
      <w:r w:rsidR="007364BB" w:rsidRPr="004A50B7">
        <w:rPr>
          <w:rFonts w:asciiTheme="majorHAnsi" w:hAnsiTheme="majorHAnsi"/>
          <w:sz w:val="20"/>
          <w:szCs w:val="20"/>
          <w:lang w:val="es-ES"/>
        </w:rPr>
        <w:t xml:space="preserve"> </w:t>
      </w:r>
      <w:r w:rsidR="00F354B8" w:rsidRPr="004A50B7">
        <w:rPr>
          <w:rFonts w:asciiTheme="majorHAnsi" w:hAnsiTheme="majorHAnsi"/>
          <w:sz w:val="20"/>
          <w:szCs w:val="20"/>
          <w:lang w:val="es-ES"/>
        </w:rPr>
        <w:t xml:space="preserve">el acceso </w:t>
      </w:r>
      <w:r w:rsidR="00E35042" w:rsidRPr="004A50B7">
        <w:rPr>
          <w:rFonts w:asciiTheme="majorHAnsi" w:hAnsiTheme="majorHAnsi"/>
          <w:sz w:val="20"/>
          <w:szCs w:val="20"/>
          <w:lang w:val="es-ES"/>
        </w:rPr>
        <w:t>eficaz</w:t>
      </w:r>
      <w:r w:rsidR="00F354B8" w:rsidRPr="004A50B7">
        <w:rPr>
          <w:rFonts w:asciiTheme="majorHAnsi" w:hAnsiTheme="majorHAnsi"/>
          <w:sz w:val="20"/>
          <w:szCs w:val="20"/>
          <w:lang w:val="es-ES"/>
        </w:rPr>
        <w:t xml:space="preserve"> y libre de discriminación </w:t>
      </w:r>
      <w:r w:rsidR="00E35042" w:rsidRPr="004A50B7">
        <w:rPr>
          <w:rFonts w:asciiTheme="majorHAnsi" w:hAnsiTheme="majorHAnsi"/>
          <w:sz w:val="20"/>
          <w:szCs w:val="20"/>
          <w:lang w:val="es-ES"/>
        </w:rPr>
        <w:t>a la AOE</w:t>
      </w:r>
      <w:r w:rsidR="00CB10BC" w:rsidRPr="004A50B7">
        <w:rPr>
          <w:rFonts w:asciiTheme="majorHAnsi" w:hAnsiTheme="majorHAnsi"/>
          <w:sz w:val="20"/>
          <w:szCs w:val="20"/>
          <w:lang w:val="es-ES"/>
        </w:rPr>
        <w:t>,</w:t>
      </w:r>
      <w:r w:rsidR="007364BB" w:rsidRPr="004A50B7">
        <w:rPr>
          <w:rFonts w:asciiTheme="majorHAnsi" w:hAnsiTheme="majorHAnsi"/>
          <w:sz w:val="20"/>
          <w:szCs w:val="20"/>
          <w:lang w:val="es-ES"/>
        </w:rPr>
        <w:t xml:space="preserve"> tras </w:t>
      </w:r>
      <w:r w:rsidR="00CB10BC" w:rsidRPr="004A50B7">
        <w:rPr>
          <w:rFonts w:asciiTheme="majorHAnsi" w:hAnsiTheme="majorHAnsi"/>
          <w:sz w:val="20"/>
          <w:szCs w:val="20"/>
          <w:lang w:val="es-ES"/>
        </w:rPr>
        <w:t xml:space="preserve">ella </w:t>
      </w:r>
      <w:r w:rsidR="007364BB" w:rsidRPr="004A50B7">
        <w:rPr>
          <w:rFonts w:asciiTheme="majorHAnsi" w:hAnsiTheme="majorHAnsi"/>
          <w:sz w:val="20"/>
          <w:szCs w:val="20"/>
          <w:lang w:val="es-ES"/>
        </w:rPr>
        <w:t>haber sido violada sexualmente en dos ocasiones</w:t>
      </w:r>
      <w:r w:rsidRPr="004A50B7">
        <w:rPr>
          <w:rFonts w:asciiTheme="majorHAnsi" w:hAnsiTheme="majorHAnsi"/>
          <w:sz w:val="20"/>
          <w:szCs w:val="20"/>
          <w:lang w:val="es-ES"/>
        </w:rPr>
        <w:t xml:space="preserve">. </w:t>
      </w:r>
      <w:r w:rsidR="00E35042" w:rsidRPr="004A50B7">
        <w:rPr>
          <w:rFonts w:asciiTheme="majorHAnsi" w:hAnsiTheme="majorHAnsi"/>
          <w:sz w:val="20"/>
          <w:szCs w:val="20"/>
          <w:lang w:val="es-ES"/>
        </w:rPr>
        <w:t xml:space="preserve">Aduce que la presunta víctima fue violada una </w:t>
      </w:r>
      <w:r w:rsidRPr="004A50B7">
        <w:rPr>
          <w:rFonts w:asciiTheme="majorHAnsi" w:hAnsiTheme="majorHAnsi"/>
          <w:sz w:val="20"/>
          <w:szCs w:val="20"/>
          <w:lang w:val="es-ES"/>
        </w:rPr>
        <w:t>primera vez, el 25 de febrero de 201</w:t>
      </w:r>
      <w:r w:rsidR="00E35042" w:rsidRPr="004A50B7">
        <w:rPr>
          <w:rFonts w:asciiTheme="majorHAnsi" w:hAnsiTheme="majorHAnsi"/>
          <w:sz w:val="20"/>
          <w:szCs w:val="20"/>
          <w:lang w:val="es-ES"/>
        </w:rPr>
        <w:t xml:space="preserve">4, por un compañero de escuela, y una segunda vez, </w:t>
      </w:r>
      <w:r w:rsidRPr="004A50B7">
        <w:rPr>
          <w:rFonts w:asciiTheme="majorHAnsi" w:hAnsiTheme="majorHAnsi"/>
          <w:sz w:val="20"/>
          <w:szCs w:val="20"/>
          <w:lang w:val="es-ES"/>
        </w:rPr>
        <w:t>el 23 de marzo de 2014, por cuatro hombres, incluyendo al anterior agresor</w:t>
      </w:r>
      <w:r w:rsidR="00086AE4" w:rsidRPr="004A50B7">
        <w:rPr>
          <w:rFonts w:asciiTheme="majorHAnsi" w:hAnsiTheme="majorHAnsi"/>
          <w:sz w:val="20"/>
          <w:szCs w:val="20"/>
          <w:lang w:val="es-ES"/>
        </w:rPr>
        <w:t>, quien</w:t>
      </w:r>
      <w:r w:rsidR="00580E24" w:rsidRPr="004A50B7">
        <w:rPr>
          <w:rFonts w:asciiTheme="majorHAnsi" w:hAnsiTheme="majorHAnsi"/>
          <w:sz w:val="20"/>
          <w:szCs w:val="20"/>
          <w:lang w:val="es-ES"/>
        </w:rPr>
        <w:t>es</w:t>
      </w:r>
      <w:r w:rsidR="00A01924" w:rsidRPr="004A50B7">
        <w:rPr>
          <w:rFonts w:asciiTheme="majorHAnsi" w:hAnsiTheme="majorHAnsi"/>
          <w:sz w:val="20"/>
          <w:szCs w:val="20"/>
          <w:lang w:val="es-ES"/>
        </w:rPr>
        <w:t xml:space="preserve"> luego la dejaron</w:t>
      </w:r>
      <w:r w:rsidR="00086AE4" w:rsidRPr="004A50B7">
        <w:rPr>
          <w:rFonts w:asciiTheme="majorHAnsi" w:hAnsiTheme="majorHAnsi"/>
          <w:sz w:val="20"/>
          <w:szCs w:val="20"/>
          <w:lang w:val="es-ES"/>
        </w:rPr>
        <w:t xml:space="preserve"> abandonada en un parque</w:t>
      </w:r>
      <w:r w:rsidRPr="004A50B7">
        <w:rPr>
          <w:rFonts w:asciiTheme="majorHAnsi" w:hAnsiTheme="majorHAnsi"/>
          <w:sz w:val="20"/>
          <w:szCs w:val="20"/>
          <w:lang w:val="es-ES"/>
        </w:rPr>
        <w:t xml:space="preserve">. Alega que </w:t>
      </w:r>
      <w:r w:rsidR="00CE099F" w:rsidRPr="004A50B7">
        <w:rPr>
          <w:rFonts w:asciiTheme="majorHAnsi" w:hAnsiTheme="majorHAnsi"/>
          <w:sz w:val="20"/>
          <w:szCs w:val="20"/>
          <w:lang w:val="es-ES"/>
        </w:rPr>
        <w:t>el mismo día</w:t>
      </w:r>
      <w:r w:rsidRPr="004A50B7">
        <w:rPr>
          <w:rFonts w:asciiTheme="majorHAnsi" w:hAnsiTheme="majorHAnsi"/>
          <w:sz w:val="20"/>
          <w:szCs w:val="20"/>
          <w:lang w:val="es-ES"/>
        </w:rPr>
        <w:t xml:space="preserve">, </w:t>
      </w:r>
      <w:r w:rsidR="00220938" w:rsidRPr="004A50B7">
        <w:rPr>
          <w:rFonts w:asciiTheme="majorHAnsi" w:hAnsiTheme="majorHAnsi"/>
          <w:sz w:val="20"/>
          <w:szCs w:val="20"/>
          <w:lang w:val="es-ES"/>
        </w:rPr>
        <w:t xml:space="preserve">sus familiares la llevaron al Hospital Público Hermilio Valdizan </w:t>
      </w:r>
      <w:r w:rsidR="00102395" w:rsidRPr="004A50B7">
        <w:rPr>
          <w:rFonts w:asciiTheme="majorHAnsi" w:hAnsiTheme="majorHAnsi"/>
          <w:sz w:val="20"/>
          <w:szCs w:val="20"/>
          <w:lang w:val="es-ES"/>
        </w:rPr>
        <w:t>Medrano</w:t>
      </w:r>
      <w:r w:rsidR="002A639B" w:rsidRPr="004A50B7">
        <w:rPr>
          <w:rFonts w:asciiTheme="majorHAnsi" w:hAnsiTheme="majorHAnsi"/>
          <w:sz w:val="20"/>
          <w:szCs w:val="20"/>
          <w:lang w:val="es-ES"/>
        </w:rPr>
        <w:t>, donde permaneció hasta el 26 de marzo.</w:t>
      </w:r>
      <w:r w:rsidR="00086AE4" w:rsidRPr="004A50B7">
        <w:rPr>
          <w:rFonts w:asciiTheme="majorHAnsi" w:hAnsiTheme="majorHAnsi"/>
          <w:sz w:val="20"/>
          <w:szCs w:val="20"/>
          <w:lang w:val="es-ES"/>
        </w:rPr>
        <w:t xml:space="preserve"> Ahí </w:t>
      </w:r>
      <w:r w:rsidR="00EC3763" w:rsidRPr="004A50B7">
        <w:rPr>
          <w:rFonts w:asciiTheme="majorHAnsi" w:hAnsiTheme="majorHAnsi"/>
          <w:sz w:val="20"/>
          <w:szCs w:val="20"/>
          <w:lang w:val="es-ES"/>
        </w:rPr>
        <w:t>el personal informó</w:t>
      </w:r>
      <w:r w:rsidR="00086AE4" w:rsidRPr="004A50B7">
        <w:rPr>
          <w:rFonts w:asciiTheme="majorHAnsi" w:hAnsiTheme="majorHAnsi"/>
          <w:sz w:val="20"/>
          <w:szCs w:val="20"/>
          <w:lang w:val="es-ES"/>
        </w:rPr>
        <w:t xml:space="preserve"> a los padres que para atenderla debían sentar la denuncia penal, </w:t>
      </w:r>
      <w:r w:rsidR="000C5751" w:rsidRPr="004A50B7">
        <w:rPr>
          <w:rFonts w:asciiTheme="majorHAnsi" w:hAnsiTheme="majorHAnsi"/>
          <w:sz w:val="20"/>
          <w:szCs w:val="20"/>
          <w:lang w:val="es-ES"/>
        </w:rPr>
        <w:t>retrasando</w:t>
      </w:r>
      <w:r w:rsidR="00086AE4" w:rsidRPr="004A50B7">
        <w:rPr>
          <w:rFonts w:asciiTheme="majorHAnsi" w:hAnsiTheme="majorHAnsi"/>
          <w:sz w:val="20"/>
          <w:szCs w:val="20"/>
          <w:lang w:val="es-ES"/>
        </w:rPr>
        <w:t xml:space="preserve"> de esta manera la </w:t>
      </w:r>
      <w:r w:rsidR="009C01A0" w:rsidRPr="004A50B7">
        <w:rPr>
          <w:rFonts w:asciiTheme="majorHAnsi" w:hAnsiTheme="majorHAnsi"/>
          <w:sz w:val="20"/>
          <w:szCs w:val="20"/>
          <w:lang w:val="es-ES"/>
        </w:rPr>
        <w:t xml:space="preserve">atención a su salud cuando </w:t>
      </w:r>
      <w:r w:rsidR="00CF13C9" w:rsidRPr="004A50B7">
        <w:rPr>
          <w:rFonts w:asciiTheme="majorHAnsi" w:hAnsiTheme="majorHAnsi"/>
          <w:sz w:val="20"/>
          <w:szCs w:val="20"/>
          <w:lang w:val="es-ES"/>
        </w:rPr>
        <w:t>se</w:t>
      </w:r>
      <w:r w:rsidR="009C01A0" w:rsidRPr="004A50B7">
        <w:rPr>
          <w:rFonts w:asciiTheme="majorHAnsi" w:hAnsiTheme="majorHAnsi"/>
          <w:sz w:val="20"/>
          <w:szCs w:val="20"/>
          <w:lang w:val="es-ES"/>
        </w:rPr>
        <w:t xml:space="preserve"> trataba </w:t>
      </w:r>
      <w:r w:rsidR="00CF13C9" w:rsidRPr="004A50B7">
        <w:rPr>
          <w:rFonts w:asciiTheme="majorHAnsi" w:hAnsiTheme="majorHAnsi"/>
          <w:sz w:val="20"/>
          <w:szCs w:val="20"/>
          <w:lang w:val="es-ES"/>
        </w:rPr>
        <w:t xml:space="preserve">de </w:t>
      </w:r>
      <w:r w:rsidR="00086AE4" w:rsidRPr="004A50B7">
        <w:rPr>
          <w:rFonts w:asciiTheme="majorHAnsi" w:hAnsiTheme="majorHAnsi"/>
          <w:sz w:val="20"/>
          <w:szCs w:val="20"/>
          <w:lang w:val="es-ES"/>
        </w:rPr>
        <w:t xml:space="preserve">una situación de emergencia. </w:t>
      </w:r>
      <w:r w:rsidR="007E516E" w:rsidRPr="004A50B7">
        <w:rPr>
          <w:rFonts w:asciiTheme="majorHAnsi" w:hAnsiTheme="majorHAnsi"/>
          <w:sz w:val="20"/>
          <w:szCs w:val="20"/>
          <w:lang w:val="es-ES"/>
        </w:rPr>
        <w:t>Por ende</w:t>
      </w:r>
      <w:r w:rsidR="002228CF" w:rsidRPr="004A50B7">
        <w:rPr>
          <w:rFonts w:asciiTheme="majorHAnsi" w:hAnsiTheme="majorHAnsi"/>
          <w:sz w:val="20"/>
          <w:szCs w:val="20"/>
          <w:lang w:val="es-ES"/>
        </w:rPr>
        <w:t xml:space="preserve">, </w:t>
      </w:r>
      <w:r w:rsidR="00FC0EF7" w:rsidRPr="004A50B7">
        <w:rPr>
          <w:rFonts w:asciiTheme="majorHAnsi" w:hAnsiTheme="majorHAnsi"/>
          <w:sz w:val="20"/>
          <w:szCs w:val="20"/>
          <w:lang w:val="es-ES"/>
        </w:rPr>
        <w:t xml:space="preserve">el </w:t>
      </w:r>
      <w:r w:rsidR="002228CF" w:rsidRPr="004A50B7">
        <w:rPr>
          <w:rFonts w:asciiTheme="majorHAnsi" w:hAnsiTheme="majorHAnsi"/>
          <w:sz w:val="20"/>
          <w:szCs w:val="20"/>
          <w:lang w:val="es-ES"/>
        </w:rPr>
        <w:t>mismo día,</w:t>
      </w:r>
      <w:r w:rsidR="00086AE4" w:rsidRPr="004A50B7">
        <w:rPr>
          <w:rFonts w:asciiTheme="majorHAnsi" w:hAnsiTheme="majorHAnsi"/>
          <w:sz w:val="20"/>
          <w:szCs w:val="20"/>
          <w:lang w:val="es-ES"/>
        </w:rPr>
        <w:t xml:space="preserve"> la madre de la presunta víctima presentó denuncia penal ante el Fiscal Adjunto de la Primera Fiscalía Provincial Penal Corporativo de Huánuco</w:t>
      </w:r>
      <w:r w:rsidR="00F503C2" w:rsidRPr="004A50B7">
        <w:rPr>
          <w:rStyle w:val="FootnoteReference"/>
          <w:rFonts w:asciiTheme="majorHAnsi" w:hAnsiTheme="majorHAnsi"/>
          <w:sz w:val="20"/>
          <w:szCs w:val="20"/>
          <w:lang w:val="es-ES"/>
        </w:rPr>
        <w:footnoteReference w:id="11"/>
      </w:r>
      <w:r w:rsidR="00086AE4" w:rsidRPr="004A50B7">
        <w:rPr>
          <w:rFonts w:asciiTheme="majorHAnsi" w:hAnsiTheme="majorHAnsi"/>
          <w:sz w:val="20"/>
          <w:szCs w:val="20"/>
          <w:lang w:val="es-ES"/>
        </w:rPr>
        <w:t xml:space="preserve">. La madre llevó el oficio de la denuncia al Hospital, </w:t>
      </w:r>
      <w:r w:rsidR="007E516E" w:rsidRPr="004A50B7">
        <w:rPr>
          <w:rFonts w:asciiTheme="majorHAnsi" w:hAnsiTheme="majorHAnsi"/>
          <w:sz w:val="20"/>
          <w:szCs w:val="20"/>
          <w:lang w:val="es-ES"/>
        </w:rPr>
        <w:t>donde a</w:t>
      </w:r>
      <w:r w:rsidR="00086AE4" w:rsidRPr="004A50B7">
        <w:rPr>
          <w:rFonts w:asciiTheme="majorHAnsi" w:hAnsiTheme="majorHAnsi"/>
          <w:sz w:val="20"/>
          <w:szCs w:val="20"/>
          <w:lang w:val="es-ES"/>
        </w:rPr>
        <w:t xml:space="preserve"> las 23:00 horas del mismo día llegó en compañía del médico legista Flemin Maylle Adriano, quien realizó los exámenes en el tópico del servicio de cirugía del hospital. Una vez completado</w:t>
      </w:r>
      <w:r w:rsidR="003351ED" w:rsidRPr="004A50B7">
        <w:rPr>
          <w:rFonts w:asciiTheme="majorHAnsi" w:hAnsiTheme="majorHAnsi"/>
          <w:sz w:val="20"/>
          <w:szCs w:val="20"/>
          <w:lang w:val="es-ES"/>
        </w:rPr>
        <w:t>s</w:t>
      </w:r>
      <w:r w:rsidR="00086AE4" w:rsidRPr="004A50B7">
        <w:rPr>
          <w:rFonts w:asciiTheme="majorHAnsi" w:hAnsiTheme="majorHAnsi"/>
          <w:sz w:val="20"/>
          <w:szCs w:val="20"/>
          <w:lang w:val="es-ES"/>
        </w:rPr>
        <w:t xml:space="preserve"> </w:t>
      </w:r>
      <w:r w:rsidR="003351ED" w:rsidRPr="004A50B7">
        <w:rPr>
          <w:rFonts w:asciiTheme="majorHAnsi" w:hAnsiTheme="majorHAnsi"/>
          <w:sz w:val="20"/>
          <w:szCs w:val="20"/>
          <w:lang w:val="es-ES"/>
        </w:rPr>
        <w:t>los</w:t>
      </w:r>
      <w:r w:rsidR="00086AE4" w:rsidRPr="004A50B7">
        <w:rPr>
          <w:rFonts w:asciiTheme="majorHAnsi" w:hAnsiTheme="majorHAnsi"/>
          <w:sz w:val="20"/>
          <w:szCs w:val="20"/>
          <w:lang w:val="es-ES"/>
        </w:rPr>
        <w:t xml:space="preserve"> </w:t>
      </w:r>
      <w:r w:rsidR="000C5751" w:rsidRPr="004A50B7">
        <w:rPr>
          <w:rFonts w:asciiTheme="majorHAnsi" w:hAnsiTheme="majorHAnsi"/>
          <w:sz w:val="20"/>
          <w:szCs w:val="20"/>
          <w:lang w:val="es-ES"/>
        </w:rPr>
        <w:t>exámenes</w:t>
      </w:r>
      <w:r w:rsidR="00086AE4" w:rsidRPr="004A50B7">
        <w:rPr>
          <w:rFonts w:asciiTheme="majorHAnsi" w:hAnsiTheme="majorHAnsi"/>
          <w:sz w:val="20"/>
          <w:szCs w:val="20"/>
          <w:lang w:val="es-ES"/>
        </w:rPr>
        <w:t>,</w:t>
      </w:r>
      <w:r w:rsidR="007E516E" w:rsidRPr="004A50B7">
        <w:rPr>
          <w:rFonts w:asciiTheme="majorHAnsi" w:hAnsiTheme="majorHAnsi"/>
          <w:sz w:val="20"/>
          <w:szCs w:val="20"/>
          <w:lang w:val="es-ES"/>
        </w:rPr>
        <w:t xml:space="preserve"> y 48 </w:t>
      </w:r>
      <w:r w:rsidR="00271DA8" w:rsidRPr="004A50B7">
        <w:rPr>
          <w:rFonts w:asciiTheme="majorHAnsi" w:hAnsiTheme="majorHAnsi"/>
          <w:sz w:val="20"/>
          <w:szCs w:val="20"/>
          <w:lang w:val="es-ES"/>
        </w:rPr>
        <w:t>horas después de la violación sexual,</w:t>
      </w:r>
      <w:r w:rsidR="00086AE4" w:rsidRPr="004A50B7">
        <w:rPr>
          <w:rFonts w:asciiTheme="majorHAnsi" w:hAnsiTheme="majorHAnsi"/>
          <w:sz w:val="20"/>
          <w:szCs w:val="20"/>
          <w:lang w:val="es-ES"/>
        </w:rPr>
        <w:t xml:space="preserve"> a</w:t>
      </w:r>
      <w:r w:rsidR="00785431" w:rsidRPr="004A50B7">
        <w:rPr>
          <w:rFonts w:asciiTheme="majorHAnsi" w:hAnsiTheme="majorHAnsi"/>
          <w:sz w:val="20"/>
          <w:szCs w:val="20"/>
          <w:lang w:val="es-ES"/>
        </w:rPr>
        <w:t>duce que le recetaron</w:t>
      </w:r>
      <w:r w:rsidR="006561CB" w:rsidRPr="004A50B7">
        <w:rPr>
          <w:rFonts w:asciiTheme="majorHAnsi" w:hAnsiTheme="majorHAnsi"/>
          <w:sz w:val="20"/>
          <w:szCs w:val="20"/>
          <w:lang w:val="es-ES"/>
        </w:rPr>
        <w:t xml:space="preserve"> a la presunta víctima</w:t>
      </w:r>
      <w:r w:rsidR="00785431" w:rsidRPr="004A50B7">
        <w:rPr>
          <w:rFonts w:asciiTheme="majorHAnsi" w:hAnsiTheme="majorHAnsi"/>
          <w:sz w:val="20"/>
          <w:szCs w:val="20"/>
          <w:lang w:val="es-ES"/>
        </w:rPr>
        <w:t xml:space="preserve"> </w:t>
      </w:r>
      <w:r w:rsidR="0066484A" w:rsidRPr="004A50B7">
        <w:rPr>
          <w:rFonts w:asciiTheme="majorHAnsi" w:hAnsiTheme="majorHAnsi"/>
          <w:sz w:val="20"/>
          <w:szCs w:val="20"/>
          <w:lang w:val="es-ES"/>
        </w:rPr>
        <w:t>AOE</w:t>
      </w:r>
      <w:r w:rsidR="00785431" w:rsidRPr="004A50B7">
        <w:rPr>
          <w:rFonts w:asciiTheme="majorHAnsi" w:hAnsiTheme="majorHAnsi"/>
          <w:sz w:val="20"/>
          <w:szCs w:val="20"/>
          <w:lang w:val="es-ES"/>
        </w:rPr>
        <w:t>,</w:t>
      </w:r>
      <w:r w:rsidR="009A6D4B" w:rsidRPr="004A50B7">
        <w:rPr>
          <w:rFonts w:asciiTheme="majorHAnsi" w:hAnsiTheme="majorHAnsi"/>
          <w:sz w:val="20"/>
          <w:szCs w:val="20"/>
          <w:lang w:val="es-ES"/>
        </w:rPr>
        <w:t xml:space="preserve"> la denominada “Píldora del Día Siguiente”,</w:t>
      </w:r>
      <w:r w:rsidR="00785431" w:rsidRPr="004A50B7">
        <w:rPr>
          <w:rFonts w:asciiTheme="majorHAnsi" w:hAnsiTheme="majorHAnsi"/>
          <w:sz w:val="20"/>
          <w:szCs w:val="20"/>
          <w:lang w:val="es-ES"/>
        </w:rPr>
        <w:t xml:space="preserve"> sin brindarle información</w:t>
      </w:r>
      <w:r w:rsidR="00C84F74" w:rsidRPr="004A50B7">
        <w:rPr>
          <w:rFonts w:asciiTheme="majorHAnsi" w:hAnsiTheme="majorHAnsi"/>
          <w:sz w:val="20"/>
          <w:szCs w:val="20"/>
          <w:lang w:val="es-ES"/>
        </w:rPr>
        <w:t xml:space="preserve"> sobre</w:t>
      </w:r>
      <w:r w:rsidR="00785431" w:rsidRPr="004A50B7">
        <w:rPr>
          <w:rFonts w:asciiTheme="majorHAnsi" w:hAnsiTheme="majorHAnsi"/>
          <w:sz w:val="20"/>
          <w:szCs w:val="20"/>
          <w:lang w:val="es-ES"/>
        </w:rPr>
        <w:t xml:space="preserve"> </w:t>
      </w:r>
      <w:r w:rsidR="003357BC" w:rsidRPr="004A50B7">
        <w:rPr>
          <w:rFonts w:asciiTheme="majorHAnsi" w:hAnsiTheme="majorHAnsi"/>
          <w:sz w:val="20"/>
          <w:szCs w:val="20"/>
          <w:lang w:val="es-ES"/>
        </w:rPr>
        <w:t xml:space="preserve">la manera adecuada de uso o posibles alternativas, o de realizar preguntas sobre lo recetado y tampoco sobre </w:t>
      </w:r>
      <w:r w:rsidR="00785431" w:rsidRPr="004A50B7">
        <w:rPr>
          <w:rFonts w:asciiTheme="majorHAnsi" w:hAnsiTheme="majorHAnsi"/>
          <w:sz w:val="20"/>
          <w:szCs w:val="20"/>
          <w:lang w:val="es-ES"/>
        </w:rPr>
        <w:t>su naturaleza y efectos.</w:t>
      </w:r>
      <w:r w:rsidR="00213393" w:rsidRPr="004A50B7">
        <w:rPr>
          <w:rFonts w:asciiTheme="majorHAnsi" w:hAnsiTheme="majorHAnsi"/>
          <w:sz w:val="20"/>
          <w:szCs w:val="20"/>
          <w:lang w:val="es-ES"/>
        </w:rPr>
        <w:t xml:space="preserve"> </w:t>
      </w:r>
      <w:r w:rsidR="00FC0EF7" w:rsidRPr="004A50B7">
        <w:rPr>
          <w:rFonts w:asciiTheme="majorHAnsi" w:hAnsiTheme="majorHAnsi"/>
          <w:sz w:val="20"/>
          <w:szCs w:val="20"/>
          <w:lang w:val="es-ES"/>
        </w:rPr>
        <w:t xml:space="preserve">Como </w:t>
      </w:r>
      <w:r w:rsidR="00213393" w:rsidRPr="004A50B7">
        <w:rPr>
          <w:rFonts w:asciiTheme="majorHAnsi" w:hAnsiTheme="majorHAnsi"/>
          <w:sz w:val="20"/>
          <w:szCs w:val="20"/>
          <w:lang w:val="es-ES"/>
        </w:rPr>
        <w:t xml:space="preserve">ni el hospital ni </w:t>
      </w:r>
      <w:r w:rsidR="000D0F94" w:rsidRPr="004A50B7">
        <w:rPr>
          <w:rFonts w:asciiTheme="majorHAnsi" w:hAnsiTheme="majorHAnsi"/>
          <w:sz w:val="20"/>
          <w:szCs w:val="20"/>
          <w:lang w:val="es-ES"/>
        </w:rPr>
        <w:t>las farmacias públicas</w:t>
      </w:r>
      <w:r w:rsidR="00213393" w:rsidRPr="004A50B7">
        <w:rPr>
          <w:rFonts w:asciiTheme="majorHAnsi" w:hAnsiTheme="majorHAnsi"/>
          <w:sz w:val="20"/>
          <w:szCs w:val="20"/>
          <w:lang w:val="es-ES"/>
        </w:rPr>
        <w:t xml:space="preserve"> disponían de </w:t>
      </w:r>
      <w:r w:rsidR="00F90C26" w:rsidRPr="004A50B7">
        <w:rPr>
          <w:rFonts w:asciiTheme="majorHAnsi" w:hAnsiTheme="majorHAnsi"/>
          <w:sz w:val="20"/>
          <w:szCs w:val="20"/>
          <w:lang w:val="es-ES"/>
        </w:rPr>
        <w:t xml:space="preserve">la </w:t>
      </w:r>
      <w:r w:rsidR="00213393" w:rsidRPr="004A50B7">
        <w:rPr>
          <w:rFonts w:asciiTheme="majorHAnsi" w:hAnsiTheme="majorHAnsi"/>
          <w:sz w:val="20"/>
          <w:szCs w:val="20"/>
          <w:lang w:val="es-ES"/>
        </w:rPr>
        <w:t>AOE</w:t>
      </w:r>
      <w:r w:rsidR="00FC0EF7" w:rsidRPr="004A50B7">
        <w:rPr>
          <w:rFonts w:asciiTheme="majorHAnsi" w:hAnsiTheme="majorHAnsi"/>
          <w:sz w:val="20"/>
          <w:szCs w:val="20"/>
          <w:lang w:val="es-ES"/>
        </w:rPr>
        <w:t>,</w:t>
      </w:r>
      <w:r w:rsidR="00213393" w:rsidRPr="004A50B7">
        <w:rPr>
          <w:rFonts w:asciiTheme="majorHAnsi" w:hAnsiTheme="majorHAnsi"/>
          <w:sz w:val="20"/>
          <w:szCs w:val="20"/>
          <w:lang w:val="es-ES"/>
        </w:rPr>
        <w:t xml:space="preserve"> la presunta víctima</w:t>
      </w:r>
      <w:r w:rsidR="00080912" w:rsidRPr="004A50B7">
        <w:rPr>
          <w:rFonts w:asciiTheme="majorHAnsi" w:hAnsiTheme="majorHAnsi"/>
          <w:sz w:val="20"/>
          <w:szCs w:val="20"/>
          <w:lang w:val="es-ES"/>
        </w:rPr>
        <w:t xml:space="preserve"> </w:t>
      </w:r>
      <w:r w:rsidR="00213393" w:rsidRPr="004A50B7">
        <w:rPr>
          <w:rFonts w:asciiTheme="majorHAnsi" w:hAnsiTheme="majorHAnsi"/>
          <w:sz w:val="20"/>
          <w:szCs w:val="20"/>
          <w:lang w:val="es-ES"/>
        </w:rPr>
        <w:t>tuv</w:t>
      </w:r>
      <w:r w:rsidR="00FC0EF7" w:rsidRPr="004A50B7">
        <w:rPr>
          <w:rFonts w:asciiTheme="majorHAnsi" w:hAnsiTheme="majorHAnsi"/>
          <w:sz w:val="20"/>
          <w:szCs w:val="20"/>
          <w:lang w:val="es-ES"/>
        </w:rPr>
        <w:t xml:space="preserve">o </w:t>
      </w:r>
      <w:r w:rsidR="00213393" w:rsidRPr="004A50B7">
        <w:rPr>
          <w:rFonts w:asciiTheme="majorHAnsi" w:hAnsiTheme="majorHAnsi"/>
          <w:sz w:val="20"/>
          <w:szCs w:val="20"/>
          <w:lang w:val="es-ES"/>
        </w:rPr>
        <w:t>que obtenerlos en una farmacia privada</w:t>
      </w:r>
      <w:r w:rsidR="00080912" w:rsidRPr="004A50B7">
        <w:rPr>
          <w:rFonts w:asciiTheme="majorHAnsi" w:hAnsiTheme="majorHAnsi"/>
          <w:sz w:val="20"/>
          <w:szCs w:val="20"/>
          <w:lang w:val="es-ES"/>
        </w:rPr>
        <w:t>, a pesar de sus escasos recursos económicos</w:t>
      </w:r>
      <w:r w:rsidR="00213393" w:rsidRPr="004A50B7">
        <w:rPr>
          <w:rFonts w:asciiTheme="majorHAnsi" w:hAnsiTheme="majorHAnsi"/>
          <w:sz w:val="20"/>
          <w:szCs w:val="20"/>
          <w:lang w:val="es-ES"/>
        </w:rPr>
        <w:t>.</w:t>
      </w:r>
      <w:r w:rsidR="00FC0EF7" w:rsidRPr="004A50B7">
        <w:rPr>
          <w:rFonts w:asciiTheme="majorHAnsi" w:hAnsiTheme="majorHAnsi"/>
          <w:sz w:val="20"/>
          <w:szCs w:val="20"/>
          <w:lang w:val="es-ES"/>
        </w:rPr>
        <w:t xml:space="preserve"> </w:t>
      </w:r>
      <w:r w:rsidR="0083479B" w:rsidRPr="004A50B7">
        <w:rPr>
          <w:rFonts w:asciiTheme="majorHAnsi" w:hAnsiTheme="majorHAnsi"/>
          <w:sz w:val="20"/>
          <w:szCs w:val="20"/>
          <w:lang w:val="es-ES"/>
        </w:rPr>
        <w:t xml:space="preserve"> </w:t>
      </w:r>
      <w:r w:rsidR="00080912" w:rsidRPr="004A50B7">
        <w:rPr>
          <w:rFonts w:asciiTheme="majorHAnsi" w:hAnsiTheme="majorHAnsi"/>
          <w:sz w:val="20"/>
          <w:szCs w:val="20"/>
          <w:lang w:val="es-ES"/>
        </w:rPr>
        <w:t>Finalmente</w:t>
      </w:r>
      <w:r w:rsidR="007A5F09" w:rsidRPr="004A50B7">
        <w:rPr>
          <w:rFonts w:asciiTheme="majorHAnsi" w:hAnsiTheme="majorHAnsi"/>
          <w:sz w:val="20"/>
          <w:szCs w:val="20"/>
          <w:lang w:val="es-ES"/>
        </w:rPr>
        <w:t>, indica que durante los cuatro días que estuvo en el hospital, todos los días la visita médica era realizada por diferentes personas, quienes le volvían a preguntar sobre la violación sexual u</w:t>
      </w:r>
      <w:r w:rsidR="0083479B" w:rsidRPr="004A50B7">
        <w:rPr>
          <w:rFonts w:asciiTheme="majorHAnsi" w:hAnsiTheme="majorHAnsi"/>
          <w:sz w:val="20"/>
          <w:szCs w:val="20"/>
          <w:lang w:val="es-ES"/>
        </w:rPr>
        <w:t>na y otra vez, revictimizándola</w:t>
      </w:r>
      <w:r w:rsidR="001051A8" w:rsidRPr="004A50B7">
        <w:rPr>
          <w:rFonts w:asciiTheme="majorHAnsi" w:hAnsiTheme="majorHAnsi"/>
          <w:sz w:val="20"/>
          <w:szCs w:val="20"/>
          <w:lang w:val="es-ES"/>
        </w:rPr>
        <w:t xml:space="preserve"> cada vez</w:t>
      </w:r>
      <w:r w:rsidR="008C5D4C" w:rsidRPr="004A50B7">
        <w:rPr>
          <w:rStyle w:val="FootnoteReference"/>
          <w:rFonts w:asciiTheme="majorHAnsi" w:hAnsiTheme="majorHAnsi"/>
          <w:sz w:val="20"/>
          <w:szCs w:val="20"/>
          <w:lang w:val="es-ES"/>
        </w:rPr>
        <w:footnoteReference w:id="12"/>
      </w:r>
      <w:r w:rsidR="007A5F09" w:rsidRPr="004A50B7">
        <w:rPr>
          <w:rFonts w:asciiTheme="majorHAnsi" w:hAnsiTheme="majorHAnsi"/>
          <w:sz w:val="20"/>
          <w:szCs w:val="20"/>
          <w:lang w:val="es-ES"/>
        </w:rPr>
        <w:t>.</w:t>
      </w:r>
    </w:p>
    <w:p w14:paraId="4B46BD56" w14:textId="1F5F64B7" w:rsidR="00BD356E" w:rsidRPr="004A50B7" w:rsidRDefault="00BD356E" w:rsidP="004F0A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lastRenderedPageBreak/>
        <w:t>En cuanto al acceso en condición de igualdad a la anticoncepción oral de emergencia, la parte peticionaria alega que no existe un recurso disponible en Perú que podría subsanar las violaciones de derechos humanos ocasionadas a través de la negación de la misma. Indica que el único recurso disponible sería el recurso de amparo, pero que resulta inefectivo, pues resultaría irrazonable que la presunta víctima tuviera que agotarlo debido a que la más alta instancia judicial en materia constitucional ya se pronunció sobre la prohibición de la distribución pública de la AOE</w:t>
      </w:r>
      <w:r w:rsidRPr="004A50B7">
        <w:rPr>
          <w:rStyle w:val="FootnoteReference"/>
          <w:rFonts w:asciiTheme="majorHAnsi" w:hAnsiTheme="majorHAnsi"/>
          <w:sz w:val="20"/>
          <w:szCs w:val="20"/>
          <w:lang w:val="es-ES"/>
        </w:rPr>
        <w:footnoteReference w:id="13"/>
      </w:r>
      <w:r w:rsidRPr="004A50B7">
        <w:rPr>
          <w:rFonts w:asciiTheme="majorHAnsi" w:hAnsiTheme="majorHAnsi"/>
          <w:sz w:val="20"/>
          <w:szCs w:val="20"/>
          <w:lang w:val="es-ES"/>
        </w:rPr>
        <w:t>. Asimismo, indica que el control de constitucionalidad en Perú es concentrado, de tal forma que dicho Tribunal es el que conoce de todos los amparos que se presentan en el país</w:t>
      </w:r>
      <w:r w:rsidRPr="004A50B7">
        <w:rPr>
          <w:rStyle w:val="FootnoteReference"/>
          <w:rFonts w:asciiTheme="majorHAnsi" w:hAnsiTheme="majorHAnsi"/>
          <w:sz w:val="20"/>
          <w:szCs w:val="20"/>
          <w:lang w:val="es-ES"/>
        </w:rPr>
        <w:footnoteReference w:id="14"/>
      </w:r>
      <w:r w:rsidRPr="004A50B7">
        <w:rPr>
          <w:rFonts w:asciiTheme="majorHAnsi" w:hAnsiTheme="majorHAnsi"/>
          <w:sz w:val="20"/>
          <w:szCs w:val="20"/>
          <w:lang w:val="es-ES"/>
        </w:rPr>
        <w:t xml:space="preserve">. Finalmente, alegan que el recurso carece de la celeridad necesaria para ser idóneo y eficaz. La experiencia demuestra que no es posible obtener un pronunciamiento en vía de amparo por parte de una autoridad judicial en un plazo menor a 72 horas, período prescrito para ingerir la AOE y lograr su eficacia. Al respecto, hacen referencia al caso </w:t>
      </w:r>
      <w:r w:rsidRPr="004A50B7">
        <w:rPr>
          <w:rFonts w:asciiTheme="majorHAnsi" w:hAnsiTheme="majorHAnsi"/>
          <w:i/>
          <w:sz w:val="20"/>
          <w:szCs w:val="20"/>
          <w:lang w:val="es-ES"/>
        </w:rPr>
        <w:t>Violeta Cristina Gómez vs. Ministerio de Salud</w:t>
      </w:r>
      <w:r w:rsidRPr="004A50B7">
        <w:rPr>
          <w:rStyle w:val="FootnoteReference"/>
          <w:rFonts w:asciiTheme="majorHAnsi" w:hAnsiTheme="majorHAnsi"/>
          <w:sz w:val="20"/>
          <w:szCs w:val="20"/>
          <w:lang w:val="es-ES"/>
        </w:rPr>
        <w:footnoteReference w:id="15"/>
      </w:r>
      <w:r w:rsidRPr="004A50B7">
        <w:rPr>
          <w:rFonts w:asciiTheme="majorHAnsi" w:hAnsiTheme="majorHAnsi"/>
          <w:sz w:val="20"/>
          <w:szCs w:val="20"/>
          <w:lang w:val="es-ES"/>
        </w:rPr>
        <w:t>, en el cual se tardó 38 ochos días para obtener una decisión sobre una medida cautelar ordenando al Estado la distribución del AOE, y respecto del cual todavía no hay sentencia definitiva después de cinco años. Adicionalmente, indican que aunque se decretó medida cautelar en tal caso, el cumplimiento de dicha medida ha sido deficiente</w:t>
      </w:r>
      <w:r w:rsidRPr="004A50B7">
        <w:rPr>
          <w:rStyle w:val="FootnoteReference"/>
          <w:rFonts w:asciiTheme="majorHAnsi" w:hAnsiTheme="majorHAnsi"/>
          <w:sz w:val="20"/>
          <w:szCs w:val="20"/>
          <w:lang w:val="es-ES"/>
        </w:rPr>
        <w:footnoteReference w:id="16"/>
      </w:r>
      <w:r w:rsidRPr="004A50B7">
        <w:rPr>
          <w:rFonts w:asciiTheme="majorHAnsi" w:hAnsiTheme="majorHAnsi"/>
          <w:sz w:val="20"/>
          <w:szCs w:val="20"/>
          <w:lang w:val="es-ES"/>
        </w:rPr>
        <w:t>. Por lo tanto, el recurso de amparo no es idóneo para proteger la situación jurídica infringida y, en consecuencia, no debe ser considerado como un recurso interno que debió ser agotado.</w:t>
      </w:r>
    </w:p>
    <w:p w14:paraId="7D11BCEE" w14:textId="73DA78F6" w:rsidR="005F5783" w:rsidRPr="004A50B7" w:rsidRDefault="009A6D4B" w:rsidP="004F0A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En cuanto al proceso penal, la parte peticionaria indica que e</w:t>
      </w:r>
      <w:r w:rsidR="00942AE3" w:rsidRPr="004A50B7">
        <w:rPr>
          <w:rFonts w:asciiTheme="majorHAnsi" w:hAnsiTheme="majorHAnsi"/>
          <w:sz w:val="20"/>
          <w:szCs w:val="20"/>
          <w:lang w:val="es-ES"/>
        </w:rPr>
        <w:t>l 24 de abril de 2014,</w:t>
      </w:r>
      <w:r w:rsidR="007313DA" w:rsidRPr="004A50B7">
        <w:rPr>
          <w:rFonts w:asciiTheme="majorHAnsi" w:hAnsiTheme="majorHAnsi"/>
          <w:sz w:val="20"/>
          <w:szCs w:val="20"/>
          <w:lang w:val="es-ES"/>
        </w:rPr>
        <w:t xml:space="preserve"> la Fiscal Yanet Marlenen Corfero </w:t>
      </w:r>
      <w:r w:rsidR="00BD356E" w:rsidRPr="004A50B7">
        <w:rPr>
          <w:rFonts w:asciiTheme="majorHAnsi" w:hAnsiTheme="majorHAnsi"/>
          <w:sz w:val="20"/>
          <w:szCs w:val="20"/>
          <w:lang w:val="es-ES"/>
        </w:rPr>
        <w:t>Días</w:t>
      </w:r>
      <w:r w:rsidR="002228CF" w:rsidRPr="004A50B7">
        <w:rPr>
          <w:rFonts w:asciiTheme="majorHAnsi" w:hAnsiTheme="majorHAnsi"/>
          <w:sz w:val="20"/>
          <w:szCs w:val="20"/>
          <w:lang w:val="es-ES"/>
        </w:rPr>
        <w:t xml:space="preserve"> </w:t>
      </w:r>
      <w:r w:rsidR="007313DA" w:rsidRPr="004A50B7">
        <w:rPr>
          <w:rFonts w:asciiTheme="majorHAnsi" w:hAnsiTheme="majorHAnsi"/>
          <w:sz w:val="20"/>
          <w:szCs w:val="20"/>
          <w:lang w:val="es-ES"/>
        </w:rPr>
        <w:t>dispuso iniciar la investigación preliminar por la presunta comisión de la violación sexual en contra de la presunta víctima.</w:t>
      </w:r>
      <w:r w:rsidR="001D364C" w:rsidRPr="004A50B7">
        <w:rPr>
          <w:rFonts w:asciiTheme="majorHAnsi" w:hAnsiTheme="majorHAnsi"/>
          <w:sz w:val="20"/>
          <w:szCs w:val="20"/>
          <w:lang w:val="es-ES"/>
        </w:rPr>
        <w:t xml:space="preserve"> El 9 de mayo del 2014</w:t>
      </w:r>
      <w:r w:rsidR="002228CF" w:rsidRPr="004A50B7">
        <w:rPr>
          <w:rFonts w:asciiTheme="majorHAnsi" w:hAnsiTheme="majorHAnsi"/>
          <w:sz w:val="20"/>
          <w:szCs w:val="20"/>
          <w:lang w:val="es-ES"/>
        </w:rPr>
        <w:t>,</w:t>
      </w:r>
      <w:r w:rsidR="001D364C" w:rsidRPr="004A50B7">
        <w:rPr>
          <w:rFonts w:asciiTheme="majorHAnsi" w:hAnsiTheme="majorHAnsi"/>
          <w:sz w:val="20"/>
          <w:szCs w:val="20"/>
          <w:lang w:val="es-ES"/>
        </w:rPr>
        <w:t xml:space="preserve"> se tomó la declaración indagatoria de la presunta víctima en la investigación que se siguió contra Willinton Albornoz Ramos</w:t>
      </w:r>
      <w:r w:rsidR="002228CF" w:rsidRPr="004A50B7">
        <w:rPr>
          <w:rFonts w:asciiTheme="majorHAnsi" w:hAnsiTheme="majorHAnsi"/>
          <w:sz w:val="20"/>
          <w:szCs w:val="20"/>
          <w:lang w:val="es-ES"/>
        </w:rPr>
        <w:t xml:space="preserve">, y, el 16 de mayo, </w:t>
      </w:r>
      <w:r w:rsidR="00023E92" w:rsidRPr="004A50B7">
        <w:rPr>
          <w:rFonts w:asciiTheme="majorHAnsi" w:hAnsiTheme="majorHAnsi"/>
          <w:sz w:val="20"/>
          <w:szCs w:val="20"/>
          <w:lang w:val="es-ES"/>
        </w:rPr>
        <w:t>se realizó la pericia psicológica</w:t>
      </w:r>
      <w:r w:rsidR="002228CF" w:rsidRPr="004A50B7">
        <w:rPr>
          <w:rFonts w:asciiTheme="majorHAnsi" w:hAnsiTheme="majorHAnsi"/>
          <w:sz w:val="20"/>
          <w:szCs w:val="20"/>
          <w:lang w:val="es-ES"/>
        </w:rPr>
        <w:t xml:space="preserve"> de la presunta víctima</w:t>
      </w:r>
      <w:r w:rsidR="00023E92" w:rsidRPr="004A50B7">
        <w:rPr>
          <w:rFonts w:asciiTheme="majorHAnsi" w:hAnsiTheme="majorHAnsi"/>
          <w:sz w:val="20"/>
          <w:szCs w:val="20"/>
          <w:lang w:val="es-ES"/>
        </w:rPr>
        <w:t>.</w:t>
      </w:r>
      <w:r w:rsidR="003D0728" w:rsidRPr="004A50B7">
        <w:rPr>
          <w:rFonts w:asciiTheme="majorHAnsi" w:hAnsiTheme="majorHAnsi"/>
          <w:sz w:val="20"/>
          <w:szCs w:val="20"/>
          <w:lang w:val="es-ES"/>
        </w:rPr>
        <w:t xml:space="preserve"> E</w:t>
      </w:r>
      <w:r w:rsidR="0051196A" w:rsidRPr="004A50B7">
        <w:rPr>
          <w:rFonts w:asciiTheme="majorHAnsi" w:hAnsiTheme="majorHAnsi"/>
          <w:sz w:val="20"/>
          <w:szCs w:val="20"/>
          <w:lang w:val="es-ES"/>
        </w:rPr>
        <w:t>l 21 de junio de 2014, se tomó el prot</w:t>
      </w:r>
      <w:r w:rsidR="00080912" w:rsidRPr="004A50B7">
        <w:rPr>
          <w:rFonts w:asciiTheme="majorHAnsi" w:hAnsiTheme="majorHAnsi"/>
          <w:sz w:val="20"/>
          <w:szCs w:val="20"/>
          <w:lang w:val="es-ES"/>
        </w:rPr>
        <w:t xml:space="preserve">ocolo de pericia psicológica del imputado </w:t>
      </w:r>
      <w:r w:rsidR="003D0728" w:rsidRPr="004A50B7">
        <w:rPr>
          <w:rFonts w:asciiTheme="majorHAnsi" w:hAnsiTheme="majorHAnsi"/>
          <w:sz w:val="20"/>
          <w:szCs w:val="20"/>
          <w:lang w:val="es-ES"/>
        </w:rPr>
        <w:t>y de la presunta víctima</w:t>
      </w:r>
      <w:r w:rsidR="004F0A9B" w:rsidRPr="004A50B7">
        <w:rPr>
          <w:rFonts w:asciiTheme="majorHAnsi" w:hAnsiTheme="majorHAnsi"/>
          <w:sz w:val="20"/>
          <w:szCs w:val="20"/>
          <w:lang w:val="es-ES"/>
        </w:rPr>
        <w:t xml:space="preserve">. Posteriormente, el 4 de septiembre de 2014, se solicitó al Fiscal de la Primera Fiscalía Provincial Civil y Familia de Huánuco la formalización de la denuncia contra </w:t>
      </w:r>
      <w:r w:rsidR="00080912" w:rsidRPr="004A50B7">
        <w:rPr>
          <w:rFonts w:asciiTheme="majorHAnsi" w:hAnsiTheme="majorHAnsi"/>
          <w:sz w:val="20"/>
          <w:szCs w:val="20"/>
          <w:lang w:val="es-ES"/>
        </w:rPr>
        <w:t>el imputado</w:t>
      </w:r>
      <w:r w:rsidR="004F0A9B" w:rsidRPr="004A50B7">
        <w:rPr>
          <w:rFonts w:asciiTheme="majorHAnsi" w:hAnsiTheme="majorHAnsi"/>
          <w:sz w:val="20"/>
          <w:szCs w:val="20"/>
          <w:lang w:val="es-ES"/>
        </w:rPr>
        <w:t xml:space="preserve"> por la comisión de violación sexual</w:t>
      </w:r>
      <w:r w:rsidR="00B07000" w:rsidRPr="004A50B7">
        <w:rPr>
          <w:rFonts w:asciiTheme="majorHAnsi" w:hAnsiTheme="majorHAnsi"/>
          <w:sz w:val="20"/>
          <w:szCs w:val="20"/>
          <w:lang w:val="es-ES"/>
        </w:rPr>
        <w:t>. El 23 de diciembre de 2014</w:t>
      </w:r>
      <w:r w:rsidR="003D4929" w:rsidRPr="004A50B7">
        <w:rPr>
          <w:rFonts w:asciiTheme="majorHAnsi" w:hAnsiTheme="majorHAnsi"/>
          <w:sz w:val="20"/>
          <w:szCs w:val="20"/>
          <w:lang w:val="es-ES"/>
        </w:rPr>
        <w:t>, el Tribunal dispuso abrir investigación judicial en</w:t>
      </w:r>
      <w:r w:rsidR="00B07000" w:rsidRPr="004A50B7">
        <w:rPr>
          <w:rFonts w:asciiTheme="majorHAnsi" w:hAnsiTheme="majorHAnsi"/>
          <w:sz w:val="20"/>
          <w:szCs w:val="20"/>
          <w:lang w:val="es-ES"/>
        </w:rPr>
        <w:t xml:space="preserve"> contra </w:t>
      </w:r>
      <w:r w:rsidR="003D4929" w:rsidRPr="004A50B7">
        <w:rPr>
          <w:rFonts w:asciiTheme="majorHAnsi" w:hAnsiTheme="majorHAnsi"/>
          <w:sz w:val="20"/>
          <w:szCs w:val="20"/>
          <w:lang w:val="es-ES"/>
        </w:rPr>
        <w:t>d</w:t>
      </w:r>
      <w:r w:rsidR="00B07000" w:rsidRPr="004A50B7">
        <w:rPr>
          <w:rFonts w:asciiTheme="majorHAnsi" w:hAnsiTheme="majorHAnsi"/>
          <w:sz w:val="20"/>
          <w:szCs w:val="20"/>
          <w:lang w:val="es-ES"/>
        </w:rPr>
        <w:t>el imputado, disponiéndose como condición procesal su internamiento preventivo, encontrándose con órdenes de ubicación y captura.</w:t>
      </w:r>
      <w:r w:rsidR="004F0A9B" w:rsidRPr="004A50B7">
        <w:rPr>
          <w:rFonts w:asciiTheme="majorHAnsi" w:hAnsiTheme="majorHAnsi"/>
          <w:sz w:val="20"/>
          <w:szCs w:val="20"/>
          <w:lang w:val="es-ES"/>
        </w:rPr>
        <w:t xml:space="preserve"> Este fue capturado el 20 de julio de 2015, mientras se encontraba </w:t>
      </w:r>
      <w:r w:rsidR="003D0728" w:rsidRPr="004A50B7">
        <w:rPr>
          <w:rFonts w:asciiTheme="majorHAnsi" w:hAnsiTheme="majorHAnsi"/>
          <w:sz w:val="20"/>
          <w:szCs w:val="20"/>
          <w:lang w:val="es-ES"/>
        </w:rPr>
        <w:t>prófugo de la justicia</w:t>
      </w:r>
      <w:r w:rsidR="004F0A9B" w:rsidRPr="004A50B7">
        <w:rPr>
          <w:rFonts w:asciiTheme="majorHAnsi" w:hAnsiTheme="majorHAnsi"/>
          <w:sz w:val="20"/>
          <w:szCs w:val="20"/>
          <w:lang w:val="es-ES"/>
        </w:rPr>
        <w:t xml:space="preserve"> hasta tal momento</w:t>
      </w:r>
      <w:r w:rsidR="00DE73C4" w:rsidRPr="004A50B7">
        <w:rPr>
          <w:rFonts w:asciiTheme="majorHAnsi" w:hAnsiTheme="majorHAnsi"/>
          <w:sz w:val="20"/>
          <w:szCs w:val="20"/>
          <w:lang w:val="es-ES"/>
        </w:rPr>
        <w:t>, periodo durante el cual la presunta víctima seguía recibiendo amenazas del agresor mediante teléfono y a través de Facebook y otras redes sociales.</w:t>
      </w:r>
      <w:r w:rsidR="003D0728" w:rsidRPr="004A50B7">
        <w:rPr>
          <w:rFonts w:asciiTheme="majorHAnsi" w:hAnsiTheme="majorHAnsi"/>
          <w:sz w:val="20"/>
          <w:szCs w:val="20"/>
          <w:lang w:val="es-ES"/>
        </w:rPr>
        <w:t xml:space="preserve"> El 22 de julio de 2015, el Segundo Juzgado Especializado de Familia de Huánuco emitió </w:t>
      </w:r>
      <w:r w:rsidR="004F0A9B" w:rsidRPr="004A50B7">
        <w:rPr>
          <w:rFonts w:asciiTheme="majorHAnsi" w:hAnsiTheme="majorHAnsi"/>
          <w:sz w:val="20"/>
          <w:szCs w:val="20"/>
          <w:lang w:val="es-ES"/>
        </w:rPr>
        <w:t xml:space="preserve">sentencia en la cual </w:t>
      </w:r>
      <w:r w:rsidR="003D0728" w:rsidRPr="004A50B7">
        <w:rPr>
          <w:rFonts w:asciiTheme="majorHAnsi" w:hAnsiTheme="majorHAnsi"/>
          <w:sz w:val="20"/>
          <w:szCs w:val="20"/>
          <w:lang w:val="es-ES"/>
        </w:rPr>
        <w:t xml:space="preserve"> declaró la responsabilidad penal de</w:t>
      </w:r>
      <w:r w:rsidR="004F0A9B" w:rsidRPr="004A50B7">
        <w:rPr>
          <w:rFonts w:asciiTheme="majorHAnsi" w:hAnsiTheme="majorHAnsi"/>
          <w:sz w:val="20"/>
          <w:szCs w:val="20"/>
          <w:lang w:val="es-ES"/>
        </w:rPr>
        <w:t xml:space="preserve">l imputado </w:t>
      </w:r>
      <w:r w:rsidR="003D0728" w:rsidRPr="004A50B7">
        <w:rPr>
          <w:rFonts w:asciiTheme="majorHAnsi" w:hAnsiTheme="majorHAnsi"/>
          <w:sz w:val="20"/>
          <w:szCs w:val="20"/>
          <w:lang w:val="es-ES"/>
        </w:rPr>
        <w:t xml:space="preserve">por la violación sexual en agravio de </w:t>
      </w:r>
      <w:r w:rsidR="004F0A9B" w:rsidRPr="004A50B7">
        <w:rPr>
          <w:rFonts w:asciiTheme="majorHAnsi" w:hAnsiTheme="majorHAnsi"/>
          <w:sz w:val="20"/>
          <w:szCs w:val="20"/>
          <w:lang w:val="es-ES"/>
        </w:rPr>
        <w:t>la presunta víctima</w:t>
      </w:r>
      <w:r w:rsidR="003D0728" w:rsidRPr="004A50B7">
        <w:rPr>
          <w:rFonts w:asciiTheme="majorHAnsi" w:hAnsiTheme="majorHAnsi"/>
          <w:sz w:val="20"/>
          <w:szCs w:val="20"/>
          <w:lang w:val="es-ES"/>
        </w:rPr>
        <w:t xml:space="preserve">. Como al momento de los hechos el perpetrador tenía 17 años, el juzgado dispuso la medida socioeducativa de internación por el periodo de un año así como una reparación civil de 900 nuevos soles, a ser pagados a </w:t>
      </w:r>
      <w:r w:rsidR="007407FE" w:rsidRPr="004A50B7">
        <w:rPr>
          <w:rFonts w:asciiTheme="majorHAnsi" w:hAnsiTheme="majorHAnsi"/>
          <w:sz w:val="20"/>
          <w:szCs w:val="20"/>
          <w:lang w:val="es-ES"/>
        </w:rPr>
        <w:t>la presunta víctima</w:t>
      </w:r>
      <w:r w:rsidR="003D0728" w:rsidRPr="004A50B7">
        <w:rPr>
          <w:rFonts w:asciiTheme="majorHAnsi" w:hAnsiTheme="majorHAnsi"/>
          <w:sz w:val="20"/>
          <w:szCs w:val="20"/>
          <w:lang w:val="es-ES"/>
        </w:rPr>
        <w:t>.</w:t>
      </w:r>
      <w:r w:rsidR="00E22182" w:rsidRPr="004A50B7">
        <w:rPr>
          <w:rFonts w:asciiTheme="majorHAnsi" w:hAnsiTheme="majorHAnsi"/>
          <w:sz w:val="20"/>
          <w:szCs w:val="20"/>
          <w:lang w:val="es-ES"/>
        </w:rPr>
        <w:t xml:space="preserve"> Tras recurso de apelación presentado por el  imputado, e</w:t>
      </w:r>
      <w:r w:rsidR="0051196A" w:rsidRPr="004A50B7">
        <w:rPr>
          <w:rFonts w:asciiTheme="majorHAnsi" w:hAnsiTheme="majorHAnsi"/>
          <w:sz w:val="20"/>
          <w:szCs w:val="20"/>
          <w:lang w:val="es-ES"/>
        </w:rPr>
        <w:t>l  29 de octubre de 2015, la Corte Superior de Justicia de Huánuco, Sala Civil Transitoria</w:t>
      </w:r>
      <w:r w:rsidR="00D966DC" w:rsidRPr="004A50B7">
        <w:rPr>
          <w:rFonts w:asciiTheme="majorHAnsi" w:hAnsiTheme="majorHAnsi"/>
          <w:sz w:val="20"/>
          <w:szCs w:val="20"/>
          <w:lang w:val="es-ES"/>
        </w:rPr>
        <w:t>,</w:t>
      </w:r>
      <w:r w:rsidR="0051196A" w:rsidRPr="004A50B7">
        <w:rPr>
          <w:rFonts w:asciiTheme="majorHAnsi" w:hAnsiTheme="majorHAnsi"/>
          <w:sz w:val="20"/>
          <w:szCs w:val="20"/>
          <w:lang w:val="es-ES"/>
        </w:rPr>
        <w:t xml:space="preserve"> confirmó la sentencia de pri</w:t>
      </w:r>
      <w:r w:rsidR="00E22182" w:rsidRPr="004A50B7">
        <w:rPr>
          <w:rFonts w:asciiTheme="majorHAnsi" w:hAnsiTheme="majorHAnsi"/>
          <w:sz w:val="20"/>
          <w:szCs w:val="20"/>
          <w:lang w:val="es-ES"/>
        </w:rPr>
        <w:t xml:space="preserve">mera instancia, ratificando la </w:t>
      </w:r>
      <w:r w:rsidR="0051196A" w:rsidRPr="004A50B7">
        <w:rPr>
          <w:rFonts w:asciiTheme="majorHAnsi" w:hAnsiTheme="majorHAnsi"/>
          <w:sz w:val="20"/>
          <w:szCs w:val="20"/>
          <w:lang w:val="es-ES"/>
        </w:rPr>
        <w:t xml:space="preserve">condena y la medida socioeducativa </w:t>
      </w:r>
      <w:r w:rsidR="00E22182" w:rsidRPr="004A50B7">
        <w:rPr>
          <w:rFonts w:asciiTheme="majorHAnsi" w:hAnsiTheme="majorHAnsi"/>
          <w:sz w:val="20"/>
          <w:szCs w:val="20"/>
          <w:lang w:val="es-ES"/>
        </w:rPr>
        <w:t>ordenadas en primera instancia</w:t>
      </w:r>
      <w:r w:rsidR="00BA5CC0" w:rsidRPr="004A50B7">
        <w:rPr>
          <w:rStyle w:val="FootnoteReference"/>
          <w:rFonts w:asciiTheme="majorHAnsi" w:hAnsiTheme="majorHAnsi"/>
          <w:sz w:val="20"/>
          <w:szCs w:val="20"/>
          <w:lang w:val="es-ES"/>
        </w:rPr>
        <w:footnoteReference w:id="17"/>
      </w:r>
      <w:r w:rsidR="00E22182" w:rsidRPr="004A50B7">
        <w:rPr>
          <w:rFonts w:asciiTheme="majorHAnsi" w:hAnsiTheme="majorHAnsi"/>
          <w:sz w:val="20"/>
          <w:szCs w:val="20"/>
          <w:lang w:val="es-ES"/>
        </w:rPr>
        <w:t>.</w:t>
      </w:r>
      <w:r w:rsidR="00ED2EC6" w:rsidRPr="004A50B7">
        <w:rPr>
          <w:rFonts w:asciiTheme="majorHAnsi" w:hAnsiTheme="majorHAnsi"/>
          <w:sz w:val="20"/>
          <w:szCs w:val="20"/>
          <w:lang w:val="es-ES"/>
        </w:rPr>
        <w:t xml:space="preserve"> </w:t>
      </w:r>
      <w:r w:rsidR="00285ACE" w:rsidRPr="004A50B7">
        <w:rPr>
          <w:rFonts w:asciiTheme="majorHAnsi" w:hAnsiTheme="majorHAnsi"/>
          <w:sz w:val="20"/>
          <w:szCs w:val="20"/>
          <w:lang w:val="es-ES"/>
        </w:rPr>
        <w:t>La</w:t>
      </w:r>
      <w:r w:rsidR="00ED2EC6" w:rsidRPr="004A50B7">
        <w:rPr>
          <w:rFonts w:asciiTheme="majorHAnsi" w:hAnsiTheme="majorHAnsi"/>
          <w:sz w:val="20"/>
          <w:szCs w:val="20"/>
          <w:lang w:val="es-ES"/>
        </w:rPr>
        <w:t xml:space="preserve"> parte peticionaria indica que como la fiscalía no ejerció su facultad </w:t>
      </w:r>
      <w:r w:rsidR="00ED2EC6" w:rsidRPr="004A50B7">
        <w:rPr>
          <w:rFonts w:asciiTheme="majorHAnsi" w:hAnsiTheme="majorHAnsi"/>
          <w:i/>
          <w:sz w:val="20"/>
          <w:szCs w:val="20"/>
          <w:lang w:val="es-ES"/>
        </w:rPr>
        <w:t>ex officio</w:t>
      </w:r>
      <w:r w:rsidR="00ED2EC6" w:rsidRPr="004A50B7">
        <w:rPr>
          <w:rFonts w:asciiTheme="majorHAnsi" w:hAnsiTheme="majorHAnsi"/>
          <w:sz w:val="20"/>
          <w:szCs w:val="20"/>
          <w:lang w:val="es-ES"/>
        </w:rPr>
        <w:t xml:space="preserve"> de apelar la sentencia, e</w:t>
      </w:r>
      <w:r w:rsidR="00BD356E" w:rsidRPr="004A50B7">
        <w:rPr>
          <w:rFonts w:asciiTheme="majorHAnsi" w:hAnsiTheme="majorHAnsi"/>
          <w:sz w:val="20"/>
          <w:szCs w:val="20"/>
          <w:lang w:val="es-ES"/>
        </w:rPr>
        <w:t xml:space="preserve">sta </w:t>
      </w:r>
      <w:r w:rsidR="00ED2EC6" w:rsidRPr="004A50B7">
        <w:rPr>
          <w:rFonts w:asciiTheme="majorHAnsi" w:hAnsiTheme="majorHAnsi"/>
          <w:sz w:val="20"/>
          <w:szCs w:val="20"/>
          <w:lang w:val="es-ES"/>
        </w:rPr>
        <w:t xml:space="preserve">ha quedado firme así que se agotaron los recursos </w:t>
      </w:r>
      <w:r w:rsidR="00F954CD" w:rsidRPr="004A50B7">
        <w:rPr>
          <w:rFonts w:asciiTheme="majorHAnsi" w:hAnsiTheme="majorHAnsi"/>
          <w:sz w:val="20"/>
          <w:szCs w:val="20"/>
          <w:lang w:val="es-ES"/>
        </w:rPr>
        <w:t>internos</w:t>
      </w:r>
      <w:r w:rsidR="00ED2EC6" w:rsidRPr="004A50B7">
        <w:rPr>
          <w:rFonts w:asciiTheme="majorHAnsi" w:hAnsiTheme="majorHAnsi"/>
          <w:sz w:val="20"/>
          <w:szCs w:val="20"/>
          <w:lang w:val="es-ES"/>
        </w:rPr>
        <w:t>.</w:t>
      </w:r>
      <w:r w:rsidR="00BA5CC0" w:rsidRPr="004A50B7">
        <w:rPr>
          <w:rFonts w:asciiTheme="majorHAnsi" w:hAnsiTheme="majorHAnsi"/>
          <w:sz w:val="20"/>
          <w:szCs w:val="20"/>
          <w:lang w:val="es-ES"/>
        </w:rPr>
        <w:t xml:space="preserve"> El 18 de julio de 2016, el Juzgado de familia declaró rehabilitado al imputado y le restituy</w:t>
      </w:r>
      <w:r w:rsidR="00F43F1F" w:rsidRPr="004A50B7">
        <w:rPr>
          <w:rFonts w:asciiTheme="majorHAnsi" w:hAnsiTheme="majorHAnsi"/>
          <w:sz w:val="20"/>
          <w:szCs w:val="20"/>
          <w:lang w:val="es-ES"/>
        </w:rPr>
        <w:t>ó todos sus derechos sus</w:t>
      </w:r>
      <w:r w:rsidR="008B02D7" w:rsidRPr="004A50B7">
        <w:rPr>
          <w:rFonts w:asciiTheme="majorHAnsi" w:hAnsiTheme="majorHAnsi"/>
          <w:sz w:val="20"/>
          <w:szCs w:val="20"/>
          <w:lang w:val="es-ES"/>
        </w:rPr>
        <w:t xml:space="preserve">pendidos o restringidos, </w:t>
      </w:r>
      <w:r w:rsidR="005158E9" w:rsidRPr="004A50B7">
        <w:rPr>
          <w:rFonts w:asciiTheme="majorHAnsi" w:hAnsiTheme="majorHAnsi"/>
          <w:sz w:val="20"/>
          <w:szCs w:val="20"/>
          <w:lang w:val="es-ES"/>
        </w:rPr>
        <w:t>resolución</w:t>
      </w:r>
      <w:r w:rsidR="008B02D7" w:rsidRPr="004A50B7">
        <w:rPr>
          <w:rFonts w:asciiTheme="majorHAnsi" w:hAnsiTheme="majorHAnsi"/>
          <w:sz w:val="20"/>
          <w:szCs w:val="20"/>
          <w:lang w:val="es-ES"/>
        </w:rPr>
        <w:t xml:space="preserve"> confirmada el 2 de agosto de 2016.</w:t>
      </w:r>
    </w:p>
    <w:p w14:paraId="0D32F936" w14:textId="7315C194" w:rsidR="004C616A" w:rsidRPr="004A50B7" w:rsidRDefault="005F5783" w:rsidP="00BD35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 xml:space="preserve">Respecto de los demás perpetradores, </w:t>
      </w:r>
      <w:r w:rsidR="00271DA8" w:rsidRPr="004A50B7">
        <w:rPr>
          <w:rFonts w:asciiTheme="majorHAnsi" w:hAnsiTheme="majorHAnsi"/>
          <w:sz w:val="20"/>
          <w:szCs w:val="20"/>
          <w:lang w:val="es-ES"/>
        </w:rPr>
        <w:t xml:space="preserve">la parte peticionaria </w:t>
      </w:r>
      <w:r w:rsidRPr="004A50B7">
        <w:rPr>
          <w:rFonts w:asciiTheme="majorHAnsi" w:hAnsiTheme="majorHAnsi"/>
          <w:sz w:val="20"/>
          <w:szCs w:val="20"/>
          <w:lang w:val="es-ES"/>
        </w:rPr>
        <w:t>aduce que hasta la fecha</w:t>
      </w:r>
      <w:r w:rsidR="00B17F69" w:rsidRPr="004A50B7">
        <w:rPr>
          <w:rFonts w:asciiTheme="majorHAnsi" w:hAnsiTheme="majorHAnsi"/>
          <w:sz w:val="20"/>
          <w:szCs w:val="20"/>
          <w:lang w:val="es-ES"/>
        </w:rPr>
        <w:t xml:space="preserve"> d</w:t>
      </w:r>
      <w:r w:rsidR="001C67A7" w:rsidRPr="004A50B7">
        <w:rPr>
          <w:rFonts w:asciiTheme="majorHAnsi" w:hAnsiTheme="majorHAnsi"/>
          <w:sz w:val="20"/>
          <w:szCs w:val="20"/>
          <w:lang w:val="es-ES"/>
        </w:rPr>
        <w:t>e presentación d</w:t>
      </w:r>
      <w:r w:rsidR="00B17F69" w:rsidRPr="004A50B7">
        <w:rPr>
          <w:rFonts w:asciiTheme="majorHAnsi" w:hAnsiTheme="majorHAnsi"/>
          <w:sz w:val="20"/>
          <w:szCs w:val="20"/>
          <w:lang w:val="es-ES"/>
        </w:rPr>
        <w:t>e la petición</w:t>
      </w:r>
      <w:r w:rsidRPr="004A50B7">
        <w:rPr>
          <w:rFonts w:asciiTheme="majorHAnsi" w:hAnsiTheme="majorHAnsi"/>
          <w:sz w:val="20"/>
          <w:szCs w:val="20"/>
          <w:lang w:val="es-ES"/>
        </w:rPr>
        <w:t xml:space="preserve">, y a más de </w:t>
      </w:r>
      <w:r w:rsidR="00784717" w:rsidRPr="004A50B7">
        <w:rPr>
          <w:rFonts w:asciiTheme="majorHAnsi" w:hAnsiTheme="majorHAnsi"/>
          <w:sz w:val="20"/>
          <w:szCs w:val="20"/>
          <w:lang w:val="es-ES"/>
        </w:rPr>
        <w:t xml:space="preserve">2 </w:t>
      </w:r>
      <w:r w:rsidRPr="004A50B7">
        <w:rPr>
          <w:rFonts w:asciiTheme="majorHAnsi" w:hAnsiTheme="majorHAnsi"/>
          <w:sz w:val="20"/>
          <w:szCs w:val="20"/>
          <w:lang w:val="es-ES"/>
        </w:rPr>
        <w:t>año</w:t>
      </w:r>
      <w:r w:rsidR="00BD356E" w:rsidRPr="004A50B7">
        <w:rPr>
          <w:rFonts w:asciiTheme="majorHAnsi" w:hAnsiTheme="majorHAnsi"/>
          <w:sz w:val="20"/>
          <w:szCs w:val="20"/>
          <w:lang w:val="es-ES"/>
        </w:rPr>
        <w:t>s</w:t>
      </w:r>
      <w:r w:rsidRPr="004A50B7">
        <w:rPr>
          <w:rFonts w:asciiTheme="majorHAnsi" w:hAnsiTheme="majorHAnsi"/>
          <w:sz w:val="20"/>
          <w:szCs w:val="20"/>
          <w:lang w:val="es-ES"/>
        </w:rPr>
        <w:t xml:space="preserve"> de la ocurrencia de los hechos, ninguno ha sido localizado, judicializado o condenado por su participación en los hechos. Aduce </w:t>
      </w:r>
      <w:r w:rsidR="00C9039A" w:rsidRPr="004A50B7">
        <w:rPr>
          <w:rFonts w:asciiTheme="majorHAnsi" w:hAnsiTheme="majorHAnsi"/>
          <w:sz w:val="20"/>
          <w:szCs w:val="20"/>
          <w:lang w:val="es-ES"/>
        </w:rPr>
        <w:t>que</w:t>
      </w:r>
      <w:r w:rsidRPr="004A50B7">
        <w:rPr>
          <w:rFonts w:asciiTheme="majorHAnsi" w:hAnsiTheme="majorHAnsi"/>
          <w:sz w:val="20"/>
          <w:szCs w:val="20"/>
          <w:lang w:val="es-ES"/>
        </w:rPr>
        <w:t>, a pesar de las denuncias y testimonios otorgados por la víctima y sus familiares</w:t>
      </w:r>
      <w:r w:rsidR="00C9039A" w:rsidRPr="004A50B7">
        <w:rPr>
          <w:rFonts w:asciiTheme="majorHAnsi" w:hAnsiTheme="majorHAnsi"/>
          <w:sz w:val="20"/>
          <w:szCs w:val="20"/>
          <w:lang w:val="es-ES"/>
        </w:rPr>
        <w:t>, el Estado faltó en su deber de investigar diligentemente y realizar actuación procesal al respecto</w:t>
      </w:r>
      <w:r w:rsidRPr="004A50B7">
        <w:rPr>
          <w:rFonts w:asciiTheme="majorHAnsi" w:hAnsiTheme="majorHAnsi"/>
          <w:sz w:val="20"/>
          <w:szCs w:val="20"/>
          <w:lang w:val="es-ES"/>
        </w:rPr>
        <w:t>. Por lo tanto, argumenta que se aplica excepción prevista en el artículo 46</w:t>
      </w:r>
      <w:r w:rsidR="0071511A" w:rsidRPr="004A50B7">
        <w:rPr>
          <w:rFonts w:asciiTheme="majorHAnsi" w:hAnsiTheme="majorHAnsi"/>
          <w:sz w:val="20"/>
          <w:szCs w:val="20"/>
          <w:lang w:val="es-ES"/>
        </w:rPr>
        <w:t>.</w:t>
      </w:r>
      <w:r w:rsidRPr="004A50B7">
        <w:rPr>
          <w:rFonts w:asciiTheme="majorHAnsi" w:hAnsiTheme="majorHAnsi"/>
          <w:sz w:val="20"/>
          <w:szCs w:val="20"/>
          <w:lang w:val="es-ES"/>
        </w:rPr>
        <w:t>2</w:t>
      </w:r>
      <w:r w:rsidR="0071511A" w:rsidRPr="004A50B7">
        <w:rPr>
          <w:rFonts w:asciiTheme="majorHAnsi" w:hAnsiTheme="majorHAnsi"/>
          <w:sz w:val="20"/>
          <w:szCs w:val="20"/>
          <w:lang w:val="es-ES"/>
        </w:rPr>
        <w:t>.</w:t>
      </w:r>
      <w:r w:rsidRPr="004A50B7">
        <w:rPr>
          <w:rFonts w:asciiTheme="majorHAnsi" w:hAnsiTheme="majorHAnsi"/>
          <w:sz w:val="20"/>
          <w:szCs w:val="20"/>
          <w:lang w:val="es-ES"/>
        </w:rPr>
        <w:t>c de la Convención Americana.</w:t>
      </w:r>
    </w:p>
    <w:p w14:paraId="24B04ECB" w14:textId="77777777" w:rsidR="00FF7106" w:rsidRPr="004A50B7" w:rsidRDefault="00FF7106" w:rsidP="00FF7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
        </w:rPr>
      </w:pPr>
    </w:p>
    <w:p w14:paraId="6DD321A6" w14:textId="66FF129C" w:rsidR="000005A3" w:rsidRPr="004A50B7" w:rsidRDefault="00DE422B" w:rsidP="00E21E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lastRenderedPageBreak/>
        <w:t xml:space="preserve">Por su parte, el Estado </w:t>
      </w:r>
      <w:r w:rsidR="000005A3" w:rsidRPr="004A50B7">
        <w:rPr>
          <w:rFonts w:asciiTheme="majorHAnsi" w:hAnsiTheme="majorHAnsi"/>
          <w:sz w:val="20"/>
          <w:szCs w:val="20"/>
          <w:lang w:val="es-ES"/>
        </w:rPr>
        <w:t xml:space="preserve">solicita </w:t>
      </w:r>
      <w:r w:rsidR="00CB0246" w:rsidRPr="004A50B7">
        <w:rPr>
          <w:rFonts w:asciiTheme="majorHAnsi" w:hAnsiTheme="majorHAnsi"/>
          <w:sz w:val="20"/>
          <w:szCs w:val="20"/>
          <w:lang w:val="es-ES"/>
        </w:rPr>
        <w:t>se</w:t>
      </w:r>
      <w:r w:rsidR="000005A3" w:rsidRPr="004A50B7">
        <w:rPr>
          <w:rFonts w:asciiTheme="majorHAnsi" w:hAnsiTheme="majorHAnsi"/>
          <w:sz w:val="20"/>
          <w:szCs w:val="20"/>
          <w:lang w:val="es-ES"/>
        </w:rPr>
        <w:t xml:space="preserve"> declare la inadmisibilidad de la petición.</w:t>
      </w:r>
      <w:r w:rsidR="00ED0A5D" w:rsidRPr="004A50B7">
        <w:rPr>
          <w:rFonts w:asciiTheme="majorHAnsi" w:hAnsiTheme="majorHAnsi"/>
          <w:sz w:val="20"/>
          <w:szCs w:val="20"/>
          <w:lang w:val="es-ES"/>
        </w:rPr>
        <w:t xml:space="preserve"> </w:t>
      </w:r>
      <w:r w:rsidR="0062367D" w:rsidRPr="004A50B7">
        <w:rPr>
          <w:rFonts w:asciiTheme="majorHAnsi" w:hAnsiTheme="majorHAnsi"/>
          <w:sz w:val="20"/>
          <w:szCs w:val="20"/>
          <w:lang w:val="es-ES"/>
        </w:rPr>
        <w:t>En cuanto al proceso pen</w:t>
      </w:r>
      <w:r w:rsidR="00C9039A" w:rsidRPr="004A50B7">
        <w:rPr>
          <w:rFonts w:asciiTheme="majorHAnsi" w:hAnsiTheme="majorHAnsi"/>
          <w:sz w:val="20"/>
          <w:szCs w:val="20"/>
          <w:lang w:val="es-ES"/>
        </w:rPr>
        <w:t>al</w:t>
      </w:r>
      <w:r w:rsidR="0062367D" w:rsidRPr="004A50B7">
        <w:rPr>
          <w:rFonts w:asciiTheme="majorHAnsi" w:hAnsiTheme="majorHAnsi"/>
          <w:sz w:val="20"/>
          <w:szCs w:val="20"/>
          <w:lang w:val="es-ES"/>
        </w:rPr>
        <w:t>, e</w:t>
      </w:r>
      <w:r w:rsidR="000005A3" w:rsidRPr="004A50B7">
        <w:rPr>
          <w:rFonts w:asciiTheme="majorHAnsi" w:hAnsiTheme="majorHAnsi"/>
          <w:sz w:val="20"/>
          <w:szCs w:val="20"/>
          <w:lang w:val="es-ES"/>
        </w:rPr>
        <w:t xml:space="preserve">l Estado </w:t>
      </w:r>
      <w:r w:rsidR="00AB6686" w:rsidRPr="004A50B7">
        <w:rPr>
          <w:rFonts w:asciiTheme="majorHAnsi" w:hAnsiTheme="majorHAnsi"/>
          <w:sz w:val="20"/>
          <w:szCs w:val="20"/>
          <w:lang w:val="es-ES"/>
        </w:rPr>
        <w:t xml:space="preserve">alega que ha cumplido con investigar de </w:t>
      </w:r>
      <w:r w:rsidR="0043674C" w:rsidRPr="004A50B7">
        <w:rPr>
          <w:rFonts w:asciiTheme="majorHAnsi" w:hAnsiTheme="majorHAnsi"/>
          <w:sz w:val="20"/>
          <w:szCs w:val="20"/>
          <w:lang w:val="es-ES"/>
        </w:rPr>
        <w:t>manera</w:t>
      </w:r>
      <w:r w:rsidR="00AB6686" w:rsidRPr="004A50B7">
        <w:rPr>
          <w:rFonts w:asciiTheme="majorHAnsi" w:hAnsiTheme="majorHAnsi"/>
          <w:sz w:val="20"/>
          <w:szCs w:val="20"/>
          <w:lang w:val="es-ES"/>
        </w:rPr>
        <w:t xml:space="preserve"> seria, imparcial y efectiva, orientando la investigación a la determinación de la verdad, la persecución, captura, enjuiciamiento y eventual castigo de los autores de los hechos </w:t>
      </w:r>
      <w:r w:rsidR="0043674C" w:rsidRPr="004A50B7">
        <w:rPr>
          <w:rFonts w:asciiTheme="majorHAnsi" w:hAnsiTheme="majorHAnsi"/>
          <w:sz w:val="20"/>
          <w:szCs w:val="20"/>
          <w:lang w:val="es-ES"/>
        </w:rPr>
        <w:t>delictivos</w:t>
      </w:r>
      <w:r w:rsidR="00AB6686" w:rsidRPr="004A50B7">
        <w:rPr>
          <w:rFonts w:asciiTheme="majorHAnsi" w:hAnsiTheme="majorHAnsi"/>
          <w:sz w:val="20"/>
          <w:szCs w:val="20"/>
          <w:lang w:val="es-ES"/>
        </w:rPr>
        <w:t>.</w:t>
      </w:r>
      <w:r w:rsidR="00DB3A58" w:rsidRPr="004A50B7">
        <w:rPr>
          <w:rFonts w:asciiTheme="majorHAnsi" w:hAnsiTheme="majorHAnsi"/>
          <w:sz w:val="20"/>
          <w:szCs w:val="20"/>
          <w:lang w:val="es-ES"/>
        </w:rPr>
        <w:t xml:space="preserve"> </w:t>
      </w:r>
      <w:r w:rsidR="00741A11" w:rsidRPr="004A50B7">
        <w:rPr>
          <w:rFonts w:asciiTheme="majorHAnsi" w:hAnsiTheme="majorHAnsi"/>
          <w:sz w:val="20"/>
          <w:szCs w:val="20"/>
          <w:lang w:val="es-ES"/>
        </w:rPr>
        <w:t>A</w:t>
      </w:r>
      <w:r w:rsidR="000005A3" w:rsidRPr="004A50B7">
        <w:rPr>
          <w:rFonts w:asciiTheme="majorHAnsi" w:hAnsiTheme="majorHAnsi"/>
          <w:sz w:val="20"/>
          <w:szCs w:val="20"/>
          <w:lang w:val="es-ES"/>
        </w:rPr>
        <w:t>duce que</w:t>
      </w:r>
      <w:r w:rsidR="00DA0855" w:rsidRPr="004A50B7">
        <w:rPr>
          <w:rFonts w:asciiTheme="majorHAnsi" w:hAnsiTheme="majorHAnsi"/>
          <w:sz w:val="20"/>
          <w:szCs w:val="20"/>
          <w:lang w:val="es-ES"/>
        </w:rPr>
        <w:t xml:space="preserve">, </w:t>
      </w:r>
      <w:r w:rsidR="004141BD" w:rsidRPr="004A50B7">
        <w:rPr>
          <w:rFonts w:asciiTheme="majorHAnsi" w:hAnsiTheme="majorHAnsi"/>
          <w:sz w:val="20"/>
          <w:szCs w:val="20"/>
          <w:lang w:val="es-ES"/>
        </w:rPr>
        <w:t>particularmente</w:t>
      </w:r>
      <w:r w:rsidR="00DA0855" w:rsidRPr="004A50B7">
        <w:rPr>
          <w:rFonts w:asciiTheme="majorHAnsi" w:hAnsiTheme="majorHAnsi"/>
          <w:sz w:val="20"/>
          <w:szCs w:val="20"/>
          <w:lang w:val="es-ES"/>
        </w:rPr>
        <w:t xml:space="preserve"> ante la ausencia de testigos,</w:t>
      </w:r>
      <w:r w:rsidR="003F4B41" w:rsidRPr="004A50B7">
        <w:rPr>
          <w:rFonts w:asciiTheme="majorHAnsi" w:hAnsiTheme="majorHAnsi"/>
          <w:sz w:val="20"/>
          <w:szCs w:val="20"/>
          <w:lang w:val="es-ES"/>
        </w:rPr>
        <w:t xml:space="preserve"> se agotaron las </w:t>
      </w:r>
      <w:r w:rsidR="000005A3" w:rsidRPr="004A50B7">
        <w:rPr>
          <w:rFonts w:asciiTheme="majorHAnsi" w:hAnsiTheme="majorHAnsi"/>
          <w:sz w:val="20"/>
          <w:szCs w:val="20"/>
          <w:lang w:val="es-ES"/>
        </w:rPr>
        <w:t xml:space="preserve">pruebas </w:t>
      </w:r>
      <w:r w:rsidR="003F4B41" w:rsidRPr="004A50B7">
        <w:rPr>
          <w:rFonts w:asciiTheme="majorHAnsi" w:hAnsiTheme="majorHAnsi"/>
          <w:sz w:val="20"/>
          <w:szCs w:val="20"/>
          <w:lang w:val="es-ES"/>
        </w:rPr>
        <w:t>científicas que se podía hacer</w:t>
      </w:r>
      <w:r w:rsidR="001C2571" w:rsidRPr="004A50B7">
        <w:rPr>
          <w:rStyle w:val="FootnoteReference"/>
          <w:rFonts w:asciiTheme="majorHAnsi" w:hAnsiTheme="majorHAnsi"/>
          <w:sz w:val="20"/>
          <w:szCs w:val="20"/>
          <w:lang w:val="es-ES"/>
        </w:rPr>
        <w:footnoteReference w:id="18"/>
      </w:r>
      <w:r w:rsidR="003F4B41" w:rsidRPr="004A50B7">
        <w:rPr>
          <w:rFonts w:asciiTheme="majorHAnsi" w:hAnsiTheme="majorHAnsi"/>
          <w:sz w:val="20"/>
          <w:szCs w:val="20"/>
          <w:lang w:val="es-ES"/>
        </w:rPr>
        <w:t>, pero que de ella</w:t>
      </w:r>
      <w:r w:rsidR="007D7CC6" w:rsidRPr="004A50B7">
        <w:rPr>
          <w:rFonts w:asciiTheme="majorHAnsi" w:hAnsiTheme="majorHAnsi"/>
          <w:sz w:val="20"/>
          <w:szCs w:val="20"/>
          <w:lang w:val="es-ES"/>
        </w:rPr>
        <w:t>s</w:t>
      </w:r>
      <w:r w:rsidR="000005A3" w:rsidRPr="004A50B7">
        <w:rPr>
          <w:rFonts w:asciiTheme="majorHAnsi" w:hAnsiTheme="majorHAnsi"/>
          <w:sz w:val="20"/>
          <w:szCs w:val="20"/>
          <w:lang w:val="es-ES"/>
        </w:rPr>
        <w:t xml:space="preserve"> no se pudo </w:t>
      </w:r>
      <w:r w:rsidR="003F0EC9" w:rsidRPr="004A50B7">
        <w:rPr>
          <w:rFonts w:asciiTheme="majorHAnsi" w:hAnsiTheme="majorHAnsi"/>
          <w:sz w:val="20"/>
          <w:szCs w:val="20"/>
          <w:lang w:val="es-ES"/>
        </w:rPr>
        <w:t>obtener un resultado que permitiera dar indicios sobre la participación de los supuestos agresores con el fin de investigarlos.</w:t>
      </w:r>
      <w:r w:rsidR="00741A11" w:rsidRPr="004A50B7">
        <w:rPr>
          <w:rFonts w:asciiTheme="majorHAnsi" w:hAnsiTheme="majorHAnsi"/>
          <w:sz w:val="20"/>
          <w:szCs w:val="20"/>
          <w:lang w:val="es-ES"/>
        </w:rPr>
        <w:t xml:space="preserve"> Esta situación no supone un incumplimiento de las obligaciones del Estado en materia de investigación de los hechos, toda vez que la misma es una de medios y no de resultados.</w:t>
      </w:r>
      <w:r w:rsidR="0029497B" w:rsidRPr="004A50B7">
        <w:rPr>
          <w:rFonts w:asciiTheme="majorHAnsi" w:hAnsiTheme="majorHAnsi"/>
          <w:sz w:val="20"/>
          <w:szCs w:val="20"/>
          <w:lang w:val="es-ES"/>
        </w:rPr>
        <w:t xml:space="preserve"> Asimismo, la apelación de una sentencia </w:t>
      </w:r>
      <w:r w:rsidR="00BD4124" w:rsidRPr="004A50B7">
        <w:rPr>
          <w:rFonts w:asciiTheme="majorHAnsi" w:hAnsiTheme="majorHAnsi"/>
          <w:sz w:val="20"/>
          <w:szCs w:val="20"/>
          <w:lang w:val="es-ES"/>
        </w:rPr>
        <w:t xml:space="preserve">condenatoria </w:t>
      </w:r>
      <w:r w:rsidR="0029497B" w:rsidRPr="004A50B7">
        <w:rPr>
          <w:rFonts w:asciiTheme="majorHAnsi" w:hAnsiTheme="majorHAnsi"/>
          <w:sz w:val="20"/>
          <w:szCs w:val="20"/>
          <w:lang w:val="es-ES"/>
        </w:rPr>
        <w:t xml:space="preserve">no es un deber </w:t>
      </w:r>
      <w:r w:rsidR="0029497B" w:rsidRPr="004A50B7">
        <w:rPr>
          <w:rFonts w:asciiTheme="majorHAnsi" w:hAnsiTheme="majorHAnsi"/>
          <w:i/>
          <w:sz w:val="20"/>
          <w:szCs w:val="20"/>
          <w:lang w:val="es-ES"/>
        </w:rPr>
        <w:t>ex oficio</w:t>
      </w:r>
      <w:r w:rsidR="0029497B" w:rsidRPr="004A50B7">
        <w:rPr>
          <w:rFonts w:asciiTheme="majorHAnsi" w:hAnsiTheme="majorHAnsi"/>
          <w:sz w:val="20"/>
          <w:szCs w:val="20"/>
          <w:lang w:val="es-ES"/>
        </w:rPr>
        <w:t xml:space="preserve"> como se argumenta, sino es una facultad discrecional que ejerce el fiscal, tomando en cuenta varios factores. El Ministerio público optó por no apelar </w:t>
      </w:r>
      <w:r w:rsidR="007519E2" w:rsidRPr="004A50B7">
        <w:rPr>
          <w:rFonts w:asciiTheme="majorHAnsi" w:hAnsiTheme="majorHAnsi"/>
          <w:sz w:val="20"/>
          <w:szCs w:val="20"/>
          <w:lang w:val="es-ES"/>
        </w:rPr>
        <w:t>la</w:t>
      </w:r>
      <w:r w:rsidR="0029497B" w:rsidRPr="004A50B7">
        <w:rPr>
          <w:rFonts w:asciiTheme="majorHAnsi" w:hAnsiTheme="majorHAnsi"/>
          <w:sz w:val="20"/>
          <w:szCs w:val="20"/>
          <w:lang w:val="es-ES"/>
        </w:rPr>
        <w:t xml:space="preserve"> sentencia en contra del i</w:t>
      </w:r>
      <w:r w:rsidR="00790D1F" w:rsidRPr="004A50B7">
        <w:rPr>
          <w:rFonts w:asciiTheme="majorHAnsi" w:hAnsiTheme="majorHAnsi"/>
          <w:sz w:val="20"/>
          <w:szCs w:val="20"/>
          <w:lang w:val="es-ES"/>
        </w:rPr>
        <w:t>mputado al considerar que cumplía</w:t>
      </w:r>
      <w:r w:rsidR="0029497B" w:rsidRPr="004A50B7">
        <w:rPr>
          <w:rFonts w:asciiTheme="majorHAnsi" w:hAnsiTheme="majorHAnsi"/>
          <w:sz w:val="20"/>
          <w:szCs w:val="20"/>
          <w:lang w:val="es-ES"/>
        </w:rPr>
        <w:t xml:space="preserve"> armoniosamente con satisfacer las obligaciones del Estado y los diversos intereses in juego.</w:t>
      </w:r>
      <w:r w:rsidR="00741A11" w:rsidRPr="004A50B7">
        <w:rPr>
          <w:rFonts w:asciiTheme="majorHAnsi" w:hAnsiTheme="majorHAnsi"/>
          <w:sz w:val="20"/>
          <w:szCs w:val="20"/>
          <w:lang w:val="es-ES"/>
        </w:rPr>
        <w:t xml:space="preserve"> Así, que</w:t>
      </w:r>
      <w:r w:rsidR="00ED0A5D" w:rsidRPr="004A50B7">
        <w:rPr>
          <w:rFonts w:asciiTheme="majorHAnsi" w:hAnsiTheme="majorHAnsi"/>
          <w:sz w:val="20"/>
          <w:szCs w:val="20"/>
          <w:lang w:val="es-ES"/>
        </w:rPr>
        <w:t>da</w:t>
      </w:r>
      <w:r w:rsidR="00741A11" w:rsidRPr="004A50B7">
        <w:rPr>
          <w:rFonts w:asciiTheme="majorHAnsi" w:hAnsiTheme="majorHAnsi"/>
          <w:sz w:val="20"/>
          <w:szCs w:val="20"/>
          <w:lang w:val="es-ES"/>
        </w:rPr>
        <w:t xml:space="preserve"> claro que el cuestionamiento a las decisiones judiciales emitidas por los órganos jurisdiccionales competentes no se encuentra debidamente sustentado y, únicamente, se halla apoyado en la mera disconformidad con el resultado obtenido</w:t>
      </w:r>
      <w:r w:rsidR="001A60DC" w:rsidRPr="004A50B7">
        <w:rPr>
          <w:rFonts w:asciiTheme="majorHAnsi" w:hAnsiTheme="majorHAnsi"/>
          <w:sz w:val="20"/>
          <w:szCs w:val="20"/>
          <w:lang w:val="es-ES"/>
        </w:rPr>
        <w:t xml:space="preserve">; la parte peticionaria </w:t>
      </w:r>
      <w:r w:rsidR="00AE302C" w:rsidRPr="004A50B7">
        <w:rPr>
          <w:rFonts w:asciiTheme="majorHAnsi" w:hAnsiTheme="majorHAnsi"/>
          <w:sz w:val="20"/>
          <w:szCs w:val="20"/>
          <w:lang w:val="es-ES"/>
        </w:rPr>
        <w:t>pretende que</w:t>
      </w:r>
      <w:r w:rsidR="00ED0A5D" w:rsidRPr="004A50B7">
        <w:rPr>
          <w:rFonts w:asciiTheme="majorHAnsi" w:hAnsiTheme="majorHAnsi"/>
          <w:sz w:val="20"/>
          <w:szCs w:val="20"/>
          <w:lang w:val="es-ES"/>
        </w:rPr>
        <w:t xml:space="preserve"> la CIDH </w:t>
      </w:r>
      <w:r w:rsidR="001A60DC" w:rsidRPr="004A50B7">
        <w:rPr>
          <w:rFonts w:asciiTheme="majorHAnsi" w:hAnsiTheme="majorHAnsi"/>
          <w:sz w:val="20"/>
          <w:szCs w:val="20"/>
          <w:lang w:val="es-ES"/>
        </w:rPr>
        <w:t>actué</w:t>
      </w:r>
      <w:r w:rsidR="00ED0A5D" w:rsidRPr="004A50B7">
        <w:rPr>
          <w:rFonts w:asciiTheme="majorHAnsi" w:hAnsiTheme="majorHAnsi"/>
          <w:sz w:val="20"/>
          <w:szCs w:val="20"/>
          <w:lang w:val="es-ES"/>
        </w:rPr>
        <w:t xml:space="preserve"> como </w:t>
      </w:r>
      <w:r w:rsidR="003A59CF" w:rsidRPr="004A50B7">
        <w:rPr>
          <w:rFonts w:asciiTheme="majorHAnsi" w:hAnsiTheme="majorHAnsi"/>
          <w:sz w:val="20"/>
          <w:szCs w:val="20"/>
          <w:lang w:val="es-ES"/>
        </w:rPr>
        <w:t xml:space="preserve">un </w:t>
      </w:r>
      <w:r w:rsidR="00ED0A5D" w:rsidRPr="004A50B7">
        <w:rPr>
          <w:rFonts w:asciiTheme="majorHAnsi" w:hAnsiTheme="majorHAnsi"/>
          <w:sz w:val="20"/>
          <w:szCs w:val="20"/>
          <w:lang w:val="es-ES"/>
        </w:rPr>
        <w:t>tribunal de cuarta instancia</w:t>
      </w:r>
      <w:r w:rsidR="003E78EF" w:rsidRPr="004A50B7">
        <w:rPr>
          <w:rFonts w:asciiTheme="majorHAnsi" w:hAnsiTheme="majorHAnsi"/>
          <w:sz w:val="20"/>
          <w:szCs w:val="20"/>
          <w:lang w:val="es-ES"/>
        </w:rPr>
        <w:t>.</w:t>
      </w:r>
    </w:p>
    <w:p w14:paraId="3B842305" w14:textId="07170C42" w:rsidR="003E78EF" w:rsidRPr="004A50B7" w:rsidRDefault="00A43226" w:rsidP="00975C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 xml:space="preserve">Asimismo, el Estado aduce que la petición no cumple con el requisito relativo al agotamiento de los recursos de jurisdicción interna. Alega que la parte peticionaria tenia disponible el </w:t>
      </w:r>
      <w:r w:rsidR="00E41068" w:rsidRPr="004A50B7">
        <w:rPr>
          <w:rFonts w:asciiTheme="majorHAnsi" w:hAnsiTheme="majorHAnsi"/>
          <w:sz w:val="20"/>
          <w:szCs w:val="20"/>
          <w:lang w:val="es-ES"/>
        </w:rPr>
        <w:t>recurso de</w:t>
      </w:r>
      <w:r w:rsidR="00EB74C4" w:rsidRPr="004A50B7">
        <w:rPr>
          <w:rFonts w:asciiTheme="majorHAnsi" w:hAnsiTheme="majorHAnsi"/>
          <w:sz w:val="20"/>
          <w:szCs w:val="20"/>
          <w:lang w:val="es-ES"/>
        </w:rPr>
        <w:t xml:space="preserve"> </w:t>
      </w:r>
      <w:r w:rsidRPr="004A50B7">
        <w:rPr>
          <w:rFonts w:asciiTheme="majorHAnsi" w:hAnsiTheme="majorHAnsi"/>
          <w:sz w:val="20"/>
          <w:szCs w:val="20"/>
          <w:lang w:val="es-ES"/>
        </w:rPr>
        <w:t>amparo, proceso teniendo como finalidad la tutela rápida y efectiva de derechos fundamentales, como salud e igualdad.</w:t>
      </w:r>
      <w:r w:rsidR="00821CDD" w:rsidRPr="004A50B7">
        <w:rPr>
          <w:rFonts w:asciiTheme="majorHAnsi" w:hAnsiTheme="majorHAnsi"/>
          <w:sz w:val="20"/>
          <w:szCs w:val="20"/>
          <w:lang w:val="es-ES"/>
        </w:rPr>
        <w:t xml:space="preserve"> Asimismo, a fin de evitar que determinados hechos violatorios a derechos fundamentales se conviertan en irreparables, debido a la urgencia del mismo, se ha incorporado la posibilidad de dictar medidas cautelares a fin de suspender el acto violatorio.</w:t>
      </w:r>
      <w:r w:rsidR="00E74A3F" w:rsidRPr="004A50B7">
        <w:rPr>
          <w:rFonts w:asciiTheme="majorHAnsi" w:hAnsiTheme="majorHAnsi"/>
          <w:sz w:val="20"/>
          <w:szCs w:val="20"/>
          <w:lang w:val="es-ES"/>
        </w:rPr>
        <w:t xml:space="preserve"> Así que existe une disponibilidad formal de un recurso idóneo</w:t>
      </w:r>
      <w:r w:rsidR="001E5B7B" w:rsidRPr="004A50B7">
        <w:rPr>
          <w:rFonts w:asciiTheme="majorHAnsi" w:hAnsiTheme="majorHAnsi"/>
          <w:sz w:val="20"/>
          <w:szCs w:val="20"/>
          <w:lang w:val="es-ES"/>
        </w:rPr>
        <w:t>, que no es un recurso extraordinario sino un proceso constitucional formal</w:t>
      </w:r>
      <w:r w:rsidR="00E74A3F" w:rsidRPr="004A50B7">
        <w:rPr>
          <w:rFonts w:asciiTheme="majorHAnsi" w:hAnsiTheme="majorHAnsi"/>
          <w:sz w:val="20"/>
          <w:szCs w:val="20"/>
          <w:lang w:val="es-ES"/>
        </w:rPr>
        <w:t>.</w:t>
      </w:r>
      <w:r w:rsidR="00027197" w:rsidRPr="004A50B7">
        <w:rPr>
          <w:rFonts w:asciiTheme="majorHAnsi" w:hAnsiTheme="majorHAnsi"/>
          <w:sz w:val="20"/>
          <w:szCs w:val="20"/>
          <w:lang w:val="es-ES"/>
        </w:rPr>
        <w:t xml:space="preserve"> </w:t>
      </w:r>
      <w:r w:rsidR="00A528A9" w:rsidRPr="004A50B7">
        <w:rPr>
          <w:rFonts w:asciiTheme="majorHAnsi" w:hAnsiTheme="majorHAnsi"/>
          <w:sz w:val="20"/>
          <w:szCs w:val="20"/>
          <w:lang w:val="es-ES"/>
        </w:rPr>
        <w:t>En este sentido</w:t>
      </w:r>
      <w:r w:rsidR="00027197" w:rsidRPr="004A50B7">
        <w:rPr>
          <w:rFonts w:asciiTheme="majorHAnsi" w:hAnsiTheme="majorHAnsi"/>
          <w:sz w:val="20"/>
          <w:szCs w:val="20"/>
          <w:lang w:val="es-ES"/>
        </w:rPr>
        <w:t xml:space="preserve">, </w:t>
      </w:r>
      <w:r w:rsidR="00A528A9" w:rsidRPr="004A50B7">
        <w:rPr>
          <w:rFonts w:asciiTheme="majorHAnsi" w:hAnsiTheme="majorHAnsi"/>
          <w:sz w:val="20"/>
          <w:szCs w:val="20"/>
          <w:lang w:val="es-ES"/>
        </w:rPr>
        <w:t xml:space="preserve">el Estado hace referencia a una resolución emitida por el Primer Juzgado </w:t>
      </w:r>
      <w:r w:rsidR="00C06DAD" w:rsidRPr="004A50B7">
        <w:rPr>
          <w:rFonts w:asciiTheme="majorHAnsi" w:hAnsiTheme="majorHAnsi"/>
          <w:sz w:val="20"/>
          <w:szCs w:val="20"/>
          <w:lang w:val="es-ES"/>
        </w:rPr>
        <w:t>Constitucional de la Corte Superior de Lima</w:t>
      </w:r>
      <w:r w:rsidR="00B1427E" w:rsidRPr="004A50B7">
        <w:rPr>
          <w:rFonts w:asciiTheme="majorHAnsi" w:hAnsiTheme="majorHAnsi"/>
          <w:sz w:val="20"/>
          <w:szCs w:val="20"/>
          <w:lang w:val="es-ES"/>
        </w:rPr>
        <w:t xml:space="preserve"> el 19 de junio de 2016</w:t>
      </w:r>
      <w:r w:rsidR="00C06DAD" w:rsidRPr="004A50B7">
        <w:rPr>
          <w:rFonts w:asciiTheme="majorHAnsi" w:hAnsiTheme="majorHAnsi"/>
          <w:sz w:val="20"/>
          <w:szCs w:val="20"/>
          <w:lang w:val="es-ES"/>
        </w:rPr>
        <w:t>, mediante la cual se declaró procedente una medida cautelar ordenando en consecuencia al Ministerio de Salud que, en un plazo de 30 días, distribuya de manera gratuita, en todos los centros de salud a nivel nacional</w:t>
      </w:r>
      <w:r w:rsidR="00EB74C4" w:rsidRPr="004A50B7">
        <w:rPr>
          <w:rFonts w:asciiTheme="majorHAnsi" w:hAnsiTheme="majorHAnsi"/>
          <w:sz w:val="20"/>
          <w:szCs w:val="20"/>
          <w:lang w:val="es-ES"/>
        </w:rPr>
        <w:t>,</w:t>
      </w:r>
      <w:r w:rsidR="00255C7D" w:rsidRPr="004A50B7">
        <w:rPr>
          <w:rFonts w:asciiTheme="majorHAnsi" w:hAnsiTheme="majorHAnsi"/>
          <w:sz w:val="20"/>
          <w:szCs w:val="20"/>
          <w:lang w:val="es-ES"/>
        </w:rPr>
        <w:t xml:space="preserve"> el AOE.</w:t>
      </w:r>
      <w:r w:rsidR="00100CF7" w:rsidRPr="004A50B7">
        <w:rPr>
          <w:rFonts w:asciiTheme="majorHAnsi" w:hAnsiTheme="majorHAnsi"/>
          <w:sz w:val="20"/>
          <w:szCs w:val="20"/>
          <w:lang w:val="es-ES"/>
        </w:rPr>
        <w:t xml:space="preserve"> El Estado alega que le Ministerio de Salud se ha conformado a dicha resolución.</w:t>
      </w:r>
      <w:r w:rsidR="00CC4A0A" w:rsidRPr="004A50B7">
        <w:rPr>
          <w:rFonts w:asciiTheme="majorHAnsi" w:hAnsiTheme="majorHAnsi"/>
          <w:sz w:val="20"/>
          <w:szCs w:val="20"/>
          <w:lang w:val="es-ES"/>
        </w:rPr>
        <w:t xml:space="preserve"> Asimismo, </w:t>
      </w:r>
      <w:r w:rsidR="009E263B" w:rsidRPr="004A50B7">
        <w:rPr>
          <w:rFonts w:asciiTheme="majorHAnsi" w:hAnsiTheme="majorHAnsi"/>
          <w:sz w:val="20"/>
          <w:szCs w:val="20"/>
          <w:lang w:val="es-ES"/>
        </w:rPr>
        <w:t xml:space="preserve">indica que </w:t>
      </w:r>
      <w:r w:rsidR="00CC4A0A" w:rsidRPr="004A50B7">
        <w:rPr>
          <w:rFonts w:asciiTheme="majorHAnsi" w:hAnsiTheme="majorHAnsi"/>
          <w:sz w:val="20"/>
          <w:szCs w:val="20"/>
          <w:lang w:val="es-ES"/>
        </w:rPr>
        <w:t xml:space="preserve">el 2 de julio de 2019, el Primer Juzgado Constitucional de Lima emitió una resolución </w:t>
      </w:r>
      <w:r w:rsidR="009E263B" w:rsidRPr="004A50B7">
        <w:rPr>
          <w:rFonts w:asciiTheme="majorHAnsi" w:hAnsiTheme="majorHAnsi"/>
          <w:sz w:val="20"/>
          <w:szCs w:val="20"/>
          <w:lang w:val="es-ES"/>
        </w:rPr>
        <w:t>ordenando al Ministerio de salud a informar y distribuir en forma gratuita el anticonceptivo oral de emergencia</w:t>
      </w:r>
      <w:r w:rsidR="00CE63DE" w:rsidRPr="004A50B7">
        <w:rPr>
          <w:rFonts w:asciiTheme="majorHAnsi" w:hAnsiTheme="majorHAnsi"/>
          <w:sz w:val="20"/>
          <w:szCs w:val="20"/>
          <w:lang w:val="es-ES"/>
        </w:rPr>
        <w:t xml:space="preserve">, advirtiendo </w:t>
      </w:r>
      <w:r w:rsidR="00975C88" w:rsidRPr="004A50B7">
        <w:rPr>
          <w:rFonts w:asciiTheme="majorHAnsi" w:hAnsiTheme="majorHAnsi"/>
          <w:sz w:val="20"/>
          <w:szCs w:val="20"/>
          <w:lang w:val="es-ES"/>
        </w:rPr>
        <w:t xml:space="preserve">que la decisión del Tribunal Constitucional 2005-2009-PA/TC del 26 de octubre de 2009 contravenía el criterio establecido por la Corte IDH en el caso </w:t>
      </w:r>
      <w:r w:rsidR="00975C88" w:rsidRPr="004A50B7">
        <w:rPr>
          <w:rFonts w:asciiTheme="majorHAnsi" w:hAnsiTheme="majorHAnsi"/>
          <w:i/>
          <w:sz w:val="20"/>
          <w:szCs w:val="20"/>
          <w:lang w:val="es-ES"/>
        </w:rPr>
        <w:t>Artavia Murillo y otros c. Costa Rica</w:t>
      </w:r>
      <w:r w:rsidR="00975C88" w:rsidRPr="004A50B7">
        <w:rPr>
          <w:rFonts w:asciiTheme="majorHAnsi" w:hAnsiTheme="majorHAnsi"/>
          <w:sz w:val="20"/>
          <w:szCs w:val="20"/>
          <w:lang w:val="es-ES"/>
        </w:rPr>
        <w:t>.</w:t>
      </w:r>
    </w:p>
    <w:p w14:paraId="04396C74" w14:textId="26187D3B" w:rsidR="00EB7C44" w:rsidRPr="004A50B7" w:rsidRDefault="00497BE0"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Finalmente</w:t>
      </w:r>
      <w:r w:rsidR="006D44AC" w:rsidRPr="004A50B7">
        <w:rPr>
          <w:rFonts w:asciiTheme="majorHAnsi" w:hAnsiTheme="majorHAnsi"/>
          <w:sz w:val="20"/>
          <w:szCs w:val="20"/>
          <w:lang w:val="es-ES"/>
        </w:rPr>
        <w:t xml:space="preserve">, el Estado señala que si bien la Declaración Americana </w:t>
      </w:r>
      <w:r w:rsidR="00EB6700" w:rsidRPr="004A50B7">
        <w:rPr>
          <w:rFonts w:asciiTheme="majorHAnsi" w:hAnsiTheme="majorHAnsi"/>
          <w:sz w:val="20"/>
          <w:szCs w:val="20"/>
          <w:lang w:val="es-ES"/>
        </w:rPr>
        <w:t>de los Derechos y Deberes del Hombre</w:t>
      </w:r>
      <w:r w:rsidR="006D44AC" w:rsidRPr="004A50B7">
        <w:rPr>
          <w:rFonts w:asciiTheme="majorHAnsi" w:hAnsiTheme="majorHAnsi"/>
          <w:sz w:val="20"/>
          <w:szCs w:val="20"/>
          <w:lang w:val="es-ES"/>
        </w:rPr>
        <w:t xml:space="preserve"> puede ser empleada por la CIDH para interpretar la Convención, no puede servir como fuente para alegar afectaciones de forma directa a alguna de sus disposiciones.</w:t>
      </w:r>
      <w:r w:rsidR="00715687" w:rsidRPr="004A50B7">
        <w:rPr>
          <w:rFonts w:asciiTheme="majorHAnsi" w:hAnsiTheme="majorHAnsi"/>
          <w:sz w:val="20"/>
          <w:szCs w:val="20"/>
          <w:lang w:val="es-ES"/>
        </w:rPr>
        <w:t xml:space="preserve"> Al respecto, indica que a diferencia de la Convención, la Declaración no contiene entre sus derechos reconocidos el derecho a la salud y a la seguridad social.</w:t>
      </w:r>
      <w:r w:rsidR="006D44AC" w:rsidRPr="004A50B7">
        <w:rPr>
          <w:rFonts w:asciiTheme="majorHAnsi" w:hAnsiTheme="majorHAnsi"/>
          <w:sz w:val="20"/>
          <w:szCs w:val="20"/>
          <w:lang w:val="es-ES"/>
        </w:rPr>
        <w:t xml:space="preserve"> </w:t>
      </w:r>
      <w:r w:rsidR="00715687" w:rsidRPr="004A50B7">
        <w:rPr>
          <w:rFonts w:asciiTheme="majorHAnsi" w:hAnsiTheme="majorHAnsi"/>
          <w:sz w:val="20"/>
          <w:szCs w:val="20"/>
          <w:lang w:val="es-ES"/>
        </w:rPr>
        <w:t>Asimismo, solo los derechos reconocidos en los artículos 8 y 13 del Protocolo de San Salvador son pasibles de ser alegados a través del sistema de comunicaciones individuales ante la CIDH.</w:t>
      </w:r>
    </w:p>
    <w:p w14:paraId="3FE6F5AE" w14:textId="5838016A" w:rsidR="004C616A" w:rsidRPr="004A50B7" w:rsidRDefault="004C616A" w:rsidP="00647756">
      <w:pPr>
        <w:pStyle w:val="ListParagraph"/>
        <w:spacing w:before="120" w:after="120"/>
        <w:jc w:val="both"/>
        <w:rPr>
          <w:rFonts w:asciiTheme="majorHAnsi" w:hAnsiTheme="majorHAnsi"/>
          <w:b/>
          <w:bCs/>
          <w:sz w:val="20"/>
          <w:szCs w:val="20"/>
          <w:lang w:val="es-ES"/>
        </w:rPr>
      </w:pPr>
      <w:r w:rsidRPr="004A50B7">
        <w:rPr>
          <w:rFonts w:asciiTheme="majorHAnsi" w:hAnsiTheme="majorHAnsi"/>
          <w:b/>
          <w:bCs/>
          <w:sz w:val="20"/>
          <w:szCs w:val="20"/>
          <w:lang w:val="es-ES"/>
        </w:rPr>
        <w:t xml:space="preserve">VI. </w:t>
      </w:r>
      <w:r w:rsidRPr="004A50B7">
        <w:rPr>
          <w:rFonts w:asciiTheme="majorHAnsi" w:hAnsiTheme="majorHAnsi"/>
          <w:b/>
          <w:bCs/>
          <w:sz w:val="20"/>
          <w:szCs w:val="20"/>
          <w:lang w:val="es-ES"/>
        </w:rPr>
        <w:tab/>
        <w:t>AGOTAMIENTO DE LOS RECURSOS INTERNOS Y PLAZO DE PRESENTACIÓN</w:t>
      </w:r>
    </w:p>
    <w:p w14:paraId="6B1AB973" w14:textId="0DE4C2B2" w:rsidR="00A625E0" w:rsidRPr="004A50B7" w:rsidRDefault="00EA3634" w:rsidP="004365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 xml:space="preserve">En cuanto al proceso penal, la parte peticionaria sostiene que las investigaciones no han concluido ni se ha sancionado a todos los responsables de los hechos, ya que sólo uno de los responsables fue </w:t>
      </w:r>
      <w:r w:rsidR="00050436" w:rsidRPr="004A50B7">
        <w:rPr>
          <w:rFonts w:asciiTheme="majorHAnsi" w:hAnsiTheme="majorHAnsi"/>
          <w:sz w:val="20"/>
          <w:szCs w:val="20"/>
          <w:lang w:val="es-ES"/>
        </w:rPr>
        <w:t xml:space="preserve">identificado y </w:t>
      </w:r>
      <w:r w:rsidR="003114F0" w:rsidRPr="004A50B7">
        <w:rPr>
          <w:rFonts w:asciiTheme="majorHAnsi" w:hAnsiTheme="majorHAnsi"/>
          <w:sz w:val="20"/>
          <w:szCs w:val="20"/>
          <w:lang w:val="es-ES"/>
        </w:rPr>
        <w:t>condenado</w:t>
      </w:r>
      <w:r w:rsidRPr="004A50B7">
        <w:rPr>
          <w:rFonts w:asciiTheme="majorHAnsi" w:hAnsiTheme="majorHAnsi"/>
          <w:sz w:val="20"/>
          <w:szCs w:val="20"/>
          <w:lang w:val="es-ES"/>
        </w:rPr>
        <w:t xml:space="preserve">. Por su parte, el Estado aduce que el proceso penal se ha desarrollado en un plazo razonable, atendiendo a los criterios de complejidad del asunto y debida diligencia del Estado. La Comisión nota que el  22 de julio de 2015, el </w:t>
      </w:r>
      <w:r w:rsidR="0043657B" w:rsidRPr="004A50B7">
        <w:rPr>
          <w:rFonts w:asciiTheme="majorHAnsi" w:hAnsiTheme="majorHAnsi"/>
          <w:sz w:val="20"/>
          <w:szCs w:val="20"/>
          <w:lang w:val="es-ES"/>
        </w:rPr>
        <w:t>Segundo Juzgado Especializado de Familia de Huánuco</w:t>
      </w:r>
      <w:r w:rsidRPr="004A50B7">
        <w:rPr>
          <w:rFonts w:asciiTheme="majorHAnsi" w:hAnsiTheme="majorHAnsi"/>
          <w:sz w:val="20"/>
          <w:szCs w:val="20"/>
          <w:lang w:val="es-ES"/>
        </w:rPr>
        <w:t xml:space="preserve"> sentenció a prisión a uno de los responsables de la </w:t>
      </w:r>
      <w:r w:rsidR="000561E1" w:rsidRPr="004A50B7">
        <w:rPr>
          <w:rFonts w:asciiTheme="majorHAnsi" w:hAnsiTheme="majorHAnsi"/>
          <w:sz w:val="20"/>
          <w:szCs w:val="20"/>
          <w:lang w:val="es-ES"/>
        </w:rPr>
        <w:t xml:space="preserve">violación sexual en agravio de la presunta </w:t>
      </w:r>
      <w:r w:rsidR="00474465" w:rsidRPr="004A50B7">
        <w:rPr>
          <w:rFonts w:asciiTheme="majorHAnsi" w:hAnsiTheme="majorHAnsi"/>
          <w:sz w:val="20"/>
          <w:szCs w:val="20"/>
          <w:lang w:val="es-ES"/>
        </w:rPr>
        <w:t>víctima</w:t>
      </w:r>
      <w:r w:rsidRPr="004A50B7">
        <w:rPr>
          <w:rFonts w:asciiTheme="majorHAnsi" w:hAnsiTheme="majorHAnsi"/>
          <w:sz w:val="20"/>
          <w:szCs w:val="20"/>
          <w:lang w:val="es-ES"/>
        </w:rPr>
        <w:t xml:space="preserve">. Sin embargo, la Comisión observa que </w:t>
      </w:r>
      <w:r w:rsidR="00512E24" w:rsidRPr="004A50B7">
        <w:rPr>
          <w:rFonts w:asciiTheme="majorHAnsi" w:hAnsiTheme="majorHAnsi"/>
          <w:sz w:val="20"/>
          <w:szCs w:val="20"/>
          <w:lang w:val="es-ES"/>
        </w:rPr>
        <w:t xml:space="preserve">la parte peticionaria alega inacción del Estado, por lo cual quedarían en la impunidad </w:t>
      </w:r>
      <w:r w:rsidR="00F93605" w:rsidRPr="004A50B7">
        <w:rPr>
          <w:rFonts w:asciiTheme="majorHAnsi" w:hAnsiTheme="majorHAnsi"/>
          <w:sz w:val="20"/>
          <w:szCs w:val="20"/>
          <w:lang w:val="es-ES"/>
        </w:rPr>
        <w:t xml:space="preserve">la participación de </w:t>
      </w:r>
      <w:r w:rsidR="00512E24" w:rsidRPr="004A50B7">
        <w:rPr>
          <w:rFonts w:asciiTheme="majorHAnsi" w:hAnsiTheme="majorHAnsi"/>
          <w:sz w:val="20"/>
          <w:szCs w:val="20"/>
          <w:lang w:val="es-ES"/>
        </w:rPr>
        <w:t>tres de los cuatro responsables</w:t>
      </w:r>
      <w:r w:rsidRPr="004A50B7">
        <w:rPr>
          <w:rFonts w:asciiTheme="majorHAnsi" w:hAnsiTheme="majorHAnsi"/>
          <w:sz w:val="20"/>
          <w:szCs w:val="20"/>
          <w:lang w:val="es-ES"/>
        </w:rPr>
        <w:t>. En vista de lo anterior, la Comisión considera se aplica la excepción prevista al artículo 46.2.c</w:t>
      </w:r>
      <w:r w:rsidR="00DE6C9F" w:rsidRPr="004A50B7">
        <w:rPr>
          <w:rFonts w:asciiTheme="majorHAnsi" w:hAnsiTheme="majorHAnsi"/>
          <w:sz w:val="20"/>
          <w:szCs w:val="20"/>
          <w:lang w:val="es-ES"/>
        </w:rPr>
        <w:t xml:space="preserve"> de la Convención Americana</w:t>
      </w:r>
      <w:r w:rsidRPr="004A50B7">
        <w:rPr>
          <w:rFonts w:asciiTheme="majorHAnsi" w:hAnsiTheme="majorHAnsi"/>
          <w:sz w:val="20"/>
          <w:szCs w:val="20"/>
          <w:lang w:val="es-ES"/>
        </w:rPr>
        <w:t>.</w:t>
      </w:r>
    </w:p>
    <w:p w14:paraId="2BD6A416" w14:textId="05CF44AB" w:rsidR="0060432B" w:rsidRPr="004A50B7" w:rsidRDefault="007B38FD" w:rsidP="00E135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En cuanto al acceso</w:t>
      </w:r>
      <w:r w:rsidR="001363CF" w:rsidRPr="004A50B7">
        <w:rPr>
          <w:rFonts w:asciiTheme="majorHAnsi" w:hAnsiTheme="majorHAnsi"/>
          <w:sz w:val="20"/>
          <w:szCs w:val="20"/>
          <w:lang w:val="es-ES"/>
        </w:rPr>
        <w:t xml:space="preserve"> en condición de igualdad</w:t>
      </w:r>
      <w:r w:rsidRPr="004A50B7">
        <w:rPr>
          <w:rFonts w:asciiTheme="majorHAnsi" w:hAnsiTheme="majorHAnsi"/>
          <w:sz w:val="20"/>
          <w:szCs w:val="20"/>
          <w:lang w:val="es-ES"/>
        </w:rPr>
        <w:t xml:space="preserve"> al AOE, l</w:t>
      </w:r>
      <w:r w:rsidR="00895F2A" w:rsidRPr="004A50B7">
        <w:rPr>
          <w:rFonts w:asciiTheme="majorHAnsi" w:hAnsiTheme="majorHAnsi"/>
          <w:sz w:val="20"/>
          <w:szCs w:val="20"/>
          <w:lang w:val="es-ES"/>
        </w:rPr>
        <w:t>a Comisión observa que es un hecho no controvertido que exist</w:t>
      </w:r>
      <w:r w:rsidR="00D826C8" w:rsidRPr="004A50B7">
        <w:rPr>
          <w:rFonts w:asciiTheme="majorHAnsi" w:hAnsiTheme="majorHAnsi"/>
          <w:sz w:val="20"/>
          <w:szCs w:val="20"/>
          <w:lang w:val="es-ES"/>
        </w:rPr>
        <w:t xml:space="preserve">ía al momento de los hechos </w:t>
      </w:r>
      <w:r w:rsidR="00895F2A" w:rsidRPr="004A50B7">
        <w:rPr>
          <w:rFonts w:asciiTheme="majorHAnsi" w:hAnsiTheme="majorHAnsi"/>
          <w:sz w:val="20"/>
          <w:szCs w:val="20"/>
          <w:lang w:val="es-ES"/>
        </w:rPr>
        <w:t xml:space="preserve">una decisión definitiva y vinculante de la más alta instancia judicial de Perú en materia constitucional, que declaró la inconstitucionalidad de </w:t>
      </w:r>
      <w:r w:rsidR="001363CF" w:rsidRPr="004A50B7">
        <w:rPr>
          <w:rFonts w:asciiTheme="majorHAnsi" w:hAnsiTheme="majorHAnsi"/>
          <w:sz w:val="20"/>
          <w:szCs w:val="20"/>
          <w:lang w:val="es-ES"/>
        </w:rPr>
        <w:t>su</w:t>
      </w:r>
      <w:r w:rsidR="00895F2A" w:rsidRPr="004A50B7">
        <w:rPr>
          <w:rFonts w:asciiTheme="majorHAnsi" w:hAnsiTheme="majorHAnsi"/>
          <w:sz w:val="20"/>
          <w:szCs w:val="20"/>
          <w:lang w:val="es-ES"/>
        </w:rPr>
        <w:t xml:space="preserve"> distribución por el Ministerio de </w:t>
      </w:r>
      <w:r w:rsidR="00C84F74" w:rsidRPr="004A50B7">
        <w:rPr>
          <w:rFonts w:asciiTheme="majorHAnsi" w:hAnsiTheme="majorHAnsi"/>
          <w:sz w:val="20"/>
          <w:szCs w:val="20"/>
          <w:lang w:val="es-ES"/>
        </w:rPr>
        <w:t>S</w:t>
      </w:r>
      <w:r w:rsidR="00895F2A" w:rsidRPr="004A50B7">
        <w:rPr>
          <w:rFonts w:asciiTheme="majorHAnsi" w:hAnsiTheme="majorHAnsi"/>
          <w:sz w:val="20"/>
          <w:szCs w:val="20"/>
          <w:lang w:val="es-ES"/>
        </w:rPr>
        <w:t xml:space="preserve">alud. La Comisión nota que el Estado aduce que no hubo agotamiento de los recursos del derecho interno, pues la parte peticionaria no agotó el recurso de amparo, el cual era disponible e idóneo, como demostrado por una acción sobre hechos similares, contando con medida cautelar de fecha 19 de junio de 2016, </w:t>
      </w:r>
      <w:r w:rsidR="00895F2A" w:rsidRPr="004A50B7">
        <w:rPr>
          <w:rFonts w:asciiTheme="majorHAnsi" w:hAnsiTheme="majorHAnsi"/>
          <w:sz w:val="20"/>
          <w:szCs w:val="20"/>
          <w:lang w:val="es-ES"/>
        </w:rPr>
        <w:lastRenderedPageBreak/>
        <w:t>en la cual se ordenó la distribución de la AOE en un plazo de 30 días.</w:t>
      </w:r>
      <w:r w:rsidR="00B86313" w:rsidRPr="004A50B7">
        <w:rPr>
          <w:rFonts w:asciiTheme="majorHAnsi" w:hAnsiTheme="majorHAnsi"/>
          <w:sz w:val="20"/>
          <w:szCs w:val="20"/>
          <w:lang w:val="es-ES"/>
        </w:rPr>
        <w:t xml:space="preserve"> </w:t>
      </w:r>
      <w:r w:rsidR="00365D38" w:rsidRPr="004A50B7">
        <w:rPr>
          <w:rFonts w:asciiTheme="majorHAnsi" w:hAnsiTheme="majorHAnsi"/>
          <w:sz w:val="20"/>
          <w:szCs w:val="20"/>
          <w:lang w:val="es-ES"/>
        </w:rPr>
        <w:t xml:space="preserve">La Comisión </w:t>
      </w:r>
      <w:r w:rsidR="00CB0A36" w:rsidRPr="004A50B7">
        <w:rPr>
          <w:rFonts w:asciiTheme="majorHAnsi" w:hAnsiTheme="majorHAnsi"/>
          <w:sz w:val="20"/>
          <w:szCs w:val="20"/>
          <w:lang w:val="es-ES"/>
        </w:rPr>
        <w:t xml:space="preserve">también </w:t>
      </w:r>
      <w:r w:rsidR="00365D38" w:rsidRPr="004A50B7">
        <w:rPr>
          <w:rFonts w:asciiTheme="majorHAnsi" w:hAnsiTheme="majorHAnsi"/>
          <w:sz w:val="20"/>
          <w:szCs w:val="20"/>
          <w:lang w:val="es-ES"/>
        </w:rPr>
        <w:t xml:space="preserve">toma nota de la subsecuente decisión del 2 de julio de 2019, </w:t>
      </w:r>
      <w:r w:rsidR="00CB0A36" w:rsidRPr="004A50B7">
        <w:rPr>
          <w:rFonts w:asciiTheme="majorHAnsi" w:hAnsiTheme="majorHAnsi"/>
          <w:sz w:val="20"/>
          <w:szCs w:val="20"/>
          <w:lang w:val="es-ES"/>
        </w:rPr>
        <w:t>resolviendo</w:t>
      </w:r>
      <w:r w:rsidR="00365D38" w:rsidRPr="004A50B7">
        <w:rPr>
          <w:rFonts w:asciiTheme="majorHAnsi" w:hAnsiTheme="majorHAnsi"/>
          <w:sz w:val="20"/>
          <w:szCs w:val="20"/>
          <w:lang w:val="es-ES"/>
        </w:rPr>
        <w:t xml:space="preserve"> el fondo</w:t>
      </w:r>
      <w:r w:rsidR="00CB0A36" w:rsidRPr="004A50B7">
        <w:rPr>
          <w:rFonts w:asciiTheme="majorHAnsi" w:hAnsiTheme="majorHAnsi"/>
          <w:sz w:val="20"/>
          <w:szCs w:val="20"/>
          <w:lang w:val="es-ES"/>
        </w:rPr>
        <w:t xml:space="preserve"> del recurso</w:t>
      </w:r>
      <w:r w:rsidR="00365D38" w:rsidRPr="004A50B7">
        <w:rPr>
          <w:rFonts w:asciiTheme="majorHAnsi" w:hAnsiTheme="majorHAnsi"/>
          <w:sz w:val="20"/>
          <w:szCs w:val="20"/>
          <w:lang w:val="es-ES"/>
        </w:rPr>
        <w:t xml:space="preserve">. </w:t>
      </w:r>
      <w:r w:rsidR="00B86313" w:rsidRPr="004A50B7">
        <w:rPr>
          <w:rFonts w:asciiTheme="majorHAnsi" w:hAnsiTheme="majorHAnsi"/>
          <w:sz w:val="20"/>
          <w:szCs w:val="20"/>
          <w:lang w:val="es-ES"/>
        </w:rPr>
        <w:t xml:space="preserve">Respecto a este, la parte peticionaria indica que dicho </w:t>
      </w:r>
      <w:r w:rsidR="00C84F74" w:rsidRPr="004A50B7">
        <w:rPr>
          <w:rFonts w:asciiTheme="majorHAnsi" w:hAnsiTheme="majorHAnsi"/>
          <w:sz w:val="20"/>
          <w:szCs w:val="20"/>
          <w:lang w:val="es-ES"/>
        </w:rPr>
        <w:t xml:space="preserve">recurso </w:t>
      </w:r>
      <w:r w:rsidR="004370B0" w:rsidRPr="004A50B7">
        <w:rPr>
          <w:rFonts w:asciiTheme="majorHAnsi" w:hAnsiTheme="majorHAnsi"/>
          <w:sz w:val="20"/>
          <w:szCs w:val="20"/>
          <w:lang w:val="es-ES"/>
        </w:rPr>
        <w:t xml:space="preserve">carece de la celeridad necesaria </w:t>
      </w:r>
      <w:r w:rsidR="00B86313" w:rsidRPr="004A50B7">
        <w:rPr>
          <w:rFonts w:asciiTheme="majorHAnsi" w:hAnsiTheme="majorHAnsi"/>
          <w:sz w:val="20"/>
          <w:szCs w:val="20"/>
          <w:lang w:val="es-ES"/>
        </w:rPr>
        <w:t>para proteger los derechos de la presunta víctima,</w:t>
      </w:r>
      <w:r w:rsidR="00050436" w:rsidRPr="004A50B7">
        <w:rPr>
          <w:rFonts w:asciiTheme="majorHAnsi" w:hAnsiTheme="majorHAnsi"/>
          <w:sz w:val="20"/>
          <w:szCs w:val="20"/>
          <w:lang w:val="es-ES"/>
        </w:rPr>
        <w:t xml:space="preserve"> </w:t>
      </w:r>
      <w:r w:rsidR="004370B0" w:rsidRPr="004A50B7">
        <w:rPr>
          <w:rFonts w:asciiTheme="majorHAnsi" w:hAnsiTheme="majorHAnsi"/>
          <w:sz w:val="20"/>
          <w:szCs w:val="20"/>
          <w:lang w:val="es-ES"/>
        </w:rPr>
        <w:t xml:space="preserve">ya que no es posible obtener un pronunciamiento en vía de amparo por parte de una autoridad judicial en un plazo permitiendo lograr la eficacia del AOE. </w:t>
      </w:r>
      <w:r w:rsidR="00B86313" w:rsidRPr="004A50B7">
        <w:rPr>
          <w:rFonts w:asciiTheme="majorHAnsi" w:hAnsiTheme="majorHAnsi"/>
          <w:sz w:val="20"/>
          <w:szCs w:val="20"/>
          <w:lang w:val="es-ES"/>
        </w:rPr>
        <w:t>Por ende</w:t>
      </w:r>
      <w:r w:rsidR="00895F2A" w:rsidRPr="004A50B7">
        <w:rPr>
          <w:rFonts w:asciiTheme="majorHAnsi" w:hAnsiTheme="majorHAnsi"/>
          <w:sz w:val="20"/>
          <w:szCs w:val="20"/>
          <w:lang w:val="es-ES"/>
        </w:rPr>
        <w:t xml:space="preserve">, </w:t>
      </w:r>
      <w:r w:rsidR="00E13510" w:rsidRPr="004A50B7">
        <w:rPr>
          <w:rFonts w:asciiTheme="majorHAnsi" w:hAnsiTheme="majorHAnsi"/>
          <w:sz w:val="20"/>
          <w:szCs w:val="20"/>
          <w:lang w:val="es-ES"/>
        </w:rPr>
        <w:t xml:space="preserve">la Comisión </w:t>
      </w:r>
      <w:r w:rsidR="00DC085A" w:rsidRPr="004A50B7">
        <w:rPr>
          <w:rFonts w:asciiTheme="majorHAnsi" w:hAnsiTheme="majorHAnsi"/>
          <w:sz w:val="20"/>
          <w:szCs w:val="20"/>
          <w:lang w:val="es-ES"/>
        </w:rPr>
        <w:t>observa</w:t>
      </w:r>
      <w:r w:rsidR="00E13510" w:rsidRPr="004A50B7">
        <w:rPr>
          <w:rFonts w:asciiTheme="majorHAnsi" w:hAnsiTheme="majorHAnsi"/>
          <w:sz w:val="20"/>
          <w:szCs w:val="20"/>
          <w:lang w:val="es-ES"/>
        </w:rPr>
        <w:t xml:space="preserve"> que en las circunstancias específicas del presente caso, </w:t>
      </w:r>
      <w:r w:rsidR="00B86313" w:rsidRPr="004A50B7">
        <w:rPr>
          <w:rFonts w:asciiTheme="majorHAnsi" w:hAnsiTheme="majorHAnsi"/>
          <w:sz w:val="20"/>
          <w:szCs w:val="20"/>
          <w:lang w:val="es-ES"/>
        </w:rPr>
        <w:t>no existía</w:t>
      </w:r>
      <w:r w:rsidR="00B86313" w:rsidRPr="004A50B7">
        <w:rPr>
          <w:rFonts w:asciiTheme="majorHAnsi" w:hAnsiTheme="majorHAnsi"/>
          <w:lang w:val="es-MX"/>
        </w:rPr>
        <w:t xml:space="preserve"> </w:t>
      </w:r>
      <w:r w:rsidR="00B86313" w:rsidRPr="004A50B7">
        <w:rPr>
          <w:rFonts w:asciiTheme="majorHAnsi" w:hAnsiTheme="majorHAnsi"/>
          <w:sz w:val="20"/>
          <w:szCs w:val="20"/>
          <w:lang w:val="es-ES"/>
        </w:rPr>
        <w:t xml:space="preserve">en la legislación interna del Estado un recurso que pudiera ser efectivo </w:t>
      </w:r>
      <w:r w:rsidR="00367E6C" w:rsidRPr="004A50B7">
        <w:rPr>
          <w:rFonts w:asciiTheme="majorHAnsi" w:hAnsiTheme="majorHAnsi"/>
          <w:sz w:val="20"/>
          <w:szCs w:val="20"/>
          <w:lang w:val="es-ES"/>
        </w:rPr>
        <w:t xml:space="preserve">para la protección de los </w:t>
      </w:r>
      <w:r w:rsidR="00B86313" w:rsidRPr="004A50B7">
        <w:rPr>
          <w:rFonts w:asciiTheme="majorHAnsi" w:hAnsiTheme="majorHAnsi"/>
          <w:sz w:val="20"/>
          <w:szCs w:val="20"/>
          <w:lang w:val="es-ES"/>
        </w:rPr>
        <w:t>derecho</w:t>
      </w:r>
      <w:r w:rsidR="00367E6C" w:rsidRPr="004A50B7">
        <w:rPr>
          <w:rFonts w:asciiTheme="majorHAnsi" w:hAnsiTheme="majorHAnsi"/>
          <w:sz w:val="20"/>
          <w:szCs w:val="20"/>
          <w:lang w:val="es-ES"/>
        </w:rPr>
        <w:t>s</w:t>
      </w:r>
      <w:r w:rsidR="00B86313" w:rsidRPr="004A50B7">
        <w:rPr>
          <w:rFonts w:asciiTheme="majorHAnsi" w:hAnsiTheme="majorHAnsi"/>
          <w:sz w:val="20"/>
          <w:szCs w:val="20"/>
          <w:lang w:val="es-ES"/>
        </w:rPr>
        <w:t xml:space="preserve"> que se alega ha</w:t>
      </w:r>
      <w:r w:rsidR="00367E6C" w:rsidRPr="004A50B7">
        <w:rPr>
          <w:rFonts w:asciiTheme="majorHAnsi" w:hAnsiTheme="majorHAnsi"/>
          <w:sz w:val="20"/>
          <w:szCs w:val="20"/>
          <w:lang w:val="es-ES"/>
        </w:rPr>
        <w:t>n</w:t>
      </w:r>
      <w:r w:rsidR="00B86313" w:rsidRPr="004A50B7">
        <w:rPr>
          <w:rFonts w:asciiTheme="majorHAnsi" w:hAnsiTheme="majorHAnsi"/>
          <w:sz w:val="20"/>
          <w:szCs w:val="20"/>
          <w:lang w:val="es-ES"/>
        </w:rPr>
        <w:t xml:space="preserve"> sido violados</w:t>
      </w:r>
      <w:r w:rsidR="00895F2A" w:rsidRPr="004A50B7">
        <w:rPr>
          <w:rFonts w:asciiTheme="majorHAnsi" w:hAnsiTheme="majorHAnsi"/>
          <w:sz w:val="20"/>
          <w:szCs w:val="20"/>
          <w:lang w:val="es-ES"/>
        </w:rPr>
        <w:t>.</w:t>
      </w:r>
      <w:r w:rsidR="00B86313" w:rsidRPr="004A50B7">
        <w:rPr>
          <w:rFonts w:asciiTheme="majorHAnsi" w:hAnsiTheme="majorHAnsi"/>
          <w:sz w:val="20"/>
          <w:szCs w:val="20"/>
          <w:lang w:val="es-ES"/>
        </w:rPr>
        <w:t xml:space="preserve"> Así, </w:t>
      </w:r>
      <w:r w:rsidR="00895F2A" w:rsidRPr="004A50B7">
        <w:rPr>
          <w:rFonts w:asciiTheme="majorHAnsi" w:hAnsiTheme="majorHAnsi"/>
          <w:sz w:val="20"/>
          <w:szCs w:val="20"/>
          <w:lang w:val="es-ES"/>
        </w:rPr>
        <w:t>la Comisión concluye que se aplica la excepción prevista en el artículo 46.2.a de la Convención</w:t>
      </w:r>
      <w:r w:rsidR="00E13510" w:rsidRPr="004A50B7">
        <w:rPr>
          <w:rFonts w:asciiTheme="majorHAnsi" w:hAnsiTheme="majorHAnsi"/>
          <w:sz w:val="20"/>
          <w:szCs w:val="20"/>
          <w:lang w:val="es-ES"/>
        </w:rPr>
        <w:t>.</w:t>
      </w:r>
    </w:p>
    <w:p w14:paraId="5E64BE2E" w14:textId="249F7EF5" w:rsidR="00E96DD9" w:rsidRPr="004A50B7" w:rsidRDefault="00285ACE" w:rsidP="00285A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Por otra parte, la CIDH</w:t>
      </w:r>
      <w:r w:rsidR="00F436F1" w:rsidRPr="004A50B7">
        <w:rPr>
          <w:rFonts w:asciiTheme="majorHAnsi" w:hAnsiTheme="majorHAnsi"/>
          <w:sz w:val="20"/>
          <w:szCs w:val="20"/>
          <w:lang w:val="es-ES"/>
        </w:rPr>
        <w:t xml:space="preserve"> observa que los hechos </w:t>
      </w:r>
      <w:r w:rsidR="002C5E63" w:rsidRPr="004A50B7">
        <w:rPr>
          <w:rFonts w:asciiTheme="majorHAnsi" w:hAnsiTheme="majorHAnsi"/>
          <w:sz w:val="20"/>
          <w:szCs w:val="20"/>
          <w:lang w:val="es-ES"/>
        </w:rPr>
        <w:t>sucedieron</w:t>
      </w:r>
      <w:r w:rsidR="00F436F1" w:rsidRPr="004A50B7">
        <w:rPr>
          <w:rFonts w:asciiTheme="majorHAnsi" w:hAnsiTheme="majorHAnsi"/>
          <w:sz w:val="20"/>
          <w:szCs w:val="20"/>
          <w:lang w:val="es-ES"/>
        </w:rPr>
        <w:t xml:space="preserve"> en el 2014 y </w:t>
      </w:r>
      <w:r w:rsidR="00866164" w:rsidRPr="004A50B7">
        <w:rPr>
          <w:rFonts w:asciiTheme="majorHAnsi" w:hAnsiTheme="majorHAnsi"/>
          <w:sz w:val="20"/>
          <w:szCs w:val="20"/>
          <w:lang w:val="es-ES"/>
        </w:rPr>
        <w:t xml:space="preserve">que se cuenta con una sentencia </w:t>
      </w:r>
      <w:r w:rsidR="00F436F1" w:rsidRPr="004A50B7">
        <w:rPr>
          <w:rFonts w:asciiTheme="majorHAnsi" w:hAnsiTheme="majorHAnsi"/>
          <w:sz w:val="20"/>
          <w:szCs w:val="20"/>
          <w:lang w:val="es-ES"/>
        </w:rPr>
        <w:t>condenatoria de fecha 22 de julio de 2015, confirmada el 29 de octubre de 2015, así que se</w:t>
      </w:r>
      <w:r w:rsidRPr="004A50B7">
        <w:rPr>
          <w:rFonts w:asciiTheme="majorHAnsi" w:hAnsiTheme="majorHAnsi"/>
          <w:sz w:val="20"/>
          <w:szCs w:val="20"/>
          <w:lang w:val="es-ES"/>
        </w:rPr>
        <w:t xml:space="preserve"> considera que la petición fue presentada dentro de un plazo razonable y que debe darse por satisfecho el requisito de admisibilidad referente el plazo de presentación.</w:t>
      </w:r>
    </w:p>
    <w:p w14:paraId="7090A929" w14:textId="115AB145" w:rsidR="00F04591" w:rsidRPr="004A50B7" w:rsidRDefault="00F04591" w:rsidP="00647756">
      <w:pPr>
        <w:pStyle w:val="ListParagraph"/>
        <w:spacing w:before="120" w:after="120"/>
        <w:jc w:val="both"/>
        <w:rPr>
          <w:rFonts w:asciiTheme="majorHAnsi" w:hAnsiTheme="majorHAnsi"/>
          <w:b/>
          <w:bCs/>
          <w:sz w:val="20"/>
          <w:szCs w:val="20"/>
          <w:lang w:val="es-ES"/>
        </w:rPr>
      </w:pPr>
      <w:r w:rsidRPr="004A50B7">
        <w:rPr>
          <w:rFonts w:asciiTheme="majorHAnsi" w:hAnsiTheme="majorHAnsi"/>
          <w:b/>
          <w:bCs/>
          <w:sz w:val="20"/>
          <w:szCs w:val="20"/>
          <w:lang w:val="es-ES"/>
        </w:rPr>
        <w:t>V</w:t>
      </w:r>
      <w:r w:rsidR="000E2789" w:rsidRPr="004A50B7">
        <w:rPr>
          <w:rFonts w:asciiTheme="majorHAnsi" w:hAnsiTheme="majorHAnsi"/>
          <w:b/>
          <w:bCs/>
          <w:sz w:val="20"/>
          <w:szCs w:val="20"/>
          <w:lang w:val="es-ES"/>
        </w:rPr>
        <w:t>I</w:t>
      </w:r>
      <w:r w:rsidRPr="004A50B7">
        <w:rPr>
          <w:rFonts w:asciiTheme="majorHAnsi" w:hAnsiTheme="majorHAnsi"/>
          <w:b/>
          <w:bCs/>
          <w:sz w:val="20"/>
          <w:szCs w:val="20"/>
          <w:lang w:val="es-ES"/>
        </w:rPr>
        <w:t xml:space="preserve">I. </w:t>
      </w:r>
      <w:r w:rsidRPr="004A50B7">
        <w:rPr>
          <w:rFonts w:asciiTheme="majorHAnsi" w:hAnsiTheme="majorHAnsi"/>
          <w:b/>
          <w:bCs/>
          <w:sz w:val="20"/>
          <w:szCs w:val="20"/>
          <w:lang w:val="es-ES"/>
        </w:rPr>
        <w:tab/>
        <w:t>CARACTERIZACIÓN</w:t>
      </w:r>
    </w:p>
    <w:p w14:paraId="43C9FE0B" w14:textId="732B0936" w:rsidR="00BD222D" w:rsidRPr="004A50B7" w:rsidRDefault="00EA1C8B" w:rsidP="00EA1C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La Comisión observa que la presente petición incluye alegaciones con respecto a la falta de investigación diligente por parte del Estado en el marco del proceso penal, lo cual habría impedido el esclarecimiento de los hechos y la sanción de todos los responsables, así como la falta de acceso efectivo a la justicia de la presunta víctima en el marco de dicho proceso, como la negación de acceso en condición de igualdad al AOE y la falta de información relevante y completa al respecto.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5 </w:t>
      </w:r>
      <w:r w:rsidR="00394485" w:rsidRPr="004A50B7">
        <w:rPr>
          <w:rFonts w:asciiTheme="majorHAnsi" w:hAnsiTheme="majorHAnsi"/>
          <w:sz w:val="20"/>
          <w:szCs w:val="20"/>
          <w:lang w:val="es-ES"/>
        </w:rPr>
        <w:t xml:space="preserve">(integridad personal), </w:t>
      </w:r>
      <w:r w:rsidR="002017AE" w:rsidRPr="004A50B7">
        <w:rPr>
          <w:rFonts w:asciiTheme="majorHAnsi" w:hAnsiTheme="majorHAnsi"/>
          <w:sz w:val="20"/>
          <w:szCs w:val="20"/>
          <w:lang w:val="es-ES"/>
        </w:rPr>
        <w:t xml:space="preserve">7 (libertad personal), </w:t>
      </w:r>
      <w:r w:rsidR="00394485" w:rsidRPr="004A50B7">
        <w:rPr>
          <w:rFonts w:asciiTheme="majorHAnsi" w:hAnsiTheme="majorHAnsi"/>
          <w:sz w:val="20"/>
          <w:szCs w:val="20"/>
          <w:lang w:val="es-ES"/>
        </w:rPr>
        <w:t>8 (garantías judiciales</w:t>
      </w:r>
      <w:r w:rsidR="00285ACE" w:rsidRPr="004A50B7">
        <w:rPr>
          <w:rFonts w:asciiTheme="majorHAnsi" w:hAnsiTheme="majorHAnsi"/>
          <w:sz w:val="20"/>
          <w:szCs w:val="20"/>
          <w:lang w:val="es-ES"/>
        </w:rPr>
        <w:t>), 11</w:t>
      </w:r>
      <w:r w:rsidR="00BD222D" w:rsidRPr="004A50B7">
        <w:rPr>
          <w:rFonts w:asciiTheme="majorHAnsi" w:hAnsiTheme="majorHAnsi"/>
          <w:sz w:val="20"/>
          <w:szCs w:val="20"/>
          <w:lang w:val="es-ES"/>
        </w:rPr>
        <w:t xml:space="preserve"> (honra y dignidad)</w:t>
      </w:r>
      <w:r w:rsidR="00285ACE" w:rsidRPr="004A50B7">
        <w:rPr>
          <w:rFonts w:asciiTheme="majorHAnsi" w:hAnsiTheme="majorHAnsi"/>
          <w:sz w:val="20"/>
          <w:szCs w:val="20"/>
          <w:lang w:val="es-ES"/>
        </w:rPr>
        <w:t>,</w:t>
      </w:r>
      <w:r w:rsidR="00394485" w:rsidRPr="004A50B7">
        <w:rPr>
          <w:rFonts w:asciiTheme="majorHAnsi" w:hAnsiTheme="majorHAnsi"/>
          <w:sz w:val="20"/>
          <w:szCs w:val="20"/>
          <w:lang w:val="es-ES"/>
        </w:rPr>
        <w:t xml:space="preserve"> </w:t>
      </w:r>
      <w:r w:rsidR="00591457" w:rsidRPr="004A50B7">
        <w:rPr>
          <w:rFonts w:asciiTheme="majorHAnsi" w:hAnsiTheme="majorHAnsi"/>
          <w:sz w:val="20"/>
          <w:szCs w:val="20"/>
          <w:lang w:val="es-ES"/>
        </w:rPr>
        <w:t xml:space="preserve">24 (igualdad ante la ley), </w:t>
      </w:r>
      <w:r w:rsidR="00394485" w:rsidRPr="004A50B7">
        <w:rPr>
          <w:rFonts w:asciiTheme="majorHAnsi" w:hAnsiTheme="majorHAnsi"/>
          <w:sz w:val="20"/>
          <w:szCs w:val="20"/>
          <w:lang w:val="es-ES"/>
        </w:rPr>
        <w:t>25 (protección judicial)</w:t>
      </w:r>
      <w:r w:rsidR="00285ACE" w:rsidRPr="004A50B7">
        <w:rPr>
          <w:rFonts w:asciiTheme="majorHAnsi" w:hAnsiTheme="majorHAnsi"/>
          <w:sz w:val="20"/>
          <w:szCs w:val="20"/>
          <w:lang w:val="es-ES"/>
        </w:rPr>
        <w:t xml:space="preserve"> y 26 (derechos económicos, sociales y culturales)</w:t>
      </w:r>
      <w:r w:rsidR="00554887" w:rsidRPr="004A50B7">
        <w:rPr>
          <w:rFonts w:asciiTheme="majorHAnsi" w:hAnsiTheme="majorHAnsi"/>
          <w:sz w:val="20"/>
          <w:szCs w:val="20"/>
          <w:lang w:val="es-ES"/>
        </w:rPr>
        <w:t xml:space="preserve"> de la Convención Americana, en concordancia con los artículos 1.1 (obligación de respetar los derechos) y 2 (deber de adoptar disposiciones de derecho interno) de dicho tratado</w:t>
      </w:r>
      <w:r w:rsidR="00394485" w:rsidRPr="004A50B7">
        <w:rPr>
          <w:rFonts w:asciiTheme="majorHAnsi" w:hAnsiTheme="majorHAnsi"/>
          <w:sz w:val="20"/>
          <w:szCs w:val="20"/>
          <w:lang w:val="es-ES"/>
        </w:rPr>
        <w:t>; así como el artículo 7 de la Convención de Belém do Pará</w:t>
      </w:r>
      <w:r w:rsidR="00554887" w:rsidRPr="004A50B7">
        <w:rPr>
          <w:rFonts w:asciiTheme="majorHAnsi" w:hAnsiTheme="majorHAnsi"/>
          <w:sz w:val="20"/>
          <w:szCs w:val="20"/>
          <w:lang w:val="es-ES"/>
        </w:rPr>
        <w:t>.</w:t>
      </w:r>
      <w:r w:rsidR="00367606" w:rsidRPr="004A50B7">
        <w:rPr>
          <w:rFonts w:asciiTheme="majorHAnsi" w:hAnsiTheme="majorHAnsi"/>
          <w:sz w:val="20"/>
          <w:szCs w:val="20"/>
          <w:lang w:val="es-ES"/>
        </w:rPr>
        <w:t xml:space="preserve"> Asimismo, la Comisión </w:t>
      </w:r>
      <w:r w:rsidR="00650F0E" w:rsidRPr="004A50B7">
        <w:rPr>
          <w:rFonts w:asciiTheme="majorHAnsi" w:hAnsiTheme="majorHAnsi"/>
          <w:sz w:val="20"/>
          <w:szCs w:val="20"/>
          <w:lang w:val="es-ES"/>
        </w:rPr>
        <w:t>analizará</w:t>
      </w:r>
      <w:r w:rsidR="00D93B18" w:rsidRPr="004A50B7">
        <w:rPr>
          <w:rFonts w:asciiTheme="majorHAnsi" w:hAnsiTheme="majorHAnsi"/>
          <w:sz w:val="20"/>
          <w:szCs w:val="20"/>
          <w:lang w:val="es-ES"/>
        </w:rPr>
        <w:t xml:space="preserve"> en la </w:t>
      </w:r>
      <w:r w:rsidR="00650F0E" w:rsidRPr="004A50B7">
        <w:rPr>
          <w:rFonts w:asciiTheme="majorHAnsi" w:hAnsiTheme="majorHAnsi"/>
          <w:sz w:val="20"/>
          <w:szCs w:val="20"/>
          <w:lang w:val="es-ES"/>
        </w:rPr>
        <w:t>etapa</w:t>
      </w:r>
      <w:r w:rsidR="00D93B18" w:rsidRPr="004A50B7">
        <w:rPr>
          <w:rFonts w:asciiTheme="majorHAnsi" w:hAnsiTheme="majorHAnsi"/>
          <w:sz w:val="20"/>
          <w:szCs w:val="20"/>
          <w:lang w:val="es-ES"/>
        </w:rPr>
        <w:t xml:space="preserve"> de fondo</w:t>
      </w:r>
      <w:r w:rsidR="00367606" w:rsidRPr="004A50B7">
        <w:rPr>
          <w:rFonts w:asciiTheme="majorHAnsi" w:hAnsiTheme="majorHAnsi"/>
          <w:sz w:val="20"/>
          <w:szCs w:val="20"/>
          <w:lang w:val="es-ES"/>
        </w:rPr>
        <w:t xml:space="preserve"> </w:t>
      </w:r>
      <w:r w:rsidR="00924798" w:rsidRPr="004A50B7">
        <w:rPr>
          <w:rFonts w:asciiTheme="majorHAnsi" w:hAnsiTheme="majorHAnsi"/>
          <w:sz w:val="20"/>
          <w:szCs w:val="20"/>
          <w:lang w:val="es-ES"/>
        </w:rPr>
        <w:t xml:space="preserve">si la pena impuesta al agresor y la indemnización económica otorgada a la presunta víctima en el marco del proceso penal se ajustan a los estándares en materia de reparación integral de la </w:t>
      </w:r>
      <w:r w:rsidR="005E2419" w:rsidRPr="004A50B7">
        <w:rPr>
          <w:rFonts w:asciiTheme="majorHAnsi" w:hAnsiTheme="majorHAnsi"/>
          <w:sz w:val="20"/>
          <w:szCs w:val="20"/>
          <w:lang w:val="es-ES"/>
        </w:rPr>
        <w:t>Convención A</w:t>
      </w:r>
      <w:r w:rsidR="00650F0E" w:rsidRPr="004A50B7">
        <w:rPr>
          <w:rFonts w:asciiTheme="majorHAnsi" w:hAnsiTheme="majorHAnsi"/>
          <w:sz w:val="20"/>
          <w:szCs w:val="20"/>
          <w:lang w:val="es-ES"/>
        </w:rPr>
        <w:t>mericana</w:t>
      </w:r>
      <w:r w:rsidR="00367606" w:rsidRPr="004A50B7">
        <w:rPr>
          <w:rFonts w:asciiTheme="majorHAnsi" w:hAnsiTheme="majorHAnsi"/>
          <w:sz w:val="20"/>
          <w:szCs w:val="20"/>
          <w:lang w:val="es-ES"/>
        </w:rPr>
        <w:t>.</w:t>
      </w:r>
    </w:p>
    <w:p w14:paraId="29BB41F5" w14:textId="2851F5F9" w:rsidR="003239B8" w:rsidRPr="004A50B7"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4A50B7">
        <w:rPr>
          <w:rFonts w:asciiTheme="majorHAnsi" w:hAnsiTheme="majorHAnsi"/>
          <w:b/>
          <w:bCs/>
          <w:sz w:val="20"/>
          <w:szCs w:val="20"/>
          <w:lang w:val="es-ES"/>
        </w:rPr>
        <w:t>VI</w:t>
      </w:r>
      <w:r w:rsidR="00F04591" w:rsidRPr="004A50B7">
        <w:rPr>
          <w:rFonts w:asciiTheme="majorHAnsi" w:hAnsiTheme="majorHAnsi"/>
          <w:b/>
          <w:bCs/>
          <w:sz w:val="20"/>
          <w:szCs w:val="20"/>
          <w:lang w:val="es-ES"/>
        </w:rPr>
        <w:t>II</w:t>
      </w:r>
      <w:r w:rsidR="003239B8" w:rsidRPr="004A50B7">
        <w:rPr>
          <w:rFonts w:asciiTheme="majorHAnsi" w:hAnsiTheme="majorHAnsi"/>
          <w:b/>
          <w:bCs/>
          <w:sz w:val="20"/>
          <w:szCs w:val="20"/>
          <w:lang w:val="es-ES"/>
        </w:rPr>
        <w:t xml:space="preserve">. </w:t>
      </w:r>
      <w:r w:rsidR="003239B8" w:rsidRPr="004A50B7">
        <w:rPr>
          <w:rFonts w:asciiTheme="majorHAnsi" w:hAnsiTheme="majorHAnsi"/>
          <w:b/>
          <w:bCs/>
          <w:sz w:val="20"/>
          <w:szCs w:val="20"/>
          <w:lang w:val="es-ES"/>
        </w:rPr>
        <w:tab/>
        <w:t>DECISIÓN</w:t>
      </w:r>
    </w:p>
    <w:p w14:paraId="570DA61C" w14:textId="5B95CA0E" w:rsidR="000419AD" w:rsidRPr="004A50B7" w:rsidRDefault="003239B8" w:rsidP="00D7797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Declarar admisible la presente petición en relación con</w:t>
      </w:r>
      <w:r w:rsidR="003A6337" w:rsidRPr="004A50B7">
        <w:rPr>
          <w:rFonts w:asciiTheme="majorHAnsi" w:hAnsiTheme="majorHAnsi"/>
          <w:sz w:val="20"/>
          <w:szCs w:val="20"/>
          <w:lang w:val="es-ES"/>
        </w:rPr>
        <w:t xml:space="preserve"> los </w:t>
      </w:r>
      <w:r w:rsidR="003A6337" w:rsidRPr="004A50B7">
        <w:rPr>
          <w:rFonts w:asciiTheme="majorHAnsi" w:hAnsiTheme="majorHAnsi"/>
          <w:bCs/>
          <w:sz w:val="20"/>
          <w:szCs w:val="20"/>
          <w:lang w:val="es-ES"/>
        </w:rPr>
        <w:t xml:space="preserve">artículos </w:t>
      </w:r>
      <w:r w:rsidR="00A1168F" w:rsidRPr="004A50B7">
        <w:rPr>
          <w:rFonts w:asciiTheme="majorHAnsi" w:hAnsiTheme="majorHAnsi"/>
          <w:bCs/>
          <w:sz w:val="20"/>
          <w:szCs w:val="20"/>
          <w:lang w:val="es-ES"/>
        </w:rPr>
        <w:t xml:space="preserve">5, </w:t>
      </w:r>
      <w:r w:rsidR="00D7797D" w:rsidRPr="004A50B7">
        <w:rPr>
          <w:rFonts w:asciiTheme="majorHAnsi" w:hAnsiTheme="majorHAnsi"/>
          <w:bCs/>
          <w:sz w:val="20"/>
          <w:szCs w:val="20"/>
          <w:lang w:val="es-ES"/>
        </w:rPr>
        <w:t xml:space="preserve">7, </w:t>
      </w:r>
      <w:r w:rsidR="00A1168F" w:rsidRPr="004A50B7">
        <w:rPr>
          <w:rFonts w:asciiTheme="majorHAnsi" w:hAnsiTheme="majorHAnsi"/>
          <w:bCs/>
          <w:sz w:val="20"/>
          <w:szCs w:val="20"/>
          <w:lang w:val="es-ES"/>
        </w:rPr>
        <w:t xml:space="preserve">8, 11, </w:t>
      </w:r>
      <w:r w:rsidR="00591457" w:rsidRPr="004A50B7">
        <w:rPr>
          <w:rFonts w:asciiTheme="majorHAnsi" w:hAnsiTheme="majorHAnsi"/>
          <w:bCs/>
          <w:sz w:val="20"/>
          <w:szCs w:val="20"/>
          <w:lang w:val="es-ES"/>
        </w:rPr>
        <w:t xml:space="preserve">24, </w:t>
      </w:r>
      <w:r w:rsidR="00A1168F" w:rsidRPr="004A50B7">
        <w:rPr>
          <w:rFonts w:asciiTheme="majorHAnsi" w:hAnsiTheme="majorHAnsi"/>
          <w:bCs/>
          <w:sz w:val="20"/>
          <w:szCs w:val="20"/>
          <w:lang w:val="es-ES"/>
        </w:rPr>
        <w:t xml:space="preserve">25 y 26 de la Convención Americana, </w:t>
      </w:r>
      <w:r w:rsidR="00D7429D" w:rsidRPr="004A50B7">
        <w:rPr>
          <w:rFonts w:asciiTheme="majorHAnsi" w:hAnsiTheme="majorHAnsi"/>
          <w:bCs/>
          <w:sz w:val="20"/>
          <w:szCs w:val="20"/>
          <w:lang w:val="es-ES"/>
        </w:rPr>
        <w:t xml:space="preserve">en relación con sus artículos 1.1 y 2, </w:t>
      </w:r>
      <w:r w:rsidR="00A1168F" w:rsidRPr="004A50B7">
        <w:rPr>
          <w:rFonts w:asciiTheme="majorHAnsi" w:hAnsiTheme="majorHAnsi"/>
          <w:bCs/>
          <w:sz w:val="20"/>
          <w:szCs w:val="20"/>
          <w:lang w:val="es-ES"/>
        </w:rPr>
        <w:t>y</w:t>
      </w:r>
      <w:r w:rsidR="000614DE" w:rsidRPr="004A50B7">
        <w:rPr>
          <w:rFonts w:asciiTheme="majorHAnsi" w:hAnsiTheme="majorHAnsi"/>
          <w:bCs/>
          <w:sz w:val="20"/>
          <w:szCs w:val="20"/>
          <w:lang w:val="es-ES"/>
        </w:rPr>
        <w:t xml:space="preserve"> el artículo</w:t>
      </w:r>
      <w:r w:rsidR="00A1168F" w:rsidRPr="004A50B7">
        <w:rPr>
          <w:rFonts w:asciiTheme="majorHAnsi" w:hAnsiTheme="majorHAnsi"/>
          <w:bCs/>
          <w:sz w:val="20"/>
          <w:szCs w:val="20"/>
          <w:lang w:val="es-ES"/>
        </w:rPr>
        <w:t xml:space="preserve"> 7 de la Convención de Belém do Pará</w:t>
      </w:r>
      <w:r w:rsidR="00A758AA" w:rsidRPr="004A50B7">
        <w:rPr>
          <w:rFonts w:asciiTheme="majorHAnsi" w:hAnsiTheme="majorHAnsi"/>
          <w:sz w:val="20"/>
          <w:szCs w:val="20"/>
          <w:lang w:val="es-ES"/>
        </w:rPr>
        <w:t>;</w:t>
      </w:r>
      <w:r w:rsidR="00D7797D" w:rsidRPr="004A50B7">
        <w:rPr>
          <w:rFonts w:asciiTheme="majorHAnsi" w:hAnsiTheme="majorHAnsi"/>
          <w:sz w:val="20"/>
          <w:szCs w:val="20"/>
          <w:lang w:val="es-ES"/>
        </w:rPr>
        <w:t xml:space="preserve"> </w:t>
      </w:r>
      <w:r w:rsidR="004A6A54" w:rsidRPr="004A50B7">
        <w:rPr>
          <w:rFonts w:asciiTheme="majorHAnsi" w:hAnsiTheme="majorHAnsi"/>
          <w:sz w:val="20"/>
          <w:szCs w:val="20"/>
          <w:lang w:val="es-ES"/>
        </w:rPr>
        <w:t>y</w:t>
      </w:r>
    </w:p>
    <w:p w14:paraId="7CD4DFBD" w14:textId="783F8EE5" w:rsidR="003239B8" w:rsidRPr="004A50B7"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A50B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1B234B4" w14:textId="37D5F223" w:rsidR="00FF7106" w:rsidRPr="004A50B7" w:rsidRDefault="00FF7106" w:rsidP="00FF7106">
      <w:pPr>
        <w:suppressAutoHyphens/>
        <w:ind w:firstLine="720"/>
        <w:jc w:val="both"/>
        <w:rPr>
          <w:rFonts w:asciiTheme="majorHAnsi" w:hAnsiTheme="majorHAnsi" w:cs="Arial"/>
          <w:noProof/>
          <w:spacing w:val="-2"/>
          <w:sz w:val="20"/>
          <w:szCs w:val="20"/>
          <w:lang w:val="es-CL"/>
        </w:rPr>
      </w:pPr>
      <w:r w:rsidRPr="004A50B7">
        <w:rPr>
          <w:rFonts w:asciiTheme="majorHAnsi" w:hAnsiTheme="majorHAnsi" w:cs="Arial"/>
          <w:noProof/>
          <w:spacing w:val="-2"/>
          <w:sz w:val="20"/>
          <w:szCs w:val="20"/>
          <w:lang w:val="es-CL"/>
        </w:rPr>
        <w:t xml:space="preserve">Aprobado por la Comisión Interamericana de Derechos Humanos  a los 22 días del mes de marzo de 2020.  (Firmado): Joel Hernández, Presidente; Antonia Urrrejola, Primera Vicepresidenta; Flávia Piovesan, Segunda Vicepresidenta; Esmeralda E. Arosemena Bernal de Troitiño, </w:t>
      </w:r>
      <w:r w:rsidR="00260B52" w:rsidRPr="004A50B7">
        <w:rPr>
          <w:rFonts w:asciiTheme="majorHAnsi" w:hAnsiTheme="majorHAnsi" w:cs="Arial"/>
          <w:noProof/>
          <w:spacing w:val="-2"/>
          <w:sz w:val="20"/>
          <w:szCs w:val="20"/>
          <w:lang w:val="es-CL"/>
        </w:rPr>
        <w:t>Margarette May Macaulay</w:t>
      </w:r>
      <w:r w:rsidRPr="004A50B7">
        <w:rPr>
          <w:rFonts w:asciiTheme="majorHAnsi" w:hAnsiTheme="majorHAnsi" w:cs="Arial"/>
          <w:noProof/>
          <w:spacing w:val="-2"/>
          <w:sz w:val="20"/>
          <w:szCs w:val="20"/>
          <w:lang w:val="es-CL"/>
        </w:rPr>
        <w:t xml:space="preserve"> </w:t>
      </w:r>
      <w:r w:rsidR="00260B52" w:rsidRPr="004A50B7">
        <w:rPr>
          <w:rFonts w:asciiTheme="majorHAnsi" w:hAnsiTheme="majorHAnsi" w:cs="Arial"/>
          <w:noProof/>
          <w:spacing w:val="-2"/>
          <w:sz w:val="20"/>
          <w:szCs w:val="20"/>
          <w:lang w:val="es-CL"/>
        </w:rPr>
        <w:t>y</w:t>
      </w:r>
      <w:r w:rsidRPr="004A50B7">
        <w:rPr>
          <w:rFonts w:asciiTheme="majorHAnsi" w:hAnsiTheme="majorHAnsi" w:cs="Arial"/>
          <w:noProof/>
          <w:spacing w:val="-2"/>
          <w:sz w:val="20"/>
          <w:szCs w:val="20"/>
          <w:lang w:val="es-CL"/>
        </w:rPr>
        <w:t xml:space="preserve">  Stuardo Ralón Orellana (en disidencia),  Miembros de la Comisión.</w:t>
      </w:r>
    </w:p>
    <w:p w14:paraId="0BFF2715" w14:textId="77777777" w:rsidR="00FF7106" w:rsidRPr="004A50B7" w:rsidRDefault="00FF7106" w:rsidP="00FF7106">
      <w:pPr>
        <w:ind w:firstLine="720"/>
        <w:jc w:val="both"/>
        <w:rPr>
          <w:rFonts w:asciiTheme="majorHAnsi" w:hAnsiTheme="majorHAnsi" w:cs="Arial"/>
          <w:noProof/>
          <w:sz w:val="20"/>
          <w:szCs w:val="20"/>
          <w:lang w:val="es-CL"/>
        </w:rPr>
      </w:pPr>
    </w:p>
    <w:p w14:paraId="222723D8" w14:textId="77777777" w:rsidR="004A50B7" w:rsidRPr="004A50B7" w:rsidRDefault="004A50B7" w:rsidP="00FF7106">
      <w:pPr>
        <w:ind w:firstLine="720"/>
        <w:jc w:val="both"/>
        <w:rPr>
          <w:rFonts w:asciiTheme="majorHAnsi" w:hAnsiTheme="majorHAnsi" w:cs="Arial"/>
          <w:noProof/>
          <w:sz w:val="20"/>
          <w:szCs w:val="20"/>
          <w:lang w:val="es-CL"/>
        </w:rPr>
        <w:sectPr w:rsidR="004A50B7" w:rsidRPr="004A50B7" w:rsidSect="00934A2C">
          <w:type w:val="oddPage"/>
          <w:pgSz w:w="12240" w:h="15840"/>
          <w:pgMar w:top="1440" w:right="1440" w:bottom="1440" w:left="1440" w:header="720" w:footer="720" w:gutter="0"/>
          <w:pgNumType w:start="1"/>
          <w:cols w:space="720"/>
          <w:docGrid w:linePitch="326"/>
        </w:sectPr>
      </w:pPr>
    </w:p>
    <w:p w14:paraId="0FBB03CD" w14:textId="77777777" w:rsidR="004A50B7" w:rsidRPr="004A50B7" w:rsidRDefault="004A50B7" w:rsidP="00E65E61">
      <w:pPr>
        <w:spacing w:line="360" w:lineRule="auto"/>
        <w:jc w:val="center"/>
        <w:rPr>
          <w:rFonts w:asciiTheme="majorHAnsi" w:hAnsiTheme="majorHAnsi"/>
          <w:b/>
          <w:bCs/>
          <w:lang w:val="es-US"/>
        </w:rPr>
      </w:pPr>
      <w:r w:rsidRPr="004A50B7">
        <w:rPr>
          <w:rFonts w:asciiTheme="majorHAnsi" w:hAnsiTheme="majorHAnsi"/>
          <w:b/>
          <w:bCs/>
          <w:lang w:val="es-US"/>
        </w:rPr>
        <w:lastRenderedPageBreak/>
        <w:t>VOTO DISIDENTE, COMISIONADO STUARDO RALÓN ORELLANA</w:t>
      </w:r>
    </w:p>
    <w:p w14:paraId="148D94EF" w14:textId="77777777" w:rsidR="004A50B7" w:rsidRPr="004A50B7" w:rsidRDefault="004A50B7" w:rsidP="00E65E61">
      <w:pPr>
        <w:spacing w:line="360" w:lineRule="auto"/>
        <w:jc w:val="center"/>
        <w:rPr>
          <w:rFonts w:asciiTheme="majorHAnsi" w:hAnsiTheme="majorHAnsi"/>
          <w:b/>
          <w:bCs/>
          <w:lang w:val="es-US"/>
        </w:rPr>
      </w:pPr>
      <w:r w:rsidRPr="004A50B7">
        <w:rPr>
          <w:rFonts w:asciiTheme="majorHAnsi" w:hAnsiTheme="majorHAnsi"/>
          <w:b/>
          <w:bCs/>
          <w:lang w:val="es-US"/>
        </w:rPr>
        <w:t>Informe de Admisibilidad N° 18/20 Petición N° 449-16 “María y Familia”</w:t>
      </w:r>
    </w:p>
    <w:p w14:paraId="169756EA" w14:textId="77777777" w:rsidR="004A50B7" w:rsidRPr="004A50B7" w:rsidRDefault="004A50B7" w:rsidP="002E29BC">
      <w:pPr>
        <w:spacing w:line="360" w:lineRule="auto"/>
        <w:jc w:val="both"/>
        <w:rPr>
          <w:rFonts w:asciiTheme="majorHAnsi" w:hAnsiTheme="majorHAnsi"/>
          <w:lang w:val="es-US"/>
        </w:rPr>
      </w:pPr>
    </w:p>
    <w:p w14:paraId="46EE0A6D"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En el presente informe de admisibilidad, respetuosamente debo hacer presente mi voto disidente. Valorando los argumentos del voto de mayoría, creo que el caso sometido a nuestro conocimiento debe ser declarado inadmisible. Ello por dos razones:</w:t>
      </w:r>
    </w:p>
    <w:p w14:paraId="3512D303" w14:textId="77777777" w:rsidR="004A50B7" w:rsidRPr="004A50B7" w:rsidRDefault="004A50B7" w:rsidP="002E29BC">
      <w:pPr>
        <w:spacing w:line="360" w:lineRule="auto"/>
        <w:jc w:val="both"/>
        <w:rPr>
          <w:rFonts w:asciiTheme="majorHAnsi" w:hAnsiTheme="majorHAnsi"/>
          <w:lang w:val="es-US"/>
        </w:rPr>
      </w:pPr>
    </w:p>
    <w:p w14:paraId="2E35E4A5"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PRIMERO: El Estado ha conocido y sancionado judicialmente la conducta</w:t>
      </w:r>
    </w:p>
    <w:p w14:paraId="64915D83"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 xml:space="preserve">A pesar del enorme drama humano que los hechos del caso dejan ver, es posible apreciar que los mismos han sido, efectivamente, conocidos y sancionados por los tribunales del Estado denunciado. En este contexto, cabe concluir que, al tenor de lo dispuesto en el artículo 47 </w:t>
      </w:r>
      <w:proofErr w:type="gramStart"/>
      <w:r w:rsidRPr="004A50B7">
        <w:rPr>
          <w:rFonts w:asciiTheme="majorHAnsi" w:hAnsiTheme="majorHAnsi"/>
          <w:lang w:val="es-US"/>
        </w:rPr>
        <w:t>letra</w:t>
      </w:r>
      <w:proofErr w:type="gramEnd"/>
      <w:r w:rsidRPr="004A50B7">
        <w:rPr>
          <w:rFonts w:asciiTheme="majorHAnsi" w:hAnsiTheme="majorHAnsi"/>
          <w:lang w:val="es-US"/>
        </w:rPr>
        <w:t xml:space="preserve"> c) de la Convención Americana, resulta evidente la total improcedencia de la denuncia.</w:t>
      </w:r>
    </w:p>
    <w:p w14:paraId="37BD670C" w14:textId="77777777" w:rsidR="004A50B7" w:rsidRPr="004A50B7" w:rsidRDefault="004A50B7" w:rsidP="002E29BC">
      <w:pPr>
        <w:spacing w:line="360" w:lineRule="auto"/>
        <w:jc w:val="both"/>
        <w:rPr>
          <w:rFonts w:asciiTheme="majorHAnsi" w:hAnsiTheme="majorHAnsi"/>
          <w:lang w:val="es-US"/>
        </w:rPr>
      </w:pPr>
    </w:p>
    <w:p w14:paraId="0C1996BB" w14:textId="4D20624B"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SEGUNDO: La denuncia pretende que se condene al Estado por incurrir en un Conducta que no es</w:t>
      </w:r>
      <w:r w:rsidR="00A523AF">
        <w:rPr>
          <w:rFonts w:asciiTheme="majorHAnsi" w:hAnsiTheme="majorHAnsi"/>
          <w:lang w:val="es-US"/>
        </w:rPr>
        <w:t xml:space="preserve"> </w:t>
      </w:r>
      <w:r w:rsidRPr="004A50B7">
        <w:rPr>
          <w:rFonts w:asciiTheme="majorHAnsi" w:hAnsiTheme="majorHAnsi"/>
          <w:lang w:val="es-US"/>
        </w:rPr>
        <w:t>un derecho reconocido en la Convención Americana de Derechos Humanos.</w:t>
      </w:r>
    </w:p>
    <w:p w14:paraId="4CB83F80" w14:textId="77777777" w:rsidR="004A50B7" w:rsidRPr="004A50B7" w:rsidRDefault="004A50B7" w:rsidP="002E29BC">
      <w:pPr>
        <w:spacing w:line="360" w:lineRule="auto"/>
        <w:jc w:val="both"/>
        <w:rPr>
          <w:rFonts w:asciiTheme="majorHAnsi" w:hAnsiTheme="majorHAnsi"/>
          <w:lang w:val="es-US"/>
        </w:rPr>
      </w:pPr>
    </w:p>
    <w:p w14:paraId="5368FAD9"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La denuncia busca que se condene al Estado por incurrir en una conducta que, de acuerdo con la peticionaria, representaría una violación de un derecho reconocido en la Convención. Sin embargo, el aborto no es un derecho convencional y, por tanto, los Estados no se encuentran en la obligación de proveer los medios para su práctica. Luego, la denuncia, también en relación con esta arista, resulta inadmisible por cuanto, de acuerdo con el artículo 47 letra c) de la Convención Americana, aquella no caracteriza una violación de “derechos garantizados por esta Convención”.</w:t>
      </w:r>
    </w:p>
    <w:p w14:paraId="0A1A971C" w14:textId="77777777" w:rsidR="004A50B7" w:rsidRPr="004A50B7" w:rsidRDefault="004A50B7" w:rsidP="002E29BC">
      <w:pPr>
        <w:spacing w:line="360" w:lineRule="auto"/>
        <w:jc w:val="both"/>
        <w:rPr>
          <w:rFonts w:asciiTheme="majorHAnsi" w:hAnsiTheme="majorHAnsi"/>
          <w:lang w:val="es-US"/>
        </w:rPr>
      </w:pPr>
    </w:p>
    <w:p w14:paraId="3923D22E"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RAZONAMIENTO Y FUNDAMENTO DEL VOTO DISIDENTE</w:t>
      </w:r>
    </w:p>
    <w:p w14:paraId="2E4313B7"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 xml:space="preserve">Los hechos del caso, como se mencionó, son sumamente dramáticos. Estamos ante una situación en la cual un adolescente de 17 años violó a la denunciante. Señalada esta circunstancia a los órganos a cargo de la persecución penal en el Perú, los mismos iniciaron las investigaciones pertinentes. En efecto, los órganos competentes cumplieron con su deber de investigación e identificaron como responsables del delito en cuestión al referido adolescente. Luego, los tribunales procedieron a conocer de la acusación y resolvieron </w:t>
      </w:r>
      <w:r w:rsidRPr="004A50B7">
        <w:rPr>
          <w:rFonts w:asciiTheme="majorHAnsi" w:hAnsiTheme="majorHAnsi"/>
          <w:lang w:val="es-US"/>
        </w:rPr>
        <w:lastRenderedPageBreak/>
        <w:t>condenar, en 2015, al autor del delito a la pena de internación forzosa por un año y al pago de una indemnización de perjuicios. El Estado explica que se aplicó la señalada pena porque, al momento de cometer el delito, su autor era menor de edad. Luego, los tribunales aplicaron a éste el estatuto penal adolescente. Frente a la decisión del tribunal de primera instancia, el acusado apeló. Sin embargo, la Corte de alzada respectiva confirmó la sentencia. Finalmente, el responsable del delito, habiendo transcurrido el año de internamiento, en 2016, salió en libertad y fue rehabilitado en el ejercicio de sus derechos de conformidad a la legislación peruana.</w:t>
      </w:r>
    </w:p>
    <w:p w14:paraId="5E5827A0" w14:textId="77777777" w:rsidR="004A50B7" w:rsidRPr="004A50B7" w:rsidRDefault="004A50B7" w:rsidP="002E29BC">
      <w:pPr>
        <w:spacing w:line="360" w:lineRule="auto"/>
        <w:jc w:val="both"/>
        <w:rPr>
          <w:rFonts w:asciiTheme="majorHAnsi" w:hAnsiTheme="majorHAnsi"/>
          <w:lang w:val="es-US"/>
        </w:rPr>
      </w:pPr>
    </w:p>
    <w:p w14:paraId="76F4FE49"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Como es posible apreciar, frente a un delito cometido por un particular, el Estado reaccionó investigando la situación, identificando responsables y sancionándolos de acuerdo con su legislación penal. Desde esta perspectiva, el Estado de Perú ha cumplido con sus deberes internacionales para con los derechos humanos contenidos en la Convención Americana.</w:t>
      </w:r>
    </w:p>
    <w:p w14:paraId="2FCC3C91" w14:textId="77777777" w:rsidR="004A50B7" w:rsidRPr="004A50B7" w:rsidRDefault="004A50B7" w:rsidP="002E29BC">
      <w:pPr>
        <w:spacing w:line="360" w:lineRule="auto"/>
        <w:jc w:val="both"/>
        <w:rPr>
          <w:rFonts w:asciiTheme="majorHAnsi" w:hAnsiTheme="majorHAnsi"/>
          <w:lang w:val="es-US"/>
        </w:rPr>
      </w:pPr>
    </w:p>
    <w:p w14:paraId="493C5EDE"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Evidentemente, cada uno de nosotros podrá tener su propia apreciación respecto de si la pena aplicada fue la más adecuada, o si el Ministerio Público debió haber casado la sentencia de la Corte de Apelaciones competente para efectos de incrementar la penalidad. Sin embargo, si esta Comisión entrase a conocer de estas circunstancias se constituiría, necesariamente, en un tribunal de “cuarta instancia”. Efectivamente, evaluar la proporcionalidad de la pena asignada, o analizar si la ley nacional fue correctamente interpretada o aplicada por los órganos involucrados en el proceso son cuestiones que escapan a la competencia de esta Comisión, como su propia jurisprudencia lo afirma en reiteradas ocasiones. En este sentido, declarar la admisibilidad de este caso permite abrir una puerta que a la larga, hipotéticamente, permitiría a esta Comisión juzgar materias respecto de las cuales los Estados no le han otorgado competencia.</w:t>
      </w:r>
    </w:p>
    <w:p w14:paraId="2C103C79"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 xml:space="preserve">Adicionalmente, la peticionaria alega que el Estado no le habría suministrado un anticonceptivo de emergencia denominado “píldora del día después” tras denunciar la violación de la cual fue víctima. Dentro del relato de la peticionaria, esta situación habría vulnerado sus derechos humanos. Ello porque la entrega de la referida píldora representaría una obligación estatal para con los derechos humanos reconocidos en la Convención Americana. Este razonamiento sería correcto si la Convención Americana reconociera en su </w:t>
      </w:r>
      <w:r w:rsidRPr="004A50B7">
        <w:rPr>
          <w:rFonts w:asciiTheme="majorHAnsi" w:hAnsiTheme="majorHAnsi"/>
          <w:lang w:val="es-US"/>
        </w:rPr>
        <w:lastRenderedPageBreak/>
        <w:t>texto al aborto como un derecho. En efecto, si el aborto representara un derecho dentro de la Convención, entonces los Estados tendrían la obligación correlativa de proveer a toda mujer que lo solicitara de los mecanismos necesarios para abortar. Ello, sin embargo, no es correcto.</w:t>
      </w:r>
    </w:p>
    <w:p w14:paraId="05ECAEEC" w14:textId="77777777" w:rsidR="004A50B7" w:rsidRPr="004A50B7" w:rsidRDefault="004A50B7" w:rsidP="002E29BC">
      <w:pPr>
        <w:spacing w:line="360" w:lineRule="auto"/>
        <w:jc w:val="both"/>
        <w:rPr>
          <w:rFonts w:asciiTheme="majorHAnsi" w:hAnsiTheme="majorHAnsi"/>
          <w:lang w:val="es-US"/>
        </w:rPr>
      </w:pPr>
    </w:p>
    <w:p w14:paraId="63FF59B7"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Como Comisionado comprendo lo traumático e inhumano de la experiencia vivida por la peticionaria. Evidentemente, existen pocas conductas que signifiquen una infracción tan grave a la dignidad humana como una violación. Sin embargo, pese a compartir y comprender el dolor de la peticionaria, debo señalar que la no entrega de la píldora en ese momento por parte del Estado peruano no representó, al tenor del artículo 47 letra b) de la Convención Americana, una situación cuyos hechos “caracterizaran una violación de los derechos garantizados por esta Convención”. Ello, simplemente, porque la Convención Americana sobre Derechos Humanos en ninguna disposición específica reconoce un “derecho al aborto” que obligue, a su vez, a los Estados a proveer los medios necesarios para realizar la señalada práctica.  Por el contrario, la Convención Americana garantiza una amplia protección del derecho a la vida, incluyendo aquella del no-nacido, al tenor de lo señalado en el artículo 4.1 del tratado, el que indica que “este derecho estará protegido por la ley y, en general, a partir del momento de la concepción”.</w:t>
      </w:r>
    </w:p>
    <w:p w14:paraId="5621B458"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En conclusión, en la medida que la Convención Americana sobre Derechos Humanos no reconoce en disposición alguna un “derecho al aborto”, la no entrega por parte del Estado de la denominada píldora del día después, de claros efectos abortivos, no puede caracterizar una situación que, de acuerdo con el artículo 47 letra b) de la Convención, represente una violación a alguno de los derechos protegidos en dicho tratado. Por lo que, también desde esta perspectiva, la petición resulta inadmisible.</w:t>
      </w:r>
    </w:p>
    <w:p w14:paraId="66107F44" w14:textId="77777777" w:rsidR="004A50B7" w:rsidRPr="004A50B7" w:rsidRDefault="004A50B7" w:rsidP="002E29BC">
      <w:pPr>
        <w:spacing w:line="360" w:lineRule="auto"/>
        <w:jc w:val="both"/>
        <w:rPr>
          <w:rFonts w:asciiTheme="majorHAnsi" w:hAnsiTheme="majorHAnsi"/>
          <w:lang w:val="es-US"/>
        </w:rPr>
      </w:pPr>
    </w:p>
    <w:p w14:paraId="21EF31BE" w14:textId="77777777" w:rsidR="004A50B7" w:rsidRPr="004A50B7" w:rsidRDefault="004A50B7" w:rsidP="002E29BC">
      <w:pPr>
        <w:spacing w:line="360" w:lineRule="auto"/>
        <w:jc w:val="both"/>
        <w:rPr>
          <w:rFonts w:asciiTheme="majorHAnsi" w:hAnsiTheme="majorHAnsi"/>
          <w:lang w:val="es-US"/>
        </w:rPr>
      </w:pPr>
      <w:r w:rsidRPr="004A50B7">
        <w:rPr>
          <w:rFonts w:asciiTheme="majorHAnsi" w:hAnsiTheme="majorHAnsi"/>
          <w:lang w:val="es-US"/>
        </w:rPr>
        <w:t>Por las razones señaladas en este voto, respetuosamente, disiento.</w:t>
      </w:r>
    </w:p>
    <w:p w14:paraId="3F116A0F" w14:textId="1A1E942C" w:rsidR="004A50B7" w:rsidRPr="004A50B7" w:rsidRDefault="004A50B7" w:rsidP="00FF7106">
      <w:pPr>
        <w:ind w:firstLine="720"/>
        <w:jc w:val="both"/>
        <w:rPr>
          <w:rFonts w:asciiTheme="majorHAnsi" w:hAnsiTheme="majorHAnsi" w:cs="Arial"/>
          <w:noProof/>
          <w:sz w:val="20"/>
          <w:szCs w:val="20"/>
          <w:lang w:val="es-US"/>
        </w:rPr>
      </w:pPr>
    </w:p>
    <w:sectPr w:rsidR="004A50B7" w:rsidRPr="004A50B7" w:rsidSect="005B7E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D71B1" w14:textId="77777777" w:rsidR="00E26DDD" w:rsidRDefault="00E26DDD">
      <w:r>
        <w:separator/>
      </w:r>
    </w:p>
  </w:endnote>
  <w:endnote w:type="continuationSeparator" w:id="0">
    <w:p w14:paraId="2B80388C" w14:textId="77777777" w:rsidR="00E26DDD" w:rsidRDefault="00E2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37F2" w14:textId="77777777" w:rsidR="006D2BE8" w:rsidRDefault="006D2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361BEEA"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556E9">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1FC01" w14:textId="77777777" w:rsidR="00E26DDD" w:rsidRPr="000F35ED" w:rsidRDefault="00E26D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74A616" w14:textId="77777777" w:rsidR="00E26DDD" w:rsidRPr="000F35ED" w:rsidRDefault="00E26DDD" w:rsidP="000F35ED">
      <w:pPr>
        <w:rPr>
          <w:rFonts w:asciiTheme="majorHAnsi" w:hAnsiTheme="majorHAnsi"/>
          <w:sz w:val="16"/>
          <w:szCs w:val="16"/>
        </w:rPr>
      </w:pPr>
      <w:r w:rsidRPr="000F35ED">
        <w:rPr>
          <w:rFonts w:asciiTheme="majorHAnsi" w:hAnsiTheme="majorHAnsi"/>
          <w:sz w:val="16"/>
          <w:szCs w:val="16"/>
        </w:rPr>
        <w:separator/>
      </w:r>
    </w:p>
    <w:p w14:paraId="1A146C57" w14:textId="77777777" w:rsidR="00E26DDD" w:rsidRPr="000F35ED" w:rsidRDefault="00E26DD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AD1630B" w14:textId="77777777" w:rsidR="00E26DDD" w:rsidRPr="000F35ED" w:rsidRDefault="00E26DD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295606" w14:textId="2B1C942A" w:rsidR="006614D5" w:rsidRPr="008C5D4C" w:rsidRDefault="006614D5" w:rsidP="008C5D4C">
      <w:pPr>
        <w:pStyle w:val="FootnoteText"/>
        <w:jc w:val="both"/>
        <w:rPr>
          <w:rFonts w:asciiTheme="majorHAnsi" w:hAnsiTheme="majorHAnsi"/>
          <w:sz w:val="16"/>
          <w:szCs w:val="16"/>
          <w:lang w:val="es-MX"/>
        </w:rPr>
      </w:pPr>
      <w:r w:rsidRPr="008C5D4C">
        <w:rPr>
          <w:rStyle w:val="FootnoteReference"/>
          <w:rFonts w:asciiTheme="majorHAnsi" w:hAnsiTheme="majorHAnsi"/>
          <w:sz w:val="16"/>
          <w:szCs w:val="16"/>
        </w:rPr>
        <w:footnoteRef/>
      </w:r>
      <w:r w:rsidRPr="008C5D4C">
        <w:rPr>
          <w:rFonts w:asciiTheme="majorHAnsi" w:hAnsiTheme="majorHAnsi"/>
          <w:sz w:val="16"/>
          <w:szCs w:val="16"/>
          <w:lang w:val="es-MX"/>
        </w:rPr>
        <w:t xml:space="preserve"> Asociación Paz y Esperanza, Centro de Promoción y Defensa de los Derechos Sexuales y Reproductivos (PROMSEX) y Estudio para la Defensa de l</w:t>
      </w:r>
      <w:r w:rsidR="00340EF2" w:rsidRPr="008C5D4C">
        <w:rPr>
          <w:rFonts w:asciiTheme="majorHAnsi" w:hAnsiTheme="majorHAnsi"/>
          <w:sz w:val="16"/>
          <w:szCs w:val="16"/>
          <w:lang w:val="es-MX"/>
        </w:rPr>
        <w:t xml:space="preserve">os Derechos de la Mujer (DEMUS). Sin embargo, mediante comunicación de fecha 1 de febrero de 2019, </w:t>
      </w:r>
      <w:r w:rsidR="00771269" w:rsidRPr="008C5D4C">
        <w:rPr>
          <w:rFonts w:asciiTheme="majorHAnsi" w:hAnsiTheme="majorHAnsi"/>
          <w:sz w:val="16"/>
          <w:szCs w:val="16"/>
          <w:lang w:val="es-MX"/>
        </w:rPr>
        <w:t xml:space="preserve">se indicó que </w:t>
      </w:r>
      <w:r w:rsidR="00340EF2" w:rsidRPr="008C5D4C">
        <w:rPr>
          <w:rFonts w:asciiTheme="majorHAnsi" w:hAnsiTheme="majorHAnsi"/>
          <w:sz w:val="16"/>
          <w:szCs w:val="16"/>
          <w:lang w:val="es-MX"/>
        </w:rPr>
        <w:t>el DEMUS renunciaba a ser peticionario.</w:t>
      </w:r>
    </w:p>
  </w:footnote>
  <w:footnote w:id="3">
    <w:p w14:paraId="1E269467" w14:textId="2896DDFB" w:rsidR="00083A1A" w:rsidRPr="008C5D4C" w:rsidRDefault="00083A1A" w:rsidP="008C5D4C">
      <w:pPr>
        <w:pStyle w:val="FootnoteText"/>
        <w:jc w:val="both"/>
        <w:rPr>
          <w:rFonts w:asciiTheme="majorHAnsi" w:hAnsiTheme="majorHAnsi"/>
          <w:sz w:val="16"/>
          <w:szCs w:val="16"/>
          <w:lang w:val="es-MX"/>
        </w:rPr>
      </w:pPr>
      <w:r w:rsidRPr="008C5D4C">
        <w:rPr>
          <w:rStyle w:val="FootnoteReference"/>
          <w:rFonts w:asciiTheme="majorHAnsi" w:hAnsiTheme="majorHAnsi"/>
          <w:sz w:val="16"/>
          <w:szCs w:val="16"/>
        </w:rPr>
        <w:footnoteRef/>
      </w:r>
      <w:r w:rsidRPr="008C5D4C">
        <w:rPr>
          <w:rFonts w:asciiTheme="majorHAnsi" w:hAnsiTheme="majorHAnsi"/>
          <w:sz w:val="16"/>
          <w:szCs w:val="16"/>
          <w:lang w:val="es-MX"/>
        </w:rPr>
        <w:t xml:space="preserve"> </w:t>
      </w:r>
      <w:r w:rsidR="00080D07" w:rsidRPr="008C5D4C">
        <w:rPr>
          <w:rFonts w:asciiTheme="majorHAnsi" w:hAnsiTheme="majorHAnsi"/>
          <w:sz w:val="16"/>
          <w:szCs w:val="16"/>
          <w:lang w:val="es-MX"/>
        </w:rPr>
        <w:t>Los peticionarios solicita</w:t>
      </w:r>
      <w:r w:rsidR="00771269" w:rsidRPr="008C5D4C">
        <w:rPr>
          <w:rFonts w:asciiTheme="majorHAnsi" w:hAnsiTheme="majorHAnsi"/>
          <w:sz w:val="16"/>
          <w:szCs w:val="16"/>
          <w:lang w:val="es-MX"/>
        </w:rPr>
        <w:t>ron</w:t>
      </w:r>
      <w:r w:rsidR="00080D07" w:rsidRPr="008C5D4C">
        <w:rPr>
          <w:rFonts w:asciiTheme="majorHAnsi" w:hAnsiTheme="majorHAnsi"/>
          <w:sz w:val="16"/>
          <w:szCs w:val="16"/>
          <w:lang w:val="es-MX"/>
        </w:rPr>
        <w:t xml:space="preserve"> que le sea asignado el nombre de "María" a la </w:t>
      </w:r>
      <w:r w:rsidR="00771269" w:rsidRPr="008C5D4C">
        <w:rPr>
          <w:rFonts w:asciiTheme="majorHAnsi" w:hAnsiTheme="majorHAnsi"/>
          <w:sz w:val="16"/>
          <w:szCs w:val="16"/>
          <w:lang w:val="es-MX"/>
        </w:rPr>
        <w:t xml:space="preserve">presunta </w:t>
      </w:r>
      <w:r w:rsidR="00080D07" w:rsidRPr="008C5D4C">
        <w:rPr>
          <w:rFonts w:asciiTheme="majorHAnsi" w:hAnsiTheme="majorHAnsi"/>
          <w:sz w:val="16"/>
          <w:szCs w:val="16"/>
          <w:lang w:val="es-MX"/>
        </w:rPr>
        <w:t xml:space="preserve">víctima </w:t>
      </w:r>
      <w:r w:rsidR="00771269" w:rsidRPr="008C5D4C">
        <w:rPr>
          <w:rFonts w:asciiTheme="majorHAnsi" w:hAnsiTheme="majorHAnsi"/>
          <w:sz w:val="16"/>
          <w:szCs w:val="16"/>
          <w:lang w:val="es-MX"/>
        </w:rPr>
        <w:t xml:space="preserve">tratarse de una mujer </w:t>
      </w:r>
      <w:r w:rsidR="00080D07" w:rsidRPr="008C5D4C">
        <w:rPr>
          <w:rFonts w:asciiTheme="majorHAnsi" w:hAnsiTheme="majorHAnsi"/>
          <w:sz w:val="16"/>
          <w:szCs w:val="16"/>
          <w:lang w:val="es-MX"/>
        </w:rPr>
        <w:t>víctima de violencia sexual.</w:t>
      </w:r>
    </w:p>
  </w:footnote>
  <w:footnote w:id="4">
    <w:p w14:paraId="06C1BEFA" w14:textId="204F5A8A" w:rsidR="004A6A54" w:rsidRPr="008C5D4C" w:rsidRDefault="004A6A54" w:rsidP="008C5D4C">
      <w:pPr>
        <w:pStyle w:val="FootnoteText"/>
        <w:jc w:val="both"/>
        <w:rPr>
          <w:rFonts w:asciiTheme="majorHAnsi" w:hAnsiTheme="majorHAnsi"/>
          <w:sz w:val="16"/>
          <w:szCs w:val="16"/>
          <w:lang w:val="es-ES"/>
        </w:rPr>
      </w:pPr>
      <w:r w:rsidRPr="008C5D4C">
        <w:rPr>
          <w:rStyle w:val="FootnoteReference"/>
          <w:rFonts w:asciiTheme="majorHAnsi" w:hAnsiTheme="majorHAnsi"/>
          <w:sz w:val="16"/>
          <w:szCs w:val="16"/>
        </w:rPr>
        <w:footnoteRef/>
      </w:r>
      <w:r w:rsidRPr="008C5D4C">
        <w:rPr>
          <w:rFonts w:asciiTheme="majorHAnsi" w:hAnsiTheme="majorHAnsi"/>
          <w:sz w:val="16"/>
          <w:szCs w:val="16"/>
          <w:lang w:val="es-ES"/>
        </w:rPr>
        <w:t xml:space="preserve"> Conforme a lo dispuesto en el artículo 17.2.a del Reglamento </w:t>
      </w:r>
      <w:r w:rsidRPr="008C5D4C">
        <w:rPr>
          <w:rFonts w:asciiTheme="majorHAnsi" w:hAnsiTheme="majorHAnsi"/>
          <w:color w:val="auto"/>
          <w:sz w:val="16"/>
          <w:szCs w:val="16"/>
          <w:lang w:val="es-ES"/>
        </w:rPr>
        <w:t>de la Comisión, el Comisionado</w:t>
      </w:r>
      <w:r w:rsidR="00BF514A" w:rsidRPr="008C5D4C">
        <w:rPr>
          <w:rFonts w:asciiTheme="majorHAnsi" w:hAnsiTheme="majorHAnsi"/>
          <w:color w:val="auto"/>
          <w:sz w:val="16"/>
          <w:szCs w:val="16"/>
          <w:lang w:val="es-ES"/>
        </w:rPr>
        <w:t xml:space="preserve"> </w:t>
      </w:r>
      <w:r w:rsidR="00A21B0B" w:rsidRPr="008C5D4C">
        <w:rPr>
          <w:rFonts w:asciiTheme="majorHAnsi" w:hAnsiTheme="majorHAnsi"/>
          <w:color w:val="auto"/>
          <w:sz w:val="16"/>
          <w:szCs w:val="16"/>
          <w:lang w:val="es-ES"/>
        </w:rPr>
        <w:t>Francisco José Eguiguren Praeli</w:t>
      </w:r>
      <w:r w:rsidRPr="008C5D4C">
        <w:rPr>
          <w:rFonts w:asciiTheme="majorHAnsi" w:hAnsiTheme="majorHAnsi"/>
          <w:color w:val="auto"/>
          <w:sz w:val="16"/>
          <w:szCs w:val="16"/>
          <w:lang w:val="es-ES"/>
        </w:rPr>
        <w:t xml:space="preserve">, de nacionalidad </w:t>
      </w:r>
      <w:r w:rsidR="00A21B0B" w:rsidRPr="008C5D4C">
        <w:rPr>
          <w:rFonts w:asciiTheme="majorHAnsi" w:hAnsiTheme="majorHAnsi"/>
          <w:color w:val="auto"/>
          <w:sz w:val="16"/>
          <w:szCs w:val="16"/>
          <w:lang w:val="es-ES"/>
        </w:rPr>
        <w:t>peruana</w:t>
      </w:r>
      <w:r w:rsidRPr="008C5D4C">
        <w:rPr>
          <w:rFonts w:asciiTheme="majorHAnsi" w:hAnsiTheme="majorHAnsi"/>
          <w:color w:val="auto"/>
          <w:sz w:val="16"/>
          <w:szCs w:val="16"/>
          <w:lang w:val="es-ES"/>
        </w:rPr>
        <w:t>, no participó en el debate ni en la decisión del presente asunto.</w:t>
      </w:r>
    </w:p>
  </w:footnote>
  <w:footnote w:id="5">
    <w:p w14:paraId="04C6735E" w14:textId="77777777" w:rsidR="00BD222D" w:rsidRPr="008C5D4C" w:rsidRDefault="00BD222D" w:rsidP="00BD222D">
      <w:pPr>
        <w:pStyle w:val="FootnoteText"/>
        <w:jc w:val="both"/>
        <w:rPr>
          <w:rFonts w:asciiTheme="majorHAnsi" w:hAnsiTheme="majorHAnsi"/>
          <w:sz w:val="16"/>
          <w:szCs w:val="16"/>
          <w:lang w:val="es-ES"/>
        </w:rPr>
      </w:pPr>
      <w:r w:rsidRPr="008C5D4C">
        <w:rPr>
          <w:rStyle w:val="FootnoteReference"/>
          <w:rFonts w:asciiTheme="majorHAnsi" w:hAnsiTheme="majorHAnsi"/>
          <w:sz w:val="16"/>
          <w:szCs w:val="16"/>
        </w:rPr>
        <w:footnoteRef/>
      </w:r>
      <w:r w:rsidRPr="008C5D4C">
        <w:rPr>
          <w:rFonts w:asciiTheme="majorHAnsi" w:hAnsiTheme="majorHAnsi"/>
          <w:sz w:val="16"/>
          <w:szCs w:val="16"/>
          <w:lang w:val="es-ES"/>
        </w:rPr>
        <w:t xml:space="preserve"> En adelante “la Convención Americana” o “la Convención”.</w:t>
      </w:r>
    </w:p>
  </w:footnote>
  <w:footnote w:id="6">
    <w:p w14:paraId="173DF190" w14:textId="54D30A30" w:rsidR="00042B1F" w:rsidRPr="008C5D4C" w:rsidRDefault="00042B1F" w:rsidP="008C5D4C">
      <w:pPr>
        <w:pStyle w:val="FootnoteText"/>
        <w:jc w:val="both"/>
        <w:rPr>
          <w:rFonts w:asciiTheme="majorHAnsi" w:hAnsiTheme="majorHAnsi"/>
          <w:sz w:val="16"/>
          <w:szCs w:val="16"/>
          <w:lang w:val="es-MX"/>
        </w:rPr>
      </w:pPr>
      <w:r w:rsidRPr="008C5D4C">
        <w:rPr>
          <w:rStyle w:val="FootnoteReference"/>
          <w:rFonts w:asciiTheme="majorHAnsi" w:hAnsiTheme="majorHAnsi"/>
          <w:sz w:val="16"/>
          <w:szCs w:val="16"/>
        </w:rPr>
        <w:footnoteRef/>
      </w:r>
      <w:r w:rsidRPr="008C5D4C">
        <w:rPr>
          <w:rFonts w:asciiTheme="majorHAnsi" w:hAnsiTheme="majorHAnsi"/>
          <w:sz w:val="16"/>
          <w:szCs w:val="16"/>
          <w:lang w:val="es-MX"/>
        </w:rPr>
        <w:t xml:space="preserve"> En adelante “Convención de Belem do Pará”.</w:t>
      </w:r>
    </w:p>
  </w:footnote>
  <w:footnote w:id="7">
    <w:p w14:paraId="79F07139" w14:textId="77777777" w:rsidR="008E3BFE" w:rsidRPr="008C5D4C" w:rsidRDefault="008E3BFE" w:rsidP="008C5D4C">
      <w:pPr>
        <w:pStyle w:val="FootnoteText"/>
        <w:jc w:val="both"/>
        <w:rPr>
          <w:rFonts w:asciiTheme="majorHAnsi" w:hAnsiTheme="majorHAnsi"/>
          <w:sz w:val="16"/>
          <w:szCs w:val="16"/>
          <w:lang w:val="es-ES"/>
        </w:rPr>
      </w:pPr>
      <w:r w:rsidRPr="008C5D4C">
        <w:rPr>
          <w:rStyle w:val="FootnoteReference"/>
          <w:rFonts w:asciiTheme="majorHAnsi" w:hAnsiTheme="majorHAnsi"/>
          <w:sz w:val="16"/>
          <w:szCs w:val="16"/>
        </w:rPr>
        <w:footnoteRef/>
      </w:r>
      <w:r w:rsidRPr="008C5D4C">
        <w:rPr>
          <w:rFonts w:asciiTheme="majorHAnsi" w:hAnsiTheme="majorHAnsi"/>
          <w:sz w:val="16"/>
          <w:szCs w:val="16"/>
          <w:lang w:val="es-ES"/>
        </w:rPr>
        <w:t xml:space="preserve"> Las observaciones de cada parte fueron debidamente trasladadas a la parte contraria.</w:t>
      </w:r>
    </w:p>
  </w:footnote>
  <w:footnote w:id="8">
    <w:p w14:paraId="74108F5C" w14:textId="0C6E3C47" w:rsidR="002017AE" w:rsidRPr="003B244C" w:rsidRDefault="002017AE" w:rsidP="003B244C">
      <w:pPr>
        <w:pStyle w:val="FootnoteText"/>
        <w:jc w:val="both"/>
        <w:rPr>
          <w:lang w:val="es-AR"/>
        </w:rPr>
      </w:pPr>
      <w:r>
        <w:rPr>
          <w:rStyle w:val="FootnoteReference"/>
        </w:rPr>
        <w:footnoteRef/>
      </w:r>
      <w:r w:rsidRPr="003B244C">
        <w:rPr>
          <w:lang w:val="es-AR"/>
        </w:rPr>
        <w:t xml:space="preserve"> </w:t>
      </w:r>
      <w:r w:rsidRPr="003B244C">
        <w:rPr>
          <w:rFonts w:ascii="Cambria" w:hAnsi="Cambria"/>
          <w:sz w:val="16"/>
          <w:szCs w:val="16"/>
          <w:lang w:val="es-AR"/>
        </w:rPr>
        <w:t xml:space="preserve">La parte peticionaria refiere al concepto de libertad personal desarrollado por la Corte Inter-americana en el  </w:t>
      </w:r>
      <w:r w:rsidRPr="003B244C">
        <w:rPr>
          <w:rFonts w:ascii="Cambria" w:hAnsi="Cambria"/>
          <w:i/>
          <w:iCs/>
          <w:sz w:val="16"/>
          <w:szCs w:val="16"/>
          <w:lang w:val="es-AR"/>
        </w:rPr>
        <w:t xml:space="preserve">Caso </w:t>
      </w:r>
      <w:proofErr w:type="spellStart"/>
      <w:r w:rsidRPr="003B244C">
        <w:rPr>
          <w:rFonts w:ascii="Cambria" w:hAnsi="Cambria"/>
          <w:i/>
          <w:iCs/>
          <w:sz w:val="16"/>
          <w:szCs w:val="16"/>
          <w:lang w:val="es-AR"/>
        </w:rPr>
        <w:t>Artavia</w:t>
      </w:r>
      <w:proofErr w:type="spellEnd"/>
      <w:r w:rsidRPr="003B244C">
        <w:rPr>
          <w:rFonts w:ascii="Cambria" w:hAnsi="Cambria"/>
          <w:i/>
          <w:iCs/>
          <w:sz w:val="16"/>
          <w:szCs w:val="16"/>
          <w:lang w:val="es-AR"/>
        </w:rPr>
        <w:t xml:space="preserve"> Murillo y otros (Fertilización in vitro) Vs. Costa Rica</w:t>
      </w:r>
      <w:r w:rsidRPr="003B244C">
        <w:rPr>
          <w:rFonts w:ascii="Cambria" w:hAnsi="Cambria"/>
          <w:sz w:val="16"/>
          <w:szCs w:val="16"/>
          <w:lang w:val="es-AR"/>
        </w:rPr>
        <w:t xml:space="preserve">. Excepciones Preliminares, Fondo, Reparaciones y Costas Sentencia de 28 noviembre de 2012, Serie C No. 257, </w:t>
      </w:r>
      <w:proofErr w:type="spellStart"/>
      <w:r w:rsidRPr="003B244C">
        <w:rPr>
          <w:rFonts w:ascii="Cambria" w:hAnsi="Cambria"/>
          <w:sz w:val="16"/>
          <w:szCs w:val="16"/>
          <w:lang w:val="es-AR"/>
        </w:rPr>
        <w:t>párr</w:t>
      </w:r>
      <w:r>
        <w:rPr>
          <w:rFonts w:ascii="Cambria" w:hAnsi="Cambria"/>
          <w:sz w:val="16"/>
          <w:szCs w:val="16"/>
          <w:lang w:val="es-AR"/>
        </w:rPr>
        <w:t>s</w:t>
      </w:r>
      <w:proofErr w:type="spellEnd"/>
      <w:r w:rsidRPr="003B244C">
        <w:rPr>
          <w:rFonts w:ascii="Cambria" w:hAnsi="Cambria"/>
          <w:sz w:val="16"/>
          <w:szCs w:val="16"/>
          <w:lang w:val="es-AR"/>
        </w:rPr>
        <w:t>.</w:t>
      </w:r>
      <w:r>
        <w:rPr>
          <w:rFonts w:ascii="Cambria" w:hAnsi="Cambria"/>
          <w:sz w:val="16"/>
          <w:szCs w:val="16"/>
          <w:lang w:val="es-AR"/>
        </w:rPr>
        <w:t xml:space="preserve"> 125, </w:t>
      </w:r>
      <w:r w:rsidRPr="003B244C">
        <w:rPr>
          <w:rFonts w:ascii="Cambria" w:hAnsi="Cambria"/>
          <w:sz w:val="16"/>
          <w:szCs w:val="16"/>
          <w:lang w:val="es-AR"/>
        </w:rPr>
        <w:t xml:space="preserve"> 143</w:t>
      </w:r>
      <w:r>
        <w:rPr>
          <w:rFonts w:ascii="Cambria" w:hAnsi="Cambria"/>
          <w:sz w:val="16"/>
          <w:szCs w:val="16"/>
          <w:lang w:val="es-AR"/>
        </w:rPr>
        <w:t xml:space="preserve"> y 381</w:t>
      </w:r>
      <w:r w:rsidRPr="003B244C">
        <w:rPr>
          <w:rFonts w:ascii="Cambria" w:hAnsi="Cambria"/>
          <w:sz w:val="16"/>
          <w:szCs w:val="16"/>
          <w:lang w:val="es-AR"/>
        </w:rPr>
        <w:t>.</w:t>
      </w:r>
    </w:p>
  </w:footnote>
  <w:footnote w:id="9">
    <w:p w14:paraId="674C2D00" w14:textId="189688DB" w:rsidR="003E0776" w:rsidRPr="008C5D4C" w:rsidRDefault="003E0776" w:rsidP="008C5D4C">
      <w:pPr>
        <w:pStyle w:val="FootnoteText"/>
        <w:jc w:val="both"/>
        <w:rPr>
          <w:rFonts w:asciiTheme="majorHAnsi" w:hAnsiTheme="majorHAnsi"/>
          <w:sz w:val="16"/>
          <w:szCs w:val="16"/>
          <w:lang w:val="es-MX"/>
        </w:rPr>
      </w:pPr>
      <w:r w:rsidRPr="008C5D4C">
        <w:rPr>
          <w:rStyle w:val="FootnoteReference"/>
          <w:rFonts w:asciiTheme="majorHAnsi" w:hAnsiTheme="majorHAnsi"/>
          <w:sz w:val="16"/>
          <w:szCs w:val="16"/>
        </w:rPr>
        <w:footnoteRef/>
      </w:r>
      <w:r w:rsidRPr="008C5D4C">
        <w:rPr>
          <w:rFonts w:asciiTheme="majorHAnsi" w:hAnsiTheme="majorHAnsi"/>
          <w:sz w:val="16"/>
          <w:szCs w:val="16"/>
          <w:lang w:val="es-MX"/>
        </w:rPr>
        <w:t xml:space="preserve"> Se incluyó a dos esquemas, las píldoras combinadas, conocida también como el método </w:t>
      </w:r>
      <w:proofErr w:type="spellStart"/>
      <w:r w:rsidRPr="008C5D4C">
        <w:rPr>
          <w:rFonts w:asciiTheme="majorHAnsi" w:hAnsiTheme="majorHAnsi"/>
          <w:sz w:val="16"/>
          <w:szCs w:val="16"/>
          <w:lang w:val="es-MX"/>
        </w:rPr>
        <w:t>Yuzpe</w:t>
      </w:r>
      <w:proofErr w:type="spellEnd"/>
      <w:r w:rsidRPr="008C5D4C">
        <w:rPr>
          <w:rFonts w:asciiTheme="majorHAnsi" w:hAnsiTheme="majorHAnsi"/>
          <w:sz w:val="16"/>
          <w:szCs w:val="16"/>
          <w:lang w:val="es-MX"/>
        </w:rPr>
        <w:t xml:space="preserve">, y las píldoras de sólo Progestágeno, </w:t>
      </w:r>
      <w:proofErr w:type="spellStart"/>
      <w:r w:rsidRPr="008C5D4C">
        <w:rPr>
          <w:rFonts w:asciiTheme="majorHAnsi" w:hAnsiTheme="majorHAnsi"/>
          <w:sz w:val="16"/>
          <w:szCs w:val="16"/>
          <w:lang w:val="es-MX"/>
        </w:rPr>
        <w:t>Levornorgestrel</w:t>
      </w:r>
      <w:proofErr w:type="spellEnd"/>
      <w:r w:rsidRPr="008C5D4C">
        <w:rPr>
          <w:rFonts w:asciiTheme="majorHAnsi" w:hAnsiTheme="majorHAnsi"/>
          <w:sz w:val="16"/>
          <w:szCs w:val="16"/>
          <w:lang w:val="es-MX"/>
        </w:rPr>
        <w:t xml:space="preserve"> (</w:t>
      </w:r>
      <w:proofErr w:type="spellStart"/>
      <w:r w:rsidRPr="008C5D4C">
        <w:rPr>
          <w:rFonts w:asciiTheme="majorHAnsi" w:hAnsiTheme="majorHAnsi"/>
          <w:sz w:val="16"/>
          <w:szCs w:val="16"/>
          <w:lang w:val="es-MX"/>
        </w:rPr>
        <w:t>Postinor</w:t>
      </w:r>
      <w:proofErr w:type="spellEnd"/>
      <w:r w:rsidRPr="008C5D4C">
        <w:rPr>
          <w:rFonts w:asciiTheme="majorHAnsi" w:hAnsiTheme="majorHAnsi"/>
          <w:sz w:val="16"/>
          <w:szCs w:val="16"/>
          <w:lang w:val="es-MX"/>
        </w:rPr>
        <w:t xml:space="preserve">) y </w:t>
      </w:r>
      <w:proofErr w:type="spellStart"/>
      <w:r w:rsidRPr="008C5D4C">
        <w:rPr>
          <w:rFonts w:asciiTheme="majorHAnsi" w:hAnsiTheme="majorHAnsi"/>
          <w:sz w:val="16"/>
          <w:szCs w:val="16"/>
          <w:lang w:val="es-MX"/>
        </w:rPr>
        <w:t>Norgestrel</w:t>
      </w:r>
      <w:proofErr w:type="spellEnd"/>
      <w:r w:rsidRPr="008C5D4C">
        <w:rPr>
          <w:rFonts w:asciiTheme="majorHAnsi" w:hAnsiTheme="majorHAnsi"/>
          <w:sz w:val="16"/>
          <w:szCs w:val="16"/>
          <w:lang w:val="es-MX"/>
        </w:rPr>
        <w:t xml:space="preserve"> (</w:t>
      </w:r>
      <w:proofErr w:type="spellStart"/>
      <w:r w:rsidRPr="008C5D4C">
        <w:rPr>
          <w:rFonts w:asciiTheme="majorHAnsi" w:hAnsiTheme="majorHAnsi"/>
          <w:sz w:val="16"/>
          <w:szCs w:val="16"/>
          <w:lang w:val="es-MX"/>
        </w:rPr>
        <w:t>Ovrette</w:t>
      </w:r>
      <w:proofErr w:type="spellEnd"/>
      <w:r w:rsidRPr="008C5D4C">
        <w:rPr>
          <w:rFonts w:asciiTheme="majorHAnsi" w:hAnsiTheme="majorHAnsi"/>
          <w:sz w:val="16"/>
          <w:szCs w:val="16"/>
          <w:lang w:val="es-MX"/>
        </w:rPr>
        <w:t>).</w:t>
      </w:r>
    </w:p>
  </w:footnote>
  <w:footnote w:id="10">
    <w:p w14:paraId="6C817DD8" w14:textId="49490966" w:rsidR="007A5A98" w:rsidRPr="00F81656" w:rsidRDefault="007A5A98" w:rsidP="008C5D4C">
      <w:pPr>
        <w:pStyle w:val="FootnoteText"/>
        <w:jc w:val="both"/>
        <w:rPr>
          <w:rFonts w:asciiTheme="majorHAnsi" w:hAnsiTheme="majorHAnsi"/>
          <w:sz w:val="16"/>
          <w:szCs w:val="16"/>
          <w:lang w:val="es-MX"/>
        </w:rPr>
      </w:pPr>
      <w:r w:rsidRPr="008C5D4C">
        <w:rPr>
          <w:rStyle w:val="FootnoteReference"/>
          <w:rFonts w:asciiTheme="majorHAnsi" w:hAnsiTheme="majorHAnsi"/>
          <w:sz w:val="16"/>
          <w:szCs w:val="16"/>
        </w:rPr>
        <w:footnoteRef/>
      </w:r>
      <w:r w:rsidRPr="008C5D4C">
        <w:rPr>
          <w:rFonts w:asciiTheme="majorHAnsi" w:hAnsiTheme="majorHAnsi"/>
          <w:sz w:val="16"/>
          <w:szCs w:val="16"/>
          <w:lang w:val="es-MX"/>
        </w:rPr>
        <w:t xml:space="preserve"> Los peticionarios indican</w:t>
      </w:r>
      <w:r w:rsidR="00F81656">
        <w:rPr>
          <w:rFonts w:asciiTheme="majorHAnsi" w:hAnsiTheme="majorHAnsi"/>
          <w:sz w:val="16"/>
          <w:szCs w:val="16"/>
          <w:lang w:val="es-MX"/>
        </w:rPr>
        <w:t xml:space="preserve"> </w:t>
      </w:r>
      <w:r w:rsidR="00F81656" w:rsidRPr="00F81656">
        <w:rPr>
          <w:rFonts w:asciiTheme="majorHAnsi" w:hAnsiTheme="majorHAnsi"/>
          <w:sz w:val="16"/>
          <w:szCs w:val="16"/>
          <w:lang w:val="es-MX"/>
        </w:rPr>
        <w:t xml:space="preserve">que el Tribunal no se pronunció respecto al método </w:t>
      </w:r>
      <w:proofErr w:type="spellStart"/>
      <w:r w:rsidR="00F81656" w:rsidRPr="00F81656">
        <w:rPr>
          <w:rFonts w:asciiTheme="majorHAnsi" w:hAnsiTheme="majorHAnsi"/>
          <w:sz w:val="16"/>
          <w:szCs w:val="16"/>
          <w:lang w:val="es-MX"/>
        </w:rPr>
        <w:t>Yuzpe</w:t>
      </w:r>
      <w:proofErr w:type="spellEnd"/>
      <w:r w:rsidR="00F81656" w:rsidRPr="00F81656">
        <w:rPr>
          <w:rFonts w:asciiTheme="majorHAnsi" w:hAnsiTheme="majorHAnsi"/>
          <w:sz w:val="16"/>
          <w:szCs w:val="16"/>
          <w:lang w:val="es-MX"/>
        </w:rPr>
        <w:t>, esquema</w:t>
      </w:r>
      <w:r w:rsidRPr="00F81656">
        <w:rPr>
          <w:rFonts w:asciiTheme="majorHAnsi" w:hAnsiTheme="majorHAnsi"/>
          <w:sz w:val="16"/>
          <w:szCs w:val="16"/>
          <w:lang w:val="es-MX"/>
        </w:rPr>
        <w:t xml:space="preserve"> también incluido en la Política Nacional, pero que tiene menor eficacia y suele provocar más efectos colaterales.</w:t>
      </w:r>
    </w:p>
  </w:footnote>
  <w:footnote w:id="11">
    <w:p w14:paraId="0B875E5F" w14:textId="13AB5154" w:rsidR="00F503C2" w:rsidRPr="008C5D4C" w:rsidRDefault="00F503C2" w:rsidP="008C5D4C">
      <w:pPr>
        <w:pStyle w:val="FootnoteText"/>
        <w:jc w:val="both"/>
        <w:rPr>
          <w:rFonts w:asciiTheme="majorHAnsi" w:hAnsiTheme="majorHAnsi"/>
          <w:sz w:val="16"/>
          <w:szCs w:val="16"/>
          <w:lang w:val="es-MX"/>
        </w:rPr>
      </w:pPr>
      <w:r w:rsidRPr="00F81656">
        <w:rPr>
          <w:rStyle w:val="FootnoteReference"/>
          <w:rFonts w:asciiTheme="majorHAnsi" w:hAnsiTheme="majorHAnsi"/>
          <w:sz w:val="16"/>
          <w:szCs w:val="16"/>
        </w:rPr>
        <w:footnoteRef/>
      </w:r>
      <w:r w:rsidRPr="00F81656">
        <w:rPr>
          <w:rFonts w:asciiTheme="majorHAnsi" w:hAnsiTheme="majorHAnsi"/>
          <w:sz w:val="16"/>
          <w:szCs w:val="16"/>
          <w:lang w:val="es-MX"/>
        </w:rPr>
        <w:t xml:space="preserve"> En cuanto al primero episodio, alega que su agresor la amenazó de que si denunciara los hechos, asesinaría a sus padres y a su sobrino, razón por la cual la presunta víctima ni presentó denuncia ante las</w:t>
      </w:r>
      <w:r w:rsidRPr="008C5D4C">
        <w:rPr>
          <w:rFonts w:asciiTheme="majorHAnsi" w:hAnsiTheme="majorHAnsi"/>
          <w:sz w:val="16"/>
          <w:szCs w:val="16"/>
          <w:lang w:val="es-MX"/>
        </w:rPr>
        <w:t xml:space="preserve"> autoridades en esa ocasión.</w:t>
      </w:r>
    </w:p>
  </w:footnote>
  <w:footnote w:id="12">
    <w:p w14:paraId="72519F89" w14:textId="3A8B3A54" w:rsidR="008C5D4C" w:rsidRPr="008C5D4C" w:rsidRDefault="008C5D4C" w:rsidP="008C5D4C">
      <w:pPr>
        <w:pStyle w:val="FootnoteText"/>
        <w:jc w:val="both"/>
        <w:rPr>
          <w:rFonts w:asciiTheme="majorHAnsi" w:hAnsiTheme="majorHAnsi"/>
          <w:sz w:val="16"/>
          <w:szCs w:val="16"/>
          <w:lang w:val="es-MX"/>
        </w:rPr>
      </w:pPr>
      <w:r w:rsidRPr="008C5D4C">
        <w:rPr>
          <w:rStyle w:val="FootnoteReference"/>
          <w:rFonts w:asciiTheme="majorHAnsi" w:hAnsiTheme="majorHAnsi"/>
          <w:sz w:val="16"/>
          <w:szCs w:val="16"/>
        </w:rPr>
        <w:footnoteRef/>
      </w:r>
      <w:r w:rsidRPr="008C5D4C">
        <w:rPr>
          <w:rFonts w:asciiTheme="majorHAnsi" w:hAnsiTheme="majorHAnsi"/>
          <w:sz w:val="16"/>
          <w:szCs w:val="16"/>
          <w:lang w:val="es-MX"/>
        </w:rPr>
        <w:t xml:space="preserve"> Los peticionarios señalan que desde los hechos de violación sexual, María presentó problemas para dormir y falta de apetito, entre otras manifestaciones del trauma de la violación sexual. Asimismo, en evaluación psicológica, se concluyó que la presunta víctima presentaba indicadores de afectación emocional y depresión compatible a la experiencia traumática de tipo sexual, lo cual repercute de manera negativa en su proyecto de vida.</w:t>
      </w:r>
    </w:p>
  </w:footnote>
  <w:footnote w:id="13">
    <w:p w14:paraId="13AF1500" w14:textId="77777777" w:rsidR="00BD356E" w:rsidRPr="008C5D4C" w:rsidRDefault="00BD356E" w:rsidP="00BD356E">
      <w:pPr>
        <w:pStyle w:val="FootnoteText"/>
        <w:jc w:val="both"/>
        <w:rPr>
          <w:rFonts w:asciiTheme="majorHAnsi" w:hAnsiTheme="majorHAnsi"/>
          <w:sz w:val="16"/>
          <w:szCs w:val="16"/>
          <w:lang w:val="es-MX"/>
        </w:rPr>
      </w:pPr>
      <w:r w:rsidRPr="00C57A69">
        <w:rPr>
          <w:rStyle w:val="FootnoteReference"/>
          <w:rFonts w:asciiTheme="majorHAnsi" w:hAnsiTheme="majorHAnsi"/>
          <w:sz w:val="16"/>
          <w:szCs w:val="16"/>
        </w:rPr>
        <w:footnoteRef/>
      </w:r>
      <w:r w:rsidRPr="00C57A69">
        <w:rPr>
          <w:rFonts w:asciiTheme="majorHAnsi" w:hAnsiTheme="majorHAnsi"/>
          <w:sz w:val="16"/>
          <w:szCs w:val="16"/>
          <w:lang w:val="es-MX"/>
        </w:rPr>
        <w:t xml:space="preserve"> Decisión del Tribunal Constitucional 2005-2009-PA/TC del 26 de octubre de 2009</w:t>
      </w:r>
      <w:r>
        <w:rPr>
          <w:rFonts w:asciiTheme="majorHAnsi" w:hAnsiTheme="majorHAnsi"/>
          <w:sz w:val="16"/>
          <w:szCs w:val="16"/>
          <w:lang w:val="es-MX"/>
        </w:rPr>
        <w:t>.</w:t>
      </w:r>
    </w:p>
  </w:footnote>
  <w:footnote w:id="14">
    <w:p w14:paraId="3EC558AC" w14:textId="77777777" w:rsidR="00BD356E" w:rsidRPr="00515F02" w:rsidRDefault="00BD356E" w:rsidP="00BD356E">
      <w:pPr>
        <w:pStyle w:val="FootnoteText"/>
        <w:jc w:val="both"/>
        <w:rPr>
          <w:rFonts w:asciiTheme="majorHAnsi" w:hAnsiTheme="majorHAnsi"/>
          <w:sz w:val="16"/>
          <w:szCs w:val="16"/>
          <w:lang w:val="es-MX"/>
        </w:rPr>
      </w:pPr>
      <w:r w:rsidRPr="00C57A69">
        <w:rPr>
          <w:rStyle w:val="FootnoteReference"/>
          <w:rFonts w:asciiTheme="majorHAnsi" w:hAnsiTheme="majorHAnsi"/>
          <w:sz w:val="16"/>
          <w:szCs w:val="16"/>
        </w:rPr>
        <w:footnoteRef/>
      </w:r>
      <w:r w:rsidRPr="00C57A69">
        <w:rPr>
          <w:rFonts w:asciiTheme="majorHAnsi" w:hAnsiTheme="majorHAnsi"/>
          <w:sz w:val="16"/>
          <w:szCs w:val="16"/>
          <w:lang w:val="es-MX"/>
        </w:rPr>
        <w:t xml:space="preserve"> La parte peticionaria hace referencia a la sentencia de la Corte IDH Caso </w:t>
      </w:r>
      <w:proofErr w:type="spellStart"/>
      <w:r w:rsidRPr="00C57A69">
        <w:rPr>
          <w:rFonts w:asciiTheme="majorHAnsi" w:hAnsiTheme="majorHAnsi"/>
          <w:i/>
          <w:sz w:val="16"/>
          <w:szCs w:val="16"/>
          <w:lang w:val="es-MX"/>
        </w:rPr>
        <w:t>Artavia</w:t>
      </w:r>
      <w:proofErr w:type="spellEnd"/>
      <w:r w:rsidRPr="00C57A69">
        <w:rPr>
          <w:rFonts w:asciiTheme="majorHAnsi" w:hAnsiTheme="majorHAnsi"/>
          <w:i/>
          <w:sz w:val="16"/>
          <w:szCs w:val="16"/>
          <w:lang w:val="es-MX"/>
        </w:rPr>
        <w:t xml:space="preserve"> Murillo y Otros (“fecundación in vitro”) vs. Costa Rica</w:t>
      </w:r>
      <w:r w:rsidRPr="00C57A69">
        <w:rPr>
          <w:rFonts w:asciiTheme="majorHAnsi" w:hAnsiTheme="majorHAnsi"/>
          <w:sz w:val="16"/>
          <w:szCs w:val="16"/>
          <w:lang w:val="es-MX"/>
        </w:rPr>
        <w:t xml:space="preserve">, </w:t>
      </w:r>
      <w:r w:rsidRPr="00515F02">
        <w:rPr>
          <w:rFonts w:asciiTheme="majorHAnsi" w:hAnsiTheme="majorHAnsi"/>
          <w:sz w:val="16"/>
          <w:szCs w:val="16"/>
          <w:lang w:val="es-MX"/>
        </w:rPr>
        <w:t>Excepciones Preliminares, Fondo, Reparaciones y Costas, Sentencia de 28 de noviembre de 2012, Serie C No. 257.</w:t>
      </w:r>
    </w:p>
  </w:footnote>
  <w:footnote w:id="15">
    <w:p w14:paraId="33E796C0" w14:textId="77777777" w:rsidR="00BD356E" w:rsidRPr="00515F02" w:rsidRDefault="00BD356E" w:rsidP="00BD356E">
      <w:pPr>
        <w:pStyle w:val="FootnoteText"/>
        <w:rPr>
          <w:rFonts w:asciiTheme="majorHAnsi" w:hAnsiTheme="majorHAnsi"/>
          <w:sz w:val="16"/>
          <w:szCs w:val="16"/>
          <w:lang w:val="es-MX"/>
        </w:rPr>
      </w:pPr>
      <w:r w:rsidRPr="00515F02">
        <w:rPr>
          <w:rStyle w:val="FootnoteReference"/>
          <w:rFonts w:asciiTheme="majorHAnsi" w:hAnsiTheme="majorHAnsi"/>
          <w:sz w:val="16"/>
          <w:szCs w:val="16"/>
        </w:rPr>
        <w:footnoteRef/>
      </w:r>
      <w:r w:rsidRPr="00515F02">
        <w:rPr>
          <w:rFonts w:asciiTheme="majorHAnsi" w:hAnsiTheme="majorHAnsi"/>
          <w:sz w:val="16"/>
          <w:szCs w:val="16"/>
          <w:lang w:val="es-MX"/>
        </w:rPr>
        <w:t xml:space="preserve"> La parte peticionaria hizo referencia a dicho caso en respuesta a las observaciones presentadas por el Estado.</w:t>
      </w:r>
    </w:p>
  </w:footnote>
  <w:footnote w:id="16">
    <w:p w14:paraId="568F1C8A" w14:textId="77777777" w:rsidR="00BD356E" w:rsidRPr="008C5D4C" w:rsidRDefault="00BD356E" w:rsidP="00BD356E">
      <w:pPr>
        <w:pStyle w:val="FootnoteText"/>
        <w:jc w:val="both"/>
        <w:rPr>
          <w:rFonts w:asciiTheme="majorHAnsi" w:hAnsiTheme="majorHAnsi"/>
          <w:sz w:val="16"/>
          <w:szCs w:val="16"/>
          <w:lang w:val="es-MX"/>
        </w:rPr>
      </w:pPr>
      <w:r w:rsidRPr="00515F02">
        <w:rPr>
          <w:rStyle w:val="FootnoteReference"/>
          <w:rFonts w:asciiTheme="majorHAnsi" w:hAnsiTheme="majorHAnsi"/>
          <w:sz w:val="16"/>
          <w:szCs w:val="16"/>
        </w:rPr>
        <w:footnoteRef/>
      </w:r>
      <w:r w:rsidRPr="00515F02">
        <w:rPr>
          <w:rFonts w:asciiTheme="majorHAnsi" w:hAnsiTheme="majorHAnsi"/>
          <w:sz w:val="16"/>
          <w:szCs w:val="16"/>
          <w:lang w:val="es-MX"/>
        </w:rPr>
        <w:t xml:space="preserve"> La parte</w:t>
      </w:r>
      <w:r w:rsidRPr="008C5D4C">
        <w:rPr>
          <w:rFonts w:asciiTheme="majorHAnsi" w:hAnsiTheme="majorHAnsi"/>
          <w:sz w:val="16"/>
          <w:szCs w:val="16"/>
          <w:lang w:val="es-MX"/>
        </w:rPr>
        <w:t xml:space="preserve"> peticionaria indica que s</w:t>
      </w:r>
      <w:proofErr w:type="spellStart"/>
      <w:r w:rsidRPr="008C5D4C">
        <w:rPr>
          <w:rFonts w:asciiTheme="majorHAnsi" w:hAnsiTheme="majorHAnsi"/>
          <w:sz w:val="16"/>
          <w:szCs w:val="16"/>
          <w:lang w:val="es-ES"/>
        </w:rPr>
        <w:t>e</w:t>
      </w:r>
      <w:proofErr w:type="spellEnd"/>
      <w:r w:rsidRPr="008C5D4C">
        <w:rPr>
          <w:rFonts w:asciiTheme="majorHAnsi" w:hAnsiTheme="majorHAnsi"/>
          <w:sz w:val="16"/>
          <w:szCs w:val="16"/>
          <w:lang w:val="es-ES"/>
        </w:rPr>
        <w:t xml:space="preserve"> desprende de estudios que la AOE sólo está distribuida en 15 de los 25 departamentos de Perú, y en menos del 20% de los establecimientos de salud.</w:t>
      </w:r>
    </w:p>
  </w:footnote>
  <w:footnote w:id="17">
    <w:p w14:paraId="0437BBD9" w14:textId="0574E6D2" w:rsidR="00BA5CC0" w:rsidRPr="008C5D4C" w:rsidRDefault="00BA5CC0" w:rsidP="008C5D4C">
      <w:pPr>
        <w:pStyle w:val="FootnoteText"/>
        <w:jc w:val="both"/>
        <w:rPr>
          <w:rFonts w:asciiTheme="majorHAnsi" w:hAnsiTheme="majorHAnsi"/>
          <w:sz w:val="16"/>
          <w:szCs w:val="16"/>
          <w:lang w:val="es-MX"/>
        </w:rPr>
      </w:pPr>
      <w:r w:rsidRPr="008C5D4C">
        <w:rPr>
          <w:rStyle w:val="FootnoteReference"/>
          <w:rFonts w:asciiTheme="majorHAnsi" w:hAnsiTheme="majorHAnsi"/>
          <w:sz w:val="16"/>
          <w:szCs w:val="16"/>
        </w:rPr>
        <w:footnoteRef/>
      </w:r>
      <w:r w:rsidRPr="008C5D4C">
        <w:rPr>
          <w:rFonts w:asciiTheme="majorHAnsi" w:hAnsiTheme="majorHAnsi"/>
          <w:sz w:val="16"/>
          <w:szCs w:val="16"/>
          <w:lang w:val="es-MX"/>
        </w:rPr>
        <w:t xml:space="preserve"> El 1 de abril de 2016, se declaró improcedente la solicitud de </w:t>
      </w:r>
      <w:proofErr w:type="spellStart"/>
      <w:r w:rsidRPr="008C5D4C">
        <w:rPr>
          <w:rFonts w:asciiTheme="majorHAnsi" w:hAnsiTheme="majorHAnsi"/>
          <w:sz w:val="16"/>
          <w:szCs w:val="16"/>
          <w:lang w:val="es-MX"/>
        </w:rPr>
        <w:t>semilibertad</w:t>
      </w:r>
      <w:proofErr w:type="spellEnd"/>
      <w:r w:rsidRPr="008C5D4C">
        <w:rPr>
          <w:rFonts w:asciiTheme="majorHAnsi" w:hAnsiTheme="majorHAnsi"/>
          <w:sz w:val="16"/>
          <w:szCs w:val="16"/>
          <w:lang w:val="es-MX"/>
        </w:rPr>
        <w:t xml:space="preserve"> solicitada por el imputado.</w:t>
      </w:r>
    </w:p>
  </w:footnote>
  <w:footnote w:id="18">
    <w:p w14:paraId="14BDC311" w14:textId="0EC6F3D5" w:rsidR="001C2571" w:rsidRPr="008C5D4C" w:rsidRDefault="001C2571" w:rsidP="008C5D4C">
      <w:pPr>
        <w:pStyle w:val="FootnoteText"/>
        <w:jc w:val="both"/>
        <w:rPr>
          <w:rFonts w:asciiTheme="majorHAnsi" w:hAnsiTheme="majorHAnsi"/>
          <w:sz w:val="16"/>
          <w:szCs w:val="16"/>
          <w:lang w:val="es-MX"/>
        </w:rPr>
      </w:pPr>
      <w:r w:rsidRPr="008C5D4C">
        <w:rPr>
          <w:rStyle w:val="FootnoteReference"/>
          <w:rFonts w:asciiTheme="majorHAnsi" w:hAnsiTheme="majorHAnsi"/>
          <w:sz w:val="16"/>
          <w:szCs w:val="16"/>
        </w:rPr>
        <w:footnoteRef/>
      </w:r>
      <w:r w:rsidRPr="008C5D4C">
        <w:rPr>
          <w:rFonts w:asciiTheme="majorHAnsi" w:hAnsiTheme="majorHAnsi"/>
          <w:sz w:val="16"/>
          <w:szCs w:val="16"/>
          <w:lang w:val="es-MX"/>
        </w:rPr>
        <w:t xml:space="preserve"> El Estado menciona pruebas toxicológica y de </w:t>
      </w:r>
      <w:proofErr w:type="spellStart"/>
      <w:r w:rsidRPr="008C5D4C">
        <w:rPr>
          <w:rFonts w:asciiTheme="majorHAnsi" w:hAnsiTheme="majorHAnsi"/>
          <w:sz w:val="16"/>
          <w:szCs w:val="16"/>
          <w:lang w:val="es-MX"/>
        </w:rPr>
        <w:t>espermatológica</w:t>
      </w:r>
      <w:proofErr w:type="spellEnd"/>
      <w:r w:rsidRPr="008C5D4C">
        <w:rPr>
          <w:rFonts w:asciiTheme="majorHAnsi" w:hAnsiTheme="majorHAnsi"/>
          <w:sz w:val="16"/>
          <w:szCs w:val="16"/>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26DD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97ED" w14:textId="77777777" w:rsidR="006D2BE8" w:rsidRDefault="006D2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B176CC"/>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8"/>
  </w:num>
  <w:num w:numId="97">
    <w:abstractNumId w:val="55"/>
  </w:num>
  <w:num w:numId="98">
    <w:abstractNumId w:val="49"/>
  </w:num>
  <w:num w:numId="99">
    <w:abstractNumId w:val="39"/>
  </w:num>
  <w:num w:numId="100">
    <w:abstractNumId w:val="3"/>
  </w:num>
  <w:num w:numId="101">
    <w:abstractNumId w:val="27"/>
  </w:num>
  <w:num w:numId="102">
    <w:abstractNumId w:val="52"/>
  </w:num>
  <w:num w:numId="103">
    <w:abstractNumId w:val="6"/>
  </w:num>
  <w:num w:numId="104">
    <w:abstractNumId w:val="67"/>
  </w:num>
  <w:num w:numId="105">
    <w:abstractNumId w:val="56"/>
  </w:num>
  <w:num w:numId="106">
    <w:abstractNumId w:val="4"/>
  </w:num>
  <w:num w:numId="107">
    <w:abstractNumId w:val="31"/>
  </w:num>
  <w:num w:numId="108">
    <w:abstractNumId w:val="14"/>
  </w:num>
  <w:num w:numId="109">
    <w:abstractNumId w:val="47"/>
  </w:num>
  <w:num w:numId="110">
    <w:abstractNumId w:val="42"/>
  </w:num>
  <w:num w:numId="111">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5A3"/>
    <w:rsid w:val="00000CDA"/>
    <w:rsid w:val="000065D0"/>
    <w:rsid w:val="00006B74"/>
    <w:rsid w:val="00006CC8"/>
    <w:rsid w:val="00006E1F"/>
    <w:rsid w:val="000070D7"/>
    <w:rsid w:val="000104F5"/>
    <w:rsid w:val="00015701"/>
    <w:rsid w:val="0001788C"/>
    <w:rsid w:val="0002186F"/>
    <w:rsid w:val="00023E92"/>
    <w:rsid w:val="00025060"/>
    <w:rsid w:val="00027197"/>
    <w:rsid w:val="000337EF"/>
    <w:rsid w:val="00040C3A"/>
    <w:rsid w:val="000419AD"/>
    <w:rsid w:val="00042B1F"/>
    <w:rsid w:val="00050436"/>
    <w:rsid w:val="000561E1"/>
    <w:rsid w:val="00056845"/>
    <w:rsid w:val="000614DE"/>
    <w:rsid w:val="00064AE6"/>
    <w:rsid w:val="000716C5"/>
    <w:rsid w:val="00075E23"/>
    <w:rsid w:val="00080912"/>
    <w:rsid w:val="00080D07"/>
    <w:rsid w:val="00083A1A"/>
    <w:rsid w:val="00086AE4"/>
    <w:rsid w:val="0009344A"/>
    <w:rsid w:val="000A3254"/>
    <w:rsid w:val="000A392E"/>
    <w:rsid w:val="000A3CBA"/>
    <w:rsid w:val="000A575F"/>
    <w:rsid w:val="000B0579"/>
    <w:rsid w:val="000B26BC"/>
    <w:rsid w:val="000C1C69"/>
    <w:rsid w:val="000C5751"/>
    <w:rsid w:val="000D0F94"/>
    <w:rsid w:val="000D10DB"/>
    <w:rsid w:val="000D4AF2"/>
    <w:rsid w:val="000E15AD"/>
    <w:rsid w:val="000E2789"/>
    <w:rsid w:val="000E599B"/>
    <w:rsid w:val="000E5EB5"/>
    <w:rsid w:val="000E68FA"/>
    <w:rsid w:val="000F2CDE"/>
    <w:rsid w:val="000F35ED"/>
    <w:rsid w:val="000F6C38"/>
    <w:rsid w:val="00100CF7"/>
    <w:rsid w:val="00102395"/>
    <w:rsid w:val="001051A8"/>
    <w:rsid w:val="00107131"/>
    <w:rsid w:val="0010736F"/>
    <w:rsid w:val="00111A8A"/>
    <w:rsid w:val="00113F73"/>
    <w:rsid w:val="0011506E"/>
    <w:rsid w:val="001215C4"/>
    <w:rsid w:val="00121CC2"/>
    <w:rsid w:val="00127255"/>
    <w:rsid w:val="0012735C"/>
    <w:rsid w:val="00131D8B"/>
    <w:rsid w:val="00133EE5"/>
    <w:rsid w:val="00135373"/>
    <w:rsid w:val="001363CF"/>
    <w:rsid w:val="001367F4"/>
    <w:rsid w:val="00136E3D"/>
    <w:rsid w:val="001379D8"/>
    <w:rsid w:val="00143EFE"/>
    <w:rsid w:val="001479C0"/>
    <w:rsid w:val="0015330B"/>
    <w:rsid w:val="00155627"/>
    <w:rsid w:val="00167A34"/>
    <w:rsid w:val="00177EEF"/>
    <w:rsid w:val="00186904"/>
    <w:rsid w:val="00194A5B"/>
    <w:rsid w:val="001A4475"/>
    <w:rsid w:val="001A60DC"/>
    <w:rsid w:val="001A7870"/>
    <w:rsid w:val="001B3A00"/>
    <w:rsid w:val="001C006C"/>
    <w:rsid w:val="001C1B41"/>
    <w:rsid w:val="001C2571"/>
    <w:rsid w:val="001C67A7"/>
    <w:rsid w:val="001D364C"/>
    <w:rsid w:val="001D65EF"/>
    <w:rsid w:val="001E49E7"/>
    <w:rsid w:val="001E5B7B"/>
    <w:rsid w:val="001F271B"/>
    <w:rsid w:val="001F7201"/>
    <w:rsid w:val="002017AE"/>
    <w:rsid w:val="00204931"/>
    <w:rsid w:val="002107EC"/>
    <w:rsid w:val="00213393"/>
    <w:rsid w:val="00220938"/>
    <w:rsid w:val="002228CF"/>
    <w:rsid w:val="00223A29"/>
    <w:rsid w:val="002250A3"/>
    <w:rsid w:val="002265A9"/>
    <w:rsid w:val="00231294"/>
    <w:rsid w:val="00231C65"/>
    <w:rsid w:val="002339FD"/>
    <w:rsid w:val="00235217"/>
    <w:rsid w:val="00246D1F"/>
    <w:rsid w:val="00247403"/>
    <w:rsid w:val="00247542"/>
    <w:rsid w:val="002545F6"/>
    <w:rsid w:val="00255C7D"/>
    <w:rsid w:val="00260B52"/>
    <w:rsid w:val="00266B61"/>
    <w:rsid w:val="0026712A"/>
    <w:rsid w:val="002704DB"/>
    <w:rsid w:val="00271DA8"/>
    <w:rsid w:val="00277BDA"/>
    <w:rsid w:val="00282386"/>
    <w:rsid w:val="00284596"/>
    <w:rsid w:val="00285ACE"/>
    <w:rsid w:val="0029497B"/>
    <w:rsid w:val="0029575A"/>
    <w:rsid w:val="002A0AAE"/>
    <w:rsid w:val="002A5820"/>
    <w:rsid w:val="002A639B"/>
    <w:rsid w:val="002B5ED2"/>
    <w:rsid w:val="002B76B9"/>
    <w:rsid w:val="002C3350"/>
    <w:rsid w:val="002C5E63"/>
    <w:rsid w:val="002D2B26"/>
    <w:rsid w:val="002D7EA2"/>
    <w:rsid w:val="002E00B4"/>
    <w:rsid w:val="002E187C"/>
    <w:rsid w:val="002E7512"/>
    <w:rsid w:val="002F77AE"/>
    <w:rsid w:val="0030189C"/>
    <w:rsid w:val="00302733"/>
    <w:rsid w:val="0031042E"/>
    <w:rsid w:val="003114F0"/>
    <w:rsid w:val="003121D5"/>
    <w:rsid w:val="00314078"/>
    <w:rsid w:val="0031535D"/>
    <w:rsid w:val="00323786"/>
    <w:rsid w:val="003239B8"/>
    <w:rsid w:val="00325553"/>
    <w:rsid w:val="0033169F"/>
    <w:rsid w:val="003351ED"/>
    <w:rsid w:val="003357BC"/>
    <w:rsid w:val="00340EF2"/>
    <w:rsid w:val="0034224A"/>
    <w:rsid w:val="00343438"/>
    <w:rsid w:val="00344977"/>
    <w:rsid w:val="00345411"/>
    <w:rsid w:val="00346C95"/>
    <w:rsid w:val="00351155"/>
    <w:rsid w:val="00356185"/>
    <w:rsid w:val="00356560"/>
    <w:rsid w:val="00360380"/>
    <w:rsid w:val="00365D38"/>
    <w:rsid w:val="00367606"/>
    <w:rsid w:val="00367E6C"/>
    <w:rsid w:val="0037519E"/>
    <w:rsid w:val="003777C5"/>
    <w:rsid w:val="00384804"/>
    <w:rsid w:val="0038502E"/>
    <w:rsid w:val="00386C6C"/>
    <w:rsid w:val="00386CF0"/>
    <w:rsid w:val="00394485"/>
    <w:rsid w:val="003A237F"/>
    <w:rsid w:val="003A59CF"/>
    <w:rsid w:val="003A6337"/>
    <w:rsid w:val="003B244C"/>
    <w:rsid w:val="003B4FF6"/>
    <w:rsid w:val="003B70FB"/>
    <w:rsid w:val="003B778F"/>
    <w:rsid w:val="003C676B"/>
    <w:rsid w:val="003D0728"/>
    <w:rsid w:val="003D0A55"/>
    <w:rsid w:val="003D3BC2"/>
    <w:rsid w:val="003D4929"/>
    <w:rsid w:val="003E0776"/>
    <w:rsid w:val="003E6CA1"/>
    <w:rsid w:val="003E78EF"/>
    <w:rsid w:val="003F0EC9"/>
    <w:rsid w:val="003F36AF"/>
    <w:rsid w:val="003F4B41"/>
    <w:rsid w:val="00403E7B"/>
    <w:rsid w:val="00405742"/>
    <w:rsid w:val="004065A8"/>
    <w:rsid w:val="004141BD"/>
    <w:rsid w:val="004165C2"/>
    <w:rsid w:val="00417F1C"/>
    <w:rsid w:val="00423C17"/>
    <w:rsid w:val="004304AD"/>
    <w:rsid w:val="0043657B"/>
    <w:rsid w:val="0043674C"/>
    <w:rsid w:val="004370B0"/>
    <w:rsid w:val="00441ECB"/>
    <w:rsid w:val="00445193"/>
    <w:rsid w:val="004453EB"/>
    <w:rsid w:val="00447CCF"/>
    <w:rsid w:val="00455067"/>
    <w:rsid w:val="004565BA"/>
    <w:rsid w:val="00462C1B"/>
    <w:rsid w:val="00467B7E"/>
    <w:rsid w:val="00473BB4"/>
    <w:rsid w:val="00474465"/>
    <w:rsid w:val="004764BE"/>
    <w:rsid w:val="00477592"/>
    <w:rsid w:val="00486F1C"/>
    <w:rsid w:val="004921CD"/>
    <w:rsid w:val="0049419D"/>
    <w:rsid w:val="00497BE0"/>
    <w:rsid w:val="004A50B7"/>
    <w:rsid w:val="004A59CC"/>
    <w:rsid w:val="004A6A54"/>
    <w:rsid w:val="004C20D2"/>
    <w:rsid w:val="004C2312"/>
    <w:rsid w:val="004C28D1"/>
    <w:rsid w:val="004C4B62"/>
    <w:rsid w:val="004C54C9"/>
    <w:rsid w:val="004C616A"/>
    <w:rsid w:val="004C7FC7"/>
    <w:rsid w:val="004D4ABA"/>
    <w:rsid w:val="004D6025"/>
    <w:rsid w:val="004D6B61"/>
    <w:rsid w:val="004E19B1"/>
    <w:rsid w:val="004E2649"/>
    <w:rsid w:val="004E5178"/>
    <w:rsid w:val="004F0A9B"/>
    <w:rsid w:val="004F2118"/>
    <w:rsid w:val="004F6FB6"/>
    <w:rsid w:val="00501399"/>
    <w:rsid w:val="00501652"/>
    <w:rsid w:val="0050633D"/>
    <w:rsid w:val="00507BC4"/>
    <w:rsid w:val="0051196A"/>
    <w:rsid w:val="005128E4"/>
    <w:rsid w:val="00512E24"/>
    <w:rsid w:val="005133DB"/>
    <w:rsid w:val="005158E9"/>
    <w:rsid w:val="00515F02"/>
    <w:rsid w:val="00522AC7"/>
    <w:rsid w:val="00525560"/>
    <w:rsid w:val="0052661D"/>
    <w:rsid w:val="00526A34"/>
    <w:rsid w:val="005350EE"/>
    <w:rsid w:val="00535E33"/>
    <w:rsid w:val="005415E6"/>
    <w:rsid w:val="00544216"/>
    <w:rsid w:val="00544C49"/>
    <w:rsid w:val="00550838"/>
    <w:rsid w:val="005516A1"/>
    <w:rsid w:val="00554887"/>
    <w:rsid w:val="00555480"/>
    <w:rsid w:val="00562C2B"/>
    <w:rsid w:val="00563557"/>
    <w:rsid w:val="0057132B"/>
    <w:rsid w:val="0057402A"/>
    <w:rsid w:val="00574CB7"/>
    <w:rsid w:val="00575F06"/>
    <w:rsid w:val="005771D0"/>
    <w:rsid w:val="00580E24"/>
    <w:rsid w:val="00591457"/>
    <w:rsid w:val="0059191A"/>
    <w:rsid w:val="005921FF"/>
    <w:rsid w:val="005A24ED"/>
    <w:rsid w:val="005A67BF"/>
    <w:rsid w:val="005A6D0E"/>
    <w:rsid w:val="005B37CC"/>
    <w:rsid w:val="005B52B0"/>
    <w:rsid w:val="005B6806"/>
    <w:rsid w:val="005B6D22"/>
    <w:rsid w:val="005C1BA2"/>
    <w:rsid w:val="005C261A"/>
    <w:rsid w:val="005C4225"/>
    <w:rsid w:val="005C7989"/>
    <w:rsid w:val="005D0F3E"/>
    <w:rsid w:val="005D3E7E"/>
    <w:rsid w:val="005D57B7"/>
    <w:rsid w:val="005E0B65"/>
    <w:rsid w:val="005E11B2"/>
    <w:rsid w:val="005E2419"/>
    <w:rsid w:val="005E6EFE"/>
    <w:rsid w:val="005F0DAD"/>
    <w:rsid w:val="005F0F33"/>
    <w:rsid w:val="005F5783"/>
    <w:rsid w:val="00600DEB"/>
    <w:rsid w:val="0060432B"/>
    <w:rsid w:val="00604F5F"/>
    <w:rsid w:val="00615BB4"/>
    <w:rsid w:val="0062367D"/>
    <w:rsid w:val="006277DE"/>
    <w:rsid w:val="00627C9F"/>
    <w:rsid w:val="006311E9"/>
    <w:rsid w:val="00632354"/>
    <w:rsid w:val="00641929"/>
    <w:rsid w:val="00642810"/>
    <w:rsid w:val="00647756"/>
    <w:rsid w:val="006509DA"/>
    <w:rsid w:val="00650F0E"/>
    <w:rsid w:val="00652333"/>
    <w:rsid w:val="00654FAB"/>
    <w:rsid w:val="006561CB"/>
    <w:rsid w:val="006614D5"/>
    <w:rsid w:val="0066484A"/>
    <w:rsid w:val="0068009E"/>
    <w:rsid w:val="006819E9"/>
    <w:rsid w:val="00686471"/>
    <w:rsid w:val="00691BBE"/>
    <w:rsid w:val="00692219"/>
    <w:rsid w:val="006924BF"/>
    <w:rsid w:val="006A17D2"/>
    <w:rsid w:val="006A36C0"/>
    <w:rsid w:val="006A73E6"/>
    <w:rsid w:val="006B2D5C"/>
    <w:rsid w:val="006B6EA5"/>
    <w:rsid w:val="006C2E56"/>
    <w:rsid w:val="006C4C0F"/>
    <w:rsid w:val="006C4EB1"/>
    <w:rsid w:val="006D0AD6"/>
    <w:rsid w:val="006D2BE8"/>
    <w:rsid w:val="006D44AC"/>
    <w:rsid w:val="006E0166"/>
    <w:rsid w:val="006E7B34"/>
    <w:rsid w:val="006F182B"/>
    <w:rsid w:val="006F3D97"/>
    <w:rsid w:val="0070697F"/>
    <w:rsid w:val="0071511A"/>
    <w:rsid w:val="00715687"/>
    <w:rsid w:val="007205F5"/>
    <w:rsid w:val="0072199C"/>
    <w:rsid w:val="00722C9F"/>
    <w:rsid w:val="00723EB2"/>
    <w:rsid w:val="007253B8"/>
    <w:rsid w:val="007313DA"/>
    <w:rsid w:val="00733A5A"/>
    <w:rsid w:val="007355A0"/>
    <w:rsid w:val="0073598C"/>
    <w:rsid w:val="007364BB"/>
    <w:rsid w:val="0073741F"/>
    <w:rsid w:val="007407FE"/>
    <w:rsid w:val="00741A11"/>
    <w:rsid w:val="007519E2"/>
    <w:rsid w:val="007537C4"/>
    <w:rsid w:val="0076643F"/>
    <w:rsid w:val="00771269"/>
    <w:rsid w:val="00775128"/>
    <w:rsid w:val="00777F63"/>
    <w:rsid w:val="00784717"/>
    <w:rsid w:val="007852B5"/>
    <w:rsid w:val="00785431"/>
    <w:rsid w:val="00790D1F"/>
    <w:rsid w:val="007A5817"/>
    <w:rsid w:val="007A5A98"/>
    <w:rsid w:val="007A5F09"/>
    <w:rsid w:val="007A7FC2"/>
    <w:rsid w:val="007B05C4"/>
    <w:rsid w:val="007B38FD"/>
    <w:rsid w:val="007B60E9"/>
    <w:rsid w:val="007B6CC3"/>
    <w:rsid w:val="007C0D63"/>
    <w:rsid w:val="007C3334"/>
    <w:rsid w:val="007C402A"/>
    <w:rsid w:val="007C5601"/>
    <w:rsid w:val="007C5666"/>
    <w:rsid w:val="007C56AD"/>
    <w:rsid w:val="007C6D4B"/>
    <w:rsid w:val="007D2B98"/>
    <w:rsid w:val="007D3AF7"/>
    <w:rsid w:val="007D7C02"/>
    <w:rsid w:val="007D7CC6"/>
    <w:rsid w:val="007E21BC"/>
    <w:rsid w:val="007E516E"/>
    <w:rsid w:val="007E58FE"/>
    <w:rsid w:val="007E7C82"/>
    <w:rsid w:val="007F588D"/>
    <w:rsid w:val="00801118"/>
    <w:rsid w:val="00802748"/>
    <w:rsid w:val="00803F1C"/>
    <w:rsid w:val="0080600E"/>
    <w:rsid w:val="0081066D"/>
    <w:rsid w:val="00815E68"/>
    <w:rsid w:val="00817612"/>
    <w:rsid w:val="00820BE9"/>
    <w:rsid w:val="00821CDD"/>
    <w:rsid w:val="008338A4"/>
    <w:rsid w:val="0083479B"/>
    <w:rsid w:val="00834D49"/>
    <w:rsid w:val="00837C45"/>
    <w:rsid w:val="008411F0"/>
    <w:rsid w:val="00844730"/>
    <w:rsid w:val="008457C2"/>
    <w:rsid w:val="00857A82"/>
    <w:rsid w:val="008628A2"/>
    <w:rsid w:val="00866164"/>
    <w:rsid w:val="00866758"/>
    <w:rsid w:val="00871526"/>
    <w:rsid w:val="00873836"/>
    <w:rsid w:val="008827CA"/>
    <w:rsid w:val="00884E34"/>
    <w:rsid w:val="00885737"/>
    <w:rsid w:val="00890650"/>
    <w:rsid w:val="008937B2"/>
    <w:rsid w:val="00894A7A"/>
    <w:rsid w:val="00895F2A"/>
    <w:rsid w:val="00897E12"/>
    <w:rsid w:val="008A0F81"/>
    <w:rsid w:val="008A7E0F"/>
    <w:rsid w:val="008B02D7"/>
    <w:rsid w:val="008B12F5"/>
    <w:rsid w:val="008B48B9"/>
    <w:rsid w:val="008B5932"/>
    <w:rsid w:val="008C183B"/>
    <w:rsid w:val="008C5751"/>
    <w:rsid w:val="008C5B65"/>
    <w:rsid w:val="008C5D4C"/>
    <w:rsid w:val="008D768D"/>
    <w:rsid w:val="008E328A"/>
    <w:rsid w:val="008E3759"/>
    <w:rsid w:val="008E3BFE"/>
    <w:rsid w:val="008E7900"/>
    <w:rsid w:val="008F0803"/>
    <w:rsid w:val="008F1912"/>
    <w:rsid w:val="0090270B"/>
    <w:rsid w:val="009041DC"/>
    <w:rsid w:val="00917B5A"/>
    <w:rsid w:val="00920A58"/>
    <w:rsid w:val="00920A8C"/>
    <w:rsid w:val="00921D23"/>
    <w:rsid w:val="009234F0"/>
    <w:rsid w:val="00924798"/>
    <w:rsid w:val="00934A2C"/>
    <w:rsid w:val="00935C8C"/>
    <w:rsid w:val="00935F06"/>
    <w:rsid w:val="00937B3A"/>
    <w:rsid w:val="00942AE3"/>
    <w:rsid w:val="00954B82"/>
    <w:rsid w:val="00962436"/>
    <w:rsid w:val="0096706E"/>
    <w:rsid w:val="00974491"/>
    <w:rsid w:val="00975C4E"/>
    <w:rsid w:val="00975C88"/>
    <w:rsid w:val="00981FBA"/>
    <w:rsid w:val="0098352D"/>
    <w:rsid w:val="00995A94"/>
    <w:rsid w:val="00996597"/>
    <w:rsid w:val="00997BC5"/>
    <w:rsid w:val="009A1878"/>
    <w:rsid w:val="009A4F41"/>
    <w:rsid w:val="009A6D4B"/>
    <w:rsid w:val="009B381B"/>
    <w:rsid w:val="009C01A0"/>
    <w:rsid w:val="009C2FC5"/>
    <w:rsid w:val="009D1753"/>
    <w:rsid w:val="009D1AF4"/>
    <w:rsid w:val="009D6502"/>
    <w:rsid w:val="009D7411"/>
    <w:rsid w:val="009D7611"/>
    <w:rsid w:val="009D78A5"/>
    <w:rsid w:val="009E0B61"/>
    <w:rsid w:val="009E0CA1"/>
    <w:rsid w:val="009E263B"/>
    <w:rsid w:val="009E3112"/>
    <w:rsid w:val="009E53DE"/>
    <w:rsid w:val="009E7A57"/>
    <w:rsid w:val="009E7C00"/>
    <w:rsid w:val="009F7502"/>
    <w:rsid w:val="00A01924"/>
    <w:rsid w:val="00A03CDA"/>
    <w:rsid w:val="00A0691C"/>
    <w:rsid w:val="00A1168F"/>
    <w:rsid w:val="00A11E44"/>
    <w:rsid w:val="00A132C9"/>
    <w:rsid w:val="00A13968"/>
    <w:rsid w:val="00A14CCA"/>
    <w:rsid w:val="00A21B0B"/>
    <w:rsid w:val="00A22397"/>
    <w:rsid w:val="00A26FB3"/>
    <w:rsid w:val="00A328B3"/>
    <w:rsid w:val="00A34D07"/>
    <w:rsid w:val="00A40A41"/>
    <w:rsid w:val="00A43226"/>
    <w:rsid w:val="00A4462A"/>
    <w:rsid w:val="00A50FCF"/>
    <w:rsid w:val="00A523AF"/>
    <w:rsid w:val="00A528A9"/>
    <w:rsid w:val="00A528D1"/>
    <w:rsid w:val="00A610CD"/>
    <w:rsid w:val="00A625E0"/>
    <w:rsid w:val="00A74947"/>
    <w:rsid w:val="00A75195"/>
    <w:rsid w:val="00A758AA"/>
    <w:rsid w:val="00A90FF8"/>
    <w:rsid w:val="00AA09A2"/>
    <w:rsid w:val="00AA09B3"/>
    <w:rsid w:val="00AA7996"/>
    <w:rsid w:val="00AB423A"/>
    <w:rsid w:val="00AB6686"/>
    <w:rsid w:val="00AB7E7E"/>
    <w:rsid w:val="00AC161F"/>
    <w:rsid w:val="00AC19CB"/>
    <w:rsid w:val="00AD1886"/>
    <w:rsid w:val="00AD292D"/>
    <w:rsid w:val="00AE302C"/>
    <w:rsid w:val="00AE5488"/>
    <w:rsid w:val="00AE6F91"/>
    <w:rsid w:val="00AE79E6"/>
    <w:rsid w:val="00AF5571"/>
    <w:rsid w:val="00AF61CE"/>
    <w:rsid w:val="00B03DCB"/>
    <w:rsid w:val="00B06B4E"/>
    <w:rsid w:val="00B07000"/>
    <w:rsid w:val="00B07341"/>
    <w:rsid w:val="00B1326A"/>
    <w:rsid w:val="00B1427E"/>
    <w:rsid w:val="00B17F69"/>
    <w:rsid w:val="00B202B5"/>
    <w:rsid w:val="00B30539"/>
    <w:rsid w:val="00B314DB"/>
    <w:rsid w:val="00B34CAE"/>
    <w:rsid w:val="00B361F2"/>
    <w:rsid w:val="00B3718B"/>
    <w:rsid w:val="00B41C3C"/>
    <w:rsid w:val="00B4632A"/>
    <w:rsid w:val="00B47E16"/>
    <w:rsid w:val="00B5067D"/>
    <w:rsid w:val="00B530F1"/>
    <w:rsid w:val="00B736AF"/>
    <w:rsid w:val="00B86313"/>
    <w:rsid w:val="00B904A5"/>
    <w:rsid w:val="00B97946"/>
    <w:rsid w:val="00BA276C"/>
    <w:rsid w:val="00BA5544"/>
    <w:rsid w:val="00BA5CC0"/>
    <w:rsid w:val="00BB306F"/>
    <w:rsid w:val="00BB3FBD"/>
    <w:rsid w:val="00BC043F"/>
    <w:rsid w:val="00BC648E"/>
    <w:rsid w:val="00BC6CD0"/>
    <w:rsid w:val="00BD222D"/>
    <w:rsid w:val="00BD356E"/>
    <w:rsid w:val="00BD4124"/>
    <w:rsid w:val="00BD4B89"/>
    <w:rsid w:val="00BD5922"/>
    <w:rsid w:val="00BD76D9"/>
    <w:rsid w:val="00BF02CB"/>
    <w:rsid w:val="00BF514A"/>
    <w:rsid w:val="00BF5D2A"/>
    <w:rsid w:val="00BF6FD8"/>
    <w:rsid w:val="00BF775D"/>
    <w:rsid w:val="00C03680"/>
    <w:rsid w:val="00C03954"/>
    <w:rsid w:val="00C054DF"/>
    <w:rsid w:val="00C06DAD"/>
    <w:rsid w:val="00C10AFC"/>
    <w:rsid w:val="00C21562"/>
    <w:rsid w:val="00C21762"/>
    <w:rsid w:val="00C21FEF"/>
    <w:rsid w:val="00C24543"/>
    <w:rsid w:val="00C256A2"/>
    <w:rsid w:val="00C25CA9"/>
    <w:rsid w:val="00C35A26"/>
    <w:rsid w:val="00C36A06"/>
    <w:rsid w:val="00C51515"/>
    <w:rsid w:val="00C52C2C"/>
    <w:rsid w:val="00C53910"/>
    <w:rsid w:val="00C556E9"/>
    <w:rsid w:val="00C5660B"/>
    <w:rsid w:val="00C56854"/>
    <w:rsid w:val="00C5788A"/>
    <w:rsid w:val="00C57A69"/>
    <w:rsid w:val="00C66806"/>
    <w:rsid w:val="00C66B72"/>
    <w:rsid w:val="00C71A19"/>
    <w:rsid w:val="00C76FD3"/>
    <w:rsid w:val="00C82F22"/>
    <w:rsid w:val="00C84F74"/>
    <w:rsid w:val="00C87AC4"/>
    <w:rsid w:val="00C9039A"/>
    <w:rsid w:val="00C9567A"/>
    <w:rsid w:val="00CA48A3"/>
    <w:rsid w:val="00CA7B72"/>
    <w:rsid w:val="00CB0246"/>
    <w:rsid w:val="00CB0A36"/>
    <w:rsid w:val="00CB10BC"/>
    <w:rsid w:val="00CB212D"/>
    <w:rsid w:val="00CB2660"/>
    <w:rsid w:val="00CC20C1"/>
    <w:rsid w:val="00CC4A0A"/>
    <w:rsid w:val="00CC5E90"/>
    <w:rsid w:val="00CD046C"/>
    <w:rsid w:val="00CE076C"/>
    <w:rsid w:val="00CE0971"/>
    <w:rsid w:val="00CE099F"/>
    <w:rsid w:val="00CE1247"/>
    <w:rsid w:val="00CE375E"/>
    <w:rsid w:val="00CE5199"/>
    <w:rsid w:val="00CE63DE"/>
    <w:rsid w:val="00CE66D5"/>
    <w:rsid w:val="00CF13C9"/>
    <w:rsid w:val="00CF637A"/>
    <w:rsid w:val="00D059DE"/>
    <w:rsid w:val="00D05ABD"/>
    <w:rsid w:val="00D0789D"/>
    <w:rsid w:val="00D123B3"/>
    <w:rsid w:val="00D13FCE"/>
    <w:rsid w:val="00D24059"/>
    <w:rsid w:val="00D26AEE"/>
    <w:rsid w:val="00D27767"/>
    <w:rsid w:val="00D306D1"/>
    <w:rsid w:val="00D30800"/>
    <w:rsid w:val="00D34786"/>
    <w:rsid w:val="00D35AB1"/>
    <w:rsid w:val="00D36DD2"/>
    <w:rsid w:val="00D3768A"/>
    <w:rsid w:val="00D37BFC"/>
    <w:rsid w:val="00D40705"/>
    <w:rsid w:val="00D42822"/>
    <w:rsid w:val="00D43CD5"/>
    <w:rsid w:val="00D47A8E"/>
    <w:rsid w:val="00D50F41"/>
    <w:rsid w:val="00D52D14"/>
    <w:rsid w:val="00D55256"/>
    <w:rsid w:val="00D712D3"/>
    <w:rsid w:val="00D71422"/>
    <w:rsid w:val="00D72DC6"/>
    <w:rsid w:val="00D73F5E"/>
    <w:rsid w:val="00D7429D"/>
    <w:rsid w:val="00D7558D"/>
    <w:rsid w:val="00D7607A"/>
    <w:rsid w:val="00D77503"/>
    <w:rsid w:val="00D7797D"/>
    <w:rsid w:val="00D81D92"/>
    <w:rsid w:val="00D826C8"/>
    <w:rsid w:val="00D876F9"/>
    <w:rsid w:val="00D877B6"/>
    <w:rsid w:val="00D907AF"/>
    <w:rsid w:val="00D93B18"/>
    <w:rsid w:val="00D944A7"/>
    <w:rsid w:val="00D966DC"/>
    <w:rsid w:val="00DA0855"/>
    <w:rsid w:val="00DA7120"/>
    <w:rsid w:val="00DA7B5F"/>
    <w:rsid w:val="00DB180B"/>
    <w:rsid w:val="00DB3A58"/>
    <w:rsid w:val="00DC085A"/>
    <w:rsid w:val="00DC11E7"/>
    <w:rsid w:val="00DC7023"/>
    <w:rsid w:val="00DC769A"/>
    <w:rsid w:val="00DD3D86"/>
    <w:rsid w:val="00DE12F0"/>
    <w:rsid w:val="00DE422B"/>
    <w:rsid w:val="00DE6C9F"/>
    <w:rsid w:val="00DE73C4"/>
    <w:rsid w:val="00DF1EC4"/>
    <w:rsid w:val="00DF2C49"/>
    <w:rsid w:val="00DF57FD"/>
    <w:rsid w:val="00DF709A"/>
    <w:rsid w:val="00E01844"/>
    <w:rsid w:val="00E01943"/>
    <w:rsid w:val="00E01986"/>
    <w:rsid w:val="00E0340B"/>
    <w:rsid w:val="00E04A90"/>
    <w:rsid w:val="00E0551F"/>
    <w:rsid w:val="00E13510"/>
    <w:rsid w:val="00E219C7"/>
    <w:rsid w:val="00E21E72"/>
    <w:rsid w:val="00E22182"/>
    <w:rsid w:val="00E26CCA"/>
    <w:rsid w:val="00E26DDD"/>
    <w:rsid w:val="00E35042"/>
    <w:rsid w:val="00E41068"/>
    <w:rsid w:val="00E4118C"/>
    <w:rsid w:val="00E43157"/>
    <w:rsid w:val="00E461CE"/>
    <w:rsid w:val="00E50A11"/>
    <w:rsid w:val="00E720CA"/>
    <w:rsid w:val="00E73A56"/>
    <w:rsid w:val="00E74A3F"/>
    <w:rsid w:val="00E84EB5"/>
    <w:rsid w:val="00E85662"/>
    <w:rsid w:val="00E8592C"/>
    <w:rsid w:val="00E8789F"/>
    <w:rsid w:val="00E91F65"/>
    <w:rsid w:val="00E96DD9"/>
    <w:rsid w:val="00E97AFD"/>
    <w:rsid w:val="00E97B71"/>
    <w:rsid w:val="00EA1C8B"/>
    <w:rsid w:val="00EA3634"/>
    <w:rsid w:val="00EA3D34"/>
    <w:rsid w:val="00EB454D"/>
    <w:rsid w:val="00EB6700"/>
    <w:rsid w:val="00EB6CD8"/>
    <w:rsid w:val="00EB74C4"/>
    <w:rsid w:val="00EB7C44"/>
    <w:rsid w:val="00EC3763"/>
    <w:rsid w:val="00EC72AB"/>
    <w:rsid w:val="00EC75DB"/>
    <w:rsid w:val="00ED0A5D"/>
    <w:rsid w:val="00ED2EC6"/>
    <w:rsid w:val="00ED2F03"/>
    <w:rsid w:val="00ED549D"/>
    <w:rsid w:val="00ED76BE"/>
    <w:rsid w:val="00ED7F05"/>
    <w:rsid w:val="00EE00E9"/>
    <w:rsid w:val="00EE014D"/>
    <w:rsid w:val="00EF35AB"/>
    <w:rsid w:val="00EF4C44"/>
    <w:rsid w:val="00EF619B"/>
    <w:rsid w:val="00EF7ACF"/>
    <w:rsid w:val="00F00A52"/>
    <w:rsid w:val="00F00B55"/>
    <w:rsid w:val="00F01036"/>
    <w:rsid w:val="00F02AD1"/>
    <w:rsid w:val="00F04591"/>
    <w:rsid w:val="00F0522F"/>
    <w:rsid w:val="00F06354"/>
    <w:rsid w:val="00F21070"/>
    <w:rsid w:val="00F253CC"/>
    <w:rsid w:val="00F332EF"/>
    <w:rsid w:val="00F354B8"/>
    <w:rsid w:val="00F37106"/>
    <w:rsid w:val="00F436F1"/>
    <w:rsid w:val="00F43F1F"/>
    <w:rsid w:val="00F503C2"/>
    <w:rsid w:val="00F519CF"/>
    <w:rsid w:val="00F51C71"/>
    <w:rsid w:val="00F56BA5"/>
    <w:rsid w:val="00F60E22"/>
    <w:rsid w:val="00F63B39"/>
    <w:rsid w:val="00F752AF"/>
    <w:rsid w:val="00F81395"/>
    <w:rsid w:val="00F81656"/>
    <w:rsid w:val="00F81887"/>
    <w:rsid w:val="00F81BB8"/>
    <w:rsid w:val="00F90C26"/>
    <w:rsid w:val="00F917D1"/>
    <w:rsid w:val="00F9342C"/>
    <w:rsid w:val="00F93605"/>
    <w:rsid w:val="00F954CD"/>
    <w:rsid w:val="00F9653B"/>
    <w:rsid w:val="00F96CD4"/>
    <w:rsid w:val="00FA56EA"/>
    <w:rsid w:val="00FB15C4"/>
    <w:rsid w:val="00FB62CF"/>
    <w:rsid w:val="00FC07DF"/>
    <w:rsid w:val="00FC0EF7"/>
    <w:rsid w:val="00FC0F4A"/>
    <w:rsid w:val="00FC2FD0"/>
    <w:rsid w:val="00FC3330"/>
    <w:rsid w:val="00FD3C3B"/>
    <w:rsid w:val="00FD6E82"/>
    <w:rsid w:val="00FE07DD"/>
    <w:rsid w:val="00FE41B7"/>
    <w:rsid w:val="00FE6B45"/>
    <w:rsid w:val="00FF1FCF"/>
    <w:rsid w:val="00FF3D9B"/>
    <w:rsid w:val="00FF55F3"/>
    <w:rsid w:val="00FF5851"/>
    <w:rsid w:val="00FF710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211184471">
      <w:bodyDiv w:val="1"/>
      <w:marLeft w:val="0"/>
      <w:marRight w:val="0"/>
      <w:marTop w:val="0"/>
      <w:marBottom w:val="0"/>
      <w:divBdr>
        <w:top w:val="none" w:sz="0" w:space="0" w:color="auto"/>
        <w:left w:val="none" w:sz="0" w:space="0" w:color="auto"/>
        <w:bottom w:val="none" w:sz="0" w:space="0" w:color="auto"/>
        <w:right w:val="none" w:sz="0" w:space="0" w:color="auto"/>
      </w:divBdr>
    </w:div>
    <w:div w:id="123674612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74C7"/>
    <w:rsid w:val="00007DB1"/>
    <w:rsid w:val="000160EC"/>
    <w:rsid w:val="00022325"/>
    <w:rsid w:val="000825FF"/>
    <w:rsid w:val="00083D45"/>
    <w:rsid w:val="00086A4B"/>
    <w:rsid w:val="00183B6F"/>
    <w:rsid w:val="001C77E1"/>
    <w:rsid w:val="001E45F6"/>
    <w:rsid w:val="00200821"/>
    <w:rsid w:val="00244BE2"/>
    <w:rsid w:val="00245D61"/>
    <w:rsid w:val="002C33AA"/>
    <w:rsid w:val="002E1797"/>
    <w:rsid w:val="00394049"/>
    <w:rsid w:val="0049312F"/>
    <w:rsid w:val="004F2DF8"/>
    <w:rsid w:val="00517044"/>
    <w:rsid w:val="00565694"/>
    <w:rsid w:val="006418F0"/>
    <w:rsid w:val="006E2B51"/>
    <w:rsid w:val="00942213"/>
    <w:rsid w:val="0097453C"/>
    <w:rsid w:val="009A261B"/>
    <w:rsid w:val="00AC15A4"/>
    <w:rsid w:val="00B0336C"/>
    <w:rsid w:val="00B2306B"/>
    <w:rsid w:val="00BC65B5"/>
    <w:rsid w:val="00BD483C"/>
    <w:rsid w:val="00BE42EB"/>
    <w:rsid w:val="00BF1220"/>
    <w:rsid w:val="00C11833"/>
    <w:rsid w:val="00C56634"/>
    <w:rsid w:val="00C70562"/>
    <w:rsid w:val="00CF5771"/>
    <w:rsid w:val="00D46351"/>
    <w:rsid w:val="00D8016D"/>
    <w:rsid w:val="00DF56C8"/>
    <w:rsid w:val="00E70C4C"/>
    <w:rsid w:val="00E77140"/>
    <w:rsid w:val="00E907ED"/>
    <w:rsid w:val="00EC5ECB"/>
    <w:rsid w:val="00F00D2F"/>
    <w:rsid w:val="00F128DF"/>
    <w:rsid w:val="00F604BD"/>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817F-A139-4D25-84B5-95770A66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4300</Words>
  <Characters>21930</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18/20</dc:title>
  <dc:creator/>
  <cp:lastModifiedBy/>
  <cp:revision>1</cp:revision>
  <dcterms:created xsi:type="dcterms:W3CDTF">2020-06-04T14:48:00Z</dcterms:created>
  <dcterms:modified xsi:type="dcterms:W3CDTF">2020-06-04T14:49:00Z</dcterms:modified>
</cp:coreProperties>
</file>