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8E1638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rPr>
      </w:pPr>
    </w:p>
    <w:p w:rsidR="00040C3A" w:rsidRPr="0090270B" w:rsidRDefault="00040C3A" w:rsidP="00040C3A">
      <w:pPr>
        <w:tabs>
          <w:tab w:val="center" w:pos="5400"/>
        </w:tabs>
        <w:suppressAutoHyphens/>
        <w:jc w:val="both"/>
        <w:rPr>
          <w:rFonts w:asciiTheme="majorHAnsi" w:hAnsiTheme="majorHAnsi"/>
          <w:sz w:val="22"/>
          <w:szCs w:val="22"/>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37626">
                              <w:rPr>
                                <w:rFonts w:asciiTheme="majorHAnsi" w:hAnsiTheme="majorHAnsi" w:cs="Arial"/>
                                <w:b/>
                                <w:bCs/>
                                <w:color w:val="0D0D0D" w:themeColor="text1" w:themeTint="F2"/>
                                <w:sz w:val="36"/>
                                <w:szCs w:val="22"/>
                                <w:lang w:val="es-ES_tradnl"/>
                              </w:rPr>
                              <w:t xml:space="preserve"> </w:t>
                            </w:r>
                            <w:r w:rsidR="000165D6">
                              <w:rPr>
                                <w:rFonts w:asciiTheme="majorHAnsi" w:hAnsiTheme="majorHAnsi" w:cs="Arial"/>
                                <w:b/>
                                <w:bCs/>
                                <w:color w:val="0D0D0D" w:themeColor="text1" w:themeTint="F2"/>
                                <w:sz w:val="36"/>
                                <w:szCs w:val="22"/>
                                <w:lang w:val="es-ES_tradnl"/>
                              </w:rPr>
                              <w:t>30</w:t>
                            </w:r>
                            <w:r w:rsidR="00237626">
                              <w:rPr>
                                <w:rFonts w:asciiTheme="majorHAnsi" w:hAnsiTheme="majorHAnsi" w:cs="Arial"/>
                                <w:b/>
                                <w:bCs/>
                                <w:color w:val="0D0D0D" w:themeColor="text1" w:themeTint="F2"/>
                                <w:sz w:val="36"/>
                                <w:szCs w:val="22"/>
                                <w:lang w:val="es-ES_tradnl"/>
                              </w:rPr>
                              <w:t>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239C">
                              <w:rPr>
                                <w:rFonts w:asciiTheme="majorHAnsi" w:hAnsiTheme="majorHAnsi" w:cs="Arial"/>
                                <w:b/>
                                <w:color w:val="0D0D0D" w:themeColor="text1" w:themeTint="F2"/>
                                <w:sz w:val="36"/>
                                <w:szCs w:val="22"/>
                                <w:lang w:val="es-ES_tradnl"/>
                              </w:rPr>
                              <w:t>512</w:t>
                            </w:r>
                            <w:r w:rsidR="00246D1F" w:rsidRPr="004E2649">
                              <w:rPr>
                                <w:rFonts w:asciiTheme="majorHAnsi" w:hAnsiTheme="majorHAnsi" w:cs="Arial"/>
                                <w:b/>
                                <w:color w:val="0D0D0D" w:themeColor="text1" w:themeTint="F2"/>
                                <w:sz w:val="36"/>
                                <w:szCs w:val="22"/>
                                <w:lang w:val="es-ES_tradnl"/>
                              </w:rPr>
                              <w:t>-</w:t>
                            </w:r>
                            <w:r w:rsidR="00FD239C">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FD239C" w:rsidRDefault="00FD239C" w:rsidP="00FD239C">
                            <w:pPr>
                              <w:rPr>
                                <w:lang w:eastAsia="es-ES"/>
                              </w:rPr>
                            </w:pPr>
                            <w:r>
                              <w:rPr>
                                <w:rFonts w:asciiTheme="majorHAnsi" w:hAnsiTheme="majorHAnsi" w:cs="Arial"/>
                                <w:color w:val="0D0D0D" w:themeColor="text1" w:themeTint="F2"/>
                                <w:szCs w:val="22"/>
                                <w:lang w:val="es-ES_tradnl"/>
                              </w:rPr>
                              <w:t>KURT HEINZ ARENS OSTENDORF Y OTROS</w:t>
                            </w:r>
                            <w:r w:rsidRPr="00FD239C">
                              <w:rPr>
                                <w:lang w:eastAsia="es-ES"/>
                              </w:rPr>
                              <w:t xml:space="preserve"> </w:t>
                            </w:r>
                          </w:p>
                          <w:bookmarkEnd w:id="0"/>
                          <w:p w:rsidR="005B52B0" w:rsidRPr="0010736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lang w:val="es-ES_tradnl"/>
                              </w:rPr>
                              <w:t>P</w:t>
                            </w:r>
                            <w:r w:rsidR="00FD239C">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37626">
                        <w:rPr>
                          <w:rFonts w:asciiTheme="majorHAnsi" w:hAnsiTheme="majorHAnsi" w:cs="Arial"/>
                          <w:b/>
                          <w:bCs/>
                          <w:color w:val="0D0D0D" w:themeColor="text1" w:themeTint="F2"/>
                          <w:sz w:val="36"/>
                          <w:szCs w:val="22"/>
                          <w:lang w:val="es-ES_tradnl"/>
                        </w:rPr>
                        <w:t xml:space="preserve"> </w:t>
                      </w:r>
                      <w:r w:rsidR="000165D6">
                        <w:rPr>
                          <w:rFonts w:asciiTheme="majorHAnsi" w:hAnsiTheme="majorHAnsi" w:cs="Arial"/>
                          <w:b/>
                          <w:bCs/>
                          <w:color w:val="0D0D0D" w:themeColor="text1" w:themeTint="F2"/>
                          <w:sz w:val="36"/>
                          <w:szCs w:val="22"/>
                          <w:lang w:val="es-ES_tradnl"/>
                        </w:rPr>
                        <w:t>30</w:t>
                      </w:r>
                      <w:r w:rsidR="00237626">
                        <w:rPr>
                          <w:rFonts w:asciiTheme="majorHAnsi" w:hAnsiTheme="majorHAnsi" w:cs="Arial"/>
                          <w:b/>
                          <w:bCs/>
                          <w:color w:val="0D0D0D" w:themeColor="text1" w:themeTint="F2"/>
                          <w:sz w:val="36"/>
                          <w:szCs w:val="22"/>
                          <w:lang w:val="es-ES_tradnl"/>
                        </w:rPr>
                        <w:t>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239C">
                        <w:rPr>
                          <w:rFonts w:asciiTheme="majorHAnsi" w:hAnsiTheme="majorHAnsi" w:cs="Arial"/>
                          <w:b/>
                          <w:color w:val="0D0D0D" w:themeColor="text1" w:themeTint="F2"/>
                          <w:sz w:val="36"/>
                          <w:szCs w:val="22"/>
                          <w:lang w:val="es-ES_tradnl"/>
                        </w:rPr>
                        <w:t>512</w:t>
                      </w:r>
                      <w:r w:rsidR="00246D1F" w:rsidRPr="004E2649">
                        <w:rPr>
                          <w:rFonts w:asciiTheme="majorHAnsi" w:hAnsiTheme="majorHAnsi" w:cs="Arial"/>
                          <w:b/>
                          <w:color w:val="0D0D0D" w:themeColor="text1" w:themeTint="F2"/>
                          <w:sz w:val="36"/>
                          <w:szCs w:val="22"/>
                          <w:lang w:val="es-ES_tradnl"/>
                        </w:rPr>
                        <w:t>-</w:t>
                      </w:r>
                      <w:r w:rsidR="00FD239C">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FD239C" w:rsidRDefault="00FD239C" w:rsidP="00FD239C">
                      <w:pPr>
                        <w:rPr>
                          <w:lang w:eastAsia="es-ES"/>
                        </w:rPr>
                      </w:pPr>
                      <w:r>
                        <w:rPr>
                          <w:rFonts w:asciiTheme="majorHAnsi" w:hAnsiTheme="majorHAnsi" w:cs="Arial"/>
                          <w:color w:val="0D0D0D" w:themeColor="text1" w:themeTint="F2"/>
                          <w:szCs w:val="22"/>
                          <w:lang w:val="es-ES_tradnl"/>
                        </w:rPr>
                        <w:t>KURT HEINZ ARENS OSTENDORF Y OTROS</w:t>
                      </w:r>
                      <w:r w:rsidRPr="00FD239C">
                        <w:rPr>
                          <w:lang w:eastAsia="es-ES"/>
                        </w:rPr>
                        <w:t xml:space="preserve"> </w:t>
                      </w:r>
                    </w:p>
                    <w:bookmarkEnd w:id="1"/>
                    <w:p w:rsidR="005B52B0" w:rsidRPr="0010736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lang w:val="es-ES_tradnl"/>
                        </w:rPr>
                        <w:t>P</w:t>
                      </w:r>
                      <w:r w:rsidR="00FD239C">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2376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0165D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325</w:t>
                            </w:r>
                          </w:p>
                          <w:p w:rsidR="00627C9F" w:rsidRPr="00C25ADB" w:rsidRDefault="002376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2376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0165D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325</w:t>
                      </w:r>
                    </w:p>
                    <w:p w:rsidR="00627C9F" w:rsidRPr="00C25ADB" w:rsidRDefault="002376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bookmarkStart w:id="2" w:name="_GoBack"/>
      <w:bookmarkEnd w:id="2"/>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237626">
                              <w:rPr>
                                <w:rFonts w:asciiTheme="majorHAnsi" w:hAnsiTheme="majorHAnsi"/>
                                <w:color w:val="0D0D0D" w:themeColor="text1" w:themeTint="F2"/>
                                <w:sz w:val="18"/>
                                <w:szCs w:val="22"/>
                              </w:rPr>
                              <w:t>13</w:t>
                            </w:r>
                            <w:r w:rsidRPr="00890650">
                              <w:rPr>
                                <w:rFonts w:asciiTheme="majorHAnsi" w:hAnsiTheme="majorHAnsi"/>
                                <w:color w:val="0D0D0D" w:themeColor="text1" w:themeTint="F2"/>
                                <w:sz w:val="18"/>
                                <w:szCs w:val="22"/>
                              </w:rPr>
                              <w:t xml:space="preserve"> de </w:t>
                            </w:r>
                            <w:r w:rsidR="00237626">
                              <w:rPr>
                                <w:rFonts w:asciiTheme="majorHAnsi" w:hAnsiTheme="majorHAnsi"/>
                                <w:color w:val="0D0D0D" w:themeColor="text1" w:themeTint="F2"/>
                                <w:sz w:val="18"/>
                                <w:szCs w:val="22"/>
                              </w:rPr>
                              <w:t>octubre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20</w:t>
                            </w:r>
                            <w:r w:rsidR="00C60DA2">
                              <w:rPr>
                                <w:rFonts w:asciiTheme="majorHAnsi" w:hAnsiTheme="majorHAnsi"/>
                                <w:color w:val="0D0D0D" w:themeColor="text1" w:themeTint="F2"/>
                                <w:sz w:val="18"/>
                                <w:szCs w:val="22"/>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237626">
                        <w:rPr>
                          <w:rFonts w:asciiTheme="majorHAnsi" w:hAnsiTheme="majorHAnsi"/>
                          <w:color w:val="0D0D0D" w:themeColor="text1" w:themeTint="F2"/>
                          <w:sz w:val="18"/>
                          <w:szCs w:val="22"/>
                        </w:rPr>
                        <w:t>13</w:t>
                      </w:r>
                      <w:r w:rsidRPr="00890650">
                        <w:rPr>
                          <w:rFonts w:asciiTheme="majorHAnsi" w:hAnsiTheme="majorHAnsi"/>
                          <w:color w:val="0D0D0D" w:themeColor="text1" w:themeTint="F2"/>
                          <w:sz w:val="18"/>
                          <w:szCs w:val="22"/>
                        </w:rPr>
                        <w:t xml:space="preserve"> de </w:t>
                      </w:r>
                      <w:r w:rsidR="00237626">
                        <w:rPr>
                          <w:rFonts w:asciiTheme="majorHAnsi" w:hAnsiTheme="majorHAnsi"/>
                          <w:color w:val="0D0D0D" w:themeColor="text1" w:themeTint="F2"/>
                          <w:sz w:val="18"/>
                          <w:szCs w:val="22"/>
                        </w:rPr>
                        <w:t>octubre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20</w:t>
                      </w:r>
                      <w:r w:rsidR="00C60DA2">
                        <w:rPr>
                          <w:rFonts w:asciiTheme="majorHAnsi" w:hAnsiTheme="majorHAnsi"/>
                          <w:color w:val="0D0D0D" w:themeColor="text1" w:themeTint="F2"/>
                          <w:sz w:val="18"/>
                          <w:szCs w:val="22"/>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65D6">
                              <w:rPr>
                                <w:rFonts w:asciiTheme="majorHAnsi" w:hAnsiTheme="majorHAnsi"/>
                                <w:color w:val="595959" w:themeColor="text1" w:themeTint="A6"/>
                                <w:sz w:val="18"/>
                                <w:szCs w:val="18"/>
                                <w:lang w:val="pt-BR"/>
                              </w:rPr>
                              <w:t>308</w:t>
                            </w:r>
                            <w:r w:rsidR="007B05C4" w:rsidRPr="00237626">
                              <w:rPr>
                                <w:rFonts w:asciiTheme="majorHAnsi" w:hAnsiTheme="majorHAnsi"/>
                                <w:color w:val="595959" w:themeColor="text1" w:themeTint="A6"/>
                                <w:sz w:val="18"/>
                                <w:szCs w:val="18"/>
                                <w:lang w:val="pt-BR"/>
                              </w:rPr>
                              <w:t>/</w:t>
                            </w:r>
                            <w:r w:rsidR="00237626" w:rsidRPr="00237626">
                              <w:rPr>
                                <w:rFonts w:asciiTheme="majorHAnsi" w:hAnsiTheme="majorHAnsi"/>
                                <w:color w:val="595959" w:themeColor="text1" w:themeTint="A6"/>
                                <w:sz w:val="18"/>
                                <w:szCs w:val="18"/>
                                <w:lang w:val="pt-BR"/>
                              </w:rPr>
                              <w:t>20</w:t>
                            </w:r>
                            <w:r w:rsidRPr="0023762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E049FA">
                              <w:rPr>
                                <w:rFonts w:asciiTheme="majorHAnsi" w:hAnsiTheme="majorHAnsi"/>
                                <w:color w:val="595959" w:themeColor="text1" w:themeTint="A6"/>
                                <w:sz w:val="18"/>
                                <w:szCs w:val="18"/>
                              </w:rPr>
                              <w:t>512</w:t>
                            </w:r>
                            <w:r w:rsidR="000433C9">
                              <w:rPr>
                                <w:rFonts w:asciiTheme="majorHAnsi" w:hAnsiTheme="majorHAnsi"/>
                                <w:color w:val="595959" w:themeColor="text1" w:themeTint="A6"/>
                                <w:sz w:val="18"/>
                                <w:szCs w:val="18"/>
                              </w:rPr>
                              <w:t>-</w:t>
                            </w:r>
                            <w:r w:rsidR="00E049FA">
                              <w:rPr>
                                <w:rFonts w:asciiTheme="majorHAnsi" w:hAnsiTheme="majorHAnsi"/>
                                <w:color w:val="595959" w:themeColor="text1" w:themeTint="A6"/>
                                <w:sz w:val="18"/>
                                <w:szCs w:val="18"/>
                              </w:rPr>
                              <w:t>15</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7F652D">
                              <w:rPr>
                                <w:rFonts w:asciiTheme="majorHAnsi" w:hAnsiTheme="majorHAnsi"/>
                                <w:color w:val="595959" w:themeColor="text1" w:themeTint="A6"/>
                                <w:sz w:val="18"/>
                                <w:szCs w:val="18"/>
                                <w:lang w:val="es-ES_tradnl"/>
                              </w:rPr>
                              <w:t>Kurt</w:t>
                            </w:r>
                            <w:proofErr w:type="spellEnd"/>
                            <w:r w:rsidR="007F652D">
                              <w:rPr>
                                <w:rFonts w:asciiTheme="majorHAnsi" w:hAnsiTheme="majorHAnsi"/>
                                <w:color w:val="595959" w:themeColor="text1" w:themeTint="A6"/>
                                <w:sz w:val="18"/>
                                <w:szCs w:val="18"/>
                                <w:lang w:val="es-ES_tradnl"/>
                              </w:rPr>
                              <w:t xml:space="preserve"> Heinz </w:t>
                            </w:r>
                            <w:proofErr w:type="spellStart"/>
                            <w:r w:rsidR="007F652D">
                              <w:rPr>
                                <w:rFonts w:asciiTheme="majorHAnsi" w:hAnsiTheme="majorHAnsi"/>
                                <w:color w:val="595959" w:themeColor="text1" w:themeTint="A6"/>
                                <w:sz w:val="18"/>
                                <w:szCs w:val="18"/>
                                <w:lang w:val="es-ES_tradnl"/>
                              </w:rPr>
                              <w:t>Arens</w:t>
                            </w:r>
                            <w:proofErr w:type="spellEnd"/>
                            <w:r w:rsidR="007F652D">
                              <w:rPr>
                                <w:rFonts w:asciiTheme="majorHAnsi" w:hAnsiTheme="majorHAnsi"/>
                                <w:color w:val="595959" w:themeColor="text1" w:themeTint="A6"/>
                                <w:sz w:val="18"/>
                                <w:szCs w:val="18"/>
                                <w:lang w:val="es-ES_tradnl"/>
                              </w:rPr>
                              <w:t xml:space="preserve"> </w:t>
                            </w:r>
                            <w:proofErr w:type="spellStart"/>
                            <w:r w:rsidR="007F652D">
                              <w:rPr>
                                <w:rFonts w:asciiTheme="majorHAnsi" w:hAnsiTheme="majorHAnsi"/>
                                <w:color w:val="595959" w:themeColor="text1" w:themeTint="A6"/>
                                <w:sz w:val="18"/>
                                <w:szCs w:val="18"/>
                                <w:lang w:val="es-ES_tradnl"/>
                              </w:rPr>
                              <w:t>Ostendorf</w:t>
                            </w:r>
                            <w:proofErr w:type="spellEnd"/>
                            <w:r w:rsidR="00E049FA">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E049FA">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37626">
                              <w:rPr>
                                <w:rFonts w:asciiTheme="majorHAnsi" w:hAnsiTheme="majorHAnsi"/>
                                <w:color w:val="595959" w:themeColor="text1" w:themeTint="A6"/>
                                <w:sz w:val="18"/>
                                <w:szCs w:val="18"/>
                              </w:rPr>
                              <w:t>13 de octubre de 2020</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65D6">
                        <w:rPr>
                          <w:rFonts w:asciiTheme="majorHAnsi" w:hAnsiTheme="majorHAnsi"/>
                          <w:color w:val="595959" w:themeColor="text1" w:themeTint="A6"/>
                          <w:sz w:val="18"/>
                          <w:szCs w:val="18"/>
                          <w:lang w:val="pt-BR"/>
                        </w:rPr>
                        <w:t>308</w:t>
                      </w:r>
                      <w:r w:rsidR="007B05C4" w:rsidRPr="00237626">
                        <w:rPr>
                          <w:rFonts w:asciiTheme="majorHAnsi" w:hAnsiTheme="majorHAnsi"/>
                          <w:color w:val="595959" w:themeColor="text1" w:themeTint="A6"/>
                          <w:sz w:val="18"/>
                          <w:szCs w:val="18"/>
                          <w:lang w:val="pt-BR"/>
                        </w:rPr>
                        <w:t>/</w:t>
                      </w:r>
                      <w:r w:rsidR="00237626" w:rsidRPr="00237626">
                        <w:rPr>
                          <w:rFonts w:asciiTheme="majorHAnsi" w:hAnsiTheme="majorHAnsi"/>
                          <w:color w:val="595959" w:themeColor="text1" w:themeTint="A6"/>
                          <w:sz w:val="18"/>
                          <w:szCs w:val="18"/>
                          <w:lang w:val="pt-BR"/>
                        </w:rPr>
                        <w:t>20</w:t>
                      </w:r>
                      <w:r w:rsidRPr="0023762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E049FA">
                        <w:rPr>
                          <w:rFonts w:asciiTheme="majorHAnsi" w:hAnsiTheme="majorHAnsi"/>
                          <w:color w:val="595959" w:themeColor="text1" w:themeTint="A6"/>
                          <w:sz w:val="18"/>
                          <w:szCs w:val="18"/>
                        </w:rPr>
                        <w:t>512</w:t>
                      </w:r>
                      <w:r w:rsidR="000433C9">
                        <w:rPr>
                          <w:rFonts w:asciiTheme="majorHAnsi" w:hAnsiTheme="majorHAnsi"/>
                          <w:color w:val="595959" w:themeColor="text1" w:themeTint="A6"/>
                          <w:sz w:val="18"/>
                          <w:szCs w:val="18"/>
                        </w:rPr>
                        <w:t>-</w:t>
                      </w:r>
                      <w:r w:rsidR="00E049FA">
                        <w:rPr>
                          <w:rFonts w:asciiTheme="majorHAnsi" w:hAnsiTheme="majorHAnsi"/>
                          <w:color w:val="595959" w:themeColor="text1" w:themeTint="A6"/>
                          <w:sz w:val="18"/>
                          <w:szCs w:val="18"/>
                        </w:rPr>
                        <w:t>15</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7F652D">
                        <w:rPr>
                          <w:rFonts w:asciiTheme="majorHAnsi" w:hAnsiTheme="majorHAnsi"/>
                          <w:color w:val="595959" w:themeColor="text1" w:themeTint="A6"/>
                          <w:sz w:val="18"/>
                          <w:szCs w:val="18"/>
                          <w:lang w:val="es-ES_tradnl"/>
                        </w:rPr>
                        <w:t>Kurt</w:t>
                      </w:r>
                      <w:proofErr w:type="spellEnd"/>
                      <w:r w:rsidR="007F652D">
                        <w:rPr>
                          <w:rFonts w:asciiTheme="majorHAnsi" w:hAnsiTheme="majorHAnsi"/>
                          <w:color w:val="595959" w:themeColor="text1" w:themeTint="A6"/>
                          <w:sz w:val="18"/>
                          <w:szCs w:val="18"/>
                          <w:lang w:val="es-ES_tradnl"/>
                        </w:rPr>
                        <w:t xml:space="preserve"> Heinz </w:t>
                      </w:r>
                      <w:proofErr w:type="spellStart"/>
                      <w:r w:rsidR="007F652D">
                        <w:rPr>
                          <w:rFonts w:asciiTheme="majorHAnsi" w:hAnsiTheme="majorHAnsi"/>
                          <w:color w:val="595959" w:themeColor="text1" w:themeTint="A6"/>
                          <w:sz w:val="18"/>
                          <w:szCs w:val="18"/>
                          <w:lang w:val="es-ES_tradnl"/>
                        </w:rPr>
                        <w:t>Arens</w:t>
                      </w:r>
                      <w:proofErr w:type="spellEnd"/>
                      <w:r w:rsidR="007F652D">
                        <w:rPr>
                          <w:rFonts w:asciiTheme="majorHAnsi" w:hAnsiTheme="majorHAnsi"/>
                          <w:color w:val="595959" w:themeColor="text1" w:themeTint="A6"/>
                          <w:sz w:val="18"/>
                          <w:szCs w:val="18"/>
                          <w:lang w:val="es-ES_tradnl"/>
                        </w:rPr>
                        <w:t xml:space="preserve"> </w:t>
                      </w:r>
                      <w:proofErr w:type="spellStart"/>
                      <w:r w:rsidR="007F652D">
                        <w:rPr>
                          <w:rFonts w:asciiTheme="majorHAnsi" w:hAnsiTheme="majorHAnsi"/>
                          <w:color w:val="595959" w:themeColor="text1" w:themeTint="A6"/>
                          <w:sz w:val="18"/>
                          <w:szCs w:val="18"/>
                          <w:lang w:val="es-ES_tradnl"/>
                        </w:rPr>
                        <w:t>Ostendorf</w:t>
                      </w:r>
                      <w:proofErr w:type="spellEnd"/>
                      <w:r w:rsidR="00E049FA">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E049FA">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37626">
                        <w:rPr>
                          <w:rFonts w:asciiTheme="majorHAnsi" w:hAnsiTheme="majorHAnsi"/>
                          <w:color w:val="595959" w:themeColor="text1" w:themeTint="A6"/>
                          <w:sz w:val="18"/>
                          <w:szCs w:val="18"/>
                        </w:rPr>
                        <w:t>13 de octubre de 2020</w:t>
                      </w:r>
                      <w:r w:rsidRPr="007B05C4">
                        <w:rPr>
                          <w:rFonts w:asciiTheme="majorHAnsi" w:hAnsiTheme="majorHAnsi"/>
                          <w:color w:val="595959" w:themeColor="text1" w:themeTint="A6"/>
                          <w:sz w:val="18"/>
                          <w:szCs w:val="18"/>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C60DA2" w:rsidP="00F02AD1">
                            <w:pPr>
                              <w:rPr>
                                <w:color w:val="FFFFFF" w:themeColor="background1"/>
                                <w14:textFill>
                                  <w14:noFill/>
                                </w14:textFill>
                              </w:rPr>
                            </w:pPr>
                            <w:r>
                              <w:rPr>
                                <w:noProof/>
                                <w:color w:val="FFFFFF" w:themeColor="background1"/>
                                <w:lang w:val="en-US"/>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C60DA2" w:rsidP="00F02AD1">
                      <w:pPr>
                        <w:rPr>
                          <w:color w:val="FFFFFF" w:themeColor="background1"/>
                          <w14:textFill>
                            <w14:noFill/>
                          </w14:textFill>
                        </w:rPr>
                      </w:pPr>
                      <w:r>
                        <w:rPr>
                          <w:noProof/>
                          <w:color w:val="FFFFFF" w:themeColor="background1"/>
                          <w:lang w:val="en-US"/>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E70DA"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rsidR="003239B8" w:rsidRPr="00BC43FA" w:rsidRDefault="00BC43FA" w:rsidP="008D2290">
            <w:pPr>
              <w:jc w:val="both"/>
              <w:rPr>
                <w:rFonts w:ascii="Cambria" w:hAnsi="Cambria"/>
                <w:bCs/>
                <w:sz w:val="20"/>
                <w:szCs w:val="20"/>
              </w:rPr>
            </w:pPr>
            <w:r>
              <w:rPr>
                <w:rFonts w:ascii="Cambria" w:hAnsi="Cambria"/>
                <w:bCs/>
                <w:sz w:val="20"/>
                <w:szCs w:val="20"/>
              </w:rPr>
              <w:t xml:space="preserve">Luz </w:t>
            </w:r>
            <w:r w:rsidRPr="00BC43FA">
              <w:rPr>
                <w:rFonts w:ascii="Cambria" w:hAnsi="Cambria"/>
                <w:bCs/>
                <w:sz w:val="20"/>
                <w:szCs w:val="20"/>
              </w:rPr>
              <w:t xml:space="preserve">Cecilia </w:t>
            </w:r>
            <w:proofErr w:type="spellStart"/>
            <w:r w:rsidRPr="00BC43FA">
              <w:rPr>
                <w:rFonts w:ascii="Cambria" w:hAnsi="Cambria"/>
                <w:bCs/>
                <w:sz w:val="20"/>
                <w:szCs w:val="20"/>
              </w:rPr>
              <w:t>Catacora</w:t>
            </w:r>
            <w:proofErr w:type="spellEnd"/>
            <w:r>
              <w:rPr>
                <w:rFonts w:ascii="Cambria" w:hAnsi="Cambria"/>
                <w:bCs/>
                <w:sz w:val="20"/>
                <w:szCs w:val="20"/>
              </w:rPr>
              <w:t xml:space="preserve"> Torres</w:t>
            </w:r>
            <w:r w:rsidRPr="00BC43FA">
              <w:rPr>
                <w:rFonts w:ascii="Cambria" w:hAnsi="Cambria"/>
                <w:bCs/>
                <w:sz w:val="20"/>
                <w:szCs w:val="20"/>
              </w:rPr>
              <w:t>, José Antonio Olaechea Álvarez Calderón</w:t>
            </w:r>
            <w:r>
              <w:rPr>
                <w:rFonts w:ascii="Cambria" w:hAnsi="Cambria"/>
                <w:bCs/>
                <w:sz w:val="20"/>
                <w:szCs w:val="20"/>
              </w:rPr>
              <w:t xml:space="preserve"> y </w:t>
            </w:r>
            <w:r w:rsidRPr="00BC43FA">
              <w:rPr>
                <w:rFonts w:ascii="Cambria" w:hAnsi="Cambria"/>
                <w:bCs/>
                <w:sz w:val="20"/>
                <w:szCs w:val="20"/>
              </w:rPr>
              <w:t>Manuel Augusto Villa-García Noriega</w:t>
            </w:r>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0D05CB" w:rsidRDefault="00C256F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BC43FA" w:rsidRDefault="00797315" w:rsidP="008D2290">
            <w:pPr>
              <w:jc w:val="both"/>
              <w:rPr>
                <w:rFonts w:ascii="Cambria" w:hAnsi="Cambria"/>
                <w:bCs/>
                <w:sz w:val="20"/>
                <w:szCs w:val="20"/>
              </w:rPr>
            </w:pPr>
            <w:proofErr w:type="spellStart"/>
            <w:r>
              <w:rPr>
                <w:rFonts w:ascii="Cambria" w:hAnsi="Cambria"/>
                <w:bCs/>
                <w:sz w:val="20"/>
                <w:szCs w:val="20"/>
              </w:rPr>
              <w:t>Kurt</w:t>
            </w:r>
            <w:proofErr w:type="spellEnd"/>
            <w:r>
              <w:rPr>
                <w:rFonts w:ascii="Cambria" w:hAnsi="Cambria"/>
                <w:bCs/>
                <w:sz w:val="20"/>
                <w:szCs w:val="20"/>
              </w:rPr>
              <w:t xml:space="preserve"> Heinz </w:t>
            </w:r>
            <w:proofErr w:type="spellStart"/>
            <w:r>
              <w:rPr>
                <w:rFonts w:ascii="Cambria" w:hAnsi="Cambria"/>
                <w:bCs/>
                <w:sz w:val="20"/>
                <w:szCs w:val="20"/>
              </w:rPr>
              <w:t>Arens</w:t>
            </w:r>
            <w:proofErr w:type="spellEnd"/>
            <w:r>
              <w:rPr>
                <w:rFonts w:ascii="Cambria" w:hAnsi="Cambria"/>
                <w:bCs/>
                <w:sz w:val="20"/>
                <w:szCs w:val="20"/>
              </w:rPr>
              <w:t xml:space="preserve"> </w:t>
            </w:r>
            <w:proofErr w:type="spellStart"/>
            <w:r>
              <w:rPr>
                <w:rFonts w:ascii="Cambria" w:hAnsi="Cambria"/>
                <w:bCs/>
                <w:sz w:val="20"/>
                <w:szCs w:val="20"/>
              </w:rPr>
              <w:t>Ostendorf</w:t>
            </w:r>
            <w:proofErr w:type="spellEnd"/>
            <w:r>
              <w:rPr>
                <w:rFonts w:ascii="Cambria" w:hAnsi="Cambria"/>
                <w:bCs/>
                <w:sz w:val="20"/>
                <w:szCs w:val="20"/>
              </w:rPr>
              <w:t xml:space="preserve"> y o</w:t>
            </w:r>
            <w:r w:rsidR="00BC43FA" w:rsidRPr="00BC43FA">
              <w:rPr>
                <w:rFonts w:ascii="Cambria" w:hAnsi="Cambria"/>
                <w:bCs/>
                <w:sz w:val="20"/>
                <w:szCs w:val="20"/>
              </w:rPr>
              <w:t>tros</w:t>
            </w:r>
            <w:r w:rsidR="001C7CD2">
              <w:rPr>
                <w:rStyle w:val="FootnoteReference"/>
                <w:rFonts w:ascii="Cambria" w:hAnsi="Cambria"/>
                <w:bCs/>
                <w:sz w:val="20"/>
                <w:szCs w:val="20"/>
              </w:rPr>
              <w:footnoteReference w:id="2"/>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rsidR="003239B8" w:rsidRPr="000D05CB" w:rsidRDefault="00BC43FA" w:rsidP="008D229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3"/>
            </w:r>
          </w:p>
        </w:tc>
      </w:tr>
      <w:tr w:rsidR="0026343F" w:rsidRPr="002E70DA" w:rsidTr="004A6A54">
        <w:tc>
          <w:tcPr>
            <w:tcW w:w="3600" w:type="dxa"/>
            <w:tcBorders>
              <w:top w:val="single" w:sz="6" w:space="0" w:color="auto"/>
              <w:bottom w:val="single" w:sz="6" w:space="0" w:color="auto"/>
            </w:tcBorders>
            <w:shd w:val="clear" w:color="auto" w:fill="386294"/>
            <w:vAlign w:val="center"/>
          </w:tcPr>
          <w:p w:rsidR="0026343F" w:rsidRPr="000D05CB" w:rsidRDefault="0026343F" w:rsidP="0026343F">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rsidR="0026343F" w:rsidRPr="0026343F" w:rsidRDefault="0026343F" w:rsidP="0026343F">
            <w:pPr>
              <w:jc w:val="both"/>
              <w:rPr>
                <w:rFonts w:ascii="Cambria" w:hAnsi="Cambria"/>
                <w:bCs/>
                <w:sz w:val="20"/>
                <w:szCs w:val="20"/>
              </w:rPr>
            </w:pPr>
            <w:r w:rsidRPr="00D90C0E">
              <w:rPr>
                <w:rFonts w:ascii="Cambria" w:hAnsi="Cambria"/>
                <w:sz w:val="20"/>
                <w:szCs w:val="20"/>
              </w:rPr>
              <w:t xml:space="preserve">Artículos </w:t>
            </w:r>
            <w:r>
              <w:rPr>
                <w:rFonts w:ascii="Cambria" w:hAnsi="Cambria"/>
                <w:sz w:val="20"/>
                <w:szCs w:val="20"/>
              </w:rPr>
              <w:t>8</w:t>
            </w:r>
            <w:r w:rsidRPr="00D90C0E">
              <w:rPr>
                <w:rFonts w:ascii="Cambria" w:hAnsi="Cambria"/>
                <w:sz w:val="20"/>
                <w:szCs w:val="20"/>
              </w:rPr>
              <w:t xml:space="preserve"> (garantías judiciales), </w:t>
            </w:r>
            <w:r>
              <w:rPr>
                <w:rFonts w:ascii="Cambria" w:hAnsi="Cambria"/>
                <w:sz w:val="20"/>
                <w:szCs w:val="20"/>
              </w:rPr>
              <w:t>21</w:t>
            </w:r>
            <w:r w:rsidRPr="00D90C0E">
              <w:rPr>
                <w:rFonts w:ascii="Cambria" w:hAnsi="Cambria"/>
                <w:sz w:val="20"/>
                <w:szCs w:val="20"/>
              </w:rPr>
              <w:t xml:space="preserve"> (</w:t>
            </w:r>
            <w:r>
              <w:rPr>
                <w:rFonts w:ascii="Cambria" w:hAnsi="Cambria"/>
                <w:sz w:val="20"/>
                <w:szCs w:val="20"/>
              </w:rPr>
              <w:t>propiedad</w:t>
            </w:r>
            <w:r w:rsidRPr="00D90C0E">
              <w:rPr>
                <w:rFonts w:ascii="Cambria" w:hAnsi="Cambria"/>
                <w:sz w:val="20"/>
                <w:szCs w:val="20"/>
              </w:rPr>
              <w:t xml:space="preserve">), </w:t>
            </w:r>
            <w:r>
              <w:rPr>
                <w:rFonts w:ascii="Cambria" w:hAnsi="Cambria"/>
                <w:sz w:val="20"/>
                <w:szCs w:val="20"/>
              </w:rPr>
              <w:t>24 (igualdad ante la ley)</w:t>
            </w:r>
            <w:r w:rsidRPr="00D90C0E">
              <w:rPr>
                <w:rFonts w:ascii="Cambria" w:hAnsi="Cambria"/>
                <w:sz w:val="20"/>
                <w:szCs w:val="20"/>
              </w:rPr>
              <w:t xml:space="preserve"> y 25 (protección judicial) de la Convención Americana sobre Derechos Human</w:t>
            </w:r>
            <w:r w:rsidR="00A05B44">
              <w:rPr>
                <w:rFonts w:ascii="Cambria" w:hAnsi="Cambria"/>
                <w:sz w:val="20"/>
                <w:szCs w:val="20"/>
              </w:rPr>
              <w:t>os</w:t>
            </w:r>
            <w:r w:rsidRPr="00D90C0E">
              <w:rPr>
                <w:rStyle w:val="FootnoteReference"/>
                <w:rFonts w:ascii="Cambria" w:hAnsi="Cambria"/>
                <w:sz w:val="20"/>
                <w:szCs w:val="20"/>
              </w:rPr>
              <w:footnoteReference w:id="4"/>
            </w:r>
            <w:r w:rsidRPr="00D90C0E">
              <w:rPr>
                <w:rFonts w:ascii="Cambria" w:hAnsi="Cambria"/>
                <w:sz w:val="20"/>
                <w:szCs w:val="20"/>
              </w:rPr>
              <w:t>, en relación con su</w:t>
            </w:r>
            <w:r w:rsidR="00783B97">
              <w:rPr>
                <w:rFonts w:ascii="Cambria" w:hAnsi="Cambria"/>
                <w:sz w:val="20"/>
                <w:szCs w:val="20"/>
              </w:rPr>
              <w:t>s</w:t>
            </w:r>
            <w:r w:rsidRPr="00D90C0E">
              <w:rPr>
                <w:rFonts w:ascii="Cambria" w:hAnsi="Cambria"/>
                <w:sz w:val="20"/>
                <w:szCs w:val="20"/>
              </w:rPr>
              <w:t xml:space="preserve"> artículo</w:t>
            </w:r>
            <w:r w:rsidR="00783B97">
              <w:rPr>
                <w:rFonts w:ascii="Cambria" w:hAnsi="Cambria"/>
                <w:sz w:val="20"/>
                <w:szCs w:val="20"/>
              </w:rPr>
              <w:t>s</w:t>
            </w:r>
            <w:r w:rsidRPr="00D90C0E">
              <w:rPr>
                <w:rFonts w:ascii="Cambria" w:hAnsi="Cambria"/>
                <w:sz w:val="20"/>
                <w:szCs w:val="20"/>
              </w:rPr>
              <w:t xml:space="preserve"> 1.1 (obligación de respetar los derechos)</w:t>
            </w:r>
            <w:r>
              <w:rPr>
                <w:rFonts w:ascii="Cambria" w:hAnsi="Cambria"/>
                <w:sz w:val="20"/>
                <w:szCs w:val="20"/>
              </w:rPr>
              <w:t xml:space="preserve"> y 2 (</w:t>
            </w:r>
            <w:r w:rsidR="004759D4">
              <w:rPr>
                <w:rFonts w:ascii="Cambria" w:hAnsi="Cambria"/>
                <w:sz w:val="20"/>
                <w:szCs w:val="20"/>
              </w:rPr>
              <w:t>obligación de adoptar disposiciones de derecho interno)</w:t>
            </w:r>
          </w:p>
        </w:tc>
      </w:tr>
    </w:tbl>
    <w:p w:rsidR="003239B8" w:rsidRPr="00E4118C"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rsidR="004C2312" w:rsidRPr="003239B8" w:rsidRDefault="006B69C3" w:rsidP="002625EA">
            <w:pPr>
              <w:jc w:val="both"/>
              <w:rPr>
                <w:rFonts w:ascii="Cambria" w:hAnsi="Cambria"/>
                <w:bCs/>
                <w:sz w:val="20"/>
                <w:szCs w:val="20"/>
              </w:rPr>
            </w:pPr>
            <w:r>
              <w:rPr>
                <w:rFonts w:ascii="Cambria" w:hAnsi="Cambria"/>
                <w:bCs/>
                <w:sz w:val="20"/>
                <w:szCs w:val="20"/>
              </w:rPr>
              <w:t>1 de junio de 2015</w:t>
            </w:r>
          </w:p>
        </w:tc>
      </w:tr>
      <w:tr w:rsidR="00131425" w:rsidRPr="002E70DA"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Información adicional recibida durante la etapa de estudio:</w:t>
            </w:r>
          </w:p>
        </w:tc>
        <w:tc>
          <w:tcPr>
            <w:tcW w:w="5760" w:type="dxa"/>
            <w:vAlign w:val="center"/>
          </w:tcPr>
          <w:p w:rsidR="00131425" w:rsidRPr="003239B8" w:rsidRDefault="006B69C3" w:rsidP="002625EA">
            <w:pPr>
              <w:jc w:val="both"/>
              <w:rPr>
                <w:rFonts w:ascii="Cambria" w:hAnsi="Cambria"/>
                <w:bCs/>
                <w:sz w:val="20"/>
                <w:szCs w:val="20"/>
              </w:rPr>
            </w:pPr>
            <w:r>
              <w:rPr>
                <w:rFonts w:ascii="Cambria" w:hAnsi="Cambria"/>
                <w:bCs/>
                <w:sz w:val="20"/>
                <w:szCs w:val="20"/>
              </w:rPr>
              <w:t>25 de agosto de 2015; 5 de octubre de 2015; 9 de noviembre de 2015; 9 de noviembre de 2015</w:t>
            </w:r>
            <w:r w:rsidR="000B1169">
              <w:rPr>
                <w:rFonts w:ascii="Cambria" w:hAnsi="Cambria"/>
                <w:bCs/>
                <w:sz w:val="20"/>
                <w:szCs w:val="20"/>
              </w:rPr>
              <w:t xml:space="preserve"> y</w:t>
            </w:r>
            <w:r>
              <w:rPr>
                <w:rFonts w:ascii="Cambria" w:hAnsi="Cambria"/>
                <w:bCs/>
                <w:sz w:val="20"/>
                <w:szCs w:val="20"/>
              </w:rPr>
              <w:t xml:space="preserve"> 26 de mayo de 2016</w:t>
            </w:r>
          </w:p>
        </w:tc>
      </w:tr>
      <w:tr w:rsidR="004C2312" w:rsidRPr="00BC43FA"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rsidR="004C2312" w:rsidRPr="003239B8" w:rsidRDefault="000B1169" w:rsidP="008D2290">
            <w:pPr>
              <w:jc w:val="both"/>
              <w:rPr>
                <w:rFonts w:ascii="Cambria" w:hAnsi="Cambria"/>
                <w:bCs/>
                <w:sz w:val="20"/>
                <w:szCs w:val="20"/>
              </w:rPr>
            </w:pPr>
            <w:r>
              <w:rPr>
                <w:rFonts w:ascii="Cambria" w:hAnsi="Cambria"/>
                <w:bCs/>
                <w:sz w:val="20"/>
                <w:szCs w:val="20"/>
              </w:rPr>
              <w:t>11 de diciembre de 2018</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760" w:type="dxa"/>
            <w:vAlign w:val="center"/>
          </w:tcPr>
          <w:p w:rsidR="004C2312" w:rsidRPr="003239B8" w:rsidRDefault="006B0227" w:rsidP="008D2290">
            <w:pPr>
              <w:jc w:val="both"/>
              <w:rPr>
                <w:rFonts w:ascii="Cambria" w:hAnsi="Cambria"/>
                <w:bCs/>
                <w:sz w:val="20"/>
                <w:szCs w:val="20"/>
              </w:rPr>
            </w:pPr>
            <w:r>
              <w:rPr>
                <w:rFonts w:ascii="Cambria" w:hAnsi="Cambria"/>
                <w:bCs/>
                <w:sz w:val="20"/>
                <w:szCs w:val="20"/>
              </w:rPr>
              <w:t>14 de febrero de 2020</w:t>
            </w:r>
          </w:p>
        </w:tc>
      </w:tr>
      <w:tr w:rsidR="004C2312" w:rsidRPr="00BC43FA"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rsidR="004C2312" w:rsidRPr="003239B8" w:rsidRDefault="006B0227" w:rsidP="008D2290">
            <w:pPr>
              <w:jc w:val="both"/>
              <w:rPr>
                <w:rFonts w:ascii="Cambria" w:hAnsi="Cambria"/>
                <w:bCs/>
                <w:sz w:val="20"/>
                <w:szCs w:val="20"/>
              </w:rPr>
            </w:pPr>
            <w:r>
              <w:rPr>
                <w:rFonts w:ascii="Cambria" w:hAnsi="Cambria"/>
                <w:bCs/>
                <w:sz w:val="20"/>
                <w:szCs w:val="20"/>
              </w:rPr>
              <w:t>30 de junio de 2020</w:t>
            </w:r>
          </w:p>
        </w:tc>
      </w:tr>
    </w:tbl>
    <w:p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personae</w:t>
            </w:r>
            <w:proofErr w:type="spellEnd"/>
            <w:r w:rsidRPr="00B3745F">
              <w:rPr>
                <w:rFonts w:ascii="Cambria" w:hAnsi="Cambria"/>
                <w:b/>
                <w:bCs/>
                <w:i/>
                <w:color w:val="FFFFFF" w:themeColor="background1"/>
                <w:sz w:val="20"/>
                <w:szCs w:val="20"/>
              </w:rPr>
              <w:t>:</w:t>
            </w:r>
          </w:p>
        </w:tc>
        <w:tc>
          <w:tcPr>
            <w:tcW w:w="5760" w:type="dxa"/>
            <w:vAlign w:val="center"/>
          </w:tcPr>
          <w:p w:rsidR="003239B8" w:rsidRPr="00B3745F" w:rsidRDefault="006B0227"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loci</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6B0227"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6B0227" w:rsidP="008D2290">
            <w:pPr>
              <w:rPr>
                <w:rFonts w:ascii="Cambria" w:hAnsi="Cambria"/>
                <w:bCs/>
                <w:sz w:val="20"/>
                <w:szCs w:val="20"/>
              </w:rPr>
            </w:pPr>
            <w:r>
              <w:rPr>
                <w:rFonts w:ascii="Cambria" w:hAnsi="Cambria"/>
                <w:bCs/>
                <w:sz w:val="20"/>
                <w:szCs w:val="20"/>
              </w:rPr>
              <w:t>Sí</w:t>
            </w:r>
          </w:p>
        </w:tc>
      </w:tr>
      <w:tr w:rsidR="003239B8" w:rsidRPr="002E70DA"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6B0227" w:rsidP="008D2290">
            <w:pPr>
              <w:jc w:val="both"/>
              <w:rPr>
                <w:rFonts w:ascii="Cambria" w:hAnsi="Cambria"/>
                <w:bCs/>
                <w:sz w:val="20"/>
                <w:szCs w:val="20"/>
              </w:rPr>
            </w:pPr>
            <w:r>
              <w:rPr>
                <w:rFonts w:ascii="Cambria" w:hAnsi="Cambria"/>
                <w:bCs/>
                <w:sz w:val="20"/>
                <w:szCs w:val="20"/>
              </w:rPr>
              <w:t xml:space="preserve">Sí, </w:t>
            </w:r>
            <w:r w:rsidRPr="00F13576">
              <w:rPr>
                <w:rFonts w:ascii="Cambria" w:hAnsi="Cambria"/>
                <w:bCs/>
                <w:sz w:val="20"/>
                <w:szCs w:val="20"/>
              </w:rPr>
              <w:t xml:space="preserve">Convención Americana (depósito del instrumento de ratificación realizado el </w:t>
            </w:r>
            <w:r>
              <w:rPr>
                <w:rFonts w:ascii="Cambria" w:hAnsi="Cambria"/>
                <w:bCs/>
                <w:sz w:val="20"/>
                <w:szCs w:val="20"/>
              </w:rPr>
              <w:t>28</w:t>
            </w:r>
            <w:r w:rsidRPr="00F13576">
              <w:rPr>
                <w:rFonts w:ascii="Cambria" w:hAnsi="Cambria"/>
                <w:bCs/>
                <w:sz w:val="20"/>
                <w:szCs w:val="20"/>
              </w:rPr>
              <w:t xml:space="preserve"> de julio de 197</w:t>
            </w:r>
            <w:r>
              <w:rPr>
                <w:rFonts w:ascii="Cambria" w:hAnsi="Cambria"/>
                <w:bCs/>
                <w:sz w:val="20"/>
                <w:szCs w:val="20"/>
              </w:rPr>
              <w:t>8)</w:t>
            </w:r>
          </w:p>
        </w:tc>
      </w:tr>
    </w:tbl>
    <w:p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EE00E9" w:rsidRPr="003239B8">
        <w:rPr>
          <w:rFonts w:asciiTheme="majorHAnsi" w:hAnsiTheme="majorHAnsi"/>
          <w:b/>
          <w:bCs/>
          <w:sz w:val="20"/>
          <w:szCs w:val="20"/>
        </w:rPr>
        <w:t>INTERNACIONAL</w:t>
      </w:r>
      <w:r w:rsidR="005D38F9">
        <w:rPr>
          <w:rFonts w:asciiTheme="majorHAnsi" w:hAnsiTheme="majorHAnsi"/>
          <w:b/>
          <w:bCs/>
          <w:sz w:val="20"/>
          <w:szCs w:val="20"/>
        </w:rPr>
        <w:t>,</w:t>
      </w:r>
      <w:r w:rsidRPr="003239B8">
        <w:rPr>
          <w:rFonts w:asciiTheme="majorHAnsi" w:hAnsiTheme="majorHAnsi"/>
          <w:b/>
          <w:bCs/>
          <w:sz w:val="20"/>
          <w:szCs w:val="20"/>
        </w:rPr>
        <w:t xml:space="preserve"> CARACTERIZACIÓN,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9"/>
        <w:gridCol w:w="5673"/>
      </w:tblGrid>
      <w:tr w:rsidR="00EE00E9" w:rsidRPr="00BC43FA" w:rsidTr="00A05B44">
        <w:trPr>
          <w:cantSplit/>
        </w:trPr>
        <w:tc>
          <w:tcPr>
            <w:tcW w:w="3569"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673" w:type="dxa"/>
            <w:vAlign w:val="center"/>
          </w:tcPr>
          <w:p w:rsidR="00EE00E9" w:rsidRPr="00DC24E3" w:rsidRDefault="0026343F" w:rsidP="008D2290">
            <w:pPr>
              <w:jc w:val="both"/>
              <w:rPr>
                <w:rFonts w:ascii="Cambria" w:hAnsi="Cambria"/>
                <w:bCs/>
                <w:sz w:val="20"/>
                <w:szCs w:val="20"/>
              </w:rPr>
            </w:pPr>
            <w:r>
              <w:rPr>
                <w:rFonts w:ascii="Cambria" w:hAnsi="Cambria"/>
                <w:bCs/>
                <w:sz w:val="20"/>
                <w:szCs w:val="20"/>
              </w:rPr>
              <w:t>No</w:t>
            </w:r>
          </w:p>
        </w:tc>
      </w:tr>
      <w:tr w:rsidR="00A05B44" w:rsidRPr="002021CE" w:rsidTr="00A05B44">
        <w:trPr>
          <w:cantSplit/>
        </w:trPr>
        <w:tc>
          <w:tcPr>
            <w:tcW w:w="3569" w:type="dxa"/>
            <w:tcBorders>
              <w:top w:val="single" w:sz="4" w:space="0" w:color="auto"/>
              <w:bottom w:val="single" w:sz="6" w:space="0" w:color="auto"/>
            </w:tcBorders>
            <w:shd w:val="clear" w:color="auto" w:fill="386294"/>
            <w:vAlign w:val="center"/>
          </w:tcPr>
          <w:p w:rsidR="00A05B44" w:rsidRPr="00DC24E3" w:rsidRDefault="00A05B44" w:rsidP="00A05B44">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3" w:type="dxa"/>
            <w:vAlign w:val="center"/>
          </w:tcPr>
          <w:p w:rsidR="00A05B44" w:rsidRPr="00DC24E3" w:rsidRDefault="00A05B44" w:rsidP="00A05B44">
            <w:pPr>
              <w:jc w:val="both"/>
              <w:rPr>
                <w:rFonts w:ascii="Cambria" w:hAnsi="Cambria"/>
                <w:bCs/>
                <w:sz w:val="20"/>
                <w:szCs w:val="20"/>
              </w:rPr>
            </w:pPr>
            <w:r w:rsidRPr="00D90C0E">
              <w:rPr>
                <w:rFonts w:ascii="Cambria" w:hAnsi="Cambria"/>
                <w:sz w:val="20"/>
                <w:szCs w:val="20"/>
              </w:rPr>
              <w:t xml:space="preserve">Artículos </w:t>
            </w:r>
            <w:r>
              <w:rPr>
                <w:rFonts w:ascii="Cambria" w:hAnsi="Cambria"/>
                <w:sz w:val="20"/>
                <w:szCs w:val="20"/>
              </w:rPr>
              <w:t>8</w:t>
            </w:r>
            <w:r w:rsidRPr="00D90C0E">
              <w:rPr>
                <w:rFonts w:ascii="Cambria" w:hAnsi="Cambria"/>
                <w:sz w:val="20"/>
                <w:szCs w:val="20"/>
              </w:rPr>
              <w:t xml:space="preserve"> (garantías judiciales), </w:t>
            </w:r>
            <w:r>
              <w:rPr>
                <w:rFonts w:ascii="Cambria" w:hAnsi="Cambria"/>
                <w:sz w:val="20"/>
                <w:szCs w:val="20"/>
              </w:rPr>
              <w:t>21</w:t>
            </w:r>
            <w:r w:rsidRPr="00D90C0E">
              <w:rPr>
                <w:rFonts w:ascii="Cambria" w:hAnsi="Cambria"/>
                <w:sz w:val="20"/>
                <w:szCs w:val="20"/>
              </w:rPr>
              <w:t xml:space="preserve"> (</w:t>
            </w:r>
            <w:r>
              <w:rPr>
                <w:rFonts w:ascii="Cambria" w:hAnsi="Cambria"/>
                <w:sz w:val="20"/>
                <w:szCs w:val="20"/>
              </w:rPr>
              <w:t>propiedad</w:t>
            </w:r>
            <w:r w:rsidRPr="00D90C0E">
              <w:rPr>
                <w:rFonts w:ascii="Cambria" w:hAnsi="Cambria"/>
                <w:sz w:val="20"/>
                <w:szCs w:val="20"/>
              </w:rPr>
              <w:t xml:space="preserve">), </w:t>
            </w:r>
            <w:r>
              <w:rPr>
                <w:rFonts w:ascii="Cambria" w:hAnsi="Cambria"/>
                <w:sz w:val="20"/>
                <w:szCs w:val="20"/>
              </w:rPr>
              <w:t>24 (igualdad ante la ley)</w:t>
            </w:r>
            <w:r w:rsidRPr="00D90C0E">
              <w:rPr>
                <w:rFonts w:ascii="Cambria" w:hAnsi="Cambria"/>
                <w:sz w:val="20"/>
                <w:szCs w:val="20"/>
              </w:rPr>
              <w:t xml:space="preserve"> y 25 (protección judicial) de la Convención Americana, en relación con su</w:t>
            </w:r>
            <w:r w:rsidR="00783B97">
              <w:rPr>
                <w:rFonts w:ascii="Cambria" w:hAnsi="Cambria"/>
                <w:sz w:val="20"/>
                <w:szCs w:val="20"/>
              </w:rPr>
              <w:t>s</w:t>
            </w:r>
            <w:r w:rsidRPr="00D90C0E">
              <w:rPr>
                <w:rFonts w:ascii="Cambria" w:hAnsi="Cambria"/>
                <w:sz w:val="20"/>
                <w:szCs w:val="20"/>
              </w:rPr>
              <w:t xml:space="preserve"> artículo</w:t>
            </w:r>
            <w:r w:rsidR="00783B97">
              <w:rPr>
                <w:rFonts w:ascii="Cambria" w:hAnsi="Cambria"/>
                <w:sz w:val="20"/>
                <w:szCs w:val="20"/>
              </w:rPr>
              <w:t>s</w:t>
            </w:r>
            <w:r w:rsidRPr="00D90C0E">
              <w:rPr>
                <w:rFonts w:ascii="Cambria" w:hAnsi="Cambria"/>
                <w:sz w:val="20"/>
                <w:szCs w:val="20"/>
              </w:rPr>
              <w:t xml:space="preserve"> 1.1 (obligación de respetar los derechos)</w:t>
            </w:r>
            <w:r>
              <w:rPr>
                <w:rFonts w:ascii="Cambria" w:hAnsi="Cambria"/>
                <w:sz w:val="20"/>
                <w:szCs w:val="20"/>
              </w:rPr>
              <w:t xml:space="preserve"> y 2 (obligación de adoptar disposiciones de derecho interno)</w:t>
            </w:r>
          </w:p>
        </w:tc>
      </w:tr>
      <w:tr w:rsidR="00A05B44" w:rsidRPr="002E70DA" w:rsidTr="00A05B44">
        <w:trPr>
          <w:cantSplit/>
        </w:trPr>
        <w:tc>
          <w:tcPr>
            <w:tcW w:w="3569" w:type="dxa"/>
            <w:tcBorders>
              <w:top w:val="single" w:sz="6" w:space="0" w:color="auto"/>
              <w:bottom w:val="single" w:sz="6" w:space="0" w:color="auto"/>
            </w:tcBorders>
            <w:shd w:val="clear" w:color="auto" w:fill="386294"/>
            <w:vAlign w:val="center"/>
          </w:tcPr>
          <w:p w:rsidR="00A05B44" w:rsidRPr="00DC24E3" w:rsidRDefault="00A05B44" w:rsidP="00A05B44">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 o procedencia de una excepción:</w:t>
            </w:r>
          </w:p>
        </w:tc>
        <w:tc>
          <w:tcPr>
            <w:tcW w:w="5673" w:type="dxa"/>
            <w:vAlign w:val="center"/>
          </w:tcPr>
          <w:p w:rsidR="00A05B44" w:rsidRPr="00DC24E3" w:rsidRDefault="00A05B44" w:rsidP="00A05B44">
            <w:pPr>
              <w:rPr>
                <w:rFonts w:ascii="Cambria" w:hAnsi="Cambria"/>
                <w:bCs/>
                <w:sz w:val="20"/>
                <w:szCs w:val="20"/>
              </w:rPr>
            </w:pPr>
            <w:r>
              <w:rPr>
                <w:rFonts w:ascii="Cambria" w:hAnsi="Cambria"/>
                <w:bCs/>
                <w:sz w:val="20"/>
                <w:szCs w:val="20"/>
              </w:rPr>
              <w:t>Sí, e</w:t>
            </w:r>
            <w:r w:rsidR="00506B49">
              <w:rPr>
                <w:rFonts w:ascii="Cambria" w:hAnsi="Cambria"/>
                <w:bCs/>
                <w:sz w:val="20"/>
                <w:szCs w:val="20"/>
              </w:rPr>
              <w:t>n los términos de la sección VI</w:t>
            </w:r>
          </w:p>
        </w:tc>
      </w:tr>
      <w:tr w:rsidR="00A05B44" w:rsidRPr="00B2155F" w:rsidTr="00A05B44">
        <w:trPr>
          <w:cantSplit/>
        </w:trPr>
        <w:tc>
          <w:tcPr>
            <w:tcW w:w="3569" w:type="dxa"/>
            <w:tcBorders>
              <w:top w:val="single" w:sz="6" w:space="0" w:color="auto"/>
              <w:bottom w:val="single" w:sz="6" w:space="0" w:color="auto"/>
            </w:tcBorders>
            <w:shd w:val="clear" w:color="auto" w:fill="386294"/>
            <w:vAlign w:val="center"/>
          </w:tcPr>
          <w:p w:rsidR="00A05B44" w:rsidRPr="00DC24E3" w:rsidRDefault="00A05B44" w:rsidP="00A05B44">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3" w:type="dxa"/>
            <w:vAlign w:val="center"/>
          </w:tcPr>
          <w:p w:rsidR="00A05B44" w:rsidRPr="00DC24E3" w:rsidRDefault="00A05B44" w:rsidP="00A05B44">
            <w:pPr>
              <w:rPr>
                <w:rFonts w:ascii="Cambria" w:hAnsi="Cambria"/>
                <w:bCs/>
                <w:sz w:val="20"/>
                <w:szCs w:val="20"/>
              </w:rPr>
            </w:pPr>
            <w:r>
              <w:rPr>
                <w:rFonts w:ascii="Cambria" w:hAnsi="Cambria"/>
                <w:bCs/>
                <w:sz w:val="20"/>
                <w:szCs w:val="20"/>
              </w:rPr>
              <w:t>Sí, e</w:t>
            </w:r>
            <w:r w:rsidR="00506B49">
              <w:rPr>
                <w:rFonts w:ascii="Cambria" w:hAnsi="Cambria"/>
                <w:bCs/>
                <w:sz w:val="20"/>
                <w:szCs w:val="20"/>
              </w:rPr>
              <w:t>n los términos de la sección VI</w:t>
            </w:r>
          </w:p>
        </w:tc>
      </w:tr>
    </w:tbl>
    <w:p w:rsidR="00694B57" w:rsidRDefault="00694B57" w:rsidP="003239B8">
      <w:pPr>
        <w:spacing w:before="240" w:after="240"/>
        <w:ind w:firstLine="720"/>
        <w:jc w:val="both"/>
        <w:rPr>
          <w:rFonts w:asciiTheme="majorHAnsi" w:hAnsiTheme="majorHAnsi"/>
          <w:b/>
          <w:sz w:val="20"/>
          <w:szCs w:val="20"/>
          <w:lang w:val="es-UY"/>
        </w:rPr>
      </w:pPr>
    </w:p>
    <w:p w:rsidR="00694B57" w:rsidRDefault="00694B57"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111E6D" w:rsidRDefault="00D67EDD" w:rsidP="00682EE3">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Los peticionarios </w:t>
      </w:r>
      <w:r w:rsidR="00111E6D">
        <w:rPr>
          <w:rFonts w:ascii="Cambria" w:hAnsi="Cambria"/>
          <w:sz w:val="20"/>
          <w:szCs w:val="20"/>
          <w:lang w:val="es-AR"/>
        </w:rPr>
        <w:t xml:space="preserve">denuncian que el Estado violó los derechos de las presuntas víctimas </w:t>
      </w:r>
      <w:r w:rsidR="00682EE3">
        <w:rPr>
          <w:rFonts w:ascii="Cambria" w:hAnsi="Cambria"/>
          <w:sz w:val="20"/>
          <w:szCs w:val="20"/>
          <w:lang w:val="es-AR"/>
        </w:rPr>
        <w:t xml:space="preserve">al no cumplir con su obligación de pagarles en un tiempo razonable un justiprecio adecuado por las expropiaciones </w:t>
      </w:r>
      <w:r w:rsidR="00D71275">
        <w:rPr>
          <w:rFonts w:ascii="Cambria" w:hAnsi="Cambria"/>
          <w:sz w:val="20"/>
          <w:szCs w:val="20"/>
          <w:lang w:val="es-AR"/>
        </w:rPr>
        <w:t xml:space="preserve">de </w:t>
      </w:r>
      <w:r w:rsidR="00682EE3">
        <w:rPr>
          <w:rFonts w:ascii="Cambria" w:hAnsi="Cambria"/>
          <w:sz w:val="20"/>
          <w:szCs w:val="20"/>
          <w:lang w:val="es-AR"/>
        </w:rPr>
        <w:t>tierras</w:t>
      </w:r>
      <w:r w:rsidR="00D71275">
        <w:rPr>
          <w:rFonts w:ascii="Cambria" w:hAnsi="Cambria"/>
          <w:sz w:val="20"/>
          <w:szCs w:val="20"/>
          <w:lang w:val="es-AR"/>
        </w:rPr>
        <w:t xml:space="preserve"> de su propiedad o de sus familiares</w:t>
      </w:r>
      <w:r w:rsidR="00682EE3">
        <w:rPr>
          <w:rFonts w:ascii="Cambria" w:hAnsi="Cambria"/>
          <w:sz w:val="20"/>
          <w:szCs w:val="20"/>
          <w:lang w:val="es-AR"/>
        </w:rPr>
        <w:t xml:space="preserve"> realizadas durante la reforma agraria de 1969. </w:t>
      </w:r>
    </w:p>
    <w:p w:rsidR="00B47399" w:rsidRDefault="00D3418D" w:rsidP="002E70DA">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Indican</w:t>
      </w:r>
      <w:r w:rsidR="002E70DA" w:rsidRPr="00111E6D">
        <w:rPr>
          <w:rFonts w:ascii="Cambria" w:hAnsi="Cambria"/>
          <w:sz w:val="20"/>
          <w:szCs w:val="20"/>
          <w:lang w:val="es-AR"/>
        </w:rPr>
        <w:t xml:space="preserve"> que en </w:t>
      </w:r>
      <w:r w:rsidR="0037339C">
        <w:rPr>
          <w:rFonts w:ascii="Cambria" w:hAnsi="Cambria"/>
          <w:sz w:val="20"/>
          <w:szCs w:val="20"/>
          <w:lang w:val="es-AR"/>
        </w:rPr>
        <w:t>1969</w:t>
      </w:r>
      <w:r w:rsidR="00CF4AF5" w:rsidRPr="00111E6D">
        <w:rPr>
          <w:rFonts w:ascii="Cambria" w:hAnsi="Cambria"/>
          <w:sz w:val="20"/>
          <w:szCs w:val="20"/>
          <w:lang w:val="es-AR"/>
        </w:rPr>
        <w:t xml:space="preserve"> </w:t>
      </w:r>
      <w:r w:rsidR="002E70DA" w:rsidRPr="00111E6D">
        <w:rPr>
          <w:rFonts w:ascii="Cambria" w:hAnsi="Cambria"/>
          <w:sz w:val="20"/>
          <w:szCs w:val="20"/>
          <w:lang w:val="es-AR"/>
        </w:rPr>
        <w:t xml:space="preserve">el Estado peruano </w:t>
      </w:r>
      <w:r w:rsidR="00CF4AF5" w:rsidRPr="00111E6D">
        <w:rPr>
          <w:rFonts w:ascii="Cambria" w:hAnsi="Cambria"/>
          <w:sz w:val="20"/>
          <w:szCs w:val="20"/>
          <w:lang w:val="es-AR"/>
        </w:rPr>
        <w:t xml:space="preserve">promulgó el Decreto Ley </w:t>
      </w:r>
      <w:r w:rsidR="00703BA2" w:rsidRPr="00111E6D">
        <w:rPr>
          <w:rFonts w:ascii="Cambria" w:hAnsi="Cambria"/>
          <w:sz w:val="20"/>
          <w:szCs w:val="20"/>
        </w:rPr>
        <w:t>Nº</w:t>
      </w:r>
      <w:r w:rsidR="00CF4AF5" w:rsidRPr="00111E6D">
        <w:rPr>
          <w:rFonts w:ascii="Cambria" w:hAnsi="Cambria"/>
          <w:sz w:val="20"/>
          <w:szCs w:val="20"/>
          <w:lang w:val="es-AR"/>
        </w:rPr>
        <w:t xml:space="preserve"> 17716 y </w:t>
      </w:r>
      <w:r w:rsidR="002E70DA" w:rsidRPr="00111E6D">
        <w:rPr>
          <w:rFonts w:ascii="Cambria" w:hAnsi="Cambria"/>
          <w:sz w:val="20"/>
          <w:szCs w:val="20"/>
          <w:lang w:val="es-AR"/>
        </w:rPr>
        <w:t xml:space="preserve">ejecutó una </w:t>
      </w:r>
      <w:r w:rsidR="00111E6D" w:rsidRPr="00111E6D">
        <w:rPr>
          <w:rFonts w:ascii="Cambria" w:hAnsi="Cambria"/>
          <w:sz w:val="20"/>
          <w:szCs w:val="20"/>
          <w:lang w:val="es-AR"/>
        </w:rPr>
        <w:t xml:space="preserve">reforma agraria, que consistió en la </w:t>
      </w:r>
      <w:r w:rsidR="002E70DA" w:rsidRPr="00111E6D">
        <w:rPr>
          <w:rFonts w:ascii="Cambria" w:hAnsi="Cambria"/>
          <w:sz w:val="20"/>
          <w:szCs w:val="20"/>
          <w:lang w:val="es-AR"/>
        </w:rPr>
        <w:t>expropiación de millones de hect</w:t>
      </w:r>
      <w:r>
        <w:rPr>
          <w:rFonts w:ascii="Cambria" w:hAnsi="Cambria"/>
          <w:sz w:val="20"/>
          <w:szCs w:val="20"/>
          <w:lang w:val="es-AR"/>
        </w:rPr>
        <w:t>áreas agrícolas a fin de entregá</w:t>
      </w:r>
      <w:r w:rsidR="002E70DA" w:rsidRPr="00111E6D">
        <w:rPr>
          <w:rFonts w:ascii="Cambria" w:hAnsi="Cambria"/>
          <w:sz w:val="20"/>
          <w:szCs w:val="20"/>
          <w:lang w:val="es-AR"/>
        </w:rPr>
        <w:t xml:space="preserve">rselas a los campesinos del país. </w:t>
      </w:r>
      <w:r>
        <w:rPr>
          <w:rFonts w:ascii="Cambria" w:hAnsi="Cambria"/>
          <w:sz w:val="20"/>
          <w:szCs w:val="20"/>
          <w:lang w:val="es-AR"/>
        </w:rPr>
        <w:t>L</w:t>
      </w:r>
      <w:r w:rsidR="00B47399" w:rsidRPr="00111E6D">
        <w:rPr>
          <w:rFonts w:ascii="Cambria" w:hAnsi="Cambria"/>
          <w:sz w:val="20"/>
          <w:szCs w:val="20"/>
          <w:lang w:val="es-AR"/>
        </w:rPr>
        <w:t>as personas que sufrieron la reducción d</w:t>
      </w:r>
      <w:r>
        <w:rPr>
          <w:rFonts w:ascii="Cambria" w:hAnsi="Cambria"/>
          <w:sz w:val="20"/>
          <w:szCs w:val="20"/>
          <w:lang w:val="es-AR"/>
        </w:rPr>
        <w:t>e sus tierras fueron indemnizada</w:t>
      </w:r>
      <w:r w:rsidR="00B47399" w:rsidRPr="00111E6D">
        <w:rPr>
          <w:rFonts w:ascii="Cambria" w:hAnsi="Cambria"/>
          <w:sz w:val="20"/>
          <w:szCs w:val="20"/>
          <w:lang w:val="es-AR"/>
        </w:rPr>
        <w:t>s mediante tres tipos</w:t>
      </w:r>
      <w:r w:rsidR="00B47399">
        <w:rPr>
          <w:rFonts w:ascii="Cambria" w:hAnsi="Cambria"/>
          <w:sz w:val="20"/>
          <w:szCs w:val="20"/>
          <w:lang w:val="es-AR"/>
        </w:rPr>
        <w:t xml:space="preserve"> de bonos estatales (en adelante, “Bonos de la Deuda Agraria”), que serían pagados en cuotas anuales de 20, 25 y 30 años, respectivamente, con tasas</w:t>
      </w:r>
      <w:r w:rsidR="00942C08">
        <w:rPr>
          <w:rFonts w:ascii="Cambria" w:hAnsi="Cambria"/>
          <w:sz w:val="20"/>
          <w:szCs w:val="20"/>
          <w:lang w:val="es-AR"/>
        </w:rPr>
        <w:t xml:space="preserve"> interés de 4%, 5% y 6% depen</w:t>
      </w:r>
      <w:r w:rsidR="00B47399">
        <w:rPr>
          <w:rFonts w:ascii="Cambria" w:hAnsi="Cambria"/>
          <w:sz w:val="20"/>
          <w:szCs w:val="20"/>
          <w:lang w:val="es-AR"/>
        </w:rPr>
        <w:t>diendo de la clase de bono.</w:t>
      </w:r>
    </w:p>
    <w:p w:rsidR="007843C2" w:rsidRPr="00D3418D" w:rsidRDefault="00CF4AF5" w:rsidP="00D3418D">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Señalan que</w:t>
      </w:r>
      <w:r w:rsidR="00B47399">
        <w:rPr>
          <w:rFonts w:ascii="Cambria" w:hAnsi="Cambria"/>
          <w:sz w:val="20"/>
          <w:szCs w:val="20"/>
          <w:lang w:val="es-AR"/>
        </w:rPr>
        <w:t xml:space="preserve"> en la década de los ochenta</w:t>
      </w:r>
      <w:r>
        <w:rPr>
          <w:rFonts w:ascii="Cambria" w:hAnsi="Cambria"/>
          <w:sz w:val="20"/>
          <w:szCs w:val="20"/>
          <w:lang w:val="es-AR"/>
        </w:rPr>
        <w:t xml:space="preserve">, producto de </w:t>
      </w:r>
      <w:r w:rsidR="00B47399">
        <w:rPr>
          <w:rFonts w:ascii="Cambria" w:hAnsi="Cambria"/>
          <w:sz w:val="20"/>
          <w:szCs w:val="20"/>
          <w:lang w:val="es-AR"/>
        </w:rPr>
        <w:t>una aguda crisis económica</w:t>
      </w:r>
      <w:r>
        <w:rPr>
          <w:rFonts w:ascii="Cambria" w:hAnsi="Cambria"/>
          <w:sz w:val="20"/>
          <w:szCs w:val="20"/>
          <w:lang w:val="es-AR"/>
        </w:rPr>
        <w:t xml:space="preserve">, el Estado interrumpió el pago de </w:t>
      </w:r>
      <w:r w:rsidR="00D3418D">
        <w:rPr>
          <w:rFonts w:ascii="Cambria" w:hAnsi="Cambria"/>
          <w:sz w:val="20"/>
          <w:szCs w:val="20"/>
          <w:lang w:val="es-AR"/>
        </w:rPr>
        <w:t>los Bonos de la Reforma Agraria,</w:t>
      </w:r>
      <w:r>
        <w:rPr>
          <w:rFonts w:ascii="Cambria" w:hAnsi="Cambria"/>
          <w:sz w:val="20"/>
          <w:szCs w:val="20"/>
          <w:lang w:val="es-AR"/>
        </w:rPr>
        <w:t xml:space="preserve"> </w:t>
      </w:r>
      <w:r w:rsidR="000B2234" w:rsidRPr="00B47399">
        <w:rPr>
          <w:rFonts w:ascii="Cambria" w:hAnsi="Cambria"/>
          <w:sz w:val="20"/>
          <w:szCs w:val="20"/>
          <w:lang w:val="es-AR"/>
        </w:rPr>
        <w:t xml:space="preserve">recién en 1991 promulgó el Decreto Legislativo </w:t>
      </w:r>
      <w:r w:rsidR="00703BA2" w:rsidRPr="00B47399">
        <w:rPr>
          <w:rFonts w:ascii="Cambria" w:hAnsi="Cambria"/>
          <w:sz w:val="20"/>
          <w:szCs w:val="20"/>
        </w:rPr>
        <w:t>Nº</w:t>
      </w:r>
      <w:r w:rsidR="000B2234" w:rsidRPr="00B47399">
        <w:rPr>
          <w:rFonts w:ascii="Cambria" w:hAnsi="Cambria"/>
          <w:sz w:val="20"/>
          <w:szCs w:val="20"/>
          <w:lang w:val="es-AR"/>
        </w:rPr>
        <w:t xml:space="preserve"> 653, que reconoció </w:t>
      </w:r>
      <w:r w:rsidR="00B47399">
        <w:rPr>
          <w:rFonts w:ascii="Cambria" w:hAnsi="Cambria"/>
          <w:sz w:val="20"/>
          <w:szCs w:val="20"/>
          <w:lang w:val="es-AR"/>
        </w:rPr>
        <w:t xml:space="preserve">el contexto de recesión, </w:t>
      </w:r>
      <w:r w:rsidR="000B2234" w:rsidRPr="00B47399">
        <w:rPr>
          <w:rFonts w:ascii="Cambria" w:hAnsi="Cambria"/>
          <w:sz w:val="20"/>
          <w:szCs w:val="20"/>
          <w:lang w:val="es-AR"/>
        </w:rPr>
        <w:t xml:space="preserve">derogó el referido Decreto Ley </w:t>
      </w:r>
      <w:r w:rsidR="00703BA2" w:rsidRPr="00B47399">
        <w:rPr>
          <w:rFonts w:ascii="Cambria" w:hAnsi="Cambria"/>
          <w:sz w:val="20"/>
          <w:szCs w:val="20"/>
        </w:rPr>
        <w:t xml:space="preserve">Nº </w:t>
      </w:r>
      <w:r w:rsidR="000B2234" w:rsidRPr="00B47399">
        <w:rPr>
          <w:rFonts w:ascii="Cambria" w:hAnsi="Cambria"/>
          <w:sz w:val="20"/>
          <w:szCs w:val="20"/>
          <w:lang w:val="es-AR"/>
        </w:rPr>
        <w:t>17716</w:t>
      </w:r>
      <w:r w:rsidR="00B47399">
        <w:rPr>
          <w:rFonts w:ascii="Cambria" w:hAnsi="Cambria"/>
          <w:sz w:val="20"/>
          <w:szCs w:val="20"/>
          <w:lang w:val="es-AR"/>
        </w:rPr>
        <w:t xml:space="preserve"> y </w:t>
      </w:r>
      <w:r w:rsidR="000B2234" w:rsidRPr="00B47399">
        <w:rPr>
          <w:rFonts w:ascii="Cambria" w:hAnsi="Cambria"/>
          <w:sz w:val="20"/>
          <w:szCs w:val="20"/>
          <w:lang w:val="es-AR"/>
        </w:rPr>
        <w:t>estableció las reglas que</w:t>
      </w:r>
      <w:r w:rsidR="00BE0794">
        <w:rPr>
          <w:rFonts w:ascii="Cambria" w:hAnsi="Cambria"/>
          <w:sz w:val="20"/>
          <w:szCs w:val="20"/>
          <w:lang w:val="es-AR"/>
        </w:rPr>
        <w:t xml:space="preserve"> se</w:t>
      </w:r>
      <w:r w:rsidR="000B2234" w:rsidRPr="00B47399">
        <w:rPr>
          <w:rFonts w:ascii="Cambria" w:hAnsi="Cambria"/>
          <w:sz w:val="20"/>
          <w:szCs w:val="20"/>
          <w:lang w:val="es-AR"/>
        </w:rPr>
        <w:t xml:space="preserve"> </w:t>
      </w:r>
      <w:r w:rsidR="006D6EF0">
        <w:rPr>
          <w:rFonts w:ascii="Cambria" w:hAnsi="Cambria"/>
          <w:sz w:val="20"/>
          <w:szCs w:val="20"/>
          <w:lang w:val="es-AR"/>
        </w:rPr>
        <w:t>aplicarían</w:t>
      </w:r>
      <w:r w:rsidR="000B2234" w:rsidRPr="00B47399">
        <w:rPr>
          <w:rFonts w:ascii="Cambria" w:hAnsi="Cambria"/>
          <w:sz w:val="20"/>
          <w:szCs w:val="20"/>
          <w:lang w:val="es-AR"/>
        </w:rPr>
        <w:t xml:space="preserve"> para</w:t>
      </w:r>
      <w:r w:rsidR="006D6EF0">
        <w:rPr>
          <w:rFonts w:ascii="Cambria" w:hAnsi="Cambria"/>
          <w:sz w:val="20"/>
          <w:szCs w:val="20"/>
          <w:lang w:val="es-AR"/>
        </w:rPr>
        <w:t xml:space="preserve"> retomar</w:t>
      </w:r>
      <w:r w:rsidR="000B2234" w:rsidRPr="00B47399">
        <w:rPr>
          <w:rFonts w:ascii="Cambria" w:hAnsi="Cambria"/>
          <w:sz w:val="20"/>
          <w:szCs w:val="20"/>
          <w:lang w:val="es-AR"/>
        </w:rPr>
        <w:t xml:space="preserve"> la valorización y cancelación de las expropiaciones en trámite</w:t>
      </w:r>
      <w:r w:rsidR="00BE0794">
        <w:rPr>
          <w:rFonts w:ascii="Cambria" w:hAnsi="Cambria"/>
          <w:sz w:val="20"/>
          <w:szCs w:val="20"/>
          <w:lang w:val="es-AR"/>
        </w:rPr>
        <w:t xml:space="preserve">. </w:t>
      </w:r>
      <w:r w:rsidR="00D3418D">
        <w:rPr>
          <w:rFonts w:ascii="Cambria" w:hAnsi="Cambria"/>
          <w:sz w:val="20"/>
          <w:szCs w:val="20"/>
          <w:lang w:val="es-AR"/>
        </w:rPr>
        <w:t xml:space="preserve">Esta </w:t>
      </w:r>
      <w:r w:rsidR="00BE0794">
        <w:rPr>
          <w:rFonts w:ascii="Cambria" w:hAnsi="Cambria"/>
          <w:sz w:val="20"/>
          <w:szCs w:val="20"/>
          <w:lang w:val="es-AR"/>
        </w:rPr>
        <w:t>norma dispuso</w:t>
      </w:r>
      <w:r w:rsidR="007843C2" w:rsidRPr="00B47399">
        <w:rPr>
          <w:rFonts w:ascii="Cambria" w:hAnsi="Cambria"/>
          <w:sz w:val="20"/>
          <w:szCs w:val="20"/>
          <w:lang w:val="es-AR"/>
        </w:rPr>
        <w:t xml:space="preserve"> que</w:t>
      </w:r>
      <w:r w:rsidR="000B2234" w:rsidRPr="00B47399">
        <w:rPr>
          <w:rFonts w:ascii="Cambria" w:hAnsi="Cambria"/>
          <w:sz w:val="20"/>
          <w:szCs w:val="20"/>
          <w:lang w:val="es-AR"/>
        </w:rPr>
        <w:t xml:space="preserve"> el valor de las tierras expropiadas sea pagado a su valor de mercado y en efectivo</w:t>
      </w:r>
      <w:r w:rsidR="000B2234">
        <w:rPr>
          <w:rStyle w:val="FootnoteReference"/>
          <w:rFonts w:ascii="Cambria" w:hAnsi="Cambria"/>
          <w:sz w:val="20"/>
          <w:szCs w:val="20"/>
          <w:lang w:val="es-AR"/>
        </w:rPr>
        <w:footnoteReference w:id="6"/>
      </w:r>
      <w:r w:rsidR="000B2234" w:rsidRPr="00B47399">
        <w:rPr>
          <w:rFonts w:ascii="Cambria" w:hAnsi="Cambria"/>
          <w:sz w:val="20"/>
          <w:szCs w:val="20"/>
          <w:lang w:val="es-AR"/>
        </w:rPr>
        <w:t xml:space="preserve">. </w:t>
      </w:r>
      <w:r w:rsidR="00D3418D" w:rsidRPr="00D3418D">
        <w:rPr>
          <w:rFonts w:ascii="Cambria" w:hAnsi="Cambria"/>
          <w:sz w:val="20"/>
          <w:szCs w:val="20"/>
          <w:lang w:val="es-AR"/>
        </w:rPr>
        <w:t>No obstante,</w:t>
      </w:r>
      <w:r w:rsidR="007843C2" w:rsidRPr="00D3418D">
        <w:rPr>
          <w:rFonts w:ascii="Cambria" w:hAnsi="Cambria"/>
          <w:sz w:val="20"/>
          <w:szCs w:val="20"/>
          <w:lang w:val="es-AR"/>
        </w:rPr>
        <w:t xml:space="preserve"> </w:t>
      </w:r>
      <w:r w:rsidR="00321229" w:rsidRPr="00D3418D">
        <w:rPr>
          <w:rFonts w:ascii="Cambria" w:hAnsi="Cambria"/>
          <w:sz w:val="20"/>
          <w:szCs w:val="20"/>
          <w:lang w:val="es-AR"/>
        </w:rPr>
        <w:t>se promulgaron</w:t>
      </w:r>
      <w:r w:rsidR="00B47399" w:rsidRPr="00D3418D">
        <w:rPr>
          <w:rFonts w:ascii="Cambria" w:hAnsi="Cambria"/>
          <w:sz w:val="20"/>
          <w:szCs w:val="20"/>
          <w:lang w:val="es-AR"/>
        </w:rPr>
        <w:t xml:space="preserve"> </w:t>
      </w:r>
      <w:r w:rsidR="000839C7" w:rsidRPr="00D3418D">
        <w:rPr>
          <w:rFonts w:ascii="Cambria" w:hAnsi="Cambria"/>
          <w:sz w:val="20"/>
          <w:szCs w:val="20"/>
          <w:lang w:val="es-AR"/>
        </w:rPr>
        <w:t>dos leyes</w:t>
      </w:r>
      <w:r w:rsidR="007843C2" w:rsidRPr="00D3418D">
        <w:rPr>
          <w:rFonts w:ascii="Cambria" w:hAnsi="Cambria"/>
          <w:sz w:val="20"/>
          <w:szCs w:val="20"/>
          <w:lang w:val="es-AR"/>
        </w:rPr>
        <w:t xml:space="preserve"> que dej</w:t>
      </w:r>
      <w:r w:rsidR="000839C7" w:rsidRPr="00D3418D">
        <w:rPr>
          <w:rFonts w:ascii="Cambria" w:hAnsi="Cambria"/>
          <w:sz w:val="20"/>
          <w:szCs w:val="20"/>
          <w:lang w:val="es-AR"/>
        </w:rPr>
        <w:t>aron</w:t>
      </w:r>
      <w:r w:rsidR="007843C2" w:rsidRPr="00D3418D">
        <w:rPr>
          <w:rFonts w:ascii="Cambria" w:hAnsi="Cambria"/>
          <w:sz w:val="20"/>
          <w:szCs w:val="20"/>
          <w:lang w:val="es-AR"/>
        </w:rPr>
        <w:t xml:space="preserve"> sin efectos la citada </w:t>
      </w:r>
      <w:r w:rsidR="00182D8B" w:rsidRPr="00D3418D">
        <w:rPr>
          <w:rFonts w:ascii="Cambria" w:hAnsi="Cambria"/>
          <w:sz w:val="20"/>
          <w:szCs w:val="20"/>
          <w:lang w:val="es-AR"/>
        </w:rPr>
        <w:t>forma de pago.</w:t>
      </w:r>
      <w:r w:rsidR="007843C2" w:rsidRPr="00D3418D">
        <w:rPr>
          <w:rFonts w:ascii="Cambria" w:hAnsi="Cambria"/>
          <w:sz w:val="20"/>
          <w:szCs w:val="20"/>
          <w:lang w:val="es-AR"/>
        </w:rPr>
        <w:t xml:space="preserve"> </w:t>
      </w:r>
      <w:r w:rsidR="00D3418D" w:rsidRPr="00D3418D">
        <w:rPr>
          <w:rFonts w:ascii="Cambria" w:hAnsi="Cambria"/>
          <w:sz w:val="20"/>
          <w:szCs w:val="20"/>
          <w:lang w:val="es-AR"/>
        </w:rPr>
        <w:t>E</w:t>
      </w:r>
      <w:r w:rsidR="007843C2" w:rsidRPr="00D3418D">
        <w:rPr>
          <w:rFonts w:ascii="Cambria" w:hAnsi="Cambria"/>
          <w:sz w:val="20"/>
          <w:szCs w:val="20"/>
          <w:lang w:val="es-AR"/>
        </w:rPr>
        <w:t xml:space="preserve">l 24 de abril de 1996 se publicó la Ley </w:t>
      </w:r>
      <w:r w:rsidR="007843C2" w:rsidRPr="00D3418D">
        <w:rPr>
          <w:rFonts w:ascii="Cambria" w:hAnsi="Cambria"/>
          <w:sz w:val="20"/>
          <w:szCs w:val="20"/>
        </w:rPr>
        <w:t>Nº 26597, que dispuso que los pagos de la deuda se realicen en base al valor nominal y no al valor de mercado</w:t>
      </w:r>
      <w:r w:rsidR="00182D8B" w:rsidRPr="00321229">
        <w:rPr>
          <w:rStyle w:val="FootnoteReference"/>
          <w:rFonts w:ascii="Cambria" w:hAnsi="Cambria"/>
          <w:sz w:val="20"/>
          <w:szCs w:val="20"/>
        </w:rPr>
        <w:footnoteReference w:id="7"/>
      </w:r>
      <w:r w:rsidR="00321229" w:rsidRPr="00D3418D">
        <w:rPr>
          <w:rFonts w:ascii="Cambria" w:hAnsi="Cambria"/>
          <w:sz w:val="20"/>
          <w:szCs w:val="20"/>
        </w:rPr>
        <w:t xml:space="preserve">; y </w:t>
      </w:r>
      <w:r w:rsidR="007843C2" w:rsidRPr="00D3418D">
        <w:rPr>
          <w:rFonts w:ascii="Cambria" w:hAnsi="Cambria"/>
          <w:sz w:val="20"/>
          <w:szCs w:val="20"/>
        </w:rPr>
        <w:t>el 9 de octubre del 2000 se emitió el Decreto de Urgencia Nº 088-2000</w:t>
      </w:r>
      <w:r w:rsidR="005522B8" w:rsidRPr="00D3418D">
        <w:rPr>
          <w:rFonts w:ascii="Cambria" w:hAnsi="Cambria"/>
          <w:sz w:val="20"/>
          <w:szCs w:val="20"/>
        </w:rPr>
        <w:t xml:space="preserve">, </w:t>
      </w:r>
      <w:r w:rsidR="007843C2" w:rsidRPr="00D3418D">
        <w:rPr>
          <w:rFonts w:ascii="Cambria" w:hAnsi="Cambria"/>
          <w:sz w:val="20"/>
          <w:szCs w:val="20"/>
        </w:rPr>
        <w:t xml:space="preserve">que estableció </w:t>
      </w:r>
      <w:r w:rsidR="00321229" w:rsidRPr="00D3418D">
        <w:rPr>
          <w:rFonts w:ascii="Cambria" w:hAnsi="Cambria"/>
          <w:sz w:val="20"/>
          <w:szCs w:val="20"/>
        </w:rPr>
        <w:t>un procedimiento</w:t>
      </w:r>
      <w:r w:rsidR="005522B8" w:rsidRPr="00D3418D">
        <w:rPr>
          <w:rFonts w:ascii="Cambria" w:hAnsi="Cambria"/>
          <w:sz w:val="20"/>
          <w:szCs w:val="20"/>
        </w:rPr>
        <w:t xml:space="preserve"> para realizar los pagos pendientes</w:t>
      </w:r>
      <w:r w:rsidR="00321229" w:rsidRPr="00D3418D">
        <w:rPr>
          <w:rFonts w:ascii="Cambria" w:hAnsi="Cambria"/>
          <w:sz w:val="20"/>
          <w:szCs w:val="20"/>
        </w:rPr>
        <w:t xml:space="preserve"> de </w:t>
      </w:r>
      <w:r w:rsidR="005522B8" w:rsidRPr="00D3418D">
        <w:rPr>
          <w:rFonts w:ascii="Cambria" w:hAnsi="Cambria"/>
          <w:sz w:val="20"/>
          <w:szCs w:val="20"/>
        </w:rPr>
        <w:t>los Bonos de la Reforma</w:t>
      </w:r>
      <w:r w:rsidR="00321229" w:rsidRPr="00D3418D">
        <w:rPr>
          <w:rFonts w:ascii="Cambria" w:hAnsi="Cambria"/>
          <w:sz w:val="20"/>
          <w:szCs w:val="20"/>
        </w:rPr>
        <w:t xml:space="preserve"> </w:t>
      </w:r>
      <w:r w:rsidR="005522B8" w:rsidRPr="00D3418D">
        <w:rPr>
          <w:rFonts w:ascii="Cambria" w:hAnsi="Cambria"/>
          <w:sz w:val="20"/>
          <w:szCs w:val="20"/>
        </w:rPr>
        <w:t>Agraria</w:t>
      </w:r>
      <w:r w:rsidR="00321229" w:rsidRPr="00D3418D">
        <w:rPr>
          <w:rFonts w:ascii="Cambria" w:hAnsi="Cambria"/>
          <w:sz w:val="20"/>
          <w:szCs w:val="20"/>
        </w:rPr>
        <w:t xml:space="preserve"> y </w:t>
      </w:r>
      <w:r w:rsidR="005522B8" w:rsidRPr="00D3418D">
        <w:rPr>
          <w:rFonts w:ascii="Cambria" w:hAnsi="Cambria"/>
          <w:sz w:val="20"/>
          <w:szCs w:val="20"/>
        </w:rPr>
        <w:t>dispuso que tales deudas sean convertidas a dólares americanos conforme al tipo de cambio oficial vigente a la fecha de la emisión de los bonos</w:t>
      </w:r>
      <w:r w:rsidR="00C302A8" w:rsidRPr="00321229">
        <w:rPr>
          <w:rStyle w:val="FootnoteReference"/>
          <w:rFonts w:ascii="Cambria" w:hAnsi="Cambria"/>
          <w:sz w:val="20"/>
          <w:szCs w:val="20"/>
        </w:rPr>
        <w:footnoteReference w:id="8"/>
      </w:r>
      <w:r w:rsidR="007843C2" w:rsidRPr="00D3418D">
        <w:rPr>
          <w:rFonts w:ascii="Cambria" w:hAnsi="Cambria"/>
          <w:sz w:val="20"/>
          <w:szCs w:val="20"/>
        </w:rPr>
        <w:t xml:space="preserve">. </w:t>
      </w:r>
    </w:p>
    <w:p w:rsidR="000839C7" w:rsidRDefault="000839C7" w:rsidP="00344977">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Los peticionarios </w:t>
      </w:r>
      <w:r w:rsidR="00D3418D">
        <w:rPr>
          <w:rFonts w:ascii="Cambria" w:hAnsi="Cambria"/>
          <w:sz w:val="20"/>
          <w:szCs w:val="20"/>
          <w:lang w:val="es-AR"/>
        </w:rPr>
        <w:t>aducen</w:t>
      </w:r>
      <w:r>
        <w:rPr>
          <w:rFonts w:ascii="Cambria" w:hAnsi="Cambria"/>
          <w:sz w:val="20"/>
          <w:szCs w:val="20"/>
          <w:lang w:val="es-AR"/>
        </w:rPr>
        <w:t xml:space="preserve"> que </w:t>
      </w:r>
      <w:r w:rsidR="00536B72">
        <w:rPr>
          <w:rFonts w:ascii="Cambria" w:hAnsi="Cambria"/>
          <w:sz w:val="20"/>
          <w:szCs w:val="20"/>
          <w:lang w:val="es-AR"/>
        </w:rPr>
        <w:t xml:space="preserve">el Colegio de Ingenieros del Perú y el Colegio de Abogados de Ica cuestionaron </w:t>
      </w:r>
      <w:r>
        <w:rPr>
          <w:rFonts w:ascii="Cambria" w:hAnsi="Cambria"/>
          <w:sz w:val="20"/>
          <w:szCs w:val="20"/>
          <w:lang w:val="es-AR"/>
        </w:rPr>
        <w:t xml:space="preserve">las citadas leyes mediante dos acciones de inconstitucionalidad. </w:t>
      </w:r>
      <w:r w:rsidR="00D3418D">
        <w:rPr>
          <w:rFonts w:ascii="Cambria" w:hAnsi="Cambria"/>
          <w:sz w:val="20"/>
          <w:szCs w:val="20"/>
          <w:lang w:val="es-AR"/>
        </w:rPr>
        <w:t>Así, e</w:t>
      </w:r>
      <w:r w:rsidR="002B142A">
        <w:rPr>
          <w:rFonts w:ascii="Cambria" w:hAnsi="Cambria"/>
          <w:sz w:val="20"/>
          <w:szCs w:val="20"/>
          <w:lang w:val="es-AR"/>
        </w:rPr>
        <w:t xml:space="preserve">l 11 de mayo de 2001 el Tribunal Constitucional </w:t>
      </w:r>
      <w:r w:rsidR="00D3418D">
        <w:rPr>
          <w:rFonts w:ascii="Cambria" w:hAnsi="Cambria"/>
          <w:sz w:val="20"/>
          <w:szCs w:val="20"/>
          <w:lang w:val="es-AR"/>
        </w:rPr>
        <w:t>(</w:t>
      </w:r>
      <w:r w:rsidR="002B142A">
        <w:rPr>
          <w:rFonts w:ascii="Cambria" w:hAnsi="Cambria"/>
          <w:sz w:val="20"/>
          <w:szCs w:val="20"/>
          <w:lang w:val="es-AR"/>
        </w:rPr>
        <w:t>expediente N</w:t>
      </w:r>
      <w:r w:rsidR="002B142A" w:rsidRPr="00703BA2">
        <w:rPr>
          <w:rFonts w:ascii="Cambria" w:hAnsi="Cambria"/>
          <w:sz w:val="20"/>
          <w:szCs w:val="20"/>
        </w:rPr>
        <w:t>º</w:t>
      </w:r>
      <w:r w:rsidR="002B142A">
        <w:rPr>
          <w:rFonts w:ascii="Cambria" w:hAnsi="Cambria"/>
          <w:sz w:val="20"/>
          <w:szCs w:val="20"/>
        </w:rPr>
        <w:t xml:space="preserve"> 022-96-I/TC</w:t>
      </w:r>
      <w:r w:rsidR="00D3418D">
        <w:rPr>
          <w:rFonts w:ascii="Cambria" w:hAnsi="Cambria"/>
          <w:sz w:val="20"/>
          <w:szCs w:val="20"/>
        </w:rPr>
        <w:t>)</w:t>
      </w:r>
      <w:r w:rsidR="002B142A">
        <w:rPr>
          <w:rFonts w:ascii="Cambria" w:hAnsi="Cambria"/>
          <w:sz w:val="20"/>
          <w:szCs w:val="20"/>
        </w:rPr>
        <w:t xml:space="preserve"> declaró la inconstitucionalidad de los artículos 1</w:t>
      </w:r>
      <w:r w:rsidR="002B142A" w:rsidRPr="00703BA2">
        <w:rPr>
          <w:rFonts w:ascii="Cambria" w:hAnsi="Cambria"/>
          <w:sz w:val="20"/>
          <w:szCs w:val="20"/>
        </w:rPr>
        <w:t>º</w:t>
      </w:r>
      <w:r w:rsidR="002B142A">
        <w:rPr>
          <w:rFonts w:ascii="Cambria" w:hAnsi="Cambria"/>
          <w:sz w:val="20"/>
          <w:szCs w:val="20"/>
        </w:rPr>
        <w:t>, 2</w:t>
      </w:r>
      <w:r w:rsidR="002B142A" w:rsidRPr="00703BA2">
        <w:rPr>
          <w:rFonts w:ascii="Cambria" w:hAnsi="Cambria"/>
          <w:sz w:val="20"/>
          <w:szCs w:val="20"/>
        </w:rPr>
        <w:t>º</w:t>
      </w:r>
      <w:r w:rsidR="002B142A">
        <w:rPr>
          <w:rFonts w:ascii="Cambria" w:hAnsi="Cambria"/>
          <w:sz w:val="20"/>
          <w:szCs w:val="20"/>
        </w:rPr>
        <w:t xml:space="preserve"> y la primera disposición final de la Ley </w:t>
      </w:r>
      <w:r w:rsidR="00536B72" w:rsidRPr="00321229">
        <w:rPr>
          <w:rFonts w:ascii="Cambria" w:hAnsi="Cambria"/>
          <w:sz w:val="20"/>
          <w:szCs w:val="20"/>
        </w:rPr>
        <w:t>Nº</w:t>
      </w:r>
      <w:r w:rsidR="00536B72">
        <w:rPr>
          <w:rFonts w:ascii="Cambria" w:hAnsi="Cambria"/>
          <w:sz w:val="20"/>
          <w:szCs w:val="20"/>
        </w:rPr>
        <w:t xml:space="preserve"> </w:t>
      </w:r>
      <w:r w:rsidR="002B142A">
        <w:rPr>
          <w:rFonts w:ascii="Cambria" w:hAnsi="Cambria"/>
          <w:sz w:val="20"/>
          <w:szCs w:val="20"/>
        </w:rPr>
        <w:t>26597</w:t>
      </w:r>
      <w:r w:rsidR="00D31470">
        <w:rPr>
          <w:rFonts w:ascii="Cambria" w:hAnsi="Cambria"/>
          <w:sz w:val="20"/>
          <w:szCs w:val="20"/>
        </w:rPr>
        <w:t xml:space="preserve">, argumentando que tales disposiciones violaron los artículos 70 y 139 inciso 3 de la Constitución peruana al no respetar </w:t>
      </w:r>
      <w:r w:rsidR="00A6241A">
        <w:rPr>
          <w:rFonts w:ascii="Cambria" w:hAnsi="Cambria"/>
          <w:sz w:val="20"/>
          <w:szCs w:val="20"/>
        </w:rPr>
        <w:t xml:space="preserve">el derecho a una indemnización justipreciada </w:t>
      </w:r>
      <w:r w:rsidR="00D31470">
        <w:rPr>
          <w:rFonts w:ascii="Cambria" w:hAnsi="Cambria"/>
          <w:sz w:val="20"/>
          <w:szCs w:val="20"/>
        </w:rPr>
        <w:t>y d</w:t>
      </w:r>
      <w:r w:rsidR="004349D2">
        <w:rPr>
          <w:rFonts w:ascii="Cambria" w:hAnsi="Cambria"/>
          <w:sz w:val="20"/>
          <w:szCs w:val="20"/>
        </w:rPr>
        <w:t>esconocer</w:t>
      </w:r>
      <w:r w:rsidR="00D31470">
        <w:rPr>
          <w:rFonts w:ascii="Cambria" w:hAnsi="Cambria"/>
          <w:sz w:val="20"/>
          <w:szCs w:val="20"/>
        </w:rPr>
        <w:t xml:space="preserve"> el derecho de acceder a un procedimiento preestablecido por la ley</w:t>
      </w:r>
      <w:r w:rsidR="005522B8">
        <w:rPr>
          <w:rStyle w:val="FootnoteReference"/>
          <w:rFonts w:ascii="Cambria" w:hAnsi="Cambria"/>
          <w:sz w:val="20"/>
          <w:szCs w:val="20"/>
        </w:rPr>
        <w:footnoteReference w:id="9"/>
      </w:r>
      <w:r w:rsidR="00A6241A">
        <w:rPr>
          <w:rFonts w:ascii="Cambria" w:hAnsi="Cambria"/>
          <w:sz w:val="20"/>
          <w:szCs w:val="20"/>
        </w:rPr>
        <w:t>.</w:t>
      </w:r>
      <w:r w:rsidR="004349D2">
        <w:rPr>
          <w:rFonts w:ascii="Cambria" w:hAnsi="Cambria"/>
          <w:sz w:val="20"/>
          <w:szCs w:val="20"/>
        </w:rPr>
        <w:t xml:space="preserve"> </w:t>
      </w:r>
      <w:r w:rsidR="00D3418D">
        <w:rPr>
          <w:rFonts w:ascii="Cambria" w:hAnsi="Cambria"/>
          <w:sz w:val="20"/>
          <w:szCs w:val="20"/>
        </w:rPr>
        <w:t xml:space="preserve">Los peticionarios alegan que </w:t>
      </w:r>
      <w:r w:rsidR="005522B8">
        <w:rPr>
          <w:rFonts w:ascii="Cambria" w:hAnsi="Cambria"/>
          <w:sz w:val="20"/>
          <w:szCs w:val="20"/>
        </w:rPr>
        <w:t xml:space="preserve">en </w:t>
      </w:r>
      <w:r w:rsidR="00D3418D">
        <w:rPr>
          <w:rFonts w:ascii="Cambria" w:hAnsi="Cambria"/>
          <w:sz w:val="20"/>
          <w:szCs w:val="20"/>
        </w:rPr>
        <w:t>esa</w:t>
      </w:r>
      <w:r w:rsidR="005522B8">
        <w:rPr>
          <w:rFonts w:ascii="Cambria" w:hAnsi="Cambria"/>
          <w:sz w:val="20"/>
          <w:szCs w:val="20"/>
        </w:rPr>
        <w:t xml:space="preserve"> </w:t>
      </w:r>
      <w:r w:rsidR="005005EC">
        <w:rPr>
          <w:rFonts w:ascii="Cambria" w:hAnsi="Cambria"/>
          <w:sz w:val="20"/>
          <w:szCs w:val="20"/>
        </w:rPr>
        <w:t>sentencia</w:t>
      </w:r>
      <w:r w:rsidR="005522B8">
        <w:rPr>
          <w:rFonts w:ascii="Cambria" w:hAnsi="Cambria"/>
          <w:sz w:val="20"/>
          <w:szCs w:val="20"/>
        </w:rPr>
        <w:t xml:space="preserve"> el tribunal</w:t>
      </w:r>
      <w:r w:rsidR="005005EC">
        <w:rPr>
          <w:rFonts w:ascii="Cambria" w:hAnsi="Cambria"/>
          <w:sz w:val="20"/>
          <w:szCs w:val="20"/>
        </w:rPr>
        <w:t xml:space="preserve"> consideró que las citadas disposiciones establecieron un tratamiento inalterable </w:t>
      </w:r>
      <w:r w:rsidR="005005EC">
        <w:rPr>
          <w:rFonts w:ascii="Cambria" w:hAnsi="Cambria"/>
          <w:sz w:val="20"/>
          <w:szCs w:val="20"/>
        </w:rPr>
        <w:lastRenderedPageBreak/>
        <w:t>del justiprecio</w:t>
      </w:r>
      <w:r w:rsidR="00495BEF">
        <w:rPr>
          <w:rFonts w:ascii="Cambria" w:hAnsi="Cambria"/>
          <w:sz w:val="20"/>
          <w:szCs w:val="20"/>
        </w:rPr>
        <w:t xml:space="preserve"> </w:t>
      </w:r>
      <w:r w:rsidR="005005EC">
        <w:rPr>
          <w:rFonts w:ascii="Cambria" w:hAnsi="Cambria"/>
          <w:sz w:val="20"/>
          <w:szCs w:val="20"/>
        </w:rPr>
        <w:t>que fue ajeno a las circunstancias del tiempo</w:t>
      </w:r>
      <w:r w:rsidR="005522B8">
        <w:rPr>
          <w:rFonts w:ascii="Cambria" w:hAnsi="Cambria"/>
          <w:sz w:val="20"/>
          <w:szCs w:val="20"/>
        </w:rPr>
        <w:t xml:space="preserve">, por lo que ordenó </w:t>
      </w:r>
      <w:r w:rsidR="005005EC">
        <w:rPr>
          <w:rFonts w:ascii="Cambria" w:hAnsi="Cambria"/>
          <w:sz w:val="20"/>
          <w:szCs w:val="20"/>
        </w:rPr>
        <w:t xml:space="preserve">que el pago de los Bonos de la Deuda Agraria </w:t>
      </w:r>
      <w:r w:rsidR="005522B8">
        <w:rPr>
          <w:rFonts w:ascii="Cambria" w:hAnsi="Cambria"/>
          <w:sz w:val="20"/>
          <w:szCs w:val="20"/>
        </w:rPr>
        <w:t>se realice</w:t>
      </w:r>
      <w:r w:rsidR="005005EC">
        <w:rPr>
          <w:rFonts w:ascii="Cambria" w:hAnsi="Cambria"/>
          <w:sz w:val="20"/>
          <w:szCs w:val="20"/>
        </w:rPr>
        <w:t xml:space="preserve"> conforme al valor de mercado, es decir un valor actualizado. </w:t>
      </w:r>
    </w:p>
    <w:p w:rsidR="000839C7" w:rsidRPr="00C9378F" w:rsidRDefault="004349D2" w:rsidP="00C9378F">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Respecto al Decreto de Urgencia </w:t>
      </w:r>
      <w:r w:rsidR="00E308B8">
        <w:rPr>
          <w:rFonts w:ascii="Cambria" w:hAnsi="Cambria"/>
          <w:sz w:val="20"/>
          <w:szCs w:val="20"/>
          <w:lang w:val="es-AR"/>
        </w:rPr>
        <w:t>N</w:t>
      </w:r>
      <w:r w:rsidR="00E308B8" w:rsidRPr="00703BA2">
        <w:rPr>
          <w:rFonts w:ascii="Cambria" w:hAnsi="Cambria"/>
          <w:sz w:val="20"/>
          <w:szCs w:val="20"/>
        </w:rPr>
        <w:t>º</w:t>
      </w:r>
      <w:r>
        <w:rPr>
          <w:rFonts w:ascii="Cambria" w:hAnsi="Cambria"/>
          <w:sz w:val="20"/>
          <w:szCs w:val="20"/>
          <w:lang w:val="es-AR"/>
        </w:rPr>
        <w:t xml:space="preserve"> 088-2000, indican que el 2 de agosto de 2004 el Tribunal Constitucional</w:t>
      </w:r>
      <w:r w:rsidR="000D5885">
        <w:rPr>
          <w:rFonts w:ascii="Cambria" w:hAnsi="Cambria"/>
          <w:sz w:val="20"/>
          <w:szCs w:val="20"/>
          <w:lang w:val="es-AR"/>
        </w:rPr>
        <w:t xml:space="preserve"> (</w:t>
      </w:r>
      <w:r>
        <w:rPr>
          <w:rFonts w:ascii="Cambria" w:hAnsi="Cambria"/>
          <w:sz w:val="20"/>
          <w:szCs w:val="20"/>
          <w:lang w:val="es-AR"/>
        </w:rPr>
        <w:t>expediente N</w:t>
      </w:r>
      <w:r w:rsidRPr="00703BA2">
        <w:rPr>
          <w:rFonts w:ascii="Cambria" w:hAnsi="Cambria"/>
          <w:sz w:val="20"/>
          <w:szCs w:val="20"/>
        </w:rPr>
        <w:t>º</w:t>
      </w:r>
      <w:r>
        <w:rPr>
          <w:rFonts w:ascii="Cambria" w:hAnsi="Cambria"/>
          <w:sz w:val="20"/>
          <w:szCs w:val="20"/>
        </w:rPr>
        <w:t xml:space="preserve"> 0009-2004-AI/TC</w:t>
      </w:r>
      <w:r w:rsidR="000D5885">
        <w:rPr>
          <w:rFonts w:ascii="Cambria" w:hAnsi="Cambria"/>
          <w:sz w:val="20"/>
          <w:szCs w:val="20"/>
        </w:rPr>
        <w:t>)</w:t>
      </w:r>
      <w:r>
        <w:rPr>
          <w:rFonts w:ascii="Cambria" w:hAnsi="Cambria"/>
          <w:sz w:val="20"/>
          <w:szCs w:val="20"/>
        </w:rPr>
        <w:t xml:space="preserve"> declaró infundada la demanda</w:t>
      </w:r>
      <w:r w:rsidR="00536B72">
        <w:rPr>
          <w:rFonts w:ascii="Cambria" w:hAnsi="Cambria"/>
          <w:sz w:val="20"/>
          <w:szCs w:val="20"/>
        </w:rPr>
        <w:t xml:space="preserve"> contra dicha norma</w:t>
      </w:r>
      <w:r w:rsidR="000D5885">
        <w:rPr>
          <w:rFonts w:ascii="Cambria" w:hAnsi="Cambria"/>
          <w:sz w:val="20"/>
          <w:szCs w:val="20"/>
        </w:rPr>
        <w:t>, confirmando su constitucionalidad; n</w:t>
      </w:r>
      <w:r>
        <w:rPr>
          <w:rFonts w:ascii="Cambria" w:hAnsi="Cambria"/>
          <w:sz w:val="20"/>
          <w:szCs w:val="20"/>
        </w:rPr>
        <w:t xml:space="preserve">o obstante, </w:t>
      </w:r>
      <w:r w:rsidR="000D5885">
        <w:rPr>
          <w:rFonts w:ascii="Cambria" w:hAnsi="Cambria"/>
          <w:sz w:val="20"/>
          <w:szCs w:val="20"/>
        </w:rPr>
        <w:t>dispuso</w:t>
      </w:r>
      <w:r>
        <w:rPr>
          <w:rFonts w:ascii="Cambria" w:hAnsi="Cambria"/>
          <w:sz w:val="20"/>
          <w:szCs w:val="20"/>
        </w:rPr>
        <w:t xml:space="preserve"> que el procedimiento administrativo y la conversión a dólares americanos para el cobro de los bonos de la deuda </w:t>
      </w:r>
      <w:r w:rsidR="00575DE0">
        <w:rPr>
          <w:rFonts w:ascii="Cambria" w:hAnsi="Cambria"/>
          <w:sz w:val="20"/>
          <w:szCs w:val="20"/>
        </w:rPr>
        <w:t>agraria</w:t>
      </w:r>
      <w:r>
        <w:rPr>
          <w:rFonts w:ascii="Cambria" w:hAnsi="Cambria"/>
          <w:sz w:val="20"/>
          <w:szCs w:val="20"/>
        </w:rPr>
        <w:t xml:space="preserve"> debía ser int</w:t>
      </w:r>
      <w:r w:rsidR="00575DE0">
        <w:rPr>
          <w:rFonts w:ascii="Cambria" w:hAnsi="Cambria"/>
          <w:sz w:val="20"/>
          <w:szCs w:val="20"/>
        </w:rPr>
        <w:t>erpretada como una</w:t>
      </w:r>
      <w:r w:rsidR="005522B8">
        <w:rPr>
          <w:rFonts w:ascii="Cambria" w:hAnsi="Cambria"/>
          <w:sz w:val="20"/>
          <w:szCs w:val="20"/>
        </w:rPr>
        <w:t xml:space="preserve"> </w:t>
      </w:r>
      <w:r w:rsidR="00C9378F">
        <w:rPr>
          <w:rFonts w:ascii="Cambria" w:hAnsi="Cambria"/>
          <w:sz w:val="20"/>
          <w:szCs w:val="20"/>
        </w:rPr>
        <w:t>v</w:t>
      </w:r>
      <w:r w:rsidR="00942C08">
        <w:rPr>
          <w:rFonts w:ascii="Cambria" w:hAnsi="Cambria"/>
          <w:sz w:val="20"/>
          <w:szCs w:val="20"/>
        </w:rPr>
        <w:t>ía</w:t>
      </w:r>
      <w:r w:rsidR="005522B8" w:rsidRPr="00C9378F">
        <w:rPr>
          <w:rFonts w:ascii="Cambria" w:hAnsi="Cambria"/>
          <w:sz w:val="20"/>
          <w:szCs w:val="20"/>
        </w:rPr>
        <w:t xml:space="preserve"> optativa </w:t>
      </w:r>
      <w:r w:rsidR="00575DE0" w:rsidRPr="00C9378F">
        <w:rPr>
          <w:rFonts w:ascii="Cambria" w:hAnsi="Cambria"/>
          <w:sz w:val="20"/>
          <w:szCs w:val="20"/>
        </w:rPr>
        <w:t xml:space="preserve">y no como una fórmula obligatoria de solución en perjuicio de los acreedores de la deuda agraria. </w:t>
      </w:r>
    </w:p>
    <w:p w:rsidR="009770ED" w:rsidRPr="00C30FA3" w:rsidRDefault="009770ED" w:rsidP="00C30FA3">
      <w:pPr>
        <w:numPr>
          <w:ilvl w:val="0"/>
          <w:numId w:val="103"/>
        </w:numPr>
        <w:suppressAutoHyphens/>
        <w:spacing w:after="240"/>
        <w:jc w:val="both"/>
        <w:rPr>
          <w:rFonts w:ascii="Cambria" w:hAnsi="Cambria"/>
          <w:sz w:val="20"/>
          <w:szCs w:val="20"/>
          <w:lang w:val="es-AR"/>
        </w:rPr>
      </w:pPr>
      <w:r>
        <w:rPr>
          <w:rFonts w:ascii="Cambria" w:hAnsi="Cambria"/>
          <w:sz w:val="20"/>
          <w:szCs w:val="20"/>
        </w:rPr>
        <w:t xml:space="preserve">La parte peticionaria arguye </w:t>
      </w:r>
      <w:r w:rsidR="00C24330">
        <w:rPr>
          <w:rFonts w:ascii="Cambria" w:hAnsi="Cambria"/>
          <w:sz w:val="20"/>
          <w:szCs w:val="20"/>
        </w:rPr>
        <w:t>que,</w:t>
      </w:r>
      <w:r w:rsidR="00C30FA3">
        <w:rPr>
          <w:rFonts w:ascii="Cambria" w:hAnsi="Cambria"/>
          <w:sz w:val="20"/>
          <w:szCs w:val="20"/>
        </w:rPr>
        <w:t xml:space="preserve"> ante la falta de voluntad del Estado de </w:t>
      </w:r>
      <w:r w:rsidR="00536B72">
        <w:rPr>
          <w:rFonts w:ascii="Cambria" w:hAnsi="Cambria"/>
          <w:sz w:val="20"/>
          <w:szCs w:val="20"/>
        </w:rPr>
        <w:t>cumplir</w:t>
      </w:r>
      <w:r w:rsidR="00C30FA3">
        <w:rPr>
          <w:rFonts w:ascii="Cambria" w:hAnsi="Cambria"/>
          <w:sz w:val="20"/>
          <w:szCs w:val="20"/>
        </w:rPr>
        <w:t xml:space="preserve"> el pago de la deuda, el 5 de octubre de 2011</w:t>
      </w:r>
      <w:r>
        <w:rPr>
          <w:rFonts w:ascii="Cambria" w:hAnsi="Cambria"/>
          <w:sz w:val="20"/>
          <w:szCs w:val="20"/>
        </w:rPr>
        <w:t xml:space="preserve"> </w:t>
      </w:r>
      <w:r w:rsidR="00C30FA3">
        <w:rPr>
          <w:rFonts w:ascii="Cambria" w:hAnsi="Cambria"/>
          <w:sz w:val="20"/>
          <w:szCs w:val="20"/>
        </w:rPr>
        <w:t xml:space="preserve">el Colegio de Ingenieros del Perú solicitó al Tribunal Constitucional la ejecución de la </w:t>
      </w:r>
      <w:r w:rsidR="00536B72">
        <w:rPr>
          <w:rFonts w:ascii="Cambria" w:hAnsi="Cambria"/>
          <w:sz w:val="20"/>
          <w:szCs w:val="20"/>
        </w:rPr>
        <w:t xml:space="preserve">primera </w:t>
      </w:r>
      <w:r w:rsidR="00A05B44">
        <w:rPr>
          <w:rFonts w:ascii="Cambria" w:hAnsi="Cambria"/>
          <w:sz w:val="20"/>
          <w:szCs w:val="20"/>
        </w:rPr>
        <w:t>sentencia citada</w:t>
      </w:r>
      <w:r w:rsidR="00536B72">
        <w:rPr>
          <w:rFonts w:ascii="Cambria" w:hAnsi="Cambria"/>
          <w:sz w:val="20"/>
          <w:szCs w:val="20"/>
        </w:rPr>
        <w:t xml:space="preserve">, </w:t>
      </w:r>
      <w:r w:rsidR="00C30FA3">
        <w:rPr>
          <w:rFonts w:ascii="Cambria" w:hAnsi="Cambria"/>
          <w:sz w:val="20"/>
          <w:szCs w:val="20"/>
        </w:rPr>
        <w:t xml:space="preserve">recaída </w:t>
      </w:r>
      <w:r w:rsidR="00C30FA3">
        <w:rPr>
          <w:rFonts w:ascii="Cambria" w:hAnsi="Cambria"/>
          <w:sz w:val="20"/>
          <w:szCs w:val="20"/>
          <w:lang w:val="es-AR"/>
        </w:rPr>
        <w:t>en el expediente N</w:t>
      </w:r>
      <w:r w:rsidR="00C30FA3" w:rsidRPr="00703BA2">
        <w:rPr>
          <w:rFonts w:ascii="Cambria" w:hAnsi="Cambria"/>
          <w:sz w:val="20"/>
          <w:szCs w:val="20"/>
        </w:rPr>
        <w:t>º</w:t>
      </w:r>
      <w:r w:rsidR="00C30FA3">
        <w:rPr>
          <w:rFonts w:ascii="Cambria" w:hAnsi="Cambria"/>
          <w:sz w:val="20"/>
          <w:szCs w:val="20"/>
        </w:rPr>
        <w:t xml:space="preserve"> 022-96-I/TC. Indican que </w:t>
      </w:r>
      <w:r w:rsidR="00C9378F">
        <w:rPr>
          <w:rFonts w:ascii="Cambria" w:hAnsi="Cambria"/>
          <w:sz w:val="20"/>
          <w:szCs w:val="20"/>
        </w:rPr>
        <w:t>en tal escrito</w:t>
      </w:r>
      <w:r w:rsidR="00C30FA3" w:rsidRPr="00C30FA3">
        <w:rPr>
          <w:rFonts w:ascii="Cambria" w:hAnsi="Cambria"/>
          <w:sz w:val="20"/>
          <w:szCs w:val="20"/>
        </w:rPr>
        <w:t xml:space="preserve"> se solicitó la realización de las </w:t>
      </w:r>
      <w:r w:rsidR="00C30FA3">
        <w:rPr>
          <w:rFonts w:ascii="Cambria" w:hAnsi="Cambria"/>
          <w:sz w:val="20"/>
          <w:szCs w:val="20"/>
        </w:rPr>
        <w:t xml:space="preserve">siguientes acciones: i) ordenar el inicio de los procesos de actualización de las acreencias provenientes de los procesos de la Reforma Agraria y el correspondiente pago de acuerdo con el artículo 70 de la Constitución; </w:t>
      </w:r>
      <w:r w:rsidR="00C9378F">
        <w:rPr>
          <w:rFonts w:ascii="Cambria" w:hAnsi="Cambria"/>
          <w:sz w:val="20"/>
          <w:szCs w:val="20"/>
        </w:rPr>
        <w:t xml:space="preserve">y </w:t>
      </w:r>
      <w:r w:rsidR="000D5885">
        <w:rPr>
          <w:rFonts w:ascii="Cambria" w:hAnsi="Cambria"/>
          <w:sz w:val="20"/>
          <w:szCs w:val="20"/>
        </w:rPr>
        <w:t>ii) realizar el cá</w:t>
      </w:r>
      <w:r w:rsidR="00C30FA3">
        <w:rPr>
          <w:rFonts w:ascii="Cambria" w:hAnsi="Cambria"/>
          <w:sz w:val="20"/>
          <w:szCs w:val="20"/>
        </w:rPr>
        <w:t xml:space="preserve">lculo de la actualización conforme al índice de precios al consumidor y aplicar los intereses reconocidos en cada clase de bono. </w:t>
      </w:r>
    </w:p>
    <w:p w:rsidR="004423E1" w:rsidRPr="00495BEF" w:rsidRDefault="00C30FA3" w:rsidP="00495BEF">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Argumentan </w:t>
      </w:r>
      <w:r w:rsidR="00942C08">
        <w:rPr>
          <w:rFonts w:ascii="Cambria" w:hAnsi="Cambria"/>
          <w:sz w:val="20"/>
          <w:szCs w:val="20"/>
          <w:lang w:val="es-AR"/>
        </w:rPr>
        <w:t>que,</w:t>
      </w:r>
      <w:r>
        <w:rPr>
          <w:rFonts w:ascii="Cambria" w:hAnsi="Cambria"/>
          <w:sz w:val="20"/>
          <w:szCs w:val="20"/>
          <w:lang w:val="es-AR"/>
        </w:rPr>
        <w:t xml:space="preserve"> en respuesta a tal solicitud, el 16 de julio de 2013 el Tribunal </w:t>
      </w:r>
      <w:r w:rsidR="00942C08">
        <w:rPr>
          <w:rFonts w:ascii="Cambria" w:hAnsi="Cambria"/>
          <w:sz w:val="20"/>
          <w:szCs w:val="20"/>
          <w:lang w:val="es-AR"/>
        </w:rPr>
        <w:t>Constitucional emitió</w:t>
      </w:r>
      <w:r>
        <w:rPr>
          <w:rFonts w:ascii="Cambria" w:hAnsi="Cambria"/>
          <w:sz w:val="20"/>
          <w:szCs w:val="20"/>
          <w:lang w:val="es-AR"/>
        </w:rPr>
        <w:t xml:space="preserve"> un auto</w:t>
      </w:r>
      <w:r w:rsidR="006956AF">
        <w:rPr>
          <w:rFonts w:ascii="Cambria" w:hAnsi="Cambria"/>
          <w:sz w:val="20"/>
          <w:szCs w:val="20"/>
          <w:lang w:val="es-AR"/>
        </w:rPr>
        <w:t xml:space="preserve"> </w:t>
      </w:r>
      <w:r>
        <w:rPr>
          <w:rFonts w:ascii="Cambria" w:hAnsi="Cambria"/>
          <w:sz w:val="20"/>
          <w:szCs w:val="20"/>
          <w:lang w:val="es-AR"/>
        </w:rPr>
        <w:t>de ejecución</w:t>
      </w:r>
      <w:r w:rsidR="00942C08">
        <w:rPr>
          <w:rFonts w:ascii="Cambria" w:hAnsi="Cambria"/>
          <w:sz w:val="20"/>
          <w:szCs w:val="20"/>
          <w:lang w:val="es-AR"/>
        </w:rPr>
        <w:t xml:space="preserve"> que contravino</w:t>
      </w:r>
      <w:r w:rsidR="003545EF">
        <w:rPr>
          <w:rFonts w:ascii="Cambria" w:hAnsi="Cambria"/>
          <w:sz w:val="20"/>
          <w:szCs w:val="20"/>
          <w:lang w:val="es-AR"/>
        </w:rPr>
        <w:t xml:space="preserve"> lo establecido en las dos sentencias previas sobre la materia. Señalan que</w:t>
      </w:r>
      <w:r w:rsidR="00C9378F">
        <w:rPr>
          <w:rFonts w:ascii="Cambria" w:hAnsi="Cambria"/>
          <w:sz w:val="20"/>
          <w:szCs w:val="20"/>
          <w:lang w:val="es-AR"/>
        </w:rPr>
        <w:t xml:space="preserve">, </w:t>
      </w:r>
      <w:r w:rsidR="003545EF">
        <w:rPr>
          <w:rFonts w:ascii="Cambria" w:hAnsi="Cambria"/>
          <w:sz w:val="20"/>
          <w:szCs w:val="20"/>
          <w:lang w:val="es-AR"/>
        </w:rPr>
        <w:t>en tal decisió</w:t>
      </w:r>
      <w:r w:rsidR="00C9378F">
        <w:rPr>
          <w:rFonts w:ascii="Cambria" w:hAnsi="Cambria"/>
          <w:sz w:val="20"/>
          <w:szCs w:val="20"/>
          <w:lang w:val="es-AR"/>
        </w:rPr>
        <w:t xml:space="preserve">n, </w:t>
      </w:r>
      <w:r w:rsidR="003545EF">
        <w:rPr>
          <w:rFonts w:ascii="Cambria" w:hAnsi="Cambria"/>
          <w:sz w:val="20"/>
          <w:szCs w:val="20"/>
          <w:lang w:val="es-AR"/>
        </w:rPr>
        <w:t xml:space="preserve">el referido órgano de justicia </w:t>
      </w:r>
      <w:r w:rsidR="00C9378F">
        <w:rPr>
          <w:rFonts w:ascii="Cambria" w:hAnsi="Cambria"/>
          <w:sz w:val="20"/>
          <w:szCs w:val="20"/>
          <w:lang w:val="es-AR"/>
        </w:rPr>
        <w:t>dispuso</w:t>
      </w:r>
      <w:r w:rsidR="005005EC">
        <w:rPr>
          <w:rFonts w:ascii="Cambria" w:hAnsi="Cambria"/>
          <w:sz w:val="20"/>
          <w:szCs w:val="20"/>
          <w:lang w:val="es-AR"/>
        </w:rPr>
        <w:t xml:space="preserve"> que</w:t>
      </w:r>
      <w:r w:rsidR="004423E1">
        <w:rPr>
          <w:rFonts w:ascii="Cambria" w:hAnsi="Cambria"/>
          <w:sz w:val="20"/>
          <w:szCs w:val="20"/>
          <w:lang w:val="es-AR"/>
        </w:rPr>
        <w:t xml:space="preserve"> los Bonos de la Deuda Agraria e intereses sea</w:t>
      </w:r>
      <w:r w:rsidR="00C9378F">
        <w:rPr>
          <w:rFonts w:ascii="Cambria" w:hAnsi="Cambria"/>
          <w:sz w:val="20"/>
          <w:szCs w:val="20"/>
          <w:lang w:val="es-AR"/>
        </w:rPr>
        <w:t>n</w:t>
      </w:r>
      <w:r w:rsidR="004423E1">
        <w:rPr>
          <w:rFonts w:ascii="Cambria" w:hAnsi="Cambria"/>
          <w:sz w:val="20"/>
          <w:szCs w:val="20"/>
          <w:lang w:val="es-AR"/>
        </w:rPr>
        <w:t xml:space="preserve"> actualizado</w:t>
      </w:r>
      <w:r w:rsidR="00C9378F">
        <w:rPr>
          <w:rFonts w:ascii="Cambria" w:hAnsi="Cambria"/>
          <w:sz w:val="20"/>
          <w:szCs w:val="20"/>
          <w:lang w:val="es-AR"/>
        </w:rPr>
        <w:t>s</w:t>
      </w:r>
      <w:r w:rsidR="004423E1">
        <w:rPr>
          <w:rFonts w:ascii="Cambria" w:hAnsi="Cambria"/>
          <w:sz w:val="20"/>
          <w:szCs w:val="20"/>
          <w:lang w:val="es-AR"/>
        </w:rPr>
        <w:t xml:space="preserve"> mediante la conversión </w:t>
      </w:r>
      <w:r w:rsidR="00C9378F">
        <w:rPr>
          <w:rFonts w:ascii="Cambria" w:hAnsi="Cambria"/>
          <w:sz w:val="20"/>
          <w:szCs w:val="20"/>
          <w:lang w:val="es-AR"/>
        </w:rPr>
        <w:t>de la deuda</w:t>
      </w:r>
      <w:r w:rsidR="004423E1">
        <w:rPr>
          <w:rFonts w:ascii="Cambria" w:hAnsi="Cambria"/>
          <w:sz w:val="20"/>
          <w:szCs w:val="20"/>
          <w:lang w:val="es-AR"/>
        </w:rPr>
        <w:t xml:space="preserve"> </w:t>
      </w:r>
      <w:r w:rsidR="00C9378F">
        <w:rPr>
          <w:rFonts w:ascii="Cambria" w:hAnsi="Cambria"/>
          <w:sz w:val="20"/>
          <w:szCs w:val="20"/>
          <w:lang w:val="es-AR"/>
        </w:rPr>
        <w:t>a</w:t>
      </w:r>
      <w:r w:rsidR="004423E1">
        <w:rPr>
          <w:rFonts w:ascii="Cambria" w:hAnsi="Cambria"/>
          <w:sz w:val="20"/>
          <w:szCs w:val="20"/>
          <w:lang w:val="es-AR"/>
        </w:rPr>
        <w:t xml:space="preserve"> dólares americanos, </w:t>
      </w:r>
      <w:r w:rsidR="005005EC">
        <w:rPr>
          <w:rFonts w:ascii="Cambria" w:hAnsi="Cambria"/>
          <w:sz w:val="20"/>
          <w:szCs w:val="20"/>
          <w:lang w:val="es-AR"/>
        </w:rPr>
        <w:t>tomando como base el tipo de cambio que regía en la fecha en que se dejar</w:t>
      </w:r>
      <w:r w:rsidR="00C9378F">
        <w:rPr>
          <w:rFonts w:ascii="Cambria" w:hAnsi="Cambria"/>
          <w:sz w:val="20"/>
          <w:szCs w:val="20"/>
          <w:lang w:val="es-AR"/>
        </w:rPr>
        <w:t xml:space="preserve">on </w:t>
      </w:r>
      <w:r w:rsidR="005005EC">
        <w:rPr>
          <w:rFonts w:ascii="Cambria" w:hAnsi="Cambria"/>
          <w:sz w:val="20"/>
          <w:szCs w:val="20"/>
          <w:lang w:val="es-AR"/>
        </w:rPr>
        <w:t>de atender tal</w:t>
      </w:r>
      <w:r w:rsidR="00C9378F">
        <w:rPr>
          <w:rFonts w:ascii="Cambria" w:hAnsi="Cambria"/>
          <w:sz w:val="20"/>
          <w:szCs w:val="20"/>
          <w:lang w:val="es-AR"/>
        </w:rPr>
        <w:t>es</w:t>
      </w:r>
      <w:r w:rsidR="005005EC">
        <w:rPr>
          <w:rFonts w:ascii="Cambria" w:hAnsi="Cambria"/>
          <w:sz w:val="20"/>
          <w:szCs w:val="20"/>
          <w:lang w:val="es-AR"/>
        </w:rPr>
        <w:t xml:space="preserve"> </w:t>
      </w:r>
      <w:r w:rsidR="00C9378F">
        <w:rPr>
          <w:rFonts w:ascii="Cambria" w:hAnsi="Cambria"/>
          <w:sz w:val="20"/>
          <w:szCs w:val="20"/>
          <w:lang w:val="es-AR"/>
        </w:rPr>
        <w:t>pagos</w:t>
      </w:r>
      <w:r w:rsidR="005005EC">
        <w:rPr>
          <w:rFonts w:ascii="Cambria" w:hAnsi="Cambria"/>
          <w:sz w:val="20"/>
          <w:szCs w:val="20"/>
          <w:lang w:val="es-AR"/>
        </w:rPr>
        <w:t xml:space="preserve">. </w:t>
      </w:r>
      <w:r w:rsidR="004423E1" w:rsidRPr="00495BEF">
        <w:rPr>
          <w:rFonts w:ascii="Cambria" w:hAnsi="Cambria"/>
          <w:sz w:val="20"/>
          <w:szCs w:val="20"/>
          <w:lang w:val="es-AR"/>
        </w:rPr>
        <w:t xml:space="preserve">Los peticionarios denuncian que </w:t>
      </w:r>
      <w:r w:rsidR="005005EC" w:rsidRPr="00495BEF">
        <w:rPr>
          <w:rFonts w:ascii="Cambria" w:hAnsi="Cambria"/>
          <w:sz w:val="20"/>
          <w:szCs w:val="20"/>
          <w:lang w:val="es-AR"/>
        </w:rPr>
        <w:t>tal método</w:t>
      </w:r>
      <w:r w:rsidR="004423E1" w:rsidRPr="00495BEF">
        <w:rPr>
          <w:rFonts w:ascii="Cambria" w:hAnsi="Cambria"/>
          <w:sz w:val="20"/>
          <w:szCs w:val="20"/>
          <w:lang w:val="es-AR"/>
        </w:rPr>
        <w:t xml:space="preserve"> de actualización vulnera su derecho a un pago justo, toda vez que reduce drásticamente el valor de sus bonos</w:t>
      </w:r>
      <w:r w:rsidR="005005EC" w:rsidRPr="00495BEF">
        <w:rPr>
          <w:rFonts w:ascii="Cambria" w:hAnsi="Cambria"/>
          <w:sz w:val="20"/>
          <w:szCs w:val="20"/>
          <w:lang w:val="es-AR"/>
        </w:rPr>
        <w:t xml:space="preserve">. Especifican que aplicando el </w:t>
      </w:r>
      <w:r w:rsidR="00C9378F">
        <w:rPr>
          <w:rFonts w:ascii="Cambria" w:hAnsi="Cambria"/>
          <w:sz w:val="20"/>
          <w:szCs w:val="20"/>
          <w:lang w:val="es-AR"/>
        </w:rPr>
        <w:t xml:space="preserve">método regular de </w:t>
      </w:r>
      <w:r w:rsidR="00942C08" w:rsidRPr="00495BEF">
        <w:rPr>
          <w:rFonts w:ascii="Cambria" w:hAnsi="Cambria"/>
          <w:sz w:val="20"/>
          <w:szCs w:val="20"/>
          <w:lang w:val="es-AR"/>
        </w:rPr>
        <w:t>índice</w:t>
      </w:r>
      <w:r w:rsidR="005005EC" w:rsidRPr="00495BEF">
        <w:rPr>
          <w:rFonts w:ascii="Cambria" w:hAnsi="Cambria"/>
          <w:sz w:val="20"/>
          <w:szCs w:val="20"/>
          <w:lang w:val="es-AR"/>
        </w:rPr>
        <w:t xml:space="preserve"> de precios al consumidor tales bonos tiene</w:t>
      </w:r>
      <w:r w:rsidR="00C9378F">
        <w:rPr>
          <w:rFonts w:ascii="Cambria" w:hAnsi="Cambria"/>
          <w:sz w:val="20"/>
          <w:szCs w:val="20"/>
          <w:lang w:val="es-AR"/>
        </w:rPr>
        <w:t>n</w:t>
      </w:r>
      <w:r w:rsidR="005005EC" w:rsidRPr="00495BEF">
        <w:rPr>
          <w:rFonts w:ascii="Cambria" w:hAnsi="Cambria"/>
          <w:sz w:val="20"/>
          <w:szCs w:val="20"/>
          <w:lang w:val="es-AR"/>
        </w:rPr>
        <w:t xml:space="preserve"> un valor de millones de soles, mientras que con la fórmula dispuesta </w:t>
      </w:r>
      <w:r w:rsidR="00C9378F">
        <w:rPr>
          <w:rFonts w:ascii="Cambria" w:hAnsi="Cambria"/>
          <w:sz w:val="20"/>
          <w:szCs w:val="20"/>
          <w:lang w:val="es-AR"/>
        </w:rPr>
        <w:t xml:space="preserve">en la referida </w:t>
      </w:r>
      <w:r w:rsidR="00BD7C5E">
        <w:rPr>
          <w:rFonts w:ascii="Cambria" w:hAnsi="Cambria"/>
          <w:sz w:val="20"/>
          <w:szCs w:val="20"/>
          <w:lang w:val="es-AR"/>
        </w:rPr>
        <w:t>sentencia</w:t>
      </w:r>
      <w:r w:rsidR="005005EC" w:rsidRPr="00495BEF">
        <w:rPr>
          <w:rFonts w:ascii="Cambria" w:hAnsi="Cambria"/>
          <w:sz w:val="20"/>
          <w:szCs w:val="20"/>
          <w:lang w:val="es-AR"/>
        </w:rPr>
        <w:t xml:space="preserve"> tales bienes disminuyen a un precio que no supera el monto de un nuevo sol.</w:t>
      </w:r>
      <w:r w:rsidR="00495BEF" w:rsidRPr="00495BEF">
        <w:rPr>
          <w:rFonts w:ascii="Cambria" w:hAnsi="Cambria"/>
          <w:sz w:val="20"/>
          <w:szCs w:val="20"/>
          <w:lang w:val="es-AR"/>
        </w:rPr>
        <w:t xml:space="preserve"> </w:t>
      </w:r>
      <w:r w:rsidR="00495BEF">
        <w:rPr>
          <w:rFonts w:ascii="Cambria" w:hAnsi="Cambria"/>
          <w:sz w:val="20"/>
          <w:szCs w:val="20"/>
          <w:lang w:val="es-AR"/>
        </w:rPr>
        <w:t xml:space="preserve">Finalmente, </w:t>
      </w:r>
      <w:r w:rsidR="000D5885">
        <w:rPr>
          <w:rFonts w:ascii="Cambria" w:hAnsi="Cambria"/>
          <w:sz w:val="20"/>
          <w:szCs w:val="20"/>
          <w:lang w:val="es-AR"/>
        </w:rPr>
        <w:t>subrayan</w:t>
      </w:r>
      <w:r w:rsidR="005005EC" w:rsidRPr="00495BEF">
        <w:rPr>
          <w:rFonts w:ascii="Cambria" w:hAnsi="Cambria"/>
          <w:sz w:val="20"/>
          <w:szCs w:val="20"/>
          <w:lang w:val="es-AR"/>
        </w:rPr>
        <w:t xml:space="preserve"> que el propio Tribunal Constitucion</w:t>
      </w:r>
      <w:r w:rsidR="00BD7C5E">
        <w:rPr>
          <w:rFonts w:ascii="Cambria" w:hAnsi="Cambria"/>
          <w:sz w:val="20"/>
          <w:szCs w:val="20"/>
          <w:lang w:val="es-AR"/>
        </w:rPr>
        <w:t>a</w:t>
      </w:r>
      <w:r w:rsidR="005005EC" w:rsidRPr="00495BEF">
        <w:rPr>
          <w:rFonts w:ascii="Cambria" w:hAnsi="Cambria"/>
          <w:sz w:val="20"/>
          <w:szCs w:val="20"/>
          <w:lang w:val="es-AR"/>
        </w:rPr>
        <w:t xml:space="preserve">l reconoció que estaba restringiendo el derecho de propiedad de los acreedores de los bonos, </w:t>
      </w:r>
      <w:r w:rsidR="000D5885">
        <w:rPr>
          <w:rFonts w:ascii="Cambria" w:hAnsi="Cambria"/>
          <w:sz w:val="20"/>
          <w:szCs w:val="20"/>
          <w:lang w:val="es-AR"/>
        </w:rPr>
        <w:t>justificando</w:t>
      </w:r>
      <w:r w:rsidR="005005EC" w:rsidRPr="00495BEF">
        <w:rPr>
          <w:rFonts w:ascii="Cambria" w:hAnsi="Cambria"/>
          <w:sz w:val="20"/>
          <w:szCs w:val="20"/>
          <w:lang w:val="es-AR"/>
        </w:rPr>
        <w:t xml:space="preserve"> tal reducción </w:t>
      </w:r>
      <w:r w:rsidR="000D5885">
        <w:rPr>
          <w:rFonts w:ascii="Cambria" w:hAnsi="Cambria"/>
          <w:sz w:val="20"/>
          <w:szCs w:val="20"/>
          <w:lang w:val="es-AR"/>
        </w:rPr>
        <w:t>en el</w:t>
      </w:r>
      <w:r w:rsidR="005005EC" w:rsidRPr="00495BEF">
        <w:rPr>
          <w:rFonts w:ascii="Cambria" w:hAnsi="Cambria"/>
          <w:sz w:val="20"/>
          <w:szCs w:val="20"/>
          <w:lang w:val="es-AR"/>
        </w:rPr>
        <w:t xml:space="preserve"> bienestar general</w:t>
      </w:r>
      <w:r w:rsidR="00F35462">
        <w:rPr>
          <w:rFonts w:ascii="Cambria" w:hAnsi="Cambria"/>
          <w:sz w:val="20"/>
          <w:szCs w:val="20"/>
          <w:lang w:val="es-AR"/>
        </w:rPr>
        <w:t xml:space="preserve"> de la población peruana.</w:t>
      </w:r>
    </w:p>
    <w:p w:rsidR="00F06BF1" w:rsidRDefault="00495BEF" w:rsidP="00FC760B">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Sostienen que </w:t>
      </w:r>
      <w:r w:rsidR="0038373B">
        <w:rPr>
          <w:rFonts w:ascii="Cambria" w:hAnsi="Cambria"/>
          <w:sz w:val="20"/>
          <w:szCs w:val="20"/>
          <w:lang w:val="es-AR"/>
        </w:rPr>
        <w:t xml:space="preserve">varios afectados por la citada decisión interpusieron un recurso de aclaración ante el Tribunal Constitucional, cuestionando el método de dolarización y su obligatoriedad. Refieren que el 8 de agosto de 2013 tal órgano jurisdiccional emitió un segundo auto de ejecución </w:t>
      </w:r>
      <w:r w:rsidR="00306E4E">
        <w:rPr>
          <w:rFonts w:ascii="Cambria" w:hAnsi="Cambria"/>
          <w:sz w:val="20"/>
          <w:szCs w:val="20"/>
          <w:lang w:val="es-AR"/>
        </w:rPr>
        <w:t>declarando</w:t>
      </w:r>
      <w:r w:rsidR="0038373B">
        <w:rPr>
          <w:rFonts w:ascii="Cambria" w:hAnsi="Cambria"/>
          <w:sz w:val="20"/>
          <w:szCs w:val="20"/>
          <w:lang w:val="es-AR"/>
        </w:rPr>
        <w:t xml:space="preserve"> improcedentes los mencionados pedidos de aclaración. </w:t>
      </w:r>
      <w:r w:rsidR="00F67788">
        <w:rPr>
          <w:rFonts w:ascii="Cambria" w:hAnsi="Cambria"/>
          <w:sz w:val="20"/>
          <w:szCs w:val="20"/>
          <w:lang w:val="es-AR"/>
        </w:rPr>
        <w:t>En</w:t>
      </w:r>
      <w:r w:rsidR="0038373B">
        <w:rPr>
          <w:rFonts w:ascii="Cambria" w:hAnsi="Cambria"/>
          <w:sz w:val="20"/>
          <w:szCs w:val="20"/>
          <w:lang w:val="es-AR"/>
        </w:rPr>
        <w:t xml:space="preserve"> tal decisión</w:t>
      </w:r>
      <w:r w:rsidR="00F67788">
        <w:rPr>
          <w:rFonts w:ascii="Cambria" w:hAnsi="Cambria"/>
          <w:sz w:val="20"/>
          <w:szCs w:val="20"/>
          <w:lang w:val="es-AR"/>
        </w:rPr>
        <w:t xml:space="preserve">, </w:t>
      </w:r>
      <w:r w:rsidR="0038373B">
        <w:rPr>
          <w:rFonts w:ascii="Cambria" w:hAnsi="Cambria"/>
          <w:sz w:val="20"/>
          <w:szCs w:val="20"/>
          <w:lang w:val="es-AR"/>
        </w:rPr>
        <w:t>el citado tribunal reafirmó que</w:t>
      </w:r>
      <w:r w:rsidR="00F67788">
        <w:rPr>
          <w:rFonts w:ascii="Cambria" w:hAnsi="Cambria"/>
          <w:sz w:val="20"/>
          <w:szCs w:val="20"/>
          <w:lang w:val="es-AR"/>
        </w:rPr>
        <w:t xml:space="preserve"> el método de la dolarización establecid</w:t>
      </w:r>
      <w:r w:rsidR="00F35462">
        <w:rPr>
          <w:rFonts w:ascii="Cambria" w:hAnsi="Cambria"/>
          <w:sz w:val="20"/>
          <w:szCs w:val="20"/>
          <w:lang w:val="es-AR"/>
        </w:rPr>
        <w:t>o</w:t>
      </w:r>
      <w:r w:rsidR="00F67788">
        <w:rPr>
          <w:rFonts w:ascii="Cambria" w:hAnsi="Cambria"/>
          <w:sz w:val="20"/>
          <w:szCs w:val="20"/>
          <w:lang w:val="es-AR"/>
        </w:rPr>
        <w:t xml:space="preserve"> en su </w:t>
      </w:r>
      <w:r w:rsidR="006956AF">
        <w:rPr>
          <w:rFonts w:ascii="Cambria" w:hAnsi="Cambria"/>
          <w:sz w:val="20"/>
          <w:szCs w:val="20"/>
          <w:lang w:val="es-AR"/>
        </w:rPr>
        <w:t>auto de ejecución</w:t>
      </w:r>
      <w:r w:rsidR="00F67788">
        <w:rPr>
          <w:rFonts w:ascii="Cambria" w:hAnsi="Cambria"/>
          <w:sz w:val="20"/>
          <w:szCs w:val="20"/>
          <w:lang w:val="es-AR"/>
        </w:rPr>
        <w:t xml:space="preserve"> de</w:t>
      </w:r>
      <w:r w:rsidR="006956AF">
        <w:rPr>
          <w:rFonts w:ascii="Cambria" w:hAnsi="Cambria"/>
          <w:sz w:val="20"/>
          <w:szCs w:val="20"/>
          <w:lang w:val="es-AR"/>
        </w:rPr>
        <w:t>l</w:t>
      </w:r>
      <w:r w:rsidR="00F67788">
        <w:rPr>
          <w:rFonts w:ascii="Cambria" w:hAnsi="Cambria"/>
          <w:sz w:val="20"/>
          <w:szCs w:val="20"/>
          <w:lang w:val="es-AR"/>
        </w:rPr>
        <w:t xml:space="preserve"> 16 de julio de 2013 debe aplicarse de forma obligatoria </w:t>
      </w:r>
      <w:r w:rsidR="006956AF">
        <w:rPr>
          <w:rFonts w:ascii="Cambria" w:hAnsi="Cambria"/>
          <w:sz w:val="20"/>
          <w:szCs w:val="20"/>
          <w:lang w:val="es-AR"/>
        </w:rPr>
        <w:t xml:space="preserve">en los </w:t>
      </w:r>
      <w:r w:rsidR="00F67788">
        <w:rPr>
          <w:rFonts w:ascii="Cambria" w:hAnsi="Cambria"/>
          <w:sz w:val="20"/>
          <w:szCs w:val="20"/>
          <w:lang w:val="es-AR"/>
        </w:rPr>
        <w:t>casos que se encuentren en trámite ante el Poder Judicial</w:t>
      </w:r>
      <w:r w:rsidR="006956AF">
        <w:rPr>
          <w:rFonts w:ascii="Cambria" w:hAnsi="Cambria"/>
          <w:sz w:val="20"/>
          <w:szCs w:val="20"/>
          <w:lang w:val="es-AR"/>
        </w:rPr>
        <w:t xml:space="preserve">, e incluso en las </w:t>
      </w:r>
      <w:r w:rsidR="00F67788">
        <w:rPr>
          <w:rFonts w:ascii="Cambria" w:hAnsi="Cambria"/>
          <w:sz w:val="20"/>
          <w:szCs w:val="20"/>
          <w:lang w:val="es-AR"/>
        </w:rPr>
        <w:t xml:space="preserve">causas con calidad de cosa juzgada que todavía no hayan calculado </w:t>
      </w:r>
      <w:r w:rsidR="00F35462">
        <w:rPr>
          <w:rFonts w:ascii="Cambria" w:hAnsi="Cambria"/>
          <w:sz w:val="20"/>
          <w:szCs w:val="20"/>
          <w:lang w:val="es-AR"/>
        </w:rPr>
        <w:t xml:space="preserve">de forma definitiva </w:t>
      </w:r>
      <w:r w:rsidR="00F67788">
        <w:rPr>
          <w:rFonts w:ascii="Cambria" w:hAnsi="Cambria"/>
          <w:sz w:val="20"/>
          <w:szCs w:val="20"/>
          <w:lang w:val="es-AR"/>
        </w:rPr>
        <w:t>el valor de la deuda</w:t>
      </w:r>
      <w:r w:rsidR="0038373B" w:rsidRPr="00F67788">
        <w:rPr>
          <w:rFonts w:ascii="Cambria" w:hAnsi="Cambria"/>
          <w:sz w:val="20"/>
          <w:szCs w:val="20"/>
          <w:lang w:val="es-AR"/>
        </w:rPr>
        <w:t xml:space="preserve">. Asimismo, precisó que si bien en su sentencia del 2 de agosto de 2004 señaló que tal fórmula solo era constitucional en tanto fuese opcional para el acreedor, tal </w:t>
      </w:r>
      <w:r w:rsidR="00863DFB" w:rsidRPr="00F67788">
        <w:rPr>
          <w:rFonts w:ascii="Cambria" w:hAnsi="Cambria"/>
          <w:sz w:val="20"/>
          <w:szCs w:val="20"/>
          <w:lang w:val="es-AR"/>
        </w:rPr>
        <w:t xml:space="preserve">resolución no tomó en consideración que </w:t>
      </w:r>
      <w:r w:rsidR="00F35462">
        <w:rPr>
          <w:rFonts w:ascii="Cambria" w:hAnsi="Cambria"/>
          <w:sz w:val="20"/>
          <w:szCs w:val="20"/>
          <w:lang w:val="es-AR"/>
        </w:rPr>
        <w:t>la mencionada</w:t>
      </w:r>
      <w:r w:rsidR="00863DFB" w:rsidRPr="00F67788">
        <w:rPr>
          <w:rFonts w:ascii="Cambria" w:hAnsi="Cambria"/>
          <w:sz w:val="20"/>
          <w:szCs w:val="20"/>
          <w:lang w:val="es-AR"/>
        </w:rPr>
        <w:t xml:space="preserve"> regla perjudicaba el principio de igualdad</w:t>
      </w:r>
      <w:r w:rsidR="00F35462">
        <w:rPr>
          <w:rFonts w:ascii="Cambria" w:hAnsi="Cambria"/>
          <w:sz w:val="20"/>
          <w:szCs w:val="20"/>
          <w:lang w:val="es-AR"/>
        </w:rPr>
        <w:t xml:space="preserve">, </w:t>
      </w:r>
      <w:r w:rsidR="00863DFB" w:rsidRPr="00F67788">
        <w:rPr>
          <w:rFonts w:ascii="Cambria" w:hAnsi="Cambria"/>
          <w:sz w:val="20"/>
          <w:szCs w:val="20"/>
          <w:lang w:val="es-AR"/>
        </w:rPr>
        <w:t xml:space="preserve">al afectar el equilibrio presupuestal y el cumplimiento de otras obligaciones básicas del Estado. </w:t>
      </w:r>
    </w:p>
    <w:p w:rsidR="00F35462" w:rsidRDefault="005C4C0D" w:rsidP="000A3638">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Añaden que </w:t>
      </w:r>
      <w:r w:rsidR="00DD3D83">
        <w:rPr>
          <w:rFonts w:ascii="Cambria" w:hAnsi="Cambria"/>
          <w:sz w:val="20"/>
          <w:szCs w:val="20"/>
          <w:lang w:val="es-AR"/>
        </w:rPr>
        <w:t>el 30 de septiembre de 2013 la Asociación de Bonista</w:t>
      </w:r>
      <w:r w:rsidR="006956AF">
        <w:rPr>
          <w:rFonts w:ascii="Cambria" w:hAnsi="Cambria"/>
          <w:sz w:val="20"/>
          <w:szCs w:val="20"/>
          <w:lang w:val="es-AR"/>
        </w:rPr>
        <w:t>s</w:t>
      </w:r>
      <w:r w:rsidR="00DD3D83">
        <w:rPr>
          <w:rFonts w:ascii="Cambria" w:hAnsi="Cambria"/>
          <w:sz w:val="20"/>
          <w:szCs w:val="20"/>
          <w:lang w:val="es-AR"/>
        </w:rPr>
        <w:t xml:space="preserve"> de la Deuda Agraria presentó</w:t>
      </w:r>
      <w:r w:rsidR="00C434C7">
        <w:rPr>
          <w:rFonts w:ascii="Cambria" w:hAnsi="Cambria"/>
          <w:sz w:val="20"/>
          <w:szCs w:val="20"/>
          <w:lang w:val="es-AR"/>
        </w:rPr>
        <w:t xml:space="preserve"> un nuevo </w:t>
      </w:r>
      <w:r w:rsidR="00DD3D83">
        <w:rPr>
          <w:rFonts w:ascii="Cambria" w:hAnsi="Cambria"/>
          <w:sz w:val="20"/>
          <w:szCs w:val="20"/>
          <w:lang w:val="es-AR"/>
        </w:rPr>
        <w:t xml:space="preserve">pedido de aclaración al Tribunal Constitucional, solicitando </w:t>
      </w:r>
      <w:r w:rsidR="006956AF">
        <w:rPr>
          <w:rFonts w:ascii="Cambria" w:hAnsi="Cambria"/>
          <w:sz w:val="20"/>
          <w:szCs w:val="20"/>
          <w:lang w:val="es-AR"/>
        </w:rPr>
        <w:t>que</w:t>
      </w:r>
      <w:r w:rsidR="00DD3D83">
        <w:rPr>
          <w:rFonts w:ascii="Cambria" w:hAnsi="Cambria"/>
          <w:sz w:val="20"/>
          <w:szCs w:val="20"/>
          <w:lang w:val="es-AR"/>
        </w:rPr>
        <w:t xml:space="preserve"> explique el sustento empleado en </w:t>
      </w:r>
      <w:r w:rsidR="006956AF">
        <w:rPr>
          <w:rFonts w:ascii="Cambria" w:hAnsi="Cambria"/>
          <w:sz w:val="20"/>
          <w:szCs w:val="20"/>
          <w:lang w:val="es-AR"/>
        </w:rPr>
        <w:t>el auto de ejecución</w:t>
      </w:r>
      <w:r w:rsidR="00DD3D83">
        <w:rPr>
          <w:rFonts w:ascii="Cambria" w:hAnsi="Cambria"/>
          <w:sz w:val="20"/>
          <w:szCs w:val="20"/>
          <w:lang w:val="es-AR"/>
        </w:rPr>
        <w:t xml:space="preserve"> del 16 de julio de 2013 para concluir que la aplicación del Índice de Precios al Consumidor haría impracticable el pago de la deuda agraria, entre otros puntos. Indican que el 4 de noviembre de 2013 el referido órgano jurisdiccional </w:t>
      </w:r>
      <w:r w:rsidR="00C434C7">
        <w:rPr>
          <w:rFonts w:ascii="Cambria" w:hAnsi="Cambria"/>
          <w:sz w:val="20"/>
          <w:szCs w:val="20"/>
          <w:lang w:val="es-AR"/>
        </w:rPr>
        <w:t xml:space="preserve">emitió un tercer auto, en el que </w:t>
      </w:r>
      <w:r w:rsidR="000A3638">
        <w:rPr>
          <w:rFonts w:ascii="Cambria" w:hAnsi="Cambria"/>
          <w:sz w:val="20"/>
          <w:szCs w:val="20"/>
          <w:lang w:val="es-AR"/>
        </w:rPr>
        <w:t xml:space="preserve">se </w:t>
      </w:r>
      <w:r w:rsidR="006956AF">
        <w:rPr>
          <w:rFonts w:ascii="Cambria" w:hAnsi="Cambria"/>
          <w:sz w:val="20"/>
          <w:szCs w:val="20"/>
          <w:lang w:val="es-AR"/>
        </w:rPr>
        <w:t>reiteró</w:t>
      </w:r>
      <w:r w:rsidR="000A3638">
        <w:rPr>
          <w:rFonts w:ascii="Cambria" w:hAnsi="Cambria"/>
          <w:sz w:val="20"/>
          <w:szCs w:val="20"/>
          <w:lang w:val="es-AR"/>
        </w:rPr>
        <w:t xml:space="preserve"> lo dispuesto en su</w:t>
      </w:r>
      <w:r w:rsidR="0032479E">
        <w:rPr>
          <w:rFonts w:ascii="Cambria" w:hAnsi="Cambria"/>
          <w:sz w:val="20"/>
          <w:szCs w:val="20"/>
          <w:lang w:val="es-AR"/>
        </w:rPr>
        <w:t>s</w:t>
      </w:r>
      <w:r w:rsidR="000A3638">
        <w:rPr>
          <w:rFonts w:ascii="Cambria" w:hAnsi="Cambria"/>
          <w:sz w:val="20"/>
          <w:szCs w:val="20"/>
          <w:lang w:val="es-AR"/>
        </w:rPr>
        <w:t xml:space="preserve"> resoluci</w:t>
      </w:r>
      <w:r w:rsidR="0032479E">
        <w:rPr>
          <w:rFonts w:ascii="Cambria" w:hAnsi="Cambria"/>
          <w:sz w:val="20"/>
          <w:szCs w:val="20"/>
          <w:lang w:val="es-AR"/>
        </w:rPr>
        <w:t>ones previas e i</w:t>
      </w:r>
      <w:r w:rsidR="006956AF">
        <w:rPr>
          <w:rFonts w:ascii="Cambria" w:hAnsi="Cambria"/>
          <w:sz w:val="20"/>
          <w:szCs w:val="20"/>
          <w:lang w:val="es-AR"/>
        </w:rPr>
        <w:t>ndicó</w:t>
      </w:r>
      <w:r w:rsidR="0032479E">
        <w:rPr>
          <w:rFonts w:ascii="Cambria" w:hAnsi="Cambria"/>
          <w:sz w:val="20"/>
          <w:szCs w:val="20"/>
          <w:lang w:val="es-AR"/>
        </w:rPr>
        <w:t xml:space="preserve"> que le </w:t>
      </w:r>
      <w:r w:rsidR="006956AF">
        <w:rPr>
          <w:rFonts w:ascii="Cambria" w:hAnsi="Cambria"/>
          <w:sz w:val="20"/>
          <w:szCs w:val="20"/>
          <w:lang w:val="es-AR"/>
        </w:rPr>
        <w:t>c</w:t>
      </w:r>
      <w:r w:rsidR="0032479E">
        <w:rPr>
          <w:rFonts w:ascii="Cambria" w:hAnsi="Cambria"/>
          <w:sz w:val="20"/>
          <w:szCs w:val="20"/>
          <w:lang w:val="es-AR"/>
        </w:rPr>
        <w:t>orresponde al Ministerio de Economía y Finanzas calcular el valor que arrojaría la actualización según el método de la dolarización</w:t>
      </w:r>
      <w:r w:rsidR="006956AF">
        <w:rPr>
          <w:rFonts w:ascii="Cambria" w:hAnsi="Cambria"/>
          <w:sz w:val="20"/>
          <w:szCs w:val="20"/>
          <w:lang w:val="es-AR"/>
        </w:rPr>
        <w:t>.</w:t>
      </w:r>
      <w:r w:rsidR="0032479E">
        <w:rPr>
          <w:rFonts w:ascii="Cambria" w:hAnsi="Cambria"/>
          <w:sz w:val="20"/>
          <w:szCs w:val="20"/>
          <w:lang w:val="es-AR"/>
        </w:rPr>
        <w:t xml:space="preserve"> </w:t>
      </w:r>
      <w:r w:rsidR="000A3638">
        <w:rPr>
          <w:rFonts w:ascii="Cambria" w:hAnsi="Cambria"/>
          <w:sz w:val="20"/>
          <w:szCs w:val="20"/>
          <w:lang w:val="es-AR"/>
        </w:rPr>
        <w:t xml:space="preserve"> </w:t>
      </w:r>
    </w:p>
    <w:p w:rsidR="00C434C7" w:rsidRDefault="00C434C7" w:rsidP="000A3638">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Agregan que el 8 de agosto de 2013 y el 15 de julio de 2014 el Colegio de Abogados de Ica solicitó al Tribunal Constitucional, respectivamente, la ejecución de la sentencia N</w:t>
      </w:r>
      <w:r w:rsidRPr="00703BA2">
        <w:rPr>
          <w:rFonts w:ascii="Cambria" w:hAnsi="Cambria"/>
          <w:sz w:val="20"/>
          <w:szCs w:val="20"/>
        </w:rPr>
        <w:t>º</w:t>
      </w:r>
      <w:r>
        <w:rPr>
          <w:rFonts w:ascii="Cambria" w:hAnsi="Cambria"/>
          <w:sz w:val="20"/>
          <w:szCs w:val="20"/>
        </w:rPr>
        <w:t xml:space="preserve"> 0009-2004-AI/TC y, en calidad de tercero interesado, la nulidad de los </w:t>
      </w:r>
      <w:r w:rsidR="006956AF">
        <w:rPr>
          <w:rFonts w:ascii="Cambria" w:hAnsi="Cambria"/>
          <w:sz w:val="20"/>
          <w:szCs w:val="20"/>
        </w:rPr>
        <w:t xml:space="preserve">referidos </w:t>
      </w:r>
      <w:r>
        <w:rPr>
          <w:rFonts w:ascii="Cambria" w:hAnsi="Cambria"/>
          <w:sz w:val="20"/>
          <w:szCs w:val="20"/>
        </w:rPr>
        <w:t>autos de ejecución del 16 de julio</w:t>
      </w:r>
      <w:r w:rsidR="00D55060">
        <w:rPr>
          <w:rFonts w:ascii="Cambria" w:hAnsi="Cambria"/>
          <w:sz w:val="20"/>
          <w:szCs w:val="20"/>
        </w:rPr>
        <w:t xml:space="preserve"> del 2013</w:t>
      </w:r>
      <w:r>
        <w:rPr>
          <w:rFonts w:ascii="Cambria" w:hAnsi="Cambria"/>
          <w:sz w:val="20"/>
          <w:szCs w:val="20"/>
        </w:rPr>
        <w:t>, 8 de agosto</w:t>
      </w:r>
      <w:r w:rsidR="00D55060">
        <w:rPr>
          <w:rFonts w:ascii="Cambria" w:hAnsi="Cambria"/>
          <w:sz w:val="20"/>
          <w:szCs w:val="20"/>
        </w:rPr>
        <w:t xml:space="preserve"> del 2013</w:t>
      </w:r>
      <w:r>
        <w:rPr>
          <w:rFonts w:ascii="Cambria" w:hAnsi="Cambria"/>
          <w:sz w:val="20"/>
          <w:szCs w:val="20"/>
        </w:rPr>
        <w:t xml:space="preserve"> y 4 de noviembre del 2013. </w:t>
      </w:r>
      <w:r w:rsidR="00D55060">
        <w:rPr>
          <w:rFonts w:ascii="Cambria" w:hAnsi="Cambria"/>
          <w:sz w:val="20"/>
          <w:szCs w:val="20"/>
        </w:rPr>
        <w:t xml:space="preserve">Refieren que, respecto a la solicitud de ejecución de sentencia, el 25 de marzo de 2015 el citado órgano jurisdiccional declaró improcedente el pedido, al considerar que el debate había sido resuelto con la emisión de los tres autos previamente citados. En relación con el recurso de nulidad, alegan que el 1 de abril de 2015 el Tribunal Constitucional declaró en última instancia su improcedencia. </w:t>
      </w:r>
    </w:p>
    <w:p w:rsidR="00664581" w:rsidRDefault="00D55060" w:rsidP="000A3638">
      <w:pPr>
        <w:numPr>
          <w:ilvl w:val="0"/>
          <w:numId w:val="103"/>
        </w:numPr>
        <w:suppressAutoHyphens/>
        <w:spacing w:after="240"/>
        <w:jc w:val="both"/>
        <w:rPr>
          <w:rFonts w:ascii="Cambria" w:hAnsi="Cambria"/>
          <w:sz w:val="20"/>
          <w:szCs w:val="20"/>
          <w:lang w:val="es-AR"/>
        </w:rPr>
      </w:pPr>
      <w:r w:rsidRPr="006D049E">
        <w:rPr>
          <w:rFonts w:ascii="Cambria" w:hAnsi="Cambria"/>
          <w:sz w:val="20"/>
          <w:szCs w:val="20"/>
          <w:lang w:val="es-AR"/>
        </w:rPr>
        <w:lastRenderedPageBreak/>
        <w:t xml:space="preserve">Los peticionarios denuncian que las citadas decisiones violaron </w:t>
      </w:r>
      <w:r w:rsidR="00E271BC">
        <w:rPr>
          <w:rFonts w:ascii="Cambria" w:hAnsi="Cambria"/>
          <w:sz w:val="20"/>
          <w:szCs w:val="20"/>
          <w:lang w:val="es-AR"/>
        </w:rPr>
        <w:t xml:space="preserve">los </w:t>
      </w:r>
      <w:r w:rsidR="00E271BC" w:rsidRPr="006D049E">
        <w:rPr>
          <w:rFonts w:ascii="Cambria" w:hAnsi="Cambria"/>
          <w:sz w:val="20"/>
          <w:szCs w:val="20"/>
          <w:lang w:val="es-AR"/>
        </w:rPr>
        <w:t>derechos</w:t>
      </w:r>
      <w:r w:rsidRPr="006D049E">
        <w:rPr>
          <w:rFonts w:ascii="Cambria" w:hAnsi="Cambria"/>
          <w:sz w:val="20"/>
          <w:szCs w:val="20"/>
          <w:lang w:val="es-AR"/>
        </w:rPr>
        <w:t xml:space="preserve"> a la propiedad </w:t>
      </w:r>
      <w:r w:rsidR="00664581">
        <w:rPr>
          <w:rFonts w:ascii="Cambria" w:hAnsi="Cambria"/>
          <w:sz w:val="20"/>
          <w:szCs w:val="20"/>
          <w:lang w:val="es-AR"/>
        </w:rPr>
        <w:t>e</w:t>
      </w:r>
      <w:r w:rsidRPr="006D049E">
        <w:rPr>
          <w:rFonts w:ascii="Cambria" w:hAnsi="Cambria"/>
          <w:sz w:val="20"/>
          <w:szCs w:val="20"/>
          <w:lang w:val="es-AR"/>
        </w:rPr>
        <w:t xml:space="preserve"> igualdad</w:t>
      </w:r>
      <w:r w:rsidR="00664581">
        <w:rPr>
          <w:rFonts w:ascii="Cambria" w:hAnsi="Cambria"/>
          <w:sz w:val="20"/>
          <w:szCs w:val="20"/>
          <w:lang w:val="es-AR"/>
        </w:rPr>
        <w:t xml:space="preserve"> en perjuicio de las presuntas víctimas</w:t>
      </w:r>
      <w:r w:rsidRPr="006D049E">
        <w:rPr>
          <w:rFonts w:ascii="Cambria" w:hAnsi="Cambria"/>
          <w:sz w:val="20"/>
          <w:szCs w:val="20"/>
          <w:lang w:val="es-AR"/>
        </w:rPr>
        <w:t xml:space="preserve">. </w:t>
      </w:r>
      <w:r w:rsidR="00114C88">
        <w:rPr>
          <w:rFonts w:ascii="Cambria" w:hAnsi="Cambria"/>
          <w:sz w:val="20"/>
          <w:szCs w:val="20"/>
          <w:lang w:val="es-AR"/>
        </w:rPr>
        <w:t>Argumentan que el citado método de la dolarización únicamente se aplica para calcular el valor actualizado de los Bonos de la Deuda Agraria y no</w:t>
      </w:r>
      <w:r w:rsidR="003F419C">
        <w:rPr>
          <w:rFonts w:ascii="Cambria" w:hAnsi="Cambria"/>
          <w:sz w:val="20"/>
          <w:szCs w:val="20"/>
          <w:lang w:val="es-AR"/>
        </w:rPr>
        <w:t xml:space="preserve"> para</w:t>
      </w:r>
      <w:r w:rsidR="00114C88">
        <w:rPr>
          <w:rFonts w:ascii="Cambria" w:hAnsi="Cambria"/>
          <w:sz w:val="20"/>
          <w:szCs w:val="20"/>
          <w:lang w:val="es-AR"/>
        </w:rPr>
        <w:t xml:space="preserve"> las demás deudas del Estado peruano, lo que configura un trato desigual injustificado en desmedro de</w:t>
      </w:r>
      <w:r w:rsidR="00664581">
        <w:rPr>
          <w:rFonts w:ascii="Cambria" w:hAnsi="Cambria"/>
          <w:sz w:val="20"/>
          <w:szCs w:val="20"/>
          <w:lang w:val="es-AR"/>
        </w:rPr>
        <w:t>l</w:t>
      </w:r>
      <w:r w:rsidR="00114C88">
        <w:rPr>
          <w:rFonts w:ascii="Cambria" w:hAnsi="Cambria"/>
          <w:sz w:val="20"/>
          <w:szCs w:val="20"/>
          <w:lang w:val="es-AR"/>
        </w:rPr>
        <w:t xml:space="preserve"> derecho a la propiedad</w:t>
      </w:r>
      <w:r w:rsidR="00664581">
        <w:rPr>
          <w:rFonts w:ascii="Cambria" w:hAnsi="Cambria"/>
          <w:sz w:val="20"/>
          <w:szCs w:val="20"/>
          <w:lang w:val="es-AR"/>
        </w:rPr>
        <w:t xml:space="preserve"> de tales personas</w:t>
      </w:r>
      <w:r w:rsidR="00114C88">
        <w:rPr>
          <w:rFonts w:ascii="Cambria" w:hAnsi="Cambria"/>
          <w:sz w:val="20"/>
          <w:szCs w:val="20"/>
          <w:lang w:val="es-AR"/>
        </w:rPr>
        <w:t xml:space="preserve">. </w:t>
      </w:r>
      <w:r w:rsidR="00664581">
        <w:rPr>
          <w:rFonts w:ascii="Cambria" w:hAnsi="Cambria"/>
          <w:sz w:val="20"/>
          <w:szCs w:val="20"/>
          <w:lang w:val="es-AR"/>
        </w:rPr>
        <w:t>Asimismo</w:t>
      </w:r>
      <w:r w:rsidR="00024DE2">
        <w:rPr>
          <w:rFonts w:ascii="Cambria" w:hAnsi="Cambria"/>
          <w:sz w:val="20"/>
          <w:szCs w:val="20"/>
          <w:lang w:val="es-AR"/>
        </w:rPr>
        <w:t>,</w:t>
      </w:r>
      <w:r w:rsidR="00664581">
        <w:rPr>
          <w:rFonts w:ascii="Cambria" w:hAnsi="Cambria"/>
          <w:sz w:val="20"/>
          <w:szCs w:val="20"/>
          <w:lang w:val="es-AR"/>
        </w:rPr>
        <w:t xml:space="preserve"> </w:t>
      </w:r>
      <w:r w:rsidR="00024DE2">
        <w:rPr>
          <w:rFonts w:ascii="Cambria" w:hAnsi="Cambria"/>
          <w:sz w:val="20"/>
          <w:szCs w:val="20"/>
          <w:lang w:val="es-AR"/>
        </w:rPr>
        <w:t>aducen</w:t>
      </w:r>
      <w:r w:rsidR="00664581">
        <w:rPr>
          <w:rFonts w:ascii="Cambria" w:hAnsi="Cambria"/>
          <w:sz w:val="20"/>
          <w:szCs w:val="20"/>
          <w:lang w:val="es-AR"/>
        </w:rPr>
        <w:t xml:space="preserve"> que existe una violación a las garantías judiciales y a la protección judicial, toda vez que las presuntas víctimas no cuentan con un recurso para cuestionar el citado método de pago, ya que las cuestionadas resoluciones del Tribunal Constitucional </w:t>
      </w:r>
      <w:r w:rsidR="00D23807">
        <w:rPr>
          <w:rFonts w:ascii="Cambria" w:hAnsi="Cambria"/>
          <w:sz w:val="20"/>
          <w:szCs w:val="20"/>
          <w:lang w:val="es-AR"/>
        </w:rPr>
        <w:t xml:space="preserve">establecieron que todas las autoridades administrativas y judiciales están obligadas a seguir tal fórmula de valorización de la deuda. </w:t>
      </w:r>
      <w:r w:rsidR="00664581">
        <w:rPr>
          <w:rFonts w:ascii="Cambria" w:hAnsi="Cambria"/>
          <w:sz w:val="20"/>
          <w:szCs w:val="20"/>
          <w:lang w:val="es-AR"/>
        </w:rPr>
        <w:t xml:space="preserve"> </w:t>
      </w:r>
    </w:p>
    <w:p w:rsidR="00D23807" w:rsidRPr="007B4935" w:rsidRDefault="00D23807" w:rsidP="000A3638">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Por otro lado, </w:t>
      </w:r>
      <w:r w:rsidR="00024DE2">
        <w:rPr>
          <w:rFonts w:ascii="Cambria" w:hAnsi="Cambria"/>
          <w:sz w:val="20"/>
          <w:szCs w:val="20"/>
          <w:lang w:val="es-AR"/>
        </w:rPr>
        <w:t>alegan</w:t>
      </w:r>
      <w:r w:rsidR="008178E4">
        <w:rPr>
          <w:rFonts w:ascii="Cambria" w:hAnsi="Cambria"/>
          <w:sz w:val="20"/>
          <w:szCs w:val="20"/>
          <w:lang w:val="es-AR"/>
        </w:rPr>
        <w:t xml:space="preserve"> que la presente petición es diferente a la resuelta por la CIDH en </w:t>
      </w:r>
      <w:r w:rsidR="008178E4">
        <w:rPr>
          <w:rFonts w:ascii="Cambria" w:hAnsi="Cambria"/>
          <w:sz w:val="20"/>
          <w:szCs w:val="20"/>
        </w:rPr>
        <w:t xml:space="preserve">informe de inadmisibilidad </w:t>
      </w:r>
      <w:r w:rsidR="008178E4">
        <w:rPr>
          <w:rFonts w:ascii="Cambria" w:hAnsi="Cambria"/>
          <w:sz w:val="20"/>
          <w:szCs w:val="20"/>
          <w:lang w:val="es-AR"/>
        </w:rPr>
        <w:t>N</w:t>
      </w:r>
      <w:r w:rsidR="008178E4" w:rsidRPr="00703BA2">
        <w:rPr>
          <w:rFonts w:ascii="Cambria" w:hAnsi="Cambria"/>
          <w:sz w:val="20"/>
          <w:szCs w:val="20"/>
        </w:rPr>
        <w:t>º</w:t>
      </w:r>
      <w:r w:rsidR="008178E4">
        <w:rPr>
          <w:rFonts w:ascii="Cambria" w:hAnsi="Cambria"/>
          <w:sz w:val="20"/>
          <w:szCs w:val="20"/>
        </w:rPr>
        <w:t xml:space="preserve"> 166/11, referida también a la situación de los acreedores de la deuda agraria. Sostienen que, en dicho informe, la CIDH declaró inadmisible la petición por falta de agotamiento</w:t>
      </w:r>
      <w:r w:rsidR="00024DE2">
        <w:rPr>
          <w:rFonts w:ascii="Cambria" w:hAnsi="Cambria"/>
          <w:sz w:val="20"/>
          <w:szCs w:val="20"/>
        </w:rPr>
        <w:t xml:space="preserve"> de los recursos internos</w:t>
      </w:r>
      <w:r w:rsidR="008178E4">
        <w:rPr>
          <w:rFonts w:ascii="Cambria" w:hAnsi="Cambria"/>
          <w:sz w:val="20"/>
          <w:szCs w:val="20"/>
        </w:rPr>
        <w:t>,</w:t>
      </w:r>
      <w:r w:rsidR="003F419C">
        <w:rPr>
          <w:rFonts w:ascii="Cambria" w:hAnsi="Cambria"/>
          <w:sz w:val="20"/>
          <w:szCs w:val="20"/>
        </w:rPr>
        <w:t xml:space="preserve"> argumentando que, conforme a</w:t>
      </w:r>
      <w:r w:rsidR="008178E4">
        <w:rPr>
          <w:rFonts w:ascii="Cambria" w:hAnsi="Cambria"/>
          <w:sz w:val="20"/>
          <w:szCs w:val="20"/>
        </w:rPr>
        <w:t xml:space="preserve"> la sentencia recaída </w:t>
      </w:r>
      <w:r w:rsidR="008178E4">
        <w:rPr>
          <w:rFonts w:ascii="Cambria" w:hAnsi="Cambria"/>
          <w:sz w:val="20"/>
          <w:szCs w:val="20"/>
          <w:lang w:val="es-AR"/>
        </w:rPr>
        <w:t>en el expediente N</w:t>
      </w:r>
      <w:r w:rsidR="008178E4" w:rsidRPr="00703BA2">
        <w:rPr>
          <w:rFonts w:ascii="Cambria" w:hAnsi="Cambria"/>
          <w:sz w:val="20"/>
          <w:szCs w:val="20"/>
        </w:rPr>
        <w:t>º</w:t>
      </w:r>
      <w:r w:rsidR="008178E4">
        <w:rPr>
          <w:rFonts w:ascii="Cambria" w:hAnsi="Cambria"/>
          <w:sz w:val="20"/>
          <w:szCs w:val="20"/>
        </w:rPr>
        <w:t xml:space="preserve"> 022-96-I/TC</w:t>
      </w:r>
      <w:r w:rsidR="003F419C">
        <w:rPr>
          <w:rFonts w:ascii="Cambria" w:hAnsi="Cambria"/>
          <w:sz w:val="20"/>
          <w:szCs w:val="20"/>
        </w:rPr>
        <w:t xml:space="preserve"> d</w:t>
      </w:r>
      <w:r w:rsidR="003F419C">
        <w:rPr>
          <w:rFonts w:ascii="Cambria" w:hAnsi="Cambria"/>
          <w:sz w:val="20"/>
          <w:szCs w:val="20"/>
          <w:lang w:val="es-AR"/>
        </w:rPr>
        <w:t>el 11 de mayo de 2001</w:t>
      </w:r>
      <w:r w:rsidR="008178E4">
        <w:rPr>
          <w:rFonts w:ascii="Cambria" w:hAnsi="Cambria"/>
          <w:sz w:val="20"/>
          <w:szCs w:val="20"/>
        </w:rPr>
        <w:t xml:space="preserve">, existía en el ordenamiento jurídico peruano una vía idónea de pago de bonos por medio del proceso de conocimiento en la vía civil. </w:t>
      </w:r>
      <w:r w:rsidR="003F419C">
        <w:rPr>
          <w:rFonts w:ascii="Cambria" w:hAnsi="Cambria"/>
          <w:sz w:val="20"/>
          <w:szCs w:val="20"/>
        </w:rPr>
        <w:t>Al respecto, los peticionarios argumentan</w:t>
      </w:r>
      <w:r w:rsidR="008178E4">
        <w:rPr>
          <w:rFonts w:ascii="Cambria" w:hAnsi="Cambria"/>
          <w:sz w:val="20"/>
          <w:szCs w:val="20"/>
        </w:rPr>
        <w:t xml:space="preserve"> que las nuevas resoluciones adoptadas por el Tribunal Constitucional han generado que tal vía ya no sea adecuada para</w:t>
      </w:r>
      <w:r w:rsidR="007B4935">
        <w:rPr>
          <w:rFonts w:ascii="Cambria" w:hAnsi="Cambria"/>
          <w:sz w:val="20"/>
          <w:szCs w:val="20"/>
        </w:rPr>
        <w:t xml:space="preserve"> acceder a</w:t>
      </w:r>
      <w:r w:rsidR="008178E4">
        <w:rPr>
          <w:rFonts w:ascii="Cambria" w:hAnsi="Cambria"/>
          <w:sz w:val="20"/>
          <w:szCs w:val="20"/>
        </w:rPr>
        <w:t xml:space="preserve"> una indemnización justa, toda vez que los órganos internos </w:t>
      </w:r>
      <w:r w:rsidR="00024DE2">
        <w:rPr>
          <w:rFonts w:ascii="Cambria" w:hAnsi="Cambria"/>
          <w:sz w:val="20"/>
          <w:szCs w:val="20"/>
        </w:rPr>
        <w:t>estarían</w:t>
      </w:r>
      <w:r w:rsidR="008178E4">
        <w:rPr>
          <w:rFonts w:ascii="Cambria" w:hAnsi="Cambria"/>
          <w:sz w:val="20"/>
          <w:szCs w:val="20"/>
        </w:rPr>
        <w:t xml:space="preserve"> obligados a aplicar el cuestionado método de la dolarización.</w:t>
      </w:r>
    </w:p>
    <w:p w:rsidR="007B4935" w:rsidRPr="00163E54" w:rsidRDefault="007B4935" w:rsidP="003F419C">
      <w:pPr>
        <w:numPr>
          <w:ilvl w:val="0"/>
          <w:numId w:val="103"/>
        </w:numPr>
        <w:suppressAutoHyphens/>
        <w:spacing w:after="240"/>
        <w:jc w:val="both"/>
        <w:rPr>
          <w:rFonts w:ascii="Cambria" w:hAnsi="Cambria"/>
          <w:sz w:val="20"/>
          <w:szCs w:val="20"/>
        </w:rPr>
      </w:pPr>
      <w:r>
        <w:rPr>
          <w:rFonts w:ascii="Cambria" w:hAnsi="Cambria"/>
          <w:sz w:val="20"/>
          <w:szCs w:val="20"/>
        </w:rPr>
        <w:t xml:space="preserve">En razón a ello, enfatizan que las presuntas víctimas están exceptuadas de agotar la vía interna, de conformidad con lo dispuesto por el artículo 46.2.a de la Convención Americana, toda que no </w:t>
      </w:r>
      <w:r w:rsidR="006317DB">
        <w:rPr>
          <w:rFonts w:ascii="Cambria" w:hAnsi="Cambria"/>
          <w:sz w:val="20"/>
          <w:szCs w:val="20"/>
        </w:rPr>
        <w:t>existiría, a su juicio,</w:t>
      </w:r>
      <w:r>
        <w:rPr>
          <w:rFonts w:ascii="Cambria" w:hAnsi="Cambria"/>
          <w:sz w:val="20"/>
          <w:szCs w:val="20"/>
        </w:rPr>
        <w:t xml:space="preserve"> un recurso judicial </w:t>
      </w:r>
      <w:r w:rsidR="006317DB">
        <w:rPr>
          <w:rFonts w:ascii="Cambria" w:hAnsi="Cambria"/>
          <w:sz w:val="20"/>
          <w:szCs w:val="20"/>
        </w:rPr>
        <w:t xml:space="preserve">adecuado y efectivo </w:t>
      </w:r>
      <w:r>
        <w:rPr>
          <w:rFonts w:ascii="Cambria" w:hAnsi="Cambria"/>
          <w:sz w:val="20"/>
          <w:szCs w:val="20"/>
        </w:rPr>
        <w:t xml:space="preserve">para la protección de los derechos alegados. </w:t>
      </w:r>
      <w:r w:rsidR="00163E54">
        <w:rPr>
          <w:rFonts w:ascii="Cambria" w:hAnsi="Cambria"/>
          <w:sz w:val="20"/>
          <w:szCs w:val="20"/>
        </w:rPr>
        <w:t>Indican</w:t>
      </w:r>
      <w:r>
        <w:rPr>
          <w:rFonts w:ascii="Cambria" w:hAnsi="Cambria"/>
          <w:sz w:val="20"/>
          <w:szCs w:val="20"/>
        </w:rPr>
        <w:t xml:space="preserve"> </w:t>
      </w:r>
      <w:r w:rsidR="006317DB">
        <w:rPr>
          <w:rFonts w:ascii="Cambria" w:hAnsi="Cambria"/>
          <w:sz w:val="20"/>
          <w:szCs w:val="20"/>
        </w:rPr>
        <w:t>que,</w:t>
      </w:r>
      <w:r>
        <w:rPr>
          <w:rFonts w:ascii="Cambria" w:hAnsi="Cambria"/>
          <w:sz w:val="20"/>
          <w:szCs w:val="20"/>
        </w:rPr>
        <w:t xml:space="preserve"> </w:t>
      </w:r>
      <w:r w:rsidR="00163E54">
        <w:rPr>
          <w:rFonts w:ascii="Cambria" w:hAnsi="Cambria"/>
          <w:sz w:val="20"/>
          <w:szCs w:val="20"/>
        </w:rPr>
        <w:t>si bien las citadas personas iniciaron individualmente procesos en la vía civil para obtener el pago a valor actualizado, tal</w:t>
      </w:r>
      <w:r w:rsidR="003F419C">
        <w:rPr>
          <w:rFonts w:ascii="Cambria" w:hAnsi="Cambria"/>
          <w:sz w:val="20"/>
          <w:szCs w:val="20"/>
        </w:rPr>
        <w:t>es</w:t>
      </w:r>
      <w:r w:rsidR="00163E54">
        <w:rPr>
          <w:rFonts w:ascii="Cambria" w:hAnsi="Cambria"/>
          <w:sz w:val="20"/>
          <w:szCs w:val="20"/>
        </w:rPr>
        <w:t xml:space="preserve"> proceso</w:t>
      </w:r>
      <w:r w:rsidR="003F419C">
        <w:rPr>
          <w:rFonts w:ascii="Cambria" w:hAnsi="Cambria"/>
          <w:sz w:val="20"/>
          <w:szCs w:val="20"/>
        </w:rPr>
        <w:t>s</w:t>
      </w:r>
      <w:r w:rsidR="00163E54">
        <w:rPr>
          <w:rFonts w:ascii="Cambria" w:hAnsi="Cambria"/>
          <w:sz w:val="20"/>
          <w:szCs w:val="20"/>
        </w:rPr>
        <w:t xml:space="preserve"> ya no resulta</w:t>
      </w:r>
      <w:r w:rsidR="003F419C">
        <w:rPr>
          <w:rFonts w:ascii="Cambria" w:hAnsi="Cambria"/>
          <w:sz w:val="20"/>
          <w:szCs w:val="20"/>
        </w:rPr>
        <w:t>n</w:t>
      </w:r>
      <w:r w:rsidR="00163E54">
        <w:rPr>
          <w:rFonts w:ascii="Cambria" w:hAnsi="Cambria"/>
          <w:sz w:val="20"/>
          <w:szCs w:val="20"/>
        </w:rPr>
        <w:t xml:space="preserve"> adecuado</w:t>
      </w:r>
      <w:r w:rsidR="003F419C">
        <w:rPr>
          <w:rFonts w:ascii="Cambria" w:hAnsi="Cambria"/>
          <w:sz w:val="20"/>
          <w:szCs w:val="20"/>
        </w:rPr>
        <w:t>s</w:t>
      </w:r>
      <w:r w:rsidR="00163E54">
        <w:rPr>
          <w:rFonts w:ascii="Cambria" w:hAnsi="Cambria"/>
          <w:sz w:val="20"/>
          <w:szCs w:val="20"/>
        </w:rPr>
        <w:t xml:space="preserve"> y efectivo</w:t>
      </w:r>
      <w:r w:rsidR="003F419C">
        <w:rPr>
          <w:rFonts w:ascii="Cambria" w:hAnsi="Cambria"/>
          <w:sz w:val="20"/>
          <w:szCs w:val="20"/>
        </w:rPr>
        <w:t>s</w:t>
      </w:r>
      <w:r w:rsidR="00163E54">
        <w:rPr>
          <w:rFonts w:ascii="Cambria" w:hAnsi="Cambria"/>
          <w:sz w:val="20"/>
          <w:szCs w:val="20"/>
        </w:rPr>
        <w:t xml:space="preserve">, pues las nuevas resoluciones del Tribunal Constitucional tienen efectos generales y obligan a los jueces a aplicar la </w:t>
      </w:r>
      <w:r w:rsidR="003F419C">
        <w:rPr>
          <w:rFonts w:ascii="Cambria" w:hAnsi="Cambria"/>
          <w:sz w:val="20"/>
          <w:szCs w:val="20"/>
        </w:rPr>
        <w:t>denunciada</w:t>
      </w:r>
      <w:r w:rsidR="00163E54">
        <w:rPr>
          <w:rFonts w:ascii="Cambria" w:hAnsi="Cambria"/>
          <w:sz w:val="20"/>
          <w:szCs w:val="20"/>
        </w:rPr>
        <w:t xml:space="preserve"> formula de dolarización. </w:t>
      </w:r>
      <w:r w:rsidR="002C7AE2">
        <w:rPr>
          <w:rFonts w:ascii="Cambria" w:hAnsi="Cambria"/>
          <w:sz w:val="20"/>
          <w:szCs w:val="20"/>
        </w:rPr>
        <w:t xml:space="preserve">Prueba de ello, es que la Corte Suprema ya ha anulado todo lo actuado </w:t>
      </w:r>
      <w:r w:rsidR="003F419C">
        <w:rPr>
          <w:rFonts w:ascii="Cambria" w:hAnsi="Cambria"/>
          <w:sz w:val="20"/>
          <w:szCs w:val="20"/>
        </w:rPr>
        <w:t>en algunos procesos referidos</w:t>
      </w:r>
      <w:r w:rsidR="002C7AE2">
        <w:rPr>
          <w:rFonts w:ascii="Cambria" w:hAnsi="Cambria"/>
          <w:sz w:val="20"/>
          <w:szCs w:val="20"/>
        </w:rPr>
        <w:t xml:space="preserve"> al cálculo y pago de los Bonos de la Deuda Agraria, con la finalidad que el juzgado de origen aplique las resoluciones del Tribunal Constitucional. Finalmente</w:t>
      </w:r>
      <w:r w:rsidR="00163E54">
        <w:rPr>
          <w:rFonts w:ascii="Cambria" w:hAnsi="Cambria"/>
          <w:sz w:val="20"/>
          <w:szCs w:val="20"/>
        </w:rPr>
        <w:t xml:space="preserve">, precisan que las presuntas víctimas tampoco </w:t>
      </w:r>
      <w:r w:rsidR="003F419C">
        <w:rPr>
          <w:rFonts w:ascii="Cambria" w:hAnsi="Cambria"/>
          <w:sz w:val="20"/>
          <w:szCs w:val="20"/>
        </w:rPr>
        <w:t>tuvieron la posibilidad de cuestionar tales autos de ejecución</w:t>
      </w:r>
      <w:r w:rsidR="00163E54">
        <w:rPr>
          <w:rFonts w:ascii="Cambria" w:hAnsi="Cambria"/>
          <w:sz w:val="20"/>
          <w:szCs w:val="20"/>
        </w:rPr>
        <w:t>, ya que no formaron parte del proceso</w:t>
      </w:r>
      <w:r w:rsidR="003F419C">
        <w:rPr>
          <w:rFonts w:ascii="Cambria" w:hAnsi="Cambria"/>
          <w:sz w:val="20"/>
          <w:szCs w:val="20"/>
        </w:rPr>
        <w:t xml:space="preserve"> de inconstitucionalidad</w:t>
      </w:r>
      <w:r w:rsidR="002C7AE2">
        <w:rPr>
          <w:rFonts w:ascii="Cambria" w:hAnsi="Cambria"/>
          <w:sz w:val="20"/>
          <w:szCs w:val="20"/>
        </w:rPr>
        <w:t xml:space="preserve">; </w:t>
      </w:r>
      <w:r w:rsidR="003F419C">
        <w:rPr>
          <w:rFonts w:ascii="Cambria" w:hAnsi="Cambria"/>
          <w:sz w:val="20"/>
          <w:szCs w:val="20"/>
        </w:rPr>
        <w:t>y tampoco pueden iniciar un proceso de amparo</w:t>
      </w:r>
      <w:r w:rsidR="002C7AE2">
        <w:rPr>
          <w:rFonts w:ascii="Cambria" w:hAnsi="Cambria"/>
          <w:sz w:val="20"/>
          <w:szCs w:val="20"/>
        </w:rPr>
        <w:t xml:space="preserve">, pues el citado tribunal es la última instancia de dicha vía. </w:t>
      </w:r>
    </w:p>
    <w:p w:rsidR="00C57214" w:rsidRPr="00C57214" w:rsidRDefault="00D55060" w:rsidP="00E308B8">
      <w:pPr>
        <w:numPr>
          <w:ilvl w:val="0"/>
          <w:numId w:val="103"/>
        </w:numPr>
        <w:suppressAutoHyphens/>
        <w:spacing w:after="240"/>
        <w:jc w:val="both"/>
        <w:rPr>
          <w:rFonts w:ascii="Cambria" w:hAnsi="Cambria"/>
          <w:sz w:val="20"/>
          <w:szCs w:val="20"/>
          <w:lang w:val="es-AR"/>
        </w:rPr>
      </w:pPr>
      <w:r w:rsidRPr="008C70A0">
        <w:rPr>
          <w:rFonts w:ascii="Cambria" w:hAnsi="Cambria"/>
          <w:sz w:val="20"/>
          <w:szCs w:val="20"/>
        </w:rPr>
        <w:t xml:space="preserve">El Estado, por su parte, </w:t>
      </w:r>
      <w:r w:rsidR="00761312">
        <w:rPr>
          <w:rFonts w:ascii="Cambria" w:hAnsi="Cambria"/>
          <w:sz w:val="20"/>
          <w:szCs w:val="20"/>
        </w:rPr>
        <w:t>plantea</w:t>
      </w:r>
      <w:r w:rsidRPr="008C70A0">
        <w:rPr>
          <w:rFonts w:ascii="Cambria" w:hAnsi="Cambria"/>
          <w:sz w:val="20"/>
          <w:szCs w:val="20"/>
        </w:rPr>
        <w:t xml:space="preserve"> que</w:t>
      </w:r>
      <w:r w:rsidR="008C70A0" w:rsidRPr="008C70A0">
        <w:rPr>
          <w:rFonts w:ascii="Cambria" w:hAnsi="Cambria"/>
          <w:sz w:val="20"/>
          <w:szCs w:val="20"/>
        </w:rPr>
        <w:t xml:space="preserve"> la petición es inadmisible </w:t>
      </w:r>
      <w:r w:rsidR="008A042F">
        <w:rPr>
          <w:rFonts w:ascii="Cambria" w:hAnsi="Cambria"/>
          <w:sz w:val="20"/>
          <w:szCs w:val="20"/>
        </w:rPr>
        <w:t>por falta de agotamiento de los recursos internos</w:t>
      </w:r>
      <w:r w:rsidR="008C70A0" w:rsidRPr="008C70A0">
        <w:rPr>
          <w:rFonts w:ascii="Cambria" w:hAnsi="Cambria"/>
          <w:sz w:val="20"/>
          <w:szCs w:val="20"/>
        </w:rPr>
        <w:t xml:space="preserve">. </w:t>
      </w:r>
      <w:r w:rsidR="008A042F">
        <w:rPr>
          <w:rFonts w:ascii="Cambria" w:hAnsi="Cambria"/>
          <w:sz w:val="20"/>
          <w:szCs w:val="20"/>
        </w:rPr>
        <w:t>Aduce</w:t>
      </w:r>
      <w:r w:rsidR="00F56539">
        <w:rPr>
          <w:rFonts w:ascii="Cambria" w:hAnsi="Cambria"/>
          <w:sz w:val="20"/>
          <w:szCs w:val="20"/>
        </w:rPr>
        <w:t xml:space="preserve"> que los peticionarios han reconocido expresamente que no </w:t>
      </w:r>
      <w:r w:rsidR="00C57214">
        <w:rPr>
          <w:rFonts w:ascii="Cambria" w:hAnsi="Cambria"/>
          <w:sz w:val="20"/>
          <w:szCs w:val="20"/>
        </w:rPr>
        <w:t>agotaron los recursos internos</w:t>
      </w:r>
      <w:r w:rsidR="00E308B8">
        <w:rPr>
          <w:rFonts w:ascii="Cambria" w:hAnsi="Cambria"/>
          <w:sz w:val="20"/>
          <w:szCs w:val="20"/>
        </w:rPr>
        <w:t>, al solicitar</w:t>
      </w:r>
      <w:r w:rsidR="003F419C">
        <w:rPr>
          <w:rFonts w:ascii="Cambria" w:hAnsi="Cambria"/>
          <w:sz w:val="20"/>
          <w:szCs w:val="20"/>
        </w:rPr>
        <w:t xml:space="preserve"> la</w:t>
      </w:r>
      <w:r w:rsidR="00E308B8">
        <w:rPr>
          <w:rFonts w:ascii="Cambria" w:hAnsi="Cambria"/>
          <w:sz w:val="20"/>
          <w:szCs w:val="20"/>
        </w:rPr>
        <w:t xml:space="preserve"> </w:t>
      </w:r>
      <w:r w:rsidR="00C57214">
        <w:rPr>
          <w:rFonts w:ascii="Cambria" w:hAnsi="Cambria"/>
          <w:sz w:val="20"/>
          <w:szCs w:val="20"/>
        </w:rPr>
        <w:t>excepción prevista en el artículo 46.2.a de la Convención Americana</w:t>
      </w:r>
      <w:r w:rsidR="003F419C">
        <w:rPr>
          <w:rFonts w:ascii="Cambria" w:hAnsi="Cambria"/>
          <w:sz w:val="20"/>
          <w:szCs w:val="20"/>
        </w:rPr>
        <w:t>. Al respecto</w:t>
      </w:r>
      <w:r w:rsidR="00C57214">
        <w:rPr>
          <w:rFonts w:ascii="Cambria" w:hAnsi="Cambria"/>
          <w:sz w:val="20"/>
          <w:szCs w:val="20"/>
        </w:rPr>
        <w:t xml:space="preserve">, sostiene que tal disposición no resulta aplicable al presente asunto, toda vez que sí existen los recursos y procesos legales para la protección de los derechos que se alegan violados. Señala </w:t>
      </w:r>
      <w:r w:rsidR="00E308B8">
        <w:rPr>
          <w:rFonts w:ascii="Cambria" w:hAnsi="Cambria"/>
          <w:sz w:val="20"/>
          <w:szCs w:val="20"/>
        </w:rPr>
        <w:t>que,</w:t>
      </w:r>
      <w:r w:rsidR="00C57214">
        <w:rPr>
          <w:rFonts w:ascii="Cambria" w:hAnsi="Cambria"/>
          <w:sz w:val="20"/>
          <w:szCs w:val="20"/>
        </w:rPr>
        <w:t xml:space="preserve"> si bien las presuntas víctimas </w:t>
      </w:r>
      <w:r w:rsidR="00E308B8">
        <w:rPr>
          <w:rFonts w:ascii="Cambria" w:hAnsi="Cambria"/>
          <w:sz w:val="20"/>
          <w:szCs w:val="20"/>
        </w:rPr>
        <w:t xml:space="preserve">no podían cuestionar las sentencias o autos emitidos en el marco de las citadas acciones de inconstitucionalidad por no formar parte del proceso, </w:t>
      </w:r>
      <w:r w:rsidR="003F419C">
        <w:rPr>
          <w:rFonts w:ascii="Cambria" w:hAnsi="Cambria"/>
          <w:sz w:val="20"/>
          <w:szCs w:val="20"/>
        </w:rPr>
        <w:t>tienen</w:t>
      </w:r>
      <w:r w:rsidR="00C57214">
        <w:rPr>
          <w:rFonts w:ascii="Cambria" w:hAnsi="Cambria"/>
          <w:sz w:val="20"/>
          <w:szCs w:val="20"/>
        </w:rPr>
        <w:t xml:space="preserve"> a su disposición la vía ordinaria civil</w:t>
      </w:r>
      <w:r w:rsidR="00E308B8">
        <w:rPr>
          <w:rFonts w:ascii="Cambria" w:hAnsi="Cambria"/>
          <w:sz w:val="20"/>
          <w:szCs w:val="20"/>
        </w:rPr>
        <w:t xml:space="preserve"> o el recurso de amparo</w:t>
      </w:r>
      <w:r w:rsidR="00C57214">
        <w:rPr>
          <w:rFonts w:ascii="Cambria" w:hAnsi="Cambria"/>
          <w:sz w:val="20"/>
          <w:szCs w:val="20"/>
        </w:rPr>
        <w:t xml:space="preserve"> para controvertir las consideraciones realizadas en los cuestionados autos del Tribunal Constitucional, relativas al cálculo del valor de los Bonos de la Deuda Agraria.</w:t>
      </w:r>
      <w:r w:rsidR="00E308B8">
        <w:rPr>
          <w:rFonts w:ascii="Cambria" w:hAnsi="Cambria"/>
          <w:sz w:val="20"/>
          <w:szCs w:val="20"/>
        </w:rPr>
        <w:t xml:space="preserve"> </w:t>
      </w:r>
    </w:p>
    <w:p w:rsidR="004C2FD0" w:rsidRDefault="00E308B8" w:rsidP="004C2FD0">
      <w:pPr>
        <w:numPr>
          <w:ilvl w:val="0"/>
          <w:numId w:val="103"/>
        </w:numPr>
        <w:suppressAutoHyphens/>
        <w:spacing w:after="240"/>
        <w:jc w:val="both"/>
        <w:rPr>
          <w:rFonts w:ascii="Cambria" w:hAnsi="Cambria"/>
          <w:sz w:val="20"/>
          <w:szCs w:val="20"/>
          <w:lang w:val="es-AR"/>
        </w:rPr>
      </w:pPr>
      <w:r>
        <w:rPr>
          <w:rFonts w:ascii="Cambria" w:hAnsi="Cambria"/>
          <w:sz w:val="20"/>
          <w:szCs w:val="20"/>
        </w:rPr>
        <w:t>En esa línea</w:t>
      </w:r>
      <w:r w:rsidR="008C70A0" w:rsidRPr="00C57214">
        <w:rPr>
          <w:rFonts w:ascii="Cambria" w:hAnsi="Cambria"/>
          <w:sz w:val="20"/>
          <w:szCs w:val="20"/>
        </w:rPr>
        <w:t xml:space="preserve">, </w:t>
      </w:r>
      <w:r w:rsidR="00C57214">
        <w:rPr>
          <w:rFonts w:ascii="Cambria" w:hAnsi="Cambria"/>
          <w:sz w:val="20"/>
          <w:szCs w:val="20"/>
        </w:rPr>
        <w:t xml:space="preserve">arguye </w:t>
      </w:r>
      <w:r>
        <w:rPr>
          <w:rFonts w:ascii="Cambria" w:hAnsi="Cambria"/>
          <w:sz w:val="20"/>
          <w:szCs w:val="20"/>
        </w:rPr>
        <w:t>que tanto en la vía civil como en la del amparo, los órganos de justicia p</w:t>
      </w:r>
      <w:r w:rsidR="003F419C">
        <w:rPr>
          <w:rFonts w:ascii="Cambria" w:hAnsi="Cambria"/>
          <w:sz w:val="20"/>
          <w:szCs w:val="20"/>
        </w:rPr>
        <w:t xml:space="preserve">ueden </w:t>
      </w:r>
      <w:r>
        <w:rPr>
          <w:rFonts w:ascii="Cambria" w:hAnsi="Cambria"/>
          <w:sz w:val="20"/>
          <w:szCs w:val="20"/>
        </w:rPr>
        <w:t xml:space="preserve">desvincularse de lo resuelto por el Tribunal Constitucional, en base a las técnicas jurídicas del </w:t>
      </w:r>
      <w:proofErr w:type="spellStart"/>
      <w:r>
        <w:rPr>
          <w:rFonts w:ascii="Cambria" w:hAnsi="Cambria"/>
          <w:i/>
          <w:iCs/>
          <w:sz w:val="20"/>
          <w:szCs w:val="20"/>
        </w:rPr>
        <w:t>distinguishing</w:t>
      </w:r>
      <w:proofErr w:type="spellEnd"/>
      <w:r>
        <w:rPr>
          <w:rFonts w:ascii="Cambria" w:hAnsi="Cambria"/>
          <w:i/>
          <w:iCs/>
          <w:sz w:val="20"/>
          <w:szCs w:val="20"/>
        </w:rPr>
        <w:t xml:space="preserve"> </w:t>
      </w:r>
      <w:r>
        <w:rPr>
          <w:rFonts w:ascii="Cambria" w:hAnsi="Cambria"/>
          <w:sz w:val="20"/>
          <w:szCs w:val="20"/>
        </w:rPr>
        <w:t xml:space="preserve">o el </w:t>
      </w:r>
      <w:proofErr w:type="spellStart"/>
      <w:r>
        <w:rPr>
          <w:rFonts w:ascii="Cambria" w:hAnsi="Cambria"/>
          <w:i/>
          <w:iCs/>
          <w:sz w:val="20"/>
          <w:szCs w:val="20"/>
        </w:rPr>
        <w:t>overuling</w:t>
      </w:r>
      <w:proofErr w:type="spellEnd"/>
      <w:r>
        <w:rPr>
          <w:rFonts w:ascii="Cambria" w:hAnsi="Cambria"/>
          <w:sz w:val="20"/>
          <w:szCs w:val="20"/>
        </w:rPr>
        <w:t xml:space="preserve">. Sostiene que en el </w:t>
      </w:r>
      <w:r w:rsidR="008178E4">
        <w:rPr>
          <w:rFonts w:ascii="Cambria" w:hAnsi="Cambria"/>
          <w:sz w:val="20"/>
          <w:szCs w:val="20"/>
        </w:rPr>
        <w:t xml:space="preserve">citado </w:t>
      </w:r>
      <w:r>
        <w:rPr>
          <w:rFonts w:ascii="Cambria" w:hAnsi="Cambria"/>
          <w:sz w:val="20"/>
          <w:szCs w:val="20"/>
        </w:rPr>
        <w:t xml:space="preserve">informe de inadmisibilidad </w:t>
      </w:r>
      <w:r>
        <w:rPr>
          <w:rFonts w:ascii="Cambria" w:hAnsi="Cambria"/>
          <w:sz w:val="20"/>
          <w:szCs w:val="20"/>
          <w:lang w:val="es-AR"/>
        </w:rPr>
        <w:t>N</w:t>
      </w:r>
      <w:r w:rsidRPr="00703BA2">
        <w:rPr>
          <w:rFonts w:ascii="Cambria" w:hAnsi="Cambria"/>
          <w:sz w:val="20"/>
          <w:szCs w:val="20"/>
        </w:rPr>
        <w:t>º</w:t>
      </w:r>
      <w:r>
        <w:rPr>
          <w:rFonts w:ascii="Cambria" w:hAnsi="Cambria"/>
          <w:sz w:val="20"/>
          <w:szCs w:val="20"/>
        </w:rPr>
        <w:t xml:space="preserve"> 166/11 la CIDH ya analizó la situación de algunos acreedores de la deuda agraria en el Perú y rechazó la petición por falta de agotamiento, al considerar que no se habían impulsado correctamente los procedimientos internos para el cobro efectivo de los Bonos de la Reforma Agraria.</w:t>
      </w:r>
      <w:r w:rsidR="004C2FD0">
        <w:rPr>
          <w:rFonts w:ascii="Cambria" w:hAnsi="Cambria"/>
          <w:sz w:val="20"/>
          <w:szCs w:val="20"/>
        </w:rPr>
        <w:t xml:space="preserve"> </w:t>
      </w:r>
      <w:r w:rsidR="003F419C">
        <w:rPr>
          <w:rFonts w:ascii="Cambria" w:hAnsi="Cambria"/>
          <w:sz w:val="20"/>
          <w:szCs w:val="20"/>
        </w:rPr>
        <w:t xml:space="preserve">Por ello, solicita que se aplique el mismo criterio la resolución de la presente causa, ya que </w:t>
      </w:r>
      <w:r w:rsidR="004C2FD0">
        <w:rPr>
          <w:rFonts w:ascii="Cambria" w:hAnsi="Cambria"/>
          <w:sz w:val="20"/>
          <w:szCs w:val="20"/>
        </w:rPr>
        <w:t xml:space="preserve">gran parte de las presuntas víctimas tienen a la fecha procesos de conocimiento en la vía civil que aún se encuentran en trámite, lo que prueba </w:t>
      </w:r>
      <w:r w:rsidR="003F419C">
        <w:rPr>
          <w:rFonts w:ascii="Cambria" w:hAnsi="Cambria"/>
          <w:sz w:val="20"/>
          <w:szCs w:val="20"/>
        </w:rPr>
        <w:t xml:space="preserve">que aún no han agotado los recursos internos. </w:t>
      </w:r>
    </w:p>
    <w:p w:rsidR="006D049E" w:rsidRPr="006D049E" w:rsidRDefault="00C57214" w:rsidP="004C2FD0">
      <w:pPr>
        <w:numPr>
          <w:ilvl w:val="0"/>
          <w:numId w:val="103"/>
        </w:numPr>
        <w:suppressAutoHyphens/>
        <w:spacing w:after="240"/>
        <w:jc w:val="both"/>
        <w:rPr>
          <w:rFonts w:ascii="Cambria" w:hAnsi="Cambria"/>
          <w:sz w:val="20"/>
          <w:szCs w:val="20"/>
          <w:lang w:val="es-AR"/>
        </w:rPr>
      </w:pPr>
      <w:r w:rsidRPr="004C2FD0">
        <w:rPr>
          <w:rFonts w:ascii="Cambria" w:hAnsi="Cambria"/>
          <w:sz w:val="20"/>
          <w:szCs w:val="20"/>
          <w:lang w:val="es-AR"/>
        </w:rPr>
        <w:t xml:space="preserve">Finalmente, </w:t>
      </w:r>
      <w:r w:rsidR="008C70A0" w:rsidRPr="004C2FD0">
        <w:rPr>
          <w:rFonts w:ascii="Cambria" w:hAnsi="Cambria"/>
          <w:sz w:val="20"/>
          <w:szCs w:val="20"/>
        </w:rPr>
        <w:t>el Estado a</w:t>
      </w:r>
      <w:r w:rsidR="002B5246">
        <w:rPr>
          <w:rFonts w:ascii="Cambria" w:hAnsi="Cambria"/>
          <w:sz w:val="20"/>
          <w:szCs w:val="20"/>
        </w:rPr>
        <w:t>lega</w:t>
      </w:r>
      <w:r w:rsidR="008C70A0" w:rsidRPr="004C2FD0">
        <w:rPr>
          <w:rFonts w:ascii="Cambria" w:hAnsi="Cambria"/>
          <w:sz w:val="20"/>
          <w:szCs w:val="20"/>
        </w:rPr>
        <w:t xml:space="preserve"> que los hechos expuestos en la petición no caracterizan violaciones a los derechos humanos</w:t>
      </w:r>
      <w:r w:rsidR="002B5246">
        <w:rPr>
          <w:rFonts w:ascii="Cambria" w:hAnsi="Cambria"/>
          <w:sz w:val="20"/>
          <w:szCs w:val="20"/>
        </w:rPr>
        <w:t>. Argumenta que</w:t>
      </w:r>
      <w:r w:rsidR="006D049E">
        <w:rPr>
          <w:rFonts w:ascii="Cambria" w:hAnsi="Cambria"/>
          <w:sz w:val="20"/>
          <w:szCs w:val="20"/>
        </w:rPr>
        <w:t xml:space="preserve"> el Tribunal Constitucional ha reconocido el derecho de propiedad de las presuntas víctimas, por lo que únicamente se busca utilizar el sistema interamericano para discutir un punto accesorio respecto al cálculo de la deuda. En esa línea, aduce que los peticionarios no han demostrado que exista una conexión causal y/o vinculación de los hechos aludidos y la presunta violación de los derechos de cada una de las presuntas víctimas, toda vez que no se ha dado detalles de la situación </w:t>
      </w:r>
      <w:r w:rsidR="006D049E">
        <w:rPr>
          <w:rFonts w:ascii="Cambria" w:hAnsi="Cambria"/>
          <w:sz w:val="20"/>
          <w:szCs w:val="20"/>
        </w:rPr>
        <w:lastRenderedPageBreak/>
        <w:t xml:space="preserve">individualizada de cada una de dichas personas. Finalmente, </w:t>
      </w:r>
      <w:r w:rsidR="001057B5">
        <w:rPr>
          <w:rFonts w:ascii="Cambria" w:hAnsi="Cambria"/>
          <w:sz w:val="20"/>
          <w:szCs w:val="20"/>
        </w:rPr>
        <w:t>aduce</w:t>
      </w:r>
      <w:r w:rsidR="006D049E">
        <w:rPr>
          <w:rFonts w:ascii="Cambria" w:hAnsi="Cambria"/>
          <w:sz w:val="20"/>
          <w:szCs w:val="20"/>
        </w:rPr>
        <w:t xml:space="preserve"> que tampoco se ha violado el derecho a la igualdad ante la ley, ya que la decisión del Tribunal Constitucional </w:t>
      </w:r>
      <w:r w:rsidR="001057B5">
        <w:rPr>
          <w:rFonts w:ascii="Cambria" w:hAnsi="Cambria"/>
          <w:sz w:val="20"/>
          <w:szCs w:val="20"/>
        </w:rPr>
        <w:t>habría ponderado</w:t>
      </w:r>
      <w:r w:rsidR="006D049E">
        <w:rPr>
          <w:rFonts w:ascii="Cambria" w:hAnsi="Cambria"/>
          <w:sz w:val="20"/>
          <w:szCs w:val="20"/>
        </w:rPr>
        <w:t xml:space="preserve"> adecuadamente tal derecho con otras obligaciones constitucionales que también debe cumplir. </w:t>
      </w:r>
    </w:p>
    <w:p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eastAsia="es-ES"/>
        </w:rPr>
        <w:t>VI.</w:t>
      </w:r>
      <w:r w:rsidRPr="00E64C3D">
        <w:rPr>
          <w:rFonts w:asciiTheme="majorHAnsi" w:eastAsia="Cambria" w:hAnsiTheme="majorHAnsi" w:cs="Cambria"/>
          <w:b/>
          <w:bCs/>
          <w:color w:val="000000"/>
          <w:sz w:val="20"/>
          <w:szCs w:val="20"/>
          <w:u w:color="000000"/>
          <w:lang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rPr>
        <w:t>AGOTAMIENTO DE LOS RECURSOS INTERNOS Y PLAZO DE PRESENTACIÓN</w:t>
      </w:r>
      <w:r w:rsidR="00C21FEF" w:rsidRPr="00E64C3D">
        <w:rPr>
          <w:rFonts w:asciiTheme="majorHAnsi" w:eastAsia="Cambria" w:hAnsiTheme="majorHAnsi" w:cs="Cambria"/>
          <w:b/>
          <w:bCs/>
          <w:color w:val="000000"/>
          <w:sz w:val="20"/>
          <w:szCs w:val="20"/>
          <w:u w:color="000000"/>
          <w:lang w:eastAsia="es-ES"/>
        </w:rPr>
        <w:t xml:space="preserve"> </w:t>
      </w:r>
    </w:p>
    <w:p w:rsidR="00D71275" w:rsidRDefault="003F419C" w:rsidP="00D71275">
      <w:pPr>
        <w:numPr>
          <w:ilvl w:val="0"/>
          <w:numId w:val="103"/>
        </w:numPr>
        <w:suppressAutoHyphens/>
        <w:spacing w:after="240"/>
        <w:jc w:val="both"/>
        <w:rPr>
          <w:rFonts w:ascii="Cambria" w:hAnsi="Cambria"/>
          <w:sz w:val="20"/>
          <w:szCs w:val="20"/>
        </w:rPr>
      </w:pPr>
      <w:r>
        <w:rPr>
          <w:rFonts w:ascii="Cambria" w:hAnsi="Cambria"/>
          <w:sz w:val="20"/>
          <w:szCs w:val="20"/>
        </w:rPr>
        <w:t>Los peticionarios solicitan la aplicación de la excepción prevista en el artículo 46.2.a de la Convención Americana</w:t>
      </w:r>
      <w:r w:rsidR="005924B7">
        <w:rPr>
          <w:rFonts w:ascii="Cambria" w:hAnsi="Cambria"/>
          <w:sz w:val="20"/>
          <w:szCs w:val="20"/>
        </w:rPr>
        <w:t xml:space="preserve">, ya que las presuntas víctimas no tienen a su disposición recursos adecuados y efectivos para cuestionar la fórmula de cálculo impuesta por el Tribunal </w:t>
      </w:r>
      <w:r w:rsidR="007F3210">
        <w:rPr>
          <w:rFonts w:ascii="Cambria" w:hAnsi="Cambria"/>
          <w:sz w:val="20"/>
          <w:szCs w:val="20"/>
        </w:rPr>
        <w:t xml:space="preserve">Constitucional para determinar </w:t>
      </w:r>
      <w:r w:rsidR="005924B7">
        <w:rPr>
          <w:rFonts w:ascii="Cambria" w:hAnsi="Cambria"/>
          <w:sz w:val="20"/>
          <w:szCs w:val="20"/>
        </w:rPr>
        <w:t>el valor de los Bonos de la Deuda Agraria. Por su parte, el Estado replica que la citada excepción no resulta aplicable, toda vez que las citadas personas tienen a su disposición la vía ordina civil y el proceso de amparo.</w:t>
      </w:r>
    </w:p>
    <w:p w:rsidR="00D71275" w:rsidRPr="002419C9" w:rsidRDefault="005924B7" w:rsidP="002419C9">
      <w:pPr>
        <w:numPr>
          <w:ilvl w:val="0"/>
          <w:numId w:val="103"/>
        </w:numPr>
        <w:suppressAutoHyphens/>
        <w:spacing w:after="240"/>
        <w:jc w:val="both"/>
        <w:rPr>
          <w:rFonts w:ascii="Cambria" w:hAnsi="Cambria"/>
          <w:sz w:val="20"/>
          <w:szCs w:val="20"/>
        </w:rPr>
      </w:pPr>
      <w:r w:rsidRPr="00D71275">
        <w:rPr>
          <w:rFonts w:ascii="Cambria" w:hAnsi="Cambria"/>
          <w:sz w:val="20"/>
          <w:szCs w:val="20"/>
        </w:rPr>
        <w:t>La CIDH observa que</w:t>
      </w:r>
      <w:r w:rsidR="00C6481C" w:rsidRPr="00D71275">
        <w:rPr>
          <w:rFonts w:ascii="Cambria" w:hAnsi="Cambria"/>
          <w:sz w:val="20"/>
          <w:szCs w:val="20"/>
        </w:rPr>
        <w:t xml:space="preserve">, mediante resoluciones del 16 de julio del 2013, 8 de agosto del 2013 y 4 de noviembre del 2013, el </w:t>
      </w:r>
      <w:r w:rsidR="00824233" w:rsidRPr="00D71275">
        <w:rPr>
          <w:rFonts w:ascii="Cambria" w:hAnsi="Cambria"/>
          <w:sz w:val="20"/>
          <w:szCs w:val="20"/>
        </w:rPr>
        <w:t xml:space="preserve">Tribunal Constitucional </w:t>
      </w:r>
      <w:r w:rsidR="00C6481C" w:rsidRPr="00D71275">
        <w:rPr>
          <w:rFonts w:ascii="Cambria" w:hAnsi="Cambria"/>
          <w:sz w:val="20"/>
          <w:szCs w:val="20"/>
        </w:rPr>
        <w:t xml:space="preserve">del Perú estableció una fórmula de pago para los Bonos de la Reforma Agraria </w:t>
      </w:r>
      <w:r w:rsidR="002419C9">
        <w:rPr>
          <w:rFonts w:ascii="Cambria" w:hAnsi="Cambria"/>
          <w:sz w:val="20"/>
          <w:szCs w:val="20"/>
        </w:rPr>
        <w:t>que</w:t>
      </w:r>
      <w:r w:rsidR="002419C9">
        <w:rPr>
          <w:rFonts w:ascii="Cambria" w:hAnsi="Cambria"/>
          <w:sz w:val="20"/>
          <w:szCs w:val="20"/>
          <w:lang w:val="es-AR"/>
        </w:rPr>
        <w:t xml:space="preserve"> contravino lo establecido en sus sentencias previas sobre la materia. Asimismo, en tales decisiones el referido órgano </w:t>
      </w:r>
      <w:r w:rsidR="00C6481C" w:rsidRPr="002419C9">
        <w:rPr>
          <w:rFonts w:ascii="Cambria" w:hAnsi="Cambria"/>
          <w:sz w:val="20"/>
          <w:szCs w:val="20"/>
        </w:rPr>
        <w:t xml:space="preserve">ordenó que los órganos jurisdiccionales y administrativos apliquen tal método de cálculo. Es decir, estableció un precedente </w:t>
      </w:r>
      <w:r w:rsidR="002419C9">
        <w:rPr>
          <w:rFonts w:ascii="Cambria" w:hAnsi="Cambria"/>
          <w:sz w:val="20"/>
          <w:szCs w:val="20"/>
        </w:rPr>
        <w:t>que generó la alegada afectación de los derechos de las presuntas víctimas y que</w:t>
      </w:r>
      <w:r w:rsidR="00367E5B" w:rsidRPr="002419C9">
        <w:rPr>
          <w:rFonts w:ascii="Cambria" w:hAnsi="Cambria"/>
          <w:sz w:val="20"/>
          <w:szCs w:val="20"/>
        </w:rPr>
        <w:t>, conforme a la legislaci</w:t>
      </w:r>
      <w:r w:rsidR="003672CA" w:rsidRPr="002419C9">
        <w:rPr>
          <w:rFonts w:ascii="Cambria" w:hAnsi="Cambria"/>
          <w:sz w:val="20"/>
          <w:szCs w:val="20"/>
        </w:rPr>
        <w:t xml:space="preserve">ón interna, </w:t>
      </w:r>
      <w:r w:rsidR="002419C9">
        <w:rPr>
          <w:rFonts w:ascii="Cambria" w:hAnsi="Cambria"/>
          <w:sz w:val="20"/>
          <w:szCs w:val="20"/>
        </w:rPr>
        <w:t xml:space="preserve">no puede ser recurrido y </w:t>
      </w:r>
      <w:r w:rsidR="003672CA" w:rsidRPr="002419C9">
        <w:rPr>
          <w:rFonts w:ascii="Cambria" w:hAnsi="Cambria"/>
          <w:sz w:val="20"/>
          <w:szCs w:val="20"/>
        </w:rPr>
        <w:t xml:space="preserve">resulta </w:t>
      </w:r>
      <w:r w:rsidR="00C6481C" w:rsidRPr="002419C9">
        <w:rPr>
          <w:rFonts w:ascii="Cambria" w:hAnsi="Cambria"/>
          <w:sz w:val="20"/>
          <w:szCs w:val="20"/>
        </w:rPr>
        <w:t>de carácter obligatorio para todas las autoridades internas</w:t>
      </w:r>
      <w:r w:rsidR="00367E5B">
        <w:rPr>
          <w:rStyle w:val="FootnoteReference"/>
          <w:rFonts w:ascii="Cambria" w:hAnsi="Cambria"/>
          <w:sz w:val="20"/>
          <w:szCs w:val="20"/>
        </w:rPr>
        <w:footnoteReference w:id="10"/>
      </w:r>
      <w:r w:rsidR="00C6481C" w:rsidRPr="002419C9">
        <w:rPr>
          <w:rFonts w:ascii="Cambria" w:hAnsi="Cambria"/>
          <w:sz w:val="20"/>
          <w:szCs w:val="20"/>
        </w:rPr>
        <w:t xml:space="preserve">. </w:t>
      </w:r>
      <w:r w:rsidR="00BF1845" w:rsidRPr="002419C9">
        <w:rPr>
          <w:rFonts w:ascii="Cambria" w:hAnsi="Cambria"/>
          <w:sz w:val="20"/>
          <w:szCs w:val="20"/>
        </w:rPr>
        <w:t xml:space="preserve">Asimismo, </w:t>
      </w:r>
      <w:r w:rsidR="007F3210" w:rsidRPr="002419C9">
        <w:rPr>
          <w:rFonts w:ascii="Cambria" w:hAnsi="Cambria"/>
          <w:sz w:val="20"/>
          <w:szCs w:val="20"/>
        </w:rPr>
        <w:t xml:space="preserve">resulta evidente que tales resoluciones son posteriores al informe de inadmisibilidad </w:t>
      </w:r>
      <w:r w:rsidR="007F3210" w:rsidRPr="002419C9">
        <w:rPr>
          <w:rFonts w:ascii="Cambria" w:hAnsi="Cambria"/>
          <w:sz w:val="20"/>
          <w:szCs w:val="20"/>
          <w:lang w:val="es-AR"/>
        </w:rPr>
        <w:t>N</w:t>
      </w:r>
      <w:r w:rsidR="007F3210" w:rsidRPr="002419C9">
        <w:rPr>
          <w:rFonts w:ascii="Cambria" w:hAnsi="Cambria"/>
          <w:sz w:val="20"/>
          <w:szCs w:val="20"/>
        </w:rPr>
        <w:t>º 166/11, por lo que, no formaron parte del análisis realizado por la CIDH en esa decisión</w:t>
      </w:r>
      <w:r w:rsidR="00BF1845" w:rsidRPr="002419C9">
        <w:rPr>
          <w:rFonts w:ascii="Cambria" w:hAnsi="Cambria"/>
          <w:sz w:val="20"/>
          <w:szCs w:val="20"/>
        </w:rPr>
        <w:t xml:space="preserve">. </w:t>
      </w:r>
    </w:p>
    <w:p w:rsidR="003F3C83" w:rsidRPr="002419C9" w:rsidRDefault="0038188B" w:rsidP="002419C9">
      <w:pPr>
        <w:numPr>
          <w:ilvl w:val="0"/>
          <w:numId w:val="103"/>
        </w:numPr>
        <w:suppressAutoHyphens/>
        <w:spacing w:after="240"/>
        <w:jc w:val="both"/>
        <w:rPr>
          <w:rFonts w:ascii="Cambria" w:hAnsi="Cambria"/>
          <w:sz w:val="20"/>
          <w:szCs w:val="20"/>
        </w:rPr>
      </w:pPr>
      <w:r>
        <w:rPr>
          <w:rFonts w:ascii="Cambria" w:hAnsi="Cambria"/>
          <w:sz w:val="20"/>
          <w:szCs w:val="20"/>
        </w:rPr>
        <w:t>Así</w:t>
      </w:r>
      <w:r w:rsidR="002419C9">
        <w:rPr>
          <w:rFonts w:ascii="Cambria" w:hAnsi="Cambria"/>
          <w:sz w:val="20"/>
          <w:szCs w:val="20"/>
        </w:rPr>
        <w:t xml:space="preserve">, la CIDH </w:t>
      </w:r>
      <w:r>
        <w:rPr>
          <w:rFonts w:ascii="Cambria" w:hAnsi="Cambria"/>
          <w:sz w:val="20"/>
          <w:szCs w:val="20"/>
        </w:rPr>
        <w:t xml:space="preserve">considera que las citadas resoluciones, en el sentido en que fueron emitidas, sustentan la hipótesis de que </w:t>
      </w:r>
      <w:r w:rsidR="002419C9">
        <w:rPr>
          <w:rFonts w:ascii="Cambria" w:hAnsi="Cambria"/>
          <w:sz w:val="20"/>
          <w:szCs w:val="20"/>
        </w:rPr>
        <w:t>la vía civil ordinaria y el proceso de amparo se</w:t>
      </w:r>
      <w:r>
        <w:rPr>
          <w:rFonts w:ascii="Cambria" w:hAnsi="Cambria"/>
          <w:sz w:val="20"/>
          <w:szCs w:val="20"/>
        </w:rPr>
        <w:t xml:space="preserve"> tornan inefectivas </w:t>
      </w:r>
      <w:r w:rsidR="002419C9">
        <w:rPr>
          <w:rFonts w:ascii="Cambria" w:hAnsi="Cambria"/>
          <w:sz w:val="20"/>
          <w:szCs w:val="20"/>
        </w:rPr>
        <w:t>para remediar la situ</w:t>
      </w:r>
      <w:r>
        <w:rPr>
          <w:rFonts w:ascii="Cambria" w:hAnsi="Cambria"/>
          <w:sz w:val="20"/>
          <w:szCs w:val="20"/>
        </w:rPr>
        <w:t>ación de las presuntas víctimas;</w:t>
      </w:r>
      <w:r w:rsidR="002419C9">
        <w:rPr>
          <w:rFonts w:ascii="Cambria" w:hAnsi="Cambria"/>
          <w:sz w:val="20"/>
          <w:szCs w:val="20"/>
        </w:rPr>
        <w:t xml:space="preserve"> </w:t>
      </w:r>
      <w:r>
        <w:rPr>
          <w:rFonts w:ascii="Cambria" w:hAnsi="Cambria"/>
          <w:sz w:val="20"/>
          <w:szCs w:val="20"/>
        </w:rPr>
        <w:t>pues</w:t>
      </w:r>
      <w:r w:rsidR="002419C9">
        <w:rPr>
          <w:rFonts w:ascii="Cambria" w:hAnsi="Cambria"/>
          <w:sz w:val="20"/>
          <w:szCs w:val="20"/>
        </w:rPr>
        <w:t xml:space="preserve"> el más alto tribunal en la jurisdicción constitucional</w:t>
      </w:r>
      <w:r>
        <w:rPr>
          <w:rFonts w:ascii="Cambria" w:hAnsi="Cambria"/>
          <w:sz w:val="20"/>
          <w:szCs w:val="20"/>
        </w:rPr>
        <w:t xml:space="preserve"> ya </w:t>
      </w:r>
      <w:r w:rsidR="002419C9">
        <w:rPr>
          <w:rFonts w:ascii="Cambria" w:hAnsi="Cambria"/>
          <w:sz w:val="20"/>
          <w:szCs w:val="20"/>
        </w:rPr>
        <w:t xml:space="preserve">estableció una regla respecto al pago de los Bonos de la Reforma Agraria. En consecuencia, resulta irrazonable exigir a las presuntas víctimas el agotamiento de recursos adicionales ante </w:t>
      </w:r>
      <w:r>
        <w:rPr>
          <w:rFonts w:ascii="Cambria" w:hAnsi="Cambria"/>
          <w:sz w:val="20"/>
          <w:szCs w:val="20"/>
        </w:rPr>
        <w:t>instancias judiciales</w:t>
      </w:r>
      <w:r w:rsidR="002419C9">
        <w:rPr>
          <w:rFonts w:ascii="Cambria" w:hAnsi="Cambria"/>
          <w:sz w:val="20"/>
          <w:szCs w:val="20"/>
        </w:rPr>
        <w:t xml:space="preserve"> de menor jerarquía, </w:t>
      </w:r>
      <w:r>
        <w:rPr>
          <w:rFonts w:ascii="Cambria" w:hAnsi="Cambria"/>
          <w:sz w:val="20"/>
          <w:szCs w:val="20"/>
        </w:rPr>
        <w:t>cuando</w:t>
      </w:r>
      <w:r w:rsidR="002419C9">
        <w:rPr>
          <w:rFonts w:ascii="Cambria" w:hAnsi="Cambria"/>
          <w:sz w:val="20"/>
          <w:szCs w:val="20"/>
        </w:rPr>
        <w:t xml:space="preserve"> la más alta instancia judicial en materia constitucional ya adoptó un pronunciamiento vinculante sobre los aspectos específicos que </w:t>
      </w:r>
      <w:r>
        <w:rPr>
          <w:rFonts w:ascii="Cambria" w:hAnsi="Cambria"/>
          <w:sz w:val="20"/>
          <w:szCs w:val="20"/>
        </w:rPr>
        <w:t>aquellas buscan controvertir</w:t>
      </w:r>
      <w:r w:rsidR="002419C9">
        <w:rPr>
          <w:rStyle w:val="FootnoteReference"/>
          <w:rFonts w:ascii="Cambria" w:hAnsi="Cambria"/>
          <w:sz w:val="20"/>
          <w:szCs w:val="20"/>
        </w:rPr>
        <w:footnoteReference w:id="11"/>
      </w:r>
      <w:r w:rsidR="002419C9">
        <w:rPr>
          <w:rFonts w:ascii="Cambria" w:hAnsi="Cambria"/>
          <w:sz w:val="20"/>
          <w:szCs w:val="20"/>
        </w:rPr>
        <w:t xml:space="preserve">. </w:t>
      </w:r>
      <w:r>
        <w:rPr>
          <w:rFonts w:ascii="Cambria" w:hAnsi="Cambria"/>
          <w:sz w:val="20"/>
          <w:szCs w:val="20"/>
        </w:rPr>
        <w:t xml:space="preserve">En este sentido, </w:t>
      </w:r>
      <w:r w:rsidR="00B275C3">
        <w:rPr>
          <w:rFonts w:ascii="Cambria" w:hAnsi="Cambria"/>
          <w:sz w:val="20"/>
          <w:szCs w:val="20"/>
        </w:rPr>
        <w:t xml:space="preserve">si bien </w:t>
      </w:r>
      <w:r w:rsidR="002419C9">
        <w:rPr>
          <w:rFonts w:ascii="Cambria" w:hAnsi="Cambria"/>
          <w:sz w:val="20"/>
          <w:szCs w:val="20"/>
        </w:rPr>
        <w:t xml:space="preserve">las citadas resoluciones </w:t>
      </w:r>
      <w:r w:rsidR="00B275C3">
        <w:rPr>
          <w:rFonts w:ascii="Cambria" w:hAnsi="Cambria"/>
          <w:sz w:val="20"/>
          <w:szCs w:val="20"/>
        </w:rPr>
        <w:t xml:space="preserve">del Tribunal Constitucional </w:t>
      </w:r>
      <w:r w:rsidR="002419C9">
        <w:rPr>
          <w:rFonts w:ascii="Cambria" w:hAnsi="Cambria"/>
          <w:sz w:val="20"/>
          <w:szCs w:val="20"/>
        </w:rPr>
        <w:t xml:space="preserve">no fueron adoptadas por la acción procesal de las presuntas víctimas, </w:t>
      </w:r>
      <w:r w:rsidR="00B275C3">
        <w:rPr>
          <w:rFonts w:ascii="Cambria" w:hAnsi="Cambria"/>
          <w:sz w:val="20"/>
          <w:szCs w:val="20"/>
        </w:rPr>
        <w:t xml:space="preserve">si </w:t>
      </w:r>
      <w:r w:rsidR="002419C9">
        <w:rPr>
          <w:rFonts w:ascii="Cambria" w:hAnsi="Cambria"/>
          <w:sz w:val="20"/>
          <w:szCs w:val="20"/>
        </w:rPr>
        <w:t>resolvieron los puntos controvertidos</w:t>
      </w:r>
      <w:r w:rsidR="00B275C3">
        <w:rPr>
          <w:rFonts w:ascii="Cambria" w:hAnsi="Cambria"/>
          <w:sz w:val="20"/>
          <w:szCs w:val="20"/>
        </w:rPr>
        <w:t>, dejando a las v</w:t>
      </w:r>
      <w:r w:rsidR="0088254F">
        <w:rPr>
          <w:rFonts w:ascii="Cambria" w:hAnsi="Cambria"/>
          <w:sz w:val="20"/>
          <w:szCs w:val="20"/>
        </w:rPr>
        <w:t>íctimas u</w:t>
      </w:r>
      <w:r w:rsidR="00B275C3">
        <w:rPr>
          <w:rFonts w:ascii="Cambria" w:hAnsi="Cambria"/>
          <w:sz w:val="20"/>
          <w:szCs w:val="20"/>
        </w:rPr>
        <w:t xml:space="preserve">n horizonte en el cual no puede considerarse razonablemente que existan recursos que tengan la posibilidad de cambiar el sentido de esas resoluciones u obtener un resultado distinto en instancias inferiores. En conclusión, </w:t>
      </w:r>
      <w:r w:rsidR="002419C9">
        <w:rPr>
          <w:rFonts w:ascii="Cambria" w:hAnsi="Cambria"/>
          <w:sz w:val="20"/>
          <w:szCs w:val="20"/>
        </w:rPr>
        <w:t xml:space="preserve">resulta aplicable la excepción prevista en el artículo 46.2.a) de la Convención Americana. </w:t>
      </w:r>
    </w:p>
    <w:p w:rsidR="005D4A06" w:rsidRPr="00FC3BD5" w:rsidRDefault="005D4A06" w:rsidP="00FC3BD5">
      <w:pPr>
        <w:numPr>
          <w:ilvl w:val="0"/>
          <w:numId w:val="103"/>
        </w:numPr>
        <w:suppressAutoHyphens/>
        <w:spacing w:after="240"/>
        <w:jc w:val="both"/>
        <w:rPr>
          <w:rFonts w:ascii="Cambria" w:hAnsi="Cambria"/>
          <w:sz w:val="20"/>
          <w:szCs w:val="20"/>
        </w:rPr>
      </w:pPr>
      <w:r w:rsidRPr="00F13576">
        <w:rPr>
          <w:rFonts w:ascii="Cambria" w:hAnsi="Cambria"/>
          <w:sz w:val="20"/>
          <w:szCs w:val="20"/>
        </w:rPr>
        <w:t xml:space="preserve">Finalmente, </w:t>
      </w:r>
      <w:r>
        <w:rPr>
          <w:rFonts w:ascii="Cambria" w:hAnsi="Cambria"/>
          <w:sz w:val="20"/>
          <w:szCs w:val="20"/>
        </w:rPr>
        <w:t>en relación con el requisito del plazo de presentación de la petición, la Comisión observa que las resoluciones c</w:t>
      </w:r>
      <w:r w:rsidR="00FC3BD5">
        <w:rPr>
          <w:rFonts w:ascii="Cambria" w:hAnsi="Cambria"/>
          <w:sz w:val="20"/>
          <w:szCs w:val="20"/>
        </w:rPr>
        <w:t>ontrovertida</w:t>
      </w:r>
      <w:r>
        <w:rPr>
          <w:rFonts w:ascii="Cambria" w:hAnsi="Cambria"/>
          <w:sz w:val="20"/>
          <w:szCs w:val="20"/>
        </w:rPr>
        <w:t xml:space="preserve">s fueron emitidas en el 2013 y fueron cuestionadas mediante recursos extraordinarios hasta el 2015. Tomando en cuenta que los efectos de tales decisiones se habrían prolongado hasta el presente en perjuicio de las presuntas víctimas, </w:t>
      </w:r>
      <w:r w:rsidRPr="005D4A06">
        <w:rPr>
          <w:rFonts w:ascii="Cambria" w:hAnsi="Cambria"/>
          <w:sz w:val="20"/>
          <w:szCs w:val="20"/>
        </w:rPr>
        <w:t>la Comisión concluye que la petición fue presentada dentro de un plazo razonable en los términos del artículo 32.2 del Reglamento de la Comisión</w:t>
      </w:r>
      <w:r w:rsidR="00794601">
        <w:rPr>
          <w:rFonts w:ascii="Cambria" w:hAnsi="Cambria"/>
          <w:sz w:val="20"/>
          <w:szCs w:val="20"/>
        </w:rPr>
        <w:t>, en concordancia con el artículo 46.1.b</w:t>
      </w:r>
      <w:r w:rsidR="00BA600D">
        <w:rPr>
          <w:rFonts w:ascii="Cambria" w:hAnsi="Cambria"/>
          <w:sz w:val="20"/>
          <w:szCs w:val="20"/>
        </w:rPr>
        <w:t>)</w:t>
      </w:r>
      <w:r w:rsidR="00794601">
        <w:rPr>
          <w:rFonts w:ascii="Cambria" w:hAnsi="Cambria"/>
          <w:sz w:val="20"/>
          <w:szCs w:val="20"/>
        </w:rPr>
        <w:t xml:space="preserve"> de la Convención</w:t>
      </w:r>
      <w:r w:rsidRPr="005D4A06">
        <w:rPr>
          <w:rFonts w:ascii="Cambria" w:hAnsi="Cambria"/>
          <w:sz w:val="20"/>
          <w:szCs w:val="20"/>
        </w:rPr>
        <w:t>.</w:t>
      </w:r>
    </w:p>
    <w:p w:rsidR="003239B8" w:rsidRPr="00BF1845" w:rsidRDefault="003239B8" w:rsidP="00BF1845">
      <w:pPr>
        <w:suppressAutoHyphens/>
        <w:spacing w:before="240" w:after="240"/>
        <w:ind w:left="720"/>
        <w:jc w:val="both"/>
        <w:rPr>
          <w:rFonts w:asciiTheme="majorHAnsi" w:hAnsiTheme="majorHAnsi"/>
          <w:b/>
          <w:sz w:val="20"/>
          <w:szCs w:val="20"/>
        </w:rPr>
      </w:pPr>
      <w:r w:rsidRPr="00BF1845">
        <w:rPr>
          <w:rFonts w:asciiTheme="majorHAnsi" w:hAnsiTheme="majorHAnsi"/>
          <w:b/>
          <w:bCs/>
          <w:sz w:val="20"/>
          <w:szCs w:val="20"/>
        </w:rPr>
        <w:t>VII.</w:t>
      </w:r>
      <w:r w:rsidRPr="00BF1845">
        <w:rPr>
          <w:rFonts w:asciiTheme="majorHAnsi" w:hAnsiTheme="majorHAnsi"/>
          <w:b/>
          <w:bCs/>
          <w:sz w:val="20"/>
          <w:szCs w:val="20"/>
        </w:rPr>
        <w:tab/>
      </w:r>
      <w:r w:rsidR="004A6A54" w:rsidRPr="00BF1845">
        <w:rPr>
          <w:rFonts w:asciiTheme="majorHAnsi" w:hAnsiTheme="majorHAnsi"/>
          <w:b/>
          <w:bCs/>
          <w:sz w:val="20"/>
          <w:szCs w:val="20"/>
          <w:lang w:val="es-ES_tradnl"/>
        </w:rPr>
        <w:t xml:space="preserve">ANÁLISIS DE </w:t>
      </w:r>
      <w:r w:rsidR="00C21FEF" w:rsidRPr="00BF1845">
        <w:rPr>
          <w:rFonts w:asciiTheme="majorHAnsi" w:hAnsiTheme="majorHAnsi"/>
          <w:b/>
          <w:bCs/>
          <w:sz w:val="20"/>
          <w:szCs w:val="20"/>
        </w:rPr>
        <w:t xml:space="preserve">CARACTERIZACIÓN </w:t>
      </w:r>
      <w:r w:rsidR="00C21FEF" w:rsidRPr="00BF1845">
        <w:rPr>
          <w:rFonts w:asciiTheme="majorHAnsi" w:hAnsiTheme="majorHAnsi"/>
          <w:b/>
          <w:bCs/>
          <w:sz w:val="20"/>
          <w:szCs w:val="20"/>
          <w:lang w:val="es-UY"/>
        </w:rPr>
        <w:t>DE LOS HECHOS ALEGADOS</w:t>
      </w:r>
    </w:p>
    <w:p w:rsidR="00D50D8F" w:rsidRDefault="00FC3BD5" w:rsidP="00381F73">
      <w:pPr>
        <w:numPr>
          <w:ilvl w:val="0"/>
          <w:numId w:val="103"/>
        </w:numPr>
        <w:suppressAutoHyphens/>
        <w:spacing w:after="240"/>
        <w:jc w:val="both"/>
        <w:rPr>
          <w:rFonts w:ascii="Cambria" w:hAnsi="Cambria"/>
          <w:sz w:val="20"/>
          <w:szCs w:val="20"/>
        </w:rPr>
      </w:pPr>
      <w:r w:rsidRPr="00F37507">
        <w:rPr>
          <w:rFonts w:ascii="Cambria" w:hAnsi="Cambria"/>
          <w:sz w:val="20"/>
          <w:szCs w:val="20"/>
        </w:rPr>
        <w:t xml:space="preserve">En atención a estas consideraciones, y tras examinar los elementos de hecho y de derecho expuestos por las partes, la Comisión estima que los alegatos de los peticionarios, relativos a la falta de cumplimiento del Estado del pago de una indemnización por cerca de </w:t>
      </w:r>
      <w:r w:rsidR="00BA600D">
        <w:rPr>
          <w:rFonts w:ascii="Cambria" w:hAnsi="Cambria"/>
          <w:sz w:val="20"/>
          <w:szCs w:val="20"/>
        </w:rPr>
        <w:t>cincuenta</w:t>
      </w:r>
      <w:r w:rsidRPr="00F37507">
        <w:rPr>
          <w:rFonts w:ascii="Cambria" w:hAnsi="Cambria"/>
          <w:sz w:val="20"/>
          <w:szCs w:val="20"/>
        </w:rPr>
        <w:t xml:space="preserve"> años y </w:t>
      </w:r>
      <w:r w:rsidR="00F37507" w:rsidRPr="00F37507">
        <w:rPr>
          <w:rFonts w:ascii="Cambria" w:hAnsi="Cambria"/>
          <w:sz w:val="20"/>
          <w:szCs w:val="20"/>
        </w:rPr>
        <w:t xml:space="preserve">el presunto trato desigual en perjuicio de las presuntas víctimas producto de las decisiones emitidas por el Tribunal </w:t>
      </w:r>
      <w:r w:rsidR="00F37507" w:rsidRPr="00F37507">
        <w:rPr>
          <w:rFonts w:ascii="Cambria" w:hAnsi="Cambria"/>
          <w:sz w:val="20"/>
          <w:szCs w:val="20"/>
        </w:rPr>
        <w:lastRenderedPageBreak/>
        <w:t>Constitucional,</w:t>
      </w:r>
      <w:r w:rsidRPr="00F37507">
        <w:rPr>
          <w:rFonts w:ascii="Cambria" w:hAnsi="Cambria"/>
          <w:sz w:val="20"/>
          <w:szCs w:val="20"/>
        </w:rPr>
        <w:t xml:space="preserve"> no resultan manifiestamente infundadas y requieren un estudio de fondo.</w:t>
      </w:r>
      <w:r w:rsidR="004C026B">
        <w:rPr>
          <w:rFonts w:ascii="Cambria" w:hAnsi="Cambria"/>
          <w:sz w:val="20"/>
          <w:szCs w:val="20"/>
        </w:rPr>
        <w:t xml:space="preserve"> En tal análisis, la CIDH no valorará la licitud de los procesos de expropiaci</w:t>
      </w:r>
      <w:r w:rsidR="007C70E8">
        <w:rPr>
          <w:rFonts w:ascii="Cambria" w:hAnsi="Cambria"/>
          <w:sz w:val="20"/>
          <w:szCs w:val="20"/>
        </w:rPr>
        <w:t>ón</w:t>
      </w:r>
      <w:r w:rsidR="004C026B">
        <w:rPr>
          <w:rFonts w:ascii="Cambria" w:hAnsi="Cambria"/>
          <w:sz w:val="20"/>
          <w:szCs w:val="20"/>
        </w:rPr>
        <w:t xml:space="preserve">, sino únicamente las consecuencias derivadas en el patrimonio de las presuntas víctimas por la falta de pago de los justiprecios en un tiempo razonable. </w:t>
      </w:r>
    </w:p>
    <w:p w:rsidR="004C026B" w:rsidRPr="004C026B" w:rsidRDefault="00D50D8F" w:rsidP="00EA073A">
      <w:pPr>
        <w:numPr>
          <w:ilvl w:val="0"/>
          <w:numId w:val="103"/>
        </w:numPr>
        <w:suppressAutoHyphens/>
        <w:spacing w:before="240" w:after="240"/>
        <w:jc w:val="both"/>
        <w:rPr>
          <w:rFonts w:asciiTheme="majorHAnsi" w:hAnsiTheme="majorHAnsi"/>
          <w:b/>
          <w:bCs/>
          <w:sz w:val="20"/>
          <w:szCs w:val="20"/>
        </w:rPr>
      </w:pPr>
      <w:r w:rsidRPr="004C026B">
        <w:rPr>
          <w:rFonts w:ascii="Cambria" w:hAnsi="Cambria"/>
          <w:sz w:val="20"/>
          <w:szCs w:val="20"/>
        </w:rPr>
        <w:t>Por las razones expuestas, la Comisión considera que de verificarse como ciertos los hechos denunciados, estos podrían caracterizar violaciones a los</w:t>
      </w:r>
      <w:r w:rsidR="00FC3BD5" w:rsidRPr="004C026B">
        <w:rPr>
          <w:rFonts w:ascii="Cambria" w:hAnsi="Cambria"/>
          <w:sz w:val="20"/>
          <w:szCs w:val="20"/>
        </w:rPr>
        <w:t xml:space="preserve"> </w:t>
      </w:r>
      <w:r w:rsidR="00F37507" w:rsidRPr="004C026B">
        <w:rPr>
          <w:rFonts w:ascii="Cambria" w:hAnsi="Cambria"/>
          <w:sz w:val="20"/>
          <w:szCs w:val="20"/>
        </w:rPr>
        <w:t>artículos</w:t>
      </w:r>
      <w:r w:rsidR="00FC3BD5" w:rsidRPr="004C026B">
        <w:rPr>
          <w:rFonts w:ascii="Cambria" w:hAnsi="Cambria"/>
          <w:sz w:val="20"/>
          <w:szCs w:val="20"/>
        </w:rPr>
        <w:t xml:space="preserve"> </w:t>
      </w:r>
      <w:r w:rsidR="00F37507" w:rsidRPr="004C026B">
        <w:rPr>
          <w:rFonts w:ascii="Cambria" w:hAnsi="Cambria"/>
          <w:sz w:val="20"/>
          <w:szCs w:val="20"/>
        </w:rPr>
        <w:t>8 (garantías judiciales), 21 (propiedad), 24 (igualdad ante la ley) y 25 (protección judicial) de la Convención Americana sobre Derechos Humanos, en relación con sus artículo</w:t>
      </w:r>
      <w:r w:rsidR="00970BD2" w:rsidRPr="004C026B">
        <w:rPr>
          <w:rFonts w:ascii="Cambria" w:hAnsi="Cambria"/>
          <w:sz w:val="20"/>
          <w:szCs w:val="20"/>
        </w:rPr>
        <w:t>s</w:t>
      </w:r>
      <w:r w:rsidR="00F37507" w:rsidRPr="004C026B">
        <w:rPr>
          <w:rFonts w:ascii="Cambria" w:hAnsi="Cambria"/>
          <w:sz w:val="20"/>
          <w:szCs w:val="20"/>
        </w:rPr>
        <w:t xml:space="preserve"> 1.1 (obligación de respetar los derechos) y 2 (obligación de adoptar disposiciones de derecho interno). </w:t>
      </w:r>
    </w:p>
    <w:p w:rsidR="003239B8" w:rsidRPr="004C026B" w:rsidRDefault="003239B8" w:rsidP="004C026B">
      <w:pPr>
        <w:suppressAutoHyphens/>
        <w:spacing w:before="240" w:after="240"/>
        <w:ind w:left="720"/>
        <w:jc w:val="both"/>
        <w:rPr>
          <w:rFonts w:asciiTheme="majorHAnsi" w:hAnsiTheme="majorHAnsi"/>
          <w:b/>
          <w:bCs/>
          <w:sz w:val="20"/>
          <w:szCs w:val="20"/>
        </w:rPr>
      </w:pPr>
      <w:r w:rsidRPr="004C026B">
        <w:rPr>
          <w:rFonts w:asciiTheme="majorHAnsi" w:hAnsiTheme="majorHAnsi"/>
          <w:b/>
          <w:bCs/>
          <w:sz w:val="20"/>
          <w:szCs w:val="20"/>
        </w:rPr>
        <w:t xml:space="preserve">VIII. </w:t>
      </w:r>
      <w:r w:rsidRPr="004C026B">
        <w:rPr>
          <w:rFonts w:asciiTheme="majorHAnsi" w:hAnsiTheme="majorHAnsi"/>
          <w:b/>
          <w:bCs/>
          <w:sz w:val="20"/>
          <w:szCs w:val="20"/>
        </w:rPr>
        <w:tab/>
        <w:t>DECISIÓN</w:t>
      </w:r>
    </w:p>
    <w:p w:rsidR="000419AD" w:rsidRPr="00F37507" w:rsidRDefault="003239B8" w:rsidP="000419AD">
      <w:pPr>
        <w:numPr>
          <w:ilvl w:val="0"/>
          <w:numId w:val="109"/>
        </w:numPr>
        <w:suppressAutoHyphens/>
        <w:spacing w:after="240"/>
        <w:jc w:val="both"/>
        <w:rPr>
          <w:rFonts w:ascii="Cambria" w:hAnsi="Cambria"/>
          <w:sz w:val="20"/>
          <w:szCs w:val="20"/>
        </w:rPr>
      </w:pPr>
      <w:r w:rsidRPr="003239B8">
        <w:rPr>
          <w:rFonts w:asciiTheme="majorHAnsi" w:hAnsiTheme="majorHAnsi"/>
          <w:sz w:val="20"/>
          <w:szCs w:val="20"/>
        </w:rPr>
        <w:t xml:space="preserve">Declarar admisible la presente petición en relación con </w:t>
      </w:r>
      <w:r w:rsidR="00F37507">
        <w:rPr>
          <w:rFonts w:asciiTheme="majorHAnsi" w:hAnsiTheme="majorHAnsi"/>
          <w:sz w:val="20"/>
          <w:szCs w:val="20"/>
        </w:rPr>
        <w:t>8, 21, 24 y 25 de la Convención Americana, en relación sus artículos 1.1 y 2</w:t>
      </w:r>
      <w:r w:rsidR="00A758AA">
        <w:rPr>
          <w:rFonts w:asciiTheme="majorHAnsi" w:hAnsiTheme="majorHAnsi"/>
          <w:sz w:val="20"/>
          <w:szCs w:val="20"/>
        </w:rPr>
        <w:t>;</w:t>
      </w:r>
      <w:r w:rsidR="007B76D3">
        <w:rPr>
          <w:rFonts w:asciiTheme="majorHAnsi" w:hAnsiTheme="majorHAnsi"/>
          <w:sz w:val="20"/>
          <w:szCs w:val="20"/>
        </w:rPr>
        <w:t xml:space="preserve"> y</w:t>
      </w:r>
    </w:p>
    <w:p w:rsidR="00BE5964" w:rsidRDefault="004A6A54" w:rsidP="00BE5964">
      <w:pPr>
        <w:numPr>
          <w:ilvl w:val="0"/>
          <w:numId w:val="109"/>
        </w:numPr>
        <w:suppressAutoHyphens/>
        <w:spacing w:after="240"/>
        <w:jc w:val="both"/>
        <w:rPr>
          <w:rFonts w:asciiTheme="majorHAnsi" w:hAnsiTheme="majorHAnsi"/>
          <w:sz w:val="20"/>
          <w:szCs w:val="20"/>
        </w:rPr>
      </w:pPr>
      <w:r w:rsidRPr="009B7794">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rsidR="00492DE6" w:rsidRPr="00A37B82" w:rsidRDefault="00492DE6" w:rsidP="00492DE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492DE6" w:rsidRPr="00A37B82" w:rsidRDefault="00492DE6" w:rsidP="00492DE6">
      <w:pPr>
        <w:suppressAutoHyphens/>
        <w:ind w:firstLine="720"/>
        <w:jc w:val="both"/>
        <w:rPr>
          <w:rFonts w:asciiTheme="majorHAnsi" w:hAnsiTheme="majorHAnsi" w:cs="Arial"/>
          <w:noProof/>
          <w:spacing w:val="-2"/>
          <w:sz w:val="20"/>
          <w:szCs w:val="20"/>
          <w:lang w:val="es-CL"/>
        </w:rPr>
      </w:pPr>
    </w:p>
    <w:p w:rsidR="00492DE6" w:rsidRDefault="00492DE6">
      <w:pPr>
        <w:pBdr>
          <w:top w:val="nil"/>
          <w:left w:val="nil"/>
          <w:bottom w:val="nil"/>
          <w:right w:val="nil"/>
          <w:between w:val="nil"/>
          <w:bar w:val="nil"/>
        </w:pBdr>
        <w:rPr>
          <w:rFonts w:asciiTheme="majorHAnsi" w:hAnsiTheme="majorHAnsi"/>
          <w:sz w:val="20"/>
          <w:szCs w:val="20"/>
        </w:rPr>
      </w:pPr>
      <w:r>
        <w:rPr>
          <w:rFonts w:asciiTheme="majorHAnsi" w:hAnsiTheme="majorHAnsi"/>
          <w:sz w:val="20"/>
          <w:szCs w:val="20"/>
        </w:rPr>
        <w:br w:type="page"/>
      </w:r>
    </w:p>
    <w:p w:rsidR="00492DE6" w:rsidRPr="00BE5964" w:rsidRDefault="00492DE6" w:rsidP="00492DE6">
      <w:pPr>
        <w:suppressAutoHyphens/>
        <w:spacing w:after="240"/>
        <w:ind w:left="720"/>
        <w:jc w:val="both"/>
        <w:rPr>
          <w:rFonts w:asciiTheme="majorHAnsi" w:hAnsiTheme="majorHAnsi"/>
          <w:sz w:val="20"/>
          <w:szCs w:val="20"/>
        </w:rPr>
      </w:pPr>
    </w:p>
    <w:p w:rsidR="00BE5964" w:rsidRPr="00A1498E" w:rsidRDefault="00BE5964" w:rsidP="00BE5964">
      <w:pPr>
        <w:jc w:val="center"/>
        <w:rPr>
          <w:rFonts w:ascii="Cambria" w:hAnsi="Cambria"/>
          <w:b/>
          <w:bCs/>
          <w:sz w:val="20"/>
          <w:szCs w:val="20"/>
        </w:rPr>
      </w:pPr>
      <w:r w:rsidRPr="00A1498E">
        <w:rPr>
          <w:rFonts w:ascii="Cambria" w:hAnsi="Cambria"/>
          <w:b/>
          <w:bCs/>
          <w:sz w:val="20"/>
          <w:szCs w:val="20"/>
        </w:rPr>
        <w:t>Anexo 1</w:t>
      </w:r>
    </w:p>
    <w:p w:rsidR="00BE5964" w:rsidRDefault="00BE5964" w:rsidP="00BE5964">
      <w:pPr>
        <w:jc w:val="center"/>
        <w:rPr>
          <w:rFonts w:ascii="Cambria" w:hAnsi="Cambria"/>
          <w:b/>
          <w:bCs/>
          <w:sz w:val="20"/>
          <w:szCs w:val="20"/>
        </w:rPr>
      </w:pPr>
      <w:r w:rsidRPr="00A1498E">
        <w:rPr>
          <w:rFonts w:ascii="Cambria" w:hAnsi="Cambria"/>
          <w:b/>
          <w:bCs/>
          <w:sz w:val="20"/>
          <w:szCs w:val="20"/>
        </w:rPr>
        <w:t>Listado de presunta</w:t>
      </w:r>
      <w:r w:rsidR="0021213A">
        <w:rPr>
          <w:rFonts w:ascii="Cambria" w:hAnsi="Cambria"/>
          <w:b/>
          <w:bCs/>
          <w:sz w:val="20"/>
          <w:szCs w:val="20"/>
        </w:rPr>
        <w:t>s</w:t>
      </w:r>
      <w:r w:rsidRPr="00A1498E">
        <w:rPr>
          <w:rFonts w:ascii="Cambria" w:hAnsi="Cambria"/>
          <w:b/>
          <w:bCs/>
          <w:sz w:val="20"/>
          <w:szCs w:val="20"/>
        </w:rPr>
        <w:t xml:space="preserve"> víctimas</w:t>
      </w:r>
    </w:p>
    <w:p w:rsidR="00722C9F" w:rsidRDefault="00722C9F" w:rsidP="00974491">
      <w:pPr>
        <w:rPr>
          <w:rFonts w:ascii="Cambria" w:hAnsi="Cambria" w:cs="Calibri"/>
          <w:sz w:val="20"/>
          <w:szCs w:val="20"/>
        </w:rPr>
      </w:pPr>
    </w:p>
    <w:p w:rsidR="00C75CFC" w:rsidRDefault="00C75CFC" w:rsidP="00C75CFC">
      <w:pPr>
        <w:pStyle w:val="ListParagraph"/>
        <w:numPr>
          <w:ilvl w:val="0"/>
          <w:numId w:val="110"/>
        </w:numPr>
        <w:rPr>
          <w:rFonts w:cs="Calibri"/>
          <w:sz w:val="20"/>
          <w:szCs w:val="20"/>
          <w:lang w:val="es-ES"/>
        </w:rPr>
      </w:pPr>
      <w:proofErr w:type="spellStart"/>
      <w:r>
        <w:rPr>
          <w:rFonts w:cs="Calibri"/>
          <w:sz w:val="20"/>
          <w:szCs w:val="20"/>
          <w:lang w:val="es-ES"/>
        </w:rPr>
        <w:t>Kurt</w:t>
      </w:r>
      <w:proofErr w:type="spellEnd"/>
      <w:r>
        <w:rPr>
          <w:rFonts w:cs="Calibri"/>
          <w:sz w:val="20"/>
          <w:szCs w:val="20"/>
          <w:lang w:val="es-ES"/>
        </w:rPr>
        <w:t xml:space="preserve"> Heinz </w:t>
      </w:r>
      <w:proofErr w:type="spellStart"/>
      <w:r>
        <w:rPr>
          <w:rFonts w:cs="Calibri"/>
          <w:sz w:val="20"/>
          <w:szCs w:val="20"/>
          <w:lang w:val="es-ES"/>
        </w:rPr>
        <w:t>Arens</w:t>
      </w:r>
      <w:proofErr w:type="spellEnd"/>
      <w:r>
        <w:rPr>
          <w:rFonts w:cs="Calibri"/>
          <w:sz w:val="20"/>
          <w:szCs w:val="20"/>
          <w:lang w:val="es-ES"/>
        </w:rPr>
        <w:t xml:space="preserve"> </w:t>
      </w:r>
      <w:proofErr w:type="spellStart"/>
      <w:r>
        <w:rPr>
          <w:rFonts w:cs="Calibri"/>
          <w:sz w:val="20"/>
          <w:szCs w:val="20"/>
          <w:lang w:val="es-ES"/>
        </w:rPr>
        <w:t>Ostendorf</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Enrique </w:t>
      </w:r>
      <w:proofErr w:type="spellStart"/>
      <w:r>
        <w:rPr>
          <w:rFonts w:cs="Calibri"/>
          <w:sz w:val="20"/>
          <w:szCs w:val="20"/>
          <w:lang w:val="es-ES"/>
        </w:rPr>
        <w:t>Gerd</w:t>
      </w:r>
      <w:proofErr w:type="spellEnd"/>
      <w:r>
        <w:rPr>
          <w:rFonts w:cs="Calibri"/>
          <w:sz w:val="20"/>
          <w:szCs w:val="20"/>
          <w:lang w:val="es-ES"/>
        </w:rPr>
        <w:t xml:space="preserve"> </w:t>
      </w:r>
      <w:proofErr w:type="spellStart"/>
      <w:r>
        <w:rPr>
          <w:rFonts w:cs="Calibri"/>
          <w:sz w:val="20"/>
          <w:szCs w:val="20"/>
          <w:lang w:val="es-ES"/>
        </w:rPr>
        <w:t>Arens</w:t>
      </w:r>
      <w:proofErr w:type="spellEnd"/>
      <w:r>
        <w:rPr>
          <w:rFonts w:cs="Calibri"/>
          <w:sz w:val="20"/>
          <w:szCs w:val="20"/>
          <w:lang w:val="es-ES"/>
        </w:rPr>
        <w:t xml:space="preserve"> </w:t>
      </w:r>
      <w:proofErr w:type="spellStart"/>
      <w:r>
        <w:rPr>
          <w:rFonts w:cs="Calibri"/>
          <w:sz w:val="20"/>
          <w:szCs w:val="20"/>
          <w:lang w:val="es-ES"/>
        </w:rPr>
        <w:t>Ostendorf</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Ruth </w:t>
      </w:r>
      <w:proofErr w:type="spellStart"/>
      <w:r>
        <w:rPr>
          <w:rFonts w:cs="Calibri"/>
          <w:sz w:val="20"/>
          <w:szCs w:val="20"/>
          <w:lang w:val="es-ES"/>
        </w:rPr>
        <w:t>Nori</w:t>
      </w:r>
      <w:proofErr w:type="spellEnd"/>
      <w:r>
        <w:rPr>
          <w:rFonts w:cs="Calibri"/>
          <w:sz w:val="20"/>
          <w:szCs w:val="20"/>
          <w:lang w:val="es-ES"/>
        </w:rPr>
        <w:t xml:space="preserve"> </w:t>
      </w:r>
      <w:proofErr w:type="spellStart"/>
      <w:r>
        <w:rPr>
          <w:rFonts w:cs="Calibri"/>
          <w:sz w:val="20"/>
          <w:szCs w:val="20"/>
          <w:lang w:val="es-ES"/>
        </w:rPr>
        <w:t>Arens</w:t>
      </w:r>
      <w:proofErr w:type="spellEnd"/>
      <w:r>
        <w:rPr>
          <w:rFonts w:cs="Calibri"/>
          <w:sz w:val="20"/>
          <w:szCs w:val="20"/>
          <w:lang w:val="es-ES"/>
        </w:rPr>
        <w:t xml:space="preserve"> </w:t>
      </w:r>
      <w:proofErr w:type="spellStart"/>
      <w:r>
        <w:rPr>
          <w:rFonts w:cs="Calibri"/>
          <w:sz w:val="20"/>
          <w:szCs w:val="20"/>
          <w:lang w:val="es-ES"/>
        </w:rPr>
        <w:t>Ostendorf</w:t>
      </w:r>
      <w:proofErr w:type="spellEnd"/>
    </w:p>
    <w:p w:rsidR="00F4503F" w:rsidRDefault="00F4503F" w:rsidP="00C75CFC">
      <w:pPr>
        <w:pStyle w:val="ListParagraph"/>
        <w:numPr>
          <w:ilvl w:val="0"/>
          <w:numId w:val="110"/>
        </w:numPr>
        <w:rPr>
          <w:rFonts w:cs="Calibri"/>
          <w:sz w:val="20"/>
          <w:szCs w:val="20"/>
          <w:lang w:val="es-ES"/>
        </w:rPr>
      </w:pPr>
      <w:proofErr w:type="spellStart"/>
      <w:r>
        <w:rPr>
          <w:rFonts w:cs="Calibri"/>
          <w:sz w:val="20"/>
          <w:szCs w:val="20"/>
          <w:lang w:val="es-ES"/>
        </w:rPr>
        <w:t>Gerd</w:t>
      </w:r>
      <w:proofErr w:type="spellEnd"/>
      <w:r>
        <w:rPr>
          <w:rFonts w:cs="Calibri"/>
          <w:sz w:val="20"/>
          <w:szCs w:val="20"/>
          <w:lang w:val="es-ES"/>
        </w:rPr>
        <w:t xml:space="preserve"> </w:t>
      </w:r>
      <w:proofErr w:type="spellStart"/>
      <w:r>
        <w:rPr>
          <w:rFonts w:cs="Calibri"/>
          <w:sz w:val="20"/>
          <w:szCs w:val="20"/>
          <w:lang w:val="es-ES"/>
        </w:rPr>
        <w:t>Friedel</w:t>
      </w:r>
      <w:proofErr w:type="spellEnd"/>
      <w:r>
        <w:rPr>
          <w:rFonts w:cs="Calibri"/>
          <w:sz w:val="20"/>
          <w:szCs w:val="20"/>
          <w:lang w:val="es-ES"/>
        </w:rPr>
        <w:t xml:space="preserve"> </w:t>
      </w:r>
      <w:proofErr w:type="spellStart"/>
      <w:r>
        <w:rPr>
          <w:rFonts w:cs="Calibri"/>
          <w:sz w:val="20"/>
          <w:szCs w:val="20"/>
          <w:lang w:val="es-ES"/>
        </w:rPr>
        <w:t>Arens</w:t>
      </w:r>
      <w:proofErr w:type="spellEnd"/>
      <w:r>
        <w:rPr>
          <w:rFonts w:cs="Calibri"/>
          <w:sz w:val="20"/>
          <w:szCs w:val="20"/>
          <w:lang w:val="es-ES"/>
        </w:rPr>
        <w:t xml:space="preserve"> </w:t>
      </w:r>
      <w:proofErr w:type="spellStart"/>
      <w:r>
        <w:rPr>
          <w:rFonts w:cs="Calibri"/>
          <w:sz w:val="20"/>
          <w:szCs w:val="20"/>
          <w:lang w:val="es-ES"/>
        </w:rPr>
        <w:t>Ostendorf</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Carolina </w:t>
      </w:r>
      <w:proofErr w:type="spellStart"/>
      <w:r>
        <w:rPr>
          <w:rFonts w:cs="Calibri"/>
          <w:sz w:val="20"/>
          <w:szCs w:val="20"/>
          <w:lang w:val="es-ES"/>
        </w:rPr>
        <w:t>Janka</w:t>
      </w:r>
      <w:proofErr w:type="spellEnd"/>
      <w:r>
        <w:rPr>
          <w:rFonts w:cs="Calibri"/>
          <w:sz w:val="20"/>
          <w:szCs w:val="20"/>
          <w:lang w:val="es-ES"/>
        </w:rPr>
        <w:t xml:space="preserve"> </w:t>
      </w:r>
      <w:proofErr w:type="spellStart"/>
      <w:r>
        <w:rPr>
          <w:rFonts w:cs="Calibri"/>
          <w:sz w:val="20"/>
          <w:szCs w:val="20"/>
          <w:lang w:val="es-ES"/>
        </w:rPr>
        <w:t>Ostendorf</w:t>
      </w:r>
      <w:proofErr w:type="spellEnd"/>
      <w:r>
        <w:rPr>
          <w:rFonts w:cs="Calibri"/>
          <w:sz w:val="20"/>
          <w:szCs w:val="20"/>
          <w:lang w:val="es-ES"/>
        </w:rPr>
        <w:t xml:space="preserve"> </w:t>
      </w:r>
      <w:proofErr w:type="spellStart"/>
      <w:r>
        <w:rPr>
          <w:rFonts w:cs="Calibri"/>
          <w:sz w:val="20"/>
          <w:szCs w:val="20"/>
          <w:lang w:val="es-ES"/>
        </w:rPr>
        <w:t>Inkey</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Maria Elena Calle Rodríguez Prieto de la Piedra</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Lucila Rosario Calle Rodríguez</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Cecilia Esther Calle Rodríguez</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Jorge Hipólito Cale Rodríguez</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Jose Gerardo Calle Rodríguez</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María Esther Rodríguez </w:t>
      </w:r>
      <w:proofErr w:type="spellStart"/>
      <w:r>
        <w:rPr>
          <w:rFonts w:cs="Calibri"/>
          <w:sz w:val="20"/>
          <w:szCs w:val="20"/>
          <w:lang w:val="es-ES"/>
        </w:rPr>
        <w:t>Sandfield</w:t>
      </w:r>
      <w:proofErr w:type="spellEnd"/>
      <w:r>
        <w:rPr>
          <w:rFonts w:cs="Calibri"/>
          <w:sz w:val="20"/>
          <w:szCs w:val="20"/>
          <w:lang w:val="es-ES"/>
        </w:rPr>
        <w:t xml:space="preserve"> Viuda de Calle</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José Enrique </w:t>
      </w:r>
      <w:proofErr w:type="spellStart"/>
      <w:r>
        <w:rPr>
          <w:rFonts w:cs="Calibri"/>
          <w:sz w:val="20"/>
          <w:szCs w:val="20"/>
          <w:lang w:val="es-ES"/>
        </w:rPr>
        <w:t>Mansueto</w:t>
      </w:r>
      <w:proofErr w:type="spellEnd"/>
      <w:r>
        <w:rPr>
          <w:rFonts w:cs="Calibri"/>
          <w:sz w:val="20"/>
          <w:szCs w:val="20"/>
          <w:lang w:val="es-ES"/>
        </w:rPr>
        <w:t xml:space="preserve"> </w:t>
      </w:r>
      <w:proofErr w:type="spellStart"/>
      <w:r>
        <w:rPr>
          <w:rFonts w:cs="Calibri"/>
          <w:sz w:val="20"/>
          <w:szCs w:val="20"/>
          <w:lang w:val="es-ES"/>
        </w:rPr>
        <w:t>Canaval</w:t>
      </w:r>
      <w:proofErr w:type="spellEnd"/>
      <w:r>
        <w:rPr>
          <w:rFonts w:cs="Calibri"/>
          <w:sz w:val="20"/>
          <w:szCs w:val="20"/>
          <w:lang w:val="es-ES"/>
        </w:rPr>
        <w:t xml:space="preserve"> Park</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Rosa María </w:t>
      </w:r>
      <w:proofErr w:type="spellStart"/>
      <w:r>
        <w:rPr>
          <w:rFonts w:cs="Calibri"/>
          <w:sz w:val="20"/>
          <w:szCs w:val="20"/>
          <w:lang w:val="es-ES"/>
        </w:rPr>
        <w:t>Jacquillón</w:t>
      </w:r>
      <w:proofErr w:type="spellEnd"/>
      <w:r>
        <w:rPr>
          <w:rFonts w:cs="Calibri"/>
          <w:sz w:val="20"/>
          <w:szCs w:val="20"/>
          <w:lang w:val="es-ES"/>
        </w:rPr>
        <w:t xml:space="preserve"> </w:t>
      </w:r>
      <w:proofErr w:type="spellStart"/>
      <w:r>
        <w:rPr>
          <w:rFonts w:cs="Calibri"/>
          <w:sz w:val="20"/>
          <w:szCs w:val="20"/>
          <w:lang w:val="es-ES"/>
        </w:rPr>
        <w:t>Ratto</w:t>
      </w:r>
      <w:proofErr w:type="spellEnd"/>
      <w:r>
        <w:rPr>
          <w:rFonts w:cs="Calibri"/>
          <w:sz w:val="20"/>
          <w:szCs w:val="20"/>
          <w:lang w:val="es-ES"/>
        </w:rPr>
        <w:t xml:space="preserve"> Viuda de Causillas</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Esther </w:t>
      </w:r>
      <w:proofErr w:type="spellStart"/>
      <w:r>
        <w:rPr>
          <w:rFonts w:cs="Calibri"/>
          <w:sz w:val="20"/>
          <w:szCs w:val="20"/>
          <w:lang w:val="es-ES"/>
        </w:rPr>
        <w:t>Bertila</w:t>
      </w:r>
      <w:proofErr w:type="spellEnd"/>
      <w:r>
        <w:rPr>
          <w:rFonts w:cs="Calibri"/>
          <w:sz w:val="20"/>
          <w:szCs w:val="20"/>
          <w:lang w:val="es-ES"/>
        </w:rPr>
        <w:t xml:space="preserve"> Causillas </w:t>
      </w:r>
      <w:proofErr w:type="spellStart"/>
      <w:r>
        <w:rPr>
          <w:rFonts w:cs="Calibri"/>
          <w:sz w:val="20"/>
          <w:szCs w:val="20"/>
          <w:lang w:val="es-ES"/>
        </w:rPr>
        <w:t>Jacquillón</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Jorge Ítalo Causillas </w:t>
      </w:r>
      <w:proofErr w:type="spellStart"/>
      <w:r>
        <w:rPr>
          <w:rFonts w:cs="Calibri"/>
          <w:sz w:val="20"/>
          <w:szCs w:val="20"/>
          <w:lang w:val="es-ES"/>
        </w:rPr>
        <w:t>Jacquillón</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Roberto José Causillas </w:t>
      </w:r>
      <w:proofErr w:type="spellStart"/>
      <w:r>
        <w:rPr>
          <w:rFonts w:cs="Calibri"/>
          <w:sz w:val="20"/>
          <w:szCs w:val="20"/>
          <w:lang w:val="es-ES"/>
        </w:rPr>
        <w:t>Jacquillón</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Carlos Guillermo Causillas Briceño</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Celia Consuelo Guevara Llave de Coello</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Julia </w:t>
      </w:r>
      <w:proofErr w:type="spellStart"/>
      <w:r>
        <w:rPr>
          <w:rFonts w:cs="Calibri"/>
          <w:sz w:val="20"/>
          <w:szCs w:val="20"/>
          <w:lang w:val="es-ES"/>
        </w:rPr>
        <w:t>Agueda</w:t>
      </w:r>
      <w:proofErr w:type="spellEnd"/>
      <w:r>
        <w:rPr>
          <w:rFonts w:cs="Calibri"/>
          <w:sz w:val="20"/>
          <w:szCs w:val="20"/>
          <w:lang w:val="es-ES"/>
        </w:rPr>
        <w:t xml:space="preserve"> Guevara Llave </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Josefina Guevara Llave de Paca</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Víctor Alejandro </w:t>
      </w:r>
      <w:proofErr w:type="spellStart"/>
      <w:r>
        <w:rPr>
          <w:rFonts w:cs="Calibri"/>
          <w:sz w:val="20"/>
          <w:szCs w:val="20"/>
          <w:lang w:val="es-ES"/>
        </w:rPr>
        <w:t>Hermoza</w:t>
      </w:r>
      <w:proofErr w:type="spellEnd"/>
      <w:r>
        <w:rPr>
          <w:rFonts w:cs="Calibri"/>
          <w:sz w:val="20"/>
          <w:szCs w:val="20"/>
          <w:lang w:val="es-ES"/>
        </w:rPr>
        <w:t xml:space="preserve"> </w:t>
      </w:r>
      <w:proofErr w:type="spellStart"/>
      <w:r>
        <w:rPr>
          <w:rFonts w:cs="Calibri"/>
          <w:sz w:val="20"/>
          <w:szCs w:val="20"/>
          <w:lang w:val="es-ES"/>
        </w:rPr>
        <w:t>Arrascue</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María Francisca Jaime Viuda de </w:t>
      </w:r>
      <w:proofErr w:type="spellStart"/>
      <w:r>
        <w:rPr>
          <w:rFonts w:cs="Calibri"/>
          <w:sz w:val="20"/>
          <w:szCs w:val="20"/>
          <w:lang w:val="es-ES"/>
        </w:rPr>
        <w:t>Menache</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Gonzalo Ernesto </w:t>
      </w:r>
      <w:proofErr w:type="spellStart"/>
      <w:r>
        <w:rPr>
          <w:rFonts w:cs="Calibri"/>
          <w:sz w:val="20"/>
          <w:szCs w:val="20"/>
          <w:lang w:val="es-ES"/>
        </w:rPr>
        <w:t>Zamalloa</w:t>
      </w:r>
      <w:proofErr w:type="spellEnd"/>
      <w:r>
        <w:rPr>
          <w:rFonts w:cs="Calibri"/>
          <w:sz w:val="20"/>
          <w:szCs w:val="20"/>
          <w:lang w:val="es-ES"/>
        </w:rPr>
        <w:t xml:space="preserve"> Jaime</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Héctor Alejandro Jaime </w:t>
      </w:r>
      <w:proofErr w:type="spellStart"/>
      <w:r>
        <w:rPr>
          <w:rFonts w:cs="Calibri"/>
          <w:sz w:val="20"/>
          <w:szCs w:val="20"/>
          <w:lang w:val="es-ES"/>
        </w:rPr>
        <w:t>Jaime</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Luis Fernando Jaime </w:t>
      </w:r>
      <w:proofErr w:type="spellStart"/>
      <w:r>
        <w:rPr>
          <w:rFonts w:cs="Calibri"/>
          <w:sz w:val="20"/>
          <w:szCs w:val="20"/>
          <w:lang w:val="es-ES"/>
        </w:rPr>
        <w:t>Jaime</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Luis Virginia Jaime </w:t>
      </w:r>
      <w:proofErr w:type="spellStart"/>
      <w:r>
        <w:rPr>
          <w:rFonts w:cs="Calibri"/>
          <w:sz w:val="20"/>
          <w:szCs w:val="20"/>
          <w:lang w:val="es-ES"/>
        </w:rPr>
        <w:t>Jaime</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Enriqueta Ana María </w:t>
      </w:r>
      <w:proofErr w:type="spellStart"/>
      <w:r>
        <w:rPr>
          <w:rFonts w:cs="Calibri"/>
          <w:sz w:val="20"/>
          <w:szCs w:val="20"/>
          <w:lang w:val="es-ES"/>
        </w:rPr>
        <w:t>Peschiera</w:t>
      </w:r>
      <w:proofErr w:type="spellEnd"/>
      <w:r>
        <w:rPr>
          <w:rFonts w:cs="Calibri"/>
          <w:sz w:val="20"/>
          <w:szCs w:val="20"/>
          <w:lang w:val="es-ES"/>
        </w:rPr>
        <w:t xml:space="preserve"> de Cabrera</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Javier Benjamín </w:t>
      </w:r>
      <w:proofErr w:type="spellStart"/>
      <w:r>
        <w:rPr>
          <w:rFonts w:cs="Calibri"/>
          <w:sz w:val="20"/>
          <w:szCs w:val="20"/>
          <w:lang w:val="es-ES"/>
        </w:rPr>
        <w:t>Peschiera</w:t>
      </w:r>
      <w:proofErr w:type="spellEnd"/>
      <w:r>
        <w:rPr>
          <w:rFonts w:cs="Calibri"/>
          <w:sz w:val="20"/>
          <w:szCs w:val="20"/>
          <w:lang w:val="es-ES"/>
        </w:rPr>
        <w:t xml:space="preserve"> </w:t>
      </w:r>
      <w:proofErr w:type="spellStart"/>
      <w:r>
        <w:rPr>
          <w:rFonts w:cs="Calibri"/>
          <w:sz w:val="20"/>
          <w:szCs w:val="20"/>
          <w:lang w:val="es-ES"/>
        </w:rPr>
        <w:t>Rebagliati</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Edith Carmen </w:t>
      </w:r>
      <w:proofErr w:type="spellStart"/>
      <w:r>
        <w:rPr>
          <w:rFonts w:cs="Calibri"/>
          <w:sz w:val="20"/>
          <w:szCs w:val="20"/>
          <w:lang w:val="es-ES"/>
        </w:rPr>
        <w:t>Miffin</w:t>
      </w:r>
      <w:proofErr w:type="spellEnd"/>
      <w:r>
        <w:rPr>
          <w:rFonts w:cs="Calibri"/>
          <w:sz w:val="20"/>
          <w:szCs w:val="20"/>
          <w:lang w:val="es-ES"/>
        </w:rPr>
        <w:t xml:space="preserve"> Dañino Viuda de </w:t>
      </w:r>
      <w:proofErr w:type="spellStart"/>
      <w:r>
        <w:rPr>
          <w:rFonts w:cs="Calibri"/>
          <w:sz w:val="20"/>
          <w:szCs w:val="20"/>
          <w:lang w:val="es-ES"/>
        </w:rPr>
        <w:t>Peschiera</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Jaime Rizo Patrón Remy</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José Rizo Patrón </w:t>
      </w:r>
      <w:proofErr w:type="spellStart"/>
      <w:r>
        <w:rPr>
          <w:rFonts w:cs="Calibri"/>
          <w:sz w:val="20"/>
          <w:szCs w:val="20"/>
          <w:lang w:val="es-ES"/>
        </w:rPr>
        <w:t>Buckl</w:t>
      </w:r>
      <w:r w:rsidR="000B0751">
        <w:rPr>
          <w:rFonts w:cs="Calibri"/>
          <w:sz w:val="20"/>
          <w:szCs w:val="20"/>
          <w:lang w:val="es-ES"/>
        </w:rPr>
        <w:t>e</w:t>
      </w:r>
      <w:r>
        <w:rPr>
          <w:rFonts w:cs="Calibri"/>
          <w:sz w:val="20"/>
          <w:szCs w:val="20"/>
          <w:lang w:val="es-ES"/>
        </w:rPr>
        <w:t>y</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Gregory Rizo Patrón </w:t>
      </w:r>
      <w:proofErr w:type="spellStart"/>
      <w:r>
        <w:rPr>
          <w:rFonts w:cs="Calibri"/>
          <w:sz w:val="20"/>
          <w:szCs w:val="20"/>
          <w:lang w:val="es-ES"/>
        </w:rPr>
        <w:t>Buckl</w:t>
      </w:r>
      <w:r w:rsidR="000B0751">
        <w:rPr>
          <w:rFonts w:cs="Calibri"/>
          <w:sz w:val="20"/>
          <w:szCs w:val="20"/>
          <w:lang w:val="es-ES"/>
        </w:rPr>
        <w:t>e</w:t>
      </w:r>
      <w:r>
        <w:rPr>
          <w:rFonts w:cs="Calibri"/>
          <w:sz w:val="20"/>
          <w:szCs w:val="20"/>
          <w:lang w:val="es-ES"/>
        </w:rPr>
        <w:t>y</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Frederick Rizo Patrón </w:t>
      </w:r>
      <w:proofErr w:type="spellStart"/>
      <w:r>
        <w:rPr>
          <w:rFonts w:cs="Calibri"/>
          <w:sz w:val="20"/>
          <w:szCs w:val="20"/>
          <w:lang w:val="es-ES"/>
        </w:rPr>
        <w:t>Buck</w:t>
      </w:r>
      <w:r w:rsidR="000B0751">
        <w:rPr>
          <w:rFonts w:cs="Calibri"/>
          <w:sz w:val="20"/>
          <w:szCs w:val="20"/>
          <w:lang w:val="es-ES"/>
        </w:rPr>
        <w:t>le</w:t>
      </w:r>
      <w:r>
        <w:rPr>
          <w:rFonts w:cs="Calibri"/>
          <w:sz w:val="20"/>
          <w:szCs w:val="20"/>
          <w:lang w:val="es-ES"/>
        </w:rPr>
        <w:t>y</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Jean Ann Goodman</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Henry Edward </w:t>
      </w:r>
      <w:proofErr w:type="spellStart"/>
      <w:r>
        <w:rPr>
          <w:rFonts w:cs="Calibri"/>
          <w:sz w:val="20"/>
          <w:szCs w:val="20"/>
          <w:lang w:val="es-ES"/>
        </w:rPr>
        <w:t>Steward</w:t>
      </w:r>
      <w:proofErr w:type="spellEnd"/>
      <w:r>
        <w:rPr>
          <w:rFonts w:cs="Calibri"/>
          <w:sz w:val="20"/>
          <w:szCs w:val="20"/>
          <w:lang w:val="es-ES"/>
        </w:rPr>
        <w:t xml:space="preserve"> Checa</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Ana María Álvarez Calderón </w:t>
      </w:r>
      <w:proofErr w:type="spellStart"/>
      <w:r>
        <w:rPr>
          <w:rFonts w:cs="Calibri"/>
          <w:sz w:val="20"/>
          <w:szCs w:val="20"/>
          <w:lang w:val="es-ES"/>
        </w:rPr>
        <w:t>Fernandini</w:t>
      </w:r>
      <w:proofErr w:type="spellEnd"/>
      <w:r>
        <w:rPr>
          <w:rFonts w:cs="Calibri"/>
          <w:sz w:val="20"/>
          <w:szCs w:val="20"/>
          <w:lang w:val="es-ES"/>
        </w:rPr>
        <w:t xml:space="preserve"> de Olaechea</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Pedro Carlos Olaechea Álvarez Calderón</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José Antonio Olaechea Álvarez Calderón</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Ana María Olaechea Álvarez Calderón</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Luz María Olaechea Álvarez Calderón de Rizo Patrón</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Juan de Dios Olaechea Álvarez Calderón</w:t>
      </w:r>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Cesar Alberto </w:t>
      </w:r>
      <w:proofErr w:type="spellStart"/>
      <w:r>
        <w:rPr>
          <w:rFonts w:cs="Calibri"/>
          <w:sz w:val="20"/>
          <w:szCs w:val="20"/>
          <w:lang w:val="es-ES"/>
        </w:rPr>
        <w:t>Vittorelli</w:t>
      </w:r>
      <w:proofErr w:type="spellEnd"/>
      <w:r>
        <w:rPr>
          <w:rFonts w:cs="Calibri"/>
          <w:sz w:val="20"/>
          <w:szCs w:val="20"/>
          <w:lang w:val="es-ES"/>
        </w:rPr>
        <w:t xml:space="preserve"> </w:t>
      </w:r>
      <w:proofErr w:type="spellStart"/>
      <w:r>
        <w:rPr>
          <w:rFonts w:cs="Calibri"/>
          <w:sz w:val="20"/>
          <w:szCs w:val="20"/>
          <w:lang w:val="es-ES"/>
        </w:rPr>
        <w:t>Wakeham</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Piero Roberto </w:t>
      </w:r>
      <w:proofErr w:type="spellStart"/>
      <w:r>
        <w:rPr>
          <w:rFonts w:cs="Calibri"/>
          <w:sz w:val="20"/>
          <w:szCs w:val="20"/>
          <w:lang w:val="es-ES"/>
        </w:rPr>
        <w:t>Vittorelli</w:t>
      </w:r>
      <w:proofErr w:type="spellEnd"/>
      <w:r>
        <w:rPr>
          <w:rFonts w:cs="Calibri"/>
          <w:sz w:val="20"/>
          <w:szCs w:val="20"/>
          <w:lang w:val="es-ES"/>
        </w:rPr>
        <w:t xml:space="preserve"> </w:t>
      </w:r>
      <w:proofErr w:type="spellStart"/>
      <w:r>
        <w:rPr>
          <w:rFonts w:cs="Calibri"/>
          <w:sz w:val="20"/>
          <w:szCs w:val="20"/>
          <w:lang w:val="es-ES"/>
        </w:rPr>
        <w:t>Wakeham</w:t>
      </w:r>
      <w:proofErr w:type="spellEnd"/>
    </w:p>
    <w:p w:rsidR="00C75CFC" w:rsidRDefault="00C75CFC" w:rsidP="00C75CFC">
      <w:pPr>
        <w:pStyle w:val="ListParagraph"/>
        <w:numPr>
          <w:ilvl w:val="0"/>
          <w:numId w:val="110"/>
        </w:numPr>
        <w:rPr>
          <w:rFonts w:cs="Calibri"/>
          <w:sz w:val="20"/>
          <w:szCs w:val="20"/>
          <w:lang w:val="es-ES"/>
        </w:rPr>
      </w:pPr>
      <w:r>
        <w:rPr>
          <w:rFonts w:cs="Calibri"/>
          <w:sz w:val="20"/>
          <w:szCs w:val="20"/>
          <w:lang w:val="es-ES"/>
        </w:rPr>
        <w:t xml:space="preserve">Carola </w:t>
      </w:r>
      <w:proofErr w:type="spellStart"/>
      <w:r>
        <w:rPr>
          <w:rFonts w:cs="Calibri"/>
          <w:sz w:val="20"/>
          <w:szCs w:val="20"/>
          <w:lang w:val="es-ES"/>
        </w:rPr>
        <w:t>Marsi</w:t>
      </w:r>
      <w:r w:rsidR="00F4503F">
        <w:rPr>
          <w:rFonts w:cs="Calibri"/>
          <w:sz w:val="20"/>
          <w:szCs w:val="20"/>
          <w:lang w:val="es-ES"/>
        </w:rPr>
        <w:t>glia</w:t>
      </w:r>
      <w:proofErr w:type="spellEnd"/>
      <w:r w:rsidR="00F4503F">
        <w:rPr>
          <w:rFonts w:cs="Calibri"/>
          <w:sz w:val="20"/>
          <w:szCs w:val="20"/>
          <w:lang w:val="es-ES"/>
        </w:rPr>
        <w:t xml:space="preserve"> </w:t>
      </w:r>
      <w:proofErr w:type="spellStart"/>
      <w:r w:rsidR="00F4503F">
        <w:rPr>
          <w:rFonts w:cs="Calibri"/>
          <w:sz w:val="20"/>
          <w:szCs w:val="20"/>
          <w:lang w:val="es-ES"/>
        </w:rPr>
        <w:t>Vitorelli</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Nora </w:t>
      </w:r>
      <w:proofErr w:type="spellStart"/>
      <w:r>
        <w:rPr>
          <w:rFonts w:cs="Calibri"/>
          <w:sz w:val="20"/>
          <w:szCs w:val="20"/>
          <w:lang w:val="es-ES"/>
        </w:rPr>
        <w:t>Matter</w:t>
      </w:r>
      <w:proofErr w:type="spellEnd"/>
      <w:r>
        <w:rPr>
          <w:rFonts w:cs="Calibri"/>
          <w:sz w:val="20"/>
          <w:szCs w:val="20"/>
          <w:lang w:val="es-ES"/>
        </w:rPr>
        <w:t xml:space="preserve"> de </w:t>
      </w:r>
      <w:proofErr w:type="spellStart"/>
      <w:r>
        <w:rPr>
          <w:rFonts w:cs="Calibri"/>
          <w:sz w:val="20"/>
          <w:szCs w:val="20"/>
          <w:lang w:val="es-ES"/>
        </w:rPr>
        <w:t>L´endroit</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María Laura </w:t>
      </w:r>
      <w:proofErr w:type="spellStart"/>
      <w:r>
        <w:rPr>
          <w:rFonts w:cs="Calibri"/>
          <w:sz w:val="20"/>
          <w:szCs w:val="20"/>
          <w:lang w:val="es-ES"/>
        </w:rPr>
        <w:t>Zecevic</w:t>
      </w:r>
      <w:proofErr w:type="spellEnd"/>
      <w:r>
        <w:rPr>
          <w:rFonts w:cs="Calibri"/>
          <w:sz w:val="20"/>
          <w:szCs w:val="20"/>
          <w:lang w:val="es-ES"/>
        </w:rPr>
        <w:t xml:space="preserve"> </w:t>
      </w:r>
      <w:proofErr w:type="spellStart"/>
      <w:r>
        <w:rPr>
          <w:rFonts w:cs="Calibri"/>
          <w:sz w:val="20"/>
          <w:szCs w:val="20"/>
          <w:lang w:val="es-ES"/>
        </w:rPr>
        <w:t>Just</w:t>
      </w:r>
      <w:proofErr w:type="spellEnd"/>
    </w:p>
    <w:p w:rsidR="00F4503F" w:rsidRDefault="00F4503F" w:rsidP="00F4503F">
      <w:pPr>
        <w:pStyle w:val="ListParagraph"/>
        <w:numPr>
          <w:ilvl w:val="0"/>
          <w:numId w:val="110"/>
        </w:numPr>
        <w:rPr>
          <w:rFonts w:cs="Calibri"/>
          <w:sz w:val="20"/>
          <w:szCs w:val="20"/>
          <w:lang w:val="es-ES"/>
        </w:rPr>
      </w:pPr>
      <w:proofErr w:type="spellStart"/>
      <w:r>
        <w:rPr>
          <w:rFonts w:cs="Calibri"/>
          <w:sz w:val="20"/>
          <w:szCs w:val="20"/>
          <w:lang w:val="es-ES"/>
        </w:rPr>
        <w:t>Milan</w:t>
      </w:r>
      <w:proofErr w:type="spellEnd"/>
      <w:r>
        <w:rPr>
          <w:rFonts w:cs="Calibri"/>
          <w:sz w:val="20"/>
          <w:szCs w:val="20"/>
          <w:lang w:val="es-ES"/>
        </w:rPr>
        <w:t xml:space="preserve"> </w:t>
      </w:r>
      <w:proofErr w:type="spellStart"/>
      <w:r>
        <w:rPr>
          <w:rFonts w:cs="Calibri"/>
          <w:sz w:val="20"/>
          <w:szCs w:val="20"/>
          <w:lang w:val="es-ES"/>
        </w:rPr>
        <w:t>Zecevic</w:t>
      </w:r>
      <w:proofErr w:type="spellEnd"/>
      <w:r>
        <w:rPr>
          <w:rFonts w:cs="Calibri"/>
          <w:sz w:val="20"/>
          <w:szCs w:val="20"/>
          <w:lang w:val="es-ES"/>
        </w:rPr>
        <w:t xml:space="preserve"> Juste</w:t>
      </w:r>
    </w:p>
    <w:p w:rsidR="00F4503F" w:rsidRDefault="00F4503F" w:rsidP="00F4503F">
      <w:pPr>
        <w:pStyle w:val="ListParagraph"/>
        <w:numPr>
          <w:ilvl w:val="0"/>
          <w:numId w:val="110"/>
        </w:numPr>
        <w:rPr>
          <w:rFonts w:cs="Calibri"/>
          <w:sz w:val="20"/>
          <w:szCs w:val="20"/>
          <w:lang w:val="es-ES"/>
        </w:rPr>
      </w:pPr>
      <w:proofErr w:type="spellStart"/>
      <w:r>
        <w:rPr>
          <w:rFonts w:cs="Calibri"/>
          <w:sz w:val="20"/>
          <w:szCs w:val="20"/>
          <w:lang w:val="es-ES"/>
        </w:rPr>
        <w:t>Manoylo</w:t>
      </w:r>
      <w:proofErr w:type="spellEnd"/>
      <w:r>
        <w:rPr>
          <w:rFonts w:cs="Calibri"/>
          <w:sz w:val="20"/>
          <w:szCs w:val="20"/>
          <w:lang w:val="es-ES"/>
        </w:rPr>
        <w:t xml:space="preserve"> </w:t>
      </w:r>
      <w:proofErr w:type="spellStart"/>
      <w:r>
        <w:rPr>
          <w:rFonts w:cs="Calibri"/>
          <w:sz w:val="20"/>
          <w:szCs w:val="20"/>
          <w:lang w:val="es-ES"/>
        </w:rPr>
        <w:t>Zecevic</w:t>
      </w:r>
      <w:proofErr w:type="spellEnd"/>
      <w:r>
        <w:rPr>
          <w:rFonts w:cs="Calibri"/>
          <w:sz w:val="20"/>
          <w:szCs w:val="20"/>
          <w:lang w:val="es-ES"/>
        </w:rPr>
        <w:t xml:space="preserve"> Juste</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J</w:t>
      </w:r>
      <w:r w:rsidRPr="00F4503F">
        <w:rPr>
          <w:rFonts w:cs="Calibri"/>
          <w:sz w:val="20"/>
          <w:szCs w:val="20"/>
          <w:lang w:val="es-ES"/>
        </w:rPr>
        <w:t xml:space="preserve">orge Edmundo </w:t>
      </w:r>
      <w:proofErr w:type="spellStart"/>
      <w:r w:rsidRPr="00F4503F">
        <w:rPr>
          <w:rFonts w:cs="Calibri"/>
          <w:sz w:val="20"/>
          <w:szCs w:val="20"/>
          <w:lang w:val="es-ES"/>
        </w:rPr>
        <w:t>Torrico</w:t>
      </w:r>
      <w:proofErr w:type="spellEnd"/>
      <w:r w:rsidRPr="00F4503F">
        <w:rPr>
          <w:rFonts w:cs="Calibri"/>
          <w:sz w:val="20"/>
          <w:szCs w:val="20"/>
          <w:lang w:val="es-ES"/>
        </w:rPr>
        <w:t xml:space="preserve"> López</w:t>
      </w:r>
    </w:p>
    <w:p w:rsidR="00F4503F" w:rsidRDefault="00F4503F" w:rsidP="00F4503F">
      <w:pPr>
        <w:pStyle w:val="ListParagraph"/>
        <w:numPr>
          <w:ilvl w:val="0"/>
          <w:numId w:val="110"/>
        </w:numPr>
        <w:rPr>
          <w:rFonts w:cs="Calibri"/>
          <w:sz w:val="20"/>
          <w:szCs w:val="20"/>
          <w:lang w:val="es-ES"/>
        </w:rPr>
      </w:pPr>
      <w:proofErr w:type="spellStart"/>
      <w:r>
        <w:rPr>
          <w:rFonts w:cs="Calibri"/>
          <w:sz w:val="20"/>
          <w:szCs w:val="20"/>
          <w:lang w:val="es-ES"/>
        </w:rPr>
        <w:t>Karlos</w:t>
      </w:r>
      <w:proofErr w:type="spellEnd"/>
      <w:r>
        <w:rPr>
          <w:rFonts w:cs="Calibri"/>
          <w:sz w:val="20"/>
          <w:szCs w:val="20"/>
          <w:lang w:val="es-ES"/>
        </w:rPr>
        <w:t xml:space="preserve"> Enrique </w:t>
      </w:r>
      <w:proofErr w:type="spellStart"/>
      <w:r>
        <w:rPr>
          <w:rFonts w:cs="Calibri"/>
          <w:sz w:val="20"/>
          <w:szCs w:val="20"/>
          <w:lang w:val="es-ES"/>
        </w:rPr>
        <w:t>Torrico</w:t>
      </w:r>
      <w:proofErr w:type="spellEnd"/>
      <w:r>
        <w:rPr>
          <w:rFonts w:cs="Calibri"/>
          <w:sz w:val="20"/>
          <w:szCs w:val="20"/>
          <w:lang w:val="es-ES"/>
        </w:rPr>
        <w:t xml:space="preserve"> </w:t>
      </w:r>
      <w:proofErr w:type="spellStart"/>
      <w:r>
        <w:rPr>
          <w:rFonts w:cs="Calibri"/>
          <w:sz w:val="20"/>
          <w:szCs w:val="20"/>
          <w:lang w:val="es-ES"/>
        </w:rPr>
        <w:t>Zecevic</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lastRenderedPageBreak/>
        <w:t xml:space="preserve">Marco </w:t>
      </w:r>
      <w:proofErr w:type="spellStart"/>
      <w:r>
        <w:rPr>
          <w:rFonts w:cs="Calibri"/>
          <w:sz w:val="20"/>
          <w:szCs w:val="20"/>
          <w:lang w:val="es-ES"/>
        </w:rPr>
        <w:t>Torrico</w:t>
      </w:r>
      <w:proofErr w:type="spellEnd"/>
      <w:r>
        <w:rPr>
          <w:rFonts w:cs="Calibri"/>
          <w:sz w:val="20"/>
          <w:szCs w:val="20"/>
          <w:lang w:val="es-ES"/>
        </w:rPr>
        <w:t xml:space="preserve"> </w:t>
      </w:r>
      <w:proofErr w:type="spellStart"/>
      <w:r>
        <w:rPr>
          <w:rFonts w:cs="Calibri"/>
          <w:sz w:val="20"/>
          <w:szCs w:val="20"/>
          <w:lang w:val="es-ES"/>
        </w:rPr>
        <w:t>Zecevic</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Jorge </w:t>
      </w:r>
      <w:proofErr w:type="spellStart"/>
      <w:r>
        <w:rPr>
          <w:rFonts w:cs="Calibri"/>
          <w:sz w:val="20"/>
          <w:szCs w:val="20"/>
          <w:lang w:val="es-ES"/>
        </w:rPr>
        <w:t>Maynolo</w:t>
      </w:r>
      <w:proofErr w:type="spellEnd"/>
      <w:r>
        <w:rPr>
          <w:rFonts w:cs="Calibri"/>
          <w:sz w:val="20"/>
          <w:szCs w:val="20"/>
          <w:lang w:val="es-ES"/>
        </w:rPr>
        <w:t xml:space="preserve"> </w:t>
      </w:r>
      <w:proofErr w:type="spellStart"/>
      <w:r>
        <w:rPr>
          <w:rFonts w:cs="Calibri"/>
          <w:sz w:val="20"/>
          <w:szCs w:val="20"/>
          <w:lang w:val="es-ES"/>
        </w:rPr>
        <w:t>Torrico</w:t>
      </w:r>
      <w:proofErr w:type="spellEnd"/>
      <w:r>
        <w:rPr>
          <w:rFonts w:cs="Calibri"/>
          <w:sz w:val="20"/>
          <w:szCs w:val="20"/>
          <w:lang w:val="es-ES"/>
        </w:rPr>
        <w:t xml:space="preserve"> </w:t>
      </w:r>
      <w:proofErr w:type="spellStart"/>
      <w:r>
        <w:rPr>
          <w:rFonts w:cs="Calibri"/>
          <w:sz w:val="20"/>
          <w:szCs w:val="20"/>
          <w:lang w:val="es-ES"/>
        </w:rPr>
        <w:t>Zecevic</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Leonor Ana </w:t>
      </w:r>
      <w:proofErr w:type="spellStart"/>
      <w:r>
        <w:rPr>
          <w:rFonts w:cs="Calibri"/>
          <w:sz w:val="20"/>
          <w:szCs w:val="20"/>
          <w:lang w:val="es-ES"/>
        </w:rPr>
        <w:t>Dibós</w:t>
      </w:r>
      <w:proofErr w:type="spellEnd"/>
      <w:r>
        <w:rPr>
          <w:rFonts w:cs="Calibri"/>
          <w:sz w:val="20"/>
          <w:szCs w:val="20"/>
          <w:lang w:val="es-ES"/>
        </w:rPr>
        <w:t xml:space="preserve"> </w:t>
      </w:r>
      <w:proofErr w:type="spellStart"/>
      <w:r>
        <w:rPr>
          <w:rFonts w:cs="Calibri"/>
          <w:sz w:val="20"/>
          <w:szCs w:val="20"/>
          <w:lang w:val="es-ES"/>
        </w:rPr>
        <w:t>Cauvi</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t>Manuel Mujica Diez Canseco</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José Jaime Mujica Diez Canseco</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Cecilia </w:t>
      </w:r>
      <w:proofErr w:type="spellStart"/>
      <w:r>
        <w:rPr>
          <w:rFonts w:cs="Calibri"/>
          <w:sz w:val="20"/>
          <w:szCs w:val="20"/>
          <w:lang w:val="es-ES"/>
        </w:rPr>
        <w:t>Alaysa</w:t>
      </w:r>
      <w:proofErr w:type="spellEnd"/>
      <w:r>
        <w:rPr>
          <w:rFonts w:cs="Calibri"/>
          <w:sz w:val="20"/>
          <w:szCs w:val="20"/>
          <w:lang w:val="es-ES"/>
        </w:rPr>
        <w:t xml:space="preserve"> de Losada Viuda de Mujica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Milagros Mujica Diez Canseco</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Pedro Carlos Mujica Diez Canseco</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Victoria Rosa Mercedes Mujica Diez Canseco</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Miguel Octavio Mujica Diez Canseco</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Ramón Elías Mujica Pinilla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Marisa Mujica Pinilla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Manuel Antonio Mujica Pinilla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María Victoria Mujica Pinilla de Bartra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Maribel del Rocío Mujica de Pinilla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María Isabel Pinilla Sánchez de Mujica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Maribel Del Rocío Mujica Pinilla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María Victoria Mujica Pinilla</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Alfonso Rizo Patrón Remy</w:t>
      </w:r>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Rosemary Jane Rizo Patrón </w:t>
      </w:r>
      <w:proofErr w:type="spellStart"/>
      <w:r>
        <w:rPr>
          <w:rFonts w:cs="Calibri"/>
          <w:sz w:val="20"/>
          <w:szCs w:val="20"/>
          <w:lang w:val="es-ES"/>
        </w:rPr>
        <w:t>Boylan</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Alfonso Rizo Patrón </w:t>
      </w:r>
      <w:proofErr w:type="spellStart"/>
      <w:r>
        <w:rPr>
          <w:rFonts w:cs="Calibri"/>
          <w:sz w:val="20"/>
          <w:szCs w:val="20"/>
          <w:lang w:val="es-ES"/>
        </w:rPr>
        <w:t>Boylan</w:t>
      </w:r>
      <w:proofErr w:type="spellEnd"/>
    </w:p>
    <w:p w:rsidR="00F4503F" w:rsidRDefault="00F4503F" w:rsidP="00F4503F">
      <w:pPr>
        <w:pStyle w:val="ListParagraph"/>
        <w:numPr>
          <w:ilvl w:val="0"/>
          <w:numId w:val="110"/>
        </w:numPr>
        <w:rPr>
          <w:rFonts w:cs="Calibri"/>
          <w:sz w:val="20"/>
          <w:szCs w:val="20"/>
          <w:lang w:val="es-ES"/>
        </w:rPr>
      </w:pPr>
      <w:r>
        <w:rPr>
          <w:rFonts w:cs="Calibri"/>
          <w:sz w:val="20"/>
          <w:szCs w:val="20"/>
          <w:lang w:val="es-ES"/>
        </w:rPr>
        <w:t xml:space="preserve">Jane Cecilia Rizo Patrón </w:t>
      </w:r>
      <w:proofErr w:type="spellStart"/>
      <w:r>
        <w:rPr>
          <w:rFonts w:cs="Calibri"/>
          <w:sz w:val="20"/>
          <w:szCs w:val="20"/>
          <w:lang w:val="es-ES"/>
        </w:rPr>
        <w:t>Boylan</w:t>
      </w:r>
      <w:proofErr w:type="spellEnd"/>
    </w:p>
    <w:p w:rsidR="00956F12" w:rsidRDefault="00F4503F" w:rsidP="00F4503F">
      <w:pPr>
        <w:pStyle w:val="ListParagraph"/>
        <w:numPr>
          <w:ilvl w:val="0"/>
          <w:numId w:val="110"/>
        </w:numPr>
        <w:rPr>
          <w:rFonts w:cs="Calibri"/>
          <w:sz w:val="20"/>
          <w:szCs w:val="20"/>
          <w:lang w:val="es-ES"/>
        </w:rPr>
      </w:pPr>
      <w:proofErr w:type="spellStart"/>
      <w:r>
        <w:rPr>
          <w:rFonts w:cs="Calibri"/>
          <w:sz w:val="20"/>
          <w:szCs w:val="20"/>
          <w:lang w:val="es-ES"/>
        </w:rPr>
        <w:t>Eileen</w:t>
      </w:r>
      <w:proofErr w:type="spellEnd"/>
      <w:r>
        <w:rPr>
          <w:rFonts w:cs="Calibri"/>
          <w:sz w:val="20"/>
          <w:szCs w:val="20"/>
          <w:lang w:val="es-ES"/>
        </w:rPr>
        <w:t xml:space="preserve"> </w:t>
      </w:r>
      <w:proofErr w:type="spellStart"/>
      <w:r>
        <w:rPr>
          <w:rFonts w:cs="Calibri"/>
          <w:sz w:val="20"/>
          <w:szCs w:val="20"/>
          <w:lang w:val="es-ES"/>
        </w:rPr>
        <w:t>Teressa</w:t>
      </w:r>
      <w:proofErr w:type="spellEnd"/>
      <w:r>
        <w:rPr>
          <w:rFonts w:cs="Calibri"/>
          <w:sz w:val="20"/>
          <w:szCs w:val="20"/>
          <w:lang w:val="es-ES"/>
        </w:rPr>
        <w:t xml:space="preserve"> Rizo Patrón </w:t>
      </w:r>
      <w:proofErr w:type="spellStart"/>
      <w:r>
        <w:rPr>
          <w:rFonts w:cs="Calibri"/>
          <w:sz w:val="20"/>
          <w:szCs w:val="20"/>
          <w:lang w:val="es-ES"/>
        </w:rPr>
        <w:t>Boylan</w:t>
      </w:r>
      <w:proofErr w:type="spellEnd"/>
    </w:p>
    <w:p w:rsidR="00956F12" w:rsidRDefault="00956F12" w:rsidP="00F4503F">
      <w:pPr>
        <w:pStyle w:val="ListParagraph"/>
        <w:numPr>
          <w:ilvl w:val="0"/>
          <w:numId w:val="110"/>
        </w:numPr>
        <w:rPr>
          <w:rFonts w:cs="Calibri"/>
          <w:sz w:val="20"/>
          <w:szCs w:val="20"/>
          <w:lang w:val="es-ES"/>
        </w:rPr>
      </w:pPr>
      <w:r>
        <w:rPr>
          <w:rFonts w:cs="Calibri"/>
          <w:sz w:val="20"/>
          <w:szCs w:val="20"/>
          <w:lang w:val="es-ES"/>
        </w:rPr>
        <w:t xml:space="preserve">Peter Arthur Rizo Patrón </w:t>
      </w:r>
      <w:proofErr w:type="spellStart"/>
      <w:r>
        <w:rPr>
          <w:rFonts w:cs="Calibri"/>
          <w:sz w:val="20"/>
          <w:szCs w:val="20"/>
          <w:lang w:val="es-ES"/>
        </w:rPr>
        <w:t>Boylan</w:t>
      </w:r>
      <w:proofErr w:type="spellEnd"/>
    </w:p>
    <w:p w:rsidR="00956F12" w:rsidRDefault="00956F12" w:rsidP="00F4503F">
      <w:pPr>
        <w:pStyle w:val="ListParagraph"/>
        <w:numPr>
          <w:ilvl w:val="0"/>
          <w:numId w:val="110"/>
        </w:numPr>
        <w:rPr>
          <w:rFonts w:cs="Calibri"/>
          <w:sz w:val="20"/>
          <w:szCs w:val="20"/>
          <w:lang w:val="es-ES"/>
        </w:rPr>
      </w:pPr>
      <w:r>
        <w:rPr>
          <w:rFonts w:cs="Calibri"/>
          <w:sz w:val="20"/>
          <w:szCs w:val="20"/>
          <w:lang w:val="es-ES"/>
        </w:rPr>
        <w:t xml:space="preserve">Sara Ana Rizo Patrón </w:t>
      </w:r>
      <w:proofErr w:type="spellStart"/>
      <w:r>
        <w:rPr>
          <w:rFonts w:cs="Calibri"/>
          <w:sz w:val="20"/>
          <w:szCs w:val="20"/>
          <w:lang w:val="es-ES"/>
        </w:rPr>
        <w:t>Boylan</w:t>
      </w:r>
      <w:proofErr w:type="spellEnd"/>
    </w:p>
    <w:p w:rsidR="00956F12" w:rsidRDefault="00956F12" w:rsidP="00F4503F">
      <w:pPr>
        <w:pStyle w:val="ListParagraph"/>
        <w:numPr>
          <w:ilvl w:val="0"/>
          <w:numId w:val="110"/>
        </w:numPr>
        <w:rPr>
          <w:rFonts w:cs="Calibri"/>
          <w:sz w:val="20"/>
          <w:szCs w:val="20"/>
          <w:lang w:val="es-ES"/>
        </w:rPr>
      </w:pPr>
      <w:r>
        <w:rPr>
          <w:rFonts w:cs="Calibri"/>
          <w:sz w:val="20"/>
          <w:szCs w:val="20"/>
          <w:lang w:val="es-ES"/>
        </w:rPr>
        <w:t xml:space="preserve">Paul Rizo Patrón </w:t>
      </w:r>
      <w:proofErr w:type="spellStart"/>
      <w:r>
        <w:rPr>
          <w:rFonts w:cs="Calibri"/>
          <w:sz w:val="20"/>
          <w:szCs w:val="20"/>
          <w:lang w:val="es-ES"/>
        </w:rPr>
        <w:t>Boylan</w:t>
      </w:r>
      <w:proofErr w:type="spellEnd"/>
    </w:p>
    <w:p w:rsidR="00956F12" w:rsidRDefault="00956F12" w:rsidP="00F4503F">
      <w:pPr>
        <w:pStyle w:val="ListParagraph"/>
        <w:numPr>
          <w:ilvl w:val="0"/>
          <w:numId w:val="110"/>
        </w:numPr>
        <w:rPr>
          <w:rFonts w:cs="Calibri"/>
          <w:sz w:val="20"/>
          <w:szCs w:val="20"/>
          <w:lang w:val="es-ES"/>
        </w:rPr>
      </w:pPr>
      <w:r>
        <w:rPr>
          <w:rFonts w:cs="Calibri"/>
          <w:sz w:val="20"/>
          <w:szCs w:val="20"/>
          <w:lang w:val="es-ES"/>
        </w:rPr>
        <w:t>María Dolores García Viuda de Rizo Patrón</w:t>
      </w:r>
    </w:p>
    <w:p w:rsidR="00956F12" w:rsidRDefault="00956F12" w:rsidP="00F4503F">
      <w:pPr>
        <w:pStyle w:val="ListParagraph"/>
        <w:numPr>
          <w:ilvl w:val="0"/>
          <w:numId w:val="110"/>
        </w:numPr>
        <w:rPr>
          <w:rFonts w:cs="Calibri"/>
          <w:sz w:val="20"/>
          <w:szCs w:val="20"/>
          <w:lang w:val="es-ES"/>
        </w:rPr>
      </w:pPr>
      <w:r>
        <w:rPr>
          <w:rFonts w:cs="Calibri"/>
          <w:sz w:val="20"/>
          <w:szCs w:val="20"/>
          <w:lang w:val="es-ES"/>
        </w:rPr>
        <w:t xml:space="preserve">Isabel Larco </w:t>
      </w:r>
      <w:proofErr w:type="spellStart"/>
      <w:r>
        <w:rPr>
          <w:rFonts w:cs="Calibri"/>
          <w:sz w:val="20"/>
          <w:szCs w:val="20"/>
          <w:lang w:val="es-ES"/>
        </w:rPr>
        <w:t>Debernandi</w:t>
      </w:r>
      <w:proofErr w:type="spellEnd"/>
      <w:r>
        <w:rPr>
          <w:rFonts w:cs="Calibri"/>
          <w:sz w:val="20"/>
          <w:szCs w:val="20"/>
          <w:lang w:val="es-ES"/>
        </w:rPr>
        <w:t xml:space="preserve"> de Alvarez </w:t>
      </w:r>
      <w:proofErr w:type="spellStart"/>
      <w:r>
        <w:rPr>
          <w:rFonts w:cs="Calibri"/>
          <w:sz w:val="20"/>
          <w:szCs w:val="20"/>
          <w:lang w:val="es-ES"/>
        </w:rPr>
        <w:t>Calderon</w:t>
      </w:r>
      <w:proofErr w:type="spellEnd"/>
    </w:p>
    <w:p w:rsidR="00956F12" w:rsidRDefault="00956F12" w:rsidP="00F4503F">
      <w:pPr>
        <w:pStyle w:val="ListParagraph"/>
        <w:numPr>
          <w:ilvl w:val="0"/>
          <w:numId w:val="110"/>
        </w:numPr>
        <w:rPr>
          <w:rFonts w:cs="Calibri"/>
          <w:sz w:val="20"/>
          <w:szCs w:val="20"/>
          <w:lang w:val="es-ES"/>
        </w:rPr>
      </w:pPr>
      <w:r>
        <w:rPr>
          <w:rFonts w:cs="Calibri"/>
          <w:sz w:val="20"/>
          <w:szCs w:val="20"/>
          <w:lang w:val="es-ES"/>
        </w:rPr>
        <w:t>María Teresa del Niño Jesús Santisteban Tovar Viuda de Rodrigo</w:t>
      </w:r>
    </w:p>
    <w:p w:rsidR="00956F12" w:rsidRDefault="00956F12" w:rsidP="00F4503F">
      <w:pPr>
        <w:pStyle w:val="ListParagraph"/>
        <w:numPr>
          <w:ilvl w:val="0"/>
          <w:numId w:val="110"/>
        </w:numPr>
        <w:rPr>
          <w:rFonts w:cs="Calibri"/>
          <w:sz w:val="20"/>
          <w:szCs w:val="20"/>
          <w:lang w:val="es-ES"/>
        </w:rPr>
      </w:pPr>
      <w:proofErr w:type="spellStart"/>
      <w:r>
        <w:rPr>
          <w:rFonts w:cs="Calibri"/>
          <w:sz w:val="20"/>
          <w:szCs w:val="20"/>
          <w:lang w:val="es-ES"/>
        </w:rPr>
        <w:t>Hella</w:t>
      </w:r>
      <w:proofErr w:type="spellEnd"/>
      <w:r>
        <w:rPr>
          <w:rFonts w:cs="Calibri"/>
          <w:sz w:val="20"/>
          <w:szCs w:val="20"/>
          <w:lang w:val="es-ES"/>
        </w:rPr>
        <w:t xml:space="preserve"> Clara Carmela </w:t>
      </w:r>
      <w:proofErr w:type="spellStart"/>
      <w:r>
        <w:rPr>
          <w:rFonts w:cs="Calibri"/>
          <w:sz w:val="20"/>
          <w:szCs w:val="20"/>
          <w:lang w:val="es-ES"/>
        </w:rPr>
        <w:t>Tomasini</w:t>
      </w:r>
      <w:proofErr w:type="spellEnd"/>
      <w:r>
        <w:rPr>
          <w:rFonts w:cs="Calibri"/>
          <w:sz w:val="20"/>
          <w:szCs w:val="20"/>
          <w:lang w:val="es-ES"/>
        </w:rPr>
        <w:t xml:space="preserve"> Aita</w:t>
      </w:r>
    </w:p>
    <w:p w:rsidR="00956F12" w:rsidRDefault="00956F12" w:rsidP="00F4503F">
      <w:pPr>
        <w:pStyle w:val="ListParagraph"/>
        <w:numPr>
          <w:ilvl w:val="0"/>
          <w:numId w:val="110"/>
        </w:numPr>
        <w:rPr>
          <w:rFonts w:cs="Calibri"/>
          <w:sz w:val="20"/>
          <w:szCs w:val="20"/>
          <w:lang w:val="es-ES"/>
        </w:rPr>
      </w:pPr>
      <w:r>
        <w:rPr>
          <w:rFonts w:cs="Calibri"/>
          <w:sz w:val="20"/>
          <w:szCs w:val="20"/>
          <w:lang w:val="es-ES"/>
        </w:rPr>
        <w:t>Nelly Lulú del Rosario Dominga Aita de Muro</w:t>
      </w:r>
    </w:p>
    <w:p w:rsidR="00956F12" w:rsidRDefault="00956F12" w:rsidP="00F4503F">
      <w:pPr>
        <w:pStyle w:val="ListParagraph"/>
        <w:numPr>
          <w:ilvl w:val="0"/>
          <w:numId w:val="110"/>
        </w:numPr>
        <w:rPr>
          <w:rFonts w:cs="Calibri"/>
          <w:sz w:val="20"/>
          <w:szCs w:val="20"/>
          <w:lang w:val="es-ES"/>
        </w:rPr>
      </w:pPr>
      <w:r>
        <w:rPr>
          <w:rFonts w:cs="Calibri"/>
          <w:sz w:val="20"/>
          <w:szCs w:val="20"/>
          <w:lang w:val="es-ES"/>
        </w:rPr>
        <w:t xml:space="preserve">Lara Mujica </w:t>
      </w:r>
      <w:proofErr w:type="spellStart"/>
      <w:r>
        <w:rPr>
          <w:rFonts w:cs="Calibri"/>
          <w:sz w:val="20"/>
          <w:szCs w:val="20"/>
          <w:lang w:val="es-ES"/>
        </w:rPr>
        <w:t>Freund</w:t>
      </w:r>
      <w:proofErr w:type="spellEnd"/>
    </w:p>
    <w:p w:rsidR="00956F12" w:rsidRDefault="00956F12" w:rsidP="00F4503F">
      <w:pPr>
        <w:pStyle w:val="ListParagraph"/>
        <w:numPr>
          <w:ilvl w:val="0"/>
          <w:numId w:val="110"/>
        </w:numPr>
        <w:rPr>
          <w:rFonts w:cs="Calibri"/>
          <w:sz w:val="20"/>
          <w:szCs w:val="20"/>
          <w:lang w:val="es-ES"/>
        </w:rPr>
      </w:pPr>
      <w:r>
        <w:rPr>
          <w:rFonts w:cs="Calibri"/>
          <w:sz w:val="20"/>
          <w:szCs w:val="20"/>
          <w:lang w:val="es-ES"/>
        </w:rPr>
        <w:t xml:space="preserve">Manuel Mujica </w:t>
      </w:r>
      <w:proofErr w:type="spellStart"/>
      <w:r>
        <w:rPr>
          <w:rFonts w:cs="Calibri"/>
          <w:sz w:val="20"/>
          <w:szCs w:val="20"/>
          <w:lang w:val="es-ES"/>
        </w:rPr>
        <w:t>Freund</w:t>
      </w:r>
      <w:proofErr w:type="spellEnd"/>
    </w:p>
    <w:p w:rsidR="00956F12" w:rsidRDefault="00956F12" w:rsidP="00F4503F">
      <w:pPr>
        <w:pStyle w:val="ListParagraph"/>
        <w:numPr>
          <w:ilvl w:val="0"/>
          <w:numId w:val="110"/>
        </w:numPr>
        <w:rPr>
          <w:rFonts w:cs="Calibri"/>
          <w:sz w:val="20"/>
          <w:szCs w:val="20"/>
          <w:lang w:val="es-ES"/>
        </w:rPr>
      </w:pPr>
      <w:r>
        <w:rPr>
          <w:rFonts w:cs="Calibri"/>
          <w:sz w:val="20"/>
          <w:szCs w:val="20"/>
          <w:lang w:val="es-ES"/>
        </w:rPr>
        <w:t xml:space="preserve">Roberto </w:t>
      </w:r>
      <w:proofErr w:type="spellStart"/>
      <w:r>
        <w:rPr>
          <w:rFonts w:cs="Calibri"/>
          <w:sz w:val="20"/>
          <w:szCs w:val="20"/>
          <w:lang w:val="es-ES"/>
        </w:rPr>
        <w:t>Crovetti</w:t>
      </w:r>
      <w:proofErr w:type="spellEnd"/>
      <w:r>
        <w:rPr>
          <w:rFonts w:cs="Calibri"/>
          <w:sz w:val="20"/>
          <w:szCs w:val="20"/>
          <w:lang w:val="es-ES"/>
        </w:rPr>
        <w:t xml:space="preserve"> Barrios</w:t>
      </w:r>
    </w:p>
    <w:p w:rsidR="00956F12" w:rsidRDefault="00956F12" w:rsidP="00F4503F">
      <w:pPr>
        <w:pStyle w:val="ListParagraph"/>
        <w:numPr>
          <w:ilvl w:val="0"/>
          <w:numId w:val="110"/>
        </w:numPr>
        <w:rPr>
          <w:rFonts w:cs="Calibri"/>
          <w:sz w:val="20"/>
          <w:szCs w:val="20"/>
          <w:lang w:val="es-ES"/>
        </w:rPr>
      </w:pPr>
      <w:r>
        <w:rPr>
          <w:rFonts w:cs="Calibri"/>
          <w:sz w:val="20"/>
          <w:szCs w:val="20"/>
          <w:lang w:val="es-ES"/>
        </w:rPr>
        <w:t>Alberto Guevara Ochoa</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 xml:space="preserve">Maria Teresa </w:t>
      </w:r>
      <w:proofErr w:type="spellStart"/>
      <w:r>
        <w:rPr>
          <w:rFonts w:cs="Calibri"/>
          <w:sz w:val="20"/>
          <w:szCs w:val="20"/>
          <w:lang w:val="es-ES"/>
        </w:rPr>
        <w:t>Buckley</w:t>
      </w:r>
      <w:proofErr w:type="spellEnd"/>
      <w:r>
        <w:rPr>
          <w:rFonts w:cs="Calibri"/>
          <w:sz w:val="20"/>
          <w:szCs w:val="20"/>
          <w:lang w:val="es-ES"/>
        </w:rPr>
        <w:t xml:space="preserve"> Castañeda</w:t>
      </w:r>
    </w:p>
    <w:p w:rsidR="00F4503F" w:rsidRDefault="000B0751" w:rsidP="00F4503F">
      <w:pPr>
        <w:pStyle w:val="ListParagraph"/>
        <w:numPr>
          <w:ilvl w:val="0"/>
          <w:numId w:val="110"/>
        </w:numPr>
        <w:rPr>
          <w:rFonts w:cs="Calibri"/>
          <w:sz w:val="20"/>
          <w:szCs w:val="20"/>
          <w:lang w:val="es-ES"/>
        </w:rPr>
      </w:pPr>
      <w:r>
        <w:rPr>
          <w:rFonts w:cs="Calibri"/>
          <w:sz w:val="20"/>
          <w:szCs w:val="20"/>
          <w:lang w:val="es-ES"/>
        </w:rPr>
        <w:t xml:space="preserve">Roberto </w:t>
      </w:r>
      <w:proofErr w:type="spellStart"/>
      <w:r>
        <w:rPr>
          <w:rFonts w:cs="Calibri"/>
          <w:sz w:val="20"/>
          <w:szCs w:val="20"/>
          <w:lang w:val="es-ES"/>
        </w:rPr>
        <w:t>Buckley</w:t>
      </w:r>
      <w:proofErr w:type="spellEnd"/>
      <w:r>
        <w:rPr>
          <w:rFonts w:cs="Calibri"/>
          <w:sz w:val="20"/>
          <w:szCs w:val="20"/>
          <w:lang w:val="es-ES"/>
        </w:rPr>
        <w:t xml:space="preserve"> Castañeda</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 xml:space="preserve">Fernando Jose Maria </w:t>
      </w:r>
      <w:proofErr w:type="spellStart"/>
      <w:r>
        <w:rPr>
          <w:rFonts w:cs="Calibri"/>
          <w:sz w:val="20"/>
          <w:szCs w:val="20"/>
          <w:lang w:val="es-ES"/>
        </w:rPr>
        <w:t>Yzaga</w:t>
      </w:r>
      <w:proofErr w:type="spellEnd"/>
      <w:r>
        <w:rPr>
          <w:rFonts w:cs="Calibri"/>
          <w:sz w:val="20"/>
          <w:szCs w:val="20"/>
          <w:lang w:val="es-ES"/>
        </w:rPr>
        <w:t xml:space="preserve"> Castañeda</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 xml:space="preserve">Luis Felipe De la Puente </w:t>
      </w:r>
      <w:proofErr w:type="spellStart"/>
      <w:r>
        <w:rPr>
          <w:rFonts w:cs="Calibri"/>
          <w:sz w:val="20"/>
          <w:szCs w:val="20"/>
          <w:lang w:val="es-ES"/>
        </w:rPr>
        <w:t>Buckley</w:t>
      </w:r>
      <w:proofErr w:type="spellEnd"/>
    </w:p>
    <w:p w:rsidR="000B0751" w:rsidRDefault="000B0751" w:rsidP="00F4503F">
      <w:pPr>
        <w:pStyle w:val="ListParagraph"/>
        <w:numPr>
          <w:ilvl w:val="0"/>
          <w:numId w:val="110"/>
        </w:numPr>
        <w:rPr>
          <w:rFonts w:cs="Calibri"/>
          <w:sz w:val="20"/>
          <w:szCs w:val="20"/>
          <w:lang w:val="es-ES"/>
        </w:rPr>
      </w:pPr>
      <w:r>
        <w:rPr>
          <w:rFonts w:cs="Calibri"/>
          <w:sz w:val="20"/>
          <w:szCs w:val="20"/>
          <w:lang w:val="es-ES"/>
        </w:rPr>
        <w:t xml:space="preserve">Carlos Eduardo De la Puente </w:t>
      </w:r>
      <w:proofErr w:type="spellStart"/>
      <w:r>
        <w:rPr>
          <w:rFonts w:cs="Calibri"/>
          <w:sz w:val="20"/>
          <w:szCs w:val="20"/>
          <w:lang w:val="es-ES"/>
        </w:rPr>
        <w:t>Buckley</w:t>
      </w:r>
      <w:proofErr w:type="spellEnd"/>
    </w:p>
    <w:p w:rsidR="000B0751" w:rsidRDefault="000B0751" w:rsidP="00F4503F">
      <w:pPr>
        <w:pStyle w:val="ListParagraph"/>
        <w:numPr>
          <w:ilvl w:val="0"/>
          <w:numId w:val="110"/>
        </w:numPr>
        <w:rPr>
          <w:rFonts w:cs="Calibri"/>
          <w:sz w:val="20"/>
          <w:szCs w:val="20"/>
          <w:lang w:val="es-ES"/>
        </w:rPr>
      </w:pPr>
      <w:proofErr w:type="spellStart"/>
      <w:r>
        <w:rPr>
          <w:rFonts w:cs="Calibri"/>
          <w:sz w:val="20"/>
          <w:szCs w:val="20"/>
          <w:lang w:val="es-ES"/>
        </w:rPr>
        <w:t>Anines</w:t>
      </w:r>
      <w:proofErr w:type="spellEnd"/>
      <w:r>
        <w:rPr>
          <w:rFonts w:cs="Calibri"/>
          <w:sz w:val="20"/>
          <w:szCs w:val="20"/>
          <w:lang w:val="es-ES"/>
        </w:rPr>
        <w:t xml:space="preserve"> </w:t>
      </w:r>
      <w:proofErr w:type="spellStart"/>
      <w:r>
        <w:rPr>
          <w:rFonts w:cs="Calibri"/>
          <w:sz w:val="20"/>
          <w:szCs w:val="20"/>
          <w:lang w:val="es-ES"/>
        </w:rPr>
        <w:t>Yzaga</w:t>
      </w:r>
      <w:proofErr w:type="spellEnd"/>
      <w:r>
        <w:rPr>
          <w:rFonts w:cs="Calibri"/>
          <w:sz w:val="20"/>
          <w:szCs w:val="20"/>
          <w:lang w:val="es-ES"/>
        </w:rPr>
        <w:t xml:space="preserve"> Romero</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 xml:space="preserve">Jorge Miguel </w:t>
      </w:r>
      <w:proofErr w:type="spellStart"/>
      <w:r>
        <w:rPr>
          <w:rFonts w:cs="Calibri"/>
          <w:sz w:val="20"/>
          <w:szCs w:val="20"/>
          <w:lang w:val="es-ES"/>
        </w:rPr>
        <w:t>Buckley</w:t>
      </w:r>
      <w:proofErr w:type="spellEnd"/>
      <w:r>
        <w:rPr>
          <w:rFonts w:cs="Calibri"/>
          <w:sz w:val="20"/>
          <w:szCs w:val="20"/>
          <w:lang w:val="es-ES"/>
        </w:rPr>
        <w:t xml:space="preserve"> Castañeda</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 xml:space="preserve">Miguel Alejandro </w:t>
      </w:r>
      <w:proofErr w:type="spellStart"/>
      <w:r>
        <w:rPr>
          <w:rFonts w:cs="Calibri"/>
          <w:sz w:val="20"/>
          <w:szCs w:val="20"/>
          <w:lang w:val="es-ES"/>
        </w:rPr>
        <w:t>Yzaga</w:t>
      </w:r>
      <w:proofErr w:type="spellEnd"/>
      <w:r>
        <w:rPr>
          <w:rFonts w:cs="Calibri"/>
          <w:sz w:val="20"/>
          <w:szCs w:val="20"/>
          <w:lang w:val="es-ES"/>
        </w:rPr>
        <w:t xml:space="preserve"> Castañeda</w:t>
      </w:r>
    </w:p>
    <w:p w:rsidR="000B0751" w:rsidRPr="00694B57" w:rsidRDefault="000B0751" w:rsidP="00F4503F">
      <w:pPr>
        <w:pStyle w:val="ListParagraph"/>
        <w:numPr>
          <w:ilvl w:val="0"/>
          <w:numId w:val="110"/>
        </w:numPr>
        <w:rPr>
          <w:rFonts w:cs="Calibri"/>
          <w:sz w:val="20"/>
          <w:szCs w:val="20"/>
          <w:lang w:val="pt-BR"/>
        </w:rPr>
      </w:pPr>
      <w:r w:rsidRPr="00694B57">
        <w:rPr>
          <w:rFonts w:cs="Calibri"/>
          <w:sz w:val="20"/>
          <w:szCs w:val="20"/>
          <w:lang w:val="pt-BR"/>
        </w:rPr>
        <w:t>Maria Emilia Yzaga Castañeda de Aramburu</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 xml:space="preserve">Miguel Vicente </w:t>
      </w:r>
      <w:proofErr w:type="spellStart"/>
      <w:r>
        <w:rPr>
          <w:rFonts w:cs="Calibri"/>
          <w:sz w:val="20"/>
          <w:szCs w:val="20"/>
          <w:lang w:val="es-ES"/>
        </w:rPr>
        <w:t>Maurtua</w:t>
      </w:r>
      <w:proofErr w:type="spellEnd"/>
      <w:r>
        <w:rPr>
          <w:rFonts w:cs="Calibri"/>
          <w:sz w:val="20"/>
          <w:szCs w:val="20"/>
          <w:lang w:val="es-ES"/>
        </w:rPr>
        <w:t xml:space="preserve"> Castañeda</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Armando Castañeda Forero</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Elda Manuela Josefina Forero Vargas</w:t>
      </w:r>
    </w:p>
    <w:p w:rsidR="000B0751" w:rsidRDefault="000B0751" w:rsidP="00F4503F">
      <w:pPr>
        <w:pStyle w:val="ListParagraph"/>
        <w:numPr>
          <w:ilvl w:val="0"/>
          <w:numId w:val="110"/>
        </w:numPr>
        <w:rPr>
          <w:rFonts w:cs="Calibri"/>
          <w:sz w:val="20"/>
          <w:szCs w:val="20"/>
          <w:lang w:val="es-ES"/>
        </w:rPr>
      </w:pPr>
      <w:r>
        <w:rPr>
          <w:rFonts w:cs="Calibri"/>
          <w:sz w:val="20"/>
          <w:szCs w:val="20"/>
          <w:lang w:val="es-ES"/>
        </w:rPr>
        <w:t>Melissa Castañeda Forero</w:t>
      </w:r>
    </w:p>
    <w:p w:rsidR="000B0751" w:rsidRDefault="000B0751" w:rsidP="000B0751">
      <w:pPr>
        <w:pStyle w:val="ListParagraph"/>
        <w:numPr>
          <w:ilvl w:val="0"/>
          <w:numId w:val="110"/>
        </w:numPr>
        <w:rPr>
          <w:rFonts w:cs="Calibri"/>
          <w:sz w:val="20"/>
          <w:szCs w:val="20"/>
          <w:lang w:val="es-ES"/>
        </w:rPr>
      </w:pPr>
      <w:r w:rsidRPr="000B0751">
        <w:rPr>
          <w:rFonts w:cs="Calibri"/>
          <w:sz w:val="20"/>
          <w:szCs w:val="20"/>
          <w:lang w:val="es-ES"/>
        </w:rPr>
        <w:t>María Elda Castañeda Forero</w:t>
      </w:r>
    </w:p>
    <w:p w:rsidR="000B0751" w:rsidRDefault="000B0751" w:rsidP="00492DE6">
      <w:pPr>
        <w:pStyle w:val="ListParagraph"/>
        <w:numPr>
          <w:ilvl w:val="0"/>
          <w:numId w:val="110"/>
        </w:numPr>
        <w:ind w:left="360" w:hanging="90"/>
        <w:rPr>
          <w:rFonts w:cs="Calibri"/>
          <w:sz w:val="20"/>
          <w:szCs w:val="20"/>
          <w:lang w:val="es-ES"/>
        </w:rPr>
      </w:pPr>
      <w:r>
        <w:rPr>
          <w:rFonts w:cs="Calibri"/>
          <w:sz w:val="20"/>
          <w:szCs w:val="20"/>
          <w:lang w:val="es-ES"/>
        </w:rPr>
        <w:t xml:space="preserve">María Lily Ramírez </w:t>
      </w:r>
      <w:proofErr w:type="spellStart"/>
      <w:r>
        <w:rPr>
          <w:rFonts w:cs="Calibri"/>
          <w:sz w:val="20"/>
          <w:szCs w:val="20"/>
          <w:lang w:val="es-ES"/>
        </w:rPr>
        <w:t>Muñante</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Juana </w:t>
      </w:r>
      <w:proofErr w:type="spellStart"/>
      <w:r>
        <w:rPr>
          <w:rFonts w:cs="Calibri"/>
          <w:sz w:val="20"/>
          <w:szCs w:val="20"/>
          <w:lang w:val="es-ES"/>
        </w:rPr>
        <w:t>Ines</w:t>
      </w:r>
      <w:proofErr w:type="spellEnd"/>
      <w:r>
        <w:rPr>
          <w:rFonts w:cs="Calibri"/>
          <w:sz w:val="20"/>
          <w:szCs w:val="20"/>
          <w:lang w:val="es-ES"/>
        </w:rPr>
        <w:t xml:space="preserve"> Ramírez </w:t>
      </w:r>
      <w:proofErr w:type="spellStart"/>
      <w:r>
        <w:rPr>
          <w:rFonts w:cs="Calibri"/>
          <w:sz w:val="20"/>
          <w:szCs w:val="20"/>
          <w:lang w:val="es-ES"/>
        </w:rPr>
        <w:t>Muñante</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José Emilio Ramírez </w:t>
      </w:r>
      <w:proofErr w:type="spellStart"/>
      <w:r>
        <w:rPr>
          <w:rFonts w:cs="Calibri"/>
          <w:sz w:val="20"/>
          <w:szCs w:val="20"/>
          <w:lang w:val="es-ES"/>
        </w:rPr>
        <w:t>Muñante</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María </w:t>
      </w:r>
      <w:proofErr w:type="spellStart"/>
      <w:r>
        <w:rPr>
          <w:rFonts w:cs="Calibri"/>
          <w:sz w:val="20"/>
          <w:szCs w:val="20"/>
          <w:lang w:val="es-ES"/>
        </w:rPr>
        <w:t>Pauline</w:t>
      </w:r>
      <w:proofErr w:type="spellEnd"/>
      <w:r>
        <w:rPr>
          <w:rFonts w:cs="Calibri"/>
          <w:sz w:val="20"/>
          <w:szCs w:val="20"/>
          <w:lang w:val="es-ES"/>
        </w:rPr>
        <w:t xml:space="preserve"> </w:t>
      </w:r>
      <w:proofErr w:type="spellStart"/>
      <w:r>
        <w:rPr>
          <w:rFonts w:cs="Calibri"/>
          <w:sz w:val="20"/>
          <w:szCs w:val="20"/>
          <w:lang w:val="es-ES"/>
        </w:rPr>
        <w:t>Barberi</w:t>
      </w:r>
      <w:proofErr w:type="spellEnd"/>
      <w:r>
        <w:rPr>
          <w:rFonts w:cs="Calibri"/>
          <w:sz w:val="20"/>
          <w:szCs w:val="20"/>
          <w:lang w:val="es-ES"/>
        </w:rPr>
        <w:t xml:space="preserve"> Castañeda</w:t>
      </w:r>
    </w:p>
    <w:p w:rsidR="000B0751" w:rsidRDefault="000B0751" w:rsidP="00492DE6">
      <w:pPr>
        <w:pStyle w:val="ListParagraph"/>
        <w:numPr>
          <w:ilvl w:val="0"/>
          <w:numId w:val="110"/>
        </w:numPr>
        <w:ind w:left="270" w:firstLine="0"/>
        <w:rPr>
          <w:rFonts w:cs="Calibri"/>
          <w:sz w:val="20"/>
          <w:szCs w:val="20"/>
          <w:lang w:val="es-ES"/>
        </w:rPr>
      </w:pPr>
      <w:proofErr w:type="spellStart"/>
      <w:r>
        <w:rPr>
          <w:rFonts w:cs="Calibri"/>
          <w:sz w:val="20"/>
          <w:szCs w:val="20"/>
          <w:lang w:val="es-ES"/>
        </w:rPr>
        <w:t>Dino</w:t>
      </w:r>
      <w:proofErr w:type="spellEnd"/>
      <w:r>
        <w:rPr>
          <w:rFonts w:cs="Calibri"/>
          <w:sz w:val="20"/>
          <w:szCs w:val="20"/>
          <w:lang w:val="es-ES"/>
        </w:rPr>
        <w:t xml:space="preserve"> </w:t>
      </w:r>
      <w:proofErr w:type="spellStart"/>
      <w:r>
        <w:rPr>
          <w:rFonts w:cs="Calibri"/>
          <w:sz w:val="20"/>
          <w:szCs w:val="20"/>
          <w:lang w:val="es-ES"/>
        </w:rPr>
        <w:t>Barberi</w:t>
      </w:r>
      <w:proofErr w:type="spellEnd"/>
      <w:r>
        <w:rPr>
          <w:rFonts w:cs="Calibri"/>
          <w:sz w:val="20"/>
          <w:szCs w:val="20"/>
          <w:lang w:val="es-ES"/>
        </w:rPr>
        <w:t xml:space="preserve"> Castañeda</w:t>
      </w:r>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María </w:t>
      </w:r>
      <w:proofErr w:type="spellStart"/>
      <w:r>
        <w:rPr>
          <w:rFonts w:cs="Calibri"/>
          <w:sz w:val="20"/>
          <w:szCs w:val="20"/>
          <w:lang w:val="es-ES"/>
        </w:rPr>
        <w:t>Pia</w:t>
      </w:r>
      <w:proofErr w:type="spellEnd"/>
      <w:r>
        <w:rPr>
          <w:rFonts w:cs="Calibri"/>
          <w:sz w:val="20"/>
          <w:szCs w:val="20"/>
          <w:lang w:val="es-ES"/>
        </w:rPr>
        <w:t xml:space="preserve"> </w:t>
      </w:r>
      <w:proofErr w:type="spellStart"/>
      <w:r>
        <w:rPr>
          <w:rFonts w:cs="Calibri"/>
          <w:sz w:val="20"/>
          <w:szCs w:val="20"/>
          <w:lang w:val="es-ES"/>
        </w:rPr>
        <w:t>Barberi</w:t>
      </w:r>
      <w:proofErr w:type="spellEnd"/>
      <w:r>
        <w:rPr>
          <w:rFonts w:cs="Calibri"/>
          <w:sz w:val="20"/>
          <w:szCs w:val="20"/>
          <w:lang w:val="es-ES"/>
        </w:rPr>
        <w:t xml:space="preserve"> Castañeda</w:t>
      </w:r>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lastRenderedPageBreak/>
        <w:t xml:space="preserve">Maritza Castañeda de </w:t>
      </w:r>
      <w:proofErr w:type="spellStart"/>
      <w:r>
        <w:rPr>
          <w:rFonts w:cs="Calibri"/>
          <w:sz w:val="20"/>
          <w:szCs w:val="20"/>
          <w:lang w:val="es-ES"/>
        </w:rPr>
        <w:t>Hott</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Juana Pardo Vargas </w:t>
      </w:r>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Gloria María Pardo Vargas</w:t>
      </w:r>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Teresa Antúnez de </w:t>
      </w:r>
      <w:proofErr w:type="spellStart"/>
      <w:r>
        <w:rPr>
          <w:rFonts w:cs="Calibri"/>
          <w:sz w:val="20"/>
          <w:szCs w:val="20"/>
          <w:lang w:val="es-ES"/>
        </w:rPr>
        <w:t>Mayolo</w:t>
      </w:r>
      <w:proofErr w:type="spellEnd"/>
      <w:r>
        <w:rPr>
          <w:rFonts w:cs="Calibri"/>
          <w:sz w:val="20"/>
          <w:szCs w:val="20"/>
          <w:lang w:val="es-ES"/>
        </w:rPr>
        <w:t xml:space="preserve"> </w:t>
      </w:r>
      <w:proofErr w:type="spellStart"/>
      <w:r>
        <w:rPr>
          <w:rFonts w:cs="Calibri"/>
          <w:sz w:val="20"/>
          <w:szCs w:val="20"/>
          <w:lang w:val="es-ES"/>
        </w:rPr>
        <w:t>Aguinada</w:t>
      </w:r>
      <w:proofErr w:type="spellEnd"/>
      <w:r>
        <w:rPr>
          <w:rFonts w:cs="Calibri"/>
          <w:sz w:val="20"/>
          <w:szCs w:val="20"/>
          <w:lang w:val="es-ES"/>
        </w:rPr>
        <w:t xml:space="preserve"> de Pardo</w:t>
      </w:r>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Rafael Guillermo Pardo Antúnez de </w:t>
      </w:r>
      <w:proofErr w:type="spellStart"/>
      <w:r>
        <w:rPr>
          <w:rFonts w:cs="Calibri"/>
          <w:sz w:val="20"/>
          <w:szCs w:val="20"/>
          <w:lang w:val="es-ES"/>
        </w:rPr>
        <w:t>Mayolo</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Ramón Pardo Antúnez de </w:t>
      </w:r>
      <w:proofErr w:type="spellStart"/>
      <w:r>
        <w:rPr>
          <w:rFonts w:cs="Calibri"/>
          <w:sz w:val="20"/>
          <w:szCs w:val="20"/>
          <w:lang w:val="es-ES"/>
        </w:rPr>
        <w:t>Mayolo</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Guillermo Pardo Antúnez de </w:t>
      </w:r>
      <w:proofErr w:type="spellStart"/>
      <w:r>
        <w:rPr>
          <w:rFonts w:cs="Calibri"/>
          <w:sz w:val="20"/>
          <w:szCs w:val="20"/>
          <w:lang w:val="es-ES"/>
        </w:rPr>
        <w:t>Mayolo</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Nina Teresa Pardo Antúnez de </w:t>
      </w:r>
      <w:proofErr w:type="spellStart"/>
      <w:r>
        <w:rPr>
          <w:rFonts w:cs="Calibri"/>
          <w:sz w:val="20"/>
          <w:szCs w:val="20"/>
          <w:lang w:val="es-ES"/>
        </w:rPr>
        <w:t>Mayolo</w:t>
      </w:r>
      <w:proofErr w:type="spellEnd"/>
    </w:p>
    <w:p w:rsid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María de la Consolación Pardo Vargas de Fernández Concha</w:t>
      </w:r>
    </w:p>
    <w:p w:rsidR="000B0751" w:rsidRPr="000B0751" w:rsidRDefault="000B0751" w:rsidP="00492DE6">
      <w:pPr>
        <w:pStyle w:val="ListParagraph"/>
        <w:numPr>
          <w:ilvl w:val="0"/>
          <w:numId w:val="110"/>
        </w:numPr>
        <w:ind w:left="270" w:firstLine="0"/>
        <w:rPr>
          <w:rFonts w:cs="Calibri"/>
          <w:sz w:val="20"/>
          <w:szCs w:val="20"/>
          <w:lang w:val="es-ES"/>
        </w:rPr>
      </w:pPr>
      <w:r>
        <w:rPr>
          <w:rFonts w:cs="Calibri"/>
          <w:sz w:val="20"/>
          <w:szCs w:val="20"/>
          <w:lang w:val="es-ES"/>
        </w:rPr>
        <w:t xml:space="preserve">Alberto Pedro Vargas </w:t>
      </w:r>
      <w:proofErr w:type="spellStart"/>
      <w:r>
        <w:rPr>
          <w:rFonts w:cs="Calibri"/>
          <w:sz w:val="20"/>
          <w:szCs w:val="20"/>
          <w:lang w:val="es-ES"/>
        </w:rPr>
        <w:t>Martinto</w:t>
      </w:r>
      <w:proofErr w:type="spellEnd"/>
    </w:p>
    <w:sectPr w:rsidR="000B0751" w:rsidRPr="000B075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F5" w:rsidRDefault="00C256F5">
      <w:r>
        <w:separator/>
      </w:r>
    </w:p>
  </w:endnote>
  <w:endnote w:type="continuationSeparator" w:id="0">
    <w:p w:rsidR="00C256F5" w:rsidRDefault="00C2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67" w:rsidRDefault="00314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14267">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F5" w:rsidRPr="000F35ED" w:rsidRDefault="00C256F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256F5" w:rsidRPr="000F35ED" w:rsidRDefault="00C256F5" w:rsidP="000F35ED">
      <w:pPr>
        <w:rPr>
          <w:rFonts w:asciiTheme="majorHAnsi" w:hAnsiTheme="majorHAnsi"/>
          <w:sz w:val="16"/>
          <w:szCs w:val="16"/>
        </w:rPr>
      </w:pPr>
      <w:r w:rsidRPr="000F35ED">
        <w:rPr>
          <w:rFonts w:asciiTheme="majorHAnsi" w:hAnsiTheme="majorHAnsi"/>
          <w:sz w:val="16"/>
          <w:szCs w:val="16"/>
        </w:rPr>
        <w:separator/>
      </w:r>
    </w:p>
    <w:p w:rsidR="00C256F5" w:rsidRPr="000F35ED" w:rsidRDefault="00C256F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256F5" w:rsidRPr="000F35ED" w:rsidRDefault="00C256F5" w:rsidP="000F35ED">
      <w:pPr>
        <w:jc w:val="right"/>
        <w:rPr>
          <w:rFonts w:asciiTheme="majorHAnsi" w:hAnsiTheme="majorHAnsi"/>
          <w:sz w:val="16"/>
          <w:szCs w:val="16"/>
        </w:rPr>
      </w:pPr>
      <w:r>
        <w:rPr>
          <w:rFonts w:asciiTheme="majorHAnsi" w:hAnsiTheme="majorHAnsi"/>
          <w:sz w:val="16"/>
          <w:szCs w:val="16"/>
        </w:rPr>
        <w:t>[</w:t>
      </w:r>
      <w:proofErr w:type="gramStart"/>
      <w:r>
        <w:rPr>
          <w:rFonts w:asciiTheme="majorHAnsi" w:hAnsiTheme="majorHAnsi"/>
          <w:sz w:val="16"/>
          <w:szCs w:val="16"/>
        </w:rPr>
        <w:t>c</w:t>
      </w:r>
      <w:r w:rsidRPr="000F35ED">
        <w:rPr>
          <w:rFonts w:asciiTheme="majorHAnsi" w:hAnsiTheme="majorHAnsi"/>
          <w:sz w:val="16"/>
          <w:szCs w:val="16"/>
        </w:rPr>
        <w:t>ontinúa</w:t>
      </w:r>
      <w:proofErr w:type="gramEnd"/>
      <w:r w:rsidRPr="000F35ED">
        <w:rPr>
          <w:rFonts w:asciiTheme="majorHAnsi" w:hAnsiTheme="majorHAnsi"/>
          <w:sz w:val="16"/>
          <w:szCs w:val="16"/>
        </w:rPr>
        <w:t>…</w:t>
      </w:r>
      <w:r>
        <w:rPr>
          <w:rFonts w:asciiTheme="majorHAnsi" w:hAnsiTheme="majorHAnsi"/>
          <w:sz w:val="16"/>
          <w:szCs w:val="16"/>
        </w:rPr>
        <w:t>]</w:t>
      </w:r>
    </w:p>
  </w:footnote>
  <w:footnote w:id="2">
    <w:p w:rsidR="001C7CD2" w:rsidRPr="001C7CD2" w:rsidRDefault="001C7CD2" w:rsidP="001C7CD2">
      <w:pPr>
        <w:pStyle w:val="FootnoteText"/>
        <w:ind w:firstLine="720"/>
        <w:rPr>
          <w:rFonts w:ascii="Cambria" w:hAnsi="Cambria"/>
          <w:sz w:val="16"/>
          <w:szCs w:val="16"/>
          <w:lang w:val="es-ES"/>
        </w:rPr>
      </w:pPr>
      <w:r w:rsidRPr="001C7CD2">
        <w:rPr>
          <w:rStyle w:val="FootnoteReference"/>
          <w:rFonts w:ascii="Cambria" w:hAnsi="Cambria"/>
          <w:sz w:val="16"/>
          <w:szCs w:val="16"/>
        </w:rPr>
        <w:footnoteRef/>
      </w:r>
      <w:r w:rsidRPr="001C7CD2">
        <w:rPr>
          <w:rFonts w:ascii="Cambria" w:hAnsi="Cambria"/>
          <w:sz w:val="16"/>
          <w:szCs w:val="16"/>
          <w:lang w:val="es-ES"/>
        </w:rPr>
        <w:t xml:space="preserve"> </w:t>
      </w:r>
      <w:r w:rsidRPr="00D76035">
        <w:rPr>
          <w:rFonts w:ascii="Cambria" w:hAnsi="Cambria"/>
          <w:sz w:val="16"/>
          <w:szCs w:val="16"/>
          <w:lang w:val="es-ES"/>
        </w:rPr>
        <w:t>La petición fue presentada a favor de</w:t>
      </w:r>
      <w:r w:rsidR="00D71275">
        <w:rPr>
          <w:rFonts w:ascii="Cambria" w:hAnsi="Cambria"/>
          <w:sz w:val="16"/>
          <w:szCs w:val="16"/>
          <w:lang w:val="es-ES"/>
        </w:rPr>
        <w:t xml:space="preserve"> 115</w:t>
      </w:r>
      <w:r>
        <w:rPr>
          <w:rFonts w:ascii="Cambria" w:hAnsi="Cambria"/>
          <w:sz w:val="16"/>
          <w:szCs w:val="16"/>
          <w:lang w:val="es-ES"/>
        </w:rPr>
        <w:t xml:space="preserve"> </w:t>
      </w:r>
      <w:r w:rsidR="00D71968">
        <w:rPr>
          <w:rFonts w:ascii="Cambria" w:hAnsi="Cambria"/>
          <w:sz w:val="16"/>
          <w:szCs w:val="16"/>
          <w:lang w:val="es-ES"/>
        </w:rPr>
        <w:t>presuntas víctimas</w:t>
      </w:r>
      <w:r w:rsidRPr="00D76035">
        <w:rPr>
          <w:rFonts w:ascii="Cambria" w:hAnsi="Cambria"/>
          <w:sz w:val="16"/>
          <w:szCs w:val="16"/>
          <w:lang w:val="es-ES"/>
        </w:rPr>
        <w:t xml:space="preserve"> </w:t>
      </w:r>
      <w:proofErr w:type="gramStart"/>
      <w:r w:rsidRPr="00D76035">
        <w:rPr>
          <w:rFonts w:ascii="Cambria" w:hAnsi="Cambria"/>
          <w:sz w:val="16"/>
          <w:szCs w:val="16"/>
          <w:lang w:val="es-ES"/>
        </w:rPr>
        <w:t>individualizados</w:t>
      </w:r>
      <w:proofErr w:type="gramEnd"/>
      <w:r w:rsidRPr="00D76035">
        <w:rPr>
          <w:rFonts w:ascii="Cambria" w:hAnsi="Cambria"/>
          <w:sz w:val="16"/>
          <w:szCs w:val="16"/>
          <w:lang w:val="es-ES"/>
        </w:rPr>
        <w:t xml:space="preserve"> en </w:t>
      </w:r>
      <w:r>
        <w:rPr>
          <w:rFonts w:ascii="Cambria" w:hAnsi="Cambria"/>
          <w:sz w:val="16"/>
          <w:szCs w:val="16"/>
          <w:lang w:val="es-ES"/>
        </w:rPr>
        <w:t xml:space="preserve">el </w:t>
      </w:r>
      <w:r w:rsidRPr="00D76035">
        <w:rPr>
          <w:rFonts w:ascii="Cambria" w:hAnsi="Cambria"/>
          <w:sz w:val="16"/>
          <w:szCs w:val="16"/>
          <w:lang w:val="es-ES"/>
        </w:rPr>
        <w:t>anexo</w:t>
      </w:r>
      <w:r w:rsidR="00D71968">
        <w:rPr>
          <w:rFonts w:ascii="Cambria" w:hAnsi="Cambria"/>
          <w:sz w:val="16"/>
          <w:szCs w:val="16"/>
          <w:lang w:val="es-ES"/>
        </w:rPr>
        <w:t xml:space="preserve"> al final de la presente </w:t>
      </w:r>
      <w:r w:rsidR="00492DE6">
        <w:rPr>
          <w:rFonts w:ascii="Cambria" w:hAnsi="Cambria"/>
          <w:sz w:val="16"/>
          <w:szCs w:val="16"/>
          <w:lang w:val="es-ES"/>
        </w:rPr>
        <w:t>petición.</w:t>
      </w:r>
    </w:p>
  </w:footnote>
  <w:footnote w:id="3">
    <w:p w:rsidR="004A6A54" w:rsidRPr="000B2234" w:rsidRDefault="004A6A54" w:rsidP="00BC43FA">
      <w:pPr>
        <w:pStyle w:val="FootnoteText"/>
        <w:ind w:firstLine="720"/>
        <w:jc w:val="both"/>
        <w:rPr>
          <w:rFonts w:ascii="Cambria" w:hAnsi="Cambria"/>
          <w:sz w:val="16"/>
          <w:szCs w:val="16"/>
          <w:lang w:val="es-ES"/>
        </w:rPr>
      </w:pPr>
      <w:r w:rsidRPr="000B2234">
        <w:rPr>
          <w:rStyle w:val="FootnoteReference"/>
          <w:rFonts w:ascii="Cambria" w:hAnsi="Cambria"/>
          <w:sz w:val="16"/>
          <w:szCs w:val="16"/>
        </w:rPr>
        <w:footnoteRef/>
      </w:r>
      <w:r w:rsidRPr="000B2234">
        <w:rPr>
          <w:rFonts w:ascii="Cambria" w:hAnsi="Cambria"/>
          <w:sz w:val="16"/>
          <w:szCs w:val="16"/>
          <w:lang w:val="es-ES"/>
        </w:rPr>
        <w:t xml:space="preserve"> Conforme a lo dispuesto en el artículo 17.2.a del Reglamento de la Comisión, l</w:t>
      </w:r>
      <w:r w:rsidR="00BC43FA" w:rsidRPr="000B2234">
        <w:rPr>
          <w:rFonts w:ascii="Cambria" w:hAnsi="Cambria"/>
          <w:sz w:val="16"/>
          <w:szCs w:val="16"/>
          <w:lang w:val="es-ES"/>
        </w:rPr>
        <w:t>a</w:t>
      </w:r>
      <w:r w:rsidRPr="000B2234">
        <w:rPr>
          <w:rFonts w:ascii="Cambria" w:hAnsi="Cambria"/>
          <w:sz w:val="16"/>
          <w:szCs w:val="16"/>
          <w:lang w:val="es-ES"/>
        </w:rPr>
        <w:t xml:space="preserve"> Comisionad</w:t>
      </w:r>
      <w:r w:rsidR="00BC43FA" w:rsidRPr="000B2234">
        <w:rPr>
          <w:rFonts w:ascii="Cambria" w:hAnsi="Cambria"/>
          <w:sz w:val="16"/>
          <w:szCs w:val="16"/>
          <w:lang w:val="es-ES"/>
        </w:rPr>
        <w:t>a</w:t>
      </w:r>
      <w:r w:rsidRPr="000B2234">
        <w:rPr>
          <w:rFonts w:ascii="Cambria" w:hAnsi="Cambria"/>
          <w:sz w:val="16"/>
          <w:szCs w:val="16"/>
          <w:lang w:val="es-ES"/>
        </w:rPr>
        <w:t xml:space="preserve"> </w:t>
      </w:r>
      <w:r w:rsidR="00BC43FA" w:rsidRPr="000B2234">
        <w:rPr>
          <w:rFonts w:ascii="Cambria" w:hAnsi="Cambria"/>
          <w:sz w:val="16"/>
          <w:szCs w:val="16"/>
          <w:lang w:val="es-ES"/>
        </w:rPr>
        <w:t>Julissa Mantilla Falcón</w:t>
      </w:r>
      <w:r w:rsidRPr="000B2234">
        <w:rPr>
          <w:rFonts w:ascii="Cambria" w:hAnsi="Cambria"/>
          <w:sz w:val="16"/>
          <w:szCs w:val="16"/>
          <w:lang w:val="es-ES"/>
        </w:rPr>
        <w:t xml:space="preserve">, de nacionalidad </w:t>
      </w:r>
      <w:r w:rsidR="00BC43FA" w:rsidRPr="000B2234">
        <w:rPr>
          <w:rFonts w:ascii="Cambria" w:hAnsi="Cambria"/>
          <w:sz w:val="16"/>
          <w:szCs w:val="16"/>
          <w:lang w:val="es-ES"/>
        </w:rPr>
        <w:t>peruana</w:t>
      </w:r>
      <w:r w:rsidRPr="000B2234">
        <w:rPr>
          <w:rFonts w:ascii="Cambria" w:hAnsi="Cambria"/>
          <w:sz w:val="16"/>
          <w:szCs w:val="16"/>
          <w:lang w:val="es-ES"/>
        </w:rPr>
        <w:t>, no participó en el debate ni en la decisión del presente asunto.</w:t>
      </w:r>
    </w:p>
  </w:footnote>
  <w:footnote w:id="4">
    <w:p w:rsidR="0026343F" w:rsidRPr="000B2234" w:rsidRDefault="0026343F" w:rsidP="00426DA1">
      <w:pPr>
        <w:pStyle w:val="FootnoteText"/>
        <w:ind w:firstLine="720"/>
        <w:jc w:val="both"/>
        <w:rPr>
          <w:rFonts w:ascii="Cambria" w:hAnsi="Cambria"/>
          <w:sz w:val="16"/>
          <w:szCs w:val="16"/>
          <w:lang w:val="es-ES"/>
        </w:rPr>
      </w:pPr>
      <w:r w:rsidRPr="000B2234">
        <w:rPr>
          <w:rStyle w:val="FootnoteReference"/>
          <w:rFonts w:ascii="Cambria" w:hAnsi="Cambria"/>
          <w:sz w:val="16"/>
          <w:szCs w:val="16"/>
        </w:rPr>
        <w:footnoteRef/>
      </w:r>
      <w:r w:rsidRPr="000B2234">
        <w:rPr>
          <w:rFonts w:ascii="Cambria" w:hAnsi="Cambria"/>
          <w:sz w:val="16"/>
          <w:szCs w:val="16"/>
          <w:lang w:val="es-ES"/>
        </w:rPr>
        <w:t xml:space="preserve"> En adelante “la Convención Americana” o “la Convención”. </w:t>
      </w:r>
    </w:p>
  </w:footnote>
  <w:footnote w:id="5">
    <w:p w:rsidR="008E3BFE" w:rsidRPr="000B2234" w:rsidRDefault="008E3BFE" w:rsidP="000337EF">
      <w:pPr>
        <w:pStyle w:val="FootnoteText"/>
        <w:spacing w:after="120"/>
        <w:ind w:firstLine="720"/>
        <w:jc w:val="both"/>
        <w:rPr>
          <w:rFonts w:ascii="Cambria" w:hAnsi="Cambria"/>
          <w:sz w:val="16"/>
          <w:szCs w:val="16"/>
          <w:lang w:val="es-ES"/>
        </w:rPr>
      </w:pPr>
      <w:r w:rsidRPr="000B2234">
        <w:rPr>
          <w:rStyle w:val="FootnoteReference"/>
          <w:rFonts w:ascii="Cambria" w:hAnsi="Cambria"/>
          <w:sz w:val="16"/>
          <w:szCs w:val="16"/>
        </w:rPr>
        <w:footnoteRef/>
      </w:r>
      <w:r w:rsidRPr="000B2234">
        <w:rPr>
          <w:rFonts w:ascii="Cambria" w:hAnsi="Cambria"/>
          <w:sz w:val="16"/>
          <w:szCs w:val="16"/>
          <w:lang w:val="es-ES"/>
        </w:rPr>
        <w:t xml:space="preserve"> Las observaciones de cada parte fueron debidamente trasladadas a la parte contraria.</w:t>
      </w:r>
    </w:p>
  </w:footnote>
  <w:footnote w:id="6">
    <w:p w:rsidR="000B2234" w:rsidRPr="00C4195A" w:rsidRDefault="000B2234" w:rsidP="00703BA2">
      <w:pPr>
        <w:pStyle w:val="FootnoteText"/>
        <w:ind w:firstLine="720"/>
        <w:jc w:val="both"/>
        <w:rPr>
          <w:rFonts w:ascii="Cambria" w:hAnsi="Cambria"/>
          <w:sz w:val="16"/>
          <w:szCs w:val="16"/>
          <w:lang w:val="es-US"/>
        </w:rPr>
      </w:pPr>
      <w:r w:rsidRPr="000B2234">
        <w:rPr>
          <w:rStyle w:val="FootnoteReference"/>
          <w:rFonts w:ascii="Cambria" w:hAnsi="Cambria"/>
          <w:sz w:val="16"/>
          <w:szCs w:val="16"/>
        </w:rPr>
        <w:footnoteRef/>
      </w:r>
      <w:r w:rsidRPr="00703BA2">
        <w:rPr>
          <w:rFonts w:ascii="Cambria" w:hAnsi="Cambria"/>
          <w:sz w:val="16"/>
          <w:szCs w:val="16"/>
          <w:lang w:val="es-ES"/>
        </w:rPr>
        <w:t xml:space="preserve"> </w:t>
      </w:r>
      <w:r w:rsidR="00703BA2">
        <w:rPr>
          <w:rFonts w:ascii="Cambria" w:hAnsi="Cambria"/>
          <w:sz w:val="16"/>
          <w:szCs w:val="16"/>
          <w:lang w:val="es-ES"/>
        </w:rPr>
        <w:t xml:space="preserve">Decreto Legislativo </w:t>
      </w:r>
      <w:r w:rsidR="00703BA2" w:rsidRPr="00D76035">
        <w:rPr>
          <w:rFonts w:ascii="Cambria" w:hAnsi="Cambria"/>
          <w:sz w:val="16"/>
          <w:szCs w:val="16"/>
          <w:lang w:val="es-ES"/>
        </w:rPr>
        <w:t>Nº</w:t>
      </w:r>
      <w:r w:rsidR="00703BA2">
        <w:rPr>
          <w:rFonts w:ascii="Cambria" w:hAnsi="Cambria"/>
          <w:sz w:val="16"/>
          <w:szCs w:val="16"/>
          <w:lang w:val="es-ES"/>
        </w:rPr>
        <w:t xml:space="preserve"> 653, Ley de Promoción de las Inversiones en el Sector Agrario. DISPOSICIONES TRANSITORIAS: </w:t>
      </w:r>
      <w:r w:rsidR="00182D8B" w:rsidRPr="00D76035">
        <w:rPr>
          <w:rFonts w:ascii="Cambria" w:hAnsi="Cambria"/>
          <w:sz w:val="16"/>
          <w:szCs w:val="16"/>
          <w:lang w:val="es-ES"/>
        </w:rPr>
        <w:t>CUARTA. -</w:t>
      </w:r>
      <w:r w:rsidR="00703BA2" w:rsidRPr="00D76035">
        <w:rPr>
          <w:rFonts w:ascii="Cambria" w:hAnsi="Cambria"/>
          <w:sz w:val="16"/>
          <w:szCs w:val="16"/>
          <w:lang w:val="es-ES"/>
        </w:rPr>
        <w:t xml:space="preserve"> La valorización y cancelación de las expropiaciones en trámite se regirán por lo establecido en el artículo 15 de la presente Ley</w:t>
      </w:r>
      <w:r w:rsidR="00321229">
        <w:rPr>
          <w:rFonts w:ascii="Cambria" w:hAnsi="Cambria"/>
          <w:sz w:val="16"/>
          <w:szCs w:val="16"/>
          <w:lang w:val="es-ES"/>
        </w:rPr>
        <w:t xml:space="preserve">. </w:t>
      </w:r>
      <w:r w:rsidR="00703BA2">
        <w:rPr>
          <w:rFonts w:ascii="Cambria" w:hAnsi="Cambria"/>
          <w:sz w:val="16"/>
          <w:szCs w:val="16"/>
          <w:lang w:val="es-ES"/>
        </w:rPr>
        <w:t xml:space="preserve">Artículo 15: (…) </w:t>
      </w:r>
      <w:r w:rsidR="00703BA2" w:rsidRPr="00D76035">
        <w:rPr>
          <w:rFonts w:ascii="Cambria" w:hAnsi="Cambria"/>
          <w:sz w:val="16"/>
          <w:szCs w:val="16"/>
          <w:lang w:val="es-ES"/>
        </w:rPr>
        <w:t>La expropiación de predios rústicos se regirá por las disposiciones de la Ley General de Expropiación, Decreto Legislativo Nº 313. El valor de la</w:t>
      </w:r>
      <w:r w:rsidR="00506B49">
        <w:rPr>
          <w:rFonts w:ascii="Cambria" w:hAnsi="Cambria"/>
          <w:sz w:val="16"/>
          <w:szCs w:val="16"/>
          <w:lang w:val="es-ES"/>
        </w:rPr>
        <w:t>s</w:t>
      </w:r>
      <w:r w:rsidR="00703BA2" w:rsidRPr="00D76035">
        <w:rPr>
          <w:rFonts w:ascii="Cambria" w:hAnsi="Cambria"/>
          <w:sz w:val="16"/>
          <w:szCs w:val="16"/>
          <w:lang w:val="es-ES"/>
        </w:rPr>
        <w:t xml:space="preserve"> tierras expropiadas será pagado a su val</w:t>
      </w:r>
      <w:r w:rsidR="00506B49">
        <w:rPr>
          <w:rFonts w:ascii="Cambria" w:hAnsi="Cambria"/>
          <w:sz w:val="16"/>
          <w:szCs w:val="16"/>
          <w:lang w:val="es-ES"/>
        </w:rPr>
        <w:t>or de mercado y en efectivo.</w:t>
      </w:r>
    </w:p>
  </w:footnote>
  <w:footnote w:id="7">
    <w:p w:rsidR="00182D8B" w:rsidRPr="00C302A8" w:rsidRDefault="00182D8B" w:rsidP="00C302A8">
      <w:pPr>
        <w:pStyle w:val="FootnoteText"/>
        <w:ind w:firstLine="720"/>
        <w:jc w:val="both"/>
        <w:rPr>
          <w:lang w:val="es-ES"/>
        </w:rPr>
      </w:pPr>
      <w:r w:rsidRPr="00C302A8">
        <w:rPr>
          <w:rStyle w:val="FootnoteReference"/>
          <w:rFonts w:ascii="Cambria" w:hAnsi="Cambria"/>
          <w:sz w:val="16"/>
          <w:szCs w:val="16"/>
        </w:rPr>
        <w:footnoteRef/>
      </w:r>
      <w:r w:rsidRPr="00C302A8">
        <w:rPr>
          <w:rFonts w:ascii="Cambria" w:hAnsi="Cambria"/>
          <w:sz w:val="16"/>
          <w:szCs w:val="16"/>
          <w:lang w:val="es-ES"/>
        </w:rPr>
        <w:t xml:space="preserve"> </w:t>
      </w:r>
      <w:r w:rsidR="00C302A8" w:rsidRPr="00C302A8">
        <w:rPr>
          <w:rFonts w:ascii="Cambria" w:hAnsi="Cambria"/>
          <w:sz w:val="16"/>
          <w:szCs w:val="16"/>
          <w:lang w:val="es-ES"/>
        </w:rPr>
        <w:t xml:space="preserve">Ley </w:t>
      </w:r>
      <w:r w:rsidR="00C302A8" w:rsidRPr="00D76035">
        <w:rPr>
          <w:rFonts w:ascii="Cambria" w:hAnsi="Cambria"/>
          <w:sz w:val="16"/>
          <w:szCs w:val="16"/>
          <w:lang w:val="es-ES"/>
        </w:rPr>
        <w:t>Nº</w:t>
      </w:r>
      <w:r w:rsidR="00C302A8">
        <w:rPr>
          <w:rFonts w:ascii="Cambria" w:hAnsi="Cambria"/>
          <w:sz w:val="16"/>
          <w:szCs w:val="16"/>
          <w:lang w:val="es-ES"/>
        </w:rPr>
        <w:t xml:space="preserve"> 26597. Artículo 1: Los procesos de afectación a que se refiere la Tercera Disposición Transitoria del Decreto Legislativo </w:t>
      </w:r>
      <w:r w:rsidR="00C302A8" w:rsidRPr="00D76035">
        <w:rPr>
          <w:rFonts w:ascii="Cambria" w:hAnsi="Cambria"/>
          <w:sz w:val="16"/>
          <w:szCs w:val="16"/>
          <w:lang w:val="es-ES"/>
        </w:rPr>
        <w:t>Nº</w:t>
      </w:r>
      <w:r w:rsidR="00C302A8">
        <w:rPr>
          <w:rFonts w:ascii="Cambria" w:hAnsi="Cambria"/>
          <w:sz w:val="16"/>
          <w:szCs w:val="16"/>
          <w:lang w:val="es-ES"/>
        </w:rPr>
        <w:t xml:space="preserve"> 653, así como los procesos de expropiación para fines de reforma agraria que aún se encuentran en trámite, se sustanciarán de conformidad con las disposiciones de la Ley </w:t>
      </w:r>
      <w:r w:rsidR="00C302A8" w:rsidRPr="00D76035">
        <w:rPr>
          <w:rFonts w:ascii="Cambria" w:hAnsi="Cambria"/>
          <w:sz w:val="16"/>
          <w:szCs w:val="16"/>
          <w:lang w:val="es-ES"/>
        </w:rPr>
        <w:t>Nº</w:t>
      </w:r>
      <w:r w:rsidR="00C302A8">
        <w:rPr>
          <w:rFonts w:ascii="Cambria" w:hAnsi="Cambria"/>
          <w:sz w:val="16"/>
          <w:szCs w:val="16"/>
          <w:lang w:val="es-ES"/>
        </w:rPr>
        <w:t xml:space="preserve"> 26207. Entiéndase que se encuentran en trámite aquellos procesos en los que el procurador no se haya desistido estando expresamente autorizado en cada caso. Artículo 2: Conforme a lo establecido en el Artículo 29 de la Constitución Política del Perú de 1993, tal como quedó modificada por la Ley N</w:t>
      </w:r>
      <w:r w:rsidR="00C302A8" w:rsidRPr="00D76035">
        <w:rPr>
          <w:rFonts w:ascii="Cambria" w:hAnsi="Cambria"/>
          <w:sz w:val="16"/>
          <w:szCs w:val="16"/>
          <w:lang w:val="es-ES"/>
        </w:rPr>
        <w:t>º</w:t>
      </w:r>
      <w:r w:rsidR="00C302A8">
        <w:rPr>
          <w:rFonts w:ascii="Cambria" w:hAnsi="Cambria"/>
          <w:sz w:val="16"/>
          <w:szCs w:val="16"/>
          <w:lang w:val="es-ES"/>
        </w:rPr>
        <w:t xml:space="preserve"> 15242, los Bonos de la Deuda Agraria fueron entregados en vía de cancelación del valor de la expropiación. En consecuencia, independientemente de la oportunidad en que deban realizarse dichos bonos, el pago de los mismos debe efectuarse por su valor nominal más los intereses establecidos para cada emisión y tipo de bono, conforme a las disposiciones legales que les dieron origen, no siendo de aplicación el reajuste previsto en la segunda parte del Artículo 1236 del Código Civil, según la modificación introducida por el Decreto Legislativo N</w:t>
      </w:r>
      <w:r w:rsidR="00C302A8" w:rsidRPr="00D76035">
        <w:rPr>
          <w:rFonts w:ascii="Cambria" w:hAnsi="Cambria"/>
          <w:sz w:val="16"/>
          <w:szCs w:val="16"/>
          <w:lang w:val="es-ES"/>
        </w:rPr>
        <w:t>º</w:t>
      </w:r>
      <w:r w:rsidR="00C302A8">
        <w:rPr>
          <w:rFonts w:ascii="Cambria" w:hAnsi="Cambria"/>
          <w:sz w:val="16"/>
          <w:szCs w:val="16"/>
          <w:lang w:val="es-ES"/>
        </w:rPr>
        <w:t xml:space="preserve"> 768.</w:t>
      </w:r>
    </w:p>
  </w:footnote>
  <w:footnote w:id="8">
    <w:p w:rsidR="00C302A8" w:rsidRPr="00A6241A" w:rsidRDefault="00C302A8" w:rsidP="00A6241A">
      <w:pPr>
        <w:ind w:firstLine="720"/>
        <w:jc w:val="both"/>
        <w:rPr>
          <w:rFonts w:ascii="Cambria" w:hAnsi="Cambria"/>
          <w:sz w:val="16"/>
          <w:szCs w:val="16"/>
        </w:rPr>
      </w:pPr>
      <w:r w:rsidRPr="00C302A8">
        <w:rPr>
          <w:rStyle w:val="FootnoteReference"/>
          <w:rFonts w:ascii="Cambria" w:hAnsi="Cambria"/>
          <w:sz w:val="16"/>
          <w:szCs w:val="16"/>
        </w:rPr>
        <w:footnoteRef/>
      </w:r>
      <w:r w:rsidRPr="00C302A8">
        <w:rPr>
          <w:rFonts w:ascii="Cambria" w:hAnsi="Cambria"/>
          <w:sz w:val="16"/>
          <w:szCs w:val="16"/>
        </w:rPr>
        <w:t xml:space="preserve"> </w:t>
      </w:r>
      <w:r>
        <w:rPr>
          <w:rFonts w:ascii="Cambria" w:hAnsi="Cambria"/>
          <w:sz w:val="16"/>
          <w:szCs w:val="16"/>
        </w:rPr>
        <w:t>Decreto de Urgencia N</w:t>
      </w:r>
      <w:r w:rsidRPr="00C302A8">
        <w:rPr>
          <w:rFonts w:ascii="Cambria" w:hAnsi="Cambria"/>
          <w:sz w:val="16"/>
          <w:szCs w:val="16"/>
        </w:rPr>
        <w:t xml:space="preserve">º </w:t>
      </w:r>
      <w:r>
        <w:rPr>
          <w:rFonts w:ascii="Cambria" w:hAnsi="Cambria"/>
          <w:sz w:val="16"/>
          <w:szCs w:val="16"/>
        </w:rPr>
        <w:t>088-2000</w:t>
      </w:r>
      <w:r w:rsidR="00506B49">
        <w:rPr>
          <w:rFonts w:ascii="Cambria" w:hAnsi="Cambria"/>
          <w:sz w:val="16"/>
          <w:szCs w:val="16"/>
        </w:rPr>
        <w:t>. […]</w:t>
      </w:r>
      <w:r w:rsidR="006214FC">
        <w:rPr>
          <w:rFonts w:ascii="Cambria" w:hAnsi="Cambria"/>
          <w:sz w:val="16"/>
          <w:szCs w:val="16"/>
        </w:rPr>
        <w:t xml:space="preserve"> </w:t>
      </w:r>
      <w:r w:rsidRPr="00C302A8">
        <w:rPr>
          <w:rFonts w:ascii="Cambria" w:hAnsi="Cambria"/>
          <w:sz w:val="16"/>
          <w:szCs w:val="16"/>
        </w:rPr>
        <w:t>Artículo 5º.- Actualización de deudas</w:t>
      </w:r>
      <w:r w:rsidR="00495BEF">
        <w:rPr>
          <w:rFonts w:ascii="Cambria" w:hAnsi="Cambria"/>
          <w:sz w:val="16"/>
          <w:szCs w:val="16"/>
        </w:rPr>
        <w:t>.</w:t>
      </w:r>
      <w:r w:rsidRPr="00C302A8">
        <w:rPr>
          <w:rFonts w:ascii="Cambria" w:hAnsi="Cambria"/>
          <w:sz w:val="16"/>
          <w:szCs w:val="16"/>
        </w:rPr>
        <w:t xml:space="preserve"> Las deudas acreditadas y reconocidas en virtud de lo establecido en </w:t>
      </w:r>
      <w:r w:rsidRPr="00A6241A">
        <w:rPr>
          <w:rFonts w:ascii="Cambria" w:hAnsi="Cambria"/>
          <w:sz w:val="16"/>
          <w:szCs w:val="16"/>
        </w:rPr>
        <w:t xml:space="preserve">la presente disposición serán actualizadas de acuerdo a lo siguiente: a) Tratándose de Bonos de la Deuda Agraria, el principal impago de los bonos se convertirá a dólares americanos al tipo de cambio oficial vigente a la fecha de emisión y, sobre el monto resultante, se aplicará una tasa de interés de siete y medio por ciento (7.5%) anual hasta el mes inmediato anterior al que se efectúa el cálculo, capitalizable anualmente. b) En los demás casos, el importe impago de la valorización aprobada por el Ministerio de Agricultura se convertirá a dólares americanos al tipo de cambio oficial vigente a la fecha de la Resolución de Valorización, y, sobre el monto resultante, se aplicará una tasa de interés de siete y medio por ciento (7.5%) anual hasta el mes inmediato anterior al que se efectúa el cálculo, capitalizable anualmente </w:t>
      </w:r>
    </w:p>
  </w:footnote>
  <w:footnote w:id="9">
    <w:p w:rsidR="005522B8" w:rsidRPr="00A6241A" w:rsidRDefault="005522B8" w:rsidP="005522B8">
      <w:pPr>
        <w:pStyle w:val="FootnoteText"/>
        <w:ind w:firstLine="720"/>
        <w:jc w:val="both"/>
        <w:rPr>
          <w:rFonts w:ascii="Cambria" w:hAnsi="Cambria"/>
          <w:sz w:val="16"/>
          <w:szCs w:val="16"/>
          <w:lang w:val="es-ES"/>
        </w:rPr>
      </w:pPr>
      <w:r w:rsidRPr="00A6241A">
        <w:rPr>
          <w:rStyle w:val="FootnoteReference"/>
          <w:rFonts w:ascii="Cambria" w:hAnsi="Cambria"/>
          <w:sz w:val="16"/>
          <w:szCs w:val="16"/>
        </w:rPr>
        <w:footnoteRef/>
      </w:r>
      <w:r w:rsidRPr="00A6241A">
        <w:rPr>
          <w:rFonts w:ascii="Cambria" w:hAnsi="Cambria"/>
          <w:sz w:val="16"/>
          <w:szCs w:val="16"/>
          <w:lang w:val="es-ES"/>
        </w:rPr>
        <w:t xml:space="preserve"> Constitución Política del Perú de 1993.</w:t>
      </w:r>
      <w:r>
        <w:rPr>
          <w:rFonts w:ascii="Cambria" w:hAnsi="Cambria"/>
          <w:sz w:val="16"/>
          <w:szCs w:val="16"/>
          <w:lang w:val="es-ES"/>
        </w:rPr>
        <w:t xml:space="preserve"> Artículo 70.- Inviolabilidad del derecho de propiedad. El derecho de propiedad es inviolable. El Estado lo garantiza. Se ejerce en armonía con el bien común y dentro de los límites de la ley. A nadie puede privarse de su propiedad sino, exclusivamente, por causa de seguridad nacional o necesidad pública, declarada por ley, y previo pago en efectivo de indemnización justipreciada que incluya compensac</w:t>
      </w:r>
      <w:r w:rsidR="00506B49">
        <w:rPr>
          <w:rFonts w:ascii="Cambria" w:hAnsi="Cambria"/>
          <w:sz w:val="16"/>
          <w:szCs w:val="16"/>
          <w:lang w:val="es-ES"/>
        </w:rPr>
        <w:t>ión por el eventual perjuicio. […]</w:t>
      </w:r>
      <w:r>
        <w:rPr>
          <w:rFonts w:ascii="Cambria" w:hAnsi="Cambria"/>
          <w:sz w:val="16"/>
          <w:szCs w:val="16"/>
          <w:lang w:val="es-ES"/>
        </w:rPr>
        <w:t xml:space="preserve">; Artículo 139. Principios de </w:t>
      </w:r>
      <w:r w:rsidR="00506B49">
        <w:rPr>
          <w:rFonts w:ascii="Cambria" w:hAnsi="Cambria"/>
          <w:sz w:val="16"/>
          <w:szCs w:val="16"/>
          <w:lang w:val="es-ES"/>
        </w:rPr>
        <w:t>la Administración de Justicia. […]</w:t>
      </w:r>
      <w:r>
        <w:rPr>
          <w:rFonts w:ascii="Cambria" w:hAnsi="Cambria"/>
          <w:sz w:val="16"/>
          <w:szCs w:val="16"/>
          <w:lang w:val="es-ES"/>
        </w:rPr>
        <w:t xml:space="preserve"> 3. La observancia del debido proceso y la tutela jurisdiccional. Ninguna persona puede ser desviada de la jurisdicción predeterminada por ley, ni sometida a procedimiento distinto de los previamente establecidos, ni juzgada por órganos jurisdiccionales de excepción ni por comisiones especiales creadas al efecto, cualquiera sea su denominación.</w:t>
      </w:r>
    </w:p>
  </w:footnote>
  <w:footnote w:id="10">
    <w:p w:rsidR="00367E5B" w:rsidRPr="00367E5B" w:rsidRDefault="00367E5B" w:rsidP="003672CA">
      <w:pPr>
        <w:pStyle w:val="FootnoteText"/>
        <w:ind w:firstLine="720"/>
        <w:jc w:val="both"/>
        <w:rPr>
          <w:rFonts w:asciiTheme="majorHAnsi" w:hAnsiTheme="majorHAnsi"/>
          <w:sz w:val="16"/>
          <w:szCs w:val="16"/>
          <w:lang w:val="es-PE"/>
        </w:rPr>
      </w:pPr>
      <w:r w:rsidRPr="00367E5B">
        <w:rPr>
          <w:rStyle w:val="FootnoteReference"/>
          <w:rFonts w:asciiTheme="majorHAnsi" w:hAnsiTheme="majorHAnsi"/>
          <w:sz w:val="16"/>
          <w:szCs w:val="16"/>
          <w:lang w:val="es-PE"/>
        </w:rPr>
        <w:footnoteRef/>
      </w:r>
      <w:r w:rsidRPr="00367E5B">
        <w:rPr>
          <w:rFonts w:asciiTheme="majorHAnsi" w:hAnsiTheme="majorHAnsi"/>
          <w:sz w:val="16"/>
          <w:szCs w:val="16"/>
          <w:lang w:val="es-PE"/>
        </w:rPr>
        <w:t xml:space="preserve"> Código Procesal </w:t>
      </w:r>
      <w:r w:rsidR="003672CA" w:rsidRPr="00367E5B">
        <w:rPr>
          <w:rFonts w:asciiTheme="majorHAnsi" w:hAnsiTheme="majorHAnsi"/>
          <w:sz w:val="16"/>
          <w:szCs w:val="16"/>
          <w:lang w:val="es-PE"/>
        </w:rPr>
        <w:t>C</w:t>
      </w:r>
      <w:r w:rsidR="003672CA">
        <w:rPr>
          <w:rFonts w:asciiTheme="majorHAnsi" w:hAnsiTheme="majorHAnsi"/>
          <w:sz w:val="16"/>
          <w:szCs w:val="16"/>
          <w:lang w:val="es-PE"/>
        </w:rPr>
        <w:t>onstitucional</w:t>
      </w:r>
      <w:r w:rsidR="003672CA" w:rsidRPr="003672CA">
        <w:rPr>
          <w:rFonts w:asciiTheme="majorHAnsi" w:hAnsiTheme="majorHAnsi"/>
          <w:sz w:val="16"/>
          <w:szCs w:val="16"/>
          <w:lang w:val="es-PE"/>
        </w:rPr>
        <w:t>. - Efectos de la Sentencia fundada</w:t>
      </w:r>
      <w:r w:rsidR="003672CA">
        <w:rPr>
          <w:rFonts w:asciiTheme="majorHAnsi" w:hAnsiTheme="majorHAnsi"/>
          <w:sz w:val="16"/>
          <w:szCs w:val="16"/>
          <w:lang w:val="es-PE"/>
        </w:rPr>
        <w:t xml:space="preserve">. </w:t>
      </w:r>
      <w:r>
        <w:rPr>
          <w:rFonts w:asciiTheme="majorHAnsi" w:hAnsiTheme="majorHAnsi"/>
          <w:sz w:val="16"/>
          <w:szCs w:val="16"/>
          <w:lang w:val="es-PE"/>
        </w:rPr>
        <w:t xml:space="preserve">Artículo 81. </w:t>
      </w:r>
      <w:r w:rsidRPr="00367E5B">
        <w:rPr>
          <w:rFonts w:asciiTheme="majorHAnsi" w:hAnsiTheme="majorHAnsi"/>
          <w:sz w:val="16"/>
          <w:szCs w:val="16"/>
          <w:lang w:val="es-PE"/>
        </w:rPr>
        <w:t>Las sentencias fundadas recaídas en el proceso de incons</w:t>
      </w:r>
      <w:r>
        <w:rPr>
          <w:rFonts w:asciiTheme="majorHAnsi" w:hAnsiTheme="majorHAnsi"/>
          <w:sz w:val="16"/>
          <w:szCs w:val="16"/>
          <w:lang w:val="es-PE"/>
        </w:rPr>
        <w:t xml:space="preserve">titucionalidad dejan sin efecto </w:t>
      </w:r>
      <w:r w:rsidRPr="00367E5B">
        <w:rPr>
          <w:rFonts w:asciiTheme="majorHAnsi" w:hAnsiTheme="majorHAnsi"/>
          <w:sz w:val="16"/>
          <w:szCs w:val="16"/>
          <w:lang w:val="es-PE"/>
        </w:rPr>
        <w:t xml:space="preserve">las normas sobre las cuales se pronuncian. Tienen </w:t>
      </w:r>
      <w:r>
        <w:rPr>
          <w:rFonts w:asciiTheme="majorHAnsi" w:hAnsiTheme="majorHAnsi"/>
          <w:sz w:val="16"/>
          <w:szCs w:val="16"/>
          <w:lang w:val="es-PE"/>
        </w:rPr>
        <w:t xml:space="preserve">alcances generales y carecen de </w:t>
      </w:r>
      <w:r w:rsidRPr="00367E5B">
        <w:rPr>
          <w:rFonts w:asciiTheme="majorHAnsi" w:hAnsiTheme="majorHAnsi"/>
          <w:sz w:val="16"/>
          <w:szCs w:val="16"/>
          <w:lang w:val="es-PE"/>
        </w:rPr>
        <w:t>efectos retroactivos. Se publican íntegramente en</w:t>
      </w:r>
      <w:r>
        <w:rPr>
          <w:rFonts w:asciiTheme="majorHAnsi" w:hAnsiTheme="majorHAnsi"/>
          <w:sz w:val="16"/>
          <w:szCs w:val="16"/>
          <w:lang w:val="es-PE"/>
        </w:rPr>
        <w:t xml:space="preserve"> el Diario Oficial El Peruano y </w:t>
      </w:r>
      <w:r w:rsidRPr="00367E5B">
        <w:rPr>
          <w:rFonts w:asciiTheme="majorHAnsi" w:hAnsiTheme="majorHAnsi"/>
          <w:sz w:val="16"/>
          <w:szCs w:val="16"/>
          <w:lang w:val="es-PE"/>
        </w:rPr>
        <w:t>producen efectos desde el día siguiente de su publicación.</w:t>
      </w:r>
      <w:r w:rsidR="0089733C">
        <w:rPr>
          <w:rFonts w:asciiTheme="majorHAnsi" w:hAnsiTheme="majorHAnsi"/>
          <w:sz w:val="16"/>
          <w:szCs w:val="16"/>
          <w:lang w:val="es-PE"/>
        </w:rPr>
        <w:t xml:space="preserve"> (…) Artículo 82. </w:t>
      </w:r>
      <w:r w:rsidR="003672CA" w:rsidRPr="003672CA">
        <w:rPr>
          <w:rFonts w:asciiTheme="majorHAnsi" w:hAnsiTheme="majorHAnsi"/>
          <w:sz w:val="16"/>
          <w:szCs w:val="16"/>
          <w:lang w:val="es-PE"/>
        </w:rPr>
        <w:t>-</w:t>
      </w:r>
      <w:r w:rsidR="003672CA">
        <w:rPr>
          <w:rFonts w:asciiTheme="majorHAnsi" w:hAnsiTheme="majorHAnsi"/>
          <w:sz w:val="16"/>
          <w:szCs w:val="16"/>
          <w:lang w:val="es-PE"/>
        </w:rPr>
        <w:t xml:space="preserve"> Cosa juzgada. </w:t>
      </w:r>
      <w:r w:rsidR="003672CA" w:rsidRPr="003672CA">
        <w:rPr>
          <w:rFonts w:asciiTheme="majorHAnsi" w:hAnsiTheme="majorHAnsi"/>
          <w:sz w:val="16"/>
          <w:szCs w:val="16"/>
          <w:lang w:val="es-PE"/>
        </w:rPr>
        <w:t>Las sentencias del Tribunal Constitucional en los proceso</w:t>
      </w:r>
      <w:r w:rsidR="003672CA">
        <w:rPr>
          <w:rFonts w:asciiTheme="majorHAnsi" w:hAnsiTheme="majorHAnsi"/>
          <w:sz w:val="16"/>
          <w:szCs w:val="16"/>
          <w:lang w:val="es-PE"/>
        </w:rPr>
        <w:t xml:space="preserve">s de inconstitucionalidad y las </w:t>
      </w:r>
      <w:r w:rsidR="003672CA" w:rsidRPr="003672CA">
        <w:rPr>
          <w:rFonts w:asciiTheme="majorHAnsi" w:hAnsiTheme="majorHAnsi"/>
          <w:sz w:val="16"/>
          <w:szCs w:val="16"/>
          <w:lang w:val="es-PE"/>
        </w:rPr>
        <w:t xml:space="preserve">recaídas en los procesos de acción popular que queden </w:t>
      </w:r>
      <w:r w:rsidR="003672CA">
        <w:rPr>
          <w:rFonts w:asciiTheme="majorHAnsi" w:hAnsiTheme="majorHAnsi"/>
          <w:sz w:val="16"/>
          <w:szCs w:val="16"/>
          <w:lang w:val="es-PE"/>
        </w:rPr>
        <w:t xml:space="preserve">firmes tienen autoridad de cosa </w:t>
      </w:r>
      <w:r w:rsidR="003672CA" w:rsidRPr="003672CA">
        <w:rPr>
          <w:rFonts w:asciiTheme="majorHAnsi" w:hAnsiTheme="majorHAnsi"/>
          <w:sz w:val="16"/>
          <w:szCs w:val="16"/>
          <w:lang w:val="es-PE"/>
        </w:rPr>
        <w:t>juzgada, por lo que vinculan a todos los poderes públic</w:t>
      </w:r>
      <w:r w:rsidR="003672CA">
        <w:rPr>
          <w:rFonts w:asciiTheme="majorHAnsi" w:hAnsiTheme="majorHAnsi"/>
          <w:sz w:val="16"/>
          <w:szCs w:val="16"/>
          <w:lang w:val="es-PE"/>
        </w:rPr>
        <w:t xml:space="preserve">os y producen efectos generales </w:t>
      </w:r>
      <w:r w:rsidR="003672CA" w:rsidRPr="003672CA">
        <w:rPr>
          <w:rFonts w:asciiTheme="majorHAnsi" w:hAnsiTheme="majorHAnsi"/>
          <w:sz w:val="16"/>
          <w:szCs w:val="16"/>
          <w:lang w:val="es-PE"/>
        </w:rPr>
        <w:t>desde el día siguiente a la fecha de su publicación.</w:t>
      </w:r>
      <w:r w:rsidR="003672CA">
        <w:rPr>
          <w:rFonts w:asciiTheme="majorHAnsi" w:hAnsiTheme="majorHAnsi"/>
          <w:sz w:val="16"/>
          <w:szCs w:val="16"/>
          <w:lang w:val="es-PE"/>
        </w:rPr>
        <w:t xml:space="preserve"> (…). </w:t>
      </w:r>
    </w:p>
  </w:footnote>
  <w:footnote w:id="11">
    <w:p w:rsidR="002419C9" w:rsidRDefault="002419C9" w:rsidP="002419C9">
      <w:pPr>
        <w:pStyle w:val="FootnoteText"/>
        <w:ind w:firstLine="720"/>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Corte IDH. </w:t>
      </w:r>
      <w:r>
        <w:rPr>
          <w:rFonts w:ascii="Cambria" w:hAnsi="Cambria"/>
          <w:i/>
          <w:iCs/>
          <w:sz w:val="16"/>
          <w:szCs w:val="16"/>
          <w:lang w:val="es-ES"/>
        </w:rPr>
        <w:t xml:space="preserve">Caso </w:t>
      </w:r>
      <w:proofErr w:type="spellStart"/>
      <w:r>
        <w:rPr>
          <w:rFonts w:ascii="Cambria" w:hAnsi="Cambria"/>
          <w:i/>
          <w:iCs/>
          <w:sz w:val="16"/>
          <w:szCs w:val="16"/>
          <w:lang w:val="es-ES"/>
        </w:rPr>
        <w:t>Artavia</w:t>
      </w:r>
      <w:proofErr w:type="spellEnd"/>
      <w:r>
        <w:rPr>
          <w:rFonts w:ascii="Cambria" w:hAnsi="Cambria"/>
          <w:i/>
          <w:iCs/>
          <w:sz w:val="16"/>
          <w:szCs w:val="16"/>
          <w:lang w:val="es-ES"/>
        </w:rPr>
        <w:t xml:space="preserve"> Murillo y otros (“Fecundación in vitro”) vs. Costa Rica</w:t>
      </w:r>
      <w:r>
        <w:rPr>
          <w:rFonts w:ascii="Cambria" w:hAnsi="Cambria"/>
          <w:sz w:val="16"/>
          <w:szCs w:val="16"/>
          <w:lang w:val="es-ES"/>
        </w:rPr>
        <w:t>. Sentencia de 28 de noviembre de 2012, párr.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256F5"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67" w:rsidRDefault="00314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3B4583A"/>
    <w:multiLevelType w:val="hybridMultilevel"/>
    <w:tmpl w:val="47E0C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5"/>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65D6"/>
    <w:rsid w:val="0001788C"/>
    <w:rsid w:val="00024DE2"/>
    <w:rsid w:val="000337EF"/>
    <w:rsid w:val="00040C3A"/>
    <w:rsid w:val="000419AD"/>
    <w:rsid w:val="000433C9"/>
    <w:rsid w:val="000716C5"/>
    <w:rsid w:val="00075674"/>
    <w:rsid w:val="00075E23"/>
    <w:rsid w:val="000839C7"/>
    <w:rsid w:val="0009344A"/>
    <w:rsid w:val="000A3638"/>
    <w:rsid w:val="000A392E"/>
    <w:rsid w:val="000A575F"/>
    <w:rsid w:val="000B0751"/>
    <w:rsid w:val="000B1169"/>
    <w:rsid w:val="000B2234"/>
    <w:rsid w:val="000B3B84"/>
    <w:rsid w:val="000D05CB"/>
    <w:rsid w:val="000D10DB"/>
    <w:rsid w:val="000D5885"/>
    <w:rsid w:val="000E5E90"/>
    <w:rsid w:val="000E5EB5"/>
    <w:rsid w:val="000F35ED"/>
    <w:rsid w:val="001057B5"/>
    <w:rsid w:val="00107131"/>
    <w:rsid w:val="0010736F"/>
    <w:rsid w:val="00111E6D"/>
    <w:rsid w:val="00113F73"/>
    <w:rsid w:val="00114C88"/>
    <w:rsid w:val="00121CC2"/>
    <w:rsid w:val="00131425"/>
    <w:rsid w:val="00133EE5"/>
    <w:rsid w:val="0014528A"/>
    <w:rsid w:val="00163E54"/>
    <w:rsid w:val="00167A34"/>
    <w:rsid w:val="00182D8B"/>
    <w:rsid w:val="001A7870"/>
    <w:rsid w:val="001B3A00"/>
    <w:rsid w:val="001C1B41"/>
    <w:rsid w:val="001C7CD2"/>
    <w:rsid w:val="001D6599"/>
    <w:rsid w:val="001D65EF"/>
    <w:rsid w:val="001E49E7"/>
    <w:rsid w:val="001E5A07"/>
    <w:rsid w:val="001F7201"/>
    <w:rsid w:val="0021213A"/>
    <w:rsid w:val="00223A29"/>
    <w:rsid w:val="002250A3"/>
    <w:rsid w:val="00235217"/>
    <w:rsid w:val="00237626"/>
    <w:rsid w:val="002419C9"/>
    <w:rsid w:val="00246D1F"/>
    <w:rsid w:val="00247403"/>
    <w:rsid w:val="00247542"/>
    <w:rsid w:val="0026343F"/>
    <w:rsid w:val="00266B61"/>
    <w:rsid w:val="0026712A"/>
    <w:rsid w:val="002704DB"/>
    <w:rsid w:val="00284371"/>
    <w:rsid w:val="0029662C"/>
    <w:rsid w:val="002A0AAE"/>
    <w:rsid w:val="002A5820"/>
    <w:rsid w:val="002B142A"/>
    <w:rsid w:val="002B5246"/>
    <w:rsid w:val="002C7AE2"/>
    <w:rsid w:val="002D2B26"/>
    <w:rsid w:val="002D7EA2"/>
    <w:rsid w:val="002E187C"/>
    <w:rsid w:val="002E70DA"/>
    <w:rsid w:val="00302733"/>
    <w:rsid w:val="00306E4E"/>
    <w:rsid w:val="00314078"/>
    <w:rsid w:val="00314267"/>
    <w:rsid w:val="0031535D"/>
    <w:rsid w:val="00321229"/>
    <w:rsid w:val="003239B8"/>
    <w:rsid w:val="0032479E"/>
    <w:rsid w:val="0033169F"/>
    <w:rsid w:val="00344977"/>
    <w:rsid w:val="00346C95"/>
    <w:rsid w:val="003545EF"/>
    <w:rsid w:val="00356185"/>
    <w:rsid w:val="00360380"/>
    <w:rsid w:val="003672CA"/>
    <w:rsid w:val="00367E5B"/>
    <w:rsid w:val="0037339C"/>
    <w:rsid w:val="0037519E"/>
    <w:rsid w:val="0038188B"/>
    <w:rsid w:val="0038373B"/>
    <w:rsid w:val="00386CF0"/>
    <w:rsid w:val="00391F3D"/>
    <w:rsid w:val="003B70FB"/>
    <w:rsid w:val="003C676B"/>
    <w:rsid w:val="003D3BC2"/>
    <w:rsid w:val="003D5381"/>
    <w:rsid w:val="003E6CA1"/>
    <w:rsid w:val="003F3C83"/>
    <w:rsid w:val="003F419C"/>
    <w:rsid w:val="00405F9C"/>
    <w:rsid w:val="004065A8"/>
    <w:rsid w:val="004165C2"/>
    <w:rsid w:val="004349D2"/>
    <w:rsid w:val="00441ECB"/>
    <w:rsid w:val="004423E1"/>
    <w:rsid w:val="00445193"/>
    <w:rsid w:val="00453F61"/>
    <w:rsid w:val="00461A4D"/>
    <w:rsid w:val="00462C1B"/>
    <w:rsid w:val="00467B7E"/>
    <w:rsid w:val="00473BB4"/>
    <w:rsid w:val="004759D4"/>
    <w:rsid w:val="00477592"/>
    <w:rsid w:val="00486F1C"/>
    <w:rsid w:val="00492DE6"/>
    <w:rsid w:val="0049419D"/>
    <w:rsid w:val="00495BEF"/>
    <w:rsid w:val="004A6A54"/>
    <w:rsid w:val="004C026B"/>
    <w:rsid w:val="004C20D2"/>
    <w:rsid w:val="004C2312"/>
    <w:rsid w:val="004C2FD0"/>
    <w:rsid w:val="004C4B62"/>
    <w:rsid w:val="004C54C9"/>
    <w:rsid w:val="004D4ABA"/>
    <w:rsid w:val="004D6025"/>
    <w:rsid w:val="004E2649"/>
    <w:rsid w:val="004F626F"/>
    <w:rsid w:val="005005EC"/>
    <w:rsid w:val="00501399"/>
    <w:rsid w:val="0050633D"/>
    <w:rsid w:val="00506B49"/>
    <w:rsid w:val="00507BC4"/>
    <w:rsid w:val="005128E4"/>
    <w:rsid w:val="005133DB"/>
    <w:rsid w:val="00514504"/>
    <w:rsid w:val="00525560"/>
    <w:rsid w:val="00536B72"/>
    <w:rsid w:val="00544C49"/>
    <w:rsid w:val="005516A1"/>
    <w:rsid w:val="005522B8"/>
    <w:rsid w:val="005559EF"/>
    <w:rsid w:val="00563557"/>
    <w:rsid w:val="005674B4"/>
    <w:rsid w:val="0057402A"/>
    <w:rsid w:val="00575DE0"/>
    <w:rsid w:val="005771D0"/>
    <w:rsid w:val="0059191A"/>
    <w:rsid w:val="005921FF"/>
    <w:rsid w:val="005924B7"/>
    <w:rsid w:val="005A0530"/>
    <w:rsid w:val="005A24ED"/>
    <w:rsid w:val="005A6D0E"/>
    <w:rsid w:val="005B52B0"/>
    <w:rsid w:val="005B6806"/>
    <w:rsid w:val="005C4225"/>
    <w:rsid w:val="005C4C0D"/>
    <w:rsid w:val="005D38F9"/>
    <w:rsid w:val="005D4A06"/>
    <w:rsid w:val="005E49D2"/>
    <w:rsid w:val="005F0DAD"/>
    <w:rsid w:val="005F0F33"/>
    <w:rsid w:val="00600DEB"/>
    <w:rsid w:val="006214FC"/>
    <w:rsid w:val="00621A43"/>
    <w:rsid w:val="00626426"/>
    <w:rsid w:val="00627C9F"/>
    <w:rsid w:val="006311E9"/>
    <w:rsid w:val="006317DB"/>
    <w:rsid w:val="00632354"/>
    <w:rsid w:val="00635421"/>
    <w:rsid w:val="00642810"/>
    <w:rsid w:val="00652333"/>
    <w:rsid w:val="00664581"/>
    <w:rsid w:val="0066738C"/>
    <w:rsid w:val="0068009E"/>
    <w:rsid w:val="00682EE3"/>
    <w:rsid w:val="00692219"/>
    <w:rsid w:val="00694B57"/>
    <w:rsid w:val="006956AF"/>
    <w:rsid w:val="006A17D2"/>
    <w:rsid w:val="006A73E6"/>
    <w:rsid w:val="006B0227"/>
    <w:rsid w:val="006B2D5C"/>
    <w:rsid w:val="006B486A"/>
    <w:rsid w:val="006B69C3"/>
    <w:rsid w:val="006C4EB1"/>
    <w:rsid w:val="006D049E"/>
    <w:rsid w:val="006D6EF0"/>
    <w:rsid w:val="006E0166"/>
    <w:rsid w:val="006E2FFB"/>
    <w:rsid w:val="006E7B34"/>
    <w:rsid w:val="00703BA2"/>
    <w:rsid w:val="0070697F"/>
    <w:rsid w:val="0072199C"/>
    <w:rsid w:val="00722C9F"/>
    <w:rsid w:val="007253B8"/>
    <w:rsid w:val="0073741F"/>
    <w:rsid w:val="00761312"/>
    <w:rsid w:val="0076643F"/>
    <w:rsid w:val="00777F63"/>
    <w:rsid w:val="00783B97"/>
    <w:rsid w:val="007843C2"/>
    <w:rsid w:val="00794601"/>
    <w:rsid w:val="00797315"/>
    <w:rsid w:val="007A5817"/>
    <w:rsid w:val="007B05C4"/>
    <w:rsid w:val="007B4935"/>
    <w:rsid w:val="007B60E9"/>
    <w:rsid w:val="007B6CC3"/>
    <w:rsid w:val="007B76D3"/>
    <w:rsid w:val="007C3334"/>
    <w:rsid w:val="007C70E8"/>
    <w:rsid w:val="007D2B98"/>
    <w:rsid w:val="007E21BC"/>
    <w:rsid w:val="007E7C82"/>
    <w:rsid w:val="007F2AA1"/>
    <w:rsid w:val="007F3210"/>
    <w:rsid w:val="007F588D"/>
    <w:rsid w:val="007F652D"/>
    <w:rsid w:val="00803F1C"/>
    <w:rsid w:val="0080600E"/>
    <w:rsid w:val="00814688"/>
    <w:rsid w:val="00817612"/>
    <w:rsid w:val="008178E4"/>
    <w:rsid w:val="00824233"/>
    <w:rsid w:val="008338A4"/>
    <w:rsid w:val="00834D49"/>
    <w:rsid w:val="00837C45"/>
    <w:rsid w:val="00844730"/>
    <w:rsid w:val="008457C2"/>
    <w:rsid w:val="00857A82"/>
    <w:rsid w:val="00863DFB"/>
    <w:rsid w:val="00873836"/>
    <w:rsid w:val="0088254F"/>
    <w:rsid w:val="00885737"/>
    <w:rsid w:val="00890650"/>
    <w:rsid w:val="0089733C"/>
    <w:rsid w:val="00897E12"/>
    <w:rsid w:val="008A042F"/>
    <w:rsid w:val="008A255C"/>
    <w:rsid w:val="008A7E0F"/>
    <w:rsid w:val="008B12F5"/>
    <w:rsid w:val="008C5E2D"/>
    <w:rsid w:val="008C70A0"/>
    <w:rsid w:val="008D768D"/>
    <w:rsid w:val="008E3759"/>
    <w:rsid w:val="008E3BFE"/>
    <w:rsid w:val="008F1912"/>
    <w:rsid w:val="008F358A"/>
    <w:rsid w:val="0090270B"/>
    <w:rsid w:val="009041DC"/>
    <w:rsid w:val="00917B5A"/>
    <w:rsid w:val="00920A58"/>
    <w:rsid w:val="00920A8C"/>
    <w:rsid w:val="00934A2C"/>
    <w:rsid w:val="00942C08"/>
    <w:rsid w:val="00943298"/>
    <w:rsid w:val="00956F12"/>
    <w:rsid w:val="0096192E"/>
    <w:rsid w:val="0096706E"/>
    <w:rsid w:val="00970BD2"/>
    <w:rsid w:val="00974491"/>
    <w:rsid w:val="00975C4E"/>
    <w:rsid w:val="009770ED"/>
    <w:rsid w:val="00981FBA"/>
    <w:rsid w:val="00982B36"/>
    <w:rsid w:val="00997BC5"/>
    <w:rsid w:val="009A4F41"/>
    <w:rsid w:val="009B381B"/>
    <w:rsid w:val="009D1753"/>
    <w:rsid w:val="009D7611"/>
    <w:rsid w:val="009E0B61"/>
    <w:rsid w:val="009E53DE"/>
    <w:rsid w:val="00A05B44"/>
    <w:rsid w:val="00A11212"/>
    <w:rsid w:val="00A11E44"/>
    <w:rsid w:val="00A30100"/>
    <w:rsid w:val="00A328B3"/>
    <w:rsid w:val="00A50FCF"/>
    <w:rsid w:val="00A528D1"/>
    <w:rsid w:val="00A610CD"/>
    <w:rsid w:val="00A6241A"/>
    <w:rsid w:val="00A62B09"/>
    <w:rsid w:val="00A758AA"/>
    <w:rsid w:val="00AA09A2"/>
    <w:rsid w:val="00AA15EE"/>
    <w:rsid w:val="00AA7996"/>
    <w:rsid w:val="00AC19CB"/>
    <w:rsid w:val="00AE5488"/>
    <w:rsid w:val="00AE62EB"/>
    <w:rsid w:val="00AE6F91"/>
    <w:rsid w:val="00AF5571"/>
    <w:rsid w:val="00B060FC"/>
    <w:rsid w:val="00B07341"/>
    <w:rsid w:val="00B275C3"/>
    <w:rsid w:val="00B30539"/>
    <w:rsid w:val="00B314DB"/>
    <w:rsid w:val="00B361F2"/>
    <w:rsid w:val="00B3718B"/>
    <w:rsid w:val="00B3745F"/>
    <w:rsid w:val="00B4632A"/>
    <w:rsid w:val="00B47399"/>
    <w:rsid w:val="00B530F1"/>
    <w:rsid w:val="00BA276C"/>
    <w:rsid w:val="00BA600D"/>
    <w:rsid w:val="00BA7DDA"/>
    <w:rsid w:val="00BB306F"/>
    <w:rsid w:val="00BC43FA"/>
    <w:rsid w:val="00BC67E2"/>
    <w:rsid w:val="00BD4B89"/>
    <w:rsid w:val="00BD5922"/>
    <w:rsid w:val="00BD7C5E"/>
    <w:rsid w:val="00BE0794"/>
    <w:rsid w:val="00BE5964"/>
    <w:rsid w:val="00BE5C71"/>
    <w:rsid w:val="00BF02CB"/>
    <w:rsid w:val="00BF1845"/>
    <w:rsid w:val="00BF6FD8"/>
    <w:rsid w:val="00C03680"/>
    <w:rsid w:val="00C054DF"/>
    <w:rsid w:val="00C21762"/>
    <w:rsid w:val="00C21FEF"/>
    <w:rsid w:val="00C23BA4"/>
    <w:rsid w:val="00C24330"/>
    <w:rsid w:val="00C24543"/>
    <w:rsid w:val="00C256A2"/>
    <w:rsid w:val="00C256F5"/>
    <w:rsid w:val="00C25ADB"/>
    <w:rsid w:val="00C302A8"/>
    <w:rsid w:val="00C30FA3"/>
    <w:rsid w:val="00C4195A"/>
    <w:rsid w:val="00C434C7"/>
    <w:rsid w:val="00C51515"/>
    <w:rsid w:val="00C5660B"/>
    <w:rsid w:val="00C57214"/>
    <w:rsid w:val="00C60DA2"/>
    <w:rsid w:val="00C6481C"/>
    <w:rsid w:val="00C66B72"/>
    <w:rsid w:val="00C66C18"/>
    <w:rsid w:val="00C75CFC"/>
    <w:rsid w:val="00C87AC4"/>
    <w:rsid w:val="00C9378F"/>
    <w:rsid w:val="00C9567A"/>
    <w:rsid w:val="00CB212D"/>
    <w:rsid w:val="00CB2660"/>
    <w:rsid w:val="00CB50C9"/>
    <w:rsid w:val="00CC5E90"/>
    <w:rsid w:val="00CD046C"/>
    <w:rsid w:val="00CE076C"/>
    <w:rsid w:val="00CE5199"/>
    <w:rsid w:val="00CE66D5"/>
    <w:rsid w:val="00CF4AF5"/>
    <w:rsid w:val="00CF637A"/>
    <w:rsid w:val="00D059DE"/>
    <w:rsid w:val="00D05ABD"/>
    <w:rsid w:val="00D13FCE"/>
    <w:rsid w:val="00D23807"/>
    <w:rsid w:val="00D306D1"/>
    <w:rsid w:val="00D30800"/>
    <w:rsid w:val="00D31470"/>
    <w:rsid w:val="00D3418D"/>
    <w:rsid w:val="00D34786"/>
    <w:rsid w:val="00D37BFC"/>
    <w:rsid w:val="00D47A8E"/>
    <w:rsid w:val="00D50D8F"/>
    <w:rsid w:val="00D52D14"/>
    <w:rsid w:val="00D55060"/>
    <w:rsid w:val="00D67EDD"/>
    <w:rsid w:val="00D71275"/>
    <w:rsid w:val="00D712D3"/>
    <w:rsid w:val="00D71422"/>
    <w:rsid w:val="00D71968"/>
    <w:rsid w:val="00D72DC6"/>
    <w:rsid w:val="00D7558D"/>
    <w:rsid w:val="00D76035"/>
    <w:rsid w:val="00D81D92"/>
    <w:rsid w:val="00D876F9"/>
    <w:rsid w:val="00DA0BB0"/>
    <w:rsid w:val="00DA7B5F"/>
    <w:rsid w:val="00DC11E7"/>
    <w:rsid w:val="00DC24E3"/>
    <w:rsid w:val="00DC7023"/>
    <w:rsid w:val="00DC769A"/>
    <w:rsid w:val="00DD0AC6"/>
    <w:rsid w:val="00DD3D83"/>
    <w:rsid w:val="00DD3D86"/>
    <w:rsid w:val="00DD4AD2"/>
    <w:rsid w:val="00DF1EC4"/>
    <w:rsid w:val="00E0340B"/>
    <w:rsid w:val="00E049FA"/>
    <w:rsid w:val="00E04A90"/>
    <w:rsid w:val="00E0551F"/>
    <w:rsid w:val="00E219C7"/>
    <w:rsid w:val="00E271BC"/>
    <w:rsid w:val="00E308B8"/>
    <w:rsid w:val="00E4118C"/>
    <w:rsid w:val="00E43157"/>
    <w:rsid w:val="00E461CE"/>
    <w:rsid w:val="00E573E4"/>
    <w:rsid w:val="00E64C3D"/>
    <w:rsid w:val="00E720CA"/>
    <w:rsid w:val="00E7743F"/>
    <w:rsid w:val="00E84EB5"/>
    <w:rsid w:val="00E85662"/>
    <w:rsid w:val="00E8789F"/>
    <w:rsid w:val="00E97B71"/>
    <w:rsid w:val="00EA3D34"/>
    <w:rsid w:val="00EB454D"/>
    <w:rsid w:val="00ED549D"/>
    <w:rsid w:val="00ED76BE"/>
    <w:rsid w:val="00EE00E9"/>
    <w:rsid w:val="00EF1AAA"/>
    <w:rsid w:val="00EF619B"/>
    <w:rsid w:val="00EF6655"/>
    <w:rsid w:val="00F00B55"/>
    <w:rsid w:val="00F02AD1"/>
    <w:rsid w:val="00F06BF1"/>
    <w:rsid w:val="00F13109"/>
    <w:rsid w:val="00F253CC"/>
    <w:rsid w:val="00F35462"/>
    <w:rsid w:val="00F37106"/>
    <w:rsid w:val="00F37507"/>
    <w:rsid w:val="00F44E25"/>
    <w:rsid w:val="00F4503F"/>
    <w:rsid w:val="00F519CF"/>
    <w:rsid w:val="00F53BBF"/>
    <w:rsid w:val="00F56539"/>
    <w:rsid w:val="00F56BA5"/>
    <w:rsid w:val="00F60E22"/>
    <w:rsid w:val="00F67788"/>
    <w:rsid w:val="00F81395"/>
    <w:rsid w:val="00F81BB8"/>
    <w:rsid w:val="00F90C64"/>
    <w:rsid w:val="00F917D1"/>
    <w:rsid w:val="00F9653B"/>
    <w:rsid w:val="00FB62CF"/>
    <w:rsid w:val="00FC3BD5"/>
    <w:rsid w:val="00FC760B"/>
    <w:rsid w:val="00FD239C"/>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8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64">
      <w:bodyDiv w:val="1"/>
      <w:marLeft w:val="0"/>
      <w:marRight w:val="0"/>
      <w:marTop w:val="0"/>
      <w:marBottom w:val="0"/>
      <w:divBdr>
        <w:top w:val="none" w:sz="0" w:space="0" w:color="auto"/>
        <w:left w:val="none" w:sz="0" w:space="0" w:color="auto"/>
        <w:bottom w:val="none" w:sz="0" w:space="0" w:color="auto"/>
        <w:right w:val="none" w:sz="0" w:space="0" w:color="auto"/>
      </w:divBdr>
    </w:div>
    <w:div w:id="54862004">
      <w:bodyDiv w:val="1"/>
      <w:marLeft w:val="0"/>
      <w:marRight w:val="0"/>
      <w:marTop w:val="0"/>
      <w:marBottom w:val="0"/>
      <w:divBdr>
        <w:top w:val="none" w:sz="0" w:space="0" w:color="auto"/>
        <w:left w:val="none" w:sz="0" w:space="0" w:color="auto"/>
        <w:bottom w:val="none" w:sz="0" w:space="0" w:color="auto"/>
        <w:right w:val="none" w:sz="0" w:space="0" w:color="auto"/>
      </w:divBdr>
    </w:div>
    <w:div w:id="404837159">
      <w:bodyDiv w:val="1"/>
      <w:marLeft w:val="0"/>
      <w:marRight w:val="0"/>
      <w:marTop w:val="0"/>
      <w:marBottom w:val="0"/>
      <w:divBdr>
        <w:top w:val="none" w:sz="0" w:space="0" w:color="auto"/>
        <w:left w:val="none" w:sz="0" w:space="0" w:color="auto"/>
        <w:bottom w:val="none" w:sz="0" w:space="0" w:color="auto"/>
        <w:right w:val="none" w:sz="0" w:space="0" w:color="auto"/>
      </w:divBdr>
    </w:div>
    <w:div w:id="411587620">
      <w:bodyDiv w:val="1"/>
      <w:marLeft w:val="0"/>
      <w:marRight w:val="0"/>
      <w:marTop w:val="0"/>
      <w:marBottom w:val="0"/>
      <w:divBdr>
        <w:top w:val="none" w:sz="0" w:space="0" w:color="auto"/>
        <w:left w:val="none" w:sz="0" w:space="0" w:color="auto"/>
        <w:bottom w:val="none" w:sz="0" w:space="0" w:color="auto"/>
        <w:right w:val="none" w:sz="0" w:space="0" w:color="auto"/>
      </w:divBdr>
    </w:div>
    <w:div w:id="485321498">
      <w:bodyDiv w:val="1"/>
      <w:marLeft w:val="0"/>
      <w:marRight w:val="0"/>
      <w:marTop w:val="0"/>
      <w:marBottom w:val="0"/>
      <w:divBdr>
        <w:top w:val="none" w:sz="0" w:space="0" w:color="auto"/>
        <w:left w:val="none" w:sz="0" w:space="0" w:color="auto"/>
        <w:bottom w:val="none" w:sz="0" w:space="0" w:color="auto"/>
        <w:right w:val="none" w:sz="0" w:space="0" w:color="auto"/>
      </w:divBdr>
    </w:div>
    <w:div w:id="655032615">
      <w:bodyDiv w:val="1"/>
      <w:marLeft w:val="0"/>
      <w:marRight w:val="0"/>
      <w:marTop w:val="0"/>
      <w:marBottom w:val="0"/>
      <w:divBdr>
        <w:top w:val="none" w:sz="0" w:space="0" w:color="auto"/>
        <w:left w:val="none" w:sz="0" w:space="0" w:color="auto"/>
        <w:bottom w:val="none" w:sz="0" w:space="0" w:color="auto"/>
        <w:right w:val="none" w:sz="0" w:space="0" w:color="auto"/>
      </w:divBdr>
    </w:div>
    <w:div w:id="89208395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73983344">
      <w:bodyDiv w:val="1"/>
      <w:marLeft w:val="0"/>
      <w:marRight w:val="0"/>
      <w:marTop w:val="0"/>
      <w:marBottom w:val="0"/>
      <w:divBdr>
        <w:top w:val="none" w:sz="0" w:space="0" w:color="auto"/>
        <w:left w:val="none" w:sz="0" w:space="0" w:color="auto"/>
        <w:bottom w:val="none" w:sz="0" w:space="0" w:color="auto"/>
        <w:right w:val="none" w:sz="0" w:space="0" w:color="auto"/>
      </w:divBdr>
    </w:div>
    <w:div w:id="1544756699">
      <w:bodyDiv w:val="1"/>
      <w:marLeft w:val="0"/>
      <w:marRight w:val="0"/>
      <w:marTop w:val="0"/>
      <w:marBottom w:val="0"/>
      <w:divBdr>
        <w:top w:val="none" w:sz="0" w:space="0" w:color="auto"/>
        <w:left w:val="none" w:sz="0" w:space="0" w:color="auto"/>
        <w:bottom w:val="none" w:sz="0" w:space="0" w:color="auto"/>
        <w:right w:val="none" w:sz="0" w:space="0" w:color="auto"/>
      </w:divBdr>
    </w:div>
    <w:div w:id="1654868419">
      <w:bodyDiv w:val="1"/>
      <w:marLeft w:val="0"/>
      <w:marRight w:val="0"/>
      <w:marTop w:val="0"/>
      <w:marBottom w:val="0"/>
      <w:divBdr>
        <w:top w:val="none" w:sz="0" w:space="0" w:color="auto"/>
        <w:left w:val="none" w:sz="0" w:space="0" w:color="auto"/>
        <w:bottom w:val="none" w:sz="0" w:space="0" w:color="auto"/>
        <w:right w:val="none" w:sz="0" w:space="0" w:color="auto"/>
      </w:divBdr>
    </w:div>
    <w:div w:id="168351416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3141694">
      <w:bodyDiv w:val="1"/>
      <w:marLeft w:val="0"/>
      <w:marRight w:val="0"/>
      <w:marTop w:val="0"/>
      <w:marBottom w:val="0"/>
      <w:divBdr>
        <w:top w:val="none" w:sz="0" w:space="0" w:color="auto"/>
        <w:left w:val="none" w:sz="0" w:space="0" w:color="auto"/>
        <w:bottom w:val="none" w:sz="0" w:space="0" w:color="auto"/>
        <w:right w:val="none" w:sz="0" w:space="0" w:color="auto"/>
      </w:divBdr>
    </w:div>
    <w:div w:id="213290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18EA"/>
    <w:rsid w:val="00152180"/>
    <w:rsid w:val="001B3C3E"/>
    <w:rsid w:val="001E30F7"/>
    <w:rsid w:val="00200821"/>
    <w:rsid w:val="00252049"/>
    <w:rsid w:val="0025245B"/>
    <w:rsid w:val="002A3923"/>
    <w:rsid w:val="002D73D1"/>
    <w:rsid w:val="00394049"/>
    <w:rsid w:val="00493ED4"/>
    <w:rsid w:val="004B5BBB"/>
    <w:rsid w:val="004F2DF8"/>
    <w:rsid w:val="006A3635"/>
    <w:rsid w:val="006F24A1"/>
    <w:rsid w:val="007A2014"/>
    <w:rsid w:val="00842BCE"/>
    <w:rsid w:val="00885DCA"/>
    <w:rsid w:val="009A261B"/>
    <w:rsid w:val="00A97EEF"/>
    <w:rsid w:val="00AA2E17"/>
    <w:rsid w:val="00AC15A4"/>
    <w:rsid w:val="00AD02E1"/>
    <w:rsid w:val="00AD39FB"/>
    <w:rsid w:val="00B0336C"/>
    <w:rsid w:val="00D241E9"/>
    <w:rsid w:val="00D772AC"/>
    <w:rsid w:val="00D7750D"/>
    <w:rsid w:val="00DD2493"/>
    <w:rsid w:val="00EA3C84"/>
    <w:rsid w:val="00EC102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DBB8-D651-4E03-A9C8-3FD2940C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3958</Words>
  <Characters>20265</Characters>
  <Application>Microsoft Office Word</Application>
  <DocSecurity>0</DocSecurity>
  <Lines>382</Lines>
  <Paragraphs>111</Paragraphs>
  <ScaleCrop>false</ScaleCrop>
  <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308/20</dc:title>
  <dc:creator/>
  <cp:lastModifiedBy/>
  <cp:revision>1</cp:revision>
  <dcterms:created xsi:type="dcterms:W3CDTF">2021-01-07T16:41:00Z</dcterms:created>
  <dcterms:modified xsi:type="dcterms:W3CDTF">2021-01-07T16:41:00Z</dcterms:modified>
</cp:coreProperties>
</file>