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AD4D34F" w14:textId="77777777" w:rsidR="00040C3A" w:rsidRPr="00A53B9D" w:rsidRDefault="00D306D1" w:rsidP="00627C9F">
      <w:pPr>
        <w:jc w:val="both"/>
        <w:rPr>
          <w:rFonts w:asciiTheme="majorHAnsi" w:hAnsiTheme="majorHAnsi" w:cs="Univers"/>
          <w:b/>
          <w:bCs/>
          <w:sz w:val="20"/>
          <w:szCs w:val="20"/>
          <w:lang w:val="es-ES"/>
        </w:rPr>
      </w:pPr>
      <w:r w:rsidRPr="00A53B9D">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40E62321" wp14:editId="57DE8D8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4966BDFA"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A53B9D">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0FE8DE32" wp14:editId="73A0EFB0">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375FEB" w14:textId="77777777" w:rsidR="00867D4C" w:rsidRDefault="00867D4C" w:rsidP="00AE5488">
                            <w:r>
                              <w:rPr>
                                <w:noProof/>
                              </w:rPr>
                              <w:drawing>
                                <wp:inline distT="0" distB="0" distL="0" distR="0" wp14:anchorId="55224122" wp14:editId="1E29883A">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type w14:anchorId="0FE8DE32"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4D375FEB" w14:textId="77777777" w:rsidR="00867D4C" w:rsidRDefault="00867D4C" w:rsidP="00AE5488">
                      <w:r>
                        <w:rPr>
                          <w:noProof/>
                        </w:rPr>
                        <w:drawing>
                          <wp:inline distT="0" distB="0" distL="0" distR="0" wp14:anchorId="55224122" wp14:editId="1E29883A">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sidRPr="00A53B9D">
        <w:rPr>
          <w:rFonts w:asciiTheme="majorHAnsi" w:hAnsiTheme="majorHAnsi" w:cs="Univers"/>
          <w:b/>
          <w:bCs/>
          <w:sz w:val="20"/>
          <w:szCs w:val="20"/>
          <w:lang w:val="es-ES"/>
        </w:rPr>
        <w:t xml:space="preserve"> </w:t>
      </w:r>
    </w:p>
    <w:p w14:paraId="31BB6A0C" w14:textId="77777777" w:rsidR="00040C3A" w:rsidRPr="00A53B9D" w:rsidRDefault="00040C3A" w:rsidP="00040C3A">
      <w:pPr>
        <w:tabs>
          <w:tab w:val="center" w:pos="5400"/>
        </w:tabs>
        <w:suppressAutoHyphens/>
        <w:jc w:val="both"/>
        <w:rPr>
          <w:rFonts w:asciiTheme="majorHAnsi" w:hAnsiTheme="majorHAnsi"/>
          <w:sz w:val="20"/>
          <w:szCs w:val="20"/>
          <w:lang w:val="es-ES"/>
        </w:rPr>
      </w:pPr>
    </w:p>
    <w:p w14:paraId="7DE01ADC" w14:textId="77777777" w:rsidR="00040C3A" w:rsidRPr="00A53B9D" w:rsidRDefault="00040C3A" w:rsidP="00040C3A">
      <w:pPr>
        <w:tabs>
          <w:tab w:val="center" w:pos="5400"/>
        </w:tabs>
        <w:suppressAutoHyphens/>
        <w:jc w:val="both"/>
        <w:rPr>
          <w:rFonts w:asciiTheme="majorHAnsi" w:hAnsiTheme="majorHAnsi"/>
          <w:sz w:val="20"/>
          <w:szCs w:val="20"/>
          <w:lang w:val="es-ES"/>
        </w:rPr>
      </w:pPr>
    </w:p>
    <w:p w14:paraId="19735539" w14:textId="77777777" w:rsidR="005128E4" w:rsidRPr="00A53B9D" w:rsidRDefault="005128E4" w:rsidP="00040C3A">
      <w:pPr>
        <w:tabs>
          <w:tab w:val="center" w:pos="5400"/>
        </w:tabs>
        <w:suppressAutoHyphens/>
        <w:rPr>
          <w:rFonts w:asciiTheme="majorHAnsi" w:hAnsiTheme="majorHAnsi"/>
          <w:sz w:val="20"/>
          <w:szCs w:val="20"/>
          <w:lang w:val="es-ES"/>
        </w:rPr>
      </w:pPr>
    </w:p>
    <w:p w14:paraId="78992360" w14:textId="77777777" w:rsidR="005128E4" w:rsidRPr="00A53B9D" w:rsidRDefault="005128E4" w:rsidP="00040C3A">
      <w:pPr>
        <w:tabs>
          <w:tab w:val="center" w:pos="5400"/>
        </w:tabs>
        <w:suppressAutoHyphens/>
        <w:rPr>
          <w:rFonts w:asciiTheme="majorHAnsi" w:hAnsiTheme="majorHAnsi"/>
          <w:sz w:val="20"/>
          <w:szCs w:val="20"/>
          <w:lang w:val="es-ES"/>
        </w:rPr>
      </w:pPr>
    </w:p>
    <w:p w14:paraId="25EF1881" w14:textId="77777777" w:rsidR="005128E4" w:rsidRPr="00A53B9D" w:rsidRDefault="005128E4" w:rsidP="00040C3A">
      <w:pPr>
        <w:tabs>
          <w:tab w:val="center" w:pos="5400"/>
        </w:tabs>
        <w:suppressAutoHyphens/>
        <w:rPr>
          <w:rFonts w:asciiTheme="majorHAnsi" w:hAnsiTheme="majorHAnsi"/>
          <w:sz w:val="20"/>
          <w:szCs w:val="20"/>
          <w:lang w:val="es-ES"/>
        </w:rPr>
      </w:pPr>
    </w:p>
    <w:p w14:paraId="608BE5CD" w14:textId="77777777" w:rsidR="00040C3A" w:rsidRPr="00A53B9D" w:rsidRDefault="00040C3A" w:rsidP="005128E4">
      <w:pPr>
        <w:tabs>
          <w:tab w:val="center" w:pos="5400"/>
        </w:tabs>
        <w:suppressAutoHyphens/>
        <w:jc w:val="center"/>
        <w:rPr>
          <w:rFonts w:asciiTheme="majorHAnsi" w:hAnsiTheme="majorHAnsi"/>
          <w:sz w:val="20"/>
          <w:szCs w:val="20"/>
          <w:lang w:val="es-ES"/>
        </w:rPr>
      </w:pPr>
    </w:p>
    <w:p w14:paraId="71FBDA9D" w14:textId="77777777" w:rsidR="00040C3A" w:rsidRPr="00A53B9D" w:rsidRDefault="00040C3A" w:rsidP="005128E4">
      <w:pPr>
        <w:tabs>
          <w:tab w:val="center" w:pos="5400"/>
        </w:tabs>
        <w:suppressAutoHyphens/>
        <w:jc w:val="center"/>
        <w:rPr>
          <w:rFonts w:asciiTheme="majorHAnsi" w:hAnsiTheme="majorHAnsi"/>
          <w:sz w:val="20"/>
          <w:szCs w:val="20"/>
          <w:lang w:val="es-ES"/>
        </w:rPr>
      </w:pPr>
    </w:p>
    <w:p w14:paraId="65FE9D83" w14:textId="77777777" w:rsidR="005B52B0" w:rsidRPr="00A53B9D" w:rsidRDefault="005B52B0" w:rsidP="005128E4">
      <w:pPr>
        <w:tabs>
          <w:tab w:val="center" w:pos="5400"/>
        </w:tabs>
        <w:suppressAutoHyphens/>
        <w:jc w:val="center"/>
        <w:rPr>
          <w:rFonts w:asciiTheme="majorHAnsi" w:hAnsiTheme="majorHAnsi"/>
          <w:sz w:val="20"/>
          <w:szCs w:val="20"/>
          <w:lang w:val="es-ES"/>
        </w:rPr>
      </w:pPr>
    </w:p>
    <w:p w14:paraId="73ED9AC1" w14:textId="77777777" w:rsidR="005B52B0" w:rsidRPr="00A53B9D" w:rsidRDefault="005B52B0" w:rsidP="005128E4">
      <w:pPr>
        <w:tabs>
          <w:tab w:val="center" w:pos="5400"/>
        </w:tabs>
        <w:suppressAutoHyphens/>
        <w:jc w:val="center"/>
        <w:rPr>
          <w:rFonts w:asciiTheme="majorHAnsi" w:hAnsiTheme="majorHAnsi"/>
          <w:sz w:val="20"/>
          <w:szCs w:val="20"/>
          <w:lang w:val="es-ES"/>
        </w:rPr>
      </w:pPr>
    </w:p>
    <w:p w14:paraId="7D56DB17" w14:textId="77777777" w:rsidR="005B52B0" w:rsidRPr="00A53B9D" w:rsidRDefault="005B52B0" w:rsidP="005128E4">
      <w:pPr>
        <w:tabs>
          <w:tab w:val="center" w:pos="5400"/>
        </w:tabs>
        <w:suppressAutoHyphens/>
        <w:jc w:val="center"/>
        <w:rPr>
          <w:rFonts w:asciiTheme="majorHAnsi" w:hAnsiTheme="majorHAnsi"/>
          <w:sz w:val="20"/>
          <w:szCs w:val="20"/>
          <w:lang w:val="es-ES"/>
        </w:rPr>
      </w:pPr>
    </w:p>
    <w:p w14:paraId="082000AA" w14:textId="77777777" w:rsidR="00040C3A" w:rsidRPr="00A53B9D" w:rsidRDefault="00040C3A" w:rsidP="00040C3A">
      <w:pPr>
        <w:tabs>
          <w:tab w:val="center" w:pos="5400"/>
        </w:tabs>
        <w:suppressAutoHyphens/>
        <w:jc w:val="center"/>
        <w:rPr>
          <w:rFonts w:asciiTheme="majorHAnsi" w:hAnsiTheme="majorHAnsi"/>
          <w:sz w:val="20"/>
          <w:szCs w:val="20"/>
          <w:lang w:val="es-ES"/>
        </w:rPr>
      </w:pPr>
    </w:p>
    <w:p w14:paraId="4EC61E3F" w14:textId="77777777" w:rsidR="00040C3A" w:rsidRPr="00A53B9D" w:rsidRDefault="00040C3A" w:rsidP="00040C3A">
      <w:pPr>
        <w:tabs>
          <w:tab w:val="center" w:pos="5400"/>
        </w:tabs>
        <w:suppressAutoHyphens/>
        <w:jc w:val="center"/>
        <w:rPr>
          <w:rFonts w:asciiTheme="majorHAnsi" w:hAnsiTheme="majorHAnsi"/>
          <w:sz w:val="20"/>
          <w:szCs w:val="20"/>
          <w:lang w:val="es-ES"/>
        </w:rPr>
      </w:pPr>
    </w:p>
    <w:p w14:paraId="21834256" w14:textId="77777777" w:rsidR="00040C3A" w:rsidRPr="00A53B9D" w:rsidRDefault="003D3BC2" w:rsidP="00040C3A">
      <w:pPr>
        <w:tabs>
          <w:tab w:val="center" w:pos="5400"/>
        </w:tabs>
        <w:suppressAutoHyphens/>
        <w:jc w:val="center"/>
        <w:rPr>
          <w:rFonts w:asciiTheme="majorHAnsi" w:hAnsiTheme="majorHAnsi"/>
          <w:sz w:val="20"/>
          <w:szCs w:val="20"/>
          <w:lang w:val="es-ES"/>
        </w:rPr>
      </w:pPr>
      <w:r w:rsidRPr="00A53B9D">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001836BE" wp14:editId="3BF8B79E">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B5CA60" w14:textId="26089327" w:rsidR="00867D4C" w:rsidRPr="004E2649" w:rsidRDefault="00867D4C"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8A3DD9">
                              <w:rPr>
                                <w:rFonts w:asciiTheme="majorHAnsi" w:hAnsiTheme="majorHAnsi" w:cs="Arial"/>
                                <w:b/>
                                <w:bCs/>
                                <w:color w:val="0D0D0D" w:themeColor="text1" w:themeTint="F2"/>
                                <w:sz w:val="36"/>
                                <w:szCs w:val="22"/>
                                <w:lang w:val="es-ES_tradnl"/>
                              </w:rPr>
                              <w:t>142</w:t>
                            </w:r>
                            <w:r>
                              <w:rPr>
                                <w:rFonts w:asciiTheme="majorHAnsi" w:hAnsiTheme="majorHAnsi" w:cs="Arial"/>
                                <w:b/>
                                <w:bCs/>
                                <w:color w:val="0D0D0D" w:themeColor="text1" w:themeTint="F2"/>
                                <w:sz w:val="36"/>
                                <w:szCs w:val="22"/>
                                <w:lang w:val="es-ES_tradnl"/>
                              </w:rPr>
                              <w:t>/20</w:t>
                            </w:r>
                          </w:p>
                          <w:p w14:paraId="702177C0" w14:textId="223CC04E" w:rsidR="00867D4C" w:rsidRDefault="00867D4C"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537</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10</w:t>
                            </w:r>
                            <w:r w:rsidRPr="004E2649">
                              <w:rPr>
                                <w:rFonts w:asciiTheme="majorHAnsi" w:hAnsiTheme="majorHAnsi" w:cs="Arial"/>
                                <w:b/>
                                <w:color w:val="0D0D0D" w:themeColor="text1" w:themeTint="F2"/>
                                <w:sz w:val="36"/>
                                <w:szCs w:val="22"/>
                                <w:lang w:val="es-ES_tradnl"/>
                              </w:rPr>
                              <w:t xml:space="preserve"> </w:t>
                            </w:r>
                          </w:p>
                          <w:p w14:paraId="4EFBE767" w14:textId="0FAA3340" w:rsidR="00867D4C" w:rsidRPr="0010736F" w:rsidRDefault="00867D4C"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30E92E90" w14:textId="77777777" w:rsidR="00867D4C" w:rsidRPr="0010736F" w:rsidRDefault="00867D4C" w:rsidP="00997BC5">
                            <w:pPr>
                              <w:spacing w:line="276" w:lineRule="auto"/>
                              <w:rPr>
                                <w:rFonts w:asciiTheme="majorHAnsi" w:hAnsiTheme="majorHAnsi" w:cs="Arial"/>
                                <w:color w:val="0D0D0D" w:themeColor="text1" w:themeTint="F2"/>
                                <w:szCs w:val="22"/>
                                <w:lang w:val="es-ES_tradnl"/>
                              </w:rPr>
                            </w:pPr>
                            <w:bookmarkStart w:id="1" w:name="_ftnref1"/>
                          </w:p>
                          <w:p w14:paraId="7CAC2379" w14:textId="3EF03CBE" w:rsidR="00867D4C" w:rsidRPr="0010736F" w:rsidRDefault="00867D4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TERESA ORTEGA LA ROSA VDA. DE MORÁN</w:t>
                            </w:r>
                          </w:p>
                          <w:bookmarkEnd w:id="1"/>
                          <w:p w14:paraId="2B4D018E" w14:textId="673BE887" w:rsidR="00867D4C" w:rsidRPr="003D16F1" w:rsidRDefault="00867D4C" w:rsidP="003D16F1">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01836B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03B5CA60" w14:textId="26089327" w:rsidR="00867D4C" w:rsidRPr="004E2649" w:rsidRDefault="00867D4C"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8A3DD9">
                        <w:rPr>
                          <w:rFonts w:asciiTheme="majorHAnsi" w:hAnsiTheme="majorHAnsi" w:cs="Arial"/>
                          <w:b/>
                          <w:bCs/>
                          <w:color w:val="0D0D0D" w:themeColor="text1" w:themeTint="F2"/>
                          <w:sz w:val="36"/>
                          <w:szCs w:val="22"/>
                          <w:lang w:val="es-ES_tradnl"/>
                        </w:rPr>
                        <w:t>142</w:t>
                      </w:r>
                      <w:r>
                        <w:rPr>
                          <w:rFonts w:asciiTheme="majorHAnsi" w:hAnsiTheme="majorHAnsi" w:cs="Arial"/>
                          <w:b/>
                          <w:bCs/>
                          <w:color w:val="0D0D0D" w:themeColor="text1" w:themeTint="F2"/>
                          <w:sz w:val="36"/>
                          <w:szCs w:val="22"/>
                          <w:lang w:val="es-ES_tradnl"/>
                        </w:rPr>
                        <w:t>/20</w:t>
                      </w:r>
                    </w:p>
                    <w:p w14:paraId="702177C0" w14:textId="223CC04E" w:rsidR="00867D4C" w:rsidRDefault="00867D4C"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537</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10</w:t>
                      </w:r>
                      <w:r w:rsidRPr="004E2649">
                        <w:rPr>
                          <w:rFonts w:asciiTheme="majorHAnsi" w:hAnsiTheme="majorHAnsi" w:cs="Arial"/>
                          <w:b/>
                          <w:color w:val="0D0D0D" w:themeColor="text1" w:themeTint="F2"/>
                          <w:sz w:val="36"/>
                          <w:szCs w:val="22"/>
                          <w:lang w:val="es-ES_tradnl"/>
                        </w:rPr>
                        <w:t xml:space="preserve"> </w:t>
                      </w:r>
                    </w:p>
                    <w:p w14:paraId="4EFBE767" w14:textId="0FAA3340" w:rsidR="00867D4C" w:rsidRPr="0010736F" w:rsidRDefault="00867D4C"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30E92E90" w14:textId="77777777" w:rsidR="00867D4C" w:rsidRPr="0010736F" w:rsidRDefault="00867D4C" w:rsidP="00997BC5">
                      <w:pPr>
                        <w:spacing w:line="276" w:lineRule="auto"/>
                        <w:rPr>
                          <w:rFonts w:asciiTheme="majorHAnsi" w:hAnsiTheme="majorHAnsi" w:cs="Arial"/>
                          <w:color w:val="0D0D0D" w:themeColor="text1" w:themeTint="F2"/>
                          <w:szCs w:val="22"/>
                          <w:lang w:val="es-ES_tradnl"/>
                        </w:rPr>
                      </w:pPr>
                      <w:bookmarkStart w:id="1" w:name="_ftnref1"/>
                    </w:p>
                    <w:p w14:paraId="7CAC2379" w14:textId="3EF03CBE" w:rsidR="00867D4C" w:rsidRPr="0010736F" w:rsidRDefault="00867D4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TERESA ORTEGA LA ROSA VDA. DE MORÁN</w:t>
                      </w:r>
                    </w:p>
                    <w:bookmarkEnd w:id="1"/>
                    <w:p w14:paraId="2B4D018E" w14:textId="673BE887" w:rsidR="00867D4C" w:rsidRPr="003D16F1" w:rsidRDefault="00867D4C" w:rsidP="003D16F1">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txbxContent>
                </v:textbox>
              </v:shape>
            </w:pict>
          </mc:Fallback>
        </mc:AlternateContent>
      </w:r>
      <w:r w:rsidR="004E2649" w:rsidRPr="00A53B9D">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4FA902C3" wp14:editId="21DBDC91">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6B3AFB" w14:textId="4DDBA477" w:rsidR="00867D4C" w:rsidRPr="008A3DD9" w:rsidRDefault="00867D4C" w:rsidP="007A5817">
                            <w:pPr>
                              <w:spacing w:line="276" w:lineRule="auto"/>
                              <w:jc w:val="right"/>
                              <w:rPr>
                                <w:rFonts w:asciiTheme="minorHAnsi" w:hAnsiTheme="minorHAnsi"/>
                                <w:color w:val="FFFFFF" w:themeColor="background1"/>
                                <w:sz w:val="22"/>
                                <w:lang w:val="pt-BR"/>
                              </w:rPr>
                            </w:pPr>
                            <w:r w:rsidRPr="008A3DD9">
                              <w:rPr>
                                <w:rFonts w:asciiTheme="minorHAnsi" w:hAnsiTheme="minorHAnsi"/>
                                <w:color w:val="FFFFFF" w:themeColor="background1"/>
                                <w:sz w:val="22"/>
                                <w:lang w:val="pt-BR"/>
                              </w:rPr>
                              <w:t>OEA/Ser.L/V/II.</w:t>
                            </w:r>
                          </w:p>
                          <w:p w14:paraId="12C2710C" w14:textId="64842696" w:rsidR="00867D4C" w:rsidRPr="008A3DD9" w:rsidRDefault="00867D4C" w:rsidP="007A5817">
                            <w:pPr>
                              <w:spacing w:line="276" w:lineRule="auto"/>
                              <w:jc w:val="right"/>
                              <w:rPr>
                                <w:rFonts w:asciiTheme="minorHAnsi" w:hAnsiTheme="minorHAnsi"/>
                                <w:color w:val="FFFFFF" w:themeColor="background1"/>
                                <w:sz w:val="22"/>
                                <w:lang w:val="pt-BR"/>
                              </w:rPr>
                            </w:pPr>
                            <w:r w:rsidRPr="008A3DD9">
                              <w:rPr>
                                <w:rFonts w:asciiTheme="minorHAnsi" w:hAnsiTheme="minorHAnsi"/>
                                <w:color w:val="FFFFFF" w:themeColor="background1"/>
                                <w:sz w:val="22"/>
                                <w:lang w:val="pt-BR"/>
                              </w:rPr>
                              <w:t xml:space="preserve">Doc. </w:t>
                            </w:r>
                            <w:r w:rsidR="008A3DD9">
                              <w:rPr>
                                <w:rFonts w:asciiTheme="minorHAnsi" w:hAnsiTheme="minorHAnsi"/>
                                <w:color w:val="FFFFFF" w:themeColor="background1"/>
                                <w:sz w:val="22"/>
                                <w:lang w:val="pt-BR"/>
                              </w:rPr>
                              <w:t>152</w:t>
                            </w:r>
                          </w:p>
                          <w:p w14:paraId="4877A63C" w14:textId="32BCD29E" w:rsidR="00867D4C" w:rsidRPr="008A3DD9" w:rsidRDefault="008A3DD9"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8 mayo</w:t>
                            </w:r>
                            <w:r w:rsidR="00867D4C" w:rsidRPr="008A3DD9">
                              <w:rPr>
                                <w:rFonts w:asciiTheme="minorHAnsi" w:hAnsiTheme="minorHAnsi"/>
                                <w:color w:val="FFFFFF" w:themeColor="background1"/>
                                <w:sz w:val="22"/>
                                <w:lang w:val="es-PA"/>
                              </w:rPr>
                              <w:t xml:space="preserve"> 2020</w:t>
                            </w:r>
                          </w:p>
                          <w:p w14:paraId="31313393" w14:textId="77777777" w:rsidR="00867D4C" w:rsidRPr="00C25ADB" w:rsidRDefault="00867D4C" w:rsidP="007A5817">
                            <w:pPr>
                              <w:spacing w:line="276" w:lineRule="auto"/>
                              <w:jc w:val="right"/>
                              <w:rPr>
                                <w:rFonts w:asciiTheme="minorHAnsi" w:hAnsiTheme="minorHAnsi"/>
                                <w:color w:val="FFFFFF" w:themeColor="background1"/>
                                <w:sz w:val="22"/>
                                <w:lang w:val="es-PA"/>
                              </w:rPr>
                            </w:pPr>
                            <w:r w:rsidRPr="008A3DD9">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FA902C3"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1E6B3AFB" w14:textId="4DDBA477" w:rsidR="00867D4C" w:rsidRPr="008A3DD9" w:rsidRDefault="00867D4C" w:rsidP="007A5817">
                      <w:pPr>
                        <w:spacing w:line="276" w:lineRule="auto"/>
                        <w:jc w:val="right"/>
                        <w:rPr>
                          <w:rFonts w:asciiTheme="minorHAnsi" w:hAnsiTheme="minorHAnsi"/>
                          <w:color w:val="FFFFFF" w:themeColor="background1"/>
                          <w:sz w:val="22"/>
                          <w:lang w:val="pt-BR"/>
                        </w:rPr>
                      </w:pPr>
                      <w:r w:rsidRPr="008A3DD9">
                        <w:rPr>
                          <w:rFonts w:asciiTheme="minorHAnsi" w:hAnsiTheme="minorHAnsi"/>
                          <w:color w:val="FFFFFF" w:themeColor="background1"/>
                          <w:sz w:val="22"/>
                          <w:lang w:val="pt-BR"/>
                        </w:rPr>
                        <w:t>OEA/Ser.L/V/II.</w:t>
                      </w:r>
                    </w:p>
                    <w:p w14:paraId="12C2710C" w14:textId="64842696" w:rsidR="00867D4C" w:rsidRPr="008A3DD9" w:rsidRDefault="00867D4C" w:rsidP="007A5817">
                      <w:pPr>
                        <w:spacing w:line="276" w:lineRule="auto"/>
                        <w:jc w:val="right"/>
                        <w:rPr>
                          <w:rFonts w:asciiTheme="minorHAnsi" w:hAnsiTheme="minorHAnsi"/>
                          <w:color w:val="FFFFFF" w:themeColor="background1"/>
                          <w:sz w:val="22"/>
                          <w:lang w:val="pt-BR"/>
                        </w:rPr>
                      </w:pPr>
                      <w:r w:rsidRPr="008A3DD9">
                        <w:rPr>
                          <w:rFonts w:asciiTheme="minorHAnsi" w:hAnsiTheme="minorHAnsi"/>
                          <w:color w:val="FFFFFF" w:themeColor="background1"/>
                          <w:sz w:val="22"/>
                          <w:lang w:val="pt-BR"/>
                        </w:rPr>
                        <w:t xml:space="preserve">Doc. </w:t>
                      </w:r>
                      <w:r w:rsidR="008A3DD9">
                        <w:rPr>
                          <w:rFonts w:asciiTheme="minorHAnsi" w:hAnsiTheme="minorHAnsi"/>
                          <w:color w:val="FFFFFF" w:themeColor="background1"/>
                          <w:sz w:val="22"/>
                          <w:lang w:val="pt-BR"/>
                        </w:rPr>
                        <w:t>152</w:t>
                      </w:r>
                    </w:p>
                    <w:p w14:paraId="4877A63C" w14:textId="32BCD29E" w:rsidR="00867D4C" w:rsidRPr="008A3DD9" w:rsidRDefault="008A3DD9"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8 mayo</w:t>
                      </w:r>
                      <w:r w:rsidR="00867D4C" w:rsidRPr="008A3DD9">
                        <w:rPr>
                          <w:rFonts w:asciiTheme="minorHAnsi" w:hAnsiTheme="minorHAnsi"/>
                          <w:color w:val="FFFFFF" w:themeColor="background1"/>
                          <w:sz w:val="22"/>
                          <w:lang w:val="es-PA"/>
                        </w:rPr>
                        <w:t xml:space="preserve"> 2020</w:t>
                      </w:r>
                    </w:p>
                    <w:p w14:paraId="31313393" w14:textId="77777777" w:rsidR="00867D4C" w:rsidRPr="00C25ADB" w:rsidRDefault="00867D4C" w:rsidP="007A5817">
                      <w:pPr>
                        <w:spacing w:line="276" w:lineRule="auto"/>
                        <w:jc w:val="right"/>
                        <w:rPr>
                          <w:rFonts w:asciiTheme="minorHAnsi" w:hAnsiTheme="minorHAnsi"/>
                          <w:color w:val="FFFFFF" w:themeColor="background1"/>
                          <w:sz w:val="22"/>
                          <w:lang w:val="es-PA"/>
                        </w:rPr>
                      </w:pPr>
                      <w:r w:rsidRPr="008A3DD9">
                        <w:rPr>
                          <w:rFonts w:asciiTheme="minorHAnsi" w:hAnsiTheme="minorHAnsi"/>
                          <w:color w:val="FFFFFF" w:themeColor="background1"/>
                          <w:sz w:val="22"/>
                          <w:lang w:val="es-PA"/>
                        </w:rPr>
                        <w:t>Original: español</w:t>
                      </w:r>
                    </w:p>
                  </w:txbxContent>
                </v:textbox>
              </v:shape>
            </w:pict>
          </mc:Fallback>
        </mc:AlternateContent>
      </w:r>
    </w:p>
    <w:p w14:paraId="4394A2DA" w14:textId="77777777" w:rsidR="00040C3A" w:rsidRPr="00A53B9D" w:rsidRDefault="00040C3A" w:rsidP="00040C3A">
      <w:pPr>
        <w:tabs>
          <w:tab w:val="center" w:pos="5400"/>
        </w:tabs>
        <w:suppressAutoHyphens/>
        <w:jc w:val="center"/>
        <w:rPr>
          <w:rFonts w:asciiTheme="majorHAnsi" w:hAnsiTheme="majorHAnsi"/>
          <w:sz w:val="20"/>
          <w:szCs w:val="20"/>
          <w:lang w:val="es-ES"/>
        </w:rPr>
      </w:pPr>
    </w:p>
    <w:p w14:paraId="38385538" w14:textId="77777777" w:rsidR="00040C3A" w:rsidRPr="00A53B9D" w:rsidRDefault="00040C3A" w:rsidP="00040C3A">
      <w:pPr>
        <w:tabs>
          <w:tab w:val="center" w:pos="5400"/>
        </w:tabs>
        <w:suppressAutoHyphens/>
        <w:jc w:val="center"/>
        <w:rPr>
          <w:rFonts w:asciiTheme="majorHAnsi" w:hAnsiTheme="majorHAnsi"/>
          <w:sz w:val="20"/>
          <w:szCs w:val="20"/>
          <w:lang w:val="es-ES"/>
        </w:rPr>
      </w:pPr>
    </w:p>
    <w:p w14:paraId="642A1EE2" w14:textId="77777777" w:rsidR="00040C3A" w:rsidRPr="00A53B9D" w:rsidRDefault="00040C3A" w:rsidP="00040C3A">
      <w:pPr>
        <w:tabs>
          <w:tab w:val="center" w:pos="5400"/>
        </w:tabs>
        <w:suppressAutoHyphens/>
        <w:jc w:val="center"/>
        <w:rPr>
          <w:rFonts w:asciiTheme="majorHAnsi" w:hAnsiTheme="majorHAnsi" w:cs="Arial"/>
          <w:sz w:val="20"/>
          <w:szCs w:val="20"/>
          <w:lang w:val="es-ES"/>
        </w:rPr>
      </w:pPr>
    </w:p>
    <w:p w14:paraId="3EEFA044" w14:textId="77777777" w:rsidR="00040C3A" w:rsidRPr="00A53B9D" w:rsidRDefault="00040C3A" w:rsidP="00040C3A">
      <w:pPr>
        <w:tabs>
          <w:tab w:val="center" w:pos="5400"/>
        </w:tabs>
        <w:suppressAutoHyphens/>
        <w:jc w:val="center"/>
        <w:rPr>
          <w:rFonts w:asciiTheme="majorHAnsi" w:hAnsiTheme="majorHAnsi"/>
          <w:sz w:val="20"/>
          <w:szCs w:val="20"/>
          <w:lang w:val="es-ES"/>
        </w:rPr>
      </w:pPr>
    </w:p>
    <w:p w14:paraId="09E41438" w14:textId="77777777" w:rsidR="00040C3A" w:rsidRPr="00A53B9D" w:rsidRDefault="00040C3A" w:rsidP="00040C3A">
      <w:pPr>
        <w:tabs>
          <w:tab w:val="center" w:pos="5400"/>
        </w:tabs>
        <w:suppressAutoHyphens/>
        <w:jc w:val="center"/>
        <w:rPr>
          <w:rFonts w:asciiTheme="majorHAnsi" w:hAnsiTheme="majorHAnsi"/>
          <w:sz w:val="20"/>
          <w:szCs w:val="20"/>
          <w:lang w:val="es-ES"/>
        </w:rPr>
      </w:pPr>
    </w:p>
    <w:p w14:paraId="0DE84EB6" w14:textId="77777777" w:rsidR="00040C3A" w:rsidRPr="00A53B9D" w:rsidRDefault="00040C3A" w:rsidP="00040C3A">
      <w:pPr>
        <w:tabs>
          <w:tab w:val="center" w:pos="5400"/>
        </w:tabs>
        <w:suppressAutoHyphens/>
        <w:jc w:val="center"/>
        <w:rPr>
          <w:rFonts w:asciiTheme="majorHAnsi" w:hAnsiTheme="majorHAnsi"/>
          <w:sz w:val="20"/>
          <w:szCs w:val="20"/>
          <w:lang w:val="es-ES"/>
        </w:rPr>
      </w:pPr>
    </w:p>
    <w:p w14:paraId="24204F98" w14:textId="77777777" w:rsidR="00040C3A" w:rsidRPr="00A53B9D" w:rsidRDefault="00040C3A" w:rsidP="00040C3A">
      <w:pPr>
        <w:tabs>
          <w:tab w:val="center" w:pos="5400"/>
        </w:tabs>
        <w:suppressAutoHyphens/>
        <w:jc w:val="center"/>
        <w:rPr>
          <w:rFonts w:asciiTheme="majorHAnsi" w:hAnsiTheme="majorHAnsi"/>
          <w:sz w:val="20"/>
          <w:szCs w:val="20"/>
          <w:lang w:val="es-ES"/>
        </w:rPr>
      </w:pPr>
    </w:p>
    <w:p w14:paraId="069A4BE5" w14:textId="77777777" w:rsidR="005128E4" w:rsidRPr="00A53B9D" w:rsidRDefault="005128E4" w:rsidP="00040C3A">
      <w:pPr>
        <w:tabs>
          <w:tab w:val="center" w:pos="5400"/>
        </w:tabs>
        <w:suppressAutoHyphens/>
        <w:jc w:val="center"/>
        <w:rPr>
          <w:rFonts w:asciiTheme="majorHAnsi" w:hAnsiTheme="majorHAnsi"/>
          <w:sz w:val="20"/>
          <w:szCs w:val="20"/>
          <w:lang w:val="es-ES"/>
        </w:rPr>
      </w:pPr>
    </w:p>
    <w:p w14:paraId="685E4337" w14:textId="77777777" w:rsidR="00040C3A" w:rsidRPr="00A53B9D" w:rsidRDefault="00040C3A" w:rsidP="00040C3A">
      <w:pPr>
        <w:tabs>
          <w:tab w:val="center" w:pos="5400"/>
        </w:tabs>
        <w:suppressAutoHyphens/>
        <w:jc w:val="center"/>
        <w:rPr>
          <w:rFonts w:asciiTheme="majorHAnsi" w:hAnsiTheme="majorHAnsi"/>
          <w:sz w:val="20"/>
          <w:szCs w:val="20"/>
          <w:lang w:val="es-ES"/>
        </w:rPr>
      </w:pPr>
    </w:p>
    <w:p w14:paraId="03458993" w14:textId="77777777" w:rsidR="005128E4" w:rsidRPr="00A53B9D" w:rsidRDefault="005128E4" w:rsidP="00040C3A">
      <w:pPr>
        <w:tabs>
          <w:tab w:val="center" w:pos="5400"/>
        </w:tabs>
        <w:suppressAutoHyphens/>
        <w:jc w:val="center"/>
        <w:rPr>
          <w:rFonts w:asciiTheme="majorHAnsi" w:hAnsiTheme="majorHAnsi"/>
          <w:sz w:val="20"/>
          <w:szCs w:val="20"/>
          <w:lang w:val="es-ES"/>
        </w:rPr>
      </w:pPr>
    </w:p>
    <w:p w14:paraId="1DBB71CB" w14:textId="77777777" w:rsidR="005128E4" w:rsidRPr="00A53B9D" w:rsidRDefault="005128E4" w:rsidP="00040C3A">
      <w:pPr>
        <w:tabs>
          <w:tab w:val="center" w:pos="5400"/>
        </w:tabs>
        <w:suppressAutoHyphens/>
        <w:jc w:val="center"/>
        <w:rPr>
          <w:rFonts w:asciiTheme="majorHAnsi" w:hAnsiTheme="majorHAnsi"/>
          <w:sz w:val="20"/>
          <w:szCs w:val="20"/>
          <w:lang w:val="es-ES"/>
        </w:rPr>
      </w:pPr>
    </w:p>
    <w:p w14:paraId="3B0944BA" w14:textId="77777777" w:rsidR="005128E4" w:rsidRPr="00A53B9D" w:rsidRDefault="005128E4" w:rsidP="00040C3A">
      <w:pPr>
        <w:tabs>
          <w:tab w:val="center" w:pos="5400"/>
        </w:tabs>
        <w:suppressAutoHyphens/>
        <w:jc w:val="center"/>
        <w:rPr>
          <w:rFonts w:asciiTheme="majorHAnsi" w:hAnsiTheme="majorHAnsi"/>
          <w:sz w:val="20"/>
          <w:szCs w:val="20"/>
          <w:lang w:val="es-ES"/>
        </w:rPr>
      </w:pPr>
    </w:p>
    <w:p w14:paraId="6D9E6517" w14:textId="77777777" w:rsidR="00040C3A" w:rsidRPr="00A53B9D" w:rsidRDefault="00040C3A" w:rsidP="00040C3A">
      <w:pPr>
        <w:tabs>
          <w:tab w:val="center" w:pos="5400"/>
        </w:tabs>
        <w:suppressAutoHyphens/>
        <w:jc w:val="center"/>
        <w:rPr>
          <w:rFonts w:asciiTheme="majorHAnsi" w:hAnsiTheme="majorHAnsi"/>
          <w:sz w:val="20"/>
          <w:szCs w:val="20"/>
          <w:lang w:val="es-ES"/>
        </w:rPr>
      </w:pPr>
    </w:p>
    <w:p w14:paraId="7099152B" w14:textId="77777777" w:rsidR="00040C3A" w:rsidRPr="00A53B9D" w:rsidRDefault="00040C3A" w:rsidP="00040C3A">
      <w:pPr>
        <w:tabs>
          <w:tab w:val="center" w:pos="5400"/>
        </w:tabs>
        <w:suppressAutoHyphens/>
        <w:jc w:val="center"/>
        <w:rPr>
          <w:rFonts w:asciiTheme="majorHAnsi" w:hAnsiTheme="majorHAnsi"/>
          <w:sz w:val="20"/>
          <w:szCs w:val="20"/>
          <w:lang w:val="es-ES"/>
        </w:rPr>
      </w:pPr>
    </w:p>
    <w:p w14:paraId="3BCE0F87" w14:textId="77777777" w:rsidR="00A50FCF" w:rsidRPr="00A53B9D" w:rsidRDefault="00A50FCF" w:rsidP="00040C3A">
      <w:pPr>
        <w:tabs>
          <w:tab w:val="center" w:pos="5400"/>
        </w:tabs>
        <w:suppressAutoHyphens/>
        <w:jc w:val="center"/>
        <w:rPr>
          <w:rFonts w:asciiTheme="majorHAnsi" w:hAnsiTheme="majorHAnsi"/>
          <w:sz w:val="20"/>
          <w:szCs w:val="20"/>
          <w:lang w:val="es-ES"/>
        </w:rPr>
      </w:pPr>
    </w:p>
    <w:p w14:paraId="6B368016" w14:textId="77777777" w:rsidR="00A50FCF" w:rsidRPr="00A53B9D" w:rsidRDefault="00A50FCF" w:rsidP="00040C3A">
      <w:pPr>
        <w:tabs>
          <w:tab w:val="center" w:pos="5400"/>
        </w:tabs>
        <w:suppressAutoHyphens/>
        <w:jc w:val="center"/>
        <w:rPr>
          <w:rFonts w:asciiTheme="majorHAnsi" w:hAnsiTheme="majorHAnsi"/>
          <w:sz w:val="20"/>
          <w:szCs w:val="20"/>
          <w:lang w:val="es-ES"/>
        </w:rPr>
      </w:pPr>
    </w:p>
    <w:p w14:paraId="24DCC83A" w14:textId="77777777" w:rsidR="00A50FCF" w:rsidRPr="00A53B9D" w:rsidRDefault="00A50FCF" w:rsidP="00040C3A">
      <w:pPr>
        <w:tabs>
          <w:tab w:val="center" w:pos="5400"/>
        </w:tabs>
        <w:suppressAutoHyphens/>
        <w:jc w:val="center"/>
        <w:rPr>
          <w:rFonts w:asciiTheme="majorHAnsi" w:hAnsiTheme="majorHAnsi"/>
          <w:sz w:val="20"/>
          <w:szCs w:val="20"/>
          <w:lang w:val="es-ES"/>
        </w:rPr>
      </w:pPr>
    </w:p>
    <w:p w14:paraId="44FA12D7" w14:textId="77777777" w:rsidR="00A50FCF" w:rsidRPr="00A53B9D" w:rsidRDefault="00A50FCF" w:rsidP="00040C3A">
      <w:pPr>
        <w:tabs>
          <w:tab w:val="center" w:pos="5400"/>
        </w:tabs>
        <w:suppressAutoHyphens/>
        <w:jc w:val="center"/>
        <w:rPr>
          <w:rFonts w:asciiTheme="majorHAnsi" w:hAnsiTheme="majorHAnsi"/>
          <w:sz w:val="20"/>
          <w:szCs w:val="20"/>
          <w:lang w:val="es-ES"/>
        </w:rPr>
      </w:pPr>
    </w:p>
    <w:p w14:paraId="48B19DAB" w14:textId="77777777" w:rsidR="00A50FCF" w:rsidRPr="00A53B9D" w:rsidRDefault="00A50FCF" w:rsidP="00040C3A">
      <w:pPr>
        <w:tabs>
          <w:tab w:val="center" w:pos="5400"/>
        </w:tabs>
        <w:suppressAutoHyphens/>
        <w:jc w:val="center"/>
        <w:rPr>
          <w:rFonts w:asciiTheme="majorHAnsi" w:hAnsiTheme="majorHAnsi"/>
          <w:sz w:val="20"/>
          <w:szCs w:val="20"/>
          <w:lang w:val="es-ES"/>
        </w:rPr>
      </w:pPr>
    </w:p>
    <w:p w14:paraId="60FA819C" w14:textId="77777777" w:rsidR="00A50FCF" w:rsidRPr="00A53B9D" w:rsidRDefault="00A50FCF" w:rsidP="00040C3A">
      <w:pPr>
        <w:tabs>
          <w:tab w:val="center" w:pos="5400"/>
        </w:tabs>
        <w:suppressAutoHyphens/>
        <w:jc w:val="center"/>
        <w:rPr>
          <w:rFonts w:asciiTheme="majorHAnsi" w:hAnsiTheme="majorHAnsi"/>
          <w:sz w:val="20"/>
          <w:szCs w:val="20"/>
          <w:lang w:val="es-ES"/>
        </w:rPr>
      </w:pPr>
    </w:p>
    <w:p w14:paraId="054B2B5F" w14:textId="47B64D70" w:rsidR="00A50FCF" w:rsidRPr="00A53B9D" w:rsidRDefault="00FA4816" w:rsidP="00FA4816">
      <w:pPr>
        <w:tabs>
          <w:tab w:val="left" w:pos="3990"/>
          <w:tab w:val="center" w:pos="5400"/>
        </w:tabs>
        <w:suppressAutoHyphens/>
        <w:rPr>
          <w:rFonts w:asciiTheme="majorHAnsi" w:hAnsiTheme="majorHAnsi"/>
          <w:sz w:val="20"/>
          <w:szCs w:val="20"/>
          <w:lang w:val="es-ES"/>
        </w:rPr>
      </w:pPr>
      <w:r w:rsidRPr="00A53B9D">
        <w:rPr>
          <w:rFonts w:asciiTheme="majorHAnsi" w:hAnsiTheme="majorHAnsi"/>
          <w:sz w:val="20"/>
          <w:szCs w:val="20"/>
          <w:lang w:val="es-ES"/>
        </w:rPr>
        <w:tab/>
      </w:r>
    </w:p>
    <w:p w14:paraId="2FCB8BFE" w14:textId="77777777" w:rsidR="00A50FCF" w:rsidRPr="00A53B9D" w:rsidRDefault="00A50FCF" w:rsidP="00040C3A">
      <w:pPr>
        <w:tabs>
          <w:tab w:val="center" w:pos="5400"/>
        </w:tabs>
        <w:suppressAutoHyphens/>
        <w:jc w:val="center"/>
        <w:rPr>
          <w:rFonts w:asciiTheme="majorHAnsi" w:hAnsiTheme="majorHAnsi"/>
          <w:sz w:val="20"/>
          <w:szCs w:val="20"/>
          <w:lang w:val="es-ES"/>
        </w:rPr>
      </w:pPr>
    </w:p>
    <w:p w14:paraId="2EC656C2" w14:textId="77777777" w:rsidR="00A50FCF" w:rsidRPr="00A53B9D" w:rsidRDefault="00A50FCF" w:rsidP="00040C3A">
      <w:pPr>
        <w:tabs>
          <w:tab w:val="center" w:pos="5400"/>
        </w:tabs>
        <w:suppressAutoHyphens/>
        <w:jc w:val="center"/>
        <w:rPr>
          <w:rFonts w:asciiTheme="majorHAnsi" w:hAnsiTheme="majorHAnsi"/>
          <w:sz w:val="20"/>
          <w:szCs w:val="20"/>
          <w:lang w:val="es-ES"/>
        </w:rPr>
      </w:pPr>
    </w:p>
    <w:p w14:paraId="09FB0EE5" w14:textId="77777777" w:rsidR="00A50FCF" w:rsidRPr="00A53B9D" w:rsidRDefault="00A50FCF" w:rsidP="00040C3A">
      <w:pPr>
        <w:tabs>
          <w:tab w:val="center" w:pos="5400"/>
        </w:tabs>
        <w:suppressAutoHyphens/>
        <w:jc w:val="center"/>
        <w:rPr>
          <w:rFonts w:asciiTheme="majorHAnsi" w:hAnsiTheme="majorHAnsi"/>
          <w:sz w:val="20"/>
          <w:szCs w:val="20"/>
          <w:lang w:val="es-ES"/>
        </w:rPr>
      </w:pPr>
    </w:p>
    <w:p w14:paraId="7F77266D" w14:textId="77777777" w:rsidR="00A50FCF" w:rsidRPr="00A53B9D" w:rsidRDefault="00A50FCF" w:rsidP="00040C3A">
      <w:pPr>
        <w:tabs>
          <w:tab w:val="center" w:pos="5400"/>
        </w:tabs>
        <w:suppressAutoHyphens/>
        <w:jc w:val="center"/>
        <w:rPr>
          <w:rFonts w:asciiTheme="majorHAnsi" w:hAnsiTheme="majorHAnsi"/>
          <w:sz w:val="20"/>
          <w:szCs w:val="20"/>
          <w:lang w:val="es-ES"/>
        </w:rPr>
      </w:pPr>
    </w:p>
    <w:p w14:paraId="190A2F7E" w14:textId="77777777" w:rsidR="00A50FCF" w:rsidRPr="00A53B9D" w:rsidRDefault="00A50FCF" w:rsidP="00040C3A">
      <w:pPr>
        <w:tabs>
          <w:tab w:val="center" w:pos="5400"/>
        </w:tabs>
        <w:suppressAutoHyphens/>
        <w:jc w:val="center"/>
        <w:rPr>
          <w:rFonts w:asciiTheme="majorHAnsi" w:hAnsiTheme="majorHAnsi"/>
          <w:sz w:val="20"/>
          <w:szCs w:val="20"/>
          <w:lang w:val="es-ES"/>
        </w:rPr>
      </w:pPr>
    </w:p>
    <w:p w14:paraId="36CCAD0C" w14:textId="77777777" w:rsidR="00A50FCF" w:rsidRPr="00A53B9D" w:rsidRDefault="00A50FCF" w:rsidP="00040C3A">
      <w:pPr>
        <w:tabs>
          <w:tab w:val="center" w:pos="5400"/>
        </w:tabs>
        <w:suppressAutoHyphens/>
        <w:jc w:val="center"/>
        <w:rPr>
          <w:rFonts w:asciiTheme="majorHAnsi" w:hAnsiTheme="majorHAnsi"/>
          <w:sz w:val="20"/>
          <w:szCs w:val="20"/>
          <w:lang w:val="es-ES"/>
        </w:rPr>
      </w:pPr>
    </w:p>
    <w:p w14:paraId="651768A5" w14:textId="77777777" w:rsidR="00A50FCF" w:rsidRPr="00A53B9D" w:rsidRDefault="00A50FCF" w:rsidP="00040C3A">
      <w:pPr>
        <w:tabs>
          <w:tab w:val="center" w:pos="5400"/>
        </w:tabs>
        <w:suppressAutoHyphens/>
        <w:jc w:val="center"/>
        <w:rPr>
          <w:rFonts w:asciiTheme="majorHAnsi" w:hAnsiTheme="majorHAnsi"/>
          <w:sz w:val="20"/>
          <w:szCs w:val="20"/>
          <w:lang w:val="es-ES"/>
        </w:rPr>
      </w:pPr>
    </w:p>
    <w:p w14:paraId="4E166020" w14:textId="77777777" w:rsidR="00A50FCF" w:rsidRPr="00A53B9D" w:rsidRDefault="0090270B" w:rsidP="00040C3A">
      <w:pPr>
        <w:tabs>
          <w:tab w:val="center" w:pos="5400"/>
        </w:tabs>
        <w:suppressAutoHyphens/>
        <w:jc w:val="center"/>
        <w:rPr>
          <w:rFonts w:asciiTheme="majorHAnsi" w:hAnsiTheme="majorHAnsi"/>
          <w:sz w:val="20"/>
          <w:szCs w:val="20"/>
          <w:lang w:val="es-ES"/>
        </w:rPr>
      </w:pPr>
      <w:r w:rsidRPr="00A53B9D">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0AA96578" wp14:editId="1FA66850">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559580" w14:textId="7DE56664" w:rsidR="00867D4C" w:rsidRPr="00890650" w:rsidRDefault="00867D4C"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w:t>
                            </w:r>
                            <w:r w:rsidR="008A3DD9">
                              <w:rPr>
                                <w:rFonts w:asciiTheme="majorHAnsi" w:hAnsiTheme="majorHAnsi"/>
                                <w:color w:val="0D0D0D" w:themeColor="text1" w:themeTint="F2"/>
                                <w:sz w:val="18"/>
                                <w:szCs w:val="22"/>
                                <w:lang w:val="es-ES"/>
                              </w:rPr>
                              <w:t xml:space="preserve"> 8 de mayo de</w:t>
                            </w:r>
                            <w:r w:rsidRPr="00890650">
                              <w:rPr>
                                <w:rFonts w:asciiTheme="majorHAnsi" w:hAnsiTheme="majorHAnsi"/>
                                <w:color w:val="0D0D0D" w:themeColor="text1" w:themeTint="F2"/>
                                <w:sz w:val="18"/>
                                <w:szCs w:val="22"/>
                                <w:lang w:val="es-ES"/>
                              </w:rPr>
                              <w:t xml:space="preserve"> 20</w:t>
                            </w:r>
                            <w:r>
                              <w:rPr>
                                <w:rFonts w:asciiTheme="majorHAnsi" w:hAnsiTheme="majorHAnsi"/>
                                <w:color w:val="0D0D0D" w:themeColor="text1" w:themeTint="F2"/>
                                <w:sz w:val="18"/>
                                <w:szCs w:val="22"/>
                                <w:lang w:val="es-ES"/>
                              </w:rPr>
                              <w:t>20</w:t>
                            </w:r>
                            <w:r w:rsidR="00D8151F">
                              <w:rPr>
                                <w:rFonts w:asciiTheme="majorHAnsi" w:hAnsiTheme="majorHAnsi"/>
                                <w:color w:val="0D0D0D" w:themeColor="text1" w:themeTint="F2"/>
                                <w:sz w:val="18"/>
                                <w:szCs w:val="22"/>
                                <w:lang w:val="es-ES"/>
                              </w:rPr>
                              <w:t>.</w:t>
                            </w:r>
                          </w:p>
                          <w:p w14:paraId="2E551868" w14:textId="77777777" w:rsidR="00867D4C" w:rsidRPr="007A5817" w:rsidRDefault="00867D4C"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961D82" w14:textId="77777777" w:rsidR="00867D4C" w:rsidRPr="00167A34" w:rsidRDefault="00867D4C"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A96578"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40559580" w14:textId="7DE56664" w:rsidR="00867D4C" w:rsidRPr="00890650" w:rsidRDefault="00867D4C"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w:t>
                      </w:r>
                      <w:r w:rsidR="008A3DD9">
                        <w:rPr>
                          <w:rFonts w:asciiTheme="majorHAnsi" w:hAnsiTheme="majorHAnsi"/>
                          <w:color w:val="0D0D0D" w:themeColor="text1" w:themeTint="F2"/>
                          <w:sz w:val="18"/>
                          <w:szCs w:val="22"/>
                          <w:lang w:val="es-ES"/>
                        </w:rPr>
                        <w:t xml:space="preserve"> 8 de mayo de</w:t>
                      </w:r>
                      <w:r w:rsidRPr="00890650">
                        <w:rPr>
                          <w:rFonts w:asciiTheme="majorHAnsi" w:hAnsiTheme="majorHAnsi"/>
                          <w:color w:val="0D0D0D" w:themeColor="text1" w:themeTint="F2"/>
                          <w:sz w:val="18"/>
                          <w:szCs w:val="22"/>
                          <w:lang w:val="es-ES"/>
                        </w:rPr>
                        <w:t xml:space="preserve"> 20</w:t>
                      </w:r>
                      <w:r>
                        <w:rPr>
                          <w:rFonts w:asciiTheme="majorHAnsi" w:hAnsiTheme="majorHAnsi"/>
                          <w:color w:val="0D0D0D" w:themeColor="text1" w:themeTint="F2"/>
                          <w:sz w:val="18"/>
                          <w:szCs w:val="22"/>
                          <w:lang w:val="es-ES"/>
                        </w:rPr>
                        <w:t>20</w:t>
                      </w:r>
                      <w:r w:rsidR="00D8151F">
                        <w:rPr>
                          <w:rFonts w:asciiTheme="majorHAnsi" w:hAnsiTheme="majorHAnsi"/>
                          <w:color w:val="0D0D0D" w:themeColor="text1" w:themeTint="F2"/>
                          <w:sz w:val="18"/>
                          <w:szCs w:val="22"/>
                          <w:lang w:val="es-ES"/>
                        </w:rPr>
                        <w:t>.</w:t>
                      </w:r>
                    </w:p>
                    <w:p w14:paraId="2E551868" w14:textId="77777777" w:rsidR="00867D4C" w:rsidRPr="007A5817" w:rsidRDefault="00867D4C"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961D82" w14:textId="77777777" w:rsidR="00867D4C" w:rsidRPr="00167A34" w:rsidRDefault="00867D4C"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4B7291D4" w14:textId="77777777" w:rsidR="00A50FCF" w:rsidRPr="00A53B9D" w:rsidRDefault="00A50FCF" w:rsidP="00040C3A">
      <w:pPr>
        <w:tabs>
          <w:tab w:val="center" w:pos="5400"/>
        </w:tabs>
        <w:suppressAutoHyphens/>
        <w:jc w:val="center"/>
        <w:rPr>
          <w:rFonts w:asciiTheme="majorHAnsi" w:hAnsiTheme="majorHAnsi"/>
          <w:sz w:val="20"/>
          <w:szCs w:val="20"/>
          <w:lang w:val="es-ES"/>
        </w:rPr>
      </w:pPr>
    </w:p>
    <w:p w14:paraId="05514291" w14:textId="77777777" w:rsidR="00A50FCF" w:rsidRPr="00A53B9D" w:rsidRDefault="00A50FCF" w:rsidP="00040C3A">
      <w:pPr>
        <w:tabs>
          <w:tab w:val="center" w:pos="5400"/>
        </w:tabs>
        <w:suppressAutoHyphens/>
        <w:jc w:val="center"/>
        <w:rPr>
          <w:rFonts w:asciiTheme="majorHAnsi" w:hAnsiTheme="majorHAnsi"/>
          <w:sz w:val="20"/>
          <w:szCs w:val="20"/>
          <w:lang w:val="es-ES"/>
        </w:rPr>
      </w:pPr>
    </w:p>
    <w:p w14:paraId="19737245" w14:textId="77777777" w:rsidR="00A50FCF" w:rsidRPr="00A53B9D" w:rsidRDefault="00A50FCF" w:rsidP="00040C3A">
      <w:pPr>
        <w:tabs>
          <w:tab w:val="center" w:pos="5400"/>
        </w:tabs>
        <w:suppressAutoHyphens/>
        <w:jc w:val="center"/>
        <w:rPr>
          <w:rFonts w:asciiTheme="majorHAnsi" w:hAnsiTheme="majorHAnsi"/>
          <w:sz w:val="20"/>
          <w:szCs w:val="20"/>
          <w:lang w:val="es-ES"/>
        </w:rPr>
      </w:pPr>
    </w:p>
    <w:p w14:paraId="7CF38061" w14:textId="77777777" w:rsidR="00A50FCF" w:rsidRPr="00A53B9D" w:rsidRDefault="00A50FCF" w:rsidP="00040C3A">
      <w:pPr>
        <w:tabs>
          <w:tab w:val="center" w:pos="5400"/>
        </w:tabs>
        <w:suppressAutoHyphens/>
        <w:jc w:val="center"/>
        <w:rPr>
          <w:rFonts w:asciiTheme="majorHAnsi" w:hAnsiTheme="majorHAnsi"/>
          <w:sz w:val="20"/>
          <w:szCs w:val="20"/>
          <w:lang w:val="es-ES"/>
        </w:rPr>
      </w:pPr>
    </w:p>
    <w:p w14:paraId="2490F5BD" w14:textId="77777777" w:rsidR="00A50FCF" w:rsidRPr="00A53B9D" w:rsidRDefault="0090270B" w:rsidP="00040C3A">
      <w:pPr>
        <w:tabs>
          <w:tab w:val="center" w:pos="5400"/>
        </w:tabs>
        <w:suppressAutoHyphens/>
        <w:jc w:val="center"/>
        <w:rPr>
          <w:rFonts w:asciiTheme="majorHAnsi" w:hAnsiTheme="majorHAnsi"/>
          <w:sz w:val="20"/>
          <w:szCs w:val="20"/>
          <w:lang w:val="es-ES"/>
        </w:rPr>
      </w:pPr>
      <w:r w:rsidRPr="00A53B9D">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4DFC95FC" wp14:editId="6E12C4FA">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79347A" w14:textId="6C46295E" w:rsidR="00867D4C" w:rsidRPr="007B05C4" w:rsidRDefault="00867D4C"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sidR="008A3DD9">
                              <w:rPr>
                                <w:rFonts w:asciiTheme="majorHAnsi" w:hAnsiTheme="majorHAnsi"/>
                                <w:color w:val="595959" w:themeColor="text1" w:themeTint="A6"/>
                                <w:sz w:val="18"/>
                                <w:szCs w:val="18"/>
                                <w:lang w:val="pt-BR"/>
                              </w:rPr>
                              <w:t xml:space="preserve"> 142/20.</w:t>
                            </w:r>
                            <w:r w:rsidRPr="008A3DD9">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BD3EEE">
                              <w:rPr>
                                <w:rFonts w:asciiTheme="majorHAnsi" w:hAnsiTheme="majorHAnsi"/>
                                <w:color w:val="595959" w:themeColor="text1" w:themeTint="A6"/>
                                <w:sz w:val="18"/>
                                <w:szCs w:val="18"/>
                                <w:lang w:val="es-ES"/>
                              </w:rPr>
                              <w:t>537-10</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Pr>
                                <w:rFonts w:asciiTheme="majorHAnsi" w:hAnsiTheme="majorHAnsi"/>
                                <w:color w:val="595959" w:themeColor="text1" w:themeTint="A6"/>
                                <w:sz w:val="18"/>
                                <w:szCs w:val="18"/>
                                <w:lang w:val="es-ES_tradnl"/>
                              </w:rPr>
                              <w:t>Teresa Ortega La Rosa Vda. de Morán</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w:t>
                            </w:r>
                            <w:r w:rsidR="008A3DD9">
                              <w:rPr>
                                <w:rFonts w:asciiTheme="majorHAnsi" w:hAnsiTheme="majorHAnsi"/>
                                <w:color w:val="595959" w:themeColor="text1" w:themeTint="A6"/>
                                <w:sz w:val="18"/>
                                <w:szCs w:val="18"/>
                                <w:lang w:val="es-ES_tradnl"/>
                              </w:rPr>
                              <w:t xml:space="preserve"> 8 de mayo de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DFC95F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379347A" w14:textId="6C46295E" w:rsidR="00867D4C" w:rsidRPr="007B05C4" w:rsidRDefault="00867D4C"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sidR="008A3DD9">
                        <w:rPr>
                          <w:rFonts w:asciiTheme="majorHAnsi" w:hAnsiTheme="majorHAnsi"/>
                          <w:color w:val="595959" w:themeColor="text1" w:themeTint="A6"/>
                          <w:sz w:val="18"/>
                          <w:szCs w:val="18"/>
                          <w:lang w:val="pt-BR"/>
                        </w:rPr>
                        <w:t xml:space="preserve"> 142/20.</w:t>
                      </w:r>
                      <w:r w:rsidRPr="008A3DD9">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w:t>
                      </w:r>
                      <w:r w:rsidR="00BD3EEE">
                        <w:rPr>
                          <w:rFonts w:asciiTheme="majorHAnsi" w:hAnsiTheme="majorHAnsi"/>
                          <w:color w:val="595959" w:themeColor="text1" w:themeTint="A6"/>
                          <w:sz w:val="18"/>
                          <w:szCs w:val="18"/>
                          <w:lang w:val="es-ES"/>
                        </w:rPr>
                        <w:t>537-10</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bookmarkStart w:id="3" w:name="_GoBack"/>
                      <w:r>
                        <w:rPr>
                          <w:rFonts w:asciiTheme="majorHAnsi" w:hAnsiTheme="majorHAnsi"/>
                          <w:color w:val="595959" w:themeColor="text1" w:themeTint="A6"/>
                          <w:sz w:val="18"/>
                          <w:szCs w:val="18"/>
                          <w:lang w:val="es-ES_tradnl"/>
                        </w:rPr>
                        <w:t>Teresa Ortega La Rosa Vda. de Morán</w:t>
                      </w:r>
                      <w:bookmarkEnd w:id="3"/>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w:t>
                      </w:r>
                      <w:r w:rsidR="008A3DD9">
                        <w:rPr>
                          <w:rFonts w:asciiTheme="majorHAnsi" w:hAnsiTheme="majorHAnsi"/>
                          <w:color w:val="595959" w:themeColor="text1" w:themeTint="A6"/>
                          <w:sz w:val="18"/>
                          <w:szCs w:val="18"/>
                          <w:lang w:val="es-ES_tradnl"/>
                        </w:rPr>
                        <w:t xml:space="preserve"> 8 de mayo de 2020.</w:t>
                      </w:r>
                    </w:p>
                  </w:txbxContent>
                </v:textbox>
              </v:shape>
            </w:pict>
          </mc:Fallback>
        </mc:AlternateContent>
      </w:r>
    </w:p>
    <w:p w14:paraId="683007BC" w14:textId="77777777" w:rsidR="00A50FCF" w:rsidRPr="00A53B9D" w:rsidRDefault="00A50FCF" w:rsidP="00040C3A">
      <w:pPr>
        <w:tabs>
          <w:tab w:val="center" w:pos="5400"/>
        </w:tabs>
        <w:suppressAutoHyphens/>
        <w:jc w:val="center"/>
        <w:rPr>
          <w:rFonts w:asciiTheme="majorHAnsi" w:hAnsiTheme="majorHAnsi"/>
          <w:sz w:val="20"/>
          <w:szCs w:val="20"/>
          <w:lang w:val="es-ES"/>
        </w:rPr>
      </w:pPr>
    </w:p>
    <w:p w14:paraId="15A59A5B" w14:textId="77777777" w:rsidR="0090270B" w:rsidRPr="00A53B9D" w:rsidRDefault="00D306D1" w:rsidP="005516A1">
      <w:pPr>
        <w:tabs>
          <w:tab w:val="center" w:pos="5400"/>
        </w:tabs>
        <w:suppressAutoHyphens/>
        <w:jc w:val="center"/>
        <w:rPr>
          <w:rFonts w:asciiTheme="majorHAnsi" w:hAnsiTheme="majorHAnsi"/>
          <w:b/>
          <w:sz w:val="20"/>
          <w:szCs w:val="20"/>
          <w:lang w:val="es-ES"/>
        </w:rPr>
      </w:pPr>
      <w:r w:rsidRPr="00A53B9D">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611BA241" wp14:editId="7C2C8621">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6A0DB2" w14:textId="77777777" w:rsidR="00867D4C" w:rsidRPr="00D72DC6" w:rsidRDefault="00867D4C"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A5BC880" wp14:editId="6E27AF83">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 w14:anchorId="611BA241"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126A0DB2" w14:textId="77777777" w:rsidR="00867D4C" w:rsidRPr="00D72DC6" w:rsidRDefault="00867D4C"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A5BC880" wp14:editId="6E27AF83">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A53B9D">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53229D1E" wp14:editId="71F26EE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57C1EC" w14:textId="77777777" w:rsidR="00867D4C" w:rsidRPr="004B7EB6" w:rsidRDefault="00867D4C"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 w14:anchorId="53229D1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4557C1EC" w14:textId="77777777" w:rsidR="00867D4C" w:rsidRPr="004B7EB6" w:rsidRDefault="00867D4C"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0D1F4D7C" w14:textId="77777777" w:rsidR="0070697F" w:rsidRPr="00A53B9D" w:rsidRDefault="004A6A54" w:rsidP="005516A1">
      <w:pPr>
        <w:tabs>
          <w:tab w:val="center" w:pos="5400"/>
        </w:tabs>
        <w:suppressAutoHyphens/>
        <w:jc w:val="center"/>
        <w:rPr>
          <w:rFonts w:asciiTheme="majorHAnsi" w:hAnsiTheme="majorHAnsi"/>
          <w:b/>
          <w:sz w:val="20"/>
          <w:szCs w:val="20"/>
          <w:lang w:val="es-ES"/>
        </w:rPr>
        <w:sectPr w:rsidR="0070697F" w:rsidRPr="00A53B9D"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r w:rsidRPr="00A53B9D">
        <w:rPr>
          <w:rFonts w:asciiTheme="majorHAnsi" w:hAnsiTheme="majorHAnsi"/>
          <w:b/>
          <w:sz w:val="20"/>
          <w:szCs w:val="20"/>
          <w:lang w:val="es-ES"/>
        </w:rPr>
        <w:tab/>
      </w:r>
    </w:p>
    <w:p w14:paraId="04EC38E9" w14:textId="77777777" w:rsidR="003239B8" w:rsidRPr="00A53B9D" w:rsidRDefault="003239B8" w:rsidP="004A6A54">
      <w:pPr>
        <w:spacing w:after="240"/>
        <w:ind w:firstLine="720"/>
        <w:jc w:val="both"/>
        <w:rPr>
          <w:rFonts w:asciiTheme="majorHAnsi" w:hAnsiTheme="majorHAnsi"/>
          <w:b/>
          <w:bCs/>
          <w:sz w:val="20"/>
          <w:szCs w:val="20"/>
          <w:lang w:val="es-ES"/>
        </w:rPr>
      </w:pPr>
      <w:r w:rsidRPr="00A53B9D">
        <w:rPr>
          <w:rFonts w:asciiTheme="majorHAnsi" w:hAnsiTheme="majorHAnsi"/>
          <w:b/>
          <w:bCs/>
          <w:sz w:val="20"/>
          <w:szCs w:val="20"/>
          <w:lang w:val="es-ES"/>
        </w:rPr>
        <w:lastRenderedPageBreak/>
        <w:t>I.</w:t>
      </w:r>
      <w:r w:rsidRPr="00A53B9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D8151F" w14:paraId="50252C0C" w14:textId="77777777" w:rsidTr="004A6A54">
        <w:tc>
          <w:tcPr>
            <w:tcW w:w="3600" w:type="dxa"/>
            <w:tcBorders>
              <w:top w:val="single" w:sz="4" w:space="0" w:color="auto"/>
              <w:bottom w:val="single" w:sz="6" w:space="0" w:color="auto"/>
            </w:tcBorders>
            <w:shd w:val="clear" w:color="auto" w:fill="386294"/>
            <w:vAlign w:val="center"/>
          </w:tcPr>
          <w:p w14:paraId="754FF239" w14:textId="77777777" w:rsidR="003239B8" w:rsidRPr="00A53B9D" w:rsidRDefault="003239B8" w:rsidP="00867D4C">
            <w:pPr>
              <w:jc w:val="center"/>
              <w:rPr>
                <w:rFonts w:asciiTheme="majorHAnsi" w:hAnsiTheme="majorHAnsi"/>
                <w:b/>
                <w:bCs/>
                <w:color w:val="FFFFFF" w:themeColor="background1"/>
                <w:sz w:val="20"/>
                <w:szCs w:val="20"/>
                <w:lang w:val="es-ES"/>
              </w:rPr>
            </w:pPr>
            <w:r w:rsidRPr="00A53B9D">
              <w:rPr>
                <w:rFonts w:asciiTheme="majorHAnsi" w:hAnsiTheme="majorHAnsi"/>
                <w:b/>
                <w:bCs/>
                <w:color w:val="FFFFFF" w:themeColor="background1"/>
                <w:sz w:val="20"/>
                <w:szCs w:val="20"/>
                <w:lang w:val="es-ES"/>
              </w:rPr>
              <w:t>Parte peticionaria:</w:t>
            </w:r>
          </w:p>
        </w:tc>
        <w:tc>
          <w:tcPr>
            <w:tcW w:w="5760" w:type="dxa"/>
            <w:vAlign w:val="center"/>
          </w:tcPr>
          <w:p w14:paraId="170C5BA9" w14:textId="59763EA3" w:rsidR="003239B8" w:rsidRPr="00A53B9D" w:rsidRDefault="00B17CB8" w:rsidP="00867D4C">
            <w:pPr>
              <w:jc w:val="both"/>
              <w:rPr>
                <w:rFonts w:asciiTheme="majorHAnsi" w:hAnsiTheme="majorHAnsi"/>
                <w:bCs/>
                <w:sz w:val="20"/>
                <w:szCs w:val="20"/>
                <w:lang w:val="es-ES"/>
              </w:rPr>
            </w:pPr>
            <w:r w:rsidRPr="00A53B9D">
              <w:rPr>
                <w:rFonts w:asciiTheme="majorHAnsi" w:hAnsiTheme="majorHAnsi"/>
                <w:bCs/>
                <w:sz w:val="20"/>
                <w:szCs w:val="20"/>
                <w:lang w:val="es-ES"/>
              </w:rPr>
              <w:t>Teresa Ortega La Rosa Vda. de Morán</w:t>
            </w:r>
          </w:p>
        </w:tc>
      </w:tr>
      <w:tr w:rsidR="003239B8" w:rsidRPr="00D8151F" w14:paraId="2B069CFA" w14:textId="77777777" w:rsidTr="004A6A54">
        <w:tc>
          <w:tcPr>
            <w:tcW w:w="3600" w:type="dxa"/>
            <w:tcBorders>
              <w:top w:val="single" w:sz="6" w:space="0" w:color="auto"/>
              <w:bottom w:val="single" w:sz="6" w:space="0" w:color="auto"/>
            </w:tcBorders>
            <w:shd w:val="clear" w:color="auto" w:fill="386294"/>
            <w:vAlign w:val="center"/>
          </w:tcPr>
          <w:p w14:paraId="3D17B767" w14:textId="77777777" w:rsidR="003239B8" w:rsidRPr="00A53B9D" w:rsidRDefault="00AA663E" w:rsidP="00867D4C">
            <w:pPr>
              <w:jc w:val="center"/>
              <w:rPr>
                <w:rFonts w:asciiTheme="majorHAnsi" w:hAnsiTheme="majorHAnsi"/>
                <w:b/>
                <w:bCs/>
                <w:color w:val="FFFFFF" w:themeColor="background1"/>
                <w:sz w:val="20"/>
                <w:szCs w:val="20"/>
                <w:lang w:val="es-ES"/>
              </w:rPr>
            </w:pPr>
            <w:sdt>
              <w:sdtPr>
                <w:rPr>
                  <w:rFonts w:asciiTheme="majorHAnsi" w:hAnsiTheme="majorHAnsi"/>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A53B9D">
                  <w:rPr>
                    <w:rFonts w:asciiTheme="majorHAnsi" w:hAnsiTheme="majorHAnsi"/>
                    <w:b/>
                    <w:bCs/>
                    <w:color w:val="FFFFFF" w:themeColor="background1"/>
                    <w:sz w:val="20"/>
                    <w:szCs w:val="20"/>
                    <w:lang w:val="es-ES"/>
                  </w:rPr>
                  <w:t>Presunta víctima</w:t>
                </w:r>
              </w:sdtContent>
            </w:sdt>
            <w:r w:rsidR="003239B8" w:rsidRPr="00A53B9D">
              <w:rPr>
                <w:rFonts w:asciiTheme="majorHAnsi" w:hAnsiTheme="majorHAnsi"/>
                <w:b/>
                <w:bCs/>
                <w:color w:val="FFFFFF" w:themeColor="background1"/>
                <w:sz w:val="20"/>
                <w:szCs w:val="20"/>
                <w:lang w:val="es-ES"/>
              </w:rPr>
              <w:t>:</w:t>
            </w:r>
          </w:p>
        </w:tc>
        <w:tc>
          <w:tcPr>
            <w:tcW w:w="5760" w:type="dxa"/>
            <w:vAlign w:val="center"/>
          </w:tcPr>
          <w:p w14:paraId="51E3CB99" w14:textId="778A1998" w:rsidR="003239B8" w:rsidRPr="00A53B9D" w:rsidRDefault="00B17CB8" w:rsidP="00867D4C">
            <w:pPr>
              <w:jc w:val="both"/>
              <w:rPr>
                <w:rFonts w:asciiTheme="majorHAnsi" w:hAnsiTheme="majorHAnsi"/>
                <w:bCs/>
                <w:sz w:val="20"/>
                <w:szCs w:val="20"/>
                <w:lang w:val="es-ES"/>
              </w:rPr>
            </w:pPr>
            <w:r w:rsidRPr="00A53B9D">
              <w:rPr>
                <w:rFonts w:asciiTheme="majorHAnsi" w:hAnsiTheme="majorHAnsi"/>
                <w:bCs/>
                <w:sz w:val="20"/>
                <w:szCs w:val="20"/>
                <w:lang w:val="es-ES"/>
              </w:rPr>
              <w:t>Teresa Ortega La Rosa Vda. de Morán</w:t>
            </w:r>
          </w:p>
        </w:tc>
      </w:tr>
      <w:tr w:rsidR="003239B8" w:rsidRPr="00A53B9D" w14:paraId="021088BF" w14:textId="77777777" w:rsidTr="004A6A54">
        <w:tc>
          <w:tcPr>
            <w:tcW w:w="3600" w:type="dxa"/>
            <w:tcBorders>
              <w:top w:val="single" w:sz="6" w:space="0" w:color="auto"/>
              <w:bottom w:val="single" w:sz="6" w:space="0" w:color="auto"/>
            </w:tcBorders>
            <w:shd w:val="clear" w:color="auto" w:fill="386294"/>
            <w:vAlign w:val="center"/>
          </w:tcPr>
          <w:p w14:paraId="37C0E7FB" w14:textId="77777777" w:rsidR="003239B8" w:rsidRPr="00A53B9D" w:rsidRDefault="003239B8" w:rsidP="00867D4C">
            <w:pPr>
              <w:jc w:val="center"/>
              <w:rPr>
                <w:rFonts w:asciiTheme="majorHAnsi" w:hAnsiTheme="majorHAnsi"/>
                <w:b/>
                <w:bCs/>
                <w:color w:val="FFFFFF" w:themeColor="background1"/>
                <w:sz w:val="20"/>
                <w:szCs w:val="20"/>
                <w:lang w:val="es-ES"/>
              </w:rPr>
            </w:pPr>
            <w:r w:rsidRPr="00A53B9D">
              <w:rPr>
                <w:rFonts w:asciiTheme="majorHAnsi" w:hAnsiTheme="majorHAnsi"/>
                <w:b/>
                <w:bCs/>
                <w:color w:val="FFFFFF" w:themeColor="background1"/>
                <w:sz w:val="20"/>
                <w:szCs w:val="20"/>
                <w:lang w:val="es-ES"/>
              </w:rPr>
              <w:t>Estado denunciado:</w:t>
            </w:r>
          </w:p>
        </w:tc>
        <w:tc>
          <w:tcPr>
            <w:tcW w:w="5760" w:type="dxa"/>
            <w:vAlign w:val="center"/>
          </w:tcPr>
          <w:p w14:paraId="7E9054C2" w14:textId="4FBE0383" w:rsidR="003239B8" w:rsidRPr="00A53B9D" w:rsidRDefault="00AF263A" w:rsidP="00867D4C">
            <w:pPr>
              <w:jc w:val="both"/>
              <w:rPr>
                <w:rFonts w:asciiTheme="majorHAnsi" w:hAnsiTheme="majorHAnsi"/>
                <w:bCs/>
                <w:sz w:val="20"/>
                <w:szCs w:val="20"/>
                <w:lang w:val="es-ES"/>
              </w:rPr>
            </w:pPr>
            <w:r w:rsidRPr="00A53B9D">
              <w:rPr>
                <w:rFonts w:asciiTheme="majorHAnsi" w:hAnsiTheme="majorHAnsi"/>
                <w:bCs/>
                <w:sz w:val="20"/>
                <w:szCs w:val="20"/>
                <w:lang w:val="es-ES"/>
              </w:rPr>
              <w:t>Perú</w:t>
            </w:r>
            <w:r w:rsidR="004A6A54" w:rsidRPr="00A53B9D">
              <w:rPr>
                <w:rStyle w:val="FootnoteReference"/>
                <w:rFonts w:asciiTheme="majorHAnsi" w:hAnsiTheme="majorHAnsi"/>
                <w:bCs/>
                <w:sz w:val="20"/>
                <w:szCs w:val="20"/>
                <w:lang w:val="es-ES"/>
              </w:rPr>
              <w:footnoteReference w:id="2"/>
            </w:r>
          </w:p>
        </w:tc>
      </w:tr>
      <w:tr w:rsidR="00223A29" w:rsidRPr="00D8151F" w14:paraId="3876582E" w14:textId="77777777" w:rsidTr="004A6A54">
        <w:tc>
          <w:tcPr>
            <w:tcW w:w="3600" w:type="dxa"/>
            <w:tcBorders>
              <w:top w:val="single" w:sz="6" w:space="0" w:color="auto"/>
              <w:bottom w:val="single" w:sz="6" w:space="0" w:color="auto"/>
            </w:tcBorders>
            <w:shd w:val="clear" w:color="auto" w:fill="386294"/>
            <w:vAlign w:val="center"/>
          </w:tcPr>
          <w:p w14:paraId="4F5ABB03" w14:textId="77777777" w:rsidR="00223A29" w:rsidRPr="00A53B9D" w:rsidRDefault="001B3A00" w:rsidP="00E4118C">
            <w:pPr>
              <w:jc w:val="center"/>
              <w:rPr>
                <w:rFonts w:asciiTheme="majorHAnsi" w:hAnsiTheme="majorHAnsi"/>
                <w:b/>
                <w:bCs/>
                <w:color w:val="FFFFFF" w:themeColor="background1"/>
                <w:sz w:val="20"/>
                <w:szCs w:val="20"/>
                <w:lang w:val="es-ES"/>
              </w:rPr>
            </w:pPr>
            <w:r w:rsidRPr="00A53B9D">
              <w:rPr>
                <w:rFonts w:asciiTheme="majorHAnsi" w:hAnsiTheme="majorHAnsi"/>
                <w:b/>
                <w:bCs/>
                <w:color w:val="FFFFFF" w:themeColor="background1"/>
                <w:sz w:val="20"/>
                <w:szCs w:val="20"/>
                <w:lang w:val="es-ES"/>
              </w:rPr>
              <w:t xml:space="preserve">Derechos </w:t>
            </w:r>
            <w:r w:rsidR="00E4118C" w:rsidRPr="00A53B9D">
              <w:rPr>
                <w:rFonts w:asciiTheme="majorHAnsi" w:hAnsiTheme="majorHAnsi"/>
                <w:b/>
                <w:bCs/>
                <w:color w:val="FFFFFF" w:themeColor="background1"/>
                <w:sz w:val="20"/>
                <w:szCs w:val="20"/>
                <w:lang w:val="es-ES"/>
              </w:rPr>
              <w:t>invocados</w:t>
            </w:r>
            <w:r w:rsidRPr="00A53B9D">
              <w:rPr>
                <w:rFonts w:asciiTheme="majorHAnsi" w:hAnsiTheme="majorHAnsi"/>
                <w:b/>
                <w:bCs/>
                <w:color w:val="FFFFFF" w:themeColor="background1"/>
                <w:sz w:val="20"/>
                <w:szCs w:val="20"/>
                <w:lang w:val="es-ES"/>
              </w:rPr>
              <w:t>:</w:t>
            </w:r>
          </w:p>
        </w:tc>
        <w:tc>
          <w:tcPr>
            <w:tcW w:w="5760" w:type="dxa"/>
            <w:vAlign w:val="center"/>
          </w:tcPr>
          <w:p w14:paraId="66C541B3" w14:textId="7A7E6DBF" w:rsidR="00223A29" w:rsidRPr="00A53B9D" w:rsidRDefault="002365FA" w:rsidP="00867D4C">
            <w:pPr>
              <w:jc w:val="both"/>
              <w:rPr>
                <w:rFonts w:asciiTheme="majorHAnsi" w:hAnsiTheme="majorHAnsi"/>
                <w:bCs/>
                <w:sz w:val="20"/>
                <w:szCs w:val="20"/>
                <w:lang w:val="es-ES"/>
              </w:rPr>
            </w:pPr>
            <w:r w:rsidRPr="00A53B9D">
              <w:rPr>
                <w:rFonts w:asciiTheme="majorHAnsi" w:hAnsiTheme="majorHAnsi"/>
                <w:bCs/>
                <w:sz w:val="20"/>
                <w:szCs w:val="20"/>
                <w:lang w:val="es-ES"/>
              </w:rPr>
              <w:t>A</w:t>
            </w:r>
            <w:r w:rsidR="00A11E24" w:rsidRPr="00A53B9D">
              <w:rPr>
                <w:rFonts w:asciiTheme="majorHAnsi" w:hAnsiTheme="majorHAnsi"/>
                <w:bCs/>
                <w:sz w:val="20"/>
                <w:szCs w:val="20"/>
                <w:lang w:val="es-ES"/>
              </w:rPr>
              <w:t xml:space="preserve">rtículos 8 (garantías judiciales), </w:t>
            </w:r>
            <w:r w:rsidR="00AF263A" w:rsidRPr="00A53B9D">
              <w:rPr>
                <w:rFonts w:asciiTheme="majorHAnsi" w:hAnsiTheme="majorHAnsi"/>
                <w:bCs/>
                <w:sz w:val="20"/>
                <w:szCs w:val="20"/>
                <w:lang w:val="es-ES"/>
              </w:rPr>
              <w:t>21 (propiedad privada), 24 (igualdad ante la ley) y 25 (protección judicial) de la Convención Americana sobre Derechos Humanos</w:t>
            </w:r>
            <w:r w:rsidR="00AF263A" w:rsidRPr="00A53B9D">
              <w:rPr>
                <w:rStyle w:val="FootnoteReference"/>
                <w:rFonts w:asciiTheme="majorHAnsi" w:hAnsiTheme="majorHAnsi"/>
                <w:bCs/>
                <w:sz w:val="20"/>
                <w:szCs w:val="20"/>
                <w:lang w:val="es-ES"/>
              </w:rPr>
              <w:footnoteReference w:id="3"/>
            </w:r>
            <w:r w:rsidR="00AF263A" w:rsidRPr="00A53B9D">
              <w:rPr>
                <w:rFonts w:asciiTheme="majorHAnsi" w:hAnsiTheme="majorHAnsi"/>
                <w:bCs/>
                <w:sz w:val="20"/>
                <w:szCs w:val="20"/>
                <w:lang w:val="es-ES"/>
              </w:rPr>
              <w:t xml:space="preserve">; </w:t>
            </w:r>
            <w:r w:rsidR="00A11E24" w:rsidRPr="00A53B9D">
              <w:rPr>
                <w:rFonts w:asciiTheme="majorHAnsi" w:hAnsiTheme="majorHAnsi"/>
                <w:bCs/>
                <w:sz w:val="20"/>
                <w:szCs w:val="20"/>
                <w:lang w:val="es-ES"/>
              </w:rPr>
              <w:t>artículo</w:t>
            </w:r>
            <w:r w:rsidR="009F1629" w:rsidRPr="00A53B9D">
              <w:rPr>
                <w:rFonts w:asciiTheme="majorHAnsi" w:hAnsiTheme="majorHAnsi"/>
                <w:bCs/>
                <w:sz w:val="20"/>
                <w:szCs w:val="20"/>
                <w:lang w:val="es-ES"/>
              </w:rPr>
              <w:t>s</w:t>
            </w:r>
            <w:r w:rsidR="00A11E24" w:rsidRPr="00A53B9D">
              <w:rPr>
                <w:rFonts w:asciiTheme="majorHAnsi" w:hAnsiTheme="majorHAnsi"/>
                <w:bCs/>
                <w:sz w:val="20"/>
                <w:szCs w:val="20"/>
                <w:lang w:val="es-ES"/>
              </w:rPr>
              <w:t xml:space="preserve"> </w:t>
            </w:r>
            <w:r w:rsidR="00AF263A" w:rsidRPr="00A53B9D">
              <w:rPr>
                <w:rFonts w:asciiTheme="majorHAnsi" w:hAnsiTheme="majorHAnsi"/>
                <w:bCs/>
                <w:sz w:val="20"/>
                <w:szCs w:val="20"/>
                <w:lang w:val="es-ES"/>
              </w:rPr>
              <w:t xml:space="preserve">9 </w:t>
            </w:r>
            <w:r w:rsidR="00CE7BC7" w:rsidRPr="00A53B9D">
              <w:rPr>
                <w:rFonts w:asciiTheme="majorHAnsi" w:hAnsiTheme="majorHAnsi"/>
                <w:bCs/>
                <w:sz w:val="20"/>
                <w:szCs w:val="20"/>
                <w:lang w:val="es-ES"/>
              </w:rPr>
              <w:t xml:space="preserve">(derecho a la seguridad social) </w:t>
            </w:r>
            <w:r w:rsidR="009F1629" w:rsidRPr="00A53B9D">
              <w:rPr>
                <w:rFonts w:asciiTheme="majorHAnsi" w:hAnsiTheme="majorHAnsi"/>
                <w:bCs/>
                <w:sz w:val="20"/>
                <w:szCs w:val="20"/>
                <w:lang w:val="es-ES"/>
              </w:rPr>
              <w:t xml:space="preserve">y 17 </w:t>
            </w:r>
            <w:r w:rsidR="00CE7BC7" w:rsidRPr="00A53B9D">
              <w:rPr>
                <w:rFonts w:asciiTheme="majorHAnsi" w:hAnsiTheme="majorHAnsi"/>
                <w:bCs/>
                <w:sz w:val="20"/>
                <w:szCs w:val="20"/>
                <w:lang w:val="es-ES"/>
              </w:rPr>
              <w:t xml:space="preserve">(protección de los ancianos) </w:t>
            </w:r>
            <w:r w:rsidR="00AF263A" w:rsidRPr="00A53B9D">
              <w:rPr>
                <w:rFonts w:asciiTheme="majorHAnsi" w:hAnsiTheme="majorHAnsi"/>
                <w:bCs/>
                <w:sz w:val="20"/>
                <w:szCs w:val="20"/>
                <w:lang w:val="es-ES"/>
              </w:rPr>
              <w:t xml:space="preserve">del Protocolo Adicional a la Convención Americana en Materia de Derechos Económicos, Sociales y Culturales </w:t>
            </w:r>
            <w:r w:rsidRPr="00A53B9D">
              <w:rPr>
                <w:rFonts w:asciiTheme="majorHAnsi" w:hAnsiTheme="majorHAnsi"/>
                <w:bCs/>
                <w:sz w:val="20"/>
                <w:szCs w:val="20"/>
                <w:lang w:val="es-ES"/>
              </w:rPr>
              <w:t>(</w:t>
            </w:r>
            <w:r w:rsidR="00AF263A" w:rsidRPr="00A53B9D">
              <w:rPr>
                <w:rFonts w:asciiTheme="majorHAnsi" w:hAnsiTheme="majorHAnsi"/>
                <w:bCs/>
                <w:sz w:val="20"/>
                <w:szCs w:val="20"/>
                <w:lang w:val="es-ES"/>
              </w:rPr>
              <w:t>Protocolo de San Salvador</w:t>
            </w:r>
            <w:r w:rsidRPr="00A53B9D">
              <w:rPr>
                <w:rFonts w:asciiTheme="majorHAnsi" w:hAnsiTheme="majorHAnsi"/>
                <w:bCs/>
                <w:sz w:val="20"/>
                <w:szCs w:val="20"/>
                <w:lang w:val="es-ES"/>
              </w:rPr>
              <w:t>)</w:t>
            </w:r>
            <w:r w:rsidR="00AF263A" w:rsidRPr="00A53B9D">
              <w:rPr>
                <w:rStyle w:val="FootnoteReference"/>
                <w:rFonts w:asciiTheme="majorHAnsi" w:hAnsiTheme="majorHAnsi"/>
                <w:bCs/>
                <w:sz w:val="20"/>
                <w:szCs w:val="20"/>
                <w:lang w:val="es-ES"/>
              </w:rPr>
              <w:footnoteReference w:id="4"/>
            </w:r>
            <w:r w:rsidRPr="00A53B9D">
              <w:rPr>
                <w:rFonts w:asciiTheme="majorHAnsi" w:hAnsiTheme="majorHAnsi"/>
                <w:bCs/>
                <w:sz w:val="20"/>
                <w:szCs w:val="20"/>
                <w:lang w:val="es-ES"/>
              </w:rPr>
              <w:t>; y artículo XVI de la Declaración Americana de los Derechos y Deberes del Hombre</w:t>
            </w:r>
            <w:r w:rsidRPr="00A53B9D">
              <w:rPr>
                <w:rStyle w:val="FootnoteReference"/>
                <w:rFonts w:asciiTheme="majorHAnsi" w:hAnsiTheme="majorHAnsi"/>
                <w:bCs/>
                <w:sz w:val="20"/>
                <w:szCs w:val="20"/>
                <w:lang w:val="es-ES"/>
              </w:rPr>
              <w:footnoteReference w:id="5"/>
            </w:r>
          </w:p>
        </w:tc>
      </w:tr>
    </w:tbl>
    <w:p w14:paraId="2F21A29F" w14:textId="77777777" w:rsidR="003239B8" w:rsidRPr="00A53B9D" w:rsidRDefault="003239B8" w:rsidP="003239B8">
      <w:pPr>
        <w:spacing w:before="240" w:after="240"/>
        <w:ind w:firstLine="720"/>
        <w:jc w:val="both"/>
        <w:rPr>
          <w:rFonts w:asciiTheme="majorHAnsi" w:hAnsiTheme="majorHAnsi"/>
          <w:b/>
          <w:bCs/>
          <w:sz w:val="20"/>
          <w:szCs w:val="20"/>
          <w:lang w:val="es-ES"/>
        </w:rPr>
      </w:pPr>
      <w:r w:rsidRPr="00A53B9D">
        <w:rPr>
          <w:rFonts w:asciiTheme="majorHAnsi" w:hAnsiTheme="majorHAnsi"/>
          <w:b/>
          <w:bCs/>
          <w:sz w:val="20"/>
          <w:szCs w:val="20"/>
          <w:lang w:val="es-ES"/>
        </w:rPr>
        <w:t>II.</w:t>
      </w:r>
      <w:r w:rsidRPr="00A53B9D">
        <w:rPr>
          <w:rFonts w:asciiTheme="majorHAnsi" w:hAnsiTheme="majorHAnsi"/>
          <w:b/>
          <w:bCs/>
          <w:sz w:val="20"/>
          <w:szCs w:val="20"/>
          <w:lang w:val="es-ES"/>
        </w:rPr>
        <w:tab/>
        <w:t>TRÁMITE ANTE LA CIDH</w:t>
      </w:r>
      <w:r w:rsidR="008E3BFE" w:rsidRPr="00A53B9D">
        <w:rPr>
          <w:rStyle w:val="FootnoteReference"/>
          <w:rFonts w:asciiTheme="majorHAnsi" w:hAnsiTheme="majorHAnsi"/>
          <w:b/>
          <w:sz w:val="20"/>
          <w:szCs w:val="20"/>
          <w:lang w:val="es-ES"/>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A53B9D" w14:paraId="3D5F9E6B" w14:textId="77777777" w:rsidTr="004A6A54">
        <w:tc>
          <w:tcPr>
            <w:tcW w:w="3600" w:type="dxa"/>
            <w:tcBorders>
              <w:top w:val="single" w:sz="6" w:space="0" w:color="auto"/>
              <w:bottom w:val="single" w:sz="6" w:space="0" w:color="auto"/>
            </w:tcBorders>
            <w:shd w:val="clear" w:color="auto" w:fill="386294"/>
            <w:vAlign w:val="center"/>
          </w:tcPr>
          <w:p w14:paraId="3868734C" w14:textId="77777777" w:rsidR="004C2312" w:rsidRPr="00A53B9D" w:rsidRDefault="004A6A54" w:rsidP="004A6A54">
            <w:pPr>
              <w:jc w:val="center"/>
              <w:rPr>
                <w:rFonts w:asciiTheme="majorHAnsi" w:hAnsiTheme="majorHAnsi"/>
                <w:b/>
                <w:bCs/>
                <w:color w:val="FFFFFF" w:themeColor="background1"/>
                <w:sz w:val="20"/>
                <w:szCs w:val="20"/>
                <w:lang w:val="es-ES"/>
              </w:rPr>
            </w:pPr>
            <w:r w:rsidRPr="00A53B9D">
              <w:rPr>
                <w:rFonts w:asciiTheme="majorHAnsi" w:hAnsiTheme="majorHAnsi"/>
                <w:b/>
                <w:bCs/>
                <w:color w:val="FFFFFF" w:themeColor="background1"/>
                <w:sz w:val="20"/>
                <w:szCs w:val="20"/>
                <w:lang w:val="es-ES"/>
              </w:rPr>
              <w:t>P</w:t>
            </w:r>
            <w:r w:rsidR="004C2312" w:rsidRPr="00A53B9D">
              <w:rPr>
                <w:rFonts w:asciiTheme="majorHAnsi" w:hAnsiTheme="majorHAnsi"/>
                <w:b/>
                <w:bCs/>
                <w:color w:val="FFFFFF" w:themeColor="background1"/>
                <w:sz w:val="20"/>
                <w:szCs w:val="20"/>
                <w:lang w:val="es-ES"/>
              </w:rPr>
              <w:t>resentación de la petición:</w:t>
            </w:r>
          </w:p>
        </w:tc>
        <w:tc>
          <w:tcPr>
            <w:tcW w:w="5760" w:type="dxa"/>
            <w:vAlign w:val="center"/>
          </w:tcPr>
          <w:p w14:paraId="1A1BF3AB" w14:textId="122C6227" w:rsidR="004C2312" w:rsidRPr="00A53B9D" w:rsidRDefault="005C75AC" w:rsidP="00867D4C">
            <w:pPr>
              <w:jc w:val="both"/>
              <w:rPr>
                <w:rFonts w:asciiTheme="majorHAnsi" w:hAnsiTheme="majorHAnsi"/>
                <w:bCs/>
                <w:sz w:val="20"/>
                <w:szCs w:val="20"/>
                <w:lang w:val="es-ES"/>
              </w:rPr>
            </w:pPr>
            <w:r w:rsidRPr="00A53B9D">
              <w:rPr>
                <w:rFonts w:asciiTheme="majorHAnsi" w:hAnsiTheme="majorHAnsi"/>
                <w:bCs/>
                <w:sz w:val="20"/>
                <w:szCs w:val="20"/>
                <w:lang w:val="es-ES"/>
              </w:rPr>
              <w:t>15 de abril de 2010</w:t>
            </w:r>
          </w:p>
        </w:tc>
      </w:tr>
      <w:tr w:rsidR="004C2312" w:rsidRPr="00A53B9D" w14:paraId="1A6A78E2" w14:textId="77777777" w:rsidTr="004A6A54">
        <w:tc>
          <w:tcPr>
            <w:tcW w:w="3600" w:type="dxa"/>
            <w:tcBorders>
              <w:top w:val="single" w:sz="6" w:space="0" w:color="auto"/>
              <w:bottom w:val="single" w:sz="6" w:space="0" w:color="auto"/>
            </w:tcBorders>
            <w:shd w:val="clear" w:color="auto" w:fill="386294"/>
            <w:vAlign w:val="center"/>
          </w:tcPr>
          <w:p w14:paraId="7C3FFC6C" w14:textId="77777777" w:rsidR="004C2312" w:rsidRPr="00A53B9D" w:rsidRDefault="004A6A54" w:rsidP="004A6A54">
            <w:pPr>
              <w:jc w:val="center"/>
              <w:rPr>
                <w:rFonts w:asciiTheme="majorHAnsi" w:hAnsiTheme="majorHAnsi"/>
                <w:b/>
                <w:bCs/>
                <w:color w:val="FFFFFF" w:themeColor="background1"/>
                <w:sz w:val="20"/>
                <w:szCs w:val="20"/>
                <w:lang w:val="es-ES"/>
              </w:rPr>
            </w:pPr>
            <w:r w:rsidRPr="00A53B9D">
              <w:rPr>
                <w:rFonts w:asciiTheme="majorHAnsi" w:hAnsiTheme="majorHAnsi"/>
                <w:b/>
                <w:color w:val="FFFFFF" w:themeColor="background1"/>
                <w:sz w:val="20"/>
                <w:szCs w:val="20"/>
                <w:lang w:val="es-ES"/>
              </w:rPr>
              <w:t>N</w:t>
            </w:r>
            <w:r w:rsidR="004C2312" w:rsidRPr="00A53B9D">
              <w:rPr>
                <w:rFonts w:asciiTheme="majorHAnsi" w:hAnsiTheme="majorHAnsi"/>
                <w:b/>
                <w:color w:val="FFFFFF" w:themeColor="background1"/>
                <w:sz w:val="20"/>
                <w:szCs w:val="20"/>
                <w:lang w:val="es-ES"/>
              </w:rPr>
              <w:t>otificación de la petición al Estado:</w:t>
            </w:r>
          </w:p>
        </w:tc>
        <w:tc>
          <w:tcPr>
            <w:tcW w:w="5760" w:type="dxa"/>
            <w:vAlign w:val="center"/>
          </w:tcPr>
          <w:p w14:paraId="3DC3C507" w14:textId="49B920C3" w:rsidR="004C2312" w:rsidRPr="00A53B9D" w:rsidRDefault="005C75AC" w:rsidP="00867D4C">
            <w:pPr>
              <w:jc w:val="both"/>
              <w:rPr>
                <w:rFonts w:asciiTheme="majorHAnsi" w:hAnsiTheme="majorHAnsi"/>
                <w:bCs/>
                <w:sz w:val="20"/>
                <w:szCs w:val="20"/>
                <w:lang w:val="es-ES"/>
              </w:rPr>
            </w:pPr>
            <w:r w:rsidRPr="00A53B9D">
              <w:rPr>
                <w:rFonts w:asciiTheme="majorHAnsi" w:hAnsiTheme="majorHAnsi"/>
                <w:bCs/>
                <w:sz w:val="20"/>
                <w:szCs w:val="20"/>
                <w:lang w:val="es-ES"/>
              </w:rPr>
              <w:t>22 de junio de 2016</w:t>
            </w:r>
          </w:p>
        </w:tc>
      </w:tr>
      <w:tr w:rsidR="004C2312" w:rsidRPr="00A53B9D" w14:paraId="47426492" w14:textId="77777777" w:rsidTr="004A6A54">
        <w:tc>
          <w:tcPr>
            <w:tcW w:w="3600" w:type="dxa"/>
            <w:tcBorders>
              <w:top w:val="single" w:sz="6" w:space="0" w:color="auto"/>
              <w:bottom w:val="single" w:sz="6" w:space="0" w:color="auto"/>
            </w:tcBorders>
            <w:shd w:val="clear" w:color="auto" w:fill="386294"/>
            <w:vAlign w:val="center"/>
          </w:tcPr>
          <w:p w14:paraId="01AC39B1" w14:textId="77777777" w:rsidR="004C2312" w:rsidRPr="00A53B9D" w:rsidRDefault="004A6A54" w:rsidP="004A6A54">
            <w:pPr>
              <w:jc w:val="center"/>
              <w:rPr>
                <w:rFonts w:asciiTheme="majorHAnsi" w:hAnsiTheme="majorHAnsi"/>
                <w:b/>
                <w:bCs/>
                <w:color w:val="FFFFFF" w:themeColor="background1"/>
                <w:sz w:val="20"/>
                <w:szCs w:val="20"/>
                <w:lang w:val="es-ES"/>
              </w:rPr>
            </w:pPr>
            <w:r w:rsidRPr="00A53B9D">
              <w:rPr>
                <w:rFonts w:asciiTheme="majorHAnsi" w:hAnsiTheme="majorHAnsi"/>
                <w:b/>
                <w:color w:val="FFFFFF" w:themeColor="background1"/>
                <w:sz w:val="20"/>
                <w:szCs w:val="20"/>
                <w:lang w:val="es-ES"/>
              </w:rPr>
              <w:t>P</w:t>
            </w:r>
            <w:r w:rsidR="004C2312" w:rsidRPr="00A53B9D">
              <w:rPr>
                <w:rFonts w:asciiTheme="majorHAnsi" w:hAnsiTheme="majorHAnsi"/>
                <w:b/>
                <w:color w:val="FFFFFF" w:themeColor="background1"/>
                <w:sz w:val="20"/>
                <w:szCs w:val="20"/>
                <w:lang w:val="es-ES"/>
              </w:rPr>
              <w:t>rimera respuesta del Estado:</w:t>
            </w:r>
          </w:p>
        </w:tc>
        <w:tc>
          <w:tcPr>
            <w:tcW w:w="5760" w:type="dxa"/>
            <w:vAlign w:val="center"/>
          </w:tcPr>
          <w:p w14:paraId="472DE8A2" w14:textId="632D8AAF" w:rsidR="004C2312" w:rsidRPr="00A53B9D" w:rsidRDefault="00635398" w:rsidP="00867D4C">
            <w:pPr>
              <w:jc w:val="both"/>
              <w:rPr>
                <w:rFonts w:asciiTheme="majorHAnsi" w:hAnsiTheme="majorHAnsi"/>
                <w:bCs/>
                <w:sz w:val="20"/>
                <w:szCs w:val="20"/>
                <w:lang w:val="es-ES"/>
              </w:rPr>
            </w:pPr>
            <w:r w:rsidRPr="00A53B9D">
              <w:rPr>
                <w:rFonts w:asciiTheme="majorHAnsi" w:hAnsiTheme="majorHAnsi"/>
                <w:bCs/>
                <w:sz w:val="20"/>
                <w:szCs w:val="20"/>
                <w:lang w:val="es-ES"/>
              </w:rPr>
              <w:t>23 de septiembre de 2016</w:t>
            </w:r>
          </w:p>
        </w:tc>
      </w:tr>
      <w:tr w:rsidR="001E49E7" w:rsidRPr="00A53B9D" w14:paraId="583E30E3" w14:textId="77777777" w:rsidTr="004A6A54">
        <w:tc>
          <w:tcPr>
            <w:tcW w:w="3600" w:type="dxa"/>
            <w:tcBorders>
              <w:top w:val="single" w:sz="6" w:space="0" w:color="auto"/>
              <w:bottom w:val="single" w:sz="6" w:space="0" w:color="auto"/>
            </w:tcBorders>
            <w:shd w:val="clear" w:color="auto" w:fill="386294"/>
            <w:vAlign w:val="center"/>
          </w:tcPr>
          <w:p w14:paraId="5BB5AB92" w14:textId="77777777" w:rsidR="001E49E7" w:rsidRPr="00A53B9D" w:rsidRDefault="004A6A54" w:rsidP="00DD4AD2">
            <w:pPr>
              <w:jc w:val="center"/>
              <w:rPr>
                <w:rFonts w:asciiTheme="majorHAnsi" w:hAnsiTheme="majorHAnsi"/>
                <w:b/>
                <w:bCs/>
                <w:color w:val="FFFFFF" w:themeColor="background1"/>
                <w:sz w:val="20"/>
                <w:szCs w:val="20"/>
                <w:lang w:val="es-ES"/>
              </w:rPr>
            </w:pPr>
            <w:r w:rsidRPr="00A53B9D">
              <w:rPr>
                <w:rFonts w:asciiTheme="majorHAnsi" w:hAnsiTheme="majorHAnsi"/>
                <w:b/>
                <w:bCs/>
                <w:color w:val="FFFFFF" w:themeColor="background1"/>
                <w:sz w:val="20"/>
                <w:szCs w:val="20"/>
                <w:lang w:val="es-ES"/>
              </w:rPr>
              <w:t>A</w:t>
            </w:r>
            <w:r w:rsidR="001E49E7" w:rsidRPr="00A53B9D">
              <w:rPr>
                <w:rFonts w:asciiTheme="majorHAnsi" w:hAnsiTheme="majorHAnsi"/>
                <w:b/>
                <w:bCs/>
                <w:color w:val="FFFFFF" w:themeColor="background1"/>
                <w:sz w:val="20"/>
                <w:szCs w:val="20"/>
                <w:lang w:val="es-ES"/>
              </w:rPr>
              <w:t>dvertencia sobre posible archivo:</w:t>
            </w:r>
          </w:p>
        </w:tc>
        <w:tc>
          <w:tcPr>
            <w:tcW w:w="5760" w:type="dxa"/>
            <w:vAlign w:val="center"/>
          </w:tcPr>
          <w:p w14:paraId="6383F440" w14:textId="73984460" w:rsidR="001E49E7" w:rsidRPr="00A53B9D" w:rsidRDefault="00635398" w:rsidP="00867D4C">
            <w:pPr>
              <w:jc w:val="both"/>
              <w:rPr>
                <w:rFonts w:asciiTheme="majorHAnsi" w:hAnsiTheme="majorHAnsi"/>
                <w:bCs/>
                <w:sz w:val="20"/>
                <w:szCs w:val="20"/>
                <w:lang w:val="es-ES"/>
              </w:rPr>
            </w:pPr>
            <w:r w:rsidRPr="00A53B9D">
              <w:rPr>
                <w:rFonts w:asciiTheme="majorHAnsi" w:hAnsiTheme="majorHAnsi"/>
                <w:bCs/>
                <w:sz w:val="20"/>
                <w:szCs w:val="20"/>
                <w:lang w:val="es-ES"/>
              </w:rPr>
              <w:t>12 de noviembre de 2018</w:t>
            </w:r>
          </w:p>
        </w:tc>
      </w:tr>
      <w:tr w:rsidR="001E49E7" w:rsidRPr="00A53B9D" w14:paraId="4D6AD846" w14:textId="77777777" w:rsidTr="004A6A54">
        <w:tc>
          <w:tcPr>
            <w:tcW w:w="3600" w:type="dxa"/>
            <w:tcBorders>
              <w:top w:val="single" w:sz="6" w:space="0" w:color="auto"/>
              <w:bottom w:val="single" w:sz="6" w:space="0" w:color="auto"/>
            </w:tcBorders>
            <w:shd w:val="clear" w:color="auto" w:fill="386294"/>
            <w:vAlign w:val="center"/>
          </w:tcPr>
          <w:p w14:paraId="64E6550C" w14:textId="77777777" w:rsidR="001E49E7" w:rsidRPr="00A53B9D" w:rsidRDefault="004A6A54" w:rsidP="004A6A54">
            <w:pPr>
              <w:jc w:val="center"/>
              <w:rPr>
                <w:rFonts w:asciiTheme="majorHAnsi" w:hAnsiTheme="majorHAnsi"/>
                <w:b/>
                <w:bCs/>
                <w:color w:val="FFFFFF" w:themeColor="background1"/>
                <w:sz w:val="20"/>
                <w:szCs w:val="20"/>
                <w:lang w:val="es-ES"/>
              </w:rPr>
            </w:pPr>
            <w:r w:rsidRPr="00A53B9D">
              <w:rPr>
                <w:rFonts w:asciiTheme="majorHAnsi" w:hAnsiTheme="majorHAnsi"/>
                <w:b/>
                <w:bCs/>
                <w:color w:val="FFFFFF" w:themeColor="background1"/>
                <w:sz w:val="20"/>
                <w:szCs w:val="20"/>
                <w:lang w:val="es-ES"/>
              </w:rPr>
              <w:t>R</w:t>
            </w:r>
            <w:r w:rsidR="001E49E7" w:rsidRPr="00A53B9D">
              <w:rPr>
                <w:rFonts w:asciiTheme="majorHAnsi" w:hAnsiTheme="majorHAnsi"/>
                <w:b/>
                <w:bCs/>
                <w:color w:val="FFFFFF" w:themeColor="background1"/>
                <w:sz w:val="20"/>
                <w:szCs w:val="20"/>
                <w:lang w:val="es-ES"/>
              </w:rPr>
              <w:t xml:space="preserve">espuesta de la parte peticionaria ante advertencia </w:t>
            </w:r>
            <w:r w:rsidR="00DD4AD2" w:rsidRPr="00A53B9D">
              <w:rPr>
                <w:rFonts w:asciiTheme="majorHAnsi" w:hAnsiTheme="majorHAnsi"/>
                <w:b/>
                <w:bCs/>
                <w:color w:val="FFFFFF" w:themeColor="background1"/>
                <w:sz w:val="20"/>
                <w:szCs w:val="20"/>
                <w:lang w:val="es-ES"/>
              </w:rPr>
              <w:t xml:space="preserve">de </w:t>
            </w:r>
            <w:r w:rsidR="001E49E7" w:rsidRPr="00A53B9D">
              <w:rPr>
                <w:rFonts w:asciiTheme="majorHAnsi" w:hAnsiTheme="majorHAnsi"/>
                <w:b/>
                <w:bCs/>
                <w:color w:val="FFFFFF" w:themeColor="background1"/>
                <w:sz w:val="20"/>
                <w:szCs w:val="20"/>
                <w:lang w:val="es-ES"/>
              </w:rPr>
              <w:t>posible archivo:</w:t>
            </w:r>
          </w:p>
        </w:tc>
        <w:tc>
          <w:tcPr>
            <w:tcW w:w="5760" w:type="dxa"/>
            <w:vAlign w:val="center"/>
          </w:tcPr>
          <w:p w14:paraId="73598C5E" w14:textId="1812A025" w:rsidR="001E49E7" w:rsidRPr="00A53B9D" w:rsidRDefault="00635398" w:rsidP="00867D4C">
            <w:pPr>
              <w:jc w:val="both"/>
              <w:rPr>
                <w:rFonts w:asciiTheme="majorHAnsi" w:hAnsiTheme="majorHAnsi"/>
                <w:bCs/>
                <w:sz w:val="20"/>
                <w:szCs w:val="20"/>
                <w:lang w:val="es-ES"/>
              </w:rPr>
            </w:pPr>
            <w:r w:rsidRPr="00A53B9D">
              <w:rPr>
                <w:rFonts w:asciiTheme="majorHAnsi" w:hAnsiTheme="majorHAnsi"/>
                <w:bCs/>
                <w:sz w:val="20"/>
                <w:szCs w:val="20"/>
                <w:lang w:val="es-ES"/>
              </w:rPr>
              <w:t>1 de febrero de 2019</w:t>
            </w:r>
          </w:p>
        </w:tc>
      </w:tr>
    </w:tbl>
    <w:p w14:paraId="3D4583B4" w14:textId="77777777" w:rsidR="003239B8" w:rsidRPr="00A53B9D" w:rsidRDefault="003239B8" w:rsidP="003239B8">
      <w:pPr>
        <w:spacing w:before="240" w:after="240"/>
        <w:ind w:firstLine="720"/>
        <w:jc w:val="both"/>
        <w:rPr>
          <w:rFonts w:asciiTheme="majorHAnsi" w:hAnsiTheme="majorHAnsi"/>
          <w:b/>
          <w:bCs/>
          <w:sz w:val="20"/>
          <w:szCs w:val="20"/>
          <w:lang w:val="es-ES"/>
        </w:rPr>
      </w:pPr>
      <w:r w:rsidRPr="00A53B9D">
        <w:rPr>
          <w:rFonts w:asciiTheme="majorHAnsi" w:hAnsiTheme="majorHAnsi"/>
          <w:b/>
          <w:bCs/>
          <w:sz w:val="20"/>
          <w:szCs w:val="20"/>
          <w:lang w:val="es-ES"/>
        </w:rPr>
        <w:t xml:space="preserve">III. </w:t>
      </w:r>
      <w:r w:rsidRPr="00A53B9D">
        <w:rPr>
          <w:rFonts w:asciiTheme="majorHAnsi" w:hAnsiTheme="majorHAnsi"/>
          <w:b/>
          <w:bCs/>
          <w:sz w:val="20"/>
          <w:szCs w:val="20"/>
          <w:lang w:val="es-ES"/>
        </w:rPr>
        <w:tab/>
        <w:t>COMPETENCIA</w:t>
      </w:r>
      <w:r w:rsidR="00EE00E9" w:rsidRPr="00A53B9D">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A53B9D" w14:paraId="370AEE17" w14:textId="77777777" w:rsidTr="004A6A54">
        <w:trPr>
          <w:cantSplit/>
        </w:trPr>
        <w:tc>
          <w:tcPr>
            <w:tcW w:w="3600" w:type="dxa"/>
            <w:tcBorders>
              <w:top w:val="single" w:sz="4" w:space="0" w:color="auto"/>
              <w:bottom w:val="single" w:sz="6" w:space="0" w:color="auto"/>
            </w:tcBorders>
            <w:shd w:val="clear" w:color="auto" w:fill="386294"/>
            <w:vAlign w:val="center"/>
          </w:tcPr>
          <w:p w14:paraId="2EDA6A4E" w14:textId="77777777" w:rsidR="003239B8" w:rsidRPr="00A53B9D" w:rsidRDefault="003239B8" w:rsidP="00867D4C">
            <w:pPr>
              <w:jc w:val="center"/>
              <w:rPr>
                <w:rFonts w:asciiTheme="majorHAnsi" w:hAnsiTheme="majorHAnsi"/>
                <w:b/>
                <w:bCs/>
                <w:i/>
                <w:color w:val="FFFFFF" w:themeColor="background1"/>
                <w:sz w:val="20"/>
                <w:szCs w:val="20"/>
                <w:lang w:val="es-ES"/>
              </w:rPr>
            </w:pPr>
            <w:r w:rsidRPr="00A53B9D">
              <w:rPr>
                <w:rFonts w:asciiTheme="majorHAnsi" w:hAnsiTheme="majorHAnsi"/>
                <w:b/>
                <w:bCs/>
                <w:color w:val="FFFFFF" w:themeColor="background1"/>
                <w:sz w:val="20"/>
                <w:szCs w:val="20"/>
                <w:lang w:val="es-ES"/>
              </w:rPr>
              <w:t>Competencia</w:t>
            </w:r>
            <w:r w:rsidRPr="00A53B9D">
              <w:rPr>
                <w:rFonts w:asciiTheme="majorHAnsi" w:hAnsiTheme="majorHAnsi"/>
                <w:b/>
                <w:bCs/>
                <w:i/>
                <w:color w:val="FFFFFF" w:themeColor="background1"/>
                <w:sz w:val="20"/>
                <w:szCs w:val="20"/>
                <w:lang w:val="es-ES"/>
              </w:rPr>
              <w:t xml:space="preserve"> </w:t>
            </w:r>
            <w:proofErr w:type="spellStart"/>
            <w:r w:rsidRPr="00A53B9D">
              <w:rPr>
                <w:rFonts w:asciiTheme="majorHAnsi" w:hAnsiTheme="majorHAnsi"/>
                <w:b/>
                <w:bCs/>
                <w:i/>
                <w:color w:val="FFFFFF" w:themeColor="background1"/>
                <w:sz w:val="20"/>
                <w:szCs w:val="20"/>
                <w:lang w:val="es-ES"/>
              </w:rPr>
              <w:t>Ratione</w:t>
            </w:r>
            <w:proofErr w:type="spellEnd"/>
            <w:r w:rsidRPr="00A53B9D">
              <w:rPr>
                <w:rFonts w:asciiTheme="majorHAnsi" w:hAnsiTheme="majorHAnsi"/>
                <w:b/>
                <w:bCs/>
                <w:i/>
                <w:color w:val="FFFFFF" w:themeColor="background1"/>
                <w:sz w:val="20"/>
                <w:szCs w:val="20"/>
                <w:lang w:val="es-ES"/>
              </w:rPr>
              <w:t xml:space="preserve"> </w:t>
            </w:r>
            <w:proofErr w:type="spellStart"/>
            <w:r w:rsidRPr="00A53B9D">
              <w:rPr>
                <w:rFonts w:asciiTheme="majorHAnsi" w:hAnsiTheme="majorHAnsi"/>
                <w:b/>
                <w:bCs/>
                <w:i/>
                <w:color w:val="FFFFFF" w:themeColor="background1"/>
                <w:sz w:val="20"/>
                <w:szCs w:val="20"/>
                <w:lang w:val="es-ES"/>
              </w:rPr>
              <w:t>personae</w:t>
            </w:r>
            <w:proofErr w:type="spellEnd"/>
            <w:r w:rsidRPr="00A53B9D">
              <w:rPr>
                <w:rFonts w:asciiTheme="majorHAnsi" w:hAnsiTheme="majorHAnsi"/>
                <w:b/>
                <w:bCs/>
                <w:i/>
                <w:color w:val="FFFFFF" w:themeColor="background1"/>
                <w:sz w:val="20"/>
                <w:szCs w:val="20"/>
                <w:lang w:val="es-ES"/>
              </w:rPr>
              <w:t>:</w:t>
            </w:r>
          </w:p>
        </w:tc>
        <w:tc>
          <w:tcPr>
            <w:tcW w:w="5760" w:type="dxa"/>
            <w:vAlign w:val="center"/>
          </w:tcPr>
          <w:p w14:paraId="0C2D0AFB" w14:textId="2574C1A3" w:rsidR="003239B8" w:rsidRPr="00A53B9D" w:rsidRDefault="005C75AC" w:rsidP="00867D4C">
            <w:pPr>
              <w:rPr>
                <w:rFonts w:asciiTheme="majorHAnsi" w:hAnsiTheme="majorHAnsi"/>
                <w:bCs/>
                <w:sz w:val="20"/>
                <w:szCs w:val="20"/>
                <w:lang w:val="es-ES"/>
              </w:rPr>
            </w:pPr>
            <w:r w:rsidRPr="00A53B9D">
              <w:rPr>
                <w:rFonts w:asciiTheme="majorHAnsi" w:hAnsiTheme="majorHAnsi"/>
                <w:bCs/>
                <w:sz w:val="20"/>
                <w:szCs w:val="20"/>
                <w:lang w:val="es-ES"/>
              </w:rPr>
              <w:t>Sí</w:t>
            </w:r>
          </w:p>
        </w:tc>
      </w:tr>
      <w:tr w:rsidR="003239B8" w:rsidRPr="00A53B9D" w14:paraId="1B13E489" w14:textId="77777777" w:rsidTr="004A6A54">
        <w:trPr>
          <w:cantSplit/>
        </w:trPr>
        <w:tc>
          <w:tcPr>
            <w:tcW w:w="3600" w:type="dxa"/>
            <w:tcBorders>
              <w:top w:val="single" w:sz="6" w:space="0" w:color="auto"/>
              <w:bottom w:val="single" w:sz="6" w:space="0" w:color="auto"/>
            </w:tcBorders>
            <w:shd w:val="clear" w:color="auto" w:fill="386294"/>
            <w:vAlign w:val="center"/>
          </w:tcPr>
          <w:p w14:paraId="395CB6F5" w14:textId="77777777" w:rsidR="003239B8" w:rsidRPr="00A53B9D" w:rsidRDefault="003239B8" w:rsidP="00867D4C">
            <w:pPr>
              <w:jc w:val="center"/>
              <w:rPr>
                <w:rFonts w:asciiTheme="majorHAnsi" w:hAnsiTheme="majorHAnsi"/>
                <w:b/>
                <w:bCs/>
                <w:color w:val="FFFFFF" w:themeColor="background1"/>
                <w:sz w:val="20"/>
                <w:szCs w:val="20"/>
                <w:lang w:val="es-ES"/>
              </w:rPr>
            </w:pPr>
            <w:r w:rsidRPr="00A53B9D">
              <w:rPr>
                <w:rFonts w:asciiTheme="majorHAnsi" w:hAnsiTheme="majorHAnsi"/>
                <w:b/>
                <w:bCs/>
                <w:color w:val="FFFFFF" w:themeColor="background1"/>
                <w:sz w:val="20"/>
                <w:szCs w:val="20"/>
                <w:lang w:val="es-ES"/>
              </w:rPr>
              <w:t>Competencia</w:t>
            </w:r>
            <w:r w:rsidRPr="00A53B9D">
              <w:rPr>
                <w:rFonts w:asciiTheme="majorHAnsi" w:hAnsiTheme="majorHAnsi"/>
                <w:b/>
                <w:bCs/>
                <w:i/>
                <w:color w:val="FFFFFF" w:themeColor="background1"/>
                <w:sz w:val="20"/>
                <w:szCs w:val="20"/>
                <w:lang w:val="es-ES"/>
              </w:rPr>
              <w:t xml:space="preserve"> </w:t>
            </w:r>
            <w:proofErr w:type="spellStart"/>
            <w:r w:rsidRPr="00A53B9D">
              <w:rPr>
                <w:rFonts w:asciiTheme="majorHAnsi" w:hAnsiTheme="majorHAnsi"/>
                <w:b/>
                <w:bCs/>
                <w:i/>
                <w:color w:val="FFFFFF" w:themeColor="background1"/>
                <w:sz w:val="20"/>
                <w:szCs w:val="20"/>
                <w:lang w:val="es-ES"/>
              </w:rPr>
              <w:t>Ratione</w:t>
            </w:r>
            <w:proofErr w:type="spellEnd"/>
            <w:r w:rsidRPr="00A53B9D">
              <w:rPr>
                <w:rFonts w:asciiTheme="majorHAnsi" w:hAnsiTheme="majorHAnsi"/>
                <w:b/>
                <w:bCs/>
                <w:i/>
                <w:color w:val="FFFFFF" w:themeColor="background1"/>
                <w:sz w:val="20"/>
                <w:szCs w:val="20"/>
                <w:lang w:val="es-ES"/>
              </w:rPr>
              <w:t xml:space="preserve"> </w:t>
            </w:r>
            <w:proofErr w:type="spellStart"/>
            <w:r w:rsidRPr="00A53B9D">
              <w:rPr>
                <w:rFonts w:asciiTheme="majorHAnsi" w:hAnsiTheme="majorHAnsi"/>
                <w:b/>
                <w:bCs/>
                <w:i/>
                <w:color w:val="FFFFFF" w:themeColor="background1"/>
                <w:sz w:val="20"/>
                <w:szCs w:val="20"/>
                <w:lang w:val="es-ES"/>
              </w:rPr>
              <w:t>loci</w:t>
            </w:r>
            <w:proofErr w:type="spellEnd"/>
            <w:r w:rsidRPr="00A53B9D">
              <w:rPr>
                <w:rFonts w:asciiTheme="majorHAnsi" w:hAnsiTheme="majorHAnsi"/>
                <w:b/>
                <w:bCs/>
                <w:color w:val="FFFFFF" w:themeColor="background1"/>
                <w:sz w:val="20"/>
                <w:szCs w:val="20"/>
                <w:lang w:val="es-ES"/>
              </w:rPr>
              <w:t>:</w:t>
            </w:r>
          </w:p>
        </w:tc>
        <w:tc>
          <w:tcPr>
            <w:tcW w:w="5760" w:type="dxa"/>
            <w:vAlign w:val="center"/>
          </w:tcPr>
          <w:p w14:paraId="34E39D3C" w14:textId="71B395D4" w:rsidR="003239B8" w:rsidRPr="00A53B9D" w:rsidRDefault="005C75AC" w:rsidP="00867D4C">
            <w:pPr>
              <w:rPr>
                <w:rFonts w:asciiTheme="majorHAnsi" w:hAnsiTheme="majorHAnsi"/>
                <w:bCs/>
                <w:sz w:val="20"/>
                <w:szCs w:val="20"/>
                <w:lang w:val="es-ES"/>
              </w:rPr>
            </w:pPr>
            <w:r w:rsidRPr="00A53B9D">
              <w:rPr>
                <w:rFonts w:asciiTheme="majorHAnsi" w:hAnsiTheme="majorHAnsi"/>
                <w:bCs/>
                <w:sz w:val="20"/>
                <w:szCs w:val="20"/>
                <w:lang w:val="es-ES"/>
              </w:rPr>
              <w:t>Sí</w:t>
            </w:r>
          </w:p>
        </w:tc>
      </w:tr>
      <w:tr w:rsidR="003239B8" w:rsidRPr="00A53B9D" w14:paraId="5AE94154" w14:textId="77777777" w:rsidTr="004A6A54">
        <w:trPr>
          <w:cantSplit/>
        </w:trPr>
        <w:tc>
          <w:tcPr>
            <w:tcW w:w="3600" w:type="dxa"/>
            <w:tcBorders>
              <w:top w:val="single" w:sz="6" w:space="0" w:color="auto"/>
              <w:bottom w:val="single" w:sz="6" w:space="0" w:color="auto"/>
            </w:tcBorders>
            <w:shd w:val="clear" w:color="auto" w:fill="386294"/>
            <w:vAlign w:val="center"/>
          </w:tcPr>
          <w:p w14:paraId="65331829" w14:textId="77777777" w:rsidR="003239B8" w:rsidRPr="00A53B9D" w:rsidRDefault="003239B8" w:rsidP="00867D4C">
            <w:pPr>
              <w:jc w:val="center"/>
              <w:rPr>
                <w:rFonts w:asciiTheme="majorHAnsi" w:hAnsiTheme="majorHAnsi"/>
                <w:b/>
                <w:bCs/>
                <w:color w:val="FFFFFF" w:themeColor="background1"/>
                <w:sz w:val="20"/>
                <w:szCs w:val="20"/>
                <w:lang w:val="es-ES"/>
              </w:rPr>
            </w:pPr>
            <w:r w:rsidRPr="00A53B9D">
              <w:rPr>
                <w:rFonts w:asciiTheme="majorHAnsi" w:hAnsiTheme="majorHAnsi"/>
                <w:b/>
                <w:bCs/>
                <w:color w:val="FFFFFF" w:themeColor="background1"/>
                <w:sz w:val="20"/>
                <w:szCs w:val="20"/>
                <w:lang w:val="es-ES"/>
              </w:rPr>
              <w:t>Competencia</w:t>
            </w:r>
            <w:r w:rsidRPr="00A53B9D">
              <w:rPr>
                <w:rFonts w:asciiTheme="majorHAnsi" w:hAnsiTheme="majorHAnsi"/>
                <w:b/>
                <w:bCs/>
                <w:i/>
                <w:color w:val="FFFFFF" w:themeColor="background1"/>
                <w:sz w:val="20"/>
                <w:szCs w:val="20"/>
                <w:lang w:val="es-ES"/>
              </w:rPr>
              <w:t xml:space="preserve"> </w:t>
            </w:r>
            <w:proofErr w:type="spellStart"/>
            <w:r w:rsidRPr="00A53B9D">
              <w:rPr>
                <w:rFonts w:asciiTheme="majorHAnsi" w:hAnsiTheme="majorHAnsi"/>
                <w:b/>
                <w:bCs/>
                <w:i/>
                <w:color w:val="FFFFFF" w:themeColor="background1"/>
                <w:sz w:val="20"/>
                <w:szCs w:val="20"/>
                <w:lang w:val="es-ES"/>
              </w:rPr>
              <w:t>Ratione</w:t>
            </w:r>
            <w:proofErr w:type="spellEnd"/>
            <w:r w:rsidRPr="00A53B9D">
              <w:rPr>
                <w:rFonts w:asciiTheme="majorHAnsi" w:hAnsiTheme="majorHAnsi"/>
                <w:b/>
                <w:bCs/>
                <w:i/>
                <w:color w:val="FFFFFF" w:themeColor="background1"/>
                <w:sz w:val="20"/>
                <w:szCs w:val="20"/>
                <w:lang w:val="es-ES"/>
              </w:rPr>
              <w:t xml:space="preserve"> </w:t>
            </w:r>
            <w:proofErr w:type="spellStart"/>
            <w:r w:rsidRPr="00A53B9D">
              <w:rPr>
                <w:rFonts w:asciiTheme="majorHAnsi" w:hAnsiTheme="majorHAnsi"/>
                <w:b/>
                <w:bCs/>
                <w:i/>
                <w:color w:val="FFFFFF" w:themeColor="background1"/>
                <w:sz w:val="20"/>
                <w:szCs w:val="20"/>
                <w:lang w:val="es-ES"/>
              </w:rPr>
              <w:t>temporis</w:t>
            </w:r>
            <w:proofErr w:type="spellEnd"/>
            <w:r w:rsidRPr="00A53B9D">
              <w:rPr>
                <w:rFonts w:asciiTheme="majorHAnsi" w:hAnsiTheme="majorHAnsi"/>
                <w:b/>
                <w:bCs/>
                <w:color w:val="FFFFFF" w:themeColor="background1"/>
                <w:sz w:val="20"/>
                <w:szCs w:val="20"/>
                <w:lang w:val="es-ES"/>
              </w:rPr>
              <w:t>:</w:t>
            </w:r>
          </w:p>
        </w:tc>
        <w:tc>
          <w:tcPr>
            <w:tcW w:w="5760" w:type="dxa"/>
            <w:vAlign w:val="center"/>
          </w:tcPr>
          <w:p w14:paraId="7432C62A" w14:textId="218A12DB" w:rsidR="003239B8" w:rsidRPr="00A53B9D" w:rsidRDefault="005C75AC" w:rsidP="00867D4C">
            <w:pPr>
              <w:rPr>
                <w:rFonts w:asciiTheme="majorHAnsi" w:hAnsiTheme="majorHAnsi"/>
                <w:bCs/>
                <w:sz w:val="20"/>
                <w:szCs w:val="20"/>
                <w:lang w:val="es-ES"/>
              </w:rPr>
            </w:pPr>
            <w:r w:rsidRPr="00A53B9D">
              <w:rPr>
                <w:rFonts w:asciiTheme="majorHAnsi" w:hAnsiTheme="majorHAnsi"/>
                <w:bCs/>
                <w:sz w:val="20"/>
                <w:szCs w:val="20"/>
                <w:lang w:val="es-ES"/>
              </w:rPr>
              <w:t>Sí</w:t>
            </w:r>
          </w:p>
        </w:tc>
      </w:tr>
      <w:tr w:rsidR="003239B8" w:rsidRPr="00D8151F" w14:paraId="102E7033" w14:textId="77777777" w:rsidTr="004A6A54">
        <w:trPr>
          <w:cantSplit/>
        </w:trPr>
        <w:tc>
          <w:tcPr>
            <w:tcW w:w="3600" w:type="dxa"/>
            <w:tcBorders>
              <w:top w:val="single" w:sz="6" w:space="0" w:color="auto"/>
              <w:bottom w:val="single" w:sz="6" w:space="0" w:color="auto"/>
            </w:tcBorders>
            <w:shd w:val="clear" w:color="auto" w:fill="386294"/>
            <w:vAlign w:val="center"/>
          </w:tcPr>
          <w:p w14:paraId="417C07F6" w14:textId="77777777" w:rsidR="003239B8" w:rsidRPr="00A53B9D" w:rsidRDefault="003239B8" w:rsidP="00867D4C">
            <w:pPr>
              <w:jc w:val="center"/>
              <w:rPr>
                <w:rFonts w:asciiTheme="majorHAnsi" w:hAnsiTheme="majorHAnsi"/>
                <w:b/>
                <w:bCs/>
                <w:color w:val="FFFFFF" w:themeColor="background1"/>
                <w:sz w:val="20"/>
                <w:szCs w:val="20"/>
                <w:lang w:val="es-ES"/>
              </w:rPr>
            </w:pPr>
            <w:r w:rsidRPr="00A53B9D">
              <w:rPr>
                <w:rFonts w:asciiTheme="majorHAnsi" w:hAnsiTheme="majorHAnsi"/>
                <w:b/>
                <w:bCs/>
                <w:color w:val="FFFFFF" w:themeColor="background1"/>
                <w:sz w:val="20"/>
                <w:szCs w:val="20"/>
                <w:lang w:val="es-ES"/>
              </w:rPr>
              <w:t>Competencia</w:t>
            </w:r>
            <w:r w:rsidRPr="00A53B9D">
              <w:rPr>
                <w:rFonts w:asciiTheme="majorHAnsi" w:hAnsiTheme="majorHAnsi"/>
                <w:b/>
                <w:bCs/>
                <w:i/>
                <w:color w:val="FFFFFF" w:themeColor="background1"/>
                <w:sz w:val="20"/>
                <w:szCs w:val="20"/>
                <w:lang w:val="es-ES"/>
              </w:rPr>
              <w:t xml:space="preserve"> </w:t>
            </w:r>
            <w:proofErr w:type="spellStart"/>
            <w:r w:rsidRPr="00A53B9D">
              <w:rPr>
                <w:rFonts w:asciiTheme="majorHAnsi" w:hAnsiTheme="majorHAnsi"/>
                <w:b/>
                <w:bCs/>
                <w:i/>
                <w:color w:val="FFFFFF" w:themeColor="background1"/>
                <w:sz w:val="20"/>
                <w:szCs w:val="20"/>
                <w:lang w:val="es-ES"/>
              </w:rPr>
              <w:t>Ratione</w:t>
            </w:r>
            <w:proofErr w:type="spellEnd"/>
            <w:r w:rsidRPr="00A53B9D">
              <w:rPr>
                <w:rFonts w:asciiTheme="majorHAnsi" w:hAnsiTheme="majorHAnsi"/>
                <w:b/>
                <w:bCs/>
                <w:i/>
                <w:color w:val="FFFFFF" w:themeColor="background1"/>
                <w:sz w:val="20"/>
                <w:szCs w:val="20"/>
                <w:lang w:val="es-ES"/>
              </w:rPr>
              <w:t xml:space="preserve"> </w:t>
            </w:r>
            <w:proofErr w:type="spellStart"/>
            <w:r w:rsidRPr="00A53B9D">
              <w:rPr>
                <w:rFonts w:asciiTheme="majorHAnsi" w:hAnsiTheme="majorHAnsi"/>
                <w:b/>
                <w:bCs/>
                <w:i/>
                <w:color w:val="FFFFFF" w:themeColor="background1"/>
                <w:sz w:val="20"/>
                <w:szCs w:val="20"/>
                <w:lang w:val="es-ES"/>
              </w:rPr>
              <w:t>materia</w:t>
            </w:r>
            <w:r w:rsidR="00EE00E9" w:rsidRPr="00A53B9D">
              <w:rPr>
                <w:rFonts w:asciiTheme="majorHAnsi" w:hAnsiTheme="majorHAnsi"/>
                <w:b/>
                <w:bCs/>
                <w:i/>
                <w:color w:val="FFFFFF" w:themeColor="background1"/>
                <w:sz w:val="20"/>
                <w:szCs w:val="20"/>
                <w:lang w:val="es-ES"/>
              </w:rPr>
              <w:t>e</w:t>
            </w:r>
            <w:proofErr w:type="spellEnd"/>
            <w:r w:rsidRPr="00A53B9D">
              <w:rPr>
                <w:rFonts w:asciiTheme="majorHAnsi" w:hAnsiTheme="majorHAnsi"/>
                <w:b/>
                <w:bCs/>
                <w:color w:val="FFFFFF" w:themeColor="background1"/>
                <w:sz w:val="20"/>
                <w:szCs w:val="20"/>
                <w:lang w:val="es-ES"/>
              </w:rPr>
              <w:t>:</w:t>
            </w:r>
          </w:p>
        </w:tc>
        <w:tc>
          <w:tcPr>
            <w:tcW w:w="5760" w:type="dxa"/>
            <w:vAlign w:val="center"/>
          </w:tcPr>
          <w:p w14:paraId="4E4A370B" w14:textId="18536BE1" w:rsidR="003239B8" w:rsidRPr="00A53B9D" w:rsidRDefault="005C75AC" w:rsidP="00867D4C">
            <w:pPr>
              <w:jc w:val="both"/>
              <w:rPr>
                <w:rFonts w:asciiTheme="majorHAnsi" w:hAnsiTheme="majorHAnsi"/>
                <w:bCs/>
                <w:sz w:val="20"/>
                <w:szCs w:val="20"/>
                <w:lang w:val="es-ES"/>
              </w:rPr>
            </w:pPr>
            <w:r w:rsidRPr="00A53B9D">
              <w:rPr>
                <w:rFonts w:asciiTheme="majorHAnsi" w:hAnsiTheme="majorHAnsi"/>
                <w:bCs/>
                <w:sz w:val="20"/>
                <w:szCs w:val="20"/>
                <w:lang w:val="es-ES"/>
              </w:rPr>
              <w:t>Sí, Declaración Americana (depósito del instrumento de ratificación de la Carta de la OEA realizado el 12 de febrero de 1954), y Convención Americana (depósito del instrumento de ratificación realizado el 28 de julio de 1978)</w:t>
            </w:r>
          </w:p>
        </w:tc>
      </w:tr>
    </w:tbl>
    <w:p w14:paraId="609307C7" w14:textId="0C8FAD29" w:rsidR="003239B8" w:rsidRPr="00A53B9D" w:rsidRDefault="003239B8" w:rsidP="003239B8">
      <w:pPr>
        <w:spacing w:before="240" w:after="240"/>
        <w:ind w:firstLine="720"/>
        <w:jc w:val="both"/>
        <w:rPr>
          <w:rFonts w:asciiTheme="majorHAnsi" w:hAnsiTheme="majorHAnsi"/>
          <w:b/>
          <w:bCs/>
          <w:sz w:val="20"/>
          <w:szCs w:val="20"/>
          <w:lang w:val="es-ES"/>
        </w:rPr>
      </w:pPr>
      <w:r w:rsidRPr="00A53B9D">
        <w:rPr>
          <w:rFonts w:asciiTheme="majorHAnsi" w:hAnsiTheme="majorHAnsi"/>
          <w:b/>
          <w:bCs/>
          <w:sz w:val="20"/>
          <w:szCs w:val="20"/>
          <w:lang w:val="es-ES"/>
        </w:rPr>
        <w:t xml:space="preserve">IV. </w:t>
      </w:r>
      <w:r w:rsidRPr="00A53B9D">
        <w:rPr>
          <w:rFonts w:asciiTheme="majorHAnsi" w:hAnsiTheme="majorHAnsi"/>
          <w:b/>
          <w:bCs/>
          <w:sz w:val="20"/>
          <w:szCs w:val="20"/>
          <w:lang w:val="es-ES"/>
        </w:rPr>
        <w:tab/>
      </w:r>
      <w:r w:rsidR="00EE00E9" w:rsidRPr="00A53B9D">
        <w:rPr>
          <w:rFonts w:asciiTheme="majorHAnsi" w:hAnsiTheme="majorHAnsi"/>
          <w:b/>
          <w:bCs/>
          <w:sz w:val="20"/>
          <w:szCs w:val="20"/>
          <w:lang w:val="es-ES"/>
        </w:rPr>
        <w:t>DUPLICACIÓN</w:t>
      </w:r>
      <w:r w:rsidR="00EE00E9" w:rsidRPr="00A53B9D">
        <w:rPr>
          <w:rFonts w:asciiTheme="majorHAnsi" w:hAnsiTheme="majorHAnsi"/>
          <w:b/>
          <w:bCs/>
          <w:color w:val="FFFFFF" w:themeColor="background1"/>
          <w:sz w:val="20"/>
          <w:szCs w:val="20"/>
          <w:lang w:val="es-ES"/>
        </w:rPr>
        <w:t xml:space="preserve"> </w:t>
      </w:r>
      <w:r w:rsidR="00EE00E9" w:rsidRPr="00A53B9D">
        <w:rPr>
          <w:rFonts w:asciiTheme="majorHAnsi" w:hAnsiTheme="majorHAnsi"/>
          <w:b/>
          <w:bCs/>
          <w:sz w:val="20"/>
          <w:szCs w:val="20"/>
          <w:lang w:val="es-ES"/>
        </w:rPr>
        <w:t>DE PROCEDIMIENTOS Y COSA JUZGADA</w:t>
      </w:r>
      <w:r w:rsidR="00EE00E9" w:rsidRPr="00A53B9D">
        <w:rPr>
          <w:rFonts w:asciiTheme="majorHAnsi" w:hAnsiTheme="majorHAnsi"/>
          <w:b/>
          <w:bCs/>
          <w:i/>
          <w:sz w:val="20"/>
          <w:szCs w:val="20"/>
          <w:lang w:val="es-ES"/>
        </w:rPr>
        <w:t xml:space="preserve"> </w:t>
      </w:r>
      <w:r w:rsidR="002365FA" w:rsidRPr="00A53B9D">
        <w:rPr>
          <w:rFonts w:asciiTheme="majorHAnsi" w:hAnsiTheme="majorHAnsi"/>
          <w:b/>
          <w:bCs/>
          <w:sz w:val="20"/>
          <w:szCs w:val="20"/>
          <w:lang w:val="es-ES"/>
        </w:rPr>
        <w:t>INTERNACIONAL, CARACTERIZACIÓN</w:t>
      </w:r>
      <w:r w:rsidRPr="00A53B9D">
        <w:rPr>
          <w:rFonts w:asciiTheme="majorHAnsi" w:hAnsiTheme="majorHAnsi"/>
          <w:b/>
          <w:bCs/>
          <w:sz w:val="20"/>
          <w:szCs w:val="20"/>
          <w:lang w:val="es-ES"/>
        </w:rPr>
        <w:t xml:space="preserve">, </w:t>
      </w:r>
      <w:r w:rsidRPr="00A53B9D">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A53B9D" w14:paraId="323B3B03" w14:textId="77777777" w:rsidTr="004A6A54">
        <w:trPr>
          <w:cantSplit/>
        </w:trPr>
        <w:tc>
          <w:tcPr>
            <w:tcW w:w="3600" w:type="dxa"/>
            <w:tcBorders>
              <w:top w:val="single" w:sz="4" w:space="0" w:color="auto"/>
              <w:bottom w:val="single" w:sz="6" w:space="0" w:color="auto"/>
            </w:tcBorders>
            <w:shd w:val="clear" w:color="auto" w:fill="386294"/>
            <w:vAlign w:val="center"/>
          </w:tcPr>
          <w:p w14:paraId="039E406D" w14:textId="77777777" w:rsidR="00EE00E9" w:rsidRPr="00A53B9D" w:rsidRDefault="00EE00E9" w:rsidP="00867D4C">
            <w:pPr>
              <w:jc w:val="center"/>
              <w:rPr>
                <w:rFonts w:asciiTheme="majorHAnsi" w:hAnsiTheme="majorHAnsi"/>
                <w:b/>
                <w:bCs/>
                <w:color w:val="FFFFFF" w:themeColor="background1"/>
                <w:sz w:val="20"/>
                <w:szCs w:val="20"/>
                <w:lang w:val="es-ES"/>
              </w:rPr>
            </w:pPr>
            <w:r w:rsidRPr="00A53B9D">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691A54FC" w14:textId="5DBA005F" w:rsidR="00EE00E9" w:rsidRPr="00A53B9D" w:rsidRDefault="005C75AC" w:rsidP="00867D4C">
            <w:pPr>
              <w:jc w:val="both"/>
              <w:rPr>
                <w:rFonts w:asciiTheme="majorHAnsi" w:hAnsiTheme="majorHAnsi"/>
                <w:bCs/>
                <w:sz w:val="20"/>
                <w:szCs w:val="20"/>
                <w:lang w:val="es-ES"/>
              </w:rPr>
            </w:pPr>
            <w:r w:rsidRPr="00A53B9D">
              <w:rPr>
                <w:rFonts w:asciiTheme="majorHAnsi" w:hAnsiTheme="majorHAnsi"/>
                <w:bCs/>
                <w:sz w:val="20"/>
                <w:szCs w:val="20"/>
                <w:lang w:val="es-ES"/>
              </w:rPr>
              <w:t>No</w:t>
            </w:r>
          </w:p>
        </w:tc>
      </w:tr>
      <w:tr w:rsidR="003239B8" w:rsidRPr="00D8151F" w14:paraId="13F65FE2" w14:textId="77777777" w:rsidTr="004A6A54">
        <w:trPr>
          <w:cantSplit/>
        </w:trPr>
        <w:tc>
          <w:tcPr>
            <w:tcW w:w="3600" w:type="dxa"/>
            <w:tcBorders>
              <w:top w:val="single" w:sz="4" w:space="0" w:color="auto"/>
              <w:bottom w:val="single" w:sz="6" w:space="0" w:color="auto"/>
            </w:tcBorders>
            <w:shd w:val="clear" w:color="auto" w:fill="386294"/>
            <w:vAlign w:val="center"/>
          </w:tcPr>
          <w:p w14:paraId="2553B869" w14:textId="77777777" w:rsidR="003239B8" w:rsidRPr="00A53B9D" w:rsidRDefault="003239B8" w:rsidP="00867D4C">
            <w:pPr>
              <w:jc w:val="center"/>
              <w:rPr>
                <w:rFonts w:asciiTheme="majorHAnsi" w:hAnsiTheme="majorHAnsi"/>
                <w:b/>
                <w:bCs/>
                <w:i/>
                <w:color w:val="FFFFFF" w:themeColor="background1"/>
                <w:sz w:val="20"/>
                <w:szCs w:val="20"/>
                <w:lang w:val="es-ES"/>
              </w:rPr>
            </w:pPr>
            <w:r w:rsidRPr="00A53B9D">
              <w:rPr>
                <w:rFonts w:asciiTheme="majorHAnsi" w:hAnsiTheme="majorHAnsi"/>
                <w:b/>
                <w:bCs/>
                <w:color w:val="FFFFFF" w:themeColor="background1"/>
                <w:sz w:val="20"/>
                <w:szCs w:val="20"/>
                <w:lang w:val="es-ES"/>
              </w:rPr>
              <w:t>Derechos declarados admisibles</w:t>
            </w:r>
            <w:r w:rsidRPr="00A53B9D">
              <w:rPr>
                <w:rFonts w:asciiTheme="majorHAnsi" w:hAnsiTheme="majorHAnsi"/>
                <w:b/>
                <w:bCs/>
                <w:i/>
                <w:color w:val="FFFFFF" w:themeColor="background1"/>
                <w:sz w:val="20"/>
                <w:szCs w:val="20"/>
                <w:lang w:val="es-ES"/>
              </w:rPr>
              <w:t>:</w:t>
            </w:r>
          </w:p>
        </w:tc>
        <w:tc>
          <w:tcPr>
            <w:tcW w:w="5760" w:type="dxa"/>
            <w:vAlign w:val="center"/>
          </w:tcPr>
          <w:p w14:paraId="17D65137" w14:textId="0A69DB4D" w:rsidR="003239B8" w:rsidRPr="00A53B9D" w:rsidRDefault="002365FA" w:rsidP="00867D4C">
            <w:pPr>
              <w:jc w:val="both"/>
              <w:rPr>
                <w:rFonts w:asciiTheme="majorHAnsi" w:hAnsiTheme="majorHAnsi"/>
                <w:bCs/>
                <w:sz w:val="20"/>
                <w:szCs w:val="20"/>
                <w:lang w:val="es-ES"/>
              </w:rPr>
            </w:pPr>
            <w:r w:rsidRPr="00A53B9D">
              <w:rPr>
                <w:rFonts w:asciiTheme="majorHAnsi" w:hAnsiTheme="majorHAnsi"/>
                <w:bCs/>
                <w:sz w:val="20"/>
                <w:szCs w:val="20"/>
                <w:lang w:val="es-ES"/>
              </w:rPr>
              <w:t>A</w:t>
            </w:r>
            <w:r w:rsidR="001A6CFA" w:rsidRPr="00A53B9D">
              <w:rPr>
                <w:rFonts w:asciiTheme="majorHAnsi" w:hAnsiTheme="majorHAnsi"/>
                <w:bCs/>
                <w:sz w:val="20"/>
                <w:szCs w:val="20"/>
                <w:lang w:val="es-ES"/>
              </w:rPr>
              <w:t>rtículos 8 (garantías judiciales), 21 (propiedad privada)</w:t>
            </w:r>
            <w:r w:rsidR="006C6212" w:rsidRPr="00A53B9D">
              <w:rPr>
                <w:rFonts w:asciiTheme="majorHAnsi" w:hAnsiTheme="majorHAnsi"/>
                <w:bCs/>
                <w:sz w:val="20"/>
                <w:szCs w:val="20"/>
                <w:lang w:val="es-ES"/>
              </w:rPr>
              <w:t xml:space="preserve">, </w:t>
            </w:r>
            <w:r w:rsidR="001B6323">
              <w:rPr>
                <w:rFonts w:asciiTheme="majorHAnsi" w:hAnsiTheme="majorHAnsi"/>
                <w:bCs/>
                <w:sz w:val="20"/>
                <w:szCs w:val="20"/>
                <w:lang w:val="es-ES"/>
              </w:rPr>
              <w:t xml:space="preserve">24 (igualdad ante la ley), </w:t>
            </w:r>
            <w:r w:rsidR="001A6CFA" w:rsidRPr="00A53B9D">
              <w:rPr>
                <w:rFonts w:asciiTheme="majorHAnsi" w:hAnsiTheme="majorHAnsi"/>
                <w:bCs/>
                <w:sz w:val="20"/>
                <w:szCs w:val="20"/>
                <w:lang w:val="es-ES"/>
              </w:rPr>
              <w:t>25 (protección judicial)</w:t>
            </w:r>
            <w:r w:rsidR="006C6212" w:rsidRPr="00A53B9D">
              <w:rPr>
                <w:rFonts w:asciiTheme="majorHAnsi" w:hAnsiTheme="majorHAnsi"/>
                <w:bCs/>
                <w:sz w:val="20"/>
                <w:szCs w:val="20"/>
                <w:lang w:val="es-ES"/>
              </w:rPr>
              <w:t xml:space="preserve"> y 26 (derechos económicos, sociales y culturales)</w:t>
            </w:r>
            <w:r w:rsidR="001A6CFA" w:rsidRPr="00A53B9D">
              <w:rPr>
                <w:rFonts w:asciiTheme="majorHAnsi" w:hAnsiTheme="majorHAnsi"/>
                <w:bCs/>
                <w:sz w:val="20"/>
                <w:szCs w:val="20"/>
                <w:lang w:val="es-ES"/>
              </w:rPr>
              <w:t xml:space="preserve"> de la Convención Americana, en relación con su artículo 1.1 (obligación de respetar los derechos)</w:t>
            </w:r>
            <w:r w:rsidRPr="00A53B9D">
              <w:rPr>
                <w:rFonts w:asciiTheme="majorHAnsi" w:hAnsiTheme="majorHAnsi"/>
                <w:bCs/>
                <w:sz w:val="20"/>
                <w:szCs w:val="20"/>
                <w:lang w:val="es-ES"/>
              </w:rPr>
              <w:t>; y artículo XVI (seguridad social) de la Declaración Americana</w:t>
            </w:r>
          </w:p>
        </w:tc>
      </w:tr>
      <w:tr w:rsidR="003239B8" w:rsidRPr="00D8151F" w14:paraId="48E16FBD" w14:textId="77777777" w:rsidTr="004A6A54">
        <w:trPr>
          <w:cantSplit/>
        </w:trPr>
        <w:tc>
          <w:tcPr>
            <w:tcW w:w="3600" w:type="dxa"/>
            <w:tcBorders>
              <w:top w:val="single" w:sz="6" w:space="0" w:color="auto"/>
              <w:bottom w:val="single" w:sz="6" w:space="0" w:color="auto"/>
            </w:tcBorders>
            <w:shd w:val="clear" w:color="auto" w:fill="386294"/>
            <w:vAlign w:val="center"/>
          </w:tcPr>
          <w:p w14:paraId="6DC91DB7" w14:textId="77777777" w:rsidR="003239B8" w:rsidRPr="00A53B9D" w:rsidRDefault="003239B8" w:rsidP="00867D4C">
            <w:pPr>
              <w:jc w:val="center"/>
              <w:rPr>
                <w:rFonts w:asciiTheme="majorHAnsi" w:hAnsiTheme="majorHAnsi"/>
                <w:b/>
                <w:bCs/>
                <w:color w:val="FFFFFF" w:themeColor="background1"/>
                <w:sz w:val="20"/>
                <w:szCs w:val="20"/>
                <w:lang w:val="es-ES"/>
              </w:rPr>
            </w:pPr>
            <w:r w:rsidRPr="00A53B9D">
              <w:rPr>
                <w:rFonts w:asciiTheme="majorHAnsi" w:hAnsiTheme="majorHAnsi"/>
                <w:b/>
                <w:bCs/>
                <w:color w:val="FFFFFF" w:themeColor="background1"/>
                <w:sz w:val="20"/>
                <w:szCs w:val="20"/>
                <w:lang w:val="es-ES"/>
              </w:rPr>
              <w:t>Agotamiento de recursos internos</w:t>
            </w:r>
            <w:r w:rsidR="00EE00E9" w:rsidRPr="00A53B9D">
              <w:rPr>
                <w:rFonts w:asciiTheme="majorHAnsi" w:hAnsiTheme="majorHAnsi"/>
                <w:b/>
                <w:bCs/>
                <w:color w:val="FFFFFF" w:themeColor="background1"/>
                <w:sz w:val="20"/>
                <w:szCs w:val="20"/>
                <w:lang w:val="es-ES"/>
              </w:rPr>
              <w:t xml:space="preserve"> o procedencia de una excepción</w:t>
            </w:r>
            <w:r w:rsidRPr="00A53B9D">
              <w:rPr>
                <w:rFonts w:asciiTheme="majorHAnsi" w:hAnsiTheme="majorHAnsi"/>
                <w:b/>
                <w:bCs/>
                <w:color w:val="FFFFFF" w:themeColor="background1"/>
                <w:sz w:val="20"/>
                <w:szCs w:val="20"/>
                <w:lang w:val="es-ES"/>
              </w:rPr>
              <w:t>:</w:t>
            </w:r>
          </w:p>
        </w:tc>
        <w:tc>
          <w:tcPr>
            <w:tcW w:w="5760" w:type="dxa"/>
            <w:vAlign w:val="center"/>
          </w:tcPr>
          <w:p w14:paraId="5785F3A9" w14:textId="493E7541" w:rsidR="003239B8" w:rsidRPr="00A53B9D" w:rsidRDefault="001A6CFA" w:rsidP="00867D4C">
            <w:pPr>
              <w:rPr>
                <w:rFonts w:asciiTheme="majorHAnsi" w:hAnsiTheme="majorHAnsi"/>
                <w:bCs/>
                <w:sz w:val="20"/>
                <w:szCs w:val="20"/>
                <w:lang w:val="es-ES"/>
              </w:rPr>
            </w:pPr>
            <w:r w:rsidRPr="00A53B9D">
              <w:rPr>
                <w:rFonts w:asciiTheme="majorHAnsi" w:hAnsiTheme="majorHAnsi"/>
                <w:bCs/>
                <w:sz w:val="20"/>
                <w:szCs w:val="20"/>
                <w:lang w:val="es-ES"/>
              </w:rPr>
              <w:t xml:space="preserve">Sí, </w:t>
            </w:r>
            <w:r w:rsidR="002365FA" w:rsidRPr="00A53B9D">
              <w:rPr>
                <w:rFonts w:asciiTheme="majorHAnsi" w:hAnsiTheme="majorHAnsi"/>
                <w:bCs/>
                <w:sz w:val="20"/>
                <w:szCs w:val="20"/>
                <w:lang w:val="es-ES"/>
              </w:rPr>
              <w:t xml:space="preserve">el </w:t>
            </w:r>
            <w:r w:rsidRPr="00A53B9D">
              <w:rPr>
                <w:rFonts w:asciiTheme="majorHAnsi" w:hAnsiTheme="majorHAnsi"/>
                <w:bCs/>
                <w:sz w:val="20"/>
                <w:szCs w:val="20"/>
                <w:lang w:val="es-ES"/>
              </w:rPr>
              <w:t>27 de noviembre de 2009</w:t>
            </w:r>
          </w:p>
        </w:tc>
      </w:tr>
      <w:tr w:rsidR="003239B8" w:rsidRPr="00A53B9D" w14:paraId="3CF4949B" w14:textId="77777777" w:rsidTr="004A6A54">
        <w:trPr>
          <w:cantSplit/>
        </w:trPr>
        <w:tc>
          <w:tcPr>
            <w:tcW w:w="3600" w:type="dxa"/>
            <w:tcBorders>
              <w:top w:val="single" w:sz="6" w:space="0" w:color="auto"/>
              <w:bottom w:val="single" w:sz="6" w:space="0" w:color="auto"/>
            </w:tcBorders>
            <w:shd w:val="clear" w:color="auto" w:fill="386294"/>
            <w:vAlign w:val="center"/>
          </w:tcPr>
          <w:p w14:paraId="0B887B3B" w14:textId="77777777" w:rsidR="003239B8" w:rsidRPr="00A53B9D" w:rsidRDefault="003239B8" w:rsidP="00867D4C">
            <w:pPr>
              <w:jc w:val="center"/>
              <w:rPr>
                <w:rFonts w:asciiTheme="majorHAnsi" w:hAnsiTheme="majorHAnsi"/>
                <w:b/>
                <w:bCs/>
                <w:color w:val="FFFFFF" w:themeColor="background1"/>
                <w:sz w:val="20"/>
                <w:szCs w:val="20"/>
                <w:lang w:val="es-ES"/>
              </w:rPr>
            </w:pPr>
            <w:r w:rsidRPr="00A53B9D">
              <w:rPr>
                <w:rFonts w:asciiTheme="majorHAnsi" w:hAnsiTheme="majorHAnsi"/>
                <w:b/>
                <w:bCs/>
                <w:color w:val="FFFFFF" w:themeColor="background1"/>
                <w:sz w:val="20"/>
                <w:szCs w:val="20"/>
                <w:lang w:val="es-ES"/>
              </w:rPr>
              <w:t>Presentación dentro de plazo:</w:t>
            </w:r>
          </w:p>
        </w:tc>
        <w:tc>
          <w:tcPr>
            <w:tcW w:w="5760" w:type="dxa"/>
            <w:vAlign w:val="center"/>
          </w:tcPr>
          <w:p w14:paraId="0DEC4A8C" w14:textId="0BDB0389" w:rsidR="003239B8" w:rsidRPr="00A53B9D" w:rsidRDefault="001A6CFA" w:rsidP="00867D4C">
            <w:pPr>
              <w:rPr>
                <w:rFonts w:asciiTheme="majorHAnsi" w:hAnsiTheme="majorHAnsi"/>
                <w:bCs/>
                <w:sz w:val="20"/>
                <w:szCs w:val="20"/>
                <w:lang w:val="es-ES"/>
              </w:rPr>
            </w:pPr>
            <w:r w:rsidRPr="00A53B9D">
              <w:rPr>
                <w:rFonts w:asciiTheme="majorHAnsi" w:hAnsiTheme="majorHAnsi"/>
                <w:bCs/>
                <w:sz w:val="20"/>
                <w:szCs w:val="20"/>
                <w:lang w:val="es-ES"/>
              </w:rPr>
              <w:t>Sí</w:t>
            </w:r>
          </w:p>
        </w:tc>
      </w:tr>
    </w:tbl>
    <w:p w14:paraId="0DF5DD8C" w14:textId="5B0161D4" w:rsidR="003239B8" w:rsidRPr="00A53B9D" w:rsidRDefault="00223A29" w:rsidP="003B6CD2">
      <w:pPr>
        <w:spacing w:before="240" w:after="240"/>
        <w:ind w:firstLine="720"/>
        <w:jc w:val="both"/>
        <w:rPr>
          <w:rFonts w:asciiTheme="majorHAnsi" w:hAnsiTheme="majorHAnsi"/>
          <w:b/>
          <w:sz w:val="20"/>
          <w:szCs w:val="20"/>
          <w:lang w:val="es-ES"/>
        </w:rPr>
      </w:pPr>
      <w:r w:rsidRPr="00A53B9D">
        <w:rPr>
          <w:rFonts w:asciiTheme="majorHAnsi" w:hAnsiTheme="majorHAnsi"/>
          <w:b/>
          <w:sz w:val="20"/>
          <w:szCs w:val="20"/>
          <w:lang w:val="es-ES"/>
        </w:rPr>
        <w:lastRenderedPageBreak/>
        <w:t xml:space="preserve">V. </w:t>
      </w:r>
      <w:r w:rsidRPr="00A53B9D">
        <w:rPr>
          <w:rFonts w:asciiTheme="majorHAnsi" w:hAnsiTheme="majorHAnsi"/>
          <w:b/>
          <w:sz w:val="20"/>
          <w:szCs w:val="20"/>
          <w:lang w:val="es-ES"/>
        </w:rPr>
        <w:tab/>
      </w:r>
      <w:r w:rsidR="003239B8" w:rsidRPr="00A53B9D">
        <w:rPr>
          <w:rFonts w:asciiTheme="majorHAnsi" w:hAnsiTheme="majorHAnsi"/>
          <w:b/>
          <w:sz w:val="20"/>
          <w:szCs w:val="20"/>
          <w:lang w:val="es-ES"/>
        </w:rPr>
        <w:t xml:space="preserve">HECHOS ALEGADOS </w:t>
      </w:r>
    </w:p>
    <w:p w14:paraId="62BAE6CE" w14:textId="7C07C2E8" w:rsidR="005C75AC" w:rsidRPr="00A53B9D" w:rsidRDefault="001A6CFA" w:rsidP="001A6CF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A53B9D">
        <w:rPr>
          <w:rFonts w:asciiTheme="majorHAnsi" w:hAnsiTheme="majorHAnsi"/>
          <w:sz w:val="20"/>
          <w:szCs w:val="20"/>
          <w:lang w:val="es-ES"/>
        </w:rPr>
        <w:t xml:space="preserve">1. </w:t>
      </w:r>
      <w:r w:rsidR="009F1629" w:rsidRPr="00A53B9D">
        <w:rPr>
          <w:rFonts w:asciiTheme="majorHAnsi" w:hAnsiTheme="majorHAnsi"/>
          <w:sz w:val="20"/>
          <w:szCs w:val="20"/>
          <w:lang w:val="es-ES"/>
        </w:rPr>
        <w:tab/>
      </w:r>
      <w:r w:rsidR="00036029" w:rsidRPr="00A53B9D">
        <w:rPr>
          <w:rFonts w:asciiTheme="majorHAnsi" w:hAnsiTheme="majorHAnsi"/>
          <w:sz w:val="20"/>
          <w:szCs w:val="20"/>
          <w:lang w:val="es-ES"/>
        </w:rPr>
        <w:t xml:space="preserve">La </w:t>
      </w:r>
      <w:r w:rsidR="00910D93" w:rsidRPr="00A53B9D">
        <w:rPr>
          <w:rFonts w:asciiTheme="majorHAnsi" w:hAnsiTheme="majorHAnsi"/>
          <w:sz w:val="20"/>
          <w:szCs w:val="20"/>
          <w:lang w:val="es-ES"/>
        </w:rPr>
        <w:t>peticionaria</w:t>
      </w:r>
      <w:r w:rsidR="009F1629" w:rsidRPr="00A53B9D">
        <w:rPr>
          <w:rFonts w:asciiTheme="majorHAnsi" w:hAnsiTheme="majorHAnsi"/>
          <w:sz w:val="20"/>
          <w:szCs w:val="20"/>
          <w:lang w:val="es-ES"/>
        </w:rPr>
        <w:t xml:space="preserve"> solicita</w:t>
      </w:r>
      <w:r w:rsidR="00036029" w:rsidRPr="00A53B9D">
        <w:rPr>
          <w:rFonts w:asciiTheme="majorHAnsi" w:hAnsiTheme="majorHAnsi"/>
          <w:sz w:val="20"/>
          <w:szCs w:val="20"/>
          <w:lang w:val="es-ES"/>
        </w:rPr>
        <w:t xml:space="preserve"> que se declare al Estado </w:t>
      </w:r>
      <w:r w:rsidR="00462E1E" w:rsidRPr="00A53B9D">
        <w:rPr>
          <w:rFonts w:asciiTheme="majorHAnsi" w:hAnsiTheme="majorHAnsi"/>
          <w:sz w:val="20"/>
          <w:szCs w:val="20"/>
          <w:lang w:val="es-ES"/>
        </w:rPr>
        <w:t xml:space="preserve">peruano </w:t>
      </w:r>
      <w:r w:rsidR="00036029" w:rsidRPr="00A53B9D">
        <w:rPr>
          <w:rFonts w:asciiTheme="majorHAnsi" w:hAnsiTheme="majorHAnsi"/>
          <w:sz w:val="20"/>
          <w:szCs w:val="20"/>
          <w:lang w:val="es-ES"/>
        </w:rPr>
        <w:t>internacionalmente responsable por la violación de sus derechos a la seguridad social, propiedad privada, igualdad ante la ley</w:t>
      </w:r>
      <w:r w:rsidR="00A11E24" w:rsidRPr="00A53B9D">
        <w:rPr>
          <w:rFonts w:asciiTheme="majorHAnsi" w:hAnsiTheme="majorHAnsi"/>
          <w:sz w:val="20"/>
          <w:szCs w:val="20"/>
          <w:lang w:val="es-ES"/>
        </w:rPr>
        <w:t>, garantías judiciales</w:t>
      </w:r>
      <w:r w:rsidR="00036029" w:rsidRPr="00A53B9D">
        <w:rPr>
          <w:rFonts w:asciiTheme="majorHAnsi" w:hAnsiTheme="majorHAnsi"/>
          <w:sz w:val="20"/>
          <w:szCs w:val="20"/>
          <w:lang w:val="es-ES"/>
        </w:rPr>
        <w:t xml:space="preserve"> y la protección judicial, en virtud de la falta de pago íntegro de su mesada pensional por las autoridades administrativas</w:t>
      </w:r>
      <w:r w:rsidR="009F1629" w:rsidRPr="00A53B9D">
        <w:rPr>
          <w:rFonts w:asciiTheme="majorHAnsi" w:hAnsiTheme="majorHAnsi"/>
          <w:sz w:val="20"/>
          <w:szCs w:val="20"/>
          <w:lang w:val="es-ES"/>
        </w:rPr>
        <w:t>;</w:t>
      </w:r>
      <w:r w:rsidR="00036029" w:rsidRPr="00A53B9D">
        <w:rPr>
          <w:rFonts w:asciiTheme="majorHAnsi" w:hAnsiTheme="majorHAnsi"/>
          <w:sz w:val="20"/>
          <w:szCs w:val="20"/>
          <w:lang w:val="es-ES"/>
        </w:rPr>
        <w:t xml:space="preserve"> y </w:t>
      </w:r>
      <w:r w:rsidR="009F1629" w:rsidRPr="00A53B9D">
        <w:rPr>
          <w:rFonts w:asciiTheme="majorHAnsi" w:hAnsiTheme="majorHAnsi"/>
          <w:sz w:val="20"/>
          <w:szCs w:val="20"/>
          <w:lang w:val="es-ES"/>
        </w:rPr>
        <w:t xml:space="preserve">en virtud </w:t>
      </w:r>
      <w:r w:rsidR="00036029" w:rsidRPr="00A53B9D">
        <w:rPr>
          <w:rFonts w:asciiTheme="majorHAnsi" w:hAnsiTheme="majorHAnsi"/>
          <w:sz w:val="20"/>
          <w:szCs w:val="20"/>
          <w:lang w:val="es-ES"/>
        </w:rPr>
        <w:t>de las decisiones judiciales adoptadas en los procesos subsiguientes por ella iniciados ante las cortes peruanas</w:t>
      </w:r>
      <w:r w:rsidR="008678C2" w:rsidRPr="00A53B9D">
        <w:rPr>
          <w:rFonts w:asciiTheme="majorHAnsi" w:hAnsiTheme="majorHAnsi"/>
          <w:sz w:val="20"/>
          <w:szCs w:val="20"/>
          <w:lang w:val="es-ES"/>
        </w:rPr>
        <w:t>, que</w:t>
      </w:r>
      <w:r w:rsidR="00867D4C" w:rsidRPr="00A53B9D">
        <w:rPr>
          <w:rFonts w:asciiTheme="majorHAnsi" w:hAnsiTheme="majorHAnsi"/>
          <w:sz w:val="20"/>
          <w:szCs w:val="20"/>
          <w:lang w:val="es-ES"/>
        </w:rPr>
        <w:t xml:space="preserve"> según sostiene,</w:t>
      </w:r>
      <w:r w:rsidR="008678C2" w:rsidRPr="00A53B9D">
        <w:rPr>
          <w:rFonts w:asciiTheme="majorHAnsi" w:hAnsiTheme="majorHAnsi"/>
          <w:sz w:val="20"/>
          <w:szCs w:val="20"/>
          <w:lang w:val="es-ES"/>
        </w:rPr>
        <w:t xml:space="preserve"> se abstuvieron de proteger sus derechos</w:t>
      </w:r>
      <w:r w:rsidR="00036029" w:rsidRPr="00A53B9D">
        <w:rPr>
          <w:rFonts w:asciiTheme="majorHAnsi" w:hAnsiTheme="majorHAnsi"/>
          <w:sz w:val="20"/>
          <w:szCs w:val="20"/>
          <w:lang w:val="es-ES"/>
        </w:rPr>
        <w:t>.</w:t>
      </w:r>
      <w:r w:rsidR="00456CB7" w:rsidRPr="00A53B9D">
        <w:rPr>
          <w:rFonts w:asciiTheme="majorHAnsi" w:hAnsiTheme="majorHAnsi"/>
          <w:sz w:val="20"/>
          <w:szCs w:val="20"/>
          <w:lang w:val="es-ES"/>
        </w:rPr>
        <w:t xml:space="preserve"> La </w:t>
      </w:r>
      <w:r w:rsidR="009F1629" w:rsidRPr="00A53B9D">
        <w:rPr>
          <w:rFonts w:asciiTheme="majorHAnsi" w:hAnsiTheme="majorHAnsi"/>
          <w:sz w:val="20"/>
          <w:szCs w:val="20"/>
          <w:lang w:val="es-ES"/>
        </w:rPr>
        <w:t>Sra.</w:t>
      </w:r>
      <w:r w:rsidR="00456CB7" w:rsidRPr="00A53B9D">
        <w:rPr>
          <w:rFonts w:asciiTheme="majorHAnsi" w:hAnsiTheme="majorHAnsi"/>
          <w:sz w:val="20"/>
          <w:szCs w:val="20"/>
          <w:lang w:val="es-ES"/>
        </w:rPr>
        <w:t xml:space="preserve"> Ortega La Rosa es una adulta mayor, de ochenta </w:t>
      </w:r>
      <w:r w:rsidR="00D22E67">
        <w:rPr>
          <w:rFonts w:asciiTheme="majorHAnsi" w:hAnsiTheme="majorHAnsi"/>
          <w:sz w:val="20"/>
          <w:szCs w:val="20"/>
          <w:lang w:val="es-ES"/>
        </w:rPr>
        <w:t xml:space="preserve">y siete </w:t>
      </w:r>
      <w:r w:rsidR="00A53B9D" w:rsidRPr="00A53B9D">
        <w:rPr>
          <w:rFonts w:asciiTheme="majorHAnsi" w:hAnsiTheme="majorHAnsi"/>
          <w:sz w:val="20"/>
          <w:szCs w:val="20"/>
          <w:lang w:val="es-ES"/>
        </w:rPr>
        <w:t>años</w:t>
      </w:r>
      <w:r w:rsidR="00456CB7" w:rsidRPr="00A53B9D">
        <w:rPr>
          <w:rFonts w:asciiTheme="majorHAnsi" w:hAnsiTheme="majorHAnsi"/>
          <w:sz w:val="20"/>
          <w:szCs w:val="20"/>
          <w:lang w:val="es-ES"/>
        </w:rPr>
        <w:t xml:space="preserve"> a la fecha </w:t>
      </w:r>
      <w:r w:rsidR="009F1629" w:rsidRPr="00A53B9D">
        <w:rPr>
          <w:rFonts w:asciiTheme="majorHAnsi" w:hAnsiTheme="majorHAnsi"/>
          <w:sz w:val="20"/>
          <w:szCs w:val="20"/>
          <w:lang w:val="es-ES"/>
        </w:rPr>
        <w:t>del</w:t>
      </w:r>
      <w:r w:rsidR="00456CB7" w:rsidRPr="00A53B9D">
        <w:rPr>
          <w:rFonts w:asciiTheme="majorHAnsi" w:hAnsiTheme="majorHAnsi"/>
          <w:sz w:val="20"/>
          <w:szCs w:val="20"/>
          <w:lang w:val="es-ES"/>
        </w:rPr>
        <w:t xml:space="preserve"> presente </w:t>
      </w:r>
      <w:r w:rsidR="009F1629" w:rsidRPr="00A53B9D">
        <w:rPr>
          <w:rFonts w:asciiTheme="majorHAnsi" w:hAnsiTheme="majorHAnsi"/>
          <w:sz w:val="20"/>
          <w:szCs w:val="20"/>
          <w:lang w:val="es-ES"/>
        </w:rPr>
        <w:t>informe</w:t>
      </w:r>
      <w:r w:rsidR="00A11E24" w:rsidRPr="00A53B9D">
        <w:rPr>
          <w:rFonts w:asciiTheme="majorHAnsi" w:hAnsiTheme="majorHAnsi"/>
          <w:sz w:val="20"/>
          <w:szCs w:val="20"/>
          <w:lang w:val="es-ES"/>
        </w:rPr>
        <w:t xml:space="preserve">, e invoca en su petición lo dispuesto en el artículo 17 del Protocolo de San Salvador sobre el derecho </w:t>
      </w:r>
      <w:r w:rsidR="00867D4C" w:rsidRPr="00A53B9D">
        <w:rPr>
          <w:rFonts w:asciiTheme="majorHAnsi" w:hAnsiTheme="majorHAnsi"/>
          <w:sz w:val="20"/>
          <w:szCs w:val="20"/>
          <w:lang w:val="es-ES"/>
        </w:rPr>
        <w:t xml:space="preserve">de las personas </w:t>
      </w:r>
      <w:r w:rsidR="00A11E24" w:rsidRPr="00A53B9D">
        <w:rPr>
          <w:rFonts w:asciiTheme="majorHAnsi" w:hAnsiTheme="majorHAnsi"/>
          <w:sz w:val="20"/>
          <w:szCs w:val="20"/>
          <w:lang w:val="es-ES"/>
        </w:rPr>
        <w:t xml:space="preserve">a la protección especial durante su ancianidad. </w:t>
      </w:r>
    </w:p>
    <w:p w14:paraId="2B590F9E" w14:textId="2153D203" w:rsidR="00036029" w:rsidRPr="00A53B9D" w:rsidRDefault="001A6CFA" w:rsidP="001A6CF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A53B9D">
        <w:rPr>
          <w:rFonts w:asciiTheme="majorHAnsi" w:hAnsiTheme="majorHAnsi"/>
          <w:sz w:val="20"/>
          <w:szCs w:val="20"/>
          <w:lang w:val="es-ES"/>
        </w:rPr>
        <w:t xml:space="preserve">2. </w:t>
      </w:r>
      <w:r w:rsidR="00462E1E" w:rsidRPr="00A53B9D">
        <w:rPr>
          <w:rFonts w:asciiTheme="majorHAnsi" w:hAnsiTheme="majorHAnsi"/>
          <w:sz w:val="20"/>
          <w:szCs w:val="20"/>
          <w:lang w:val="es-ES"/>
        </w:rPr>
        <w:tab/>
      </w:r>
      <w:r w:rsidR="00867D4C" w:rsidRPr="00A53B9D">
        <w:rPr>
          <w:rFonts w:asciiTheme="majorHAnsi" w:hAnsiTheme="majorHAnsi"/>
          <w:sz w:val="20"/>
          <w:szCs w:val="20"/>
          <w:lang w:val="es-ES"/>
        </w:rPr>
        <w:t xml:space="preserve">La </w:t>
      </w:r>
      <w:r w:rsidR="00910D93" w:rsidRPr="00A53B9D">
        <w:rPr>
          <w:rFonts w:asciiTheme="majorHAnsi" w:hAnsiTheme="majorHAnsi"/>
          <w:sz w:val="20"/>
          <w:szCs w:val="20"/>
          <w:lang w:val="es-ES"/>
        </w:rPr>
        <w:t>Sra. Ortega</w:t>
      </w:r>
      <w:r w:rsidR="00867D4C" w:rsidRPr="00A53B9D">
        <w:rPr>
          <w:rFonts w:asciiTheme="majorHAnsi" w:hAnsiTheme="majorHAnsi"/>
          <w:sz w:val="20"/>
          <w:szCs w:val="20"/>
          <w:lang w:val="es-ES"/>
        </w:rPr>
        <w:t xml:space="preserve"> r</w:t>
      </w:r>
      <w:r w:rsidR="00036029" w:rsidRPr="00A53B9D">
        <w:rPr>
          <w:rFonts w:asciiTheme="majorHAnsi" w:hAnsiTheme="majorHAnsi"/>
          <w:sz w:val="20"/>
          <w:szCs w:val="20"/>
          <w:lang w:val="es-ES"/>
        </w:rPr>
        <w:t xml:space="preserve">elata que la Gerencia General del Poder Judicial del Estado Peruano, mediante Resolución de la Gerencia de Personal y Escalafón Judicial del 13 de noviembre de 2003, le reconoció el derecho a la pensión de sobreviviente (viudez) en su condición de cónyuge supérstite de un Magistrado </w:t>
      </w:r>
      <w:r w:rsidR="00FE2FFF" w:rsidRPr="00A53B9D">
        <w:rPr>
          <w:rFonts w:asciiTheme="majorHAnsi" w:hAnsiTheme="majorHAnsi"/>
          <w:sz w:val="20"/>
          <w:szCs w:val="20"/>
          <w:lang w:val="es-ES"/>
        </w:rPr>
        <w:t>j</w:t>
      </w:r>
      <w:r w:rsidR="00036029" w:rsidRPr="00A53B9D">
        <w:rPr>
          <w:rFonts w:asciiTheme="majorHAnsi" w:hAnsiTheme="majorHAnsi"/>
          <w:sz w:val="20"/>
          <w:szCs w:val="20"/>
          <w:lang w:val="es-ES"/>
        </w:rPr>
        <w:t xml:space="preserve">ubilado del Poder Judicial, y fijó </w:t>
      </w:r>
      <w:r w:rsidR="00867D4C" w:rsidRPr="00A53B9D">
        <w:rPr>
          <w:rFonts w:asciiTheme="majorHAnsi" w:hAnsiTheme="majorHAnsi"/>
          <w:sz w:val="20"/>
          <w:szCs w:val="20"/>
          <w:lang w:val="es-ES"/>
        </w:rPr>
        <w:t xml:space="preserve">allí </w:t>
      </w:r>
      <w:r w:rsidR="00036029" w:rsidRPr="00A53B9D">
        <w:rPr>
          <w:rFonts w:asciiTheme="majorHAnsi" w:hAnsiTheme="majorHAnsi"/>
          <w:sz w:val="20"/>
          <w:szCs w:val="20"/>
          <w:lang w:val="es-ES"/>
        </w:rPr>
        <w:t xml:space="preserve">el monto de su mesada. No obstante, en el mismo acto administrativo, sólo se autorizó </w:t>
      </w:r>
      <w:r w:rsidR="00867D4C" w:rsidRPr="00A53B9D">
        <w:rPr>
          <w:rFonts w:asciiTheme="majorHAnsi" w:hAnsiTheme="majorHAnsi"/>
          <w:sz w:val="20"/>
          <w:szCs w:val="20"/>
          <w:lang w:val="es-ES"/>
        </w:rPr>
        <w:t xml:space="preserve">la </w:t>
      </w:r>
      <w:r w:rsidR="00036029" w:rsidRPr="00A53B9D">
        <w:rPr>
          <w:rFonts w:asciiTheme="majorHAnsi" w:hAnsiTheme="majorHAnsi"/>
          <w:sz w:val="20"/>
          <w:szCs w:val="20"/>
          <w:lang w:val="es-ES"/>
        </w:rPr>
        <w:t xml:space="preserve">consignación efectiva a la cuenta bancaria de la </w:t>
      </w:r>
      <w:r w:rsidR="00910D93" w:rsidRPr="00A53B9D">
        <w:rPr>
          <w:rFonts w:asciiTheme="majorHAnsi" w:hAnsiTheme="majorHAnsi"/>
          <w:sz w:val="20"/>
          <w:szCs w:val="20"/>
          <w:lang w:val="es-ES"/>
        </w:rPr>
        <w:t>Sra.</w:t>
      </w:r>
      <w:r w:rsidR="00036029" w:rsidRPr="00A53B9D">
        <w:rPr>
          <w:rFonts w:asciiTheme="majorHAnsi" w:hAnsiTheme="majorHAnsi"/>
          <w:sz w:val="20"/>
          <w:szCs w:val="20"/>
          <w:lang w:val="es-ES"/>
        </w:rPr>
        <w:t xml:space="preserve"> Ortega de un valor equivalente a la mitad de dicha mesada, disponiéndose que el saldo restante sería pagado una vez que el Ministerio de Economía y Finanzas autorizara los recursos presupuestales correspondientes al Poder Judicial. </w:t>
      </w:r>
    </w:p>
    <w:p w14:paraId="46221A38" w14:textId="138F732A" w:rsidR="00036029" w:rsidRPr="00A53B9D" w:rsidRDefault="001A6CFA" w:rsidP="001A6CF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A53B9D">
        <w:rPr>
          <w:rFonts w:asciiTheme="majorHAnsi" w:hAnsiTheme="majorHAnsi"/>
          <w:sz w:val="20"/>
          <w:szCs w:val="20"/>
          <w:lang w:val="es-ES"/>
        </w:rPr>
        <w:t xml:space="preserve">3. </w:t>
      </w:r>
      <w:r w:rsidR="0029456C" w:rsidRPr="00A53B9D">
        <w:rPr>
          <w:rFonts w:asciiTheme="majorHAnsi" w:hAnsiTheme="majorHAnsi"/>
          <w:sz w:val="20"/>
          <w:szCs w:val="20"/>
          <w:lang w:val="es-ES"/>
        </w:rPr>
        <w:tab/>
      </w:r>
      <w:r w:rsidR="000B22F3" w:rsidRPr="00A53B9D">
        <w:rPr>
          <w:rFonts w:asciiTheme="majorHAnsi" w:hAnsiTheme="majorHAnsi"/>
          <w:sz w:val="20"/>
          <w:szCs w:val="20"/>
          <w:lang w:val="es-ES"/>
        </w:rPr>
        <w:t>L</w:t>
      </w:r>
      <w:r w:rsidR="00036029" w:rsidRPr="00A53B9D">
        <w:rPr>
          <w:rFonts w:asciiTheme="majorHAnsi" w:hAnsiTheme="majorHAnsi"/>
          <w:sz w:val="20"/>
          <w:szCs w:val="20"/>
          <w:lang w:val="es-ES"/>
        </w:rPr>
        <w:t xml:space="preserve">a </w:t>
      </w:r>
      <w:r w:rsidR="000B22F3" w:rsidRPr="00A53B9D">
        <w:rPr>
          <w:rFonts w:asciiTheme="majorHAnsi" w:hAnsiTheme="majorHAnsi"/>
          <w:sz w:val="20"/>
          <w:szCs w:val="20"/>
          <w:lang w:val="es-ES"/>
        </w:rPr>
        <w:t>Sra.</w:t>
      </w:r>
      <w:r w:rsidR="00036029" w:rsidRPr="00A53B9D">
        <w:rPr>
          <w:rFonts w:asciiTheme="majorHAnsi" w:hAnsiTheme="majorHAnsi"/>
          <w:sz w:val="20"/>
          <w:szCs w:val="20"/>
          <w:lang w:val="es-ES"/>
        </w:rPr>
        <w:t xml:space="preserve"> Ortega</w:t>
      </w:r>
      <w:r w:rsidR="000B22F3" w:rsidRPr="00A53B9D">
        <w:rPr>
          <w:rFonts w:asciiTheme="majorHAnsi" w:hAnsiTheme="majorHAnsi"/>
          <w:sz w:val="20"/>
          <w:szCs w:val="20"/>
          <w:lang w:val="es-ES"/>
        </w:rPr>
        <w:t xml:space="preserve"> indica que</w:t>
      </w:r>
      <w:r w:rsidR="00036029" w:rsidRPr="00A53B9D">
        <w:rPr>
          <w:rFonts w:asciiTheme="majorHAnsi" w:hAnsiTheme="majorHAnsi"/>
          <w:sz w:val="20"/>
          <w:szCs w:val="20"/>
          <w:lang w:val="es-ES"/>
        </w:rPr>
        <w:t xml:space="preserve"> durante </w:t>
      </w:r>
      <w:r w:rsidR="0029456C" w:rsidRPr="00A53B9D">
        <w:rPr>
          <w:rFonts w:asciiTheme="majorHAnsi" w:hAnsiTheme="majorHAnsi"/>
          <w:sz w:val="20"/>
          <w:szCs w:val="20"/>
          <w:lang w:val="es-ES"/>
        </w:rPr>
        <w:t xml:space="preserve">los siguientes </w:t>
      </w:r>
      <w:r w:rsidR="004456DF" w:rsidRPr="00A53B9D">
        <w:rPr>
          <w:rFonts w:asciiTheme="majorHAnsi" w:hAnsiTheme="majorHAnsi"/>
          <w:sz w:val="20"/>
          <w:szCs w:val="20"/>
          <w:lang w:val="es-ES"/>
        </w:rPr>
        <w:t xml:space="preserve">tres </w:t>
      </w:r>
      <w:r w:rsidR="00036029" w:rsidRPr="00A53B9D">
        <w:rPr>
          <w:rFonts w:asciiTheme="majorHAnsi" w:hAnsiTheme="majorHAnsi"/>
          <w:sz w:val="20"/>
          <w:szCs w:val="20"/>
          <w:lang w:val="es-ES"/>
        </w:rPr>
        <w:t xml:space="preserve">años </w:t>
      </w:r>
      <w:r w:rsidR="000B22F3" w:rsidRPr="00A53B9D">
        <w:rPr>
          <w:rFonts w:asciiTheme="majorHAnsi" w:hAnsiTheme="majorHAnsi"/>
          <w:sz w:val="20"/>
          <w:szCs w:val="20"/>
          <w:lang w:val="es-ES"/>
        </w:rPr>
        <w:t>recibió</w:t>
      </w:r>
      <w:r w:rsidR="00036029" w:rsidRPr="00A53B9D">
        <w:rPr>
          <w:rFonts w:asciiTheme="majorHAnsi" w:hAnsiTheme="majorHAnsi"/>
          <w:sz w:val="20"/>
          <w:szCs w:val="20"/>
          <w:lang w:val="es-ES"/>
        </w:rPr>
        <w:t xml:space="preserve"> </w:t>
      </w:r>
      <w:r w:rsidR="0029456C" w:rsidRPr="00A53B9D">
        <w:rPr>
          <w:rFonts w:asciiTheme="majorHAnsi" w:hAnsiTheme="majorHAnsi"/>
          <w:sz w:val="20"/>
          <w:szCs w:val="20"/>
          <w:lang w:val="es-ES"/>
        </w:rPr>
        <w:t>mensualmente</w:t>
      </w:r>
      <w:r w:rsidR="00036029" w:rsidRPr="00A53B9D">
        <w:rPr>
          <w:rFonts w:asciiTheme="majorHAnsi" w:hAnsiTheme="majorHAnsi"/>
          <w:sz w:val="20"/>
          <w:szCs w:val="20"/>
          <w:lang w:val="es-ES"/>
        </w:rPr>
        <w:t xml:space="preserve"> la mitad de</w:t>
      </w:r>
      <w:r w:rsidR="00867D4C" w:rsidRPr="00A53B9D">
        <w:rPr>
          <w:rFonts w:asciiTheme="majorHAnsi" w:hAnsiTheme="majorHAnsi"/>
          <w:sz w:val="20"/>
          <w:szCs w:val="20"/>
          <w:lang w:val="es-ES"/>
        </w:rPr>
        <w:t xml:space="preserve">l valor de </w:t>
      </w:r>
      <w:r w:rsidR="00036029" w:rsidRPr="00A53B9D">
        <w:rPr>
          <w:rFonts w:asciiTheme="majorHAnsi" w:hAnsiTheme="majorHAnsi"/>
          <w:sz w:val="20"/>
          <w:szCs w:val="20"/>
          <w:lang w:val="es-ES"/>
        </w:rPr>
        <w:t xml:space="preserve">su mesada pensional. </w:t>
      </w:r>
      <w:r w:rsidR="00D22E67">
        <w:rPr>
          <w:rFonts w:asciiTheme="majorHAnsi" w:hAnsiTheme="majorHAnsi"/>
          <w:sz w:val="20"/>
          <w:szCs w:val="20"/>
          <w:lang w:val="es-ES"/>
        </w:rPr>
        <w:t>E</w:t>
      </w:r>
      <w:r w:rsidR="0029456C" w:rsidRPr="00A53B9D">
        <w:rPr>
          <w:rFonts w:asciiTheme="majorHAnsi" w:hAnsiTheme="majorHAnsi"/>
          <w:sz w:val="20"/>
          <w:szCs w:val="20"/>
          <w:lang w:val="es-ES"/>
        </w:rPr>
        <w:t xml:space="preserve">l </w:t>
      </w:r>
      <w:r w:rsidR="00036029" w:rsidRPr="00A53B9D">
        <w:rPr>
          <w:rFonts w:asciiTheme="majorHAnsi" w:hAnsiTheme="majorHAnsi"/>
          <w:sz w:val="20"/>
          <w:szCs w:val="20"/>
          <w:lang w:val="es-ES"/>
        </w:rPr>
        <w:t xml:space="preserve">11 de diciembre de 2006 </w:t>
      </w:r>
      <w:r w:rsidR="000B22F3" w:rsidRPr="00A53B9D">
        <w:rPr>
          <w:rFonts w:asciiTheme="majorHAnsi" w:hAnsiTheme="majorHAnsi"/>
          <w:sz w:val="20"/>
          <w:szCs w:val="20"/>
          <w:lang w:val="es-ES"/>
        </w:rPr>
        <w:t>inició</w:t>
      </w:r>
      <w:r w:rsidR="00036029" w:rsidRPr="00A53B9D">
        <w:rPr>
          <w:rFonts w:asciiTheme="majorHAnsi" w:hAnsiTheme="majorHAnsi"/>
          <w:sz w:val="20"/>
          <w:szCs w:val="20"/>
          <w:lang w:val="es-ES"/>
        </w:rPr>
        <w:t xml:space="preserve"> </w:t>
      </w:r>
      <w:r w:rsidR="000B22F3" w:rsidRPr="00A53B9D">
        <w:rPr>
          <w:rFonts w:asciiTheme="majorHAnsi" w:hAnsiTheme="majorHAnsi"/>
          <w:sz w:val="20"/>
          <w:szCs w:val="20"/>
          <w:lang w:val="es-ES"/>
        </w:rPr>
        <w:t>un</w:t>
      </w:r>
      <w:r w:rsidR="00036029" w:rsidRPr="00A53B9D">
        <w:rPr>
          <w:rFonts w:asciiTheme="majorHAnsi" w:hAnsiTheme="majorHAnsi"/>
          <w:sz w:val="20"/>
          <w:szCs w:val="20"/>
          <w:lang w:val="es-ES"/>
        </w:rPr>
        <w:t xml:space="preserve"> Proceso de Cumplimiento para que se ordenara la ejecución del reconocimiento administrativo de su derecho a la pensión, y se dispusiera el pago completo, tanto de los dineros adeudados como de las mesadas futuras. </w:t>
      </w:r>
      <w:r w:rsidR="0029456C" w:rsidRPr="00A53B9D">
        <w:rPr>
          <w:rFonts w:asciiTheme="majorHAnsi" w:hAnsiTheme="majorHAnsi"/>
          <w:sz w:val="20"/>
          <w:szCs w:val="20"/>
          <w:lang w:val="es-ES"/>
        </w:rPr>
        <w:t>Así, m</w:t>
      </w:r>
      <w:r w:rsidR="004456DF" w:rsidRPr="00A53B9D">
        <w:rPr>
          <w:rFonts w:asciiTheme="majorHAnsi" w:hAnsiTheme="majorHAnsi"/>
          <w:sz w:val="20"/>
          <w:szCs w:val="20"/>
          <w:lang w:val="es-ES"/>
        </w:rPr>
        <w:t xml:space="preserve">ediante sentencia del 26 de junio de 2007, el Cuarto Juzgado Civil de Lima declaró fundada la demanda y accedió a </w:t>
      </w:r>
      <w:r w:rsidR="0029456C" w:rsidRPr="00A53B9D">
        <w:rPr>
          <w:rFonts w:asciiTheme="majorHAnsi" w:hAnsiTheme="majorHAnsi"/>
          <w:sz w:val="20"/>
          <w:szCs w:val="20"/>
          <w:lang w:val="es-ES"/>
        </w:rPr>
        <w:t>las</w:t>
      </w:r>
      <w:r w:rsidR="004456DF" w:rsidRPr="00A53B9D">
        <w:rPr>
          <w:rFonts w:asciiTheme="majorHAnsi" w:hAnsiTheme="majorHAnsi"/>
          <w:sz w:val="20"/>
          <w:szCs w:val="20"/>
          <w:lang w:val="es-ES"/>
        </w:rPr>
        <w:t xml:space="preserve"> pretensiones</w:t>
      </w:r>
      <w:r w:rsidR="0029456C" w:rsidRPr="00A53B9D">
        <w:rPr>
          <w:rFonts w:asciiTheme="majorHAnsi" w:hAnsiTheme="majorHAnsi"/>
          <w:sz w:val="20"/>
          <w:szCs w:val="20"/>
          <w:lang w:val="es-ES"/>
        </w:rPr>
        <w:t xml:space="preserve"> de la Sra. Ortega</w:t>
      </w:r>
      <w:r w:rsidR="004456DF" w:rsidRPr="00A53B9D">
        <w:rPr>
          <w:rFonts w:asciiTheme="majorHAnsi" w:hAnsiTheme="majorHAnsi"/>
          <w:sz w:val="20"/>
          <w:szCs w:val="20"/>
          <w:lang w:val="es-ES"/>
        </w:rPr>
        <w:t xml:space="preserve">. Sin embargo, esta decisión fue apelada, y la Quinta Sala Civil de la Corte Superior de Justicia de Lima, en fallo del 8 de abril de 2008, la revocó, </w:t>
      </w:r>
      <w:r w:rsidR="0029456C" w:rsidRPr="00A53B9D">
        <w:rPr>
          <w:rFonts w:asciiTheme="majorHAnsi" w:hAnsiTheme="majorHAnsi"/>
          <w:sz w:val="20"/>
          <w:szCs w:val="20"/>
          <w:lang w:val="es-ES"/>
        </w:rPr>
        <w:t>declarando</w:t>
      </w:r>
      <w:r w:rsidR="004456DF" w:rsidRPr="00A53B9D">
        <w:rPr>
          <w:rFonts w:asciiTheme="majorHAnsi" w:hAnsiTheme="majorHAnsi"/>
          <w:sz w:val="20"/>
          <w:szCs w:val="20"/>
          <w:lang w:val="es-ES"/>
        </w:rPr>
        <w:t xml:space="preserve"> improcedente la demanda</w:t>
      </w:r>
      <w:r w:rsidR="008678C2" w:rsidRPr="00A53B9D">
        <w:rPr>
          <w:rFonts w:asciiTheme="majorHAnsi" w:hAnsiTheme="majorHAnsi"/>
          <w:sz w:val="20"/>
          <w:szCs w:val="20"/>
          <w:lang w:val="es-ES"/>
        </w:rPr>
        <w:t xml:space="preserve">, </w:t>
      </w:r>
      <w:r w:rsidR="0029456C" w:rsidRPr="00A53B9D">
        <w:rPr>
          <w:rFonts w:asciiTheme="majorHAnsi" w:hAnsiTheme="majorHAnsi"/>
          <w:sz w:val="20"/>
          <w:szCs w:val="20"/>
          <w:lang w:val="es-ES"/>
        </w:rPr>
        <w:t>por considerar</w:t>
      </w:r>
      <w:r w:rsidR="008678C2" w:rsidRPr="00A53B9D">
        <w:rPr>
          <w:rFonts w:asciiTheme="majorHAnsi" w:hAnsiTheme="majorHAnsi"/>
          <w:sz w:val="20"/>
          <w:szCs w:val="20"/>
          <w:lang w:val="es-ES"/>
        </w:rPr>
        <w:t xml:space="preserve"> que el acto administrativo que reconoció el derecho a la pensión no tenía “</w:t>
      </w:r>
      <w:r w:rsidR="008678C2" w:rsidRPr="00A53B9D">
        <w:rPr>
          <w:rFonts w:asciiTheme="majorHAnsi" w:hAnsiTheme="majorHAnsi"/>
          <w:i/>
          <w:iCs/>
          <w:sz w:val="20"/>
          <w:szCs w:val="20"/>
          <w:lang w:val="es-ES"/>
        </w:rPr>
        <w:t>virtualidad suficiente</w:t>
      </w:r>
      <w:r w:rsidR="008678C2" w:rsidRPr="00A53B9D">
        <w:rPr>
          <w:rFonts w:asciiTheme="majorHAnsi" w:hAnsiTheme="majorHAnsi"/>
          <w:sz w:val="20"/>
          <w:szCs w:val="20"/>
          <w:lang w:val="es-ES"/>
        </w:rPr>
        <w:t>” para justificar un mandamiento de pago</w:t>
      </w:r>
      <w:r w:rsidR="004456DF" w:rsidRPr="00A53B9D">
        <w:rPr>
          <w:rFonts w:asciiTheme="majorHAnsi" w:hAnsiTheme="majorHAnsi"/>
          <w:sz w:val="20"/>
          <w:szCs w:val="20"/>
          <w:lang w:val="es-ES"/>
        </w:rPr>
        <w:t xml:space="preserve">. La señora Ortega </w:t>
      </w:r>
      <w:r w:rsidR="0029456C" w:rsidRPr="00A53B9D">
        <w:rPr>
          <w:rFonts w:asciiTheme="majorHAnsi" w:hAnsiTheme="majorHAnsi"/>
          <w:sz w:val="20"/>
          <w:szCs w:val="20"/>
          <w:lang w:val="es-ES"/>
        </w:rPr>
        <w:t>alega</w:t>
      </w:r>
      <w:r w:rsidR="004456DF" w:rsidRPr="00A53B9D">
        <w:rPr>
          <w:rFonts w:asciiTheme="majorHAnsi" w:hAnsiTheme="majorHAnsi"/>
          <w:sz w:val="20"/>
          <w:szCs w:val="20"/>
          <w:lang w:val="es-ES"/>
        </w:rPr>
        <w:t xml:space="preserve"> que en este fallo no señaló </w:t>
      </w:r>
      <w:r w:rsidR="0029456C" w:rsidRPr="00A53B9D">
        <w:rPr>
          <w:rFonts w:asciiTheme="majorHAnsi" w:hAnsiTheme="majorHAnsi"/>
          <w:sz w:val="20"/>
          <w:szCs w:val="20"/>
          <w:lang w:val="es-ES"/>
        </w:rPr>
        <w:t xml:space="preserve">qué </w:t>
      </w:r>
      <w:r w:rsidR="004456DF" w:rsidRPr="00A53B9D">
        <w:rPr>
          <w:rFonts w:asciiTheme="majorHAnsi" w:hAnsiTheme="majorHAnsi"/>
          <w:sz w:val="20"/>
          <w:szCs w:val="20"/>
          <w:lang w:val="es-ES"/>
        </w:rPr>
        <w:t xml:space="preserve">causal de improcedencia </w:t>
      </w:r>
      <w:r w:rsidR="0029456C" w:rsidRPr="00A53B9D">
        <w:rPr>
          <w:rFonts w:asciiTheme="majorHAnsi" w:hAnsiTheme="majorHAnsi"/>
          <w:sz w:val="20"/>
          <w:szCs w:val="20"/>
          <w:lang w:val="es-ES"/>
        </w:rPr>
        <w:t>aplicó</w:t>
      </w:r>
      <w:r w:rsidR="004456DF" w:rsidRPr="00A53B9D">
        <w:rPr>
          <w:rFonts w:asciiTheme="majorHAnsi" w:hAnsiTheme="majorHAnsi"/>
          <w:sz w:val="20"/>
          <w:szCs w:val="20"/>
          <w:lang w:val="es-ES"/>
        </w:rPr>
        <w:t xml:space="preserve">, y </w:t>
      </w:r>
      <w:r w:rsidR="0029456C" w:rsidRPr="00A53B9D">
        <w:rPr>
          <w:rFonts w:asciiTheme="majorHAnsi" w:hAnsiTheme="majorHAnsi"/>
          <w:sz w:val="20"/>
          <w:szCs w:val="20"/>
          <w:lang w:val="es-ES"/>
        </w:rPr>
        <w:t>que</w:t>
      </w:r>
      <w:r w:rsidR="004456DF" w:rsidRPr="00A53B9D">
        <w:rPr>
          <w:rFonts w:asciiTheme="majorHAnsi" w:hAnsiTheme="majorHAnsi"/>
          <w:sz w:val="20"/>
          <w:szCs w:val="20"/>
          <w:lang w:val="es-ES"/>
        </w:rPr>
        <w:t xml:space="preserve"> entró a cuestionar la validez legal del acto administrativo que reconoció su pensión, lo cual escapaba a la órbita </w:t>
      </w:r>
      <w:r w:rsidR="00867D4C" w:rsidRPr="00A53B9D">
        <w:rPr>
          <w:rFonts w:asciiTheme="majorHAnsi" w:hAnsiTheme="majorHAnsi"/>
          <w:sz w:val="20"/>
          <w:szCs w:val="20"/>
          <w:lang w:val="es-ES"/>
        </w:rPr>
        <w:t xml:space="preserve">propia de </w:t>
      </w:r>
      <w:r w:rsidR="004456DF" w:rsidRPr="00A53B9D">
        <w:rPr>
          <w:rFonts w:asciiTheme="majorHAnsi" w:hAnsiTheme="majorHAnsi"/>
          <w:sz w:val="20"/>
          <w:szCs w:val="20"/>
          <w:lang w:val="es-ES"/>
        </w:rPr>
        <w:t>un proceso de cumplimiento, mucho más cuando ese cuestionamiento no había sido planteado siquiera por la entidad demandada en su recurso</w:t>
      </w:r>
      <w:r w:rsidR="0029456C" w:rsidRPr="00A53B9D">
        <w:rPr>
          <w:rFonts w:asciiTheme="majorHAnsi" w:hAnsiTheme="majorHAnsi"/>
          <w:sz w:val="20"/>
          <w:szCs w:val="20"/>
          <w:lang w:val="es-ES"/>
        </w:rPr>
        <w:t xml:space="preserve">. En este sentido, la peticionaria aduce que esta segunda instancia </w:t>
      </w:r>
      <w:r w:rsidR="00A11E24" w:rsidRPr="00A53B9D">
        <w:rPr>
          <w:rFonts w:asciiTheme="majorHAnsi" w:hAnsiTheme="majorHAnsi"/>
          <w:sz w:val="20"/>
          <w:szCs w:val="20"/>
          <w:lang w:val="es-ES"/>
        </w:rPr>
        <w:t xml:space="preserve">violó su derecho de defensa, </w:t>
      </w:r>
      <w:r w:rsidR="0029456C" w:rsidRPr="00A53B9D">
        <w:rPr>
          <w:rFonts w:asciiTheme="majorHAnsi" w:hAnsiTheme="majorHAnsi"/>
          <w:sz w:val="20"/>
          <w:szCs w:val="20"/>
          <w:lang w:val="es-ES"/>
        </w:rPr>
        <w:t>al pronunciarse</w:t>
      </w:r>
      <w:r w:rsidR="00A11E24" w:rsidRPr="00A53B9D">
        <w:rPr>
          <w:rFonts w:asciiTheme="majorHAnsi" w:hAnsiTheme="majorHAnsi"/>
          <w:sz w:val="20"/>
          <w:szCs w:val="20"/>
          <w:lang w:val="es-ES"/>
        </w:rPr>
        <w:t xml:space="preserve"> sobre un asunto ajeno jurídicamente al ámbito del proceso de cumplimiento, </w:t>
      </w:r>
      <w:r w:rsidR="0029456C" w:rsidRPr="00A53B9D">
        <w:rPr>
          <w:rFonts w:asciiTheme="majorHAnsi" w:hAnsiTheme="majorHAnsi"/>
          <w:sz w:val="20"/>
          <w:szCs w:val="20"/>
          <w:lang w:val="es-ES"/>
        </w:rPr>
        <w:t>del que</w:t>
      </w:r>
      <w:r w:rsidR="00A11E24" w:rsidRPr="00A53B9D">
        <w:rPr>
          <w:rFonts w:asciiTheme="majorHAnsi" w:hAnsiTheme="majorHAnsi"/>
          <w:sz w:val="20"/>
          <w:szCs w:val="20"/>
          <w:lang w:val="es-ES"/>
        </w:rPr>
        <w:t xml:space="preserve"> no pudo ejercer sus garantías judiciales. </w:t>
      </w:r>
    </w:p>
    <w:p w14:paraId="52EE3DAD" w14:textId="49F7E6FF" w:rsidR="004456DF" w:rsidRPr="00A53B9D" w:rsidRDefault="001A6CFA" w:rsidP="001A6CF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A53B9D">
        <w:rPr>
          <w:rFonts w:asciiTheme="majorHAnsi" w:hAnsiTheme="majorHAnsi"/>
          <w:sz w:val="20"/>
          <w:szCs w:val="20"/>
          <w:lang w:val="es-ES"/>
        </w:rPr>
        <w:t xml:space="preserve">4. </w:t>
      </w:r>
      <w:r w:rsidR="00591302" w:rsidRPr="00A53B9D">
        <w:rPr>
          <w:rFonts w:asciiTheme="majorHAnsi" w:hAnsiTheme="majorHAnsi"/>
          <w:sz w:val="20"/>
          <w:szCs w:val="20"/>
          <w:lang w:val="es-ES"/>
        </w:rPr>
        <w:tab/>
      </w:r>
      <w:r w:rsidR="0047418D" w:rsidRPr="00A53B9D">
        <w:rPr>
          <w:rFonts w:asciiTheme="majorHAnsi" w:hAnsiTheme="majorHAnsi"/>
          <w:sz w:val="20"/>
          <w:szCs w:val="20"/>
          <w:lang w:val="es-ES"/>
        </w:rPr>
        <w:t>Contra esta esta decisión la peticionaria interpuso un r</w:t>
      </w:r>
      <w:r w:rsidR="004456DF" w:rsidRPr="00A53B9D">
        <w:rPr>
          <w:rFonts w:asciiTheme="majorHAnsi" w:hAnsiTheme="majorHAnsi"/>
          <w:sz w:val="20"/>
          <w:szCs w:val="20"/>
          <w:lang w:val="es-ES"/>
        </w:rPr>
        <w:t>ecurso de agravio constitucional el 30 de julio de 2008</w:t>
      </w:r>
      <w:r w:rsidR="0047418D" w:rsidRPr="00A53B9D">
        <w:rPr>
          <w:rFonts w:asciiTheme="majorHAnsi" w:hAnsiTheme="majorHAnsi"/>
          <w:sz w:val="20"/>
          <w:szCs w:val="20"/>
          <w:lang w:val="es-ES"/>
        </w:rPr>
        <w:t xml:space="preserve">, el cual fue declarado infundado por </w:t>
      </w:r>
      <w:r w:rsidR="004456DF" w:rsidRPr="00A53B9D">
        <w:rPr>
          <w:rFonts w:asciiTheme="majorHAnsi" w:hAnsiTheme="majorHAnsi"/>
          <w:sz w:val="20"/>
          <w:szCs w:val="20"/>
          <w:lang w:val="es-ES"/>
        </w:rPr>
        <w:t xml:space="preserve">el Tribunal Constitucional </w:t>
      </w:r>
      <w:r w:rsidR="0047418D" w:rsidRPr="00A53B9D">
        <w:rPr>
          <w:rFonts w:asciiTheme="majorHAnsi" w:hAnsiTheme="majorHAnsi"/>
          <w:sz w:val="20"/>
          <w:szCs w:val="20"/>
          <w:lang w:val="es-ES"/>
        </w:rPr>
        <w:t>el</w:t>
      </w:r>
      <w:r w:rsidR="00CE4D7F" w:rsidRPr="00A53B9D">
        <w:rPr>
          <w:rFonts w:asciiTheme="majorHAnsi" w:hAnsiTheme="majorHAnsi"/>
          <w:sz w:val="20"/>
          <w:szCs w:val="20"/>
          <w:lang w:val="es-ES"/>
        </w:rPr>
        <w:t xml:space="preserve"> 19 de octubre de 2009,</w:t>
      </w:r>
      <w:r w:rsidR="0047418D" w:rsidRPr="00A53B9D">
        <w:rPr>
          <w:rFonts w:asciiTheme="majorHAnsi" w:hAnsiTheme="majorHAnsi"/>
          <w:sz w:val="20"/>
          <w:szCs w:val="20"/>
          <w:lang w:val="es-ES"/>
        </w:rPr>
        <w:t xml:space="preserve"> </w:t>
      </w:r>
      <w:r w:rsidR="004456DF" w:rsidRPr="00A53B9D">
        <w:rPr>
          <w:rFonts w:asciiTheme="majorHAnsi" w:hAnsiTheme="majorHAnsi"/>
          <w:sz w:val="20"/>
          <w:szCs w:val="20"/>
          <w:lang w:val="es-ES"/>
        </w:rPr>
        <w:t>con base en argumentos similares a los de la Corte Superior de Justicia de Lima</w:t>
      </w:r>
      <w:r w:rsidR="0047418D" w:rsidRPr="00A53B9D">
        <w:rPr>
          <w:rFonts w:asciiTheme="majorHAnsi" w:hAnsiTheme="majorHAnsi"/>
          <w:sz w:val="20"/>
          <w:szCs w:val="20"/>
          <w:lang w:val="es-ES"/>
        </w:rPr>
        <w:t xml:space="preserve">. </w:t>
      </w:r>
      <w:r w:rsidR="00C15C9E" w:rsidRPr="00A53B9D">
        <w:rPr>
          <w:rFonts w:asciiTheme="majorHAnsi" w:hAnsiTheme="majorHAnsi"/>
          <w:sz w:val="20"/>
          <w:szCs w:val="20"/>
          <w:lang w:val="es-ES"/>
        </w:rPr>
        <w:t xml:space="preserve">Esta decisión le fue notificada a la peticionaria el 27 de noviembre de 2009. </w:t>
      </w:r>
      <w:r w:rsidR="0047418D" w:rsidRPr="00A53B9D">
        <w:rPr>
          <w:rFonts w:asciiTheme="majorHAnsi" w:hAnsiTheme="majorHAnsi"/>
          <w:sz w:val="20"/>
          <w:szCs w:val="20"/>
          <w:lang w:val="es-ES"/>
        </w:rPr>
        <w:t>A juicio de la Sra.</w:t>
      </w:r>
      <w:r w:rsidR="004456DF" w:rsidRPr="00A53B9D">
        <w:rPr>
          <w:rFonts w:asciiTheme="majorHAnsi" w:hAnsiTheme="majorHAnsi"/>
          <w:sz w:val="20"/>
          <w:szCs w:val="20"/>
          <w:lang w:val="es-ES"/>
        </w:rPr>
        <w:t xml:space="preserve"> Ortega, el Tribunal Constitucional no se pronunció sobre ninguno de los argumentos o pretensiones </w:t>
      </w:r>
      <w:r w:rsidR="0047418D" w:rsidRPr="00A53B9D">
        <w:rPr>
          <w:rFonts w:asciiTheme="majorHAnsi" w:hAnsiTheme="majorHAnsi"/>
          <w:sz w:val="20"/>
          <w:szCs w:val="20"/>
          <w:lang w:val="es-ES"/>
        </w:rPr>
        <w:t>que ella planteó en su</w:t>
      </w:r>
      <w:r w:rsidR="004456DF" w:rsidRPr="00A53B9D">
        <w:rPr>
          <w:rFonts w:asciiTheme="majorHAnsi" w:hAnsiTheme="majorHAnsi"/>
          <w:sz w:val="20"/>
          <w:szCs w:val="20"/>
          <w:lang w:val="es-ES"/>
        </w:rPr>
        <w:t xml:space="preserve"> demanda de agravio constitucional.</w:t>
      </w:r>
    </w:p>
    <w:p w14:paraId="74FDA249" w14:textId="6BB50DF4" w:rsidR="00A11E44" w:rsidRPr="00A53B9D" w:rsidRDefault="001A6CFA" w:rsidP="001A6CF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A53B9D">
        <w:rPr>
          <w:rFonts w:asciiTheme="majorHAnsi" w:hAnsiTheme="majorHAnsi"/>
          <w:sz w:val="20"/>
          <w:szCs w:val="20"/>
          <w:lang w:val="es-ES"/>
        </w:rPr>
        <w:t xml:space="preserve">5. </w:t>
      </w:r>
      <w:r w:rsidR="00A46470" w:rsidRPr="00A53B9D">
        <w:rPr>
          <w:rFonts w:asciiTheme="majorHAnsi" w:hAnsiTheme="majorHAnsi"/>
          <w:sz w:val="20"/>
          <w:szCs w:val="20"/>
          <w:lang w:val="es-ES"/>
        </w:rPr>
        <w:tab/>
      </w:r>
      <w:r w:rsidR="008678C2" w:rsidRPr="00A53B9D">
        <w:rPr>
          <w:rFonts w:asciiTheme="majorHAnsi" w:hAnsiTheme="majorHAnsi"/>
          <w:sz w:val="20"/>
          <w:szCs w:val="20"/>
          <w:lang w:val="es-ES"/>
        </w:rPr>
        <w:t xml:space="preserve">Adicionalmente, la señora Ortega señala que el Poder Judicial y el Tribunal Constitucional han adoptado decisiones </w:t>
      </w:r>
      <w:r w:rsidR="00A11E24" w:rsidRPr="00A53B9D">
        <w:rPr>
          <w:rFonts w:asciiTheme="majorHAnsi" w:hAnsiTheme="majorHAnsi"/>
          <w:sz w:val="20"/>
          <w:szCs w:val="20"/>
          <w:lang w:val="es-ES"/>
        </w:rPr>
        <w:t xml:space="preserve">distintas en </w:t>
      </w:r>
      <w:r w:rsidR="00867D4C" w:rsidRPr="00A53B9D">
        <w:rPr>
          <w:rFonts w:asciiTheme="majorHAnsi" w:hAnsiTheme="majorHAnsi"/>
          <w:sz w:val="20"/>
          <w:szCs w:val="20"/>
          <w:lang w:val="es-ES"/>
        </w:rPr>
        <w:t xml:space="preserve">varios </w:t>
      </w:r>
      <w:r w:rsidR="00A11E24" w:rsidRPr="00A53B9D">
        <w:rPr>
          <w:rFonts w:asciiTheme="majorHAnsi" w:hAnsiTheme="majorHAnsi"/>
          <w:sz w:val="20"/>
          <w:szCs w:val="20"/>
          <w:lang w:val="es-ES"/>
        </w:rPr>
        <w:t>casos de personas que están en situación igual a la suya, puesto que han accedido a las pretensiones de pago íntegro de la mesada pensional</w:t>
      </w:r>
      <w:r w:rsidR="009806A3" w:rsidRPr="00A53B9D">
        <w:rPr>
          <w:rFonts w:asciiTheme="majorHAnsi" w:hAnsiTheme="majorHAnsi"/>
          <w:sz w:val="20"/>
          <w:szCs w:val="20"/>
          <w:lang w:val="es-ES"/>
        </w:rPr>
        <w:t>,</w:t>
      </w:r>
      <w:r w:rsidR="00A11E24" w:rsidRPr="00A53B9D">
        <w:rPr>
          <w:rFonts w:asciiTheme="majorHAnsi" w:hAnsiTheme="majorHAnsi"/>
          <w:sz w:val="20"/>
          <w:szCs w:val="20"/>
          <w:lang w:val="es-ES"/>
        </w:rPr>
        <w:t xml:space="preserve"> en casos tales como los radicados 2337-2006-PC/TC, 6552-2006-PC/TC, 0142-2003-AC/TC, 02576-2008-PC/TC y 5125-2008-PC/TC, del Tribunal Constitucional, o las sentencias de la Octava Sala Civil de la Corte Superior de Lima en el Expediente No. 340-2006 y la Cuarta Sala Civil de la Corte Superior en el Expediente No. 3029-2006</w:t>
      </w:r>
      <w:r w:rsidR="009806A3" w:rsidRPr="00A53B9D">
        <w:rPr>
          <w:rFonts w:asciiTheme="majorHAnsi" w:hAnsiTheme="majorHAnsi"/>
          <w:sz w:val="20"/>
          <w:szCs w:val="20"/>
          <w:lang w:val="es-ES"/>
        </w:rPr>
        <w:t>,</w:t>
      </w:r>
      <w:r w:rsidR="00867D4C" w:rsidRPr="00A53B9D">
        <w:rPr>
          <w:rFonts w:asciiTheme="majorHAnsi" w:hAnsiTheme="majorHAnsi"/>
          <w:sz w:val="20"/>
          <w:szCs w:val="20"/>
          <w:lang w:val="es-ES"/>
        </w:rPr>
        <w:t xml:space="preserve"> algunas de las cuales cita en su petición.</w:t>
      </w:r>
      <w:r w:rsidR="00A11E24" w:rsidRPr="00A53B9D">
        <w:rPr>
          <w:rFonts w:asciiTheme="majorHAnsi" w:hAnsiTheme="majorHAnsi"/>
          <w:sz w:val="20"/>
          <w:szCs w:val="20"/>
          <w:lang w:val="es-ES"/>
        </w:rPr>
        <w:t xml:space="preserve"> </w:t>
      </w:r>
      <w:r w:rsidR="009806A3" w:rsidRPr="00A53B9D">
        <w:rPr>
          <w:rFonts w:asciiTheme="majorHAnsi" w:hAnsiTheme="majorHAnsi"/>
          <w:sz w:val="20"/>
          <w:szCs w:val="20"/>
          <w:lang w:val="es-ES"/>
        </w:rPr>
        <w:t>Esta</w:t>
      </w:r>
      <w:r w:rsidR="00A11E24" w:rsidRPr="00A53B9D">
        <w:rPr>
          <w:rFonts w:asciiTheme="majorHAnsi" w:hAnsiTheme="majorHAnsi"/>
          <w:sz w:val="20"/>
          <w:szCs w:val="20"/>
          <w:lang w:val="es-ES"/>
        </w:rPr>
        <w:t xml:space="preserve"> </w:t>
      </w:r>
      <w:r w:rsidR="009806A3" w:rsidRPr="00A53B9D">
        <w:rPr>
          <w:rFonts w:asciiTheme="majorHAnsi" w:hAnsiTheme="majorHAnsi"/>
          <w:sz w:val="20"/>
          <w:szCs w:val="20"/>
          <w:lang w:val="es-ES"/>
        </w:rPr>
        <w:t xml:space="preserve">alegada </w:t>
      </w:r>
      <w:r w:rsidR="00A11E24" w:rsidRPr="00A53B9D">
        <w:rPr>
          <w:rFonts w:asciiTheme="majorHAnsi" w:hAnsiTheme="majorHAnsi"/>
          <w:sz w:val="20"/>
          <w:szCs w:val="20"/>
          <w:lang w:val="es-ES"/>
        </w:rPr>
        <w:t xml:space="preserve">diferencia de trato configura, </w:t>
      </w:r>
      <w:r w:rsidR="009806A3" w:rsidRPr="00A53B9D">
        <w:rPr>
          <w:rFonts w:asciiTheme="majorHAnsi" w:hAnsiTheme="majorHAnsi"/>
          <w:sz w:val="20"/>
          <w:szCs w:val="20"/>
          <w:lang w:val="es-ES"/>
        </w:rPr>
        <w:t>a juicio</w:t>
      </w:r>
      <w:r w:rsidR="00A11E24" w:rsidRPr="00A53B9D">
        <w:rPr>
          <w:rFonts w:asciiTheme="majorHAnsi" w:hAnsiTheme="majorHAnsi"/>
          <w:sz w:val="20"/>
          <w:szCs w:val="20"/>
          <w:lang w:val="es-ES"/>
        </w:rPr>
        <w:t xml:space="preserve"> de la peticionaria, una violación de su derecho a la igualdad ante la ley</w:t>
      </w:r>
      <w:r w:rsidR="009806A3" w:rsidRPr="00A53B9D">
        <w:rPr>
          <w:rFonts w:asciiTheme="majorHAnsi" w:hAnsiTheme="majorHAnsi"/>
          <w:sz w:val="20"/>
          <w:szCs w:val="20"/>
          <w:lang w:val="es-ES"/>
        </w:rPr>
        <w:t xml:space="preserve">. </w:t>
      </w:r>
    </w:p>
    <w:p w14:paraId="6FD4FAD7" w14:textId="1542AA38" w:rsidR="00F526D3" w:rsidRPr="00A53B9D" w:rsidRDefault="001A6CFA" w:rsidP="001A6CF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A53B9D">
        <w:rPr>
          <w:rFonts w:asciiTheme="majorHAnsi" w:hAnsiTheme="majorHAnsi"/>
          <w:sz w:val="20"/>
          <w:szCs w:val="20"/>
          <w:lang w:val="es-ES"/>
        </w:rPr>
        <w:t xml:space="preserve">6. </w:t>
      </w:r>
      <w:r w:rsidR="00D03F88" w:rsidRPr="00A53B9D">
        <w:rPr>
          <w:rFonts w:asciiTheme="majorHAnsi" w:hAnsiTheme="majorHAnsi"/>
          <w:sz w:val="20"/>
          <w:szCs w:val="20"/>
          <w:lang w:val="es-ES"/>
        </w:rPr>
        <w:tab/>
      </w:r>
      <w:r w:rsidR="00F526D3" w:rsidRPr="00A53B9D">
        <w:rPr>
          <w:rFonts w:asciiTheme="majorHAnsi" w:hAnsiTheme="majorHAnsi"/>
          <w:sz w:val="20"/>
          <w:szCs w:val="20"/>
          <w:lang w:val="es-ES"/>
        </w:rPr>
        <w:t xml:space="preserve">El Estado, </w:t>
      </w:r>
      <w:r w:rsidR="00D03F88" w:rsidRPr="00A53B9D">
        <w:rPr>
          <w:rFonts w:asciiTheme="majorHAnsi" w:hAnsiTheme="majorHAnsi"/>
          <w:sz w:val="20"/>
          <w:szCs w:val="20"/>
          <w:lang w:val="es-ES"/>
        </w:rPr>
        <w:t>por su parte</w:t>
      </w:r>
      <w:r w:rsidR="00F526D3" w:rsidRPr="00A53B9D">
        <w:rPr>
          <w:rFonts w:asciiTheme="majorHAnsi" w:hAnsiTheme="majorHAnsi"/>
          <w:sz w:val="20"/>
          <w:szCs w:val="20"/>
          <w:lang w:val="es-ES"/>
        </w:rPr>
        <w:t xml:space="preserve">, </w:t>
      </w:r>
      <w:r w:rsidR="00D03F88" w:rsidRPr="00A53B9D">
        <w:rPr>
          <w:rFonts w:asciiTheme="majorHAnsi" w:hAnsiTheme="majorHAnsi"/>
          <w:sz w:val="20"/>
          <w:szCs w:val="20"/>
          <w:lang w:val="es-ES"/>
        </w:rPr>
        <w:t>parte</w:t>
      </w:r>
      <w:r w:rsidR="00F526D3" w:rsidRPr="00A53B9D">
        <w:rPr>
          <w:rFonts w:asciiTheme="majorHAnsi" w:hAnsiTheme="majorHAnsi"/>
          <w:sz w:val="20"/>
          <w:szCs w:val="20"/>
          <w:lang w:val="es-ES"/>
        </w:rPr>
        <w:t xml:space="preserve"> por afirmar que la CIDH no tiene competencia para conocer reclamos en los que se invo</w:t>
      </w:r>
      <w:r w:rsidR="00867D4C" w:rsidRPr="00A53B9D">
        <w:rPr>
          <w:rFonts w:asciiTheme="majorHAnsi" w:hAnsiTheme="majorHAnsi"/>
          <w:sz w:val="20"/>
          <w:szCs w:val="20"/>
          <w:lang w:val="es-ES"/>
        </w:rPr>
        <w:t>que</w:t>
      </w:r>
      <w:r w:rsidR="00F526D3" w:rsidRPr="00A53B9D">
        <w:rPr>
          <w:rFonts w:asciiTheme="majorHAnsi" w:hAnsiTheme="majorHAnsi"/>
          <w:sz w:val="20"/>
          <w:szCs w:val="20"/>
          <w:lang w:val="es-ES"/>
        </w:rPr>
        <w:t xml:space="preserve"> el derecho a la seguridad social protegido en el artículo XVI de la Declaración Americana </w:t>
      </w:r>
      <w:r w:rsidR="00867D4C" w:rsidRPr="00A53B9D">
        <w:rPr>
          <w:rFonts w:asciiTheme="majorHAnsi" w:hAnsiTheme="majorHAnsi"/>
          <w:sz w:val="20"/>
          <w:szCs w:val="20"/>
          <w:lang w:val="es-ES"/>
        </w:rPr>
        <w:t>y</w:t>
      </w:r>
      <w:r w:rsidR="00F526D3" w:rsidRPr="00A53B9D">
        <w:rPr>
          <w:rFonts w:asciiTheme="majorHAnsi" w:hAnsiTheme="majorHAnsi"/>
          <w:sz w:val="20"/>
          <w:szCs w:val="20"/>
          <w:lang w:val="es-ES"/>
        </w:rPr>
        <w:t xml:space="preserve"> en el artículo 9 del Protocolo de San Salvador</w:t>
      </w:r>
      <w:r w:rsidR="00D03F88" w:rsidRPr="00A53B9D">
        <w:rPr>
          <w:rFonts w:asciiTheme="majorHAnsi" w:hAnsiTheme="majorHAnsi"/>
          <w:sz w:val="20"/>
          <w:szCs w:val="20"/>
          <w:lang w:val="es-ES"/>
        </w:rPr>
        <w:t xml:space="preserve">. </w:t>
      </w:r>
      <w:r w:rsidR="00501396" w:rsidRPr="00A53B9D">
        <w:rPr>
          <w:rFonts w:asciiTheme="majorHAnsi" w:hAnsiTheme="majorHAnsi"/>
          <w:sz w:val="20"/>
          <w:szCs w:val="20"/>
          <w:lang w:val="es-ES"/>
        </w:rPr>
        <w:t xml:space="preserve">En la misma línea, afirma que la CIDH no tiene competencia para conocer de peticiones referidas a la presunta vulneración del derecho al trabajo, a la salud o a la protección de los ancianos, puesto que el Protocolo de San Salvador únicamente le adscribe competencia </w:t>
      </w:r>
      <w:r w:rsidR="00501396" w:rsidRPr="00A53B9D">
        <w:rPr>
          <w:rFonts w:asciiTheme="majorHAnsi" w:hAnsiTheme="majorHAnsi"/>
          <w:sz w:val="20"/>
          <w:szCs w:val="20"/>
          <w:lang w:val="es-ES"/>
        </w:rPr>
        <w:lastRenderedPageBreak/>
        <w:t>para conocer de reclamos fundados en los derechos protegidos en sus artículos 8 (libertad sindical) y 13 (educación).</w:t>
      </w:r>
      <w:r w:rsidR="00F526D3" w:rsidRPr="00A53B9D">
        <w:rPr>
          <w:rFonts w:asciiTheme="majorHAnsi" w:hAnsiTheme="majorHAnsi"/>
          <w:sz w:val="20"/>
          <w:szCs w:val="20"/>
          <w:lang w:val="es-ES"/>
        </w:rPr>
        <w:t xml:space="preserve"> </w:t>
      </w:r>
    </w:p>
    <w:p w14:paraId="73115162" w14:textId="47681EFF" w:rsidR="00501396" w:rsidRPr="00A53B9D" w:rsidRDefault="001A6CFA" w:rsidP="001A6CF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A53B9D">
        <w:rPr>
          <w:rFonts w:asciiTheme="majorHAnsi" w:hAnsiTheme="majorHAnsi"/>
          <w:sz w:val="20"/>
          <w:szCs w:val="20"/>
          <w:lang w:val="es-ES"/>
        </w:rPr>
        <w:t xml:space="preserve">7. </w:t>
      </w:r>
      <w:r w:rsidR="008E73B0" w:rsidRPr="00A53B9D">
        <w:rPr>
          <w:rFonts w:asciiTheme="majorHAnsi" w:hAnsiTheme="majorHAnsi"/>
          <w:sz w:val="20"/>
          <w:szCs w:val="20"/>
          <w:lang w:val="es-ES"/>
        </w:rPr>
        <w:tab/>
      </w:r>
      <w:r w:rsidR="00501396" w:rsidRPr="00A53B9D">
        <w:rPr>
          <w:rFonts w:asciiTheme="majorHAnsi" w:hAnsiTheme="majorHAnsi"/>
          <w:sz w:val="20"/>
          <w:szCs w:val="20"/>
          <w:lang w:val="es-ES"/>
        </w:rPr>
        <w:t xml:space="preserve">A continuación, </w:t>
      </w:r>
      <w:r w:rsidR="00A85575" w:rsidRPr="00A53B9D">
        <w:rPr>
          <w:rFonts w:asciiTheme="majorHAnsi" w:hAnsiTheme="majorHAnsi"/>
          <w:sz w:val="20"/>
          <w:szCs w:val="20"/>
          <w:lang w:val="es-ES"/>
        </w:rPr>
        <w:t>Perú</w:t>
      </w:r>
      <w:r w:rsidR="00501396" w:rsidRPr="00A53B9D">
        <w:rPr>
          <w:rFonts w:asciiTheme="majorHAnsi" w:hAnsiTheme="majorHAnsi"/>
          <w:sz w:val="20"/>
          <w:szCs w:val="20"/>
          <w:lang w:val="es-ES"/>
        </w:rPr>
        <w:t xml:space="preserve"> afirma que la petición debe ser declarada inadmisible por falta de agotamiento de los recursos internos, en la medida en que los recursos judiciales interpuestos por la </w:t>
      </w:r>
      <w:r w:rsidR="00726C77" w:rsidRPr="00A53B9D">
        <w:rPr>
          <w:rFonts w:asciiTheme="majorHAnsi" w:hAnsiTheme="majorHAnsi"/>
          <w:sz w:val="20"/>
          <w:szCs w:val="20"/>
          <w:lang w:val="es-ES"/>
        </w:rPr>
        <w:t>Sra.</w:t>
      </w:r>
      <w:r w:rsidR="00501396" w:rsidRPr="00A53B9D">
        <w:rPr>
          <w:rFonts w:asciiTheme="majorHAnsi" w:hAnsiTheme="majorHAnsi"/>
          <w:sz w:val="20"/>
          <w:szCs w:val="20"/>
          <w:lang w:val="es-ES"/>
        </w:rPr>
        <w:t xml:space="preserve"> Ortega únicamente </w:t>
      </w:r>
      <w:r w:rsidR="00726C77" w:rsidRPr="00A53B9D">
        <w:rPr>
          <w:rFonts w:asciiTheme="majorHAnsi" w:hAnsiTheme="majorHAnsi"/>
          <w:sz w:val="20"/>
          <w:szCs w:val="20"/>
          <w:lang w:val="es-ES"/>
        </w:rPr>
        <w:t>buscaban</w:t>
      </w:r>
      <w:r w:rsidR="00501396" w:rsidRPr="00A53B9D">
        <w:rPr>
          <w:rFonts w:asciiTheme="majorHAnsi" w:hAnsiTheme="majorHAnsi"/>
          <w:sz w:val="20"/>
          <w:szCs w:val="20"/>
          <w:lang w:val="es-ES"/>
        </w:rPr>
        <w:t xml:space="preserve"> proteger su derecho a la seguridad social, y no los demás derechos que invoca en su </w:t>
      </w:r>
      <w:r w:rsidR="00A85575" w:rsidRPr="00A53B9D">
        <w:rPr>
          <w:rFonts w:asciiTheme="majorHAnsi" w:hAnsiTheme="majorHAnsi"/>
          <w:sz w:val="20"/>
          <w:szCs w:val="20"/>
          <w:lang w:val="es-ES"/>
        </w:rPr>
        <w:t>petición,</w:t>
      </w:r>
      <w:r w:rsidR="00501396" w:rsidRPr="00A53B9D">
        <w:rPr>
          <w:rFonts w:asciiTheme="majorHAnsi" w:hAnsiTheme="majorHAnsi"/>
          <w:sz w:val="20"/>
          <w:szCs w:val="20"/>
          <w:lang w:val="es-ES"/>
        </w:rPr>
        <w:t xml:space="preserve"> </w:t>
      </w:r>
      <w:r w:rsidR="00A85575" w:rsidRPr="00A53B9D">
        <w:rPr>
          <w:rFonts w:asciiTheme="majorHAnsi" w:hAnsiTheme="majorHAnsi"/>
          <w:sz w:val="20"/>
          <w:szCs w:val="20"/>
          <w:lang w:val="es-ES"/>
        </w:rPr>
        <w:t>como</w:t>
      </w:r>
      <w:r w:rsidR="00501396" w:rsidRPr="00A53B9D">
        <w:rPr>
          <w:rFonts w:asciiTheme="majorHAnsi" w:hAnsiTheme="majorHAnsi"/>
          <w:sz w:val="20"/>
          <w:szCs w:val="20"/>
          <w:lang w:val="es-ES"/>
        </w:rPr>
        <w:t xml:space="preserve"> el derecho a la propiedad privada, a la igualdad ante la ley, a las garantías judiciales y a la protección judicial. </w:t>
      </w:r>
      <w:r w:rsidR="00A85575" w:rsidRPr="00A53B9D">
        <w:rPr>
          <w:rFonts w:asciiTheme="majorHAnsi" w:hAnsiTheme="majorHAnsi"/>
          <w:sz w:val="20"/>
          <w:szCs w:val="20"/>
          <w:lang w:val="es-ES"/>
        </w:rPr>
        <w:t>Además, e</w:t>
      </w:r>
      <w:r w:rsidR="00501396" w:rsidRPr="00A53B9D">
        <w:rPr>
          <w:rFonts w:asciiTheme="majorHAnsi" w:hAnsiTheme="majorHAnsi"/>
          <w:sz w:val="20"/>
          <w:szCs w:val="20"/>
          <w:lang w:val="es-ES"/>
        </w:rPr>
        <w:t xml:space="preserve">l Estado </w:t>
      </w:r>
      <w:r w:rsidR="00A85575" w:rsidRPr="00A53B9D">
        <w:rPr>
          <w:rFonts w:asciiTheme="majorHAnsi" w:hAnsiTheme="majorHAnsi"/>
          <w:sz w:val="20"/>
          <w:szCs w:val="20"/>
          <w:lang w:val="es-ES"/>
        </w:rPr>
        <w:t>aduce</w:t>
      </w:r>
      <w:r w:rsidR="00501396" w:rsidRPr="00A53B9D">
        <w:rPr>
          <w:rFonts w:asciiTheme="majorHAnsi" w:hAnsiTheme="majorHAnsi"/>
          <w:sz w:val="20"/>
          <w:szCs w:val="20"/>
          <w:lang w:val="es-ES"/>
        </w:rPr>
        <w:t xml:space="preserve"> </w:t>
      </w:r>
      <w:r w:rsidR="00A85575" w:rsidRPr="00A53B9D">
        <w:rPr>
          <w:rFonts w:asciiTheme="majorHAnsi" w:hAnsiTheme="majorHAnsi"/>
          <w:sz w:val="20"/>
          <w:szCs w:val="20"/>
          <w:lang w:val="es-ES"/>
        </w:rPr>
        <w:t>respecto</w:t>
      </w:r>
      <w:r w:rsidR="00501396" w:rsidRPr="00A53B9D">
        <w:rPr>
          <w:rFonts w:asciiTheme="majorHAnsi" w:hAnsiTheme="majorHAnsi"/>
          <w:sz w:val="20"/>
          <w:szCs w:val="20"/>
          <w:lang w:val="es-ES"/>
        </w:rPr>
        <w:t xml:space="preserve"> del pago de intereses sobre las cifras adeudadas</w:t>
      </w:r>
      <w:r w:rsidR="00025731" w:rsidRPr="00A53B9D">
        <w:rPr>
          <w:rFonts w:asciiTheme="majorHAnsi" w:hAnsiTheme="majorHAnsi"/>
          <w:sz w:val="20"/>
          <w:szCs w:val="20"/>
          <w:lang w:val="es-ES"/>
        </w:rPr>
        <w:t xml:space="preserve"> que</w:t>
      </w:r>
      <w:r w:rsidR="00501396" w:rsidRPr="00A53B9D">
        <w:rPr>
          <w:rFonts w:asciiTheme="majorHAnsi" w:hAnsiTheme="majorHAnsi"/>
          <w:sz w:val="20"/>
          <w:szCs w:val="20"/>
          <w:lang w:val="es-ES"/>
        </w:rPr>
        <w:t xml:space="preserve">, </w:t>
      </w:r>
      <w:r w:rsidR="00501396" w:rsidRPr="00A53B9D">
        <w:rPr>
          <w:rFonts w:asciiTheme="majorHAnsi" w:hAnsiTheme="majorHAnsi"/>
          <w:i/>
          <w:iCs/>
          <w:sz w:val="20"/>
          <w:szCs w:val="20"/>
          <w:lang w:val="es-ES"/>
        </w:rPr>
        <w:t>“conforme se puede evidenciar del Reporte de Expediente del Sistema de Consulta de Expedientes Judiciales del Poder Judicial (…), el mismo se encuentra aún en trámite por lo que respecto a la pretensión indicada aún no se han agotado los recursos internos disponibles”</w:t>
      </w:r>
      <w:r w:rsidR="00501396" w:rsidRPr="00A53B9D">
        <w:rPr>
          <w:rFonts w:asciiTheme="majorHAnsi" w:hAnsiTheme="majorHAnsi"/>
          <w:sz w:val="20"/>
          <w:szCs w:val="20"/>
          <w:lang w:val="es-ES"/>
        </w:rPr>
        <w:t>. También afirma que la pretensión de indemnización de daños y perjuicios que plantea la petición de la señora Ortega, derivados de la violación de sus derechos humanos, ha debido ventilarse en primera instancia a través del proceso civil de conocimiento ante el Poder Judicial doméstico</w:t>
      </w:r>
      <w:r w:rsidR="00564D63" w:rsidRPr="00A53B9D">
        <w:rPr>
          <w:rFonts w:asciiTheme="majorHAnsi" w:hAnsiTheme="majorHAnsi"/>
          <w:sz w:val="20"/>
          <w:szCs w:val="20"/>
          <w:lang w:val="es-ES"/>
        </w:rPr>
        <w:t xml:space="preserve">. </w:t>
      </w:r>
    </w:p>
    <w:p w14:paraId="2CFA38A4" w14:textId="01B62B18" w:rsidR="009D6B04" w:rsidRPr="00A53B9D" w:rsidRDefault="001A6CFA" w:rsidP="001A6CF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A53B9D">
        <w:rPr>
          <w:rFonts w:asciiTheme="majorHAnsi" w:hAnsiTheme="majorHAnsi"/>
          <w:sz w:val="20"/>
          <w:szCs w:val="20"/>
          <w:lang w:val="es-ES"/>
        </w:rPr>
        <w:t xml:space="preserve">8. </w:t>
      </w:r>
      <w:r w:rsidR="008C0C47" w:rsidRPr="00A53B9D">
        <w:rPr>
          <w:rFonts w:asciiTheme="majorHAnsi" w:hAnsiTheme="majorHAnsi"/>
          <w:sz w:val="20"/>
          <w:szCs w:val="20"/>
          <w:lang w:val="es-ES"/>
        </w:rPr>
        <w:tab/>
      </w:r>
      <w:r w:rsidR="009D6B04" w:rsidRPr="00A53B9D">
        <w:rPr>
          <w:rFonts w:asciiTheme="majorHAnsi" w:hAnsiTheme="majorHAnsi"/>
          <w:sz w:val="20"/>
          <w:szCs w:val="20"/>
          <w:lang w:val="es-ES"/>
        </w:rPr>
        <w:t xml:space="preserve">También argumenta el Estado que la petición no expone hechos que caractericen violaciones de la Convención Americana, por lo cual pide que se dé aplicación al artículo 47(b) de </w:t>
      </w:r>
      <w:r w:rsidR="003B718C" w:rsidRPr="00A53B9D">
        <w:rPr>
          <w:rFonts w:asciiTheme="majorHAnsi" w:hAnsiTheme="majorHAnsi"/>
          <w:sz w:val="20"/>
          <w:szCs w:val="20"/>
          <w:lang w:val="es-ES"/>
        </w:rPr>
        <w:t>dicho tratado</w:t>
      </w:r>
      <w:r w:rsidR="009D6B04" w:rsidRPr="00A53B9D">
        <w:rPr>
          <w:rFonts w:asciiTheme="majorHAnsi" w:hAnsiTheme="majorHAnsi"/>
          <w:sz w:val="20"/>
          <w:szCs w:val="20"/>
          <w:lang w:val="es-ES"/>
        </w:rPr>
        <w:t xml:space="preserve">. Sostiene que el proceso de cumplimiento iniciado por la señora Ortega fue respetuoso de las garantías judiciales y del derecho a la igualdad, y que </w:t>
      </w:r>
      <w:r w:rsidR="00DB22A3" w:rsidRPr="00A53B9D">
        <w:rPr>
          <w:rFonts w:asciiTheme="majorHAnsi" w:hAnsiTheme="majorHAnsi"/>
          <w:sz w:val="20"/>
          <w:szCs w:val="20"/>
          <w:lang w:val="es-ES"/>
        </w:rPr>
        <w:t xml:space="preserve">tanto </w:t>
      </w:r>
      <w:r w:rsidR="009D6B04" w:rsidRPr="00A53B9D">
        <w:rPr>
          <w:rFonts w:asciiTheme="majorHAnsi" w:hAnsiTheme="majorHAnsi"/>
          <w:sz w:val="20"/>
          <w:szCs w:val="20"/>
          <w:lang w:val="es-ES"/>
        </w:rPr>
        <w:t xml:space="preserve">en el fallo de la Corte Superior de Lima </w:t>
      </w:r>
      <w:r w:rsidR="00DB22A3" w:rsidRPr="00A53B9D">
        <w:rPr>
          <w:rFonts w:asciiTheme="majorHAnsi" w:hAnsiTheme="majorHAnsi"/>
          <w:sz w:val="20"/>
          <w:szCs w:val="20"/>
          <w:lang w:val="es-ES"/>
        </w:rPr>
        <w:t xml:space="preserve">como en el del Tribunal Constitucional se </w:t>
      </w:r>
      <w:r w:rsidR="009D6B04" w:rsidRPr="00A53B9D">
        <w:rPr>
          <w:rFonts w:asciiTheme="majorHAnsi" w:hAnsiTheme="majorHAnsi"/>
          <w:sz w:val="20"/>
          <w:szCs w:val="20"/>
          <w:lang w:val="es-ES"/>
        </w:rPr>
        <w:t xml:space="preserve">dio aplicación correcta a la </w:t>
      </w:r>
      <w:r w:rsidR="00DB22A3" w:rsidRPr="00A53B9D">
        <w:rPr>
          <w:rFonts w:asciiTheme="majorHAnsi" w:hAnsiTheme="majorHAnsi"/>
          <w:sz w:val="20"/>
          <w:szCs w:val="20"/>
          <w:lang w:val="es-ES"/>
        </w:rPr>
        <w:t xml:space="preserve">ley y la </w:t>
      </w:r>
      <w:r w:rsidR="009D6B04" w:rsidRPr="00A53B9D">
        <w:rPr>
          <w:rFonts w:asciiTheme="majorHAnsi" w:hAnsiTheme="majorHAnsi"/>
          <w:sz w:val="20"/>
          <w:szCs w:val="20"/>
          <w:lang w:val="es-ES"/>
        </w:rPr>
        <w:t>jurisprudencia constitucional</w:t>
      </w:r>
      <w:r w:rsidR="00DB22A3" w:rsidRPr="00A53B9D">
        <w:rPr>
          <w:rFonts w:asciiTheme="majorHAnsi" w:hAnsiTheme="majorHAnsi"/>
          <w:sz w:val="20"/>
          <w:szCs w:val="20"/>
          <w:lang w:val="es-ES"/>
        </w:rPr>
        <w:t xml:space="preserve"> peruana. </w:t>
      </w:r>
    </w:p>
    <w:p w14:paraId="14EC90C8" w14:textId="29DFF635" w:rsidR="00DB22A3" w:rsidRPr="00A53B9D" w:rsidRDefault="001A6CFA" w:rsidP="001A6CF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A53B9D">
        <w:rPr>
          <w:rFonts w:asciiTheme="majorHAnsi" w:hAnsiTheme="majorHAnsi"/>
          <w:sz w:val="20"/>
          <w:szCs w:val="20"/>
          <w:lang w:val="es-ES"/>
        </w:rPr>
        <w:t xml:space="preserve">9. </w:t>
      </w:r>
      <w:r w:rsidR="008C0C47" w:rsidRPr="00A53B9D">
        <w:rPr>
          <w:rFonts w:asciiTheme="majorHAnsi" w:hAnsiTheme="majorHAnsi"/>
          <w:sz w:val="20"/>
          <w:szCs w:val="20"/>
          <w:lang w:val="es-ES"/>
        </w:rPr>
        <w:tab/>
      </w:r>
      <w:r w:rsidR="00DB22A3" w:rsidRPr="00A53B9D">
        <w:rPr>
          <w:rFonts w:asciiTheme="majorHAnsi" w:hAnsiTheme="majorHAnsi"/>
          <w:sz w:val="20"/>
          <w:szCs w:val="20"/>
          <w:lang w:val="es-ES"/>
        </w:rPr>
        <w:t xml:space="preserve">Por último, </w:t>
      </w:r>
      <w:r w:rsidR="004E463C" w:rsidRPr="00A53B9D">
        <w:rPr>
          <w:rFonts w:asciiTheme="majorHAnsi" w:hAnsiTheme="majorHAnsi"/>
          <w:sz w:val="20"/>
          <w:szCs w:val="20"/>
          <w:lang w:val="es-ES"/>
        </w:rPr>
        <w:t>aduce</w:t>
      </w:r>
      <w:r w:rsidR="00DB22A3" w:rsidRPr="00A53B9D">
        <w:rPr>
          <w:rFonts w:asciiTheme="majorHAnsi" w:hAnsiTheme="majorHAnsi"/>
          <w:sz w:val="20"/>
          <w:szCs w:val="20"/>
          <w:lang w:val="es-ES"/>
        </w:rPr>
        <w:t xml:space="preserve"> que ya se ha</w:t>
      </w:r>
      <w:r w:rsidR="00EB4AB3" w:rsidRPr="00A53B9D">
        <w:rPr>
          <w:rFonts w:asciiTheme="majorHAnsi" w:hAnsiTheme="majorHAnsi"/>
          <w:sz w:val="20"/>
          <w:szCs w:val="20"/>
          <w:lang w:val="es-ES"/>
        </w:rPr>
        <w:t>bría</w:t>
      </w:r>
      <w:r w:rsidR="00DB22A3" w:rsidRPr="00A53B9D">
        <w:rPr>
          <w:rFonts w:asciiTheme="majorHAnsi" w:hAnsiTheme="majorHAnsi"/>
          <w:sz w:val="20"/>
          <w:szCs w:val="20"/>
          <w:lang w:val="es-ES"/>
        </w:rPr>
        <w:t xml:space="preserve"> satisfecho la pretensión monetaria </w:t>
      </w:r>
      <w:r w:rsidR="00EB4AB3" w:rsidRPr="00A53B9D">
        <w:rPr>
          <w:rFonts w:asciiTheme="majorHAnsi" w:hAnsiTheme="majorHAnsi"/>
          <w:sz w:val="20"/>
          <w:szCs w:val="20"/>
          <w:lang w:val="es-ES"/>
        </w:rPr>
        <w:t>de</w:t>
      </w:r>
      <w:r w:rsidR="00DB22A3" w:rsidRPr="00A53B9D">
        <w:rPr>
          <w:rFonts w:asciiTheme="majorHAnsi" w:hAnsiTheme="majorHAnsi"/>
          <w:sz w:val="20"/>
          <w:szCs w:val="20"/>
          <w:lang w:val="es-ES"/>
        </w:rPr>
        <w:t xml:space="preserve"> la </w:t>
      </w:r>
      <w:r w:rsidR="00EB4AB3" w:rsidRPr="00A53B9D">
        <w:rPr>
          <w:rFonts w:asciiTheme="majorHAnsi" w:hAnsiTheme="majorHAnsi"/>
          <w:sz w:val="20"/>
          <w:szCs w:val="20"/>
          <w:lang w:val="es-ES"/>
        </w:rPr>
        <w:t>Sra.</w:t>
      </w:r>
      <w:r w:rsidR="00DB22A3" w:rsidRPr="00A53B9D">
        <w:rPr>
          <w:rFonts w:asciiTheme="majorHAnsi" w:hAnsiTheme="majorHAnsi"/>
          <w:sz w:val="20"/>
          <w:szCs w:val="20"/>
          <w:lang w:val="es-ES"/>
        </w:rPr>
        <w:t xml:space="preserve"> Ortega, </w:t>
      </w:r>
      <w:r w:rsidR="00EB4AB3" w:rsidRPr="00A53B9D">
        <w:rPr>
          <w:rFonts w:asciiTheme="majorHAnsi" w:hAnsiTheme="majorHAnsi"/>
          <w:sz w:val="20"/>
          <w:szCs w:val="20"/>
          <w:lang w:val="es-ES"/>
        </w:rPr>
        <w:t>puesto que,</w:t>
      </w:r>
      <w:r w:rsidR="00DB22A3" w:rsidRPr="00A53B9D">
        <w:rPr>
          <w:rFonts w:asciiTheme="majorHAnsi" w:hAnsiTheme="majorHAnsi"/>
          <w:sz w:val="20"/>
          <w:szCs w:val="20"/>
          <w:lang w:val="es-ES"/>
        </w:rPr>
        <w:t xml:space="preserve"> en cumplimiento de un fallo judicial adoptado con posterioridad a la presentación de </w:t>
      </w:r>
      <w:r w:rsidR="00EB4AB3" w:rsidRPr="00A53B9D">
        <w:rPr>
          <w:rFonts w:asciiTheme="majorHAnsi" w:hAnsiTheme="majorHAnsi"/>
          <w:sz w:val="20"/>
          <w:szCs w:val="20"/>
          <w:lang w:val="es-ES"/>
        </w:rPr>
        <w:t>su</w:t>
      </w:r>
      <w:r w:rsidR="00DB22A3" w:rsidRPr="00A53B9D">
        <w:rPr>
          <w:rFonts w:asciiTheme="majorHAnsi" w:hAnsiTheme="majorHAnsi"/>
          <w:sz w:val="20"/>
          <w:szCs w:val="20"/>
          <w:lang w:val="es-ES"/>
        </w:rPr>
        <w:t xml:space="preserve"> petición</w:t>
      </w:r>
      <w:r w:rsidR="0035297A">
        <w:rPr>
          <w:rFonts w:asciiTheme="majorHAnsi" w:hAnsiTheme="majorHAnsi"/>
          <w:sz w:val="20"/>
          <w:szCs w:val="20"/>
          <w:lang w:val="es-ES"/>
        </w:rPr>
        <w:t xml:space="preserve"> ante la CIDH</w:t>
      </w:r>
      <w:r w:rsidR="00DB22A3" w:rsidRPr="00A53B9D">
        <w:rPr>
          <w:rFonts w:asciiTheme="majorHAnsi" w:hAnsiTheme="majorHAnsi"/>
          <w:sz w:val="20"/>
          <w:szCs w:val="20"/>
          <w:lang w:val="es-ES"/>
        </w:rPr>
        <w:t xml:space="preserve">, el </w:t>
      </w:r>
      <w:r w:rsidR="00EB4AB3" w:rsidRPr="00A53B9D">
        <w:rPr>
          <w:rFonts w:asciiTheme="majorHAnsi" w:hAnsiTheme="majorHAnsi"/>
          <w:sz w:val="20"/>
          <w:szCs w:val="20"/>
          <w:lang w:val="es-ES"/>
        </w:rPr>
        <w:t xml:space="preserve">Poder </w:t>
      </w:r>
      <w:r w:rsidR="00DB22A3" w:rsidRPr="00A53B9D">
        <w:rPr>
          <w:rFonts w:asciiTheme="majorHAnsi" w:hAnsiTheme="majorHAnsi"/>
          <w:sz w:val="20"/>
          <w:szCs w:val="20"/>
          <w:lang w:val="es-ES"/>
        </w:rPr>
        <w:t xml:space="preserve">Ejecutivo le </w:t>
      </w:r>
      <w:r w:rsidR="003B718C" w:rsidRPr="00A53B9D">
        <w:rPr>
          <w:rFonts w:asciiTheme="majorHAnsi" w:hAnsiTheme="majorHAnsi"/>
          <w:sz w:val="20"/>
          <w:szCs w:val="20"/>
          <w:lang w:val="es-ES"/>
        </w:rPr>
        <w:t xml:space="preserve">viene </w:t>
      </w:r>
      <w:r w:rsidR="00DB22A3" w:rsidRPr="00A53B9D">
        <w:rPr>
          <w:rFonts w:asciiTheme="majorHAnsi" w:hAnsiTheme="majorHAnsi"/>
          <w:sz w:val="20"/>
          <w:szCs w:val="20"/>
          <w:lang w:val="es-ES"/>
        </w:rPr>
        <w:t>pag</w:t>
      </w:r>
      <w:r w:rsidR="003B718C" w:rsidRPr="00A53B9D">
        <w:rPr>
          <w:rFonts w:asciiTheme="majorHAnsi" w:hAnsiTheme="majorHAnsi"/>
          <w:sz w:val="20"/>
          <w:szCs w:val="20"/>
          <w:lang w:val="es-ES"/>
        </w:rPr>
        <w:t>ando</w:t>
      </w:r>
      <w:r w:rsidR="00DB22A3" w:rsidRPr="00A53B9D">
        <w:rPr>
          <w:rFonts w:asciiTheme="majorHAnsi" w:hAnsiTheme="majorHAnsi"/>
          <w:sz w:val="20"/>
          <w:szCs w:val="20"/>
          <w:lang w:val="es-ES"/>
        </w:rPr>
        <w:t xml:space="preserve"> efectivamente los montos </w:t>
      </w:r>
      <w:r w:rsidR="003B718C" w:rsidRPr="00A53B9D">
        <w:rPr>
          <w:rFonts w:asciiTheme="majorHAnsi" w:hAnsiTheme="majorHAnsi"/>
          <w:sz w:val="20"/>
          <w:szCs w:val="20"/>
          <w:lang w:val="es-ES"/>
        </w:rPr>
        <w:t xml:space="preserve">pensionales </w:t>
      </w:r>
      <w:r w:rsidR="00DB22A3" w:rsidRPr="00A53B9D">
        <w:rPr>
          <w:rFonts w:asciiTheme="majorHAnsi" w:hAnsiTheme="majorHAnsi"/>
          <w:sz w:val="20"/>
          <w:szCs w:val="20"/>
          <w:lang w:val="es-ES"/>
        </w:rPr>
        <w:t xml:space="preserve">adeudados. Explica que </w:t>
      </w:r>
      <w:r w:rsidR="003B718C" w:rsidRPr="00A53B9D">
        <w:rPr>
          <w:rFonts w:asciiTheme="majorHAnsi" w:hAnsiTheme="majorHAnsi"/>
          <w:sz w:val="20"/>
          <w:szCs w:val="20"/>
          <w:lang w:val="es-ES"/>
        </w:rPr>
        <w:t xml:space="preserve">después </w:t>
      </w:r>
      <w:r w:rsidR="00DB22A3" w:rsidRPr="00A53B9D">
        <w:rPr>
          <w:rFonts w:asciiTheme="majorHAnsi" w:hAnsiTheme="majorHAnsi"/>
          <w:sz w:val="20"/>
          <w:szCs w:val="20"/>
          <w:lang w:val="es-ES"/>
        </w:rPr>
        <w:t xml:space="preserve">de la culminación del proceso judicial de cumplimiento descrito en la petición, la </w:t>
      </w:r>
      <w:r w:rsidR="00EB4AB3" w:rsidRPr="00A53B9D">
        <w:rPr>
          <w:rFonts w:asciiTheme="majorHAnsi" w:hAnsiTheme="majorHAnsi"/>
          <w:sz w:val="20"/>
          <w:szCs w:val="20"/>
          <w:lang w:val="es-ES"/>
        </w:rPr>
        <w:t>Sra.</w:t>
      </w:r>
      <w:r w:rsidR="00DB22A3" w:rsidRPr="00A53B9D">
        <w:rPr>
          <w:rFonts w:asciiTheme="majorHAnsi" w:hAnsiTheme="majorHAnsi"/>
          <w:sz w:val="20"/>
          <w:szCs w:val="20"/>
          <w:lang w:val="es-ES"/>
        </w:rPr>
        <w:t xml:space="preserve"> Ortega acudió a un proceso contencioso administrativo, en el cual la Sala Laboral Transitoria de la Cor</w:t>
      </w:r>
      <w:r w:rsidR="00EB4AB3" w:rsidRPr="00A53B9D">
        <w:rPr>
          <w:rFonts w:asciiTheme="majorHAnsi" w:hAnsiTheme="majorHAnsi"/>
          <w:sz w:val="20"/>
          <w:szCs w:val="20"/>
          <w:lang w:val="es-ES"/>
        </w:rPr>
        <w:t>te Superior de Justicia de Lima</w:t>
      </w:r>
      <w:r w:rsidR="00DB22A3" w:rsidRPr="00A53B9D">
        <w:rPr>
          <w:rFonts w:asciiTheme="majorHAnsi" w:hAnsiTheme="majorHAnsi"/>
          <w:sz w:val="20"/>
          <w:szCs w:val="20"/>
          <w:lang w:val="es-ES"/>
        </w:rPr>
        <w:t xml:space="preserve"> </w:t>
      </w:r>
      <w:r w:rsidR="00EB4AB3" w:rsidRPr="00A53B9D">
        <w:rPr>
          <w:rFonts w:asciiTheme="majorHAnsi" w:hAnsiTheme="majorHAnsi"/>
          <w:sz w:val="20"/>
          <w:szCs w:val="20"/>
          <w:lang w:val="es-ES"/>
        </w:rPr>
        <w:t>declaró fundado el reclamo pensional de la peticionaria</w:t>
      </w:r>
      <w:r w:rsidR="00DB22A3" w:rsidRPr="00A53B9D">
        <w:rPr>
          <w:rFonts w:asciiTheme="majorHAnsi" w:hAnsiTheme="majorHAnsi"/>
          <w:sz w:val="20"/>
          <w:szCs w:val="20"/>
          <w:lang w:val="es-ES"/>
        </w:rPr>
        <w:t xml:space="preserve">. </w:t>
      </w:r>
      <w:r w:rsidR="00EB4AB3" w:rsidRPr="00A53B9D">
        <w:rPr>
          <w:rFonts w:asciiTheme="majorHAnsi" w:hAnsiTheme="majorHAnsi"/>
          <w:sz w:val="20"/>
          <w:szCs w:val="20"/>
          <w:lang w:val="es-ES"/>
        </w:rPr>
        <w:t xml:space="preserve">Esta decisión fue confirmada por </w:t>
      </w:r>
      <w:r w:rsidR="00DB22A3" w:rsidRPr="00A53B9D">
        <w:rPr>
          <w:rFonts w:asciiTheme="majorHAnsi" w:hAnsiTheme="majorHAnsi"/>
          <w:sz w:val="20"/>
          <w:szCs w:val="20"/>
          <w:lang w:val="es-ES"/>
        </w:rPr>
        <w:t xml:space="preserve">la Segunda Sala de Derecho Constitucional y Social Transitoria de la Corte Suprema de Justicia </w:t>
      </w:r>
      <w:r w:rsidR="00EB4AB3" w:rsidRPr="00A53B9D">
        <w:rPr>
          <w:rFonts w:asciiTheme="majorHAnsi" w:hAnsiTheme="majorHAnsi"/>
          <w:sz w:val="20"/>
          <w:szCs w:val="20"/>
          <w:lang w:val="es-ES"/>
        </w:rPr>
        <w:t>el</w:t>
      </w:r>
      <w:r w:rsidR="00DB22A3" w:rsidRPr="00A53B9D">
        <w:rPr>
          <w:rFonts w:asciiTheme="majorHAnsi" w:hAnsiTheme="majorHAnsi"/>
          <w:sz w:val="20"/>
          <w:szCs w:val="20"/>
          <w:lang w:val="es-ES"/>
        </w:rPr>
        <w:t xml:space="preserve"> 9 de junio de 2015</w:t>
      </w:r>
      <w:r w:rsidR="00EB4AB3" w:rsidRPr="00A53B9D">
        <w:rPr>
          <w:rFonts w:asciiTheme="majorHAnsi" w:hAnsiTheme="majorHAnsi"/>
          <w:sz w:val="20"/>
          <w:szCs w:val="20"/>
          <w:lang w:val="es-ES"/>
        </w:rPr>
        <w:t>. En</w:t>
      </w:r>
      <w:r w:rsidR="00DB22A3" w:rsidRPr="00A53B9D">
        <w:rPr>
          <w:rFonts w:asciiTheme="majorHAnsi" w:hAnsiTheme="majorHAnsi"/>
          <w:sz w:val="20"/>
          <w:szCs w:val="20"/>
          <w:lang w:val="es-ES"/>
        </w:rPr>
        <w:t xml:space="preserve"> </w:t>
      </w:r>
      <w:r w:rsidR="00EB4AB3" w:rsidRPr="00A53B9D">
        <w:rPr>
          <w:rFonts w:asciiTheme="majorHAnsi" w:hAnsiTheme="majorHAnsi"/>
          <w:sz w:val="20"/>
          <w:szCs w:val="20"/>
          <w:lang w:val="es-ES"/>
        </w:rPr>
        <w:t>consecuencia,</w:t>
      </w:r>
      <w:r w:rsidR="00DB22A3" w:rsidRPr="00A53B9D">
        <w:rPr>
          <w:rFonts w:asciiTheme="majorHAnsi" w:hAnsiTheme="majorHAnsi"/>
          <w:sz w:val="20"/>
          <w:szCs w:val="20"/>
          <w:lang w:val="es-ES"/>
        </w:rPr>
        <w:t xml:space="preserve"> el Gerente de Recursos Humanos y Bienestar de la Gerencia Gen</w:t>
      </w:r>
      <w:r w:rsidR="00EB4AB3" w:rsidRPr="00A53B9D">
        <w:rPr>
          <w:rFonts w:asciiTheme="majorHAnsi" w:hAnsiTheme="majorHAnsi"/>
          <w:sz w:val="20"/>
          <w:szCs w:val="20"/>
          <w:lang w:val="es-ES"/>
        </w:rPr>
        <w:t>eral del Poder Judicial reportó</w:t>
      </w:r>
      <w:r w:rsidR="00DB22A3" w:rsidRPr="00A53B9D">
        <w:rPr>
          <w:rFonts w:asciiTheme="majorHAnsi" w:hAnsiTheme="majorHAnsi"/>
          <w:sz w:val="20"/>
          <w:szCs w:val="20"/>
          <w:lang w:val="es-ES"/>
        </w:rPr>
        <w:t xml:space="preserve"> </w:t>
      </w:r>
      <w:r w:rsidR="00EB4AB3" w:rsidRPr="00A53B9D">
        <w:rPr>
          <w:rFonts w:asciiTheme="majorHAnsi" w:hAnsiTheme="majorHAnsi"/>
          <w:sz w:val="20"/>
          <w:szCs w:val="20"/>
          <w:lang w:val="es-ES"/>
        </w:rPr>
        <w:t>que, al</w:t>
      </w:r>
      <w:r w:rsidR="00DB22A3" w:rsidRPr="00A53B9D">
        <w:rPr>
          <w:rFonts w:asciiTheme="majorHAnsi" w:hAnsiTheme="majorHAnsi"/>
          <w:sz w:val="20"/>
          <w:szCs w:val="20"/>
          <w:lang w:val="es-ES"/>
        </w:rPr>
        <w:t xml:space="preserve"> 9 de agosto de 2016, </w:t>
      </w:r>
      <w:r w:rsidR="00EB4AB3" w:rsidRPr="00A53B9D">
        <w:rPr>
          <w:rFonts w:asciiTheme="majorHAnsi" w:hAnsiTheme="majorHAnsi"/>
          <w:sz w:val="20"/>
          <w:szCs w:val="20"/>
          <w:lang w:val="es-ES"/>
        </w:rPr>
        <w:t>se estaba pagando</w:t>
      </w:r>
      <w:r w:rsidR="00DB22A3" w:rsidRPr="00A53B9D">
        <w:rPr>
          <w:rFonts w:asciiTheme="majorHAnsi" w:hAnsiTheme="majorHAnsi"/>
          <w:sz w:val="20"/>
          <w:szCs w:val="20"/>
          <w:lang w:val="es-ES"/>
        </w:rPr>
        <w:t xml:space="preserve"> la suma pensional que se debía a la peticionaria, </w:t>
      </w:r>
      <w:r w:rsidR="00EB4AB3" w:rsidRPr="00A53B9D">
        <w:rPr>
          <w:rFonts w:asciiTheme="majorHAnsi" w:hAnsiTheme="majorHAnsi"/>
          <w:sz w:val="20"/>
          <w:szCs w:val="20"/>
          <w:lang w:val="es-ES"/>
        </w:rPr>
        <w:t>mediante pagos</w:t>
      </w:r>
      <w:r w:rsidR="00DB22A3" w:rsidRPr="00A53B9D">
        <w:rPr>
          <w:rFonts w:asciiTheme="majorHAnsi" w:hAnsiTheme="majorHAnsi"/>
          <w:sz w:val="20"/>
          <w:szCs w:val="20"/>
          <w:lang w:val="es-ES"/>
        </w:rPr>
        <w:t xml:space="preserve"> mensuales. </w:t>
      </w:r>
      <w:r w:rsidR="00EB4AB3" w:rsidRPr="00A53B9D">
        <w:rPr>
          <w:rFonts w:asciiTheme="majorHAnsi" w:hAnsiTheme="majorHAnsi"/>
          <w:sz w:val="20"/>
          <w:szCs w:val="20"/>
          <w:lang w:val="es-ES"/>
        </w:rPr>
        <w:t>En atención a estos</w:t>
      </w:r>
      <w:r w:rsidR="00DB22A3" w:rsidRPr="00A53B9D">
        <w:rPr>
          <w:rFonts w:asciiTheme="majorHAnsi" w:hAnsiTheme="majorHAnsi"/>
          <w:sz w:val="20"/>
          <w:szCs w:val="20"/>
          <w:lang w:val="es-ES"/>
        </w:rPr>
        <w:t xml:space="preserve"> pagos, el Estado argumenta que </w:t>
      </w:r>
      <w:r w:rsidR="00DB22A3" w:rsidRPr="00A53B9D">
        <w:rPr>
          <w:rFonts w:asciiTheme="majorHAnsi" w:hAnsiTheme="majorHAnsi"/>
          <w:i/>
          <w:iCs/>
          <w:sz w:val="20"/>
          <w:szCs w:val="20"/>
          <w:lang w:val="es-ES"/>
        </w:rPr>
        <w:t>“resulta evidente que actualmente no existe afectación alguna de los derechos humanos de la peticionaria, por lo que debe declararse inadmisible la petición”</w:t>
      </w:r>
      <w:r w:rsidR="00DB22A3" w:rsidRPr="00A53B9D">
        <w:rPr>
          <w:rFonts w:asciiTheme="majorHAnsi" w:hAnsiTheme="majorHAnsi"/>
          <w:sz w:val="20"/>
          <w:szCs w:val="20"/>
          <w:lang w:val="es-ES"/>
        </w:rPr>
        <w:t xml:space="preserve">. También </w:t>
      </w:r>
      <w:r w:rsidR="00EB4AB3" w:rsidRPr="00A53B9D">
        <w:rPr>
          <w:rFonts w:asciiTheme="majorHAnsi" w:hAnsiTheme="majorHAnsi"/>
          <w:sz w:val="20"/>
          <w:szCs w:val="20"/>
          <w:lang w:val="es-ES"/>
        </w:rPr>
        <w:t>aduce</w:t>
      </w:r>
      <w:r w:rsidR="00DB22A3" w:rsidRPr="00A53B9D">
        <w:rPr>
          <w:rFonts w:asciiTheme="majorHAnsi" w:hAnsiTheme="majorHAnsi"/>
          <w:sz w:val="20"/>
          <w:szCs w:val="20"/>
          <w:lang w:val="es-ES"/>
        </w:rPr>
        <w:t xml:space="preserve"> que la culminación de este proceso judicial contencioso administrativo es un indicador de que el derecho de la señora Ortega a la protección judicial ha sido plenamente garantizado.</w:t>
      </w:r>
    </w:p>
    <w:p w14:paraId="4147C973" w14:textId="77777777" w:rsidR="003239B8" w:rsidRPr="00A53B9D" w:rsidRDefault="003239B8" w:rsidP="003239B8">
      <w:pPr>
        <w:spacing w:before="240" w:after="240"/>
        <w:ind w:firstLine="720"/>
        <w:jc w:val="both"/>
        <w:rPr>
          <w:rFonts w:asciiTheme="majorHAnsi" w:hAnsiTheme="majorHAnsi"/>
          <w:sz w:val="20"/>
          <w:szCs w:val="20"/>
          <w:lang w:val="es-ES"/>
        </w:rPr>
      </w:pPr>
      <w:r w:rsidRPr="00A53B9D">
        <w:rPr>
          <w:rFonts w:asciiTheme="majorHAnsi" w:eastAsia="Cambria" w:hAnsiTheme="majorHAnsi" w:cs="Cambria"/>
          <w:b/>
          <w:bCs/>
          <w:color w:val="000000"/>
          <w:sz w:val="20"/>
          <w:szCs w:val="20"/>
          <w:u w:color="000000"/>
          <w:lang w:val="es-ES" w:eastAsia="es-ES"/>
        </w:rPr>
        <w:t>VI.</w:t>
      </w:r>
      <w:r w:rsidRPr="00A53B9D">
        <w:rPr>
          <w:rFonts w:asciiTheme="majorHAnsi" w:eastAsia="Cambria" w:hAnsiTheme="majorHAnsi" w:cs="Cambria"/>
          <w:b/>
          <w:bCs/>
          <w:color w:val="000000"/>
          <w:sz w:val="20"/>
          <w:szCs w:val="20"/>
          <w:u w:color="000000"/>
          <w:lang w:val="es-ES" w:eastAsia="es-ES"/>
        </w:rPr>
        <w:tab/>
      </w:r>
      <w:r w:rsidR="004A6A54" w:rsidRPr="00A53B9D">
        <w:rPr>
          <w:rFonts w:asciiTheme="majorHAnsi" w:hAnsiTheme="majorHAnsi"/>
          <w:b/>
          <w:bCs/>
          <w:sz w:val="20"/>
          <w:szCs w:val="20"/>
          <w:lang w:val="es-ES"/>
        </w:rPr>
        <w:t xml:space="preserve">ANÁLISIS DE </w:t>
      </w:r>
      <w:r w:rsidR="00C21FEF" w:rsidRPr="00A53B9D">
        <w:rPr>
          <w:rFonts w:asciiTheme="majorHAnsi" w:hAnsiTheme="majorHAnsi"/>
          <w:b/>
          <w:sz w:val="20"/>
          <w:szCs w:val="20"/>
          <w:lang w:val="es-ES"/>
        </w:rPr>
        <w:t>AGOTAMIENTO DE LOS RECURSOS INTERNOS Y PLAZO DE PRESENTACIÓN</w:t>
      </w:r>
      <w:r w:rsidR="00C21FEF" w:rsidRPr="00A53B9D">
        <w:rPr>
          <w:rFonts w:asciiTheme="majorHAnsi" w:eastAsia="Cambria" w:hAnsiTheme="majorHAnsi" w:cs="Cambria"/>
          <w:b/>
          <w:bCs/>
          <w:color w:val="000000"/>
          <w:sz w:val="20"/>
          <w:szCs w:val="20"/>
          <w:u w:color="000000"/>
          <w:lang w:val="es-ES" w:eastAsia="es-ES"/>
        </w:rPr>
        <w:t xml:space="preserve"> </w:t>
      </w:r>
    </w:p>
    <w:p w14:paraId="3F88585C" w14:textId="3B53A985" w:rsidR="00AD2C8B" w:rsidRPr="00A53B9D" w:rsidRDefault="001A6CFA" w:rsidP="00E93D0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A53B9D">
        <w:rPr>
          <w:rFonts w:asciiTheme="majorHAnsi" w:hAnsiTheme="majorHAnsi"/>
          <w:sz w:val="20"/>
          <w:szCs w:val="20"/>
          <w:lang w:val="es-ES"/>
        </w:rPr>
        <w:t xml:space="preserve">10. </w:t>
      </w:r>
      <w:r w:rsidR="004E463C" w:rsidRPr="00A53B9D">
        <w:rPr>
          <w:rFonts w:asciiTheme="majorHAnsi" w:hAnsiTheme="majorHAnsi"/>
          <w:sz w:val="20"/>
          <w:szCs w:val="20"/>
          <w:lang w:val="es-ES"/>
        </w:rPr>
        <w:tab/>
        <w:t>La Comisión observa</w:t>
      </w:r>
      <w:r w:rsidR="00AD2C8B" w:rsidRPr="00A53B9D">
        <w:rPr>
          <w:rFonts w:asciiTheme="majorHAnsi" w:hAnsiTheme="majorHAnsi"/>
          <w:sz w:val="20"/>
          <w:szCs w:val="20"/>
          <w:lang w:val="es-ES"/>
        </w:rPr>
        <w:t>,</w:t>
      </w:r>
      <w:r w:rsidR="004E463C" w:rsidRPr="00A53B9D">
        <w:rPr>
          <w:rFonts w:asciiTheme="majorHAnsi" w:hAnsiTheme="majorHAnsi"/>
          <w:sz w:val="20"/>
          <w:szCs w:val="20"/>
          <w:lang w:val="es-ES"/>
        </w:rPr>
        <w:t xml:space="preserve"> en primer lugar</w:t>
      </w:r>
      <w:r w:rsidR="00AD2C8B" w:rsidRPr="00A53B9D">
        <w:rPr>
          <w:rFonts w:asciiTheme="majorHAnsi" w:hAnsiTheme="majorHAnsi"/>
          <w:sz w:val="20"/>
          <w:szCs w:val="20"/>
          <w:lang w:val="es-ES"/>
        </w:rPr>
        <w:t>,</w:t>
      </w:r>
      <w:r w:rsidR="004E463C" w:rsidRPr="00A53B9D">
        <w:rPr>
          <w:rFonts w:asciiTheme="majorHAnsi" w:hAnsiTheme="majorHAnsi"/>
          <w:sz w:val="20"/>
          <w:szCs w:val="20"/>
          <w:lang w:val="es-ES"/>
        </w:rPr>
        <w:t xml:space="preserve"> que el reclamo de la peticionaria</w:t>
      </w:r>
      <w:r w:rsidR="00AD2C8B" w:rsidRPr="00A53B9D">
        <w:rPr>
          <w:rFonts w:asciiTheme="majorHAnsi" w:hAnsiTheme="majorHAnsi"/>
          <w:sz w:val="20"/>
          <w:szCs w:val="20"/>
          <w:lang w:val="es-ES"/>
        </w:rPr>
        <w:t>,</w:t>
      </w:r>
      <w:r w:rsidR="004E463C" w:rsidRPr="00A53B9D">
        <w:rPr>
          <w:rFonts w:asciiTheme="majorHAnsi" w:hAnsiTheme="majorHAnsi"/>
          <w:sz w:val="20"/>
          <w:szCs w:val="20"/>
          <w:lang w:val="es-ES"/>
        </w:rPr>
        <w:t xml:space="preserve"> tanto a nivel interno como en su petición ante la CIDH, consiste fundamentalmente en la alegada falta de pago en su totalidad de su pensión de viudez</w:t>
      </w:r>
      <w:r w:rsidR="0035297A">
        <w:rPr>
          <w:rFonts w:asciiTheme="majorHAnsi" w:hAnsiTheme="majorHAnsi"/>
          <w:sz w:val="20"/>
          <w:szCs w:val="20"/>
          <w:lang w:val="es-ES"/>
        </w:rPr>
        <w:t>;</w:t>
      </w:r>
      <w:r w:rsidR="004E463C" w:rsidRPr="00A53B9D">
        <w:rPr>
          <w:rFonts w:asciiTheme="majorHAnsi" w:hAnsiTheme="majorHAnsi"/>
          <w:sz w:val="20"/>
          <w:szCs w:val="20"/>
          <w:lang w:val="es-ES"/>
        </w:rPr>
        <w:t xml:space="preserve"> </w:t>
      </w:r>
      <w:r w:rsidR="0035297A">
        <w:rPr>
          <w:rFonts w:asciiTheme="majorHAnsi" w:hAnsiTheme="majorHAnsi"/>
          <w:sz w:val="20"/>
          <w:szCs w:val="20"/>
          <w:lang w:val="es-ES"/>
        </w:rPr>
        <w:t>l</w:t>
      </w:r>
      <w:r w:rsidR="00AD2C8B" w:rsidRPr="00A53B9D">
        <w:rPr>
          <w:rFonts w:asciiTheme="majorHAnsi" w:hAnsiTheme="majorHAnsi"/>
          <w:sz w:val="20"/>
          <w:szCs w:val="20"/>
          <w:lang w:val="es-ES"/>
        </w:rPr>
        <w:t>o que está directamente ligado a que, a su juicio, ha sido afectada por diversas actuaciones administrativas y judiciales de las autoridades internas que habrían vulnerado sus derechos humanos.</w:t>
      </w:r>
    </w:p>
    <w:p w14:paraId="5FCC4A22" w14:textId="1E8AB283" w:rsidR="00C37CBB" w:rsidRPr="00A53B9D" w:rsidRDefault="00AD2C8B" w:rsidP="005762F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A53B9D">
        <w:rPr>
          <w:rFonts w:asciiTheme="majorHAnsi" w:hAnsiTheme="majorHAnsi"/>
          <w:sz w:val="20"/>
          <w:szCs w:val="20"/>
          <w:lang w:val="es-ES"/>
        </w:rPr>
        <w:t>11.</w:t>
      </w:r>
      <w:r w:rsidRPr="00A53B9D">
        <w:rPr>
          <w:rFonts w:asciiTheme="majorHAnsi" w:hAnsiTheme="majorHAnsi"/>
          <w:sz w:val="20"/>
          <w:szCs w:val="20"/>
          <w:lang w:val="es-ES"/>
        </w:rPr>
        <w:tab/>
        <w:t xml:space="preserve">En este sentido, está claramente establecido en la petición que la Sra. Ortega inició un Proceso de Cumplimiento frente a la falta de pago completo de la mesada pensional que le había sido reconocida por la Gerencia del Poder Judicial, que tuvo una resolución favorable de primera instancia del 26 de junio de 2007; luego una decisión contraria a los intereses de la peticionaria emitida por la Corte Superior de Justicia de Lima el </w:t>
      </w:r>
      <w:r w:rsidRPr="00A53B9D">
        <w:rPr>
          <w:rFonts w:asciiTheme="majorHAnsi" w:hAnsiTheme="majorHAnsi"/>
          <w:sz w:val="20"/>
          <w:szCs w:val="20"/>
          <w:lang w:val="es-ES" w:eastAsia="es-CO"/>
        </w:rPr>
        <w:t xml:space="preserve">8 de abril de 2008; y finalmente, en sede de amparo, un fallo definitivo emitido por el </w:t>
      </w:r>
      <w:r w:rsidRPr="00A53B9D">
        <w:rPr>
          <w:rFonts w:asciiTheme="majorHAnsi" w:hAnsiTheme="majorHAnsi"/>
          <w:sz w:val="20"/>
          <w:szCs w:val="20"/>
          <w:lang w:val="es-ES"/>
        </w:rPr>
        <w:t>Tribunal Constitucional el 19 de octubre de 2009</w:t>
      </w:r>
      <w:r w:rsidR="00A8735A" w:rsidRPr="00A53B9D">
        <w:rPr>
          <w:rFonts w:asciiTheme="majorHAnsi" w:hAnsiTheme="majorHAnsi"/>
          <w:sz w:val="20"/>
          <w:szCs w:val="20"/>
          <w:lang w:val="es-ES"/>
        </w:rPr>
        <w:t xml:space="preserve">. </w:t>
      </w:r>
      <w:r w:rsidR="005A5E11" w:rsidRPr="00A53B9D">
        <w:rPr>
          <w:rFonts w:asciiTheme="majorHAnsi" w:hAnsiTheme="majorHAnsi"/>
          <w:sz w:val="20"/>
          <w:szCs w:val="20"/>
          <w:lang w:val="es-ES"/>
        </w:rPr>
        <w:t>Este fallo, que agotó formalmente la vía judicial constitucional doméstica, fue notificado a la señora Ortega el 27 de octubre de 2009</w:t>
      </w:r>
      <w:r w:rsidR="0035297A">
        <w:rPr>
          <w:rFonts w:asciiTheme="majorHAnsi" w:hAnsiTheme="majorHAnsi"/>
          <w:sz w:val="20"/>
          <w:szCs w:val="20"/>
          <w:lang w:val="es-ES"/>
        </w:rPr>
        <w:t>;</w:t>
      </w:r>
      <w:r w:rsidR="005A5E11" w:rsidRPr="00A53B9D">
        <w:rPr>
          <w:rFonts w:asciiTheme="majorHAnsi" w:hAnsiTheme="majorHAnsi"/>
          <w:sz w:val="20"/>
          <w:szCs w:val="20"/>
          <w:lang w:val="es-ES"/>
        </w:rPr>
        <w:t xml:space="preserve"> </w:t>
      </w:r>
      <w:r w:rsidR="0035297A">
        <w:rPr>
          <w:rFonts w:asciiTheme="majorHAnsi" w:hAnsiTheme="majorHAnsi"/>
          <w:sz w:val="20"/>
          <w:szCs w:val="20"/>
          <w:lang w:val="es-ES"/>
        </w:rPr>
        <w:t>e</w:t>
      </w:r>
      <w:r w:rsidR="005A5E11" w:rsidRPr="00A53B9D">
        <w:rPr>
          <w:rFonts w:asciiTheme="majorHAnsi" w:hAnsiTheme="majorHAnsi"/>
          <w:sz w:val="20"/>
          <w:szCs w:val="20"/>
          <w:lang w:val="es-ES"/>
        </w:rPr>
        <w:t xml:space="preserve">n tanto que la presente petición fue recibida en la CIDH el 15 de abril de 2010. </w:t>
      </w:r>
      <w:r w:rsidR="00A53B9D" w:rsidRPr="00A53B9D">
        <w:rPr>
          <w:rFonts w:asciiTheme="majorHAnsi" w:hAnsiTheme="majorHAnsi"/>
          <w:sz w:val="20"/>
          <w:szCs w:val="20"/>
          <w:lang w:val="es-ES"/>
        </w:rPr>
        <w:t>Cabe recordar en este punto que en casos anteriores relativos al Perú la CIDH ha considerado que el recurso de amparo constitucional es un recurso idóneo para presentar pretensiones en materia pensional</w:t>
      </w:r>
      <w:r w:rsidR="00A53B9D" w:rsidRPr="00A53B9D">
        <w:rPr>
          <w:rStyle w:val="FootnoteReference"/>
          <w:rFonts w:asciiTheme="majorHAnsi" w:hAnsiTheme="majorHAnsi"/>
          <w:sz w:val="20"/>
          <w:szCs w:val="20"/>
          <w:lang w:val="es-ES"/>
        </w:rPr>
        <w:footnoteReference w:id="7"/>
      </w:r>
      <w:r w:rsidR="00A53B9D" w:rsidRPr="00A53B9D">
        <w:rPr>
          <w:rFonts w:asciiTheme="majorHAnsi" w:hAnsiTheme="majorHAnsi"/>
          <w:sz w:val="20"/>
          <w:szCs w:val="20"/>
          <w:lang w:val="es-ES"/>
        </w:rPr>
        <w:t xml:space="preserve">. </w:t>
      </w:r>
      <w:r w:rsidR="005A5E11" w:rsidRPr="00A53B9D">
        <w:rPr>
          <w:rFonts w:asciiTheme="majorHAnsi" w:hAnsiTheme="majorHAnsi"/>
          <w:sz w:val="20"/>
          <w:szCs w:val="20"/>
          <w:lang w:val="es-ES"/>
        </w:rPr>
        <w:t xml:space="preserve">El agotamiento de esta ruta procesal no ha sido controvertido por el Estado. </w:t>
      </w:r>
      <w:r w:rsidR="005762F0" w:rsidRPr="00A53B9D">
        <w:rPr>
          <w:rFonts w:asciiTheme="majorHAnsi" w:hAnsiTheme="majorHAnsi"/>
          <w:sz w:val="20"/>
          <w:szCs w:val="20"/>
          <w:lang w:val="es-ES"/>
        </w:rPr>
        <w:t xml:space="preserve">Antes bien, según </w:t>
      </w:r>
      <w:r w:rsidR="0035297A">
        <w:rPr>
          <w:rFonts w:asciiTheme="majorHAnsi" w:hAnsiTheme="majorHAnsi"/>
          <w:sz w:val="20"/>
          <w:szCs w:val="20"/>
          <w:lang w:val="es-ES"/>
        </w:rPr>
        <w:t>é</w:t>
      </w:r>
      <w:r w:rsidR="005762F0" w:rsidRPr="00A53B9D">
        <w:rPr>
          <w:rFonts w:asciiTheme="majorHAnsi" w:hAnsiTheme="majorHAnsi"/>
          <w:sz w:val="20"/>
          <w:szCs w:val="20"/>
          <w:lang w:val="es-ES"/>
        </w:rPr>
        <w:t xml:space="preserve">ste ha informado en detalle, la Sra. Ortega agotó adicionalmente un proceso judicial contencioso </w:t>
      </w:r>
      <w:r w:rsidR="005762F0" w:rsidRPr="00A53B9D">
        <w:rPr>
          <w:rFonts w:asciiTheme="majorHAnsi" w:hAnsiTheme="majorHAnsi"/>
          <w:sz w:val="20"/>
          <w:szCs w:val="20"/>
          <w:lang w:val="es-ES"/>
        </w:rPr>
        <w:lastRenderedPageBreak/>
        <w:t>administrativo, el cual finalizó con una decisión en final el 9 de junio de 2015 que protegió sus derechos y ordenó al Estado pagar las sumas que se le adeudaban.</w:t>
      </w:r>
    </w:p>
    <w:p w14:paraId="1F7EBB5E" w14:textId="0E49ACC6" w:rsidR="005A5E11" w:rsidRPr="00A53B9D" w:rsidRDefault="005A5E11" w:rsidP="00060FC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A53B9D">
        <w:rPr>
          <w:rFonts w:asciiTheme="majorHAnsi" w:hAnsiTheme="majorHAnsi"/>
          <w:sz w:val="20"/>
          <w:szCs w:val="20"/>
          <w:lang w:val="es-ES"/>
        </w:rPr>
        <w:t>12.</w:t>
      </w:r>
      <w:r w:rsidRPr="00A53B9D">
        <w:rPr>
          <w:rFonts w:asciiTheme="majorHAnsi" w:hAnsiTheme="majorHAnsi"/>
          <w:sz w:val="20"/>
          <w:szCs w:val="20"/>
          <w:lang w:val="es-ES"/>
        </w:rPr>
        <w:tab/>
      </w:r>
      <w:r w:rsidR="00060FC3" w:rsidRPr="00A53B9D">
        <w:rPr>
          <w:rFonts w:asciiTheme="majorHAnsi" w:hAnsiTheme="majorHAnsi"/>
          <w:sz w:val="20"/>
          <w:szCs w:val="20"/>
          <w:lang w:val="es-ES"/>
        </w:rPr>
        <w:t>En cuanto al argumento del Estado según el cual la peticionaria no habría cumplido con el requisito del agotamiento de los recursos internos con relación a las alegadas violaciones a los derechos a la propiedad, igualdad, protección judicial y garantías judiciales, invocados en la demanda, sino solamente en relación con el derecho a la seguridad social, la Comisión observa que estos reclamos con consustanciales al reclamo principal arriba señalado. Por lo tanto, a juicio de la Comisión, no requieren del agotamiento de recursos adicionales a los ya planteados. Se recuerda también a este respecto que la CIDH ha establecido que “</w:t>
      </w:r>
      <w:r w:rsidR="00060FC3" w:rsidRPr="00A53B9D">
        <w:rPr>
          <w:rFonts w:asciiTheme="majorHAnsi" w:hAnsiTheme="majorHAnsi"/>
          <w:i/>
          <w:sz w:val="20"/>
          <w:szCs w:val="20"/>
          <w:lang w:val="es-ES"/>
        </w:rPr>
        <w:t>el requisito de agotamiento de los recursos internos no significa que las presuntas víctimas tengan necesariamente la obligación de agotar todos los recursos que tengan disponibles. En consecuencia, si la presunta víctima planteó la cuestión por alguna de las alternativas válidas y adecuadas según el ordenamiento jurídico interno y el Estado tuvo la oportunidad de remediar la cuestión en su jurisdicción, la finalidad de la norma internacional está cumplida</w:t>
      </w:r>
      <w:r w:rsidR="00060FC3" w:rsidRPr="00A53B9D">
        <w:rPr>
          <w:rFonts w:asciiTheme="majorHAnsi" w:hAnsiTheme="majorHAnsi"/>
          <w:sz w:val="20"/>
          <w:szCs w:val="20"/>
          <w:lang w:val="es-ES"/>
        </w:rPr>
        <w:t>”</w:t>
      </w:r>
      <w:r w:rsidR="00060FC3" w:rsidRPr="00A53B9D">
        <w:rPr>
          <w:rStyle w:val="FootnoteReference"/>
          <w:rFonts w:asciiTheme="majorHAnsi" w:hAnsiTheme="majorHAnsi"/>
          <w:sz w:val="20"/>
          <w:szCs w:val="20"/>
          <w:lang w:val="es-ES"/>
        </w:rPr>
        <w:footnoteReference w:id="8"/>
      </w:r>
      <w:r w:rsidR="00060FC3" w:rsidRPr="00A53B9D">
        <w:rPr>
          <w:rFonts w:asciiTheme="majorHAnsi" w:hAnsiTheme="majorHAnsi"/>
          <w:sz w:val="20"/>
          <w:szCs w:val="20"/>
          <w:lang w:val="es-ES"/>
        </w:rPr>
        <w:t xml:space="preserve">. </w:t>
      </w:r>
    </w:p>
    <w:p w14:paraId="3B75E2F9" w14:textId="1E0F18B5" w:rsidR="00060FC3" w:rsidRPr="00A53B9D" w:rsidRDefault="00060FC3" w:rsidP="00060FC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A53B9D">
        <w:rPr>
          <w:rFonts w:asciiTheme="majorHAnsi" w:hAnsiTheme="majorHAnsi"/>
          <w:sz w:val="20"/>
          <w:szCs w:val="20"/>
          <w:lang w:val="es-ES"/>
        </w:rPr>
        <w:t>13.</w:t>
      </w:r>
      <w:r w:rsidRPr="00A53B9D">
        <w:rPr>
          <w:rFonts w:asciiTheme="majorHAnsi" w:hAnsiTheme="majorHAnsi"/>
          <w:sz w:val="20"/>
          <w:szCs w:val="20"/>
          <w:lang w:val="es-ES"/>
        </w:rPr>
        <w:tab/>
        <w:t xml:space="preserve">Por otro lado, en cuanto al </w:t>
      </w:r>
      <w:r w:rsidR="005271C1" w:rsidRPr="00A53B9D">
        <w:rPr>
          <w:rFonts w:asciiTheme="majorHAnsi" w:hAnsiTheme="majorHAnsi"/>
          <w:sz w:val="20"/>
          <w:szCs w:val="20"/>
          <w:lang w:val="es-ES"/>
        </w:rPr>
        <w:t>alegato</w:t>
      </w:r>
      <w:r w:rsidRPr="00A53B9D">
        <w:rPr>
          <w:rFonts w:asciiTheme="majorHAnsi" w:hAnsiTheme="majorHAnsi"/>
          <w:sz w:val="20"/>
          <w:szCs w:val="20"/>
          <w:lang w:val="es-ES"/>
        </w:rPr>
        <w:t xml:space="preserve"> del Estado </w:t>
      </w:r>
      <w:r w:rsidR="005271C1" w:rsidRPr="00A53B9D">
        <w:rPr>
          <w:rFonts w:asciiTheme="majorHAnsi" w:hAnsiTheme="majorHAnsi"/>
          <w:sz w:val="20"/>
          <w:szCs w:val="20"/>
          <w:lang w:val="es-ES"/>
        </w:rPr>
        <w:t xml:space="preserve">de que </w:t>
      </w:r>
      <w:r w:rsidRPr="00A53B9D">
        <w:rPr>
          <w:rFonts w:asciiTheme="majorHAnsi" w:hAnsiTheme="majorHAnsi"/>
          <w:sz w:val="20"/>
          <w:szCs w:val="20"/>
          <w:lang w:val="es-ES"/>
        </w:rPr>
        <w:t>la señora Ortega no agotó los recursos internos disponibles para pedir una indemnización monetaria de los daños y perjuicios que ha</w:t>
      </w:r>
      <w:r w:rsidR="005271C1" w:rsidRPr="00A53B9D">
        <w:rPr>
          <w:rFonts w:asciiTheme="majorHAnsi" w:hAnsiTheme="majorHAnsi"/>
          <w:sz w:val="20"/>
          <w:szCs w:val="20"/>
          <w:lang w:val="es-ES"/>
        </w:rPr>
        <w:t>bría</w:t>
      </w:r>
      <w:r w:rsidRPr="00A53B9D">
        <w:rPr>
          <w:rFonts w:asciiTheme="majorHAnsi" w:hAnsiTheme="majorHAnsi"/>
          <w:sz w:val="20"/>
          <w:szCs w:val="20"/>
          <w:lang w:val="es-ES"/>
        </w:rPr>
        <w:t xml:space="preserve"> sufrido en virtud de las decisiones administrativas y judiciales atinentes a su pensión</w:t>
      </w:r>
      <w:r w:rsidR="005271C1" w:rsidRPr="00A53B9D">
        <w:rPr>
          <w:rFonts w:asciiTheme="majorHAnsi" w:hAnsiTheme="majorHAnsi"/>
          <w:sz w:val="20"/>
          <w:szCs w:val="20"/>
          <w:lang w:val="es-ES"/>
        </w:rPr>
        <w:t>, la CIDH recuerda</w:t>
      </w:r>
      <w:r w:rsidRPr="00A53B9D">
        <w:rPr>
          <w:rFonts w:asciiTheme="majorHAnsi" w:hAnsiTheme="majorHAnsi"/>
          <w:sz w:val="20"/>
          <w:szCs w:val="20"/>
          <w:lang w:val="es-ES"/>
        </w:rPr>
        <w:t xml:space="preserve"> que la compensación monetaria es una de las medidas de reparación que pueden disponer en casos concretos los órganos del </w:t>
      </w:r>
      <w:r w:rsidR="005271C1" w:rsidRPr="00A53B9D">
        <w:rPr>
          <w:rFonts w:asciiTheme="majorHAnsi" w:hAnsiTheme="majorHAnsi"/>
          <w:sz w:val="20"/>
          <w:szCs w:val="20"/>
          <w:lang w:val="es-ES"/>
        </w:rPr>
        <w:t>Sistema Interamericano</w:t>
      </w:r>
      <w:r w:rsidRPr="00A53B9D">
        <w:rPr>
          <w:rFonts w:asciiTheme="majorHAnsi" w:hAnsiTheme="majorHAnsi"/>
          <w:sz w:val="20"/>
          <w:szCs w:val="20"/>
          <w:lang w:val="es-ES"/>
        </w:rPr>
        <w:t xml:space="preserve">, y que el derecho a la reparación surge </w:t>
      </w:r>
      <w:r w:rsidRPr="00A53B9D">
        <w:rPr>
          <w:rFonts w:asciiTheme="majorHAnsi" w:hAnsiTheme="majorHAnsi"/>
          <w:i/>
          <w:iCs/>
          <w:sz w:val="20"/>
          <w:szCs w:val="20"/>
          <w:lang w:val="es-ES"/>
        </w:rPr>
        <w:t>ipso iure</w:t>
      </w:r>
      <w:r w:rsidRPr="00A53B9D">
        <w:rPr>
          <w:rFonts w:asciiTheme="majorHAnsi" w:hAnsiTheme="majorHAnsi"/>
          <w:sz w:val="20"/>
          <w:szCs w:val="20"/>
          <w:lang w:val="es-ES"/>
        </w:rPr>
        <w:t xml:space="preserve"> en cabeza de las víctimas de violaciones de los derechos humanos cuando se ha declarado internacionalmente responsable al Estado por la violación de sus obligaciones en la materia</w:t>
      </w:r>
      <w:r w:rsidR="00D30E43" w:rsidRPr="00A53B9D">
        <w:rPr>
          <w:rStyle w:val="FootnoteReference"/>
          <w:rFonts w:asciiTheme="majorHAnsi" w:hAnsiTheme="majorHAnsi"/>
          <w:sz w:val="20"/>
          <w:szCs w:val="20"/>
          <w:lang w:val="es-ES"/>
        </w:rPr>
        <w:footnoteReference w:id="9"/>
      </w:r>
      <w:r w:rsidRPr="00A53B9D">
        <w:rPr>
          <w:rFonts w:asciiTheme="majorHAnsi" w:hAnsiTheme="majorHAnsi"/>
          <w:sz w:val="20"/>
          <w:szCs w:val="20"/>
          <w:lang w:val="es-ES"/>
        </w:rPr>
        <w:t>.</w:t>
      </w:r>
      <w:r w:rsidR="005271C1" w:rsidRPr="00A53B9D">
        <w:rPr>
          <w:rFonts w:asciiTheme="majorHAnsi" w:hAnsiTheme="majorHAnsi"/>
          <w:sz w:val="20"/>
          <w:szCs w:val="20"/>
          <w:lang w:val="es-ES"/>
        </w:rPr>
        <w:t xml:space="preserve"> Es por lo tanto jurídicamente incorrecto afirmar, como lo hace el Estado peruano en su contestación, que es necesario agotar una vía judicial doméstica de reparación de daños y perjuicios antes de que se puedan pedir y ordenar reparaciones monetarias a nivel interamericano.</w:t>
      </w:r>
    </w:p>
    <w:p w14:paraId="0474DC38" w14:textId="1BB6C667" w:rsidR="005271C1" w:rsidRPr="00A53B9D" w:rsidRDefault="005271C1" w:rsidP="00060FC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A53B9D">
        <w:rPr>
          <w:rFonts w:asciiTheme="majorHAnsi" w:hAnsiTheme="majorHAnsi"/>
          <w:sz w:val="20"/>
          <w:szCs w:val="20"/>
          <w:lang w:val="es-ES"/>
        </w:rPr>
        <w:t>14.</w:t>
      </w:r>
      <w:r w:rsidRPr="00A53B9D">
        <w:rPr>
          <w:rFonts w:asciiTheme="majorHAnsi" w:hAnsiTheme="majorHAnsi"/>
          <w:sz w:val="20"/>
          <w:szCs w:val="20"/>
          <w:lang w:val="es-ES"/>
        </w:rPr>
        <w:tab/>
        <w:t xml:space="preserve">En atención a estas consideraciones, la Comisión Interamericana concluye </w:t>
      </w:r>
      <w:r w:rsidR="00BC1314" w:rsidRPr="00A53B9D">
        <w:rPr>
          <w:rFonts w:asciiTheme="majorHAnsi" w:hAnsiTheme="majorHAnsi"/>
          <w:sz w:val="20"/>
          <w:szCs w:val="20"/>
          <w:lang w:val="es-ES"/>
        </w:rPr>
        <w:t>que la presente petición cumple con los</w:t>
      </w:r>
      <w:r w:rsidR="002915FB" w:rsidRPr="00A53B9D">
        <w:rPr>
          <w:rFonts w:asciiTheme="majorHAnsi" w:hAnsiTheme="majorHAnsi"/>
          <w:sz w:val="20"/>
          <w:szCs w:val="20"/>
          <w:lang w:val="es-ES"/>
        </w:rPr>
        <w:t xml:space="preserve"> requisitos de agotamiento de los recursos internos y plazo de presentación de la petición, establecidos respectivamente en los artículos 46.1.a y 46.1.b de la Convención Americana.</w:t>
      </w:r>
      <w:r w:rsidR="00BC1314" w:rsidRPr="00A53B9D">
        <w:rPr>
          <w:rFonts w:asciiTheme="majorHAnsi" w:hAnsiTheme="majorHAnsi"/>
          <w:sz w:val="20"/>
          <w:szCs w:val="20"/>
          <w:lang w:val="es-ES"/>
        </w:rPr>
        <w:t xml:space="preserve"> </w:t>
      </w:r>
    </w:p>
    <w:p w14:paraId="7011519B" w14:textId="77777777" w:rsidR="003239B8" w:rsidRPr="00A53B9D" w:rsidRDefault="003239B8" w:rsidP="003239B8">
      <w:pPr>
        <w:pStyle w:val="ListParagraph"/>
        <w:spacing w:before="240" w:after="240"/>
        <w:jc w:val="both"/>
        <w:rPr>
          <w:rFonts w:asciiTheme="majorHAnsi" w:hAnsiTheme="majorHAnsi"/>
          <w:b/>
          <w:sz w:val="20"/>
          <w:szCs w:val="20"/>
          <w:lang w:val="es-ES"/>
        </w:rPr>
      </w:pPr>
      <w:r w:rsidRPr="00A53B9D">
        <w:rPr>
          <w:rFonts w:asciiTheme="majorHAnsi" w:hAnsiTheme="majorHAnsi"/>
          <w:b/>
          <w:bCs/>
          <w:sz w:val="20"/>
          <w:szCs w:val="20"/>
          <w:lang w:val="es-ES"/>
        </w:rPr>
        <w:t>VII.</w:t>
      </w:r>
      <w:r w:rsidRPr="00A53B9D">
        <w:rPr>
          <w:rFonts w:asciiTheme="majorHAnsi" w:hAnsiTheme="majorHAnsi"/>
          <w:b/>
          <w:bCs/>
          <w:sz w:val="20"/>
          <w:szCs w:val="20"/>
          <w:lang w:val="es-ES"/>
        </w:rPr>
        <w:tab/>
      </w:r>
      <w:r w:rsidR="004A6A54" w:rsidRPr="00A53B9D">
        <w:rPr>
          <w:rFonts w:asciiTheme="majorHAnsi" w:hAnsiTheme="majorHAnsi"/>
          <w:b/>
          <w:bCs/>
          <w:sz w:val="20"/>
          <w:szCs w:val="20"/>
          <w:lang w:val="es-ES"/>
        </w:rPr>
        <w:t xml:space="preserve">ANÁLISIS DE </w:t>
      </w:r>
      <w:r w:rsidR="00C21FEF" w:rsidRPr="00A53B9D">
        <w:rPr>
          <w:rFonts w:asciiTheme="majorHAnsi" w:hAnsiTheme="majorHAnsi"/>
          <w:b/>
          <w:bCs/>
          <w:sz w:val="20"/>
          <w:szCs w:val="20"/>
          <w:lang w:val="es-ES"/>
        </w:rPr>
        <w:t>CARACTERIZACIÓN DE LOS HECHOS ALEGADOS</w:t>
      </w:r>
    </w:p>
    <w:p w14:paraId="32007EFB" w14:textId="2987EB0A" w:rsidR="00D23525" w:rsidRPr="00A53B9D" w:rsidRDefault="008E5767" w:rsidP="00D2352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A53B9D">
        <w:rPr>
          <w:rFonts w:asciiTheme="majorHAnsi" w:hAnsiTheme="majorHAnsi"/>
          <w:sz w:val="20"/>
          <w:szCs w:val="20"/>
          <w:lang w:val="es-ES"/>
        </w:rPr>
        <w:t>15</w:t>
      </w:r>
      <w:r w:rsidR="001A6CFA" w:rsidRPr="00A53B9D">
        <w:rPr>
          <w:rFonts w:asciiTheme="majorHAnsi" w:hAnsiTheme="majorHAnsi"/>
          <w:sz w:val="20"/>
          <w:szCs w:val="20"/>
          <w:lang w:val="es-ES"/>
        </w:rPr>
        <w:t xml:space="preserve">. </w:t>
      </w:r>
      <w:r w:rsidR="00D23525" w:rsidRPr="00A53B9D">
        <w:rPr>
          <w:rFonts w:asciiTheme="majorHAnsi" w:hAnsiTheme="majorHAnsi"/>
          <w:sz w:val="20"/>
          <w:szCs w:val="20"/>
          <w:lang w:val="es-ES"/>
        </w:rPr>
        <w:tab/>
        <w:t xml:space="preserve">En primer lugar, la CIDH toma nota del argumento del Estado atinente a una supuesta falta de competencia material para conocer de los alegatos basados en el artículo XVI de la Declaración Americana, que consagra el derecho humano a la seguridad social. A este respecto, la Comisión reitera que una vez que la Convención Americana entra en vigor en relación con un Estado, es dicho instrumento, y no la Declaración, </w:t>
      </w:r>
      <w:r w:rsidR="00AF5D88" w:rsidRPr="00A53B9D">
        <w:rPr>
          <w:rFonts w:asciiTheme="majorHAnsi" w:hAnsiTheme="majorHAnsi"/>
          <w:sz w:val="20"/>
          <w:szCs w:val="20"/>
          <w:lang w:val="es-ES"/>
        </w:rPr>
        <w:t>la</w:t>
      </w:r>
      <w:r w:rsidR="00D23525" w:rsidRPr="00A53B9D">
        <w:rPr>
          <w:rFonts w:asciiTheme="majorHAnsi" w:hAnsiTheme="majorHAnsi"/>
          <w:sz w:val="20"/>
          <w:szCs w:val="20"/>
          <w:lang w:val="es-ES"/>
        </w:rPr>
        <w:t xml:space="preserve"> que pasa a ser la fuente específica del derecho que aplicará la Comisión, siempre que en la petición se aleguen violaciones de derechos sustancialmente idénticos consagrados en los dos instrumentos</w:t>
      </w:r>
      <w:r w:rsidR="00D23525" w:rsidRPr="00A53B9D">
        <w:rPr>
          <w:rStyle w:val="FootnoteReference"/>
          <w:rFonts w:asciiTheme="majorHAnsi" w:hAnsiTheme="majorHAnsi"/>
          <w:sz w:val="20"/>
          <w:szCs w:val="20"/>
          <w:lang w:val="es-ES"/>
        </w:rPr>
        <w:footnoteReference w:id="10"/>
      </w:r>
      <w:r w:rsidR="00D23525" w:rsidRPr="00A53B9D">
        <w:rPr>
          <w:rFonts w:asciiTheme="majorHAnsi" w:hAnsiTheme="majorHAnsi"/>
          <w:sz w:val="20"/>
          <w:szCs w:val="20"/>
          <w:lang w:val="es-ES"/>
        </w:rPr>
        <w:t>, lo cual no es predicable del derecho a la seguridad social consagrado en la Declaración Americana, que no encuentra un corr</w:t>
      </w:r>
      <w:r w:rsidR="00AF5D88" w:rsidRPr="00A53B9D">
        <w:rPr>
          <w:rFonts w:asciiTheme="majorHAnsi" w:hAnsiTheme="majorHAnsi"/>
          <w:sz w:val="20"/>
          <w:szCs w:val="20"/>
          <w:lang w:val="es-ES"/>
        </w:rPr>
        <w:t>elato idéntico en la Convención</w:t>
      </w:r>
      <w:r w:rsidR="00D23525" w:rsidRPr="00A53B9D">
        <w:rPr>
          <w:rStyle w:val="FootnoteReference"/>
          <w:rFonts w:asciiTheme="majorHAnsi" w:hAnsiTheme="majorHAnsi"/>
          <w:sz w:val="20"/>
          <w:szCs w:val="20"/>
          <w:lang w:val="es-ES"/>
        </w:rPr>
        <w:footnoteReference w:id="11"/>
      </w:r>
      <w:r w:rsidR="00AF5D88" w:rsidRPr="00A53B9D">
        <w:rPr>
          <w:rFonts w:asciiTheme="majorHAnsi" w:hAnsiTheme="majorHAnsi"/>
          <w:sz w:val="20"/>
          <w:szCs w:val="20"/>
          <w:lang w:val="es-ES"/>
        </w:rPr>
        <w:t>.</w:t>
      </w:r>
      <w:r w:rsidR="00D23525" w:rsidRPr="00A53B9D">
        <w:rPr>
          <w:rFonts w:asciiTheme="majorHAnsi" w:hAnsiTheme="majorHAnsi"/>
          <w:sz w:val="20"/>
          <w:szCs w:val="20"/>
          <w:lang w:val="es-ES"/>
        </w:rPr>
        <w:t xml:space="preserve"> Por lo tanto, la Comisión analizará en la etapa de fondo la posible </w:t>
      </w:r>
      <w:r w:rsidR="00AF5D88" w:rsidRPr="00A53B9D">
        <w:rPr>
          <w:rFonts w:asciiTheme="majorHAnsi" w:hAnsiTheme="majorHAnsi"/>
          <w:sz w:val="20"/>
          <w:szCs w:val="20"/>
          <w:lang w:val="es-ES"/>
        </w:rPr>
        <w:t>aplicación</w:t>
      </w:r>
      <w:r w:rsidR="00D23525" w:rsidRPr="00A53B9D">
        <w:rPr>
          <w:rFonts w:asciiTheme="majorHAnsi" w:hAnsiTheme="majorHAnsi"/>
          <w:sz w:val="20"/>
          <w:szCs w:val="20"/>
          <w:lang w:val="es-ES"/>
        </w:rPr>
        <w:t xml:space="preserve"> de</w:t>
      </w:r>
      <w:r w:rsidR="00AF5D88" w:rsidRPr="00A53B9D">
        <w:rPr>
          <w:rFonts w:asciiTheme="majorHAnsi" w:hAnsiTheme="majorHAnsi"/>
          <w:sz w:val="20"/>
          <w:szCs w:val="20"/>
          <w:lang w:val="es-ES"/>
        </w:rPr>
        <w:t>l</w:t>
      </w:r>
      <w:r w:rsidR="00D23525" w:rsidRPr="00A53B9D">
        <w:rPr>
          <w:rFonts w:asciiTheme="majorHAnsi" w:hAnsiTheme="majorHAnsi"/>
          <w:sz w:val="20"/>
          <w:szCs w:val="20"/>
          <w:lang w:val="es-ES"/>
        </w:rPr>
        <w:t xml:space="preserve"> </w:t>
      </w:r>
      <w:r w:rsidR="00AF5D88" w:rsidRPr="00A53B9D">
        <w:rPr>
          <w:rFonts w:asciiTheme="majorHAnsi" w:hAnsiTheme="majorHAnsi"/>
          <w:sz w:val="20"/>
          <w:szCs w:val="20"/>
          <w:lang w:val="es-ES"/>
        </w:rPr>
        <w:t>artículo XVI de la Declaración Americana</w:t>
      </w:r>
      <w:r w:rsidR="00D23525" w:rsidRPr="00A53B9D">
        <w:rPr>
          <w:rFonts w:asciiTheme="majorHAnsi" w:hAnsiTheme="majorHAnsi"/>
          <w:sz w:val="20"/>
          <w:szCs w:val="20"/>
          <w:lang w:val="es-ES"/>
        </w:rPr>
        <w:t xml:space="preserve"> al asunto bajo estudio.</w:t>
      </w:r>
    </w:p>
    <w:p w14:paraId="78A64AB5" w14:textId="24150F41" w:rsidR="00D23525" w:rsidRPr="00A53B9D" w:rsidRDefault="00F71FEB" w:rsidP="001A6CF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A53B9D">
        <w:rPr>
          <w:rFonts w:asciiTheme="majorHAnsi" w:hAnsiTheme="majorHAnsi"/>
          <w:sz w:val="20"/>
          <w:szCs w:val="20"/>
          <w:lang w:val="es-ES"/>
        </w:rPr>
        <w:t>16</w:t>
      </w:r>
      <w:r w:rsidR="00D23525" w:rsidRPr="00A53B9D">
        <w:rPr>
          <w:rFonts w:asciiTheme="majorHAnsi" w:hAnsiTheme="majorHAnsi"/>
          <w:sz w:val="20"/>
          <w:szCs w:val="20"/>
          <w:lang w:val="es-ES"/>
        </w:rPr>
        <w:t>.</w:t>
      </w:r>
      <w:r w:rsidR="00D23525" w:rsidRPr="00A53B9D">
        <w:rPr>
          <w:rFonts w:asciiTheme="majorHAnsi" w:hAnsiTheme="majorHAnsi"/>
          <w:sz w:val="20"/>
          <w:szCs w:val="20"/>
          <w:lang w:val="es-ES"/>
        </w:rPr>
        <w:tab/>
        <w:t xml:space="preserve">En atención a las consideraciones precedentes, y tras examinar los elementos de hecho y de derecho expuestos por las partes, </w:t>
      </w:r>
      <w:r w:rsidR="001B6323" w:rsidRPr="001B6323">
        <w:rPr>
          <w:rFonts w:asciiTheme="majorHAnsi" w:hAnsiTheme="majorHAnsi"/>
          <w:sz w:val="20"/>
          <w:szCs w:val="20"/>
          <w:lang w:val="es-ES"/>
        </w:rPr>
        <w:t>en particular el hecho de que la peticionaria es una persona adulta mayor, cuyos derechos deben ser protegidos mediante medidas positivas por parte del Estado,</w:t>
      </w:r>
      <w:r w:rsidR="001B6323">
        <w:rPr>
          <w:rFonts w:asciiTheme="majorHAnsi" w:hAnsiTheme="majorHAnsi"/>
          <w:sz w:val="20"/>
          <w:szCs w:val="20"/>
          <w:lang w:val="es-ES"/>
        </w:rPr>
        <w:t xml:space="preserve"> </w:t>
      </w:r>
      <w:r w:rsidR="00D23525" w:rsidRPr="00A53B9D">
        <w:rPr>
          <w:rFonts w:asciiTheme="majorHAnsi" w:hAnsiTheme="majorHAnsi"/>
          <w:sz w:val="20"/>
          <w:szCs w:val="20"/>
          <w:lang w:val="es-ES"/>
        </w:rPr>
        <w:t xml:space="preserve">la Comisión concluye que las alegaciones de la parte peticionaria no resultan manifiestamente infundadas, y requieren un estudio de fondo, pues de corroborarse como ciertas, las mismas podrían caracterizar violaciones a los derechos protegidos en los artículos 8 (garantías judiciales), 21 (propiedad privada), </w:t>
      </w:r>
      <w:r w:rsidR="001B6323">
        <w:rPr>
          <w:rFonts w:asciiTheme="majorHAnsi" w:hAnsiTheme="majorHAnsi"/>
          <w:sz w:val="20"/>
          <w:szCs w:val="20"/>
          <w:lang w:val="es-ES"/>
        </w:rPr>
        <w:t xml:space="preserve">24 (igualdad ante la ley), </w:t>
      </w:r>
      <w:r w:rsidR="00D23525" w:rsidRPr="00A53B9D">
        <w:rPr>
          <w:rFonts w:asciiTheme="majorHAnsi" w:hAnsiTheme="majorHAnsi"/>
          <w:sz w:val="20"/>
          <w:szCs w:val="20"/>
          <w:lang w:val="es-ES"/>
        </w:rPr>
        <w:t xml:space="preserve">25 (protección judicial) y 26 (derechos económicos, sociales y culturales) de la Convención Americana, en </w:t>
      </w:r>
      <w:r w:rsidR="00D23525" w:rsidRPr="00A53B9D">
        <w:rPr>
          <w:rFonts w:asciiTheme="majorHAnsi" w:hAnsiTheme="majorHAnsi"/>
          <w:sz w:val="20"/>
          <w:szCs w:val="20"/>
          <w:lang w:val="es-ES"/>
        </w:rPr>
        <w:lastRenderedPageBreak/>
        <w:t>conexión con su artículo 1.1 (obligación de respetar los derechos), así como del artículo XVI (seguridad social) de la Declaración Americana.</w:t>
      </w:r>
    </w:p>
    <w:p w14:paraId="183EF49F" w14:textId="0D932041" w:rsidR="00717D54" w:rsidRPr="001B6323" w:rsidRDefault="00717D54" w:rsidP="001B632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A53B9D">
        <w:rPr>
          <w:rFonts w:asciiTheme="majorHAnsi" w:hAnsiTheme="majorHAnsi"/>
          <w:sz w:val="20"/>
          <w:szCs w:val="20"/>
          <w:lang w:val="es-ES"/>
        </w:rPr>
        <w:t>17</w:t>
      </w:r>
      <w:r w:rsidR="001A6CFA" w:rsidRPr="00A53B9D">
        <w:rPr>
          <w:rFonts w:asciiTheme="majorHAnsi" w:hAnsiTheme="majorHAnsi"/>
          <w:sz w:val="20"/>
          <w:szCs w:val="20"/>
          <w:lang w:val="es-ES"/>
        </w:rPr>
        <w:t xml:space="preserve">. </w:t>
      </w:r>
      <w:r w:rsidRPr="00A53B9D">
        <w:rPr>
          <w:rFonts w:asciiTheme="majorHAnsi" w:hAnsiTheme="majorHAnsi"/>
          <w:sz w:val="20"/>
          <w:szCs w:val="20"/>
          <w:lang w:val="es-ES"/>
        </w:rPr>
        <w:tab/>
        <w:t>E</w:t>
      </w:r>
      <w:r w:rsidR="002D6B65" w:rsidRPr="00A53B9D">
        <w:rPr>
          <w:rFonts w:asciiTheme="majorHAnsi" w:hAnsiTheme="majorHAnsi"/>
          <w:sz w:val="20"/>
          <w:szCs w:val="20"/>
          <w:lang w:val="es-ES"/>
        </w:rPr>
        <w:t xml:space="preserve">n cuanto a las alegadas violaciones </w:t>
      </w:r>
      <w:r w:rsidRPr="00A53B9D">
        <w:rPr>
          <w:rFonts w:asciiTheme="majorHAnsi" w:hAnsiTheme="majorHAnsi"/>
          <w:sz w:val="20"/>
          <w:szCs w:val="20"/>
          <w:lang w:val="es-ES"/>
        </w:rPr>
        <w:t>a los artículos 9 (derecho a la seguridad social) y</w:t>
      </w:r>
      <w:r w:rsidR="002D6B65" w:rsidRPr="00A53B9D">
        <w:rPr>
          <w:rFonts w:asciiTheme="majorHAnsi" w:hAnsiTheme="majorHAnsi"/>
          <w:sz w:val="20"/>
          <w:szCs w:val="20"/>
          <w:lang w:val="es-ES"/>
        </w:rPr>
        <w:t xml:space="preserve"> 17 </w:t>
      </w:r>
      <w:r w:rsidRPr="00A53B9D">
        <w:rPr>
          <w:rFonts w:asciiTheme="majorHAnsi" w:hAnsiTheme="majorHAnsi"/>
          <w:sz w:val="20"/>
          <w:szCs w:val="20"/>
          <w:lang w:val="es-ES"/>
        </w:rPr>
        <w:t xml:space="preserve">(protección a los ancianos) </w:t>
      </w:r>
      <w:r w:rsidR="002D6B65" w:rsidRPr="00A53B9D">
        <w:rPr>
          <w:rFonts w:asciiTheme="majorHAnsi" w:hAnsiTheme="majorHAnsi"/>
          <w:sz w:val="20"/>
          <w:szCs w:val="20"/>
          <w:lang w:val="es-ES"/>
        </w:rPr>
        <w:t xml:space="preserve">del Protocolo de San Salvador, </w:t>
      </w:r>
      <w:r w:rsidRPr="00A53B9D">
        <w:rPr>
          <w:rFonts w:asciiTheme="majorHAnsi" w:hAnsiTheme="majorHAnsi"/>
          <w:sz w:val="20"/>
          <w:szCs w:val="20"/>
          <w:lang w:val="es-ES"/>
        </w:rPr>
        <w:t xml:space="preserve">la Comisión reconoce </w:t>
      </w:r>
      <w:r w:rsidR="002D6B65" w:rsidRPr="00A53B9D">
        <w:rPr>
          <w:rFonts w:asciiTheme="majorHAnsi" w:hAnsiTheme="majorHAnsi"/>
          <w:sz w:val="20"/>
          <w:szCs w:val="20"/>
          <w:lang w:val="es-ES"/>
        </w:rPr>
        <w:t xml:space="preserve">que la competencia prevista en los términos del artículo 19.6 de dicho tratado para que la CIDH se pronuncie sobre un caso individual se limita a los artículos 8 y 13. Respecto a los demás artículos, de conformidad con el artículo 29 de la Convención, la Comisión los puede tomar en cuenta para interpretar y aplicar la Convención Americana y </w:t>
      </w:r>
      <w:r w:rsidRPr="00A53B9D">
        <w:rPr>
          <w:rFonts w:asciiTheme="majorHAnsi" w:hAnsiTheme="majorHAnsi"/>
          <w:sz w:val="20"/>
          <w:szCs w:val="20"/>
          <w:lang w:val="es-ES"/>
        </w:rPr>
        <w:t>otros instrumentos aplicables</w:t>
      </w:r>
      <w:r w:rsidR="002D6B65" w:rsidRPr="00A53B9D">
        <w:rPr>
          <w:rStyle w:val="FootnoteReference"/>
          <w:rFonts w:asciiTheme="majorHAnsi" w:hAnsiTheme="majorHAnsi"/>
          <w:sz w:val="20"/>
          <w:szCs w:val="20"/>
          <w:lang w:val="es-ES"/>
        </w:rPr>
        <w:footnoteReference w:id="12"/>
      </w:r>
      <w:r w:rsidRPr="00A53B9D">
        <w:rPr>
          <w:rFonts w:asciiTheme="majorHAnsi" w:hAnsiTheme="majorHAnsi"/>
          <w:sz w:val="20"/>
          <w:szCs w:val="20"/>
          <w:lang w:val="es-ES"/>
        </w:rPr>
        <w:t>.</w:t>
      </w:r>
      <w:r w:rsidR="002D6B65" w:rsidRPr="00A53B9D">
        <w:rPr>
          <w:rFonts w:asciiTheme="majorHAnsi" w:hAnsiTheme="majorHAnsi"/>
          <w:sz w:val="20"/>
          <w:szCs w:val="20"/>
          <w:lang w:val="es-ES"/>
        </w:rPr>
        <w:t xml:space="preserve"> </w:t>
      </w:r>
    </w:p>
    <w:p w14:paraId="3395C799" w14:textId="4D87CCB0" w:rsidR="002D6B65" w:rsidRPr="00A53B9D" w:rsidRDefault="00EC72AB" w:rsidP="001A6CFA">
      <w:pPr>
        <w:ind w:firstLine="720"/>
        <w:jc w:val="both"/>
        <w:rPr>
          <w:rFonts w:asciiTheme="majorHAnsi" w:hAnsiTheme="majorHAnsi"/>
          <w:sz w:val="20"/>
          <w:szCs w:val="20"/>
          <w:lang w:val="es-ES" w:eastAsia="es-CO"/>
        </w:rPr>
      </w:pPr>
      <w:r w:rsidRPr="00A53B9D">
        <w:rPr>
          <w:rFonts w:asciiTheme="majorHAnsi" w:hAnsiTheme="majorHAnsi" w:cs="Calibri"/>
          <w:sz w:val="20"/>
          <w:szCs w:val="20"/>
          <w:lang w:val="es-ES"/>
        </w:rPr>
        <w:t>1</w:t>
      </w:r>
      <w:r w:rsidR="00CD5963">
        <w:rPr>
          <w:rFonts w:asciiTheme="majorHAnsi" w:hAnsiTheme="majorHAnsi" w:cs="Calibri"/>
          <w:sz w:val="20"/>
          <w:szCs w:val="20"/>
          <w:lang w:val="es-ES"/>
        </w:rPr>
        <w:t>8</w:t>
      </w:r>
      <w:r w:rsidRPr="00A53B9D">
        <w:rPr>
          <w:rFonts w:asciiTheme="majorHAnsi" w:hAnsiTheme="majorHAnsi" w:cs="Calibri"/>
          <w:sz w:val="20"/>
          <w:szCs w:val="20"/>
          <w:lang w:val="es-ES"/>
        </w:rPr>
        <w:t>.</w:t>
      </w:r>
      <w:r w:rsidRPr="00A53B9D">
        <w:rPr>
          <w:rFonts w:asciiTheme="majorHAnsi" w:hAnsiTheme="majorHAnsi" w:cs="Calibri"/>
          <w:sz w:val="20"/>
          <w:szCs w:val="20"/>
          <w:lang w:val="es-ES"/>
        </w:rPr>
        <w:tab/>
      </w:r>
      <w:r w:rsidR="002D6B65" w:rsidRPr="00A53B9D">
        <w:rPr>
          <w:rFonts w:asciiTheme="majorHAnsi" w:hAnsiTheme="majorHAnsi" w:cs="Calibri"/>
          <w:sz w:val="20"/>
          <w:szCs w:val="20"/>
          <w:lang w:val="es-ES"/>
        </w:rPr>
        <w:t xml:space="preserve">En cuanto al argumento del Estado sobre una carencia actual de objeto de la petición por haberse efectuado ciertos pagos a la peticionaria, en cumplimiento del fallo de la jurisdicción contencioso-administrativa que protegió sus derechos, la CIDH </w:t>
      </w:r>
      <w:r w:rsidR="00C16EAB" w:rsidRPr="00A53B9D">
        <w:rPr>
          <w:rFonts w:asciiTheme="majorHAnsi" w:hAnsiTheme="majorHAnsi" w:cs="Calibri"/>
          <w:sz w:val="20"/>
          <w:szCs w:val="20"/>
          <w:lang w:val="es-ES"/>
        </w:rPr>
        <w:t xml:space="preserve">toma nota de este hecho </w:t>
      </w:r>
      <w:r w:rsidR="00DE40D2" w:rsidRPr="00A53B9D">
        <w:rPr>
          <w:rFonts w:asciiTheme="majorHAnsi" w:hAnsiTheme="majorHAnsi" w:cs="Calibri"/>
          <w:sz w:val="20"/>
          <w:szCs w:val="20"/>
          <w:lang w:val="es-ES"/>
        </w:rPr>
        <w:t>el cual efectivamente tomará en cuenta</w:t>
      </w:r>
      <w:r w:rsidR="00C16EAB" w:rsidRPr="00A53B9D">
        <w:rPr>
          <w:rFonts w:asciiTheme="majorHAnsi" w:hAnsiTheme="majorHAnsi" w:cs="Calibri"/>
          <w:sz w:val="20"/>
          <w:szCs w:val="20"/>
          <w:lang w:val="es-ES"/>
        </w:rPr>
        <w:t xml:space="preserve"> como parte del marco fáctico de la petición en la etapa de fondo del presente informe</w:t>
      </w:r>
      <w:r w:rsidR="00882FD7" w:rsidRPr="00A53B9D">
        <w:rPr>
          <w:rStyle w:val="FootnoteReference"/>
          <w:rFonts w:ascii="Cambria" w:hAnsi="Cambria" w:cs="Calibri"/>
          <w:sz w:val="20"/>
          <w:szCs w:val="20"/>
          <w:lang w:val="es-ES"/>
        </w:rPr>
        <w:footnoteReference w:id="13"/>
      </w:r>
      <w:r w:rsidR="00C16EAB" w:rsidRPr="00A53B9D">
        <w:rPr>
          <w:rFonts w:asciiTheme="majorHAnsi" w:hAnsiTheme="majorHAnsi" w:cs="Calibri"/>
          <w:sz w:val="20"/>
          <w:szCs w:val="20"/>
          <w:lang w:val="es-ES"/>
        </w:rPr>
        <w:t xml:space="preserve">. </w:t>
      </w:r>
    </w:p>
    <w:p w14:paraId="2F69ECC7" w14:textId="77777777" w:rsidR="003239B8" w:rsidRPr="00A53B9D" w:rsidRDefault="003239B8" w:rsidP="003239B8">
      <w:pPr>
        <w:pStyle w:val="ListParagraph"/>
        <w:spacing w:before="240" w:after="240"/>
        <w:jc w:val="both"/>
        <w:rPr>
          <w:rFonts w:asciiTheme="majorHAnsi" w:hAnsiTheme="majorHAnsi"/>
          <w:b/>
          <w:bCs/>
          <w:sz w:val="20"/>
          <w:szCs w:val="20"/>
          <w:lang w:val="es-ES"/>
        </w:rPr>
      </w:pPr>
      <w:r w:rsidRPr="00A53B9D">
        <w:rPr>
          <w:rFonts w:asciiTheme="majorHAnsi" w:hAnsiTheme="majorHAnsi"/>
          <w:b/>
          <w:bCs/>
          <w:sz w:val="20"/>
          <w:szCs w:val="20"/>
          <w:lang w:val="es-ES"/>
        </w:rPr>
        <w:t xml:space="preserve">VIII. </w:t>
      </w:r>
      <w:r w:rsidRPr="00A53B9D">
        <w:rPr>
          <w:rFonts w:asciiTheme="majorHAnsi" w:hAnsiTheme="majorHAnsi"/>
          <w:b/>
          <w:bCs/>
          <w:sz w:val="20"/>
          <w:szCs w:val="20"/>
          <w:lang w:val="es-ES"/>
        </w:rPr>
        <w:tab/>
        <w:t>DECISIÓN</w:t>
      </w:r>
    </w:p>
    <w:p w14:paraId="278047D6" w14:textId="4DEA1E36" w:rsidR="000419AD" w:rsidRPr="00A53B9D"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53B9D">
        <w:rPr>
          <w:rFonts w:asciiTheme="majorHAnsi" w:hAnsiTheme="majorHAnsi"/>
          <w:sz w:val="20"/>
          <w:szCs w:val="20"/>
          <w:lang w:val="es-ES"/>
        </w:rPr>
        <w:t xml:space="preserve">Declarar admisible la presente petición en relación con </w:t>
      </w:r>
      <w:r w:rsidR="002D6B65" w:rsidRPr="00A53B9D">
        <w:rPr>
          <w:rFonts w:asciiTheme="majorHAnsi" w:hAnsiTheme="majorHAnsi"/>
          <w:sz w:val="20"/>
          <w:szCs w:val="20"/>
          <w:lang w:val="es-ES"/>
        </w:rPr>
        <w:t xml:space="preserve">el artículo XVI de la Declaración Americana, y con los artículos 8, 21, </w:t>
      </w:r>
      <w:r w:rsidR="001B6323">
        <w:rPr>
          <w:rFonts w:asciiTheme="majorHAnsi" w:hAnsiTheme="majorHAnsi"/>
          <w:sz w:val="20"/>
          <w:szCs w:val="20"/>
          <w:lang w:val="es-ES"/>
        </w:rPr>
        <w:t xml:space="preserve">24, </w:t>
      </w:r>
      <w:r w:rsidR="002D6B65" w:rsidRPr="00A53B9D">
        <w:rPr>
          <w:rFonts w:asciiTheme="majorHAnsi" w:hAnsiTheme="majorHAnsi"/>
          <w:sz w:val="20"/>
          <w:szCs w:val="20"/>
          <w:lang w:val="es-ES"/>
        </w:rPr>
        <w:t>25</w:t>
      </w:r>
      <w:r w:rsidR="006C6212" w:rsidRPr="00A53B9D">
        <w:rPr>
          <w:rFonts w:asciiTheme="majorHAnsi" w:hAnsiTheme="majorHAnsi"/>
          <w:sz w:val="20"/>
          <w:szCs w:val="20"/>
          <w:lang w:val="es-ES"/>
        </w:rPr>
        <w:t xml:space="preserve"> y 26</w:t>
      </w:r>
      <w:r w:rsidR="002D6B65" w:rsidRPr="00A53B9D">
        <w:rPr>
          <w:rFonts w:asciiTheme="majorHAnsi" w:hAnsiTheme="majorHAnsi"/>
          <w:sz w:val="20"/>
          <w:szCs w:val="20"/>
          <w:lang w:val="es-ES"/>
        </w:rPr>
        <w:t xml:space="preserve"> de la Convención Americana, en relación con su artículo 1.1</w:t>
      </w:r>
      <w:r w:rsidR="00A758AA" w:rsidRPr="00A53B9D">
        <w:rPr>
          <w:rFonts w:asciiTheme="majorHAnsi" w:hAnsiTheme="majorHAnsi"/>
          <w:sz w:val="20"/>
          <w:szCs w:val="20"/>
          <w:lang w:val="es-ES"/>
        </w:rPr>
        <w:t>;</w:t>
      </w:r>
      <w:r w:rsidR="007B76D3" w:rsidRPr="00A53B9D">
        <w:rPr>
          <w:rFonts w:asciiTheme="majorHAnsi" w:hAnsiTheme="majorHAnsi"/>
          <w:sz w:val="20"/>
          <w:szCs w:val="20"/>
          <w:lang w:val="es-ES"/>
        </w:rPr>
        <w:t xml:space="preserve"> y</w:t>
      </w:r>
    </w:p>
    <w:p w14:paraId="528B3110" w14:textId="5E77C10D" w:rsidR="00722C9F"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53B9D">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635D818A" w14:textId="551A8E73" w:rsidR="008A3DD9" w:rsidRPr="00A37B82" w:rsidRDefault="008A3DD9" w:rsidP="008A3DD9">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8</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mayo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Antonia Urrejola,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8A3DD9"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91471A" w14:textId="77777777" w:rsidR="00AA663E" w:rsidRDefault="00AA663E">
      <w:r>
        <w:separator/>
      </w:r>
    </w:p>
  </w:endnote>
  <w:endnote w:type="continuationSeparator" w:id="0">
    <w:p w14:paraId="79F96B1A" w14:textId="77777777" w:rsidR="00AA663E" w:rsidRDefault="00AA6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A940C" w14:textId="77777777" w:rsidR="00062329" w:rsidRDefault="000623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CD54A95" w14:textId="0BDA17C6" w:rsidR="00867D4C" w:rsidRPr="00934A2C" w:rsidRDefault="00867D4C">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062329">
          <w:rPr>
            <w:noProof/>
            <w:sz w:val="16"/>
            <w:szCs w:val="22"/>
          </w:rPr>
          <w:t>1</w:t>
        </w:r>
        <w:r w:rsidRPr="00934A2C">
          <w:rPr>
            <w:noProof/>
            <w:sz w:val="16"/>
            <w:szCs w:val="22"/>
          </w:rPr>
          <w:fldChar w:fldCharType="end"/>
        </w:r>
      </w:p>
    </w:sdtContent>
  </w:sdt>
  <w:p w14:paraId="0D9AFC31" w14:textId="77777777" w:rsidR="00867D4C" w:rsidRDefault="00867D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8FB76" w14:textId="77777777" w:rsidR="00867D4C" w:rsidRPr="00934A2C" w:rsidRDefault="00867D4C">
    <w:pPr>
      <w:pStyle w:val="Footer"/>
      <w:jc w:val="center"/>
      <w:rPr>
        <w:sz w:val="16"/>
        <w:szCs w:val="22"/>
      </w:rPr>
    </w:pPr>
  </w:p>
  <w:p w14:paraId="216395EA" w14:textId="77777777" w:rsidR="00867D4C" w:rsidRDefault="00867D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1FC4A9" w14:textId="77777777" w:rsidR="00AA663E" w:rsidRPr="000F35ED" w:rsidRDefault="00AA663E">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4470C78" w14:textId="77777777" w:rsidR="00AA663E" w:rsidRPr="000F35ED" w:rsidRDefault="00AA663E" w:rsidP="000F35ED">
      <w:pPr>
        <w:rPr>
          <w:rFonts w:asciiTheme="majorHAnsi" w:hAnsiTheme="majorHAnsi"/>
          <w:sz w:val="16"/>
          <w:szCs w:val="16"/>
        </w:rPr>
      </w:pPr>
      <w:r w:rsidRPr="000F35ED">
        <w:rPr>
          <w:rFonts w:asciiTheme="majorHAnsi" w:hAnsiTheme="majorHAnsi"/>
          <w:sz w:val="16"/>
          <w:szCs w:val="16"/>
        </w:rPr>
        <w:separator/>
      </w:r>
    </w:p>
    <w:p w14:paraId="14B630FC" w14:textId="77777777" w:rsidR="00AA663E" w:rsidRPr="000F35ED" w:rsidRDefault="00AA663E"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128AD4AF" w14:textId="77777777" w:rsidR="00AA663E" w:rsidRPr="000F35ED" w:rsidRDefault="00AA663E"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3996CD06" w14:textId="29B877E1" w:rsidR="00867D4C" w:rsidRPr="00D30E43" w:rsidRDefault="00867D4C" w:rsidP="00D30E43">
      <w:pPr>
        <w:pStyle w:val="FootnoteText"/>
        <w:ind w:firstLine="720"/>
        <w:jc w:val="both"/>
        <w:rPr>
          <w:rFonts w:asciiTheme="majorHAnsi" w:hAnsiTheme="majorHAnsi"/>
          <w:sz w:val="16"/>
          <w:szCs w:val="16"/>
          <w:lang w:val="es-ES"/>
        </w:rPr>
      </w:pPr>
      <w:r w:rsidRPr="00D30E43">
        <w:rPr>
          <w:rStyle w:val="FootnoteReference"/>
          <w:rFonts w:asciiTheme="majorHAnsi" w:hAnsiTheme="majorHAnsi"/>
          <w:sz w:val="16"/>
          <w:szCs w:val="16"/>
        </w:rPr>
        <w:footnoteRef/>
      </w:r>
      <w:r w:rsidRPr="00D30E43">
        <w:rPr>
          <w:rFonts w:asciiTheme="majorHAnsi" w:hAnsiTheme="majorHAnsi"/>
          <w:sz w:val="16"/>
          <w:szCs w:val="16"/>
          <w:lang w:val="es-ES"/>
        </w:rPr>
        <w:t xml:space="preserve"> Conforme a lo dispuesto en el artículo 17.2.a del Reglamento de la Comisión, la Comisionada Julissa Mantilla Falcón, de nacionalidad peruana, no participó en el debate ni en la decisión del presente asunto.</w:t>
      </w:r>
    </w:p>
  </w:footnote>
  <w:footnote w:id="3">
    <w:p w14:paraId="52231767" w14:textId="778353DA" w:rsidR="00867D4C" w:rsidRPr="00D30E43" w:rsidRDefault="00867D4C" w:rsidP="00D30E43">
      <w:pPr>
        <w:pStyle w:val="FootnoteText"/>
        <w:ind w:firstLine="720"/>
        <w:jc w:val="both"/>
        <w:rPr>
          <w:rFonts w:asciiTheme="majorHAnsi" w:hAnsiTheme="majorHAnsi"/>
          <w:sz w:val="16"/>
          <w:szCs w:val="16"/>
          <w:lang w:val="es-CO"/>
        </w:rPr>
      </w:pPr>
      <w:r w:rsidRPr="00D30E43">
        <w:rPr>
          <w:rStyle w:val="FootnoteReference"/>
          <w:rFonts w:asciiTheme="majorHAnsi" w:hAnsiTheme="majorHAnsi"/>
          <w:sz w:val="16"/>
          <w:szCs w:val="16"/>
        </w:rPr>
        <w:footnoteRef/>
      </w:r>
      <w:r w:rsidRPr="00D30E43">
        <w:rPr>
          <w:rFonts w:asciiTheme="majorHAnsi" w:hAnsiTheme="majorHAnsi"/>
          <w:sz w:val="16"/>
          <w:szCs w:val="16"/>
          <w:lang w:val="es-CO"/>
        </w:rPr>
        <w:t xml:space="preserve"> En adelante, “</w:t>
      </w:r>
      <w:r w:rsidR="005676B5" w:rsidRPr="00D30E43">
        <w:rPr>
          <w:rFonts w:asciiTheme="majorHAnsi" w:hAnsiTheme="majorHAnsi"/>
          <w:sz w:val="16"/>
          <w:szCs w:val="16"/>
          <w:lang w:val="es-CO"/>
        </w:rPr>
        <w:t xml:space="preserve">la </w:t>
      </w:r>
      <w:r w:rsidRPr="00D30E43">
        <w:rPr>
          <w:rFonts w:asciiTheme="majorHAnsi" w:hAnsiTheme="majorHAnsi"/>
          <w:sz w:val="16"/>
          <w:szCs w:val="16"/>
          <w:lang w:val="es-CO"/>
        </w:rPr>
        <w:t>Convención Americana”</w:t>
      </w:r>
      <w:r w:rsidR="005676B5" w:rsidRPr="00D30E43">
        <w:rPr>
          <w:rFonts w:asciiTheme="majorHAnsi" w:hAnsiTheme="majorHAnsi"/>
          <w:sz w:val="16"/>
          <w:szCs w:val="16"/>
          <w:lang w:val="es-CO"/>
        </w:rPr>
        <w:t xml:space="preserve"> o “la </w:t>
      </w:r>
      <w:proofErr w:type="spellStart"/>
      <w:r w:rsidR="005676B5" w:rsidRPr="00D30E43">
        <w:rPr>
          <w:rFonts w:asciiTheme="majorHAnsi" w:hAnsiTheme="majorHAnsi"/>
          <w:sz w:val="16"/>
          <w:szCs w:val="16"/>
          <w:lang w:val="es-CO"/>
        </w:rPr>
        <w:t>Convenci</w:t>
      </w:r>
      <w:r w:rsidR="005676B5" w:rsidRPr="00D30E43">
        <w:rPr>
          <w:rFonts w:asciiTheme="majorHAnsi" w:hAnsiTheme="majorHAnsi"/>
          <w:sz w:val="16"/>
          <w:szCs w:val="16"/>
          <w:lang w:val="es-ES"/>
        </w:rPr>
        <w:t>ón</w:t>
      </w:r>
      <w:proofErr w:type="spellEnd"/>
      <w:r w:rsidR="005676B5" w:rsidRPr="00D30E43">
        <w:rPr>
          <w:rFonts w:asciiTheme="majorHAnsi" w:hAnsiTheme="majorHAnsi"/>
          <w:sz w:val="16"/>
          <w:szCs w:val="16"/>
          <w:lang w:val="es-ES"/>
        </w:rPr>
        <w:t>”</w:t>
      </w:r>
      <w:r w:rsidRPr="00D30E43">
        <w:rPr>
          <w:rFonts w:asciiTheme="majorHAnsi" w:hAnsiTheme="majorHAnsi"/>
          <w:sz w:val="16"/>
          <w:szCs w:val="16"/>
          <w:lang w:val="es-CO"/>
        </w:rPr>
        <w:t>.</w:t>
      </w:r>
    </w:p>
  </w:footnote>
  <w:footnote w:id="4">
    <w:p w14:paraId="5EF47D22" w14:textId="6C2799B8" w:rsidR="00867D4C" w:rsidRPr="00D30E43" w:rsidRDefault="00867D4C" w:rsidP="00D30E43">
      <w:pPr>
        <w:pStyle w:val="FootnoteText"/>
        <w:ind w:firstLine="720"/>
        <w:jc w:val="both"/>
        <w:rPr>
          <w:rFonts w:asciiTheme="majorHAnsi" w:hAnsiTheme="majorHAnsi"/>
          <w:sz w:val="16"/>
          <w:szCs w:val="16"/>
          <w:lang w:val="es-CO"/>
        </w:rPr>
      </w:pPr>
      <w:r w:rsidRPr="00D30E43">
        <w:rPr>
          <w:rStyle w:val="FootnoteReference"/>
          <w:rFonts w:asciiTheme="majorHAnsi" w:hAnsiTheme="majorHAnsi"/>
          <w:sz w:val="16"/>
          <w:szCs w:val="16"/>
        </w:rPr>
        <w:footnoteRef/>
      </w:r>
      <w:r w:rsidRPr="00D30E43">
        <w:rPr>
          <w:rFonts w:asciiTheme="majorHAnsi" w:hAnsiTheme="majorHAnsi"/>
          <w:sz w:val="16"/>
          <w:szCs w:val="16"/>
          <w:lang w:val="es-CO"/>
        </w:rPr>
        <w:t xml:space="preserve"> En adelante, “</w:t>
      </w:r>
      <w:r w:rsidR="005676B5" w:rsidRPr="00D30E43">
        <w:rPr>
          <w:rFonts w:asciiTheme="majorHAnsi" w:hAnsiTheme="majorHAnsi"/>
          <w:sz w:val="16"/>
          <w:szCs w:val="16"/>
          <w:lang w:val="es-CO"/>
        </w:rPr>
        <w:t xml:space="preserve">el </w:t>
      </w:r>
      <w:r w:rsidRPr="00D30E43">
        <w:rPr>
          <w:rFonts w:asciiTheme="majorHAnsi" w:hAnsiTheme="majorHAnsi"/>
          <w:sz w:val="16"/>
          <w:szCs w:val="16"/>
          <w:lang w:val="es-CO"/>
        </w:rPr>
        <w:t>Protocolo de San Salvador”.</w:t>
      </w:r>
    </w:p>
  </w:footnote>
  <w:footnote w:id="5">
    <w:p w14:paraId="4EDB00BA" w14:textId="7837B862" w:rsidR="002365FA" w:rsidRPr="00D30E43" w:rsidRDefault="002365FA" w:rsidP="00D30E43">
      <w:pPr>
        <w:pStyle w:val="FootnoteText"/>
        <w:ind w:firstLine="720"/>
        <w:jc w:val="both"/>
        <w:rPr>
          <w:rFonts w:asciiTheme="majorHAnsi" w:hAnsiTheme="majorHAnsi"/>
          <w:sz w:val="16"/>
          <w:szCs w:val="16"/>
          <w:lang w:val="es-CO"/>
        </w:rPr>
      </w:pPr>
      <w:r w:rsidRPr="00D30E43">
        <w:rPr>
          <w:rStyle w:val="FootnoteReference"/>
          <w:rFonts w:asciiTheme="majorHAnsi" w:hAnsiTheme="majorHAnsi"/>
          <w:sz w:val="16"/>
          <w:szCs w:val="16"/>
        </w:rPr>
        <w:footnoteRef/>
      </w:r>
      <w:r w:rsidRPr="00D30E43">
        <w:rPr>
          <w:rFonts w:asciiTheme="majorHAnsi" w:hAnsiTheme="majorHAnsi"/>
          <w:sz w:val="16"/>
          <w:szCs w:val="16"/>
          <w:lang w:val="es-CO"/>
        </w:rPr>
        <w:t xml:space="preserve"> En adelante, “</w:t>
      </w:r>
      <w:r w:rsidR="005676B5" w:rsidRPr="00D30E43">
        <w:rPr>
          <w:rFonts w:asciiTheme="majorHAnsi" w:hAnsiTheme="majorHAnsi"/>
          <w:sz w:val="16"/>
          <w:szCs w:val="16"/>
          <w:lang w:val="es-CO"/>
        </w:rPr>
        <w:t xml:space="preserve">la </w:t>
      </w:r>
      <w:r w:rsidRPr="00D30E43">
        <w:rPr>
          <w:rFonts w:asciiTheme="majorHAnsi" w:hAnsiTheme="majorHAnsi"/>
          <w:sz w:val="16"/>
          <w:szCs w:val="16"/>
          <w:lang w:val="es-CO"/>
        </w:rPr>
        <w:t>Declaración Americana”</w:t>
      </w:r>
      <w:r w:rsidR="005676B5" w:rsidRPr="00D30E43">
        <w:rPr>
          <w:rFonts w:asciiTheme="majorHAnsi" w:hAnsiTheme="majorHAnsi"/>
          <w:sz w:val="16"/>
          <w:szCs w:val="16"/>
          <w:lang w:val="es-CO"/>
        </w:rPr>
        <w:t xml:space="preserve"> o “la </w:t>
      </w:r>
      <w:proofErr w:type="spellStart"/>
      <w:r w:rsidR="005676B5" w:rsidRPr="00D30E43">
        <w:rPr>
          <w:rFonts w:asciiTheme="majorHAnsi" w:hAnsiTheme="majorHAnsi"/>
          <w:sz w:val="16"/>
          <w:szCs w:val="16"/>
          <w:lang w:val="es-CO"/>
        </w:rPr>
        <w:t>Declaraci</w:t>
      </w:r>
      <w:r w:rsidR="005676B5" w:rsidRPr="00D30E43">
        <w:rPr>
          <w:rFonts w:asciiTheme="majorHAnsi" w:hAnsiTheme="majorHAnsi"/>
          <w:sz w:val="16"/>
          <w:szCs w:val="16"/>
          <w:lang w:val="es-ES"/>
        </w:rPr>
        <w:t>ón</w:t>
      </w:r>
      <w:proofErr w:type="spellEnd"/>
      <w:r w:rsidR="005676B5" w:rsidRPr="00D30E43">
        <w:rPr>
          <w:rFonts w:asciiTheme="majorHAnsi" w:hAnsiTheme="majorHAnsi"/>
          <w:sz w:val="16"/>
          <w:szCs w:val="16"/>
          <w:lang w:val="es-ES"/>
        </w:rPr>
        <w:t>”</w:t>
      </w:r>
      <w:r w:rsidRPr="00D30E43">
        <w:rPr>
          <w:rFonts w:asciiTheme="majorHAnsi" w:hAnsiTheme="majorHAnsi"/>
          <w:sz w:val="16"/>
          <w:szCs w:val="16"/>
          <w:lang w:val="es-CO"/>
        </w:rPr>
        <w:t>.</w:t>
      </w:r>
    </w:p>
  </w:footnote>
  <w:footnote w:id="6">
    <w:p w14:paraId="69443006" w14:textId="77777777" w:rsidR="00867D4C" w:rsidRPr="00D30E43" w:rsidRDefault="00867D4C" w:rsidP="00D30E43">
      <w:pPr>
        <w:pStyle w:val="FootnoteText"/>
        <w:ind w:firstLine="720"/>
        <w:jc w:val="both"/>
        <w:rPr>
          <w:rFonts w:asciiTheme="majorHAnsi" w:hAnsiTheme="majorHAnsi"/>
          <w:sz w:val="16"/>
          <w:szCs w:val="16"/>
          <w:lang w:val="es-ES"/>
        </w:rPr>
      </w:pPr>
      <w:r w:rsidRPr="00D30E43">
        <w:rPr>
          <w:rStyle w:val="FootnoteReference"/>
          <w:rFonts w:asciiTheme="majorHAnsi" w:hAnsiTheme="majorHAnsi"/>
          <w:sz w:val="16"/>
          <w:szCs w:val="16"/>
        </w:rPr>
        <w:footnoteRef/>
      </w:r>
      <w:r w:rsidRPr="00D30E43">
        <w:rPr>
          <w:rFonts w:asciiTheme="majorHAnsi" w:hAnsiTheme="majorHAnsi"/>
          <w:sz w:val="16"/>
          <w:szCs w:val="16"/>
          <w:lang w:val="es-ES"/>
        </w:rPr>
        <w:t xml:space="preserve"> Las observaciones de cada parte fueron debidamente trasladadas a la parte contraria.</w:t>
      </w:r>
    </w:p>
  </w:footnote>
  <w:footnote w:id="7">
    <w:p w14:paraId="01176D93" w14:textId="77777777" w:rsidR="00A53B9D" w:rsidRPr="00D30E43" w:rsidRDefault="00A53B9D" w:rsidP="00D30E43">
      <w:pPr>
        <w:pStyle w:val="FootnoteText"/>
        <w:ind w:firstLine="720"/>
        <w:jc w:val="both"/>
        <w:rPr>
          <w:rFonts w:asciiTheme="majorHAnsi" w:hAnsiTheme="majorHAnsi"/>
          <w:sz w:val="16"/>
          <w:szCs w:val="16"/>
          <w:lang w:val="es-CO"/>
        </w:rPr>
      </w:pPr>
      <w:r w:rsidRPr="00D30E43">
        <w:rPr>
          <w:rStyle w:val="FootnoteReference"/>
          <w:rFonts w:asciiTheme="majorHAnsi" w:hAnsiTheme="majorHAnsi"/>
          <w:sz w:val="16"/>
          <w:szCs w:val="16"/>
        </w:rPr>
        <w:footnoteRef/>
      </w:r>
      <w:r w:rsidRPr="00D30E43">
        <w:rPr>
          <w:rFonts w:asciiTheme="majorHAnsi" w:hAnsiTheme="majorHAnsi"/>
          <w:sz w:val="16"/>
          <w:szCs w:val="16"/>
          <w:lang w:val="es-CO"/>
        </w:rPr>
        <w:t xml:space="preserve"> CIDH, Informe No. 55/18, Petición 354-08, Admisibilidad, Carlos Alberto Moyano </w:t>
      </w:r>
      <w:proofErr w:type="spellStart"/>
      <w:r w:rsidRPr="00D30E43">
        <w:rPr>
          <w:rFonts w:asciiTheme="majorHAnsi" w:hAnsiTheme="majorHAnsi"/>
          <w:sz w:val="16"/>
          <w:szCs w:val="16"/>
          <w:lang w:val="es-CO"/>
        </w:rPr>
        <w:t>Dietrich</w:t>
      </w:r>
      <w:proofErr w:type="spellEnd"/>
      <w:r w:rsidRPr="00D30E43">
        <w:rPr>
          <w:rFonts w:asciiTheme="majorHAnsi" w:hAnsiTheme="majorHAnsi"/>
          <w:sz w:val="16"/>
          <w:szCs w:val="16"/>
          <w:lang w:val="es-CO"/>
        </w:rPr>
        <w:t>, Perú, 5 de mayo de 2018, párr. 10.</w:t>
      </w:r>
    </w:p>
  </w:footnote>
  <w:footnote w:id="8">
    <w:p w14:paraId="4098C5FA" w14:textId="43B58B50" w:rsidR="00060FC3" w:rsidRPr="00D30E43" w:rsidRDefault="00060FC3" w:rsidP="00D30E43">
      <w:pPr>
        <w:pStyle w:val="FootnoteText"/>
        <w:ind w:firstLine="720"/>
        <w:jc w:val="both"/>
        <w:rPr>
          <w:rFonts w:asciiTheme="majorHAnsi" w:hAnsiTheme="majorHAnsi" w:cstheme="minorHAnsi"/>
          <w:sz w:val="16"/>
          <w:szCs w:val="16"/>
          <w:lang w:val="es-US"/>
        </w:rPr>
      </w:pPr>
      <w:r w:rsidRPr="00D30E43">
        <w:rPr>
          <w:rStyle w:val="FootnoteReference"/>
          <w:rFonts w:asciiTheme="majorHAnsi" w:hAnsiTheme="majorHAnsi" w:cstheme="minorHAnsi"/>
          <w:sz w:val="16"/>
          <w:szCs w:val="16"/>
        </w:rPr>
        <w:footnoteRef/>
      </w:r>
      <w:r w:rsidRPr="00D30E43">
        <w:rPr>
          <w:rFonts w:asciiTheme="majorHAnsi" w:hAnsiTheme="majorHAnsi" w:cstheme="minorHAnsi"/>
          <w:sz w:val="16"/>
          <w:szCs w:val="16"/>
          <w:lang w:val="es-US"/>
        </w:rPr>
        <w:t xml:space="preserve"> </w:t>
      </w:r>
      <w:r w:rsidR="00C16EAB" w:rsidRPr="00C16EAB">
        <w:rPr>
          <w:rFonts w:asciiTheme="majorHAnsi" w:hAnsiTheme="majorHAnsi" w:cstheme="minorHAnsi"/>
          <w:sz w:val="16"/>
          <w:szCs w:val="16"/>
          <w:lang w:val="es-US"/>
        </w:rPr>
        <w:t>CIDH, Informe No. 16/18. Admisibilidad. Victoria Piedad Palacios Tejada de Saavedra. Perú. 24 de febrero de 2018</w:t>
      </w:r>
      <w:r w:rsidRPr="00D30E43">
        <w:rPr>
          <w:rFonts w:asciiTheme="majorHAnsi" w:hAnsiTheme="majorHAnsi" w:cstheme="minorHAnsi"/>
          <w:sz w:val="16"/>
          <w:szCs w:val="16"/>
          <w:lang w:val="es-US"/>
        </w:rPr>
        <w:t>, p</w:t>
      </w:r>
      <w:r w:rsidR="00C16EAB">
        <w:rPr>
          <w:rFonts w:asciiTheme="majorHAnsi" w:hAnsiTheme="majorHAnsi" w:cstheme="minorHAnsi"/>
          <w:sz w:val="16"/>
          <w:szCs w:val="16"/>
          <w:lang w:val="es-US"/>
        </w:rPr>
        <w:t>árr</w:t>
      </w:r>
      <w:r w:rsidRPr="00D30E43">
        <w:rPr>
          <w:rFonts w:asciiTheme="majorHAnsi" w:hAnsiTheme="majorHAnsi" w:cstheme="minorHAnsi"/>
          <w:sz w:val="16"/>
          <w:szCs w:val="16"/>
          <w:lang w:val="es-US"/>
        </w:rPr>
        <w:t>. 12.</w:t>
      </w:r>
    </w:p>
  </w:footnote>
  <w:footnote w:id="9">
    <w:p w14:paraId="44338A08" w14:textId="174F7603" w:rsidR="00D30E43" w:rsidRPr="00D30E43" w:rsidRDefault="00D30E43" w:rsidP="00D30E43">
      <w:pPr>
        <w:pStyle w:val="FootnoteText"/>
        <w:ind w:firstLine="720"/>
        <w:jc w:val="both"/>
        <w:rPr>
          <w:rFonts w:asciiTheme="majorHAnsi" w:hAnsiTheme="majorHAnsi"/>
          <w:sz w:val="16"/>
          <w:szCs w:val="16"/>
          <w:lang w:val="es-US"/>
        </w:rPr>
      </w:pPr>
      <w:r w:rsidRPr="00D30E43">
        <w:rPr>
          <w:rStyle w:val="FootnoteReference"/>
          <w:rFonts w:asciiTheme="majorHAnsi" w:hAnsiTheme="majorHAnsi"/>
          <w:sz w:val="16"/>
          <w:szCs w:val="16"/>
        </w:rPr>
        <w:footnoteRef/>
      </w:r>
      <w:r w:rsidRPr="00D30E43">
        <w:rPr>
          <w:rFonts w:asciiTheme="majorHAnsi" w:hAnsiTheme="majorHAnsi"/>
          <w:sz w:val="16"/>
          <w:szCs w:val="16"/>
          <w:lang w:val="es-US"/>
        </w:rPr>
        <w:t xml:space="preserve"> </w:t>
      </w:r>
      <w:r w:rsidRPr="00D30E43">
        <w:rPr>
          <w:rFonts w:asciiTheme="majorHAnsi" w:hAnsiTheme="majorHAnsi" w:cstheme="minorHAnsi"/>
          <w:sz w:val="16"/>
          <w:szCs w:val="16"/>
          <w:lang w:val="es-US"/>
        </w:rPr>
        <w:t>CIDH. Informe No. 124/06. Caso 11.500 (Fondo). Tomás Eduardo Cirio (</w:t>
      </w:r>
      <w:r w:rsidR="00C16EAB">
        <w:rPr>
          <w:rFonts w:asciiTheme="majorHAnsi" w:hAnsiTheme="majorHAnsi" w:cstheme="minorHAnsi"/>
          <w:sz w:val="16"/>
          <w:szCs w:val="16"/>
          <w:lang w:val="es-US"/>
        </w:rPr>
        <w:t>Uruguay). 27 de octubre de 2006,</w:t>
      </w:r>
      <w:r w:rsidRPr="00D30E43">
        <w:rPr>
          <w:rFonts w:asciiTheme="majorHAnsi" w:hAnsiTheme="majorHAnsi" w:cstheme="minorHAnsi"/>
          <w:sz w:val="16"/>
          <w:szCs w:val="16"/>
          <w:lang w:val="es-US"/>
        </w:rPr>
        <w:t xml:space="preserve"> </w:t>
      </w:r>
      <w:r w:rsidR="00C16EAB">
        <w:rPr>
          <w:rFonts w:asciiTheme="majorHAnsi" w:hAnsiTheme="majorHAnsi" w:cstheme="minorHAnsi"/>
          <w:sz w:val="16"/>
          <w:szCs w:val="16"/>
          <w:lang w:val="es-CO"/>
        </w:rPr>
        <w:t>p</w:t>
      </w:r>
      <w:r w:rsidRPr="00D30E43">
        <w:rPr>
          <w:rFonts w:asciiTheme="majorHAnsi" w:hAnsiTheme="majorHAnsi" w:cstheme="minorHAnsi"/>
          <w:sz w:val="16"/>
          <w:szCs w:val="16"/>
          <w:lang w:val="es-CO"/>
        </w:rPr>
        <w:t xml:space="preserve">árr. 129; y </w:t>
      </w:r>
      <w:r w:rsidRPr="00D30E43">
        <w:rPr>
          <w:rFonts w:asciiTheme="majorHAnsi" w:hAnsiTheme="majorHAnsi" w:cstheme="minorHAnsi"/>
          <w:sz w:val="16"/>
          <w:szCs w:val="16"/>
          <w:lang w:val="es-US"/>
        </w:rPr>
        <w:t xml:space="preserve">Corte IADH. </w:t>
      </w:r>
      <w:r w:rsidRPr="00D30E43">
        <w:rPr>
          <w:rFonts w:asciiTheme="majorHAnsi" w:hAnsiTheme="majorHAnsi" w:cstheme="minorHAnsi"/>
          <w:i/>
          <w:sz w:val="16"/>
          <w:szCs w:val="16"/>
          <w:lang w:val="es-US"/>
        </w:rPr>
        <w:t>Caso Velásquez Rodríguez v. Honduras</w:t>
      </w:r>
      <w:r w:rsidRPr="00D30E43">
        <w:rPr>
          <w:rFonts w:asciiTheme="majorHAnsi" w:hAnsiTheme="majorHAnsi" w:cstheme="minorHAnsi"/>
          <w:sz w:val="16"/>
          <w:szCs w:val="16"/>
          <w:lang w:val="es-US"/>
        </w:rPr>
        <w:t>. Serie C No. 7, párr. 25.</w:t>
      </w:r>
    </w:p>
  </w:footnote>
  <w:footnote w:id="10">
    <w:p w14:paraId="58142ABD" w14:textId="77777777" w:rsidR="00D23525" w:rsidRPr="00D30E43" w:rsidRDefault="00D23525" w:rsidP="00D23525">
      <w:pPr>
        <w:pStyle w:val="FootnoteText"/>
        <w:ind w:firstLine="720"/>
        <w:jc w:val="both"/>
        <w:rPr>
          <w:rFonts w:asciiTheme="majorHAnsi" w:hAnsiTheme="majorHAnsi"/>
          <w:sz w:val="16"/>
          <w:szCs w:val="16"/>
          <w:lang w:val="es-CO"/>
        </w:rPr>
      </w:pPr>
      <w:r w:rsidRPr="00D30E43">
        <w:rPr>
          <w:rStyle w:val="FootnoteReference"/>
          <w:rFonts w:asciiTheme="majorHAnsi" w:hAnsiTheme="majorHAnsi"/>
          <w:sz w:val="16"/>
          <w:szCs w:val="16"/>
        </w:rPr>
        <w:footnoteRef/>
      </w:r>
      <w:r w:rsidRPr="00D30E43">
        <w:rPr>
          <w:rFonts w:asciiTheme="majorHAnsi" w:hAnsiTheme="majorHAnsi"/>
          <w:sz w:val="16"/>
          <w:szCs w:val="16"/>
          <w:lang w:val="es-CO"/>
        </w:rPr>
        <w:t xml:space="preserve"> CIDH, Informe No. 15/15, Petición 374-05, Admisibilidad, Trabajadores del Sindicato de trabajadores de la Federación Nacional de Cafeteros de Colombia, Colombia, 24 de marzo de 2015, párr. 32.</w:t>
      </w:r>
    </w:p>
  </w:footnote>
  <w:footnote w:id="11">
    <w:p w14:paraId="18B88069" w14:textId="77777777" w:rsidR="00D23525" w:rsidRPr="00D30E43" w:rsidRDefault="00D23525" w:rsidP="00D23525">
      <w:pPr>
        <w:pStyle w:val="FootnoteText"/>
        <w:ind w:firstLine="720"/>
        <w:jc w:val="both"/>
        <w:rPr>
          <w:rFonts w:asciiTheme="majorHAnsi" w:hAnsiTheme="majorHAnsi"/>
          <w:sz w:val="16"/>
          <w:szCs w:val="16"/>
          <w:lang w:val="es-CO"/>
        </w:rPr>
      </w:pPr>
      <w:r w:rsidRPr="00D30E43">
        <w:rPr>
          <w:rStyle w:val="FootnoteReference"/>
          <w:rFonts w:asciiTheme="majorHAnsi" w:hAnsiTheme="majorHAnsi"/>
          <w:sz w:val="16"/>
          <w:szCs w:val="16"/>
        </w:rPr>
        <w:footnoteRef/>
      </w:r>
      <w:r w:rsidRPr="00D30E43">
        <w:rPr>
          <w:rFonts w:asciiTheme="majorHAnsi" w:hAnsiTheme="majorHAnsi"/>
          <w:sz w:val="16"/>
          <w:szCs w:val="16"/>
          <w:lang w:val="es-CO"/>
        </w:rPr>
        <w:t xml:space="preserve"> CIDH, Informe No. 79-16, Petición 1077-98 y otras, Admisibilidad, Emiliano Romero </w:t>
      </w:r>
      <w:proofErr w:type="spellStart"/>
      <w:r w:rsidRPr="00D30E43">
        <w:rPr>
          <w:rFonts w:asciiTheme="majorHAnsi" w:hAnsiTheme="majorHAnsi"/>
          <w:sz w:val="16"/>
          <w:szCs w:val="16"/>
          <w:lang w:val="es-CO"/>
        </w:rPr>
        <w:t>Bendezú</w:t>
      </w:r>
      <w:proofErr w:type="spellEnd"/>
      <w:r w:rsidRPr="00D30E43">
        <w:rPr>
          <w:rFonts w:asciiTheme="majorHAnsi" w:hAnsiTheme="majorHAnsi"/>
          <w:sz w:val="16"/>
          <w:szCs w:val="16"/>
          <w:lang w:val="es-CO"/>
        </w:rPr>
        <w:t xml:space="preserve"> y otros, Perú, 30 de diciembre de 2016, párr. 29. </w:t>
      </w:r>
    </w:p>
  </w:footnote>
  <w:footnote w:id="12">
    <w:p w14:paraId="3BB80E5E" w14:textId="6208A9A2" w:rsidR="00867D4C" w:rsidRPr="00D30E43" w:rsidRDefault="00867D4C" w:rsidP="009C6E2C">
      <w:pPr>
        <w:pStyle w:val="FootnoteText"/>
        <w:ind w:firstLine="720"/>
        <w:jc w:val="both"/>
        <w:rPr>
          <w:rFonts w:asciiTheme="majorHAnsi" w:hAnsiTheme="majorHAnsi" w:cstheme="minorHAnsi"/>
          <w:sz w:val="16"/>
          <w:szCs w:val="16"/>
          <w:lang w:val="es-CO"/>
        </w:rPr>
      </w:pPr>
      <w:r w:rsidRPr="00D30E43">
        <w:rPr>
          <w:rStyle w:val="FootnoteReference"/>
          <w:rFonts w:asciiTheme="majorHAnsi" w:hAnsiTheme="majorHAnsi" w:cstheme="minorHAnsi"/>
          <w:sz w:val="16"/>
          <w:szCs w:val="16"/>
        </w:rPr>
        <w:footnoteRef/>
      </w:r>
      <w:r w:rsidRPr="00D30E43">
        <w:rPr>
          <w:rFonts w:asciiTheme="majorHAnsi" w:hAnsiTheme="majorHAnsi" w:cstheme="minorHAnsi"/>
          <w:sz w:val="16"/>
          <w:szCs w:val="16"/>
          <w:lang w:val="es-CO"/>
        </w:rPr>
        <w:t xml:space="preserve"> </w:t>
      </w:r>
      <w:r w:rsidR="009C6E2C" w:rsidRPr="009C6E2C">
        <w:rPr>
          <w:rFonts w:asciiTheme="majorHAnsi" w:hAnsiTheme="majorHAnsi" w:cstheme="minorHAnsi"/>
          <w:sz w:val="16"/>
          <w:szCs w:val="16"/>
          <w:lang w:val="es-CO"/>
        </w:rPr>
        <w:t>CIDH, Informe No. 76/19. Admisibilidad. Hug</w:t>
      </w:r>
      <w:r w:rsidR="009C6E2C">
        <w:rPr>
          <w:rFonts w:asciiTheme="majorHAnsi" w:hAnsiTheme="majorHAnsi" w:cstheme="minorHAnsi"/>
          <w:sz w:val="16"/>
          <w:szCs w:val="16"/>
          <w:lang w:val="es-CO"/>
        </w:rPr>
        <w:t xml:space="preserve">o Eduardo </w:t>
      </w:r>
      <w:proofErr w:type="spellStart"/>
      <w:r w:rsidR="009C6E2C">
        <w:rPr>
          <w:rFonts w:asciiTheme="majorHAnsi" w:hAnsiTheme="majorHAnsi" w:cstheme="minorHAnsi"/>
          <w:sz w:val="16"/>
          <w:szCs w:val="16"/>
          <w:lang w:val="es-CO"/>
        </w:rPr>
        <w:t>Ibarbuden</w:t>
      </w:r>
      <w:proofErr w:type="spellEnd"/>
      <w:r w:rsidR="009C6E2C">
        <w:rPr>
          <w:rFonts w:asciiTheme="majorHAnsi" w:hAnsiTheme="majorHAnsi" w:cstheme="minorHAnsi"/>
          <w:sz w:val="16"/>
          <w:szCs w:val="16"/>
          <w:lang w:val="es-CO"/>
        </w:rPr>
        <w:t xml:space="preserve">. Argentina. </w:t>
      </w:r>
      <w:r w:rsidR="009C6E2C" w:rsidRPr="009C6E2C">
        <w:rPr>
          <w:rFonts w:asciiTheme="majorHAnsi" w:hAnsiTheme="majorHAnsi" w:cstheme="minorHAnsi"/>
          <w:sz w:val="16"/>
          <w:szCs w:val="16"/>
          <w:lang w:val="es-CO"/>
        </w:rPr>
        <w:t>21 de mayo de 2019</w:t>
      </w:r>
      <w:r w:rsidR="009C6E2C">
        <w:rPr>
          <w:rFonts w:asciiTheme="majorHAnsi" w:hAnsiTheme="majorHAnsi" w:cstheme="minorHAnsi"/>
          <w:sz w:val="16"/>
          <w:szCs w:val="16"/>
          <w:lang w:val="es-US"/>
        </w:rPr>
        <w:t>, párr.</w:t>
      </w:r>
      <w:r w:rsidRPr="00D30E43">
        <w:rPr>
          <w:rFonts w:asciiTheme="majorHAnsi" w:hAnsiTheme="majorHAnsi" w:cstheme="minorHAnsi"/>
          <w:sz w:val="16"/>
          <w:szCs w:val="16"/>
          <w:lang w:val="es-US"/>
        </w:rPr>
        <w:t xml:space="preserve"> 12.</w:t>
      </w:r>
    </w:p>
  </w:footnote>
  <w:footnote w:id="13">
    <w:p w14:paraId="7E19C8B4" w14:textId="26BDA290" w:rsidR="00882FD7" w:rsidRPr="00F752CD" w:rsidRDefault="00882FD7" w:rsidP="00882FD7">
      <w:pPr>
        <w:pStyle w:val="FootnoteText"/>
        <w:ind w:firstLine="720"/>
        <w:jc w:val="both"/>
        <w:rPr>
          <w:rFonts w:ascii="Cambria" w:hAnsi="Cambria"/>
          <w:sz w:val="16"/>
          <w:szCs w:val="16"/>
          <w:lang w:val="es-ES"/>
        </w:rPr>
      </w:pPr>
      <w:r w:rsidRPr="00F752CD">
        <w:rPr>
          <w:rStyle w:val="FootnoteReference"/>
          <w:rFonts w:ascii="Cambria" w:hAnsi="Cambria"/>
          <w:sz w:val="16"/>
          <w:szCs w:val="16"/>
        </w:rPr>
        <w:footnoteRef/>
      </w:r>
      <w:r w:rsidRPr="00F752CD">
        <w:rPr>
          <w:rFonts w:ascii="Cambria" w:hAnsi="Cambria"/>
          <w:sz w:val="16"/>
          <w:szCs w:val="16"/>
          <w:lang w:val="es-ES"/>
        </w:rPr>
        <w:t xml:space="preserve"> </w:t>
      </w:r>
      <w:r>
        <w:rPr>
          <w:rFonts w:ascii="Cambria" w:hAnsi="Cambria"/>
          <w:sz w:val="16"/>
          <w:szCs w:val="16"/>
          <w:lang w:val="es-ES"/>
        </w:rPr>
        <w:t xml:space="preserve">A este respecto, </w:t>
      </w:r>
      <w:r w:rsidR="00B52BEE">
        <w:rPr>
          <w:rFonts w:ascii="Cambria" w:hAnsi="Cambria"/>
          <w:sz w:val="16"/>
          <w:szCs w:val="16"/>
          <w:lang w:val="es-ES"/>
        </w:rPr>
        <w:t>véase,</w:t>
      </w:r>
      <w:r>
        <w:rPr>
          <w:rFonts w:ascii="Cambria" w:hAnsi="Cambria"/>
          <w:sz w:val="16"/>
          <w:szCs w:val="16"/>
          <w:lang w:val="es-ES"/>
        </w:rPr>
        <w:t xml:space="preserve"> por ejemplo, </w:t>
      </w:r>
      <w:r w:rsidRPr="00F752CD">
        <w:rPr>
          <w:rFonts w:ascii="Cambria" w:hAnsi="Cambria"/>
          <w:sz w:val="16"/>
          <w:szCs w:val="16"/>
          <w:lang w:val="es-ES_tradnl"/>
        </w:rPr>
        <w:t>CIDH, Informe No. 55/08, Petición 532-98. Admisibilidad. Trabajadores de la Empresa Nacional de Puertos S.A. (ENAPU). Perú. 24 de julio de 2008, párr. 46.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0DA1B" w14:textId="77777777" w:rsidR="00867D4C" w:rsidRDefault="00867D4C" w:rsidP="00867D4C">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04C12ED" w14:textId="77777777" w:rsidR="00867D4C" w:rsidRDefault="00867D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E9D19" w14:textId="77777777" w:rsidR="00867D4C" w:rsidRDefault="00867D4C" w:rsidP="00A50FCF">
    <w:pPr>
      <w:pStyle w:val="Header"/>
      <w:tabs>
        <w:tab w:val="clear" w:pos="4320"/>
        <w:tab w:val="clear" w:pos="8640"/>
      </w:tabs>
      <w:jc w:val="center"/>
      <w:rPr>
        <w:sz w:val="22"/>
        <w:szCs w:val="22"/>
      </w:rPr>
    </w:pPr>
    <w:r>
      <w:rPr>
        <w:noProof/>
        <w:sz w:val="22"/>
        <w:szCs w:val="22"/>
      </w:rPr>
      <w:drawing>
        <wp:inline distT="0" distB="0" distL="0" distR="0" wp14:anchorId="7B62EEAF" wp14:editId="1D6BB121">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02DA512" w14:textId="77777777" w:rsidR="00867D4C" w:rsidRPr="00EC7D62" w:rsidRDefault="00AA663E" w:rsidP="00A50FCF">
    <w:pPr>
      <w:pStyle w:val="Header"/>
      <w:tabs>
        <w:tab w:val="clear" w:pos="4320"/>
        <w:tab w:val="clear" w:pos="8640"/>
      </w:tabs>
      <w:jc w:val="center"/>
      <w:rPr>
        <w:sz w:val="22"/>
        <w:szCs w:val="22"/>
      </w:rPr>
    </w:pPr>
    <w:r>
      <w:rPr>
        <w:noProof/>
        <w:sz w:val="22"/>
        <w:szCs w:val="22"/>
        <w:bdr w:val="nil"/>
      </w:rPr>
      <w:pict w14:anchorId="4776F4B6">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D2E1D" w14:textId="77777777" w:rsidR="00062329" w:rsidRDefault="000623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5834A4C"/>
    <w:multiLevelType w:val="hybridMultilevel"/>
    <w:tmpl w:val="EE9EBA92"/>
    <w:styleLink w:val="EstiloImportado20"/>
    <w:lvl w:ilvl="0" w:tplc="F492286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5AE2A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7814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8DE53A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F8A43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A7E1E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16C8A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66B5B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103AA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4"/>
  </w:num>
  <w:num w:numId="4">
    <w:abstractNumId w:val="19"/>
  </w:num>
  <w:num w:numId="5">
    <w:abstractNumId w:val="48"/>
  </w:num>
  <w:num w:numId="6">
    <w:abstractNumId w:val="26"/>
  </w:num>
  <w:num w:numId="7">
    <w:abstractNumId w:val="5"/>
  </w:num>
  <w:num w:numId="8">
    <w:abstractNumId w:val="15"/>
  </w:num>
  <w:num w:numId="9">
    <w:abstractNumId w:val="42"/>
  </w:num>
  <w:num w:numId="10">
    <w:abstractNumId w:val="0"/>
  </w:num>
  <w:num w:numId="11">
    <w:abstractNumId w:val="37"/>
  </w:num>
  <w:num w:numId="12">
    <w:abstractNumId w:val="38"/>
  </w:num>
  <w:num w:numId="13">
    <w:abstractNumId w:val="45"/>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4"/>
  </w:num>
  <w:num w:numId="38">
    <w:abstractNumId w:val="35"/>
  </w:num>
  <w:num w:numId="39">
    <w:abstractNumId w:val="39"/>
  </w:num>
  <w:num w:numId="40">
    <w:abstractNumId w:val="40"/>
  </w:num>
  <w:num w:numId="41">
    <w:abstractNumId w:val="47"/>
  </w:num>
  <w:num w:numId="42">
    <w:abstractNumId w:val="49"/>
  </w:num>
  <w:num w:numId="43">
    <w:abstractNumId w:val="50"/>
  </w:num>
  <w:num w:numId="44">
    <w:abstractNumId w:val="52"/>
  </w:num>
  <w:num w:numId="45">
    <w:abstractNumId w:val="53"/>
  </w:num>
  <w:num w:numId="46">
    <w:abstractNumId w:val="55"/>
  </w:num>
  <w:num w:numId="47">
    <w:abstractNumId w:val="56"/>
  </w:num>
  <w:num w:numId="48">
    <w:abstractNumId w:val="57"/>
  </w:num>
  <w:num w:numId="49">
    <w:abstractNumId w:val="58"/>
  </w:num>
  <w:num w:numId="50">
    <w:abstractNumId w:val="59"/>
  </w:num>
  <w:num w:numId="51">
    <w:abstractNumId w:val="18"/>
  </w:num>
  <w:num w:numId="52">
    <w:abstractNumId w:val="41"/>
  </w:num>
  <w:num w:numId="53">
    <w:abstractNumId w:val="51"/>
  </w:num>
  <w:num w:numId="54">
    <w:abstractNumId w:val="46"/>
  </w:num>
  <w:num w:numId="55">
    <w:abstractNumId w:val="44"/>
  </w:num>
  <w:num w:numId="56">
    <w:abstractNumId w:val="25"/>
  </w:num>
  <w:num w:numId="57">
    <w:abstractNumId w:val="23"/>
  </w:num>
  <w:num w:numId="58">
    <w:abstractNumId w:val="36"/>
  </w:num>
  <w:num w:numId="59">
    <w:abstractNumId w:val="43"/>
  </w:num>
  <w:num w:numId="60">
    <w:abstractNumId w:val="33"/>
  </w:num>
  <w:num w:numId="61">
    <w:abstractNumId w:val="33"/>
    <w:lvlOverride w:ilvl="0">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788C"/>
    <w:rsid w:val="00022E02"/>
    <w:rsid w:val="00025731"/>
    <w:rsid w:val="000337EF"/>
    <w:rsid w:val="00036029"/>
    <w:rsid w:val="00040C3A"/>
    <w:rsid w:val="000419AD"/>
    <w:rsid w:val="000433C9"/>
    <w:rsid w:val="00060FC3"/>
    <w:rsid w:val="00062329"/>
    <w:rsid w:val="00071174"/>
    <w:rsid w:val="000716C5"/>
    <w:rsid w:val="00075E23"/>
    <w:rsid w:val="00081BE3"/>
    <w:rsid w:val="0009344A"/>
    <w:rsid w:val="000A392E"/>
    <w:rsid w:val="000A575F"/>
    <w:rsid w:val="000B22F3"/>
    <w:rsid w:val="000D05CB"/>
    <w:rsid w:val="000D10DB"/>
    <w:rsid w:val="000E5EB5"/>
    <w:rsid w:val="000F35ED"/>
    <w:rsid w:val="00103E63"/>
    <w:rsid w:val="00107131"/>
    <w:rsid w:val="0010736F"/>
    <w:rsid w:val="00113F73"/>
    <w:rsid w:val="00121CC2"/>
    <w:rsid w:val="00131425"/>
    <w:rsid w:val="00133EE5"/>
    <w:rsid w:val="00167A34"/>
    <w:rsid w:val="001A520D"/>
    <w:rsid w:val="001A6CFA"/>
    <w:rsid w:val="001A7870"/>
    <w:rsid w:val="001B3A00"/>
    <w:rsid w:val="001B6323"/>
    <w:rsid w:val="001C1B41"/>
    <w:rsid w:val="001D65EF"/>
    <w:rsid w:val="001E49E7"/>
    <w:rsid w:val="001F7201"/>
    <w:rsid w:val="001F7560"/>
    <w:rsid w:val="00223A29"/>
    <w:rsid w:val="002250A3"/>
    <w:rsid w:val="00235217"/>
    <w:rsid w:val="002365FA"/>
    <w:rsid w:val="00246D1F"/>
    <w:rsid w:val="00247403"/>
    <w:rsid w:val="00247542"/>
    <w:rsid w:val="00266B61"/>
    <w:rsid w:val="0026712A"/>
    <w:rsid w:val="002704DB"/>
    <w:rsid w:val="002915FB"/>
    <w:rsid w:val="0029456C"/>
    <w:rsid w:val="002A0AAE"/>
    <w:rsid w:val="002A5820"/>
    <w:rsid w:val="002D2B26"/>
    <w:rsid w:val="002D6B65"/>
    <w:rsid w:val="002D7EA2"/>
    <w:rsid w:val="002E187C"/>
    <w:rsid w:val="00302733"/>
    <w:rsid w:val="00305835"/>
    <w:rsid w:val="00306F33"/>
    <w:rsid w:val="00314078"/>
    <w:rsid w:val="0031535D"/>
    <w:rsid w:val="003239B8"/>
    <w:rsid w:val="0033169F"/>
    <w:rsid w:val="00344977"/>
    <w:rsid w:val="00346C95"/>
    <w:rsid w:val="0035297A"/>
    <w:rsid w:val="003535E3"/>
    <w:rsid w:val="00356185"/>
    <w:rsid w:val="00360380"/>
    <w:rsid w:val="0037519E"/>
    <w:rsid w:val="00386CF0"/>
    <w:rsid w:val="003B6CD2"/>
    <w:rsid w:val="003B70FB"/>
    <w:rsid w:val="003B718C"/>
    <w:rsid w:val="003C676B"/>
    <w:rsid w:val="003D16F1"/>
    <w:rsid w:val="003D3BC2"/>
    <w:rsid w:val="003E6CA1"/>
    <w:rsid w:val="003F5154"/>
    <w:rsid w:val="00405F9C"/>
    <w:rsid w:val="004065A8"/>
    <w:rsid w:val="004165C2"/>
    <w:rsid w:val="00441ECB"/>
    <w:rsid w:val="00445193"/>
    <w:rsid w:val="004456DF"/>
    <w:rsid w:val="00456CB7"/>
    <w:rsid w:val="00462C1B"/>
    <w:rsid w:val="00462E1E"/>
    <w:rsid w:val="00467B7E"/>
    <w:rsid w:val="00473BB4"/>
    <w:rsid w:val="0047418D"/>
    <w:rsid w:val="00477592"/>
    <w:rsid w:val="00486F1C"/>
    <w:rsid w:val="0049419D"/>
    <w:rsid w:val="004A6A54"/>
    <w:rsid w:val="004B03CA"/>
    <w:rsid w:val="004B421C"/>
    <w:rsid w:val="004C20D2"/>
    <w:rsid w:val="004C2312"/>
    <w:rsid w:val="004C4B62"/>
    <w:rsid w:val="004C54C9"/>
    <w:rsid w:val="004D4ABA"/>
    <w:rsid w:val="004D6025"/>
    <w:rsid w:val="004E2649"/>
    <w:rsid w:val="004E463C"/>
    <w:rsid w:val="004F60F3"/>
    <w:rsid w:val="004F626F"/>
    <w:rsid w:val="00501396"/>
    <w:rsid w:val="00501399"/>
    <w:rsid w:val="005047ED"/>
    <w:rsid w:val="0050633D"/>
    <w:rsid w:val="00507BC4"/>
    <w:rsid w:val="005128E4"/>
    <w:rsid w:val="005133DB"/>
    <w:rsid w:val="00514504"/>
    <w:rsid w:val="00521E1F"/>
    <w:rsid w:val="00525560"/>
    <w:rsid w:val="005271C1"/>
    <w:rsid w:val="00544C49"/>
    <w:rsid w:val="005516A1"/>
    <w:rsid w:val="005559EF"/>
    <w:rsid w:val="00563557"/>
    <w:rsid w:val="00564D63"/>
    <w:rsid w:val="005676B5"/>
    <w:rsid w:val="00573BFD"/>
    <w:rsid w:val="0057402A"/>
    <w:rsid w:val="005762F0"/>
    <w:rsid w:val="005771D0"/>
    <w:rsid w:val="00577717"/>
    <w:rsid w:val="00591302"/>
    <w:rsid w:val="0059191A"/>
    <w:rsid w:val="005921FF"/>
    <w:rsid w:val="005A24ED"/>
    <w:rsid w:val="005A5E11"/>
    <w:rsid w:val="005A6D0E"/>
    <w:rsid w:val="005B52B0"/>
    <w:rsid w:val="005B6806"/>
    <w:rsid w:val="005C4225"/>
    <w:rsid w:val="005C75AC"/>
    <w:rsid w:val="005F0DAD"/>
    <w:rsid w:val="005F0F33"/>
    <w:rsid w:val="00600DEB"/>
    <w:rsid w:val="006141DC"/>
    <w:rsid w:val="00627C9F"/>
    <w:rsid w:val="006311E9"/>
    <w:rsid w:val="00632354"/>
    <w:rsid w:val="00635398"/>
    <w:rsid w:val="00635421"/>
    <w:rsid w:val="00642810"/>
    <w:rsid w:val="006448C4"/>
    <w:rsid w:val="00652333"/>
    <w:rsid w:val="00675411"/>
    <w:rsid w:val="0068009E"/>
    <w:rsid w:val="00692219"/>
    <w:rsid w:val="006A17D2"/>
    <w:rsid w:val="006A6CCA"/>
    <w:rsid w:val="006A73E6"/>
    <w:rsid w:val="006B2D5C"/>
    <w:rsid w:val="006C0ECF"/>
    <w:rsid w:val="006C4EB1"/>
    <w:rsid w:val="006C6212"/>
    <w:rsid w:val="006E0166"/>
    <w:rsid w:val="006E2FFB"/>
    <w:rsid w:val="006E7B34"/>
    <w:rsid w:val="0070697F"/>
    <w:rsid w:val="007103C4"/>
    <w:rsid w:val="00717D54"/>
    <w:rsid w:val="0072199C"/>
    <w:rsid w:val="0072258D"/>
    <w:rsid w:val="00722C9F"/>
    <w:rsid w:val="007253B8"/>
    <w:rsid w:val="00726C77"/>
    <w:rsid w:val="00727571"/>
    <w:rsid w:val="00732969"/>
    <w:rsid w:val="0073741F"/>
    <w:rsid w:val="0075767B"/>
    <w:rsid w:val="0076643F"/>
    <w:rsid w:val="00777F63"/>
    <w:rsid w:val="007978DA"/>
    <w:rsid w:val="007A5817"/>
    <w:rsid w:val="007B05C4"/>
    <w:rsid w:val="007B60E9"/>
    <w:rsid w:val="007B6CC3"/>
    <w:rsid w:val="007B76D3"/>
    <w:rsid w:val="007C3334"/>
    <w:rsid w:val="007D2B98"/>
    <w:rsid w:val="007E21BC"/>
    <w:rsid w:val="007E7C82"/>
    <w:rsid w:val="007F2AA1"/>
    <w:rsid w:val="007F588D"/>
    <w:rsid w:val="00803F1C"/>
    <w:rsid w:val="0080600E"/>
    <w:rsid w:val="00814688"/>
    <w:rsid w:val="00817612"/>
    <w:rsid w:val="00821D6C"/>
    <w:rsid w:val="008338A4"/>
    <w:rsid w:val="00834D49"/>
    <w:rsid w:val="00837C45"/>
    <w:rsid w:val="00840A14"/>
    <w:rsid w:val="00844730"/>
    <w:rsid w:val="008457C2"/>
    <w:rsid w:val="00857A82"/>
    <w:rsid w:val="008678C2"/>
    <w:rsid w:val="00867D4C"/>
    <w:rsid w:val="00873836"/>
    <w:rsid w:val="0087763F"/>
    <w:rsid w:val="00882FD7"/>
    <w:rsid w:val="00885737"/>
    <w:rsid w:val="00890650"/>
    <w:rsid w:val="008944DC"/>
    <w:rsid w:val="00897E12"/>
    <w:rsid w:val="008A3DD9"/>
    <w:rsid w:val="008A7E0F"/>
    <w:rsid w:val="008B12F5"/>
    <w:rsid w:val="008C0C47"/>
    <w:rsid w:val="008C5E2D"/>
    <w:rsid w:val="008D768D"/>
    <w:rsid w:val="008E3759"/>
    <w:rsid w:val="008E3BFE"/>
    <w:rsid w:val="008E5767"/>
    <w:rsid w:val="008E5F27"/>
    <w:rsid w:val="008E73B0"/>
    <w:rsid w:val="008F1912"/>
    <w:rsid w:val="0090270B"/>
    <w:rsid w:val="009041DC"/>
    <w:rsid w:val="00910D93"/>
    <w:rsid w:val="00917B5A"/>
    <w:rsid w:val="00920A58"/>
    <w:rsid w:val="00920A8C"/>
    <w:rsid w:val="0092291A"/>
    <w:rsid w:val="00934A2C"/>
    <w:rsid w:val="0096706E"/>
    <w:rsid w:val="00974491"/>
    <w:rsid w:val="00975C4E"/>
    <w:rsid w:val="009806A3"/>
    <w:rsid w:val="00981FBA"/>
    <w:rsid w:val="00997BC5"/>
    <w:rsid w:val="009A4F41"/>
    <w:rsid w:val="009B381B"/>
    <w:rsid w:val="009C6E2C"/>
    <w:rsid w:val="009D1753"/>
    <w:rsid w:val="009D6B04"/>
    <w:rsid w:val="009D7611"/>
    <w:rsid w:val="009E0B61"/>
    <w:rsid w:val="009E53DE"/>
    <w:rsid w:val="009E5573"/>
    <w:rsid w:val="009F1629"/>
    <w:rsid w:val="00A04BAD"/>
    <w:rsid w:val="00A11212"/>
    <w:rsid w:val="00A11E24"/>
    <w:rsid w:val="00A11E44"/>
    <w:rsid w:val="00A30100"/>
    <w:rsid w:val="00A328B3"/>
    <w:rsid w:val="00A46470"/>
    <w:rsid w:val="00A50FCF"/>
    <w:rsid w:val="00A528D1"/>
    <w:rsid w:val="00A53B9D"/>
    <w:rsid w:val="00A610CD"/>
    <w:rsid w:val="00A758AA"/>
    <w:rsid w:val="00A7613D"/>
    <w:rsid w:val="00A85575"/>
    <w:rsid w:val="00A8735A"/>
    <w:rsid w:val="00A873DB"/>
    <w:rsid w:val="00AA09A2"/>
    <w:rsid w:val="00AA663E"/>
    <w:rsid w:val="00AA7996"/>
    <w:rsid w:val="00AC19CB"/>
    <w:rsid w:val="00AD2C8B"/>
    <w:rsid w:val="00AE5488"/>
    <w:rsid w:val="00AE6F91"/>
    <w:rsid w:val="00AF263A"/>
    <w:rsid w:val="00AF5571"/>
    <w:rsid w:val="00AF5D88"/>
    <w:rsid w:val="00B07341"/>
    <w:rsid w:val="00B17CB8"/>
    <w:rsid w:val="00B30539"/>
    <w:rsid w:val="00B314DB"/>
    <w:rsid w:val="00B361F2"/>
    <w:rsid w:val="00B3718B"/>
    <w:rsid w:val="00B3745F"/>
    <w:rsid w:val="00B4632A"/>
    <w:rsid w:val="00B52BEE"/>
    <w:rsid w:val="00B530F1"/>
    <w:rsid w:val="00B93D7F"/>
    <w:rsid w:val="00BA276C"/>
    <w:rsid w:val="00BB019D"/>
    <w:rsid w:val="00BB306F"/>
    <w:rsid w:val="00BC1314"/>
    <w:rsid w:val="00BD0FF5"/>
    <w:rsid w:val="00BD3EEE"/>
    <w:rsid w:val="00BD4B89"/>
    <w:rsid w:val="00BD5922"/>
    <w:rsid w:val="00BF02CB"/>
    <w:rsid w:val="00BF6FD8"/>
    <w:rsid w:val="00C03680"/>
    <w:rsid w:val="00C054DF"/>
    <w:rsid w:val="00C15C9E"/>
    <w:rsid w:val="00C16EAB"/>
    <w:rsid w:val="00C21762"/>
    <w:rsid w:val="00C21FEF"/>
    <w:rsid w:val="00C23BA4"/>
    <w:rsid w:val="00C24543"/>
    <w:rsid w:val="00C256A2"/>
    <w:rsid w:val="00C25ADB"/>
    <w:rsid w:val="00C37CBB"/>
    <w:rsid w:val="00C51515"/>
    <w:rsid w:val="00C5660B"/>
    <w:rsid w:val="00C66B72"/>
    <w:rsid w:val="00C87AC4"/>
    <w:rsid w:val="00C9535D"/>
    <w:rsid w:val="00C9567A"/>
    <w:rsid w:val="00CB212D"/>
    <w:rsid w:val="00CB2660"/>
    <w:rsid w:val="00CC13A3"/>
    <w:rsid w:val="00CC5E90"/>
    <w:rsid w:val="00CD046C"/>
    <w:rsid w:val="00CD5963"/>
    <w:rsid w:val="00CE076C"/>
    <w:rsid w:val="00CE2CDC"/>
    <w:rsid w:val="00CE4D7F"/>
    <w:rsid w:val="00CE5199"/>
    <w:rsid w:val="00CE66D5"/>
    <w:rsid w:val="00CE7BC7"/>
    <w:rsid w:val="00CF1583"/>
    <w:rsid w:val="00CF637A"/>
    <w:rsid w:val="00D03F88"/>
    <w:rsid w:val="00D059DE"/>
    <w:rsid w:val="00D05ABD"/>
    <w:rsid w:val="00D13FCE"/>
    <w:rsid w:val="00D22E67"/>
    <w:rsid w:val="00D23525"/>
    <w:rsid w:val="00D306D1"/>
    <w:rsid w:val="00D30800"/>
    <w:rsid w:val="00D30E43"/>
    <w:rsid w:val="00D34786"/>
    <w:rsid w:val="00D37BFC"/>
    <w:rsid w:val="00D401A7"/>
    <w:rsid w:val="00D47A8E"/>
    <w:rsid w:val="00D52D14"/>
    <w:rsid w:val="00D712D3"/>
    <w:rsid w:val="00D71422"/>
    <w:rsid w:val="00D72DC6"/>
    <w:rsid w:val="00D7558D"/>
    <w:rsid w:val="00D8151F"/>
    <w:rsid w:val="00D81D92"/>
    <w:rsid w:val="00D876F9"/>
    <w:rsid w:val="00DA77AD"/>
    <w:rsid w:val="00DA7B5F"/>
    <w:rsid w:val="00DB22A3"/>
    <w:rsid w:val="00DC11E7"/>
    <w:rsid w:val="00DC24E3"/>
    <w:rsid w:val="00DC509C"/>
    <w:rsid w:val="00DC7023"/>
    <w:rsid w:val="00DC769A"/>
    <w:rsid w:val="00DD3D86"/>
    <w:rsid w:val="00DD4AD2"/>
    <w:rsid w:val="00DE2862"/>
    <w:rsid w:val="00DE40D2"/>
    <w:rsid w:val="00DF1EC4"/>
    <w:rsid w:val="00E0340B"/>
    <w:rsid w:val="00E04A90"/>
    <w:rsid w:val="00E0551F"/>
    <w:rsid w:val="00E219C7"/>
    <w:rsid w:val="00E4118C"/>
    <w:rsid w:val="00E43157"/>
    <w:rsid w:val="00E461CE"/>
    <w:rsid w:val="00E573E4"/>
    <w:rsid w:val="00E64C3D"/>
    <w:rsid w:val="00E720CA"/>
    <w:rsid w:val="00E73B43"/>
    <w:rsid w:val="00E76794"/>
    <w:rsid w:val="00E84EB5"/>
    <w:rsid w:val="00E85662"/>
    <w:rsid w:val="00E8789F"/>
    <w:rsid w:val="00E93D0A"/>
    <w:rsid w:val="00E97B71"/>
    <w:rsid w:val="00EA3D34"/>
    <w:rsid w:val="00EB42CE"/>
    <w:rsid w:val="00EB454D"/>
    <w:rsid w:val="00EB4AB3"/>
    <w:rsid w:val="00EC72AB"/>
    <w:rsid w:val="00ED549D"/>
    <w:rsid w:val="00ED5E10"/>
    <w:rsid w:val="00ED76BE"/>
    <w:rsid w:val="00EE00E9"/>
    <w:rsid w:val="00EF1AAA"/>
    <w:rsid w:val="00EF619B"/>
    <w:rsid w:val="00F00B55"/>
    <w:rsid w:val="00F02AD1"/>
    <w:rsid w:val="00F253CC"/>
    <w:rsid w:val="00F37106"/>
    <w:rsid w:val="00F44E25"/>
    <w:rsid w:val="00F519CF"/>
    <w:rsid w:val="00F526D3"/>
    <w:rsid w:val="00F56BA5"/>
    <w:rsid w:val="00F60E22"/>
    <w:rsid w:val="00F71FEB"/>
    <w:rsid w:val="00F81395"/>
    <w:rsid w:val="00F81BB8"/>
    <w:rsid w:val="00F90C64"/>
    <w:rsid w:val="00F917D1"/>
    <w:rsid w:val="00F9653B"/>
    <w:rsid w:val="00FA4816"/>
    <w:rsid w:val="00FA75FB"/>
    <w:rsid w:val="00FB103A"/>
    <w:rsid w:val="00FB62CF"/>
    <w:rsid w:val="00FD1E31"/>
    <w:rsid w:val="00FD3C3B"/>
    <w:rsid w:val="00FE07DD"/>
    <w:rsid w:val="00FE2FFF"/>
    <w:rsid w:val="00FE6B45"/>
    <w:rsid w:val="00FF087A"/>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10A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uiPriority w:val="9"/>
    <w:semiHidden/>
    <w:unhideWhenUsed/>
    <w:qFormat/>
    <w:rsid w:val="00EC72A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qFormat/>
    <w:rsid w:val="00EC72AB"/>
    <w:pPr>
      <w:keepNext w:val="0"/>
      <w:keepLines w:val="0"/>
      <w:numPr>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ind w:hanging="720"/>
      <w:contextualSpacing/>
      <w:jc w:val="both"/>
      <w:outlineLvl w:val="4"/>
    </w:pPr>
    <w:rPr>
      <w:rFonts w:ascii="Cambria" w:eastAsia="Calibri" w:hAnsi="Cambria" w:cs="Calibri"/>
      <w:b/>
      <w:i w:val="0"/>
      <w:iCs w:val="0"/>
      <w:color w:val="auto"/>
      <w:sz w:val="20"/>
      <w:szCs w:val="20"/>
      <w:bdr w:val="none" w:sz="0" w:space="0" w:color="auto"/>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0"/>
    <w:pPr>
      <w:numPr>
        <w:numId w:val="13"/>
      </w:numPr>
    </w:pPr>
  </w:style>
  <w:style w:type="numbering" w:customStyle="1" w:styleId="Estiloimportado20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20">
    <w:name w:val="Estilo Importado 20"/>
    <w:rsid w:val="00CF1583"/>
    <w:pPr>
      <w:numPr>
        <w:numId w:val="59"/>
      </w:numPr>
    </w:pPr>
  </w:style>
  <w:style w:type="paragraph" w:customStyle="1" w:styleId="Char2">
    <w:name w:val="Char2"/>
    <w:basedOn w:val="Normal"/>
    <w:link w:val="FootnoteReference"/>
    <w:uiPriority w:val="99"/>
    <w:rsid w:val="00CF1583"/>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Heading5Char">
    <w:name w:val="Heading 5 Char"/>
    <w:basedOn w:val="DefaultParagraphFont"/>
    <w:link w:val="Heading5"/>
    <w:uiPriority w:val="9"/>
    <w:rsid w:val="00EC72AB"/>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EC72AB"/>
    <w:rPr>
      <w:rFonts w:asciiTheme="majorHAnsi" w:eastAsiaTheme="majorEastAsia" w:hAnsiTheme="majorHAnsi" w:cstheme="majorBidi"/>
      <w:i/>
      <w:iCs/>
      <w:color w:val="365F91" w:themeColor="accent1" w:themeShade="B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6420">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5773436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130AF6"/>
    <w:rsid w:val="00200821"/>
    <w:rsid w:val="0025245B"/>
    <w:rsid w:val="002A3923"/>
    <w:rsid w:val="00364DD2"/>
    <w:rsid w:val="00394049"/>
    <w:rsid w:val="003B0C71"/>
    <w:rsid w:val="00415699"/>
    <w:rsid w:val="004B5BBB"/>
    <w:rsid w:val="004F2DF8"/>
    <w:rsid w:val="00517E2A"/>
    <w:rsid w:val="005A1ED6"/>
    <w:rsid w:val="00680DAE"/>
    <w:rsid w:val="006F24A1"/>
    <w:rsid w:val="007926E7"/>
    <w:rsid w:val="00825499"/>
    <w:rsid w:val="009A261B"/>
    <w:rsid w:val="00AA2E17"/>
    <w:rsid w:val="00AC15A4"/>
    <w:rsid w:val="00B0336C"/>
    <w:rsid w:val="00B13C19"/>
    <w:rsid w:val="00BC2466"/>
    <w:rsid w:val="00D241E9"/>
    <w:rsid w:val="00D7750D"/>
    <w:rsid w:val="00E41290"/>
    <w:rsid w:val="00F00D2F"/>
    <w:rsid w:val="00F128DF"/>
    <w:rsid w:val="00F45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A3F24-5621-4277-A372-B7CC7EB40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2933</Words>
  <Characters>14903</Characters>
  <Application>Microsoft Office Word</Application>
  <DocSecurity>0</DocSecurity>
  <Lines>275</Lines>
  <Paragraphs>82</Paragraphs>
  <ScaleCrop>false</ScaleCrop>
  <Company/>
  <LinksUpToDate>false</LinksUpToDate>
  <CharactersWithSpaces>17754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142/20</dc:title>
  <dc:creator/>
  <cp:lastModifiedBy/>
  <cp:revision>1</cp:revision>
  <dcterms:created xsi:type="dcterms:W3CDTF">2020-07-10T14:56:00Z</dcterms:created>
  <dcterms:modified xsi:type="dcterms:W3CDTF">2020-07-10T14:56:00Z</dcterms:modified>
</cp:coreProperties>
</file>