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1BD6269" w14:textId="77777777"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D4E463F"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544CCE" w:rsidRDefault="00544CCE"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A26BCBE" w14:textId="77777777" w:rsidR="00544CCE" w:rsidRDefault="00544CCE"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72A99C03" w:rsidR="00544CCE" w:rsidRPr="004E2649" w:rsidRDefault="00544CCE"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667713">
                              <w:rPr>
                                <w:rFonts w:asciiTheme="majorHAnsi" w:hAnsiTheme="majorHAnsi" w:cs="Arial"/>
                                <w:b/>
                                <w:bCs/>
                                <w:color w:val="0D0D0D" w:themeColor="text1" w:themeTint="F2"/>
                                <w:sz w:val="36"/>
                                <w:szCs w:val="22"/>
                                <w:lang w:val="es-ES_tradnl"/>
                              </w:rPr>
                              <w:t xml:space="preserve"> 322</w:t>
                            </w:r>
                            <w:r>
                              <w:rPr>
                                <w:rFonts w:asciiTheme="majorHAnsi" w:hAnsiTheme="majorHAnsi" w:cs="Arial"/>
                                <w:b/>
                                <w:bCs/>
                                <w:color w:val="0D0D0D" w:themeColor="text1" w:themeTint="F2"/>
                                <w:sz w:val="36"/>
                                <w:szCs w:val="22"/>
                                <w:lang w:val="es-ES_tradnl"/>
                              </w:rPr>
                              <w:t>/20</w:t>
                            </w:r>
                          </w:p>
                          <w:p w14:paraId="3E93845E" w14:textId="3FB07094" w:rsidR="00544CCE" w:rsidRDefault="00544CCE" w:rsidP="000673D0">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42FB0">
                              <w:rPr>
                                <w:rFonts w:asciiTheme="majorHAnsi" w:hAnsiTheme="majorHAnsi" w:cs="Arial"/>
                                <w:b/>
                                <w:color w:val="0D0D0D" w:themeColor="text1" w:themeTint="F2"/>
                                <w:sz w:val="36"/>
                                <w:szCs w:val="22"/>
                                <w:lang w:val="es-ES_tradnl"/>
                              </w:rPr>
                              <w:t>543</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3C49EBA1" w14:textId="367384C2" w:rsidR="00544CCE" w:rsidRPr="0010736F" w:rsidRDefault="00544CCE" w:rsidP="000673D0">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ADMISIBILIDAD </w:t>
                            </w:r>
                          </w:p>
                          <w:p w14:paraId="7AE16563" w14:textId="77777777" w:rsidR="00544CCE" w:rsidRPr="0010736F" w:rsidRDefault="00544CCE" w:rsidP="000673D0">
                            <w:pPr>
                              <w:spacing w:line="276" w:lineRule="auto"/>
                              <w:rPr>
                                <w:rFonts w:asciiTheme="majorHAnsi" w:hAnsiTheme="majorHAnsi" w:cs="Arial"/>
                                <w:color w:val="0D0D0D" w:themeColor="text1" w:themeTint="F2"/>
                                <w:szCs w:val="22"/>
                                <w:lang w:val="es-ES_tradnl"/>
                              </w:rPr>
                            </w:pPr>
                            <w:bookmarkStart w:id="1" w:name="_ftnref1"/>
                          </w:p>
                          <w:bookmarkEnd w:id="1"/>
                          <w:p w14:paraId="213AA93C" w14:textId="6478162A" w:rsidR="00544CCE" w:rsidRDefault="00942FB0" w:rsidP="00A24179">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Theme="majorHAnsi" w:hAnsiTheme="majorHAnsi" w:cs="Arial"/>
                                <w:color w:val="0D0D0D" w:themeColor="text1" w:themeTint="F2"/>
                                <w:szCs w:val="22"/>
                                <w:lang w:val="es-ES_tradnl"/>
                              </w:rPr>
                              <w:t xml:space="preserve">JULIAN HUERTA SALGUERO </w:t>
                            </w:r>
                          </w:p>
                          <w:p w14:paraId="627B2D33" w14:textId="77777777" w:rsidR="00544CCE" w:rsidRPr="005E3EF7" w:rsidRDefault="00544CCE" w:rsidP="00A24179">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Theme="majorHAnsi" w:hAnsiTheme="majorHAnsi" w:cs="Arial"/>
                                <w:color w:val="0D0D0D" w:themeColor="text1" w:themeTint="F2"/>
                                <w:szCs w:val="22"/>
                                <w:lang w:val="es-ES_tradnl"/>
                              </w:rPr>
                              <w:t>PERÚ</w:t>
                            </w:r>
                          </w:p>
                          <w:p w14:paraId="6D9AEAC1" w14:textId="77777777" w:rsidR="00544CCE" w:rsidRPr="00AE5488" w:rsidRDefault="00544CCE"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683F5A4"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250532B" w14:textId="72A99C03" w:rsidR="00544CCE" w:rsidRPr="004E2649" w:rsidRDefault="00544CCE"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667713">
                        <w:rPr>
                          <w:rFonts w:asciiTheme="majorHAnsi" w:hAnsiTheme="majorHAnsi" w:cs="Arial"/>
                          <w:b/>
                          <w:bCs/>
                          <w:color w:val="0D0D0D" w:themeColor="text1" w:themeTint="F2"/>
                          <w:sz w:val="36"/>
                          <w:szCs w:val="22"/>
                          <w:lang w:val="es-ES_tradnl"/>
                        </w:rPr>
                        <w:t xml:space="preserve"> 322</w:t>
                      </w:r>
                      <w:r>
                        <w:rPr>
                          <w:rFonts w:asciiTheme="majorHAnsi" w:hAnsiTheme="majorHAnsi" w:cs="Arial"/>
                          <w:b/>
                          <w:bCs/>
                          <w:color w:val="0D0D0D" w:themeColor="text1" w:themeTint="F2"/>
                          <w:sz w:val="36"/>
                          <w:szCs w:val="22"/>
                          <w:lang w:val="es-ES_tradnl"/>
                        </w:rPr>
                        <w:t>/20</w:t>
                      </w:r>
                    </w:p>
                    <w:p w14:paraId="3E93845E" w14:textId="3FB07094" w:rsidR="00544CCE" w:rsidRDefault="00544CCE" w:rsidP="000673D0">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42FB0">
                        <w:rPr>
                          <w:rFonts w:asciiTheme="majorHAnsi" w:hAnsiTheme="majorHAnsi" w:cs="Arial"/>
                          <w:b/>
                          <w:color w:val="0D0D0D" w:themeColor="text1" w:themeTint="F2"/>
                          <w:sz w:val="36"/>
                          <w:szCs w:val="22"/>
                          <w:lang w:val="es-ES_tradnl"/>
                        </w:rPr>
                        <w:t>543</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3C49EBA1" w14:textId="367384C2" w:rsidR="00544CCE" w:rsidRPr="0010736F" w:rsidRDefault="00544CCE" w:rsidP="000673D0">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ADMISIBILIDAD </w:t>
                      </w:r>
                    </w:p>
                    <w:p w14:paraId="7AE16563" w14:textId="77777777" w:rsidR="00544CCE" w:rsidRPr="0010736F" w:rsidRDefault="00544CCE" w:rsidP="000673D0">
                      <w:pPr>
                        <w:spacing w:line="276" w:lineRule="auto"/>
                        <w:rPr>
                          <w:rFonts w:asciiTheme="majorHAnsi" w:hAnsiTheme="majorHAnsi" w:cs="Arial"/>
                          <w:color w:val="0D0D0D" w:themeColor="text1" w:themeTint="F2"/>
                          <w:szCs w:val="22"/>
                          <w:lang w:val="es-ES_tradnl"/>
                        </w:rPr>
                      </w:pPr>
                      <w:bookmarkStart w:id="1" w:name="_ftnref1"/>
                    </w:p>
                    <w:bookmarkEnd w:id="1"/>
                    <w:p w14:paraId="213AA93C" w14:textId="6478162A" w:rsidR="00544CCE" w:rsidRDefault="00942FB0" w:rsidP="00A24179">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Theme="majorHAnsi" w:hAnsiTheme="majorHAnsi" w:cs="Arial"/>
                          <w:color w:val="0D0D0D" w:themeColor="text1" w:themeTint="F2"/>
                          <w:szCs w:val="22"/>
                          <w:lang w:val="es-ES_tradnl"/>
                        </w:rPr>
                        <w:t xml:space="preserve">JULIAN HUERTA SALGUERO </w:t>
                      </w:r>
                    </w:p>
                    <w:p w14:paraId="627B2D33" w14:textId="77777777" w:rsidR="00544CCE" w:rsidRPr="005E3EF7" w:rsidRDefault="00544CCE" w:rsidP="00A24179">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Theme="majorHAnsi" w:hAnsiTheme="majorHAnsi" w:cs="Arial"/>
                          <w:color w:val="0D0D0D" w:themeColor="text1" w:themeTint="F2"/>
                          <w:szCs w:val="22"/>
                          <w:lang w:val="es-ES_tradnl"/>
                        </w:rPr>
                        <w:t>PERÚ</w:t>
                      </w:r>
                    </w:p>
                    <w:p w14:paraId="6D9AEAC1" w14:textId="77777777" w:rsidR="00544CCE" w:rsidRPr="00AE5488" w:rsidRDefault="00544CCE" w:rsidP="000673D0">
                      <w:pPr>
                        <w:rPr>
                          <w:color w:val="0D0D0D" w:themeColor="text1" w:themeTint="F2"/>
                          <w:lang w:val="es-ES_tradnl"/>
                        </w:rPr>
                      </w:pP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2EE22D38" w:rsidR="00544CCE" w:rsidRPr="004E2649" w:rsidRDefault="00667713"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0FD8EAD5" w:rsidR="00544CCE" w:rsidRPr="004E2649" w:rsidRDefault="00667713"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340</w:t>
                            </w:r>
                          </w:p>
                          <w:p w14:paraId="0BBD91A2" w14:textId="02B30757" w:rsidR="00544CCE" w:rsidRPr="00C25ADB" w:rsidRDefault="00667713"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 noviembre</w:t>
                            </w:r>
                            <w:r w:rsidR="00544CCE" w:rsidRPr="00C25ADB">
                              <w:rPr>
                                <w:rFonts w:asciiTheme="minorHAnsi" w:hAnsiTheme="minorHAnsi"/>
                                <w:color w:val="FFFFFF" w:themeColor="background1"/>
                                <w:sz w:val="22"/>
                                <w:lang w:val="es-PA"/>
                              </w:rPr>
                              <w:t xml:space="preserve"> 2020</w:t>
                            </w:r>
                          </w:p>
                          <w:p w14:paraId="0288BA97" w14:textId="77777777" w:rsidR="00544CCE" w:rsidRPr="00C25ADB" w:rsidRDefault="00544CCE"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B2CE493" w14:textId="2EE22D38" w:rsidR="00544CCE" w:rsidRPr="004E2649" w:rsidRDefault="00667713"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0FD8EAD5" w:rsidR="00544CCE" w:rsidRPr="004E2649" w:rsidRDefault="00667713"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340</w:t>
                      </w:r>
                    </w:p>
                    <w:p w14:paraId="0BBD91A2" w14:textId="02B30757" w:rsidR="00544CCE" w:rsidRPr="00C25ADB" w:rsidRDefault="00667713"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 noviembre</w:t>
                      </w:r>
                      <w:r w:rsidR="00544CCE" w:rsidRPr="00C25ADB">
                        <w:rPr>
                          <w:rFonts w:asciiTheme="minorHAnsi" w:hAnsiTheme="minorHAnsi"/>
                          <w:color w:val="FFFFFF" w:themeColor="background1"/>
                          <w:sz w:val="22"/>
                          <w:lang w:val="es-PA"/>
                        </w:rPr>
                        <w:t xml:space="preserve"> 2020</w:t>
                      </w:r>
                    </w:p>
                    <w:p w14:paraId="0288BA97" w14:textId="77777777" w:rsidR="00544CCE" w:rsidRPr="00C25ADB" w:rsidRDefault="00544CCE"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6743D2FA" w:rsidR="00544CCE" w:rsidRPr="00890650" w:rsidRDefault="00544CCE"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67713">
                              <w:rPr>
                                <w:rFonts w:asciiTheme="majorHAnsi" w:hAnsiTheme="majorHAnsi"/>
                                <w:color w:val="0D0D0D" w:themeColor="text1" w:themeTint="F2"/>
                                <w:sz w:val="18"/>
                                <w:szCs w:val="22"/>
                                <w:lang w:val="es-ES"/>
                              </w:rPr>
                              <w:t>18</w:t>
                            </w:r>
                            <w:r w:rsidRPr="00890650">
                              <w:rPr>
                                <w:rFonts w:asciiTheme="majorHAnsi" w:hAnsiTheme="majorHAnsi"/>
                                <w:color w:val="0D0D0D" w:themeColor="text1" w:themeTint="F2"/>
                                <w:sz w:val="18"/>
                                <w:szCs w:val="22"/>
                                <w:lang w:val="es-ES"/>
                              </w:rPr>
                              <w:t xml:space="preserve"> de </w:t>
                            </w:r>
                            <w:r w:rsidR="00667713">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FE013B">
                              <w:rPr>
                                <w:rFonts w:asciiTheme="majorHAnsi" w:hAnsiTheme="majorHAnsi"/>
                                <w:color w:val="0D0D0D" w:themeColor="text1" w:themeTint="F2"/>
                                <w:sz w:val="18"/>
                                <w:szCs w:val="22"/>
                                <w:lang w:val="es-ES"/>
                              </w:rPr>
                              <w:t>.</w:t>
                            </w:r>
                          </w:p>
                          <w:p w14:paraId="4F6ABB5B" w14:textId="77777777" w:rsidR="00544CCE" w:rsidRPr="007A5817" w:rsidRDefault="00544CCE"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44CCE" w:rsidRPr="00167A34" w:rsidRDefault="00544CCE"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C2A41"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7053FBA" w14:textId="6743D2FA" w:rsidR="00544CCE" w:rsidRPr="00890650" w:rsidRDefault="00544CCE"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67713">
                        <w:rPr>
                          <w:rFonts w:asciiTheme="majorHAnsi" w:hAnsiTheme="majorHAnsi"/>
                          <w:color w:val="0D0D0D" w:themeColor="text1" w:themeTint="F2"/>
                          <w:sz w:val="18"/>
                          <w:szCs w:val="22"/>
                          <w:lang w:val="es-ES"/>
                        </w:rPr>
                        <w:t>18</w:t>
                      </w:r>
                      <w:r w:rsidRPr="00890650">
                        <w:rPr>
                          <w:rFonts w:asciiTheme="majorHAnsi" w:hAnsiTheme="majorHAnsi"/>
                          <w:color w:val="0D0D0D" w:themeColor="text1" w:themeTint="F2"/>
                          <w:sz w:val="18"/>
                          <w:szCs w:val="22"/>
                          <w:lang w:val="es-ES"/>
                        </w:rPr>
                        <w:t xml:space="preserve"> de </w:t>
                      </w:r>
                      <w:r w:rsidR="00667713">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FE013B">
                        <w:rPr>
                          <w:rFonts w:asciiTheme="majorHAnsi" w:hAnsiTheme="majorHAnsi"/>
                          <w:color w:val="0D0D0D" w:themeColor="text1" w:themeTint="F2"/>
                          <w:sz w:val="18"/>
                          <w:szCs w:val="22"/>
                          <w:lang w:val="es-ES"/>
                        </w:rPr>
                        <w:t>.</w:t>
                      </w:r>
                    </w:p>
                    <w:p w14:paraId="4F6ABB5B" w14:textId="77777777" w:rsidR="00544CCE" w:rsidRPr="007A5817" w:rsidRDefault="00544CCE"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44CCE" w:rsidRPr="00167A34" w:rsidRDefault="00544CCE"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2B52A" w14:textId="6C1C81FC" w:rsidR="00544CCE" w:rsidRPr="007B05C4" w:rsidRDefault="00544CCE"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67713" w:rsidRPr="00667713">
                              <w:rPr>
                                <w:rFonts w:asciiTheme="majorHAnsi" w:hAnsiTheme="majorHAnsi"/>
                                <w:color w:val="595959" w:themeColor="text1" w:themeTint="A6"/>
                                <w:sz w:val="18"/>
                                <w:szCs w:val="18"/>
                                <w:lang w:val="pt-BR"/>
                              </w:rPr>
                              <w:t>322</w:t>
                            </w:r>
                            <w:r w:rsidRPr="00667713">
                              <w:rPr>
                                <w:rFonts w:asciiTheme="majorHAnsi" w:hAnsiTheme="majorHAnsi"/>
                                <w:color w:val="595959" w:themeColor="text1" w:themeTint="A6"/>
                                <w:sz w:val="18"/>
                                <w:szCs w:val="18"/>
                                <w:lang w:val="pt-BR"/>
                              </w:rPr>
                              <w:t xml:space="preserve">/20. </w:t>
                            </w:r>
                            <w:r>
                              <w:rPr>
                                <w:rFonts w:asciiTheme="majorHAnsi" w:hAnsiTheme="majorHAnsi"/>
                                <w:color w:val="595959" w:themeColor="text1" w:themeTint="A6"/>
                                <w:sz w:val="18"/>
                                <w:szCs w:val="18"/>
                                <w:lang w:val="es-ES_tradnl"/>
                              </w:rPr>
                              <w:t>Petición</w:t>
                            </w:r>
                            <w:r w:rsidR="00942FB0">
                              <w:rPr>
                                <w:rFonts w:asciiTheme="majorHAnsi" w:hAnsiTheme="majorHAnsi"/>
                                <w:color w:val="595959" w:themeColor="text1" w:themeTint="A6"/>
                                <w:sz w:val="18"/>
                                <w:szCs w:val="18"/>
                                <w:lang w:val="es-ES"/>
                              </w:rPr>
                              <w:t xml:space="preserve"> 543</w:t>
                            </w:r>
                            <w:r>
                              <w:rPr>
                                <w:rFonts w:asciiTheme="majorHAnsi" w:hAnsiTheme="majorHAnsi"/>
                                <w:color w:val="595959" w:themeColor="text1" w:themeTint="A6"/>
                                <w:sz w:val="18"/>
                                <w:szCs w:val="18"/>
                                <w:lang w:val="es-ES"/>
                              </w:rPr>
                              <w:t xml:space="preserve">-09. </w:t>
                            </w:r>
                            <w:r w:rsidR="0066771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roofErr w:type="spellStart"/>
                            <w:r w:rsidR="00942FB0">
                              <w:rPr>
                                <w:rFonts w:ascii="Cambria" w:hAnsi="Cambria"/>
                                <w:color w:val="595959"/>
                                <w:sz w:val="18"/>
                                <w:szCs w:val="18"/>
                                <w:lang w:val="es-ES_tradnl"/>
                              </w:rPr>
                              <w:t>Julian</w:t>
                            </w:r>
                            <w:proofErr w:type="spellEnd"/>
                            <w:r w:rsidR="00942FB0">
                              <w:rPr>
                                <w:rFonts w:ascii="Cambria" w:hAnsi="Cambria"/>
                                <w:color w:val="595959"/>
                                <w:sz w:val="18"/>
                                <w:szCs w:val="18"/>
                                <w:lang w:val="es-ES_tradnl"/>
                              </w:rPr>
                              <w:t xml:space="preserve"> Huerta Salguero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667713">
                              <w:rPr>
                                <w:rFonts w:asciiTheme="majorHAnsi" w:hAnsiTheme="majorHAnsi"/>
                                <w:color w:val="595959" w:themeColor="text1" w:themeTint="A6"/>
                                <w:sz w:val="18"/>
                                <w:szCs w:val="18"/>
                                <w:lang w:val="es-ES"/>
                              </w:rPr>
                              <w:t>18 de noviembre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CF2B52A" w14:textId="6C1C81FC" w:rsidR="00544CCE" w:rsidRPr="007B05C4" w:rsidRDefault="00544CCE"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67713" w:rsidRPr="00667713">
                        <w:rPr>
                          <w:rFonts w:asciiTheme="majorHAnsi" w:hAnsiTheme="majorHAnsi"/>
                          <w:color w:val="595959" w:themeColor="text1" w:themeTint="A6"/>
                          <w:sz w:val="18"/>
                          <w:szCs w:val="18"/>
                          <w:lang w:val="pt-BR"/>
                        </w:rPr>
                        <w:t>322</w:t>
                      </w:r>
                      <w:r w:rsidRPr="00667713">
                        <w:rPr>
                          <w:rFonts w:asciiTheme="majorHAnsi" w:hAnsiTheme="majorHAnsi"/>
                          <w:color w:val="595959" w:themeColor="text1" w:themeTint="A6"/>
                          <w:sz w:val="18"/>
                          <w:szCs w:val="18"/>
                          <w:lang w:val="pt-BR"/>
                        </w:rPr>
                        <w:t xml:space="preserve">/20. </w:t>
                      </w:r>
                      <w:r>
                        <w:rPr>
                          <w:rFonts w:asciiTheme="majorHAnsi" w:hAnsiTheme="majorHAnsi"/>
                          <w:color w:val="595959" w:themeColor="text1" w:themeTint="A6"/>
                          <w:sz w:val="18"/>
                          <w:szCs w:val="18"/>
                          <w:lang w:val="es-ES_tradnl"/>
                        </w:rPr>
                        <w:t>Petición</w:t>
                      </w:r>
                      <w:r w:rsidR="00942FB0">
                        <w:rPr>
                          <w:rFonts w:asciiTheme="majorHAnsi" w:hAnsiTheme="majorHAnsi"/>
                          <w:color w:val="595959" w:themeColor="text1" w:themeTint="A6"/>
                          <w:sz w:val="18"/>
                          <w:szCs w:val="18"/>
                          <w:lang w:val="es-ES"/>
                        </w:rPr>
                        <w:t xml:space="preserve"> 543</w:t>
                      </w:r>
                      <w:r>
                        <w:rPr>
                          <w:rFonts w:asciiTheme="majorHAnsi" w:hAnsiTheme="majorHAnsi"/>
                          <w:color w:val="595959" w:themeColor="text1" w:themeTint="A6"/>
                          <w:sz w:val="18"/>
                          <w:szCs w:val="18"/>
                          <w:lang w:val="es-ES"/>
                        </w:rPr>
                        <w:t xml:space="preserve">-09. </w:t>
                      </w:r>
                      <w:r w:rsidR="0066771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942FB0">
                        <w:rPr>
                          <w:rFonts w:ascii="Cambria" w:hAnsi="Cambria"/>
                          <w:color w:val="595959"/>
                          <w:sz w:val="18"/>
                          <w:szCs w:val="18"/>
                          <w:lang w:val="es-ES_tradnl"/>
                        </w:rPr>
                        <w:t>Julian Huerta Salguero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667713">
                        <w:rPr>
                          <w:rFonts w:asciiTheme="majorHAnsi" w:hAnsiTheme="majorHAnsi"/>
                          <w:color w:val="595959" w:themeColor="text1" w:themeTint="A6"/>
                          <w:sz w:val="18"/>
                          <w:szCs w:val="18"/>
                          <w:lang w:val="es-ES"/>
                        </w:rPr>
                        <w:t>18 de noviembre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77777777" w:rsidR="000673D0" w:rsidRDefault="000673D0" w:rsidP="000673D0">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17BE8D4C">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475A0527" w:rsidR="00544CCE" w:rsidRPr="00D72DC6" w:rsidRDefault="00FE013B" w:rsidP="000673D0">
                            <w:pPr>
                              <w:rPr>
                                <w:color w:val="FFFFFF" w:themeColor="background1"/>
                                <w14:textFill>
                                  <w14:noFill/>
                                </w14:textFill>
                              </w:rPr>
                            </w:pPr>
                            <w:r>
                              <w:rPr>
                                <w:noProof/>
                                <w:color w:val="FFFFFF" w:themeColor="background1"/>
                              </w:rPr>
                              <w:drawing>
                                <wp:inline distT="0" distB="0" distL="0" distR="0" wp14:anchorId="63848F71" wp14:editId="3D308237">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561CB564" w14:textId="475A0527" w:rsidR="00544CCE" w:rsidRPr="00D72DC6" w:rsidRDefault="00FE013B" w:rsidP="000673D0">
                      <w:pPr>
                        <w:rPr>
                          <w:color w:val="FFFFFF" w:themeColor="background1"/>
                          <w14:textFill>
                            <w14:noFill/>
                          </w14:textFill>
                        </w:rPr>
                      </w:pPr>
                      <w:r>
                        <w:rPr>
                          <w:noProof/>
                          <w:color w:val="FFFFFF" w:themeColor="background1"/>
                        </w:rPr>
                        <w:drawing>
                          <wp:inline distT="0" distB="0" distL="0" distR="0" wp14:anchorId="63848F71" wp14:editId="3D308237">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4C5B696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544CCE" w:rsidRPr="004B7EB6" w:rsidRDefault="00544CCE"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9E975DD"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B589E4B" w14:textId="77777777" w:rsidR="00544CCE" w:rsidRPr="004B7EB6" w:rsidRDefault="00544CCE"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77777777" w:rsidR="000673D0" w:rsidRDefault="000673D0" w:rsidP="000673D0">
      <w:pPr>
        <w:tabs>
          <w:tab w:val="center" w:pos="5400"/>
        </w:tabs>
        <w:suppressAutoHyphens/>
        <w:jc w:val="center"/>
        <w:rPr>
          <w:rFonts w:asciiTheme="majorHAnsi" w:hAnsiTheme="majorHAnsi"/>
          <w:b/>
          <w:sz w:val="20"/>
          <w:lang w:val="es-ES_tradnl"/>
        </w:rPr>
        <w:sectPr w:rsidR="000673D0"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0912847B" w14:textId="77777777" w:rsidR="000673D0" w:rsidRPr="000673D0" w:rsidRDefault="000673D0" w:rsidP="000673D0">
      <w:pPr>
        <w:spacing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lastRenderedPageBreak/>
        <w:t>I.</w:t>
      </w:r>
      <w:r w:rsidRPr="000673D0">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942FB0" w14:paraId="325744E4" w14:textId="77777777" w:rsidTr="0074464F">
        <w:tc>
          <w:tcPr>
            <w:tcW w:w="3600" w:type="dxa"/>
            <w:tcBorders>
              <w:top w:val="single" w:sz="4" w:space="0" w:color="auto"/>
              <w:bottom w:val="single" w:sz="6" w:space="0" w:color="auto"/>
            </w:tcBorders>
            <w:shd w:val="clear" w:color="auto" w:fill="386294"/>
            <w:vAlign w:val="center"/>
          </w:tcPr>
          <w:p w14:paraId="26710EBE" w14:textId="77777777" w:rsidR="000673D0" w:rsidRPr="000673D0" w:rsidRDefault="000673D0" w:rsidP="0074464F">
            <w:pPr>
              <w:jc w:val="center"/>
              <w:rPr>
                <w:rFonts w:ascii="Cambria" w:hAnsi="Cambria"/>
                <w:b/>
                <w:bCs/>
                <w:color w:val="FFFFFF" w:themeColor="background1"/>
                <w:sz w:val="20"/>
                <w:szCs w:val="20"/>
              </w:rPr>
            </w:pPr>
            <w:r w:rsidRPr="000673D0">
              <w:rPr>
                <w:rFonts w:ascii="Cambria" w:hAnsi="Cambria"/>
                <w:b/>
                <w:bCs/>
                <w:color w:val="FFFFFF" w:themeColor="background1"/>
                <w:sz w:val="20"/>
                <w:szCs w:val="20"/>
              </w:rPr>
              <w:t>Parte peticionaria:</w:t>
            </w:r>
          </w:p>
        </w:tc>
        <w:tc>
          <w:tcPr>
            <w:tcW w:w="5760" w:type="dxa"/>
            <w:vAlign w:val="center"/>
          </w:tcPr>
          <w:p w14:paraId="5A4F615E" w14:textId="092ABA97" w:rsidR="000673D0" w:rsidRPr="00BF7851" w:rsidRDefault="00942FB0" w:rsidP="0074464F">
            <w:pPr>
              <w:jc w:val="both"/>
              <w:rPr>
                <w:rFonts w:ascii="Cambria" w:hAnsi="Cambria"/>
                <w:bCs/>
                <w:sz w:val="20"/>
                <w:szCs w:val="20"/>
                <w:lang w:val="es-PA"/>
              </w:rPr>
            </w:pPr>
            <w:r>
              <w:rPr>
                <w:rFonts w:ascii="Cambria" w:hAnsi="Cambria"/>
                <w:bCs/>
                <w:sz w:val="20"/>
                <w:szCs w:val="20"/>
                <w:lang w:val="es-PA" w:eastAsia="es-ES"/>
              </w:rPr>
              <w:t>Julian Huerta Salguero</w:t>
            </w:r>
          </w:p>
        </w:tc>
      </w:tr>
      <w:tr w:rsidR="00A24179" w:rsidRPr="003B6E9C" w14:paraId="79A5B539" w14:textId="77777777" w:rsidTr="0074464F">
        <w:tc>
          <w:tcPr>
            <w:tcW w:w="3600" w:type="dxa"/>
            <w:tcBorders>
              <w:top w:val="single" w:sz="6" w:space="0" w:color="auto"/>
              <w:bottom w:val="single" w:sz="6" w:space="0" w:color="auto"/>
            </w:tcBorders>
            <w:shd w:val="clear" w:color="auto" w:fill="386294"/>
            <w:vAlign w:val="center"/>
          </w:tcPr>
          <w:p w14:paraId="58FAAE53" w14:textId="77777777" w:rsidR="00A24179" w:rsidRPr="000673D0" w:rsidRDefault="00110858" w:rsidP="00A24179">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5657627907CB4FF2B74FE239B14B7826"/>
                </w:placeholder>
                <w:dropDownList>
                  <w:listItem w:value="Choose an item."/>
                  <w:listItem w:displayText="Presunta víctima" w:value="Presunta víctima"/>
                  <w:listItem w:displayText="Presuntas víctimas" w:value="Presuntas víctimas"/>
                </w:dropDownList>
              </w:sdtPr>
              <w:sdtEndPr/>
              <w:sdtContent>
                <w:r w:rsidR="00A24179" w:rsidRPr="000673D0">
                  <w:rPr>
                    <w:rFonts w:ascii="Cambria" w:hAnsi="Cambria"/>
                    <w:b/>
                    <w:bCs/>
                    <w:color w:val="FFFFFF" w:themeColor="background1"/>
                    <w:sz w:val="20"/>
                    <w:szCs w:val="20"/>
                  </w:rPr>
                  <w:t>Presunta víctima</w:t>
                </w:r>
              </w:sdtContent>
            </w:sdt>
            <w:r w:rsidR="00A24179" w:rsidRPr="000673D0">
              <w:rPr>
                <w:rFonts w:ascii="Cambria" w:hAnsi="Cambria"/>
                <w:b/>
                <w:bCs/>
                <w:color w:val="FFFFFF" w:themeColor="background1"/>
                <w:sz w:val="20"/>
                <w:szCs w:val="20"/>
              </w:rPr>
              <w:t>:</w:t>
            </w:r>
          </w:p>
        </w:tc>
        <w:tc>
          <w:tcPr>
            <w:tcW w:w="5760" w:type="dxa"/>
            <w:vAlign w:val="center"/>
          </w:tcPr>
          <w:p w14:paraId="23FE9BA4" w14:textId="0EDC6355" w:rsidR="00A24179" w:rsidRPr="000673D0" w:rsidRDefault="00942FB0" w:rsidP="00A24179">
            <w:pPr>
              <w:jc w:val="both"/>
              <w:rPr>
                <w:rFonts w:ascii="Cambria" w:hAnsi="Cambria"/>
                <w:bCs/>
                <w:sz w:val="20"/>
                <w:szCs w:val="20"/>
                <w:lang w:val="es-ES"/>
              </w:rPr>
            </w:pPr>
            <w:r>
              <w:rPr>
                <w:rFonts w:ascii="Cambria" w:hAnsi="Cambria"/>
                <w:bCs/>
                <w:sz w:val="20"/>
                <w:szCs w:val="20"/>
                <w:lang w:val="es-ES" w:eastAsia="es-ES"/>
              </w:rPr>
              <w:t>Julian Huerta Salguero</w:t>
            </w:r>
          </w:p>
        </w:tc>
      </w:tr>
      <w:tr w:rsidR="00A24179" w:rsidRPr="000673D0" w14:paraId="45362DF7" w14:textId="77777777" w:rsidTr="0074464F">
        <w:tc>
          <w:tcPr>
            <w:tcW w:w="3600" w:type="dxa"/>
            <w:tcBorders>
              <w:top w:val="single" w:sz="6" w:space="0" w:color="auto"/>
              <w:bottom w:val="single" w:sz="6" w:space="0" w:color="auto"/>
            </w:tcBorders>
            <w:shd w:val="clear" w:color="auto" w:fill="386294"/>
            <w:vAlign w:val="center"/>
          </w:tcPr>
          <w:p w14:paraId="652632F5" w14:textId="77777777" w:rsidR="00A24179" w:rsidRPr="000673D0" w:rsidRDefault="00A24179" w:rsidP="00A24179">
            <w:pPr>
              <w:jc w:val="center"/>
              <w:rPr>
                <w:rFonts w:ascii="Cambria" w:hAnsi="Cambria"/>
                <w:b/>
                <w:bCs/>
                <w:color w:val="FFFFFF" w:themeColor="background1"/>
                <w:sz w:val="20"/>
                <w:szCs w:val="20"/>
              </w:rPr>
            </w:pPr>
            <w:r w:rsidRPr="000673D0">
              <w:rPr>
                <w:rFonts w:ascii="Cambria" w:hAnsi="Cambria"/>
                <w:b/>
                <w:bCs/>
                <w:color w:val="FFFFFF" w:themeColor="background1"/>
                <w:sz w:val="20"/>
                <w:szCs w:val="20"/>
              </w:rPr>
              <w:t>Estado denunciado:</w:t>
            </w:r>
          </w:p>
        </w:tc>
        <w:tc>
          <w:tcPr>
            <w:tcW w:w="5760" w:type="dxa"/>
            <w:vAlign w:val="center"/>
          </w:tcPr>
          <w:p w14:paraId="057DC689" w14:textId="5FC63727" w:rsidR="00A24179" w:rsidRPr="000673D0" w:rsidRDefault="00A24179" w:rsidP="00A24179">
            <w:pPr>
              <w:jc w:val="both"/>
              <w:rPr>
                <w:rFonts w:ascii="Cambria" w:hAnsi="Cambria"/>
                <w:bCs/>
                <w:sz w:val="20"/>
                <w:szCs w:val="20"/>
              </w:rPr>
            </w:pPr>
            <w:r>
              <w:rPr>
                <w:rFonts w:ascii="Cambria" w:hAnsi="Cambria"/>
                <w:bCs/>
                <w:sz w:val="20"/>
                <w:szCs w:val="20"/>
              </w:rPr>
              <w:t>Perú</w:t>
            </w:r>
            <w:r>
              <w:rPr>
                <w:rStyle w:val="FootnoteReference"/>
                <w:rFonts w:ascii="Cambria" w:hAnsi="Cambria"/>
                <w:bCs/>
                <w:sz w:val="20"/>
                <w:szCs w:val="20"/>
              </w:rPr>
              <w:footnoteReference w:id="2"/>
            </w:r>
          </w:p>
        </w:tc>
      </w:tr>
      <w:tr w:rsidR="00A24179" w:rsidRPr="003B2A3A" w14:paraId="4329FE9B" w14:textId="77777777" w:rsidTr="0074464F">
        <w:tc>
          <w:tcPr>
            <w:tcW w:w="3600" w:type="dxa"/>
            <w:tcBorders>
              <w:top w:val="single" w:sz="6" w:space="0" w:color="auto"/>
              <w:bottom w:val="single" w:sz="6" w:space="0" w:color="auto"/>
            </w:tcBorders>
            <w:shd w:val="clear" w:color="auto" w:fill="386294"/>
            <w:vAlign w:val="center"/>
          </w:tcPr>
          <w:p w14:paraId="4A8E3F69" w14:textId="77777777" w:rsidR="00A24179" w:rsidRPr="000673D0" w:rsidRDefault="00A24179" w:rsidP="00A24179">
            <w:pPr>
              <w:jc w:val="center"/>
              <w:rPr>
                <w:rFonts w:ascii="Cambria" w:hAnsi="Cambria"/>
                <w:b/>
                <w:bCs/>
                <w:color w:val="FFFFFF" w:themeColor="background1"/>
                <w:sz w:val="20"/>
                <w:szCs w:val="20"/>
              </w:rPr>
            </w:pPr>
            <w:r w:rsidRPr="000673D0">
              <w:rPr>
                <w:rFonts w:ascii="Cambria" w:hAnsi="Cambria"/>
                <w:b/>
                <w:bCs/>
                <w:color w:val="FFFFFF" w:themeColor="background1"/>
                <w:sz w:val="20"/>
                <w:szCs w:val="20"/>
              </w:rPr>
              <w:t>Derechos invocados:</w:t>
            </w:r>
          </w:p>
        </w:tc>
        <w:tc>
          <w:tcPr>
            <w:tcW w:w="5760" w:type="dxa"/>
            <w:vAlign w:val="center"/>
          </w:tcPr>
          <w:p w14:paraId="4E238173" w14:textId="35943D44" w:rsidR="00A24179" w:rsidRPr="000673D0" w:rsidRDefault="00942FB0" w:rsidP="00942FB0">
            <w:pPr>
              <w:jc w:val="both"/>
              <w:rPr>
                <w:rFonts w:ascii="Cambria" w:hAnsi="Cambria"/>
                <w:bCs/>
                <w:sz w:val="20"/>
                <w:szCs w:val="20"/>
                <w:lang w:val="es-PA"/>
              </w:rPr>
            </w:pPr>
            <w:r>
              <w:rPr>
                <w:rFonts w:ascii="Cambria" w:hAnsi="Cambria"/>
                <w:bCs/>
                <w:sz w:val="20"/>
                <w:szCs w:val="20"/>
                <w:lang w:val="es-PA"/>
              </w:rPr>
              <w:t>Artículo 24 (igualdad ante la ley</w:t>
            </w:r>
            <w:r w:rsidR="003B6E9C">
              <w:rPr>
                <w:rFonts w:ascii="Cambria" w:hAnsi="Cambria"/>
                <w:bCs/>
                <w:sz w:val="20"/>
                <w:szCs w:val="20"/>
                <w:lang w:val="es-PA"/>
              </w:rPr>
              <w:t xml:space="preserve">) </w:t>
            </w:r>
            <w:r w:rsidR="00D84565">
              <w:rPr>
                <w:rFonts w:ascii="Cambria" w:hAnsi="Cambria"/>
                <w:bCs/>
                <w:sz w:val="20"/>
                <w:szCs w:val="20"/>
                <w:lang w:val="es-PA"/>
              </w:rPr>
              <w:t xml:space="preserve">de la </w:t>
            </w:r>
            <w:r w:rsidR="00A24179">
              <w:rPr>
                <w:rFonts w:ascii="Cambria" w:hAnsi="Cambria"/>
                <w:bCs/>
                <w:sz w:val="20"/>
                <w:szCs w:val="20"/>
                <w:lang w:val="es-PA"/>
              </w:rPr>
              <w:t>Convención Americana sobre Derechos Humanos</w:t>
            </w:r>
            <w:r w:rsidR="00A24179">
              <w:rPr>
                <w:rStyle w:val="FootnoteReference"/>
                <w:rFonts w:ascii="Cambria" w:hAnsi="Cambria"/>
                <w:bCs/>
                <w:sz w:val="20"/>
                <w:szCs w:val="20"/>
                <w:lang w:val="es-PA"/>
              </w:rPr>
              <w:footnoteReference w:id="3"/>
            </w:r>
            <w:r w:rsidR="00F94E7B">
              <w:rPr>
                <w:rFonts w:ascii="Cambria" w:hAnsi="Cambria"/>
                <w:bCs/>
                <w:sz w:val="20"/>
                <w:szCs w:val="20"/>
                <w:lang w:val="es-PA"/>
              </w:rPr>
              <w:t xml:space="preserve"> </w:t>
            </w:r>
          </w:p>
        </w:tc>
      </w:tr>
    </w:tbl>
    <w:p w14:paraId="3D195461" w14:textId="77777777" w:rsidR="000673D0" w:rsidRPr="000673D0" w:rsidRDefault="000673D0" w:rsidP="000673D0">
      <w:pPr>
        <w:spacing w:before="240"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t>II.</w:t>
      </w:r>
      <w:r w:rsidRPr="000673D0">
        <w:rPr>
          <w:rFonts w:asciiTheme="majorHAnsi" w:hAnsiTheme="majorHAnsi"/>
          <w:b/>
          <w:bCs/>
          <w:sz w:val="20"/>
          <w:szCs w:val="20"/>
          <w:lang w:val="es-ES"/>
        </w:rPr>
        <w:tab/>
        <w:t>TRÁMITE ANTE LA CIDH</w:t>
      </w:r>
      <w:r w:rsidRPr="000673D0">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BF7851" w14:paraId="6D778EBA" w14:textId="77777777" w:rsidTr="0074464F">
        <w:tc>
          <w:tcPr>
            <w:tcW w:w="3600" w:type="dxa"/>
            <w:tcBorders>
              <w:top w:val="single" w:sz="6" w:space="0" w:color="auto"/>
              <w:bottom w:val="single" w:sz="6" w:space="0" w:color="auto"/>
            </w:tcBorders>
            <w:shd w:val="clear" w:color="auto" w:fill="386294"/>
            <w:vAlign w:val="center"/>
          </w:tcPr>
          <w:p w14:paraId="0FC6DF70" w14:textId="77777777" w:rsidR="000673D0" w:rsidRPr="000673D0" w:rsidRDefault="000673D0" w:rsidP="0074464F">
            <w:pPr>
              <w:jc w:val="center"/>
              <w:rPr>
                <w:rFonts w:ascii="Cambria" w:hAnsi="Cambria"/>
                <w:b/>
                <w:bCs/>
                <w:color w:val="FFFFFF" w:themeColor="background1"/>
                <w:sz w:val="20"/>
                <w:szCs w:val="20"/>
                <w:lang w:val="es-ES"/>
              </w:rPr>
            </w:pPr>
            <w:r w:rsidRPr="000673D0">
              <w:rPr>
                <w:rFonts w:ascii="Cambria" w:hAnsi="Cambria"/>
                <w:b/>
                <w:bCs/>
                <w:color w:val="FFFFFF" w:themeColor="background1"/>
                <w:sz w:val="20"/>
                <w:szCs w:val="20"/>
                <w:lang w:val="es-ES"/>
              </w:rPr>
              <w:t>Presentación de la petición:</w:t>
            </w:r>
          </w:p>
        </w:tc>
        <w:tc>
          <w:tcPr>
            <w:tcW w:w="5760" w:type="dxa"/>
            <w:vAlign w:val="center"/>
          </w:tcPr>
          <w:p w14:paraId="5B768921" w14:textId="0C9AA953" w:rsidR="000673D0" w:rsidRPr="000673D0" w:rsidRDefault="00942FB0" w:rsidP="00D84565">
            <w:pPr>
              <w:jc w:val="both"/>
              <w:rPr>
                <w:rFonts w:ascii="Cambria" w:hAnsi="Cambria"/>
                <w:bCs/>
                <w:sz w:val="20"/>
                <w:szCs w:val="20"/>
                <w:lang w:val="es-ES"/>
              </w:rPr>
            </w:pPr>
            <w:r>
              <w:rPr>
                <w:rFonts w:ascii="Cambria" w:hAnsi="Cambria"/>
                <w:bCs/>
                <w:sz w:val="20"/>
                <w:szCs w:val="20"/>
                <w:lang w:val="es-ES"/>
              </w:rPr>
              <w:t>3 de mayo de 2009</w:t>
            </w:r>
          </w:p>
        </w:tc>
      </w:tr>
      <w:tr w:rsidR="000673D0" w:rsidRPr="000673D0" w14:paraId="5511A9CE" w14:textId="77777777" w:rsidTr="0074464F">
        <w:tc>
          <w:tcPr>
            <w:tcW w:w="3600" w:type="dxa"/>
            <w:tcBorders>
              <w:top w:val="single" w:sz="6" w:space="0" w:color="auto"/>
              <w:bottom w:val="single" w:sz="6" w:space="0" w:color="auto"/>
            </w:tcBorders>
            <w:shd w:val="clear" w:color="auto" w:fill="386294"/>
            <w:vAlign w:val="center"/>
          </w:tcPr>
          <w:p w14:paraId="1EAB6A50" w14:textId="77777777" w:rsidR="000673D0" w:rsidRPr="000673D0" w:rsidRDefault="000673D0" w:rsidP="0074464F">
            <w:pPr>
              <w:jc w:val="center"/>
              <w:rPr>
                <w:rFonts w:ascii="Cambria" w:hAnsi="Cambria"/>
                <w:b/>
                <w:bCs/>
                <w:color w:val="FFFFFF" w:themeColor="background1"/>
                <w:sz w:val="20"/>
                <w:szCs w:val="20"/>
                <w:lang w:val="es-ES"/>
              </w:rPr>
            </w:pPr>
            <w:r w:rsidRPr="000673D0">
              <w:rPr>
                <w:rFonts w:ascii="Cambria" w:hAnsi="Cambria"/>
                <w:b/>
                <w:color w:val="FFFFFF" w:themeColor="background1"/>
                <w:sz w:val="20"/>
                <w:szCs w:val="20"/>
                <w:lang w:val="es-ES"/>
              </w:rPr>
              <w:t>Notificación de la petición al Estado:</w:t>
            </w:r>
          </w:p>
        </w:tc>
        <w:tc>
          <w:tcPr>
            <w:tcW w:w="5760" w:type="dxa"/>
            <w:vAlign w:val="center"/>
          </w:tcPr>
          <w:p w14:paraId="311A328A" w14:textId="37E2A2A5" w:rsidR="000673D0" w:rsidRPr="000673D0" w:rsidRDefault="00615074" w:rsidP="0074464F">
            <w:pPr>
              <w:jc w:val="both"/>
              <w:rPr>
                <w:rFonts w:ascii="Cambria" w:hAnsi="Cambria"/>
                <w:bCs/>
                <w:sz w:val="20"/>
                <w:szCs w:val="20"/>
                <w:lang w:val="es-ES"/>
              </w:rPr>
            </w:pPr>
            <w:r>
              <w:rPr>
                <w:rFonts w:ascii="Cambria" w:hAnsi="Cambria"/>
                <w:bCs/>
                <w:sz w:val="20"/>
                <w:szCs w:val="20"/>
                <w:lang w:val="es-ES"/>
              </w:rPr>
              <w:t>28</w:t>
            </w:r>
            <w:r w:rsidR="00BA54A9">
              <w:rPr>
                <w:rFonts w:ascii="Cambria" w:hAnsi="Cambria"/>
                <w:bCs/>
                <w:sz w:val="20"/>
                <w:szCs w:val="20"/>
                <w:lang w:val="es-ES"/>
              </w:rPr>
              <w:t xml:space="preserve"> de septiembre de 2016</w:t>
            </w:r>
          </w:p>
        </w:tc>
      </w:tr>
      <w:tr w:rsidR="000673D0" w:rsidRPr="000673D0" w14:paraId="474D175D" w14:textId="77777777" w:rsidTr="0074464F">
        <w:tc>
          <w:tcPr>
            <w:tcW w:w="3600" w:type="dxa"/>
            <w:tcBorders>
              <w:top w:val="single" w:sz="6" w:space="0" w:color="auto"/>
              <w:bottom w:val="single" w:sz="6" w:space="0" w:color="auto"/>
            </w:tcBorders>
            <w:shd w:val="clear" w:color="auto" w:fill="386294"/>
            <w:vAlign w:val="center"/>
          </w:tcPr>
          <w:p w14:paraId="21AC1D3A" w14:textId="77777777" w:rsidR="000673D0" w:rsidRPr="000673D0" w:rsidRDefault="000673D0" w:rsidP="0074464F">
            <w:pPr>
              <w:jc w:val="center"/>
              <w:rPr>
                <w:rFonts w:ascii="Cambria" w:hAnsi="Cambria"/>
                <w:b/>
                <w:bCs/>
                <w:color w:val="FFFFFF" w:themeColor="background1"/>
                <w:sz w:val="20"/>
                <w:szCs w:val="20"/>
                <w:lang w:val="es-ES"/>
              </w:rPr>
            </w:pPr>
            <w:r w:rsidRPr="000673D0">
              <w:rPr>
                <w:rFonts w:ascii="Cambria" w:hAnsi="Cambria"/>
                <w:b/>
                <w:color w:val="FFFFFF" w:themeColor="background1"/>
                <w:sz w:val="20"/>
                <w:szCs w:val="20"/>
                <w:lang w:val="es-ES"/>
              </w:rPr>
              <w:t>Primera respuesta del Estado:</w:t>
            </w:r>
          </w:p>
        </w:tc>
        <w:tc>
          <w:tcPr>
            <w:tcW w:w="5760" w:type="dxa"/>
            <w:vAlign w:val="center"/>
          </w:tcPr>
          <w:p w14:paraId="62EA084B" w14:textId="6E1454A1" w:rsidR="000673D0" w:rsidRPr="000673D0" w:rsidRDefault="00615074" w:rsidP="0074464F">
            <w:pPr>
              <w:jc w:val="both"/>
              <w:rPr>
                <w:rFonts w:ascii="Cambria" w:hAnsi="Cambria"/>
                <w:bCs/>
                <w:sz w:val="20"/>
                <w:szCs w:val="20"/>
                <w:lang w:val="es-ES"/>
              </w:rPr>
            </w:pPr>
            <w:r>
              <w:rPr>
                <w:rFonts w:ascii="Cambria" w:hAnsi="Cambria"/>
                <w:bCs/>
                <w:sz w:val="20"/>
                <w:szCs w:val="20"/>
                <w:lang w:val="es-ES"/>
              </w:rPr>
              <w:t>28 de diciembre de 2016</w:t>
            </w:r>
          </w:p>
        </w:tc>
      </w:tr>
      <w:tr w:rsidR="007D2698" w:rsidRPr="003B6E9C" w14:paraId="58C13B90" w14:textId="77777777" w:rsidTr="0074464F">
        <w:tc>
          <w:tcPr>
            <w:tcW w:w="3600" w:type="dxa"/>
            <w:tcBorders>
              <w:top w:val="single" w:sz="6" w:space="0" w:color="auto"/>
              <w:bottom w:val="single" w:sz="6" w:space="0" w:color="auto"/>
            </w:tcBorders>
            <w:shd w:val="clear" w:color="auto" w:fill="386294"/>
            <w:vAlign w:val="center"/>
          </w:tcPr>
          <w:p w14:paraId="54B96764" w14:textId="293BB91D" w:rsidR="007D2698" w:rsidRPr="000673D0" w:rsidRDefault="00BD57F2" w:rsidP="0074464F">
            <w:pPr>
              <w:jc w:val="center"/>
              <w:rPr>
                <w:rFonts w:ascii="Cambria" w:hAnsi="Cambria"/>
                <w:b/>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67C05672" w14:textId="6B576D8B" w:rsidR="007D2698" w:rsidRDefault="00615074" w:rsidP="0074464F">
            <w:pPr>
              <w:jc w:val="both"/>
              <w:rPr>
                <w:rFonts w:ascii="Cambria" w:hAnsi="Cambria"/>
                <w:bCs/>
                <w:sz w:val="20"/>
                <w:szCs w:val="20"/>
                <w:lang w:val="es-ES"/>
              </w:rPr>
            </w:pPr>
            <w:r>
              <w:rPr>
                <w:rFonts w:ascii="Cambria" w:hAnsi="Cambria"/>
                <w:bCs/>
                <w:sz w:val="20"/>
                <w:szCs w:val="20"/>
                <w:lang w:val="es-ES"/>
              </w:rPr>
              <w:t>29 de noviembre de 2018</w:t>
            </w:r>
          </w:p>
        </w:tc>
      </w:tr>
      <w:tr w:rsidR="00BA54A9" w:rsidRPr="003B2A3A" w14:paraId="1E0975C8" w14:textId="77777777" w:rsidTr="0074464F">
        <w:tc>
          <w:tcPr>
            <w:tcW w:w="3600" w:type="dxa"/>
            <w:tcBorders>
              <w:top w:val="single" w:sz="6" w:space="0" w:color="auto"/>
              <w:bottom w:val="single" w:sz="6" w:space="0" w:color="auto"/>
            </w:tcBorders>
            <w:shd w:val="clear" w:color="auto" w:fill="386294"/>
            <w:vAlign w:val="center"/>
          </w:tcPr>
          <w:p w14:paraId="1BC8D77C" w14:textId="729E97E7" w:rsidR="00BA54A9" w:rsidRDefault="00BA54A9" w:rsidP="0074464F">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del Estado</w:t>
            </w:r>
          </w:p>
        </w:tc>
        <w:tc>
          <w:tcPr>
            <w:tcW w:w="5760" w:type="dxa"/>
            <w:vAlign w:val="center"/>
          </w:tcPr>
          <w:p w14:paraId="02FF7A74" w14:textId="6F471905" w:rsidR="00BA54A9" w:rsidRDefault="00615074" w:rsidP="00AD7A43">
            <w:pPr>
              <w:jc w:val="both"/>
              <w:rPr>
                <w:rFonts w:ascii="Cambria" w:hAnsi="Cambria"/>
                <w:bCs/>
                <w:sz w:val="20"/>
                <w:szCs w:val="20"/>
                <w:lang w:val="es-ES"/>
              </w:rPr>
            </w:pPr>
            <w:r>
              <w:rPr>
                <w:rFonts w:ascii="Cambria" w:hAnsi="Cambria"/>
                <w:bCs/>
                <w:sz w:val="20"/>
                <w:szCs w:val="20"/>
                <w:lang w:val="es-ES"/>
              </w:rPr>
              <w:t xml:space="preserve">1 de marzo </w:t>
            </w:r>
            <w:r w:rsidR="00AD7A43">
              <w:rPr>
                <w:rFonts w:ascii="Cambria" w:hAnsi="Cambria"/>
                <w:bCs/>
                <w:sz w:val="20"/>
                <w:szCs w:val="20"/>
                <w:lang w:val="es-ES"/>
              </w:rPr>
              <w:t xml:space="preserve">y 20 de julio </w:t>
            </w:r>
            <w:r>
              <w:rPr>
                <w:rFonts w:ascii="Cambria" w:hAnsi="Cambria"/>
                <w:bCs/>
                <w:sz w:val="20"/>
                <w:szCs w:val="20"/>
                <w:lang w:val="es-ES"/>
              </w:rPr>
              <w:t>de 2019</w:t>
            </w:r>
            <w:r w:rsidR="00AD7A43">
              <w:rPr>
                <w:rFonts w:ascii="Cambria" w:hAnsi="Cambria"/>
                <w:bCs/>
                <w:sz w:val="20"/>
                <w:szCs w:val="20"/>
                <w:lang w:val="es-ES"/>
              </w:rPr>
              <w:t xml:space="preserve"> y 5 de marzo de 2020</w:t>
            </w:r>
          </w:p>
        </w:tc>
      </w:tr>
      <w:tr w:rsidR="00615074" w:rsidRPr="00942FB0" w14:paraId="2F53F595" w14:textId="77777777" w:rsidTr="0074464F">
        <w:tc>
          <w:tcPr>
            <w:tcW w:w="3600" w:type="dxa"/>
            <w:tcBorders>
              <w:top w:val="single" w:sz="6" w:space="0" w:color="auto"/>
              <w:bottom w:val="single" w:sz="6" w:space="0" w:color="auto"/>
            </w:tcBorders>
            <w:shd w:val="clear" w:color="auto" w:fill="386294"/>
            <w:vAlign w:val="center"/>
          </w:tcPr>
          <w:p w14:paraId="1E2F3670" w14:textId="147BFD02" w:rsidR="00615074" w:rsidRDefault="00615074" w:rsidP="0074464F">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Pr="003239B8">
              <w:rPr>
                <w:rFonts w:ascii="Cambria" w:hAnsi="Cambria"/>
                <w:b/>
                <w:bCs/>
                <w:color w:val="FFFFFF" w:themeColor="background1"/>
                <w:sz w:val="20"/>
                <w:szCs w:val="20"/>
                <w:lang w:val="es-ES"/>
              </w:rPr>
              <w:t>dvertencia sobre posible archivo:</w:t>
            </w:r>
          </w:p>
        </w:tc>
        <w:tc>
          <w:tcPr>
            <w:tcW w:w="5760" w:type="dxa"/>
            <w:vAlign w:val="center"/>
          </w:tcPr>
          <w:p w14:paraId="144828DA" w14:textId="4C6967C1" w:rsidR="00615074" w:rsidRDefault="00615074" w:rsidP="0074464F">
            <w:pPr>
              <w:jc w:val="both"/>
              <w:rPr>
                <w:rFonts w:ascii="Cambria" w:hAnsi="Cambria"/>
                <w:bCs/>
                <w:sz w:val="20"/>
                <w:szCs w:val="20"/>
                <w:lang w:val="es-ES"/>
              </w:rPr>
            </w:pPr>
            <w:r>
              <w:rPr>
                <w:rFonts w:ascii="Cambria" w:hAnsi="Cambria"/>
                <w:bCs/>
                <w:sz w:val="20"/>
                <w:szCs w:val="20"/>
                <w:lang w:val="es-ES"/>
              </w:rPr>
              <w:t>16 de noviembre de 2018</w:t>
            </w:r>
          </w:p>
        </w:tc>
      </w:tr>
      <w:tr w:rsidR="00615074" w:rsidRPr="00942FB0" w14:paraId="0311624F" w14:textId="77777777" w:rsidTr="0074464F">
        <w:tc>
          <w:tcPr>
            <w:tcW w:w="3600" w:type="dxa"/>
            <w:tcBorders>
              <w:top w:val="single" w:sz="6" w:space="0" w:color="auto"/>
              <w:bottom w:val="single" w:sz="6" w:space="0" w:color="auto"/>
            </w:tcBorders>
            <w:shd w:val="clear" w:color="auto" w:fill="386294"/>
            <w:vAlign w:val="center"/>
          </w:tcPr>
          <w:p w14:paraId="7F763C44" w14:textId="696107C8" w:rsidR="00615074" w:rsidRDefault="00615074" w:rsidP="0074464F">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p>
        </w:tc>
        <w:tc>
          <w:tcPr>
            <w:tcW w:w="5760" w:type="dxa"/>
            <w:vAlign w:val="center"/>
          </w:tcPr>
          <w:p w14:paraId="75F2EA3F" w14:textId="057D5681" w:rsidR="00615074" w:rsidRDefault="00615074" w:rsidP="0074464F">
            <w:pPr>
              <w:jc w:val="both"/>
              <w:rPr>
                <w:rFonts w:ascii="Cambria" w:hAnsi="Cambria"/>
                <w:bCs/>
                <w:sz w:val="20"/>
                <w:szCs w:val="20"/>
                <w:lang w:val="es-ES"/>
              </w:rPr>
            </w:pPr>
            <w:r>
              <w:rPr>
                <w:rFonts w:ascii="Cambria" w:hAnsi="Cambria"/>
                <w:bCs/>
                <w:sz w:val="20"/>
                <w:szCs w:val="20"/>
                <w:lang w:val="es-ES"/>
              </w:rPr>
              <w:t>29 de noviembre de 2018</w:t>
            </w:r>
          </w:p>
        </w:tc>
      </w:tr>
    </w:tbl>
    <w:p w14:paraId="738616C2" w14:textId="77777777" w:rsidR="000673D0" w:rsidRPr="000673D0" w:rsidRDefault="000673D0" w:rsidP="000673D0">
      <w:pPr>
        <w:spacing w:before="240"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t xml:space="preserve">III. </w:t>
      </w:r>
      <w:r w:rsidRPr="000673D0">
        <w:rPr>
          <w:rFonts w:asciiTheme="majorHAnsi" w:hAnsiTheme="majorHAnsi"/>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0673D0" w:rsidRPr="000673D0" w14:paraId="3225DD29" w14:textId="77777777" w:rsidTr="0074464F">
        <w:trPr>
          <w:cantSplit/>
        </w:trPr>
        <w:tc>
          <w:tcPr>
            <w:tcW w:w="3600" w:type="dxa"/>
            <w:tcBorders>
              <w:top w:val="single" w:sz="4" w:space="0" w:color="auto"/>
              <w:bottom w:val="single" w:sz="6" w:space="0" w:color="auto"/>
            </w:tcBorders>
            <w:shd w:val="clear" w:color="auto" w:fill="386294"/>
            <w:vAlign w:val="center"/>
          </w:tcPr>
          <w:p w14:paraId="7A2417B8" w14:textId="77777777" w:rsidR="000673D0" w:rsidRPr="000673D0" w:rsidRDefault="000673D0" w:rsidP="0074464F">
            <w:pPr>
              <w:jc w:val="center"/>
              <w:rPr>
                <w:rFonts w:ascii="Cambria" w:hAnsi="Cambria"/>
                <w:b/>
                <w:bCs/>
                <w:i/>
                <w:color w:val="FFFFFF" w:themeColor="background1"/>
                <w:sz w:val="20"/>
                <w:szCs w:val="20"/>
              </w:rPr>
            </w:pPr>
            <w:r w:rsidRPr="000673D0">
              <w:rPr>
                <w:rFonts w:ascii="Cambria" w:hAnsi="Cambria"/>
                <w:b/>
                <w:bCs/>
                <w:color w:val="FFFFFF" w:themeColor="background1"/>
                <w:sz w:val="20"/>
                <w:szCs w:val="20"/>
              </w:rPr>
              <w:t>Competencia</w:t>
            </w:r>
            <w:r w:rsidRPr="000673D0">
              <w:rPr>
                <w:rFonts w:ascii="Cambria" w:hAnsi="Cambria"/>
                <w:b/>
                <w:bCs/>
                <w:i/>
                <w:color w:val="FFFFFF" w:themeColor="background1"/>
                <w:sz w:val="20"/>
                <w:szCs w:val="20"/>
              </w:rPr>
              <w:t xml:space="preserve"> Ratione personae:</w:t>
            </w:r>
          </w:p>
        </w:tc>
        <w:tc>
          <w:tcPr>
            <w:tcW w:w="5760" w:type="dxa"/>
            <w:vAlign w:val="center"/>
          </w:tcPr>
          <w:p w14:paraId="55AEE8CD" w14:textId="77777777" w:rsidR="000673D0" w:rsidRPr="000673D0" w:rsidRDefault="000673D0" w:rsidP="0074464F">
            <w:pPr>
              <w:rPr>
                <w:rFonts w:ascii="Cambria" w:hAnsi="Cambria"/>
                <w:bCs/>
                <w:sz w:val="20"/>
                <w:szCs w:val="20"/>
              </w:rPr>
            </w:pPr>
            <w:r w:rsidRPr="000673D0">
              <w:rPr>
                <w:rFonts w:ascii="Cambria" w:hAnsi="Cambria"/>
                <w:bCs/>
                <w:sz w:val="20"/>
                <w:szCs w:val="20"/>
              </w:rPr>
              <w:t>Sí</w:t>
            </w:r>
          </w:p>
        </w:tc>
      </w:tr>
      <w:tr w:rsidR="000673D0" w:rsidRPr="000673D0" w14:paraId="10BCE6F2" w14:textId="77777777" w:rsidTr="0074464F">
        <w:trPr>
          <w:cantSplit/>
        </w:trPr>
        <w:tc>
          <w:tcPr>
            <w:tcW w:w="3600" w:type="dxa"/>
            <w:tcBorders>
              <w:top w:val="single" w:sz="6" w:space="0" w:color="auto"/>
              <w:bottom w:val="single" w:sz="6" w:space="0" w:color="auto"/>
            </w:tcBorders>
            <w:shd w:val="clear" w:color="auto" w:fill="386294"/>
            <w:vAlign w:val="center"/>
          </w:tcPr>
          <w:p w14:paraId="71A23BD1" w14:textId="77777777" w:rsidR="000673D0" w:rsidRPr="000673D0" w:rsidRDefault="000673D0" w:rsidP="0074464F">
            <w:pPr>
              <w:jc w:val="center"/>
              <w:rPr>
                <w:rFonts w:ascii="Cambria" w:hAnsi="Cambria"/>
                <w:b/>
                <w:bCs/>
                <w:color w:val="FFFFFF" w:themeColor="background1"/>
                <w:sz w:val="20"/>
                <w:szCs w:val="20"/>
              </w:rPr>
            </w:pPr>
            <w:r w:rsidRPr="000673D0">
              <w:rPr>
                <w:rFonts w:ascii="Cambria" w:hAnsi="Cambria"/>
                <w:b/>
                <w:bCs/>
                <w:color w:val="FFFFFF" w:themeColor="background1"/>
                <w:sz w:val="20"/>
                <w:szCs w:val="20"/>
              </w:rPr>
              <w:t>Competencia</w:t>
            </w:r>
            <w:r w:rsidRPr="000673D0">
              <w:rPr>
                <w:rFonts w:ascii="Cambria" w:hAnsi="Cambria"/>
                <w:b/>
                <w:bCs/>
                <w:i/>
                <w:color w:val="FFFFFF" w:themeColor="background1"/>
                <w:sz w:val="20"/>
                <w:szCs w:val="20"/>
              </w:rPr>
              <w:t xml:space="preserve"> Ratione loci</w:t>
            </w:r>
            <w:r w:rsidRPr="000673D0">
              <w:rPr>
                <w:rFonts w:ascii="Cambria" w:hAnsi="Cambria"/>
                <w:b/>
                <w:bCs/>
                <w:color w:val="FFFFFF" w:themeColor="background1"/>
                <w:sz w:val="20"/>
                <w:szCs w:val="20"/>
              </w:rPr>
              <w:t>:</w:t>
            </w:r>
          </w:p>
        </w:tc>
        <w:tc>
          <w:tcPr>
            <w:tcW w:w="5760" w:type="dxa"/>
            <w:vAlign w:val="center"/>
          </w:tcPr>
          <w:p w14:paraId="77DDBD87" w14:textId="77777777" w:rsidR="000673D0" w:rsidRPr="000673D0" w:rsidRDefault="000673D0" w:rsidP="0074464F">
            <w:pPr>
              <w:rPr>
                <w:rFonts w:ascii="Cambria" w:hAnsi="Cambria"/>
                <w:bCs/>
                <w:sz w:val="20"/>
                <w:szCs w:val="20"/>
              </w:rPr>
            </w:pPr>
            <w:r w:rsidRPr="000673D0">
              <w:rPr>
                <w:rFonts w:ascii="Cambria" w:hAnsi="Cambria"/>
                <w:bCs/>
                <w:sz w:val="20"/>
                <w:szCs w:val="20"/>
              </w:rPr>
              <w:t>Sí</w:t>
            </w:r>
          </w:p>
        </w:tc>
      </w:tr>
      <w:tr w:rsidR="000673D0" w:rsidRPr="000673D0" w14:paraId="351D9A06" w14:textId="77777777" w:rsidTr="0074464F">
        <w:trPr>
          <w:cantSplit/>
        </w:trPr>
        <w:tc>
          <w:tcPr>
            <w:tcW w:w="3600" w:type="dxa"/>
            <w:tcBorders>
              <w:top w:val="single" w:sz="6" w:space="0" w:color="auto"/>
              <w:bottom w:val="single" w:sz="6" w:space="0" w:color="auto"/>
            </w:tcBorders>
            <w:shd w:val="clear" w:color="auto" w:fill="386294"/>
            <w:vAlign w:val="center"/>
          </w:tcPr>
          <w:p w14:paraId="39F491FA" w14:textId="77777777" w:rsidR="000673D0" w:rsidRPr="000673D0" w:rsidRDefault="000673D0" w:rsidP="0074464F">
            <w:pPr>
              <w:jc w:val="center"/>
              <w:rPr>
                <w:rFonts w:ascii="Cambria" w:hAnsi="Cambria"/>
                <w:b/>
                <w:bCs/>
                <w:color w:val="FFFFFF" w:themeColor="background1"/>
                <w:sz w:val="20"/>
                <w:szCs w:val="20"/>
              </w:rPr>
            </w:pPr>
            <w:r w:rsidRPr="000673D0">
              <w:rPr>
                <w:rFonts w:ascii="Cambria" w:hAnsi="Cambria"/>
                <w:b/>
                <w:bCs/>
                <w:color w:val="FFFFFF" w:themeColor="background1"/>
                <w:sz w:val="20"/>
                <w:szCs w:val="20"/>
              </w:rPr>
              <w:t>Competencia</w:t>
            </w:r>
            <w:r w:rsidRPr="000673D0">
              <w:rPr>
                <w:rFonts w:ascii="Cambria" w:hAnsi="Cambria"/>
                <w:b/>
                <w:bCs/>
                <w:i/>
                <w:color w:val="FFFFFF" w:themeColor="background1"/>
                <w:sz w:val="20"/>
                <w:szCs w:val="20"/>
              </w:rPr>
              <w:t xml:space="preserve"> Ratione temporis</w:t>
            </w:r>
            <w:r w:rsidRPr="000673D0">
              <w:rPr>
                <w:rFonts w:ascii="Cambria" w:hAnsi="Cambria"/>
                <w:b/>
                <w:bCs/>
                <w:color w:val="FFFFFF" w:themeColor="background1"/>
                <w:sz w:val="20"/>
                <w:szCs w:val="20"/>
              </w:rPr>
              <w:t>:</w:t>
            </w:r>
          </w:p>
        </w:tc>
        <w:tc>
          <w:tcPr>
            <w:tcW w:w="5760" w:type="dxa"/>
            <w:vAlign w:val="center"/>
          </w:tcPr>
          <w:p w14:paraId="76910945" w14:textId="77777777" w:rsidR="000673D0" w:rsidRPr="000673D0" w:rsidRDefault="000673D0" w:rsidP="0074464F">
            <w:pPr>
              <w:rPr>
                <w:rFonts w:ascii="Cambria" w:hAnsi="Cambria"/>
                <w:bCs/>
                <w:sz w:val="20"/>
                <w:szCs w:val="20"/>
              </w:rPr>
            </w:pPr>
            <w:r w:rsidRPr="000673D0">
              <w:rPr>
                <w:rFonts w:ascii="Cambria" w:hAnsi="Cambria"/>
                <w:bCs/>
                <w:sz w:val="20"/>
                <w:szCs w:val="20"/>
              </w:rPr>
              <w:t>Sí</w:t>
            </w:r>
          </w:p>
        </w:tc>
      </w:tr>
      <w:tr w:rsidR="000673D0" w:rsidRPr="003B2A3A" w14:paraId="160B34C2" w14:textId="77777777" w:rsidTr="0074464F">
        <w:trPr>
          <w:cantSplit/>
        </w:trPr>
        <w:tc>
          <w:tcPr>
            <w:tcW w:w="3600" w:type="dxa"/>
            <w:tcBorders>
              <w:top w:val="single" w:sz="6" w:space="0" w:color="auto"/>
              <w:bottom w:val="single" w:sz="6" w:space="0" w:color="auto"/>
            </w:tcBorders>
            <w:shd w:val="clear" w:color="auto" w:fill="386294"/>
            <w:vAlign w:val="center"/>
          </w:tcPr>
          <w:p w14:paraId="4BAA98B1" w14:textId="77777777" w:rsidR="000673D0" w:rsidRPr="000673D0" w:rsidRDefault="000673D0" w:rsidP="0074464F">
            <w:pPr>
              <w:jc w:val="center"/>
              <w:rPr>
                <w:rFonts w:ascii="Cambria" w:hAnsi="Cambria"/>
                <w:b/>
                <w:bCs/>
                <w:color w:val="FFFFFF" w:themeColor="background1"/>
                <w:sz w:val="20"/>
                <w:szCs w:val="20"/>
              </w:rPr>
            </w:pPr>
            <w:r w:rsidRPr="000673D0">
              <w:rPr>
                <w:rFonts w:ascii="Cambria" w:hAnsi="Cambria"/>
                <w:b/>
                <w:bCs/>
                <w:color w:val="FFFFFF" w:themeColor="background1"/>
                <w:sz w:val="20"/>
                <w:szCs w:val="20"/>
              </w:rPr>
              <w:t>Competencia</w:t>
            </w:r>
            <w:r w:rsidRPr="000673D0">
              <w:rPr>
                <w:rFonts w:ascii="Cambria" w:hAnsi="Cambria"/>
                <w:b/>
                <w:bCs/>
                <w:i/>
                <w:color w:val="FFFFFF" w:themeColor="background1"/>
                <w:sz w:val="20"/>
                <w:szCs w:val="20"/>
              </w:rPr>
              <w:t xml:space="preserve"> Ratione materiae</w:t>
            </w:r>
            <w:r w:rsidRPr="000673D0">
              <w:rPr>
                <w:rFonts w:ascii="Cambria" w:hAnsi="Cambria"/>
                <w:b/>
                <w:bCs/>
                <w:color w:val="FFFFFF" w:themeColor="background1"/>
                <w:sz w:val="20"/>
                <w:szCs w:val="20"/>
              </w:rPr>
              <w:t>:</w:t>
            </w:r>
          </w:p>
        </w:tc>
        <w:tc>
          <w:tcPr>
            <w:tcW w:w="5760" w:type="dxa"/>
            <w:vAlign w:val="center"/>
          </w:tcPr>
          <w:p w14:paraId="6AB0A733" w14:textId="5F2E0DAD" w:rsidR="000673D0" w:rsidRPr="000673D0" w:rsidRDefault="006E0D53" w:rsidP="00AD7A43">
            <w:pPr>
              <w:jc w:val="both"/>
              <w:rPr>
                <w:rFonts w:ascii="Cambria" w:hAnsi="Cambria"/>
                <w:bCs/>
                <w:sz w:val="20"/>
                <w:szCs w:val="20"/>
                <w:lang w:val="es-ES"/>
              </w:rPr>
            </w:pPr>
            <w:r w:rsidRPr="00F9093A">
              <w:rPr>
                <w:rFonts w:asciiTheme="majorHAnsi" w:hAnsiTheme="majorHAnsi"/>
                <w:bCs/>
                <w:sz w:val="19"/>
                <w:szCs w:val="19"/>
                <w:lang w:val="es-ES"/>
              </w:rPr>
              <w:t>Sí, Convención Americana (depósito del instrumento realizado el 28 de julio de 1978)</w:t>
            </w:r>
            <w:r w:rsidR="00550772">
              <w:rPr>
                <w:rFonts w:asciiTheme="majorHAnsi" w:hAnsiTheme="majorHAnsi"/>
                <w:bCs/>
                <w:sz w:val="19"/>
                <w:szCs w:val="19"/>
                <w:lang w:val="es-ES"/>
              </w:rPr>
              <w:t xml:space="preserve"> </w:t>
            </w:r>
          </w:p>
        </w:tc>
      </w:tr>
    </w:tbl>
    <w:p w14:paraId="46F3B92A" w14:textId="44E990E7" w:rsidR="000673D0" w:rsidRPr="000673D0" w:rsidRDefault="000673D0" w:rsidP="000673D0">
      <w:pPr>
        <w:spacing w:before="240"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t xml:space="preserve">IV. </w:t>
      </w:r>
      <w:r w:rsidRPr="000673D0">
        <w:rPr>
          <w:rFonts w:asciiTheme="majorHAnsi" w:hAnsiTheme="majorHAnsi"/>
          <w:b/>
          <w:bCs/>
          <w:sz w:val="20"/>
          <w:szCs w:val="20"/>
          <w:lang w:val="es-ES"/>
        </w:rPr>
        <w:tab/>
        <w:t>DUPLICACIÓN</w:t>
      </w:r>
      <w:r w:rsidRPr="000673D0">
        <w:rPr>
          <w:rFonts w:asciiTheme="majorHAnsi" w:hAnsiTheme="majorHAnsi"/>
          <w:b/>
          <w:bCs/>
          <w:color w:val="FFFFFF" w:themeColor="background1"/>
          <w:sz w:val="20"/>
          <w:szCs w:val="20"/>
          <w:lang w:val="es-ES"/>
        </w:rPr>
        <w:t xml:space="preserve"> </w:t>
      </w:r>
      <w:r w:rsidRPr="000673D0">
        <w:rPr>
          <w:rFonts w:asciiTheme="majorHAnsi" w:hAnsiTheme="majorHAnsi"/>
          <w:b/>
          <w:bCs/>
          <w:sz w:val="20"/>
          <w:szCs w:val="20"/>
          <w:lang w:val="es-ES"/>
        </w:rPr>
        <w:t>DE PROCEDIMIENTOS Y COSA JUZGADA</w:t>
      </w:r>
      <w:r w:rsidRPr="000673D0">
        <w:rPr>
          <w:rFonts w:asciiTheme="majorHAnsi" w:hAnsiTheme="majorHAnsi"/>
          <w:b/>
          <w:bCs/>
          <w:i/>
          <w:sz w:val="20"/>
          <w:szCs w:val="20"/>
          <w:lang w:val="es-ES"/>
        </w:rPr>
        <w:t xml:space="preserve"> </w:t>
      </w:r>
      <w:r w:rsidR="00CB7301" w:rsidRPr="000673D0">
        <w:rPr>
          <w:rFonts w:asciiTheme="majorHAnsi" w:hAnsiTheme="majorHAnsi"/>
          <w:b/>
          <w:bCs/>
          <w:sz w:val="20"/>
          <w:szCs w:val="20"/>
          <w:lang w:val="es-ES"/>
        </w:rPr>
        <w:t>INTERNACIONAL, CARACTERIZACIÓN</w:t>
      </w:r>
      <w:r w:rsidRPr="000673D0">
        <w:rPr>
          <w:rFonts w:asciiTheme="majorHAnsi" w:hAnsiTheme="majorHAnsi"/>
          <w:b/>
          <w:bCs/>
          <w:sz w:val="20"/>
          <w:szCs w:val="20"/>
          <w:lang w:val="es-ES"/>
        </w:rPr>
        <w:t xml:space="preserve">, </w:t>
      </w:r>
      <w:r w:rsidRPr="000673D0">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0673D0" w:rsidRPr="000673D0" w14:paraId="3755C687" w14:textId="77777777" w:rsidTr="0074464F">
        <w:trPr>
          <w:cantSplit/>
        </w:trPr>
        <w:tc>
          <w:tcPr>
            <w:tcW w:w="3600" w:type="dxa"/>
            <w:tcBorders>
              <w:top w:val="single" w:sz="4" w:space="0" w:color="auto"/>
              <w:bottom w:val="single" w:sz="6" w:space="0" w:color="auto"/>
            </w:tcBorders>
            <w:shd w:val="clear" w:color="auto" w:fill="386294"/>
            <w:vAlign w:val="center"/>
          </w:tcPr>
          <w:p w14:paraId="0F134D10" w14:textId="77777777" w:rsidR="000673D0" w:rsidRPr="000673D0" w:rsidRDefault="000673D0" w:rsidP="0074464F">
            <w:pPr>
              <w:jc w:val="center"/>
              <w:rPr>
                <w:rFonts w:ascii="Cambria" w:hAnsi="Cambria"/>
                <w:b/>
                <w:bCs/>
                <w:color w:val="FFFFFF" w:themeColor="background1"/>
                <w:sz w:val="20"/>
                <w:szCs w:val="20"/>
                <w:lang w:val="es-ES"/>
              </w:rPr>
            </w:pPr>
            <w:r w:rsidRPr="000673D0">
              <w:rPr>
                <w:rFonts w:ascii="Cambria" w:hAnsi="Cambria"/>
                <w:b/>
                <w:bCs/>
                <w:color w:val="FFFFFF" w:themeColor="background1"/>
                <w:sz w:val="20"/>
                <w:szCs w:val="20"/>
                <w:lang w:val="es-ES"/>
              </w:rPr>
              <w:t>Duplicación de procedimientos y cosa juzgada internacional:</w:t>
            </w:r>
          </w:p>
        </w:tc>
        <w:tc>
          <w:tcPr>
            <w:tcW w:w="5760" w:type="dxa"/>
            <w:vAlign w:val="center"/>
          </w:tcPr>
          <w:p w14:paraId="72801941" w14:textId="77777777" w:rsidR="000673D0" w:rsidRPr="000673D0" w:rsidRDefault="000673D0" w:rsidP="0074464F">
            <w:pPr>
              <w:jc w:val="both"/>
              <w:rPr>
                <w:rFonts w:ascii="Cambria" w:hAnsi="Cambria"/>
                <w:bCs/>
                <w:sz w:val="20"/>
                <w:szCs w:val="20"/>
                <w:lang w:val="es-ES"/>
              </w:rPr>
            </w:pPr>
            <w:r w:rsidRPr="000673D0">
              <w:rPr>
                <w:rFonts w:ascii="Cambria" w:hAnsi="Cambria"/>
                <w:bCs/>
                <w:sz w:val="20"/>
                <w:szCs w:val="20"/>
                <w:lang w:val="es-ES"/>
              </w:rPr>
              <w:t>No</w:t>
            </w:r>
          </w:p>
        </w:tc>
      </w:tr>
      <w:tr w:rsidR="000673D0" w:rsidRPr="003B2A3A" w14:paraId="5733AA78" w14:textId="77777777" w:rsidTr="0074464F">
        <w:trPr>
          <w:cantSplit/>
        </w:trPr>
        <w:tc>
          <w:tcPr>
            <w:tcW w:w="3600" w:type="dxa"/>
            <w:tcBorders>
              <w:top w:val="single" w:sz="4" w:space="0" w:color="auto"/>
              <w:bottom w:val="single" w:sz="6" w:space="0" w:color="auto"/>
            </w:tcBorders>
            <w:shd w:val="clear" w:color="auto" w:fill="386294"/>
            <w:vAlign w:val="center"/>
          </w:tcPr>
          <w:p w14:paraId="70AE02E1" w14:textId="77777777" w:rsidR="000673D0" w:rsidRPr="000673D0" w:rsidRDefault="000673D0" w:rsidP="0074464F">
            <w:pPr>
              <w:jc w:val="center"/>
              <w:rPr>
                <w:rFonts w:ascii="Cambria" w:hAnsi="Cambria"/>
                <w:b/>
                <w:bCs/>
                <w:i/>
                <w:color w:val="FFFFFF" w:themeColor="background1"/>
                <w:sz w:val="20"/>
                <w:szCs w:val="20"/>
              </w:rPr>
            </w:pPr>
            <w:r w:rsidRPr="000673D0">
              <w:rPr>
                <w:rFonts w:ascii="Cambria" w:hAnsi="Cambria"/>
                <w:b/>
                <w:bCs/>
                <w:color w:val="FFFFFF" w:themeColor="background1"/>
                <w:sz w:val="20"/>
                <w:szCs w:val="20"/>
              </w:rPr>
              <w:t>Derechos declarados admisibles</w:t>
            </w:r>
            <w:r w:rsidRPr="000673D0">
              <w:rPr>
                <w:rFonts w:ascii="Cambria" w:hAnsi="Cambria"/>
                <w:b/>
                <w:bCs/>
                <w:i/>
                <w:color w:val="FFFFFF" w:themeColor="background1"/>
                <w:sz w:val="20"/>
                <w:szCs w:val="20"/>
              </w:rPr>
              <w:t>:</w:t>
            </w:r>
          </w:p>
        </w:tc>
        <w:tc>
          <w:tcPr>
            <w:tcW w:w="5760" w:type="dxa"/>
            <w:vAlign w:val="center"/>
          </w:tcPr>
          <w:p w14:paraId="5EB169C6" w14:textId="69239173" w:rsidR="000673D0" w:rsidRPr="0027522A" w:rsidRDefault="00BA54A9" w:rsidP="0091292D">
            <w:pPr>
              <w:jc w:val="both"/>
              <w:rPr>
                <w:rFonts w:ascii="Cambria" w:hAnsi="Cambria"/>
                <w:bCs/>
                <w:sz w:val="20"/>
                <w:szCs w:val="20"/>
                <w:lang w:val="es-PA"/>
              </w:rPr>
            </w:pPr>
            <w:r>
              <w:rPr>
                <w:rFonts w:ascii="Cambria" w:hAnsi="Cambria"/>
                <w:bCs/>
                <w:sz w:val="20"/>
                <w:szCs w:val="20"/>
                <w:lang w:val="es-PA"/>
              </w:rPr>
              <w:t xml:space="preserve">Artículos </w:t>
            </w:r>
            <w:r w:rsidR="00AD7A43">
              <w:rPr>
                <w:rFonts w:ascii="Cambria" w:hAnsi="Cambria"/>
                <w:bCs/>
                <w:sz w:val="20"/>
                <w:szCs w:val="20"/>
                <w:lang w:val="es-PA"/>
              </w:rPr>
              <w:t>8 (garantías judiciales) y 25 (protección judicial) de la Convención Americana en relación con sus artículos 1.1. (obligación de respetar los derechos)</w:t>
            </w:r>
            <w:r w:rsidR="00AB0468">
              <w:rPr>
                <w:rFonts w:ascii="Cambria" w:hAnsi="Cambria"/>
                <w:bCs/>
                <w:sz w:val="20"/>
                <w:szCs w:val="20"/>
                <w:lang w:val="es-PA"/>
              </w:rPr>
              <w:t>, 24 (igualdad ante la ley) y 26 (derechos económicos, sociales y culturales)</w:t>
            </w:r>
          </w:p>
        </w:tc>
      </w:tr>
      <w:tr w:rsidR="000673D0" w:rsidRPr="00942FB0" w14:paraId="56C738B6" w14:textId="77777777" w:rsidTr="0074464F">
        <w:trPr>
          <w:cantSplit/>
        </w:trPr>
        <w:tc>
          <w:tcPr>
            <w:tcW w:w="3600" w:type="dxa"/>
            <w:tcBorders>
              <w:top w:val="single" w:sz="6" w:space="0" w:color="auto"/>
              <w:bottom w:val="single" w:sz="6" w:space="0" w:color="auto"/>
            </w:tcBorders>
            <w:shd w:val="clear" w:color="auto" w:fill="386294"/>
            <w:vAlign w:val="center"/>
          </w:tcPr>
          <w:p w14:paraId="741F99C1" w14:textId="77777777" w:rsidR="000673D0" w:rsidRPr="000673D0" w:rsidRDefault="000673D0" w:rsidP="0074464F">
            <w:pPr>
              <w:jc w:val="center"/>
              <w:rPr>
                <w:rFonts w:ascii="Cambria" w:hAnsi="Cambria"/>
                <w:b/>
                <w:bCs/>
                <w:color w:val="FFFFFF" w:themeColor="background1"/>
                <w:sz w:val="20"/>
                <w:szCs w:val="20"/>
                <w:lang w:val="es-ES"/>
              </w:rPr>
            </w:pPr>
            <w:r w:rsidRPr="000673D0">
              <w:rPr>
                <w:rFonts w:ascii="Cambria" w:hAnsi="Cambria"/>
                <w:b/>
                <w:bCs/>
                <w:color w:val="FFFFFF" w:themeColor="background1"/>
                <w:sz w:val="20"/>
                <w:szCs w:val="20"/>
                <w:lang w:val="es-ES"/>
              </w:rPr>
              <w:t>Agotamiento de recursos internos o procedencia de una excepción:</w:t>
            </w:r>
          </w:p>
        </w:tc>
        <w:tc>
          <w:tcPr>
            <w:tcW w:w="5760" w:type="dxa"/>
            <w:vAlign w:val="center"/>
          </w:tcPr>
          <w:p w14:paraId="7B5A6AFC" w14:textId="2FB65924" w:rsidR="000673D0" w:rsidRPr="000673D0" w:rsidRDefault="0027522A" w:rsidP="00AB0468">
            <w:pPr>
              <w:rPr>
                <w:rFonts w:ascii="Cambria" w:hAnsi="Cambria"/>
                <w:bCs/>
                <w:sz w:val="20"/>
                <w:szCs w:val="20"/>
                <w:lang w:val="es-ES"/>
              </w:rPr>
            </w:pPr>
            <w:r>
              <w:rPr>
                <w:rFonts w:ascii="Cambria" w:hAnsi="Cambria"/>
                <w:bCs/>
                <w:sz w:val="20"/>
                <w:szCs w:val="20"/>
                <w:lang w:val="es-ES"/>
              </w:rPr>
              <w:t>Sí</w:t>
            </w:r>
            <w:r w:rsidR="00AB0468">
              <w:rPr>
                <w:rFonts w:ascii="Cambria" w:hAnsi="Cambria"/>
                <w:bCs/>
                <w:sz w:val="20"/>
                <w:szCs w:val="20"/>
                <w:lang w:val="es-ES"/>
              </w:rPr>
              <w:t>, 6 de noviembre de 2008</w:t>
            </w:r>
          </w:p>
        </w:tc>
      </w:tr>
      <w:tr w:rsidR="000673D0" w:rsidRPr="00942FB0" w14:paraId="64377EF5" w14:textId="77777777" w:rsidTr="0074464F">
        <w:trPr>
          <w:cantSplit/>
        </w:trPr>
        <w:tc>
          <w:tcPr>
            <w:tcW w:w="3600" w:type="dxa"/>
            <w:tcBorders>
              <w:top w:val="single" w:sz="6" w:space="0" w:color="auto"/>
              <w:bottom w:val="single" w:sz="6" w:space="0" w:color="auto"/>
            </w:tcBorders>
            <w:shd w:val="clear" w:color="auto" w:fill="386294"/>
            <w:vAlign w:val="center"/>
          </w:tcPr>
          <w:p w14:paraId="33D77F00" w14:textId="77777777" w:rsidR="000673D0" w:rsidRPr="000673D0" w:rsidRDefault="000673D0" w:rsidP="0074464F">
            <w:pPr>
              <w:jc w:val="center"/>
              <w:rPr>
                <w:rFonts w:ascii="Cambria" w:hAnsi="Cambria"/>
                <w:b/>
                <w:bCs/>
                <w:color w:val="FFFFFF" w:themeColor="background1"/>
                <w:sz w:val="20"/>
                <w:szCs w:val="20"/>
              </w:rPr>
            </w:pPr>
            <w:r w:rsidRPr="0027522A">
              <w:rPr>
                <w:rFonts w:ascii="Cambria" w:hAnsi="Cambria"/>
                <w:b/>
                <w:bCs/>
                <w:color w:val="FFFFFF" w:themeColor="background1"/>
                <w:sz w:val="20"/>
                <w:szCs w:val="20"/>
                <w:lang w:val="es-PA"/>
              </w:rPr>
              <w:t xml:space="preserve">Presentación </w:t>
            </w:r>
            <w:r w:rsidRPr="000673D0">
              <w:rPr>
                <w:rFonts w:ascii="Cambria" w:hAnsi="Cambria"/>
                <w:b/>
                <w:bCs/>
                <w:color w:val="FFFFFF" w:themeColor="background1"/>
                <w:sz w:val="20"/>
                <w:szCs w:val="20"/>
              </w:rPr>
              <w:t>dentro de plazo:</w:t>
            </w:r>
          </w:p>
        </w:tc>
        <w:tc>
          <w:tcPr>
            <w:tcW w:w="5760" w:type="dxa"/>
            <w:vAlign w:val="center"/>
          </w:tcPr>
          <w:p w14:paraId="6D2FF784" w14:textId="3A48C595" w:rsidR="000673D0" w:rsidRPr="006E0D53" w:rsidRDefault="0027522A" w:rsidP="0074464F">
            <w:pPr>
              <w:rPr>
                <w:rFonts w:ascii="Cambria" w:hAnsi="Cambria"/>
                <w:bCs/>
                <w:sz w:val="20"/>
                <w:szCs w:val="20"/>
                <w:lang w:val="es-PA"/>
              </w:rPr>
            </w:pPr>
            <w:r>
              <w:rPr>
                <w:rFonts w:ascii="Cambria" w:hAnsi="Cambria"/>
                <w:bCs/>
                <w:sz w:val="20"/>
                <w:szCs w:val="20"/>
                <w:lang w:val="es-PA"/>
              </w:rPr>
              <w:t>Sí</w:t>
            </w:r>
            <w:r w:rsidR="00AB0468">
              <w:rPr>
                <w:rFonts w:ascii="Cambria" w:hAnsi="Cambria"/>
                <w:bCs/>
                <w:sz w:val="20"/>
                <w:szCs w:val="20"/>
                <w:lang w:val="es-PA"/>
              </w:rPr>
              <w:t>, 3 de mayo de 2009</w:t>
            </w:r>
          </w:p>
        </w:tc>
      </w:tr>
    </w:tbl>
    <w:p w14:paraId="18E6423B" w14:textId="77777777" w:rsidR="003239B8" w:rsidRPr="000673D0" w:rsidRDefault="00223A29" w:rsidP="003239B8">
      <w:pPr>
        <w:spacing w:before="240" w:after="240"/>
        <w:ind w:firstLine="720"/>
        <w:jc w:val="both"/>
        <w:rPr>
          <w:rFonts w:asciiTheme="majorHAnsi" w:hAnsiTheme="majorHAnsi"/>
          <w:b/>
          <w:sz w:val="20"/>
          <w:szCs w:val="20"/>
          <w:lang w:val="es-UY"/>
        </w:rPr>
      </w:pPr>
      <w:r w:rsidRPr="000673D0">
        <w:rPr>
          <w:rFonts w:asciiTheme="majorHAnsi" w:hAnsiTheme="majorHAnsi"/>
          <w:b/>
          <w:sz w:val="20"/>
          <w:szCs w:val="20"/>
          <w:lang w:val="es-UY"/>
        </w:rPr>
        <w:t xml:space="preserve">V. </w:t>
      </w:r>
      <w:r w:rsidRPr="000673D0">
        <w:rPr>
          <w:rFonts w:asciiTheme="majorHAnsi" w:hAnsiTheme="majorHAnsi"/>
          <w:b/>
          <w:sz w:val="20"/>
          <w:szCs w:val="20"/>
          <w:lang w:val="es-UY"/>
        </w:rPr>
        <w:tab/>
      </w:r>
      <w:r w:rsidR="003239B8" w:rsidRPr="000673D0">
        <w:rPr>
          <w:rFonts w:asciiTheme="majorHAnsi" w:hAnsiTheme="majorHAnsi"/>
          <w:b/>
          <w:sz w:val="20"/>
          <w:szCs w:val="20"/>
          <w:lang w:val="es-UY"/>
        </w:rPr>
        <w:t xml:space="preserve">HECHOS ALEGADOS </w:t>
      </w:r>
    </w:p>
    <w:p w14:paraId="0CF4EA47" w14:textId="32E2121B" w:rsidR="00AB0468" w:rsidRPr="00AB0468" w:rsidRDefault="00AB0468" w:rsidP="00890F4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Pr>
          <w:rFonts w:ascii="Cambria" w:hAnsi="Cambria"/>
          <w:sz w:val="20"/>
          <w:szCs w:val="20"/>
          <w:lang w:val="es-UY"/>
        </w:rPr>
        <w:t xml:space="preserve">Julian Huerta Salguero (en adelante “el peticionario”) denuncia presuntas violaciones a sus derechos humanos alegando que padece una enfermedad grave causada por actividades que desarrolló al servicio del Estado, y que las autoridades del Estado se han negado a reconocer su responsabilidad en su condición y a otorgarle beneficios de seguridad social que le permitan hacerle frente a la misma. </w:t>
      </w:r>
    </w:p>
    <w:p w14:paraId="6DDFB979" w14:textId="3EE3518D" w:rsidR="005E5681" w:rsidRDefault="00AB0468" w:rsidP="008947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Pr>
          <w:rFonts w:ascii="Cambria" w:hAnsi="Cambria"/>
          <w:sz w:val="20"/>
          <w:szCs w:val="20"/>
          <w:lang w:val="es-PA"/>
        </w:rPr>
        <w:lastRenderedPageBreak/>
        <w:t xml:space="preserve">El peticionario relata </w:t>
      </w:r>
      <w:r w:rsidR="00F16F12">
        <w:rPr>
          <w:rFonts w:ascii="Cambria" w:hAnsi="Cambria"/>
          <w:sz w:val="20"/>
          <w:szCs w:val="20"/>
          <w:lang w:val="es-PA"/>
        </w:rPr>
        <w:t xml:space="preserve">que desde 1981 hasta 1995 prestó servicios al Estado en calidad de policía laborando en la Unidad de Servicios Especiales y especializándose en la desactivación de explosivos.  Alega que la actividad que desempeñaba lo expuso a riesgos muchos más frecuentes y peligrosos que los afrontados por la generalidad de los integrantes de la policía. Destaca que el 15 de octubre de 1986 fue lanzado por una onda explosiva y que desde ese momento empezó a sufrir problemas visuales y a no poder tolerar la luz del sol ni la artificial. Indica </w:t>
      </w:r>
      <w:r w:rsidR="00006052">
        <w:rPr>
          <w:rFonts w:ascii="Cambria" w:hAnsi="Cambria"/>
          <w:sz w:val="20"/>
          <w:szCs w:val="20"/>
          <w:lang w:val="es-PA"/>
        </w:rPr>
        <w:t>que,</w:t>
      </w:r>
      <w:r w:rsidR="00F16F12">
        <w:rPr>
          <w:rFonts w:ascii="Cambria" w:hAnsi="Cambria"/>
          <w:sz w:val="20"/>
          <w:szCs w:val="20"/>
          <w:lang w:val="es-PA"/>
        </w:rPr>
        <w:t xml:space="preserve"> en marzo de 1995, contando con 14 años de servicio, se le detectó un tumor hipófisis. Explica que este tipo de tumor produce molestias a la vista, cefelea, impotencia y altera</w:t>
      </w:r>
      <w:r w:rsidR="00F16F12">
        <w:rPr>
          <w:rFonts w:ascii="Cambria" w:hAnsi="Cambria"/>
          <w:sz w:val="20"/>
          <w:szCs w:val="20"/>
          <w:lang w:val="es-UY"/>
        </w:rPr>
        <w:t>ción del sueño y que sus efectos se agravan por raz</w:t>
      </w:r>
      <w:r w:rsidR="00787E65">
        <w:rPr>
          <w:rFonts w:ascii="Cambria" w:hAnsi="Cambria"/>
          <w:sz w:val="20"/>
          <w:szCs w:val="20"/>
          <w:lang w:val="es-UY"/>
        </w:rPr>
        <w:t>ón de situaciones de estrés, tales como aquellas que frecuentemente afrontaba por la naturaleza de su trabajo</w:t>
      </w:r>
      <w:r w:rsidR="00F16F12">
        <w:rPr>
          <w:rFonts w:ascii="Cambria" w:hAnsi="Cambria"/>
          <w:sz w:val="20"/>
          <w:szCs w:val="20"/>
          <w:lang w:val="es-UY"/>
        </w:rPr>
        <w:t xml:space="preserve">. Señala que el 5 de abril de 1995 fue intervenido quirúrgicamente en su cráneo </w:t>
      </w:r>
      <w:r w:rsidR="00787E65">
        <w:rPr>
          <w:rFonts w:ascii="Cambria" w:hAnsi="Cambria"/>
          <w:sz w:val="20"/>
          <w:szCs w:val="20"/>
          <w:lang w:val="es-UY"/>
        </w:rPr>
        <w:t xml:space="preserve">y que permaneció bajo licencia hasta agosto de 1997 fue reincorporado al servicio activo en “aptitud B”. Denuncia que, pese a ser clasificado como aptitud B, fue designado a unidades netamente operativas de alto riesgo y stress tales como la de lucha antidroga y la Policía Fiscal, lo que acentuó su enfermedad. </w:t>
      </w:r>
    </w:p>
    <w:p w14:paraId="1CBD868B" w14:textId="2AB876F9" w:rsidR="00787E65" w:rsidRDefault="00787E65" w:rsidP="008947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Pr>
          <w:rFonts w:ascii="Cambria" w:hAnsi="Cambria"/>
          <w:sz w:val="20"/>
          <w:szCs w:val="20"/>
          <w:lang w:val="es-UY"/>
        </w:rPr>
        <w:t>Continúa r</w:t>
      </w:r>
      <w:r w:rsidR="00121A08">
        <w:rPr>
          <w:rFonts w:ascii="Cambria" w:hAnsi="Cambria"/>
          <w:sz w:val="20"/>
          <w:szCs w:val="20"/>
          <w:lang w:val="es-UY"/>
        </w:rPr>
        <w:t>elatando que, en marzo de 2003,</w:t>
      </w:r>
      <w:r>
        <w:rPr>
          <w:rFonts w:ascii="Cambria" w:hAnsi="Cambria"/>
          <w:sz w:val="20"/>
          <w:szCs w:val="20"/>
          <w:lang w:val="es-UY"/>
        </w:rPr>
        <w:t xml:space="preserve"> fue evaluado por una Junta Médica resultando en que fuera evacuado a un hospital en el cual el 12 de mayo de 2003 fue intervenido quirúrgicamente </w:t>
      </w:r>
      <w:r w:rsidR="0096095B">
        <w:rPr>
          <w:rFonts w:ascii="Cambria" w:hAnsi="Cambria"/>
          <w:sz w:val="20"/>
          <w:szCs w:val="20"/>
          <w:lang w:val="es-UY"/>
        </w:rPr>
        <w:t xml:space="preserve">por razón de tumor hipofisiario, siendo luego reoperado el 15 de mayo de 2003. Indica que desde ese momento quedó en un estado vegetativo por razón de un infarto cerebral que sufrió durante la operación. Explica que en octubre de 2004 empezó a recuperarse pero que continúa paralizado del lado derecho de su cuerpo y no puede hablar, por lo que deberá recibir terapia física y rehabilitación de por vida. Señala que el 9 de septiembre de 2004, contando con más de 26 años de servicio prestados a la Policía Nacional del Perú, se emitió resolución directorial pasándolo a la situación de retiro por la causal de incapacidad psicofísica por enfermedad adquirida en “acto ajeno al servicio”. Indica que agotó la vía administrativa impugnando la resolución por ser contraria a las normas que amparan la seguridad social del personal militar y policial del Perú. Sostiene que la resolución directorial </w:t>
      </w:r>
      <w:r w:rsidR="00073538">
        <w:rPr>
          <w:rFonts w:ascii="Cambria" w:hAnsi="Cambria"/>
          <w:sz w:val="20"/>
          <w:szCs w:val="20"/>
          <w:lang w:val="es-UY"/>
        </w:rPr>
        <w:t>vulneró, entre otras normas, el Decreto Supremo No. 073-DE/FAP del 10 de diciembre de 1991 el cual estableció que “se consideran adquiridos como consecuencia del servicio, las afecciones, lesiones o sus secuelas de los procesos adquiridos con anterioridad al ingreso de las Fuerzas Armadas o la Policía Nacional; o las que devengan como resultado de disposición genética, luego de transcurridos 3 años desde el otorgamiento del despacho o título”. Sostiene que esta norma implica que, dado que contaba con 14 años de servicios al momento que se detectó su enfermedad, esta debe considerarse como adquirida como consecuencia del servicio; aún en el supuesto, negado por el, de que su enfermedad tuviera un origen genético o hubiese sido adquirida antes de su ingreso a la policía,</w:t>
      </w:r>
      <w:r w:rsidR="0096095B">
        <w:rPr>
          <w:rFonts w:ascii="Cambria" w:hAnsi="Cambria"/>
          <w:sz w:val="20"/>
          <w:szCs w:val="20"/>
          <w:lang w:val="es-UY"/>
        </w:rPr>
        <w:t xml:space="preserve"> </w:t>
      </w:r>
      <w:r w:rsidR="00073538">
        <w:rPr>
          <w:rFonts w:ascii="Cambria" w:hAnsi="Cambria"/>
          <w:sz w:val="20"/>
          <w:szCs w:val="20"/>
          <w:lang w:val="es-UY"/>
        </w:rPr>
        <w:t>Considera que al no aplicársele esta norma se violó su derecho a la igualdad ante la ley, dado que a otros miembros policiales con menos tiempo de servicio y lesiones menos graves se les ha reconocido que su enfermedades como adquiridas a consecuencia del servicio</w:t>
      </w:r>
      <w:r w:rsidR="0091292D">
        <w:rPr>
          <w:rFonts w:ascii="Cambria" w:hAnsi="Cambria"/>
          <w:sz w:val="20"/>
          <w:szCs w:val="20"/>
          <w:lang w:val="es-UY"/>
        </w:rPr>
        <w:t>, con fundamento en el decreto y sin exigirles prueba adicional</w:t>
      </w:r>
      <w:r w:rsidR="00073538">
        <w:rPr>
          <w:rFonts w:ascii="Cambria" w:hAnsi="Cambria"/>
          <w:sz w:val="20"/>
          <w:szCs w:val="20"/>
          <w:lang w:val="es-UY"/>
        </w:rPr>
        <w:t xml:space="preserve">. </w:t>
      </w:r>
    </w:p>
    <w:p w14:paraId="35234D2B" w14:textId="1AD64381" w:rsidR="003C3BCA" w:rsidRDefault="005D0AE7" w:rsidP="008947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Pr>
          <w:rFonts w:ascii="Cambria" w:hAnsi="Cambria"/>
          <w:sz w:val="20"/>
          <w:szCs w:val="20"/>
          <w:lang w:val="es-UY"/>
        </w:rPr>
        <w:t>Explica que agotada la vía administrativa interpuso un recurso de amparo contra la referida resolución directorial resultando en que el 13 de diciembre de 2005 el 43er Juzgado Civil de Lima emitiera sentencia declarando fundada la acción y ordenando que se emitiera una nueva resolución concediéndole incapacidad por enfermedad adquirida como consecuencia del servici</w:t>
      </w:r>
      <w:r w:rsidR="00B730AF">
        <w:rPr>
          <w:rFonts w:ascii="Cambria" w:hAnsi="Cambria"/>
          <w:sz w:val="20"/>
          <w:szCs w:val="20"/>
          <w:lang w:val="es-UY"/>
        </w:rPr>
        <w:t>o. El juzgado consideró que la parte demanda</w:t>
      </w:r>
      <w:r w:rsidR="008D4BDE">
        <w:rPr>
          <w:rFonts w:ascii="Cambria" w:hAnsi="Cambria"/>
          <w:sz w:val="20"/>
          <w:szCs w:val="20"/>
          <w:lang w:val="es-UY"/>
        </w:rPr>
        <w:t xml:space="preserve"> había vulnerado el derecho a la igualdad ante la ley del peticionario pues en otros casos había concedido incapacidad a consecuencia del servicio con la sola invocación de que se había cumplido el tiempo previsto en el decreto 073-DE/FAP, sin haber examinado ni requerido el análisis de si tal incapacidad tuvo o no relación con el servicio desempeñado por esas personas. El juzgado consideró que la demandada </w:t>
      </w:r>
      <w:r w:rsidR="00B730AF">
        <w:rPr>
          <w:rFonts w:ascii="Cambria" w:hAnsi="Cambria"/>
          <w:sz w:val="20"/>
          <w:szCs w:val="20"/>
          <w:lang w:val="es-UY"/>
        </w:rPr>
        <w:t>no había “demostrado ni sustentado aquella justificación objetiva y razonable para dar al demandante un trato diferente frente a otra persona que al igual que el sufrió de una incapacidad piscosomática con posterioridad a los 3 años exigidos por la ley”. Señala que esta decisión fue apelada por la parte demandada conllevando a que el 16 de agosto de 20</w:t>
      </w:r>
      <w:r w:rsidR="00315555">
        <w:rPr>
          <w:rFonts w:ascii="Cambria" w:hAnsi="Cambria"/>
          <w:sz w:val="20"/>
          <w:szCs w:val="20"/>
          <w:lang w:val="es-UY"/>
        </w:rPr>
        <w:t>0</w:t>
      </w:r>
      <w:r w:rsidR="00B730AF">
        <w:rPr>
          <w:rFonts w:ascii="Cambria" w:hAnsi="Cambria"/>
          <w:sz w:val="20"/>
          <w:szCs w:val="20"/>
          <w:lang w:val="es-UY"/>
        </w:rPr>
        <w:t>6 la Tercera Sala Civil Superior de Lima emitiera sentencia anulando lo actuado en primera instancia y declarando improcedente la acción de amparo.</w:t>
      </w:r>
      <w:r w:rsidR="00206A4F">
        <w:rPr>
          <w:rFonts w:ascii="Cambria" w:hAnsi="Cambria"/>
          <w:sz w:val="20"/>
          <w:szCs w:val="20"/>
          <w:lang w:val="es-UY"/>
        </w:rPr>
        <w:t xml:space="preserve"> La Sala consideró que “la presente petición no forma parte del contenido constitucional directamente protegido por el derecho fundamental a la pensión”.</w:t>
      </w:r>
      <w:r w:rsidR="00B730AF">
        <w:rPr>
          <w:rFonts w:ascii="Cambria" w:hAnsi="Cambria"/>
          <w:sz w:val="20"/>
          <w:szCs w:val="20"/>
          <w:lang w:val="es-UY"/>
        </w:rPr>
        <w:t xml:space="preserve"> Denuncia que esta decisión de segunda instancia estuvo erróneamente basada en jurisprudencia del Tribunal Constitucional Peruano sobre derecho pensionario, que no era aplicable a su caso por tratarse este de derecho a la seguridad social. De igual manera, que la decisión de segunda instancia no se pronunció del todo sobre su alegato de violación al derecho a la igualdad ante la ley, pese a que este había sido acogido en la sentencia de primera instancia. </w:t>
      </w:r>
      <w:r w:rsidR="003C3BCA">
        <w:rPr>
          <w:rFonts w:ascii="Cambria" w:hAnsi="Cambria"/>
          <w:sz w:val="20"/>
          <w:szCs w:val="20"/>
          <w:lang w:val="es-UY"/>
        </w:rPr>
        <w:t xml:space="preserve"> </w:t>
      </w:r>
    </w:p>
    <w:p w14:paraId="1C3D3387" w14:textId="6334A549" w:rsidR="00073538" w:rsidRDefault="003C3BCA" w:rsidP="008947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Pr>
          <w:rFonts w:ascii="Cambria" w:hAnsi="Cambria"/>
          <w:sz w:val="20"/>
          <w:szCs w:val="20"/>
          <w:lang w:val="es-UY"/>
        </w:rPr>
        <w:lastRenderedPageBreak/>
        <w:t>Indica que impugnó la sentencia de segunda instancia mediante recurso de agravio constitucional resultando en que el 23 de octubre de 2008 el Tribunal Constitucional emitiera sentencia declarando improcedente su acción de amparo. El Tribunal consideró “que si bien es cierto que se acredita que el actor sufrió un accidente cuando estaba prestando servicios, esto es en cumplimiento de su deber, el 15 de octubre de 1986, ello no es suficiente para acreditar el origen de la enfermedad que padece pues para ello se hace necesario un pronunciamiento médico que desvirtúe lo establecido mediante [actas] que determinaron que el origen de la enfermedad que padece el recurrente no tiene relación con la detonación del artefacto explosivo. En tal sentido la presente controversia debe ser dilucidada necesariamente en un proceso que</w:t>
      </w:r>
      <w:r w:rsidR="00A81E53">
        <w:rPr>
          <w:rFonts w:ascii="Cambria" w:hAnsi="Cambria"/>
          <w:sz w:val="20"/>
          <w:szCs w:val="20"/>
          <w:lang w:val="es-UY"/>
        </w:rPr>
        <w:t xml:space="preserve"> cuente con etapa probatoria</w:t>
      </w:r>
      <w:r w:rsidR="009E5506">
        <w:rPr>
          <w:rFonts w:ascii="Cambria" w:hAnsi="Cambria"/>
          <w:sz w:val="20"/>
          <w:szCs w:val="20"/>
          <w:lang w:val="es-UY"/>
        </w:rPr>
        <w:t xml:space="preserve"> (contencioso administrativo) donde deberán actuarse medios probatorios tales como pericias, a efectos de dar certeza al juzgado al momento de sentenciar</w:t>
      </w:r>
      <w:r w:rsidR="00A81E53">
        <w:rPr>
          <w:rFonts w:ascii="Cambria" w:hAnsi="Cambria"/>
          <w:sz w:val="20"/>
          <w:szCs w:val="20"/>
          <w:lang w:val="es-UY"/>
        </w:rPr>
        <w:t xml:space="preserve">”. </w:t>
      </w:r>
      <w:r>
        <w:rPr>
          <w:rFonts w:ascii="Cambria" w:hAnsi="Cambria"/>
          <w:sz w:val="20"/>
          <w:szCs w:val="20"/>
          <w:lang w:val="es-UY"/>
        </w:rPr>
        <w:t>Denuncia que esta decisión no indicó las razones por las cuales se consideraría incorr</w:t>
      </w:r>
      <w:r w:rsidR="00A81E53">
        <w:rPr>
          <w:rFonts w:ascii="Cambria" w:hAnsi="Cambria"/>
          <w:sz w:val="20"/>
          <w:szCs w:val="20"/>
          <w:lang w:val="es-UY"/>
        </w:rPr>
        <w:t>ecta</w:t>
      </w:r>
      <w:r>
        <w:rPr>
          <w:rFonts w:ascii="Cambria" w:hAnsi="Cambria"/>
          <w:sz w:val="20"/>
          <w:szCs w:val="20"/>
          <w:lang w:val="es-UY"/>
        </w:rPr>
        <w:t xml:space="preserve"> la decisión de primera instancia que reconoció la violación de su derecho a la igualdad ante ley, no atendió el reclamo sobre el error incurrido por el tribunal de segunda instancia al confundir el derecho pensionario con el de seguridad social, y no explicó porque no aplicaría a su caso lo</w:t>
      </w:r>
      <w:r w:rsidR="0067077A">
        <w:rPr>
          <w:rFonts w:ascii="Cambria" w:hAnsi="Cambria"/>
          <w:sz w:val="20"/>
          <w:szCs w:val="20"/>
          <w:lang w:val="es-UY"/>
        </w:rPr>
        <w:t xml:space="preserve"> dispuesto en el Decreto Supremo No. 073-DE/FAP del 10 de diciembre de 1991. Agrega que la decisión del Tribunal Constitucional es definitiva por ser esta la última instancia nacional y que la decisión le fue notificada el 6 de noviembre de 2008.</w:t>
      </w:r>
    </w:p>
    <w:p w14:paraId="57412F65" w14:textId="77777777" w:rsidR="00183513" w:rsidRPr="00183513" w:rsidRDefault="0067077A" w:rsidP="008947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Pr>
          <w:rFonts w:ascii="Cambria" w:hAnsi="Cambria"/>
          <w:sz w:val="20"/>
          <w:szCs w:val="20"/>
          <w:lang w:val="es-UY"/>
        </w:rPr>
        <w:t xml:space="preserve">El Estado, por su parte, manifiesta que la petición debe ser inadmitida con fundamento en el artículo 46.1(a) de la Convención Americana porque el peticionario no ha cumplido con interponer y agotar los recursos internos con relación a la supuesta afectación a su derecho a la igualdad ante la ley. Explica que el peticionario ha recurrido a la vía internacional sin haber agotado previamente el proceso contencioso administrativo, recurso que tenía a su disposición en la sede interna. Explica que la ley que regule el proceso contencioso administrativo en Perú señala que este “tiene por finalidad el control jurídico por parte del Poder Judicial de las actuaciones de la administración pública sujetas al derecho administrativo y la efectiva tutela de los derechos e intereses de los administrados. </w:t>
      </w:r>
      <w:r w:rsidR="0075008F">
        <w:rPr>
          <w:rFonts w:ascii="Cambria" w:hAnsi="Cambria"/>
          <w:sz w:val="20"/>
          <w:szCs w:val="20"/>
          <w:lang w:val="es-UY"/>
        </w:rPr>
        <w:t xml:space="preserve">Señala que el proceso contencioso administrativo constituía la vía idónea e eficaz </w:t>
      </w:r>
      <w:r w:rsidR="002379FC" w:rsidRPr="002379FC">
        <w:rPr>
          <w:rFonts w:ascii="Cambria" w:hAnsi="Cambria"/>
          <w:sz w:val="20"/>
          <w:szCs w:val="20"/>
          <w:lang w:val="es-PA"/>
        </w:rPr>
        <w:t>para que se r</w:t>
      </w:r>
      <w:r w:rsidR="002379FC">
        <w:rPr>
          <w:rFonts w:ascii="Cambria" w:hAnsi="Cambria"/>
          <w:sz w:val="20"/>
          <w:szCs w:val="20"/>
          <w:lang w:val="es-PA"/>
        </w:rPr>
        <w:t>esolvieran los reclamos del peticionario con relación a su pase de la situación de actividad a la de retiro por causal de incapacidad psicofísica por enfermedad adquirida en acto ajeno al servicio. Destaca que el propio Tribunal Constitucional al resolver el recurso de agravio constitucional planteado por el peticionario determinó que la controversia planteada por este debía ser decidida indefectiblemente en el proceso contencioso administrativo, pues la vía de amparo no era idónea para ello al no contar con etapa probatoria. Resalta además que el Tribunal Constitucional en su sentencia, tras reconocer que la vía constitucional no era idónea, dejó al demandante “en facultad de ejercitar su derecho de acción</w:t>
      </w:r>
      <w:r w:rsidR="00380B98">
        <w:rPr>
          <w:rFonts w:ascii="Cambria" w:hAnsi="Cambria"/>
          <w:sz w:val="20"/>
          <w:szCs w:val="20"/>
          <w:lang w:val="es-PA"/>
        </w:rPr>
        <w:t xml:space="preserve"> en la forma correspondiente, para reclamar con la prueba pertinente el derecho que afirma tener”. </w:t>
      </w:r>
    </w:p>
    <w:p w14:paraId="59C206F4" w14:textId="6C17EFE9" w:rsidR="0067077A" w:rsidRPr="00894733" w:rsidRDefault="00380B98" w:rsidP="008947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Pr>
          <w:rFonts w:ascii="Cambria" w:hAnsi="Cambria"/>
          <w:sz w:val="20"/>
          <w:szCs w:val="20"/>
          <w:lang w:val="es-PA"/>
        </w:rPr>
        <w:t>D</w:t>
      </w:r>
      <w:r w:rsidR="00183513">
        <w:rPr>
          <w:rFonts w:ascii="Cambria" w:hAnsi="Cambria"/>
          <w:sz w:val="20"/>
          <w:szCs w:val="20"/>
          <w:lang w:val="es-PA"/>
        </w:rPr>
        <w:t xml:space="preserve">estaca </w:t>
      </w:r>
      <w:r>
        <w:rPr>
          <w:rFonts w:ascii="Cambria" w:hAnsi="Cambria"/>
          <w:sz w:val="20"/>
          <w:szCs w:val="20"/>
          <w:lang w:val="es-PA"/>
        </w:rPr>
        <w:t xml:space="preserve">que </w:t>
      </w:r>
      <w:r w:rsidR="00183513">
        <w:rPr>
          <w:rFonts w:ascii="Cambria" w:hAnsi="Cambria"/>
          <w:sz w:val="20"/>
          <w:szCs w:val="20"/>
          <w:lang w:val="es-PA"/>
        </w:rPr>
        <w:t xml:space="preserve">la </w:t>
      </w:r>
      <w:r>
        <w:rPr>
          <w:rFonts w:ascii="Cambria" w:hAnsi="Cambria"/>
          <w:sz w:val="20"/>
          <w:szCs w:val="20"/>
          <w:lang w:val="es-PA"/>
        </w:rPr>
        <w:t xml:space="preserve">presunta víctima no ha alegado fundamentos para justificar porque no agotó la vía contencioso administrativa. </w:t>
      </w:r>
      <w:r w:rsidR="00B9162F">
        <w:rPr>
          <w:rFonts w:ascii="Cambria" w:hAnsi="Cambria"/>
          <w:sz w:val="20"/>
          <w:szCs w:val="20"/>
          <w:lang w:val="es-PA"/>
        </w:rPr>
        <w:t>Indica que la Comisión Interamericana ya ha reconocido en otros casos que el proceso contencioso administrativo constituye un proceso efectivo para impugnar resoluciones directoriales y que la petición no se encuentra dentro de ninguno de los supuestos de excepción al requisito de agotamiento de los recursos internos previstos en el artículo 46.2 de la Convención Americana. Agrega que la petición también resulta inadmisible conforme el artículo</w:t>
      </w:r>
      <w:r w:rsidR="00315555">
        <w:rPr>
          <w:rFonts w:ascii="Cambria" w:hAnsi="Cambria"/>
          <w:sz w:val="20"/>
          <w:szCs w:val="20"/>
          <w:lang w:val="es-PA"/>
        </w:rPr>
        <w:t xml:space="preserve"> 47(b) de la Convención A</w:t>
      </w:r>
      <w:r w:rsidR="00B9162F">
        <w:rPr>
          <w:rFonts w:ascii="Cambria" w:hAnsi="Cambria"/>
          <w:sz w:val="20"/>
          <w:szCs w:val="20"/>
          <w:lang w:val="es-PA"/>
        </w:rPr>
        <w:t xml:space="preserve">mericana por no exponer hechos </w:t>
      </w:r>
      <w:r w:rsidR="0091292D">
        <w:rPr>
          <w:rFonts w:ascii="Cambria" w:hAnsi="Cambria"/>
          <w:sz w:val="20"/>
          <w:szCs w:val="20"/>
          <w:lang w:val="es-PA"/>
        </w:rPr>
        <w:t>que caracteric</w:t>
      </w:r>
      <w:r w:rsidR="00B9162F">
        <w:rPr>
          <w:rFonts w:ascii="Cambria" w:hAnsi="Cambria"/>
          <w:sz w:val="20"/>
          <w:szCs w:val="20"/>
          <w:lang w:val="es-PA"/>
        </w:rPr>
        <w:t xml:space="preserve">en violaciones a los derechos garantizados en esa convención. Sostiene que no se vulneró el derecho a la igualdad del peticionario porque las decisiones administrativas y judiciales que denegaron sus pretensiones se emitieron de forma regular, conforme a la normativa aplicable y </w:t>
      </w:r>
      <w:r w:rsidR="008747B8">
        <w:rPr>
          <w:rFonts w:ascii="Cambria" w:hAnsi="Cambria"/>
          <w:sz w:val="20"/>
          <w:szCs w:val="20"/>
          <w:lang w:val="es-PA"/>
        </w:rPr>
        <w:t xml:space="preserve">con debido sustento objetivo y jurídico. </w:t>
      </w:r>
      <w:r w:rsidR="008747B8">
        <w:rPr>
          <w:rFonts w:ascii="Cambria" w:hAnsi="Cambria"/>
          <w:sz w:val="20"/>
          <w:szCs w:val="20"/>
          <w:lang w:val="es-PA"/>
        </w:rPr>
        <w:tab/>
      </w:r>
    </w:p>
    <w:p w14:paraId="6F4D4171" w14:textId="442CD4CF" w:rsidR="003239B8" w:rsidRPr="000673D0" w:rsidRDefault="003239B8" w:rsidP="00890F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UY"/>
        </w:rPr>
      </w:pPr>
      <w:r w:rsidRPr="000673D0">
        <w:rPr>
          <w:rFonts w:asciiTheme="majorHAnsi" w:eastAsia="Cambria" w:hAnsiTheme="majorHAnsi" w:cs="Cambria"/>
          <w:b/>
          <w:bCs/>
          <w:color w:val="000000"/>
          <w:sz w:val="20"/>
          <w:szCs w:val="20"/>
          <w:u w:color="000000"/>
          <w:lang w:val="es-ES" w:eastAsia="es-ES"/>
        </w:rPr>
        <w:t>VI.</w:t>
      </w:r>
      <w:r w:rsidRPr="000673D0">
        <w:rPr>
          <w:rFonts w:asciiTheme="majorHAnsi" w:eastAsia="Cambria" w:hAnsiTheme="majorHAnsi" w:cs="Cambria"/>
          <w:b/>
          <w:bCs/>
          <w:color w:val="000000"/>
          <w:sz w:val="20"/>
          <w:szCs w:val="20"/>
          <w:u w:color="000000"/>
          <w:lang w:val="es-ES" w:eastAsia="es-ES"/>
        </w:rPr>
        <w:tab/>
      </w:r>
      <w:r w:rsidR="004A6A54" w:rsidRPr="000673D0">
        <w:rPr>
          <w:rFonts w:asciiTheme="majorHAnsi" w:hAnsiTheme="majorHAnsi"/>
          <w:b/>
          <w:bCs/>
          <w:sz w:val="20"/>
          <w:szCs w:val="20"/>
          <w:lang w:val="es-ES_tradnl"/>
        </w:rPr>
        <w:t xml:space="preserve">ANÁLISIS DE </w:t>
      </w:r>
      <w:r w:rsidR="00C21FEF" w:rsidRPr="000673D0">
        <w:rPr>
          <w:rFonts w:asciiTheme="majorHAnsi" w:hAnsiTheme="majorHAnsi"/>
          <w:b/>
          <w:sz w:val="20"/>
          <w:szCs w:val="20"/>
          <w:lang w:val="es-ES"/>
        </w:rPr>
        <w:t>AGOTAMIENTO DE LOS RECURSOS INTERNOS Y PLAZO DE PRESENTACIÓN</w:t>
      </w:r>
      <w:r w:rsidR="008D1350">
        <w:rPr>
          <w:rFonts w:asciiTheme="majorHAnsi" w:hAnsiTheme="majorHAnsi"/>
          <w:b/>
          <w:sz w:val="20"/>
          <w:szCs w:val="20"/>
          <w:lang w:val="es-ES"/>
        </w:rPr>
        <w:t xml:space="preserve"> </w:t>
      </w:r>
      <w:r w:rsidR="00C21FEF" w:rsidRPr="000673D0">
        <w:rPr>
          <w:rFonts w:asciiTheme="majorHAnsi" w:eastAsia="Cambria" w:hAnsiTheme="majorHAnsi" w:cs="Cambria"/>
          <w:b/>
          <w:bCs/>
          <w:color w:val="000000"/>
          <w:sz w:val="20"/>
          <w:szCs w:val="20"/>
          <w:u w:color="000000"/>
          <w:lang w:val="es-ES" w:eastAsia="es-ES"/>
        </w:rPr>
        <w:t xml:space="preserve"> </w:t>
      </w:r>
    </w:p>
    <w:p w14:paraId="364BFE90" w14:textId="48C6C2AF" w:rsidR="00675D21" w:rsidRDefault="00BB4418" w:rsidP="008747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401BA">
        <w:rPr>
          <w:rFonts w:asciiTheme="majorHAnsi" w:hAnsiTheme="majorHAnsi"/>
          <w:sz w:val="20"/>
          <w:szCs w:val="20"/>
          <w:lang w:val="es-ES"/>
        </w:rPr>
        <w:t xml:space="preserve">La Comisión observa que </w:t>
      </w:r>
      <w:r w:rsidR="008747B8">
        <w:rPr>
          <w:rFonts w:asciiTheme="majorHAnsi" w:hAnsiTheme="majorHAnsi"/>
          <w:sz w:val="20"/>
          <w:szCs w:val="20"/>
          <w:lang w:val="es-ES"/>
        </w:rPr>
        <w:t xml:space="preserve">el </w:t>
      </w:r>
      <w:r w:rsidR="00421801">
        <w:rPr>
          <w:rFonts w:asciiTheme="majorHAnsi" w:hAnsiTheme="majorHAnsi"/>
          <w:sz w:val="20"/>
          <w:szCs w:val="20"/>
          <w:lang w:val="es-ES"/>
        </w:rPr>
        <w:t xml:space="preserve">peticionario ha alegado que la decisión emitida por el Tribunal Constitucional con respecto al tema objeto de su petición resulta definitiva por ser esta la última instancia nacional.  De igual manera, toma nota que el Estado ha indicado que el peticionario no ha cumplido con agotar los recursos internos en debida forma pues no agotó el proceso contencioso administrativo el cual constituía la vía idónea para que el peticionario planteara a nivel doméstico las reclamaciones contenidas en su petición. </w:t>
      </w:r>
    </w:p>
    <w:p w14:paraId="0C2784A6" w14:textId="341DDFC8" w:rsidR="003B5A7B" w:rsidRPr="00BC7686" w:rsidRDefault="003B5A7B" w:rsidP="008747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B4DAB">
        <w:rPr>
          <w:rFonts w:asciiTheme="majorHAnsi" w:hAnsiTheme="majorHAnsi"/>
          <w:sz w:val="20"/>
          <w:szCs w:val="20"/>
          <w:lang w:val="es-ES"/>
        </w:rPr>
        <w:t>Ante los planteamientos de las partes, la Comisión considera pertinente recordar que ya ha determinado que “</w:t>
      </w:r>
      <w:r w:rsidRPr="006B4DAB">
        <w:rPr>
          <w:rFonts w:asciiTheme="majorHAnsi" w:hAnsiTheme="majorHAnsi" w:cs="Calibri"/>
          <w:sz w:val="20"/>
          <w:szCs w:val="20"/>
          <w:lang w:val="es-ES_tradnl"/>
        </w:rPr>
        <w:t xml:space="preserve">la circunstancia de que la presunta víctima no haya interpuesto el recurso pertinente con </w:t>
      </w:r>
      <w:r w:rsidRPr="006B4DAB">
        <w:rPr>
          <w:rFonts w:asciiTheme="majorHAnsi" w:hAnsiTheme="majorHAnsi" w:cs="Calibri"/>
          <w:sz w:val="20"/>
          <w:szCs w:val="20"/>
          <w:lang w:val="es-ES_tradnl"/>
        </w:rPr>
        <w:lastRenderedPageBreak/>
        <w:t>arreglo a la regulación vigente al momento de los hechos, significa que la Comisión no puede dar por acreditado el requisito de admisibilidad previsto en el artículo 46(1) (a) de la Convención</w:t>
      </w:r>
      <w:r w:rsidR="006B4DAB" w:rsidRPr="006B4DAB">
        <w:rPr>
          <w:rFonts w:asciiTheme="majorHAnsi" w:hAnsiTheme="majorHAnsi" w:cs="Calibri"/>
          <w:sz w:val="20"/>
          <w:szCs w:val="20"/>
          <w:lang w:val="es-ES_tradnl"/>
        </w:rPr>
        <w:t>, dado que hubo un agotamiento indebido de los recursos internos”</w:t>
      </w:r>
      <w:r w:rsidR="006B4DAB" w:rsidRPr="006B4DAB">
        <w:rPr>
          <w:rStyle w:val="FootnoteReference"/>
          <w:rFonts w:asciiTheme="majorHAnsi" w:hAnsiTheme="majorHAnsi" w:cs="Calibri"/>
          <w:sz w:val="20"/>
          <w:szCs w:val="20"/>
        </w:rPr>
        <w:footnoteReference w:id="5"/>
      </w:r>
      <w:r w:rsidR="006B4DAB" w:rsidRPr="006B4DAB">
        <w:rPr>
          <w:rFonts w:asciiTheme="majorHAnsi" w:hAnsiTheme="majorHAnsi" w:cs="Calibri"/>
          <w:sz w:val="20"/>
          <w:szCs w:val="20"/>
          <w:lang w:val="es-PA"/>
        </w:rPr>
        <w:t>.</w:t>
      </w:r>
      <w:r w:rsidR="00206A4F">
        <w:rPr>
          <w:rFonts w:asciiTheme="majorHAnsi" w:hAnsiTheme="majorHAnsi" w:cs="Calibri"/>
          <w:sz w:val="20"/>
          <w:szCs w:val="20"/>
          <w:lang w:val="es-PA"/>
        </w:rPr>
        <w:t xml:space="preserve"> Dado que el Estado sostiene que el proceso constitucional de amparo agotado por la presunta víctima no era el recurso apropiado para su pretensión, corresponde a la Comisión analizar si este recurso era en efecto el pertinente. Para estos efectos, la Comisión valora que la acción de amparo interpuesta por el peticionario </w:t>
      </w:r>
      <w:r w:rsidR="00E57B65">
        <w:rPr>
          <w:rFonts w:asciiTheme="majorHAnsi" w:hAnsiTheme="majorHAnsi" w:cs="Calibri"/>
          <w:sz w:val="20"/>
          <w:szCs w:val="20"/>
          <w:lang w:val="es-PA"/>
        </w:rPr>
        <w:t>fue tramitada resultando en una sentencia favorable de primera instancia, siendo en la segunda instancia donde se declaró por primera vez la improcedencia de la acción. La Comisión también observa que el tribunal de segunda instancia consideró que el objeto de la pretensión no era materia de amparo mientras que el Tribunal Constitucional fue quien señaló por primera vez que la pretensión requería ser dilucidada a trav</w:t>
      </w:r>
      <w:r w:rsidR="009E5506">
        <w:rPr>
          <w:rFonts w:asciiTheme="majorHAnsi" w:hAnsiTheme="majorHAnsi" w:cs="Calibri"/>
          <w:sz w:val="20"/>
          <w:szCs w:val="20"/>
          <w:lang w:val="es-PA"/>
        </w:rPr>
        <w:t xml:space="preserve">és de un proceso que contara con etapa probatoria tal y como el proceso contencioso administrativo, posición que fue luego compartida por el Estado en su comunicación a la Comisión. </w:t>
      </w:r>
      <w:r w:rsidR="00F26EFD">
        <w:rPr>
          <w:rFonts w:asciiTheme="majorHAnsi" w:hAnsiTheme="majorHAnsi" w:cs="Calibri"/>
          <w:sz w:val="20"/>
          <w:szCs w:val="20"/>
          <w:lang w:val="es-PA"/>
        </w:rPr>
        <w:t xml:space="preserve">Dadas las causas por las cuales los tribunales domésticos y el escrito del Estado alegan que el amparo no constituía el recurso pertinente, la Comisión valora que la pretensión planteada por el peticionario en su acción de amparo no solo se refería a la controversia fáctica con respecto a si su condición de salud había sido causada por su servicio al </w:t>
      </w:r>
      <w:r w:rsidR="00F80C3F">
        <w:rPr>
          <w:rFonts w:asciiTheme="majorHAnsi" w:hAnsiTheme="majorHAnsi" w:cs="Calibri"/>
          <w:sz w:val="20"/>
          <w:szCs w:val="20"/>
          <w:lang w:val="es-PA"/>
        </w:rPr>
        <w:t>Estado. Surge del expediente que el peticionario también planteó dentro de este proceso una</w:t>
      </w:r>
      <w:r w:rsidR="00F26EFD">
        <w:rPr>
          <w:rFonts w:asciiTheme="majorHAnsi" w:hAnsiTheme="majorHAnsi" w:cs="Calibri"/>
          <w:sz w:val="20"/>
          <w:szCs w:val="20"/>
          <w:lang w:val="es-PA"/>
        </w:rPr>
        <w:t xml:space="preserve"> controversia jur</w:t>
      </w:r>
      <w:r w:rsidR="00BC7686">
        <w:rPr>
          <w:rFonts w:asciiTheme="majorHAnsi" w:hAnsiTheme="majorHAnsi" w:cs="Calibri"/>
          <w:sz w:val="20"/>
          <w:szCs w:val="20"/>
          <w:lang w:val="es-PA"/>
        </w:rPr>
        <w:t>ídica respecto a si el decreto</w:t>
      </w:r>
      <w:r w:rsidR="00F26EFD">
        <w:rPr>
          <w:rFonts w:asciiTheme="majorHAnsi" w:hAnsiTheme="majorHAnsi" w:cs="Calibri"/>
          <w:sz w:val="20"/>
          <w:szCs w:val="20"/>
          <w:lang w:val="es-PA"/>
        </w:rPr>
        <w:t xml:space="preserve"> </w:t>
      </w:r>
      <w:r w:rsidR="00F26EFD">
        <w:rPr>
          <w:rFonts w:ascii="Cambria" w:hAnsi="Cambria"/>
          <w:sz w:val="20"/>
          <w:szCs w:val="20"/>
          <w:lang w:val="es-UY"/>
        </w:rPr>
        <w:t xml:space="preserve">No. 073-DE/FAP del 10 de diciembre de 1991 </w:t>
      </w:r>
      <w:r w:rsidR="00BC7686">
        <w:rPr>
          <w:rFonts w:ascii="Cambria" w:hAnsi="Cambria"/>
          <w:sz w:val="20"/>
          <w:szCs w:val="20"/>
          <w:lang w:val="es-UY"/>
        </w:rPr>
        <w:t>le concedía un derecho automático</w:t>
      </w:r>
      <w:r w:rsidR="00F80C3F">
        <w:rPr>
          <w:rFonts w:ascii="Cambria" w:hAnsi="Cambria"/>
          <w:sz w:val="20"/>
          <w:szCs w:val="20"/>
          <w:lang w:val="es-UY"/>
        </w:rPr>
        <w:t>, sin prueba adicional,</w:t>
      </w:r>
      <w:r w:rsidR="00BC7686">
        <w:rPr>
          <w:rFonts w:ascii="Cambria" w:hAnsi="Cambria"/>
          <w:sz w:val="20"/>
          <w:szCs w:val="20"/>
          <w:lang w:val="es-UY"/>
        </w:rPr>
        <w:t xml:space="preserve"> a que su condición de salud fuera considerada causada por su servicio por razón del tiempo de servicios prestados al</w:t>
      </w:r>
      <w:r w:rsidR="00F80C3F">
        <w:rPr>
          <w:rFonts w:ascii="Cambria" w:hAnsi="Cambria"/>
          <w:sz w:val="20"/>
          <w:szCs w:val="20"/>
          <w:lang w:val="es-UY"/>
        </w:rPr>
        <w:t xml:space="preserve"> Estado; así como</w:t>
      </w:r>
      <w:r w:rsidR="00F26EFD">
        <w:rPr>
          <w:rFonts w:ascii="Cambria" w:hAnsi="Cambria"/>
          <w:sz w:val="20"/>
          <w:szCs w:val="20"/>
          <w:lang w:val="es-UY"/>
        </w:rPr>
        <w:t xml:space="preserve"> con respecto a si se había vulnerado su derecho a la igualdad ante la ley al no aplicársele esta norma en la misma forma que fue aplicada en otros casos. La Comisión observa que el Estado no ha expuesto ni surgen del expediente </w:t>
      </w:r>
      <w:r w:rsidR="00BC7686">
        <w:rPr>
          <w:rFonts w:ascii="Cambria" w:hAnsi="Cambria"/>
          <w:sz w:val="20"/>
          <w:szCs w:val="20"/>
          <w:lang w:val="es-UY"/>
        </w:rPr>
        <w:t xml:space="preserve">razones por las cuales el proceso de amparo no sería idóneo para que el peticionario planteara su reclamación con respecto a </w:t>
      </w:r>
      <w:r w:rsidR="00F80C3F">
        <w:rPr>
          <w:rFonts w:ascii="Cambria" w:hAnsi="Cambria"/>
          <w:sz w:val="20"/>
          <w:szCs w:val="20"/>
          <w:lang w:val="es-UY"/>
        </w:rPr>
        <w:t>su derecho a la</w:t>
      </w:r>
      <w:r w:rsidR="00BC7686">
        <w:rPr>
          <w:rFonts w:ascii="Cambria" w:hAnsi="Cambria"/>
          <w:sz w:val="20"/>
          <w:szCs w:val="20"/>
          <w:lang w:val="es-UY"/>
        </w:rPr>
        <w:t xml:space="preserve"> igualdad o por las cuales la ausencia de una etapa probatoria impediría que los tribunales que conocieron la acción de amparo se pronunciaran sobre si el referido decreto le concedía al peticionario el derecho que este reclamaba. </w:t>
      </w:r>
    </w:p>
    <w:p w14:paraId="7A3219B7" w14:textId="653F577B" w:rsidR="00BC7686" w:rsidRPr="006B4DAB" w:rsidRDefault="00BC7686" w:rsidP="008747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Cambria" w:hAnsi="Cambria"/>
          <w:sz w:val="20"/>
          <w:szCs w:val="20"/>
          <w:lang w:val="es-ES"/>
        </w:rPr>
        <w:t>A</w:t>
      </w:r>
      <w:r w:rsidR="00F80C3F">
        <w:rPr>
          <w:rFonts w:ascii="Cambria" w:hAnsi="Cambria"/>
          <w:sz w:val="20"/>
          <w:szCs w:val="20"/>
          <w:lang w:val="es-ES"/>
        </w:rPr>
        <w:t xml:space="preserve">tendiendo a las consideraciones expuestas, la Comisión estima que no se puede indicar que </w:t>
      </w:r>
      <w:r w:rsidR="00006052">
        <w:rPr>
          <w:rFonts w:ascii="Cambria" w:hAnsi="Cambria"/>
          <w:sz w:val="20"/>
          <w:szCs w:val="20"/>
          <w:lang w:val="es-ES"/>
        </w:rPr>
        <w:t xml:space="preserve">el </w:t>
      </w:r>
      <w:r w:rsidR="00F80C3F">
        <w:rPr>
          <w:rFonts w:ascii="Cambria" w:hAnsi="Cambria"/>
          <w:sz w:val="20"/>
          <w:szCs w:val="20"/>
          <w:lang w:val="es-ES"/>
        </w:rPr>
        <w:t>proceso de amparo no constituyera un recurso pertinente con respecto a las alegaciones del peticionario relacionadas con la supuesta violación a su derecho a la igualdad ante la ley y la supuesta omisión arbitraria incurrida por el Estado al no aplicar a su caso una norma que le concedía un beneficio. Sin descartar que el proceso contencioso administrativo pudiera haber también constituido una vía idónea para que estas reclamaciones fueran atendidas a nivel doméstico, la Comisión recuerda su criterio sostenido en el sentido que “</w:t>
      </w:r>
      <w:r w:rsidR="00F80C3F" w:rsidRPr="00FC2B4A">
        <w:rPr>
          <w:rFonts w:ascii="Cambria" w:hAnsi="Cambria" w:cs="Calibri"/>
          <w:sz w:val="20"/>
          <w:szCs w:val="20"/>
          <w:lang w:val="es-ES_tradnl"/>
        </w:rPr>
        <w:t>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9C1A7F">
        <w:rPr>
          <w:rFonts w:ascii="Cambria" w:hAnsi="Cambria" w:cs="Calibri"/>
          <w:sz w:val="20"/>
          <w:szCs w:val="20"/>
          <w:lang w:val="es-ES_tradnl"/>
        </w:rPr>
        <w:t>”</w:t>
      </w:r>
      <w:r w:rsidR="00F80C3F" w:rsidRPr="00FC2B4A">
        <w:rPr>
          <w:rStyle w:val="FootnoteReference"/>
          <w:rFonts w:ascii="Cambria" w:hAnsi="Cambria" w:cs="Calibri"/>
          <w:sz w:val="20"/>
          <w:szCs w:val="20"/>
        </w:rPr>
        <w:footnoteReference w:id="6"/>
      </w:r>
      <w:r w:rsidR="00F80C3F" w:rsidRPr="00FC2B4A">
        <w:rPr>
          <w:rFonts w:ascii="Cambria" w:hAnsi="Cambria" w:cs="Calibri"/>
          <w:sz w:val="20"/>
          <w:szCs w:val="20"/>
          <w:lang w:val="es-ES_tradnl"/>
        </w:rPr>
        <w:t>.</w:t>
      </w:r>
      <w:r w:rsidR="009C1A7F">
        <w:rPr>
          <w:rFonts w:ascii="Cambria" w:hAnsi="Cambria" w:cs="Calibri"/>
          <w:sz w:val="20"/>
          <w:szCs w:val="20"/>
          <w:lang w:val="es-ES_tradnl"/>
        </w:rPr>
        <w:t xml:space="preserve"> Por estas razones, la Comisión concluye que la decisión del Tribunal Constitucional que declaró en última instancia improcedente la demanda de amparo interpuesta por el peticionario constituye una decisión definitiva que agotó los recursos internos en los términos del artículo 46.1(a) de la Convención Americana</w:t>
      </w:r>
      <w:r w:rsidR="008556CD">
        <w:rPr>
          <w:rFonts w:ascii="Cambria" w:hAnsi="Cambria" w:cs="Calibri"/>
          <w:sz w:val="20"/>
          <w:szCs w:val="20"/>
          <w:lang w:val="es-ES_tradnl"/>
        </w:rPr>
        <w:t xml:space="preserve">, </w:t>
      </w:r>
      <w:r w:rsidR="008556CD" w:rsidRPr="0029490C">
        <w:rPr>
          <w:rFonts w:ascii="Cambria" w:hAnsi="Cambria" w:cs="Calibri"/>
          <w:sz w:val="20"/>
          <w:szCs w:val="20"/>
          <w:lang w:val="es-ES_tradnl"/>
        </w:rPr>
        <w:t>solo</w:t>
      </w:r>
      <w:r w:rsidR="009C1A7F" w:rsidRPr="0029490C">
        <w:rPr>
          <w:rFonts w:ascii="Cambria" w:hAnsi="Cambria" w:cs="Calibri"/>
          <w:sz w:val="20"/>
          <w:szCs w:val="20"/>
          <w:lang w:val="es-ES_tradnl"/>
        </w:rPr>
        <w:t xml:space="preserve"> con respecto a las alegadas violaciones a la igualdad ante la ley y la </w:t>
      </w:r>
      <w:r w:rsidR="008556CD" w:rsidRPr="0029490C">
        <w:rPr>
          <w:rFonts w:ascii="Cambria" w:hAnsi="Cambria" w:cs="Calibri"/>
          <w:sz w:val="20"/>
          <w:szCs w:val="20"/>
          <w:lang w:val="es-ES_tradnl"/>
        </w:rPr>
        <w:t>supuesta in</w:t>
      </w:r>
      <w:r w:rsidR="009C1A7F" w:rsidRPr="0029490C">
        <w:rPr>
          <w:rFonts w:ascii="Cambria" w:hAnsi="Cambria" w:cs="Calibri"/>
          <w:sz w:val="20"/>
          <w:szCs w:val="20"/>
          <w:lang w:val="es-ES_tradnl"/>
        </w:rPr>
        <w:t>aplicación</w:t>
      </w:r>
      <w:r w:rsidR="008556CD" w:rsidRPr="0029490C">
        <w:rPr>
          <w:rFonts w:ascii="Cambria" w:hAnsi="Cambria" w:cs="Calibri"/>
          <w:sz w:val="20"/>
          <w:szCs w:val="20"/>
          <w:lang w:val="es-ES_tradnl"/>
        </w:rPr>
        <w:t xml:space="preserve"> arbitraria</w:t>
      </w:r>
      <w:r w:rsidR="009C1A7F" w:rsidRPr="0029490C">
        <w:rPr>
          <w:rFonts w:ascii="Cambria" w:hAnsi="Cambria" w:cs="Calibri"/>
          <w:sz w:val="20"/>
          <w:szCs w:val="20"/>
          <w:lang w:val="es-ES_tradnl"/>
        </w:rPr>
        <w:t xml:space="preserve"> de una norma</w:t>
      </w:r>
      <w:r w:rsidR="0029490C" w:rsidRPr="0029490C">
        <w:rPr>
          <w:rFonts w:ascii="Cambria" w:hAnsi="Cambria"/>
          <w:sz w:val="20"/>
          <w:szCs w:val="20"/>
          <w:lang w:val="es-ES_tradnl"/>
        </w:rPr>
        <w:t>, los cuales prima facie podrían tener impactos directos sobre el derecho a la seguridad social</w:t>
      </w:r>
      <w:r w:rsidR="009C1A7F" w:rsidRPr="0029490C">
        <w:rPr>
          <w:rFonts w:ascii="Cambria" w:hAnsi="Cambria" w:cs="Calibri"/>
          <w:sz w:val="20"/>
          <w:szCs w:val="20"/>
          <w:lang w:val="es-ES_tradnl"/>
        </w:rPr>
        <w:t>.</w:t>
      </w:r>
      <w:r w:rsidR="008556CD" w:rsidRPr="0029490C">
        <w:rPr>
          <w:rFonts w:ascii="Cambria" w:hAnsi="Cambria" w:cs="Calibri"/>
          <w:sz w:val="20"/>
          <w:szCs w:val="20"/>
          <w:lang w:val="es-ES_tradnl"/>
        </w:rPr>
        <w:t xml:space="preserve"> Dado que la decisión definitiva fue notificada al peticionario el </w:t>
      </w:r>
      <w:r w:rsidR="008556CD" w:rsidRPr="0029490C">
        <w:rPr>
          <w:rFonts w:ascii="Cambria" w:hAnsi="Cambria"/>
          <w:bCs/>
          <w:sz w:val="20"/>
          <w:szCs w:val="20"/>
          <w:lang w:val="es-ES"/>
        </w:rPr>
        <w:t xml:space="preserve">6 de noviembre de 2008 y la petición presentada el </w:t>
      </w:r>
      <w:r w:rsidR="008556CD" w:rsidRPr="0029490C">
        <w:rPr>
          <w:rFonts w:ascii="Cambria" w:hAnsi="Cambria"/>
          <w:bCs/>
          <w:sz w:val="20"/>
          <w:szCs w:val="20"/>
          <w:lang w:val="es-PA"/>
        </w:rPr>
        <w:t xml:space="preserve">3 de mayo de </w:t>
      </w:r>
      <w:r w:rsidR="008556CD">
        <w:rPr>
          <w:rFonts w:ascii="Cambria" w:hAnsi="Cambria"/>
          <w:bCs/>
          <w:sz w:val="20"/>
          <w:szCs w:val="20"/>
          <w:lang w:val="es-PA"/>
        </w:rPr>
        <w:t>2009, la Comisión concluye que estos extremos de la petición también cumplen con lo</w:t>
      </w:r>
      <w:r w:rsidR="00637201">
        <w:rPr>
          <w:rFonts w:ascii="Cambria" w:hAnsi="Cambria"/>
          <w:bCs/>
          <w:sz w:val="20"/>
          <w:szCs w:val="20"/>
          <w:lang w:val="es-PA"/>
        </w:rPr>
        <w:t>s requisitos del artículo 46.1(b</w:t>
      </w:r>
      <w:r w:rsidR="008556CD">
        <w:rPr>
          <w:rFonts w:ascii="Cambria" w:hAnsi="Cambria"/>
          <w:bCs/>
          <w:sz w:val="20"/>
          <w:szCs w:val="20"/>
          <w:lang w:val="es-PA"/>
        </w:rPr>
        <w:t xml:space="preserve">) de la Convención Americana. </w:t>
      </w:r>
    </w:p>
    <w:p w14:paraId="1E24FD27" w14:textId="229BF74E" w:rsidR="00524EDC" w:rsidRPr="00524EDC" w:rsidRDefault="003239B8" w:rsidP="00524EDC">
      <w:pPr>
        <w:pStyle w:val="ListParagraph"/>
        <w:spacing w:before="240" w:after="240"/>
        <w:jc w:val="both"/>
        <w:rPr>
          <w:rFonts w:asciiTheme="majorHAnsi" w:hAnsiTheme="majorHAnsi"/>
          <w:b/>
          <w:bCs/>
          <w:sz w:val="20"/>
          <w:szCs w:val="20"/>
          <w:lang w:val="es-UY"/>
        </w:rPr>
      </w:pPr>
      <w:r w:rsidRPr="000673D0">
        <w:rPr>
          <w:rFonts w:asciiTheme="majorHAnsi" w:hAnsiTheme="majorHAnsi"/>
          <w:b/>
          <w:bCs/>
          <w:sz w:val="20"/>
          <w:szCs w:val="20"/>
          <w:lang w:val="es-ES"/>
        </w:rPr>
        <w:t>VII.</w:t>
      </w:r>
      <w:r w:rsidRPr="000673D0">
        <w:rPr>
          <w:rFonts w:asciiTheme="majorHAnsi" w:hAnsiTheme="majorHAnsi"/>
          <w:b/>
          <w:bCs/>
          <w:sz w:val="20"/>
          <w:szCs w:val="20"/>
          <w:lang w:val="es-ES"/>
        </w:rPr>
        <w:tab/>
      </w:r>
      <w:r w:rsidR="004A6A54" w:rsidRPr="000673D0">
        <w:rPr>
          <w:rFonts w:asciiTheme="majorHAnsi" w:hAnsiTheme="majorHAnsi"/>
          <w:b/>
          <w:bCs/>
          <w:sz w:val="20"/>
          <w:szCs w:val="20"/>
          <w:lang w:val="es-ES_tradnl"/>
        </w:rPr>
        <w:t xml:space="preserve">ANÁLISIS DE </w:t>
      </w:r>
      <w:r w:rsidR="00C21FEF" w:rsidRPr="000673D0">
        <w:rPr>
          <w:rFonts w:asciiTheme="majorHAnsi" w:hAnsiTheme="majorHAnsi"/>
          <w:b/>
          <w:bCs/>
          <w:sz w:val="20"/>
          <w:szCs w:val="20"/>
          <w:lang w:val="es-ES"/>
        </w:rPr>
        <w:t xml:space="preserve">CARACTERIZACIÓN </w:t>
      </w:r>
      <w:r w:rsidR="00C21FEF" w:rsidRPr="000673D0">
        <w:rPr>
          <w:rFonts w:asciiTheme="majorHAnsi" w:hAnsiTheme="majorHAnsi"/>
          <w:b/>
          <w:bCs/>
          <w:sz w:val="20"/>
          <w:szCs w:val="20"/>
          <w:lang w:val="es-UY"/>
        </w:rPr>
        <w:t>DE LOS HECHOS ALEGADOS</w:t>
      </w:r>
      <w:r w:rsidR="003C6443">
        <w:rPr>
          <w:rFonts w:asciiTheme="majorHAnsi" w:hAnsiTheme="majorHAnsi"/>
          <w:b/>
          <w:bCs/>
          <w:sz w:val="20"/>
          <w:szCs w:val="20"/>
          <w:lang w:val="es-UY"/>
        </w:rPr>
        <w:t xml:space="preserve"> </w:t>
      </w:r>
    </w:p>
    <w:p w14:paraId="65CFA75B" w14:textId="0366B759" w:rsidR="004945CA" w:rsidRPr="00BE533C" w:rsidRDefault="00291B95" w:rsidP="004945C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s-ES"/>
        </w:rPr>
      </w:pPr>
      <w:r>
        <w:rPr>
          <w:rFonts w:asciiTheme="majorHAnsi" w:hAnsiTheme="majorHAnsi"/>
          <w:sz w:val="20"/>
          <w:szCs w:val="20"/>
          <w:lang w:val="es-PA"/>
        </w:rPr>
        <w:t xml:space="preserve">La Comisión observa que la presente petición incluye </w:t>
      </w:r>
      <w:r w:rsidR="00434D45">
        <w:rPr>
          <w:rFonts w:asciiTheme="majorHAnsi" w:hAnsiTheme="majorHAnsi"/>
          <w:sz w:val="20"/>
          <w:szCs w:val="20"/>
          <w:lang w:val="es-PA"/>
        </w:rPr>
        <w:t xml:space="preserve">alegaciones con respecto a que </w:t>
      </w:r>
      <w:r w:rsidR="004945CA">
        <w:rPr>
          <w:rFonts w:asciiTheme="majorHAnsi" w:hAnsiTheme="majorHAnsi"/>
          <w:sz w:val="20"/>
          <w:szCs w:val="20"/>
          <w:lang w:val="es-PA"/>
        </w:rPr>
        <w:t>la presunta víctima, habiendo prestado 14 años de servicio a una institución del Estado, desarrolló una condición de salud que le impedía continuar laborando por lo que fue retirado siendo su incapacidad clasificada como por “acto ajeno al servicio”</w:t>
      </w:r>
      <w:r w:rsidR="00BE533C">
        <w:rPr>
          <w:rFonts w:asciiTheme="majorHAnsi" w:hAnsiTheme="majorHAnsi"/>
          <w:sz w:val="20"/>
          <w:szCs w:val="20"/>
          <w:lang w:val="es-PA"/>
        </w:rPr>
        <w:t>;</w:t>
      </w:r>
      <w:r w:rsidR="004945CA">
        <w:rPr>
          <w:rFonts w:asciiTheme="majorHAnsi" w:hAnsiTheme="majorHAnsi"/>
          <w:sz w:val="20"/>
          <w:szCs w:val="20"/>
          <w:lang w:val="es-PA"/>
        </w:rPr>
        <w:t xml:space="preserve"> omitiéndose arbitrariamente y sin motivación la aplicación de una norma que, tal y como había sido reiteradamente aplicada en otros casos, indicaba que luego de 3 años de servicios todas las </w:t>
      </w:r>
      <w:r w:rsidR="004945CA">
        <w:rPr>
          <w:rFonts w:asciiTheme="majorHAnsi" w:hAnsiTheme="majorHAnsi"/>
          <w:sz w:val="20"/>
          <w:szCs w:val="20"/>
          <w:lang w:val="es-PA"/>
        </w:rPr>
        <w:lastRenderedPageBreak/>
        <w:t xml:space="preserve">afectaciones de salud debían ser consideradas como adquiridas a consecuencia del servicio. </w:t>
      </w:r>
      <w:r w:rsidR="00BE533C">
        <w:rPr>
          <w:rFonts w:asciiTheme="majorHAnsi" w:hAnsiTheme="majorHAnsi"/>
          <w:sz w:val="20"/>
          <w:szCs w:val="20"/>
          <w:lang w:val="es-PA"/>
        </w:rPr>
        <w:t>Adicionalmente, se denuncia</w:t>
      </w:r>
      <w:r w:rsidR="004945CA">
        <w:rPr>
          <w:rFonts w:asciiTheme="majorHAnsi" w:hAnsiTheme="majorHAnsi"/>
          <w:sz w:val="20"/>
          <w:szCs w:val="20"/>
          <w:lang w:val="es-PA"/>
        </w:rPr>
        <w:t xml:space="preserve"> que se emitió una sentencia de amparo favorable al pe</w:t>
      </w:r>
      <w:r w:rsidR="00BE533C">
        <w:rPr>
          <w:rFonts w:asciiTheme="majorHAnsi" w:hAnsiTheme="majorHAnsi"/>
          <w:sz w:val="20"/>
          <w:szCs w:val="20"/>
          <w:lang w:val="es-PA"/>
        </w:rPr>
        <w:t xml:space="preserve">ticionario en la que se determinó que el derecho a la igualdad del peticionario se vio vulnerado por razón de que su empleador, sin manifestar justificación alguna, omitió aplicarle la referida norma en la misma forma que lo había venido haciendo con otras personas; sentencia que fue luego revocada sin que ninguna de las dos instancias posteriores emitiera motivación alguna con respecto a porque no se había configurado la violación a la igualdad ante la ley. </w:t>
      </w:r>
    </w:p>
    <w:p w14:paraId="022FEE5A" w14:textId="7A2BC71F" w:rsidR="00BE533C" w:rsidRPr="0091292D" w:rsidRDefault="00105964" w:rsidP="00BE533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PA"/>
        </w:rPr>
      </w:pPr>
      <w:r w:rsidRPr="00CD492D">
        <w:rPr>
          <w:rFonts w:asciiTheme="majorHAnsi" w:hAnsiTheme="majorHAnsi"/>
          <w:sz w:val="20"/>
          <w:szCs w:val="20"/>
          <w:lang w:val="es-ES"/>
        </w:rPr>
        <w:t xml:space="preserve">Dada la naturaleza de las alegaciones, la Comisión considera pertinente recordar </w:t>
      </w:r>
      <w:r w:rsidRPr="00CD492D">
        <w:rPr>
          <w:rFonts w:asciiTheme="majorHAnsi" w:hAnsiTheme="majorHAnsi"/>
          <w:color w:val="000000" w:themeColor="text1"/>
          <w:sz w:val="20"/>
          <w:szCs w:val="20"/>
          <w:lang w:val="es-AR"/>
        </w:rPr>
        <w:t xml:space="preserve">que </w:t>
      </w:r>
      <w:r w:rsidR="0066145B" w:rsidRPr="00CD492D">
        <w:rPr>
          <w:rFonts w:asciiTheme="majorHAnsi" w:hAnsiTheme="majorHAnsi"/>
          <w:color w:val="000000" w:themeColor="text1"/>
          <w:sz w:val="20"/>
          <w:szCs w:val="20"/>
          <w:lang w:val="es-AR"/>
        </w:rPr>
        <w:t>ya ha manifestado que “</w:t>
      </w:r>
      <w:r w:rsidR="0066145B" w:rsidRPr="00CD492D">
        <w:rPr>
          <w:rFonts w:asciiTheme="majorHAnsi" w:hAnsiTheme="majorHAnsi"/>
          <w:sz w:val="20"/>
          <w:szCs w:val="20"/>
          <w:lang w:val="es-PA"/>
        </w:rPr>
        <w:t>la argumentación de un fallo y de ciertos actos administrativos deben permitir conocer cuáles fueron los hechos, motivos y normas en que se basó la autoridad para tomar su decisión, a fin de descartar cualquier indicio de arbitrariedad”</w:t>
      </w:r>
      <w:r w:rsidR="0066145B" w:rsidRPr="00CD492D">
        <w:rPr>
          <w:rStyle w:val="FootnoteReference"/>
          <w:rFonts w:asciiTheme="majorHAnsi" w:hAnsiTheme="majorHAnsi"/>
          <w:sz w:val="20"/>
          <w:szCs w:val="20"/>
          <w:lang w:val="es-PA"/>
        </w:rPr>
        <w:footnoteReference w:id="7"/>
      </w:r>
      <w:r w:rsidR="0066145B" w:rsidRPr="00CD492D">
        <w:rPr>
          <w:rFonts w:asciiTheme="majorHAnsi" w:hAnsiTheme="majorHAnsi"/>
          <w:sz w:val="20"/>
          <w:szCs w:val="20"/>
          <w:lang w:val="es-PA"/>
        </w:rPr>
        <w:t>.</w:t>
      </w:r>
      <w:r w:rsidR="00CD492D" w:rsidRPr="00CD492D">
        <w:rPr>
          <w:rFonts w:asciiTheme="majorHAnsi" w:hAnsiTheme="majorHAnsi"/>
          <w:sz w:val="20"/>
          <w:szCs w:val="20"/>
          <w:lang w:val="es-PA"/>
        </w:rPr>
        <w:t xml:space="preserve"> De igual manera, que la Corte Interamericana ha manifestado que “El deber de motivación no exige una respuesta detallada a todos y cada uno de los argumentos de las partes, sino una respuesta a los argumentos principales y esenciales al objeto de la controversia que permitan garantizar a las partes que han sido oídas en el marco del proceso”</w:t>
      </w:r>
      <w:r w:rsidR="00CD492D">
        <w:rPr>
          <w:rStyle w:val="FootnoteReference"/>
          <w:rFonts w:asciiTheme="majorHAnsi" w:hAnsiTheme="majorHAnsi"/>
          <w:sz w:val="20"/>
          <w:szCs w:val="20"/>
          <w:lang w:val="es-PA"/>
        </w:rPr>
        <w:footnoteReference w:id="8"/>
      </w:r>
      <w:r w:rsidR="00CD492D" w:rsidRPr="00CD492D">
        <w:rPr>
          <w:rFonts w:asciiTheme="majorHAnsi" w:hAnsiTheme="majorHAnsi"/>
          <w:sz w:val="20"/>
          <w:szCs w:val="20"/>
          <w:lang w:val="es-PA"/>
        </w:rPr>
        <w:t>.</w:t>
      </w:r>
    </w:p>
    <w:p w14:paraId="66AA74A2" w14:textId="3811627C" w:rsidR="00BE533C" w:rsidRPr="00667713" w:rsidRDefault="007465EF" w:rsidP="00C303A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667713">
        <w:rPr>
          <w:rFonts w:asciiTheme="majorHAnsi" w:hAnsiTheme="majorHAnsi"/>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w:t>
      </w:r>
      <w:r w:rsidRPr="00667713">
        <w:rPr>
          <w:rFonts w:asciiTheme="majorHAnsi" w:hAnsiTheme="majorHAnsi" w:cs="Arial"/>
          <w:sz w:val="20"/>
          <w:szCs w:val="20"/>
          <w:lang w:val="es-VE" w:eastAsia="es-ES"/>
        </w:rPr>
        <w:t>artículos</w:t>
      </w:r>
      <w:r w:rsidR="0091292D" w:rsidRPr="00667713">
        <w:rPr>
          <w:rFonts w:asciiTheme="majorHAnsi" w:hAnsiTheme="majorHAnsi" w:cs="Arial"/>
          <w:sz w:val="20"/>
          <w:szCs w:val="20"/>
          <w:lang w:val="es-VE" w:eastAsia="es-ES"/>
        </w:rPr>
        <w:t xml:space="preserve"> </w:t>
      </w:r>
      <w:r w:rsidR="0091292D" w:rsidRPr="00667713">
        <w:rPr>
          <w:rFonts w:ascii="Cambria" w:hAnsi="Cambria"/>
          <w:bCs/>
          <w:sz w:val="20"/>
          <w:szCs w:val="20"/>
          <w:lang w:val="es-PA"/>
        </w:rPr>
        <w:t>8 (garantías judiciales) y 25 (protección judicial) de la Convención Americana en relación con sus artículos 1.1. (obligación de respetar los derechos), 24 (igualdad ante la ley) y 26 (derechos económicos, sociales y culturales)</w:t>
      </w:r>
      <w:r w:rsidR="0091292D" w:rsidRPr="00667713">
        <w:rPr>
          <w:rFonts w:asciiTheme="majorHAnsi" w:hAnsiTheme="majorHAnsi"/>
          <w:b/>
          <w:bCs/>
          <w:sz w:val="20"/>
          <w:szCs w:val="20"/>
          <w:lang w:val="es-PA"/>
        </w:rPr>
        <w:t>.</w:t>
      </w:r>
    </w:p>
    <w:p w14:paraId="29BB41F5" w14:textId="5DB19F0F" w:rsidR="003239B8" w:rsidRPr="00560B92" w:rsidRDefault="003239B8" w:rsidP="00BE533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rPr>
      </w:pPr>
      <w:r w:rsidRPr="000673D0">
        <w:rPr>
          <w:rFonts w:asciiTheme="majorHAnsi" w:hAnsiTheme="majorHAnsi"/>
          <w:b/>
          <w:bCs/>
          <w:sz w:val="20"/>
          <w:szCs w:val="20"/>
          <w:lang w:val="es-ES"/>
        </w:rPr>
        <w:t xml:space="preserve">VIII. </w:t>
      </w:r>
      <w:r w:rsidRPr="000673D0">
        <w:rPr>
          <w:rFonts w:asciiTheme="majorHAnsi" w:hAnsiTheme="majorHAnsi"/>
          <w:b/>
          <w:bCs/>
          <w:sz w:val="20"/>
          <w:szCs w:val="20"/>
          <w:lang w:val="es-ES"/>
        </w:rPr>
        <w:tab/>
        <w:t>DECISIÓN</w:t>
      </w:r>
    </w:p>
    <w:p w14:paraId="570DA61C" w14:textId="20D1D79C" w:rsidR="000419AD" w:rsidRPr="000673D0" w:rsidRDefault="000419AD" w:rsidP="00DD04E7">
      <w:pPr>
        <w:pStyle w:val="ListParagraph"/>
        <w:numPr>
          <w:ilvl w:val="0"/>
          <w:numId w:val="109"/>
        </w:numPr>
        <w:jc w:val="both"/>
        <w:rPr>
          <w:rFonts w:eastAsia="Arial Unicode MS" w:cs="Times New Roman"/>
          <w:color w:val="auto"/>
          <w:sz w:val="20"/>
          <w:szCs w:val="20"/>
          <w:lang w:val="es-ES" w:eastAsia="en-US"/>
        </w:rPr>
      </w:pPr>
      <w:r w:rsidRPr="000673D0">
        <w:rPr>
          <w:rFonts w:eastAsia="Arial Unicode MS" w:cs="Times New Roman"/>
          <w:color w:val="auto"/>
          <w:sz w:val="20"/>
          <w:szCs w:val="20"/>
          <w:lang w:val="es-ES" w:eastAsia="en-US"/>
        </w:rPr>
        <w:t xml:space="preserve">Declarar </w:t>
      </w:r>
      <w:r w:rsidRPr="001401BA">
        <w:rPr>
          <w:rFonts w:eastAsia="Arial Unicode MS" w:cs="Times New Roman"/>
          <w:color w:val="000000" w:themeColor="text1"/>
          <w:sz w:val="20"/>
          <w:szCs w:val="20"/>
          <w:lang w:val="es-ES" w:eastAsia="en-US"/>
        </w:rPr>
        <w:t>admisible</w:t>
      </w:r>
      <w:r w:rsidRPr="000673D0">
        <w:rPr>
          <w:rFonts w:eastAsia="Arial Unicode MS" w:cs="Times New Roman"/>
          <w:color w:val="FF0000"/>
          <w:sz w:val="20"/>
          <w:szCs w:val="20"/>
          <w:lang w:val="es-ES" w:eastAsia="en-US"/>
        </w:rPr>
        <w:t xml:space="preserve"> </w:t>
      </w:r>
      <w:r w:rsidRPr="000673D0">
        <w:rPr>
          <w:rFonts w:eastAsia="Arial Unicode MS" w:cs="Times New Roman"/>
          <w:color w:val="auto"/>
          <w:sz w:val="20"/>
          <w:szCs w:val="20"/>
          <w:lang w:val="es-ES" w:eastAsia="en-US"/>
        </w:rPr>
        <w:t xml:space="preserve">la presente petición </w:t>
      </w:r>
      <w:r w:rsidR="00560B92">
        <w:rPr>
          <w:rFonts w:eastAsia="Arial Unicode MS" w:cs="Times New Roman"/>
          <w:color w:val="auto"/>
          <w:sz w:val="20"/>
          <w:szCs w:val="20"/>
          <w:lang w:val="es-ES" w:eastAsia="en-US"/>
        </w:rPr>
        <w:t xml:space="preserve">con respecto a los artículos </w:t>
      </w:r>
      <w:r w:rsidR="00006052">
        <w:rPr>
          <w:rFonts w:eastAsia="Arial Unicode MS" w:cs="Times New Roman"/>
          <w:color w:val="auto"/>
          <w:sz w:val="20"/>
          <w:szCs w:val="20"/>
          <w:lang w:val="es-ES" w:eastAsia="en-US"/>
        </w:rPr>
        <w:t>8 y 25</w:t>
      </w:r>
      <w:r w:rsidR="0091292D">
        <w:rPr>
          <w:rFonts w:eastAsia="Arial Unicode MS" w:cs="Times New Roman"/>
          <w:color w:val="auto"/>
          <w:sz w:val="20"/>
          <w:szCs w:val="20"/>
          <w:lang w:val="es-ES" w:eastAsia="en-US"/>
        </w:rPr>
        <w:t xml:space="preserve"> de la Convención Americana en relación con sus artículos 1.1., 24 y 26</w:t>
      </w:r>
      <w:r w:rsidR="00006052">
        <w:rPr>
          <w:rFonts w:eastAsia="Arial Unicode MS" w:cs="Times New Roman"/>
          <w:color w:val="auto"/>
          <w:sz w:val="20"/>
          <w:szCs w:val="20"/>
          <w:lang w:val="es-ES" w:eastAsia="en-US"/>
        </w:rPr>
        <w:t>.</w:t>
      </w:r>
    </w:p>
    <w:p w14:paraId="41AA5BF6" w14:textId="450B3FEC" w:rsidR="000419AD" w:rsidRPr="000673D0" w:rsidRDefault="00BE533C" w:rsidP="00BE533C">
      <w:pPr>
        <w:pStyle w:val="ListParagraph"/>
        <w:tabs>
          <w:tab w:val="left" w:pos="1860"/>
        </w:tabs>
        <w:rPr>
          <w:rFonts w:eastAsia="Arial Unicode MS" w:cs="Times New Roman"/>
          <w:color w:val="auto"/>
          <w:sz w:val="20"/>
          <w:szCs w:val="20"/>
          <w:lang w:val="es-ES" w:eastAsia="en-US"/>
        </w:rPr>
      </w:pPr>
      <w:r>
        <w:rPr>
          <w:rFonts w:eastAsia="Arial Unicode MS" w:cs="Times New Roman"/>
          <w:color w:val="auto"/>
          <w:sz w:val="20"/>
          <w:szCs w:val="20"/>
          <w:lang w:val="es-ES" w:eastAsia="en-US"/>
        </w:rPr>
        <w:tab/>
      </w:r>
    </w:p>
    <w:p w14:paraId="12A7002C" w14:textId="7845BB8E" w:rsidR="004A6A54" w:rsidRPr="000673D0"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673D0">
        <w:rPr>
          <w:rFonts w:asciiTheme="majorHAnsi" w:hAnsiTheme="majorHAnsi"/>
          <w:sz w:val="20"/>
          <w:szCs w:val="20"/>
          <w:lang w:val="es-ES"/>
        </w:rPr>
        <w:t>Notificar a las partes la presente decisión;</w:t>
      </w:r>
      <w:r w:rsidR="00154020">
        <w:rPr>
          <w:rFonts w:asciiTheme="majorHAnsi" w:hAnsiTheme="majorHAnsi"/>
          <w:sz w:val="20"/>
          <w:szCs w:val="20"/>
          <w:lang w:val="es-ES"/>
        </w:rPr>
        <w:t xml:space="preserve"> </w:t>
      </w:r>
      <w:r w:rsidR="00154020" w:rsidRPr="00ED6875">
        <w:rPr>
          <w:rFonts w:ascii="Cambria" w:hAnsi="Cambria"/>
          <w:sz w:val="20"/>
          <w:szCs w:val="20"/>
          <w:lang w:val="es-ES"/>
        </w:rPr>
        <w:t>continuar con el análisis del fondo de la cuestión</w:t>
      </w:r>
      <w:r w:rsidRPr="000673D0">
        <w:rPr>
          <w:rFonts w:asciiTheme="majorHAnsi" w:hAnsiTheme="majorHAnsi"/>
          <w:sz w:val="20"/>
          <w:szCs w:val="20"/>
          <w:lang w:val="es-ES"/>
        </w:rPr>
        <w:t xml:space="preserve"> y publicar esta decisión e incluirla en su Informe Anual a la Asamblea General de la Organización de los Estados Americanos.</w:t>
      </w:r>
    </w:p>
    <w:p w14:paraId="3AC183C9" w14:textId="369483BA" w:rsidR="00667713" w:rsidRPr="00A37B82" w:rsidRDefault="00667713" w:rsidP="00667713">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18</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667713" w:rsidRPr="00A37B82" w:rsidSect="00934A2C">
      <w:headerReference w:type="even" r:id="rId17"/>
      <w:headerReference w:type="default" r:id="rId18"/>
      <w:footerReference w:type="default" r:id="rId19"/>
      <w:footerReference w:type="first" r:id="rId20"/>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1FED4" w14:textId="77777777" w:rsidR="00110858" w:rsidRDefault="00110858">
      <w:r>
        <w:separator/>
      </w:r>
    </w:p>
  </w:endnote>
  <w:endnote w:type="continuationSeparator" w:id="0">
    <w:p w14:paraId="78FC2D9A" w14:textId="77777777" w:rsidR="00110858" w:rsidRDefault="00110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16961" w14:textId="77777777" w:rsidR="003B2A3A" w:rsidRDefault="003B2A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276914"/>
      <w:docPartObj>
        <w:docPartGallery w:val="Page Numbers (Bottom of Page)"/>
        <w:docPartUnique/>
      </w:docPartObj>
    </w:sdtPr>
    <w:sdtEndPr>
      <w:rPr>
        <w:noProof/>
        <w:sz w:val="16"/>
        <w:szCs w:val="22"/>
      </w:rPr>
    </w:sdtEndPr>
    <w:sdtContent>
      <w:p w14:paraId="612FB856" w14:textId="77777777" w:rsidR="00544CCE" w:rsidRPr="00934A2C" w:rsidRDefault="00544CC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544CCE" w:rsidRDefault="00544C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51C8E" w14:textId="77777777" w:rsidR="00544CCE" w:rsidRPr="00934A2C" w:rsidRDefault="00544CCE">
    <w:pPr>
      <w:pStyle w:val="Footer"/>
      <w:jc w:val="center"/>
      <w:rPr>
        <w:sz w:val="16"/>
        <w:szCs w:val="22"/>
      </w:rPr>
    </w:pPr>
  </w:p>
  <w:p w14:paraId="4EA5439C" w14:textId="77777777" w:rsidR="00544CCE" w:rsidRDefault="00544C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549D07A1" w:rsidR="00544CCE" w:rsidRPr="00934A2C" w:rsidRDefault="00544CC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B2A3A">
          <w:rPr>
            <w:noProof/>
            <w:sz w:val="16"/>
            <w:szCs w:val="22"/>
          </w:rPr>
          <w:t>1</w:t>
        </w:r>
        <w:r w:rsidRPr="00934A2C">
          <w:rPr>
            <w:noProof/>
            <w:sz w:val="16"/>
            <w:szCs w:val="22"/>
          </w:rPr>
          <w:fldChar w:fldCharType="end"/>
        </w:r>
      </w:p>
    </w:sdtContent>
  </w:sdt>
  <w:p w14:paraId="68530E6A" w14:textId="77777777" w:rsidR="00544CCE" w:rsidRDefault="00544CC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544CCE" w:rsidRPr="00934A2C" w:rsidRDefault="00544CCE">
    <w:pPr>
      <w:pStyle w:val="Footer"/>
      <w:jc w:val="center"/>
      <w:rPr>
        <w:sz w:val="16"/>
        <w:szCs w:val="22"/>
      </w:rPr>
    </w:pPr>
  </w:p>
  <w:p w14:paraId="49059CE3" w14:textId="77777777" w:rsidR="00544CCE" w:rsidRDefault="00544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A0FD0" w14:textId="77777777" w:rsidR="00110858" w:rsidRPr="000F35ED" w:rsidRDefault="0011085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CB3578A" w14:textId="77777777" w:rsidR="00110858" w:rsidRPr="000F35ED" w:rsidRDefault="00110858" w:rsidP="000F35ED">
      <w:pPr>
        <w:rPr>
          <w:rFonts w:asciiTheme="majorHAnsi" w:hAnsiTheme="majorHAnsi"/>
          <w:sz w:val="16"/>
          <w:szCs w:val="16"/>
        </w:rPr>
      </w:pPr>
      <w:r w:rsidRPr="000F35ED">
        <w:rPr>
          <w:rFonts w:asciiTheme="majorHAnsi" w:hAnsiTheme="majorHAnsi"/>
          <w:sz w:val="16"/>
          <w:szCs w:val="16"/>
        </w:rPr>
        <w:separator/>
      </w:r>
    </w:p>
    <w:p w14:paraId="77321794" w14:textId="77777777" w:rsidR="00110858" w:rsidRPr="000F35ED" w:rsidRDefault="00110858"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AFBF825" w14:textId="77777777" w:rsidR="00110858" w:rsidRPr="000F35ED" w:rsidRDefault="00110858"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523EBBEB" w14:textId="510D2E7F" w:rsidR="00544CCE" w:rsidRPr="006E0D53" w:rsidRDefault="00544CCE" w:rsidP="00C1285C">
      <w:pPr>
        <w:pStyle w:val="FootnoteText"/>
        <w:ind w:firstLine="720"/>
        <w:jc w:val="both"/>
        <w:rPr>
          <w:rFonts w:asciiTheme="majorHAnsi" w:hAnsiTheme="majorHAnsi"/>
          <w:sz w:val="16"/>
          <w:szCs w:val="16"/>
          <w:lang w:val="es-PA"/>
        </w:rPr>
      </w:pPr>
      <w:r w:rsidRPr="006E0D53">
        <w:rPr>
          <w:rStyle w:val="FootnoteReference"/>
          <w:rFonts w:asciiTheme="majorHAnsi" w:hAnsiTheme="majorHAnsi"/>
          <w:sz w:val="16"/>
          <w:szCs w:val="16"/>
        </w:rPr>
        <w:footnoteRef/>
      </w:r>
      <w:r w:rsidRPr="006E0D53">
        <w:rPr>
          <w:rFonts w:asciiTheme="majorHAnsi" w:hAnsiTheme="majorHAnsi"/>
          <w:sz w:val="16"/>
          <w:szCs w:val="16"/>
          <w:lang w:val="es-PA"/>
        </w:rPr>
        <w:t xml:space="preserve"> </w:t>
      </w:r>
      <w:r w:rsidRPr="006E0D53">
        <w:rPr>
          <w:rFonts w:asciiTheme="majorHAnsi" w:hAnsiTheme="majorHAnsi"/>
          <w:sz w:val="16"/>
          <w:szCs w:val="16"/>
          <w:lang w:val="es-ES"/>
        </w:rPr>
        <w:t xml:space="preserve">Conforme a lo dispuesto en el artículo 17.2.a del Reglamento de la Comisión, </w:t>
      </w:r>
      <w:r w:rsidRPr="006E0D53">
        <w:rPr>
          <w:rFonts w:asciiTheme="majorHAnsi" w:hAnsiTheme="majorHAnsi"/>
          <w:color w:val="auto"/>
          <w:sz w:val="16"/>
          <w:szCs w:val="16"/>
          <w:lang w:val="es-ES"/>
        </w:rPr>
        <w:t xml:space="preserve">la Comisionada </w:t>
      </w:r>
      <w:r w:rsidRPr="006E0D53">
        <w:rPr>
          <w:rFonts w:asciiTheme="majorHAnsi" w:hAnsiTheme="majorHAnsi"/>
          <w:color w:val="000000" w:themeColor="text1"/>
          <w:sz w:val="16"/>
          <w:szCs w:val="16"/>
          <w:lang w:val="es-ES"/>
        </w:rPr>
        <w:t>Julissa Mantilla Falcón</w:t>
      </w:r>
      <w:r w:rsidRPr="006E0D53">
        <w:rPr>
          <w:rFonts w:asciiTheme="majorHAnsi" w:hAnsiTheme="majorHAnsi"/>
          <w:sz w:val="16"/>
          <w:szCs w:val="16"/>
          <w:lang w:val="es-ES"/>
        </w:rPr>
        <w:t xml:space="preserve">, de </w:t>
      </w:r>
      <w:r w:rsidRPr="006E0D53">
        <w:rPr>
          <w:rFonts w:asciiTheme="majorHAnsi" w:hAnsiTheme="majorHAnsi"/>
          <w:color w:val="auto"/>
          <w:sz w:val="16"/>
          <w:szCs w:val="16"/>
          <w:lang w:val="es-ES"/>
        </w:rPr>
        <w:t>nacionalidad peruana, no participó en el debate ni en la decisión del presente asunto.</w:t>
      </w:r>
    </w:p>
  </w:footnote>
  <w:footnote w:id="3">
    <w:p w14:paraId="3CB67836" w14:textId="74D9E9B1" w:rsidR="00544CCE" w:rsidRPr="00BF7851" w:rsidRDefault="00544CCE" w:rsidP="00BF7851">
      <w:pPr>
        <w:pStyle w:val="FootnoteText"/>
        <w:ind w:firstLine="720"/>
        <w:jc w:val="both"/>
        <w:rPr>
          <w:rFonts w:asciiTheme="majorHAnsi" w:hAnsiTheme="majorHAnsi"/>
          <w:sz w:val="16"/>
          <w:szCs w:val="16"/>
          <w:lang w:val="es-PA"/>
        </w:rPr>
      </w:pPr>
      <w:r w:rsidRPr="00BF7851">
        <w:rPr>
          <w:rStyle w:val="FootnoteReference"/>
          <w:rFonts w:asciiTheme="majorHAnsi" w:hAnsiTheme="majorHAnsi"/>
          <w:sz w:val="16"/>
          <w:szCs w:val="16"/>
        </w:rPr>
        <w:footnoteRef/>
      </w:r>
      <w:r w:rsidRPr="00BF7851">
        <w:rPr>
          <w:rFonts w:asciiTheme="majorHAnsi" w:hAnsiTheme="majorHAnsi"/>
          <w:sz w:val="16"/>
          <w:szCs w:val="16"/>
          <w:lang w:val="es-PA"/>
        </w:rPr>
        <w:t xml:space="preserve"> En adelante “la Convención Americana”.</w:t>
      </w:r>
    </w:p>
  </w:footnote>
  <w:footnote w:id="4">
    <w:p w14:paraId="08CD6656" w14:textId="77777777" w:rsidR="00544CCE" w:rsidRPr="006E0D53" w:rsidRDefault="00544CCE" w:rsidP="000673D0">
      <w:pPr>
        <w:pStyle w:val="FootnoteText"/>
        <w:ind w:firstLine="720"/>
        <w:jc w:val="both"/>
        <w:rPr>
          <w:rFonts w:asciiTheme="majorHAnsi" w:hAnsiTheme="majorHAnsi"/>
          <w:sz w:val="16"/>
          <w:szCs w:val="16"/>
          <w:lang w:val="es-ES"/>
        </w:rPr>
      </w:pPr>
      <w:r w:rsidRPr="006E0D53">
        <w:rPr>
          <w:rStyle w:val="FootnoteReference"/>
          <w:rFonts w:asciiTheme="majorHAnsi" w:hAnsiTheme="majorHAnsi"/>
          <w:sz w:val="16"/>
          <w:szCs w:val="16"/>
        </w:rPr>
        <w:footnoteRef/>
      </w:r>
      <w:r w:rsidRPr="006E0D53">
        <w:rPr>
          <w:rFonts w:asciiTheme="majorHAnsi" w:hAnsiTheme="majorHAnsi"/>
          <w:sz w:val="16"/>
          <w:szCs w:val="16"/>
          <w:lang w:val="es-ES"/>
        </w:rPr>
        <w:t xml:space="preserve"> Las observaciones de cada parte fueron debidamente trasladadas a la parte contraria.</w:t>
      </w:r>
    </w:p>
  </w:footnote>
  <w:footnote w:id="5">
    <w:p w14:paraId="7AD5EFE8" w14:textId="77777777" w:rsidR="006B4DAB" w:rsidRPr="006132CC" w:rsidRDefault="006B4DAB" w:rsidP="006B4DAB">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127/17</w:t>
      </w:r>
      <w:r>
        <w:rPr>
          <w:rFonts w:ascii="Cambria" w:hAnsi="Cambria"/>
          <w:sz w:val="16"/>
          <w:szCs w:val="16"/>
          <w:lang w:val="es-ES"/>
        </w:rPr>
        <w:t>, Petición 527-07</w:t>
      </w:r>
      <w:r w:rsidRPr="006132CC">
        <w:rPr>
          <w:rFonts w:ascii="Cambria" w:hAnsi="Cambria"/>
          <w:sz w:val="16"/>
          <w:szCs w:val="16"/>
          <w:lang w:val="es-ES"/>
        </w:rPr>
        <w:t xml:space="preserve">. Inadmisibilidad. Juan José Reséndiz Chávez. México. 29 de septiembre de 2017, </w:t>
      </w:r>
      <w:proofErr w:type="spellStart"/>
      <w:r w:rsidRPr="006132CC">
        <w:rPr>
          <w:rFonts w:ascii="Cambria" w:hAnsi="Cambria"/>
          <w:sz w:val="16"/>
          <w:szCs w:val="16"/>
          <w:lang w:val="es-ES"/>
        </w:rPr>
        <w:t>párrs</w:t>
      </w:r>
      <w:proofErr w:type="spellEnd"/>
      <w:r w:rsidRPr="006132CC">
        <w:rPr>
          <w:rFonts w:ascii="Cambria" w:hAnsi="Cambria"/>
          <w:sz w:val="16"/>
          <w:szCs w:val="16"/>
          <w:lang w:val="es-ES"/>
        </w:rPr>
        <w:t>. 9, 10 y 12.</w:t>
      </w:r>
    </w:p>
  </w:footnote>
  <w:footnote w:id="6">
    <w:p w14:paraId="1BD59703" w14:textId="77777777" w:rsidR="00F80C3F" w:rsidRPr="006132CC" w:rsidRDefault="00F80C3F" w:rsidP="00F80C3F">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16/18</w:t>
      </w:r>
      <w:r>
        <w:rPr>
          <w:rFonts w:ascii="Cambria" w:hAnsi="Cambria"/>
          <w:sz w:val="16"/>
          <w:szCs w:val="16"/>
          <w:lang w:val="es-ES"/>
        </w:rPr>
        <w:t>, Petición 884-07</w:t>
      </w:r>
      <w:r w:rsidRPr="006132CC">
        <w:rPr>
          <w:rFonts w:ascii="Cambria" w:hAnsi="Cambria"/>
          <w:sz w:val="16"/>
          <w:szCs w:val="16"/>
          <w:lang w:val="es-ES"/>
        </w:rPr>
        <w:t>. Admisibilidad. Victoria Piedad Palacios Tejada de Saavedra. Perú. 24 de febrero de 2018, párr. 12.</w:t>
      </w:r>
    </w:p>
  </w:footnote>
  <w:footnote w:id="7">
    <w:p w14:paraId="6E0594E5" w14:textId="4F196AE9" w:rsidR="0066145B" w:rsidRPr="007465EF" w:rsidRDefault="0066145B" w:rsidP="007465EF">
      <w:pPr>
        <w:pStyle w:val="FootnoteText"/>
        <w:ind w:firstLine="720"/>
        <w:jc w:val="both"/>
        <w:rPr>
          <w:rFonts w:asciiTheme="majorHAnsi" w:hAnsiTheme="majorHAnsi"/>
          <w:sz w:val="16"/>
          <w:szCs w:val="16"/>
          <w:lang w:val="es-PA"/>
        </w:rPr>
      </w:pPr>
      <w:r w:rsidRPr="007465EF">
        <w:rPr>
          <w:rStyle w:val="FootnoteReference"/>
          <w:rFonts w:asciiTheme="majorHAnsi" w:hAnsiTheme="majorHAnsi"/>
          <w:sz w:val="16"/>
          <w:szCs w:val="16"/>
        </w:rPr>
        <w:footnoteRef/>
      </w:r>
      <w:r w:rsidRPr="007465EF">
        <w:rPr>
          <w:rFonts w:asciiTheme="majorHAnsi" w:hAnsiTheme="majorHAnsi"/>
          <w:sz w:val="16"/>
          <w:szCs w:val="16"/>
          <w:lang w:val="es-PA"/>
        </w:rPr>
        <w:t xml:space="preserve"> CIDH, Informe No. 21/17, Caso 11.738, Fondo, Elba Clotilde </w:t>
      </w:r>
      <w:proofErr w:type="spellStart"/>
      <w:r w:rsidRPr="007465EF">
        <w:rPr>
          <w:rFonts w:asciiTheme="majorHAnsi" w:hAnsiTheme="majorHAnsi"/>
          <w:sz w:val="16"/>
          <w:szCs w:val="16"/>
          <w:lang w:val="es-PA"/>
        </w:rPr>
        <w:t>Perrone</w:t>
      </w:r>
      <w:proofErr w:type="spellEnd"/>
      <w:r w:rsidRPr="007465EF">
        <w:rPr>
          <w:rFonts w:asciiTheme="majorHAnsi" w:hAnsiTheme="majorHAnsi"/>
          <w:sz w:val="16"/>
          <w:szCs w:val="16"/>
          <w:lang w:val="es-PA"/>
        </w:rPr>
        <w:t xml:space="preserve"> y Juan José </w:t>
      </w:r>
      <w:proofErr w:type="spellStart"/>
      <w:r w:rsidRPr="007465EF">
        <w:rPr>
          <w:rFonts w:asciiTheme="majorHAnsi" w:hAnsiTheme="majorHAnsi"/>
          <w:sz w:val="16"/>
          <w:szCs w:val="16"/>
          <w:lang w:val="es-PA"/>
        </w:rPr>
        <w:t>Preckel</w:t>
      </w:r>
      <w:proofErr w:type="spellEnd"/>
      <w:r w:rsidRPr="007465EF">
        <w:rPr>
          <w:rFonts w:asciiTheme="majorHAnsi" w:hAnsiTheme="majorHAnsi"/>
          <w:sz w:val="16"/>
          <w:szCs w:val="16"/>
          <w:lang w:val="es-PA"/>
        </w:rPr>
        <w:t>, Argentina, 18 de marzo de 2017, párr. 85.</w:t>
      </w:r>
    </w:p>
  </w:footnote>
  <w:footnote w:id="8">
    <w:p w14:paraId="14C8C9C8" w14:textId="66C40095" w:rsidR="00CD492D" w:rsidRPr="00CD492D" w:rsidRDefault="00CD492D" w:rsidP="007465EF">
      <w:pPr>
        <w:pStyle w:val="FootnoteText"/>
        <w:ind w:firstLine="720"/>
        <w:jc w:val="both"/>
        <w:rPr>
          <w:lang w:val="es-PA"/>
        </w:rPr>
      </w:pPr>
      <w:r w:rsidRPr="007465EF">
        <w:rPr>
          <w:rStyle w:val="FootnoteReference"/>
          <w:rFonts w:asciiTheme="majorHAnsi" w:hAnsiTheme="majorHAnsi"/>
          <w:sz w:val="16"/>
          <w:szCs w:val="16"/>
        </w:rPr>
        <w:footnoteRef/>
      </w:r>
      <w:r w:rsidRPr="0011272B">
        <w:rPr>
          <w:rFonts w:asciiTheme="majorHAnsi" w:hAnsiTheme="majorHAnsi"/>
          <w:sz w:val="16"/>
          <w:szCs w:val="16"/>
          <w:lang w:val="pt-BR"/>
        </w:rPr>
        <w:t xml:space="preserve"> </w:t>
      </w:r>
      <w:r w:rsidR="007465EF" w:rsidRPr="0011272B">
        <w:rPr>
          <w:rFonts w:asciiTheme="majorHAnsi" w:hAnsiTheme="majorHAnsi"/>
          <w:sz w:val="16"/>
          <w:szCs w:val="16"/>
          <w:lang w:val="pt-BR"/>
        </w:rPr>
        <w:t xml:space="preserve">Corte I.D.H, Flor Freire vs. Ecuador. </w:t>
      </w:r>
      <w:r w:rsidR="007465EF" w:rsidRPr="007465EF">
        <w:rPr>
          <w:rFonts w:asciiTheme="majorHAnsi" w:hAnsiTheme="majorHAnsi"/>
          <w:sz w:val="16"/>
          <w:szCs w:val="16"/>
          <w:lang w:val="es-PA"/>
        </w:rPr>
        <w:t>Sentencia de Excepción Preliminar, Fondo, Reparaciones y Costa. Sentencia de 31 de agosto de 2016, párr. 186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13B67" w14:textId="77777777" w:rsidR="00544CCE" w:rsidRDefault="00544CCE" w:rsidP="0074464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544CCE" w:rsidRDefault="00544C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481B9" w14:textId="77777777" w:rsidR="00544CCE" w:rsidRDefault="00544CCE"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544CCE" w:rsidRPr="00EC7D62" w:rsidRDefault="00110858"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62BB2" w14:textId="77777777" w:rsidR="003B2A3A" w:rsidRDefault="003B2A3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544CCE" w:rsidRDefault="00544CCE" w:rsidP="0074464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544CCE" w:rsidRDefault="00544CC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544CCE" w:rsidRDefault="00544CCE"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544CCE" w:rsidRPr="00EC7D62" w:rsidRDefault="00110858"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F60244D"/>
    <w:multiLevelType w:val="hybridMultilevel"/>
    <w:tmpl w:val="91DC24B4"/>
    <w:lvl w:ilvl="0" w:tplc="043478A8">
      <w:start w:val="18"/>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6"/>
  </w:num>
  <w:num w:numId="105">
    <w:abstractNumId w:val="55"/>
  </w:num>
  <w:num w:numId="106">
    <w:abstractNumId w:val="4"/>
  </w:num>
  <w:num w:numId="107">
    <w:abstractNumId w:val="32"/>
  </w:num>
  <w:num w:numId="108">
    <w:abstractNumId w:val="14"/>
  </w:num>
  <w:num w:numId="109">
    <w:abstractNumId w:val="47"/>
  </w:num>
  <w:num w:numId="110">
    <w:abstractNumId w:val="2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034"/>
    <w:rsid w:val="00001629"/>
    <w:rsid w:val="00006052"/>
    <w:rsid w:val="00006E1F"/>
    <w:rsid w:val="000070D7"/>
    <w:rsid w:val="0001788C"/>
    <w:rsid w:val="000257E2"/>
    <w:rsid w:val="000337EF"/>
    <w:rsid w:val="00040C3A"/>
    <w:rsid w:val="000419AD"/>
    <w:rsid w:val="000433C9"/>
    <w:rsid w:val="00050284"/>
    <w:rsid w:val="000673D0"/>
    <w:rsid w:val="000716C5"/>
    <w:rsid w:val="00073538"/>
    <w:rsid w:val="0007375C"/>
    <w:rsid w:val="00075E23"/>
    <w:rsid w:val="000869F2"/>
    <w:rsid w:val="00087F17"/>
    <w:rsid w:val="0009344A"/>
    <w:rsid w:val="000A392E"/>
    <w:rsid w:val="000A575F"/>
    <w:rsid w:val="000B04D4"/>
    <w:rsid w:val="000B5E85"/>
    <w:rsid w:val="000B7DC4"/>
    <w:rsid w:val="000D05CB"/>
    <w:rsid w:val="000D10DB"/>
    <w:rsid w:val="000E5EB5"/>
    <w:rsid w:val="000F35ED"/>
    <w:rsid w:val="00104635"/>
    <w:rsid w:val="00105964"/>
    <w:rsid w:val="00107131"/>
    <w:rsid w:val="0010736F"/>
    <w:rsid w:val="00110858"/>
    <w:rsid w:val="001123A2"/>
    <w:rsid w:val="0011272B"/>
    <w:rsid w:val="00113F73"/>
    <w:rsid w:val="00114186"/>
    <w:rsid w:val="00117B6F"/>
    <w:rsid w:val="00121A08"/>
    <w:rsid w:val="00121CC2"/>
    <w:rsid w:val="00122F86"/>
    <w:rsid w:val="001253C5"/>
    <w:rsid w:val="00126214"/>
    <w:rsid w:val="00131425"/>
    <w:rsid w:val="00133EE5"/>
    <w:rsid w:val="001401BA"/>
    <w:rsid w:val="00151E82"/>
    <w:rsid w:val="00154020"/>
    <w:rsid w:val="001550D0"/>
    <w:rsid w:val="00167A34"/>
    <w:rsid w:val="00170564"/>
    <w:rsid w:val="00183513"/>
    <w:rsid w:val="001A7870"/>
    <w:rsid w:val="001B3A00"/>
    <w:rsid w:val="001C1B41"/>
    <w:rsid w:val="001D016C"/>
    <w:rsid w:val="001D65EF"/>
    <w:rsid w:val="001E49E7"/>
    <w:rsid w:val="001F2442"/>
    <w:rsid w:val="001F7201"/>
    <w:rsid w:val="00206A4F"/>
    <w:rsid w:val="002129A2"/>
    <w:rsid w:val="00223A29"/>
    <w:rsid w:val="002250A3"/>
    <w:rsid w:val="002307D0"/>
    <w:rsid w:val="00232906"/>
    <w:rsid w:val="00233029"/>
    <w:rsid w:val="00235217"/>
    <w:rsid w:val="00237300"/>
    <w:rsid w:val="002379FC"/>
    <w:rsid w:val="00246D1F"/>
    <w:rsid w:val="00247403"/>
    <w:rsid w:val="00247542"/>
    <w:rsid w:val="002534B2"/>
    <w:rsid w:val="0025642C"/>
    <w:rsid w:val="00266B61"/>
    <w:rsid w:val="0026712A"/>
    <w:rsid w:val="002704DB"/>
    <w:rsid w:val="0027522A"/>
    <w:rsid w:val="00291B95"/>
    <w:rsid w:val="00293D18"/>
    <w:rsid w:val="0029490C"/>
    <w:rsid w:val="002A0AAE"/>
    <w:rsid w:val="002A5820"/>
    <w:rsid w:val="002D2B26"/>
    <w:rsid w:val="002D3B8E"/>
    <w:rsid w:val="002D7EA2"/>
    <w:rsid w:val="002E187C"/>
    <w:rsid w:val="002F5874"/>
    <w:rsid w:val="00302733"/>
    <w:rsid w:val="00306D7B"/>
    <w:rsid w:val="00314078"/>
    <w:rsid w:val="0031535D"/>
    <w:rsid w:val="00315555"/>
    <w:rsid w:val="003208EB"/>
    <w:rsid w:val="003239B8"/>
    <w:rsid w:val="0032599E"/>
    <w:rsid w:val="00330572"/>
    <w:rsid w:val="0033169F"/>
    <w:rsid w:val="00344977"/>
    <w:rsid w:val="003457A8"/>
    <w:rsid w:val="00346C95"/>
    <w:rsid w:val="00356185"/>
    <w:rsid w:val="00356657"/>
    <w:rsid w:val="00360380"/>
    <w:rsid w:val="00365178"/>
    <w:rsid w:val="003654E4"/>
    <w:rsid w:val="003713EF"/>
    <w:rsid w:val="0037519E"/>
    <w:rsid w:val="00380B98"/>
    <w:rsid w:val="0038546E"/>
    <w:rsid w:val="00386CF0"/>
    <w:rsid w:val="003A71F3"/>
    <w:rsid w:val="003B2A3A"/>
    <w:rsid w:val="003B5A7B"/>
    <w:rsid w:val="003B6E9C"/>
    <w:rsid w:val="003B70FB"/>
    <w:rsid w:val="003C3BCA"/>
    <w:rsid w:val="003C6443"/>
    <w:rsid w:val="003C676B"/>
    <w:rsid w:val="003D1C06"/>
    <w:rsid w:val="003D3BC2"/>
    <w:rsid w:val="003E6CA1"/>
    <w:rsid w:val="004065A8"/>
    <w:rsid w:val="004165C2"/>
    <w:rsid w:val="00421801"/>
    <w:rsid w:val="00425310"/>
    <w:rsid w:val="00434D45"/>
    <w:rsid w:val="00441ECB"/>
    <w:rsid w:val="00445193"/>
    <w:rsid w:val="00462C1B"/>
    <w:rsid w:val="00467B7E"/>
    <w:rsid w:val="00471F3C"/>
    <w:rsid w:val="00473BB4"/>
    <w:rsid w:val="00477592"/>
    <w:rsid w:val="00486F1C"/>
    <w:rsid w:val="0049419D"/>
    <w:rsid w:val="004945CA"/>
    <w:rsid w:val="004A5844"/>
    <w:rsid w:val="004A60C4"/>
    <w:rsid w:val="004A6A54"/>
    <w:rsid w:val="004B167A"/>
    <w:rsid w:val="004C20D2"/>
    <w:rsid w:val="004C2312"/>
    <w:rsid w:val="004C2929"/>
    <w:rsid w:val="004C4B62"/>
    <w:rsid w:val="004C54C9"/>
    <w:rsid w:val="004D308D"/>
    <w:rsid w:val="004D4ABA"/>
    <w:rsid w:val="004D6025"/>
    <w:rsid w:val="004E2649"/>
    <w:rsid w:val="004F1B82"/>
    <w:rsid w:val="004F626F"/>
    <w:rsid w:val="00501399"/>
    <w:rsid w:val="00502E34"/>
    <w:rsid w:val="0050633D"/>
    <w:rsid w:val="00507BC4"/>
    <w:rsid w:val="005128E4"/>
    <w:rsid w:val="005133DB"/>
    <w:rsid w:val="00514504"/>
    <w:rsid w:val="00524EDC"/>
    <w:rsid w:val="00525560"/>
    <w:rsid w:val="00532D2F"/>
    <w:rsid w:val="00544C49"/>
    <w:rsid w:val="00544CCE"/>
    <w:rsid w:val="00550772"/>
    <w:rsid w:val="00550F50"/>
    <w:rsid w:val="005516A1"/>
    <w:rsid w:val="0055412A"/>
    <w:rsid w:val="005559EF"/>
    <w:rsid w:val="00560B92"/>
    <w:rsid w:val="00563557"/>
    <w:rsid w:val="00565BB3"/>
    <w:rsid w:val="005665CB"/>
    <w:rsid w:val="0057402A"/>
    <w:rsid w:val="005771D0"/>
    <w:rsid w:val="0059191A"/>
    <w:rsid w:val="005921FF"/>
    <w:rsid w:val="005A24ED"/>
    <w:rsid w:val="005A6D0E"/>
    <w:rsid w:val="005A7843"/>
    <w:rsid w:val="005B5111"/>
    <w:rsid w:val="005B52B0"/>
    <w:rsid w:val="005B6806"/>
    <w:rsid w:val="005C3B7C"/>
    <w:rsid w:val="005C4225"/>
    <w:rsid w:val="005D0AE7"/>
    <w:rsid w:val="005E52AA"/>
    <w:rsid w:val="005E5681"/>
    <w:rsid w:val="005F0DAD"/>
    <w:rsid w:val="005F0F33"/>
    <w:rsid w:val="005F7A8D"/>
    <w:rsid w:val="00600DEB"/>
    <w:rsid w:val="00601F26"/>
    <w:rsid w:val="00605251"/>
    <w:rsid w:val="00607435"/>
    <w:rsid w:val="00610B1D"/>
    <w:rsid w:val="00615074"/>
    <w:rsid w:val="00627C9F"/>
    <w:rsid w:val="006311E9"/>
    <w:rsid w:val="00632354"/>
    <w:rsid w:val="00635421"/>
    <w:rsid w:val="00637201"/>
    <w:rsid w:val="00642810"/>
    <w:rsid w:val="00652333"/>
    <w:rsid w:val="0066145B"/>
    <w:rsid w:val="00667713"/>
    <w:rsid w:val="0067077A"/>
    <w:rsid w:val="00672709"/>
    <w:rsid w:val="006738EF"/>
    <w:rsid w:val="00675D21"/>
    <w:rsid w:val="00677B9B"/>
    <w:rsid w:val="0068009E"/>
    <w:rsid w:val="00682149"/>
    <w:rsid w:val="00692219"/>
    <w:rsid w:val="006A17D2"/>
    <w:rsid w:val="006A73E6"/>
    <w:rsid w:val="006B2D5C"/>
    <w:rsid w:val="006B4DAB"/>
    <w:rsid w:val="006C4EB1"/>
    <w:rsid w:val="006E0166"/>
    <w:rsid w:val="006E0D53"/>
    <w:rsid w:val="006E0F71"/>
    <w:rsid w:val="006E2FFB"/>
    <w:rsid w:val="006E7B34"/>
    <w:rsid w:val="0070697F"/>
    <w:rsid w:val="00711FCC"/>
    <w:rsid w:val="0072199C"/>
    <w:rsid w:val="00722C9F"/>
    <w:rsid w:val="007253B8"/>
    <w:rsid w:val="00726F26"/>
    <w:rsid w:val="00737197"/>
    <w:rsid w:val="0073741F"/>
    <w:rsid w:val="0074464F"/>
    <w:rsid w:val="007465EF"/>
    <w:rsid w:val="0075008F"/>
    <w:rsid w:val="0075440A"/>
    <w:rsid w:val="0076643F"/>
    <w:rsid w:val="0077184A"/>
    <w:rsid w:val="00777F63"/>
    <w:rsid w:val="007822E2"/>
    <w:rsid w:val="00787E65"/>
    <w:rsid w:val="007A5817"/>
    <w:rsid w:val="007B05C4"/>
    <w:rsid w:val="007B60E9"/>
    <w:rsid w:val="007B6CC3"/>
    <w:rsid w:val="007B76D3"/>
    <w:rsid w:val="007B7B95"/>
    <w:rsid w:val="007C3334"/>
    <w:rsid w:val="007C5E15"/>
    <w:rsid w:val="007D2698"/>
    <w:rsid w:val="007D2B98"/>
    <w:rsid w:val="007E21BC"/>
    <w:rsid w:val="007E3825"/>
    <w:rsid w:val="007E58B4"/>
    <w:rsid w:val="007E7C82"/>
    <w:rsid w:val="007F2AA1"/>
    <w:rsid w:val="007F3D65"/>
    <w:rsid w:val="007F588D"/>
    <w:rsid w:val="0080185B"/>
    <w:rsid w:val="00803F1C"/>
    <w:rsid w:val="0080600E"/>
    <w:rsid w:val="00810015"/>
    <w:rsid w:val="008135D0"/>
    <w:rsid w:val="00814688"/>
    <w:rsid w:val="00817612"/>
    <w:rsid w:val="008217E8"/>
    <w:rsid w:val="0083011F"/>
    <w:rsid w:val="008338A4"/>
    <w:rsid w:val="00834D49"/>
    <w:rsid w:val="008351F2"/>
    <w:rsid w:val="00837C45"/>
    <w:rsid w:val="00844730"/>
    <w:rsid w:val="008457C2"/>
    <w:rsid w:val="008556CD"/>
    <w:rsid w:val="00857A82"/>
    <w:rsid w:val="00873836"/>
    <w:rsid w:val="008747B8"/>
    <w:rsid w:val="00885737"/>
    <w:rsid w:val="00886A61"/>
    <w:rsid w:val="00890650"/>
    <w:rsid w:val="00890F4F"/>
    <w:rsid w:val="00893046"/>
    <w:rsid w:val="00894733"/>
    <w:rsid w:val="008947D6"/>
    <w:rsid w:val="0089527D"/>
    <w:rsid w:val="008963AD"/>
    <w:rsid w:val="00897E12"/>
    <w:rsid w:val="008A7E0F"/>
    <w:rsid w:val="008B12F5"/>
    <w:rsid w:val="008B2145"/>
    <w:rsid w:val="008B4291"/>
    <w:rsid w:val="008B7990"/>
    <w:rsid w:val="008C5E2D"/>
    <w:rsid w:val="008D1350"/>
    <w:rsid w:val="008D4BDE"/>
    <w:rsid w:val="008D768D"/>
    <w:rsid w:val="008E3759"/>
    <w:rsid w:val="008E3BFE"/>
    <w:rsid w:val="008F1912"/>
    <w:rsid w:val="008F79C2"/>
    <w:rsid w:val="0090270B"/>
    <w:rsid w:val="009041DC"/>
    <w:rsid w:val="00907E6C"/>
    <w:rsid w:val="0091292D"/>
    <w:rsid w:val="00912D32"/>
    <w:rsid w:val="00917B5A"/>
    <w:rsid w:val="00920A58"/>
    <w:rsid w:val="00920A8C"/>
    <w:rsid w:val="0093324F"/>
    <w:rsid w:val="00934A2C"/>
    <w:rsid w:val="00942FB0"/>
    <w:rsid w:val="00957C67"/>
    <w:rsid w:val="0096095B"/>
    <w:rsid w:val="0096706E"/>
    <w:rsid w:val="00974491"/>
    <w:rsid w:val="00975C4E"/>
    <w:rsid w:val="009766E2"/>
    <w:rsid w:val="00981FBA"/>
    <w:rsid w:val="00982C1A"/>
    <w:rsid w:val="00992A9B"/>
    <w:rsid w:val="00997BC5"/>
    <w:rsid w:val="009A43F0"/>
    <w:rsid w:val="009A4B90"/>
    <w:rsid w:val="009A4F41"/>
    <w:rsid w:val="009B2BBA"/>
    <w:rsid w:val="009B381B"/>
    <w:rsid w:val="009B51A5"/>
    <w:rsid w:val="009B5DF9"/>
    <w:rsid w:val="009C1A7F"/>
    <w:rsid w:val="009C1E1E"/>
    <w:rsid w:val="009D1753"/>
    <w:rsid w:val="009D7611"/>
    <w:rsid w:val="009E0B61"/>
    <w:rsid w:val="009E53DE"/>
    <w:rsid w:val="009E5506"/>
    <w:rsid w:val="009F5908"/>
    <w:rsid w:val="00A00483"/>
    <w:rsid w:val="00A03A53"/>
    <w:rsid w:val="00A11212"/>
    <w:rsid w:val="00A1165A"/>
    <w:rsid w:val="00A11E44"/>
    <w:rsid w:val="00A15CBD"/>
    <w:rsid w:val="00A166C0"/>
    <w:rsid w:val="00A24179"/>
    <w:rsid w:val="00A30100"/>
    <w:rsid w:val="00A31E2D"/>
    <w:rsid w:val="00A328B3"/>
    <w:rsid w:val="00A352A2"/>
    <w:rsid w:val="00A42259"/>
    <w:rsid w:val="00A50FCF"/>
    <w:rsid w:val="00A528D1"/>
    <w:rsid w:val="00A610CD"/>
    <w:rsid w:val="00A6358B"/>
    <w:rsid w:val="00A758AA"/>
    <w:rsid w:val="00A81E53"/>
    <w:rsid w:val="00AA09A2"/>
    <w:rsid w:val="00AA7996"/>
    <w:rsid w:val="00AB0468"/>
    <w:rsid w:val="00AB0896"/>
    <w:rsid w:val="00AB2CF2"/>
    <w:rsid w:val="00AB2E3E"/>
    <w:rsid w:val="00AB7254"/>
    <w:rsid w:val="00AC17F8"/>
    <w:rsid w:val="00AC19CB"/>
    <w:rsid w:val="00AC4866"/>
    <w:rsid w:val="00AD4153"/>
    <w:rsid w:val="00AD456D"/>
    <w:rsid w:val="00AD7A43"/>
    <w:rsid w:val="00AD7C07"/>
    <w:rsid w:val="00AE5488"/>
    <w:rsid w:val="00AE6F91"/>
    <w:rsid w:val="00AF0F15"/>
    <w:rsid w:val="00AF5571"/>
    <w:rsid w:val="00B07341"/>
    <w:rsid w:val="00B11828"/>
    <w:rsid w:val="00B21B61"/>
    <w:rsid w:val="00B248BA"/>
    <w:rsid w:val="00B30539"/>
    <w:rsid w:val="00B314DB"/>
    <w:rsid w:val="00B361F2"/>
    <w:rsid w:val="00B3718B"/>
    <w:rsid w:val="00B3745F"/>
    <w:rsid w:val="00B4632A"/>
    <w:rsid w:val="00B530F1"/>
    <w:rsid w:val="00B730AF"/>
    <w:rsid w:val="00B84777"/>
    <w:rsid w:val="00B9162F"/>
    <w:rsid w:val="00B96ABE"/>
    <w:rsid w:val="00BA1241"/>
    <w:rsid w:val="00BA276C"/>
    <w:rsid w:val="00BA54A9"/>
    <w:rsid w:val="00BB1DBF"/>
    <w:rsid w:val="00BB306F"/>
    <w:rsid w:val="00BB4418"/>
    <w:rsid w:val="00BB5303"/>
    <w:rsid w:val="00BB5B2B"/>
    <w:rsid w:val="00BC7686"/>
    <w:rsid w:val="00BD4B89"/>
    <w:rsid w:val="00BD5341"/>
    <w:rsid w:val="00BD57F2"/>
    <w:rsid w:val="00BD5922"/>
    <w:rsid w:val="00BE29A1"/>
    <w:rsid w:val="00BE533C"/>
    <w:rsid w:val="00BF02CB"/>
    <w:rsid w:val="00BF6FD8"/>
    <w:rsid w:val="00BF7851"/>
    <w:rsid w:val="00C03680"/>
    <w:rsid w:val="00C054DF"/>
    <w:rsid w:val="00C06298"/>
    <w:rsid w:val="00C1285C"/>
    <w:rsid w:val="00C21762"/>
    <w:rsid w:val="00C21FEF"/>
    <w:rsid w:val="00C23BA4"/>
    <w:rsid w:val="00C24543"/>
    <w:rsid w:val="00C256A2"/>
    <w:rsid w:val="00C25ADB"/>
    <w:rsid w:val="00C4720A"/>
    <w:rsid w:val="00C51515"/>
    <w:rsid w:val="00C5168D"/>
    <w:rsid w:val="00C5548C"/>
    <w:rsid w:val="00C5660B"/>
    <w:rsid w:val="00C66B72"/>
    <w:rsid w:val="00C71FE2"/>
    <w:rsid w:val="00C80D0E"/>
    <w:rsid w:val="00C87AC4"/>
    <w:rsid w:val="00C953B1"/>
    <w:rsid w:val="00C9567A"/>
    <w:rsid w:val="00C96913"/>
    <w:rsid w:val="00CA74D2"/>
    <w:rsid w:val="00CB212D"/>
    <w:rsid w:val="00CB2660"/>
    <w:rsid w:val="00CB7301"/>
    <w:rsid w:val="00CC5E90"/>
    <w:rsid w:val="00CC63E4"/>
    <w:rsid w:val="00CD046C"/>
    <w:rsid w:val="00CD492D"/>
    <w:rsid w:val="00CE076C"/>
    <w:rsid w:val="00CE5199"/>
    <w:rsid w:val="00CE66D5"/>
    <w:rsid w:val="00CF3698"/>
    <w:rsid w:val="00CF637A"/>
    <w:rsid w:val="00D02399"/>
    <w:rsid w:val="00D059DE"/>
    <w:rsid w:val="00D05ABD"/>
    <w:rsid w:val="00D13FCE"/>
    <w:rsid w:val="00D17253"/>
    <w:rsid w:val="00D306D1"/>
    <w:rsid w:val="00D30800"/>
    <w:rsid w:val="00D34786"/>
    <w:rsid w:val="00D35B0D"/>
    <w:rsid w:val="00D37BFC"/>
    <w:rsid w:val="00D42170"/>
    <w:rsid w:val="00D47A8E"/>
    <w:rsid w:val="00D51E4D"/>
    <w:rsid w:val="00D52D14"/>
    <w:rsid w:val="00D61E5B"/>
    <w:rsid w:val="00D712D3"/>
    <w:rsid w:val="00D71422"/>
    <w:rsid w:val="00D7212A"/>
    <w:rsid w:val="00D72DC6"/>
    <w:rsid w:val="00D7558D"/>
    <w:rsid w:val="00D81D92"/>
    <w:rsid w:val="00D84565"/>
    <w:rsid w:val="00D867BB"/>
    <w:rsid w:val="00D876F9"/>
    <w:rsid w:val="00DA01B0"/>
    <w:rsid w:val="00DA7B5F"/>
    <w:rsid w:val="00DB622C"/>
    <w:rsid w:val="00DC11E7"/>
    <w:rsid w:val="00DC24E3"/>
    <w:rsid w:val="00DC7023"/>
    <w:rsid w:val="00DC769A"/>
    <w:rsid w:val="00DD04D0"/>
    <w:rsid w:val="00DD04E7"/>
    <w:rsid w:val="00DD3D86"/>
    <w:rsid w:val="00DD4AD2"/>
    <w:rsid w:val="00DF1EC4"/>
    <w:rsid w:val="00E00097"/>
    <w:rsid w:val="00E0340B"/>
    <w:rsid w:val="00E04A90"/>
    <w:rsid w:val="00E0551F"/>
    <w:rsid w:val="00E219C7"/>
    <w:rsid w:val="00E33833"/>
    <w:rsid w:val="00E4118C"/>
    <w:rsid w:val="00E43157"/>
    <w:rsid w:val="00E461CE"/>
    <w:rsid w:val="00E53A0D"/>
    <w:rsid w:val="00E573E4"/>
    <w:rsid w:val="00E57B65"/>
    <w:rsid w:val="00E709B3"/>
    <w:rsid w:val="00E720CA"/>
    <w:rsid w:val="00E80667"/>
    <w:rsid w:val="00E84EB5"/>
    <w:rsid w:val="00E85662"/>
    <w:rsid w:val="00E8789F"/>
    <w:rsid w:val="00E97B71"/>
    <w:rsid w:val="00EA3D34"/>
    <w:rsid w:val="00EB2D50"/>
    <w:rsid w:val="00EB454D"/>
    <w:rsid w:val="00EB72BC"/>
    <w:rsid w:val="00EB7FF9"/>
    <w:rsid w:val="00EC6CBF"/>
    <w:rsid w:val="00ED549D"/>
    <w:rsid w:val="00ED76BE"/>
    <w:rsid w:val="00EE00E9"/>
    <w:rsid w:val="00EF1AAA"/>
    <w:rsid w:val="00EF619B"/>
    <w:rsid w:val="00F00B55"/>
    <w:rsid w:val="00F02AD1"/>
    <w:rsid w:val="00F05C0A"/>
    <w:rsid w:val="00F100CB"/>
    <w:rsid w:val="00F16F12"/>
    <w:rsid w:val="00F253CC"/>
    <w:rsid w:val="00F26EFD"/>
    <w:rsid w:val="00F369F4"/>
    <w:rsid w:val="00F37106"/>
    <w:rsid w:val="00F44E25"/>
    <w:rsid w:val="00F474DA"/>
    <w:rsid w:val="00F519CF"/>
    <w:rsid w:val="00F5266F"/>
    <w:rsid w:val="00F56BA5"/>
    <w:rsid w:val="00F60E22"/>
    <w:rsid w:val="00F73F5C"/>
    <w:rsid w:val="00F80C3F"/>
    <w:rsid w:val="00F81395"/>
    <w:rsid w:val="00F81BB8"/>
    <w:rsid w:val="00F90C64"/>
    <w:rsid w:val="00F917D1"/>
    <w:rsid w:val="00F91D76"/>
    <w:rsid w:val="00F94E7B"/>
    <w:rsid w:val="00F9653B"/>
    <w:rsid w:val="00FA58CD"/>
    <w:rsid w:val="00FB62CF"/>
    <w:rsid w:val="00FD101F"/>
    <w:rsid w:val="00FD3C3B"/>
    <w:rsid w:val="00FE013B"/>
    <w:rsid w:val="00FE07DD"/>
    <w:rsid w:val="00FE0A9E"/>
    <w:rsid w:val="00FE6B45"/>
    <w:rsid w:val="00FF0FB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uiPriority w:val="99"/>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uiPriority w:val="99"/>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04D4"/>
    <w:rPr>
      <w:sz w:val="16"/>
      <w:szCs w:val="16"/>
    </w:rPr>
  </w:style>
  <w:style w:type="paragraph" w:styleId="CommentText">
    <w:name w:val="annotation text"/>
    <w:basedOn w:val="Normal"/>
    <w:link w:val="CommentTextChar"/>
    <w:uiPriority w:val="99"/>
    <w:semiHidden/>
    <w:unhideWhenUsed/>
    <w:rsid w:val="000B04D4"/>
    <w:rPr>
      <w:sz w:val="20"/>
      <w:szCs w:val="20"/>
    </w:rPr>
  </w:style>
  <w:style w:type="character" w:customStyle="1" w:styleId="CommentTextChar">
    <w:name w:val="Comment Text Char"/>
    <w:basedOn w:val="DefaultParagraphFont"/>
    <w:link w:val="CommentText"/>
    <w:uiPriority w:val="99"/>
    <w:semiHidden/>
    <w:rsid w:val="000B04D4"/>
    <w:rPr>
      <w:lang w:val="en-US" w:eastAsia="en-US"/>
    </w:rPr>
  </w:style>
  <w:style w:type="paragraph" w:styleId="CommentSubject">
    <w:name w:val="annotation subject"/>
    <w:basedOn w:val="CommentText"/>
    <w:next w:val="CommentText"/>
    <w:link w:val="CommentSubjectChar"/>
    <w:uiPriority w:val="99"/>
    <w:semiHidden/>
    <w:unhideWhenUsed/>
    <w:rsid w:val="000B04D4"/>
    <w:rPr>
      <w:b/>
      <w:bCs/>
    </w:rPr>
  </w:style>
  <w:style w:type="character" w:customStyle="1" w:styleId="CommentSubjectChar">
    <w:name w:val="Comment Subject Char"/>
    <w:basedOn w:val="CommentTextChar"/>
    <w:link w:val="CommentSubject"/>
    <w:uiPriority w:val="99"/>
    <w:semiHidden/>
    <w:rsid w:val="000B04D4"/>
    <w:rPr>
      <w:b/>
      <w:bCs/>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A24179"/>
    <w:rPr>
      <w:rFonts w:ascii="Calibri" w:eastAsia="Times New Roman" w:hAnsi="Calibri"/>
      <w:color w:val="000000"/>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BB1DB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EndnoteReference">
    <w:name w:val="endnote reference"/>
    <w:basedOn w:val="DefaultParagraphFont"/>
    <w:uiPriority w:val="99"/>
    <w:semiHidden/>
    <w:unhideWhenUsed/>
    <w:rsid w:val="00B118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57627907CB4FF2B74FE239B14B7826"/>
        <w:category>
          <w:name w:val="General"/>
          <w:gallery w:val="placeholder"/>
        </w:category>
        <w:types>
          <w:type w:val="bbPlcHdr"/>
        </w:types>
        <w:behaviors>
          <w:behavior w:val="content"/>
        </w:behaviors>
        <w:guid w:val="{74EEB328-E666-482B-B8B7-9DAD3D55F6DD}"/>
      </w:docPartPr>
      <w:docPartBody>
        <w:p w:rsidR="00472EC9" w:rsidRDefault="00974E95" w:rsidP="00974E95">
          <w:pPr>
            <w:pStyle w:val="5657627907CB4FF2B74FE239B14B7826"/>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7270A"/>
    <w:rsid w:val="0011729C"/>
    <w:rsid w:val="00166883"/>
    <w:rsid w:val="00200821"/>
    <w:rsid w:val="0025245B"/>
    <w:rsid w:val="002B2527"/>
    <w:rsid w:val="002F7F78"/>
    <w:rsid w:val="00354D03"/>
    <w:rsid w:val="00394049"/>
    <w:rsid w:val="003A7AA6"/>
    <w:rsid w:val="003E5F99"/>
    <w:rsid w:val="004040E0"/>
    <w:rsid w:val="00472EC9"/>
    <w:rsid w:val="004A1014"/>
    <w:rsid w:val="004B5BBB"/>
    <w:rsid w:val="004F2DF8"/>
    <w:rsid w:val="0056560D"/>
    <w:rsid w:val="006C4F35"/>
    <w:rsid w:val="006E7149"/>
    <w:rsid w:val="006F24A1"/>
    <w:rsid w:val="007D2DDA"/>
    <w:rsid w:val="00810AA5"/>
    <w:rsid w:val="008818BC"/>
    <w:rsid w:val="00974E95"/>
    <w:rsid w:val="009A261B"/>
    <w:rsid w:val="00A41635"/>
    <w:rsid w:val="00A915AF"/>
    <w:rsid w:val="00AA2E17"/>
    <w:rsid w:val="00AC15A4"/>
    <w:rsid w:val="00B0336C"/>
    <w:rsid w:val="00BB54B6"/>
    <w:rsid w:val="00C35B5F"/>
    <w:rsid w:val="00C4173D"/>
    <w:rsid w:val="00CF6DC0"/>
    <w:rsid w:val="00D241E9"/>
    <w:rsid w:val="00D7750D"/>
    <w:rsid w:val="00D85E3F"/>
    <w:rsid w:val="00DD1972"/>
    <w:rsid w:val="00DD3F81"/>
    <w:rsid w:val="00EC7C95"/>
    <w:rsid w:val="00F00D2F"/>
    <w:rsid w:val="00F12071"/>
    <w:rsid w:val="00F128DF"/>
    <w:rsid w:val="00F33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E95"/>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6F10F8106C6B41A68AE460B6FEC61D9E">
    <w:name w:val="6F10F8106C6B41A68AE460B6FEC61D9E"/>
    <w:rsid w:val="00C35B5F"/>
    <w:pPr>
      <w:spacing w:after="160" w:line="259" w:lineRule="auto"/>
    </w:pPr>
  </w:style>
  <w:style w:type="paragraph" w:customStyle="1" w:styleId="5657627907CB4FF2B74FE239B14B7826">
    <w:name w:val="5657627907CB4FF2B74FE239B14B7826"/>
    <w:rsid w:val="00974E9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FD429-1A09-459C-8E4B-731546B99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3237</Words>
  <Characters>17064</Characters>
  <Application>Microsoft Office Word</Application>
  <DocSecurity>0</DocSecurity>
  <Lines>316</Lines>
  <Paragraphs>88</Paragraphs>
  <ScaleCrop>false</ScaleCrop>
  <Company/>
  <LinksUpToDate>false</LinksUpToDate>
  <CharactersWithSpaces>20213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322/20</dc:title>
  <dc:creator/>
  <cp:lastModifiedBy/>
  <cp:revision>1</cp:revision>
  <dcterms:created xsi:type="dcterms:W3CDTF">2021-01-13T15:17:00Z</dcterms:created>
  <dcterms:modified xsi:type="dcterms:W3CDTF">2021-01-13T15:18:00Z</dcterms:modified>
</cp:coreProperties>
</file>