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4E58FA" w:rsidRDefault="00D306D1" w:rsidP="00627C9F">
      <w:pPr>
        <w:jc w:val="both"/>
        <w:rPr>
          <w:rFonts w:asciiTheme="majorHAnsi" w:hAnsiTheme="majorHAnsi" w:cs="Univers"/>
          <w:b/>
          <w:bCs/>
          <w:sz w:val="20"/>
          <w:szCs w:val="20"/>
          <w:lang w:val="es-ES_tradnl"/>
        </w:rPr>
      </w:pPr>
      <w:r w:rsidRPr="004E58FA">
        <w:rPr>
          <w:rFonts w:asciiTheme="majorHAnsi" w:hAnsiTheme="majorHAnsi"/>
          <w:noProof/>
          <w:sz w:val="20"/>
          <w:szCs w:val="20"/>
          <w:lang w:val="en-US" w:eastAsia="en-US"/>
        </w:rPr>
        <mc:AlternateContent>
          <mc:Choice Requires="wps">
            <w:drawing>
              <wp:anchor distT="0" distB="0" distL="114300" distR="114300" simplePos="0" relativeHeight="251661311" behindDoc="0" locked="0" layoutInCell="1" allowOverlap="1" wp14:anchorId="7B5909B6" wp14:editId="21D6880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A1B78F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E58FA">
        <w:rPr>
          <w:rFonts w:asciiTheme="majorHAnsi" w:hAnsiTheme="majorHAnsi"/>
          <w:noProof/>
          <w:sz w:val="20"/>
          <w:szCs w:val="20"/>
          <w:lang w:val="en-US" w:eastAsia="en-US"/>
        </w:rPr>
        <mc:AlternateContent>
          <mc:Choice Requires="wps">
            <w:drawing>
              <wp:anchor distT="0" distB="0" distL="114300" distR="114300" simplePos="0" relativeHeight="251673600" behindDoc="0" locked="0" layoutInCell="1" allowOverlap="1" wp14:anchorId="3E2D203A" wp14:editId="643A26F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3088" w:rsidRDefault="00243088" w:rsidP="00AE5488">
                            <w:r>
                              <w:rPr>
                                <w:noProof/>
                                <w:lang w:val="en-US" w:eastAsia="en-US"/>
                              </w:rPr>
                              <w:drawing>
                                <wp:inline distT="0" distB="0" distL="0" distR="0" wp14:anchorId="52159EA7" wp14:editId="22743D9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2D203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43088" w:rsidRDefault="00243088" w:rsidP="00AE5488">
                      <w:r>
                        <w:rPr>
                          <w:noProof/>
                          <w:lang w:val="en-US" w:eastAsia="en-US"/>
                        </w:rPr>
                        <w:drawing>
                          <wp:inline distT="0" distB="0" distL="0" distR="0" wp14:anchorId="52159EA7" wp14:editId="22743D9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4E58FA" w:rsidRDefault="00040C3A" w:rsidP="00040C3A">
      <w:pPr>
        <w:tabs>
          <w:tab w:val="center" w:pos="5400"/>
        </w:tabs>
        <w:suppressAutoHyphens/>
        <w:jc w:val="both"/>
        <w:rPr>
          <w:rFonts w:asciiTheme="majorHAnsi" w:hAnsiTheme="majorHAnsi"/>
          <w:sz w:val="20"/>
          <w:szCs w:val="20"/>
          <w:lang w:val="es-ES"/>
        </w:rPr>
      </w:pPr>
    </w:p>
    <w:p w:rsidR="00040C3A" w:rsidRPr="004E58FA" w:rsidRDefault="00040C3A" w:rsidP="00040C3A">
      <w:pPr>
        <w:tabs>
          <w:tab w:val="center" w:pos="5400"/>
        </w:tabs>
        <w:suppressAutoHyphens/>
        <w:jc w:val="both"/>
        <w:rPr>
          <w:rFonts w:asciiTheme="majorHAnsi" w:hAnsiTheme="majorHAnsi"/>
          <w:sz w:val="20"/>
          <w:szCs w:val="20"/>
          <w:lang w:val="es-ES"/>
        </w:rPr>
      </w:pPr>
    </w:p>
    <w:p w:rsidR="005128E4" w:rsidRPr="004E58FA" w:rsidRDefault="005128E4" w:rsidP="00040C3A">
      <w:pPr>
        <w:tabs>
          <w:tab w:val="center" w:pos="5400"/>
        </w:tabs>
        <w:suppressAutoHyphens/>
        <w:rPr>
          <w:rFonts w:asciiTheme="majorHAnsi" w:hAnsiTheme="majorHAnsi"/>
          <w:sz w:val="20"/>
          <w:szCs w:val="20"/>
          <w:lang w:val="es-ES_tradnl"/>
        </w:rPr>
      </w:pPr>
    </w:p>
    <w:p w:rsidR="005128E4" w:rsidRPr="004E58FA" w:rsidRDefault="005128E4" w:rsidP="00040C3A">
      <w:pPr>
        <w:tabs>
          <w:tab w:val="center" w:pos="5400"/>
        </w:tabs>
        <w:suppressAutoHyphens/>
        <w:rPr>
          <w:rFonts w:asciiTheme="majorHAnsi" w:hAnsiTheme="majorHAnsi"/>
          <w:sz w:val="20"/>
          <w:szCs w:val="20"/>
          <w:lang w:val="es-ES_tradnl"/>
        </w:rPr>
      </w:pPr>
    </w:p>
    <w:p w:rsidR="005128E4" w:rsidRPr="004E58FA" w:rsidRDefault="005128E4" w:rsidP="00040C3A">
      <w:pPr>
        <w:tabs>
          <w:tab w:val="center" w:pos="5400"/>
        </w:tabs>
        <w:suppressAutoHyphens/>
        <w:rPr>
          <w:rFonts w:asciiTheme="majorHAnsi" w:hAnsiTheme="majorHAnsi"/>
          <w:sz w:val="20"/>
          <w:szCs w:val="20"/>
          <w:lang w:val="es-ES_tradnl"/>
        </w:rPr>
      </w:pPr>
    </w:p>
    <w:p w:rsidR="00040C3A" w:rsidRPr="004E58FA" w:rsidRDefault="00040C3A" w:rsidP="005128E4">
      <w:pPr>
        <w:tabs>
          <w:tab w:val="center" w:pos="5400"/>
        </w:tabs>
        <w:suppressAutoHyphens/>
        <w:jc w:val="center"/>
        <w:rPr>
          <w:rFonts w:asciiTheme="majorHAnsi" w:hAnsiTheme="majorHAnsi"/>
          <w:sz w:val="20"/>
          <w:szCs w:val="20"/>
          <w:lang w:val="es-ES_tradnl"/>
        </w:rPr>
      </w:pPr>
    </w:p>
    <w:p w:rsidR="00040C3A" w:rsidRPr="004E58FA" w:rsidRDefault="00040C3A" w:rsidP="005128E4">
      <w:pPr>
        <w:tabs>
          <w:tab w:val="center" w:pos="5400"/>
        </w:tabs>
        <w:suppressAutoHyphens/>
        <w:jc w:val="center"/>
        <w:rPr>
          <w:rFonts w:asciiTheme="majorHAnsi" w:hAnsiTheme="majorHAnsi"/>
          <w:sz w:val="20"/>
          <w:szCs w:val="20"/>
          <w:lang w:val="es-ES_tradnl"/>
        </w:rPr>
      </w:pPr>
    </w:p>
    <w:p w:rsidR="005B52B0" w:rsidRPr="004E58FA" w:rsidRDefault="005B52B0" w:rsidP="005128E4">
      <w:pPr>
        <w:tabs>
          <w:tab w:val="center" w:pos="5400"/>
        </w:tabs>
        <w:suppressAutoHyphens/>
        <w:jc w:val="center"/>
        <w:rPr>
          <w:rFonts w:asciiTheme="majorHAnsi" w:hAnsiTheme="majorHAnsi"/>
          <w:sz w:val="20"/>
          <w:szCs w:val="20"/>
          <w:lang w:val="es-ES_tradnl"/>
        </w:rPr>
      </w:pPr>
    </w:p>
    <w:p w:rsidR="005B52B0" w:rsidRPr="004E58FA" w:rsidRDefault="005B52B0" w:rsidP="005128E4">
      <w:pPr>
        <w:tabs>
          <w:tab w:val="center" w:pos="5400"/>
        </w:tabs>
        <w:suppressAutoHyphens/>
        <w:jc w:val="center"/>
        <w:rPr>
          <w:rFonts w:asciiTheme="majorHAnsi" w:hAnsiTheme="majorHAnsi"/>
          <w:sz w:val="20"/>
          <w:szCs w:val="20"/>
          <w:lang w:val="es-ES_tradnl"/>
        </w:rPr>
      </w:pPr>
    </w:p>
    <w:p w:rsidR="005B52B0" w:rsidRPr="004E58FA" w:rsidRDefault="005B52B0" w:rsidP="005128E4">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040C3A" w:rsidRPr="004E58FA" w:rsidRDefault="003D3BC2" w:rsidP="00040C3A">
      <w:pPr>
        <w:tabs>
          <w:tab w:val="center" w:pos="5400"/>
        </w:tabs>
        <w:suppressAutoHyphens/>
        <w:jc w:val="center"/>
        <w:rPr>
          <w:rFonts w:asciiTheme="majorHAnsi" w:hAnsiTheme="majorHAnsi"/>
          <w:sz w:val="20"/>
          <w:szCs w:val="20"/>
          <w:lang w:val="es-ES_tradnl"/>
        </w:rPr>
      </w:pPr>
      <w:r w:rsidRPr="004E58FA">
        <w:rPr>
          <w:rFonts w:asciiTheme="majorHAnsi" w:hAnsiTheme="majorHAnsi"/>
          <w:noProof/>
          <w:sz w:val="20"/>
          <w:szCs w:val="20"/>
          <w:lang w:val="en-US" w:eastAsia="en-US"/>
        </w:rPr>
        <mc:AlternateContent>
          <mc:Choice Requires="wps">
            <w:drawing>
              <wp:anchor distT="0" distB="0" distL="114300" distR="114300" simplePos="0" relativeHeight="251669504" behindDoc="0" locked="0" layoutInCell="1" allowOverlap="1" wp14:anchorId="25F4A52C" wp14:editId="3571569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3088" w:rsidRPr="004E2649" w:rsidRDefault="0024308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06A58">
                              <w:rPr>
                                <w:rFonts w:asciiTheme="majorHAnsi" w:hAnsiTheme="majorHAnsi" w:cs="Arial"/>
                                <w:b/>
                                <w:bCs/>
                                <w:color w:val="0D0D0D" w:themeColor="text1" w:themeTint="F2"/>
                                <w:sz w:val="36"/>
                                <w:szCs w:val="22"/>
                                <w:lang w:val="es-ES_tradnl"/>
                              </w:rPr>
                              <w:t xml:space="preserve"> 36</w:t>
                            </w:r>
                            <w:r>
                              <w:rPr>
                                <w:rFonts w:asciiTheme="majorHAnsi" w:hAnsiTheme="majorHAnsi" w:cs="Arial"/>
                                <w:b/>
                                <w:bCs/>
                                <w:color w:val="0D0D0D" w:themeColor="text1" w:themeTint="F2"/>
                                <w:sz w:val="36"/>
                                <w:szCs w:val="22"/>
                                <w:lang w:val="es-ES_tradnl"/>
                              </w:rPr>
                              <w:t>/</w:t>
                            </w:r>
                            <w:r w:rsidR="00C85647">
                              <w:rPr>
                                <w:rFonts w:asciiTheme="majorHAnsi" w:hAnsiTheme="majorHAnsi" w:cs="Arial"/>
                                <w:b/>
                                <w:bCs/>
                                <w:color w:val="0D0D0D" w:themeColor="text1" w:themeTint="F2"/>
                                <w:sz w:val="36"/>
                                <w:szCs w:val="22"/>
                                <w:lang w:val="es-ES_tradnl"/>
                              </w:rPr>
                              <w:t>20</w:t>
                            </w:r>
                          </w:p>
                          <w:p w:rsidR="00243088" w:rsidRDefault="0024308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879-08</w:t>
                            </w:r>
                            <w:r w:rsidRPr="004E2649">
                              <w:rPr>
                                <w:rFonts w:asciiTheme="majorHAnsi" w:hAnsiTheme="majorHAnsi" w:cs="Arial"/>
                                <w:b/>
                                <w:color w:val="0D0D0D" w:themeColor="text1" w:themeTint="F2"/>
                                <w:sz w:val="36"/>
                                <w:szCs w:val="22"/>
                                <w:lang w:val="es-ES_tradnl"/>
                              </w:rPr>
                              <w:t xml:space="preserve"> </w:t>
                            </w:r>
                          </w:p>
                          <w:p w:rsidR="00243088" w:rsidRPr="0010736F" w:rsidRDefault="0024308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243088" w:rsidRPr="0010736F" w:rsidRDefault="00243088" w:rsidP="00997BC5">
                            <w:pPr>
                              <w:spacing w:line="276" w:lineRule="auto"/>
                              <w:rPr>
                                <w:rFonts w:asciiTheme="majorHAnsi" w:hAnsiTheme="majorHAnsi" w:cs="Arial"/>
                                <w:color w:val="0D0D0D" w:themeColor="text1" w:themeTint="F2"/>
                                <w:szCs w:val="22"/>
                                <w:lang w:val="es-ES_tradnl"/>
                              </w:rPr>
                            </w:pPr>
                            <w:bookmarkStart w:id="1" w:name="_ftnref1"/>
                          </w:p>
                          <w:p w:rsidR="00243088" w:rsidRPr="001E4F43" w:rsidRDefault="00243088" w:rsidP="00997BC5">
                            <w:pPr>
                              <w:spacing w:line="276" w:lineRule="auto"/>
                              <w:rPr>
                                <w:rFonts w:asciiTheme="majorHAnsi" w:hAnsiTheme="majorHAnsi" w:cs="Arial"/>
                                <w:szCs w:val="22"/>
                                <w:lang w:val="es-ES_tradnl"/>
                              </w:rPr>
                            </w:pPr>
                            <w:r w:rsidRPr="001E4F43">
                              <w:rPr>
                                <w:rFonts w:asciiTheme="majorHAnsi" w:hAnsiTheme="majorHAnsi" w:cs="Arial"/>
                                <w:szCs w:val="22"/>
                                <w:lang w:val="es-ES_tradnl"/>
                              </w:rPr>
                              <w:t>ROSA ELENA PARIAHUACHI PALACIOS Y OTRAS PERSONAS TRABAJADORAS DEL SECTOR AGRARIO</w:t>
                            </w:r>
                          </w:p>
                          <w:bookmarkEnd w:id="1"/>
                          <w:p w:rsidR="00243088" w:rsidRPr="0010736F" w:rsidRDefault="0024308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PERÚ </w:t>
                            </w:r>
                          </w:p>
                          <w:p w:rsidR="00243088" w:rsidRPr="00AE5488" w:rsidRDefault="0024308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F4A52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43088" w:rsidRPr="004E2649" w:rsidRDefault="0024308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06A58">
                        <w:rPr>
                          <w:rFonts w:asciiTheme="majorHAnsi" w:hAnsiTheme="majorHAnsi" w:cs="Arial"/>
                          <w:b/>
                          <w:bCs/>
                          <w:color w:val="0D0D0D" w:themeColor="text1" w:themeTint="F2"/>
                          <w:sz w:val="36"/>
                          <w:szCs w:val="22"/>
                          <w:lang w:val="es-ES_tradnl"/>
                        </w:rPr>
                        <w:t xml:space="preserve"> 36</w:t>
                      </w:r>
                      <w:r>
                        <w:rPr>
                          <w:rFonts w:asciiTheme="majorHAnsi" w:hAnsiTheme="majorHAnsi" w:cs="Arial"/>
                          <w:b/>
                          <w:bCs/>
                          <w:color w:val="0D0D0D" w:themeColor="text1" w:themeTint="F2"/>
                          <w:sz w:val="36"/>
                          <w:szCs w:val="22"/>
                          <w:lang w:val="es-ES_tradnl"/>
                        </w:rPr>
                        <w:t>/</w:t>
                      </w:r>
                      <w:r w:rsidR="00C85647">
                        <w:rPr>
                          <w:rFonts w:asciiTheme="majorHAnsi" w:hAnsiTheme="majorHAnsi" w:cs="Arial"/>
                          <w:b/>
                          <w:bCs/>
                          <w:color w:val="0D0D0D" w:themeColor="text1" w:themeTint="F2"/>
                          <w:sz w:val="36"/>
                          <w:szCs w:val="22"/>
                          <w:lang w:val="es-ES_tradnl"/>
                        </w:rPr>
                        <w:t>20</w:t>
                      </w:r>
                    </w:p>
                    <w:p w:rsidR="00243088" w:rsidRDefault="0024308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879-08</w:t>
                      </w:r>
                      <w:r w:rsidRPr="004E2649">
                        <w:rPr>
                          <w:rFonts w:asciiTheme="majorHAnsi" w:hAnsiTheme="majorHAnsi" w:cs="Arial"/>
                          <w:b/>
                          <w:color w:val="0D0D0D" w:themeColor="text1" w:themeTint="F2"/>
                          <w:sz w:val="36"/>
                          <w:szCs w:val="22"/>
                          <w:lang w:val="es-ES_tradnl"/>
                        </w:rPr>
                        <w:t xml:space="preserve"> </w:t>
                      </w:r>
                    </w:p>
                    <w:p w:rsidR="00243088" w:rsidRPr="0010736F" w:rsidRDefault="0024308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243088" w:rsidRPr="0010736F" w:rsidRDefault="00243088" w:rsidP="00997BC5">
                      <w:pPr>
                        <w:spacing w:line="276" w:lineRule="auto"/>
                        <w:rPr>
                          <w:rFonts w:asciiTheme="majorHAnsi" w:hAnsiTheme="majorHAnsi" w:cs="Arial"/>
                          <w:color w:val="0D0D0D" w:themeColor="text1" w:themeTint="F2"/>
                          <w:szCs w:val="22"/>
                          <w:lang w:val="es-ES_tradnl"/>
                        </w:rPr>
                      </w:pPr>
                      <w:bookmarkStart w:id="1" w:name="_ftnref1"/>
                    </w:p>
                    <w:p w:rsidR="00243088" w:rsidRPr="001E4F43" w:rsidRDefault="00243088" w:rsidP="00997BC5">
                      <w:pPr>
                        <w:spacing w:line="276" w:lineRule="auto"/>
                        <w:rPr>
                          <w:rFonts w:asciiTheme="majorHAnsi" w:hAnsiTheme="majorHAnsi" w:cs="Arial"/>
                          <w:szCs w:val="22"/>
                          <w:lang w:val="es-ES_tradnl"/>
                        </w:rPr>
                      </w:pPr>
                      <w:r w:rsidRPr="001E4F43">
                        <w:rPr>
                          <w:rFonts w:asciiTheme="majorHAnsi" w:hAnsiTheme="majorHAnsi" w:cs="Arial"/>
                          <w:szCs w:val="22"/>
                          <w:lang w:val="es-ES_tradnl"/>
                        </w:rPr>
                        <w:t>ROSA ELENA PARIAHUACHI PALACIOS Y OTRAS PERSONAS TRABAJADORAS DEL SECTOR AGRARIO</w:t>
                      </w:r>
                    </w:p>
                    <w:bookmarkEnd w:id="1"/>
                    <w:p w:rsidR="00243088" w:rsidRPr="0010736F" w:rsidRDefault="0024308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PERÚ </w:t>
                      </w:r>
                    </w:p>
                    <w:p w:rsidR="00243088" w:rsidRPr="00AE5488" w:rsidRDefault="00243088" w:rsidP="007A5817">
                      <w:pPr>
                        <w:rPr>
                          <w:color w:val="0D0D0D" w:themeColor="text1" w:themeTint="F2"/>
                          <w:lang w:val="es-ES_tradnl"/>
                        </w:rPr>
                      </w:pPr>
                    </w:p>
                  </w:txbxContent>
                </v:textbox>
              </v:shape>
            </w:pict>
          </mc:Fallback>
        </mc:AlternateContent>
      </w:r>
      <w:r w:rsidR="004E2649" w:rsidRPr="004E58FA">
        <w:rPr>
          <w:rFonts w:asciiTheme="majorHAnsi" w:hAnsiTheme="majorHAnsi"/>
          <w:noProof/>
          <w:sz w:val="20"/>
          <w:szCs w:val="20"/>
          <w:lang w:val="en-US" w:eastAsia="en-US"/>
        </w:rPr>
        <mc:AlternateContent>
          <mc:Choice Requires="wps">
            <w:drawing>
              <wp:anchor distT="0" distB="0" distL="114300" distR="114300" simplePos="0" relativeHeight="251671552" behindDoc="0" locked="0" layoutInCell="1" allowOverlap="1" wp14:anchorId="58147F67" wp14:editId="25687F5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3088" w:rsidRPr="004E2649" w:rsidRDefault="00106A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243088" w:rsidRPr="004E2649" w:rsidRDefault="00106A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46</w:t>
                            </w:r>
                          </w:p>
                          <w:p w:rsidR="00243088" w:rsidRPr="0081645A" w:rsidRDefault="00106A5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22 abril</w:t>
                            </w:r>
                            <w:r w:rsidR="008A259E" w:rsidRPr="0081645A">
                              <w:rPr>
                                <w:rFonts w:asciiTheme="minorHAnsi" w:hAnsiTheme="minorHAnsi"/>
                                <w:color w:val="FFFFFF" w:themeColor="background1"/>
                                <w:sz w:val="22"/>
                                <w:lang w:val="es-US"/>
                              </w:rPr>
                              <w:t xml:space="preserve"> 20</w:t>
                            </w:r>
                            <w:r w:rsidR="00C85647">
                              <w:rPr>
                                <w:rFonts w:asciiTheme="minorHAnsi" w:hAnsiTheme="minorHAnsi"/>
                                <w:color w:val="FFFFFF" w:themeColor="background1"/>
                                <w:sz w:val="22"/>
                                <w:lang w:val="es-US"/>
                              </w:rPr>
                              <w:t>20</w:t>
                            </w:r>
                          </w:p>
                          <w:p w:rsidR="00243088" w:rsidRPr="0081645A" w:rsidRDefault="00243088" w:rsidP="007A5817">
                            <w:pPr>
                              <w:spacing w:line="276" w:lineRule="auto"/>
                              <w:jc w:val="right"/>
                              <w:rPr>
                                <w:rFonts w:asciiTheme="minorHAnsi" w:hAnsiTheme="minorHAnsi"/>
                                <w:color w:val="FFFFFF" w:themeColor="background1"/>
                                <w:sz w:val="22"/>
                                <w:lang w:val="es-US"/>
                              </w:rPr>
                            </w:pPr>
                            <w:r w:rsidRPr="0081645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147F6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43088" w:rsidRPr="004E2649" w:rsidRDefault="00106A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243088" w:rsidRPr="004E2649" w:rsidRDefault="00106A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46</w:t>
                      </w:r>
                    </w:p>
                    <w:p w:rsidR="00243088" w:rsidRPr="0081645A" w:rsidRDefault="00106A5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22 abril</w:t>
                      </w:r>
                      <w:r w:rsidR="008A259E" w:rsidRPr="0081645A">
                        <w:rPr>
                          <w:rFonts w:asciiTheme="minorHAnsi" w:hAnsiTheme="minorHAnsi"/>
                          <w:color w:val="FFFFFF" w:themeColor="background1"/>
                          <w:sz w:val="22"/>
                          <w:lang w:val="es-US"/>
                        </w:rPr>
                        <w:t xml:space="preserve"> 20</w:t>
                      </w:r>
                      <w:r w:rsidR="00C85647">
                        <w:rPr>
                          <w:rFonts w:asciiTheme="minorHAnsi" w:hAnsiTheme="minorHAnsi"/>
                          <w:color w:val="FFFFFF" w:themeColor="background1"/>
                          <w:sz w:val="22"/>
                          <w:lang w:val="es-US"/>
                        </w:rPr>
                        <w:t>20</w:t>
                      </w:r>
                    </w:p>
                    <w:p w:rsidR="00243088" w:rsidRPr="0081645A" w:rsidRDefault="00243088" w:rsidP="007A5817">
                      <w:pPr>
                        <w:spacing w:line="276" w:lineRule="auto"/>
                        <w:jc w:val="right"/>
                        <w:rPr>
                          <w:rFonts w:asciiTheme="minorHAnsi" w:hAnsiTheme="minorHAnsi"/>
                          <w:color w:val="FFFFFF" w:themeColor="background1"/>
                          <w:sz w:val="22"/>
                          <w:lang w:val="es-US"/>
                        </w:rPr>
                      </w:pPr>
                      <w:r w:rsidRPr="0081645A">
                        <w:rPr>
                          <w:rFonts w:asciiTheme="minorHAnsi" w:hAnsiTheme="minorHAnsi"/>
                          <w:color w:val="FFFFFF" w:themeColor="background1"/>
                          <w:sz w:val="22"/>
                          <w:lang w:val="es-US"/>
                        </w:rPr>
                        <w:t>Original: español</w:t>
                      </w:r>
                    </w:p>
                  </w:txbxContent>
                </v:textbox>
              </v:shape>
            </w:pict>
          </mc:Fallback>
        </mc:AlternateContent>
      </w: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cs="Arial"/>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5128E4" w:rsidRPr="004E58FA" w:rsidRDefault="005128E4" w:rsidP="00040C3A">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5128E4" w:rsidRPr="004E58FA" w:rsidRDefault="005128E4" w:rsidP="00040C3A">
      <w:pPr>
        <w:tabs>
          <w:tab w:val="center" w:pos="5400"/>
        </w:tabs>
        <w:suppressAutoHyphens/>
        <w:jc w:val="center"/>
        <w:rPr>
          <w:rFonts w:asciiTheme="majorHAnsi" w:hAnsiTheme="majorHAnsi"/>
          <w:sz w:val="20"/>
          <w:szCs w:val="20"/>
          <w:lang w:val="es-ES_tradnl"/>
        </w:rPr>
      </w:pPr>
    </w:p>
    <w:p w:rsidR="005128E4" w:rsidRPr="004E58FA" w:rsidRDefault="005128E4" w:rsidP="00040C3A">
      <w:pPr>
        <w:tabs>
          <w:tab w:val="center" w:pos="5400"/>
        </w:tabs>
        <w:suppressAutoHyphens/>
        <w:jc w:val="center"/>
        <w:rPr>
          <w:rFonts w:asciiTheme="majorHAnsi" w:hAnsiTheme="majorHAnsi"/>
          <w:sz w:val="20"/>
          <w:szCs w:val="20"/>
          <w:lang w:val="es-ES_tradnl"/>
        </w:rPr>
      </w:pPr>
    </w:p>
    <w:p w:rsidR="005128E4" w:rsidRPr="004E58FA" w:rsidRDefault="005128E4" w:rsidP="00040C3A">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040C3A" w:rsidRPr="004E58FA" w:rsidRDefault="00040C3A"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90270B" w:rsidP="00040C3A">
      <w:pPr>
        <w:tabs>
          <w:tab w:val="center" w:pos="5400"/>
        </w:tabs>
        <w:suppressAutoHyphens/>
        <w:jc w:val="center"/>
        <w:rPr>
          <w:rFonts w:asciiTheme="majorHAnsi" w:hAnsiTheme="majorHAnsi"/>
          <w:sz w:val="20"/>
          <w:szCs w:val="20"/>
          <w:lang w:val="es-ES_tradnl"/>
        </w:rPr>
      </w:pPr>
      <w:r w:rsidRPr="004E58FA">
        <w:rPr>
          <w:rFonts w:asciiTheme="majorHAnsi" w:hAnsiTheme="majorHAnsi"/>
          <w:noProof/>
          <w:sz w:val="20"/>
          <w:szCs w:val="20"/>
          <w:lang w:val="en-US" w:eastAsia="en-US"/>
        </w:rPr>
        <mc:AlternateContent>
          <mc:Choice Requires="wps">
            <w:drawing>
              <wp:anchor distT="0" distB="0" distL="114300" distR="114300" simplePos="0" relativeHeight="251670528" behindDoc="0" locked="0" layoutInCell="1" allowOverlap="1" wp14:anchorId="34EAF0AC" wp14:editId="341FC0D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3088" w:rsidRPr="00890650" w:rsidRDefault="0024308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06A58">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106A58">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85647">
                              <w:rPr>
                                <w:rFonts w:asciiTheme="majorHAnsi" w:hAnsiTheme="majorHAnsi"/>
                                <w:color w:val="0D0D0D" w:themeColor="text1" w:themeTint="F2"/>
                                <w:sz w:val="18"/>
                                <w:szCs w:val="22"/>
                                <w:lang w:val="es-ES"/>
                              </w:rPr>
                              <w:t>20</w:t>
                            </w:r>
                          </w:p>
                          <w:p w:rsidR="00243088" w:rsidRPr="007A5817" w:rsidRDefault="00243088" w:rsidP="00247403">
                            <w:pPr>
                              <w:tabs>
                                <w:tab w:val="center" w:pos="5400"/>
                              </w:tabs>
                              <w:suppressAutoHyphens/>
                              <w:spacing w:before="60"/>
                              <w:rPr>
                                <w:rFonts w:asciiTheme="minorHAnsi" w:hAnsiTheme="minorHAnsi" w:cs="Univers"/>
                                <w:color w:val="0D0D0D" w:themeColor="text1" w:themeTint="F2"/>
                                <w:sz w:val="20"/>
                                <w:szCs w:val="20"/>
                                <w:lang w:val="es-ES"/>
                              </w:rPr>
                            </w:pPr>
                          </w:p>
                          <w:p w:rsidR="00243088" w:rsidRPr="00167A34" w:rsidRDefault="0024308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EAF0A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43088" w:rsidRPr="00890650" w:rsidRDefault="0024308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proofErr w:type="spellEnd"/>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06A58">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106A58">
                        <w:rPr>
                          <w:rFonts w:asciiTheme="majorHAnsi" w:hAnsiTheme="majorHAnsi"/>
                          <w:color w:val="0D0D0D" w:themeColor="text1" w:themeTint="F2"/>
                          <w:sz w:val="18"/>
                          <w:szCs w:val="22"/>
                          <w:lang w:val="es-ES"/>
                        </w:rPr>
                        <w:t>abril</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85647">
                        <w:rPr>
                          <w:rFonts w:asciiTheme="majorHAnsi" w:hAnsiTheme="majorHAnsi"/>
                          <w:color w:val="0D0D0D" w:themeColor="text1" w:themeTint="F2"/>
                          <w:sz w:val="18"/>
                          <w:szCs w:val="22"/>
                          <w:lang w:val="es-ES"/>
                        </w:rPr>
                        <w:t>20</w:t>
                      </w:r>
                    </w:p>
                    <w:p w:rsidR="00243088" w:rsidRPr="007A5817" w:rsidRDefault="00243088" w:rsidP="00247403">
                      <w:pPr>
                        <w:tabs>
                          <w:tab w:val="center" w:pos="5400"/>
                        </w:tabs>
                        <w:suppressAutoHyphens/>
                        <w:spacing w:before="60"/>
                        <w:rPr>
                          <w:rFonts w:asciiTheme="minorHAnsi" w:hAnsiTheme="minorHAnsi" w:cs="Univers"/>
                          <w:color w:val="0D0D0D" w:themeColor="text1" w:themeTint="F2"/>
                          <w:sz w:val="20"/>
                          <w:szCs w:val="20"/>
                          <w:lang w:val="es-ES"/>
                        </w:rPr>
                      </w:pPr>
                    </w:p>
                    <w:p w:rsidR="00243088" w:rsidRPr="00167A34" w:rsidRDefault="0024308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4E58FA" w:rsidRDefault="00A50FCF" w:rsidP="00040C3A">
      <w:pPr>
        <w:tabs>
          <w:tab w:val="center" w:pos="5400"/>
        </w:tabs>
        <w:suppressAutoHyphens/>
        <w:jc w:val="center"/>
        <w:rPr>
          <w:rFonts w:asciiTheme="majorHAnsi" w:hAnsiTheme="majorHAnsi"/>
          <w:sz w:val="20"/>
          <w:szCs w:val="20"/>
          <w:lang w:val="es-ES_tradnl"/>
        </w:rPr>
      </w:pPr>
    </w:p>
    <w:p w:rsidR="00A50FCF" w:rsidRPr="00C21237" w:rsidRDefault="0090270B" w:rsidP="00040C3A">
      <w:pPr>
        <w:tabs>
          <w:tab w:val="center" w:pos="5400"/>
        </w:tabs>
        <w:suppressAutoHyphens/>
        <w:jc w:val="center"/>
        <w:rPr>
          <w:rFonts w:asciiTheme="majorHAnsi" w:hAnsiTheme="majorHAnsi"/>
          <w:sz w:val="20"/>
          <w:szCs w:val="20"/>
          <w:lang w:val="es-ES_tradnl"/>
        </w:rPr>
      </w:pPr>
      <w:r w:rsidRPr="00C21237">
        <w:rPr>
          <w:rFonts w:asciiTheme="majorHAnsi" w:hAnsiTheme="majorHAnsi"/>
          <w:noProof/>
          <w:sz w:val="20"/>
          <w:szCs w:val="20"/>
          <w:lang w:val="en-US" w:eastAsia="en-US"/>
        </w:rPr>
        <mc:AlternateContent>
          <mc:Choice Requires="wps">
            <w:drawing>
              <wp:anchor distT="0" distB="0" distL="114300" distR="114300" simplePos="0" relativeHeight="251678720" behindDoc="0" locked="0" layoutInCell="1" allowOverlap="1" wp14:anchorId="4134CC98" wp14:editId="2199C5A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3088" w:rsidRPr="007B05C4" w:rsidRDefault="0024308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6A58" w:rsidRPr="00106A58">
                              <w:rPr>
                                <w:rFonts w:asciiTheme="majorHAnsi" w:hAnsiTheme="majorHAnsi"/>
                                <w:color w:val="595959" w:themeColor="text1" w:themeTint="A6"/>
                                <w:sz w:val="18"/>
                                <w:szCs w:val="18"/>
                                <w:lang w:val="pt-BR"/>
                              </w:rPr>
                              <w:t>36</w:t>
                            </w:r>
                            <w:r w:rsidRPr="00106A58">
                              <w:rPr>
                                <w:rFonts w:asciiTheme="majorHAnsi" w:hAnsiTheme="majorHAnsi"/>
                                <w:color w:val="595959" w:themeColor="text1" w:themeTint="A6"/>
                                <w:sz w:val="18"/>
                                <w:szCs w:val="18"/>
                                <w:lang w:val="pt-BR"/>
                              </w:rPr>
                              <w:t>/</w:t>
                            </w:r>
                            <w:r w:rsidR="00106A58" w:rsidRPr="00106A58">
                              <w:rPr>
                                <w:rFonts w:asciiTheme="majorHAnsi" w:hAnsiTheme="majorHAnsi"/>
                                <w:color w:val="595959" w:themeColor="text1" w:themeTint="A6"/>
                                <w:sz w:val="18"/>
                                <w:szCs w:val="18"/>
                                <w:lang w:val="pt-BR"/>
                              </w:rPr>
                              <w:t>20</w:t>
                            </w:r>
                            <w:r w:rsidRPr="00106A5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06A58">
                              <w:rPr>
                                <w:rFonts w:asciiTheme="majorHAnsi" w:hAnsiTheme="majorHAnsi"/>
                                <w:color w:val="595959" w:themeColor="text1" w:themeTint="A6"/>
                                <w:sz w:val="18"/>
                                <w:szCs w:val="18"/>
                                <w:lang w:val="es-ES"/>
                              </w:rPr>
                              <w:t>879-08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06A58">
                              <w:rPr>
                                <w:rFonts w:asciiTheme="majorHAnsi" w:hAnsiTheme="majorHAnsi"/>
                                <w:color w:val="595959" w:themeColor="text1" w:themeTint="A6"/>
                                <w:sz w:val="18"/>
                                <w:szCs w:val="18"/>
                                <w:lang w:val="es-ES_tradnl"/>
                              </w:rPr>
                              <w:t>Rosa</w:t>
                            </w:r>
                            <w:r w:rsidR="00896667">
                              <w:rPr>
                                <w:rFonts w:asciiTheme="majorHAnsi" w:hAnsiTheme="majorHAnsi"/>
                                <w:color w:val="595959" w:themeColor="text1" w:themeTint="A6"/>
                                <w:sz w:val="18"/>
                                <w:szCs w:val="18"/>
                                <w:lang w:val="es-ES_tradnl"/>
                              </w:rPr>
                              <w:t xml:space="preserve"> Elena </w:t>
                            </w:r>
                            <w:proofErr w:type="spellStart"/>
                            <w:r w:rsidR="00896667">
                              <w:rPr>
                                <w:rFonts w:asciiTheme="majorHAnsi" w:hAnsiTheme="majorHAnsi"/>
                                <w:color w:val="595959" w:themeColor="text1" w:themeTint="A6"/>
                                <w:sz w:val="18"/>
                                <w:szCs w:val="18"/>
                                <w:lang w:val="es-ES_tradnl"/>
                              </w:rPr>
                              <w:t>Pariahuachi</w:t>
                            </w:r>
                            <w:proofErr w:type="spellEnd"/>
                            <w:r w:rsidR="00896667">
                              <w:rPr>
                                <w:rFonts w:asciiTheme="majorHAnsi" w:hAnsiTheme="majorHAnsi"/>
                                <w:color w:val="595959" w:themeColor="text1" w:themeTint="A6"/>
                                <w:sz w:val="18"/>
                                <w:szCs w:val="18"/>
                                <w:lang w:val="es-ES_tradnl"/>
                              </w:rPr>
                              <w:t xml:space="preserve"> Palacios y otras personas trabajadoras del sector agrario</w:t>
                            </w:r>
                            <w:r w:rsidRPr="00890650">
                              <w:rPr>
                                <w:rFonts w:asciiTheme="majorHAnsi" w:hAnsiTheme="majorHAnsi"/>
                                <w:color w:val="595959" w:themeColor="text1" w:themeTint="A6"/>
                                <w:sz w:val="18"/>
                                <w:szCs w:val="18"/>
                                <w:lang w:val="es-ES_tradnl"/>
                              </w:rPr>
                              <w:t xml:space="preserve">. </w:t>
                            </w:r>
                            <w:r w:rsidR="00106A5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106A58">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34CC98"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43088" w:rsidRPr="007B05C4" w:rsidRDefault="0024308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06A58" w:rsidRPr="00106A58">
                        <w:rPr>
                          <w:rFonts w:asciiTheme="majorHAnsi" w:hAnsiTheme="majorHAnsi"/>
                          <w:color w:val="595959" w:themeColor="text1" w:themeTint="A6"/>
                          <w:sz w:val="18"/>
                          <w:szCs w:val="18"/>
                          <w:lang w:val="pt-BR"/>
                        </w:rPr>
                        <w:t>36</w:t>
                      </w:r>
                      <w:r w:rsidRPr="00106A58">
                        <w:rPr>
                          <w:rFonts w:asciiTheme="majorHAnsi" w:hAnsiTheme="majorHAnsi"/>
                          <w:color w:val="595959" w:themeColor="text1" w:themeTint="A6"/>
                          <w:sz w:val="18"/>
                          <w:szCs w:val="18"/>
                          <w:lang w:val="pt-BR"/>
                        </w:rPr>
                        <w:t>/</w:t>
                      </w:r>
                      <w:r w:rsidR="00106A58" w:rsidRPr="00106A58">
                        <w:rPr>
                          <w:rFonts w:asciiTheme="majorHAnsi" w:hAnsiTheme="majorHAnsi"/>
                          <w:color w:val="595959" w:themeColor="text1" w:themeTint="A6"/>
                          <w:sz w:val="18"/>
                          <w:szCs w:val="18"/>
                          <w:lang w:val="pt-BR"/>
                        </w:rPr>
                        <w:t>20</w:t>
                      </w:r>
                      <w:r w:rsidRPr="00106A5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06A58">
                        <w:rPr>
                          <w:rFonts w:asciiTheme="majorHAnsi" w:hAnsiTheme="majorHAnsi"/>
                          <w:color w:val="595959" w:themeColor="text1" w:themeTint="A6"/>
                          <w:sz w:val="18"/>
                          <w:szCs w:val="18"/>
                          <w:lang w:val="es-ES"/>
                        </w:rPr>
                        <w:t>879-08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bookmarkStart w:id="2" w:name="_GoBack"/>
                      <w:r w:rsidR="00106A58">
                        <w:rPr>
                          <w:rFonts w:asciiTheme="majorHAnsi" w:hAnsiTheme="majorHAnsi"/>
                          <w:color w:val="595959" w:themeColor="text1" w:themeTint="A6"/>
                          <w:sz w:val="18"/>
                          <w:szCs w:val="18"/>
                          <w:lang w:val="es-ES_tradnl"/>
                        </w:rPr>
                        <w:t>Rosa</w:t>
                      </w:r>
                      <w:r w:rsidR="00896667">
                        <w:rPr>
                          <w:rFonts w:asciiTheme="majorHAnsi" w:hAnsiTheme="majorHAnsi"/>
                          <w:color w:val="595959" w:themeColor="text1" w:themeTint="A6"/>
                          <w:sz w:val="18"/>
                          <w:szCs w:val="18"/>
                          <w:lang w:val="es-ES_tradnl"/>
                        </w:rPr>
                        <w:t xml:space="preserve"> Elena </w:t>
                      </w:r>
                      <w:proofErr w:type="spellStart"/>
                      <w:r w:rsidR="00896667">
                        <w:rPr>
                          <w:rFonts w:asciiTheme="majorHAnsi" w:hAnsiTheme="majorHAnsi"/>
                          <w:color w:val="595959" w:themeColor="text1" w:themeTint="A6"/>
                          <w:sz w:val="18"/>
                          <w:szCs w:val="18"/>
                          <w:lang w:val="es-ES_tradnl"/>
                        </w:rPr>
                        <w:t>Pariahuachi</w:t>
                      </w:r>
                      <w:proofErr w:type="spellEnd"/>
                      <w:r w:rsidR="00896667">
                        <w:rPr>
                          <w:rFonts w:asciiTheme="majorHAnsi" w:hAnsiTheme="majorHAnsi"/>
                          <w:color w:val="595959" w:themeColor="text1" w:themeTint="A6"/>
                          <w:sz w:val="18"/>
                          <w:szCs w:val="18"/>
                          <w:lang w:val="es-ES_tradnl"/>
                        </w:rPr>
                        <w:t xml:space="preserve"> Palacios y otras personas trabajadoras del sector agrario</w:t>
                      </w:r>
                      <w:bookmarkEnd w:id="2"/>
                      <w:r w:rsidRPr="00890650">
                        <w:rPr>
                          <w:rFonts w:asciiTheme="majorHAnsi" w:hAnsiTheme="majorHAnsi"/>
                          <w:color w:val="595959" w:themeColor="text1" w:themeTint="A6"/>
                          <w:sz w:val="18"/>
                          <w:szCs w:val="18"/>
                          <w:lang w:val="es-ES_tradnl"/>
                        </w:rPr>
                        <w:t xml:space="preserve">. </w:t>
                      </w:r>
                      <w:r w:rsidR="00106A5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106A58">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C21237" w:rsidRDefault="00A50FCF" w:rsidP="00040C3A">
      <w:pPr>
        <w:tabs>
          <w:tab w:val="center" w:pos="5400"/>
        </w:tabs>
        <w:suppressAutoHyphens/>
        <w:jc w:val="center"/>
        <w:rPr>
          <w:rFonts w:asciiTheme="majorHAnsi" w:hAnsiTheme="majorHAnsi"/>
          <w:sz w:val="20"/>
          <w:szCs w:val="20"/>
          <w:lang w:val="es-ES_tradnl"/>
        </w:rPr>
      </w:pPr>
    </w:p>
    <w:p w:rsidR="0090270B" w:rsidRPr="00C21237" w:rsidRDefault="00D306D1" w:rsidP="005516A1">
      <w:pPr>
        <w:tabs>
          <w:tab w:val="center" w:pos="5400"/>
        </w:tabs>
        <w:suppressAutoHyphens/>
        <w:jc w:val="center"/>
        <w:rPr>
          <w:rFonts w:asciiTheme="majorHAnsi" w:hAnsiTheme="majorHAnsi"/>
          <w:b/>
          <w:sz w:val="20"/>
          <w:szCs w:val="20"/>
          <w:lang w:val="es-ES_tradnl"/>
        </w:rPr>
      </w:pPr>
      <w:r w:rsidRPr="00C21237">
        <w:rPr>
          <w:rFonts w:asciiTheme="majorHAnsi" w:hAnsiTheme="majorHAnsi"/>
          <w:noProof/>
          <w:sz w:val="20"/>
          <w:szCs w:val="20"/>
          <w:lang w:val="en-US" w:eastAsia="en-US"/>
        </w:rPr>
        <mc:AlternateContent>
          <mc:Choice Requires="wps">
            <w:drawing>
              <wp:anchor distT="0" distB="0" distL="114300" distR="114300" simplePos="0" relativeHeight="251680768" behindDoc="0" locked="0" layoutInCell="1" allowOverlap="1" wp14:anchorId="23414B40" wp14:editId="1AF0A21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3088" w:rsidRPr="00D72DC6" w:rsidRDefault="00243088"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606BAA49" wp14:editId="1D70A9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414B4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43088" w:rsidRPr="00D72DC6" w:rsidRDefault="00243088"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606BAA49" wp14:editId="1D70A9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21237">
        <w:rPr>
          <w:rFonts w:asciiTheme="majorHAnsi" w:hAnsiTheme="majorHAnsi"/>
          <w:noProof/>
          <w:sz w:val="20"/>
          <w:szCs w:val="20"/>
          <w:lang w:val="en-US" w:eastAsia="en-US"/>
        </w:rPr>
        <mc:AlternateContent>
          <mc:Choice Requires="wps">
            <w:drawing>
              <wp:anchor distT="0" distB="0" distL="114300" distR="114300" simplePos="0" relativeHeight="251682816" behindDoc="0" locked="0" layoutInCell="1" allowOverlap="1" wp14:anchorId="1C86AC37" wp14:editId="7589706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3088" w:rsidRPr="004B7EB6" w:rsidRDefault="0024308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86AC3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43088" w:rsidRPr="004B7EB6" w:rsidRDefault="0024308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21237" w:rsidRDefault="004A6A54" w:rsidP="005516A1">
      <w:pPr>
        <w:tabs>
          <w:tab w:val="center" w:pos="5400"/>
        </w:tabs>
        <w:suppressAutoHyphens/>
        <w:jc w:val="center"/>
        <w:rPr>
          <w:rFonts w:asciiTheme="majorHAnsi" w:hAnsiTheme="majorHAnsi"/>
          <w:b/>
          <w:sz w:val="20"/>
          <w:szCs w:val="20"/>
          <w:lang w:val="es-ES_tradnl"/>
        </w:rPr>
        <w:sectPr w:rsidR="0070697F" w:rsidRPr="00C21237"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C21237">
        <w:rPr>
          <w:rFonts w:asciiTheme="majorHAnsi" w:hAnsiTheme="majorHAnsi"/>
          <w:b/>
          <w:sz w:val="20"/>
          <w:szCs w:val="20"/>
          <w:lang w:val="es-ES_tradnl"/>
        </w:rPr>
        <w:tab/>
      </w:r>
    </w:p>
    <w:p w:rsidR="003239B8" w:rsidRPr="00C21237" w:rsidRDefault="003239B8" w:rsidP="004A6A54">
      <w:pPr>
        <w:spacing w:after="240"/>
        <w:ind w:firstLine="720"/>
        <w:jc w:val="both"/>
        <w:rPr>
          <w:rFonts w:asciiTheme="majorHAnsi" w:hAnsiTheme="majorHAnsi"/>
          <w:b/>
          <w:bCs/>
          <w:sz w:val="20"/>
          <w:szCs w:val="20"/>
          <w:lang w:val="es-ES"/>
        </w:rPr>
      </w:pPr>
      <w:r w:rsidRPr="00C21237">
        <w:rPr>
          <w:rFonts w:asciiTheme="majorHAnsi" w:hAnsiTheme="majorHAnsi"/>
          <w:b/>
          <w:bCs/>
          <w:sz w:val="20"/>
          <w:szCs w:val="20"/>
          <w:lang w:val="es-ES"/>
        </w:rPr>
        <w:lastRenderedPageBreak/>
        <w:t>I.</w:t>
      </w:r>
      <w:r w:rsidRPr="00C2123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818AF" w:rsidTr="004A6A54">
        <w:tc>
          <w:tcPr>
            <w:tcW w:w="3600" w:type="dxa"/>
            <w:tcBorders>
              <w:top w:val="single" w:sz="4" w:space="0" w:color="auto"/>
              <w:bottom w:val="single" w:sz="6" w:space="0" w:color="auto"/>
            </w:tcBorders>
            <w:shd w:val="clear" w:color="auto" w:fill="386294"/>
            <w:vAlign w:val="center"/>
          </w:tcPr>
          <w:p w:rsidR="003239B8" w:rsidRPr="00C21237" w:rsidRDefault="003239B8" w:rsidP="004243A6">
            <w:pPr>
              <w:jc w:val="center"/>
              <w:rPr>
                <w:rFonts w:asciiTheme="majorHAnsi" w:hAnsiTheme="majorHAnsi"/>
                <w:b/>
                <w:bCs/>
                <w:color w:val="FFFFFF" w:themeColor="background1"/>
                <w:sz w:val="20"/>
                <w:szCs w:val="20"/>
              </w:rPr>
            </w:pPr>
            <w:r w:rsidRPr="00C21237">
              <w:rPr>
                <w:rFonts w:asciiTheme="majorHAnsi" w:hAnsiTheme="majorHAnsi"/>
                <w:b/>
                <w:bCs/>
                <w:color w:val="FFFFFF" w:themeColor="background1"/>
                <w:sz w:val="20"/>
                <w:szCs w:val="20"/>
              </w:rPr>
              <w:t>Parte peticionaria:</w:t>
            </w:r>
          </w:p>
        </w:tc>
        <w:tc>
          <w:tcPr>
            <w:tcW w:w="5760" w:type="dxa"/>
            <w:vAlign w:val="center"/>
          </w:tcPr>
          <w:p w:rsidR="003239B8" w:rsidRPr="00C21237" w:rsidRDefault="00127FC0" w:rsidP="002663F0">
            <w:pPr>
              <w:jc w:val="both"/>
              <w:rPr>
                <w:rFonts w:asciiTheme="majorHAnsi" w:hAnsiTheme="majorHAnsi"/>
                <w:bCs/>
                <w:sz w:val="20"/>
                <w:szCs w:val="20"/>
                <w:lang w:val="es-AR"/>
              </w:rPr>
            </w:pPr>
            <w:r w:rsidRPr="00C21237">
              <w:rPr>
                <w:rFonts w:asciiTheme="majorHAnsi" w:hAnsiTheme="majorHAnsi"/>
                <w:bCs/>
                <w:sz w:val="20"/>
                <w:szCs w:val="20"/>
                <w:lang w:val="es-AR"/>
              </w:rPr>
              <w:t xml:space="preserve">Centro </w:t>
            </w:r>
            <w:r w:rsidR="002663F0" w:rsidRPr="00C21237">
              <w:rPr>
                <w:rFonts w:asciiTheme="majorHAnsi" w:hAnsiTheme="majorHAnsi"/>
                <w:bCs/>
                <w:sz w:val="20"/>
                <w:szCs w:val="20"/>
                <w:lang w:val="es-AR"/>
              </w:rPr>
              <w:t xml:space="preserve">de Derechos y Desarrollo </w:t>
            </w:r>
            <w:r w:rsidR="001115FC">
              <w:rPr>
                <w:rFonts w:asciiTheme="majorHAnsi" w:hAnsiTheme="majorHAnsi"/>
                <w:bCs/>
                <w:sz w:val="20"/>
                <w:szCs w:val="20"/>
                <w:lang w:val="es-AR"/>
              </w:rPr>
              <w:t>(</w:t>
            </w:r>
            <w:r w:rsidR="00C45E6E" w:rsidRPr="00C21237">
              <w:rPr>
                <w:rFonts w:asciiTheme="majorHAnsi" w:hAnsiTheme="majorHAnsi"/>
                <w:bCs/>
                <w:sz w:val="20"/>
                <w:szCs w:val="20"/>
                <w:lang w:val="es-AR"/>
              </w:rPr>
              <w:t>CEDAL</w:t>
            </w:r>
            <w:r w:rsidR="001115FC">
              <w:rPr>
                <w:rFonts w:asciiTheme="majorHAnsi" w:hAnsiTheme="majorHAnsi"/>
                <w:bCs/>
                <w:sz w:val="20"/>
                <w:szCs w:val="20"/>
                <w:lang w:val="es-AR"/>
              </w:rPr>
              <w:t>)</w:t>
            </w:r>
            <w:r w:rsidR="00C45E6E" w:rsidRPr="00C21237">
              <w:rPr>
                <w:rFonts w:asciiTheme="majorHAnsi" w:hAnsiTheme="majorHAnsi"/>
                <w:bCs/>
                <w:sz w:val="20"/>
                <w:szCs w:val="20"/>
                <w:lang w:val="es-AR"/>
              </w:rPr>
              <w:t xml:space="preserve">, </w:t>
            </w:r>
            <w:r w:rsidRPr="00C21237">
              <w:rPr>
                <w:rFonts w:asciiTheme="majorHAnsi" w:hAnsiTheme="majorHAnsi"/>
                <w:bCs/>
                <w:sz w:val="20"/>
                <w:szCs w:val="20"/>
                <w:lang w:val="es-AR"/>
              </w:rPr>
              <w:t>Asociación Aurora Vivar</w:t>
            </w:r>
            <w:r w:rsidR="00C45E6E" w:rsidRPr="00C21237">
              <w:rPr>
                <w:rFonts w:asciiTheme="majorHAnsi" w:hAnsiTheme="majorHAnsi"/>
                <w:bCs/>
                <w:sz w:val="20"/>
                <w:szCs w:val="20"/>
                <w:lang w:val="es-AR"/>
              </w:rPr>
              <w:t xml:space="preserve"> y Rosa </w:t>
            </w:r>
            <w:r w:rsidR="002663F0" w:rsidRPr="00C21237">
              <w:rPr>
                <w:rFonts w:asciiTheme="majorHAnsi" w:hAnsiTheme="majorHAnsi"/>
                <w:bCs/>
                <w:sz w:val="20"/>
                <w:szCs w:val="20"/>
                <w:lang w:val="es-AR"/>
              </w:rPr>
              <w:t xml:space="preserve">Elena </w:t>
            </w:r>
            <w:r w:rsidR="00C45E6E" w:rsidRPr="00C21237">
              <w:rPr>
                <w:rFonts w:asciiTheme="majorHAnsi" w:hAnsiTheme="majorHAnsi"/>
                <w:bCs/>
                <w:sz w:val="20"/>
                <w:szCs w:val="20"/>
                <w:lang w:val="es-AR"/>
              </w:rPr>
              <w:t>Pariahuachi Palacios</w:t>
            </w:r>
          </w:p>
        </w:tc>
      </w:tr>
      <w:tr w:rsidR="003239B8" w:rsidRPr="00B818AF" w:rsidTr="004A6A54">
        <w:tc>
          <w:tcPr>
            <w:tcW w:w="3600" w:type="dxa"/>
            <w:tcBorders>
              <w:top w:val="single" w:sz="6" w:space="0" w:color="auto"/>
              <w:bottom w:val="single" w:sz="6" w:space="0" w:color="auto"/>
            </w:tcBorders>
            <w:shd w:val="clear" w:color="auto" w:fill="386294"/>
            <w:vAlign w:val="center"/>
          </w:tcPr>
          <w:p w:rsidR="003239B8" w:rsidRPr="00C21237" w:rsidRDefault="00F51C70" w:rsidP="004243A6">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C770C" w:rsidRPr="00C21237">
                  <w:rPr>
                    <w:rFonts w:asciiTheme="majorHAnsi" w:hAnsiTheme="majorHAnsi"/>
                    <w:b/>
                    <w:bCs/>
                    <w:color w:val="FFFFFF" w:themeColor="background1"/>
                    <w:sz w:val="20"/>
                    <w:szCs w:val="20"/>
                  </w:rPr>
                  <w:t>Presunta víctima</w:t>
                </w:r>
              </w:sdtContent>
            </w:sdt>
            <w:r w:rsidR="003239B8" w:rsidRPr="00C21237">
              <w:rPr>
                <w:rFonts w:asciiTheme="majorHAnsi" w:hAnsiTheme="majorHAnsi"/>
                <w:b/>
                <w:bCs/>
                <w:color w:val="FFFFFF" w:themeColor="background1"/>
                <w:sz w:val="20"/>
                <w:szCs w:val="20"/>
              </w:rPr>
              <w:t>:</w:t>
            </w:r>
          </w:p>
        </w:tc>
        <w:tc>
          <w:tcPr>
            <w:tcW w:w="5760" w:type="dxa"/>
            <w:vAlign w:val="center"/>
          </w:tcPr>
          <w:p w:rsidR="003239B8" w:rsidRPr="00C21237" w:rsidRDefault="00127FC0" w:rsidP="002663F0">
            <w:pPr>
              <w:jc w:val="both"/>
              <w:rPr>
                <w:rFonts w:asciiTheme="majorHAnsi" w:hAnsiTheme="majorHAnsi"/>
                <w:bCs/>
                <w:sz w:val="20"/>
                <w:szCs w:val="20"/>
                <w:lang w:val="es-ES"/>
              </w:rPr>
            </w:pPr>
            <w:r w:rsidRPr="00C21237">
              <w:rPr>
                <w:rFonts w:asciiTheme="majorHAnsi" w:hAnsiTheme="majorHAnsi"/>
                <w:bCs/>
                <w:sz w:val="20"/>
                <w:szCs w:val="20"/>
                <w:lang w:val="es-ES"/>
              </w:rPr>
              <w:t xml:space="preserve">Rosa </w:t>
            </w:r>
            <w:r w:rsidR="002663F0" w:rsidRPr="00C21237">
              <w:rPr>
                <w:rFonts w:asciiTheme="majorHAnsi" w:hAnsiTheme="majorHAnsi"/>
                <w:bCs/>
                <w:sz w:val="20"/>
                <w:szCs w:val="20"/>
                <w:lang w:val="es-ES"/>
              </w:rPr>
              <w:t xml:space="preserve">Elena </w:t>
            </w:r>
            <w:r w:rsidRPr="00C21237">
              <w:rPr>
                <w:rFonts w:asciiTheme="majorHAnsi" w:hAnsiTheme="majorHAnsi"/>
                <w:bCs/>
                <w:sz w:val="20"/>
                <w:szCs w:val="20"/>
                <w:lang w:val="es-ES"/>
              </w:rPr>
              <w:t xml:space="preserve">Pariahuachi Palacios </w:t>
            </w:r>
            <w:r w:rsidR="00707CCE" w:rsidRPr="00C21237">
              <w:rPr>
                <w:rFonts w:asciiTheme="majorHAnsi" w:hAnsiTheme="majorHAnsi"/>
                <w:bCs/>
                <w:sz w:val="20"/>
                <w:szCs w:val="20"/>
                <w:lang w:val="es-ES"/>
              </w:rPr>
              <w:t>y</w:t>
            </w:r>
            <w:r w:rsidR="0093768F" w:rsidRPr="00C21237">
              <w:rPr>
                <w:rFonts w:asciiTheme="majorHAnsi" w:hAnsiTheme="majorHAnsi"/>
                <w:bCs/>
                <w:sz w:val="20"/>
                <w:szCs w:val="20"/>
                <w:lang w:val="es-ES"/>
              </w:rPr>
              <w:t xml:space="preserve"> </w:t>
            </w:r>
            <w:r w:rsidR="005D44A4">
              <w:rPr>
                <w:rFonts w:asciiTheme="majorHAnsi" w:hAnsiTheme="majorHAnsi"/>
                <w:bCs/>
                <w:sz w:val="20"/>
                <w:szCs w:val="20"/>
                <w:lang w:val="es-ES"/>
              </w:rPr>
              <w:t>otras</w:t>
            </w:r>
            <w:r w:rsidR="006445BB" w:rsidRPr="00C21237">
              <w:rPr>
                <w:rFonts w:asciiTheme="majorHAnsi" w:hAnsiTheme="majorHAnsi"/>
                <w:bCs/>
                <w:sz w:val="20"/>
                <w:szCs w:val="20"/>
                <w:lang w:val="es-ES"/>
              </w:rPr>
              <w:t xml:space="preserve"> personas </w:t>
            </w:r>
            <w:r w:rsidR="00707CCE" w:rsidRPr="00C21237">
              <w:rPr>
                <w:rFonts w:asciiTheme="majorHAnsi" w:hAnsiTheme="majorHAnsi"/>
                <w:bCs/>
                <w:sz w:val="20"/>
                <w:szCs w:val="20"/>
                <w:lang w:val="es-ES"/>
              </w:rPr>
              <w:t>trabajador</w:t>
            </w:r>
            <w:r w:rsidR="0093768F" w:rsidRPr="00C21237">
              <w:rPr>
                <w:rFonts w:asciiTheme="majorHAnsi" w:hAnsiTheme="majorHAnsi"/>
                <w:bCs/>
                <w:sz w:val="20"/>
                <w:szCs w:val="20"/>
                <w:lang w:val="es-ES"/>
              </w:rPr>
              <w:t>a</w:t>
            </w:r>
            <w:r w:rsidR="00707CCE" w:rsidRPr="00C21237">
              <w:rPr>
                <w:rFonts w:asciiTheme="majorHAnsi" w:hAnsiTheme="majorHAnsi"/>
                <w:bCs/>
                <w:sz w:val="20"/>
                <w:szCs w:val="20"/>
                <w:lang w:val="es-ES"/>
              </w:rPr>
              <w:t>s del sector agr</w:t>
            </w:r>
            <w:r w:rsidR="00717E92" w:rsidRPr="00C21237">
              <w:rPr>
                <w:rFonts w:asciiTheme="majorHAnsi" w:hAnsiTheme="majorHAnsi"/>
                <w:bCs/>
                <w:sz w:val="20"/>
                <w:szCs w:val="20"/>
                <w:lang w:val="es-ES"/>
              </w:rPr>
              <w:t>ario</w:t>
            </w:r>
            <w:r w:rsidR="0093768F" w:rsidRPr="00C21237">
              <w:rPr>
                <w:rFonts w:asciiTheme="majorHAnsi" w:hAnsiTheme="majorHAnsi"/>
                <w:bCs/>
                <w:sz w:val="20"/>
                <w:szCs w:val="20"/>
                <w:lang w:val="es-ES"/>
              </w:rPr>
              <w:t xml:space="preserve"> </w:t>
            </w:r>
          </w:p>
        </w:tc>
      </w:tr>
      <w:tr w:rsidR="003239B8" w:rsidRPr="00C21237" w:rsidTr="004A6A54">
        <w:tc>
          <w:tcPr>
            <w:tcW w:w="3600" w:type="dxa"/>
            <w:tcBorders>
              <w:top w:val="single" w:sz="6" w:space="0" w:color="auto"/>
              <w:bottom w:val="single" w:sz="6" w:space="0" w:color="auto"/>
            </w:tcBorders>
            <w:shd w:val="clear" w:color="auto" w:fill="386294"/>
            <w:vAlign w:val="center"/>
          </w:tcPr>
          <w:p w:rsidR="003239B8" w:rsidRPr="00C21237" w:rsidRDefault="003239B8" w:rsidP="004243A6">
            <w:pPr>
              <w:jc w:val="center"/>
              <w:rPr>
                <w:rFonts w:asciiTheme="majorHAnsi" w:hAnsiTheme="majorHAnsi"/>
                <w:b/>
                <w:bCs/>
                <w:color w:val="FFFFFF" w:themeColor="background1"/>
                <w:sz w:val="20"/>
                <w:szCs w:val="20"/>
              </w:rPr>
            </w:pPr>
            <w:proofErr w:type="spellStart"/>
            <w:r w:rsidRPr="00C21237">
              <w:rPr>
                <w:rFonts w:asciiTheme="majorHAnsi" w:hAnsiTheme="majorHAnsi"/>
                <w:b/>
                <w:bCs/>
                <w:color w:val="FFFFFF" w:themeColor="background1"/>
                <w:sz w:val="20"/>
                <w:szCs w:val="20"/>
              </w:rPr>
              <w:t>Estado</w:t>
            </w:r>
            <w:proofErr w:type="spellEnd"/>
            <w:r w:rsidRPr="00C21237">
              <w:rPr>
                <w:rFonts w:asciiTheme="majorHAnsi" w:hAnsiTheme="majorHAnsi"/>
                <w:b/>
                <w:bCs/>
                <w:color w:val="FFFFFF" w:themeColor="background1"/>
                <w:sz w:val="20"/>
                <w:szCs w:val="20"/>
              </w:rPr>
              <w:t xml:space="preserve"> </w:t>
            </w:r>
            <w:proofErr w:type="spellStart"/>
            <w:r w:rsidRPr="00C21237">
              <w:rPr>
                <w:rFonts w:asciiTheme="majorHAnsi" w:hAnsiTheme="majorHAnsi"/>
                <w:b/>
                <w:bCs/>
                <w:color w:val="FFFFFF" w:themeColor="background1"/>
                <w:sz w:val="20"/>
                <w:szCs w:val="20"/>
              </w:rPr>
              <w:t>denunciado</w:t>
            </w:r>
            <w:proofErr w:type="spellEnd"/>
            <w:r w:rsidRPr="00C21237">
              <w:rPr>
                <w:rFonts w:asciiTheme="majorHAnsi" w:hAnsiTheme="majorHAnsi"/>
                <w:b/>
                <w:bCs/>
                <w:color w:val="FFFFFF" w:themeColor="background1"/>
                <w:sz w:val="20"/>
                <w:szCs w:val="20"/>
              </w:rPr>
              <w:t>:</w:t>
            </w:r>
          </w:p>
        </w:tc>
        <w:tc>
          <w:tcPr>
            <w:tcW w:w="5760" w:type="dxa"/>
            <w:vAlign w:val="center"/>
          </w:tcPr>
          <w:p w:rsidR="003239B8" w:rsidRPr="00C21237" w:rsidRDefault="008D5BA9" w:rsidP="004243A6">
            <w:pPr>
              <w:jc w:val="both"/>
              <w:rPr>
                <w:rFonts w:asciiTheme="majorHAnsi" w:hAnsiTheme="majorHAnsi"/>
                <w:bCs/>
                <w:sz w:val="20"/>
                <w:szCs w:val="20"/>
              </w:rPr>
            </w:pPr>
            <w:r w:rsidRPr="00C21237">
              <w:rPr>
                <w:rFonts w:asciiTheme="majorHAnsi" w:hAnsiTheme="majorHAnsi"/>
                <w:bCs/>
                <w:sz w:val="20"/>
                <w:szCs w:val="20"/>
              </w:rPr>
              <w:t>Perú</w:t>
            </w:r>
            <w:r w:rsidR="004A6A54" w:rsidRPr="00C21237">
              <w:rPr>
                <w:rStyle w:val="FootnoteReference"/>
                <w:rFonts w:asciiTheme="majorHAnsi" w:hAnsiTheme="majorHAnsi"/>
                <w:bCs/>
                <w:sz w:val="20"/>
                <w:szCs w:val="20"/>
              </w:rPr>
              <w:footnoteReference w:id="2"/>
            </w:r>
          </w:p>
        </w:tc>
      </w:tr>
      <w:tr w:rsidR="00223A29" w:rsidRPr="00B818AF" w:rsidTr="004A6A54">
        <w:tc>
          <w:tcPr>
            <w:tcW w:w="3600" w:type="dxa"/>
            <w:tcBorders>
              <w:top w:val="single" w:sz="6" w:space="0" w:color="auto"/>
              <w:bottom w:val="single" w:sz="6" w:space="0" w:color="auto"/>
            </w:tcBorders>
            <w:shd w:val="clear" w:color="auto" w:fill="386294"/>
            <w:vAlign w:val="center"/>
          </w:tcPr>
          <w:p w:rsidR="00223A29" w:rsidRPr="00C21237" w:rsidRDefault="001B3A00" w:rsidP="00E4118C">
            <w:pPr>
              <w:jc w:val="center"/>
              <w:rPr>
                <w:rFonts w:asciiTheme="majorHAnsi" w:hAnsiTheme="majorHAnsi"/>
                <w:b/>
                <w:bCs/>
                <w:color w:val="FFFFFF" w:themeColor="background1"/>
                <w:sz w:val="20"/>
                <w:szCs w:val="20"/>
              </w:rPr>
            </w:pPr>
            <w:r w:rsidRPr="00C21237">
              <w:rPr>
                <w:rFonts w:asciiTheme="majorHAnsi" w:hAnsiTheme="majorHAnsi"/>
                <w:b/>
                <w:bCs/>
                <w:color w:val="FFFFFF" w:themeColor="background1"/>
                <w:sz w:val="20"/>
                <w:szCs w:val="20"/>
              </w:rPr>
              <w:t xml:space="preserve">Derechos </w:t>
            </w:r>
            <w:r w:rsidR="00E4118C" w:rsidRPr="00C21237">
              <w:rPr>
                <w:rFonts w:asciiTheme="majorHAnsi" w:hAnsiTheme="majorHAnsi"/>
                <w:b/>
                <w:bCs/>
                <w:color w:val="FFFFFF" w:themeColor="background1"/>
                <w:sz w:val="20"/>
                <w:szCs w:val="20"/>
              </w:rPr>
              <w:t>invocados</w:t>
            </w:r>
            <w:r w:rsidRPr="00C21237">
              <w:rPr>
                <w:rFonts w:asciiTheme="majorHAnsi" w:hAnsiTheme="majorHAnsi"/>
                <w:b/>
                <w:bCs/>
                <w:color w:val="FFFFFF" w:themeColor="background1"/>
                <w:sz w:val="20"/>
                <w:szCs w:val="20"/>
              </w:rPr>
              <w:t>:</w:t>
            </w:r>
          </w:p>
        </w:tc>
        <w:tc>
          <w:tcPr>
            <w:tcW w:w="5760" w:type="dxa"/>
            <w:vAlign w:val="center"/>
          </w:tcPr>
          <w:p w:rsidR="00223A29" w:rsidRPr="00C21237" w:rsidRDefault="00CD2992" w:rsidP="00B54B5D">
            <w:pPr>
              <w:jc w:val="both"/>
              <w:rPr>
                <w:rFonts w:asciiTheme="majorHAnsi" w:hAnsiTheme="majorHAnsi"/>
                <w:bCs/>
                <w:sz w:val="20"/>
                <w:szCs w:val="20"/>
                <w:lang w:val="es-AR"/>
              </w:rPr>
            </w:pPr>
            <w:r w:rsidRPr="00C21237">
              <w:rPr>
                <w:rFonts w:asciiTheme="majorHAnsi" w:hAnsiTheme="majorHAnsi"/>
                <w:bCs/>
                <w:sz w:val="20"/>
                <w:szCs w:val="20"/>
                <w:lang w:val="es-AR"/>
              </w:rPr>
              <w:t>Artí</w:t>
            </w:r>
            <w:r w:rsidR="002650B4">
              <w:rPr>
                <w:rFonts w:asciiTheme="majorHAnsi" w:hAnsiTheme="majorHAnsi"/>
                <w:bCs/>
                <w:sz w:val="20"/>
                <w:szCs w:val="20"/>
                <w:lang w:val="es-AR"/>
              </w:rPr>
              <w:t>culos 24 (igualdad ante la ley) y</w:t>
            </w:r>
            <w:r w:rsidRPr="00C21237">
              <w:rPr>
                <w:rFonts w:asciiTheme="majorHAnsi" w:hAnsiTheme="majorHAnsi"/>
                <w:bCs/>
                <w:sz w:val="20"/>
                <w:szCs w:val="20"/>
                <w:lang w:val="es-AR"/>
              </w:rPr>
              <w:t xml:space="preserve"> 26 (</w:t>
            </w:r>
            <w:r w:rsidR="002650B4" w:rsidRPr="009C5C36">
              <w:rPr>
                <w:rFonts w:asciiTheme="majorHAnsi" w:hAnsiTheme="majorHAnsi"/>
                <w:sz w:val="20"/>
                <w:szCs w:val="20"/>
                <w:lang w:val="es-ES"/>
              </w:rPr>
              <w:t>derechos económicos, sociales y culturales</w:t>
            </w:r>
            <w:r w:rsidRPr="00C21237">
              <w:rPr>
                <w:rFonts w:asciiTheme="majorHAnsi" w:hAnsiTheme="majorHAnsi"/>
                <w:bCs/>
                <w:sz w:val="20"/>
                <w:szCs w:val="20"/>
                <w:lang w:val="es-AR"/>
              </w:rPr>
              <w:t>) de la Convenció</w:t>
            </w:r>
            <w:r w:rsidR="00B85F68" w:rsidRPr="00C21237">
              <w:rPr>
                <w:rFonts w:asciiTheme="majorHAnsi" w:hAnsiTheme="majorHAnsi"/>
                <w:bCs/>
                <w:sz w:val="20"/>
                <w:szCs w:val="20"/>
                <w:lang w:val="es-AR"/>
              </w:rPr>
              <w:t xml:space="preserve">n Americana </w:t>
            </w:r>
            <w:r w:rsidR="002D705F" w:rsidRPr="00C21237">
              <w:rPr>
                <w:rFonts w:asciiTheme="majorHAnsi" w:hAnsiTheme="majorHAnsi"/>
                <w:bCs/>
                <w:sz w:val="20"/>
                <w:szCs w:val="20"/>
                <w:lang w:val="es-AR"/>
              </w:rPr>
              <w:t xml:space="preserve">sobre </w:t>
            </w:r>
            <w:r w:rsidR="00B85F68" w:rsidRPr="00C21237">
              <w:rPr>
                <w:rFonts w:asciiTheme="majorHAnsi" w:hAnsiTheme="majorHAnsi"/>
                <w:bCs/>
                <w:sz w:val="20"/>
                <w:szCs w:val="20"/>
                <w:lang w:val="es-AR"/>
              </w:rPr>
              <w:t>Derechos Humanos</w:t>
            </w:r>
            <w:r w:rsidR="00B85F68" w:rsidRPr="00C21237">
              <w:rPr>
                <w:rFonts w:asciiTheme="majorHAnsi" w:hAnsiTheme="majorHAnsi"/>
                <w:bCs/>
                <w:sz w:val="20"/>
                <w:szCs w:val="20"/>
                <w:vertAlign w:val="superscript"/>
                <w:lang w:val="es-AR"/>
              </w:rPr>
              <w:t xml:space="preserve">2 </w:t>
            </w:r>
            <w:r w:rsidR="00B85F68" w:rsidRPr="00C21237">
              <w:rPr>
                <w:rFonts w:asciiTheme="majorHAnsi" w:hAnsiTheme="majorHAnsi"/>
                <w:bCs/>
                <w:sz w:val="20"/>
                <w:szCs w:val="20"/>
                <w:lang w:val="es-AR"/>
              </w:rPr>
              <w:t xml:space="preserve">en relación con </w:t>
            </w:r>
            <w:r w:rsidR="002D705F" w:rsidRPr="00C21237">
              <w:rPr>
                <w:rFonts w:asciiTheme="majorHAnsi" w:hAnsiTheme="majorHAnsi"/>
                <w:bCs/>
                <w:sz w:val="20"/>
                <w:szCs w:val="20"/>
                <w:lang w:val="es-AR"/>
              </w:rPr>
              <w:t xml:space="preserve">sus </w:t>
            </w:r>
            <w:r w:rsidR="00B85F68" w:rsidRPr="00C21237">
              <w:rPr>
                <w:rFonts w:asciiTheme="majorHAnsi" w:hAnsiTheme="majorHAnsi"/>
                <w:bCs/>
                <w:sz w:val="20"/>
                <w:szCs w:val="20"/>
                <w:lang w:val="es-AR"/>
              </w:rPr>
              <w:t>artículo</w:t>
            </w:r>
            <w:r w:rsidR="002D705F" w:rsidRPr="00C21237">
              <w:rPr>
                <w:rFonts w:asciiTheme="majorHAnsi" w:hAnsiTheme="majorHAnsi"/>
                <w:bCs/>
                <w:sz w:val="20"/>
                <w:szCs w:val="20"/>
                <w:lang w:val="es-AR"/>
              </w:rPr>
              <w:t>s</w:t>
            </w:r>
            <w:r w:rsidR="00B85F68" w:rsidRPr="00C21237">
              <w:rPr>
                <w:rFonts w:asciiTheme="majorHAnsi" w:hAnsiTheme="majorHAnsi"/>
                <w:bCs/>
                <w:sz w:val="20"/>
                <w:szCs w:val="20"/>
                <w:lang w:val="es-AR"/>
              </w:rPr>
              <w:t xml:space="preserve"> 1.1</w:t>
            </w:r>
            <w:r w:rsidR="00A53CBB" w:rsidRPr="00C21237">
              <w:rPr>
                <w:rFonts w:asciiTheme="majorHAnsi" w:hAnsiTheme="majorHAnsi"/>
                <w:bCs/>
                <w:sz w:val="20"/>
                <w:szCs w:val="20"/>
                <w:lang w:val="es-AR"/>
              </w:rPr>
              <w:t xml:space="preserve"> (obligación de respetar los derechos</w:t>
            </w:r>
            <w:r w:rsidR="002650B4">
              <w:rPr>
                <w:rFonts w:asciiTheme="majorHAnsi" w:hAnsiTheme="majorHAnsi"/>
                <w:bCs/>
                <w:sz w:val="20"/>
                <w:szCs w:val="20"/>
                <w:lang w:val="es-AR"/>
              </w:rPr>
              <w:t>)</w:t>
            </w:r>
            <w:r w:rsidR="00A53CBB" w:rsidRPr="00C21237">
              <w:rPr>
                <w:rFonts w:asciiTheme="majorHAnsi" w:hAnsiTheme="majorHAnsi"/>
                <w:bCs/>
                <w:sz w:val="20"/>
                <w:szCs w:val="20"/>
                <w:lang w:val="es-AR"/>
              </w:rPr>
              <w:t xml:space="preserve"> </w:t>
            </w:r>
            <w:r w:rsidR="00B85F68" w:rsidRPr="00C21237">
              <w:rPr>
                <w:rFonts w:asciiTheme="majorHAnsi" w:hAnsiTheme="majorHAnsi"/>
                <w:bCs/>
                <w:sz w:val="20"/>
                <w:szCs w:val="20"/>
                <w:lang w:val="es-AR"/>
              </w:rPr>
              <w:t>y 2</w:t>
            </w:r>
            <w:r w:rsidR="00474519" w:rsidRPr="00C21237">
              <w:rPr>
                <w:rFonts w:asciiTheme="majorHAnsi" w:hAnsiTheme="majorHAnsi"/>
                <w:bCs/>
                <w:sz w:val="20"/>
                <w:szCs w:val="20"/>
                <w:lang w:val="es-AR"/>
              </w:rPr>
              <w:t xml:space="preserve"> (deber de adoptar disposiciones de derecho interno)</w:t>
            </w:r>
            <w:r w:rsidR="00B85F68" w:rsidRPr="00C21237">
              <w:rPr>
                <w:rFonts w:asciiTheme="majorHAnsi" w:hAnsiTheme="majorHAnsi"/>
                <w:bCs/>
                <w:sz w:val="20"/>
                <w:szCs w:val="20"/>
                <w:lang w:val="es-AR"/>
              </w:rPr>
              <w:t xml:space="preserve"> del mismo instrumento. </w:t>
            </w:r>
          </w:p>
        </w:tc>
      </w:tr>
    </w:tbl>
    <w:p w:rsidR="003239B8" w:rsidRPr="00C21237" w:rsidRDefault="003239B8" w:rsidP="003239B8">
      <w:pPr>
        <w:spacing w:before="240" w:after="240"/>
        <w:ind w:firstLine="720"/>
        <w:jc w:val="both"/>
        <w:rPr>
          <w:rFonts w:asciiTheme="majorHAnsi" w:hAnsiTheme="majorHAnsi"/>
          <w:b/>
          <w:bCs/>
          <w:sz w:val="20"/>
          <w:szCs w:val="20"/>
          <w:lang w:val="es-ES"/>
        </w:rPr>
      </w:pPr>
      <w:r w:rsidRPr="00C21237">
        <w:rPr>
          <w:rFonts w:asciiTheme="majorHAnsi" w:hAnsiTheme="majorHAnsi"/>
          <w:b/>
          <w:bCs/>
          <w:sz w:val="20"/>
          <w:szCs w:val="20"/>
          <w:lang w:val="es-ES"/>
        </w:rPr>
        <w:t>II.</w:t>
      </w:r>
      <w:r w:rsidRPr="00C21237">
        <w:rPr>
          <w:rFonts w:asciiTheme="majorHAnsi" w:hAnsiTheme="majorHAnsi"/>
          <w:b/>
          <w:bCs/>
          <w:sz w:val="20"/>
          <w:szCs w:val="20"/>
          <w:lang w:val="es-ES"/>
        </w:rPr>
        <w:tab/>
        <w:t>TRÁMITE ANTE LA CIDH</w:t>
      </w:r>
      <w:r w:rsidR="00B85F68" w:rsidRPr="00C21237">
        <w:rPr>
          <w:rFonts w:asciiTheme="majorHAnsi" w:hAnsiTheme="majorHAnsi"/>
          <w:b/>
          <w:bCs/>
          <w:sz w:val="20"/>
          <w:szCs w:val="20"/>
          <w:vertAlign w:val="superscript"/>
          <w:lang w:val="es-ES"/>
        </w:rPr>
        <w:t>3</w:t>
      </w:r>
      <w:r w:rsidR="008E3BFE" w:rsidRPr="00C21237">
        <w:rPr>
          <w:rStyle w:val="FootnoteReference"/>
          <w:rFonts w:asciiTheme="majorHAnsi" w:hAnsiTheme="majorHAnsi"/>
          <w:b/>
          <w:color w:val="FFFFFF" w:themeColor="background1"/>
          <w:sz w:val="20"/>
          <w:szCs w:val="20"/>
          <w:vertAlign w:val="baseline"/>
        </w:rPr>
        <w:footnoteReference w:id="3"/>
      </w:r>
    </w:p>
    <w:tbl>
      <w:tblPr>
        <w:tblStyle w:val="TableGrid"/>
        <w:tblW w:w="9291" w:type="dxa"/>
        <w:tblInd w:w="108" w:type="dxa"/>
        <w:tblBorders>
          <w:insideH w:val="single" w:sz="6" w:space="0" w:color="auto"/>
          <w:insideV w:val="single" w:sz="6" w:space="0" w:color="auto"/>
        </w:tblBorders>
        <w:tblLook w:val="04A0" w:firstRow="1" w:lastRow="0" w:firstColumn="1" w:lastColumn="0" w:noHBand="0" w:noVBand="1"/>
      </w:tblPr>
      <w:tblGrid>
        <w:gridCol w:w="3573"/>
        <w:gridCol w:w="5718"/>
      </w:tblGrid>
      <w:tr w:rsidR="004C2312" w:rsidRPr="00C21237" w:rsidTr="0081645A">
        <w:trPr>
          <w:trHeight w:val="186"/>
        </w:trPr>
        <w:tc>
          <w:tcPr>
            <w:tcW w:w="3573" w:type="dxa"/>
            <w:tcBorders>
              <w:top w:val="single" w:sz="6" w:space="0" w:color="auto"/>
              <w:bottom w:val="single" w:sz="6" w:space="0" w:color="auto"/>
            </w:tcBorders>
            <w:shd w:val="clear" w:color="auto" w:fill="386294"/>
            <w:vAlign w:val="center"/>
          </w:tcPr>
          <w:p w:rsidR="004C2312" w:rsidRPr="00C21237" w:rsidRDefault="004A6A54" w:rsidP="004A6A54">
            <w:pPr>
              <w:jc w:val="center"/>
              <w:rPr>
                <w:rFonts w:asciiTheme="majorHAnsi" w:hAnsiTheme="majorHAnsi"/>
                <w:b/>
                <w:bCs/>
                <w:color w:val="FFFFFF" w:themeColor="background1"/>
                <w:sz w:val="20"/>
                <w:szCs w:val="20"/>
                <w:lang w:val="es-ES"/>
              </w:rPr>
            </w:pPr>
            <w:r w:rsidRPr="00C21237">
              <w:rPr>
                <w:rFonts w:asciiTheme="majorHAnsi" w:hAnsiTheme="majorHAnsi"/>
                <w:b/>
                <w:bCs/>
                <w:color w:val="FFFFFF" w:themeColor="background1"/>
                <w:sz w:val="20"/>
                <w:szCs w:val="20"/>
                <w:lang w:val="es-ES"/>
              </w:rPr>
              <w:t>P</w:t>
            </w:r>
            <w:r w:rsidR="004C2312" w:rsidRPr="00C21237">
              <w:rPr>
                <w:rFonts w:asciiTheme="majorHAnsi" w:hAnsiTheme="majorHAnsi"/>
                <w:b/>
                <w:bCs/>
                <w:color w:val="FFFFFF" w:themeColor="background1"/>
                <w:sz w:val="20"/>
                <w:szCs w:val="20"/>
                <w:lang w:val="es-ES"/>
              </w:rPr>
              <w:t>resentación de la petición:</w:t>
            </w:r>
          </w:p>
        </w:tc>
        <w:tc>
          <w:tcPr>
            <w:tcW w:w="5718" w:type="dxa"/>
            <w:vAlign w:val="center"/>
          </w:tcPr>
          <w:p w:rsidR="004C2312" w:rsidRPr="00C21237" w:rsidRDefault="0070516A" w:rsidP="004243A6">
            <w:pPr>
              <w:jc w:val="both"/>
              <w:rPr>
                <w:rFonts w:asciiTheme="majorHAnsi" w:hAnsiTheme="majorHAnsi"/>
                <w:bCs/>
                <w:sz w:val="20"/>
                <w:szCs w:val="20"/>
                <w:lang w:val="es-ES"/>
              </w:rPr>
            </w:pPr>
            <w:r w:rsidRPr="00C21237">
              <w:rPr>
                <w:rFonts w:asciiTheme="majorHAnsi" w:hAnsiTheme="majorHAnsi"/>
                <w:bCs/>
                <w:sz w:val="20"/>
                <w:szCs w:val="20"/>
                <w:lang w:val="es-ES"/>
              </w:rPr>
              <w:t>28 de julio de 2008</w:t>
            </w:r>
          </w:p>
        </w:tc>
      </w:tr>
      <w:tr w:rsidR="001E49E7" w:rsidRPr="00B818AF" w:rsidTr="0081645A">
        <w:trPr>
          <w:trHeight w:val="383"/>
        </w:trPr>
        <w:tc>
          <w:tcPr>
            <w:tcW w:w="3573" w:type="dxa"/>
            <w:tcBorders>
              <w:top w:val="single" w:sz="6" w:space="0" w:color="auto"/>
              <w:bottom w:val="single" w:sz="6" w:space="0" w:color="auto"/>
            </w:tcBorders>
            <w:shd w:val="clear" w:color="auto" w:fill="386294"/>
            <w:vAlign w:val="center"/>
          </w:tcPr>
          <w:p w:rsidR="001E49E7" w:rsidRPr="00C21237" w:rsidRDefault="001E49E7" w:rsidP="001E49E7">
            <w:pPr>
              <w:jc w:val="center"/>
              <w:rPr>
                <w:rFonts w:asciiTheme="majorHAnsi" w:hAnsiTheme="majorHAnsi"/>
                <w:b/>
                <w:bCs/>
                <w:color w:val="FFFFFF" w:themeColor="background1"/>
                <w:sz w:val="20"/>
                <w:szCs w:val="20"/>
                <w:lang w:val="es-ES"/>
              </w:rPr>
            </w:pPr>
            <w:r w:rsidRPr="00C21237">
              <w:rPr>
                <w:rFonts w:asciiTheme="majorHAnsi" w:hAnsiTheme="majorHAnsi"/>
                <w:b/>
                <w:bCs/>
                <w:color w:val="FFFFFF" w:themeColor="background1"/>
                <w:sz w:val="20"/>
                <w:szCs w:val="20"/>
                <w:lang w:val="es-ES"/>
              </w:rPr>
              <w:t>Información adicional recibida durante la etapa de estudio:</w:t>
            </w:r>
          </w:p>
        </w:tc>
        <w:tc>
          <w:tcPr>
            <w:tcW w:w="5718" w:type="dxa"/>
            <w:vAlign w:val="center"/>
          </w:tcPr>
          <w:p w:rsidR="001E49E7" w:rsidRPr="00C21237" w:rsidRDefault="001D6480" w:rsidP="00327800">
            <w:pPr>
              <w:rPr>
                <w:rFonts w:asciiTheme="majorHAnsi" w:hAnsiTheme="majorHAnsi"/>
                <w:bCs/>
                <w:color w:val="FFFFFF" w:themeColor="background1"/>
                <w:sz w:val="20"/>
                <w:szCs w:val="20"/>
                <w:lang w:val="es-AR"/>
              </w:rPr>
            </w:pPr>
            <w:r w:rsidRPr="00C21237">
              <w:rPr>
                <w:rFonts w:asciiTheme="majorHAnsi" w:hAnsiTheme="majorHAnsi"/>
                <w:bCs/>
                <w:sz w:val="20"/>
                <w:szCs w:val="20"/>
                <w:lang w:val="es-AR"/>
              </w:rPr>
              <w:t>25</w:t>
            </w:r>
            <w:r w:rsidR="00E92D5F" w:rsidRPr="00C21237">
              <w:rPr>
                <w:rFonts w:asciiTheme="majorHAnsi" w:hAnsiTheme="majorHAnsi"/>
                <w:bCs/>
                <w:sz w:val="20"/>
                <w:szCs w:val="20"/>
                <w:lang w:val="es-AR"/>
              </w:rPr>
              <w:t xml:space="preserve"> de </w:t>
            </w:r>
            <w:r w:rsidR="00327800" w:rsidRPr="00C21237">
              <w:rPr>
                <w:rFonts w:asciiTheme="majorHAnsi" w:hAnsiTheme="majorHAnsi"/>
                <w:bCs/>
                <w:sz w:val="20"/>
                <w:szCs w:val="20"/>
                <w:lang w:val="es-AR"/>
              </w:rPr>
              <w:t>agost</w:t>
            </w:r>
            <w:r w:rsidRPr="00C21237">
              <w:rPr>
                <w:rFonts w:asciiTheme="majorHAnsi" w:hAnsiTheme="majorHAnsi"/>
                <w:bCs/>
                <w:sz w:val="20"/>
                <w:szCs w:val="20"/>
                <w:lang w:val="es-AR"/>
              </w:rPr>
              <w:t xml:space="preserve">o </w:t>
            </w:r>
            <w:r w:rsidR="00E92D5F" w:rsidRPr="00C21237">
              <w:rPr>
                <w:rFonts w:asciiTheme="majorHAnsi" w:hAnsiTheme="majorHAnsi"/>
                <w:bCs/>
                <w:sz w:val="20"/>
                <w:szCs w:val="20"/>
                <w:lang w:val="es-AR"/>
              </w:rPr>
              <w:t>de 2008</w:t>
            </w:r>
            <w:r w:rsidR="00BF7730" w:rsidRPr="00C21237">
              <w:rPr>
                <w:rFonts w:asciiTheme="majorHAnsi" w:hAnsiTheme="majorHAnsi"/>
                <w:bCs/>
                <w:sz w:val="20"/>
                <w:szCs w:val="20"/>
                <w:lang w:val="es-AR"/>
              </w:rPr>
              <w:t xml:space="preserve"> y</w:t>
            </w:r>
            <w:r w:rsidR="003927B7" w:rsidRPr="00C21237">
              <w:rPr>
                <w:rFonts w:asciiTheme="majorHAnsi" w:hAnsiTheme="majorHAnsi"/>
                <w:bCs/>
                <w:sz w:val="20"/>
                <w:szCs w:val="20"/>
                <w:lang w:val="es-AR"/>
              </w:rPr>
              <w:t xml:space="preserve"> 24</w:t>
            </w:r>
            <w:r w:rsidR="00BF7730" w:rsidRPr="00C21237">
              <w:rPr>
                <w:rFonts w:asciiTheme="majorHAnsi" w:hAnsiTheme="majorHAnsi"/>
                <w:bCs/>
                <w:sz w:val="20"/>
                <w:szCs w:val="20"/>
                <w:lang w:val="es-AR"/>
              </w:rPr>
              <w:t xml:space="preserve"> de marzo de 2011</w:t>
            </w:r>
            <w:r w:rsidR="00E92D5F" w:rsidRPr="00C21237">
              <w:rPr>
                <w:rFonts w:asciiTheme="majorHAnsi" w:hAnsiTheme="majorHAnsi"/>
                <w:b/>
                <w:bCs/>
                <w:color w:val="FFFFFF" w:themeColor="background1"/>
                <w:sz w:val="20"/>
                <w:szCs w:val="20"/>
                <w:lang w:val="es-AR"/>
              </w:rPr>
              <w:t xml:space="preserve"> </w:t>
            </w:r>
          </w:p>
        </w:tc>
      </w:tr>
      <w:tr w:rsidR="004C2312" w:rsidRPr="00C21237" w:rsidTr="0081645A">
        <w:trPr>
          <w:trHeight w:val="186"/>
        </w:trPr>
        <w:tc>
          <w:tcPr>
            <w:tcW w:w="3573" w:type="dxa"/>
            <w:tcBorders>
              <w:top w:val="single" w:sz="6" w:space="0" w:color="auto"/>
              <w:bottom w:val="single" w:sz="6" w:space="0" w:color="auto"/>
            </w:tcBorders>
            <w:shd w:val="clear" w:color="auto" w:fill="386294"/>
            <w:vAlign w:val="center"/>
          </w:tcPr>
          <w:p w:rsidR="004C2312" w:rsidRPr="00C21237" w:rsidRDefault="004A6A54" w:rsidP="004A6A54">
            <w:pPr>
              <w:jc w:val="center"/>
              <w:rPr>
                <w:rFonts w:asciiTheme="majorHAnsi" w:hAnsiTheme="majorHAnsi"/>
                <w:b/>
                <w:bCs/>
                <w:color w:val="FFFFFF" w:themeColor="background1"/>
                <w:sz w:val="20"/>
                <w:szCs w:val="20"/>
                <w:lang w:val="es-ES"/>
              </w:rPr>
            </w:pPr>
            <w:r w:rsidRPr="00C21237">
              <w:rPr>
                <w:rFonts w:asciiTheme="majorHAnsi" w:hAnsiTheme="majorHAnsi"/>
                <w:b/>
                <w:color w:val="FFFFFF" w:themeColor="background1"/>
                <w:sz w:val="20"/>
                <w:szCs w:val="20"/>
                <w:lang w:val="es-ES"/>
              </w:rPr>
              <w:t>N</w:t>
            </w:r>
            <w:r w:rsidR="004C2312" w:rsidRPr="00C21237">
              <w:rPr>
                <w:rFonts w:asciiTheme="majorHAnsi" w:hAnsiTheme="majorHAnsi"/>
                <w:b/>
                <w:color w:val="FFFFFF" w:themeColor="background1"/>
                <w:sz w:val="20"/>
                <w:szCs w:val="20"/>
                <w:lang w:val="es-ES"/>
              </w:rPr>
              <w:t>otificación de la petición al Estado:</w:t>
            </w:r>
          </w:p>
        </w:tc>
        <w:tc>
          <w:tcPr>
            <w:tcW w:w="5718" w:type="dxa"/>
            <w:vAlign w:val="center"/>
          </w:tcPr>
          <w:p w:rsidR="004C2312" w:rsidRPr="00C21237" w:rsidRDefault="00BF7730" w:rsidP="004243A6">
            <w:pPr>
              <w:jc w:val="both"/>
              <w:rPr>
                <w:rFonts w:asciiTheme="majorHAnsi" w:hAnsiTheme="majorHAnsi"/>
                <w:bCs/>
                <w:sz w:val="20"/>
                <w:szCs w:val="20"/>
                <w:lang w:val="es-ES"/>
              </w:rPr>
            </w:pPr>
            <w:r w:rsidRPr="00C21237">
              <w:rPr>
                <w:rFonts w:asciiTheme="majorHAnsi" w:hAnsiTheme="majorHAnsi"/>
                <w:bCs/>
                <w:sz w:val="20"/>
                <w:szCs w:val="20"/>
                <w:lang w:val="es-ES"/>
              </w:rPr>
              <w:t>7</w:t>
            </w:r>
            <w:r w:rsidR="00BF0B17" w:rsidRPr="00C21237">
              <w:rPr>
                <w:rFonts w:asciiTheme="majorHAnsi" w:hAnsiTheme="majorHAnsi"/>
                <w:bCs/>
                <w:sz w:val="20"/>
                <w:szCs w:val="20"/>
                <w:lang w:val="es-ES"/>
              </w:rPr>
              <w:t xml:space="preserve"> de agosto de 2013</w:t>
            </w:r>
          </w:p>
        </w:tc>
      </w:tr>
      <w:tr w:rsidR="004C2312" w:rsidRPr="00C21237" w:rsidTr="0081645A">
        <w:trPr>
          <w:trHeight w:val="196"/>
        </w:trPr>
        <w:tc>
          <w:tcPr>
            <w:tcW w:w="3573" w:type="dxa"/>
            <w:tcBorders>
              <w:top w:val="single" w:sz="6" w:space="0" w:color="auto"/>
              <w:bottom w:val="single" w:sz="6" w:space="0" w:color="auto"/>
            </w:tcBorders>
            <w:shd w:val="clear" w:color="auto" w:fill="386294"/>
            <w:vAlign w:val="center"/>
          </w:tcPr>
          <w:p w:rsidR="004C2312" w:rsidRPr="00C21237" w:rsidRDefault="004A6A54" w:rsidP="004A6A54">
            <w:pPr>
              <w:jc w:val="center"/>
              <w:rPr>
                <w:rFonts w:asciiTheme="majorHAnsi" w:hAnsiTheme="majorHAnsi"/>
                <w:b/>
                <w:bCs/>
                <w:color w:val="FFFFFF" w:themeColor="background1"/>
                <w:sz w:val="20"/>
                <w:szCs w:val="20"/>
                <w:lang w:val="es-ES"/>
              </w:rPr>
            </w:pPr>
            <w:r w:rsidRPr="00C21237">
              <w:rPr>
                <w:rFonts w:asciiTheme="majorHAnsi" w:hAnsiTheme="majorHAnsi"/>
                <w:b/>
                <w:color w:val="FFFFFF" w:themeColor="background1"/>
                <w:sz w:val="20"/>
                <w:szCs w:val="20"/>
                <w:lang w:val="es-ES"/>
              </w:rPr>
              <w:t>P</w:t>
            </w:r>
            <w:r w:rsidR="004C2312" w:rsidRPr="00C21237">
              <w:rPr>
                <w:rFonts w:asciiTheme="majorHAnsi" w:hAnsiTheme="majorHAnsi"/>
                <w:b/>
                <w:color w:val="FFFFFF" w:themeColor="background1"/>
                <w:sz w:val="20"/>
                <w:szCs w:val="20"/>
                <w:lang w:val="es-ES"/>
              </w:rPr>
              <w:t>rimera respuesta del Estado:</w:t>
            </w:r>
          </w:p>
        </w:tc>
        <w:tc>
          <w:tcPr>
            <w:tcW w:w="5718" w:type="dxa"/>
            <w:vAlign w:val="center"/>
          </w:tcPr>
          <w:p w:rsidR="004C2312" w:rsidRPr="00C21237" w:rsidRDefault="00160C3E" w:rsidP="004243A6">
            <w:pPr>
              <w:jc w:val="both"/>
              <w:rPr>
                <w:rFonts w:asciiTheme="majorHAnsi" w:hAnsiTheme="majorHAnsi"/>
                <w:bCs/>
                <w:sz w:val="20"/>
                <w:szCs w:val="20"/>
                <w:lang w:val="es-ES"/>
              </w:rPr>
            </w:pPr>
            <w:r w:rsidRPr="00C21237">
              <w:rPr>
                <w:rFonts w:asciiTheme="majorHAnsi" w:hAnsiTheme="majorHAnsi"/>
                <w:bCs/>
                <w:sz w:val="20"/>
                <w:szCs w:val="20"/>
                <w:lang w:val="es-ES"/>
              </w:rPr>
              <w:t>20</w:t>
            </w:r>
            <w:r w:rsidR="00BF0B17" w:rsidRPr="00C21237">
              <w:rPr>
                <w:rFonts w:asciiTheme="majorHAnsi" w:hAnsiTheme="majorHAnsi"/>
                <w:bCs/>
                <w:sz w:val="20"/>
                <w:szCs w:val="20"/>
                <w:lang w:val="es-ES"/>
              </w:rPr>
              <w:t xml:space="preserve"> de marzo de 2014</w:t>
            </w:r>
          </w:p>
        </w:tc>
      </w:tr>
      <w:tr w:rsidR="001E49E7" w:rsidRPr="00C21237" w:rsidTr="0081645A">
        <w:trPr>
          <w:trHeight w:val="372"/>
        </w:trPr>
        <w:tc>
          <w:tcPr>
            <w:tcW w:w="3573" w:type="dxa"/>
            <w:tcBorders>
              <w:top w:val="single" w:sz="6" w:space="0" w:color="auto"/>
              <w:bottom w:val="single" w:sz="6" w:space="0" w:color="auto"/>
            </w:tcBorders>
            <w:shd w:val="clear" w:color="auto" w:fill="386294"/>
            <w:vAlign w:val="center"/>
          </w:tcPr>
          <w:p w:rsidR="001E49E7" w:rsidRPr="00C21237" w:rsidRDefault="0039792A" w:rsidP="00DD4AD2">
            <w:pPr>
              <w:jc w:val="center"/>
              <w:rPr>
                <w:rFonts w:asciiTheme="majorHAnsi" w:hAnsiTheme="majorHAnsi"/>
                <w:b/>
                <w:bCs/>
                <w:color w:val="FFFFFF" w:themeColor="background1"/>
                <w:sz w:val="20"/>
                <w:szCs w:val="20"/>
                <w:lang w:val="es-ES"/>
              </w:rPr>
            </w:pPr>
            <w:r w:rsidRPr="00C21237">
              <w:rPr>
                <w:rFonts w:asciiTheme="majorHAnsi" w:hAnsiTheme="majorHAnsi"/>
                <w:b/>
                <w:color w:val="FFFFFF" w:themeColor="background1"/>
                <w:sz w:val="20"/>
                <w:szCs w:val="20"/>
                <w:lang w:val="es-ES"/>
              </w:rPr>
              <w:t>Observaciones adicionales de la parte peticionaria:</w:t>
            </w:r>
          </w:p>
        </w:tc>
        <w:tc>
          <w:tcPr>
            <w:tcW w:w="5718" w:type="dxa"/>
            <w:vAlign w:val="center"/>
          </w:tcPr>
          <w:p w:rsidR="001E49E7" w:rsidRPr="00C21237" w:rsidRDefault="003D6337" w:rsidP="004243A6">
            <w:pPr>
              <w:jc w:val="both"/>
              <w:rPr>
                <w:rFonts w:asciiTheme="majorHAnsi" w:hAnsiTheme="majorHAnsi"/>
                <w:bCs/>
                <w:sz w:val="20"/>
                <w:szCs w:val="20"/>
                <w:lang w:val="es-ES"/>
              </w:rPr>
            </w:pPr>
            <w:r w:rsidRPr="00C21237">
              <w:rPr>
                <w:rFonts w:asciiTheme="majorHAnsi" w:hAnsiTheme="majorHAnsi"/>
                <w:bCs/>
                <w:sz w:val="20"/>
                <w:szCs w:val="20"/>
                <w:lang w:val="es-ES"/>
              </w:rPr>
              <w:t>1 de septiembre 2017</w:t>
            </w:r>
          </w:p>
        </w:tc>
      </w:tr>
      <w:tr w:rsidR="0039792A" w:rsidRPr="00C21237" w:rsidTr="0081645A">
        <w:trPr>
          <w:trHeight w:val="186"/>
        </w:trPr>
        <w:tc>
          <w:tcPr>
            <w:tcW w:w="3573" w:type="dxa"/>
            <w:tcBorders>
              <w:top w:val="single" w:sz="6" w:space="0" w:color="auto"/>
              <w:bottom w:val="single" w:sz="6" w:space="0" w:color="auto"/>
            </w:tcBorders>
            <w:shd w:val="clear" w:color="auto" w:fill="386294"/>
            <w:vAlign w:val="center"/>
          </w:tcPr>
          <w:p w:rsidR="0039792A" w:rsidRPr="00C21237" w:rsidDel="000B5897" w:rsidRDefault="0039792A" w:rsidP="0039792A">
            <w:pPr>
              <w:jc w:val="center"/>
              <w:rPr>
                <w:rFonts w:asciiTheme="majorHAnsi" w:hAnsiTheme="majorHAnsi"/>
                <w:b/>
                <w:bCs/>
                <w:color w:val="FFFFFF" w:themeColor="background1"/>
                <w:sz w:val="20"/>
                <w:szCs w:val="20"/>
                <w:lang w:val="es-US"/>
              </w:rPr>
            </w:pPr>
            <w:r w:rsidRPr="00C21237">
              <w:rPr>
                <w:rFonts w:asciiTheme="majorHAnsi" w:hAnsiTheme="majorHAnsi"/>
                <w:b/>
                <w:bCs/>
                <w:color w:val="FFFFFF" w:themeColor="background1"/>
                <w:sz w:val="20"/>
                <w:szCs w:val="20"/>
                <w:lang w:val="es-ES"/>
              </w:rPr>
              <w:t>Advertencia sobre posible archivo:</w:t>
            </w:r>
          </w:p>
        </w:tc>
        <w:tc>
          <w:tcPr>
            <w:tcW w:w="5718" w:type="dxa"/>
            <w:vAlign w:val="center"/>
          </w:tcPr>
          <w:p w:rsidR="0039792A" w:rsidRPr="00C21237" w:rsidRDefault="003D6337" w:rsidP="006A1D22">
            <w:pPr>
              <w:jc w:val="both"/>
              <w:rPr>
                <w:rFonts w:asciiTheme="majorHAnsi" w:hAnsiTheme="majorHAnsi"/>
                <w:bCs/>
                <w:sz w:val="20"/>
                <w:szCs w:val="20"/>
                <w:lang w:val="es-ES"/>
              </w:rPr>
            </w:pPr>
            <w:r w:rsidRPr="00C21237">
              <w:rPr>
                <w:rFonts w:asciiTheme="majorHAnsi" w:hAnsiTheme="majorHAnsi"/>
                <w:bCs/>
                <w:sz w:val="20"/>
                <w:szCs w:val="20"/>
                <w:lang w:val="es-ES"/>
              </w:rPr>
              <w:t>31</w:t>
            </w:r>
            <w:r w:rsidR="0039792A" w:rsidRPr="00C21237">
              <w:rPr>
                <w:rFonts w:asciiTheme="majorHAnsi" w:hAnsiTheme="majorHAnsi"/>
                <w:bCs/>
                <w:sz w:val="20"/>
                <w:szCs w:val="20"/>
                <w:lang w:val="es-ES"/>
              </w:rPr>
              <w:t xml:space="preserve"> de </w:t>
            </w:r>
            <w:r w:rsidRPr="00C21237">
              <w:rPr>
                <w:rFonts w:asciiTheme="majorHAnsi" w:hAnsiTheme="majorHAnsi"/>
                <w:bCs/>
                <w:sz w:val="20"/>
                <w:szCs w:val="20"/>
                <w:lang w:val="es-ES"/>
              </w:rPr>
              <w:t>julio</w:t>
            </w:r>
            <w:r w:rsidR="0039792A" w:rsidRPr="00C21237">
              <w:rPr>
                <w:rFonts w:asciiTheme="majorHAnsi" w:hAnsiTheme="majorHAnsi"/>
                <w:bCs/>
                <w:sz w:val="20"/>
                <w:szCs w:val="20"/>
                <w:lang w:val="es-ES"/>
              </w:rPr>
              <w:t xml:space="preserve"> de 2017</w:t>
            </w:r>
          </w:p>
        </w:tc>
      </w:tr>
    </w:tbl>
    <w:p w:rsidR="003239B8" w:rsidRPr="00C21237" w:rsidRDefault="003239B8" w:rsidP="003239B8">
      <w:pPr>
        <w:spacing w:before="240" w:after="240"/>
        <w:ind w:firstLine="720"/>
        <w:jc w:val="both"/>
        <w:rPr>
          <w:rFonts w:asciiTheme="majorHAnsi" w:hAnsiTheme="majorHAnsi"/>
          <w:b/>
          <w:bCs/>
          <w:sz w:val="20"/>
          <w:szCs w:val="20"/>
          <w:lang w:val="es-ES"/>
        </w:rPr>
      </w:pPr>
      <w:r w:rsidRPr="00C21237">
        <w:rPr>
          <w:rFonts w:asciiTheme="majorHAnsi" w:hAnsiTheme="majorHAnsi"/>
          <w:b/>
          <w:bCs/>
          <w:sz w:val="20"/>
          <w:szCs w:val="20"/>
          <w:lang w:val="es-ES"/>
        </w:rPr>
        <w:t xml:space="preserve">III. </w:t>
      </w:r>
      <w:r w:rsidRPr="00C21237">
        <w:rPr>
          <w:rFonts w:asciiTheme="majorHAnsi" w:hAnsiTheme="majorHAnsi"/>
          <w:b/>
          <w:bCs/>
          <w:sz w:val="20"/>
          <w:szCs w:val="20"/>
          <w:lang w:val="es-ES"/>
        </w:rPr>
        <w:tab/>
        <w:t>COMPETENCIA</w:t>
      </w:r>
      <w:r w:rsidR="00EE00E9" w:rsidRPr="00C2123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B818AF" w:rsidTr="004A6A54">
        <w:trPr>
          <w:cantSplit/>
        </w:trPr>
        <w:tc>
          <w:tcPr>
            <w:tcW w:w="3600" w:type="dxa"/>
            <w:tcBorders>
              <w:top w:val="single" w:sz="4" w:space="0" w:color="auto"/>
              <w:bottom w:val="single" w:sz="6" w:space="0" w:color="auto"/>
            </w:tcBorders>
            <w:shd w:val="clear" w:color="auto" w:fill="386294"/>
            <w:vAlign w:val="center"/>
          </w:tcPr>
          <w:p w:rsidR="003239B8" w:rsidRPr="00C21237" w:rsidRDefault="003239B8" w:rsidP="004243A6">
            <w:pPr>
              <w:jc w:val="center"/>
              <w:rPr>
                <w:rFonts w:asciiTheme="majorHAnsi" w:hAnsiTheme="majorHAnsi"/>
                <w:b/>
                <w:bCs/>
                <w:i/>
                <w:color w:val="FFFFFF" w:themeColor="background1"/>
                <w:sz w:val="20"/>
                <w:szCs w:val="20"/>
              </w:rPr>
            </w:pPr>
            <w:r w:rsidRPr="00C21237">
              <w:rPr>
                <w:rFonts w:asciiTheme="majorHAnsi" w:hAnsiTheme="majorHAnsi"/>
                <w:b/>
                <w:bCs/>
                <w:color w:val="FFFFFF" w:themeColor="background1"/>
                <w:sz w:val="20"/>
                <w:szCs w:val="20"/>
              </w:rPr>
              <w:t>Competencia</w:t>
            </w:r>
            <w:r w:rsidRPr="00C21237">
              <w:rPr>
                <w:rFonts w:asciiTheme="majorHAnsi" w:hAnsiTheme="majorHAnsi"/>
                <w:b/>
                <w:bCs/>
                <w:i/>
                <w:color w:val="FFFFFF" w:themeColor="background1"/>
                <w:sz w:val="20"/>
                <w:szCs w:val="20"/>
              </w:rPr>
              <w:t xml:space="preserve"> Ratione personae:</w:t>
            </w:r>
          </w:p>
        </w:tc>
        <w:tc>
          <w:tcPr>
            <w:tcW w:w="5760" w:type="dxa"/>
            <w:vAlign w:val="center"/>
          </w:tcPr>
          <w:p w:rsidR="003239B8" w:rsidRPr="00C21237" w:rsidRDefault="00A53CBB" w:rsidP="005B1157">
            <w:pPr>
              <w:rPr>
                <w:rFonts w:asciiTheme="majorHAnsi" w:hAnsiTheme="majorHAnsi"/>
                <w:bCs/>
                <w:sz w:val="20"/>
                <w:szCs w:val="20"/>
                <w:lang w:val="es-AR"/>
              </w:rPr>
            </w:pPr>
            <w:r w:rsidRPr="00C21237">
              <w:rPr>
                <w:rFonts w:asciiTheme="majorHAnsi" w:hAnsiTheme="majorHAnsi"/>
                <w:bCs/>
                <w:sz w:val="20"/>
                <w:szCs w:val="20"/>
                <w:lang w:val="es-AR"/>
              </w:rPr>
              <w:t>Sí</w:t>
            </w:r>
            <w:r w:rsidR="005B1157" w:rsidRPr="00C21237">
              <w:rPr>
                <w:rFonts w:asciiTheme="majorHAnsi" w:hAnsiTheme="majorHAnsi"/>
                <w:bCs/>
                <w:sz w:val="20"/>
                <w:szCs w:val="20"/>
                <w:lang w:val="es-AR"/>
              </w:rPr>
              <w:t>, en los términos de la sección VI. A.</w:t>
            </w:r>
          </w:p>
        </w:tc>
      </w:tr>
      <w:tr w:rsidR="003239B8" w:rsidRPr="00C21237" w:rsidTr="004A6A54">
        <w:trPr>
          <w:cantSplit/>
        </w:trPr>
        <w:tc>
          <w:tcPr>
            <w:tcW w:w="3600" w:type="dxa"/>
            <w:tcBorders>
              <w:top w:val="single" w:sz="6" w:space="0" w:color="auto"/>
              <w:bottom w:val="single" w:sz="6" w:space="0" w:color="auto"/>
            </w:tcBorders>
            <w:shd w:val="clear" w:color="auto" w:fill="386294"/>
            <w:vAlign w:val="center"/>
          </w:tcPr>
          <w:p w:rsidR="003239B8" w:rsidRPr="00C21237" w:rsidRDefault="003239B8" w:rsidP="004243A6">
            <w:pPr>
              <w:jc w:val="center"/>
              <w:rPr>
                <w:rFonts w:asciiTheme="majorHAnsi" w:hAnsiTheme="majorHAnsi"/>
                <w:b/>
                <w:bCs/>
                <w:color w:val="FFFFFF" w:themeColor="background1"/>
                <w:sz w:val="20"/>
                <w:szCs w:val="20"/>
                <w:lang w:val="es-AR"/>
              </w:rPr>
            </w:pPr>
            <w:r w:rsidRPr="00C21237">
              <w:rPr>
                <w:rFonts w:asciiTheme="majorHAnsi" w:hAnsiTheme="majorHAnsi"/>
                <w:b/>
                <w:bCs/>
                <w:color w:val="FFFFFF" w:themeColor="background1"/>
                <w:sz w:val="20"/>
                <w:szCs w:val="20"/>
                <w:lang w:val="es-AR"/>
              </w:rPr>
              <w:t>Competencia</w:t>
            </w:r>
            <w:r w:rsidRPr="00C21237">
              <w:rPr>
                <w:rFonts w:asciiTheme="majorHAnsi" w:hAnsiTheme="majorHAnsi"/>
                <w:b/>
                <w:bCs/>
                <w:i/>
                <w:color w:val="FFFFFF" w:themeColor="background1"/>
                <w:sz w:val="20"/>
                <w:szCs w:val="20"/>
                <w:lang w:val="es-AR"/>
              </w:rPr>
              <w:t xml:space="preserve"> </w:t>
            </w:r>
            <w:proofErr w:type="spellStart"/>
            <w:r w:rsidRPr="00C21237">
              <w:rPr>
                <w:rFonts w:asciiTheme="majorHAnsi" w:hAnsiTheme="majorHAnsi"/>
                <w:b/>
                <w:bCs/>
                <w:i/>
                <w:color w:val="FFFFFF" w:themeColor="background1"/>
                <w:sz w:val="20"/>
                <w:szCs w:val="20"/>
                <w:lang w:val="es-AR"/>
              </w:rPr>
              <w:t>Ratione</w:t>
            </w:r>
            <w:proofErr w:type="spellEnd"/>
            <w:r w:rsidRPr="00C21237">
              <w:rPr>
                <w:rFonts w:asciiTheme="majorHAnsi" w:hAnsiTheme="majorHAnsi"/>
                <w:b/>
                <w:bCs/>
                <w:i/>
                <w:color w:val="FFFFFF" w:themeColor="background1"/>
                <w:sz w:val="20"/>
                <w:szCs w:val="20"/>
                <w:lang w:val="es-AR"/>
              </w:rPr>
              <w:t xml:space="preserve"> </w:t>
            </w:r>
            <w:proofErr w:type="spellStart"/>
            <w:r w:rsidRPr="00C21237">
              <w:rPr>
                <w:rFonts w:asciiTheme="majorHAnsi" w:hAnsiTheme="majorHAnsi"/>
                <w:b/>
                <w:bCs/>
                <w:i/>
                <w:color w:val="FFFFFF" w:themeColor="background1"/>
                <w:sz w:val="20"/>
                <w:szCs w:val="20"/>
                <w:lang w:val="es-AR"/>
              </w:rPr>
              <w:t>loci</w:t>
            </w:r>
            <w:proofErr w:type="spellEnd"/>
            <w:r w:rsidRPr="00C21237">
              <w:rPr>
                <w:rFonts w:asciiTheme="majorHAnsi" w:hAnsiTheme="majorHAnsi"/>
                <w:b/>
                <w:bCs/>
                <w:color w:val="FFFFFF" w:themeColor="background1"/>
                <w:sz w:val="20"/>
                <w:szCs w:val="20"/>
                <w:lang w:val="es-AR"/>
              </w:rPr>
              <w:t>:</w:t>
            </w:r>
          </w:p>
        </w:tc>
        <w:tc>
          <w:tcPr>
            <w:tcW w:w="5760" w:type="dxa"/>
            <w:vAlign w:val="center"/>
          </w:tcPr>
          <w:p w:rsidR="003239B8" w:rsidRPr="00C21237" w:rsidRDefault="00A53CBB" w:rsidP="004243A6">
            <w:pPr>
              <w:rPr>
                <w:rFonts w:asciiTheme="majorHAnsi" w:hAnsiTheme="majorHAnsi"/>
                <w:bCs/>
                <w:sz w:val="20"/>
                <w:szCs w:val="20"/>
                <w:lang w:val="es-AR"/>
              </w:rPr>
            </w:pPr>
            <w:r w:rsidRPr="00C21237">
              <w:rPr>
                <w:rFonts w:asciiTheme="majorHAnsi" w:hAnsiTheme="majorHAnsi"/>
                <w:bCs/>
                <w:sz w:val="20"/>
                <w:szCs w:val="20"/>
                <w:lang w:val="es-AR"/>
              </w:rPr>
              <w:t>Sí</w:t>
            </w:r>
          </w:p>
        </w:tc>
      </w:tr>
      <w:tr w:rsidR="003239B8" w:rsidRPr="00C21237" w:rsidTr="004A6A54">
        <w:trPr>
          <w:cantSplit/>
        </w:trPr>
        <w:tc>
          <w:tcPr>
            <w:tcW w:w="3600" w:type="dxa"/>
            <w:tcBorders>
              <w:top w:val="single" w:sz="6" w:space="0" w:color="auto"/>
              <w:bottom w:val="single" w:sz="6" w:space="0" w:color="auto"/>
            </w:tcBorders>
            <w:shd w:val="clear" w:color="auto" w:fill="386294"/>
            <w:vAlign w:val="center"/>
          </w:tcPr>
          <w:p w:rsidR="003239B8" w:rsidRPr="00C21237" w:rsidRDefault="003239B8" w:rsidP="004243A6">
            <w:pPr>
              <w:jc w:val="center"/>
              <w:rPr>
                <w:rFonts w:asciiTheme="majorHAnsi" w:hAnsiTheme="majorHAnsi"/>
                <w:b/>
                <w:bCs/>
                <w:color w:val="FFFFFF" w:themeColor="background1"/>
                <w:sz w:val="20"/>
                <w:szCs w:val="20"/>
                <w:lang w:val="es-AR"/>
              </w:rPr>
            </w:pPr>
            <w:r w:rsidRPr="00C21237">
              <w:rPr>
                <w:rFonts w:asciiTheme="majorHAnsi" w:hAnsiTheme="majorHAnsi"/>
                <w:b/>
                <w:bCs/>
                <w:color w:val="FFFFFF" w:themeColor="background1"/>
                <w:sz w:val="20"/>
                <w:szCs w:val="20"/>
                <w:lang w:val="es-AR"/>
              </w:rPr>
              <w:t>Competencia</w:t>
            </w:r>
            <w:r w:rsidRPr="00C21237">
              <w:rPr>
                <w:rFonts w:asciiTheme="majorHAnsi" w:hAnsiTheme="majorHAnsi"/>
                <w:b/>
                <w:bCs/>
                <w:i/>
                <w:color w:val="FFFFFF" w:themeColor="background1"/>
                <w:sz w:val="20"/>
                <w:szCs w:val="20"/>
                <w:lang w:val="es-AR"/>
              </w:rPr>
              <w:t xml:space="preserve"> Ratione temporis</w:t>
            </w:r>
            <w:r w:rsidRPr="00C21237">
              <w:rPr>
                <w:rFonts w:asciiTheme="majorHAnsi" w:hAnsiTheme="majorHAnsi"/>
                <w:b/>
                <w:bCs/>
                <w:color w:val="FFFFFF" w:themeColor="background1"/>
                <w:sz w:val="20"/>
                <w:szCs w:val="20"/>
                <w:lang w:val="es-AR"/>
              </w:rPr>
              <w:t>:</w:t>
            </w:r>
          </w:p>
        </w:tc>
        <w:tc>
          <w:tcPr>
            <w:tcW w:w="5760" w:type="dxa"/>
            <w:vAlign w:val="center"/>
          </w:tcPr>
          <w:p w:rsidR="003239B8" w:rsidRPr="00C21237" w:rsidRDefault="00A53CBB" w:rsidP="004243A6">
            <w:pPr>
              <w:rPr>
                <w:rFonts w:asciiTheme="majorHAnsi" w:hAnsiTheme="majorHAnsi"/>
                <w:bCs/>
                <w:sz w:val="20"/>
                <w:szCs w:val="20"/>
                <w:lang w:val="es-AR"/>
              </w:rPr>
            </w:pPr>
            <w:r w:rsidRPr="00C21237">
              <w:rPr>
                <w:rFonts w:asciiTheme="majorHAnsi" w:hAnsiTheme="majorHAnsi"/>
                <w:bCs/>
                <w:sz w:val="20"/>
                <w:szCs w:val="20"/>
                <w:lang w:val="es-AR"/>
              </w:rPr>
              <w:t>Sí</w:t>
            </w:r>
          </w:p>
        </w:tc>
      </w:tr>
      <w:tr w:rsidR="003239B8" w:rsidRPr="00B818AF" w:rsidTr="004A6A54">
        <w:trPr>
          <w:cantSplit/>
        </w:trPr>
        <w:tc>
          <w:tcPr>
            <w:tcW w:w="3600" w:type="dxa"/>
            <w:tcBorders>
              <w:top w:val="single" w:sz="6" w:space="0" w:color="auto"/>
              <w:bottom w:val="single" w:sz="6" w:space="0" w:color="auto"/>
            </w:tcBorders>
            <w:shd w:val="clear" w:color="auto" w:fill="386294"/>
            <w:vAlign w:val="center"/>
          </w:tcPr>
          <w:p w:rsidR="003239B8" w:rsidRPr="00C21237" w:rsidRDefault="003239B8" w:rsidP="004243A6">
            <w:pPr>
              <w:jc w:val="center"/>
              <w:rPr>
                <w:rFonts w:asciiTheme="majorHAnsi" w:hAnsiTheme="majorHAnsi"/>
                <w:b/>
                <w:bCs/>
                <w:color w:val="FFFFFF" w:themeColor="background1"/>
                <w:sz w:val="20"/>
                <w:szCs w:val="20"/>
                <w:lang w:val="es-AR"/>
              </w:rPr>
            </w:pPr>
            <w:r w:rsidRPr="00C21237">
              <w:rPr>
                <w:rFonts w:asciiTheme="majorHAnsi" w:hAnsiTheme="majorHAnsi"/>
                <w:b/>
                <w:bCs/>
                <w:color w:val="FFFFFF" w:themeColor="background1"/>
                <w:sz w:val="20"/>
                <w:szCs w:val="20"/>
                <w:lang w:val="es-AR"/>
              </w:rPr>
              <w:t>Competencia</w:t>
            </w:r>
            <w:r w:rsidRPr="00C21237">
              <w:rPr>
                <w:rFonts w:asciiTheme="majorHAnsi" w:hAnsiTheme="majorHAnsi"/>
                <w:b/>
                <w:bCs/>
                <w:i/>
                <w:color w:val="FFFFFF" w:themeColor="background1"/>
                <w:sz w:val="20"/>
                <w:szCs w:val="20"/>
                <w:lang w:val="es-AR"/>
              </w:rPr>
              <w:t xml:space="preserve"> Ratione materia</w:t>
            </w:r>
            <w:r w:rsidR="00EE00E9" w:rsidRPr="00C21237">
              <w:rPr>
                <w:rFonts w:asciiTheme="majorHAnsi" w:hAnsiTheme="majorHAnsi"/>
                <w:b/>
                <w:bCs/>
                <w:i/>
                <w:color w:val="FFFFFF" w:themeColor="background1"/>
                <w:sz w:val="20"/>
                <w:szCs w:val="20"/>
                <w:lang w:val="es-AR"/>
              </w:rPr>
              <w:t>e</w:t>
            </w:r>
            <w:r w:rsidRPr="00C21237">
              <w:rPr>
                <w:rFonts w:asciiTheme="majorHAnsi" w:hAnsiTheme="majorHAnsi"/>
                <w:b/>
                <w:bCs/>
                <w:color w:val="FFFFFF" w:themeColor="background1"/>
                <w:sz w:val="20"/>
                <w:szCs w:val="20"/>
                <w:lang w:val="es-AR"/>
              </w:rPr>
              <w:t>:</w:t>
            </w:r>
          </w:p>
        </w:tc>
        <w:tc>
          <w:tcPr>
            <w:tcW w:w="5760" w:type="dxa"/>
            <w:vAlign w:val="center"/>
          </w:tcPr>
          <w:p w:rsidR="003239B8" w:rsidRPr="00C21237" w:rsidRDefault="00A53CBB" w:rsidP="004243A6">
            <w:pPr>
              <w:jc w:val="both"/>
              <w:rPr>
                <w:rFonts w:asciiTheme="majorHAnsi" w:hAnsiTheme="majorHAnsi"/>
                <w:bCs/>
                <w:sz w:val="20"/>
                <w:szCs w:val="20"/>
                <w:lang w:val="es-ES"/>
              </w:rPr>
            </w:pPr>
            <w:r w:rsidRPr="00C21237">
              <w:rPr>
                <w:rFonts w:asciiTheme="majorHAnsi" w:hAnsiTheme="majorHAnsi"/>
                <w:bCs/>
                <w:sz w:val="20"/>
                <w:szCs w:val="20"/>
                <w:lang w:val="es-ES"/>
              </w:rPr>
              <w:t>S</w:t>
            </w:r>
            <w:r w:rsidR="00474519" w:rsidRPr="00C21237">
              <w:rPr>
                <w:rFonts w:asciiTheme="majorHAnsi" w:hAnsiTheme="majorHAnsi"/>
                <w:bCs/>
                <w:sz w:val="20"/>
                <w:szCs w:val="20"/>
                <w:lang w:val="es-ES"/>
              </w:rPr>
              <w:t>í, Convención Americana (depósito de instrumento de ratificación realizado el 28 de julio de 1978).</w:t>
            </w:r>
          </w:p>
        </w:tc>
      </w:tr>
    </w:tbl>
    <w:p w:rsidR="003239B8" w:rsidRPr="00C21237" w:rsidRDefault="003239B8" w:rsidP="003239B8">
      <w:pPr>
        <w:spacing w:before="240" w:after="240"/>
        <w:ind w:firstLine="720"/>
        <w:jc w:val="both"/>
        <w:rPr>
          <w:rFonts w:asciiTheme="majorHAnsi" w:hAnsiTheme="majorHAnsi"/>
          <w:b/>
          <w:bCs/>
          <w:sz w:val="20"/>
          <w:szCs w:val="20"/>
          <w:lang w:val="es-ES"/>
        </w:rPr>
      </w:pPr>
      <w:r w:rsidRPr="00C21237">
        <w:rPr>
          <w:rFonts w:asciiTheme="majorHAnsi" w:hAnsiTheme="majorHAnsi"/>
          <w:b/>
          <w:bCs/>
          <w:sz w:val="20"/>
          <w:szCs w:val="20"/>
          <w:lang w:val="es-ES"/>
        </w:rPr>
        <w:t xml:space="preserve">IV. </w:t>
      </w:r>
      <w:r w:rsidRPr="00C21237">
        <w:rPr>
          <w:rFonts w:asciiTheme="majorHAnsi" w:hAnsiTheme="majorHAnsi"/>
          <w:b/>
          <w:bCs/>
          <w:sz w:val="20"/>
          <w:szCs w:val="20"/>
          <w:lang w:val="es-ES"/>
        </w:rPr>
        <w:tab/>
      </w:r>
      <w:r w:rsidR="00EE00E9" w:rsidRPr="00C21237">
        <w:rPr>
          <w:rFonts w:asciiTheme="majorHAnsi" w:hAnsiTheme="majorHAnsi"/>
          <w:b/>
          <w:bCs/>
          <w:sz w:val="20"/>
          <w:szCs w:val="20"/>
          <w:lang w:val="es-ES"/>
        </w:rPr>
        <w:t>DUPLICACIÓN</w:t>
      </w:r>
      <w:r w:rsidR="00EE00E9" w:rsidRPr="00C21237">
        <w:rPr>
          <w:rFonts w:asciiTheme="majorHAnsi" w:hAnsiTheme="majorHAnsi"/>
          <w:b/>
          <w:bCs/>
          <w:color w:val="FFFFFF" w:themeColor="background1"/>
          <w:sz w:val="20"/>
          <w:szCs w:val="20"/>
          <w:lang w:val="es-ES"/>
        </w:rPr>
        <w:t xml:space="preserve"> </w:t>
      </w:r>
      <w:r w:rsidR="00EE00E9" w:rsidRPr="00C21237">
        <w:rPr>
          <w:rFonts w:asciiTheme="majorHAnsi" w:hAnsiTheme="majorHAnsi"/>
          <w:b/>
          <w:bCs/>
          <w:sz w:val="20"/>
          <w:szCs w:val="20"/>
          <w:lang w:val="es-ES"/>
        </w:rPr>
        <w:t>DE PROCEDIMIENTOS Y COSA JUZGADA</w:t>
      </w:r>
      <w:r w:rsidR="00EE00E9" w:rsidRPr="00C21237">
        <w:rPr>
          <w:rFonts w:asciiTheme="majorHAnsi" w:hAnsiTheme="majorHAnsi"/>
          <w:b/>
          <w:bCs/>
          <w:i/>
          <w:sz w:val="20"/>
          <w:szCs w:val="20"/>
          <w:lang w:val="es-ES"/>
        </w:rPr>
        <w:t xml:space="preserve"> </w:t>
      </w:r>
      <w:r w:rsidR="002663F0" w:rsidRPr="00C21237">
        <w:rPr>
          <w:rFonts w:asciiTheme="majorHAnsi" w:hAnsiTheme="majorHAnsi"/>
          <w:b/>
          <w:bCs/>
          <w:sz w:val="20"/>
          <w:szCs w:val="20"/>
          <w:lang w:val="es-ES"/>
        </w:rPr>
        <w:t>INTERNACIONAL, CARACTERIZACIÓN</w:t>
      </w:r>
      <w:r w:rsidRPr="00C21237">
        <w:rPr>
          <w:rFonts w:asciiTheme="majorHAnsi" w:hAnsiTheme="majorHAnsi"/>
          <w:b/>
          <w:bCs/>
          <w:sz w:val="20"/>
          <w:szCs w:val="20"/>
          <w:lang w:val="es-ES"/>
        </w:rPr>
        <w:t xml:space="preserve">, </w:t>
      </w:r>
      <w:r w:rsidRPr="00C2123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C21237" w:rsidTr="004A6A54">
        <w:trPr>
          <w:cantSplit/>
        </w:trPr>
        <w:tc>
          <w:tcPr>
            <w:tcW w:w="3600" w:type="dxa"/>
            <w:tcBorders>
              <w:top w:val="single" w:sz="4" w:space="0" w:color="auto"/>
              <w:bottom w:val="single" w:sz="6" w:space="0" w:color="auto"/>
            </w:tcBorders>
            <w:shd w:val="clear" w:color="auto" w:fill="386294"/>
            <w:vAlign w:val="center"/>
          </w:tcPr>
          <w:p w:rsidR="00EE00E9" w:rsidRPr="00C21237" w:rsidRDefault="00EE00E9" w:rsidP="004243A6">
            <w:pPr>
              <w:jc w:val="center"/>
              <w:rPr>
                <w:rFonts w:asciiTheme="majorHAnsi" w:hAnsiTheme="majorHAnsi"/>
                <w:b/>
                <w:bCs/>
                <w:color w:val="FFFFFF" w:themeColor="background1"/>
                <w:sz w:val="20"/>
                <w:szCs w:val="20"/>
                <w:lang w:val="es-ES"/>
              </w:rPr>
            </w:pPr>
            <w:r w:rsidRPr="00C2123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C21237" w:rsidRDefault="00474519" w:rsidP="004243A6">
            <w:pPr>
              <w:jc w:val="both"/>
              <w:rPr>
                <w:rFonts w:asciiTheme="majorHAnsi" w:hAnsiTheme="majorHAnsi"/>
                <w:bCs/>
                <w:sz w:val="20"/>
                <w:szCs w:val="20"/>
                <w:lang w:val="es-ES"/>
              </w:rPr>
            </w:pPr>
            <w:r w:rsidRPr="00C21237">
              <w:rPr>
                <w:rFonts w:asciiTheme="majorHAnsi" w:hAnsiTheme="majorHAnsi"/>
                <w:bCs/>
                <w:sz w:val="20"/>
                <w:szCs w:val="20"/>
                <w:lang w:val="es-ES"/>
              </w:rPr>
              <w:t xml:space="preserve">No </w:t>
            </w:r>
          </w:p>
        </w:tc>
      </w:tr>
      <w:tr w:rsidR="003239B8" w:rsidRPr="00B818AF" w:rsidTr="004A6A54">
        <w:trPr>
          <w:cantSplit/>
        </w:trPr>
        <w:tc>
          <w:tcPr>
            <w:tcW w:w="3600" w:type="dxa"/>
            <w:tcBorders>
              <w:top w:val="single" w:sz="4" w:space="0" w:color="auto"/>
              <w:bottom w:val="single" w:sz="6" w:space="0" w:color="auto"/>
            </w:tcBorders>
            <w:shd w:val="clear" w:color="auto" w:fill="386294"/>
            <w:vAlign w:val="center"/>
          </w:tcPr>
          <w:p w:rsidR="003239B8" w:rsidRPr="00C21237" w:rsidRDefault="003239B8" w:rsidP="004243A6">
            <w:pPr>
              <w:jc w:val="center"/>
              <w:rPr>
                <w:rFonts w:asciiTheme="majorHAnsi" w:hAnsiTheme="majorHAnsi"/>
                <w:b/>
                <w:bCs/>
                <w:i/>
                <w:color w:val="FFFFFF" w:themeColor="background1"/>
                <w:sz w:val="20"/>
                <w:szCs w:val="20"/>
              </w:rPr>
            </w:pPr>
            <w:r w:rsidRPr="00C21237">
              <w:rPr>
                <w:rFonts w:asciiTheme="majorHAnsi" w:hAnsiTheme="majorHAnsi"/>
                <w:b/>
                <w:bCs/>
                <w:color w:val="FFFFFF" w:themeColor="background1"/>
                <w:sz w:val="20"/>
                <w:szCs w:val="20"/>
              </w:rPr>
              <w:t>Derechos declarados admisibles</w:t>
            </w:r>
            <w:r w:rsidRPr="00C21237">
              <w:rPr>
                <w:rFonts w:asciiTheme="majorHAnsi" w:hAnsiTheme="majorHAnsi"/>
                <w:b/>
                <w:bCs/>
                <w:i/>
                <w:color w:val="FFFFFF" w:themeColor="background1"/>
                <w:sz w:val="20"/>
                <w:szCs w:val="20"/>
              </w:rPr>
              <w:t>:</w:t>
            </w:r>
          </w:p>
        </w:tc>
        <w:tc>
          <w:tcPr>
            <w:tcW w:w="5760" w:type="dxa"/>
            <w:vAlign w:val="center"/>
          </w:tcPr>
          <w:p w:rsidR="003239B8" w:rsidRPr="004E58FA" w:rsidRDefault="00804F57" w:rsidP="008B4B89">
            <w:pPr>
              <w:jc w:val="both"/>
              <w:rPr>
                <w:rFonts w:asciiTheme="majorHAnsi" w:hAnsiTheme="majorHAnsi"/>
                <w:bCs/>
                <w:sz w:val="20"/>
                <w:szCs w:val="20"/>
                <w:lang w:val="es-AR"/>
              </w:rPr>
            </w:pPr>
            <w:r w:rsidRPr="00C21237">
              <w:rPr>
                <w:rFonts w:asciiTheme="majorHAnsi" w:hAnsiTheme="majorHAnsi"/>
                <w:bCs/>
                <w:sz w:val="20"/>
                <w:szCs w:val="20"/>
                <w:lang w:val="es-AR"/>
              </w:rPr>
              <w:t>24 (i</w:t>
            </w:r>
            <w:r w:rsidR="005D78BD" w:rsidRPr="00C21237">
              <w:rPr>
                <w:rFonts w:asciiTheme="majorHAnsi" w:hAnsiTheme="majorHAnsi"/>
                <w:bCs/>
                <w:sz w:val="20"/>
                <w:szCs w:val="20"/>
                <w:lang w:val="es-AR"/>
              </w:rPr>
              <w:t xml:space="preserve">gualdad ante la </w:t>
            </w:r>
            <w:r w:rsidR="0037126F">
              <w:rPr>
                <w:rFonts w:asciiTheme="majorHAnsi" w:hAnsiTheme="majorHAnsi"/>
                <w:bCs/>
                <w:sz w:val="20"/>
                <w:szCs w:val="20"/>
                <w:lang w:val="es-AR"/>
              </w:rPr>
              <w:t>ley)</w:t>
            </w:r>
            <w:r w:rsidR="00982FF6">
              <w:rPr>
                <w:rFonts w:asciiTheme="majorHAnsi" w:hAnsiTheme="majorHAnsi"/>
                <w:bCs/>
                <w:sz w:val="20"/>
                <w:szCs w:val="20"/>
                <w:lang w:val="es-AR"/>
              </w:rPr>
              <w:t xml:space="preserve">, </w:t>
            </w:r>
            <w:r w:rsidR="00982FF6" w:rsidRPr="00AD6AA1">
              <w:rPr>
                <w:rFonts w:asciiTheme="majorHAnsi" w:hAnsiTheme="majorHAnsi"/>
                <w:bCs/>
                <w:sz w:val="20"/>
                <w:szCs w:val="20"/>
                <w:lang w:val="es-AR"/>
              </w:rPr>
              <w:t>25 (protección judicial)</w:t>
            </w:r>
            <w:r w:rsidR="0037126F" w:rsidRPr="00AD6AA1">
              <w:rPr>
                <w:rFonts w:asciiTheme="majorHAnsi" w:hAnsiTheme="majorHAnsi"/>
                <w:bCs/>
                <w:sz w:val="20"/>
                <w:szCs w:val="20"/>
                <w:lang w:val="es-AR"/>
              </w:rPr>
              <w:t xml:space="preserve"> y</w:t>
            </w:r>
            <w:r w:rsidRPr="00AD6AA1">
              <w:rPr>
                <w:rFonts w:asciiTheme="majorHAnsi" w:hAnsiTheme="majorHAnsi"/>
                <w:bCs/>
                <w:sz w:val="20"/>
                <w:szCs w:val="20"/>
                <w:lang w:val="es-AR"/>
              </w:rPr>
              <w:t xml:space="preserve"> 26 (</w:t>
            </w:r>
            <w:r w:rsidR="0037126F" w:rsidRPr="00AD6AA1">
              <w:rPr>
                <w:rFonts w:asciiTheme="majorHAnsi" w:hAnsiTheme="majorHAnsi"/>
                <w:sz w:val="20"/>
                <w:szCs w:val="20"/>
                <w:lang w:val="es-ES"/>
              </w:rPr>
              <w:t>derechos económicos, sociales y culturales</w:t>
            </w:r>
            <w:r w:rsidR="00380305" w:rsidRPr="00AD6AA1">
              <w:rPr>
                <w:rFonts w:asciiTheme="majorHAnsi" w:hAnsiTheme="majorHAnsi"/>
                <w:bCs/>
                <w:sz w:val="20"/>
                <w:szCs w:val="20"/>
                <w:lang w:val="es-AR"/>
              </w:rPr>
              <w:t xml:space="preserve">) </w:t>
            </w:r>
            <w:r w:rsidR="005D78BD" w:rsidRPr="00AD6AA1">
              <w:rPr>
                <w:rFonts w:asciiTheme="majorHAnsi" w:hAnsiTheme="majorHAnsi"/>
                <w:bCs/>
                <w:sz w:val="20"/>
                <w:szCs w:val="20"/>
                <w:lang w:val="es-AR"/>
              </w:rPr>
              <w:t>de la Convención Americana, en relación con su</w:t>
            </w:r>
            <w:r w:rsidR="002D705F" w:rsidRPr="00AD6AA1">
              <w:rPr>
                <w:rFonts w:asciiTheme="majorHAnsi" w:hAnsiTheme="majorHAnsi"/>
                <w:bCs/>
                <w:sz w:val="20"/>
                <w:szCs w:val="20"/>
                <w:lang w:val="es-AR"/>
              </w:rPr>
              <w:t>s</w:t>
            </w:r>
            <w:r w:rsidR="005D78BD" w:rsidRPr="00AD6AA1">
              <w:rPr>
                <w:rFonts w:asciiTheme="majorHAnsi" w:hAnsiTheme="majorHAnsi"/>
                <w:bCs/>
                <w:sz w:val="20"/>
                <w:szCs w:val="20"/>
                <w:lang w:val="es-AR"/>
              </w:rPr>
              <w:t xml:space="preserve"> artículo</w:t>
            </w:r>
            <w:r w:rsidR="002D705F" w:rsidRPr="00AD6AA1">
              <w:rPr>
                <w:rFonts w:asciiTheme="majorHAnsi" w:hAnsiTheme="majorHAnsi"/>
                <w:bCs/>
                <w:sz w:val="20"/>
                <w:szCs w:val="20"/>
                <w:lang w:val="es-AR"/>
              </w:rPr>
              <w:t>s</w:t>
            </w:r>
            <w:r w:rsidR="005D78BD" w:rsidRPr="00C21237">
              <w:rPr>
                <w:rFonts w:asciiTheme="majorHAnsi" w:hAnsiTheme="majorHAnsi"/>
                <w:bCs/>
                <w:sz w:val="20"/>
                <w:szCs w:val="20"/>
                <w:lang w:val="es-AR"/>
              </w:rPr>
              <w:t xml:space="preserve"> 1.1 (obligación de respetar los derechos) y 2 (deber de adoptar dis</w:t>
            </w:r>
            <w:r w:rsidR="0037126F">
              <w:rPr>
                <w:rFonts w:asciiTheme="majorHAnsi" w:hAnsiTheme="majorHAnsi"/>
                <w:bCs/>
                <w:sz w:val="20"/>
                <w:szCs w:val="20"/>
                <w:lang w:val="es-AR"/>
              </w:rPr>
              <w:t>posiciones del derecho interno)</w:t>
            </w:r>
            <w:r w:rsidR="0037126F" w:rsidRPr="00C21237">
              <w:rPr>
                <w:rFonts w:asciiTheme="majorHAnsi" w:hAnsiTheme="majorHAnsi"/>
                <w:bCs/>
                <w:sz w:val="20"/>
                <w:szCs w:val="20"/>
                <w:lang w:val="es-AR"/>
              </w:rPr>
              <w:t xml:space="preserve"> del mismo instrumento.</w:t>
            </w:r>
          </w:p>
        </w:tc>
      </w:tr>
      <w:tr w:rsidR="003239B8" w:rsidRPr="00B818AF" w:rsidTr="004A6A54">
        <w:trPr>
          <w:cantSplit/>
        </w:trPr>
        <w:tc>
          <w:tcPr>
            <w:tcW w:w="3600" w:type="dxa"/>
            <w:tcBorders>
              <w:top w:val="single" w:sz="6" w:space="0" w:color="auto"/>
              <w:bottom w:val="single" w:sz="6" w:space="0" w:color="auto"/>
            </w:tcBorders>
            <w:shd w:val="clear" w:color="auto" w:fill="386294"/>
            <w:vAlign w:val="center"/>
          </w:tcPr>
          <w:p w:rsidR="003239B8" w:rsidRPr="004E58FA" w:rsidRDefault="003239B8" w:rsidP="004243A6">
            <w:pPr>
              <w:jc w:val="center"/>
              <w:rPr>
                <w:rFonts w:asciiTheme="majorHAnsi" w:hAnsiTheme="majorHAnsi"/>
                <w:b/>
                <w:bCs/>
                <w:color w:val="FFFFFF" w:themeColor="background1"/>
                <w:sz w:val="20"/>
                <w:szCs w:val="20"/>
                <w:lang w:val="es-ES"/>
              </w:rPr>
            </w:pPr>
            <w:r w:rsidRPr="004E58FA">
              <w:rPr>
                <w:rFonts w:asciiTheme="majorHAnsi" w:hAnsiTheme="majorHAnsi"/>
                <w:b/>
                <w:bCs/>
                <w:color w:val="FFFFFF" w:themeColor="background1"/>
                <w:sz w:val="20"/>
                <w:szCs w:val="20"/>
                <w:lang w:val="es-ES"/>
              </w:rPr>
              <w:t>Agotamiento de recursos internos</w:t>
            </w:r>
            <w:r w:rsidR="00EE00E9" w:rsidRPr="004E58FA">
              <w:rPr>
                <w:rFonts w:asciiTheme="majorHAnsi" w:hAnsiTheme="majorHAnsi"/>
                <w:b/>
                <w:bCs/>
                <w:color w:val="FFFFFF" w:themeColor="background1"/>
                <w:sz w:val="20"/>
                <w:szCs w:val="20"/>
                <w:lang w:val="es-ES"/>
              </w:rPr>
              <w:t xml:space="preserve"> o procedencia de una excepción</w:t>
            </w:r>
            <w:r w:rsidRPr="004E58FA">
              <w:rPr>
                <w:rFonts w:asciiTheme="majorHAnsi" w:hAnsiTheme="majorHAnsi"/>
                <w:b/>
                <w:bCs/>
                <w:color w:val="FFFFFF" w:themeColor="background1"/>
                <w:sz w:val="20"/>
                <w:szCs w:val="20"/>
                <w:lang w:val="es-ES"/>
              </w:rPr>
              <w:t>:</w:t>
            </w:r>
          </w:p>
        </w:tc>
        <w:tc>
          <w:tcPr>
            <w:tcW w:w="5760" w:type="dxa"/>
            <w:vAlign w:val="center"/>
          </w:tcPr>
          <w:p w:rsidR="003239B8" w:rsidRPr="004E58FA" w:rsidRDefault="0081645A" w:rsidP="004243A6">
            <w:pPr>
              <w:rPr>
                <w:rFonts w:asciiTheme="majorHAnsi" w:hAnsiTheme="majorHAnsi"/>
                <w:bCs/>
                <w:sz w:val="20"/>
                <w:szCs w:val="20"/>
                <w:lang w:val="es-ES"/>
              </w:rPr>
            </w:pPr>
            <w:r w:rsidRPr="004E58FA">
              <w:rPr>
                <w:rFonts w:asciiTheme="majorHAnsi" w:hAnsiTheme="majorHAnsi"/>
                <w:bCs/>
                <w:sz w:val="20"/>
                <w:szCs w:val="20"/>
                <w:lang w:val="es-ES"/>
              </w:rPr>
              <w:t>S</w:t>
            </w:r>
            <w:r>
              <w:rPr>
                <w:rFonts w:asciiTheme="majorHAnsi" w:hAnsiTheme="majorHAnsi"/>
                <w:bCs/>
                <w:sz w:val="20"/>
                <w:szCs w:val="20"/>
                <w:lang w:val="es-ES"/>
              </w:rPr>
              <w:t>í</w:t>
            </w:r>
            <w:r w:rsidR="005D78BD" w:rsidRPr="004E58FA">
              <w:rPr>
                <w:rFonts w:asciiTheme="majorHAnsi" w:hAnsiTheme="majorHAnsi"/>
                <w:bCs/>
                <w:sz w:val="20"/>
                <w:szCs w:val="20"/>
                <w:lang w:val="es-ES"/>
              </w:rPr>
              <w:t>, el 7 de febrero de 2008</w:t>
            </w:r>
          </w:p>
        </w:tc>
      </w:tr>
      <w:tr w:rsidR="003239B8" w:rsidRPr="00B818AF" w:rsidTr="004A6A54">
        <w:trPr>
          <w:cantSplit/>
        </w:trPr>
        <w:tc>
          <w:tcPr>
            <w:tcW w:w="3600" w:type="dxa"/>
            <w:tcBorders>
              <w:top w:val="single" w:sz="6" w:space="0" w:color="auto"/>
              <w:bottom w:val="single" w:sz="6" w:space="0" w:color="auto"/>
            </w:tcBorders>
            <w:shd w:val="clear" w:color="auto" w:fill="386294"/>
            <w:vAlign w:val="center"/>
          </w:tcPr>
          <w:p w:rsidR="003239B8" w:rsidRPr="004E58FA" w:rsidRDefault="003239B8" w:rsidP="004243A6">
            <w:pPr>
              <w:jc w:val="center"/>
              <w:rPr>
                <w:rFonts w:asciiTheme="majorHAnsi" w:hAnsiTheme="majorHAnsi"/>
                <w:b/>
                <w:bCs/>
                <w:color w:val="FFFFFF" w:themeColor="background1"/>
                <w:sz w:val="20"/>
                <w:szCs w:val="20"/>
              </w:rPr>
            </w:pPr>
            <w:proofErr w:type="spellStart"/>
            <w:r w:rsidRPr="004E58FA">
              <w:rPr>
                <w:rFonts w:asciiTheme="majorHAnsi" w:hAnsiTheme="majorHAnsi"/>
                <w:b/>
                <w:bCs/>
                <w:color w:val="FFFFFF" w:themeColor="background1"/>
                <w:sz w:val="20"/>
                <w:szCs w:val="20"/>
              </w:rPr>
              <w:t>Presentación</w:t>
            </w:r>
            <w:proofErr w:type="spellEnd"/>
            <w:r w:rsidRPr="004E58FA">
              <w:rPr>
                <w:rFonts w:asciiTheme="majorHAnsi" w:hAnsiTheme="majorHAnsi"/>
                <w:b/>
                <w:bCs/>
                <w:color w:val="FFFFFF" w:themeColor="background1"/>
                <w:sz w:val="20"/>
                <w:szCs w:val="20"/>
              </w:rPr>
              <w:t xml:space="preserve"> </w:t>
            </w:r>
            <w:proofErr w:type="spellStart"/>
            <w:r w:rsidRPr="004E58FA">
              <w:rPr>
                <w:rFonts w:asciiTheme="majorHAnsi" w:hAnsiTheme="majorHAnsi"/>
                <w:b/>
                <w:bCs/>
                <w:color w:val="FFFFFF" w:themeColor="background1"/>
                <w:sz w:val="20"/>
                <w:szCs w:val="20"/>
              </w:rPr>
              <w:t>dentro</w:t>
            </w:r>
            <w:proofErr w:type="spellEnd"/>
            <w:r w:rsidRPr="004E58FA">
              <w:rPr>
                <w:rFonts w:asciiTheme="majorHAnsi" w:hAnsiTheme="majorHAnsi"/>
                <w:b/>
                <w:bCs/>
                <w:color w:val="FFFFFF" w:themeColor="background1"/>
                <w:sz w:val="20"/>
                <w:szCs w:val="20"/>
              </w:rPr>
              <w:t xml:space="preserve"> de </w:t>
            </w:r>
            <w:proofErr w:type="spellStart"/>
            <w:r w:rsidRPr="004E58FA">
              <w:rPr>
                <w:rFonts w:asciiTheme="majorHAnsi" w:hAnsiTheme="majorHAnsi"/>
                <w:b/>
                <w:bCs/>
                <w:color w:val="FFFFFF" w:themeColor="background1"/>
                <w:sz w:val="20"/>
                <w:szCs w:val="20"/>
              </w:rPr>
              <w:t>plazo</w:t>
            </w:r>
            <w:proofErr w:type="spellEnd"/>
            <w:r w:rsidRPr="004E58FA">
              <w:rPr>
                <w:rFonts w:asciiTheme="majorHAnsi" w:hAnsiTheme="majorHAnsi"/>
                <w:b/>
                <w:bCs/>
                <w:color w:val="FFFFFF" w:themeColor="background1"/>
                <w:sz w:val="20"/>
                <w:szCs w:val="20"/>
              </w:rPr>
              <w:t>:</w:t>
            </w:r>
          </w:p>
        </w:tc>
        <w:tc>
          <w:tcPr>
            <w:tcW w:w="5760" w:type="dxa"/>
            <w:vAlign w:val="center"/>
          </w:tcPr>
          <w:p w:rsidR="003239B8" w:rsidRPr="004E58FA" w:rsidRDefault="00474519" w:rsidP="001115FC">
            <w:pPr>
              <w:rPr>
                <w:rFonts w:asciiTheme="majorHAnsi" w:hAnsiTheme="majorHAnsi"/>
                <w:bCs/>
                <w:sz w:val="20"/>
                <w:szCs w:val="20"/>
                <w:lang w:val="es-AR"/>
              </w:rPr>
            </w:pPr>
            <w:r w:rsidRPr="004E58FA">
              <w:rPr>
                <w:rFonts w:asciiTheme="majorHAnsi" w:hAnsiTheme="majorHAnsi"/>
                <w:bCs/>
                <w:sz w:val="20"/>
                <w:szCs w:val="20"/>
                <w:lang w:val="es-AR"/>
              </w:rPr>
              <w:t xml:space="preserve">Sí, </w:t>
            </w:r>
            <w:r w:rsidR="005D78BD" w:rsidRPr="004E58FA">
              <w:rPr>
                <w:rFonts w:asciiTheme="majorHAnsi" w:hAnsiTheme="majorHAnsi"/>
                <w:bCs/>
                <w:sz w:val="20"/>
                <w:szCs w:val="20"/>
                <w:lang w:val="es-AR"/>
              </w:rPr>
              <w:t>el 28 de julio de 2008</w:t>
            </w:r>
            <w:r w:rsidRPr="004E58FA">
              <w:rPr>
                <w:rFonts w:asciiTheme="majorHAnsi" w:hAnsiTheme="majorHAnsi"/>
                <w:bCs/>
                <w:sz w:val="20"/>
                <w:szCs w:val="20"/>
                <w:lang w:val="es-AR"/>
              </w:rPr>
              <w:t>.</w:t>
            </w:r>
          </w:p>
        </w:tc>
      </w:tr>
    </w:tbl>
    <w:p w:rsidR="00106A58" w:rsidRDefault="00106A58" w:rsidP="00661AB0">
      <w:pPr>
        <w:spacing w:before="240" w:after="240"/>
        <w:ind w:firstLine="720"/>
        <w:jc w:val="both"/>
        <w:rPr>
          <w:rFonts w:asciiTheme="majorHAnsi" w:hAnsiTheme="majorHAnsi"/>
          <w:b/>
          <w:sz w:val="20"/>
          <w:szCs w:val="20"/>
          <w:lang w:val="es-UY"/>
        </w:rPr>
      </w:pPr>
    </w:p>
    <w:p w:rsidR="003239B8" w:rsidRDefault="00223A29" w:rsidP="00661AB0">
      <w:pPr>
        <w:spacing w:before="240" w:after="240"/>
        <w:ind w:firstLine="720"/>
        <w:jc w:val="both"/>
        <w:rPr>
          <w:rFonts w:asciiTheme="majorHAnsi" w:hAnsiTheme="majorHAnsi"/>
          <w:b/>
          <w:sz w:val="20"/>
          <w:szCs w:val="20"/>
          <w:lang w:val="es-UY"/>
        </w:rPr>
      </w:pPr>
      <w:r w:rsidRPr="004E58FA">
        <w:rPr>
          <w:rFonts w:asciiTheme="majorHAnsi" w:hAnsiTheme="majorHAnsi"/>
          <w:b/>
          <w:sz w:val="20"/>
          <w:szCs w:val="20"/>
          <w:lang w:val="es-UY"/>
        </w:rPr>
        <w:lastRenderedPageBreak/>
        <w:t xml:space="preserve">V. </w:t>
      </w:r>
      <w:r w:rsidRPr="004E58FA">
        <w:rPr>
          <w:rFonts w:asciiTheme="majorHAnsi" w:hAnsiTheme="majorHAnsi"/>
          <w:b/>
          <w:sz w:val="20"/>
          <w:szCs w:val="20"/>
          <w:lang w:val="es-UY"/>
        </w:rPr>
        <w:tab/>
      </w:r>
      <w:r w:rsidR="003239B8" w:rsidRPr="004E58FA">
        <w:rPr>
          <w:rFonts w:asciiTheme="majorHAnsi" w:hAnsiTheme="majorHAnsi"/>
          <w:b/>
          <w:sz w:val="20"/>
          <w:szCs w:val="20"/>
          <w:lang w:val="es-UY"/>
        </w:rPr>
        <w:t xml:space="preserve">HECHOS ALEGADOS </w:t>
      </w:r>
    </w:p>
    <w:p w:rsidR="00150198" w:rsidRPr="00F55AA9" w:rsidRDefault="0010367C" w:rsidP="00150198">
      <w:pPr>
        <w:numPr>
          <w:ilvl w:val="0"/>
          <w:numId w:val="55"/>
        </w:numPr>
        <w:suppressAutoHyphens/>
        <w:spacing w:after="240"/>
        <w:jc w:val="both"/>
        <w:rPr>
          <w:rFonts w:ascii="Cambria" w:hAnsi="Cambria"/>
          <w:sz w:val="20"/>
          <w:szCs w:val="20"/>
          <w:lang w:val="es-AR"/>
        </w:rPr>
      </w:pPr>
      <w:r w:rsidRPr="00F55AA9">
        <w:rPr>
          <w:rFonts w:ascii="Cambria" w:hAnsi="Cambria"/>
          <w:sz w:val="20"/>
          <w:szCs w:val="20"/>
          <w:lang w:val="es-AR"/>
        </w:rPr>
        <w:t xml:space="preserve">El </w:t>
      </w:r>
      <w:r w:rsidRPr="00F55AA9">
        <w:rPr>
          <w:rFonts w:ascii="Cambria" w:hAnsi="Cambria"/>
          <w:bCs/>
          <w:sz w:val="20"/>
          <w:szCs w:val="20"/>
          <w:lang w:val="es-AR"/>
        </w:rPr>
        <w:t xml:space="preserve">Centro de </w:t>
      </w:r>
      <w:r w:rsidR="00330FE6" w:rsidRPr="00F55AA9">
        <w:rPr>
          <w:rFonts w:ascii="Cambria" w:hAnsi="Cambria"/>
          <w:bCs/>
          <w:sz w:val="20"/>
          <w:szCs w:val="20"/>
          <w:lang w:val="es-AR"/>
        </w:rPr>
        <w:t>Derechos Humanos y Desarrollo</w:t>
      </w:r>
      <w:r w:rsidR="00CD4B42" w:rsidRPr="00F55AA9">
        <w:rPr>
          <w:rFonts w:ascii="Cambria" w:hAnsi="Cambria"/>
          <w:bCs/>
          <w:sz w:val="20"/>
          <w:szCs w:val="20"/>
          <w:lang w:val="es-AR"/>
        </w:rPr>
        <w:t>-CEDAL</w:t>
      </w:r>
      <w:r w:rsidRPr="00F55AA9">
        <w:rPr>
          <w:rFonts w:ascii="Cambria" w:hAnsi="Cambria"/>
          <w:bCs/>
          <w:sz w:val="20"/>
          <w:szCs w:val="20"/>
          <w:lang w:val="es-AR"/>
        </w:rPr>
        <w:t xml:space="preserve"> </w:t>
      </w:r>
      <w:r w:rsidR="00CD4B42" w:rsidRPr="00F55AA9">
        <w:rPr>
          <w:rFonts w:ascii="Cambria" w:hAnsi="Cambria"/>
          <w:bCs/>
          <w:sz w:val="20"/>
          <w:szCs w:val="20"/>
          <w:lang w:val="es-AR"/>
        </w:rPr>
        <w:t>y</w:t>
      </w:r>
      <w:r w:rsidRPr="00F55AA9">
        <w:rPr>
          <w:rFonts w:ascii="Cambria" w:hAnsi="Cambria"/>
          <w:bCs/>
          <w:sz w:val="20"/>
          <w:szCs w:val="20"/>
          <w:lang w:val="es-AR"/>
        </w:rPr>
        <w:t xml:space="preserve"> la Asociación Aurora Vivar (en adelante “los peticionarios”), en conjunto con la </w:t>
      </w:r>
      <w:r w:rsidR="0091653F" w:rsidRPr="00F55AA9">
        <w:rPr>
          <w:rFonts w:ascii="Cambria" w:hAnsi="Cambria"/>
          <w:sz w:val="20"/>
          <w:szCs w:val="20"/>
          <w:lang w:val="es-AR"/>
        </w:rPr>
        <w:t>Sra. Rosa Elena Pariahuachi Palacios (en adelante “Sra. Pariahuachi” o “la</w:t>
      </w:r>
      <w:r w:rsidRPr="00F55AA9">
        <w:rPr>
          <w:rFonts w:ascii="Cambria" w:hAnsi="Cambria"/>
          <w:sz w:val="20"/>
          <w:szCs w:val="20"/>
          <w:lang w:val="es-AR"/>
        </w:rPr>
        <w:t xml:space="preserve"> </w:t>
      </w:r>
      <w:r w:rsidR="00931A13" w:rsidRPr="00F55AA9">
        <w:rPr>
          <w:rFonts w:ascii="Cambria" w:hAnsi="Cambria"/>
          <w:sz w:val="20"/>
          <w:szCs w:val="20"/>
          <w:lang w:val="es-AR"/>
        </w:rPr>
        <w:t xml:space="preserve">presunta </w:t>
      </w:r>
      <w:r w:rsidRPr="00F55AA9">
        <w:rPr>
          <w:rFonts w:ascii="Cambria" w:hAnsi="Cambria"/>
          <w:sz w:val="20"/>
          <w:szCs w:val="20"/>
          <w:lang w:val="es-AR"/>
        </w:rPr>
        <w:t>víctima</w:t>
      </w:r>
      <w:r w:rsidR="0091653F" w:rsidRPr="00F55AA9">
        <w:rPr>
          <w:rFonts w:ascii="Cambria" w:hAnsi="Cambria"/>
          <w:sz w:val="20"/>
          <w:szCs w:val="20"/>
          <w:lang w:val="es-AR"/>
        </w:rPr>
        <w:t xml:space="preserve">”) </w:t>
      </w:r>
      <w:r w:rsidR="00CF3D59" w:rsidRPr="00F55AA9">
        <w:rPr>
          <w:rFonts w:ascii="Cambria" w:hAnsi="Cambria"/>
          <w:sz w:val="20"/>
          <w:szCs w:val="20"/>
          <w:lang w:val="es-AR"/>
        </w:rPr>
        <w:t>alegan</w:t>
      </w:r>
      <w:r w:rsidR="007E5897" w:rsidRPr="00F55AA9">
        <w:rPr>
          <w:rFonts w:ascii="Cambria" w:hAnsi="Cambria"/>
          <w:sz w:val="20"/>
          <w:szCs w:val="20"/>
          <w:lang w:val="es-AR"/>
        </w:rPr>
        <w:t xml:space="preserve"> la responsabilidad del Estado</w:t>
      </w:r>
      <w:r w:rsidR="00330FE6" w:rsidRPr="00F55AA9">
        <w:rPr>
          <w:rFonts w:ascii="Cambria" w:hAnsi="Cambria"/>
          <w:sz w:val="20"/>
          <w:szCs w:val="20"/>
          <w:lang w:val="es-AR"/>
        </w:rPr>
        <w:t xml:space="preserve"> p</w:t>
      </w:r>
      <w:r w:rsidR="002E176E" w:rsidRPr="00F55AA9">
        <w:rPr>
          <w:rFonts w:ascii="Cambria" w:hAnsi="Cambria"/>
          <w:sz w:val="20"/>
          <w:szCs w:val="20"/>
          <w:lang w:val="es-AR"/>
        </w:rPr>
        <w:t xml:space="preserve">eruano por haber violado, en perjuicio de la recurrente </w:t>
      </w:r>
      <w:r w:rsidR="002E176E" w:rsidRPr="00AD6AA1">
        <w:rPr>
          <w:rFonts w:ascii="Cambria" w:hAnsi="Cambria"/>
          <w:sz w:val="20"/>
          <w:szCs w:val="20"/>
          <w:lang w:val="es-AR"/>
        </w:rPr>
        <w:t xml:space="preserve">y </w:t>
      </w:r>
      <w:r w:rsidR="005D44A4" w:rsidRPr="00AD6AA1">
        <w:rPr>
          <w:rFonts w:ascii="Cambria" w:hAnsi="Cambria"/>
          <w:sz w:val="20"/>
          <w:szCs w:val="20"/>
          <w:lang w:val="es-AR"/>
        </w:rPr>
        <w:t>otras</w:t>
      </w:r>
      <w:r w:rsidR="002E176E" w:rsidRPr="00AD6AA1">
        <w:rPr>
          <w:rFonts w:ascii="Cambria" w:hAnsi="Cambria"/>
          <w:sz w:val="20"/>
          <w:szCs w:val="20"/>
          <w:lang w:val="es-AR"/>
        </w:rPr>
        <w:t xml:space="preserve"> </w:t>
      </w:r>
      <w:r w:rsidR="005D44A4" w:rsidRPr="00AD6AA1">
        <w:rPr>
          <w:rFonts w:ascii="Cambria" w:hAnsi="Cambria"/>
          <w:sz w:val="20"/>
          <w:szCs w:val="20"/>
          <w:lang w:val="es-AR"/>
        </w:rPr>
        <w:t xml:space="preserve">personas </w:t>
      </w:r>
      <w:r w:rsidR="002E176E" w:rsidRPr="00AD6AA1">
        <w:rPr>
          <w:rFonts w:ascii="Cambria" w:hAnsi="Cambria"/>
          <w:sz w:val="20"/>
          <w:szCs w:val="20"/>
          <w:lang w:val="es-AR"/>
        </w:rPr>
        <w:t>trabajadores</w:t>
      </w:r>
      <w:r w:rsidR="002E176E" w:rsidRPr="00F55AA9">
        <w:rPr>
          <w:rFonts w:ascii="Cambria" w:hAnsi="Cambria"/>
          <w:sz w:val="20"/>
          <w:szCs w:val="20"/>
          <w:lang w:val="es-AR"/>
        </w:rPr>
        <w:t xml:space="preserve"> y trabajadoras sujetos al régimen laboral agrario,</w:t>
      </w:r>
      <w:r w:rsidR="005F7072" w:rsidRPr="00F55AA9">
        <w:rPr>
          <w:rFonts w:ascii="Cambria" w:hAnsi="Cambria"/>
          <w:sz w:val="20"/>
          <w:szCs w:val="20"/>
          <w:lang w:val="es-AR"/>
        </w:rPr>
        <w:t xml:space="preserve"> </w:t>
      </w:r>
      <w:r w:rsidR="004E4860" w:rsidRPr="00F55AA9">
        <w:rPr>
          <w:rFonts w:ascii="Cambria" w:hAnsi="Cambria"/>
          <w:sz w:val="20"/>
          <w:szCs w:val="20"/>
          <w:lang w:val="es-AR"/>
        </w:rPr>
        <w:t xml:space="preserve">sus derechos </w:t>
      </w:r>
      <w:r w:rsidR="005F7072" w:rsidRPr="00F55AA9">
        <w:rPr>
          <w:rFonts w:ascii="Cambria" w:hAnsi="Cambria"/>
          <w:sz w:val="20"/>
          <w:szCs w:val="20"/>
          <w:lang w:val="es-AR"/>
        </w:rPr>
        <w:t xml:space="preserve">al considerar que fueron sujetas a un </w:t>
      </w:r>
      <w:r w:rsidR="005F7072" w:rsidRPr="00F55AA9">
        <w:rPr>
          <w:rFonts w:ascii="Cambria" w:hAnsi="Cambria"/>
          <w:sz w:val="20"/>
          <w:szCs w:val="20"/>
          <w:lang w:val="es-ES"/>
        </w:rPr>
        <w:t>el trato discriminatorio respecto de derechos y beneficios laborales, todo esto dentro de un contexto de discriminación histórica y estructural hacia las mujeres campesinas de bajos recursos</w:t>
      </w:r>
      <w:r w:rsidR="007E5897" w:rsidRPr="00F55AA9">
        <w:rPr>
          <w:rFonts w:ascii="Cambria" w:hAnsi="Cambria"/>
          <w:sz w:val="20"/>
          <w:szCs w:val="20"/>
          <w:lang w:val="es-AR"/>
        </w:rPr>
        <w:t xml:space="preserve">. </w:t>
      </w:r>
    </w:p>
    <w:p w:rsidR="00964378" w:rsidRPr="00F55AA9" w:rsidRDefault="0010367C" w:rsidP="00150198">
      <w:pPr>
        <w:numPr>
          <w:ilvl w:val="0"/>
          <w:numId w:val="55"/>
        </w:numPr>
        <w:suppressAutoHyphens/>
        <w:spacing w:after="240"/>
        <w:jc w:val="both"/>
        <w:rPr>
          <w:rFonts w:ascii="Cambria" w:hAnsi="Cambria"/>
          <w:sz w:val="20"/>
          <w:szCs w:val="20"/>
          <w:lang w:val="es-AR"/>
        </w:rPr>
      </w:pPr>
      <w:r w:rsidRPr="00F55AA9">
        <w:rPr>
          <w:rFonts w:ascii="Cambria" w:hAnsi="Cambria"/>
          <w:sz w:val="20"/>
          <w:szCs w:val="20"/>
          <w:lang w:val="es-AR"/>
        </w:rPr>
        <w:t>Los</w:t>
      </w:r>
      <w:r w:rsidR="000871AC" w:rsidRPr="00F55AA9">
        <w:rPr>
          <w:rFonts w:ascii="Cambria" w:hAnsi="Cambria"/>
          <w:sz w:val="20"/>
          <w:szCs w:val="20"/>
          <w:lang w:val="es-AR"/>
        </w:rPr>
        <w:t xml:space="preserve"> peticionarios</w:t>
      </w:r>
      <w:r w:rsidR="002E176E" w:rsidRPr="00F55AA9">
        <w:rPr>
          <w:rFonts w:ascii="Cambria" w:hAnsi="Cambria"/>
          <w:sz w:val="20"/>
          <w:szCs w:val="20"/>
          <w:lang w:val="es-AR"/>
        </w:rPr>
        <w:t xml:space="preserve"> señala</w:t>
      </w:r>
      <w:r w:rsidR="000871AC" w:rsidRPr="00F55AA9">
        <w:rPr>
          <w:rFonts w:ascii="Cambria" w:hAnsi="Cambria"/>
          <w:sz w:val="20"/>
          <w:szCs w:val="20"/>
          <w:lang w:val="es-AR"/>
        </w:rPr>
        <w:t xml:space="preserve">n que desde el 2004 la presunta víctima se ha </w:t>
      </w:r>
      <w:r w:rsidR="002E176E" w:rsidRPr="00F55AA9">
        <w:rPr>
          <w:rFonts w:ascii="Cambria" w:hAnsi="Cambria"/>
          <w:sz w:val="20"/>
          <w:szCs w:val="20"/>
          <w:lang w:val="es-AR"/>
        </w:rPr>
        <w:t>desempeñado como trabajadora en empres</w:t>
      </w:r>
      <w:r w:rsidR="00931A13" w:rsidRPr="00F55AA9">
        <w:rPr>
          <w:rFonts w:ascii="Cambria" w:hAnsi="Cambria"/>
          <w:sz w:val="20"/>
          <w:szCs w:val="20"/>
          <w:lang w:val="es-AR"/>
        </w:rPr>
        <w:t>as dedicadas a la agroindustria</w:t>
      </w:r>
      <w:r w:rsidR="00063DA8" w:rsidRPr="00F55AA9">
        <w:rPr>
          <w:rFonts w:ascii="Cambria" w:hAnsi="Cambria"/>
          <w:sz w:val="20"/>
          <w:szCs w:val="20"/>
          <w:lang w:val="es-AR"/>
        </w:rPr>
        <w:t xml:space="preserve"> en Perú</w:t>
      </w:r>
      <w:r w:rsidR="00330FE6" w:rsidRPr="00F55AA9">
        <w:rPr>
          <w:rFonts w:ascii="Cambria" w:hAnsi="Cambria"/>
          <w:sz w:val="20"/>
          <w:szCs w:val="20"/>
          <w:lang w:val="es-AR"/>
        </w:rPr>
        <w:t>, donde existe</w:t>
      </w:r>
      <w:r w:rsidR="00DD0C22" w:rsidRPr="00F55AA9">
        <w:rPr>
          <w:rFonts w:ascii="Cambria" w:hAnsi="Cambria"/>
          <w:sz w:val="20"/>
          <w:szCs w:val="20"/>
          <w:lang w:val="es-AR"/>
        </w:rPr>
        <w:t xml:space="preserve"> un contexto de discriminación histórica hacia l</w:t>
      </w:r>
      <w:r w:rsidR="00CF3D59" w:rsidRPr="00F55AA9">
        <w:rPr>
          <w:rFonts w:ascii="Cambria" w:hAnsi="Cambria"/>
          <w:sz w:val="20"/>
          <w:szCs w:val="20"/>
          <w:lang w:val="es-AR"/>
        </w:rPr>
        <w:t>as personas</w:t>
      </w:r>
      <w:r w:rsidR="00DD0C22" w:rsidRPr="00F55AA9">
        <w:rPr>
          <w:rFonts w:ascii="Cambria" w:hAnsi="Cambria"/>
          <w:sz w:val="20"/>
          <w:szCs w:val="20"/>
          <w:lang w:val="es-AR"/>
        </w:rPr>
        <w:t xml:space="preserve"> trabajadoras del campo</w:t>
      </w:r>
      <w:r w:rsidR="00737546" w:rsidRPr="00F55AA9">
        <w:rPr>
          <w:rFonts w:ascii="Cambria" w:hAnsi="Cambria"/>
          <w:sz w:val="20"/>
          <w:szCs w:val="20"/>
          <w:lang w:val="es-AR"/>
        </w:rPr>
        <w:t>,</w:t>
      </w:r>
      <w:r w:rsidR="00DD0C22" w:rsidRPr="00F55AA9">
        <w:rPr>
          <w:rFonts w:ascii="Cambria" w:hAnsi="Cambria"/>
          <w:sz w:val="20"/>
          <w:szCs w:val="20"/>
          <w:lang w:val="es-AR"/>
        </w:rPr>
        <w:t xml:space="preserve"> particularmente para las mujeres indígenas y afro</w:t>
      </w:r>
      <w:r w:rsidR="00737546" w:rsidRPr="00F55AA9">
        <w:rPr>
          <w:rFonts w:ascii="Cambria" w:hAnsi="Cambria"/>
          <w:sz w:val="20"/>
          <w:szCs w:val="20"/>
          <w:lang w:val="es-AR"/>
        </w:rPr>
        <w:t>-</w:t>
      </w:r>
      <w:r w:rsidR="00DD0C22" w:rsidRPr="00F55AA9">
        <w:rPr>
          <w:rFonts w:ascii="Cambria" w:hAnsi="Cambria"/>
          <w:sz w:val="20"/>
          <w:szCs w:val="20"/>
          <w:lang w:val="es-AR"/>
        </w:rPr>
        <w:t>peruanas</w:t>
      </w:r>
      <w:r w:rsidR="000F0D0A" w:rsidRPr="00F55AA9">
        <w:rPr>
          <w:rFonts w:ascii="Cambria" w:hAnsi="Cambria"/>
          <w:sz w:val="20"/>
          <w:szCs w:val="20"/>
          <w:lang w:val="es-AR"/>
        </w:rPr>
        <w:t>.</w:t>
      </w:r>
      <w:r w:rsidR="00AA4820" w:rsidRPr="00F55AA9">
        <w:rPr>
          <w:rFonts w:ascii="Cambria" w:hAnsi="Cambria"/>
          <w:sz w:val="20"/>
          <w:szCs w:val="20"/>
          <w:lang w:val="es-AR"/>
        </w:rPr>
        <w:t xml:space="preserve"> </w:t>
      </w:r>
      <w:r w:rsidR="0020739C" w:rsidRPr="00F55AA9">
        <w:rPr>
          <w:rFonts w:ascii="Cambria" w:hAnsi="Cambria"/>
          <w:sz w:val="20"/>
          <w:szCs w:val="20"/>
          <w:lang w:val="es-AR"/>
        </w:rPr>
        <w:t>Agrega</w:t>
      </w:r>
      <w:r w:rsidR="003C33E8" w:rsidRPr="00F55AA9">
        <w:rPr>
          <w:rFonts w:ascii="Cambria" w:hAnsi="Cambria"/>
          <w:sz w:val="20"/>
          <w:szCs w:val="20"/>
          <w:lang w:val="es-AR"/>
        </w:rPr>
        <w:t>n</w:t>
      </w:r>
      <w:r w:rsidR="0020739C" w:rsidRPr="00F55AA9">
        <w:rPr>
          <w:rFonts w:ascii="Cambria" w:hAnsi="Cambria"/>
          <w:sz w:val="20"/>
          <w:szCs w:val="20"/>
          <w:lang w:val="es-AR"/>
        </w:rPr>
        <w:t xml:space="preserve"> que es</w:t>
      </w:r>
      <w:r w:rsidR="00274C9F" w:rsidRPr="00F55AA9">
        <w:rPr>
          <w:rFonts w:ascii="Cambria" w:hAnsi="Cambria"/>
          <w:sz w:val="20"/>
          <w:szCs w:val="20"/>
          <w:lang w:val="es-AR"/>
        </w:rPr>
        <w:t xml:space="preserve">ta discriminación </w:t>
      </w:r>
      <w:r w:rsidR="007763A0" w:rsidRPr="00F55AA9">
        <w:rPr>
          <w:rFonts w:ascii="Cambria" w:hAnsi="Cambria"/>
          <w:sz w:val="20"/>
          <w:szCs w:val="20"/>
          <w:lang w:val="es-AR"/>
        </w:rPr>
        <w:t xml:space="preserve">se ha visto reflejada </w:t>
      </w:r>
      <w:r w:rsidR="00274C9F" w:rsidRPr="00F55AA9">
        <w:rPr>
          <w:rFonts w:ascii="Cambria" w:hAnsi="Cambria"/>
          <w:sz w:val="20"/>
          <w:szCs w:val="20"/>
          <w:lang w:val="es-AR"/>
        </w:rPr>
        <w:t>a part</w:t>
      </w:r>
      <w:r w:rsidR="00330FE6" w:rsidRPr="00F55AA9">
        <w:rPr>
          <w:rFonts w:ascii="Cambria" w:hAnsi="Cambria"/>
          <w:sz w:val="20"/>
          <w:szCs w:val="20"/>
          <w:lang w:val="es-AR"/>
        </w:rPr>
        <w:t>ir de la vigencia de L</w:t>
      </w:r>
      <w:r w:rsidR="00274C9F" w:rsidRPr="00F55AA9">
        <w:rPr>
          <w:rFonts w:ascii="Cambria" w:hAnsi="Cambria"/>
          <w:sz w:val="20"/>
          <w:szCs w:val="20"/>
          <w:lang w:val="es-AR"/>
        </w:rPr>
        <w:t>ey N°27360 (en adelante “la Ley”) el 30 de octubre del 2000</w:t>
      </w:r>
      <w:r w:rsidR="00330FE6" w:rsidRPr="00F55AA9">
        <w:rPr>
          <w:rFonts w:ascii="Cambria" w:hAnsi="Cambria"/>
          <w:sz w:val="20"/>
          <w:szCs w:val="20"/>
          <w:lang w:val="es-AR"/>
        </w:rPr>
        <w:t xml:space="preserve">, mediante la cual </w:t>
      </w:r>
      <w:r w:rsidR="00DD7C0F" w:rsidRPr="00F55AA9">
        <w:rPr>
          <w:rFonts w:ascii="Cambria" w:hAnsi="Cambria"/>
          <w:sz w:val="20"/>
          <w:szCs w:val="20"/>
          <w:lang w:val="es-AR"/>
        </w:rPr>
        <w:t>se aprobaron medidas de promoción del sector agrario.</w:t>
      </w:r>
      <w:r w:rsidR="003C33E8" w:rsidRPr="00F55AA9">
        <w:rPr>
          <w:rFonts w:ascii="Cambria" w:hAnsi="Cambria"/>
          <w:sz w:val="20"/>
          <w:szCs w:val="20"/>
          <w:lang w:val="es-AR"/>
        </w:rPr>
        <w:t xml:space="preserve"> </w:t>
      </w:r>
      <w:r w:rsidR="00330FE6" w:rsidRPr="00F55AA9">
        <w:rPr>
          <w:rFonts w:ascii="Cambria" w:hAnsi="Cambria"/>
          <w:sz w:val="20"/>
          <w:szCs w:val="20"/>
          <w:lang w:val="es-AR"/>
        </w:rPr>
        <w:t>Indican que m</w:t>
      </w:r>
      <w:r w:rsidR="0060494A" w:rsidRPr="00F55AA9">
        <w:rPr>
          <w:rFonts w:ascii="Cambria" w:hAnsi="Cambria"/>
          <w:sz w:val="20"/>
          <w:szCs w:val="20"/>
          <w:lang w:val="es-AR"/>
        </w:rPr>
        <w:t xml:space="preserve">ediante el artículo 7 de la Ley se estableció un régimen laboral de </w:t>
      </w:r>
      <w:r w:rsidR="00DA20CF" w:rsidRPr="00F55AA9">
        <w:rPr>
          <w:rFonts w:ascii="Cambria" w:hAnsi="Cambria"/>
          <w:sz w:val="20"/>
          <w:szCs w:val="20"/>
          <w:lang w:val="es-AR"/>
        </w:rPr>
        <w:t>“</w:t>
      </w:r>
      <w:r w:rsidR="0060494A" w:rsidRPr="00F55AA9">
        <w:rPr>
          <w:rFonts w:ascii="Cambria" w:hAnsi="Cambria"/>
          <w:sz w:val="20"/>
          <w:szCs w:val="20"/>
          <w:lang w:val="es-AR"/>
        </w:rPr>
        <w:t>carácter especial y transitorio</w:t>
      </w:r>
      <w:r w:rsidR="00DA20CF" w:rsidRPr="00F55AA9">
        <w:rPr>
          <w:rFonts w:ascii="Cambria" w:hAnsi="Cambria"/>
          <w:i/>
          <w:sz w:val="20"/>
          <w:szCs w:val="20"/>
          <w:lang w:val="es-AR"/>
        </w:rPr>
        <w:t>”</w:t>
      </w:r>
      <w:r w:rsidR="0060494A" w:rsidRPr="00F55AA9">
        <w:rPr>
          <w:rFonts w:ascii="Cambria" w:hAnsi="Cambria"/>
          <w:i/>
          <w:sz w:val="20"/>
          <w:szCs w:val="20"/>
          <w:lang w:val="es-AR"/>
        </w:rPr>
        <w:t xml:space="preserve"> </w:t>
      </w:r>
      <w:r w:rsidR="0060494A" w:rsidRPr="00F55AA9">
        <w:rPr>
          <w:rFonts w:ascii="Cambria" w:hAnsi="Cambria"/>
          <w:sz w:val="20"/>
          <w:szCs w:val="20"/>
          <w:lang w:val="es-AR"/>
        </w:rPr>
        <w:t xml:space="preserve">aplicable a </w:t>
      </w:r>
      <w:r w:rsidR="00D01B47" w:rsidRPr="00F55AA9">
        <w:rPr>
          <w:rFonts w:ascii="Cambria" w:hAnsi="Cambria"/>
          <w:sz w:val="20"/>
          <w:szCs w:val="20"/>
          <w:lang w:val="es-AR"/>
        </w:rPr>
        <w:t>“</w:t>
      </w:r>
      <w:r w:rsidR="0060494A" w:rsidRPr="00F55AA9">
        <w:rPr>
          <w:rFonts w:ascii="Cambria" w:hAnsi="Cambria"/>
          <w:sz w:val="20"/>
          <w:szCs w:val="20"/>
          <w:lang w:val="es-AR"/>
        </w:rPr>
        <w:t xml:space="preserve">las personas naturales o jurídicas que desarrollan cultivos y/o </w:t>
      </w:r>
      <w:r w:rsidR="00A367FB" w:rsidRPr="00F55AA9">
        <w:rPr>
          <w:rFonts w:ascii="Cambria" w:hAnsi="Cambria"/>
          <w:sz w:val="20"/>
          <w:szCs w:val="20"/>
          <w:lang w:val="es-AR"/>
        </w:rPr>
        <w:t>crianzas en el ámbito rural</w:t>
      </w:r>
      <w:r w:rsidR="00D01B47" w:rsidRPr="00F55AA9">
        <w:rPr>
          <w:rFonts w:ascii="Cambria" w:hAnsi="Cambria"/>
          <w:sz w:val="20"/>
          <w:szCs w:val="20"/>
          <w:lang w:val="es-AR"/>
        </w:rPr>
        <w:t>”</w:t>
      </w:r>
      <w:r w:rsidR="0020739C" w:rsidRPr="00F55AA9">
        <w:rPr>
          <w:rFonts w:ascii="Cambria" w:hAnsi="Cambria"/>
          <w:sz w:val="20"/>
          <w:szCs w:val="20"/>
          <w:lang w:val="es-AR"/>
        </w:rPr>
        <w:t xml:space="preserve"> </w:t>
      </w:r>
      <w:r w:rsidR="00A367FB" w:rsidRPr="00F55AA9">
        <w:rPr>
          <w:rFonts w:ascii="Cambria" w:hAnsi="Cambria"/>
          <w:sz w:val="20"/>
          <w:szCs w:val="20"/>
          <w:lang w:val="es-AR"/>
        </w:rPr>
        <w:t xml:space="preserve">y a </w:t>
      </w:r>
      <w:r w:rsidR="00B26E4F" w:rsidRPr="00F55AA9">
        <w:rPr>
          <w:rFonts w:ascii="Cambria" w:hAnsi="Cambria"/>
          <w:sz w:val="20"/>
          <w:szCs w:val="20"/>
          <w:lang w:val="es-AR"/>
        </w:rPr>
        <w:t>“</w:t>
      </w:r>
      <w:r w:rsidR="00A367FB" w:rsidRPr="00F55AA9">
        <w:rPr>
          <w:rFonts w:ascii="Cambria" w:hAnsi="Cambria"/>
          <w:sz w:val="20"/>
          <w:szCs w:val="20"/>
          <w:lang w:val="es-AR"/>
        </w:rPr>
        <w:t>las personas naturales o jurídicas que real</w:t>
      </w:r>
      <w:r w:rsidR="00D01B47" w:rsidRPr="00F55AA9">
        <w:rPr>
          <w:rFonts w:ascii="Cambria" w:hAnsi="Cambria"/>
          <w:sz w:val="20"/>
          <w:szCs w:val="20"/>
          <w:lang w:val="es-AR"/>
        </w:rPr>
        <w:t>iza</w:t>
      </w:r>
      <w:r w:rsidR="0020739C" w:rsidRPr="00F55AA9">
        <w:rPr>
          <w:rFonts w:ascii="Cambria" w:hAnsi="Cambria"/>
          <w:sz w:val="20"/>
          <w:szCs w:val="20"/>
          <w:lang w:val="es-AR"/>
        </w:rPr>
        <w:t>n actividad agroindustrial</w:t>
      </w:r>
      <w:r w:rsidR="00B26E4F" w:rsidRPr="00F55AA9">
        <w:rPr>
          <w:rFonts w:ascii="Cambria" w:hAnsi="Cambria"/>
          <w:sz w:val="20"/>
          <w:szCs w:val="20"/>
          <w:lang w:val="es-AR"/>
        </w:rPr>
        <w:t>”</w:t>
      </w:r>
      <w:r w:rsidR="00E94D9F" w:rsidRPr="00F55AA9">
        <w:rPr>
          <w:rFonts w:ascii="Cambria" w:hAnsi="Cambria"/>
          <w:sz w:val="20"/>
          <w:szCs w:val="20"/>
          <w:lang w:val="es-AR"/>
        </w:rPr>
        <w:t xml:space="preserve">. </w:t>
      </w:r>
      <w:r w:rsidR="00150198" w:rsidRPr="00F55AA9">
        <w:rPr>
          <w:rFonts w:ascii="Cambria" w:hAnsi="Cambria"/>
          <w:sz w:val="20"/>
          <w:szCs w:val="20"/>
          <w:lang w:val="es-AR"/>
        </w:rPr>
        <w:t>Los</w:t>
      </w:r>
      <w:r w:rsidR="00A05284" w:rsidRPr="00F55AA9">
        <w:rPr>
          <w:rFonts w:ascii="Cambria" w:hAnsi="Cambria"/>
          <w:sz w:val="20"/>
          <w:szCs w:val="20"/>
          <w:lang w:val="es-AR"/>
        </w:rPr>
        <w:t xml:space="preserve"> peticionario</w:t>
      </w:r>
      <w:r w:rsidR="00150198" w:rsidRPr="00F55AA9">
        <w:rPr>
          <w:rFonts w:ascii="Cambria" w:hAnsi="Cambria"/>
          <w:sz w:val="20"/>
          <w:szCs w:val="20"/>
          <w:lang w:val="es-AR"/>
        </w:rPr>
        <w:t>s</w:t>
      </w:r>
      <w:r w:rsidR="00A05284" w:rsidRPr="00F55AA9">
        <w:rPr>
          <w:rFonts w:ascii="Cambria" w:hAnsi="Cambria"/>
          <w:sz w:val="20"/>
          <w:szCs w:val="20"/>
          <w:lang w:val="es-AR"/>
        </w:rPr>
        <w:t xml:space="preserve"> alega</w:t>
      </w:r>
      <w:r w:rsidR="00150198" w:rsidRPr="00F55AA9">
        <w:rPr>
          <w:rFonts w:ascii="Cambria" w:hAnsi="Cambria"/>
          <w:sz w:val="20"/>
          <w:szCs w:val="20"/>
          <w:lang w:val="es-AR"/>
        </w:rPr>
        <w:t>n</w:t>
      </w:r>
      <w:r w:rsidR="00A05284" w:rsidRPr="00F55AA9">
        <w:rPr>
          <w:rFonts w:ascii="Cambria" w:hAnsi="Cambria"/>
          <w:sz w:val="20"/>
          <w:szCs w:val="20"/>
          <w:lang w:val="es-AR"/>
        </w:rPr>
        <w:t xml:space="preserve"> que e</w:t>
      </w:r>
      <w:r w:rsidR="008D059E" w:rsidRPr="00F55AA9">
        <w:rPr>
          <w:rFonts w:ascii="Cambria" w:hAnsi="Cambria"/>
          <w:sz w:val="20"/>
          <w:szCs w:val="20"/>
          <w:lang w:val="es-AR"/>
        </w:rPr>
        <w:t>sta Ley</w:t>
      </w:r>
      <w:r w:rsidR="00A05284" w:rsidRPr="00F55AA9">
        <w:rPr>
          <w:rFonts w:ascii="Cambria" w:hAnsi="Cambria"/>
          <w:sz w:val="20"/>
          <w:szCs w:val="20"/>
          <w:lang w:val="es-AR"/>
        </w:rPr>
        <w:t xml:space="preserve">, que </w:t>
      </w:r>
      <w:r w:rsidR="009C1C7A" w:rsidRPr="00F55AA9">
        <w:rPr>
          <w:rFonts w:ascii="Cambria" w:hAnsi="Cambria"/>
          <w:sz w:val="20"/>
          <w:szCs w:val="20"/>
          <w:lang w:val="es-AR"/>
        </w:rPr>
        <w:t>se aplica a la presunta víctima</w:t>
      </w:r>
      <w:r w:rsidR="00B26E4F" w:rsidRPr="00F55AA9">
        <w:rPr>
          <w:rFonts w:ascii="Cambria" w:hAnsi="Cambria"/>
          <w:sz w:val="20"/>
          <w:szCs w:val="20"/>
          <w:lang w:val="es-AR"/>
        </w:rPr>
        <w:t xml:space="preserve"> </w:t>
      </w:r>
      <w:r w:rsidR="00A05284" w:rsidRPr="00F55AA9">
        <w:rPr>
          <w:rFonts w:ascii="Cambria" w:hAnsi="Cambria"/>
          <w:sz w:val="20"/>
          <w:szCs w:val="20"/>
          <w:lang w:val="es-AR"/>
        </w:rPr>
        <w:t>como trabajadora en las empresas</w:t>
      </w:r>
      <w:r w:rsidR="00BD0888" w:rsidRPr="00F55AA9">
        <w:rPr>
          <w:rFonts w:ascii="Cambria" w:hAnsi="Cambria"/>
          <w:sz w:val="20"/>
          <w:szCs w:val="20"/>
          <w:lang w:val="es-AR"/>
        </w:rPr>
        <w:t xml:space="preserve"> del sector agroindustrial</w:t>
      </w:r>
      <w:r w:rsidR="00A05284" w:rsidRPr="00F55AA9">
        <w:rPr>
          <w:rFonts w:ascii="Cambria" w:hAnsi="Cambria"/>
          <w:sz w:val="20"/>
          <w:szCs w:val="20"/>
          <w:lang w:val="es-AR"/>
        </w:rPr>
        <w:t xml:space="preserve"> CAMPOSOL S.A y GREEN </w:t>
      </w:r>
      <w:r w:rsidR="00FB3E62" w:rsidRPr="00F55AA9">
        <w:rPr>
          <w:rFonts w:ascii="Cambria" w:hAnsi="Cambria"/>
          <w:sz w:val="20"/>
          <w:szCs w:val="20"/>
          <w:lang w:val="es-AR"/>
        </w:rPr>
        <w:t>PERÚ</w:t>
      </w:r>
      <w:r w:rsidR="00A05284" w:rsidRPr="00F55AA9">
        <w:rPr>
          <w:rFonts w:ascii="Cambria" w:hAnsi="Cambria"/>
          <w:sz w:val="20"/>
          <w:szCs w:val="20"/>
          <w:lang w:val="es-AR"/>
        </w:rPr>
        <w:t xml:space="preserve">, </w:t>
      </w:r>
      <w:r w:rsidR="008D059E" w:rsidRPr="00F55AA9">
        <w:rPr>
          <w:rFonts w:ascii="Cambria" w:hAnsi="Cambria"/>
          <w:sz w:val="20"/>
          <w:szCs w:val="20"/>
          <w:lang w:val="es-AR"/>
        </w:rPr>
        <w:t xml:space="preserve">estableció un trato distinto </w:t>
      </w:r>
      <w:r w:rsidR="00D9624D" w:rsidRPr="00F55AA9">
        <w:rPr>
          <w:rFonts w:ascii="Cambria" w:hAnsi="Cambria"/>
          <w:sz w:val="20"/>
          <w:szCs w:val="20"/>
          <w:lang w:val="es-AR"/>
        </w:rPr>
        <w:t xml:space="preserve">para el trabajo remunerado en el sector agrario </w:t>
      </w:r>
      <w:r w:rsidR="008D059E" w:rsidRPr="00F55AA9">
        <w:rPr>
          <w:rFonts w:ascii="Cambria" w:hAnsi="Cambria"/>
          <w:sz w:val="20"/>
          <w:szCs w:val="20"/>
          <w:lang w:val="es-AR"/>
        </w:rPr>
        <w:t>al que la legislación laboral común reconocía en otros sectores</w:t>
      </w:r>
      <w:r w:rsidR="005B1157" w:rsidRPr="00F55AA9">
        <w:rPr>
          <w:rFonts w:ascii="Cambria" w:hAnsi="Cambria"/>
          <w:sz w:val="20"/>
          <w:szCs w:val="20"/>
          <w:lang w:val="es-AR"/>
        </w:rPr>
        <w:t xml:space="preserve">. </w:t>
      </w:r>
      <w:r w:rsidR="00C7017B" w:rsidRPr="00F55AA9">
        <w:rPr>
          <w:rFonts w:ascii="Cambria" w:hAnsi="Cambria"/>
          <w:sz w:val="20"/>
          <w:szCs w:val="20"/>
          <w:lang w:val="es-AR"/>
        </w:rPr>
        <w:t xml:space="preserve"> </w:t>
      </w:r>
    </w:p>
    <w:p w:rsidR="00BD2D09" w:rsidRPr="00F55AA9" w:rsidRDefault="00FB3E62" w:rsidP="0083258B">
      <w:pPr>
        <w:numPr>
          <w:ilvl w:val="0"/>
          <w:numId w:val="55"/>
        </w:numPr>
        <w:suppressAutoHyphens/>
        <w:spacing w:after="240"/>
        <w:jc w:val="both"/>
        <w:rPr>
          <w:rFonts w:ascii="Cambria" w:hAnsi="Cambria"/>
          <w:sz w:val="20"/>
          <w:szCs w:val="20"/>
          <w:lang w:val="es-AR"/>
        </w:rPr>
      </w:pPr>
      <w:r w:rsidRPr="006F3E3C">
        <w:rPr>
          <w:rFonts w:ascii="Cambria" w:hAnsi="Cambria"/>
          <w:sz w:val="20"/>
          <w:szCs w:val="20"/>
          <w:lang w:val="es-AR"/>
        </w:rPr>
        <w:t>Según los peticionarios, la L</w:t>
      </w:r>
      <w:r w:rsidR="00C7017B" w:rsidRPr="006F3E3C">
        <w:rPr>
          <w:rFonts w:ascii="Cambria" w:hAnsi="Cambria"/>
          <w:sz w:val="20"/>
          <w:szCs w:val="20"/>
          <w:lang w:val="es-AR"/>
        </w:rPr>
        <w:t xml:space="preserve">ey provocó que las personas trabajadoras </w:t>
      </w:r>
      <w:r w:rsidR="00E42B42" w:rsidRPr="006F3E3C">
        <w:rPr>
          <w:rFonts w:ascii="Cambria" w:hAnsi="Cambria"/>
          <w:sz w:val="20"/>
          <w:szCs w:val="20"/>
          <w:lang w:val="es-AR"/>
        </w:rPr>
        <w:t>del sector agrario</w:t>
      </w:r>
      <w:r w:rsidR="00C7017B" w:rsidRPr="006F3E3C">
        <w:rPr>
          <w:rFonts w:ascii="Cambria" w:hAnsi="Cambria"/>
          <w:sz w:val="20"/>
          <w:szCs w:val="20"/>
          <w:lang w:val="es-AR"/>
        </w:rPr>
        <w:t xml:space="preserve"> </w:t>
      </w:r>
      <w:r w:rsidR="0020739C" w:rsidRPr="006F3E3C">
        <w:rPr>
          <w:rFonts w:ascii="Cambria" w:hAnsi="Cambria"/>
          <w:sz w:val="20"/>
          <w:szCs w:val="20"/>
          <w:lang w:val="es-AR"/>
        </w:rPr>
        <w:t>tengan una jornada laboral m</w:t>
      </w:r>
      <w:r w:rsidR="00E913B2" w:rsidRPr="006F3E3C">
        <w:rPr>
          <w:rFonts w:ascii="Cambria" w:hAnsi="Cambria"/>
          <w:sz w:val="20"/>
          <w:szCs w:val="20"/>
          <w:lang w:val="es-AR"/>
        </w:rPr>
        <w:t>ás larga</w:t>
      </w:r>
      <w:r w:rsidR="004E4860" w:rsidRPr="006F3E3C">
        <w:rPr>
          <w:rFonts w:ascii="Cambria" w:hAnsi="Cambria"/>
          <w:sz w:val="20"/>
          <w:szCs w:val="20"/>
          <w:lang w:val="es-AR"/>
        </w:rPr>
        <w:t>,</w:t>
      </w:r>
      <w:r w:rsidR="00E913B2" w:rsidRPr="006F3E3C">
        <w:rPr>
          <w:rFonts w:ascii="Cambria" w:hAnsi="Cambria"/>
          <w:sz w:val="20"/>
          <w:szCs w:val="20"/>
          <w:lang w:val="es-AR"/>
        </w:rPr>
        <w:t xml:space="preserve"> pero menor </w:t>
      </w:r>
      <w:r w:rsidR="0020739C" w:rsidRPr="006F3E3C">
        <w:rPr>
          <w:rFonts w:ascii="Cambria" w:hAnsi="Cambria"/>
          <w:sz w:val="20"/>
          <w:szCs w:val="20"/>
          <w:lang w:val="es-AR"/>
        </w:rPr>
        <w:t>remuneración</w:t>
      </w:r>
      <w:r w:rsidR="00E913B2" w:rsidRPr="006F3E3C">
        <w:rPr>
          <w:rFonts w:ascii="Cambria" w:hAnsi="Cambria"/>
          <w:sz w:val="20"/>
          <w:szCs w:val="20"/>
          <w:lang w:val="es-AR"/>
        </w:rPr>
        <w:t xml:space="preserve">, </w:t>
      </w:r>
      <w:r w:rsidR="0020739C" w:rsidRPr="006F3E3C">
        <w:rPr>
          <w:rFonts w:ascii="Cambria" w:hAnsi="Cambria"/>
          <w:sz w:val="20"/>
          <w:szCs w:val="20"/>
          <w:lang w:val="es-AR"/>
        </w:rPr>
        <w:t>beneficio de descanso vacacional</w:t>
      </w:r>
      <w:r w:rsidR="00E913B2" w:rsidRPr="006F3E3C">
        <w:rPr>
          <w:rFonts w:ascii="Cambria" w:hAnsi="Cambria"/>
          <w:sz w:val="20"/>
          <w:szCs w:val="20"/>
          <w:lang w:val="es-AR"/>
        </w:rPr>
        <w:t>, gratificaciones laborales, compensación por tiempo de servicios e indemnización por despido arbitrario que las trabajadoras del régimen común; así como</w:t>
      </w:r>
      <w:r w:rsidR="003105AB" w:rsidRPr="006F3E3C">
        <w:rPr>
          <w:rFonts w:ascii="Cambria" w:hAnsi="Cambria"/>
          <w:sz w:val="20"/>
          <w:szCs w:val="20"/>
          <w:lang w:val="es-AR"/>
        </w:rPr>
        <w:t xml:space="preserve"> </w:t>
      </w:r>
      <w:r w:rsidR="00E913B2" w:rsidRPr="006F3E3C">
        <w:rPr>
          <w:rFonts w:ascii="Cambria" w:hAnsi="Cambria"/>
          <w:sz w:val="20"/>
          <w:szCs w:val="20"/>
          <w:lang w:val="es-AR"/>
        </w:rPr>
        <w:t xml:space="preserve">mayores </w:t>
      </w:r>
      <w:r w:rsidR="003105AB" w:rsidRPr="006F3E3C">
        <w:rPr>
          <w:rFonts w:ascii="Cambria" w:hAnsi="Cambria"/>
          <w:sz w:val="20"/>
          <w:szCs w:val="20"/>
          <w:lang w:val="es-AR"/>
        </w:rPr>
        <w:t>limitaciones para sindicalizarse</w:t>
      </w:r>
      <w:r w:rsidR="00E913B2" w:rsidRPr="006F3E3C">
        <w:rPr>
          <w:rFonts w:ascii="Cambria" w:hAnsi="Cambria"/>
          <w:sz w:val="20"/>
          <w:szCs w:val="20"/>
          <w:lang w:val="es-AR"/>
        </w:rPr>
        <w:t>.</w:t>
      </w:r>
      <w:r w:rsidR="00340DE9" w:rsidRPr="00F55AA9">
        <w:rPr>
          <w:rFonts w:ascii="Cambria" w:hAnsi="Cambria"/>
          <w:sz w:val="20"/>
          <w:szCs w:val="20"/>
          <w:lang w:val="es-AR"/>
        </w:rPr>
        <w:t xml:space="preserve"> </w:t>
      </w:r>
      <w:r w:rsidR="00E913B2" w:rsidRPr="00F55AA9">
        <w:rPr>
          <w:rFonts w:ascii="Cambria" w:hAnsi="Cambria"/>
          <w:sz w:val="20"/>
          <w:szCs w:val="20"/>
          <w:lang w:val="es-AR"/>
        </w:rPr>
        <w:t>Esto último provocaría</w:t>
      </w:r>
      <w:r w:rsidR="0020739C" w:rsidRPr="00F55AA9">
        <w:rPr>
          <w:rFonts w:ascii="Cambria" w:hAnsi="Cambria"/>
          <w:sz w:val="20"/>
          <w:szCs w:val="20"/>
          <w:lang w:val="es-AR"/>
        </w:rPr>
        <w:t xml:space="preserve"> que las personas trabajadoras agrarias estén menos protegida</w:t>
      </w:r>
      <w:r w:rsidR="007C7A43" w:rsidRPr="00F55AA9">
        <w:rPr>
          <w:rFonts w:ascii="Cambria" w:hAnsi="Cambria"/>
          <w:sz w:val="20"/>
          <w:szCs w:val="20"/>
          <w:lang w:val="es-AR"/>
        </w:rPr>
        <w:t xml:space="preserve">s </w:t>
      </w:r>
      <w:r w:rsidR="0020739C" w:rsidRPr="00F55AA9">
        <w:rPr>
          <w:rFonts w:ascii="Cambria" w:hAnsi="Cambria"/>
          <w:sz w:val="20"/>
          <w:szCs w:val="20"/>
          <w:lang w:val="es-AR"/>
        </w:rPr>
        <w:t>que las otras trabajadoras que ejercen el derecho de organizarse sindicalmente.</w:t>
      </w:r>
      <w:r w:rsidR="00686C86" w:rsidRPr="00F55AA9">
        <w:rPr>
          <w:rFonts w:ascii="Cambria" w:hAnsi="Cambria"/>
          <w:sz w:val="20"/>
          <w:szCs w:val="20"/>
          <w:lang w:val="es-AR"/>
        </w:rPr>
        <w:t xml:space="preserve"> </w:t>
      </w:r>
      <w:r w:rsidR="004957AE" w:rsidRPr="00F55AA9">
        <w:rPr>
          <w:rFonts w:ascii="Cambria" w:hAnsi="Cambria"/>
          <w:sz w:val="20"/>
          <w:szCs w:val="20"/>
          <w:lang w:val="es-AR"/>
        </w:rPr>
        <w:t>Sostienen que esta Ley implica una vulneración del principio de no regresividad en materia de derechos económicos, sociales y culturales. Además, a</w:t>
      </w:r>
      <w:r w:rsidR="00EE750B" w:rsidRPr="00F55AA9">
        <w:rPr>
          <w:rFonts w:ascii="Cambria" w:hAnsi="Cambria"/>
          <w:sz w:val="20"/>
          <w:szCs w:val="20"/>
          <w:lang w:val="es-AR"/>
        </w:rPr>
        <w:t xml:space="preserve">l proporcionar </w:t>
      </w:r>
      <w:r w:rsidR="0081645A" w:rsidRPr="00F55AA9">
        <w:rPr>
          <w:rFonts w:ascii="Cambria" w:hAnsi="Cambria"/>
          <w:sz w:val="20"/>
          <w:szCs w:val="20"/>
          <w:lang w:val="es-AR"/>
        </w:rPr>
        <w:t>un análisis</w:t>
      </w:r>
      <w:r w:rsidR="00964378" w:rsidRPr="00F55AA9">
        <w:rPr>
          <w:rFonts w:ascii="Cambria" w:hAnsi="Cambria"/>
          <w:sz w:val="20"/>
          <w:szCs w:val="20"/>
          <w:lang w:val="es-AR"/>
        </w:rPr>
        <w:t xml:space="preserve"> de d</w:t>
      </w:r>
      <w:r w:rsidR="00EE750B" w:rsidRPr="00F55AA9">
        <w:rPr>
          <w:rFonts w:ascii="Cambria" w:hAnsi="Cambria"/>
          <w:sz w:val="20"/>
          <w:szCs w:val="20"/>
          <w:lang w:val="es-AR"/>
        </w:rPr>
        <w:t>erecho comparativo de regímenes laborales,</w:t>
      </w:r>
      <w:r w:rsidR="00686C86" w:rsidRPr="00F55AA9">
        <w:rPr>
          <w:rFonts w:ascii="Cambria" w:hAnsi="Cambria"/>
          <w:sz w:val="20"/>
          <w:szCs w:val="20"/>
          <w:lang w:val="es-AR"/>
        </w:rPr>
        <w:t xml:space="preserve"> los peticionarios </w:t>
      </w:r>
      <w:r w:rsidR="00983897" w:rsidRPr="00F55AA9">
        <w:rPr>
          <w:rFonts w:ascii="Cambria" w:hAnsi="Cambria"/>
          <w:sz w:val="20"/>
          <w:szCs w:val="20"/>
          <w:lang w:val="es-AR"/>
        </w:rPr>
        <w:t>afirman</w:t>
      </w:r>
      <w:r w:rsidR="00686C86" w:rsidRPr="00F55AA9">
        <w:rPr>
          <w:rFonts w:ascii="Cambria" w:hAnsi="Cambria"/>
          <w:sz w:val="20"/>
          <w:szCs w:val="20"/>
          <w:lang w:val="es-AR"/>
        </w:rPr>
        <w:t xml:space="preserve"> que </w:t>
      </w:r>
      <w:r w:rsidR="00920F19" w:rsidRPr="00F55AA9">
        <w:rPr>
          <w:rFonts w:ascii="Cambria" w:hAnsi="Cambria"/>
          <w:sz w:val="20"/>
          <w:szCs w:val="20"/>
          <w:lang w:val="es-AR"/>
        </w:rPr>
        <w:t>la</w:t>
      </w:r>
      <w:r w:rsidR="00340DE9" w:rsidRPr="00F55AA9">
        <w:rPr>
          <w:rFonts w:ascii="Cambria" w:hAnsi="Cambria"/>
          <w:sz w:val="20"/>
          <w:szCs w:val="20"/>
          <w:lang w:val="es-AR"/>
        </w:rPr>
        <w:t>s</w:t>
      </w:r>
      <w:r w:rsidR="00920F19" w:rsidRPr="00F55AA9">
        <w:rPr>
          <w:rFonts w:ascii="Cambria" w:hAnsi="Cambria"/>
          <w:sz w:val="20"/>
          <w:szCs w:val="20"/>
          <w:lang w:val="es-AR"/>
        </w:rPr>
        <w:t xml:space="preserve"> </w:t>
      </w:r>
      <w:r w:rsidR="00340DE9" w:rsidRPr="00F55AA9">
        <w:rPr>
          <w:rFonts w:ascii="Cambria" w:hAnsi="Cambria"/>
          <w:sz w:val="20"/>
          <w:szCs w:val="20"/>
          <w:lang w:val="es-AR"/>
        </w:rPr>
        <w:t>disposiciones</w:t>
      </w:r>
      <w:r w:rsidR="00920F19" w:rsidRPr="00F55AA9">
        <w:rPr>
          <w:rFonts w:ascii="Cambria" w:hAnsi="Cambria"/>
          <w:sz w:val="20"/>
          <w:szCs w:val="20"/>
          <w:lang w:val="es-AR"/>
        </w:rPr>
        <w:t xml:space="preserve"> del </w:t>
      </w:r>
      <w:r w:rsidR="00931A13" w:rsidRPr="00F55AA9">
        <w:rPr>
          <w:rFonts w:ascii="Cambria" w:hAnsi="Cambria"/>
          <w:sz w:val="20"/>
          <w:szCs w:val="20"/>
          <w:lang w:val="es-AR"/>
        </w:rPr>
        <w:t>artículo</w:t>
      </w:r>
      <w:r w:rsidR="00920F19" w:rsidRPr="00F55AA9">
        <w:rPr>
          <w:rFonts w:ascii="Cambria" w:hAnsi="Cambria"/>
          <w:sz w:val="20"/>
          <w:szCs w:val="20"/>
          <w:lang w:val="es-AR"/>
        </w:rPr>
        <w:t xml:space="preserve"> 7.2 de la Ley, que impone</w:t>
      </w:r>
      <w:r w:rsidR="00340DE9" w:rsidRPr="00F55AA9">
        <w:rPr>
          <w:rFonts w:ascii="Cambria" w:hAnsi="Cambria"/>
          <w:sz w:val="20"/>
          <w:szCs w:val="20"/>
          <w:lang w:val="es-AR"/>
        </w:rPr>
        <w:t>n</w:t>
      </w:r>
      <w:r w:rsidR="00920F19" w:rsidRPr="00F55AA9">
        <w:rPr>
          <w:rFonts w:ascii="Cambria" w:hAnsi="Cambria"/>
          <w:sz w:val="20"/>
          <w:szCs w:val="20"/>
          <w:lang w:val="es-AR"/>
        </w:rPr>
        <w:t xml:space="preserve"> condiciones laborales pey</w:t>
      </w:r>
      <w:r w:rsidR="00B76FA0" w:rsidRPr="00F55AA9">
        <w:rPr>
          <w:rFonts w:ascii="Cambria" w:hAnsi="Cambria"/>
          <w:sz w:val="20"/>
          <w:szCs w:val="20"/>
          <w:lang w:val="es-AR"/>
        </w:rPr>
        <w:t>orativas a las y los trabajadores pertenecientes al sector agrícola, resulta</w:t>
      </w:r>
      <w:r w:rsidR="00BD2D09" w:rsidRPr="00F55AA9">
        <w:rPr>
          <w:rFonts w:ascii="Cambria" w:hAnsi="Cambria"/>
          <w:sz w:val="20"/>
          <w:szCs w:val="20"/>
          <w:lang w:val="es-AR"/>
        </w:rPr>
        <w:t>n</w:t>
      </w:r>
      <w:r w:rsidR="00B76FA0" w:rsidRPr="00F55AA9">
        <w:rPr>
          <w:rFonts w:ascii="Cambria" w:hAnsi="Cambria"/>
          <w:sz w:val="20"/>
          <w:szCs w:val="20"/>
          <w:lang w:val="es-AR"/>
        </w:rPr>
        <w:t xml:space="preserve"> discriminatoria</w:t>
      </w:r>
      <w:r w:rsidR="00BD2D09" w:rsidRPr="00F55AA9">
        <w:rPr>
          <w:rFonts w:ascii="Cambria" w:hAnsi="Cambria"/>
          <w:sz w:val="20"/>
          <w:szCs w:val="20"/>
          <w:lang w:val="es-AR"/>
        </w:rPr>
        <w:t>s</w:t>
      </w:r>
      <w:r w:rsidR="004A010C" w:rsidRPr="00F55AA9">
        <w:rPr>
          <w:rFonts w:ascii="Cambria" w:hAnsi="Cambria"/>
          <w:sz w:val="20"/>
          <w:szCs w:val="20"/>
          <w:lang w:val="es-AR"/>
        </w:rPr>
        <w:t xml:space="preserve">. </w:t>
      </w:r>
      <w:r w:rsidR="00983897" w:rsidRPr="00F55AA9">
        <w:rPr>
          <w:rFonts w:ascii="Cambria" w:eastAsia="Arial Unicode MS" w:hAnsi="Cambria"/>
          <w:sz w:val="20"/>
          <w:szCs w:val="20"/>
          <w:bdr w:val="nil"/>
          <w:lang w:val="es-AR" w:eastAsia="en-US"/>
        </w:rPr>
        <w:t>A</w:t>
      </w:r>
      <w:r w:rsidR="004B486B" w:rsidRPr="00F55AA9">
        <w:rPr>
          <w:rFonts w:ascii="Cambria" w:hAnsi="Cambria"/>
          <w:sz w:val="20"/>
          <w:szCs w:val="20"/>
          <w:lang w:val="es-AR"/>
        </w:rPr>
        <w:t>ducen</w:t>
      </w:r>
      <w:r w:rsidR="00DD63F1" w:rsidRPr="00F55AA9">
        <w:rPr>
          <w:rFonts w:ascii="Cambria" w:eastAsia="Arial Unicode MS" w:hAnsi="Cambria"/>
          <w:sz w:val="20"/>
          <w:szCs w:val="20"/>
          <w:bdr w:val="nil"/>
          <w:lang w:val="es-AR" w:eastAsia="en-US"/>
        </w:rPr>
        <w:t xml:space="preserve"> que </w:t>
      </w:r>
      <w:r w:rsidR="00BD2D09" w:rsidRPr="00F55AA9">
        <w:rPr>
          <w:rFonts w:ascii="Cambria" w:hAnsi="Cambria"/>
          <w:sz w:val="20"/>
          <w:szCs w:val="20"/>
          <w:lang w:val="es-AR"/>
        </w:rPr>
        <w:t xml:space="preserve">la Sra. </w:t>
      </w:r>
      <w:r w:rsidR="00011B2F" w:rsidRPr="00F55AA9">
        <w:rPr>
          <w:rFonts w:ascii="Cambria" w:hAnsi="Cambria"/>
          <w:sz w:val="20"/>
          <w:szCs w:val="20"/>
          <w:lang w:val="es-AR"/>
        </w:rPr>
        <w:t>Pariahuachi,</w:t>
      </w:r>
      <w:r w:rsidR="00BD2D09" w:rsidRPr="00F55AA9">
        <w:rPr>
          <w:rFonts w:ascii="Cambria" w:hAnsi="Cambria"/>
          <w:sz w:val="20"/>
          <w:szCs w:val="20"/>
          <w:lang w:val="es-AR"/>
        </w:rPr>
        <w:t xml:space="preserve"> así como </w:t>
      </w:r>
      <w:r w:rsidR="00DD63F1" w:rsidRPr="00F55AA9">
        <w:rPr>
          <w:rFonts w:ascii="Cambria" w:eastAsia="Arial Unicode MS" w:hAnsi="Cambria"/>
          <w:sz w:val="20"/>
          <w:szCs w:val="20"/>
          <w:bdr w:val="nil"/>
          <w:lang w:val="es-AR" w:eastAsia="en-US"/>
        </w:rPr>
        <w:t>los trabajadores del sector agrario gozan</w:t>
      </w:r>
      <w:r w:rsidR="00BD2D09" w:rsidRPr="00F55AA9">
        <w:rPr>
          <w:rFonts w:ascii="Cambria" w:hAnsi="Cambria"/>
          <w:sz w:val="20"/>
          <w:szCs w:val="20"/>
          <w:lang w:val="es-AR"/>
        </w:rPr>
        <w:t xml:space="preserve"> </w:t>
      </w:r>
      <w:r w:rsidR="00DD63F1" w:rsidRPr="00F55AA9">
        <w:rPr>
          <w:rFonts w:ascii="Cambria" w:eastAsia="Arial Unicode MS" w:hAnsi="Cambria"/>
          <w:sz w:val="20"/>
          <w:szCs w:val="20"/>
          <w:bdr w:val="nil"/>
          <w:lang w:val="es-AR" w:eastAsia="en-US"/>
        </w:rPr>
        <w:t xml:space="preserve">de menos derechos respecto de los trabajadores cuyas relaciones laborales son reguladas por el </w:t>
      </w:r>
      <w:r w:rsidR="004A010C" w:rsidRPr="00F55AA9">
        <w:rPr>
          <w:rFonts w:ascii="Cambria" w:eastAsia="Arial Unicode MS" w:hAnsi="Cambria"/>
          <w:sz w:val="20"/>
          <w:szCs w:val="20"/>
          <w:bdr w:val="nil"/>
          <w:lang w:val="es-AR" w:eastAsia="en-US"/>
        </w:rPr>
        <w:t>régimen</w:t>
      </w:r>
      <w:r w:rsidR="00DD63F1" w:rsidRPr="00F55AA9">
        <w:rPr>
          <w:rFonts w:ascii="Cambria" w:eastAsia="Arial Unicode MS" w:hAnsi="Cambria"/>
          <w:sz w:val="20"/>
          <w:szCs w:val="20"/>
          <w:bdr w:val="nil"/>
          <w:lang w:val="es-AR" w:eastAsia="en-US"/>
        </w:rPr>
        <w:t xml:space="preserve"> </w:t>
      </w:r>
      <w:r w:rsidR="004A010C" w:rsidRPr="00F55AA9">
        <w:rPr>
          <w:rFonts w:ascii="Cambria" w:eastAsia="Arial Unicode MS" w:hAnsi="Cambria"/>
          <w:sz w:val="20"/>
          <w:szCs w:val="20"/>
          <w:bdr w:val="nil"/>
          <w:lang w:val="es-AR" w:eastAsia="en-US"/>
        </w:rPr>
        <w:t>común</w:t>
      </w:r>
      <w:r w:rsidR="00BD2D09" w:rsidRPr="00F55AA9">
        <w:rPr>
          <w:rFonts w:ascii="Cambria" w:hAnsi="Cambria"/>
          <w:sz w:val="20"/>
          <w:szCs w:val="20"/>
          <w:lang w:val="es-AR"/>
        </w:rPr>
        <w:t>, debido</w:t>
      </w:r>
      <w:r w:rsidR="00BD2D09" w:rsidRPr="00F55AA9">
        <w:rPr>
          <w:rFonts w:ascii="Cambria" w:eastAsia="Arial Unicode MS" w:hAnsi="Cambria"/>
          <w:sz w:val="20"/>
          <w:szCs w:val="20"/>
          <w:bdr w:val="nil"/>
          <w:lang w:val="es-AR" w:eastAsia="en-US"/>
        </w:rPr>
        <w:t xml:space="preserve"> a una ley que los discrimina de una</w:t>
      </w:r>
      <w:r w:rsidR="004957AE" w:rsidRPr="00F55AA9">
        <w:rPr>
          <w:rFonts w:ascii="Cambria" w:eastAsia="Arial Unicode MS" w:hAnsi="Cambria"/>
          <w:sz w:val="20"/>
          <w:szCs w:val="20"/>
          <w:bdr w:val="nil"/>
          <w:lang w:val="es-AR" w:eastAsia="en-US"/>
        </w:rPr>
        <w:t xml:space="preserve"> manera arbitraria e irrazonable.</w:t>
      </w:r>
      <w:r w:rsidR="009B256F" w:rsidRPr="00F55AA9">
        <w:rPr>
          <w:rFonts w:ascii="Cambria" w:hAnsi="Cambria"/>
          <w:sz w:val="20"/>
          <w:szCs w:val="20"/>
          <w:highlight w:val="yellow"/>
          <w:lang w:val="es-AR"/>
        </w:rPr>
        <w:t xml:space="preserve"> </w:t>
      </w:r>
    </w:p>
    <w:p w:rsidR="00576D2F" w:rsidRPr="00F55AA9" w:rsidRDefault="00686C86" w:rsidP="0083258B">
      <w:pPr>
        <w:pStyle w:val="ListParagraph"/>
        <w:numPr>
          <w:ilvl w:val="0"/>
          <w:numId w:val="55"/>
        </w:numPr>
        <w:jc w:val="both"/>
        <w:rPr>
          <w:rFonts w:eastAsia="Arial Unicode MS"/>
          <w:lang w:val="es-AR" w:eastAsia="en-US"/>
        </w:rPr>
      </w:pPr>
      <w:r w:rsidRPr="00F55AA9">
        <w:rPr>
          <w:color w:val="000000" w:themeColor="text1"/>
          <w:sz w:val="20"/>
          <w:szCs w:val="20"/>
          <w:lang w:val="es-ES"/>
        </w:rPr>
        <w:t xml:space="preserve">Los peticionarios indican que la </w:t>
      </w:r>
      <w:r w:rsidR="009B5F75" w:rsidRPr="00F55AA9">
        <w:rPr>
          <w:color w:val="000000" w:themeColor="text1"/>
          <w:sz w:val="20"/>
          <w:szCs w:val="20"/>
          <w:lang w:val="es-ES"/>
        </w:rPr>
        <w:t>L</w:t>
      </w:r>
      <w:r w:rsidRPr="00F55AA9">
        <w:rPr>
          <w:color w:val="000000" w:themeColor="text1"/>
          <w:sz w:val="20"/>
          <w:szCs w:val="20"/>
          <w:lang w:val="es-ES"/>
        </w:rPr>
        <w:t>ey fue cuestionada a través de una demanda de inconstitucionalidad interpuesta por el Colegio de Abogados de Ica</w:t>
      </w:r>
      <w:r w:rsidR="002305A0" w:rsidRPr="00F55AA9">
        <w:rPr>
          <w:color w:val="000000" w:themeColor="text1"/>
          <w:sz w:val="20"/>
          <w:szCs w:val="20"/>
          <w:lang w:val="es-ES"/>
        </w:rPr>
        <w:t xml:space="preserve"> y según alegan </w:t>
      </w:r>
      <w:r w:rsidR="0081645A" w:rsidRPr="00F55AA9">
        <w:rPr>
          <w:color w:val="000000" w:themeColor="text1"/>
          <w:sz w:val="20"/>
          <w:szCs w:val="20"/>
          <w:lang w:val="es-ES"/>
        </w:rPr>
        <w:t>esta demanda</w:t>
      </w:r>
      <w:r w:rsidR="00983897" w:rsidRPr="00F55AA9">
        <w:rPr>
          <w:color w:val="000000" w:themeColor="text1"/>
          <w:sz w:val="20"/>
          <w:szCs w:val="20"/>
          <w:lang w:val="es-ES"/>
        </w:rPr>
        <w:t xml:space="preserve"> </w:t>
      </w:r>
      <w:r w:rsidR="00DD63F1" w:rsidRPr="00F55AA9">
        <w:rPr>
          <w:color w:val="000000" w:themeColor="text1"/>
          <w:sz w:val="20"/>
          <w:szCs w:val="20"/>
          <w:lang w:val="es-ES"/>
        </w:rPr>
        <w:t xml:space="preserve">fue </w:t>
      </w:r>
      <w:r w:rsidR="00945B83" w:rsidRPr="00F55AA9">
        <w:rPr>
          <w:color w:val="000000" w:themeColor="text1"/>
          <w:sz w:val="20"/>
          <w:szCs w:val="20"/>
          <w:lang w:val="es-ES"/>
        </w:rPr>
        <w:t>elaborada conjunta</w:t>
      </w:r>
      <w:r w:rsidR="00D01B47" w:rsidRPr="00F55AA9">
        <w:rPr>
          <w:color w:val="000000" w:themeColor="text1"/>
          <w:sz w:val="20"/>
          <w:szCs w:val="20"/>
          <w:lang w:val="es-ES"/>
        </w:rPr>
        <w:t>mente</w:t>
      </w:r>
      <w:r w:rsidR="00945B83" w:rsidRPr="00F55AA9">
        <w:rPr>
          <w:color w:val="000000" w:themeColor="text1"/>
          <w:sz w:val="20"/>
          <w:szCs w:val="20"/>
          <w:lang w:val="es-ES"/>
        </w:rPr>
        <w:t xml:space="preserve"> con </w:t>
      </w:r>
      <w:r w:rsidR="002237A3" w:rsidRPr="00F55AA9">
        <w:rPr>
          <w:color w:val="000000" w:themeColor="text1"/>
          <w:sz w:val="20"/>
          <w:szCs w:val="20"/>
          <w:lang w:val="es-ES"/>
        </w:rPr>
        <w:t xml:space="preserve">los </w:t>
      </w:r>
      <w:r w:rsidR="002305A0" w:rsidRPr="00F55AA9">
        <w:rPr>
          <w:color w:val="000000" w:themeColor="text1"/>
          <w:sz w:val="20"/>
          <w:szCs w:val="20"/>
          <w:lang w:val="es-ES"/>
        </w:rPr>
        <w:t>peticionarios,</w:t>
      </w:r>
      <w:r w:rsidR="00BD2D09" w:rsidRPr="00F55AA9">
        <w:rPr>
          <w:color w:val="000000" w:themeColor="text1"/>
          <w:sz w:val="20"/>
          <w:szCs w:val="20"/>
          <w:lang w:val="es-ES"/>
        </w:rPr>
        <w:t xml:space="preserve"> </w:t>
      </w:r>
      <w:r w:rsidR="00945B83" w:rsidRPr="00F55AA9">
        <w:rPr>
          <w:color w:val="000000" w:themeColor="text1"/>
          <w:sz w:val="20"/>
          <w:szCs w:val="20"/>
          <w:lang w:val="es-ES"/>
        </w:rPr>
        <w:t xml:space="preserve">así </w:t>
      </w:r>
      <w:r w:rsidR="00D01B47" w:rsidRPr="00F55AA9">
        <w:rPr>
          <w:color w:val="000000" w:themeColor="text1"/>
          <w:sz w:val="20"/>
          <w:szCs w:val="20"/>
          <w:lang w:val="es-ES"/>
        </w:rPr>
        <w:t>como con</w:t>
      </w:r>
      <w:r w:rsidR="00945B83" w:rsidRPr="00F55AA9">
        <w:rPr>
          <w:color w:val="000000" w:themeColor="text1"/>
          <w:sz w:val="20"/>
          <w:szCs w:val="20"/>
          <w:lang w:val="es-ES"/>
        </w:rPr>
        <w:t xml:space="preserve"> diversas instituciones sociales comprometidas con la problemática laboral</w:t>
      </w:r>
      <w:r w:rsidR="002237A3" w:rsidRPr="00F55AA9">
        <w:rPr>
          <w:color w:val="000000" w:themeColor="text1"/>
          <w:sz w:val="20"/>
          <w:szCs w:val="20"/>
          <w:lang w:val="es-ES"/>
        </w:rPr>
        <w:t>.</w:t>
      </w:r>
      <w:r w:rsidR="00945B83" w:rsidRPr="00F55AA9">
        <w:rPr>
          <w:color w:val="000000" w:themeColor="text1"/>
          <w:sz w:val="20"/>
          <w:szCs w:val="20"/>
          <w:lang w:val="es-ES"/>
        </w:rPr>
        <w:t xml:space="preserve"> </w:t>
      </w:r>
      <w:r w:rsidR="00A465CE" w:rsidRPr="00F55AA9">
        <w:rPr>
          <w:color w:val="000000" w:themeColor="text1"/>
          <w:sz w:val="20"/>
          <w:szCs w:val="20"/>
          <w:lang w:val="es-ES"/>
        </w:rPr>
        <w:t>En su demanda de inconstitucionalidad, el Colegio de Abogados de Ica aleg</w:t>
      </w:r>
      <w:r w:rsidR="00DD63F1" w:rsidRPr="00F55AA9">
        <w:rPr>
          <w:color w:val="000000" w:themeColor="text1"/>
          <w:sz w:val="20"/>
          <w:szCs w:val="20"/>
          <w:lang w:val="es-ES"/>
        </w:rPr>
        <w:t>ó</w:t>
      </w:r>
      <w:r w:rsidR="00A465CE" w:rsidRPr="00F55AA9">
        <w:rPr>
          <w:color w:val="000000" w:themeColor="text1"/>
          <w:sz w:val="20"/>
          <w:szCs w:val="20"/>
          <w:lang w:val="es-ES"/>
        </w:rPr>
        <w:t xml:space="preserve"> que las disposiciones de la Ley que regulan el régimen especial </w:t>
      </w:r>
      <w:r w:rsidR="009B5F75" w:rsidRPr="00F55AA9">
        <w:rPr>
          <w:rFonts w:eastAsia="Arial Unicode MS"/>
          <w:color w:val="000000" w:themeColor="text1"/>
          <w:sz w:val="20"/>
          <w:szCs w:val="20"/>
          <w:lang w:val="es-ES" w:eastAsia="en-US"/>
        </w:rPr>
        <w:t>son contrari</w:t>
      </w:r>
      <w:r w:rsidR="00BD2D09" w:rsidRPr="00F55AA9">
        <w:rPr>
          <w:color w:val="000000" w:themeColor="text1"/>
          <w:sz w:val="20"/>
          <w:szCs w:val="20"/>
          <w:lang w:val="es-ES"/>
        </w:rPr>
        <w:t>a</w:t>
      </w:r>
      <w:r w:rsidR="009B5F75" w:rsidRPr="00F55AA9">
        <w:rPr>
          <w:rFonts w:eastAsia="Arial Unicode MS"/>
          <w:color w:val="000000" w:themeColor="text1"/>
          <w:sz w:val="20"/>
          <w:szCs w:val="20"/>
          <w:lang w:val="es-ES" w:eastAsia="en-US"/>
        </w:rPr>
        <w:t xml:space="preserve">s al principio de </w:t>
      </w:r>
      <w:r w:rsidR="009B5F75" w:rsidRPr="00F55AA9">
        <w:rPr>
          <w:color w:val="000000" w:themeColor="text1"/>
          <w:sz w:val="20"/>
          <w:szCs w:val="20"/>
          <w:lang w:val="es-ES"/>
        </w:rPr>
        <w:t>igualdad</w:t>
      </w:r>
      <w:r w:rsidR="009B5F75" w:rsidRPr="00F55AA9">
        <w:rPr>
          <w:rFonts w:eastAsia="Arial Unicode MS"/>
          <w:color w:val="000000" w:themeColor="text1"/>
          <w:sz w:val="20"/>
          <w:szCs w:val="20"/>
          <w:lang w:val="es-ES" w:eastAsia="en-US"/>
        </w:rPr>
        <w:t xml:space="preserve"> ante la ley y no </w:t>
      </w:r>
      <w:r w:rsidR="009B5F75" w:rsidRPr="00F55AA9">
        <w:rPr>
          <w:color w:val="000000" w:themeColor="text1"/>
          <w:sz w:val="20"/>
          <w:szCs w:val="20"/>
          <w:lang w:val="es-ES"/>
        </w:rPr>
        <w:t>discriminación</w:t>
      </w:r>
      <w:r w:rsidR="00983897" w:rsidRPr="00F55AA9">
        <w:rPr>
          <w:color w:val="000000" w:themeColor="text1"/>
          <w:sz w:val="20"/>
          <w:szCs w:val="20"/>
          <w:lang w:val="es-ES"/>
        </w:rPr>
        <w:t xml:space="preserve"> y afecta el contenido esencial de los derechos laborales</w:t>
      </w:r>
      <w:r w:rsidR="009B5F75" w:rsidRPr="00F55AA9">
        <w:rPr>
          <w:rFonts w:eastAsia="Arial Unicode MS"/>
          <w:color w:val="000000" w:themeColor="text1"/>
          <w:sz w:val="20"/>
          <w:szCs w:val="20"/>
          <w:lang w:val="es-ES" w:eastAsia="en-US"/>
        </w:rPr>
        <w:t xml:space="preserve"> </w:t>
      </w:r>
      <w:r w:rsidR="009B5F75" w:rsidRPr="00F55AA9">
        <w:rPr>
          <w:color w:val="000000" w:themeColor="text1"/>
          <w:sz w:val="20"/>
          <w:szCs w:val="20"/>
          <w:lang w:val="es-ES"/>
        </w:rPr>
        <w:t>consagrados</w:t>
      </w:r>
      <w:r w:rsidR="009B5F75" w:rsidRPr="00F55AA9">
        <w:rPr>
          <w:rFonts w:eastAsia="Arial Unicode MS"/>
          <w:color w:val="000000" w:themeColor="text1"/>
          <w:sz w:val="20"/>
          <w:szCs w:val="20"/>
          <w:lang w:val="es-ES" w:eastAsia="en-US"/>
        </w:rPr>
        <w:t xml:space="preserve"> por la </w:t>
      </w:r>
      <w:r w:rsidR="009B5F75" w:rsidRPr="00F55AA9">
        <w:rPr>
          <w:color w:val="000000" w:themeColor="text1"/>
          <w:sz w:val="20"/>
          <w:szCs w:val="20"/>
          <w:lang w:val="es-ES"/>
        </w:rPr>
        <w:t>Constitución</w:t>
      </w:r>
      <w:r w:rsidR="009B5F75" w:rsidRPr="00F55AA9">
        <w:rPr>
          <w:rFonts w:eastAsia="Arial Unicode MS"/>
          <w:color w:val="000000" w:themeColor="text1"/>
          <w:sz w:val="20"/>
          <w:szCs w:val="20"/>
          <w:lang w:val="es-ES" w:eastAsia="en-US"/>
        </w:rPr>
        <w:t xml:space="preserve"> del Perú.</w:t>
      </w:r>
      <w:r w:rsidR="00A465CE" w:rsidRPr="00F55AA9">
        <w:rPr>
          <w:color w:val="000000" w:themeColor="text1"/>
          <w:sz w:val="20"/>
          <w:szCs w:val="20"/>
          <w:lang w:val="es-ES"/>
        </w:rPr>
        <w:t xml:space="preserve"> </w:t>
      </w:r>
      <w:r w:rsidR="00DD63F1" w:rsidRPr="00F55AA9">
        <w:rPr>
          <w:color w:val="000000" w:themeColor="text1"/>
          <w:sz w:val="20"/>
          <w:szCs w:val="20"/>
          <w:lang w:val="es-ES"/>
        </w:rPr>
        <w:t xml:space="preserve">Adicionalmente, </w:t>
      </w:r>
      <w:r w:rsidR="00BD2D09" w:rsidRPr="00F55AA9">
        <w:rPr>
          <w:color w:val="000000" w:themeColor="text1"/>
          <w:sz w:val="20"/>
          <w:szCs w:val="20"/>
          <w:lang w:val="es-ES"/>
        </w:rPr>
        <w:t>en la demanda se mencionan tanto</w:t>
      </w:r>
      <w:r w:rsidR="00A465CE" w:rsidRPr="00F55AA9">
        <w:rPr>
          <w:color w:val="000000" w:themeColor="text1"/>
          <w:sz w:val="20"/>
          <w:szCs w:val="20"/>
          <w:lang w:val="es-ES"/>
        </w:rPr>
        <w:t xml:space="preserve"> la</w:t>
      </w:r>
      <w:r w:rsidR="00286CBA" w:rsidRPr="00F55AA9">
        <w:rPr>
          <w:color w:val="000000" w:themeColor="text1"/>
          <w:sz w:val="20"/>
          <w:szCs w:val="20"/>
          <w:lang w:val="es-ES"/>
        </w:rPr>
        <w:t>s formas directas como indirectas</w:t>
      </w:r>
      <w:r w:rsidR="00286CBA" w:rsidRPr="00F55AA9">
        <w:rPr>
          <w:color w:val="000000" w:themeColor="text1"/>
          <w:sz w:val="20"/>
          <w:szCs w:val="20"/>
          <w:lang w:val="es-AR"/>
        </w:rPr>
        <w:t xml:space="preserve"> de</w:t>
      </w:r>
      <w:r w:rsidR="00A465CE" w:rsidRPr="00F55AA9">
        <w:rPr>
          <w:color w:val="000000" w:themeColor="text1"/>
          <w:sz w:val="20"/>
          <w:szCs w:val="20"/>
          <w:lang w:val="es-AR"/>
        </w:rPr>
        <w:t xml:space="preserve"> discriminación </w:t>
      </w:r>
      <w:r w:rsidR="00BD2D09" w:rsidRPr="00F55AA9">
        <w:rPr>
          <w:color w:val="000000" w:themeColor="text1"/>
          <w:sz w:val="20"/>
          <w:szCs w:val="20"/>
          <w:lang w:val="es-AR"/>
        </w:rPr>
        <w:t>al</w:t>
      </w:r>
      <w:r w:rsidR="00286CBA" w:rsidRPr="00F55AA9">
        <w:rPr>
          <w:color w:val="000000" w:themeColor="text1"/>
          <w:sz w:val="20"/>
          <w:szCs w:val="20"/>
          <w:lang w:val="es-AR"/>
        </w:rPr>
        <w:t xml:space="preserve"> proporciona</w:t>
      </w:r>
      <w:r w:rsidR="00BD2D09" w:rsidRPr="00F55AA9">
        <w:rPr>
          <w:color w:val="000000" w:themeColor="text1"/>
          <w:sz w:val="20"/>
          <w:szCs w:val="20"/>
          <w:lang w:val="es-AR"/>
        </w:rPr>
        <w:t>r</w:t>
      </w:r>
      <w:r w:rsidR="00286CBA" w:rsidRPr="00F55AA9">
        <w:rPr>
          <w:color w:val="000000" w:themeColor="text1"/>
          <w:sz w:val="20"/>
          <w:szCs w:val="20"/>
          <w:lang w:val="es-AR"/>
        </w:rPr>
        <w:t xml:space="preserve"> datos estadísticos sobre las condiciones de trabajo de las mujeres trabajadores en el sector agrario.</w:t>
      </w:r>
    </w:p>
    <w:p w:rsidR="00964378" w:rsidRPr="00F55AA9" w:rsidRDefault="00964378" w:rsidP="00964378">
      <w:pPr>
        <w:pStyle w:val="ListParagraph"/>
        <w:jc w:val="both"/>
        <w:rPr>
          <w:rFonts w:eastAsia="Arial Unicode MS"/>
          <w:lang w:val="es-AR" w:eastAsia="en-US"/>
        </w:rPr>
      </w:pPr>
    </w:p>
    <w:p w:rsidR="00AC770C" w:rsidRPr="00F55AA9" w:rsidRDefault="00AD6C14" w:rsidP="008325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F55AA9">
        <w:rPr>
          <w:sz w:val="20"/>
          <w:szCs w:val="20"/>
          <w:lang w:val="es-AR"/>
        </w:rPr>
        <w:t>E</w:t>
      </w:r>
      <w:r w:rsidR="00686C86" w:rsidRPr="00F55AA9">
        <w:rPr>
          <w:sz w:val="20"/>
          <w:szCs w:val="20"/>
          <w:lang w:val="es-AR"/>
        </w:rPr>
        <w:t>l</w:t>
      </w:r>
      <w:r w:rsidRPr="00F55AA9">
        <w:rPr>
          <w:sz w:val="20"/>
          <w:szCs w:val="20"/>
          <w:lang w:val="es-AR"/>
        </w:rPr>
        <w:t xml:space="preserve"> 21 de noviembre de 2007 el Tribunal </w:t>
      </w:r>
      <w:r w:rsidR="00686C86" w:rsidRPr="00F55AA9">
        <w:rPr>
          <w:sz w:val="20"/>
          <w:szCs w:val="20"/>
          <w:lang w:val="es-AR"/>
        </w:rPr>
        <w:t xml:space="preserve">Constitucional </w:t>
      </w:r>
      <w:r w:rsidRPr="00F55AA9">
        <w:rPr>
          <w:sz w:val="20"/>
          <w:szCs w:val="20"/>
          <w:lang w:val="es-AR"/>
        </w:rPr>
        <w:t>declar</w:t>
      </w:r>
      <w:r w:rsidR="00686C86" w:rsidRPr="00F55AA9">
        <w:rPr>
          <w:sz w:val="20"/>
          <w:szCs w:val="20"/>
          <w:lang w:val="es-AR"/>
        </w:rPr>
        <w:t>ó</w:t>
      </w:r>
      <w:r w:rsidRPr="00F55AA9">
        <w:rPr>
          <w:sz w:val="20"/>
          <w:szCs w:val="20"/>
          <w:lang w:val="es-AR"/>
        </w:rPr>
        <w:t xml:space="preserve"> </w:t>
      </w:r>
      <w:r w:rsidR="0017509E" w:rsidRPr="00F55AA9">
        <w:rPr>
          <w:sz w:val="20"/>
          <w:szCs w:val="20"/>
          <w:lang w:val="es-AR"/>
        </w:rPr>
        <w:t>“</w:t>
      </w:r>
      <w:r w:rsidRPr="00F55AA9">
        <w:rPr>
          <w:sz w:val="20"/>
          <w:szCs w:val="20"/>
          <w:lang w:val="es-AR"/>
        </w:rPr>
        <w:t>infundada</w:t>
      </w:r>
      <w:r w:rsidR="0017509E" w:rsidRPr="00F55AA9">
        <w:rPr>
          <w:sz w:val="20"/>
          <w:szCs w:val="20"/>
          <w:lang w:val="es-AR"/>
        </w:rPr>
        <w:t>”</w:t>
      </w:r>
      <w:r w:rsidRPr="00F55AA9">
        <w:rPr>
          <w:sz w:val="20"/>
          <w:szCs w:val="20"/>
          <w:lang w:val="es-AR"/>
        </w:rPr>
        <w:t xml:space="preserve"> la demanda de inconstitucional</w:t>
      </w:r>
      <w:r w:rsidR="00686C86" w:rsidRPr="00F55AA9">
        <w:rPr>
          <w:sz w:val="20"/>
          <w:szCs w:val="20"/>
          <w:lang w:val="es-AR"/>
        </w:rPr>
        <w:t>idad</w:t>
      </w:r>
      <w:r w:rsidRPr="00F55AA9">
        <w:rPr>
          <w:sz w:val="20"/>
          <w:szCs w:val="20"/>
          <w:lang w:val="es-AR"/>
        </w:rPr>
        <w:t xml:space="preserve"> </w:t>
      </w:r>
      <w:r w:rsidR="003E67B1" w:rsidRPr="00F55AA9">
        <w:rPr>
          <w:sz w:val="20"/>
          <w:szCs w:val="20"/>
          <w:lang w:val="es-AR"/>
        </w:rPr>
        <w:t xml:space="preserve">y </w:t>
      </w:r>
      <w:r w:rsidR="00AC770C" w:rsidRPr="00F55AA9">
        <w:rPr>
          <w:sz w:val="20"/>
          <w:szCs w:val="20"/>
          <w:lang w:val="es-AR"/>
        </w:rPr>
        <w:t xml:space="preserve">sostuvo que no existe incompatibilidad entre la Constitución y la norma cuestionada debido a que el artículo 103° de la Constitución peruana permite legislar de manera especial y excepcional, cuando </w:t>
      </w:r>
      <w:r w:rsidR="00F05837" w:rsidRPr="00F55AA9">
        <w:rPr>
          <w:sz w:val="20"/>
          <w:szCs w:val="20"/>
          <w:lang w:val="es-AR"/>
        </w:rPr>
        <w:t>“</w:t>
      </w:r>
      <w:r w:rsidR="00AC770C" w:rsidRPr="00F55AA9">
        <w:rPr>
          <w:sz w:val="20"/>
          <w:szCs w:val="20"/>
          <w:lang w:val="es-AR"/>
        </w:rPr>
        <w:t>la naturaleza de las cosas lo amerita</w:t>
      </w:r>
      <w:r w:rsidR="00F05837" w:rsidRPr="00F55AA9">
        <w:rPr>
          <w:i/>
          <w:sz w:val="20"/>
          <w:szCs w:val="20"/>
          <w:lang w:val="es-AR"/>
        </w:rPr>
        <w:t>”</w:t>
      </w:r>
      <w:r w:rsidR="00AC770C" w:rsidRPr="00F55AA9">
        <w:rPr>
          <w:i/>
          <w:sz w:val="20"/>
          <w:szCs w:val="20"/>
          <w:lang w:val="es-AR"/>
        </w:rPr>
        <w:t xml:space="preserve">. </w:t>
      </w:r>
      <w:r w:rsidR="002305A0" w:rsidRPr="00F55AA9">
        <w:rPr>
          <w:sz w:val="20"/>
          <w:szCs w:val="20"/>
          <w:lang w:val="es-AR"/>
        </w:rPr>
        <w:t>Asimismo</w:t>
      </w:r>
      <w:r w:rsidR="00AC770C" w:rsidRPr="00F55AA9">
        <w:rPr>
          <w:sz w:val="20"/>
          <w:szCs w:val="20"/>
          <w:lang w:val="es-AR"/>
        </w:rPr>
        <w:t xml:space="preserve">, </w:t>
      </w:r>
      <w:r w:rsidR="002305A0" w:rsidRPr="00F55AA9">
        <w:rPr>
          <w:sz w:val="20"/>
          <w:szCs w:val="20"/>
          <w:lang w:val="es-AR"/>
        </w:rPr>
        <w:t xml:space="preserve">en este caso se </w:t>
      </w:r>
      <w:r w:rsidR="00AC770C" w:rsidRPr="00F55AA9">
        <w:rPr>
          <w:sz w:val="20"/>
          <w:szCs w:val="20"/>
          <w:lang w:val="es-AR"/>
        </w:rPr>
        <w:t>señaló que la norma superaba el test de igualdad, que analiza los principios de idoneidad o adecuación, necesidad y proporcionalidad, en la medida en que la regulación especial del sector agrario fue establecida con un fi</w:t>
      </w:r>
      <w:r w:rsidR="00D01B47" w:rsidRPr="00F55AA9">
        <w:rPr>
          <w:sz w:val="20"/>
          <w:szCs w:val="20"/>
          <w:lang w:val="es-AR"/>
        </w:rPr>
        <w:t>n constitucional</w:t>
      </w:r>
      <w:r w:rsidR="00AC770C" w:rsidRPr="00F55AA9">
        <w:rPr>
          <w:sz w:val="20"/>
          <w:szCs w:val="20"/>
          <w:lang w:val="es-AR"/>
        </w:rPr>
        <w:t xml:space="preserve"> legítimo </w:t>
      </w:r>
      <w:r w:rsidR="00E77F60" w:rsidRPr="00F55AA9">
        <w:rPr>
          <w:sz w:val="20"/>
          <w:szCs w:val="20"/>
          <w:lang w:val="es-AR"/>
        </w:rPr>
        <w:t>(la promoción del fomento del empleo en el agro</w:t>
      </w:r>
      <w:r w:rsidR="00AC770C" w:rsidRPr="00F55AA9">
        <w:rPr>
          <w:sz w:val="20"/>
          <w:szCs w:val="20"/>
          <w:lang w:val="es-AR"/>
        </w:rPr>
        <w:t>)</w:t>
      </w:r>
      <w:r w:rsidR="00ED27F9" w:rsidRPr="00F55AA9">
        <w:rPr>
          <w:sz w:val="20"/>
          <w:szCs w:val="20"/>
          <w:lang w:val="es-AR"/>
        </w:rPr>
        <w:t xml:space="preserve">; </w:t>
      </w:r>
      <w:r w:rsidR="00D01B47" w:rsidRPr="00F55AA9">
        <w:rPr>
          <w:sz w:val="20"/>
          <w:szCs w:val="20"/>
          <w:lang w:val="es-AR"/>
        </w:rPr>
        <w:t xml:space="preserve">por tanto, </w:t>
      </w:r>
      <w:r w:rsidR="00ED27F9" w:rsidRPr="00F55AA9">
        <w:rPr>
          <w:sz w:val="20"/>
          <w:szCs w:val="20"/>
          <w:lang w:val="es-AR"/>
        </w:rPr>
        <w:t>result</w:t>
      </w:r>
      <w:r w:rsidR="007341C6" w:rsidRPr="00F55AA9">
        <w:rPr>
          <w:sz w:val="20"/>
          <w:szCs w:val="20"/>
          <w:lang w:val="es-AR"/>
        </w:rPr>
        <w:t>ó</w:t>
      </w:r>
      <w:r w:rsidR="00ED27F9" w:rsidRPr="00F55AA9">
        <w:rPr>
          <w:sz w:val="20"/>
          <w:szCs w:val="20"/>
          <w:lang w:val="es-AR"/>
        </w:rPr>
        <w:t xml:space="preserve"> ser una medida menos </w:t>
      </w:r>
      <w:r w:rsidR="00AC770C" w:rsidRPr="00F55AA9">
        <w:rPr>
          <w:sz w:val="20"/>
          <w:szCs w:val="20"/>
          <w:lang w:val="es-AR"/>
        </w:rPr>
        <w:t>gravosa; y el fin perseguido resultó pro</w:t>
      </w:r>
      <w:r w:rsidR="00D600A8" w:rsidRPr="00F55AA9">
        <w:rPr>
          <w:sz w:val="20"/>
          <w:szCs w:val="20"/>
          <w:lang w:val="es-AR"/>
        </w:rPr>
        <w:t xml:space="preserve">porcional a la medida adoptada. </w:t>
      </w:r>
      <w:r w:rsidR="00BF22CE" w:rsidRPr="00F55AA9">
        <w:rPr>
          <w:sz w:val="20"/>
          <w:szCs w:val="20"/>
          <w:lang w:val="es-AR"/>
        </w:rPr>
        <w:t>Ante esta situación</w:t>
      </w:r>
      <w:r w:rsidR="00D600A8" w:rsidRPr="00F55AA9">
        <w:rPr>
          <w:sz w:val="20"/>
          <w:szCs w:val="20"/>
          <w:lang w:val="es-AR"/>
        </w:rPr>
        <w:t>,</w:t>
      </w:r>
      <w:r w:rsidR="00BF22CE" w:rsidRPr="00F55AA9">
        <w:rPr>
          <w:sz w:val="20"/>
          <w:szCs w:val="20"/>
          <w:lang w:val="es-AR"/>
        </w:rPr>
        <w:t xml:space="preserve"> los demandantes</w:t>
      </w:r>
      <w:r w:rsidR="00AC770C" w:rsidRPr="00F55AA9">
        <w:rPr>
          <w:sz w:val="20"/>
          <w:szCs w:val="20"/>
          <w:lang w:val="es-AR"/>
        </w:rPr>
        <w:t xml:space="preserve"> (Colegio de Abogados </w:t>
      </w:r>
      <w:r w:rsidR="0063745D" w:rsidRPr="00F55AA9">
        <w:rPr>
          <w:sz w:val="20"/>
          <w:szCs w:val="20"/>
          <w:lang w:val="es-AR"/>
        </w:rPr>
        <w:t xml:space="preserve">de </w:t>
      </w:r>
      <w:r w:rsidR="00AC770C" w:rsidRPr="00F55AA9">
        <w:rPr>
          <w:sz w:val="20"/>
          <w:szCs w:val="20"/>
          <w:lang w:val="es-AR"/>
        </w:rPr>
        <w:t>Ica)</w:t>
      </w:r>
      <w:r w:rsidR="007341C6" w:rsidRPr="00F55AA9">
        <w:rPr>
          <w:sz w:val="20"/>
          <w:szCs w:val="20"/>
          <w:lang w:val="es-AR"/>
        </w:rPr>
        <w:t>, presentaron un recurso de aclaración el 5 de febrero de 2008</w:t>
      </w:r>
      <w:r w:rsidR="00AC770C" w:rsidRPr="00F55AA9">
        <w:rPr>
          <w:sz w:val="20"/>
          <w:szCs w:val="20"/>
          <w:lang w:val="es-AR"/>
        </w:rPr>
        <w:t>.</w:t>
      </w:r>
    </w:p>
    <w:p w:rsidR="00034C65" w:rsidRPr="00F55AA9" w:rsidRDefault="00ED27F9" w:rsidP="008325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F55AA9">
        <w:rPr>
          <w:sz w:val="20"/>
          <w:szCs w:val="20"/>
          <w:lang w:val="es-AR"/>
        </w:rPr>
        <w:lastRenderedPageBreak/>
        <w:t xml:space="preserve">Por su parte, </w:t>
      </w:r>
      <w:r w:rsidR="00034C65" w:rsidRPr="00F55AA9">
        <w:rPr>
          <w:sz w:val="20"/>
          <w:szCs w:val="20"/>
          <w:lang w:val="es-AR"/>
        </w:rPr>
        <w:t>el Estado solicita que</w:t>
      </w:r>
      <w:r w:rsidR="007341C6" w:rsidRPr="00F55AA9">
        <w:rPr>
          <w:sz w:val="20"/>
          <w:szCs w:val="20"/>
          <w:lang w:val="es-AR"/>
        </w:rPr>
        <w:t xml:space="preserve"> se</w:t>
      </w:r>
      <w:r w:rsidR="00034C65" w:rsidRPr="00F55AA9">
        <w:rPr>
          <w:sz w:val="20"/>
          <w:szCs w:val="20"/>
          <w:lang w:val="es-AR"/>
        </w:rPr>
        <w:t xml:space="preserve"> rechace</w:t>
      </w:r>
      <w:r w:rsidR="007341C6" w:rsidRPr="00F55AA9">
        <w:rPr>
          <w:sz w:val="20"/>
          <w:szCs w:val="20"/>
          <w:lang w:val="es-AR"/>
        </w:rPr>
        <w:t xml:space="preserve"> la petición</w:t>
      </w:r>
      <w:r w:rsidR="00034C65" w:rsidRPr="00F55AA9">
        <w:rPr>
          <w:sz w:val="20"/>
          <w:szCs w:val="20"/>
          <w:lang w:val="es-AR"/>
        </w:rPr>
        <w:t xml:space="preserve"> por falta de competencia </w:t>
      </w:r>
      <w:r w:rsidR="00034C65" w:rsidRPr="00F55AA9">
        <w:rPr>
          <w:i/>
          <w:sz w:val="20"/>
          <w:szCs w:val="20"/>
          <w:lang w:val="es-AR"/>
        </w:rPr>
        <w:t>ratione personae</w:t>
      </w:r>
      <w:r w:rsidR="00A377BE" w:rsidRPr="00F55AA9">
        <w:rPr>
          <w:sz w:val="20"/>
          <w:szCs w:val="20"/>
          <w:lang w:val="es-AR"/>
        </w:rPr>
        <w:t xml:space="preserve"> </w:t>
      </w:r>
      <w:r w:rsidR="00034C65" w:rsidRPr="00F55AA9">
        <w:rPr>
          <w:sz w:val="20"/>
          <w:szCs w:val="20"/>
          <w:lang w:val="es-AR"/>
        </w:rPr>
        <w:t xml:space="preserve">respecto de las presuntas víctimas identificadas como un número aún no determinado de trabajadores y trabajadoras sujetos al régimen laboral agrario sosteniendo que </w:t>
      </w:r>
      <w:r w:rsidR="007341C6" w:rsidRPr="00F55AA9">
        <w:rPr>
          <w:sz w:val="20"/>
          <w:szCs w:val="20"/>
          <w:lang w:val="es-AR"/>
        </w:rPr>
        <w:t>el</w:t>
      </w:r>
      <w:r w:rsidR="00034C65" w:rsidRPr="00F55AA9">
        <w:rPr>
          <w:sz w:val="20"/>
          <w:szCs w:val="20"/>
          <w:lang w:val="es-AR"/>
        </w:rPr>
        <w:t xml:space="preserve"> colectivo de personas</w:t>
      </w:r>
      <w:r w:rsidR="007341C6" w:rsidRPr="00F55AA9">
        <w:rPr>
          <w:sz w:val="20"/>
          <w:szCs w:val="20"/>
          <w:lang w:val="es-AR"/>
        </w:rPr>
        <w:t xml:space="preserve"> es abstracto y que</w:t>
      </w:r>
      <w:r w:rsidR="00034C65" w:rsidRPr="00F55AA9">
        <w:rPr>
          <w:sz w:val="20"/>
          <w:szCs w:val="20"/>
          <w:lang w:val="es-AR"/>
        </w:rPr>
        <w:t xml:space="preserve"> podrían potencialmente sumarse miles de personas que no han sido identificadas, determinadas y concretas.</w:t>
      </w:r>
    </w:p>
    <w:p w:rsidR="00BD0EB7" w:rsidRPr="00F55AA9" w:rsidRDefault="00034C65" w:rsidP="008325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F55AA9">
        <w:rPr>
          <w:sz w:val="20"/>
          <w:szCs w:val="20"/>
          <w:lang w:val="es-AR"/>
        </w:rPr>
        <w:t xml:space="preserve">Asimismo, </w:t>
      </w:r>
      <w:r w:rsidR="00ED27F9" w:rsidRPr="00F55AA9">
        <w:rPr>
          <w:sz w:val="20"/>
          <w:szCs w:val="20"/>
          <w:lang w:val="es-AR"/>
        </w:rPr>
        <w:t>e</w:t>
      </w:r>
      <w:r w:rsidR="001A48AF" w:rsidRPr="00F55AA9">
        <w:rPr>
          <w:sz w:val="20"/>
          <w:szCs w:val="20"/>
          <w:lang w:val="es-AR"/>
        </w:rPr>
        <w:t xml:space="preserve">l Estado </w:t>
      </w:r>
      <w:r w:rsidR="00A553BF" w:rsidRPr="00F55AA9">
        <w:rPr>
          <w:sz w:val="20"/>
          <w:szCs w:val="20"/>
          <w:lang w:val="es-AR"/>
        </w:rPr>
        <w:t xml:space="preserve">invoca la </w:t>
      </w:r>
      <w:r w:rsidR="00CF7676" w:rsidRPr="00F55AA9">
        <w:rPr>
          <w:sz w:val="20"/>
          <w:szCs w:val="20"/>
          <w:lang w:val="es-AR"/>
        </w:rPr>
        <w:t>ausencia de determinaci</w:t>
      </w:r>
      <w:r w:rsidR="00AF78EE" w:rsidRPr="00F55AA9">
        <w:rPr>
          <w:sz w:val="20"/>
          <w:szCs w:val="20"/>
          <w:lang w:val="es-AR"/>
        </w:rPr>
        <w:t xml:space="preserve">ón </w:t>
      </w:r>
      <w:r w:rsidR="00AC770C" w:rsidRPr="00F55AA9">
        <w:rPr>
          <w:sz w:val="20"/>
          <w:szCs w:val="20"/>
          <w:lang w:val="es-AR"/>
        </w:rPr>
        <w:t xml:space="preserve">concreta sobre los actos imputados al Estado peruano </w:t>
      </w:r>
      <w:r w:rsidR="00317C2C" w:rsidRPr="00F55AA9">
        <w:rPr>
          <w:sz w:val="20"/>
          <w:szCs w:val="20"/>
          <w:lang w:val="es-AR"/>
        </w:rPr>
        <w:t>demandados</w:t>
      </w:r>
      <w:r w:rsidR="00AC770C" w:rsidRPr="00F55AA9">
        <w:rPr>
          <w:sz w:val="20"/>
          <w:szCs w:val="20"/>
          <w:lang w:val="es-AR"/>
        </w:rPr>
        <w:t xml:space="preserve"> como lesivos de los derechos </w:t>
      </w:r>
      <w:r w:rsidR="007A4A52" w:rsidRPr="00F55AA9">
        <w:rPr>
          <w:sz w:val="20"/>
          <w:szCs w:val="20"/>
          <w:lang w:val="es-AR"/>
        </w:rPr>
        <w:t>humanos</w:t>
      </w:r>
      <w:r w:rsidR="00C73AA0" w:rsidRPr="00F55AA9">
        <w:rPr>
          <w:sz w:val="20"/>
          <w:szCs w:val="20"/>
          <w:lang w:val="es-AR"/>
        </w:rPr>
        <w:t>,</w:t>
      </w:r>
      <w:r w:rsidR="007A4A52" w:rsidRPr="00F55AA9">
        <w:rPr>
          <w:sz w:val="20"/>
          <w:szCs w:val="20"/>
          <w:lang w:val="es-AR"/>
        </w:rPr>
        <w:t xml:space="preserve"> </w:t>
      </w:r>
      <w:r w:rsidR="00AF78EE" w:rsidRPr="00F55AA9">
        <w:rPr>
          <w:sz w:val="20"/>
          <w:szCs w:val="20"/>
          <w:lang w:val="es-AR"/>
        </w:rPr>
        <w:t>necesaria para efectos de r</w:t>
      </w:r>
      <w:r w:rsidR="00AC770C" w:rsidRPr="00F55AA9">
        <w:rPr>
          <w:sz w:val="20"/>
          <w:szCs w:val="20"/>
          <w:lang w:val="es-AR"/>
        </w:rPr>
        <w:t>ealizar el análisis respectivo</w:t>
      </w:r>
      <w:r w:rsidR="00C73AA0" w:rsidRPr="00F55AA9">
        <w:rPr>
          <w:sz w:val="20"/>
          <w:szCs w:val="20"/>
          <w:lang w:val="es-AR"/>
        </w:rPr>
        <w:t>,</w:t>
      </w:r>
      <w:r w:rsidR="00317C2C" w:rsidRPr="00F55AA9">
        <w:rPr>
          <w:sz w:val="20"/>
          <w:szCs w:val="20"/>
          <w:lang w:val="es-AR"/>
        </w:rPr>
        <w:t xml:space="preserve"> en relación con la </w:t>
      </w:r>
      <w:r w:rsidR="007763A0" w:rsidRPr="00F55AA9">
        <w:rPr>
          <w:sz w:val="20"/>
          <w:szCs w:val="20"/>
          <w:lang w:val="es-AR"/>
        </w:rPr>
        <w:t>Sra. Pariahuachi</w:t>
      </w:r>
      <w:r w:rsidR="00AC770C" w:rsidRPr="00F55AA9">
        <w:rPr>
          <w:sz w:val="20"/>
          <w:szCs w:val="20"/>
          <w:lang w:val="es-AR"/>
        </w:rPr>
        <w:t>. Sostienen que l</w:t>
      </w:r>
      <w:r w:rsidR="007763A0" w:rsidRPr="00F55AA9">
        <w:rPr>
          <w:sz w:val="20"/>
          <w:szCs w:val="20"/>
          <w:lang w:val="es-AR"/>
        </w:rPr>
        <w:t>a parte peticionaria</w:t>
      </w:r>
      <w:r w:rsidR="00AF78EE" w:rsidRPr="00F55AA9">
        <w:rPr>
          <w:sz w:val="20"/>
          <w:szCs w:val="20"/>
          <w:lang w:val="es-AR"/>
        </w:rPr>
        <w:t xml:space="preserve"> se limita</w:t>
      </w:r>
      <w:r w:rsidR="00AC770C" w:rsidRPr="00F55AA9">
        <w:rPr>
          <w:sz w:val="20"/>
          <w:szCs w:val="20"/>
          <w:lang w:val="es-AR"/>
        </w:rPr>
        <w:t xml:space="preserve"> </w:t>
      </w:r>
      <w:r w:rsidR="00AF78EE" w:rsidRPr="00F55AA9">
        <w:rPr>
          <w:sz w:val="20"/>
          <w:szCs w:val="20"/>
          <w:lang w:val="es-AR"/>
        </w:rPr>
        <w:t xml:space="preserve">a cuestionar una norma legal (Ley </w:t>
      </w:r>
      <w:r w:rsidR="00D15E4C" w:rsidRPr="00F55AA9">
        <w:rPr>
          <w:sz w:val="20"/>
          <w:szCs w:val="20"/>
          <w:lang w:val="es-AR"/>
        </w:rPr>
        <w:t>N°273</w:t>
      </w:r>
      <w:r w:rsidR="003044AD" w:rsidRPr="00F55AA9">
        <w:rPr>
          <w:sz w:val="20"/>
          <w:szCs w:val="20"/>
          <w:lang w:val="es-AR"/>
        </w:rPr>
        <w:t>60 - Ley que aprueba las Normas</w:t>
      </w:r>
      <w:r w:rsidR="00D15E4C" w:rsidRPr="00F55AA9">
        <w:rPr>
          <w:sz w:val="20"/>
          <w:szCs w:val="20"/>
          <w:lang w:val="es-AR"/>
        </w:rPr>
        <w:t xml:space="preserve"> de Promoción del Sector Agrario) que supuestamente le ha sido aplicable, pero </w:t>
      </w:r>
      <w:r w:rsidR="00DC7F40" w:rsidRPr="00F55AA9">
        <w:rPr>
          <w:sz w:val="20"/>
          <w:szCs w:val="20"/>
          <w:lang w:val="es-AR"/>
        </w:rPr>
        <w:t>no se realiza</w:t>
      </w:r>
      <w:r w:rsidR="00D15E4C" w:rsidRPr="00F55AA9">
        <w:rPr>
          <w:sz w:val="20"/>
          <w:szCs w:val="20"/>
          <w:lang w:val="es-AR"/>
        </w:rPr>
        <w:t xml:space="preserve"> una vinculación que permita visibilizar de </w:t>
      </w:r>
      <w:r w:rsidR="00DC7F40" w:rsidRPr="00F55AA9">
        <w:rPr>
          <w:sz w:val="20"/>
          <w:szCs w:val="20"/>
          <w:lang w:val="es-AR"/>
        </w:rPr>
        <w:t>qué</w:t>
      </w:r>
      <w:r w:rsidR="00317C2C" w:rsidRPr="00F55AA9">
        <w:rPr>
          <w:sz w:val="20"/>
          <w:szCs w:val="20"/>
          <w:lang w:val="es-AR"/>
        </w:rPr>
        <w:t xml:space="preserve"> manera </w:t>
      </w:r>
      <w:r w:rsidR="00D15E4C" w:rsidRPr="00F55AA9">
        <w:rPr>
          <w:sz w:val="20"/>
          <w:szCs w:val="20"/>
          <w:lang w:val="es-AR"/>
        </w:rPr>
        <w:t>se materializaría las presuntas vulneraciones en la pers</w:t>
      </w:r>
      <w:r w:rsidR="00A5718A" w:rsidRPr="00F55AA9">
        <w:rPr>
          <w:sz w:val="20"/>
          <w:szCs w:val="20"/>
          <w:lang w:val="es-AR"/>
        </w:rPr>
        <w:t>ona de la señora Rosa Elena Pariahuachi.</w:t>
      </w:r>
      <w:r w:rsidR="00C73AA0" w:rsidRPr="00F55AA9">
        <w:rPr>
          <w:sz w:val="20"/>
          <w:szCs w:val="20"/>
          <w:lang w:val="es-AR"/>
        </w:rPr>
        <w:t xml:space="preserve"> Sumado a lo anterior, el Estado aduce </w:t>
      </w:r>
      <w:r w:rsidR="00DF66FA" w:rsidRPr="00F55AA9">
        <w:rPr>
          <w:sz w:val="20"/>
          <w:szCs w:val="20"/>
          <w:lang w:val="es-AR"/>
        </w:rPr>
        <w:t xml:space="preserve">que la Sra. Pariahuachi no agotó los recursos internos al </w:t>
      </w:r>
      <w:r w:rsidR="00C61419" w:rsidRPr="00F55AA9">
        <w:rPr>
          <w:sz w:val="20"/>
          <w:szCs w:val="20"/>
          <w:lang w:val="es-AR"/>
        </w:rPr>
        <w:t xml:space="preserve">no </w:t>
      </w:r>
      <w:r w:rsidR="00DF66FA" w:rsidRPr="00F55AA9">
        <w:rPr>
          <w:sz w:val="20"/>
          <w:szCs w:val="20"/>
          <w:lang w:val="es-AR"/>
        </w:rPr>
        <w:t xml:space="preserve">haber interpuesto, </w:t>
      </w:r>
      <w:r w:rsidR="00C61419" w:rsidRPr="00F55AA9">
        <w:rPr>
          <w:sz w:val="20"/>
          <w:szCs w:val="20"/>
          <w:lang w:val="es-AR"/>
        </w:rPr>
        <w:t xml:space="preserve">en nombre propio y antes de recurrir </w:t>
      </w:r>
      <w:r w:rsidR="00C73AA0" w:rsidRPr="00F55AA9">
        <w:rPr>
          <w:sz w:val="20"/>
          <w:szCs w:val="20"/>
          <w:lang w:val="es-AR"/>
        </w:rPr>
        <w:t>a la CIDH</w:t>
      </w:r>
      <w:r w:rsidR="00DF66FA" w:rsidRPr="00F55AA9">
        <w:rPr>
          <w:sz w:val="20"/>
          <w:szCs w:val="20"/>
          <w:lang w:val="es-AR"/>
        </w:rPr>
        <w:t>,</w:t>
      </w:r>
      <w:r w:rsidR="00C73AA0" w:rsidRPr="00F55AA9">
        <w:rPr>
          <w:sz w:val="20"/>
          <w:szCs w:val="20"/>
          <w:lang w:val="es-AR"/>
        </w:rPr>
        <w:t xml:space="preserve"> los recursos idóneos y efectivos</w:t>
      </w:r>
      <w:r w:rsidR="00C61419" w:rsidRPr="00F55AA9">
        <w:rPr>
          <w:sz w:val="20"/>
          <w:szCs w:val="20"/>
          <w:lang w:val="es-AR"/>
        </w:rPr>
        <w:t xml:space="preserve"> </w:t>
      </w:r>
      <w:r w:rsidR="00DF66FA" w:rsidRPr="00F55AA9">
        <w:rPr>
          <w:sz w:val="20"/>
          <w:szCs w:val="20"/>
          <w:lang w:val="es-AR"/>
        </w:rPr>
        <w:t xml:space="preserve">disponibles en </w:t>
      </w:r>
      <w:r w:rsidR="00C61419" w:rsidRPr="00F55AA9">
        <w:rPr>
          <w:sz w:val="20"/>
          <w:szCs w:val="20"/>
          <w:lang w:val="es-AR"/>
        </w:rPr>
        <w:t>la jurisdicción interna</w:t>
      </w:r>
      <w:r w:rsidR="00C73AA0" w:rsidRPr="00F55AA9">
        <w:rPr>
          <w:sz w:val="20"/>
          <w:szCs w:val="20"/>
          <w:lang w:val="es-AR"/>
        </w:rPr>
        <w:t xml:space="preserve">. </w:t>
      </w:r>
    </w:p>
    <w:p w:rsidR="00A57903" w:rsidRPr="00F55AA9" w:rsidRDefault="00034C65" w:rsidP="008325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F55AA9">
        <w:rPr>
          <w:sz w:val="20"/>
          <w:szCs w:val="20"/>
          <w:lang w:val="es-AR"/>
        </w:rPr>
        <w:t>El Estado indica que la Consti</w:t>
      </w:r>
      <w:r w:rsidR="00F42126" w:rsidRPr="00F55AA9">
        <w:rPr>
          <w:sz w:val="20"/>
          <w:szCs w:val="20"/>
          <w:lang w:val="es-AR"/>
        </w:rPr>
        <w:t>tución Política de Perú de 1993</w:t>
      </w:r>
      <w:r w:rsidRPr="00F55AA9">
        <w:rPr>
          <w:sz w:val="20"/>
          <w:szCs w:val="20"/>
          <w:lang w:val="es-AR"/>
        </w:rPr>
        <w:t xml:space="preserve"> permite que se impugne la constitucionalidad de una ley por ciertas autoridades o personas</w:t>
      </w:r>
      <w:r w:rsidR="00C12E9F" w:rsidRPr="00F55AA9">
        <w:rPr>
          <w:rStyle w:val="FootnoteReference"/>
          <w:sz w:val="20"/>
          <w:szCs w:val="20"/>
          <w:lang w:val="es-ES"/>
        </w:rPr>
        <w:footnoteReference w:id="4"/>
      </w:r>
      <w:r w:rsidR="002305A0" w:rsidRPr="00F55AA9">
        <w:rPr>
          <w:sz w:val="20"/>
          <w:szCs w:val="20"/>
          <w:lang w:val="es-AR"/>
        </w:rPr>
        <w:t>,</w:t>
      </w:r>
      <w:r w:rsidR="00F42126" w:rsidRPr="00F55AA9">
        <w:rPr>
          <w:sz w:val="20"/>
          <w:szCs w:val="20"/>
          <w:lang w:val="es-AR"/>
        </w:rPr>
        <w:t xml:space="preserve"> pero destaca que</w:t>
      </w:r>
      <w:r w:rsidRPr="00F55AA9">
        <w:rPr>
          <w:sz w:val="20"/>
          <w:szCs w:val="20"/>
          <w:lang w:val="es-AR"/>
        </w:rPr>
        <w:t xml:space="preserve"> la presunta víctima no es ninguna de las autoridades </w:t>
      </w:r>
      <w:r w:rsidR="00F23211" w:rsidRPr="00F55AA9">
        <w:rPr>
          <w:sz w:val="20"/>
          <w:szCs w:val="20"/>
          <w:lang w:val="es-AR"/>
        </w:rPr>
        <w:t>mencionadas ni formó</w:t>
      </w:r>
      <w:r w:rsidRPr="00F55AA9">
        <w:rPr>
          <w:sz w:val="20"/>
          <w:szCs w:val="20"/>
          <w:lang w:val="es-AR"/>
        </w:rPr>
        <w:t xml:space="preserve"> parte de alguna iniciativa ciudadana que impugnara la mencionada ley.</w:t>
      </w:r>
      <w:r w:rsidR="00C73AA0" w:rsidRPr="00F55AA9">
        <w:rPr>
          <w:sz w:val="20"/>
          <w:szCs w:val="20"/>
          <w:lang w:val="es-AR"/>
        </w:rPr>
        <w:t xml:space="preserve"> </w:t>
      </w:r>
      <w:r w:rsidR="00340E76" w:rsidRPr="00F55AA9">
        <w:rPr>
          <w:sz w:val="20"/>
          <w:szCs w:val="20"/>
          <w:lang w:val="es-AR"/>
        </w:rPr>
        <w:t>S</w:t>
      </w:r>
      <w:r w:rsidR="00C73AA0" w:rsidRPr="00F55AA9">
        <w:rPr>
          <w:sz w:val="20"/>
          <w:szCs w:val="20"/>
          <w:lang w:val="es-AR"/>
        </w:rPr>
        <w:t xml:space="preserve">eñala que el artículo 200.2 de la Constitución Política contempla la Acción de Amparo como una de las garantías constitucionales que procede contra el hecho u omisión, por parte de cualquier autoridad, funcionario o persona, que vulnera o amenaza derechos tales como el de igualdad y no ser discriminado, el derecho al trabajo, entre otros reconocidos en la Constitución. </w:t>
      </w:r>
      <w:r w:rsidR="00E74440" w:rsidRPr="00F55AA9">
        <w:rPr>
          <w:sz w:val="20"/>
          <w:szCs w:val="20"/>
          <w:lang w:val="es-AR"/>
        </w:rPr>
        <w:t>Asimismo</w:t>
      </w:r>
      <w:r w:rsidR="00C73AA0" w:rsidRPr="00F55AA9">
        <w:rPr>
          <w:sz w:val="20"/>
          <w:szCs w:val="20"/>
          <w:lang w:val="es-AR"/>
        </w:rPr>
        <w:t xml:space="preserve">, el artículo 37 del Código Procesal Constitucional contempla los derechos cuya protección puede ser alegada en el marco de un proceso de amparo. No obstante, la </w:t>
      </w:r>
      <w:r w:rsidR="006D5BCC" w:rsidRPr="00F55AA9">
        <w:rPr>
          <w:sz w:val="20"/>
          <w:szCs w:val="20"/>
          <w:lang w:val="es-AR"/>
        </w:rPr>
        <w:t xml:space="preserve">presunta víctima </w:t>
      </w:r>
      <w:r w:rsidR="00C73AA0" w:rsidRPr="00F55AA9">
        <w:rPr>
          <w:sz w:val="20"/>
          <w:szCs w:val="20"/>
          <w:lang w:val="es-AR"/>
        </w:rPr>
        <w:t xml:space="preserve">decidió no acudir al mismo a pesar de que con ello hubiera sido posible que el órgano jurisdiccional nacional conozca y examine la situación calificada como </w:t>
      </w:r>
      <w:r w:rsidR="00BD0EB7" w:rsidRPr="00F55AA9">
        <w:rPr>
          <w:sz w:val="20"/>
          <w:szCs w:val="20"/>
          <w:lang w:val="es-AR"/>
        </w:rPr>
        <w:t>vulneradora</w:t>
      </w:r>
      <w:r w:rsidR="00C73AA0" w:rsidRPr="00F55AA9">
        <w:rPr>
          <w:sz w:val="20"/>
          <w:szCs w:val="20"/>
          <w:lang w:val="es-AR"/>
        </w:rPr>
        <w:t xml:space="preserve"> por parte de la señora Pariahuachi.</w:t>
      </w:r>
      <w:r w:rsidR="006D5BCC" w:rsidRPr="00F55AA9">
        <w:rPr>
          <w:sz w:val="20"/>
          <w:szCs w:val="20"/>
          <w:lang w:val="es-AR"/>
        </w:rPr>
        <w:t xml:space="preserve"> Aduce que la presunta víctima omitió presentar in</w:t>
      </w:r>
      <w:r w:rsidR="006D1319" w:rsidRPr="00F55AA9">
        <w:rPr>
          <w:sz w:val="20"/>
          <w:szCs w:val="20"/>
          <w:lang w:val="es-AR"/>
        </w:rPr>
        <w:t>formación acerca de su cuestionamiento</w:t>
      </w:r>
      <w:r w:rsidR="006D5BCC" w:rsidRPr="00F55AA9">
        <w:rPr>
          <w:sz w:val="20"/>
          <w:szCs w:val="20"/>
          <w:lang w:val="es-AR"/>
        </w:rPr>
        <w:t>, a través de un proceso laboral espec</w:t>
      </w:r>
      <w:r w:rsidR="006D1319" w:rsidRPr="00F55AA9">
        <w:rPr>
          <w:sz w:val="20"/>
          <w:szCs w:val="20"/>
          <w:lang w:val="es-AR"/>
        </w:rPr>
        <w:t>í</w:t>
      </w:r>
      <w:r w:rsidR="006D5BCC" w:rsidRPr="00F55AA9">
        <w:rPr>
          <w:sz w:val="20"/>
          <w:szCs w:val="20"/>
          <w:lang w:val="es-AR"/>
        </w:rPr>
        <w:t xml:space="preserve">fico </w:t>
      </w:r>
      <w:r w:rsidR="00F5473C" w:rsidRPr="00F55AA9">
        <w:rPr>
          <w:sz w:val="20"/>
          <w:szCs w:val="20"/>
          <w:lang w:val="es-AR"/>
        </w:rPr>
        <w:t>respecto a</w:t>
      </w:r>
      <w:r w:rsidR="006D1319" w:rsidRPr="00F55AA9">
        <w:rPr>
          <w:sz w:val="20"/>
          <w:szCs w:val="20"/>
          <w:lang w:val="es-AR"/>
        </w:rPr>
        <w:t xml:space="preserve"> </w:t>
      </w:r>
      <w:r w:rsidR="006D5BCC" w:rsidRPr="00F55AA9">
        <w:rPr>
          <w:sz w:val="20"/>
          <w:szCs w:val="20"/>
          <w:lang w:val="es-AR"/>
        </w:rPr>
        <w:t xml:space="preserve">los derechos </w:t>
      </w:r>
      <w:r w:rsidR="006D1319" w:rsidRPr="00F55AA9">
        <w:rPr>
          <w:sz w:val="20"/>
          <w:szCs w:val="20"/>
          <w:lang w:val="es-AR"/>
        </w:rPr>
        <w:t>que</w:t>
      </w:r>
      <w:r w:rsidR="00F5473C" w:rsidRPr="00F55AA9">
        <w:rPr>
          <w:sz w:val="20"/>
          <w:szCs w:val="20"/>
          <w:lang w:val="es-AR"/>
        </w:rPr>
        <w:t>,</w:t>
      </w:r>
      <w:r w:rsidR="006D1319" w:rsidRPr="00F55AA9">
        <w:rPr>
          <w:sz w:val="20"/>
          <w:szCs w:val="20"/>
          <w:lang w:val="es-AR"/>
        </w:rPr>
        <w:t xml:space="preserve"> </w:t>
      </w:r>
      <w:r w:rsidR="006D5BCC" w:rsidRPr="00F55AA9">
        <w:rPr>
          <w:sz w:val="20"/>
          <w:szCs w:val="20"/>
          <w:lang w:val="es-AR"/>
        </w:rPr>
        <w:t>como trabajadora rural</w:t>
      </w:r>
      <w:r w:rsidR="00F5473C" w:rsidRPr="00F55AA9">
        <w:rPr>
          <w:sz w:val="20"/>
          <w:szCs w:val="20"/>
          <w:lang w:val="es-AR"/>
        </w:rPr>
        <w:t>,</w:t>
      </w:r>
      <w:r w:rsidR="006D5BCC" w:rsidRPr="00F55AA9">
        <w:rPr>
          <w:sz w:val="20"/>
          <w:szCs w:val="20"/>
          <w:lang w:val="es-AR"/>
        </w:rPr>
        <w:t xml:space="preserve"> </w:t>
      </w:r>
      <w:r w:rsidR="006D1319" w:rsidRPr="00F55AA9">
        <w:rPr>
          <w:sz w:val="20"/>
          <w:szCs w:val="20"/>
          <w:lang w:val="es-AR"/>
        </w:rPr>
        <w:t xml:space="preserve">consideraba vulnerados a efectos de </w:t>
      </w:r>
      <w:r w:rsidR="006D5BCC" w:rsidRPr="00F55AA9">
        <w:rPr>
          <w:sz w:val="20"/>
          <w:szCs w:val="20"/>
          <w:lang w:val="es-AR"/>
        </w:rPr>
        <w:t>no ser discriminada en aplicación a la Ley.</w:t>
      </w:r>
    </w:p>
    <w:p w:rsidR="005041F0" w:rsidRPr="00F55AA9" w:rsidRDefault="0042347A" w:rsidP="008325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F55AA9">
        <w:rPr>
          <w:sz w:val="20"/>
          <w:szCs w:val="20"/>
          <w:lang w:val="es-AR"/>
        </w:rPr>
        <w:t xml:space="preserve">Con respecto a la competencia </w:t>
      </w:r>
      <w:r w:rsidRPr="00F55AA9">
        <w:rPr>
          <w:i/>
          <w:sz w:val="20"/>
          <w:szCs w:val="20"/>
          <w:lang w:val="es-AR"/>
        </w:rPr>
        <w:t>ratione personae</w:t>
      </w:r>
      <w:r w:rsidR="005041F0" w:rsidRPr="00F55AA9">
        <w:rPr>
          <w:sz w:val="20"/>
          <w:szCs w:val="20"/>
          <w:lang w:val="es-AR"/>
        </w:rPr>
        <w:t>,</w:t>
      </w:r>
      <w:r w:rsidR="00BC4F75" w:rsidRPr="00F55AA9">
        <w:rPr>
          <w:sz w:val="20"/>
          <w:szCs w:val="20"/>
          <w:lang w:val="es-AR"/>
        </w:rPr>
        <w:t xml:space="preserve"> </w:t>
      </w:r>
      <w:r w:rsidR="005D691B" w:rsidRPr="00F55AA9">
        <w:rPr>
          <w:sz w:val="20"/>
          <w:szCs w:val="20"/>
          <w:lang w:val="es-AR"/>
        </w:rPr>
        <w:t xml:space="preserve">el Estado aduce falta de competencia de la CIDH para analizar </w:t>
      </w:r>
      <w:r w:rsidR="00BC4F75" w:rsidRPr="00F55AA9">
        <w:rPr>
          <w:sz w:val="20"/>
          <w:szCs w:val="20"/>
          <w:lang w:val="es-AR"/>
        </w:rPr>
        <w:t>derechos laborales, previstos y protegidos en el Protocolo Adicional a la Convención Americana sobre Derechos Económicos, Sociales y Culturales, “Pacto de San Salvador”, pero que no pueden ser objeto del sistema de peticiones</w:t>
      </w:r>
      <w:r w:rsidR="00A57903" w:rsidRPr="00F55AA9">
        <w:rPr>
          <w:sz w:val="20"/>
          <w:szCs w:val="20"/>
          <w:lang w:val="es-AR"/>
        </w:rPr>
        <w:t xml:space="preserve">. </w:t>
      </w:r>
      <w:r w:rsidR="002305A0" w:rsidRPr="00F55AA9">
        <w:rPr>
          <w:sz w:val="20"/>
          <w:szCs w:val="20"/>
          <w:lang w:val="es-AR"/>
        </w:rPr>
        <w:t xml:space="preserve">Sostiene </w:t>
      </w:r>
      <w:r w:rsidR="007316CA" w:rsidRPr="00F55AA9">
        <w:rPr>
          <w:sz w:val="20"/>
          <w:szCs w:val="20"/>
          <w:lang w:val="es-AR"/>
        </w:rPr>
        <w:t>que</w:t>
      </w:r>
      <w:r w:rsidR="00A57903" w:rsidRPr="00F55AA9">
        <w:rPr>
          <w:sz w:val="20"/>
          <w:szCs w:val="20"/>
          <w:lang w:val="es-AR"/>
        </w:rPr>
        <w:t xml:space="preserve"> según el artículo 19.6 del Protocolo anteriormente mencionado no se permite</w:t>
      </w:r>
      <w:r w:rsidR="00D01B47" w:rsidRPr="00F55AA9">
        <w:rPr>
          <w:sz w:val="20"/>
          <w:szCs w:val="20"/>
          <w:lang w:val="es-AR"/>
        </w:rPr>
        <w:t xml:space="preserve"> discutir</w:t>
      </w:r>
      <w:r w:rsidR="00A57903" w:rsidRPr="00F55AA9">
        <w:rPr>
          <w:sz w:val="20"/>
          <w:szCs w:val="20"/>
          <w:lang w:val="es-AR"/>
        </w:rPr>
        <w:t xml:space="preserve"> bajo el sistema de comunicaciones individuales discutir ese derecho ante la Comisión Interamericana, motivo por el cual se deduce esta excepción de incompetencia en razón de la materia.</w:t>
      </w:r>
      <w:r w:rsidR="00BC4F75" w:rsidRPr="00F55AA9">
        <w:rPr>
          <w:sz w:val="20"/>
          <w:szCs w:val="20"/>
          <w:lang w:val="es-AR"/>
        </w:rPr>
        <w:t xml:space="preserve"> </w:t>
      </w:r>
      <w:r w:rsidR="00A57903" w:rsidRPr="00F55AA9">
        <w:rPr>
          <w:sz w:val="20"/>
          <w:szCs w:val="20"/>
          <w:lang w:val="es-AR"/>
        </w:rPr>
        <w:t>Adicional</w:t>
      </w:r>
      <w:r w:rsidR="002305A0" w:rsidRPr="00F55AA9">
        <w:rPr>
          <w:sz w:val="20"/>
          <w:szCs w:val="20"/>
          <w:lang w:val="es-AR"/>
        </w:rPr>
        <w:t>mente</w:t>
      </w:r>
      <w:r w:rsidR="00A57903" w:rsidRPr="00F55AA9">
        <w:rPr>
          <w:sz w:val="20"/>
          <w:szCs w:val="20"/>
          <w:lang w:val="es-AR"/>
        </w:rPr>
        <w:t xml:space="preserve"> a las excepciones señaladas, el Estado </w:t>
      </w:r>
      <w:r w:rsidR="002305A0" w:rsidRPr="00F55AA9">
        <w:rPr>
          <w:sz w:val="20"/>
          <w:szCs w:val="20"/>
          <w:lang w:val="es-AR"/>
        </w:rPr>
        <w:t xml:space="preserve">peruano </w:t>
      </w:r>
      <w:r w:rsidR="00A57903" w:rsidRPr="00F55AA9">
        <w:rPr>
          <w:sz w:val="20"/>
          <w:szCs w:val="20"/>
          <w:lang w:val="es-AR"/>
        </w:rPr>
        <w:t>alega el incumplimiento del requisito obligatorio relativo a la interposición y al agotamiento de recursos internos</w:t>
      </w:r>
      <w:r w:rsidR="00BC4F75" w:rsidRPr="00F55AA9">
        <w:rPr>
          <w:sz w:val="20"/>
          <w:szCs w:val="20"/>
          <w:lang w:val="es-AR"/>
        </w:rPr>
        <w:t xml:space="preserve"> </w:t>
      </w:r>
      <w:r w:rsidR="005041F0" w:rsidRPr="00F55AA9">
        <w:rPr>
          <w:sz w:val="20"/>
          <w:szCs w:val="20"/>
          <w:lang w:val="es-AR"/>
        </w:rPr>
        <w:t>y la no configuración de violac</w:t>
      </w:r>
      <w:r w:rsidR="0081645A" w:rsidRPr="00F55AA9">
        <w:rPr>
          <w:sz w:val="20"/>
          <w:szCs w:val="20"/>
          <w:lang w:val="es-AR"/>
        </w:rPr>
        <w:t>ión</w:t>
      </w:r>
      <w:r w:rsidR="005041F0" w:rsidRPr="00F55AA9">
        <w:rPr>
          <w:sz w:val="20"/>
          <w:szCs w:val="20"/>
          <w:lang w:val="es-AR"/>
        </w:rPr>
        <w:t xml:space="preserve"> de derechos alegados</w:t>
      </w:r>
      <w:r w:rsidR="007316CA" w:rsidRPr="00F55AA9">
        <w:rPr>
          <w:sz w:val="20"/>
          <w:szCs w:val="20"/>
          <w:lang w:val="es-AR"/>
        </w:rPr>
        <w:t xml:space="preserve"> respecto de la presunta víctima</w:t>
      </w:r>
      <w:r w:rsidR="005041F0" w:rsidRPr="00F55AA9">
        <w:rPr>
          <w:sz w:val="20"/>
          <w:szCs w:val="20"/>
          <w:lang w:val="es-AR"/>
        </w:rPr>
        <w:t xml:space="preserve">. </w:t>
      </w:r>
      <w:r w:rsidR="00C12E9F" w:rsidRPr="00F55AA9">
        <w:rPr>
          <w:sz w:val="20"/>
          <w:szCs w:val="20"/>
          <w:lang w:val="es-AR"/>
        </w:rPr>
        <w:t xml:space="preserve">Agrega que los peticionarios buscan </w:t>
      </w:r>
      <w:r w:rsidR="00D01B47" w:rsidRPr="00F55AA9">
        <w:rPr>
          <w:sz w:val="20"/>
          <w:szCs w:val="20"/>
          <w:lang w:val="es-AR"/>
        </w:rPr>
        <w:t xml:space="preserve">que </w:t>
      </w:r>
      <w:r w:rsidR="00AE57B0" w:rsidRPr="00F55AA9">
        <w:rPr>
          <w:sz w:val="20"/>
          <w:szCs w:val="20"/>
          <w:lang w:val="es-AR"/>
        </w:rPr>
        <w:t xml:space="preserve">la CIDH </w:t>
      </w:r>
      <w:r w:rsidR="006D5BCC" w:rsidRPr="00F55AA9">
        <w:rPr>
          <w:sz w:val="20"/>
          <w:szCs w:val="20"/>
          <w:lang w:val="es-AR"/>
        </w:rPr>
        <w:t>evalúe</w:t>
      </w:r>
      <w:r w:rsidR="00AE57B0" w:rsidRPr="00F55AA9">
        <w:rPr>
          <w:sz w:val="20"/>
          <w:szCs w:val="20"/>
          <w:lang w:val="es-AR"/>
        </w:rPr>
        <w:t xml:space="preserve"> en forma general ciertas obligaciones internacionales y su aplicación en abstracto respecto a la Sra. Pariahuachi y todas las personas a las que se le</w:t>
      </w:r>
      <w:r w:rsidR="00D01B47" w:rsidRPr="00F55AA9">
        <w:rPr>
          <w:sz w:val="20"/>
          <w:szCs w:val="20"/>
          <w:lang w:val="es-AR"/>
        </w:rPr>
        <w:t>s</w:t>
      </w:r>
      <w:r w:rsidR="00AE57B0" w:rsidRPr="00F55AA9">
        <w:rPr>
          <w:sz w:val="20"/>
          <w:szCs w:val="20"/>
          <w:lang w:val="es-AR"/>
        </w:rPr>
        <w:t xml:space="preserve"> aplique dicha norma</w:t>
      </w:r>
      <w:r w:rsidR="00D524BA" w:rsidRPr="00F55AA9">
        <w:rPr>
          <w:sz w:val="20"/>
          <w:szCs w:val="20"/>
          <w:lang w:val="es-AR"/>
        </w:rPr>
        <w:t>.</w:t>
      </w:r>
    </w:p>
    <w:p w:rsidR="00A57903" w:rsidRPr="004E58FA" w:rsidRDefault="003239B8" w:rsidP="0083258B">
      <w:pPr>
        <w:spacing w:before="240" w:after="240"/>
        <w:ind w:firstLine="720"/>
        <w:jc w:val="both"/>
        <w:rPr>
          <w:rFonts w:asciiTheme="majorHAnsi" w:eastAsia="Cambria" w:hAnsiTheme="majorHAnsi" w:cs="Cambria"/>
          <w:b/>
          <w:bCs/>
          <w:color w:val="000000"/>
          <w:sz w:val="20"/>
          <w:szCs w:val="20"/>
          <w:u w:color="000000"/>
          <w:lang w:val="es-ES" w:eastAsia="es-ES"/>
        </w:rPr>
      </w:pPr>
      <w:r w:rsidRPr="004E58FA">
        <w:rPr>
          <w:rFonts w:asciiTheme="majorHAnsi" w:eastAsia="Cambria" w:hAnsiTheme="majorHAnsi" w:cs="Cambria"/>
          <w:b/>
          <w:bCs/>
          <w:color w:val="000000"/>
          <w:sz w:val="20"/>
          <w:szCs w:val="20"/>
          <w:u w:color="000000"/>
          <w:lang w:val="es-ES" w:eastAsia="es-ES"/>
        </w:rPr>
        <w:t>VI.</w:t>
      </w:r>
      <w:r w:rsidRPr="004E58FA">
        <w:rPr>
          <w:rFonts w:asciiTheme="majorHAnsi" w:eastAsia="Cambria" w:hAnsiTheme="majorHAnsi" w:cs="Cambria"/>
          <w:b/>
          <w:bCs/>
          <w:color w:val="000000"/>
          <w:sz w:val="20"/>
          <w:szCs w:val="20"/>
          <w:u w:color="000000"/>
          <w:lang w:val="es-ES" w:eastAsia="es-ES"/>
        </w:rPr>
        <w:tab/>
      </w:r>
      <w:r w:rsidR="004A6A54" w:rsidRPr="004E58FA">
        <w:rPr>
          <w:rFonts w:asciiTheme="majorHAnsi" w:hAnsiTheme="majorHAnsi"/>
          <w:b/>
          <w:bCs/>
          <w:sz w:val="20"/>
          <w:szCs w:val="20"/>
          <w:lang w:val="es-ES_tradnl"/>
        </w:rPr>
        <w:t xml:space="preserve">ANÁLISIS </w:t>
      </w:r>
      <w:r w:rsidR="00786B43">
        <w:rPr>
          <w:rFonts w:asciiTheme="majorHAnsi" w:hAnsiTheme="majorHAnsi"/>
          <w:b/>
          <w:bCs/>
          <w:sz w:val="20"/>
          <w:szCs w:val="20"/>
          <w:lang w:val="es-ES_tradnl"/>
        </w:rPr>
        <w:t>SOBRE</w:t>
      </w:r>
      <w:r w:rsidR="00786B43" w:rsidRPr="004E58FA">
        <w:rPr>
          <w:rFonts w:asciiTheme="majorHAnsi" w:hAnsiTheme="majorHAnsi"/>
          <w:b/>
          <w:bCs/>
          <w:sz w:val="20"/>
          <w:szCs w:val="20"/>
          <w:lang w:val="es-ES_tradnl"/>
        </w:rPr>
        <w:t xml:space="preserve"> </w:t>
      </w:r>
      <w:r w:rsidR="001A0205" w:rsidRPr="004E58FA">
        <w:rPr>
          <w:rFonts w:asciiTheme="majorHAnsi" w:hAnsiTheme="majorHAnsi"/>
          <w:b/>
          <w:bCs/>
          <w:sz w:val="20"/>
          <w:szCs w:val="20"/>
          <w:lang w:val="es-ES_tradnl"/>
        </w:rPr>
        <w:t>ADMISIBILIDAD</w:t>
      </w:r>
      <w:r w:rsidR="00C21FEF" w:rsidRPr="004E58FA">
        <w:rPr>
          <w:rFonts w:asciiTheme="majorHAnsi" w:eastAsia="Cambria" w:hAnsiTheme="majorHAnsi" w:cs="Cambria"/>
          <w:b/>
          <w:bCs/>
          <w:color w:val="000000"/>
          <w:sz w:val="20"/>
          <w:szCs w:val="20"/>
          <w:u w:color="000000"/>
          <w:lang w:val="es-ES" w:eastAsia="es-ES"/>
        </w:rPr>
        <w:t xml:space="preserve"> </w:t>
      </w:r>
    </w:p>
    <w:p w:rsidR="00C63BFC" w:rsidRPr="001663D5" w:rsidRDefault="00CC26F4" w:rsidP="00B50614">
      <w:pPr>
        <w:pStyle w:val="ListParagraph"/>
        <w:numPr>
          <w:ilvl w:val="0"/>
          <w:numId w:val="57"/>
        </w:numPr>
        <w:spacing w:before="240" w:after="240"/>
        <w:jc w:val="both"/>
        <w:rPr>
          <w:rFonts w:asciiTheme="majorHAnsi" w:hAnsiTheme="majorHAnsi"/>
          <w:b/>
          <w:bCs/>
          <w:i/>
          <w:sz w:val="20"/>
          <w:szCs w:val="20"/>
          <w:lang w:val="es-ES"/>
        </w:rPr>
      </w:pPr>
      <w:r w:rsidRPr="001663D5">
        <w:rPr>
          <w:rFonts w:asciiTheme="majorHAnsi" w:hAnsiTheme="majorHAnsi"/>
          <w:b/>
          <w:bCs/>
          <w:sz w:val="20"/>
          <w:szCs w:val="20"/>
          <w:lang w:val="es-ES"/>
        </w:rPr>
        <w:t xml:space="preserve">Consideraciones </w:t>
      </w:r>
      <w:r w:rsidR="00D524BA" w:rsidRPr="001663D5">
        <w:rPr>
          <w:rFonts w:asciiTheme="majorHAnsi" w:hAnsiTheme="majorHAnsi"/>
          <w:b/>
          <w:bCs/>
          <w:sz w:val="20"/>
          <w:szCs w:val="20"/>
          <w:lang w:val="es-ES"/>
        </w:rPr>
        <w:t xml:space="preserve">respecto a </w:t>
      </w:r>
      <w:r w:rsidRPr="001663D5">
        <w:rPr>
          <w:rFonts w:asciiTheme="majorHAnsi" w:hAnsiTheme="majorHAnsi"/>
          <w:b/>
          <w:bCs/>
          <w:sz w:val="20"/>
          <w:szCs w:val="20"/>
          <w:lang w:val="es-ES"/>
        </w:rPr>
        <w:t xml:space="preserve">la competencia </w:t>
      </w:r>
      <w:r w:rsidR="00D524BA" w:rsidRPr="001663D5">
        <w:rPr>
          <w:rFonts w:asciiTheme="majorHAnsi" w:hAnsiTheme="majorHAnsi"/>
          <w:b/>
          <w:bCs/>
          <w:i/>
          <w:sz w:val="20"/>
          <w:szCs w:val="20"/>
          <w:lang w:val="es-ES"/>
        </w:rPr>
        <w:t>ratione personae</w:t>
      </w:r>
    </w:p>
    <w:p w:rsidR="00EB07FF" w:rsidRPr="00EB07FF" w:rsidRDefault="005D44A4" w:rsidP="00EB07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EB07FF">
        <w:rPr>
          <w:sz w:val="20"/>
          <w:szCs w:val="20"/>
          <w:lang w:val="es-AR"/>
        </w:rPr>
        <w:t xml:space="preserve">En la petición se nombra como presunta víctima a la Sra. Rosa Elena Pariahuachi Palacios y se refiere también al grupo de “los trabajadores del sector agrario sujetos al régimen laboral especial” como un conjunto de </w:t>
      </w:r>
      <w:r w:rsidR="006F3E3C" w:rsidRPr="00EB07FF">
        <w:rPr>
          <w:sz w:val="20"/>
          <w:szCs w:val="20"/>
          <w:lang w:val="es-AR"/>
        </w:rPr>
        <w:t xml:space="preserve">presuntas </w:t>
      </w:r>
      <w:r w:rsidRPr="00EB07FF">
        <w:rPr>
          <w:sz w:val="20"/>
          <w:szCs w:val="20"/>
          <w:lang w:val="es-AR"/>
        </w:rPr>
        <w:t xml:space="preserve">víctimas. </w:t>
      </w:r>
      <w:r w:rsidR="00EB07FF" w:rsidRPr="00EB07FF">
        <w:rPr>
          <w:sz w:val="20"/>
          <w:szCs w:val="20"/>
          <w:lang w:val="es-ES"/>
        </w:rPr>
        <w:t xml:space="preserve">El Estado objeta </w:t>
      </w:r>
      <w:r w:rsidR="00EB07FF" w:rsidRPr="00EB07FF">
        <w:rPr>
          <w:sz w:val="20"/>
          <w:szCs w:val="20"/>
          <w:lang w:val="es-AR"/>
        </w:rPr>
        <w:t xml:space="preserve">la competencia </w:t>
      </w:r>
      <w:r w:rsidR="00EB07FF" w:rsidRPr="00EB07FF">
        <w:rPr>
          <w:i/>
          <w:sz w:val="20"/>
          <w:szCs w:val="20"/>
          <w:lang w:val="es-AR"/>
        </w:rPr>
        <w:t>ratione personae</w:t>
      </w:r>
      <w:r w:rsidR="00EB07FF" w:rsidRPr="00EB07FF">
        <w:rPr>
          <w:sz w:val="20"/>
          <w:szCs w:val="20"/>
          <w:lang w:val="es-AR"/>
        </w:rPr>
        <w:t xml:space="preserve"> respecto de las presuntas </w:t>
      </w:r>
      <w:r w:rsidR="00EB07FF" w:rsidRPr="00EB07FF">
        <w:rPr>
          <w:sz w:val="20"/>
          <w:szCs w:val="20"/>
          <w:lang w:val="es-AR"/>
        </w:rPr>
        <w:lastRenderedPageBreak/>
        <w:t>víctimas identificadas como un número aún no determinado de trabajadores y trabajadoras sujetos al régimen laboral agrario sosteniendo que el colectivo de personas es abstracto</w:t>
      </w:r>
      <w:r w:rsidR="00EB07FF" w:rsidRPr="00EB07FF">
        <w:rPr>
          <w:sz w:val="20"/>
          <w:szCs w:val="20"/>
          <w:lang w:val="es-ES"/>
        </w:rPr>
        <w:t xml:space="preserve">. </w:t>
      </w:r>
    </w:p>
    <w:p w:rsidR="00C63BFC" w:rsidRPr="00B818AF" w:rsidRDefault="005D44A4" w:rsidP="00E765B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B818AF">
        <w:rPr>
          <w:sz w:val="20"/>
          <w:szCs w:val="20"/>
          <w:lang w:val="es-ES"/>
        </w:rPr>
        <w:t>Sobre los referidos alegatos, la Comisión identifica que el texto del artículo 44 de la Convención que habilita a “cualquier persona o grupo de personas, o entidad no gubernamental [...] a presentar a la Comisión peticiones que contengan denuncias o quejas de violación […] por un Estado parte” no contiene limitaciones de competencia en términos de la identificación “plena y total” de las personas afectadas por la violación, sino que permite el examen de violaciones a los derechos humanos que –por sus características- pueden afectar a una persona o grupo de personas determinadas pero que no necesariamente se encuentran plenamente identificadas</w:t>
      </w:r>
      <w:r w:rsidR="001459CD" w:rsidRPr="00B818AF">
        <w:rPr>
          <w:rStyle w:val="FootnoteReference"/>
          <w:sz w:val="20"/>
          <w:szCs w:val="20"/>
          <w:lang w:val="es-ES"/>
        </w:rPr>
        <w:footnoteReference w:id="5"/>
      </w:r>
      <w:r w:rsidRPr="00B818AF">
        <w:rPr>
          <w:sz w:val="20"/>
          <w:szCs w:val="20"/>
          <w:lang w:val="es-ES"/>
        </w:rPr>
        <w:t xml:space="preserve">. En el presente caso, si bien la parte peticionaria ha individualizado a </w:t>
      </w:r>
      <w:r w:rsidR="00EB07FF" w:rsidRPr="00B818AF">
        <w:rPr>
          <w:sz w:val="20"/>
          <w:szCs w:val="20"/>
          <w:lang w:val="es-ES"/>
        </w:rPr>
        <w:t xml:space="preserve">una </w:t>
      </w:r>
      <w:r w:rsidRPr="00B818AF">
        <w:rPr>
          <w:sz w:val="20"/>
          <w:szCs w:val="20"/>
          <w:lang w:val="es-ES"/>
        </w:rPr>
        <w:t>presunta víctima a lo largo del trámite</w:t>
      </w:r>
      <w:r w:rsidR="00EB07FF" w:rsidRPr="00B818AF">
        <w:rPr>
          <w:sz w:val="20"/>
          <w:szCs w:val="20"/>
          <w:lang w:val="es-ES"/>
        </w:rPr>
        <w:t xml:space="preserve"> (</w:t>
      </w:r>
      <w:r w:rsidR="00EB07FF" w:rsidRPr="00B818AF">
        <w:rPr>
          <w:sz w:val="20"/>
          <w:szCs w:val="20"/>
          <w:lang w:val="es-AR"/>
        </w:rPr>
        <w:t>Sra. Rosa Elena Pariahuachi Palacios</w:t>
      </w:r>
      <w:r w:rsidR="00EB07FF" w:rsidRPr="00B818AF">
        <w:rPr>
          <w:sz w:val="20"/>
          <w:szCs w:val="20"/>
          <w:lang w:val="es-ES"/>
        </w:rPr>
        <w:t>)</w:t>
      </w:r>
      <w:r w:rsidRPr="00B818AF">
        <w:rPr>
          <w:sz w:val="20"/>
          <w:szCs w:val="20"/>
          <w:lang w:val="es-ES"/>
        </w:rPr>
        <w:t xml:space="preserve">, la Comisión toma nota de que las dificultades planteadas respecto a la identificación de todas las presuntas víctimas, y considera </w:t>
      </w:r>
      <w:r w:rsidR="008B7A8B" w:rsidRPr="00B818AF">
        <w:rPr>
          <w:sz w:val="20"/>
          <w:szCs w:val="20"/>
          <w:lang w:val="es-AR"/>
        </w:rPr>
        <w:t xml:space="preserve">que en casos como el presente, donde los hechos denunciados dicen tener una relación con la afectación de un grupo por el hecho de pertenecer a este, el criterio de identificación de las víctimas debe ser flexible, y la identificación plena de la totalidad de víctimas será determinada </w:t>
      </w:r>
      <w:r w:rsidR="008B7A8B" w:rsidRPr="00B818AF">
        <w:rPr>
          <w:sz w:val="20"/>
          <w:szCs w:val="20"/>
          <w:lang w:val="es-ES"/>
        </w:rPr>
        <w:t xml:space="preserve">con la prueba aportada por las partes </w:t>
      </w:r>
      <w:r w:rsidR="008B7A8B" w:rsidRPr="00B818AF">
        <w:rPr>
          <w:sz w:val="20"/>
          <w:szCs w:val="20"/>
          <w:lang w:val="es-AR"/>
        </w:rPr>
        <w:t>en la etapa de fondo</w:t>
      </w:r>
      <w:r w:rsidR="008B7A8B" w:rsidRPr="00B818AF">
        <w:rPr>
          <w:sz w:val="20"/>
          <w:szCs w:val="20"/>
          <w:vertAlign w:val="superscript"/>
        </w:rPr>
        <w:footnoteReference w:id="6"/>
      </w:r>
      <w:r w:rsidR="008B7A8B" w:rsidRPr="00B818AF">
        <w:rPr>
          <w:sz w:val="20"/>
          <w:szCs w:val="20"/>
          <w:lang w:val="es-AR"/>
        </w:rPr>
        <w:t>.</w:t>
      </w:r>
    </w:p>
    <w:p w:rsidR="004107DB" w:rsidRPr="00F1415A" w:rsidRDefault="00714214" w:rsidP="00B50614">
      <w:pPr>
        <w:pStyle w:val="ListParagraph"/>
        <w:numPr>
          <w:ilvl w:val="0"/>
          <w:numId w:val="57"/>
        </w:numPr>
        <w:spacing w:before="240" w:after="240"/>
        <w:jc w:val="both"/>
        <w:rPr>
          <w:rFonts w:asciiTheme="majorHAnsi" w:hAnsiTheme="majorHAnsi"/>
          <w:b/>
          <w:lang w:val="es-ES"/>
        </w:rPr>
      </w:pPr>
      <w:r>
        <w:rPr>
          <w:rFonts w:asciiTheme="majorHAnsi" w:hAnsiTheme="majorHAnsi"/>
          <w:b/>
          <w:sz w:val="20"/>
          <w:szCs w:val="20"/>
          <w:lang w:val="es-ES"/>
        </w:rPr>
        <w:t>Agotamient</w:t>
      </w:r>
      <w:r w:rsidR="00D524BA" w:rsidRPr="00F1415A">
        <w:rPr>
          <w:rFonts w:asciiTheme="majorHAnsi" w:hAnsiTheme="majorHAnsi"/>
          <w:b/>
          <w:sz w:val="20"/>
          <w:szCs w:val="20"/>
          <w:lang w:val="es-ES"/>
        </w:rPr>
        <w:t>o de los recursos internos y plazo de presentación</w:t>
      </w:r>
      <w:r w:rsidR="001A0205" w:rsidRPr="00F1415A">
        <w:rPr>
          <w:rFonts w:asciiTheme="majorHAnsi" w:hAnsiTheme="majorHAnsi"/>
          <w:b/>
          <w:sz w:val="20"/>
          <w:szCs w:val="20"/>
          <w:lang w:val="es-ES"/>
        </w:rPr>
        <w:t xml:space="preserve"> ante la Comisión</w:t>
      </w:r>
    </w:p>
    <w:p w:rsidR="00C0562F" w:rsidRDefault="00C0562F" w:rsidP="00C0562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000000" w:themeColor="text1"/>
          <w:sz w:val="20"/>
          <w:szCs w:val="20"/>
          <w:lang w:val="es-US"/>
        </w:rPr>
      </w:pPr>
      <w:r>
        <w:rPr>
          <w:color w:val="000000" w:themeColor="text1"/>
          <w:sz w:val="20"/>
          <w:szCs w:val="20"/>
          <w:lang w:val="es-US"/>
        </w:rPr>
        <w:t xml:space="preserve">10. </w:t>
      </w:r>
      <w:r>
        <w:rPr>
          <w:color w:val="000000" w:themeColor="text1"/>
          <w:sz w:val="20"/>
          <w:szCs w:val="20"/>
          <w:lang w:val="es-US"/>
        </w:rPr>
        <w:tab/>
      </w:r>
      <w:r w:rsidR="002237A3" w:rsidRPr="00F1415A">
        <w:rPr>
          <w:color w:val="000000" w:themeColor="text1"/>
          <w:sz w:val="20"/>
          <w:szCs w:val="20"/>
          <w:lang w:val="es-US"/>
        </w:rPr>
        <w:t xml:space="preserve">Los peticionarios alegan que los recursos de jurisdicción interna aplicables fueron agotados por una acción de inconstitucionalidad interpuesta por el Colegio de Abogados de Ica contra el artículo 7.2 de la Ley N° 27360 que establece un </w:t>
      </w:r>
      <w:r w:rsidR="006C65C8" w:rsidRPr="00F1415A">
        <w:rPr>
          <w:color w:val="000000" w:themeColor="text1"/>
          <w:sz w:val="20"/>
          <w:szCs w:val="20"/>
          <w:lang w:val="es-US"/>
        </w:rPr>
        <w:t>régimen</w:t>
      </w:r>
      <w:r w:rsidR="002237A3" w:rsidRPr="00F1415A">
        <w:rPr>
          <w:color w:val="000000" w:themeColor="text1"/>
          <w:sz w:val="20"/>
          <w:szCs w:val="20"/>
          <w:lang w:val="es-US"/>
        </w:rPr>
        <w:t xml:space="preserve"> laboral especial para los trabajadores de</w:t>
      </w:r>
      <w:r w:rsidR="008F61FC" w:rsidRPr="00F1415A">
        <w:rPr>
          <w:color w:val="000000" w:themeColor="text1"/>
          <w:sz w:val="20"/>
          <w:szCs w:val="20"/>
          <w:lang w:val="es-US"/>
        </w:rPr>
        <w:t xml:space="preserve">l sector </w:t>
      </w:r>
      <w:r w:rsidR="002237A3" w:rsidRPr="00F1415A">
        <w:rPr>
          <w:color w:val="000000" w:themeColor="text1"/>
          <w:sz w:val="20"/>
          <w:szCs w:val="20"/>
          <w:lang w:val="es-US"/>
        </w:rPr>
        <w:t>agrari</w:t>
      </w:r>
      <w:r w:rsidR="008F61FC" w:rsidRPr="00F1415A">
        <w:rPr>
          <w:color w:val="000000" w:themeColor="text1"/>
          <w:sz w:val="20"/>
          <w:szCs w:val="20"/>
          <w:lang w:val="es-US"/>
        </w:rPr>
        <w:t>o</w:t>
      </w:r>
      <w:r w:rsidR="002237A3" w:rsidRPr="00F1415A">
        <w:rPr>
          <w:color w:val="000000" w:themeColor="text1"/>
          <w:sz w:val="20"/>
          <w:szCs w:val="20"/>
          <w:lang w:val="es-US"/>
        </w:rPr>
        <w:t>. El Tribunal Constitucional de</w:t>
      </w:r>
      <w:r w:rsidR="00622646" w:rsidRPr="00F1415A">
        <w:rPr>
          <w:color w:val="000000" w:themeColor="text1"/>
          <w:sz w:val="20"/>
          <w:szCs w:val="20"/>
          <w:lang w:val="es-US"/>
        </w:rPr>
        <w:t>l</w:t>
      </w:r>
      <w:r w:rsidR="002237A3" w:rsidRPr="00F1415A">
        <w:rPr>
          <w:color w:val="000000" w:themeColor="text1"/>
          <w:sz w:val="20"/>
          <w:szCs w:val="20"/>
          <w:lang w:val="es-US"/>
        </w:rPr>
        <w:t xml:space="preserve"> Perú emitió su sentencia el 21 de noviembre 2008, </w:t>
      </w:r>
      <w:r w:rsidR="00B254BC" w:rsidRPr="00F1415A">
        <w:rPr>
          <w:color w:val="000000" w:themeColor="text1"/>
          <w:sz w:val="20"/>
          <w:szCs w:val="20"/>
          <w:lang w:val="es-US"/>
        </w:rPr>
        <w:t>que</w:t>
      </w:r>
      <w:r w:rsidR="002237A3" w:rsidRPr="00F1415A">
        <w:rPr>
          <w:color w:val="000000" w:themeColor="text1"/>
          <w:sz w:val="20"/>
          <w:szCs w:val="20"/>
          <w:lang w:val="es-US"/>
        </w:rPr>
        <w:t xml:space="preserve"> fue publicada oficialmente el 2 de febrero de 2008.</w:t>
      </w:r>
    </w:p>
    <w:p w:rsidR="00C0562F" w:rsidRDefault="00C0562F" w:rsidP="00C0562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US"/>
        </w:rPr>
      </w:pPr>
      <w:r>
        <w:rPr>
          <w:color w:val="000000" w:themeColor="text1"/>
          <w:sz w:val="20"/>
          <w:szCs w:val="20"/>
          <w:lang w:val="es-US"/>
        </w:rPr>
        <w:t>11.</w:t>
      </w:r>
      <w:r>
        <w:rPr>
          <w:color w:val="000000" w:themeColor="text1"/>
          <w:sz w:val="20"/>
          <w:szCs w:val="20"/>
          <w:lang w:val="es-US"/>
        </w:rPr>
        <w:tab/>
      </w:r>
      <w:r w:rsidR="002237A3" w:rsidRPr="00C0562F">
        <w:rPr>
          <w:sz w:val="20"/>
          <w:szCs w:val="20"/>
          <w:lang w:val="es-US"/>
        </w:rPr>
        <w:t>Por su parte, el Estado alega que no hubo agotamiento de los recursos internos porque la demanda de inconstitucionalidad interpuesta no era el recurso adecuado e idóneo por el cual someter las alegaciones referidas en perjuicio de la supuesta víctima. En primer lugar, sostiene que la Señora Pariahuachi Palacios no hizo uso de los recursos internos antes de acceder al sistema interamericano de protección, ni participó en la acción interpuesta ante el Tribunal Constitucional. El Estado precisa que el artículo 203 de la Constitución Política del Perú de 1993 permite que se impugne la constitucionalidad de una ley a ciertas autoridades o personas habilitadas de forma expresa</w:t>
      </w:r>
      <w:r w:rsidR="00E12054" w:rsidRPr="00C0562F">
        <w:rPr>
          <w:rStyle w:val="FootnoteReference"/>
          <w:color w:val="000000" w:themeColor="text1"/>
          <w:sz w:val="20"/>
          <w:szCs w:val="20"/>
          <w:lang w:val="es-US"/>
        </w:rPr>
        <w:footnoteReference w:id="7"/>
      </w:r>
      <w:r w:rsidRPr="00C0562F">
        <w:rPr>
          <w:sz w:val="20"/>
          <w:szCs w:val="20"/>
          <w:lang w:val="es-US"/>
        </w:rPr>
        <w:t>,</w:t>
      </w:r>
      <w:r w:rsidR="00E12054" w:rsidRPr="00C0562F">
        <w:rPr>
          <w:sz w:val="20"/>
          <w:szCs w:val="20"/>
          <w:lang w:val="es-US"/>
        </w:rPr>
        <w:t xml:space="preserve"> y considera que</w:t>
      </w:r>
      <w:r w:rsidR="002237A3" w:rsidRPr="00C0562F">
        <w:rPr>
          <w:sz w:val="20"/>
          <w:szCs w:val="20"/>
          <w:lang w:val="es-US"/>
        </w:rPr>
        <w:t xml:space="preserve"> dado que la peticionaria no es ninguna de las autoridades mencionadas</w:t>
      </w:r>
      <w:r w:rsidR="00755AAF" w:rsidRPr="00C0562F">
        <w:rPr>
          <w:sz w:val="20"/>
          <w:szCs w:val="20"/>
          <w:lang w:val="es-US"/>
        </w:rPr>
        <w:t xml:space="preserve">, </w:t>
      </w:r>
      <w:r w:rsidR="002237A3" w:rsidRPr="00C0562F">
        <w:rPr>
          <w:sz w:val="20"/>
          <w:szCs w:val="20"/>
          <w:lang w:val="es-US"/>
        </w:rPr>
        <w:t>ni formó parte de alguna iniciativa ciudadana que impugnara la mencionada ley, no interpuso ni agotó los recursos internos.</w:t>
      </w:r>
    </w:p>
    <w:p w:rsidR="002237A3" w:rsidRPr="00C0562F" w:rsidRDefault="00C0562F" w:rsidP="00C0562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000000" w:themeColor="text1"/>
          <w:sz w:val="20"/>
          <w:szCs w:val="20"/>
          <w:lang w:val="es-US"/>
        </w:rPr>
      </w:pPr>
      <w:r>
        <w:rPr>
          <w:sz w:val="20"/>
          <w:szCs w:val="20"/>
          <w:lang w:val="es-US"/>
        </w:rPr>
        <w:t xml:space="preserve">12. </w:t>
      </w:r>
      <w:r>
        <w:rPr>
          <w:sz w:val="20"/>
          <w:szCs w:val="20"/>
          <w:lang w:val="es-US"/>
        </w:rPr>
        <w:tab/>
      </w:r>
      <w:r w:rsidR="002237A3" w:rsidRPr="00C0562F">
        <w:rPr>
          <w:color w:val="000000" w:themeColor="text1"/>
          <w:sz w:val="20"/>
          <w:szCs w:val="20"/>
          <w:lang w:val="es-US"/>
        </w:rPr>
        <w:t xml:space="preserve">En segundo lugar, el Estado considera que los recursos internos no fueron agotados porque la acción constitucional interpuesta tuvo por finalidad cuestionar la constitucionalidad en abstracto de la ley y no que se examine un acto concreto presuntamente violatorio de los derechos invocados por la presunta víctima. A este respecto, el </w:t>
      </w:r>
      <w:r w:rsidR="005C7CB7" w:rsidRPr="00C0562F">
        <w:rPr>
          <w:color w:val="000000" w:themeColor="text1"/>
          <w:sz w:val="20"/>
          <w:szCs w:val="20"/>
          <w:lang w:val="es-US"/>
        </w:rPr>
        <w:t>Estado</w:t>
      </w:r>
      <w:r w:rsidR="002237A3" w:rsidRPr="00C0562F">
        <w:rPr>
          <w:color w:val="000000" w:themeColor="text1"/>
          <w:sz w:val="20"/>
          <w:szCs w:val="20"/>
          <w:lang w:val="es-US"/>
        </w:rPr>
        <w:t xml:space="preserve"> señala que la </w:t>
      </w:r>
      <w:r w:rsidR="003B25DA">
        <w:rPr>
          <w:color w:val="000000" w:themeColor="text1"/>
          <w:sz w:val="20"/>
          <w:szCs w:val="20"/>
          <w:lang w:val="es-US"/>
        </w:rPr>
        <w:t>a</w:t>
      </w:r>
      <w:r w:rsidR="002237A3" w:rsidRPr="00C0562F">
        <w:rPr>
          <w:color w:val="000000" w:themeColor="text1"/>
          <w:sz w:val="20"/>
          <w:szCs w:val="20"/>
          <w:lang w:val="es-US"/>
        </w:rPr>
        <w:t xml:space="preserve">cción de </w:t>
      </w:r>
      <w:r w:rsidR="003B25DA">
        <w:rPr>
          <w:color w:val="000000" w:themeColor="text1"/>
          <w:sz w:val="20"/>
          <w:szCs w:val="20"/>
          <w:lang w:val="es-US"/>
        </w:rPr>
        <w:t>a</w:t>
      </w:r>
      <w:r w:rsidR="002237A3" w:rsidRPr="00C0562F">
        <w:rPr>
          <w:color w:val="000000" w:themeColor="text1"/>
          <w:sz w:val="20"/>
          <w:szCs w:val="20"/>
          <w:lang w:val="es-US"/>
        </w:rPr>
        <w:t xml:space="preserve">mparo puede ser contemplada como una de las garantías constitucionales para </w:t>
      </w:r>
      <w:r w:rsidR="00B254BC" w:rsidRPr="00C0562F">
        <w:rPr>
          <w:color w:val="000000" w:themeColor="text1"/>
          <w:sz w:val="20"/>
          <w:szCs w:val="20"/>
          <w:lang w:val="es-US"/>
        </w:rPr>
        <w:t xml:space="preserve">proteger </w:t>
      </w:r>
      <w:r w:rsidR="002237A3" w:rsidRPr="00C0562F">
        <w:rPr>
          <w:color w:val="000000" w:themeColor="text1"/>
          <w:sz w:val="20"/>
          <w:szCs w:val="20"/>
          <w:lang w:val="es-US"/>
        </w:rPr>
        <w:t xml:space="preserve">los derechos invocados por la presunta víctima. </w:t>
      </w:r>
    </w:p>
    <w:p w:rsidR="00C0562F" w:rsidRPr="00C0562F" w:rsidRDefault="002237A3" w:rsidP="00C0562F">
      <w:pPr>
        <w:pStyle w:val="ListParagraph"/>
        <w:numPr>
          <w:ilvl w:val="0"/>
          <w:numId w:val="62"/>
        </w:numPr>
        <w:suppressAutoHyphens/>
        <w:spacing w:after="240"/>
        <w:ind w:left="0" w:firstLine="720"/>
        <w:jc w:val="both"/>
        <w:rPr>
          <w:color w:val="000000" w:themeColor="text1"/>
          <w:sz w:val="20"/>
          <w:szCs w:val="20"/>
          <w:lang w:val="es-US"/>
        </w:rPr>
      </w:pPr>
      <w:r w:rsidRPr="00C0562F">
        <w:rPr>
          <w:color w:val="000000" w:themeColor="text1"/>
          <w:sz w:val="20"/>
          <w:szCs w:val="20"/>
          <w:lang w:val="es-US"/>
        </w:rPr>
        <w:t xml:space="preserve">La Comisión recuerda que la regla de agotamiento de recursos prevista en el artículo 46.1.a de la Convención Americana, establece que deben activarse primero los recursos disponibles e idóneos en el </w:t>
      </w:r>
      <w:r w:rsidRPr="00C0562F">
        <w:rPr>
          <w:color w:val="000000" w:themeColor="text1"/>
          <w:sz w:val="20"/>
          <w:szCs w:val="20"/>
          <w:lang w:val="es-US"/>
        </w:rPr>
        <w:lastRenderedPageBreak/>
        <w:t>ordenamiento jurídico interno para r</w:t>
      </w:r>
      <w:r w:rsidR="005657B4" w:rsidRPr="00C0562F">
        <w:rPr>
          <w:color w:val="000000" w:themeColor="text1"/>
          <w:sz w:val="20"/>
          <w:szCs w:val="20"/>
          <w:lang w:val="es-US"/>
        </w:rPr>
        <w:t>estituir la situación denunciada</w:t>
      </w:r>
      <w:r w:rsidRPr="00F1415A">
        <w:rPr>
          <w:rStyle w:val="FootnoteReference"/>
          <w:color w:val="000000" w:themeColor="text1"/>
          <w:sz w:val="20"/>
          <w:szCs w:val="20"/>
          <w:lang w:val="es-US"/>
        </w:rPr>
        <w:footnoteReference w:id="8"/>
      </w:r>
      <w:r w:rsidR="00E12054" w:rsidRPr="00C0562F">
        <w:rPr>
          <w:color w:val="000000" w:themeColor="text1"/>
          <w:sz w:val="20"/>
          <w:szCs w:val="20"/>
          <w:lang w:val="es-US"/>
        </w:rPr>
        <w:t>. Por otro lado,</w:t>
      </w:r>
      <w:r w:rsidR="00E12054" w:rsidRPr="00C0562F">
        <w:rPr>
          <w:rFonts w:cs="Calibri"/>
          <w:color w:val="000000" w:themeColor="text1"/>
          <w:sz w:val="20"/>
          <w:szCs w:val="20"/>
          <w:lang w:val="es-ES_tradnl"/>
        </w:rPr>
        <w:t xml:space="preserve"> la CIDH ha considerado que cuando las disposiciones legislativas impugnadas constitucionalmente tienen un efecto directo en los derechos de las presuntas víctimas, quienes </w:t>
      </w:r>
      <w:r w:rsidR="00B254BC" w:rsidRPr="00C0562F">
        <w:rPr>
          <w:rFonts w:cs="Calibri"/>
          <w:color w:val="000000" w:themeColor="text1"/>
          <w:sz w:val="20"/>
          <w:szCs w:val="20"/>
          <w:lang w:val="es-ES_tradnl"/>
        </w:rPr>
        <w:t>aluden</w:t>
      </w:r>
      <w:r w:rsidR="00E12054" w:rsidRPr="00C0562F">
        <w:rPr>
          <w:rFonts w:cs="Calibri"/>
          <w:color w:val="000000" w:themeColor="text1"/>
          <w:sz w:val="20"/>
          <w:szCs w:val="20"/>
          <w:lang w:val="es-ES_tradnl"/>
        </w:rPr>
        <w:t xml:space="preserve"> que una ley es discriminatoria, la acción de inconstitucionalidad constituye un recurso idóneo para proteger la situación jurídica infringida</w:t>
      </w:r>
      <w:r w:rsidR="00E12054" w:rsidRPr="00F1415A">
        <w:rPr>
          <w:rStyle w:val="FootnoteReference"/>
          <w:rFonts w:cs="Calibri"/>
          <w:color w:val="000000" w:themeColor="text1"/>
          <w:sz w:val="20"/>
          <w:szCs w:val="20"/>
          <w:lang w:val="es-ES_tradnl"/>
        </w:rPr>
        <w:footnoteReference w:id="9"/>
      </w:r>
      <w:r w:rsidR="00E12054" w:rsidRPr="00C0562F">
        <w:rPr>
          <w:rFonts w:cs="Calibri"/>
          <w:color w:val="000000" w:themeColor="text1"/>
          <w:sz w:val="20"/>
          <w:szCs w:val="20"/>
          <w:lang w:val="es-ES_tradnl"/>
        </w:rPr>
        <w:t>.</w:t>
      </w:r>
    </w:p>
    <w:p w:rsidR="00A87D98" w:rsidRDefault="00A87D98" w:rsidP="00C0562F">
      <w:pPr>
        <w:pStyle w:val="ListParagraph"/>
        <w:numPr>
          <w:ilvl w:val="0"/>
          <w:numId w:val="62"/>
        </w:numPr>
        <w:suppressAutoHyphens/>
        <w:spacing w:after="240"/>
        <w:ind w:left="0" w:firstLine="720"/>
        <w:jc w:val="both"/>
        <w:rPr>
          <w:color w:val="000000" w:themeColor="text1"/>
          <w:sz w:val="20"/>
          <w:szCs w:val="20"/>
          <w:lang w:val="es-US"/>
        </w:rPr>
      </w:pPr>
      <w:r>
        <w:rPr>
          <w:rFonts w:asciiTheme="majorHAnsi" w:hAnsiTheme="majorHAnsi" w:cs="Calibri"/>
          <w:color w:val="000000" w:themeColor="text1"/>
          <w:sz w:val="20"/>
          <w:szCs w:val="20"/>
          <w:lang w:val="es-ES"/>
        </w:rPr>
        <w:t>Por otro lado, la Comisión observa que, si bien una acción de amparo habría estado dirigida a atender la situación concreta d</w:t>
      </w:r>
      <w:r w:rsidR="004671AC">
        <w:rPr>
          <w:rFonts w:asciiTheme="majorHAnsi" w:hAnsiTheme="majorHAnsi" w:cs="Calibri"/>
          <w:color w:val="000000" w:themeColor="text1"/>
          <w:sz w:val="20"/>
          <w:szCs w:val="20"/>
          <w:lang w:val="es-ES"/>
        </w:rPr>
        <w:t>e</w:t>
      </w:r>
      <w:r>
        <w:rPr>
          <w:rFonts w:asciiTheme="majorHAnsi" w:hAnsiTheme="majorHAnsi" w:cs="Calibri"/>
          <w:color w:val="000000" w:themeColor="text1"/>
          <w:sz w:val="20"/>
          <w:szCs w:val="20"/>
          <w:lang w:val="es-ES"/>
        </w:rPr>
        <w:t xml:space="preserve"> la presunta víctima, el examen de constitucionalidad de la norma señalada como discriminatoria habría sido consistente con el examen realizado en la acción de inconstitucionalidad. En este sentido, la Comisión recuerda que no es necesario agotar todos los recursos posibles sino aquellos que resulten eficaces para atender la situación denunciada.</w:t>
      </w:r>
      <w:r w:rsidRPr="00C0562F">
        <w:rPr>
          <w:color w:val="000000" w:themeColor="text1"/>
          <w:sz w:val="20"/>
          <w:szCs w:val="20"/>
          <w:lang w:val="es-US"/>
        </w:rPr>
        <w:t xml:space="preserve"> </w:t>
      </w:r>
    </w:p>
    <w:p w:rsidR="00C0562F" w:rsidRPr="00A87D98" w:rsidRDefault="00E12054" w:rsidP="004671AC">
      <w:pPr>
        <w:pStyle w:val="ListParagraph"/>
        <w:numPr>
          <w:ilvl w:val="0"/>
          <w:numId w:val="62"/>
        </w:numPr>
        <w:suppressAutoHyphens/>
        <w:spacing w:after="240"/>
        <w:ind w:left="0" w:firstLine="720"/>
        <w:jc w:val="both"/>
        <w:rPr>
          <w:color w:val="000000" w:themeColor="text1"/>
          <w:sz w:val="20"/>
          <w:szCs w:val="20"/>
          <w:lang w:val="es-US"/>
        </w:rPr>
      </w:pPr>
      <w:r w:rsidRPr="00C0562F">
        <w:rPr>
          <w:color w:val="000000" w:themeColor="text1"/>
          <w:sz w:val="20"/>
          <w:szCs w:val="20"/>
          <w:lang w:val="es-US"/>
        </w:rPr>
        <w:t xml:space="preserve">En el presente caso, </w:t>
      </w:r>
      <w:r w:rsidRPr="00C0562F">
        <w:rPr>
          <w:rFonts w:cs="Calibri"/>
          <w:color w:val="000000" w:themeColor="text1"/>
          <w:sz w:val="20"/>
          <w:szCs w:val="20"/>
          <w:lang w:val="es-ES"/>
        </w:rPr>
        <w:t>la Comisión nota que el recurso interpuesto tuvo como finalidad cuestionar</w:t>
      </w:r>
      <w:r w:rsidR="005657B4" w:rsidRPr="00C0562F">
        <w:rPr>
          <w:rFonts w:cs="Calibri"/>
          <w:color w:val="000000" w:themeColor="text1"/>
          <w:sz w:val="20"/>
          <w:szCs w:val="20"/>
          <w:lang w:val="es-ES"/>
        </w:rPr>
        <w:t xml:space="preserve"> la</w:t>
      </w:r>
      <w:r w:rsidRPr="00C0562F">
        <w:rPr>
          <w:rFonts w:cs="Calibri"/>
          <w:color w:val="000000" w:themeColor="text1"/>
          <w:sz w:val="20"/>
          <w:szCs w:val="20"/>
          <w:lang w:val="es-ES"/>
        </w:rPr>
        <w:t xml:space="preserve"> constitucionalidad de las disposiciones que establecen un régimen especial para los trabajadores del sector agrario. Son precisamente estas disposiciones las que están invocadas </w:t>
      </w:r>
      <w:r w:rsidRPr="00B818AF">
        <w:rPr>
          <w:rFonts w:cs="Calibri"/>
          <w:color w:val="000000" w:themeColor="text1"/>
          <w:sz w:val="20"/>
          <w:szCs w:val="20"/>
          <w:lang w:val="es-ES"/>
        </w:rPr>
        <w:t xml:space="preserve">por los peticionarios ante la Comisión como </w:t>
      </w:r>
      <w:r w:rsidR="005657B4" w:rsidRPr="00B818AF">
        <w:rPr>
          <w:rFonts w:cs="Calibri"/>
          <w:color w:val="000000" w:themeColor="text1"/>
          <w:sz w:val="20"/>
          <w:szCs w:val="20"/>
          <w:lang w:val="es-ES"/>
        </w:rPr>
        <w:t>causantes de</w:t>
      </w:r>
      <w:r w:rsidRPr="00B818AF">
        <w:rPr>
          <w:rFonts w:cs="Calibri"/>
          <w:color w:val="000000" w:themeColor="text1"/>
          <w:sz w:val="20"/>
          <w:szCs w:val="20"/>
          <w:lang w:val="es-ES"/>
        </w:rPr>
        <w:t xml:space="preserve"> posibles vulnera</w:t>
      </w:r>
      <w:r w:rsidR="005A0490" w:rsidRPr="00B818AF">
        <w:rPr>
          <w:rFonts w:cs="Calibri"/>
          <w:color w:val="000000" w:themeColor="text1"/>
          <w:sz w:val="20"/>
          <w:szCs w:val="20"/>
          <w:lang w:val="es-ES"/>
        </w:rPr>
        <w:t>ciones de los derechos sobre la presunta</w:t>
      </w:r>
      <w:r w:rsidRPr="00B818AF">
        <w:rPr>
          <w:rFonts w:cs="Calibri"/>
          <w:color w:val="000000" w:themeColor="text1"/>
          <w:sz w:val="20"/>
          <w:szCs w:val="20"/>
          <w:lang w:val="es-ES"/>
        </w:rPr>
        <w:t xml:space="preserve"> </w:t>
      </w:r>
      <w:r w:rsidR="005A0490" w:rsidRPr="00B818AF">
        <w:rPr>
          <w:rFonts w:cs="Calibri"/>
          <w:color w:val="000000" w:themeColor="text1"/>
          <w:sz w:val="20"/>
          <w:szCs w:val="20"/>
          <w:lang w:val="es-ES"/>
        </w:rPr>
        <w:t>víctima</w:t>
      </w:r>
      <w:r w:rsidR="004671AC" w:rsidRPr="00B818AF">
        <w:rPr>
          <w:rFonts w:cs="Calibri"/>
          <w:color w:val="000000" w:themeColor="text1"/>
          <w:sz w:val="20"/>
          <w:szCs w:val="20"/>
          <w:lang w:val="es-ES"/>
        </w:rPr>
        <w:t xml:space="preserve"> y el número de </w:t>
      </w:r>
      <w:r w:rsidR="004671AC" w:rsidRPr="00B818AF">
        <w:rPr>
          <w:sz w:val="20"/>
          <w:szCs w:val="20"/>
          <w:lang w:val="es-AR"/>
        </w:rPr>
        <w:t xml:space="preserve">víctimas que sea determinado </w:t>
      </w:r>
      <w:r w:rsidR="004671AC" w:rsidRPr="00B818AF">
        <w:rPr>
          <w:sz w:val="20"/>
          <w:szCs w:val="20"/>
          <w:lang w:val="es-ES"/>
        </w:rPr>
        <w:t xml:space="preserve">con la prueba aportada por las partes </w:t>
      </w:r>
      <w:r w:rsidR="004671AC" w:rsidRPr="00B818AF">
        <w:rPr>
          <w:sz w:val="20"/>
          <w:szCs w:val="20"/>
          <w:lang w:val="es-AR"/>
        </w:rPr>
        <w:t>en la etapa de fondo</w:t>
      </w:r>
      <w:r w:rsidRPr="00B818AF">
        <w:rPr>
          <w:rFonts w:cs="Calibri"/>
          <w:color w:val="000000" w:themeColor="text1"/>
          <w:sz w:val="20"/>
          <w:szCs w:val="20"/>
          <w:lang w:val="es-ES"/>
        </w:rPr>
        <w:t xml:space="preserve">. </w:t>
      </w:r>
      <w:r w:rsidR="00950367" w:rsidRPr="00B818AF">
        <w:rPr>
          <w:rFonts w:cs="Calibri"/>
          <w:color w:val="000000" w:themeColor="text1"/>
          <w:sz w:val="20"/>
          <w:szCs w:val="20"/>
          <w:lang w:val="es-ES"/>
        </w:rPr>
        <w:t>Asimismo, se observa que, de haberse obtenido una respuesta favorable, ésta habría beneficiado a la presunta víctima</w:t>
      </w:r>
      <w:r w:rsidR="004671AC" w:rsidRPr="00B818AF">
        <w:rPr>
          <w:lang w:val="es-US"/>
        </w:rPr>
        <w:t xml:space="preserve"> </w:t>
      </w:r>
      <w:r w:rsidR="004671AC" w:rsidRPr="00B818AF">
        <w:rPr>
          <w:rFonts w:cs="Calibri"/>
          <w:color w:val="000000" w:themeColor="text1"/>
          <w:sz w:val="20"/>
          <w:szCs w:val="20"/>
          <w:lang w:val="es-ES"/>
        </w:rPr>
        <w:t>y al número de víctimas determinado en la etapa de fondo</w:t>
      </w:r>
      <w:r w:rsidR="00950367" w:rsidRPr="00B818AF">
        <w:rPr>
          <w:rFonts w:cs="Calibri"/>
          <w:color w:val="000000" w:themeColor="text1"/>
          <w:sz w:val="20"/>
          <w:szCs w:val="20"/>
          <w:lang w:val="es-ES"/>
        </w:rPr>
        <w:t>. Además</w:t>
      </w:r>
      <w:r w:rsidR="00950367">
        <w:rPr>
          <w:rFonts w:cs="Calibri"/>
          <w:color w:val="000000" w:themeColor="text1"/>
          <w:sz w:val="20"/>
          <w:szCs w:val="20"/>
          <w:lang w:val="es-ES"/>
        </w:rPr>
        <w:t xml:space="preserve">, el Tribunal Constitucional admitió el recurso y fallo en el fondo. </w:t>
      </w:r>
      <w:r w:rsidRPr="00C0562F">
        <w:rPr>
          <w:rFonts w:cs="Calibri"/>
          <w:color w:val="000000" w:themeColor="text1"/>
          <w:sz w:val="20"/>
          <w:szCs w:val="20"/>
          <w:lang w:val="es-ES"/>
        </w:rPr>
        <w:t xml:space="preserve">Por consiguiente, la CIDH considera que </w:t>
      </w:r>
      <w:r w:rsidR="00D232C4">
        <w:rPr>
          <w:rFonts w:cs="Calibri"/>
          <w:color w:val="000000" w:themeColor="text1"/>
          <w:sz w:val="20"/>
          <w:szCs w:val="20"/>
          <w:lang w:val="es-ES"/>
        </w:rPr>
        <w:t xml:space="preserve">la demanda de inconstitucionalidad fue en efecto un recurso idóneo para atender la situación denunciada y que </w:t>
      </w:r>
      <w:r w:rsidRPr="00C0562F">
        <w:rPr>
          <w:rFonts w:eastAsia="Times New Roman" w:cs="Calibri"/>
          <w:color w:val="000000" w:themeColor="text1"/>
          <w:sz w:val="20"/>
          <w:szCs w:val="20"/>
          <w:lang w:val="es-ES_tradnl"/>
        </w:rPr>
        <w:t>el Estado tuvo la oportunidad de remediar la violación alegada antes de que sea conocida por los órganos del sistema interamericano</w:t>
      </w:r>
      <w:r w:rsidRPr="00F1415A">
        <w:rPr>
          <w:rStyle w:val="FootnoteReference"/>
          <w:rFonts w:eastAsia="Times New Roman" w:cs="Calibri"/>
          <w:color w:val="000000" w:themeColor="text1"/>
          <w:sz w:val="20"/>
          <w:szCs w:val="20"/>
        </w:rPr>
        <w:footnoteReference w:id="10"/>
      </w:r>
      <w:r w:rsidRPr="00C0562F">
        <w:rPr>
          <w:rFonts w:eastAsia="Times New Roman" w:cs="Calibri"/>
          <w:color w:val="000000" w:themeColor="text1"/>
          <w:sz w:val="20"/>
          <w:szCs w:val="20"/>
          <w:lang w:val="es-ES_tradnl"/>
        </w:rPr>
        <w:t>.</w:t>
      </w:r>
      <w:r w:rsidR="00A87D98">
        <w:rPr>
          <w:rFonts w:eastAsia="Times New Roman" w:cs="Calibri"/>
          <w:color w:val="000000" w:themeColor="text1"/>
          <w:sz w:val="20"/>
          <w:szCs w:val="20"/>
          <w:lang w:val="es-ES_tradnl"/>
        </w:rPr>
        <w:t xml:space="preserve"> </w:t>
      </w:r>
      <w:r w:rsidR="00C26FB4" w:rsidRPr="00A87D98">
        <w:rPr>
          <w:color w:val="000000" w:themeColor="text1"/>
          <w:sz w:val="20"/>
          <w:szCs w:val="20"/>
          <w:lang w:val="es-US"/>
        </w:rPr>
        <w:t>Por lo tanto, la Comisión considera que se han agotado los recursos internos en los términos del artículo 46.1.a de la Convención Americana.</w:t>
      </w:r>
    </w:p>
    <w:p w:rsidR="0083258B" w:rsidRPr="00C0562F" w:rsidRDefault="002628CA" w:rsidP="00C0562F">
      <w:pPr>
        <w:pStyle w:val="ListParagraph"/>
        <w:numPr>
          <w:ilvl w:val="0"/>
          <w:numId w:val="62"/>
        </w:numPr>
        <w:suppressAutoHyphens/>
        <w:spacing w:after="240"/>
        <w:ind w:left="0" w:firstLine="720"/>
        <w:jc w:val="both"/>
        <w:rPr>
          <w:color w:val="000000" w:themeColor="text1"/>
          <w:sz w:val="20"/>
          <w:szCs w:val="20"/>
          <w:lang w:val="es-US"/>
        </w:rPr>
      </w:pPr>
      <w:r w:rsidRPr="00C0562F">
        <w:rPr>
          <w:rFonts w:cs="Calibri"/>
          <w:color w:val="000000" w:themeColor="text1"/>
          <w:sz w:val="20"/>
          <w:szCs w:val="20"/>
          <w:lang w:val="es-ES"/>
        </w:rPr>
        <w:t xml:space="preserve">Con relación al plazo de presentación, la petición fue presentada ante la CIDH </w:t>
      </w:r>
      <w:r w:rsidR="00B165A7" w:rsidRPr="00C0562F">
        <w:rPr>
          <w:rFonts w:cs="Calibri"/>
          <w:color w:val="000000" w:themeColor="text1"/>
          <w:sz w:val="20"/>
          <w:szCs w:val="20"/>
          <w:lang w:val="es-ES"/>
        </w:rPr>
        <w:t>el 28 de julio de 2008 y los recursos alegados fueron agotados el 7 de febrero de 2008 con la notificación de la improcedencia de la demanda de inconstitucionalidad, por lo tanto, la Comisión observa que la petición fue presentada dentro del plazo de 6 meses en cumplimiento con el requisito establecido en el artículo 46.</w:t>
      </w:r>
      <w:r w:rsidR="004E58FA" w:rsidRPr="00C0562F">
        <w:rPr>
          <w:rFonts w:cs="Calibri"/>
          <w:color w:val="000000" w:themeColor="text1"/>
          <w:sz w:val="20"/>
          <w:szCs w:val="20"/>
          <w:lang w:val="es-ES"/>
        </w:rPr>
        <w:t>1</w:t>
      </w:r>
      <w:r w:rsidR="00917EDD">
        <w:rPr>
          <w:rFonts w:cs="Calibri"/>
          <w:color w:val="000000" w:themeColor="text1"/>
          <w:sz w:val="20"/>
          <w:szCs w:val="20"/>
          <w:lang w:val="es-ES"/>
        </w:rPr>
        <w:t>.</w:t>
      </w:r>
      <w:r w:rsidR="004E58FA" w:rsidRPr="00C0562F">
        <w:rPr>
          <w:rFonts w:cs="Calibri"/>
          <w:color w:val="000000" w:themeColor="text1"/>
          <w:sz w:val="20"/>
          <w:szCs w:val="20"/>
          <w:lang w:val="es-ES"/>
        </w:rPr>
        <w:t>b</w:t>
      </w:r>
      <w:r w:rsidR="00917EDD">
        <w:rPr>
          <w:rFonts w:cs="Calibri"/>
          <w:color w:val="000000" w:themeColor="text1"/>
          <w:sz w:val="20"/>
          <w:szCs w:val="20"/>
          <w:lang w:val="es-ES"/>
        </w:rPr>
        <w:t xml:space="preserve"> de la Convención Americana</w:t>
      </w:r>
      <w:r w:rsidR="000C1399" w:rsidRPr="00C0562F">
        <w:rPr>
          <w:rFonts w:cs="Calibri"/>
          <w:color w:val="000000" w:themeColor="text1"/>
          <w:sz w:val="20"/>
          <w:szCs w:val="20"/>
          <w:lang w:val="es-ES"/>
        </w:rPr>
        <w:t>.</w:t>
      </w:r>
    </w:p>
    <w:p w:rsidR="00A063D3" w:rsidRPr="00C4461A" w:rsidRDefault="0079622B" w:rsidP="00C4461A">
      <w:pPr>
        <w:pStyle w:val="ListParagraph"/>
        <w:spacing w:before="240" w:after="240"/>
        <w:jc w:val="both"/>
        <w:rPr>
          <w:rFonts w:asciiTheme="majorHAnsi" w:hAnsiTheme="majorHAnsi"/>
          <w:b/>
          <w:bCs/>
          <w:sz w:val="20"/>
          <w:szCs w:val="20"/>
          <w:lang w:val="es-UY"/>
        </w:rPr>
      </w:pPr>
      <w:r w:rsidRPr="00F1415A">
        <w:rPr>
          <w:rFonts w:asciiTheme="majorHAnsi" w:hAnsiTheme="majorHAnsi"/>
          <w:b/>
          <w:bCs/>
          <w:sz w:val="20"/>
          <w:szCs w:val="20"/>
          <w:lang w:val="es-ES"/>
        </w:rPr>
        <w:t>VI</w:t>
      </w:r>
      <w:r w:rsidR="003239B8" w:rsidRPr="00F1415A">
        <w:rPr>
          <w:rFonts w:asciiTheme="majorHAnsi" w:hAnsiTheme="majorHAnsi"/>
          <w:b/>
          <w:bCs/>
          <w:sz w:val="20"/>
          <w:szCs w:val="20"/>
          <w:lang w:val="es-ES"/>
        </w:rPr>
        <w:t>I.</w:t>
      </w:r>
      <w:r w:rsidR="003239B8" w:rsidRPr="00F1415A">
        <w:rPr>
          <w:rFonts w:asciiTheme="majorHAnsi" w:hAnsiTheme="majorHAnsi"/>
          <w:b/>
          <w:bCs/>
          <w:sz w:val="20"/>
          <w:szCs w:val="20"/>
          <w:lang w:val="es-ES"/>
        </w:rPr>
        <w:tab/>
      </w:r>
      <w:r w:rsidR="004A6A54" w:rsidRPr="00F1415A">
        <w:rPr>
          <w:rFonts w:asciiTheme="majorHAnsi" w:hAnsiTheme="majorHAnsi"/>
          <w:b/>
          <w:bCs/>
          <w:sz w:val="20"/>
          <w:szCs w:val="20"/>
          <w:lang w:val="es-ES_tradnl"/>
        </w:rPr>
        <w:t xml:space="preserve">ANÁLISIS DE </w:t>
      </w:r>
      <w:r w:rsidR="00C21FEF" w:rsidRPr="00F1415A">
        <w:rPr>
          <w:rFonts w:asciiTheme="majorHAnsi" w:hAnsiTheme="majorHAnsi"/>
          <w:b/>
          <w:bCs/>
          <w:sz w:val="20"/>
          <w:szCs w:val="20"/>
          <w:lang w:val="es-ES"/>
        </w:rPr>
        <w:t xml:space="preserve">CARACTERIZACIÓN </w:t>
      </w:r>
      <w:r w:rsidR="00C21FEF" w:rsidRPr="00F1415A">
        <w:rPr>
          <w:rFonts w:asciiTheme="majorHAnsi" w:hAnsiTheme="majorHAnsi"/>
          <w:b/>
          <w:bCs/>
          <w:sz w:val="20"/>
          <w:szCs w:val="20"/>
          <w:lang w:val="es-UY"/>
        </w:rPr>
        <w:t>DE LOS HECHOS ALEGADOS</w:t>
      </w:r>
    </w:p>
    <w:p w:rsidR="00C0562F" w:rsidRPr="00481B0B" w:rsidRDefault="00D662DF" w:rsidP="00855E1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81B0B">
        <w:rPr>
          <w:sz w:val="20"/>
          <w:szCs w:val="20"/>
          <w:lang w:val="es-ES"/>
        </w:rPr>
        <w:t xml:space="preserve">La parte peticionaria sostiene que el Estado es responsable por la violación de los derechos humanos de la </w:t>
      </w:r>
      <w:r w:rsidR="00481B0B" w:rsidRPr="00481B0B">
        <w:rPr>
          <w:sz w:val="20"/>
          <w:szCs w:val="20"/>
          <w:lang w:val="es-AR"/>
        </w:rPr>
        <w:t>Sra. Rosa Elena Pariahuachi Palacios</w:t>
      </w:r>
      <w:r w:rsidR="00481B0B" w:rsidRPr="00481B0B">
        <w:rPr>
          <w:sz w:val="20"/>
          <w:szCs w:val="20"/>
          <w:lang w:val="es-ES"/>
        </w:rPr>
        <w:t xml:space="preserve"> </w:t>
      </w:r>
      <w:r w:rsidR="005D44A4" w:rsidRPr="00481B0B">
        <w:rPr>
          <w:sz w:val="20"/>
          <w:szCs w:val="20"/>
          <w:lang w:val="es-ES"/>
        </w:rPr>
        <w:t xml:space="preserve">y </w:t>
      </w:r>
      <w:r w:rsidR="00481B0B" w:rsidRPr="00481B0B">
        <w:rPr>
          <w:rFonts w:asciiTheme="majorHAnsi" w:hAnsiTheme="majorHAnsi"/>
          <w:bCs/>
          <w:sz w:val="20"/>
          <w:szCs w:val="20"/>
          <w:lang w:val="es-ES"/>
        </w:rPr>
        <w:t>otras personas trabajadoras del sector agrario</w:t>
      </w:r>
      <w:r w:rsidR="00A87D98" w:rsidRPr="00481B0B">
        <w:rPr>
          <w:rFonts w:asciiTheme="majorHAnsi" w:hAnsiTheme="majorHAnsi"/>
          <w:sz w:val="20"/>
          <w:szCs w:val="20"/>
          <w:lang w:val="es-AR"/>
        </w:rPr>
        <w:t xml:space="preserve"> al considerar que a partir de la vigencia de Ley N°27360 fueron sujetas a un </w:t>
      </w:r>
      <w:r w:rsidR="00A87D98" w:rsidRPr="00481B0B">
        <w:rPr>
          <w:sz w:val="20"/>
          <w:szCs w:val="20"/>
          <w:lang w:val="es-ES"/>
        </w:rPr>
        <w:t>el trato discriminatorio respecto de derechos y beneficios laborales</w:t>
      </w:r>
      <w:r w:rsidRPr="00481B0B">
        <w:rPr>
          <w:sz w:val="20"/>
          <w:szCs w:val="20"/>
          <w:lang w:val="es-ES"/>
        </w:rPr>
        <w:t>. A su vez, el Estado afirma que los hechos alegados no caracterizan violaciones porque sostiene que toda diferenciación no supone un trato discriminatorio, reiterando la argumentación contenida en la decisión del Tribunal Constitucional del Perú.</w:t>
      </w:r>
      <w:r w:rsidR="00E765BD" w:rsidRPr="00481B0B">
        <w:rPr>
          <w:lang w:val="es-ES"/>
        </w:rPr>
        <w:t xml:space="preserve"> </w:t>
      </w:r>
    </w:p>
    <w:p w:rsidR="00C0562F" w:rsidRPr="00C0562F" w:rsidRDefault="002E6821" w:rsidP="00C0562F">
      <w:pPr>
        <w:pStyle w:val="ListParagraph"/>
        <w:numPr>
          <w:ilvl w:val="0"/>
          <w:numId w:val="62"/>
        </w:numPr>
        <w:suppressAutoHyphens/>
        <w:spacing w:after="240"/>
        <w:ind w:left="0" w:firstLine="720"/>
        <w:jc w:val="both"/>
        <w:rPr>
          <w:sz w:val="20"/>
          <w:szCs w:val="20"/>
          <w:lang w:val="es-ES"/>
        </w:rPr>
      </w:pPr>
      <w:r w:rsidRPr="00C0562F">
        <w:rPr>
          <w:sz w:val="20"/>
          <w:szCs w:val="20"/>
          <w:lang w:val="es-ES"/>
        </w:rPr>
        <w:t>L</w:t>
      </w:r>
      <w:r w:rsidR="00D662DF" w:rsidRPr="00C0562F">
        <w:rPr>
          <w:sz w:val="20"/>
          <w:szCs w:val="20"/>
          <w:lang w:val="es-ES"/>
        </w:rPr>
        <w:t xml:space="preserve">os hechos relativos a las consecuencias sobres los derechos de las personas sujetas al régimen especial del sector agrario, podrían </w:t>
      </w:r>
      <w:r w:rsidR="00D662DF" w:rsidRPr="00C0562F">
        <w:rPr>
          <w:i/>
          <w:sz w:val="20"/>
          <w:szCs w:val="20"/>
          <w:lang w:val="es-ES"/>
        </w:rPr>
        <w:t>prima facie</w:t>
      </w:r>
      <w:r w:rsidR="00D662DF" w:rsidRPr="00C0562F">
        <w:rPr>
          <w:sz w:val="20"/>
          <w:szCs w:val="20"/>
          <w:lang w:val="es-ES"/>
        </w:rPr>
        <w:t xml:space="preserve"> caracterizar una violación de las obligaciones del artículo 24 de la Convención Americana. En particular, la Comisión evaluará el </w:t>
      </w:r>
      <w:r w:rsidR="00685197">
        <w:rPr>
          <w:sz w:val="20"/>
          <w:szCs w:val="20"/>
          <w:lang w:val="es-ES"/>
        </w:rPr>
        <w:t xml:space="preserve">supuesto </w:t>
      </w:r>
      <w:r w:rsidR="00D662DF" w:rsidRPr="00C0562F">
        <w:rPr>
          <w:sz w:val="20"/>
          <w:szCs w:val="20"/>
          <w:lang w:val="es-ES"/>
        </w:rPr>
        <w:t xml:space="preserve">trato discriminatorio a la luz del posible contexto peruano de discriminación histórica y estructural hacia las mujeres campesinas y de bajos recursos. </w:t>
      </w:r>
      <w:r w:rsidR="00685197">
        <w:rPr>
          <w:sz w:val="20"/>
          <w:szCs w:val="20"/>
          <w:lang w:val="es-ES"/>
        </w:rPr>
        <w:t xml:space="preserve"> Sin prejuzgar sobre el fondo del caso, l</w:t>
      </w:r>
      <w:r w:rsidR="00D662DF" w:rsidRPr="00C0562F">
        <w:rPr>
          <w:sz w:val="20"/>
          <w:szCs w:val="20"/>
          <w:lang w:val="es-ES"/>
        </w:rPr>
        <w:t xml:space="preserve">a Comisión recuerda que una violación del derecho a la igualdad y no discriminación, </w:t>
      </w:r>
      <w:r w:rsidR="00685197">
        <w:rPr>
          <w:sz w:val="20"/>
          <w:szCs w:val="20"/>
          <w:lang w:val="es-ES"/>
        </w:rPr>
        <w:t xml:space="preserve">puede producirse </w:t>
      </w:r>
      <w:r w:rsidR="00D662DF" w:rsidRPr="00C0562F">
        <w:rPr>
          <w:sz w:val="20"/>
          <w:szCs w:val="20"/>
          <w:lang w:val="es-ES"/>
        </w:rPr>
        <w:t xml:space="preserve">también ante situaciones y casos de discriminación indirecta reflejada en el impacto desproporcionado de normas que, </w:t>
      </w:r>
      <w:r w:rsidR="00FB2CC6" w:rsidRPr="00C0562F">
        <w:rPr>
          <w:sz w:val="20"/>
          <w:szCs w:val="20"/>
          <w:lang w:val="es-ES"/>
        </w:rPr>
        <w:t>aun</w:t>
      </w:r>
      <w:r w:rsidR="00D662DF" w:rsidRPr="00C0562F">
        <w:rPr>
          <w:sz w:val="20"/>
          <w:szCs w:val="20"/>
          <w:lang w:val="es-ES"/>
        </w:rPr>
        <w:t xml:space="preserve"> cuando sean o parezcan ser neutrales en su formulación o tengan un alcance general y no diferenciado, produzcan efectos negativos para ciertos grupos </w:t>
      </w:r>
      <w:r w:rsidRPr="00C0562F">
        <w:rPr>
          <w:sz w:val="20"/>
          <w:szCs w:val="20"/>
          <w:lang w:val="es-ES"/>
        </w:rPr>
        <w:t xml:space="preserve">en </w:t>
      </w:r>
      <w:r w:rsidRPr="00C0562F">
        <w:rPr>
          <w:sz w:val="20"/>
          <w:szCs w:val="20"/>
          <w:lang w:val="es-ES"/>
        </w:rPr>
        <w:lastRenderedPageBreak/>
        <w:t xml:space="preserve">situación de </w:t>
      </w:r>
      <w:r w:rsidR="00D662DF" w:rsidRPr="00C0562F">
        <w:rPr>
          <w:sz w:val="20"/>
          <w:szCs w:val="20"/>
          <w:lang w:val="es-ES"/>
        </w:rPr>
        <w:t>vulnerab</w:t>
      </w:r>
      <w:r w:rsidRPr="00C0562F">
        <w:rPr>
          <w:sz w:val="20"/>
          <w:szCs w:val="20"/>
          <w:lang w:val="es-ES"/>
        </w:rPr>
        <w:t>ilidad</w:t>
      </w:r>
      <w:r w:rsidR="00D662DF" w:rsidRPr="00F1415A">
        <w:rPr>
          <w:rStyle w:val="FootnoteReference"/>
          <w:sz w:val="20"/>
          <w:szCs w:val="20"/>
          <w:lang w:val="es-ES"/>
        </w:rPr>
        <w:footnoteReference w:id="11"/>
      </w:r>
      <w:r w:rsidR="00D662DF" w:rsidRPr="00C0562F">
        <w:rPr>
          <w:sz w:val="20"/>
          <w:szCs w:val="20"/>
          <w:lang w:val="es-ES"/>
        </w:rPr>
        <w:t xml:space="preserve">. </w:t>
      </w:r>
      <w:r w:rsidR="00BE3DB3" w:rsidRPr="00C0562F">
        <w:rPr>
          <w:rFonts w:cs="Calibri"/>
          <w:sz w:val="20"/>
          <w:szCs w:val="20"/>
          <w:lang w:val="es-ES"/>
        </w:rPr>
        <w:t>Este patrón de discriminación ha sido observado por la</w:t>
      </w:r>
      <w:r w:rsidR="005C7CB7" w:rsidRPr="00C0562F">
        <w:rPr>
          <w:rFonts w:cs="Calibri"/>
          <w:sz w:val="20"/>
          <w:szCs w:val="20"/>
          <w:lang w:val="es-ES"/>
        </w:rPr>
        <w:t xml:space="preserve"> CIDH y la</w:t>
      </w:r>
      <w:r w:rsidR="00BE3DB3" w:rsidRPr="00C0562F">
        <w:rPr>
          <w:rFonts w:cs="Calibri"/>
          <w:sz w:val="20"/>
          <w:szCs w:val="20"/>
          <w:lang w:val="es-ES"/>
        </w:rPr>
        <w:t xml:space="preserve"> Relatoría sobre los Derechos de las Mujeres en cuanto a las mujeres en el ámbito laboral</w:t>
      </w:r>
      <w:r w:rsidR="00BE3DB3" w:rsidRPr="00F1415A">
        <w:rPr>
          <w:rStyle w:val="FootnoteReference"/>
          <w:rFonts w:eastAsia="Trebuchet MS" w:cs="Calibri"/>
          <w:sz w:val="20"/>
          <w:szCs w:val="20"/>
          <w:lang w:val="es-ES"/>
        </w:rPr>
        <w:footnoteReference w:id="12"/>
      </w:r>
      <w:r w:rsidR="00BE3DB3" w:rsidRPr="00C0562F">
        <w:rPr>
          <w:rFonts w:cs="Calibri"/>
          <w:sz w:val="20"/>
          <w:szCs w:val="20"/>
          <w:lang w:val="es-ES"/>
        </w:rPr>
        <w:t>.</w:t>
      </w:r>
    </w:p>
    <w:p w:rsidR="00C0562F" w:rsidRPr="00C0562F" w:rsidRDefault="00D662DF" w:rsidP="00C0562F">
      <w:pPr>
        <w:pStyle w:val="ListParagraph"/>
        <w:numPr>
          <w:ilvl w:val="0"/>
          <w:numId w:val="62"/>
        </w:numPr>
        <w:suppressAutoHyphens/>
        <w:spacing w:after="240"/>
        <w:ind w:left="0" w:firstLine="720"/>
        <w:jc w:val="both"/>
        <w:rPr>
          <w:sz w:val="20"/>
          <w:szCs w:val="20"/>
          <w:lang w:val="es-ES"/>
        </w:rPr>
      </w:pPr>
      <w:r w:rsidRPr="00C0562F">
        <w:rPr>
          <w:sz w:val="20"/>
          <w:szCs w:val="20"/>
          <w:lang w:val="es-ES"/>
        </w:rPr>
        <w:t xml:space="preserve">En cuanto a lo alegado por el Estado respecto de la falta de competencia </w:t>
      </w:r>
      <w:r w:rsidRPr="00C0562F">
        <w:rPr>
          <w:i/>
          <w:sz w:val="20"/>
          <w:szCs w:val="20"/>
          <w:lang w:val="es-ES"/>
        </w:rPr>
        <w:t>ratione materiae,</w:t>
      </w:r>
      <w:r w:rsidRPr="00C0562F">
        <w:rPr>
          <w:sz w:val="20"/>
          <w:szCs w:val="20"/>
          <w:lang w:val="es-ES"/>
        </w:rPr>
        <w:t xml:space="preserve"> por las pretensiones de la Sra. Pariahuachi que aluden a</w:t>
      </w:r>
      <w:r w:rsidR="006B4CA4" w:rsidRPr="00C0562F">
        <w:rPr>
          <w:sz w:val="20"/>
          <w:szCs w:val="20"/>
          <w:lang w:val="es-ES"/>
        </w:rPr>
        <w:t xml:space="preserve"> derechos laborales</w:t>
      </w:r>
      <w:r w:rsidRPr="00C0562F">
        <w:rPr>
          <w:sz w:val="20"/>
          <w:szCs w:val="20"/>
          <w:lang w:val="es-ES"/>
        </w:rPr>
        <w:t xml:space="preserve"> </w:t>
      </w:r>
      <w:r w:rsidR="006B4CA4" w:rsidRPr="00C0562F">
        <w:rPr>
          <w:sz w:val="20"/>
          <w:szCs w:val="20"/>
          <w:lang w:val="es-ES"/>
        </w:rPr>
        <w:t xml:space="preserve">previstos </w:t>
      </w:r>
      <w:r w:rsidRPr="00C0562F">
        <w:rPr>
          <w:sz w:val="20"/>
          <w:szCs w:val="20"/>
          <w:lang w:val="es-ES"/>
        </w:rPr>
        <w:t>en el Protocolo Adicional a la Convención Americana sobre Derechos Económicos, Sociales y Culturales, la CIDH</w:t>
      </w:r>
      <w:r w:rsidR="009C0828" w:rsidRPr="00C0562F">
        <w:rPr>
          <w:sz w:val="20"/>
          <w:szCs w:val="20"/>
          <w:lang w:val="es-ES"/>
        </w:rPr>
        <w:t xml:space="preserve"> observa que la parte peticionaria no alegó la violación de ningún artículo del referido tratado. </w:t>
      </w:r>
      <w:r w:rsidR="00791A67">
        <w:rPr>
          <w:sz w:val="20"/>
          <w:szCs w:val="20"/>
          <w:lang w:val="es-ES"/>
        </w:rPr>
        <w:t xml:space="preserve"> </w:t>
      </w:r>
      <w:r w:rsidR="009C0828" w:rsidRPr="00C0562F">
        <w:rPr>
          <w:sz w:val="20"/>
          <w:szCs w:val="20"/>
          <w:lang w:val="es-ES"/>
        </w:rPr>
        <w:t>Sin perjuicio de ello, también</w:t>
      </w:r>
      <w:r w:rsidRPr="00C0562F">
        <w:rPr>
          <w:sz w:val="20"/>
          <w:szCs w:val="20"/>
          <w:lang w:val="es-ES"/>
        </w:rPr>
        <w:t xml:space="preserve"> </w:t>
      </w:r>
      <w:r w:rsidR="009C0828" w:rsidRPr="00C0562F">
        <w:rPr>
          <w:sz w:val="20"/>
          <w:szCs w:val="20"/>
          <w:lang w:val="es-ES"/>
        </w:rPr>
        <w:t xml:space="preserve">recuerda </w:t>
      </w:r>
      <w:r w:rsidR="00791A67" w:rsidRPr="00C0562F">
        <w:rPr>
          <w:sz w:val="20"/>
          <w:szCs w:val="20"/>
          <w:lang w:val="es-ES"/>
        </w:rPr>
        <w:t>que,</w:t>
      </w:r>
      <w:r w:rsidR="009C0828" w:rsidRPr="00C0562F">
        <w:rPr>
          <w:sz w:val="20"/>
          <w:szCs w:val="20"/>
          <w:lang w:val="es-ES"/>
        </w:rPr>
        <w:t xml:space="preserve"> aunque carece de</w:t>
      </w:r>
      <w:r w:rsidR="009C0828" w:rsidRPr="00C0562F">
        <w:rPr>
          <w:rFonts w:asciiTheme="majorHAnsi" w:hAnsiTheme="majorHAnsi"/>
          <w:sz w:val="20"/>
          <w:szCs w:val="20"/>
          <w:lang w:val="es-ES"/>
        </w:rPr>
        <w:t xml:space="preserve"> competencia </w:t>
      </w:r>
      <w:r w:rsidR="009C0828" w:rsidRPr="00C0562F">
        <w:rPr>
          <w:rFonts w:asciiTheme="majorHAnsi" w:hAnsiTheme="majorHAnsi"/>
          <w:i/>
          <w:sz w:val="20"/>
          <w:szCs w:val="20"/>
          <w:lang w:val="es-ES"/>
        </w:rPr>
        <w:t>ratione materiae</w:t>
      </w:r>
      <w:r w:rsidR="009C0828" w:rsidRPr="00C0562F">
        <w:rPr>
          <w:rFonts w:asciiTheme="majorHAnsi" w:hAnsiTheme="majorHAnsi"/>
          <w:sz w:val="20"/>
          <w:szCs w:val="20"/>
          <w:lang w:val="es-ES"/>
        </w:rPr>
        <w:t xml:space="preserve"> para pronunciarse dentro de su procedimiento de peticiones con respecto a posibles violaciones a artículos del Protocolo de San Salvador que no sean los contemplados en el artículo 19.6 de ese tratado; </w:t>
      </w:r>
      <w:r w:rsidR="009C0828" w:rsidRPr="00C0562F">
        <w:rPr>
          <w:rFonts w:asciiTheme="majorHAnsi" w:hAnsiTheme="majorHAnsi" w:cs="Calibri"/>
          <w:sz w:val="20"/>
          <w:szCs w:val="20"/>
          <w:lang w:val="es-ES"/>
        </w:rPr>
        <w:t>de conformidad con el artículo 29 de la Convención Americana, la Comisión puede tomar en cuenta dicho instrumento internacional para interpretar y aplicar la Convención.</w:t>
      </w:r>
    </w:p>
    <w:p w:rsidR="00C0562F" w:rsidRPr="00C0562F" w:rsidRDefault="009C0828" w:rsidP="00C0562F">
      <w:pPr>
        <w:pStyle w:val="ListParagraph"/>
        <w:numPr>
          <w:ilvl w:val="0"/>
          <w:numId w:val="62"/>
        </w:numPr>
        <w:suppressAutoHyphens/>
        <w:spacing w:after="240"/>
        <w:ind w:left="0" w:firstLine="720"/>
        <w:jc w:val="both"/>
        <w:rPr>
          <w:sz w:val="20"/>
          <w:szCs w:val="20"/>
          <w:lang w:val="es-ES"/>
        </w:rPr>
      </w:pPr>
      <w:r w:rsidRPr="00C0562F">
        <w:rPr>
          <w:rFonts w:asciiTheme="majorHAnsi" w:hAnsiTheme="majorHAnsi"/>
          <w:sz w:val="20"/>
          <w:szCs w:val="20"/>
          <w:lang w:val="es-ES_tradnl"/>
        </w:rPr>
        <w:t>R</w:t>
      </w:r>
      <w:r w:rsidR="00D662DF" w:rsidRPr="00C0562F">
        <w:rPr>
          <w:rFonts w:asciiTheme="majorHAnsi" w:hAnsiTheme="majorHAnsi"/>
          <w:sz w:val="20"/>
          <w:szCs w:val="20"/>
          <w:lang w:val="es-ES_tradnl"/>
        </w:rPr>
        <w:t xml:space="preserve">especto a los alegatos del Estado referidos a la fórmula de cuarta instancia, la Comisión reitera </w:t>
      </w:r>
      <w:r w:rsidR="00747527" w:rsidRPr="00C0562F">
        <w:rPr>
          <w:rFonts w:asciiTheme="majorHAnsi" w:hAnsiTheme="majorHAnsi"/>
          <w:sz w:val="20"/>
          <w:szCs w:val="20"/>
          <w:lang w:val="es-ES_tradnl"/>
        </w:rPr>
        <w:t>que,</w:t>
      </w:r>
      <w:r w:rsidR="00D662DF" w:rsidRPr="00C0562F">
        <w:rPr>
          <w:rFonts w:asciiTheme="majorHAnsi" w:hAnsiTheme="majorHAnsi"/>
          <w:sz w:val="20"/>
          <w:szCs w:val="20"/>
          <w:lang w:val="es-ES_tradnl"/>
        </w:rPr>
        <w:t xml:space="preserve"> dentro del marco de su </w:t>
      </w:r>
      <w:r w:rsidR="00D662DF" w:rsidRPr="00C0562F">
        <w:rPr>
          <w:rFonts w:asciiTheme="majorHAnsi" w:hAnsiTheme="majorHAnsi"/>
          <w:sz w:val="20"/>
          <w:szCs w:val="20"/>
          <w:lang w:val="es-US"/>
        </w:rPr>
        <w:t>mandato, sí es competente para declarar admisible una petición y fallar sobre el fondo cuando ésta se refiere a procesos internos que podrían ser violatorios de derechos garantizados por la Convención Americana.</w:t>
      </w:r>
    </w:p>
    <w:p w:rsidR="008079C4" w:rsidRPr="00C0562F" w:rsidRDefault="009C0828" w:rsidP="00C0562F">
      <w:pPr>
        <w:pStyle w:val="ListParagraph"/>
        <w:numPr>
          <w:ilvl w:val="0"/>
          <w:numId w:val="62"/>
        </w:numPr>
        <w:suppressAutoHyphens/>
        <w:spacing w:after="240"/>
        <w:ind w:left="0" w:firstLine="720"/>
        <w:jc w:val="both"/>
        <w:rPr>
          <w:sz w:val="20"/>
          <w:szCs w:val="20"/>
          <w:lang w:val="es-ES"/>
        </w:rPr>
      </w:pPr>
      <w:r w:rsidRPr="00C0562F">
        <w:rPr>
          <w:sz w:val="20"/>
          <w:szCs w:val="20"/>
          <w:lang w:val="es-ES"/>
        </w:rPr>
        <w:t>En ese sentido, f</w:t>
      </w:r>
      <w:r w:rsidR="008079C4" w:rsidRPr="00C0562F">
        <w:rPr>
          <w:sz w:val="20"/>
          <w:szCs w:val="20"/>
          <w:lang w:val="es-ES"/>
        </w:rPr>
        <w:t xml:space="preserve">rente a los elementos de hecho y de derecho presentadas por las partes y la naturaleza del asunto puesto bajo su conocimiento, la CIDH encuentra que, en el presente caso, los alegatos de los peticionarios relativos a la presunta violación del derecho al trabajo </w:t>
      </w:r>
      <w:r w:rsidR="0056709D">
        <w:rPr>
          <w:sz w:val="20"/>
          <w:szCs w:val="20"/>
          <w:lang w:val="es-ES"/>
        </w:rPr>
        <w:t>en</w:t>
      </w:r>
      <w:r w:rsidR="008079C4" w:rsidRPr="00C0562F">
        <w:rPr>
          <w:sz w:val="20"/>
          <w:szCs w:val="20"/>
          <w:lang w:val="es-ES"/>
        </w:rPr>
        <w:t xml:space="preserve"> condiciones justas y equitativas y del derecho a la igualdad y no-discriminación </w:t>
      </w:r>
      <w:r w:rsidR="00791A67">
        <w:rPr>
          <w:sz w:val="20"/>
          <w:szCs w:val="20"/>
          <w:lang w:val="es-ES"/>
        </w:rPr>
        <w:t>no resul</w:t>
      </w:r>
      <w:r w:rsidR="000E14C8">
        <w:rPr>
          <w:sz w:val="20"/>
          <w:szCs w:val="20"/>
          <w:lang w:val="es-ES"/>
        </w:rPr>
        <w:t xml:space="preserve">tan manifiestamente infundados por lo que </w:t>
      </w:r>
      <w:r w:rsidR="00791A67">
        <w:rPr>
          <w:sz w:val="20"/>
          <w:szCs w:val="20"/>
          <w:lang w:val="es-ES"/>
        </w:rPr>
        <w:t>requieren un estudio de fondo, pues</w:t>
      </w:r>
      <w:r w:rsidR="000E14C8">
        <w:rPr>
          <w:sz w:val="20"/>
          <w:szCs w:val="20"/>
          <w:lang w:val="es-ES"/>
        </w:rPr>
        <w:t>,</w:t>
      </w:r>
      <w:r w:rsidR="00791A67">
        <w:rPr>
          <w:sz w:val="20"/>
          <w:szCs w:val="20"/>
          <w:lang w:val="es-ES"/>
        </w:rPr>
        <w:t xml:space="preserve"> de corroborarse como ciertos, </w:t>
      </w:r>
      <w:r w:rsidR="008079C4" w:rsidRPr="00C0562F">
        <w:rPr>
          <w:sz w:val="20"/>
          <w:szCs w:val="20"/>
          <w:lang w:val="es-ES"/>
        </w:rPr>
        <w:t xml:space="preserve">podrían caracterizar violaciones a los derechos protegidos en los artículos </w:t>
      </w:r>
      <w:r w:rsidR="0056709D" w:rsidRPr="00C21237">
        <w:rPr>
          <w:rFonts w:asciiTheme="majorHAnsi" w:hAnsiTheme="majorHAnsi"/>
          <w:bCs/>
          <w:sz w:val="20"/>
          <w:szCs w:val="20"/>
          <w:lang w:val="es-AR"/>
        </w:rPr>
        <w:t xml:space="preserve">24 (igualdad ante la </w:t>
      </w:r>
      <w:r w:rsidR="0056709D">
        <w:rPr>
          <w:rFonts w:asciiTheme="majorHAnsi" w:hAnsiTheme="majorHAnsi"/>
          <w:bCs/>
          <w:sz w:val="20"/>
          <w:szCs w:val="20"/>
          <w:lang w:val="es-AR"/>
        </w:rPr>
        <w:t>ley), 25 (protección judicial) y</w:t>
      </w:r>
      <w:r w:rsidR="0056709D" w:rsidRPr="00C21237">
        <w:rPr>
          <w:rFonts w:asciiTheme="majorHAnsi" w:hAnsiTheme="majorHAnsi"/>
          <w:bCs/>
          <w:sz w:val="20"/>
          <w:szCs w:val="20"/>
          <w:lang w:val="es-AR"/>
        </w:rPr>
        <w:t xml:space="preserve"> 26 (</w:t>
      </w:r>
      <w:r w:rsidR="0056709D" w:rsidRPr="009C5C36">
        <w:rPr>
          <w:rFonts w:asciiTheme="majorHAnsi" w:hAnsiTheme="majorHAnsi"/>
          <w:sz w:val="20"/>
          <w:szCs w:val="20"/>
          <w:lang w:val="es-ES"/>
        </w:rPr>
        <w:t>derechos económicos, sociales y culturales</w:t>
      </w:r>
      <w:r w:rsidR="0056709D" w:rsidRPr="00C21237">
        <w:rPr>
          <w:rFonts w:asciiTheme="majorHAnsi" w:hAnsiTheme="majorHAnsi"/>
          <w:bCs/>
          <w:sz w:val="20"/>
          <w:szCs w:val="20"/>
          <w:lang w:val="es-AR"/>
        </w:rPr>
        <w:t>) de la Convención Americana, en relación con sus artículos 1.1 (obligación de respetar los derechos) y 2 (deber de adoptar dis</w:t>
      </w:r>
      <w:r w:rsidR="0056709D">
        <w:rPr>
          <w:rFonts w:asciiTheme="majorHAnsi" w:hAnsiTheme="majorHAnsi"/>
          <w:bCs/>
          <w:sz w:val="20"/>
          <w:szCs w:val="20"/>
          <w:lang w:val="es-AR"/>
        </w:rPr>
        <w:t>posiciones del derecho interno)</w:t>
      </w:r>
      <w:r w:rsidR="0056709D" w:rsidRPr="00C21237">
        <w:rPr>
          <w:rFonts w:asciiTheme="majorHAnsi" w:hAnsiTheme="majorHAnsi"/>
          <w:bCs/>
          <w:sz w:val="20"/>
          <w:szCs w:val="20"/>
          <w:lang w:val="es-AR"/>
        </w:rPr>
        <w:t xml:space="preserve"> del mismo instrumento.</w:t>
      </w:r>
      <w:r w:rsidR="008079C4" w:rsidRPr="00C0562F">
        <w:rPr>
          <w:sz w:val="20"/>
          <w:szCs w:val="20"/>
          <w:lang w:val="es-ES"/>
        </w:rPr>
        <w:t xml:space="preserve"> </w:t>
      </w:r>
    </w:p>
    <w:p w:rsidR="003239B8" w:rsidRPr="00622C9E" w:rsidRDefault="00D662DF" w:rsidP="00D662DF">
      <w:pPr>
        <w:pStyle w:val="ListParagraph"/>
        <w:spacing w:before="240" w:after="240"/>
        <w:jc w:val="both"/>
        <w:rPr>
          <w:rFonts w:asciiTheme="majorHAnsi" w:hAnsiTheme="majorHAnsi"/>
          <w:b/>
          <w:bCs/>
          <w:sz w:val="20"/>
          <w:szCs w:val="20"/>
          <w:lang w:val="es-US"/>
        </w:rPr>
      </w:pPr>
      <w:r w:rsidRPr="00622C9E">
        <w:rPr>
          <w:rFonts w:asciiTheme="majorHAnsi" w:hAnsiTheme="majorHAnsi"/>
          <w:b/>
          <w:bCs/>
          <w:sz w:val="20"/>
          <w:szCs w:val="20"/>
          <w:lang w:val="es-US"/>
        </w:rPr>
        <w:t xml:space="preserve"> </w:t>
      </w:r>
      <w:r w:rsidR="003239B8" w:rsidRPr="00622C9E">
        <w:rPr>
          <w:rFonts w:asciiTheme="majorHAnsi" w:hAnsiTheme="majorHAnsi"/>
          <w:b/>
          <w:bCs/>
          <w:sz w:val="20"/>
          <w:szCs w:val="20"/>
          <w:lang w:val="es-US"/>
        </w:rPr>
        <w:t xml:space="preserve">VIII. </w:t>
      </w:r>
      <w:r w:rsidR="003239B8" w:rsidRPr="00622C9E">
        <w:rPr>
          <w:rFonts w:asciiTheme="majorHAnsi" w:hAnsiTheme="majorHAnsi"/>
          <w:b/>
          <w:bCs/>
          <w:sz w:val="20"/>
          <w:szCs w:val="20"/>
          <w:lang w:val="es-US"/>
        </w:rPr>
        <w:tab/>
        <w:t>DECISIÓN</w:t>
      </w:r>
    </w:p>
    <w:p w:rsidR="003239B8" w:rsidRPr="00F55AA9" w:rsidRDefault="003239B8" w:rsidP="00911FCC">
      <w:pPr>
        <w:numPr>
          <w:ilvl w:val="0"/>
          <w:numId w:val="56"/>
        </w:numPr>
        <w:suppressAutoHyphens/>
        <w:spacing w:after="240"/>
        <w:jc w:val="both"/>
        <w:rPr>
          <w:rFonts w:ascii="Cambria" w:hAnsi="Cambria"/>
          <w:sz w:val="20"/>
          <w:szCs w:val="20"/>
          <w:lang w:val="es-US"/>
        </w:rPr>
      </w:pPr>
      <w:r w:rsidRPr="00F55AA9">
        <w:rPr>
          <w:rFonts w:ascii="Cambria" w:hAnsi="Cambria"/>
          <w:sz w:val="20"/>
          <w:szCs w:val="20"/>
          <w:lang w:val="es-US"/>
        </w:rPr>
        <w:t>Declarar admisible la pr</w:t>
      </w:r>
      <w:r w:rsidR="003224FD" w:rsidRPr="00F55AA9">
        <w:rPr>
          <w:rFonts w:ascii="Cambria" w:hAnsi="Cambria"/>
          <w:sz w:val="20"/>
          <w:szCs w:val="20"/>
          <w:lang w:val="es-US"/>
        </w:rPr>
        <w:t>esente petición en relación con los artículos 24</w:t>
      </w:r>
      <w:r w:rsidR="009C0828" w:rsidRPr="00F55AA9">
        <w:rPr>
          <w:rFonts w:ascii="Cambria" w:hAnsi="Cambria"/>
          <w:sz w:val="20"/>
          <w:szCs w:val="20"/>
          <w:lang w:val="es-US"/>
        </w:rPr>
        <w:t>, 25</w:t>
      </w:r>
      <w:r w:rsidR="003224FD" w:rsidRPr="00F55AA9">
        <w:rPr>
          <w:rFonts w:ascii="Cambria" w:hAnsi="Cambria"/>
          <w:sz w:val="20"/>
          <w:szCs w:val="20"/>
          <w:lang w:val="es-US"/>
        </w:rPr>
        <w:t xml:space="preserve"> y 26 de la Convención Americana, en concordancia con los artículos 1.1 y 2 de la misma.</w:t>
      </w:r>
    </w:p>
    <w:p w:rsidR="004A6A54" w:rsidRPr="00F55AA9" w:rsidRDefault="004A6A54" w:rsidP="00D20380">
      <w:pPr>
        <w:numPr>
          <w:ilvl w:val="0"/>
          <w:numId w:val="56"/>
        </w:numPr>
        <w:suppressAutoHyphens/>
        <w:spacing w:after="240"/>
        <w:jc w:val="both"/>
        <w:rPr>
          <w:rFonts w:ascii="Cambria" w:hAnsi="Cambria"/>
          <w:sz w:val="20"/>
          <w:szCs w:val="20"/>
          <w:lang w:val="es-US"/>
        </w:rPr>
      </w:pPr>
      <w:r w:rsidRPr="00F55AA9">
        <w:rPr>
          <w:rFonts w:ascii="Cambria" w:hAnsi="Cambria"/>
          <w:sz w:val="20"/>
          <w:szCs w:val="20"/>
          <w:lang w:val="es-US"/>
        </w:rPr>
        <w:t>Notificar a las partes la presente decisión; continuar con el análisis del fondo de la cuestión; y publicar esta decisión e incluirla en su Informe Anual a la Asamblea General de la Organización de los Estados Americanos.</w:t>
      </w:r>
    </w:p>
    <w:p w:rsidR="00106A58" w:rsidRPr="00A37B82" w:rsidRDefault="00106A58" w:rsidP="00A85F4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06A5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C70" w:rsidRDefault="00F51C70">
      <w:r>
        <w:separator/>
      </w:r>
    </w:p>
  </w:endnote>
  <w:endnote w:type="continuationSeparator" w:id="0">
    <w:p w:rsidR="00F51C70" w:rsidRDefault="00F5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30" w:rsidRDefault="00F9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9766"/>
      <w:docPartObj>
        <w:docPartGallery w:val="Page Numbers (Bottom of Page)"/>
        <w:docPartUnique/>
      </w:docPartObj>
    </w:sdtPr>
    <w:sdtEndPr>
      <w:rPr>
        <w:noProof/>
        <w:sz w:val="16"/>
        <w:szCs w:val="16"/>
      </w:rPr>
    </w:sdtEndPr>
    <w:sdtContent>
      <w:p w:rsidR="00830045" w:rsidRPr="00830045" w:rsidRDefault="00830045">
        <w:pPr>
          <w:pStyle w:val="Footer"/>
          <w:jc w:val="center"/>
          <w:rPr>
            <w:sz w:val="16"/>
            <w:szCs w:val="16"/>
          </w:rPr>
        </w:pPr>
        <w:r w:rsidRPr="00830045">
          <w:rPr>
            <w:sz w:val="16"/>
            <w:szCs w:val="16"/>
          </w:rPr>
          <w:fldChar w:fldCharType="begin"/>
        </w:r>
        <w:r w:rsidRPr="00830045">
          <w:rPr>
            <w:sz w:val="16"/>
            <w:szCs w:val="16"/>
          </w:rPr>
          <w:instrText xml:space="preserve"> PAGE   \* MERGEFORMAT </w:instrText>
        </w:r>
        <w:r w:rsidRPr="00830045">
          <w:rPr>
            <w:sz w:val="16"/>
            <w:szCs w:val="16"/>
          </w:rPr>
          <w:fldChar w:fldCharType="separate"/>
        </w:r>
        <w:r w:rsidR="00F92C30">
          <w:rPr>
            <w:noProof/>
            <w:sz w:val="16"/>
            <w:szCs w:val="16"/>
          </w:rPr>
          <w:t>1</w:t>
        </w:r>
        <w:r w:rsidRPr="00830045">
          <w:rPr>
            <w:noProof/>
            <w:sz w:val="16"/>
            <w:szCs w:val="16"/>
          </w:rPr>
          <w:fldChar w:fldCharType="end"/>
        </w:r>
      </w:p>
    </w:sdtContent>
  </w:sdt>
  <w:p w:rsidR="00243088" w:rsidRDefault="002430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88" w:rsidRPr="00934A2C" w:rsidRDefault="00243088">
    <w:pPr>
      <w:pStyle w:val="Footer"/>
      <w:jc w:val="center"/>
      <w:rPr>
        <w:sz w:val="16"/>
        <w:szCs w:val="22"/>
      </w:rPr>
    </w:pPr>
  </w:p>
  <w:p w:rsidR="00243088" w:rsidRDefault="00243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C70" w:rsidRPr="000F35ED" w:rsidRDefault="00F51C7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51C70" w:rsidRPr="000F35ED" w:rsidRDefault="00F51C70" w:rsidP="000F35ED">
      <w:pPr>
        <w:rPr>
          <w:rFonts w:asciiTheme="majorHAnsi" w:hAnsiTheme="majorHAnsi"/>
          <w:sz w:val="16"/>
          <w:szCs w:val="16"/>
        </w:rPr>
      </w:pPr>
      <w:r w:rsidRPr="000F35ED">
        <w:rPr>
          <w:rFonts w:asciiTheme="majorHAnsi" w:hAnsiTheme="majorHAnsi"/>
          <w:sz w:val="16"/>
          <w:szCs w:val="16"/>
        </w:rPr>
        <w:separator/>
      </w:r>
    </w:p>
    <w:p w:rsidR="00F51C70" w:rsidRPr="000F35ED" w:rsidRDefault="00F51C7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F51C70" w:rsidRPr="000F35ED" w:rsidRDefault="00F51C7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43088" w:rsidRPr="009C1CB2" w:rsidRDefault="00243088" w:rsidP="008C0BBD">
      <w:pPr>
        <w:pStyle w:val="FootnoteText"/>
        <w:jc w:val="both"/>
        <w:rPr>
          <w:rFonts w:asciiTheme="majorHAnsi" w:hAnsiTheme="majorHAnsi"/>
          <w:sz w:val="16"/>
          <w:szCs w:val="16"/>
          <w:lang w:val="es-ES"/>
        </w:rPr>
      </w:pPr>
      <w:r w:rsidRPr="009C1CB2">
        <w:rPr>
          <w:rStyle w:val="FootnoteReference"/>
          <w:rFonts w:asciiTheme="majorHAnsi" w:hAnsiTheme="majorHAnsi"/>
          <w:sz w:val="16"/>
          <w:szCs w:val="16"/>
        </w:rPr>
        <w:footnoteRef/>
      </w:r>
      <w:r w:rsidRPr="009C1CB2">
        <w:rPr>
          <w:rFonts w:asciiTheme="majorHAnsi" w:hAnsiTheme="majorHAnsi"/>
          <w:sz w:val="16"/>
          <w:szCs w:val="16"/>
          <w:lang w:val="es-ES"/>
        </w:rPr>
        <w:t xml:space="preserve"> Conforme a lo dispuesto en el artículo 17.2.a del Reglament</w:t>
      </w:r>
      <w:r w:rsidR="0093214C">
        <w:rPr>
          <w:rFonts w:asciiTheme="majorHAnsi" w:hAnsiTheme="majorHAnsi"/>
          <w:sz w:val="16"/>
          <w:szCs w:val="16"/>
          <w:lang w:val="es-ES"/>
        </w:rPr>
        <w:t>o de la Comisión, la Comisionada Julissa Mantilla Falcón</w:t>
      </w:r>
      <w:r w:rsidRPr="009C1CB2">
        <w:rPr>
          <w:rFonts w:asciiTheme="majorHAnsi" w:hAnsiTheme="majorHAnsi"/>
          <w:sz w:val="16"/>
          <w:szCs w:val="16"/>
          <w:lang w:val="es-ES"/>
        </w:rPr>
        <w:t>, de nacionalidad peruana, no participó en el debate ni en la decisión del presente asunto.</w:t>
      </w:r>
    </w:p>
    <w:p w:rsidR="00243088" w:rsidRPr="009C1CB2" w:rsidRDefault="00243088" w:rsidP="008C0BBD">
      <w:pPr>
        <w:pStyle w:val="FootnoteText"/>
        <w:jc w:val="both"/>
        <w:rPr>
          <w:rFonts w:asciiTheme="majorHAnsi" w:hAnsiTheme="majorHAnsi"/>
          <w:sz w:val="16"/>
          <w:szCs w:val="16"/>
          <w:lang w:val="es-ES"/>
        </w:rPr>
      </w:pPr>
      <w:r w:rsidRPr="009C1CB2">
        <w:rPr>
          <w:rFonts w:asciiTheme="majorHAnsi" w:hAnsiTheme="majorHAnsi"/>
          <w:sz w:val="16"/>
          <w:szCs w:val="16"/>
          <w:vertAlign w:val="superscript"/>
          <w:lang w:val="es-ES"/>
        </w:rPr>
        <w:t xml:space="preserve"> </w:t>
      </w:r>
      <w:r w:rsidR="001312B3" w:rsidRPr="009C1CB2">
        <w:rPr>
          <w:rFonts w:asciiTheme="majorHAnsi" w:hAnsiTheme="majorHAnsi"/>
          <w:sz w:val="16"/>
          <w:szCs w:val="16"/>
          <w:vertAlign w:val="superscript"/>
          <w:lang w:val="es-ES"/>
        </w:rPr>
        <w:t xml:space="preserve">2 </w:t>
      </w:r>
      <w:r w:rsidR="001312B3" w:rsidRPr="009C1CB2">
        <w:rPr>
          <w:rFonts w:asciiTheme="majorHAnsi" w:hAnsiTheme="majorHAnsi"/>
          <w:sz w:val="16"/>
          <w:szCs w:val="16"/>
          <w:lang w:val="es-ES"/>
        </w:rPr>
        <w:t xml:space="preserve">En </w:t>
      </w:r>
      <w:r w:rsidRPr="009C1CB2">
        <w:rPr>
          <w:rFonts w:asciiTheme="majorHAnsi" w:hAnsiTheme="majorHAnsi"/>
          <w:sz w:val="16"/>
          <w:szCs w:val="16"/>
          <w:lang w:val="es-ES"/>
        </w:rPr>
        <w:t>adelante “Convención” o “Convención Americana”.</w:t>
      </w:r>
    </w:p>
  </w:footnote>
  <w:footnote w:id="3">
    <w:p w:rsidR="00243088" w:rsidRPr="009419DA" w:rsidRDefault="00243088" w:rsidP="008C0BBD">
      <w:pPr>
        <w:pStyle w:val="FootnoteText"/>
        <w:spacing w:after="120"/>
        <w:jc w:val="both"/>
        <w:rPr>
          <w:rFonts w:ascii="Cambria" w:hAnsi="Cambria"/>
          <w:sz w:val="16"/>
          <w:szCs w:val="16"/>
          <w:lang w:val="es-ES"/>
        </w:rPr>
      </w:pPr>
      <w:r w:rsidRPr="009C1CB2">
        <w:rPr>
          <w:rFonts w:asciiTheme="majorHAnsi" w:hAnsiTheme="majorHAnsi"/>
          <w:sz w:val="16"/>
          <w:szCs w:val="16"/>
          <w:vertAlign w:val="superscript"/>
          <w:lang w:val="es-ES"/>
        </w:rPr>
        <w:t xml:space="preserve"> 3 </w:t>
      </w:r>
      <w:r w:rsidRPr="009C1CB2">
        <w:rPr>
          <w:rFonts w:asciiTheme="majorHAnsi" w:hAnsiTheme="majorHAnsi"/>
          <w:sz w:val="16"/>
          <w:szCs w:val="16"/>
          <w:lang w:val="es-ES"/>
        </w:rPr>
        <w:t>Las observaciones de cada parte fueron debidamente trasladadas a la parte contraria.</w:t>
      </w:r>
    </w:p>
  </w:footnote>
  <w:footnote w:id="4">
    <w:p w:rsidR="00243088" w:rsidRPr="009419DA" w:rsidRDefault="00243088" w:rsidP="008C0BBD">
      <w:pPr>
        <w:pStyle w:val="FootnoteText"/>
        <w:jc w:val="both"/>
        <w:rPr>
          <w:rFonts w:ascii="Cambria" w:hAnsi="Cambria"/>
          <w:sz w:val="16"/>
          <w:szCs w:val="16"/>
          <w:lang w:val="es-AR"/>
        </w:rPr>
      </w:pPr>
      <w:r w:rsidRPr="009419DA">
        <w:rPr>
          <w:rStyle w:val="FootnoteReference"/>
          <w:rFonts w:ascii="Cambria" w:hAnsi="Cambria"/>
          <w:sz w:val="16"/>
          <w:szCs w:val="16"/>
        </w:rPr>
        <w:footnoteRef/>
      </w:r>
      <w:r w:rsidRPr="009419DA">
        <w:rPr>
          <w:rFonts w:ascii="Cambria" w:hAnsi="Cambria"/>
          <w:sz w:val="16"/>
          <w:szCs w:val="16"/>
          <w:lang w:val="es-AR"/>
        </w:rPr>
        <w:t xml:space="preserve"> </w:t>
      </w:r>
      <w:r w:rsidRPr="009C1CB2">
        <w:rPr>
          <w:rFonts w:asciiTheme="majorHAnsi" w:hAnsiTheme="majorHAnsi"/>
          <w:sz w:val="16"/>
          <w:szCs w:val="16"/>
          <w:lang w:val="es-AR"/>
        </w:rPr>
        <w:t>El artículo 203 de la Constitución Política de Perú vigente al m</w:t>
      </w:r>
      <w:r w:rsidR="00A17FC3" w:rsidRPr="009C1CB2">
        <w:rPr>
          <w:rFonts w:asciiTheme="majorHAnsi" w:hAnsiTheme="majorHAnsi"/>
          <w:sz w:val="16"/>
          <w:szCs w:val="16"/>
          <w:lang w:val="es-AR"/>
        </w:rPr>
        <w:t>omento de los hechos establece que e</w:t>
      </w:r>
      <w:r w:rsidRPr="009C1CB2">
        <w:rPr>
          <w:rFonts w:asciiTheme="majorHAnsi" w:hAnsiTheme="majorHAnsi"/>
          <w:sz w:val="16"/>
          <w:szCs w:val="16"/>
          <w:lang w:val="es-AR"/>
        </w:rPr>
        <w:t xml:space="preserve">stán facultados para interponer </w:t>
      </w:r>
      <w:r w:rsidR="00A17FC3" w:rsidRPr="009C1CB2">
        <w:rPr>
          <w:rFonts w:asciiTheme="majorHAnsi" w:hAnsiTheme="majorHAnsi"/>
          <w:sz w:val="16"/>
          <w:szCs w:val="16"/>
          <w:lang w:val="es-AR"/>
        </w:rPr>
        <w:t>acción de inconstitucionalidad: El Presidente de la República, el Fiscal de la Nación, el Defensor del Pueblo, e</w:t>
      </w:r>
      <w:r w:rsidRPr="009C1CB2">
        <w:rPr>
          <w:rFonts w:asciiTheme="majorHAnsi" w:hAnsiTheme="majorHAnsi"/>
          <w:sz w:val="16"/>
          <w:szCs w:val="16"/>
          <w:lang w:val="es-AR"/>
        </w:rPr>
        <w:t>l veinticinco por ciento de</w:t>
      </w:r>
      <w:r w:rsidR="00A17FC3" w:rsidRPr="009C1CB2">
        <w:rPr>
          <w:rFonts w:asciiTheme="majorHAnsi" w:hAnsiTheme="majorHAnsi"/>
          <w:sz w:val="16"/>
          <w:szCs w:val="16"/>
          <w:lang w:val="es-AR"/>
        </w:rPr>
        <w:t>l número legal de congresistas, c</w:t>
      </w:r>
      <w:r w:rsidRPr="009C1CB2">
        <w:rPr>
          <w:rFonts w:asciiTheme="majorHAnsi" w:hAnsiTheme="majorHAnsi"/>
          <w:sz w:val="16"/>
          <w:szCs w:val="16"/>
          <w:lang w:val="es-AR"/>
        </w:rPr>
        <w:t>inco mil ciudadanos con firmas comprobadas por el Jurado Nacional de Elecciones</w:t>
      </w:r>
      <w:r w:rsidR="00A17FC3" w:rsidRPr="009C1CB2">
        <w:rPr>
          <w:rFonts w:asciiTheme="majorHAnsi" w:hAnsiTheme="majorHAnsi"/>
          <w:sz w:val="16"/>
          <w:szCs w:val="16"/>
          <w:lang w:val="es-AR"/>
        </w:rPr>
        <w:t>, l</w:t>
      </w:r>
      <w:r w:rsidRPr="009C1CB2">
        <w:rPr>
          <w:rFonts w:asciiTheme="majorHAnsi" w:hAnsiTheme="majorHAnsi"/>
          <w:sz w:val="16"/>
          <w:szCs w:val="16"/>
          <w:lang w:val="es-AR"/>
        </w:rPr>
        <w:t>os Gobernadores Regionales con acuerdo del Consejo Regional, o los alcaldes provinciales con acuerdo de su Concejo,</w:t>
      </w:r>
      <w:r w:rsidR="00A17FC3" w:rsidRPr="009C1CB2">
        <w:rPr>
          <w:rFonts w:asciiTheme="majorHAnsi" w:hAnsiTheme="majorHAnsi"/>
          <w:sz w:val="16"/>
          <w:szCs w:val="16"/>
          <w:lang w:val="es-AR"/>
        </w:rPr>
        <w:t xml:space="preserve"> en materias de su competencia, l</w:t>
      </w:r>
      <w:r w:rsidRPr="009C1CB2">
        <w:rPr>
          <w:rFonts w:asciiTheme="majorHAnsi" w:hAnsiTheme="majorHAnsi"/>
          <w:sz w:val="16"/>
          <w:szCs w:val="16"/>
          <w:lang w:val="es-AR"/>
        </w:rPr>
        <w:t>os colegios profesionales, en materias de su especialidad.</w:t>
      </w:r>
    </w:p>
  </w:footnote>
  <w:footnote w:id="5">
    <w:p w:rsidR="001459CD" w:rsidRPr="00B818AF" w:rsidRDefault="001459CD" w:rsidP="001459CD">
      <w:pPr>
        <w:pStyle w:val="NormalWeb"/>
        <w:rPr>
          <w:rFonts w:ascii="Cambria" w:hAnsi="Cambria"/>
          <w:sz w:val="16"/>
          <w:szCs w:val="16"/>
          <w:lang w:val="es-ES" w:eastAsia="en-US"/>
        </w:rPr>
      </w:pPr>
      <w:r w:rsidRPr="00B818AF">
        <w:rPr>
          <w:rStyle w:val="FootnoteReference"/>
          <w:rFonts w:ascii="Cambria" w:hAnsi="Cambria"/>
          <w:sz w:val="16"/>
          <w:szCs w:val="16"/>
        </w:rPr>
        <w:footnoteRef/>
      </w:r>
      <w:r w:rsidRPr="00B818AF">
        <w:rPr>
          <w:rFonts w:ascii="Cambria" w:hAnsi="Cambria"/>
          <w:sz w:val="16"/>
          <w:szCs w:val="16"/>
          <w:lang w:val="es-US"/>
        </w:rPr>
        <w:t xml:space="preserve"> CIDH, Informe No 51/10, </w:t>
      </w:r>
      <w:proofErr w:type="spellStart"/>
      <w:r w:rsidRPr="00B818AF">
        <w:rPr>
          <w:rFonts w:ascii="Cambria" w:hAnsi="Cambria"/>
          <w:sz w:val="16"/>
          <w:szCs w:val="16"/>
          <w:lang w:val="es-US"/>
        </w:rPr>
        <w:t>Petición</w:t>
      </w:r>
      <w:proofErr w:type="spellEnd"/>
      <w:r w:rsidRPr="00B818AF">
        <w:rPr>
          <w:rFonts w:ascii="Cambria" w:hAnsi="Cambria"/>
          <w:sz w:val="16"/>
          <w:szCs w:val="16"/>
          <w:lang w:val="es-US"/>
        </w:rPr>
        <w:t xml:space="preserve"> 1166-05, Admisibilidad, Masacres del </w:t>
      </w:r>
      <w:proofErr w:type="spellStart"/>
      <w:r w:rsidRPr="00B818AF">
        <w:rPr>
          <w:rFonts w:ascii="Cambria" w:hAnsi="Cambria"/>
          <w:sz w:val="16"/>
          <w:szCs w:val="16"/>
          <w:lang w:val="es-US"/>
        </w:rPr>
        <w:t>Tibu</w:t>
      </w:r>
      <w:proofErr w:type="spellEnd"/>
      <w:r w:rsidRPr="00B818AF">
        <w:rPr>
          <w:rFonts w:ascii="Cambria" w:hAnsi="Cambria"/>
          <w:sz w:val="16"/>
          <w:szCs w:val="16"/>
          <w:lang w:val="es-US"/>
        </w:rPr>
        <w:t xml:space="preserve">́, Colombia, </w:t>
      </w:r>
      <w:proofErr w:type="spellStart"/>
      <w:r w:rsidRPr="00B818AF">
        <w:rPr>
          <w:rFonts w:ascii="Cambria" w:hAnsi="Cambria"/>
          <w:sz w:val="16"/>
          <w:szCs w:val="16"/>
          <w:lang w:val="es-US"/>
        </w:rPr>
        <w:t>párr</w:t>
      </w:r>
      <w:proofErr w:type="spellEnd"/>
      <w:r w:rsidRPr="00B818AF">
        <w:rPr>
          <w:rFonts w:ascii="Cambria" w:hAnsi="Cambria"/>
          <w:sz w:val="16"/>
          <w:szCs w:val="16"/>
          <w:lang w:val="es-US"/>
        </w:rPr>
        <w:t xml:space="preserve">. 102; CIDH, Informe No. 86/06 Marino </w:t>
      </w:r>
      <w:proofErr w:type="spellStart"/>
      <w:r w:rsidRPr="00B818AF">
        <w:rPr>
          <w:rFonts w:ascii="Cambria" w:hAnsi="Cambria"/>
          <w:sz w:val="16"/>
          <w:szCs w:val="16"/>
          <w:lang w:val="es-US"/>
        </w:rPr>
        <w:t>López</w:t>
      </w:r>
      <w:proofErr w:type="spellEnd"/>
      <w:r w:rsidRPr="00B818AF">
        <w:rPr>
          <w:rFonts w:ascii="Cambria" w:hAnsi="Cambria"/>
          <w:sz w:val="16"/>
          <w:szCs w:val="16"/>
          <w:lang w:val="es-US"/>
        </w:rPr>
        <w:t xml:space="preserve"> y otros (</w:t>
      </w:r>
      <w:proofErr w:type="spellStart"/>
      <w:r w:rsidRPr="00B818AF">
        <w:rPr>
          <w:rFonts w:ascii="Cambria" w:hAnsi="Cambria"/>
          <w:sz w:val="16"/>
          <w:szCs w:val="16"/>
          <w:lang w:val="es-US"/>
        </w:rPr>
        <w:t>Operación</w:t>
      </w:r>
      <w:proofErr w:type="spellEnd"/>
      <w:r w:rsidRPr="00B818AF">
        <w:rPr>
          <w:rFonts w:ascii="Cambria" w:hAnsi="Cambria"/>
          <w:sz w:val="16"/>
          <w:szCs w:val="16"/>
          <w:lang w:val="es-US"/>
        </w:rPr>
        <w:t xml:space="preserve"> </w:t>
      </w:r>
      <w:proofErr w:type="spellStart"/>
      <w:r w:rsidRPr="00B818AF">
        <w:rPr>
          <w:rFonts w:ascii="Cambria" w:hAnsi="Cambria"/>
          <w:sz w:val="16"/>
          <w:szCs w:val="16"/>
          <w:lang w:val="es-US"/>
        </w:rPr>
        <w:t>Génesis</w:t>
      </w:r>
      <w:proofErr w:type="spellEnd"/>
      <w:r w:rsidRPr="00B818AF">
        <w:rPr>
          <w:rFonts w:ascii="Cambria" w:hAnsi="Cambria"/>
          <w:sz w:val="16"/>
          <w:szCs w:val="16"/>
          <w:lang w:val="es-US"/>
        </w:rPr>
        <w:t xml:space="preserve">), </w:t>
      </w:r>
      <w:proofErr w:type="spellStart"/>
      <w:r w:rsidRPr="00B818AF">
        <w:rPr>
          <w:rFonts w:ascii="Cambria" w:hAnsi="Cambria"/>
          <w:sz w:val="16"/>
          <w:szCs w:val="16"/>
          <w:lang w:val="es-US"/>
        </w:rPr>
        <w:t>párr</w:t>
      </w:r>
      <w:proofErr w:type="spellEnd"/>
      <w:r w:rsidRPr="00B818AF">
        <w:rPr>
          <w:rFonts w:ascii="Cambria" w:hAnsi="Cambria"/>
          <w:sz w:val="16"/>
          <w:szCs w:val="16"/>
          <w:lang w:val="es-US"/>
        </w:rPr>
        <w:t xml:space="preserve">. 34 e Informe No. 15/09, Masacre y desplazamiento forzado de los Montes de </w:t>
      </w:r>
      <w:proofErr w:type="spellStart"/>
      <w:r w:rsidRPr="00B818AF">
        <w:rPr>
          <w:rFonts w:ascii="Cambria" w:hAnsi="Cambria"/>
          <w:sz w:val="16"/>
          <w:szCs w:val="16"/>
          <w:lang w:val="es-US"/>
        </w:rPr>
        <w:t>María</w:t>
      </w:r>
      <w:proofErr w:type="spellEnd"/>
      <w:r w:rsidRPr="00B818AF">
        <w:rPr>
          <w:rFonts w:ascii="Cambria" w:hAnsi="Cambria"/>
          <w:sz w:val="16"/>
          <w:szCs w:val="16"/>
          <w:lang w:val="es-US"/>
        </w:rPr>
        <w:t xml:space="preserve">, </w:t>
      </w:r>
      <w:proofErr w:type="spellStart"/>
      <w:r w:rsidRPr="00B818AF">
        <w:rPr>
          <w:rFonts w:ascii="Cambria" w:hAnsi="Cambria"/>
          <w:sz w:val="16"/>
          <w:szCs w:val="16"/>
          <w:lang w:val="es-US"/>
        </w:rPr>
        <w:t>párr</w:t>
      </w:r>
      <w:proofErr w:type="spellEnd"/>
      <w:r w:rsidRPr="00B818AF">
        <w:rPr>
          <w:rFonts w:ascii="Cambria" w:hAnsi="Cambria"/>
          <w:sz w:val="16"/>
          <w:szCs w:val="16"/>
          <w:lang w:val="es-US"/>
        </w:rPr>
        <w:t xml:space="preserve">. 47. </w:t>
      </w:r>
    </w:p>
  </w:footnote>
  <w:footnote w:id="6">
    <w:p w:rsidR="008B7A8B" w:rsidRPr="001459CD" w:rsidRDefault="008B7A8B" w:rsidP="008B7A8B">
      <w:pPr>
        <w:jc w:val="both"/>
        <w:rPr>
          <w:rFonts w:ascii="Cambria" w:hAnsi="Cambria"/>
          <w:sz w:val="16"/>
          <w:szCs w:val="16"/>
          <w:lang w:val="es-ES"/>
        </w:rPr>
      </w:pPr>
      <w:r w:rsidRPr="00B818AF">
        <w:rPr>
          <w:rStyle w:val="FootnoteReference"/>
          <w:rFonts w:ascii="Cambria" w:hAnsi="Cambria"/>
          <w:sz w:val="16"/>
          <w:szCs w:val="16"/>
        </w:rPr>
        <w:footnoteRef/>
      </w:r>
      <w:r w:rsidRPr="00B818AF">
        <w:rPr>
          <w:rFonts w:ascii="Cambria" w:hAnsi="Cambria"/>
          <w:sz w:val="16"/>
          <w:szCs w:val="16"/>
          <w:lang w:val="es-ES"/>
        </w:rPr>
        <w:t xml:space="preserve"> CIDH, Informe No. 61/16, Petición 12.325. Admisibilidad. Comunidad de Paz San José de Apartadó. Colombia. 6 de diciembre de 2016, párr. 62; CIDH, Informe No. 64/15 Petición 663-04. Admisibilidad. Pueblos Mayas y miembros de las comunidades de Cristo Rey, </w:t>
      </w:r>
      <w:proofErr w:type="spellStart"/>
      <w:r w:rsidRPr="00B818AF">
        <w:rPr>
          <w:rFonts w:ascii="Cambria" w:hAnsi="Cambria"/>
          <w:sz w:val="16"/>
          <w:szCs w:val="16"/>
          <w:lang w:val="es-ES"/>
        </w:rPr>
        <w:t>Belluet</w:t>
      </w:r>
      <w:proofErr w:type="spellEnd"/>
      <w:r w:rsidRPr="00B818AF">
        <w:rPr>
          <w:rFonts w:ascii="Cambria" w:hAnsi="Cambria"/>
          <w:sz w:val="16"/>
          <w:szCs w:val="16"/>
          <w:lang w:val="es-ES"/>
        </w:rPr>
        <w:t xml:space="preserve"> </w:t>
      </w:r>
      <w:proofErr w:type="spellStart"/>
      <w:r w:rsidRPr="00B818AF">
        <w:rPr>
          <w:rFonts w:ascii="Cambria" w:hAnsi="Cambria"/>
          <w:sz w:val="16"/>
          <w:szCs w:val="16"/>
          <w:lang w:val="es-ES"/>
        </w:rPr>
        <w:t>Tree</w:t>
      </w:r>
      <w:proofErr w:type="spellEnd"/>
      <w:r w:rsidRPr="00B818AF">
        <w:rPr>
          <w:rFonts w:ascii="Cambria" w:hAnsi="Cambria"/>
          <w:sz w:val="16"/>
          <w:szCs w:val="16"/>
          <w:lang w:val="es-ES"/>
        </w:rPr>
        <w:t xml:space="preserve">, San Ignacio, Santa Elena y Santa Familia. Belice, párr. 27; CIDH, Informe Nº 51/10, Petición 1166-05, Admisibilidad, Masacres del </w:t>
      </w:r>
      <w:proofErr w:type="spellStart"/>
      <w:r w:rsidRPr="00B818AF">
        <w:rPr>
          <w:rFonts w:ascii="Cambria" w:hAnsi="Cambria"/>
          <w:sz w:val="16"/>
          <w:szCs w:val="16"/>
          <w:lang w:val="es-ES"/>
        </w:rPr>
        <w:t>Tibú</w:t>
      </w:r>
      <w:proofErr w:type="spellEnd"/>
      <w:r w:rsidRPr="00B818AF">
        <w:rPr>
          <w:rFonts w:ascii="Cambria" w:hAnsi="Cambria"/>
          <w:sz w:val="16"/>
          <w:szCs w:val="16"/>
          <w:lang w:val="es-ES"/>
        </w:rPr>
        <w:t xml:space="preserve">, Colombia, párr. 102; CIDH Informe No. 86/06 Marino López y otros (Operación Génesis), párr. </w:t>
      </w:r>
      <w:r w:rsidRPr="00B818AF">
        <w:rPr>
          <w:rFonts w:ascii="Cambria" w:hAnsi="Cambria"/>
          <w:sz w:val="16"/>
          <w:szCs w:val="16"/>
          <w:lang w:val="es-US"/>
        </w:rPr>
        <w:t>34.)</w:t>
      </w:r>
    </w:p>
    <w:p w:rsidR="008B7A8B" w:rsidRPr="001459CD" w:rsidRDefault="008B7A8B" w:rsidP="008B7A8B">
      <w:pPr>
        <w:pStyle w:val="FootnoteText"/>
        <w:keepNext/>
        <w:keepLines/>
        <w:jc w:val="both"/>
        <w:rPr>
          <w:rFonts w:ascii="Cambria" w:hAnsi="Cambria"/>
          <w:sz w:val="16"/>
          <w:szCs w:val="16"/>
          <w:lang w:val="es-ES"/>
        </w:rPr>
      </w:pPr>
    </w:p>
  </w:footnote>
  <w:footnote w:id="7">
    <w:p w:rsidR="00243088" w:rsidRPr="00964378" w:rsidRDefault="00243088" w:rsidP="008B7A8B">
      <w:pPr>
        <w:pStyle w:val="FootnoteText"/>
        <w:keepNext/>
        <w:keepLines/>
        <w:jc w:val="both"/>
        <w:rPr>
          <w:rFonts w:asciiTheme="majorHAnsi" w:hAnsiTheme="majorHAnsi"/>
          <w:sz w:val="16"/>
          <w:szCs w:val="16"/>
          <w:lang w:val="es-AR"/>
        </w:rPr>
      </w:pPr>
      <w:r w:rsidRPr="001459CD">
        <w:rPr>
          <w:rStyle w:val="FootnoteReference"/>
          <w:rFonts w:ascii="Cambria" w:hAnsi="Cambria"/>
          <w:color w:val="000000" w:themeColor="text1"/>
          <w:sz w:val="16"/>
          <w:szCs w:val="16"/>
        </w:rPr>
        <w:footnoteRef/>
      </w:r>
      <w:r w:rsidRPr="001459CD">
        <w:rPr>
          <w:rFonts w:ascii="Cambria" w:hAnsi="Cambria"/>
          <w:color w:val="000000" w:themeColor="text1"/>
          <w:sz w:val="16"/>
          <w:szCs w:val="16"/>
          <w:lang w:val="es-AR"/>
        </w:rPr>
        <w:t xml:space="preserve"> </w:t>
      </w:r>
      <w:r w:rsidRPr="001459CD">
        <w:rPr>
          <w:rFonts w:ascii="Cambria" w:hAnsi="Cambria"/>
          <w:color w:val="000000" w:themeColor="text1"/>
          <w:sz w:val="16"/>
          <w:szCs w:val="16"/>
          <w:lang w:val="es-US"/>
        </w:rPr>
        <w:t>El Presidente de la Republica, el Fiscal de la Nación, el Defensor del Pueblo, veinticinco por ciento del número legal de congresistas, cinco mil ciudadanos con firmas comprobadas</w:t>
      </w:r>
      <w:r w:rsidRPr="00D01B47">
        <w:rPr>
          <w:rFonts w:asciiTheme="majorHAnsi" w:hAnsiTheme="majorHAnsi"/>
          <w:color w:val="000000" w:themeColor="text1"/>
          <w:sz w:val="16"/>
          <w:szCs w:val="16"/>
          <w:lang w:val="es-US"/>
        </w:rPr>
        <w:t xml:space="preserve"> por el jurado Nacional de Elecciones, los presidentes de Región con acuerdo del Concejo de Coordinación Regional, los alcaldes provinciales con acuerdo de su Consejo, en materias d</w:t>
      </w:r>
      <w:r w:rsidR="00D01B47">
        <w:rPr>
          <w:rFonts w:asciiTheme="majorHAnsi" w:hAnsiTheme="majorHAnsi"/>
          <w:color w:val="000000" w:themeColor="text1"/>
          <w:sz w:val="16"/>
          <w:szCs w:val="16"/>
          <w:lang w:val="es-US"/>
        </w:rPr>
        <w:t xml:space="preserve">e su competencia o los colegios </w:t>
      </w:r>
      <w:r w:rsidRPr="00D01B47">
        <w:rPr>
          <w:rFonts w:asciiTheme="majorHAnsi" w:hAnsiTheme="majorHAnsi"/>
          <w:color w:val="000000" w:themeColor="text1"/>
          <w:sz w:val="16"/>
          <w:szCs w:val="16"/>
          <w:lang w:val="es-US"/>
        </w:rPr>
        <w:t>profesionales, en materias de su especialidad.</w:t>
      </w:r>
    </w:p>
  </w:footnote>
  <w:footnote w:id="8">
    <w:p w:rsidR="00243088" w:rsidRPr="00D01B47" w:rsidRDefault="00243088" w:rsidP="008B7A8B">
      <w:pPr>
        <w:pStyle w:val="FootnoteText"/>
        <w:rPr>
          <w:rFonts w:asciiTheme="majorHAnsi" w:hAnsiTheme="majorHAnsi"/>
          <w:sz w:val="16"/>
          <w:szCs w:val="16"/>
          <w:lang w:val="es-US"/>
        </w:rPr>
      </w:pPr>
      <w:r w:rsidRPr="00D01B47">
        <w:rPr>
          <w:rStyle w:val="FootnoteReference"/>
          <w:rFonts w:asciiTheme="majorHAnsi" w:hAnsiTheme="majorHAnsi"/>
          <w:sz w:val="16"/>
          <w:szCs w:val="16"/>
        </w:rPr>
        <w:footnoteRef/>
      </w:r>
      <w:r w:rsidRPr="00D01B47">
        <w:rPr>
          <w:rFonts w:asciiTheme="majorHAnsi" w:hAnsiTheme="majorHAnsi"/>
          <w:sz w:val="16"/>
          <w:szCs w:val="16"/>
          <w:lang w:val="es-US"/>
        </w:rPr>
        <w:t xml:space="preserve"> CIDH, Informe No. 16/18, Petición 884-07. Admisibilidad. Victoria Piedad palacios Tejada de Saavedra. Perú. 24 de febrero de 2018, párr. 12.</w:t>
      </w:r>
    </w:p>
  </w:footnote>
  <w:footnote w:id="9">
    <w:p w:rsidR="00243088" w:rsidRPr="00964378" w:rsidRDefault="00243088" w:rsidP="008B7A8B">
      <w:pPr>
        <w:pStyle w:val="FootnoteText"/>
        <w:rPr>
          <w:rFonts w:asciiTheme="majorHAnsi" w:hAnsiTheme="majorHAnsi"/>
          <w:sz w:val="16"/>
          <w:szCs w:val="16"/>
          <w:lang w:val="es-AR"/>
        </w:rPr>
      </w:pPr>
      <w:r w:rsidRPr="00D01B47">
        <w:rPr>
          <w:rStyle w:val="FootnoteReference"/>
          <w:rFonts w:asciiTheme="majorHAnsi" w:hAnsiTheme="majorHAnsi"/>
          <w:sz w:val="16"/>
          <w:szCs w:val="16"/>
        </w:rPr>
        <w:footnoteRef/>
      </w:r>
      <w:r w:rsidRPr="00D01B47">
        <w:rPr>
          <w:rFonts w:asciiTheme="majorHAnsi" w:hAnsiTheme="majorHAnsi"/>
          <w:sz w:val="16"/>
          <w:szCs w:val="16"/>
          <w:lang w:val="es-US"/>
        </w:rPr>
        <w:t xml:space="preserve"> </w:t>
      </w:r>
      <w:r w:rsidRPr="00D01B47">
        <w:rPr>
          <w:rFonts w:asciiTheme="majorHAnsi" w:hAnsiTheme="majorHAnsi"/>
          <w:sz w:val="16"/>
          <w:szCs w:val="16"/>
          <w:lang w:val="es-ES"/>
        </w:rPr>
        <w:t xml:space="preserve">CIDH, Informe No. 51/18, Petición 1779-12. Admisibilidad. Pueblos Indígenas Maya </w:t>
      </w:r>
      <w:proofErr w:type="spellStart"/>
      <w:r w:rsidRPr="00D01B47">
        <w:rPr>
          <w:rFonts w:asciiTheme="majorHAnsi" w:hAnsiTheme="majorHAnsi"/>
          <w:sz w:val="16"/>
          <w:szCs w:val="16"/>
          <w:lang w:val="es-ES"/>
        </w:rPr>
        <w:t>Kaqchikuel</w:t>
      </w:r>
      <w:proofErr w:type="spellEnd"/>
      <w:r w:rsidRPr="00D01B47">
        <w:rPr>
          <w:rFonts w:asciiTheme="majorHAnsi" w:hAnsiTheme="majorHAnsi"/>
          <w:sz w:val="16"/>
          <w:szCs w:val="16"/>
          <w:lang w:val="es-ES"/>
        </w:rPr>
        <w:t xml:space="preserve"> de </w:t>
      </w:r>
      <w:proofErr w:type="spellStart"/>
      <w:r w:rsidRPr="00D01B47">
        <w:rPr>
          <w:rFonts w:asciiTheme="majorHAnsi" w:hAnsiTheme="majorHAnsi"/>
          <w:sz w:val="16"/>
          <w:szCs w:val="16"/>
          <w:lang w:val="es-ES"/>
        </w:rPr>
        <w:t>Sumpango</w:t>
      </w:r>
      <w:proofErr w:type="spellEnd"/>
      <w:r w:rsidRPr="00D01B47">
        <w:rPr>
          <w:rFonts w:asciiTheme="majorHAnsi" w:hAnsiTheme="majorHAnsi"/>
          <w:sz w:val="16"/>
          <w:szCs w:val="16"/>
          <w:lang w:val="es-ES"/>
        </w:rPr>
        <w:t xml:space="preserve"> y otros. Guatemala. 5 de mayo de 2018, </w:t>
      </w:r>
      <w:proofErr w:type="spellStart"/>
      <w:r w:rsidRPr="00D01B47">
        <w:rPr>
          <w:rFonts w:asciiTheme="majorHAnsi" w:hAnsiTheme="majorHAnsi"/>
          <w:sz w:val="16"/>
          <w:szCs w:val="16"/>
          <w:lang w:val="es-ES"/>
        </w:rPr>
        <w:t>párrs</w:t>
      </w:r>
      <w:proofErr w:type="spellEnd"/>
      <w:r w:rsidRPr="00D01B47">
        <w:rPr>
          <w:rFonts w:asciiTheme="majorHAnsi" w:hAnsiTheme="majorHAnsi"/>
          <w:sz w:val="16"/>
          <w:szCs w:val="16"/>
          <w:lang w:val="es-ES"/>
        </w:rPr>
        <w:t>. 13, 14 y 16.</w:t>
      </w:r>
    </w:p>
  </w:footnote>
  <w:footnote w:id="10">
    <w:p w:rsidR="00243088" w:rsidRPr="00D01B47" w:rsidRDefault="00243088" w:rsidP="008B7A8B">
      <w:pPr>
        <w:pStyle w:val="FootnoteText"/>
        <w:jc w:val="both"/>
        <w:rPr>
          <w:rFonts w:asciiTheme="majorHAnsi" w:hAnsiTheme="majorHAnsi"/>
          <w:sz w:val="16"/>
          <w:szCs w:val="16"/>
          <w:lang w:val="es-ES"/>
        </w:rPr>
      </w:pPr>
      <w:r w:rsidRPr="00D01B47">
        <w:rPr>
          <w:rStyle w:val="FootnoteReference"/>
          <w:rFonts w:asciiTheme="majorHAnsi" w:hAnsiTheme="majorHAnsi"/>
          <w:sz w:val="16"/>
          <w:szCs w:val="16"/>
        </w:rPr>
        <w:footnoteRef/>
      </w:r>
      <w:r w:rsidRPr="00D01B47">
        <w:rPr>
          <w:rFonts w:asciiTheme="majorHAnsi" w:hAnsiTheme="majorHAnsi"/>
          <w:sz w:val="16"/>
          <w:szCs w:val="16"/>
          <w:lang w:val="es-ES_tradnl"/>
        </w:rPr>
        <w:t xml:space="preserve"> </w:t>
      </w:r>
      <w:r w:rsidRPr="00D01B47">
        <w:rPr>
          <w:rFonts w:asciiTheme="majorHAnsi" w:hAnsiTheme="majorHAnsi"/>
          <w:sz w:val="16"/>
          <w:szCs w:val="16"/>
          <w:lang w:val="es-ES"/>
        </w:rPr>
        <w:t xml:space="preserve">CIDH, Informe No. </w:t>
      </w:r>
      <w:r w:rsidRPr="00D01B47">
        <w:rPr>
          <w:rFonts w:asciiTheme="majorHAnsi" w:hAnsiTheme="majorHAnsi"/>
          <w:sz w:val="16"/>
          <w:szCs w:val="16"/>
          <w:lang w:val="es-ES_tradnl"/>
        </w:rPr>
        <w:t xml:space="preserve">75/14, Petición 1018-08. Admisibilidad. Ronald Moya Chacón y Freddy Parrales Chaves. Costa Rica. </w:t>
      </w:r>
      <w:r w:rsidRPr="00D01B47">
        <w:rPr>
          <w:rFonts w:asciiTheme="majorHAnsi" w:hAnsiTheme="majorHAnsi"/>
          <w:sz w:val="16"/>
          <w:szCs w:val="16"/>
          <w:lang w:val="es-ES"/>
        </w:rPr>
        <w:t>15 de agosto de 2014, párr. 32.</w:t>
      </w:r>
    </w:p>
  </w:footnote>
  <w:footnote w:id="11">
    <w:p w:rsidR="00D662DF" w:rsidRDefault="00D662DF" w:rsidP="008B7A8B">
      <w:pPr>
        <w:pStyle w:val="FootnoteText"/>
        <w:jc w:val="both"/>
        <w:rPr>
          <w:rFonts w:ascii="Cambria" w:hAnsi="Cambria"/>
          <w:sz w:val="16"/>
          <w:szCs w:val="16"/>
          <w:lang w:val="es-ES"/>
        </w:rPr>
      </w:pPr>
      <w:r>
        <w:rPr>
          <w:rFonts w:ascii="Cambria" w:hAnsi="Cambria"/>
          <w:sz w:val="16"/>
          <w:szCs w:val="16"/>
          <w:vertAlign w:val="superscript"/>
          <w:lang w:val="es-ES"/>
        </w:rPr>
        <w:footnoteRef/>
      </w:r>
      <w:r>
        <w:rPr>
          <w:rFonts w:ascii="Cambria" w:hAnsi="Cambria"/>
          <w:sz w:val="16"/>
          <w:szCs w:val="16"/>
          <w:lang w:val="es-ES"/>
        </w:rPr>
        <w:t xml:space="preserve"> Corte IDH, Caso </w:t>
      </w:r>
      <w:proofErr w:type="spellStart"/>
      <w:r>
        <w:rPr>
          <w:rFonts w:ascii="Cambria" w:hAnsi="Cambria"/>
          <w:sz w:val="16"/>
          <w:szCs w:val="16"/>
          <w:lang w:val="es-ES"/>
        </w:rPr>
        <w:t>Nadege</w:t>
      </w:r>
      <w:proofErr w:type="spellEnd"/>
      <w:r>
        <w:rPr>
          <w:rFonts w:ascii="Cambria" w:hAnsi="Cambria"/>
          <w:sz w:val="16"/>
          <w:szCs w:val="16"/>
          <w:lang w:val="es-ES"/>
        </w:rPr>
        <w:t xml:space="preserve"> </w:t>
      </w:r>
      <w:proofErr w:type="spellStart"/>
      <w:r>
        <w:rPr>
          <w:rFonts w:ascii="Cambria" w:hAnsi="Cambria"/>
          <w:sz w:val="16"/>
          <w:szCs w:val="16"/>
          <w:lang w:val="es-ES"/>
        </w:rPr>
        <w:t>Dorzema</w:t>
      </w:r>
      <w:proofErr w:type="spellEnd"/>
      <w:r>
        <w:rPr>
          <w:rFonts w:ascii="Cambria" w:hAnsi="Cambria"/>
          <w:sz w:val="16"/>
          <w:szCs w:val="16"/>
          <w:lang w:val="es-ES"/>
        </w:rPr>
        <w:t xml:space="preserve"> y otros v. República Dominicana, sentencia de 24 de octubre de 2012, </w:t>
      </w:r>
      <w:r w:rsidR="009C1CB2">
        <w:rPr>
          <w:rFonts w:ascii="Cambria" w:hAnsi="Cambria"/>
          <w:sz w:val="16"/>
          <w:szCs w:val="16"/>
          <w:lang w:val="es-ES"/>
        </w:rPr>
        <w:t>párr.</w:t>
      </w:r>
      <w:r>
        <w:rPr>
          <w:rFonts w:ascii="Cambria" w:hAnsi="Cambria"/>
          <w:sz w:val="16"/>
          <w:szCs w:val="16"/>
          <w:lang w:val="es-ES"/>
        </w:rPr>
        <w:t xml:space="preserve"> 235; Corte IDH, Caso </w:t>
      </w:r>
      <w:proofErr w:type="spellStart"/>
      <w:r>
        <w:rPr>
          <w:rFonts w:ascii="Cambria" w:hAnsi="Cambria"/>
          <w:sz w:val="16"/>
          <w:szCs w:val="16"/>
          <w:lang w:val="es-ES"/>
        </w:rPr>
        <w:t>Atala</w:t>
      </w:r>
      <w:proofErr w:type="spellEnd"/>
      <w:r>
        <w:rPr>
          <w:rFonts w:ascii="Cambria" w:hAnsi="Cambria"/>
          <w:sz w:val="16"/>
          <w:szCs w:val="16"/>
          <w:lang w:val="es-ES"/>
        </w:rPr>
        <w:t xml:space="preserve"> </w:t>
      </w:r>
      <w:proofErr w:type="spellStart"/>
      <w:r>
        <w:rPr>
          <w:rFonts w:ascii="Cambria" w:hAnsi="Cambria"/>
          <w:sz w:val="16"/>
          <w:szCs w:val="16"/>
          <w:lang w:val="es-ES"/>
        </w:rPr>
        <w:t>Riffo</w:t>
      </w:r>
      <w:proofErr w:type="spellEnd"/>
      <w:r>
        <w:rPr>
          <w:rFonts w:ascii="Cambria" w:hAnsi="Cambria"/>
          <w:sz w:val="16"/>
          <w:szCs w:val="16"/>
          <w:lang w:val="es-ES"/>
        </w:rPr>
        <w:t xml:space="preserve"> y Niñas v. Chile, sentencia de 24 de febrero de 2012, </w:t>
      </w:r>
      <w:proofErr w:type="spellStart"/>
      <w:r>
        <w:rPr>
          <w:rFonts w:ascii="Cambria" w:hAnsi="Cambria"/>
          <w:sz w:val="16"/>
          <w:szCs w:val="16"/>
          <w:lang w:val="es-ES"/>
        </w:rPr>
        <w:t>párrs</w:t>
      </w:r>
      <w:proofErr w:type="spellEnd"/>
      <w:r>
        <w:rPr>
          <w:rFonts w:ascii="Cambria" w:hAnsi="Cambria"/>
          <w:sz w:val="16"/>
          <w:szCs w:val="16"/>
          <w:lang w:val="es-ES"/>
        </w:rPr>
        <w:t>. 80, 2 y 267</w:t>
      </w:r>
      <w:r w:rsidR="00950B4E">
        <w:rPr>
          <w:rFonts w:ascii="Cambria" w:hAnsi="Cambria"/>
          <w:sz w:val="16"/>
          <w:szCs w:val="16"/>
          <w:lang w:val="es-ES"/>
        </w:rPr>
        <w:t>.</w:t>
      </w:r>
    </w:p>
  </w:footnote>
  <w:footnote w:id="12">
    <w:p w:rsidR="00BE3DB3" w:rsidRPr="00E415A7" w:rsidRDefault="00BE3DB3" w:rsidP="00BE3DB3">
      <w:pPr>
        <w:contextualSpacing/>
        <w:jc w:val="both"/>
        <w:rPr>
          <w:rFonts w:ascii="Cambria" w:hAnsi="Cambria" w:cs="Calibri"/>
          <w:i/>
          <w:sz w:val="16"/>
          <w:szCs w:val="16"/>
          <w:lang w:val="es-ES"/>
        </w:rPr>
      </w:pPr>
      <w:r w:rsidRPr="006132CC">
        <w:rPr>
          <w:rStyle w:val="FootnoteReference"/>
          <w:rFonts w:ascii="Cambria" w:eastAsia="Trebuchet MS" w:hAnsi="Cambria"/>
          <w:sz w:val="16"/>
          <w:szCs w:val="16"/>
        </w:rPr>
        <w:footnoteRef/>
      </w:r>
      <w:r w:rsidR="00E415A7" w:rsidRPr="00E415A7">
        <w:rPr>
          <w:rFonts w:ascii="Cambria" w:eastAsia="Calibri" w:hAnsi="Cambria" w:cs="Calibri"/>
          <w:color w:val="000000"/>
          <w:sz w:val="16"/>
          <w:szCs w:val="16"/>
          <w:u w:color="000000"/>
          <w:bdr w:val="nil"/>
          <w:lang w:val="es-ES" w:eastAsia="es-ES"/>
        </w:rPr>
        <w:t xml:space="preserve"> </w:t>
      </w:r>
      <w:r w:rsidRPr="00E415A7">
        <w:rPr>
          <w:rFonts w:ascii="Cambria" w:eastAsia="Calibri" w:hAnsi="Cambria" w:cs="Calibri"/>
          <w:color w:val="000000"/>
          <w:sz w:val="16"/>
          <w:szCs w:val="16"/>
          <w:u w:color="000000"/>
          <w:bdr w:val="nil"/>
          <w:lang w:val="es-ES" w:eastAsia="es-ES"/>
        </w:rPr>
        <w:t xml:space="preserve">CIDH, </w:t>
      </w:r>
      <w:r w:rsidRPr="00E415A7">
        <w:rPr>
          <w:rFonts w:ascii="Cambria" w:eastAsia="Calibri" w:hAnsi="Cambria" w:cs="Calibri"/>
          <w:i/>
          <w:color w:val="000000"/>
          <w:sz w:val="16"/>
          <w:szCs w:val="16"/>
          <w:u w:color="000000"/>
          <w:bdr w:val="nil"/>
          <w:lang w:val="es-ES" w:eastAsia="es-ES"/>
        </w:rPr>
        <w:t>El trabajo</w:t>
      </w:r>
      <w:r w:rsidRPr="00E415A7">
        <w:rPr>
          <w:rFonts w:ascii="Cambria" w:hAnsi="Cambria" w:cs="Calibri"/>
          <w:i/>
          <w:sz w:val="16"/>
          <w:szCs w:val="16"/>
          <w:lang w:val="es-ES"/>
        </w:rPr>
        <w:t xml:space="preserve">, la educación y los recursos de las mujeres: La ruta hacia la igualdad en la </w:t>
      </w:r>
      <w:r w:rsidR="00F04EF3" w:rsidRPr="00E415A7">
        <w:rPr>
          <w:rFonts w:ascii="Cambria" w:hAnsi="Cambria" w:cs="Calibri"/>
          <w:i/>
          <w:sz w:val="16"/>
          <w:szCs w:val="16"/>
          <w:lang w:val="es-ES"/>
        </w:rPr>
        <w:t>garantía</w:t>
      </w:r>
      <w:r w:rsidRPr="00E415A7">
        <w:rPr>
          <w:rFonts w:ascii="Cambria" w:hAnsi="Cambria" w:cs="Calibri"/>
          <w:i/>
          <w:sz w:val="16"/>
          <w:szCs w:val="16"/>
          <w:lang w:val="es-ES"/>
        </w:rPr>
        <w:t xml:space="preserve"> de los derechos </w:t>
      </w:r>
      <w:r w:rsidR="00F04EF3" w:rsidRPr="00E415A7">
        <w:rPr>
          <w:rFonts w:ascii="Cambria" w:hAnsi="Cambria" w:cs="Calibri"/>
          <w:i/>
          <w:sz w:val="16"/>
          <w:szCs w:val="16"/>
          <w:lang w:val="es-ES"/>
        </w:rPr>
        <w:t>económicos</w:t>
      </w:r>
      <w:r w:rsidRPr="00E415A7">
        <w:rPr>
          <w:rFonts w:ascii="Cambria" w:hAnsi="Cambria" w:cs="Calibri"/>
          <w:i/>
          <w:sz w:val="16"/>
          <w:szCs w:val="16"/>
          <w:lang w:val="es-ES"/>
        </w:rPr>
        <w:t>, sociales y culturales</w:t>
      </w:r>
      <w:r w:rsidR="00E415A7">
        <w:rPr>
          <w:rFonts w:ascii="Cambria" w:hAnsi="Cambria" w:cs="Calibri"/>
          <w:i/>
          <w:sz w:val="16"/>
          <w:szCs w:val="16"/>
          <w:lang w:val="es-ES"/>
        </w:rPr>
        <w:t>,</w:t>
      </w:r>
      <w:r w:rsidR="00E415A7" w:rsidRPr="00E415A7">
        <w:rPr>
          <w:rFonts w:ascii="Cambria" w:eastAsia="Calibri" w:hAnsi="Cambria" w:cs="Calibri"/>
          <w:color w:val="000000"/>
          <w:sz w:val="16"/>
          <w:szCs w:val="16"/>
          <w:u w:color="000000"/>
          <w:bdr w:val="nil"/>
          <w:lang w:val="es-ES" w:eastAsia="es-ES"/>
        </w:rPr>
        <w:t xml:space="preserve"> </w:t>
      </w:r>
      <w:r w:rsidR="00E415A7">
        <w:rPr>
          <w:rFonts w:ascii="Cambria" w:eastAsia="Calibri" w:hAnsi="Cambria" w:cs="Calibri"/>
          <w:color w:val="000000"/>
          <w:sz w:val="16"/>
          <w:szCs w:val="16"/>
          <w:u w:color="000000"/>
          <w:bdr w:val="nil"/>
          <w:lang w:val="es-ES" w:eastAsia="es-ES"/>
        </w:rPr>
        <w:t>OEA/</w:t>
      </w:r>
      <w:proofErr w:type="spellStart"/>
      <w:r w:rsidR="00E415A7">
        <w:rPr>
          <w:rFonts w:ascii="Cambria" w:eastAsia="Calibri" w:hAnsi="Cambria" w:cs="Calibri"/>
          <w:color w:val="000000"/>
          <w:sz w:val="16"/>
          <w:szCs w:val="16"/>
          <w:u w:color="000000"/>
          <w:bdr w:val="nil"/>
          <w:lang w:val="es-ES" w:eastAsia="es-ES"/>
        </w:rPr>
        <w:t>Ser.L</w:t>
      </w:r>
      <w:proofErr w:type="spellEnd"/>
      <w:r w:rsidR="00E415A7">
        <w:rPr>
          <w:rFonts w:ascii="Cambria" w:eastAsia="Calibri" w:hAnsi="Cambria" w:cs="Calibri"/>
          <w:color w:val="000000"/>
          <w:sz w:val="16"/>
          <w:szCs w:val="16"/>
          <w:u w:color="000000"/>
          <w:bdr w:val="nil"/>
          <w:lang w:val="es-ES" w:eastAsia="es-ES"/>
        </w:rPr>
        <w:t xml:space="preserve">/V/II.143 Doc. 59, </w:t>
      </w:r>
      <w:r w:rsidR="00E415A7" w:rsidRPr="00E415A7">
        <w:rPr>
          <w:rFonts w:ascii="Cambria" w:eastAsia="Calibri" w:hAnsi="Cambria" w:cs="Calibri"/>
          <w:color w:val="000000"/>
          <w:sz w:val="16"/>
          <w:szCs w:val="16"/>
          <w:u w:color="000000"/>
          <w:bdr w:val="nil"/>
          <w:lang w:val="es-ES" w:eastAsia="es-ES"/>
        </w:rPr>
        <w:t>3 noviembre 2011</w:t>
      </w:r>
      <w:r w:rsidR="00E415A7">
        <w:rPr>
          <w:rFonts w:ascii="Cambria" w:eastAsia="Calibri" w:hAnsi="Cambria" w:cs="Calibri"/>
          <w:color w:val="000000"/>
          <w:sz w:val="16"/>
          <w:szCs w:val="16"/>
          <w:u w:color="000000"/>
          <w:bdr w:val="nil"/>
          <w:lang w:val="es-ES" w:eastAsia="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88" w:rsidRDefault="00243088" w:rsidP="004243A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43088" w:rsidRDefault="002430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88" w:rsidRDefault="00243088"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36AD3F19" wp14:editId="2F5A621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43088" w:rsidRPr="00EC7D62" w:rsidRDefault="00F51C70" w:rsidP="00A50FCF">
    <w:pPr>
      <w:pStyle w:val="Header"/>
      <w:tabs>
        <w:tab w:val="clear" w:pos="4320"/>
        <w:tab w:val="clear" w:pos="8640"/>
      </w:tabs>
      <w:jc w:val="center"/>
      <w:rPr>
        <w:sz w:val="22"/>
        <w:szCs w:val="22"/>
      </w:rPr>
    </w:pPr>
    <w:r>
      <w:rPr>
        <w:noProof/>
        <w:sz w:val="22"/>
        <w:szCs w:val="22"/>
        <w:bdr w:val="nil"/>
      </w:rPr>
      <w:pict w14:anchorId="39712B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30" w:rsidRDefault="00F92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153EAB"/>
    <w:multiLevelType w:val="hybridMultilevel"/>
    <w:tmpl w:val="5718BF72"/>
    <w:lvl w:ilvl="0" w:tplc="BE96F0A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F1C22AD6"/>
    <w:lvl w:ilvl="0" w:tplc="A4967C2E">
      <w:start w:val="1"/>
      <w:numFmt w:val="decimal"/>
      <w:lvlText w:val="%1."/>
      <w:lvlJc w:val="left"/>
      <w:pPr>
        <w:tabs>
          <w:tab w:val="num" w:pos="720"/>
        </w:tabs>
        <w:ind w:left="0" w:firstLine="720"/>
      </w:pPr>
      <w:rPr>
        <w:rFonts w:hint="default"/>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B612CB"/>
    <w:multiLevelType w:val="hybridMultilevel"/>
    <w:tmpl w:val="4F5AB6D2"/>
    <w:lvl w:ilvl="0" w:tplc="48008720">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6A826C0"/>
    <w:multiLevelType w:val="hybridMultilevel"/>
    <w:tmpl w:val="74CAF9C4"/>
    <w:lvl w:ilvl="0" w:tplc="9E943738">
      <w:start w:val="1"/>
      <w:numFmt w:val="upperLetter"/>
      <w:lvlText w:val="%1."/>
      <w:lvlJc w:val="left"/>
      <w:pPr>
        <w:ind w:left="1080" w:hanging="360"/>
      </w:pPr>
      <w:rPr>
        <w:rFonts w:hint="default"/>
        <w:b/>
        <w:i w:val="0"/>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70087B"/>
    <w:multiLevelType w:val="hybridMultilevel"/>
    <w:tmpl w:val="C366C078"/>
    <w:lvl w:ilvl="0" w:tplc="88FCC12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B37718E"/>
    <w:multiLevelType w:val="hybridMultilevel"/>
    <w:tmpl w:val="5CD8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D802B1"/>
    <w:multiLevelType w:val="hybridMultilevel"/>
    <w:tmpl w:val="A6C66AA6"/>
    <w:lvl w:ilvl="0" w:tplc="82D4A47E">
      <w:start w:val="1"/>
      <w:numFmt w:val="decimal"/>
      <w:lvlText w:val="%1."/>
      <w:lvlJc w:val="left"/>
      <w:pPr>
        <w:tabs>
          <w:tab w:val="num" w:pos="720"/>
        </w:tabs>
        <w:ind w:left="0" w:firstLine="720"/>
      </w:pPr>
      <w:rPr>
        <w:b w:val="0"/>
        <w:sz w:val="20"/>
        <w:szCs w:val="20"/>
      </w:rPr>
    </w:lvl>
    <w:lvl w:ilvl="1" w:tplc="863070FC">
      <w:start w:val="3"/>
      <w:numFmt w:val="upperRoman"/>
      <w:lvlText w:val="%2."/>
      <w:lvlJc w:val="left"/>
      <w:pPr>
        <w:tabs>
          <w:tab w:val="num" w:pos="2160"/>
        </w:tabs>
        <w:ind w:left="2160" w:hanging="720"/>
      </w:pPr>
    </w:lvl>
    <w:lvl w:ilvl="2" w:tplc="3B048638">
      <w:start w:val="1"/>
      <w:numFmt w:val="upperLetter"/>
      <w:lvlText w:val="%3."/>
      <w:lvlJc w:val="left"/>
      <w:pPr>
        <w:tabs>
          <w:tab w:val="num" w:pos="3780"/>
        </w:tabs>
        <w:ind w:left="3780" w:hanging="144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6"/>
  </w:num>
  <w:num w:numId="4">
    <w:abstractNumId w:val="23"/>
  </w:num>
  <w:num w:numId="5">
    <w:abstractNumId w:val="48"/>
  </w:num>
  <w:num w:numId="6">
    <w:abstractNumId w:val="28"/>
  </w:num>
  <w:num w:numId="7">
    <w:abstractNumId w:val="8"/>
  </w:num>
  <w:num w:numId="8">
    <w:abstractNumId w:val="19"/>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2"/>
  </w:num>
  <w:num w:numId="52">
    <w:abstractNumId w:val="42"/>
  </w:num>
  <w:num w:numId="53">
    <w:abstractNumId w:val="53"/>
  </w:num>
  <w:num w:numId="54">
    <w:abstractNumId w:val="46"/>
  </w:num>
  <w:num w:numId="55">
    <w:abstractNumId w:val="5"/>
  </w:num>
  <w:num w:numId="56">
    <w:abstractNumId w:val="44"/>
  </w:num>
  <w:num w:numId="57">
    <w:abstractNumId w:val="16"/>
  </w:num>
  <w:num w:numId="58">
    <w:abstractNumId w:val="51"/>
  </w:num>
  <w:num w:numId="59">
    <w:abstractNumId w:val="7"/>
  </w:num>
  <w:num w:numId="60">
    <w:abstractNumId w:val="50"/>
  </w:num>
  <w:num w:numId="61">
    <w:abstractNumId w:val="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F8"/>
    <w:rsid w:val="00001D55"/>
    <w:rsid w:val="000021B1"/>
    <w:rsid w:val="000022DF"/>
    <w:rsid w:val="00004EA4"/>
    <w:rsid w:val="00006E1F"/>
    <w:rsid w:val="000070D7"/>
    <w:rsid w:val="00007A64"/>
    <w:rsid w:val="00011B2F"/>
    <w:rsid w:val="000129AC"/>
    <w:rsid w:val="00016249"/>
    <w:rsid w:val="0001788C"/>
    <w:rsid w:val="00021CDC"/>
    <w:rsid w:val="00022C2E"/>
    <w:rsid w:val="000337EF"/>
    <w:rsid w:val="00034C65"/>
    <w:rsid w:val="00040C3A"/>
    <w:rsid w:val="000419AD"/>
    <w:rsid w:val="000433C9"/>
    <w:rsid w:val="00046227"/>
    <w:rsid w:val="00047841"/>
    <w:rsid w:val="00050D4D"/>
    <w:rsid w:val="0005154D"/>
    <w:rsid w:val="00051F48"/>
    <w:rsid w:val="000610D3"/>
    <w:rsid w:val="00063DA8"/>
    <w:rsid w:val="000716C5"/>
    <w:rsid w:val="0007254F"/>
    <w:rsid w:val="00073AF7"/>
    <w:rsid w:val="00075E23"/>
    <w:rsid w:val="000810B7"/>
    <w:rsid w:val="00086DF1"/>
    <w:rsid w:val="000871AC"/>
    <w:rsid w:val="00090251"/>
    <w:rsid w:val="0009344A"/>
    <w:rsid w:val="0009605D"/>
    <w:rsid w:val="000A11F6"/>
    <w:rsid w:val="000A392E"/>
    <w:rsid w:val="000A575F"/>
    <w:rsid w:val="000A5FBC"/>
    <w:rsid w:val="000A753B"/>
    <w:rsid w:val="000B5897"/>
    <w:rsid w:val="000B6397"/>
    <w:rsid w:val="000C1399"/>
    <w:rsid w:val="000C6177"/>
    <w:rsid w:val="000C780B"/>
    <w:rsid w:val="000D06AF"/>
    <w:rsid w:val="000D10DB"/>
    <w:rsid w:val="000E06EA"/>
    <w:rsid w:val="000E14C8"/>
    <w:rsid w:val="000E5EB5"/>
    <w:rsid w:val="000F0D0A"/>
    <w:rsid w:val="000F135B"/>
    <w:rsid w:val="000F35ED"/>
    <w:rsid w:val="000F7EB4"/>
    <w:rsid w:val="0010058F"/>
    <w:rsid w:val="0010367C"/>
    <w:rsid w:val="00106A58"/>
    <w:rsid w:val="00107131"/>
    <w:rsid w:val="0010736F"/>
    <w:rsid w:val="001115FC"/>
    <w:rsid w:val="00113F73"/>
    <w:rsid w:val="00121CC2"/>
    <w:rsid w:val="00127FC0"/>
    <w:rsid w:val="001312B3"/>
    <w:rsid w:val="00133EE5"/>
    <w:rsid w:val="001459CD"/>
    <w:rsid w:val="0014662A"/>
    <w:rsid w:val="00150198"/>
    <w:rsid w:val="00154219"/>
    <w:rsid w:val="00157D3E"/>
    <w:rsid w:val="00160C3E"/>
    <w:rsid w:val="001636BC"/>
    <w:rsid w:val="00165635"/>
    <w:rsid w:val="001663D5"/>
    <w:rsid w:val="00167A34"/>
    <w:rsid w:val="00170F55"/>
    <w:rsid w:val="0017509E"/>
    <w:rsid w:val="00182D68"/>
    <w:rsid w:val="00183940"/>
    <w:rsid w:val="00194137"/>
    <w:rsid w:val="00194966"/>
    <w:rsid w:val="00194E41"/>
    <w:rsid w:val="001957C2"/>
    <w:rsid w:val="001A0205"/>
    <w:rsid w:val="001A2A4F"/>
    <w:rsid w:val="001A48AF"/>
    <w:rsid w:val="001A7870"/>
    <w:rsid w:val="001B2B3B"/>
    <w:rsid w:val="001B39CD"/>
    <w:rsid w:val="001B3A00"/>
    <w:rsid w:val="001C1B41"/>
    <w:rsid w:val="001D0F86"/>
    <w:rsid w:val="001D6480"/>
    <w:rsid w:val="001D65EF"/>
    <w:rsid w:val="001E18F3"/>
    <w:rsid w:val="001E288E"/>
    <w:rsid w:val="001E49E7"/>
    <w:rsid w:val="001E4F43"/>
    <w:rsid w:val="001E7007"/>
    <w:rsid w:val="001E7AE5"/>
    <w:rsid w:val="001F1D4E"/>
    <w:rsid w:val="001F617E"/>
    <w:rsid w:val="001F7201"/>
    <w:rsid w:val="001F7205"/>
    <w:rsid w:val="0020739C"/>
    <w:rsid w:val="00217609"/>
    <w:rsid w:val="00217ABD"/>
    <w:rsid w:val="002237A3"/>
    <w:rsid w:val="00223A29"/>
    <w:rsid w:val="002250A3"/>
    <w:rsid w:val="002305A0"/>
    <w:rsid w:val="0023156A"/>
    <w:rsid w:val="002326F4"/>
    <w:rsid w:val="00235217"/>
    <w:rsid w:val="00235831"/>
    <w:rsid w:val="00241213"/>
    <w:rsid w:val="00243088"/>
    <w:rsid w:val="00244F15"/>
    <w:rsid w:val="00246D1F"/>
    <w:rsid w:val="00247403"/>
    <w:rsid w:val="00247542"/>
    <w:rsid w:val="00250FF6"/>
    <w:rsid w:val="002525A4"/>
    <w:rsid w:val="002628CA"/>
    <w:rsid w:val="00263F26"/>
    <w:rsid w:val="00265053"/>
    <w:rsid w:val="002650B4"/>
    <w:rsid w:val="002663F0"/>
    <w:rsid w:val="00266B61"/>
    <w:rsid w:val="0026712A"/>
    <w:rsid w:val="002704DB"/>
    <w:rsid w:val="00274C9F"/>
    <w:rsid w:val="002757AC"/>
    <w:rsid w:val="0027677E"/>
    <w:rsid w:val="00286CBA"/>
    <w:rsid w:val="00292320"/>
    <w:rsid w:val="00297DAF"/>
    <w:rsid w:val="002A006A"/>
    <w:rsid w:val="002A0AAE"/>
    <w:rsid w:val="002A487B"/>
    <w:rsid w:val="002A5820"/>
    <w:rsid w:val="002B0D4C"/>
    <w:rsid w:val="002C5C70"/>
    <w:rsid w:val="002D05AE"/>
    <w:rsid w:val="002D1317"/>
    <w:rsid w:val="002D2386"/>
    <w:rsid w:val="002D2B26"/>
    <w:rsid w:val="002D705F"/>
    <w:rsid w:val="002D7067"/>
    <w:rsid w:val="002D7EA2"/>
    <w:rsid w:val="002E176E"/>
    <w:rsid w:val="002E187C"/>
    <w:rsid w:val="002E6821"/>
    <w:rsid w:val="002F4A64"/>
    <w:rsid w:val="002F59FF"/>
    <w:rsid w:val="002F7FB3"/>
    <w:rsid w:val="00302733"/>
    <w:rsid w:val="003044AD"/>
    <w:rsid w:val="003064D2"/>
    <w:rsid w:val="0030749E"/>
    <w:rsid w:val="003105AB"/>
    <w:rsid w:val="003108CE"/>
    <w:rsid w:val="00310F40"/>
    <w:rsid w:val="0031404A"/>
    <w:rsid w:val="00314078"/>
    <w:rsid w:val="00314F49"/>
    <w:rsid w:val="0031535D"/>
    <w:rsid w:val="00317C2C"/>
    <w:rsid w:val="00320BAF"/>
    <w:rsid w:val="003224FD"/>
    <w:rsid w:val="003239B8"/>
    <w:rsid w:val="00324945"/>
    <w:rsid w:val="00324BFE"/>
    <w:rsid w:val="00326152"/>
    <w:rsid w:val="0032693C"/>
    <w:rsid w:val="00327343"/>
    <w:rsid w:val="00327800"/>
    <w:rsid w:val="00330A3A"/>
    <w:rsid w:val="00330FE6"/>
    <w:rsid w:val="0033169F"/>
    <w:rsid w:val="00331F24"/>
    <w:rsid w:val="00335DF0"/>
    <w:rsid w:val="00340DE9"/>
    <w:rsid w:val="00340E76"/>
    <w:rsid w:val="00344977"/>
    <w:rsid w:val="003464CB"/>
    <w:rsid w:val="00346C95"/>
    <w:rsid w:val="00351D56"/>
    <w:rsid w:val="003544C8"/>
    <w:rsid w:val="0035491C"/>
    <w:rsid w:val="00356185"/>
    <w:rsid w:val="00360380"/>
    <w:rsid w:val="00362474"/>
    <w:rsid w:val="003630B2"/>
    <w:rsid w:val="00367AD5"/>
    <w:rsid w:val="0037126F"/>
    <w:rsid w:val="00372609"/>
    <w:rsid w:val="0037519E"/>
    <w:rsid w:val="00377C2F"/>
    <w:rsid w:val="00380305"/>
    <w:rsid w:val="00386CF0"/>
    <w:rsid w:val="0038785F"/>
    <w:rsid w:val="003918FC"/>
    <w:rsid w:val="003927B7"/>
    <w:rsid w:val="00393354"/>
    <w:rsid w:val="00394366"/>
    <w:rsid w:val="0039792A"/>
    <w:rsid w:val="003A164F"/>
    <w:rsid w:val="003A5F0F"/>
    <w:rsid w:val="003B25DA"/>
    <w:rsid w:val="003B44A6"/>
    <w:rsid w:val="003B605F"/>
    <w:rsid w:val="003B70FB"/>
    <w:rsid w:val="003C1FE1"/>
    <w:rsid w:val="003C28E0"/>
    <w:rsid w:val="003C33E8"/>
    <w:rsid w:val="003C4248"/>
    <w:rsid w:val="003C676B"/>
    <w:rsid w:val="003D08BE"/>
    <w:rsid w:val="003D3BC2"/>
    <w:rsid w:val="003D3F95"/>
    <w:rsid w:val="003D6337"/>
    <w:rsid w:val="003E2C77"/>
    <w:rsid w:val="003E2E8C"/>
    <w:rsid w:val="003E316C"/>
    <w:rsid w:val="003E574E"/>
    <w:rsid w:val="003E67B1"/>
    <w:rsid w:val="003E6CA1"/>
    <w:rsid w:val="00400A6E"/>
    <w:rsid w:val="004021A8"/>
    <w:rsid w:val="0040269D"/>
    <w:rsid w:val="004065A8"/>
    <w:rsid w:val="004107DB"/>
    <w:rsid w:val="0041262A"/>
    <w:rsid w:val="00413C74"/>
    <w:rsid w:val="00416500"/>
    <w:rsid w:val="004165C2"/>
    <w:rsid w:val="0042347A"/>
    <w:rsid w:val="004243A6"/>
    <w:rsid w:val="00435A0B"/>
    <w:rsid w:val="00441ECB"/>
    <w:rsid w:val="00445193"/>
    <w:rsid w:val="00445BF2"/>
    <w:rsid w:val="00460178"/>
    <w:rsid w:val="004624E3"/>
    <w:rsid w:val="00462C1B"/>
    <w:rsid w:val="00464182"/>
    <w:rsid w:val="00464902"/>
    <w:rsid w:val="004671AC"/>
    <w:rsid w:val="00467669"/>
    <w:rsid w:val="00467B7E"/>
    <w:rsid w:val="00473BB4"/>
    <w:rsid w:val="00474519"/>
    <w:rsid w:val="004753A1"/>
    <w:rsid w:val="00476DDD"/>
    <w:rsid w:val="00477592"/>
    <w:rsid w:val="00481B0B"/>
    <w:rsid w:val="00482135"/>
    <w:rsid w:val="00484E6F"/>
    <w:rsid w:val="00486E3D"/>
    <w:rsid w:val="00486F1C"/>
    <w:rsid w:val="0049376D"/>
    <w:rsid w:val="0049419D"/>
    <w:rsid w:val="004957AE"/>
    <w:rsid w:val="00495AE3"/>
    <w:rsid w:val="004A010C"/>
    <w:rsid w:val="004A042D"/>
    <w:rsid w:val="004A36F9"/>
    <w:rsid w:val="004A6A54"/>
    <w:rsid w:val="004B0609"/>
    <w:rsid w:val="004B1C50"/>
    <w:rsid w:val="004B3EC5"/>
    <w:rsid w:val="004B4014"/>
    <w:rsid w:val="004B486B"/>
    <w:rsid w:val="004B690B"/>
    <w:rsid w:val="004C20D2"/>
    <w:rsid w:val="004C2312"/>
    <w:rsid w:val="004C4B62"/>
    <w:rsid w:val="004C54C9"/>
    <w:rsid w:val="004D0220"/>
    <w:rsid w:val="004D13C0"/>
    <w:rsid w:val="004D4ABA"/>
    <w:rsid w:val="004D6025"/>
    <w:rsid w:val="004E2649"/>
    <w:rsid w:val="004E4860"/>
    <w:rsid w:val="004E58FA"/>
    <w:rsid w:val="004E5FD0"/>
    <w:rsid w:val="004E6324"/>
    <w:rsid w:val="004E6F6E"/>
    <w:rsid w:val="00500513"/>
    <w:rsid w:val="00501399"/>
    <w:rsid w:val="005041F0"/>
    <w:rsid w:val="00504423"/>
    <w:rsid w:val="0050633D"/>
    <w:rsid w:val="00506D42"/>
    <w:rsid w:val="00507736"/>
    <w:rsid w:val="00507BC4"/>
    <w:rsid w:val="0051165D"/>
    <w:rsid w:val="0051234B"/>
    <w:rsid w:val="005128E4"/>
    <w:rsid w:val="005133DB"/>
    <w:rsid w:val="00515BE9"/>
    <w:rsid w:val="00523E1E"/>
    <w:rsid w:val="00525560"/>
    <w:rsid w:val="005319F0"/>
    <w:rsid w:val="00537CB9"/>
    <w:rsid w:val="00540516"/>
    <w:rsid w:val="00544C49"/>
    <w:rsid w:val="005516A1"/>
    <w:rsid w:val="00562604"/>
    <w:rsid w:val="00563557"/>
    <w:rsid w:val="005657B4"/>
    <w:rsid w:val="00565AD2"/>
    <w:rsid w:val="0056696E"/>
    <w:rsid w:val="0056709D"/>
    <w:rsid w:val="0056742C"/>
    <w:rsid w:val="00567647"/>
    <w:rsid w:val="005709DD"/>
    <w:rsid w:val="0057402A"/>
    <w:rsid w:val="00574152"/>
    <w:rsid w:val="00576D2F"/>
    <w:rsid w:val="005771D0"/>
    <w:rsid w:val="005805F1"/>
    <w:rsid w:val="00580A2F"/>
    <w:rsid w:val="00584804"/>
    <w:rsid w:val="00590FC0"/>
    <w:rsid w:val="0059191A"/>
    <w:rsid w:val="005921FF"/>
    <w:rsid w:val="00594BA8"/>
    <w:rsid w:val="00594DDC"/>
    <w:rsid w:val="00594F97"/>
    <w:rsid w:val="00595AA7"/>
    <w:rsid w:val="005A0490"/>
    <w:rsid w:val="005A24ED"/>
    <w:rsid w:val="005A6D0E"/>
    <w:rsid w:val="005B1157"/>
    <w:rsid w:val="005B363A"/>
    <w:rsid w:val="005B52B0"/>
    <w:rsid w:val="005B6806"/>
    <w:rsid w:val="005C06A1"/>
    <w:rsid w:val="005C4225"/>
    <w:rsid w:val="005C6368"/>
    <w:rsid w:val="005C7CB7"/>
    <w:rsid w:val="005D138F"/>
    <w:rsid w:val="005D17CD"/>
    <w:rsid w:val="005D44A4"/>
    <w:rsid w:val="005D5293"/>
    <w:rsid w:val="005D691B"/>
    <w:rsid w:val="005D78BD"/>
    <w:rsid w:val="005E1864"/>
    <w:rsid w:val="005E340B"/>
    <w:rsid w:val="005F0DAD"/>
    <w:rsid w:val="005F0F33"/>
    <w:rsid w:val="005F48BD"/>
    <w:rsid w:val="005F5C4E"/>
    <w:rsid w:val="005F67D7"/>
    <w:rsid w:val="005F7072"/>
    <w:rsid w:val="00600DEB"/>
    <w:rsid w:val="0060494A"/>
    <w:rsid w:val="00610DC1"/>
    <w:rsid w:val="0061141A"/>
    <w:rsid w:val="00613AB9"/>
    <w:rsid w:val="006142AD"/>
    <w:rsid w:val="00615BF2"/>
    <w:rsid w:val="00616F7F"/>
    <w:rsid w:val="0062232D"/>
    <w:rsid w:val="00622646"/>
    <w:rsid w:val="00622C9E"/>
    <w:rsid w:val="00627A78"/>
    <w:rsid w:val="00627C9F"/>
    <w:rsid w:val="006311E9"/>
    <w:rsid w:val="00632354"/>
    <w:rsid w:val="00632AB7"/>
    <w:rsid w:val="00636E8C"/>
    <w:rsid w:val="0063745D"/>
    <w:rsid w:val="00642810"/>
    <w:rsid w:val="006445BB"/>
    <w:rsid w:val="00652333"/>
    <w:rsid w:val="00652F72"/>
    <w:rsid w:val="00653815"/>
    <w:rsid w:val="0066097D"/>
    <w:rsid w:val="00661AB0"/>
    <w:rsid w:val="00663042"/>
    <w:rsid w:val="00663CF1"/>
    <w:rsid w:val="0066423F"/>
    <w:rsid w:val="006744A2"/>
    <w:rsid w:val="00675980"/>
    <w:rsid w:val="00676CDC"/>
    <w:rsid w:val="0068009E"/>
    <w:rsid w:val="00683BF6"/>
    <w:rsid w:val="00685197"/>
    <w:rsid w:val="00686C86"/>
    <w:rsid w:val="00690A3E"/>
    <w:rsid w:val="00692219"/>
    <w:rsid w:val="00692D9C"/>
    <w:rsid w:val="006A0E01"/>
    <w:rsid w:val="006A17D2"/>
    <w:rsid w:val="006A1D22"/>
    <w:rsid w:val="006A73E6"/>
    <w:rsid w:val="006B04CF"/>
    <w:rsid w:val="006B2D5C"/>
    <w:rsid w:val="006B2ED6"/>
    <w:rsid w:val="006B37A7"/>
    <w:rsid w:val="006B4CA4"/>
    <w:rsid w:val="006B5070"/>
    <w:rsid w:val="006C4EB1"/>
    <w:rsid w:val="006C65C8"/>
    <w:rsid w:val="006D1319"/>
    <w:rsid w:val="006D290B"/>
    <w:rsid w:val="006D301A"/>
    <w:rsid w:val="006D5BCC"/>
    <w:rsid w:val="006D7DCA"/>
    <w:rsid w:val="006E0166"/>
    <w:rsid w:val="006E7B34"/>
    <w:rsid w:val="006F3E3C"/>
    <w:rsid w:val="00701ECC"/>
    <w:rsid w:val="0070281D"/>
    <w:rsid w:val="00702C2A"/>
    <w:rsid w:val="0070516A"/>
    <w:rsid w:val="0070697F"/>
    <w:rsid w:val="0070729D"/>
    <w:rsid w:val="00707CCE"/>
    <w:rsid w:val="007120B9"/>
    <w:rsid w:val="00714214"/>
    <w:rsid w:val="00717E92"/>
    <w:rsid w:val="0072199C"/>
    <w:rsid w:val="00721B05"/>
    <w:rsid w:val="00722C9F"/>
    <w:rsid w:val="007253B8"/>
    <w:rsid w:val="007316CA"/>
    <w:rsid w:val="00732B12"/>
    <w:rsid w:val="00733821"/>
    <w:rsid w:val="007341C6"/>
    <w:rsid w:val="0073741F"/>
    <w:rsid w:val="00737546"/>
    <w:rsid w:val="0074438D"/>
    <w:rsid w:val="00747527"/>
    <w:rsid w:val="00751A70"/>
    <w:rsid w:val="00752382"/>
    <w:rsid w:val="00755AAF"/>
    <w:rsid w:val="007659A5"/>
    <w:rsid w:val="0076643F"/>
    <w:rsid w:val="0077431D"/>
    <w:rsid w:val="007763A0"/>
    <w:rsid w:val="0077789E"/>
    <w:rsid w:val="00777F63"/>
    <w:rsid w:val="00786748"/>
    <w:rsid w:val="00786B43"/>
    <w:rsid w:val="0079078B"/>
    <w:rsid w:val="00791A67"/>
    <w:rsid w:val="0079314A"/>
    <w:rsid w:val="0079622B"/>
    <w:rsid w:val="007A4A52"/>
    <w:rsid w:val="007A5817"/>
    <w:rsid w:val="007B05C4"/>
    <w:rsid w:val="007B23FD"/>
    <w:rsid w:val="007B60E9"/>
    <w:rsid w:val="007B6CC3"/>
    <w:rsid w:val="007B76D3"/>
    <w:rsid w:val="007C1F89"/>
    <w:rsid w:val="007C2251"/>
    <w:rsid w:val="007C2F56"/>
    <w:rsid w:val="007C3334"/>
    <w:rsid w:val="007C5CB4"/>
    <w:rsid w:val="007C7A43"/>
    <w:rsid w:val="007D2B98"/>
    <w:rsid w:val="007D4D25"/>
    <w:rsid w:val="007E21BC"/>
    <w:rsid w:val="007E4794"/>
    <w:rsid w:val="007E542C"/>
    <w:rsid w:val="007E5897"/>
    <w:rsid w:val="007E7C82"/>
    <w:rsid w:val="007F588D"/>
    <w:rsid w:val="007F5C93"/>
    <w:rsid w:val="007F6068"/>
    <w:rsid w:val="007F752F"/>
    <w:rsid w:val="00803F1C"/>
    <w:rsid w:val="00804F57"/>
    <w:rsid w:val="0080600E"/>
    <w:rsid w:val="0080771D"/>
    <w:rsid w:val="0080780D"/>
    <w:rsid w:val="008079C4"/>
    <w:rsid w:val="00813D3A"/>
    <w:rsid w:val="0081645A"/>
    <w:rsid w:val="00817612"/>
    <w:rsid w:val="00817D25"/>
    <w:rsid w:val="00827259"/>
    <w:rsid w:val="00830045"/>
    <w:rsid w:val="0083258B"/>
    <w:rsid w:val="008338A4"/>
    <w:rsid w:val="00834D49"/>
    <w:rsid w:val="00837C45"/>
    <w:rsid w:val="00844730"/>
    <w:rsid w:val="008457C2"/>
    <w:rsid w:val="008470D4"/>
    <w:rsid w:val="00855646"/>
    <w:rsid w:val="00857A82"/>
    <w:rsid w:val="00860453"/>
    <w:rsid w:val="00861C0B"/>
    <w:rsid w:val="00864EE2"/>
    <w:rsid w:val="0086688F"/>
    <w:rsid w:val="008719A4"/>
    <w:rsid w:val="00873836"/>
    <w:rsid w:val="00881173"/>
    <w:rsid w:val="008817A3"/>
    <w:rsid w:val="00882753"/>
    <w:rsid w:val="00884112"/>
    <w:rsid w:val="00885737"/>
    <w:rsid w:val="008860A1"/>
    <w:rsid w:val="00890650"/>
    <w:rsid w:val="00891071"/>
    <w:rsid w:val="00896237"/>
    <w:rsid w:val="00896667"/>
    <w:rsid w:val="00897E12"/>
    <w:rsid w:val="008A0BCB"/>
    <w:rsid w:val="008A148B"/>
    <w:rsid w:val="008A259E"/>
    <w:rsid w:val="008A7B0A"/>
    <w:rsid w:val="008A7E0F"/>
    <w:rsid w:val="008B12F5"/>
    <w:rsid w:val="008B1FF6"/>
    <w:rsid w:val="008B4B89"/>
    <w:rsid w:val="008B7A8B"/>
    <w:rsid w:val="008C0BBD"/>
    <w:rsid w:val="008C30CA"/>
    <w:rsid w:val="008C612B"/>
    <w:rsid w:val="008C7019"/>
    <w:rsid w:val="008D059E"/>
    <w:rsid w:val="008D0D46"/>
    <w:rsid w:val="008D5BA9"/>
    <w:rsid w:val="008D768D"/>
    <w:rsid w:val="008E3759"/>
    <w:rsid w:val="008E3BFE"/>
    <w:rsid w:val="008E71A3"/>
    <w:rsid w:val="008F1912"/>
    <w:rsid w:val="008F1B70"/>
    <w:rsid w:val="008F6014"/>
    <w:rsid w:val="008F61FC"/>
    <w:rsid w:val="0090270B"/>
    <w:rsid w:val="009041DC"/>
    <w:rsid w:val="00911FCC"/>
    <w:rsid w:val="0091653F"/>
    <w:rsid w:val="009176B2"/>
    <w:rsid w:val="00917B5A"/>
    <w:rsid w:val="00917EDD"/>
    <w:rsid w:val="009200C1"/>
    <w:rsid w:val="00920A58"/>
    <w:rsid w:val="00920A8C"/>
    <w:rsid w:val="00920F19"/>
    <w:rsid w:val="009221C8"/>
    <w:rsid w:val="0092393D"/>
    <w:rsid w:val="0092492A"/>
    <w:rsid w:val="0093174A"/>
    <w:rsid w:val="00931A13"/>
    <w:rsid w:val="0093214C"/>
    <w:rsid w:val="00934A2C"/>
    <w:rsid w:val="00936C93"/>
    <w:rsid w:val="0093768F"/>
    <w:rsid w:val="009419DA"/>
    <w:rsid w:val="00941ED9"/>
    <w:rsid w:val="00941F8A"/>
    <w:rsid w:val="00944584"/>
    <w:rsid w:val="00944CA1"/>
    <w:rsid w:val="00945B83"/>
    <w:rsid w:val="00950278"/>
    <w:rsid w:val="00950367"/>
    <w:rsid w:val="009508DC"/>
    <w:rsid w:val="00950B4E"/>
    <w:rsid w:val="0095432A"/>
    <w:rsid w:val="00960D5D"/>
    <w:rsid w:val="00961A17"/>
    <w:rsid w:val="00962228"/>
    <w:rsid w:val="00963A6D"/>
    <w:rsid w:val="00964378"/>
    <w:rsid w:val="00967052"/>
    <w:rsid w:val="0096706E"/>
    <w:rsid w:val="00972961"/>
    <w:rsid w:val="009736A7"/>
    <w:rsid w:val="00974491"/>
    <w:rsid w:val="00975C4E"/>
    <w:rsid w:val="00981FBA"/>
    <w:rsid w:val="0098227E"/>
    <w:rsid w:val="00982FF6"/>
    <w:rsid w:val="009834C5"/>
    <w:rsid w:val="00983840"/>
    <w:rsid w:val="00983897"/>
    <w:rsid w:val="00994CDE"/>
    <w:rsid w:val="00997BC5"/>
    <w:rsid w:val="009A195E"/>
    <w:rsid w:val="009A4950"/>
    <w:rsid w:val="009A4F41"/>
    <w:rsid w:val="009A6A07"/>
    <w:rsid w:val="009B0E9F"/>
    <w:rsid w:val="009B256F"/>
    <w:rsid w:val="009B381B"/>
    <w:rsid w:val="009B4F2D"/>
    <w:rsid w:val="009B5F75"/>
    <w:rsid w:val="009B6D23"/>
    <w:rsid w:val="009C0828"/>
    <w:rsid w:val="009C1C7A"/>
    <w:rsid w:val="009C1CB2"/>
    <w:rsid w:val="009C47AC"/>
    <w:rsid w:val="009D15DD"/>
    <w:rsid w:val="009D1753"/>
    <w:rsid w:val="009D70D5"/>
    <w:rsid w:val="009D7611"/>
    <w:rsid w:val="009E0A3B"/>
    <w:rsid w:val="009E0B61"/>
    <w:rsid w:val="009E268E"/>
    <w:rsid w:val="009E53DE"/>
    <w:rsid w:val="009F054B"/>
    <w:rsid w:val="009F0A2B"/>
    <w:rsid w:val="009F2CFB"/>
    <w:rsid w:val="009F3E6E"/>
    <w:rsid w:val="009F5A1B"/>
    <w:rsid w:val="00A048A6"/>
    <w:rsid w:val="00A05284"/>
    <w:rsid w:val="00A063D3"/>
    <w:rsid w:val="00A07A47"/>
    <w:rsid w:val="00A11212"/>
    <w:rsid w:val="00A11E44"/>
    <w:rsid w:val="00A12E5C"/>
    <w:rsid w:val="00A1477C"/>
    <w:rsid w:val="00A163DB"/>
    <w:rsid w:val="00A17FC3"/>
    <w:rsid w:val="00A23047"/>
    <w:rsid w:val="00A2666B"/>
    <w:rsid w:val="00A26758"/>
    <w:rsid w:val="00A30312"/>
    <w:rsid w:val="00A328B3"/>
    <w:rsid w:val="00A336F6"/>
    <w:rsid w:val="00A367FB"/>
    <w:rsid w:val="00A36EB9"/>
    <w:rsid w:val="00A377BE"/>
    <w:rsid w:val="00A44E1C"/>
    <w:rsid w:val="00A465CE"/>
    <w:rsid w:val="00A46FCF"/>
    <w:rsid w:val="00A50FCF"/>
    <w:rsid w:val="00A51368"/>
    <w:rsid w:val="00A5267B"/>
    <w:rsid w:val="00A528D1"/>
    <w:rsid w:val="00A53CBB"/>
    <w:rsid w:val="00A553BF"/>
    <w:rsid w:val="00A56A1B"/>
    <w:rsid w:val="00A5718A"/>
    <w:rsid w:val="00A57903"/>
    <w:rsid w:val="00A610CD"/>
    <w:rsid w:val="00A63834"/>
    <w:rsid w:val="00A747B8"/>
    <w:rsid w:val="00A758AA"/>
    <w:rsid w:val="00A81D0A"/>
    <w:rsid w:val="00A82661"/>
    <w:rsid w:val="00A85F44"/>
    <w:rsid w:val="00A87D98"/>
    <w:rsid w:val="00A92F82"/>
    <w:rsid w:val="00AA09A2"/>
    <w:rsid w:val="00AA1B57"/>
    <w:rsid w:val="00AA4820"/>
    <w:rsid w:val="00AA7996"/>
    <w:rsid w:val="00AC19CB"/>
    <w:rsid w:val="00AC662E"/>
    <w:rsid w:val="00AC70D2"/>
    <w:rsid w:val="00AC770C"/>
    <w:rsid w:val="00AD5B88"/>
    <w:rsid w:val="00AD6AA1"/>
    <w:rsid w:val="00AD6C14"/>
    <w:rsid w:val="00AD7BEE"/>
    <w:rsid w:val="00AE189B"/>
    <w:rsid w:val="00AE5488"/>
    <w:rsid w:val="00AE57B0"/>
    <w:rsid w:val="00AE6F91"/>
    <w:rsid w:val="00AF3E2E"/>
    <w:rsid w:val="00AF5571"/>
    <w:rsid w:val="00AF6CB6"/>
    <w:rsid w:val="00AF7412"/>
    <w:rsid w:val="00AF78EE"/>
    <w:rsid w:val="00B02CB3"/>
    <w:rsid w:val="00B06BED"/>
    <w:rsid w:val="00B07341"/>
    <w:rsid w:val="00B1291F"/>
    <w:rsid w:val="00B165A7"/>
    <w:rsid w:val="00B206BC"/>
    <w:rsid w:val="00B254BC"/>
    <w:rsid w:val="00B26E4F"/>
    <w:rsid w:val="00B30539"/>
    <w:rsid w:val="00B314DB"/>
    <w:rsid w:val="00B361F2"/>
    <w:rsid w:val="00B36585"/>
    <w:rsid w:val="00B3690B"/>
    <w:rsid w:val="00B3718B"/>
    <w:rsid w:val="00B45FFA"/>
    <w:rsid w:val="00B4632A"/>
    <w:rsid w:val="00B50614"/>
    <w:rsid w:val="00B530F1"/>
    <w:rsid w:val="00B53E9C"/>
    <w:rsid w:val="00B54B5D"/>
    <w:rsid w:val="00B557A3"/>
    <w:rsid w:val="00B56F76"/>
    <w:rsid w:val="00B5717E"/>
    <w:rsid w:val="00B62FFF"/>
    <w:rsid w:val="00B671C2"/>
    <w:rsid w:val="00B76FA0"/>
    <w:rsid w:val="00B818AF"/>
    <w:rsid w:val="00B84B70"/>
    <w:rsid w:val="00B85F68"/>
    <w:rsid w:val="00B91DFF"/>
    <w:rsid w:val="00BA276C"/>
    <w:rsid w:val="00BB1C3B"/>
    <w:rsid w:val="00BB2390"/>
    <w:rsid w:val="00BB306F"/>
    <w:rsid w:val="00BB483C"/>
    <w:rsid w:val="00BC07EE"/>
    <w:rsid w:val="00BC4F75"/>
    <w:rsid w:val="00BC7B03"/>
    <w:rsid w:val="00BC7BC0"/>
    <w:rsid w:val="00BD0888"/>
    <w:rsid w:val="00BD0EB7"/>
    <w:rsid w:val="00BD2AA2"/>
    <w:rsid w:val="00BD2D09"/>
    <w:rsid w:val="00BD4B89"/>
    <w:rsid w:val="00BD5922"/>
    <w:rsid w:val="00BD76AB"/>
    <w:rsid w:val="00BE2FE9"/>
    <w:rsid w:val="00BE3073"/>
    <w:rsid w:val="00BE3DB3"/>
    <w:rsid w:val="00BE5199"/>
    <w:rsid w:val="00BE7975"/>
    <w:rsid w:val="00BF02CB"/>
    <w:rsid w:val="00BF0B17"/>
    <w:rsid w:val="00BF22CE"/>
    <w:rsid w:val="00BF2FE7"/>
    <w:rsid w:val="00BF6FD8"/>
    <w:rsid w:val="00BF7730"/>
    <w:rsid w:val="00C018AE"/>
    <w:rsid w:val="00C03680"/>
    <w:rsid w:val="00C054DF"/>
    <w:rsid w:val="00C0562F"/>
    <w:rsid w:val="00C07905"/>
    <w:rsid w:val="00C12E9F"/>
    <w:rsid w:val="00C1509F"/>
    <w:rsid w:val="00C21237"/>
    <w:rsid w:val="00C21548"/>
    <w:rsid w:val="00C215A8"/>
    <w:rsid w:val="00C21762"/>
    <w:rsid w:val="00C21C8D"/>
    <w:rsid w:val="00C21FEF"/>
    <w:rsid w:val="00C24543"/>
    <w:rsid w:val="00C256A2"/>
    <w:rsid w:val="00C26FB4"/>
    <w:rsid w:val="00C35C62"/>
    <w:rsid w:val="00C433B2"/>
    <w:rsid w:val="00C442CA"/>
    <w:rsid w:val="00C4461A"/>
    <w:rsid w:val="00C45206"/>
    <w:rsid w:val="00C45E32"/>
    <w:rsid w:val="00C45E6E"/>
    <w:rsid w:val="00C51270"/>
    <w:rsid w:val="00C51515"/>
    <w:rsid w:val="00C5571E"/>
    <w:rsid w:val="00C5660B"/>
    <w:rsid w:val="00C575B0"/>
    <w:rsid w:val="00C61419"/>
    <w:rsid w:val="00C63BFC"/>
    <w:rsid w:val="00C66B72"/>
    <w:rsid w:val="00C7017B"/>
    <w:rsid w:val="00C715C5"/>
    <w:rsid w:val="00C73AA0"/>
    <w:rsid w:val="00C777E6"/>
    <w:rsid w:val="00C85647"/>
    <w:rsid w:val="00C87AC4"/>
    <w:rsid w:val="00C90F40"/>
    <w:rsid w:val="00C9567A"/>
    <w:rsid w:val="00C96B19"/>
    <w:rsid w:val="00CA29F7"/>
    <w:rsid w:val="00CA5224"/>
    <w:rsid w:val="00CB1A99"/>
    <w:rsid w:val="00CB212D"/>
    <w:rsid w:val="00CB2637"/>
    <w:rsid w:val="00CB2660"/>
    <w:rsid w:val="00CB674F"/>
    <w:rsid w:val="00CC014A"/>
    <w:rsid w:val="00CC1B80"/>
    <w:rsid w:val="00CC26F4"/>
    <w:rsid w:val="00CC5E90"/>
    <w:rsid w:val="00CD046C"/>
    <w:rsid w:val="00CD10BD"/>
    <w:rsid w:val="00CD1B2D"/>
    <w:rsid w:val="00CD2992"/>
    <w:rsid w:val="00CD4B42"/>
    <w:rsid w:val="00CE076C"/>
    <w:rsid w:val="00CE2A23"/>
    <w:rsid w:val="00CE5199"/>
    <w:rsid w:val="00CE66D5"/>
    <w:rsid w:val="00CF07A4"/>
    <w:rsid w:val="00CF090D"/>
    <w:rsid w:val="00CF38D1"/>
    <w:rsid w:val="00CF3D59"/>
    <w:rsid w:val="00CF637A"/>
    <w:rsid w:val="00CF7676"/>
    <w:rsid w:val="00D0151B"/>
    <w:rsid w:val="00D01B47"/>
    <w:rsid w:val="00D04094"/>
    <w:rsid w:val="00D059DE"/>
    <w:rsid w:val="00D05ABD"/>
    <w:rsid w:val="00D05AF2"/>
    <w:rsid w:val="00D12D50"/>
    <w:rsid w:val="00D13434"/>
    <w:rsid w:val="00D13FCE"/>
    <w:rsid w:val="00D15E4C"/>
    <w:rsid w:val="00D20380"/>
    <w:rsid w:val="00D232C4"/>
    <w:rsid w:val="00D25B27"/>
    <w:rsid w:val="00D306D1"/>
    <w:rsid w:val="00D30800"/>
    <w:rsid w:val="00D31DF8"/>
    <w:rsid w:val="00D33C74"/>
    <w:rsid w:val="00D34786"/>
    <w:rsid w:val="00D37BFC"/>
    <w:rsid w:val="00D37EF9"/>
    <w:rsid w:val="00D418CE"/>
    <w:rsid w:val="00D476B4"/>
    <w:rsid w:val="00D47A8E"/>
    <w:rsid w:val="00D50C2E"/>
    <w:rsid w:val="00D524BA"/>
    <w:rsid w:val="00D52D14"/>
    <w:rsid w:val="00D53471"/>
    <w:rsid w:val="00D53472"/>
    <w:rsid w:val="00D600A8"/>
    <w:rsid w:val="00D60739"/>
    <w:rsid w:val="00D61ED3"/>
    <w:rsid w:val="00D649BB"/>
    <w:rsid w:val="00D662DF"/>
    <w:rsid w:val="00D66A61"/>
    <w:rsid w:val="00D712D3"/>
    <w:rsid w:val="00D71422"/>
    <w:rsid w:val="00D72DC6"/>
    <w:rsid w:val="00D73031"/>
    <w:rsid w:val="00D7558D"/>
    <w:rsid w:val="00D81D92"/>
    <w:rsid w:val="00D82C20"/>
    <w:rsid w:val="00D876F9"/>
    <w:rsid w:val="00D90F52"/>
    <w:rsid w:val="00D951AE"/>
    <w:rsid w:val="00D9624D"/>
    <w:rsid w:val="00DA20CF"/>
    <w:rsid w:val="00DA3A56"/>
    <w:rsid w:val="00DA7B5F"/>
    <w:rsid w:val="00DB0C6C"/>
    <w:rsid w:val="00DC11E7"/>
    <w:rsid w:val="00DC143C"/>
    <w:rsid w:val="00DC1A87"/>
    <w:rsid w:val="00DC506A"/>
    <w:rsid w:val="00DC6DD7"/>
    <w:rsid w:val="00DC7023"/>
    <w:rsid w:val="00DC769A"/>
    <w:rsid w:val="00DC7F40"/>
    <w:rsid w:val="00DD0C22"/>
    <w:rsid w:val="00DD3D01"/>
    <w:rsid w:val="00DD3D86"/>
    <w:rsid w:val="00DD45C1"/>
    <w:rsid w:val="00DD4AD2"/>
    <w:rsid w:val="00DD6275"/>
    <w:rsid w:val="00DD63F1"/>
    <w:rsid w:val="00DD7C0F"/>
    <w:rsid w:val="00DE2722"/>
    <w:rsid w:val="00DF1EC4"/>
    <w:rsid w:val="00DF66FA"/>
    <w:rsid w:val="00E02FF3"/>
    <w:rsid w:val="00E0340B"/>
    <w:rsid w:val="00E04A90"/>
    <w:rsid w:val="00E0551F"/>
    <w:rsid w:val="00E11636"/>
    <w:rsid w:val="00E12054"/>
    <w:rsid w:val="00E219C7"/>
    <w:rsid w:val="00E279EF"/>
    <w:rsid w:val="00E3392E"/>
    <w:rsid w:val="00E36A0B"/>
    <w:rsid w:val="00E4118C"/>
    <w:rsid w:val="00E415A7"/>
    <w:rsid w:val="00E42B42"/>
    <w:rsid w:val="00E43157"/>
    <w:rsid w:val="00E461CE"/>
    <w:rsid w:val="00E4779B"/>
    <w:rsid w:val="00E6007D"/>
    <w:rsid w:val="00E71F07"/>
    <w:rsid w:val="00E720CA"/>
    <w:rsid w:val="00E74440"/>
    <w:rsid w:val="00E765BD"/>
    <w:rsid w:val="00E77F60"/>
    <w:rsid w:val="00E8014E"/>
    <w:rsid w:val="00E84EB5"/>
    <w:rsid w:val="00E85662"/>
    <w:rsid w:val="00E8789F"/>
    <w:rsid w:val="00E87E18"/>
    <w:rsid w:val="00E90740"/>
    <w:rsid w:val="00E913B2"/>
    <w:rsid w:val="00E92D5F"/>
    <w:rsid w:val="00E94D9F"/>
    <w:rsid w:val="00E9612E"/>
    <w:rsid w:val="00E97961"/>
    <w:rsid w:val="00E97B71"/>
    <w:rsid w:val="00EA03E6"/>
    <w:rsid w:val="00EA083C"/>
    <w:rsid w:val="00EA3D34"/>
    <w:rsid w:val="00EA477F"/>
    <w:rsid w:val="00EB07FF"/>
    <w:rsid w:val="00EB3BBB"/>
    <w:rsid w:val="00EB4538"/>
    <w:rsid w:val="00EB454D"/>
    <w:rsid w:val="00EC4B6F"/>
    <w:rsid w:val="00ED090F"/>
    <w:rsid w:val="00ED21AA"/>
    <w:rsid w:val="00ED27F9"/>
    <w:rsid w:val="00ED3C0C"/>
    <w:rsid w:val="00ED4BBD"/>
    <w:rsid w:val="00ED549D"/>
    <w:rsid w:val="00ED76BE"/>
    <w:rsid w:val="00EE00E9"/>
    <w:rsid w:val="00EE750B"/>
    <w:rsid w:val="00EF4B50"/>
    <w:rsid w:val="00EF619B"/>
    <w:rsid w:val="00F00B55"/>
    <w:rsid w:val="00F0155E"/>
    <w:rsid w:val="00F01617"/>
    <w:rsid w:val="00F02AD1"/>
    <w:rsid w:val="00F04797"/>
    <w:rsid w:val="00F04EF3"/>
    <w:rsid w:val="00F05837"/>
    <w:rsid w:val="00F1415A"/>
    <w:rsid w:val="00F145DE"/>
    <w:rsid w:val="00F21098"/>
    <w:rsid w:val="00F23211"/>
    <w:rsid w:val="00F253CC"/>
    <w:rsid w:val="00F261B9"/>
    <w:rsid w:val="00F37106"/>
    <w:rsid w:val="00F401E0"/>
    <w:rsid w:val="00F42126"/>
    <w:rsid w:val="00F452AF"/>
    <w:rsid w:val="00F519CF"/>
    <w:rsid w:val="00F51C70"/>
    <w:rsid w:val="00F522F0"/>
    <w:rsid w:val="00F5473C"/>
    <w:rsid w:val="00F55AA9"/>
    <w:rsid w:val="00F56BA5"/>
    <w:rsid w:val="00F60E22"/>
    <w:rsid w:val="00F67D93"/>
    <w:rsid w:val="00F70EE0"/>
    <w:rsid w:val="00F71542"/>
    <w:rsid w:val="00F7345E"/>
    <w:rsid w:val="00F81385"/>
    <w:rsid w:val="00F81395"/>
    <w:rsid w:val="00F813AB"/>
    <w:rsid w:val="00F81BB8"/>
    <w:rsid w:val="00F85338"/>
    <w:rsid w:val="00F85961"/>
    <w:rsid w:val="00F915B2"/>
    <w:rsid w:val="00F917D1"/>
    <w:rsid w:val="00F92C30"/>
    <w:rsid w:val="00F9466B"/>
    <w:rsid w:val="00F96281"/>
    <w:rsid w:val="00F9653B"/>
    <w:rsid w:val="00F97502"/>
    <w:rsid w:val="00FA1E0C"/>
    <w:rsid w:val="00FA5CBE"/>
    <w:rsid w:val="00FB2CC6"/>
    <w:rsid w:val="00FB3B6E"/>
    <w:rsid w:val="00FB3E62"/>
    <w:rsid w:val="00FB62CF"/>
    <w:rsid w:val="00FB6910"/>
    <w:rsid w:val="00FC3D47"/>
    <w:rsid w:val="00FD3C3B"/>
    <w:rsid w:val="00FD5CEF"/>
    <w:rsid w:val="00FE07DD"/>
    <w:rsid w:val="00FE4D3F"/>
    <w:rsid w:val="00FE4F93"/>
    <w:rsid w:val="00FE6744"/>
    <w:rsid w:val="00FE6B45"/>
    <w:rsid w:val="00FE7F99"/>
    <w:rsid w:val="00FF55F3"/>
    <w:rsid w:val="00FF5851"/>
    <w:rsid w:val="00FF743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0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fr-FR" w:eastAsia="fr-FR"/>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val="fr-FR" w:eastAsia="fr-FR"/>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37A7"/>
    <w:rPr>
      <w:color w:val="808080"/>
    </w:rPr>
  </w:style>
  <w:style w:type="character" w:styleId="CommentReference">
    <w:name w:val="annotation reference"/>
    <w:basedOn w:val="DefaultParagraphFont"/>
    <w:uiPriority w:val="99"/>
    <w:semiHidden/>
    <w:unhideWhenUsed/>
    <w:rsid w:val="00931A13"/>
    <w:rPr>
      <w:sz w:val="16"/>
      <w:szCs w:val="16"/>
    </w:rPr>
  </w:style>
  <w:style w:type="paragraph" w:styleId="CommentText">
    <w:name w:val="annotation text"/>
    <w:basedOn w:val="Normal"/>
    <w:link w:val="CommentTextChar"/>
    <w:uiPriority w:val="99"/>
    <w:unhideWhenUsed/>
    <w:rsid w:val="00931A13"/>
    <w:rPr>
      <w:sz w:val="20"/>
      <w:szCs w:val="20"/>
    </w:rPr>
  </w:style>
  <w:style w:type="character" w:customStyle="1" w:styleId="CommentTextChar">
    <w:name w:val="Comment Text Char"/>
    <w:basedOn w:val="DefaultParagraphFont"/>
    <w:link w:val="CommentText"/>
    <w:uiPriority w:val="99"/>
    <w:rsid w:val="00931A13"/>
    <w:rPr>
      <w:lang w:val="en-US" w:eastAsia="en-US"/>
    </w:rPr>
  </w:style>
  <w:style w:type="paragraph" w:styleId="CommentSubject">
    <w:name w:val="annotation subject"/>
    <w:basedOn w:val="CommentText"/>
    <w:next w:val="CommentText"/>
    <w:link w:val="CommentSubjectChar"/>
    <w:uiPriority w:val="99"/>
    <w:semiHidden/>
    <w:unhideWhenUsed/>
    <w:rsid w:val="00931A13"/>
    <w:rPr>
      <w:b/>
      <w:bCs/>
    </w:rPr>
  </w:style>
  <w:style w:type="character" w:customStyle="1" w:styleId="CommentSubjectChar">
    <w:name w:val="Comment Subject Char"/>
    <w:basedOn w:val="CommentTextChar"/>
    <w:link w:val="CommentSubject"/>
    <w:uiPriority w:val="99"/>
    <w:semiHidden/>
    <w:rsid w:val="00931A13"/>
    <w:rPr>
      <w:b/>
      <w:bCs/>
      <w:lang w:val="en-US" w:eastAsia="en-US"/>
    </w:rPr>
  </w:style>
  <w:style w:type="paragraph" w:styleId="Revision">
    <w:name w:val="Revision"/>
    <w:hidden/>
    <w:uiPriority w:val="99"/>
    <w:semiHidden/>
    <w:rsid w:val="006A1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mphasis">
    <w:name w:val="Emphasis"/>
    <w:basedOn w:val="DefaultParagraphFont"/>
    <w:uiPriority w:val="20"/>
    <w:qFormat/>
    <w:rsid w:val="00653815"/>
    <w:rPr>
      <w:i/>
      <w:iCs/>
    </w:rPr>
  </w:style>
  <w:style w:type="paragraph" w:styleId="NormalWeb">
    <w:name w:val="Normal (Web)"/>
    <w:basedOn w:val="Normal"/>
    <w:uiPriority w:val="99"/>
    <w:unhideWhenUsed/>
    <w:rsid w:val="00DD63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568">
      <w:bodyDiv w:val="1"/>
      <w:marLeft w:val="0"/>
      <w:marRight w:val="0"/>
      <w:marTop w:val="0"/>
      <w:marBottom w:val="0"/>
      <w:divBdr>
        <w:top w:val="none" w:sz="0" w:space="0" w:color="auto"/>
        <w:left w:val="none" w:sz="0" w:space="0" w:color="auto"/>
        <w:bottom w:val="none" w:sz="0" w:space="0" w:color="auto"/>
        <w:right w:val="none" w:sz="0" w:space="0" w:color="auto"/>
      </w:divBdr>
    </w:div>
    <w:div w:id="43602057">
      <w:bodyDiv w:val="1"/>
      <w:marLeft w:val="0"/>
      <w:marRight w:val="0"/>
      <w:marTop w:val="0"/>
      <w:marBottom w:val="0"/>
      <w:divBdr>
        <w:top w:val="none" w:sz="0" w:space="0" w:color="auto"/>
        <w:left w:val="none" w:sz="0" w:space="0" w:color="auto"/>
        <w:bottom w:val="none" w:sz="0" w:space="0" w:color="auto"/>
        <w:right w:val="none" w:sz="0" w:space="0" w:color="auto"/>
      </w:divBdr>
    </w:div>
    <w:div w:id="63843954">
      <w:bodyDiv w:val="1"/>
      <w:marLeft w:val="0"/>
      <w:marRight w:val="0"/>
      <w:marTop w:val="0"/>
      <w:marBottom w:val="0"/>
      <w:divBdr>
        <w:top w:val="none" w:sz="0" w:space="0" w:color="auto"/>
        <w:left w:val="none" w:sz="0" w:space="0" w:color="auto"/>
        <w:bottom w:val="none" w:sz="0" w:space="0" w:color="auto"/>
        <w:right w:val="none" w:sz="0" w:space="0" w:color="auto"/>
      </w:divBdr>
    </w:div>
    <w:div w:id="152644202">
      <w:bodyDiv w:val="1"/>
      <w:marLeft w:val="0"/>
      <w:marRight w:val="0"/>
      <w:marTop w:val="0"/>
      <w:marBottom w:val="0"/>
      <w:divBdr>
        <w:top w:val="none" w:sz="0" w:space="0" w:color="auto"/>
        <w:left w:val="none" w:sz="0" w:space="0" w:color="auto"/>
        <w:bottom w:val="none" w:sz="0" w:space="0" w:color="auto"/>
        <w:right w:val="none" w:sz="0" w:space="0" w:color="auto"/>
      </w:divBdr>
    </w:div>
    <w:div w:id="391924884">
      <w:bodyDiv w:val="1"/>
      <w:marLeft w:val="0"/>
      <w:marRight w:val="0"/>
      <w:marTop w:val="0"/>
      <w:marBottom w:val="0"/>
      <w:divBdr>
        <w:top w:val="none" w:sz="0" w:space="0" w:color="auto"/>
        <w:left w:val="none" w:sz="0" w:space="0" w:color="auto"/>
        <w:bottom w:val="none" w:sz="0" w:space="0" w:color="auto"/>
        <w:right w:val="none" w:sz="0" w:space="0" w:color="auto"/>
      </w:divBdr>
    </w:div>
    <w:div w:id="414598674">
      <w:bodyDiv w:val="1"/>
      <w:marLeft w:val="0"/>
      <w:marRight w:val="0"/>
      <w:marTop w:val="0"/>
      <w:marBottom w:val="0"/>
      <w:divBdr>
        <w:top w:val="none" w:sz="0" w:space="0" w:color="auto"/>
        <w:left w:val="none" w:sz="0" w:space="0" w:color="auto"/>
        <w:bottom w:val="none" w:sz="0" w:space="0" w:color="auto"/>
        <w:right w:val="none" w:sz="0" w:space="0" w:color="auto"/>
      </w:divBdr>
    </w:div>
    <w:div w:id="431973430">
      <w:bodyDiv w:val="1"/>
      <w:marLeft w:val="0"/>
      <w:marRight w:val="0"/>
      <w:marTop w:val="0"/>
      <w:marBottom w:val="0"/>
      <w:divBdr>
        <w:top w:val="none" w:sz="0" w:space="0" w:color="auto"/>
        <w:left w:val="none" w:sz="0" w:space="0" w:color="auto"/>
        <w:bottom w:val="none" w:sz="0" w:space="0" w:color="auto"/>
        <w:right w:val="none" w:sz="0" w:space="0" w:color="auto"/>
      </w:divBdr>
    </w:div>
    <w:div w:id="484786148">
      <w:bodyDiv w:val="1"/>
      <w:marLeft w:val="0"/>
      <w:marRight w:val="0"/>
      <w:marTop w:val="0"/>
      <w:marBottom w:val="0"/>
      <w:divBdr>
        <w:top w:val="none" w:sz="0" w:space="0" w:color="auto"/>
        <w:left w:val="none" w:sz="0" w:space="0" w:color="auto"/>
        <w:bottom w:val="none" w:sz="0" w:space="0" w:color="auto"/>
        <w:right w:val="none" w:sz="0" w:space="0" w:color="auto"/>
      </w:divBdr>
    </w:div>
    <w:div w:id="664285955">
      <w:bodyDiv w:val="1"/>
      <w:marLeft w:val="0"/>
      <w:marRight w:val="0"/>
      <w:marTop w:val="0"/>
      <w:marBottom w:val="0"/>
      <w:divBdr>
        <w:top w:val="none" w:sz="0" w:space="0" w:color="auto"/>
        <w:left w:val="none" w:sz="0" w:space="0" w:color="auto"/>
        <w:bottom w:val="none" w:sz="0" w:space="0" w:color="auto"/>
        <w:right w:val="none" w:sz="0" w:space="0" w:color="auto"/>
      </w:divBdr>
    </w:div>
    <w:div w:id="1054278112">
      <w:bodyDiv w:val="1"/>
      <w:marLeft w:val="0"/>
      <w:marRight w:val="0"/>
      <w:marTop w:val="0"/>
      <w:marBottom w:val="0"/>
      <w:divBdr>
        <w:top w:val="none" w:sz="0" w:space="0" w:color="auto"/>
        <w:left w:val="none" w:sz="0" w:space="0" w:color="auto"/>
        <w:bottom w:val="none" w:sz="0" w:space="0" w:color="auto"/>
        <w:right w:val="none" w:sz="0" w:space="0" w:color="auto"/>
      </w:divBdr>
    </w:div>
    <w:div w:id="1256481272">
      <w:bodyDiv w:val="1"/>
      <w:marLeft w:val="0"/>
      <w:marRight w:val="0"/>
      <w:marTop w:val="0"/>
      <w:marBottom w:val="0"/>
      <w:divBdr>
        <w:top w:val="none" w:sz="0" w:space="0" w:color="auto"/>
        <w:left w:val="none" w:sz="0" w:space="0" w:color="auto"/>
        <w:bottom w:val="none" w:sz="0" w:space="0" w:color="auto"/>
        <w:right w:val="none" w:sz="0" w:space="0" w:color="auto"/>
      </w:divBdr>
    </w:div>
    <w:div w:id="1310936432">
      <w:bodyDiv w:val="1"/>
      <w:marLeft w:val="0"/>
      <w:marRight w:val="0"/>
      <w:marTop w:val="0"/>
      <w:marBottom w:val="0"/>
      <w:divBdr>
        <w:top w:val="none" w:sz="0" w:space="0" w:color="auto"/>
        <w:left w:val="none" w:sz="0" w:space="0" w:color="auto"/>
        <w:bottom w:val="none" w:sz="0" w:space="0" w:color="auto"/>
        <w:right w:val="none" w:sz="0" w:space="0" w:color="auto"/>
      </w:divBdr>
    </w:div>
    <w:div w:id="14564068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89466142">
      <w:bodyDiv w:val="1"/>
      <w:marLeft w:val="0"/>
      <w:marRight w:val="0"/>
      <w:marTop w:val="0"/>
      <w:marBottom w:val="0"/>
      <w:divBdr>
        <w:top w:val="none" w:sz="0" w:space="0" w:color="auto"/>
        <w:left w:val="none" w:sz="0" w:space="0" w:color="auto"/>
        <w:bottom w:val="none" w:sz="0" w:space="0" w:color="auto"/>
        <w:right w:val="none" w:sz="0" w:space="0" w:color="auto"/>
      </w:divBdr>
    </w:div>
    <w:div w:id="1800144607">
      <w:bodyDiv w:val="1"/>
      <w:marLeft w:val="0"/>
      <w:marRight w:val="0"/>
      <w:marTop w:val="0"/>
      <w:marBottom w:val="0"/>
      <w:divBdr>
        <w:top w:val="none" w:sz="0" w:space="0" w:color="auto"/>
        <w:left w:val="none" w:sz="0" w:space="0" w:color="auto"/>
        <w:bottom w:val="none" w:sz="0" w:space="0" w:color="auto"/>
        <w:right w:val="none" w:sz="0" w:space="0" w:color="auto"/>
      </w:divBdr>
    </w:div>
    <w:div w:id="1813281735">
      <w:bodyDiv w:val="1"/>
      <w:marLeft w:val="0"/>
      <w:marRight w:val="0"/>
      <w:marTop w:val="0"/>
      <w:marBottom w:val="0"/>
      <w:divBdr>
        <w:top w:val="none" w:sz="0" w:space="0" w:color="auto"/>
        <w:left w:val="none" w:sz="0" w:space="0" w:color="auto"/>
        <w:bottom w:val="none" w:sz="0" w:space="0" w:color="auto"/>
        <w:right w:val="none" w:sz="0" w:space="0" w:color="auto"/>
      </w:divBdr>
    </w:div>
    <w:div w:id="1823738508">
      <w:bodyDiv w:val="1"/>
      <w:marLeft w:val="0"/>
      <w:marRight w:val="0"/>
      <w:marTop w:val="0"/>
      <w:marBottom w:val="0"/>
      <w:divBdr>
        <w:top w:val="none" w:sz="0" w:space="0" w:color="auto"/>
        <w:left w:val="none" w:sz="0" w:space="0" w:color="auto"/>
        <w:bottom w:val="none" w:sz="0" w:space="0" w:color="auto"/>
        <w:right w:val="none" w:sz="0" w:space="0" w:color="auto"/>
      </w:divBdr>
    </w:div>
    <w:div w:id="1933126085">
      <w:bodyDiv w:val="1"/>
      <w:marLeft w:val="0"/>
      <w:marRight w:val="0"/>
      <w:marTop w:val="0"/>
      <w:marBottom w:val="0"/>
      <w:divBdr>
        <w:top w:val="none" w:sz="0" w:space="0" w:color="auto"/>
        <w:left w:val="none" w:sz="0" w:space="0" w:color="auto"/>
        <w:bottom w:val="none" w:sz="0" w:space="0" w:color="auto"/>
        <w:right w:val="none" w:sz="0" w:space="0" w:color="auto"/>
      </w:divBdr>
    </w:div>
    <w:div w:id="1942375485">
      <w:bodyDiv w:val="1"/>
      <w:marLeft w:val="0"/>
      <w:marRight w:val="0"/>
      <w:marTop w:val="0"/>
      <w:marBottom w:val="0"/>
      <w:divBdr>
        <w:top w:val="none" w:sz="0" w:space="0" w:color="auto"/>
        <w:left w:val="none" w:sz="0" w:space="0" w:color="auto"/>
        <w:bottom w:val="none" w:sz="0" w:space="0" w:color="auto"/>
        <w:right w:val="none" w:sz="0" w:space="0" w:color="auto"/>
      </w:divBdr>
    </w:div>
    <w:div w:id="1993217594">
      <w:bodyDiv w:val="1"/>
      <w:marLeft w:val="0"/>
      <w:marRight w:val="0"/>
      <w:marTop w:val="0"/>
      <w:marBottom w:val="0"/>
      <w:divBdr>
        <w:top w:val="none" w:sz="0" w:space="0" w:color="auto"/>
        <w:left w:val="none" w:sz="0" w:space="0" w:color="auto"/>
        <w:bottom w:val="none" w:sz="0" w:space="0" w:color="auto"/>
        <w:right w:val="none" w:sz="0" w:space="0" w:color="auto"/>
      </w:divBdr>
      <w:divsChild>
        <w:div w:id="2064672511">
          <w:marLeft w:val="0"/>
          <w:marRight w:val="0"/>
          <w:marTop w:val="0"/>
          <w:marBottom w:val="0"/>
          <w:divBdr>
            <w:top w:val="none" w:sz="0" w:space="0" w:color="auto"/>
            <w:left w:val="none" w:sz="0" w:space="0" w:color="auto"/>
            <w:bottom w:val="none" w:sz="0" w:space="0" w:color="auto"/>
            <w:right w:val="none" w:sz="0" w:space="0" w:color="auto"/>
          </w:divBdr>
          <w:divsChild>
            <w:div w:id="1681810092">
              <w:marLeft w:val="0"/>
              <w:marRight w:val="0"/>
              <w:marTop w:val="0"/>
              <w:marBottom w:val="0"/>
              <w:divBdr>
                <w:top w:val="none" w:sz="0" w:space="0" w:color="auto"/>
                <w:left w:val="none" w:sz="0" w:space="0" w:color="auto"/>
                <w:bottom w:val="none" w:sz="0" w:space="0" w:color="auto"/>
                <w:right w:val="none" w:sz="0" w:space="0" w:color="auto"/>
              </w:divBdr>
              <w:divsChild>
                <w:div w:id="10176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3350">
      <w:bodyDiv w:val="1"/>
      <w:marLeft w:val="0"/>
      <w:marRight w:val="0"/>
      <w:marTop w:val="0"/>
      <w:marBottom w:val="0"/>
      <w:divBdr>
        <w:top w:val="none" w:sz="0" w:space="0" w:color="auto"/>
        <w:left w:val="none" w:sz="0" w:space="0" w:color="auto"/>
        <w:bottom w:val="none" w:sz="0" w:space="0" w:color="auto"/>
        <w:right w:val="none" w:sz="0" w:space="0" w:color="auto"/>
      </w:divBdr>
      <w:divsChild>
        <w:div w:id="712777483">
          <w:marLeft w:val="0"/>
          <w:marRight w:val="0"/>
          <w:marTop w:val="0"/>
          <w:marBottom w:val="0"/>
          <w:divBdr>
            <w:top w:val="none" w:sz="0" w:space="0" w:color="auto"/>
            <w:left w:val="none" w:sz="0" w:space="0" w:color="auto"/>
            <w:bottom w:val="none" w:sz="0" w:space="0" w:color="auto"/>
            <w:right w:val="none" w:sz="0" w:space="0" w:color="auto"/>
          </w:divBdr>
          <w:divsChild>
            <w:div w:id="412704699">
              <w:marLeft w:val="0"/>
              <w:marRight w:val="0"/>
              <w:marTop w:val="0"/>
              <w:marBottom w:val="0"/>
              <w:divBdr>
                <w:top w:val="none" w:sz="0" w:space="0" w:color="auto"/>
                <w:left w:val="none" w:sz="0" w:space="0" w:color="auto"/>
                <w:bottom w:val="none" w:sz="0" w:space="0" w:color="auto"/>
                <w:right w:val="none" w:sz="0" w:space="0" w:color="auto"/>
              </w:divBdr>
              <w:divsChild>
                <w:div w:id="2540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7703">
      <w:bodyDiv w:val="1"/>
      <w:marLeft w:val="0"/>
      <w:marRight w:val="0"/>
      <w:marTop w:val="0"/>
      <w:marBottom w:val="0"/>
      <w:divBdr>
        <w:top w:val="none" w:sz="0" w:space="0" w:color="auto"/>
        <w:left w:val="none" w:sz="0" w:space="0" w:color="auto"/>
        <w:bottom w:val="none" w:sz="0" w:space="0" w:color="auto"/>
        <w:right w:val="none" w:sz="0" w:space="0" w:color="auto"/>
      </w:divBdr>
      <w:divsChild>
        <w:div w:id="501700210">
          <w:marLeft w:val="0"/>
          <w:marRight w:val="0"/>
          <w:marTop w:val="0"/>
          <w:marBottom w:val="0"/>
          <w:divBdr>
            <w:top w:val="none" w:sz="0" w:space="0" w:color="auto"/>
            <w:left w:val="none" w:sz="0" w:space="0" w:color="auto"/>
            <w:bottom w:val="none" w:sz="0" w:space="0" w:color="auto"/>
            <w:right w:val="none" w:sz="0" w:space="0" w:color="auto"/>
          </w:divBdr>
          <w:divsChild>
            <w:div w:id="2082368463">
              <w:marLeft w:val="0"/>
              <w:marRight w:val="0"/>
              <w:marTop w:val="0"/>
              <w:marBottom w:val="0"/>
              <w:divBdr>
                <w:top w:val="none" w:sz="0" w:space="0" w:color="auto"/>
                <w:left w:val="none" w:sz="0" w:space="0" w:color="auto"/>
                <w:bottom w:val="none" w:sz="0" w:space="0" w:color="auto"/>
                <w:right w:val="none" w:sz="0" w:space="0" w:color="auto"/>
              </w:divBdr>
              <w:divsChild>
                <w:div w:id="2446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1257"/>
    <w:rsid w:val="00097599"/>
    <w:rsid w:val="000B2D24"/>
    <w:rsid w:val="000C324F"/>
    <w:rsid w:val="000F1FC9"/>
    <w:rsid w:val="00124759"/>
    <w:rsid w:val="00173CA1"/>
    <w:rsid w:val="00200821"/>
    <w:rsid w:val="002660B6"/>
    <w:rsid w:val="00280531"/>
    <w:rsid w:val="002C6DAC"/>
    <w:rsid w:val="00331C0F"/>
    <w:rsid w:val="00394049"/>
    <w:rsid w:val="003B4D43"/>
    <w:rsid w:val="004512DD"/>
    <w:rsid w:val="0045288C"/>
    <w:rsid w:val="00462133"/>
    <w:rsid w:val="004F2DF8"/>
    <w:rsid w:val="005269A9"/>
    <w:rsid w:val="006724A7"/>
    <w:rsid w:val="006C73DA"/>
    <w:rsid w:val="00747ED5"/>
    <w:rsid w:val="00771A3D"/>
    <w:rsid w:val="007A29CE"/>
    <w:rsid w:val="007C17D0"/>
    <w:rsid w:val="007C20ED"/>
    <w:rsid w:val="007F328D"/>
    <w:rsid w:val="008012D2"/>
    <w:rsid w:val="0087342D"/>
    <w:rsid w:val="008751F4"/>
    <w:rsid w:val="008B1D05"/>
    <w:rsid w:val="0092418E"/>
    <w:rsid w:val="009453D0"/>
    <w:rsid w:val="009856BD"/>
    <w:rsid w:val="009A261B"/>
    <w:rsid w:val="009E0827"/>
    <w:rsid w:val="00AC15A4"/>
    <w:rsid w:val="00B0336C"/>
    <w:rsid w:val="00B75B1E"/>
    <w:rsid w:val="00B7724B"/>
    <w:rsid w:val="00BC1044"/>
    <w:rsid w:val="00C111FE"/>
    <w:rsid w:val="00C63916"/>
    <w:rsid w:val="00C920AF"/>
    <w:rsid w:val="00D207EC"/>
    <w:rsid w:val="00D65524"/>
    <w:rsid w:val="00DB0AE6"/>
    <w:rsid w:val="00E10E97"/>
    <w:rsid w:val="00E652E2"/>
    <w:rsid w:val="00EA0832"/>
    <w:rsid w:val="00F00D2F"/>
    <w:rsid w:val="00F128DF"/>
    <w:rsid w:val="00F32C8B"/>
    <w:rsid w:val="00F33CC9"/>
    <w:rsid w:val="00F4032B"/>
    <w:rsid w:val="00F5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D43"/>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5EAF-A878-4CCC-B615-F55F1F2B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3448</Words>
  <Characters>18036</Characters>
  <Application>Microsoft Office Word</Application>
  <DocSecurity>0</DocSecurity>
  <Lines>310</Lines>
  <Paragraphs>73</Paragraphs>
  <ScaleCrop>false</ScaleCrop>
  <Company/>
  <LinksUpToDate>false</LinksUpToDate>
  <CharactersWithSpaces>21411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36/20</dc:title>
  <dc:creator/>
  <cp:lastModifiedBy/>
  <cp:revision>1</cp:revision>
  <dcterms:created xsi:type="dcterms:W3CDTF">2020-06-04T14:57:00Z</dcterms:created>
  <dcterms:modified xsi:type="dcterms:W3CDTF">2020-06-04T14:58:00Z</dcterms:modified>
</cp:coreProperties>
</file>