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A2F3DC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4C7590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07294">
                              <w:rPr>
                                <w:rFonts w:asciiTheme="majorHAnsi" w:hAnsiTheme="majorHAnsi" w:cs="Arial"/>
                                <w:b/>
                                <w:bCs/>
                                <w:color w:val="0D0D0D" w:themeColor="text1" w:themeTint="F2"/>
                                <w:sz w:val="36"/>
                                <w:szCs w:val="22"/>
                                <w:lang w:val="es-ES_tradnl"/>
                              </w:rPr>
                              <w:t xml:space="preserve"> 172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09C54AB3" w14:textId="508EF89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408F">
                              <w:rPr>
                                <w:rFonts w:asciiTheme="majorHAnsi" w:hAnsiTheme="majorHAnsi" w:cs="Arial"/>
                                <w:b/>
                                <w:color w:val="0D0D0D" w:themeColor="text1" w:themeTint="F2"/>
                                <w:sz w:val="36"/>
                                <w:szCs w:val="22"/>
                                <w:lang w:val="es-ES_tradnl"/>
                              </w:rPr>
                              <w:t>16</w:t>
                            </w:r>
                            <w:r w:rsidR="00E67B5B">
                              <w:rPr>
                                <w:rFonts w:asciiTheme="majorHAnsi" w:hAnsiTheme="majorHAnsi" w:cs="Arial"/>
                                <w:b/>
                                <w:color w:val="0D0D0D" w:themeColor="text1" w:themeTint="F2"/>
                                <w:sz w:val="36"/>
                                <w:szCs w:val="22"/>
                                <w:lang w:val="es-ES_tradnl"/>
                              </w:rPr>
                              <w:t>1</w:t>
                            </w:r>
                            <w:r w:rsidR="007D408F">
                              <w:rPr>
                                <w:rFonts w:asciiTheme="majorHAnsi" w:hAnsiTheme="majorHAnsi" w:cs="Arial"/>
                                <w:b/>
                                <w:color w:val="0D0D0D" w:themeColor="text1" w:themeTint="F2"/>
                                <w:sz w:val="36"/>
                                <w:szCs w:val="22"/>
                                <w:lang w:val="es-ES_tradnl"/>
                              </w:rPr>
                              <w:t>9</w:t>
                            </w:r>
                            <w:r w:rsidR="00246D1F" w:rsidRPr="004E2649">
                              <w:rPr>
                                <w:rFonts w:asciiTheme="majorHAnsi" w:hAnsiTheme="majorHAnsi" w:cs="Arial"/>
                                <w:b/>
                                <w:color w:val="0D0D0D" w:themeColor="text1" w:themeTint="F2"/>
                                <w:sz w:val="36"/>
                                <w:szCs w:val="22"/>
                                <w:lang w:val="es-ES_tradnl"/>
                              </w:rPr>
                              <w:t>-</w:t>
                            </w:r>
                            <w:r w:rsidR="007D408F">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17E2F29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BB5F0FE" w:rsidR="005B52B0" w:rsidRPr="0010736F" w:rsidRDefault="007D408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EDUARDO GUSTAVO SEGURA ROJAS</w:t>
                            </w:r>
                          </w:p>
                          <w:bookmarkEnd w:id="1"/>
                          <w:p w14:paraId="35068D0D" w14:textId="1115A557" w:rsidR="005B52B0" w:rsidRPr="0010736F" w:rsidRDefault="007D408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4C7590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07294">
                        <w:rPr>
                          <w:rFonts w:asciiTheme="majorHAnsi" w:hAnsiTheme="majorHAnsi" w:cs="Arial"/>
                          <w:b/>
                          <w:bCs/>
                          <w:color w:val="0D0D0D" w:themeColor="text1" w:themeTint="F2"/>
                          <w:sz w:val="36"/>
                          <w:szCs w:val="22"/>
                          <w:lang w:val="es-ES_tradnl"/>
                        </w:rPr>
                        <w:t xml:space="preserve"> 172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09C54AB3" w14:textId="508EF89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408F">
                        <w:rPr>
                          <w:rFonts w:asciiTheme="majorHAnsi" w:hAnsiTheme="majorHAnsi" w:cs="Arial"/>
                          <w:b/>
                          <w:color w:val="0D0D0D" w:themeColor="text1" w:themeTint="F2"/>
                          <w:sz w:val="36"/>
                          <w:szCs w:val="22"/>
                          <w:lang w:val="es-ES_tradnl"/>
                        </w:rPr>
                        <w:t>16</w:t>
                      </w:r>
                      <w:r w:rsidR="00E67B5B">
                        <w:rPr>
                          <w:rFonts w:asciiTheme="majorHAnsi" w:hAnsiTheme="majorHAnsi" w:cs="Arial"/>
                          <w:b/>
                          <w:color w:val="0D0D0D" w:themeColor="text1" w:themeTint="F2"/>
                          <w:sz w:val="36"/>
                          <w:szCs w:val="22"/>
                          <w:lang w:val="es-ES_tradnl"/>
                        </w:rPr>
                        <w:t>1</w:t>
                      </w:r>
                      <w:r w:rsidR="007D408F">
                        <w:rPr>
                          <w:rFonts w:asciiTheme="majorHAnsi" w:hAnsiTheme="majorHAnsi" w:cs="Arial"/>
                          <w:b/>
                          <w:color w:val="0D0D0D" w:themeColor="text1" w:themeTint="F2"/>
                          <w:sz w:val="36"/>
                          <w:szCs w:val="22"/>
                          <w:lang w:val="es-ES_tradnl"/>
                        </w:rPr>
                        <w:t>9</w:t>
                      </w:r>
                      <w:r w:rsidR="00246D1F" w:rsidRPr="004E2649">
                        <w:rPr>
                          <w:rFonts w:asciiTheme="majorHAnsi" w:hAnsiTheme="majorHAnsi" w:cs="Arial"/>
                          <w:b/>
                          <w:color w:val="0D0D0D" w:themeColor="text1" w:themeTint="F2"/>
                          <w:sz w:val="36"/>
                          <w:szCs w:val="22"/>
                          <w:lang w:val="es-ES_tradnl"/>
                        </w:rPr>
                        <w:t>-</w:t>
                      </w:r>
                      <w:r w:rsidR="007D408F">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17E2F29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BB5F0FE" w:rsidR="005B52B0" w:rsidRPr="0010736F" w:rsidRDefault="007D408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EDUARDO GUSTAVO SEGURA ROJAS</w:t>
                      </w:r>
                    </w:p>
                    <w:bookmarkEnd w:id="1"/>
                    <w:p w14:paraId="35068D0D" w14:textId="1115A557" w:rsidR="005B52B0" w:rsidRPr="0010736F" w:rsidRDefault="007D408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CB6421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487BEBE" w:rsidR="00627C9F" w:rsidRPr="004E2649" w:rsidRDefault="0040729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182</w:t>
                            </w:r>
                          </w:p>
                          <w:p w14:paraId="69373ED2" w14:textId="7F7C9B94" w:rsidR="00627C9F" w:rsidRPr="00C25ADB" w:rsidRDefault="0040729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CB6421C"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487BEBE" w:rsidR="00627C9F" w:rsidRPr="004E2649" w:rsidRDefault="0040729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182</w:t>
                      </w:r>
                    </w:p>
                    <w:p w14:paraId="69373ED2" w14:textId="7F7C9B94" w:rsidR="00627C9F" w:rsidRPr="00C25ADB" w:rsidRDefault="0040729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DCFBC3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07294">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407294">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3F2D7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DCFBC3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07294">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407294">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3F2D7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699AC41" w:rsidR="00113F73" w:rsidRPr="00E67B5B" w:rsidRDefault="00113F73" w:rsidP="00113F73">
                            <w:pPr>
                              <w:spacing w:line="276" w:lineRule="auto"/>
                              <w:rPr>
                                <w:rFonts w:asciiTheme="majorHAnsi" w:hAnsiTheme="majorHAnsi"/>
                                <w:color w:val="595959" w:themeColor="text1" w:themeTint="A6"/>
                                <w:sz w:val="18"/>
                                <w:szCs w:val="18"/>
                                <w:lang w:val="es-ES"/>
                              </w:rPr>
                            </w:pPr>
                            <w:r w:rsidRPr="004C1476">
                              <w:rPr>
                                <w:rFonts w:asciiTheme="majorHAnsi" w:hAnsiTheme="majorHAnsi"/>
                                <w:b/>
                                <w:color w:val="595959" w:themeColor="text1" w:themeTint="A6"/>
                                <w:sz w:val="18"/>
                                <w:szCs w:val="18"/>
                                <w:lang w:val="pt-BR"/>
                              </w:rPr>
                              <w:t>Citar como:</w:t>
                            </w:r>
                            <w:r w:rsidRPr="004C1476">
                              <w:rPr>
                                <w:rFonts w:asciiTheme="majorHAnsi" w:hAnsiTheme="majorHAnsi"/>
                                <w:color w:val="595959" w:themeColor="text1" w:themeTint="A6"/>
                                <w:sz w:val="18"/>
                                <w:szCs w:val="18"/>
                                <w:lang w:val="pt-BR"/>
                              </w:rPr>
                              <w:t xml:space="preserve"> CIDH, Informe No. </w:t>
                            </w:r>
                            <w:r w:rsidR="00407294" w:rsidRPr="00407294">
                              <w:rPr>
                                <w:rFonts w:asciiTheme="majorHAnsi" w:hAnsiTheme="majorHAnsi"/>
                                <w:color w:val="595959" w:themeColor="text1" w:themeTint="A6"/>
                                <w:sz w:val="18"/>
                                <w:szCs w:val="18"/>
                                <w:lang w:val="pt-BR"/>
                              </w:rPr>
                              <w:t>172</w:t>
                            </w:r>
                            <w:r w:rsidR="007B05C4" w:rsidRPr="00407294">
                              <w:rPr>
                                <w:rFonts w:asciiTheme="majorHAnsi" w:hAnsiTheme="majorHAnsi"/>
                                <w:color w:val="595959" w:themeColor="text1" w:themeTint="A6"/>
                                <w:sz w:val="18"/>
                                <w:szCs w:val="18"/>
                                <w:lang w:val="pt-BR"/>
                              </w:rPr>
                              <w:t>/</w:t>
                            </w:r>
                            <w:r w:rsidR="00407294" w:rsidRPr="00407294">
                              <w:rPr>
                                <w:rFonts w:asciiTheme="majorHAnsi" w:hAnsiTheme="majorHAnsi"/>
                                <w:color w:val="595959" w:themeColor="text1" w:themeTint="A6"/>
                                <w:sz w:val="18"/>
                                <w:szCs w:val="18"/>
                                <w:lang w:val="pt-BR"/>
                              </w:rPr>
                              <w:t>20</w:t>
                            </w:r>
                            <w:r w:rsidRPr="00407294">
                              <w:rPr>
                                <w:rFonts w:asciiTheme="majorHAnsi" w:hAnsiTheme="majorHAnsi"/>
                                <w:color w:val="595959" w:themeColor="text1" w:themeTint="A6"/>
                                <w:sz w:val="18"/>
                                <w:szCs w:val="18"/>
                                <w:lang w:val="pt-BR"/>
                              </w:rPr>
                              <w:t xml:space="preserve">. </w:t>
                            </w:r>
                            <w:r w:rsidR="000433C9" w:rsidRPr="00E67B5B">
                              <w:rPr>
                                <w:rFonts w:asciiTheme="majorHAnsi" w:hAnsiTheme="majorHAnsi"/>
                                <w:color w:val="595959" w:themeColor="text1" w:themeTint="A6"/>
                                <w:sz w:val="18"/>
                                <w:szCs w:val="18"/>
                                <w:lang w:val="es-ES"/>
                              </w:rPr>
                              <w:t xml:space="preserve">Petición </w:t>
                            </w:r>
                            <w:r w:rsidR="00E67B5B" w:rsidRPr="00E67B5B">
                              <w:rPr>
                                <w:rFonts w:asciiTheme="majorHAnsi" w:hAnsiTheme="majorHAnsi"/>
                                <w:color w:val="595959" w:themeColor="text1" w:themeTint="A6"/>
                                <w:sz w:val="18"/>
                                <w:szCs w:val="18"/>
                                <w:lang w:val="es-ES"/>
                              </w:rPr>
                              <w:t>16</w:t>
                            </w:r>
                            <w:r w:rsidR="00E67B5B">
                              <w:rPr>
                                <w:rFonts w:asciiTheme="majorHAnsi" w:hAnsiTheme="majorHAnsi"/>
                                <w:color w:val="595959" w:themeColor="text1" w:themeTint="A6"/>
                                <w:sz w:val="18"/>
                                <w:szCs w:val="18"/>
                                <w:lang w:val="es-ES"/>
                              </w:rPr>
                              <w:t>1</w:t>
                            </w:r>
                            <w:r w:rsidR="00E67B5B" w:rsidRPr="00E67B5B">
                              <w:rPr>
                                <w:rFonts w:asciiTheme="majorHAnsi" w:hAnsiTheme="majorHAnsi"/>
                                <w:color w:val="595959" w:themeColor="text1" w:themeTint="A6"/>
                                <w:sz w:val="18"/>
                                <w:szCs w:val="18"/>
                                <w:lang w:val="es-ES"/>
                              </w:rPr>
                              <w:t>9</w:t>
                            </w:r>
                            <w:r w:rsidR="000433C9" w:rsidRPr="00E67B5B">
                              <w:rPr>
                                <w:rFonts w:asciiTheme="majorHAnsi" w:hAnsiTheme="majorHAnsi"/>
                                <w:color w:val="595959" w:themeColor="text1" w:themeTint="A6"/>
                                <w:sz w:val="18"/>
                                <w:szCs w:val="18"/>
                                <w:lang w:val="es-ES"/>
                              </w:rPr>
                              <w:t>-</w:t>
                            </w:r>
                            <w:r w:rsidR="00E67B5B" w:rsidRPr="00E67B5B">
                              <w:rPr>
                                <w:rFonts w:asciiTheme="majorHAnsi" w:hAnsiTheme="majorHAnsi"/>
                                <w:color w:val="595959" w:themeColor="text1" w:themeTint="A6"/>
                                <w:sz w:val="18"/>
                                <w:szCs w:val="18"/>
                                <w:lang w:val="es-ES"/>
                              </w:rPr>
                              <w:t>10</w:t>
                            </w:r>
                            <w:r w:rsidR="000433C9" w:rsidRPr="00E67B5B">
                              <w:rPr>
                                <w:rFonts w:asciiTheme="majorHAnsi" w:hAnsiTheme="majorHAnsi"/>
                                <w:color w:val="595959" w:themeColor="text1" w:themeTint="A6"/>
                                <w:sz w:val="18"/>
                                <w:szCs w:val="18"/>
                                <w:lang w:val="es-ES"/>
                              </w:rPr>
                              <w:t>.</w:t>
                            </w:r>
                            <w:r w:rsidR="00E67B5B" w:rsidRPr="00E67B5B">
                              <w:rPr>
                                <w:rFonts w:asciiTheme="majorHAnsi" w:hAnsiTheme="majorHAnsi"/>
                                <w:color w:val="595959" w:themeColor="text1" w:themeTint="A6"/>
                                <w:sz w:val="18"/>
                                <w:szCs w:val="18"/>
                                <w:lang w:val="es-ES"/>
                              </w:rPr>
                              <w:t xml:space="preserve"> </w:t>
                            </w:r>
                            <w:r w:rsidRPr="00E67B5B">
                              <w:rPr>
                                <w:rFonts w:asciiTheme="majorHAnsi" w:hAnsiTheme="majorHAnsi"/>
                                <w:color w:val="595959" w:themeColor="text1" w:themeTint="A6"/>
                                <w:sz w:val="18"/>
                                <w:szCs w:val="18"/>
                                <w:lang w:val="es-ES"/>
                              </w:rPr>
                              <w:t xml:space="preserve">Inadmisibilidad. </w:t>
                            </w:r>
                            <w:r w:rsidR="00E67B5B" w:rsidRPr="00E67B5B">
                              <w:rPr>
                                <w:rFonts w:asciiTheme="majorHAnsi" w:hAnsiTheme="majorHAnsi"/>
                                <w:color w:val="595959" w:themeColor="text1" w:themeTint="A6"/>
                                <w:sz w:val="18"/>
                                <w:szCs w:val="18"/>
                                <w:lang w:val="es-ES"/>
                              </w:rPr>
                              <w:t>Eduardo Gustavo Rojas Segura. Perú</w:t>
                            </w:r>
                            <w:r w:rsidRPr="00E67B5B">
                              <w:rPr>
                                <w:rFonts w:asciiTheme="majorHAnsi" w:hAnsiTheme="majorHAnsi"/>
                                <w:color w:val="595959" w:themeColor="text1" w:themeTint="A6"/>
                                <w:sz w:val="18"/>
                                <w:szCs w:val="18"/>
                                <w:lang w:val="es-ES"/>
                              </w:rPr>
                              <w:t xml:space="preserve">. </w:t>
                            </w:r>
                            <w:r w:rsidR="00407294">
                              <w:rPr>
                                <w:rFonts w:asciiTheme="majorHAnsi" w:hAnsiTheme="majorHAnsi"/>
                                <w:color w:val="595959" w:themeColor="text1" w:themeTint="A6"/>
                                <w:sz w:val="18"/>
                                <w:szCs w:val="18"/>
                                <w:lang w:val="es-ES"/>
                              </w:rPr>
                              <w:t>2 de julio de 2020</w:t>
                            </w:r>
                            <w:r w:rsidRPr="00E67B5B">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699AC41" w:rsidR="00113F73" w:rsidRPr="00E67B5B" w:rsidRDefault="00113F73" w:rsidP="00113F73">
                      <w:pPr>
                        <w:spacing w:line="276" w:lineRule="auto"/>
                        <w:rPr>
                          <w:rFonts w:asciiTheme="majorHAnsi" w:hAnsiTheme="majorHAnsi"/>
                          <w:color w:val="595959" w:themeColor="text1" w:themeTint="A6"/>
                          <w:sz w:val="18"/>
                          <w:szCs w:val="18"/>
                          <w:lang w:val="es-ES"/>
                        </w:rPr>
                      </w:pPr>
                      <w:r w:rsidRPr="004C1476">
                        <w:rPr>
                          <w:rFonts w:asciiTheme="majorHAnsi" w:hAnsiTheme="majorHAnsi"/>
                          <w:b/>
                          <w:color w:val="595959" w:themeColor="text1" w:themeTint="A6"/>
                          <w:sz w:val="18"/>
                          <w:szCs w:val="18"/>
                          <w:lang w:val="pt-BR"/>
                        </w:rPr>
                        <w:t>Citar como:</w:t>
                      </w:r>
                      <w:r w:rsidRPr="004C1476">
                        <w:rPr>
                          <w:rFonts w:asciiTheme="majorHAnsi" w:hAnsiTheme="majorHAnsi"/>
                          <w:color w:val="595959" w:themeColor="text1" w:themeTint="A6"/>
                          <w:sz w:val="18"/>
                          <w:szCs w:val="18"/>
                          <w:lang w:val="pt-BR"/>
                        </w:rPr>
                        <w:t xml:space="preserve"> CIDH, Informe No. </w:t>
                      </w:r>
                      <w:r w:rsidR="00407294" w:rsidRPr="00407294">
                        <w:rPr>
                          <w:rFonts w:asciiTheme="majorHAnsi" w:hAnsiTheme="majorHAnsi"/>
                          <w:color w:val="595959" w:themeColor="text1" w:themeTint="A6"/>
                          <w:sz w:val="18"/>
                          <w:szCs w:val="18"/>
                          <w:lang w:val="pt-BR"/>
                        </w:rPr>
                        <w:t>172</w:t>
                      </w:r>
                      <w:r w:rsidR="007B05C4" w:rsidRPr="00407294">
                        <w:rPr>
                          <w:rFonts w:asciiTheme="majorHAnsi" w:hAnsiTheme="majorHAnsi"/>
                          <w:color w:val="595959" w:themeColor="text1" w:themeTint="A6"/>
                          <w:sz w:val="18"/>
                          <w:szCs w:val="18"/>
                          <w:lang w:val="pt-BR"/>
                        </w:rPr>
                        <w:t>/</w:t>
                      </w:r>
                      <w:r w:rsidR="00407294" w:rsidRPr="00407294">
                        <w:rPr>
                          <w:rFonts w:asciiTheme="majorHAnsi" w:hAnsiTheme="majorHAnsi"/>
                          <w:color w:val="595959" w:themeColor="text1" w:themeTint="A6"/>
                          <w:sz w:val="18"/>
                          <w:szCs w:val="18"/>
                          <w:lang w:val="pt-BR"/>
                        </w:rPr>
                        <w:t>20</w:t>
                      </w:r>
                      <w:r w:rsidRPr="00407294">
                        <w:rPr>
                          <w:rFonts w:asciiTheme="majorHAnsi" w:hAnsiTheme="majorHAnsi"/>
                          <w:color w:val="595959" w:themeColor="text1" w:themeTint="A6"/>
                          <w:sz w:val="18"/>
                          <w:szCs w:val="18"/>
                          <w:lang w:val="pt-BR"/>
                        </w:rPr>
                        <w:t xml:space="preserve">. </w:t>
                      </w:r>
                      <w:r w:rsidR="000433C9" w:rsidRPr="00E67B5B">
                        <w:rPr>
                          <w:rFonts w:asciiTheme="majorHAnsi" w:hAnsiTheme="majorHAnsi"/>
                          <w:color w:val="595959" w:themeColor="text1" w:themeTint="A6"/>
                          <w:sz w:val="18"/>
                          <w:szCs w:val="18"/>
                          <w:lang w:val="es-ES"/>
                        </w:rPr>
                        <w:t xml:space="preserve">Petición </w:t>
                      </w:r>
                      <w:r w:rsidR="00E67B5B" w:rsidRPr="00E67B5B">
                        <w:rPr>
                          <w:rFonts w:asciiTheme="majorHAnsi" w:hAnsiTheme="majorHAnsi"/>
                          <w:color w:val="595959" w:themeColor="text1" w:themeTint="A6"/>
                          <w:sz w:val="18"/>
                          <w:szCs w:val="18"/>
                          <w:lang w:val="es-ES"/>
                        </w:rPr>
                        <w:t>16</w:t>
                      </w:r>
                      <w:r w:rsidR="00E67B5B">
                        <w:rPr>
                          <w:rFonts w:asciiTheme="majorHAnsi" w:hAnsiTheme="majorHAnsi"/>
                          <w:color w:val="595959" w:themeColor="text1" w:themeTint="A6"/>
                          <w:sz w:val="18"/>
                          <w:szCs w:val="18"/>
                          <w:lang w:val="es-ES"/>
                        </w:rPr>
                        <w:t>1</w:t>
                      </w:r>
                      <w:r w:rsidR="00E67B5B" w:rsidRPr="00E67B5B">
                        <w:rPr>
                          <w:rFonts w:asciiTheme="majorHAnsi" w:hAnsiTheme="majorHAnsi"/>
                          <w:color w:val="595959" w:themeColor="text1" w:themeTint="A6"/>
                          <w:sz w:val="18"/>
                          <w:szCs w:val="18"/>
                          <w:lang w:val="es-ES"/>
                        </w:rPr>
                        <w:t>9</w:t>
                      </w:r>
                      <w:r w:rsidR="000433C9" w:rsidRPr="00E67B5B">
                        <w:rPr>
                          <w:rFonts w:asciiTheme="majorHAnsi" w:hAnsiTheme="majorHAnsi"/>
                          <w:color w:val="595959" w:themeColor="text1" w:themeTint="A6"/>
                          <w:sz w:val="18"/>
                          <w:szCs w:val="18"/>
                          <w:lang w:val="es-ES"/>
                        </w:rPr>
                        <w:t>-</w:t>
                      </w:r>
                      <w:r w:rsidR="00E67B5B" w:rsidRPr="00E67B5B">
                        <w:rPr>
                          <w:rFonts w:asciiTheme="majorHAnsi" w:hAnsiTheme="majorHAnsi"/>
                          <w:color w:val="595959" w:themeColor="text1" w:themeTint="A6"/>
                          <w:sz w:val="18"/>
                          <w:szCs w:val="18"/>
                          <w:lang w:val="es-ES"/>
                        </w:rPr>
                        <w:t>10</w:t>
                      </w:r>
                      <w:r w:rsidR="000433C9" w:rsidRPr="00E67B5B">
                        <w:rPr>
                          <w:rFonts w:asciiTheme="majorHAnsi" w:hAnsiTheme="majorHAnsi"/>
                          <w:color w:val="595959" w:themeColor="text1" w:themeTint="A6"/>
                          <w:sz w:val="18"/>
                          <w:szCs w:val="18"/>
                          <w:lang w:val="es-ES"/>
                        </w:rPr>
                        <w:t>.</w:t>
                      </w:r>
                      <w:r w:rsidR="00E67B5B" w:rsidRPr="00E67B5B">
                        <w:rPr>
                          <w:rFonts w:asciiTheme="majorHAnsi" w:hAnsiTheme="majorHAnsi"/>
                          <w:color w:val="595959" w:themeColor="text1" w:themeTint="A6"/>
                          <w:sz w:val="18"/>
                          <w:szCs w:val="18"/>
                          <w:lang w:val="es-ES"/>
                        </w:rPr>
                        <w:t xml:space="preserve"> </w:t>
                      </w:r>
                      <w:r w:rsidRPr="00E67B5B">
                        <w:rPr>
                          <w:rFonts w:asciiTheme="majorHAnsi" w:hAnsiTheme="majorHAnsi"/>
                          <w:color w:val="595959" w:themeColor="text1" w:themeTint="A6"/>
                          <w:sz w:val="18"/>
                          <w:szCs w:val="18"/>
                          <w:lang w:val="es-ES"/>
                        </w:rPr>
                        <w:t xml:space="preserve">Inadmisibilidad. </w:t>
                      </w:r>
                      <w:r w:rsidR="00E67B5B" w:rsidRPr="00E67B5B">
                        <w:rPr>
                          <w:rFonts w:asciiTheme="majorHAnsi" w:hAnsiTheme="majorHAnsi"/>
                          <w:color w:val="595959" w:themeColor="text1" w:themeTint="A6"/>
                          <w:sz w:val="18"/>
                          <w:szCs w:val="18"/>
                          <w:lang w:val="es-ES"/>
                        </w:rPr>
                        <w:t>Eduardo Gustavo Rojas Segura. Perú</w:t>
                      </w:r>
                      <w:r w:rsidRPr="00E67B5B">
                        <w:rPr>
                          <w:rFonts w:asciiTheme="majorHAnsi" w:hAnsiTheme="majorHAnsi"/>
                          <w:color w:val="595959" w:themeColor="text1" w:themeTint="A6"/>
                          <w:sz w:val="18"/>
                          <w:szCs w:val="18"/>
                          <w:lang w:val="es-ES"/>
                        </w:rPr>
                        <w:t xml:space="preserve">. </w:t>
                      </w:r>
                      <w:r w:rsidR="00407294">
                        <w:rPr>
                          <w:rFonts w:asciiTheme="majorHAnsi" w:hAnsiTheme="majorHAnsi"/>
                          <w:color w:val="595959" w:themeColor="text1" w:themeTint="A6"/>
                          <w:sz w:val="18"/>
                          <w:szCs w:val="18"/>
                          <w:lang w:val="es-ES"/>
                        </w:rPr>
                        <w:t>2 de julio de 2020</w:t>
                      </w:r>
                      <w:r w:rsidRPr="00E67B5B">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407294" w:rsidRDefault="003239B8" w:rsidP="008D2290">
            <w:pPr>
              <w:jc w:val="center"/>
              <w:rPr>
                <w:rFonts w:ascii="Cambria" w:hAnsi="Cambria"/>
                <w:b/>
                <w:bCs/>
                <w:color w:val="FFFFFF" w:themeColor="background1"/>
                <w:sz w:val="18"/>
                <w:szCs w:val="18"/>
              </w:rPr>
            </w:pPr>
            <w:r w:rsidRPr="00407294">
              <w:rPr>
                <w:rFonts w:ascii="Cambria" w:hAnsi="Cambria"/>
                <w:b/>
                <w:bCs/>
                <w:color w:val="FFFFFF" w:themeColor="background1"/>
                <w:sz w:val="18"/>
                <w:szCs w:val="18"/>
              </w:rPr>
              <w:t xml:space="preserve">Parte </w:t>
            </w:r>
            <w:proofErr w:type="spellStart"/>
            <w:r w:rsidRPr="00407294">
              <w:rPr>
                <w:rFonts w:ascii="Cambria" w:hAnsi="Cambria"/>
                <w:b/>
                <w:bCs/>
                <w:color w:val="FFFFFF" w:themeColor="background1"/>
                <w:sz w:val="18"/>
                <w:szCs w:val="18"/>
              </w:rPr>
              <w:t>peticionaria</w:t>
            </w:r>
            <w:proofErr w:type="spellEnd"/>
            <w:r w:rsidRPr="00407294">
              <w:rPr>
                <w:rFonts w:ascii="Cambria" w:hAnsi="Cambria"/>
                <w:b/>
                <w:bCs/>
                <w:color w:val="FFFFFF" w:themeColor="background1"/>
                <w:sz w:val="18"/>
                <w:szCs w:val="18"/>
              </w:rPr>
              <w:t>:</w:t>
            </w:r>
          </w:p>
        </w:tc>
        <w:tc>
          <w:tcPr>
            <w:tcW w:w="5760" w:type="dxa"/>
            <w:vAlign w:val="center"/>
          </w:tcPr>
          <w:p w14:paraId="3C5315D8" w14:textId="7D8B4581" w:rsidR="003239B8" w:rsidRPr="00407294" w:rsidRDefault="007D408F" w:rsidP="008D2290">
            <w:pPr>
              <w:jc w:val="both"/>
              <w:rPr>
                <w:rFonts w:ascii="Cambria" w:hAnsi="Cambria"/>
                <w:bCs/>
                <w:sz w:val="18"/>
                <w:szCs w:val="18"/>
              </w:rPr>
            </w:pPr>
            <w:r w:rsidRPr="00407294">
              <w:rPr>
                <w:rFonts w:ascii="Cambria" w:hAnsi="Cambria"/>
                <w:bCs/>
                <w:sz w:val="18"/>
                <w:szCs w:val="18"/>
              </w:rPr>
              <w:t xml:space="preserve">Carlos Miguel Segura </w:t>
            </w:r>
            <w:proofErr w:type="spellStart"/>
            <w:r w:rsidRPr="00407294">
              <w:rPr>
                <w:rFonts w:ascii="Cambria" w:hAnsi="Cambria"/>
                <w:bCs/>
                <w:sz w:val="18"/>
                <w:szCs w:val="18"/>
              </w:rPr>
              <w:t>Cabel</w:t>
            </w:r>
            <w:proofErr w:type="spellEnd"/>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407294" w:rsidRDefault="009E282B" w:rsidP="008D2290">
            <w:pPr>
              <w:jc w:val="center"/>
              <w:rPr>
                <w:rFonts w:ascii="Cambria" w:hAnsi="Cambria"/>
                <w:b/>
                <w:bCs/>
                <w:color w:val="FFFFFF" w:themeColor="background1"/>
                <w:sz w:val="18"/>
                <w:szCs w:val="18"/>
              </w:rPr>
            </w:pPr>
            <w:sdt>
              <w:sdtPr>
                <w:rPr>
                  <w:rFonts w:ascii="Cambria" w:hAnsi="Cambria"/>
                  <w:b/>
                  <w:bCs/>
                  <w:color w:val="FFFFFF" w:themeColor="background1"/>
                  <w:sz w:val="18"/>
                  <w:szCs w:val="18"/>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07294">
                  <w:rPr>
                    <w:rFonts w:ascii="Cambria" w:hAnsi="Cambria"/>
                    <w:b/>
                    <w:bCs/>
                    <w:color w:val="FFFFFF" w:themeColor="background1"/>
                    <w:sz w:val="18"/>
                    <w:szCs w:val="18"/>
                  </w:rPr>
                  <w:t>Presunta víctima</w:t>
                </w:r>
              </w:sdtContent>
            </w:sdt>
            <w:r w:rsidR="003239B8" w:rsidRPr="00407294">
              <w:rPr>
                <w:rFonts w:ascii="Cambria" w:hAnsi="Cambria"/>
                <w:b/>
                <w:bCs/>
                <w:color w:val="FFFFFF" w:themeColor="background1"/>
                <w:sz w:val="18"/>
                <w:szCs w:val="18"/>
              </w:rPr>
              <w:t>:</w:t>
            </w:r>
          </w:p>
        </w:tc>
        <w:tc>
          <w:tcPr>
            <w:tcW w:w="5760" w:type="dxa"/>
            <w:vAlign w:val="center"/>
          </w:tcPr>
          <w:p w14:paraId="4AEBF59E" w14:textId="6CB3C077" w:rsidR="003239B8" w:rsidRPr="00407294" w:rsidRDefault="007D408F" w:rsidP="008D2290">
            <w:pPr>
              <w:jc w:val="both"/>
              <w:rPr>
                <w:rFonts w:ascii="Cambria" w:hAnsi="Cambria"/>
                <w:bCs/>
                <w:sz w:val="18"/>
                <w:szCs w:val="18"/>
                <w:lang w:val="es-ES"/>
              </w:rPr>
            </w:pPr>
            <w:r w:rsidRPr="00407294">
              <w:rPr>
                <w:rFonts w:ascii="Cambria" w:hAnsi="Cambria"/>
                <w:bCs/>
                <w:sz w:val="18"/>
                <w:szCs w:val="18"/>
                <w:lang w:val="es-ES"/>
              </w:rPr>
              <w:t>Eduardo Gustavo Segura Rojas</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407294" w:rsidRDefault="003239B8" w:rsidP="008D2290">
            <w:pPr>
              <w:jc w:val="center"/>
              <w:rPr>
                <w:rFonts w:ascii="Cambria" w:hAnsi="Cambria"/>
                <w:b/>
                <w:bCs/>
                <w:color w:val="FFFFFF" w:themeColor="background1"/>
                <w:sz w:val="18"/>
                <w:szCs w:val="18"/>
              </w:rPr>
            </w:pPr>
            <w:r w:rsidRPr="00407294">
              <w:rPr>
                <w:rFonts w:ascii="Cambria" w:hAnsi="Cambria"/>
                <w:b/>
                <w:bCs/>
                <w:color w:val="FFFFFF" w:themeColor="background1"/>
                <w:sz w:val="18"/>
                <w:szCs w:val="18"/>
              </w:rPr>
              <w:t xml:space="preserve">Estado </w:t>
            </w:r>
            <w:proofErr w:type="spellStart"/>
            <w:r w:rsidRPr="00407294">
              <w:rPr>
                <w:rFonts w:ascii="Cambria" w:hAnsi="Cambria"/>
                <w:b/>
                <w:bCs/>
                <w:color w:val="FFFFFF" w:themeColor="background1"/>
                <w:sz w:val="18"/>
                <w:szCs w:val="18"/>
              </w:rPr>
              <w:t>denunciado</w:t>
            </w:r>
            <w:proofErr w:type="spellEnd"/>
            <w:r w:rsidRPr="00407294">
              <w:rPr>
                <w:rFonts w:ascii="Cambria" w:hAnsi="Cambria"/>
                <w:b/>
                <w:bCs/>
                <w:color w:val="FFFFFF" w:themeColor="background1"/>
                <w:sz w:val="18"/>
                <w:szCs w:val="18"/>
              </w:rPr>
              <w:t>:</w:t>
            </w:r>
          </w:p>
        </w:tc>
        <w:tc>
          <w:tcPr>
            <w:tcW w:w="5760" w:type="dxa"/>
            <w:vAlign w:val="center"/>
          </w:tcPr>
          <w:p w14:paraId="274C8A50" w14:textId="2BC8E89D" w:rsidR="003239B8" w:rsidRPr="00407294" w:rsidRDefault="007D408F" w:rsidP="008D2290">
            <w:pPr>
              <w:jc w:val="both"/>
              <w:rPr>
                <w:rFonts w:ascii="Cambria" w:hAnsi="Cambria"/>
                <w:bCs/>
                <w:sz w:val="18"/>
                <w:szCs w:val="18"/>
              </w:rPr>
            </w:pPr>
            <w:proofErr w:type="spellStart"/>
            <w:r w:rsidRPr="00407294">
              <w:rPr>
                <w:rFonts w:ascii="Cambria" w:hAnsi="Cambria"/>
                <w:bCs/>
                <w:sz w:val="18"/>
                <w:szCs w:val="18"/>
              </w:rPr>
              <w:t>Perú</w:t>
            </w:r>
            <w:proofErr w:type="spellEnd"/>
            <w:r w:rsidR="004A6A54" w:rsidRPr="00407294">
              <w:rPr>
                <w:rStyle w:val="FootnoteReference"/>
                <w:rFonts w:ascii="Cambria" w:hAnsi="Cambria"/>
                <w:bCs/>
                <w:sz w:val="18"/>
                <w:szCs w:val="18"/>
              </w:rPr>
              <w:footnoteReference w:id="2"/>
            </w:r>
          </w:p>
        </w:tc>
      </w:tr>
      <w:tr w:rsidR="00223A29" w:rsidRPr="003F2D74"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407294" w:rsidRDefault="001B3A00" w:rsidP="00E4118C">
            <w:pPr>
              <w:jc w:val="center"/>
              <w:rPr>
                <w:rFonts w:ascii="Cambria" w:hAnsi="Cambria"/>
                <w:b/>
                <w:bCs/>
                <w:color w:val="FFFFFF" w:themeColor="background1"/>
                <w:sz w:val="18"/>
                <w:szCs w:val="18"/>
              </w:rPr>
            </w:pPr>
            <w:r w:rsidRPr="00407294">
              <w:rPr>
                <w:rFonts w:ascii="Cambria" w:hAnsi="Cambria"/>
                <w:b/>
                <w:bCs/>
                <w:color w:val="FFFFFF" w:themeColor="background1"/>
                <w:sz w:val="18"/>
                <w:szCs w:val="18"/>
              </w:rPr>
              <w:t xml:space="preserve">Derechos </w:t>
            </w:r>
            <w:proofErr w:type="spellStart"/>
            <w:r w:rsidR="00E4118C" w:rsidRPr="00407294">
              <w:rPr>
                <w:rFonts w:ascii="Cambria" w:hAnsi="Cambria"/>
                <w:b/>
                <w:bCs/>
                <w:color w:val="FFFFFF" w:themeColor="background1"/>
                <w:sz w:val="18"/>
                <w:szCs w:val="18"/>
              </w:rPr>
              <w:t>invocados</w:t>
            </w:r>
            <w:proofErr w:type="spellEnd"/>
            <w:r w:rsidRPr="00407294">
              <w:rPr>
                <w:rFonts w:ascii="Cambria" w:hAnsi="Cambria"/>
                <w:b/>
                <w:bCs/>
                <w:color w:val="FFFFFF" w:themeColor="background1"/>
                <w:sz w:val="18"/>
                <w:szCs w:val="18"/>
              </w:rPr>
              <w:t>:</w:t>
            </w:r>
          </w:p>
        </w:tc>
        <w:tc>
          <w:tcPr>
            <w:tcW w:w="5760" w:type="dxa"/>
            <w:vAlign w:val="center"/>
          </w:tcPr>
          <w:p w14:paraId="6DEE1EEB" w14:textId="35D475FE" w:rsidR="00223A29" w:rsidRPr="00407294" w:rsidRDefault="00E500F8" w:rsidP="008D2290">
            <w:pPr>
              <w:jc w:val="both"/>
              <w:rPr>
                <w:rFonts w:ascii="Cambria" w:hAnsi="Cambria"/>
                <w:bCs/>
                <w:sz w:val="18"/>
                <w:szCs w:val="18"/>
                <w:lang w:val="es-ES"/>
              </w:rPr>
            </w:pPr>
            <w:r w:rsidRPr="00407294">
              <w:rPr>
                <w:rFonts w:ascii="Cambria" w:hAnsi="Cambria"/>
                <w:sz w:val="18"/>
                <w:szCs w:val="18"/>
                <w:lang w:val="es-ES"/>
              </w:rPr>
              <w:t>Artículos 5 (integridad personal), 7 (libertad personal), 8 (garantías judiciales), 9 (principio de legalidad y de retroactividad)</w:t>
            </w:r>
            <w:r w:rsidR="00F36FBD" w:rsidRPr="00407294">
              <w:rPr>
                <w:rFonts w:ascii="Cambria" w:hAnsi="Cambria"/>
                <w:sz w:val="18"/>
                <w:szCs w:val="18"/>
                <w:lang w:val="es-ES"/>
              </w:rPr>
              <w:t xml:space="preserve">, </w:t>
            </w:r>
            <w:r w:rsidRPr="00407294">
              <w:rPr>
                <w:rFonts w:ascii="Cambria" w:hAnsi="Cambria"/>
                <w:sz w:val="18"/>
                <w:szCs w:val="18"/>
                <w:lang w:val="es-ES"/>
              </w:rPr>
              <w:t>24 (igualdad ante la ley) y 25 (protección judicial) de la Convención Americana sobre Derechos Humanos</w:t>
            </w:r>
            <w:r w:rsidRPr="00407294">
              <w:rPr>
                <w:rStyle w:val="FootnoteReference"/>
                <w:rFonts w:ascii="Cambria" w:hAnsi="Cambria"/>
                <w:sz w:val="18"/>
                <w:szCs w:val="18"/>
              </w:rPr>
              <w:footnoteReference w:id="3"/>
            </w:r>
            <w:r w:rsidRPr="00407294">
              <w:rPr>
                <w:rFonts w:ascii="Cambria" w:hAnsi="Cambria"/>
                <w:sz w:val="18"/>
                <w:szCs w:val="18"/>
                <w:lang w:val="es-ES"/>
              </w:rPr>
              <w:t>, en relación con su artículo 1.1 (obligación de respetar los derechos)</w:t>
            </w:r>
            <w:r w:rsidR="00F36FBD" w:rsidRPr="00407294">
              <w:rPr>
                <w:rFonts w:ascii="Cambria" w:hAnsi="Cambria"/>
                <w:sz w:val="18"/>
                <w:szCs w:val="18"/>
                <w:lang w:val="es-ES"/>
              </w:rPr>
              <w:t>; y artículos I, II, XVIII, XXIV y XXVI de la Declaración Americana sobre los Derechos y Deberes del Hombre</w:t>
            </w:r>
            <w:r w:rsidR="00F36FBD" w:rsidRPr="00407294">
              <w:rPr>
                <w:rStyle w:val="FootnoteReference"/>
                <w:rFonts w:ascii="Cambria" w:hAnsi="Cambria"/>
                <w:sz w:val="18"/>
                <w:szCs w:val="18"/>
                <w:lang w:val="es-ES"/>
              </w:rPr>
              <w:footnoteReference w:id="4"/>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407294" w:rsidRDefault="004A6A54" w:rsidP="004A6A54">
            <w:pPr>
              <w:jc w:val="center"/>
              <w:rPr>
                <w:rFonts w:ascii="Cambria" w:hAnsi="Cambria"/>
                <w:b/>
                <w:bCs/>
                <w:color w:val="FFFFFF" w:themeColor="background1"/>
                <w:sz w:val="18"/>
                <w:szCs w:val="18"/>
                <w:lang w:val="es-ES"/>
              </w:rPr>
            </w:pPr>
            <w:r w:rsidRPr="00407294">
              <w:rPr>
                <w:rFonts w:ascii="Cambria" w:hAnsi="Cambria"/>
                <w:b/>
                <w:bCs/>
                <w:color w:val="FFFFFF" w:themeColor="background1"/>
                <w:sz w:val="18"/>
                <w:szCs w:val="18"/>
                <w:lang w:val="es-ES"/>
              </w:rPr>
              <w:t>P</w:t>
            </w:r>
            <w:r w:rsidR="004C2312" w:rsidRPr="00407294">
              <w:rPr>
                <w:rFonts w:ascii="Cambria" w:hAnsi="Cambria"/>
                <w:b/>
                <w:bCs/>
                <w:color w:val="FFFFFF" w:themeColor="background1"/>
                <w:sz w:val="18"/>
                <w:szCs w:val="18"/>
                <w:lang w:val="es-ES"/>
              </w:rPr>
              <w:t>resentación de la petición:</w:t>
            </w:r>
          </w:p>
        </w:tc>
        <w:tc>
          <w:tcPr>
            <w:tcW w:w="5760" w:type="dxa"/>
            <w:vAlign w:val="center"/>
          </w:tcPr>
          <w:p w14:paraId="6E579153" w14:textId="4D4FD232" w:rsidR="004C2312" w:rsidRPr="00407294" w:rsidRDefault="00F36FBD" w:rsidP="002625EA">
            <w:pPr>
              <w:jc w:val="both"/>
              <w:rPr>
                <w:rFonts w:ascii="Cambria" w:hAnsi="Cambria"/>
                <w:bCs/>
                <w:sz w:val="18"/>
                <w:szCs w:val="18"/>
                <w:lang w:val="es-ES"/>
              </w:rPr>
            </w:pPr>
            <w:r w:rsidRPr="00407294">
              <w:rPr>
                <w:rFonts w:ascii="Cambria" w:hAnsi="Cambria"/>
                <w:bCs/>
                <w:sz w:val="18"/>
                <w:szCs w:val="18"/>
                <w:lang w:val="es-ES"/>
              </w:rPr>
              <w:t>18 de febrero de 2010</w:t>
            </w:r>
          </w:p>
        </w:tc>
      </w:tr>
      <w:tr w:rsidR="00131425" w:rsidRPr="003F2D74"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407294" w:rsidRDefault="00131425" w:rsidP="004A6A54">
            <w:pPr>
              <w:jc w:val="center"/>
              <w:rPr>
                <w:rFonts w:ascii="Cambria" w:hAnsi="Cambria"/>
                <w:b/>
                <w:bCs/>
                <w:color w:val="FFFFFF" w:themeColor="background1"/>
                <w:sz w:val="18"/>
                <w:szCs w:val="18"/>
                <w:lang w:val="es-ES"/>
              </w:rPr>
            </w:pPr>
            <w:r w:rsidRPr="00407294">
              <w:rPr>
                <w:rFonts w:ascii="Cambria" w:hAnsi="Cambria"/>
                <w:b/>
                <w:bCs/>
                <w:color w:val="FFFFFF" w:themeColor="background1"/>
                <w:sz w:val="18"/>
                <w:szCs w:val="18"/>
                <w:lang w:val="es-ES"/>
              </w:rPr>
              <w:t>Información adicional recibida durante la etapa de estudio:</w:t>
            </w:r>
          </w:p>
        </w:tc>
        <w:tc>
          <w:tcPr>
            <w:tcW w:w="5760" w:type="dxa"/>
            <w:vAlign w:val="center"/>
          </w:tcPr>
          <w:p w14:paraId="30151270" w14:textId="21DD473D" w:rsidR="00131425" w:rsidRPr="00407294" w:rsidRDefault="00F36FBD" w:rsidP="002625EA">
            <w:pPr>
              <w:jc w:val="both"/>
              <w:rPr>
                <w:rFonts w:ascii="Cambria" w:hAnsi="Cambria"/>
                <w:bCs/>
                <w:sz w:val="18"/>
                <w:szCs w:val="18"/>
                <w:lang w:val="es-ES"/>
              </w:rPr>
            </w:pPr>
            <w:r w:rsidRPr="00407294">
              <w:rPr>
                <w:rFonts w:ascii="Cambria" w:hAnsi="Cambria"/>
                <w:bCs/>
                <w:sz w:val="18"/>
                <w:szCs w:val="18"/>
                <w:lang w:val="es-ES"/>
              </w:rPr>
              <w:t>9 de diciembre de 2010, 13 de abril de 2011, 2 de junio de 2011,</w:t>
            </w:r>
            <w:r w:rsidR="00071EE4" w:rsidRPr="00407294">
              <w:rPr>
                <w:rFonts w:ascii="Cambria" w:hAnsi="Cambria"/>
                <w:bCs/>
                <w:sz w:val="18"/>
                <w:szCs w:val="18"/>
                <w:lang w:val="es-ES"/>
              </w:rPr>
              <w:t xml:space="preserve"> 14 de junio de 2011, 20 de setiembre de 2011, 26 de abril de 2013, 20 de agosto de 2013, 10 de enero de 2014, 31 de enero de 2014, 25 de marzo de 2014, 30 de mayo de 2014, 28 de junio de 2014, 25 de julio de 2014, 27 de agosto de 2014, 22 de octubre de 20</w:t>
            </w:r>
            <w:r w:rsidR="007A476B" w:rsidRPr="00407294">
              <w:rPr>
                <w:rFonts w:ascii="Cambria" w:hAnsi="Cambria"/>
                <w:bCs/>
                <w:sz w:val="18"/>
                <w:szCs w:val="18"/>
                <w:lang w:val="es-ES"/>
              </w:rPr>
              <w:t>14 y</w:t>
            </w:r>
            <w:r w:rsidR="00071EE4" w:rsidRPr="00407294">
              <w:rPr>
                <w:rFonts w:ascii="Cambria" w:hAnsi="Cambria"/>
                <w:bCs/>
                <w:sz w:val="18"/>
                <w:szCs w:val="18"/>
                <w:lang w:val="es-ES"/>
              </w:rPr>
              <w:t xml:space="preserve"> 20 de noviembre de 2014</w:t>
            </w:r>
          </w:p>
        </w:tc>
      </w:tr>
      <w:tr w:rsidR="004C2312" w:rsidRPr="0071074A"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407294" w:rsidRDefault="004A6A54" w:rsidP="004A6A54">
            <w:pPr>
              <w:jc w:val="center"/>
              <w:rPr>
                <w:rFonts w:ascii="Cambria" w:hAnsi="Cambria"/>
                <w:b/>
                <w:bCs/>
                <w:color w:val="FFFFFF" w:themeColor="background1"/>
                <w:sz w:val="18"/>
                <w:szCs w:val="18"/>
                <w:lang w:val="es-ES"/>
              </w:rPr>
            </w:pPr>
            <w:r w:rsidRPr="00407294">
              <w:rPr>
                <w:rFonts w:ascii="Cambria" w:hAnsi="Cambria"/>
                <w:b/>
                <w:color w:val="FFFFFF" w:themeColor="background1"/>
                <w:sz w:val="18"/>
                <w:szCs w:val="18"/>
                <w:lang w:val="es-ES"/>
              </w:rPr>
              <w:t>N</w:t>
            </w:r>
            <w:r w:rsidR="004C2312" w:rsidRPr="00407294">
              <w:rPr>
                <w:rFonts w:ascii="Cambria" w:hAnsi="Cambria"/>
                <w:b/>
                <w:color w:val="FFFFFF" w:themeColor="background1"/>
                <w:sz w:val="18"/>
                <w:szCs w:val="18"/>
                <w:lang w:val="es-ES"/>
              </w:rPr>
              <w:t>otificación de la petición al Estado:</w:t>
            </w:r>
          </w:p>
        </w:tc>
        <w:tc>
          <w:tcPr>
            <w:tcW w:w="5760" w:type="dxa"/>
            <w:vAlign w:val="center"/>
          </w:tcPr>
          <w:p w14:paraId="1519DA6A" w14:textId="78399B4B" w:rsidR="004C2312" w:rsidRPr="00407294" w:rsidRDefault="00071EE4" w:rsidP="008D2290">
            <w:pPr>
              <w:jc w:val="both"/>
              <w:rPr>
                <w:rFonts w:ascii="Cambria" w:hAnsi="Cambria"/>
                <w:bCs/>
                <w:sz w:val="18"/>
                <w:szCs w:val="18"/>
                <w:lang w:val="es-ES"/>
              </w:rPr>
            </w:pPr>
            <w:r w:rsidRPr="00407294">
              <w:rPr>
                <w:rFonts w:ascii="Cambria" w:hAnsi="Cambria"/>
                <w:bCs/>
                <w:sz w:val="18"/>
                <w:szCs w:val="18"/>
                <w:lang w:val="es-ES"/>
              </w:rPr>
              <w:t>18 de febrero de 2016</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407294" w:rsidRDefault="004A6A54" w:rsidP="004A6A54">
            <w:pPr>
              <w:jc w:val="center"/>
              <w:rPr>
                <w:rFonts w:ascii="Cambria" w:hAnsi="Cambria"/>
                <w:b/>
                <w:bCs/>
                <w:color w:val="FFFFFF" w:themeColor="background1"/>
                <w:sz w:val="18"/>
                <w:szCs w:val="18"/>
                <w:lang w:val="es-ES"/>
              </w:rPr>
            </w:pPr>
            <w:r w:rsidRPr="00407294">
              <w:rPr>
                <w:rFonts w:ascii="Cambria" w:hAnsi="Cambria"/>
                <w:b/>
                <w:color w:val="FFFFFF" w:themeColor="background1"/>
                <w:sz w:val="18"/>
                <w:szCs w:val="18"/>
                <w:lang w:val="es-ES"/>
              </w:rPr>
              <w:t>P</w:t>
            </w:r>
            <w:r w:rsidR="004C2312" w:rsidRPr="00407294">
              <w:rPr>
                <w:rFonts w:ascii="Cambria" w:hAnsi="Cambria"/>
                <w:b/>
                <w:color w:val="FFFFFF" w:themeColor="background1"/>
                <w:sz w:val="18"/>
                <w:szCs w:val="18"/>
                <w:lang w:val="es-ES"/>
              </w:rPr>
              <w:t>rimera respuesta del Estado:</w:t>
            </w:r>
          </w:p>
        </w:tc>
        <w:tc>
          <w:tcPr>
            <w:tcW w:w="5760" w:type="dxa"/>
            <w:vAlign w:val="center"/>
          </w:tcPr>
          <w:p w14:paraId="1972B99E" w14:textId="5DC66069" w:rsidR="004C2312" w:rsidRPr="00407294" w:rsidRDefault="00071EE4" w:rsidP="008D2290">
            <w:pPr>
              <w:jc w:val="both"/>
              <w:rPr>
                <w:rFonts w:ascii="Cambria" w:hAnsi="Cambria"/>
                <w:bCs/>
                <w:sz w:val="18"/>
                <w:szCs w:val="18"/>
                <w:lang w:val="es-ES"/>
              </w:rPr>
            </w:pPr>
            <w:r w:rsidRPr="00407294">
              <w:rPr>
                <w:rFonts w:ascii="Cambria" w:hAnsi="Cambria"/>
                <w:bCs/>
                <w:sz w:val="18"/>
                <w:szCs w:val="18"/>
                <w:lang w:val="es-ES"/>
              </w:rPr>
              <w:t>20 de mayo de 2016</w:t>
            </w:r>
          </w:p>
        </w:tc>
      </w:tr>
      <w:tr w:rsidR="004C2312" w:rsidRPr="003F2D74"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407294" w:rsidRDefault="008E3BFE" w:rsidP="008E3BFE">
            <w:pPr>
              <w:jc w:val="center"/>
              <w:rPr>
                <w:rFonts w:ascii="Cambria" w:hAnsi="Cambria"/>
                <w:b/>
                <w:bCs/>
                <w:color w:val="FFFFFF" w:themeColor="background1"/>
                <w:sz w:val="18"/>
                <w:szCs w:val="18"/>
                <w:lang w:val="es-ES"/>
              </w:rPr>
            </w:pPr>
            <w:r w:rsidRPr="00407294">
              <w:rPr>
                <w:rFonts w:ascii="Cambria" w:hAnsi="Cambria"/>
                <w:b/>
                <w:bCs/>
                <w:color w:val="FFFFFF" w:themeColor="background1"/>
                <w:sz w:val="18"/>
                <w:szCs w:val="18"/>
                <w:lang w:val="es-ES"/>
              </w:rPr>
              <w:t>Observaciones adicionales de la parte peticionaria:</w:t>
            </w:r>
          </w:p>
        </w:tc>
        <w:tc>
          <w:tcPr>
            <w:tcW w:w="5760" w:type="dxa"/>
            <w:vAlign w:val="center"/>
          </w:tcPr>
          <w:p w14:paraId="41D8B862" w14:textId="67D1E149" w:rsidR="004C2312" w:rsidRPr="00407294" w:rsidRDefault="003A658B" w:rsidP="00681F34">
            <w:pPr>
              <w:jc w:val="both"/>
              <w:rPr>
                <w:rFonts w:ascii="Cambria" w:hAnsi="Cambria"/>
                <w:bCs/>
                <w:sz w:val="18"/>
                <w:szCs w:val="18"/>
                <w:lang w:val="es-ES"/>
              </w:rPr>
            </w:pPr>
            <w:r w:rsidRPr="00407294">
              <w:rPr>
                <w:rFonts w:ascii="Cambria" w:hAnsi="Cambria"/>
                <w:bCs/>
                <w:sz w:val="18"/>
                <w:szCs w:val="18"/>
                <w:lang w:val="es-ES"/>
              </w:rPr>
              <w:t xml:space="preserve">19 de septiembre de 2016, 19 de octubre de 2016, </w:t>
            </w:r>
            <w:r w:rsidR="00071EE4" w:rsidRPr="00407294">
              <w:rPr>
                <w:rFonts w:ascii="Cambria" w:hAnsi="Cambria"/>
                <w:bCs/>
                <w:sz w:val="18"/>
                <w:szCs w:val="18"/>
                <w:lang w:val="es-ES"/>
              </w:rPr>
              <w:t>2 de noviembre de 2016</w:t>
            </w:r>
            <w:r w:rsidRPr="00407294">
              <w:rPr>
                <w:rFonts w:ascii="Cambria" w:hAnsi="Cambria"/>
                <w:bCs/>
                <w:sz w:val="18"/>
                <w:szCs w:val="18"/>
                <w:lang w:val="es-ES"/>
              </w:rPr>
              <w:t xml:space="preserve">, 6 de enero de 2017, 2 de febrero de 2017, 15 de mayo de 2017, 1 de noviembre de 2017, </w:t>
            </w:r>
            <w:r w:rsidR="001A6A96" w:rsidRPr="00407294">
              <w:rPr>
                <w:rFonts w:ascii="Cambria" w:hAnsi="Cambria"/>
                <w:bCs/>
                <w:sz w:val="18"/>
                <w:szCs w:val="18"/>
                <w:lang w:val="es-ES"/>
              </w:rPr>
              <w:t xml:space="preserve">19 de marzo de 2018, 7 de septiembre de 2018, 26 de septiembre de 2018, 3 de octubre de 2018, 28 de octubre de 2018, 25 de marzo de 2019, 17 de mayo de 2019, </w:t>
            </w:r>
            <w:r w:rsidR="00681F34" w:rsidRPr="00407294">
              <w:rPr>
                <w:rFonts w:ascii="Cambria" w:hAnsi="Cambria"/>
                <w:bCs/>
                <w:sz w:val="18"/>
                <w:szCs w:val="18"/>
                <w:lang w:val="es-ES"/>
              </w:rPr>
              <w:t>8 de agosto de 2019, 1 de octubre de 2019, 20 de noviembre de 2019, 2 de enero de 2020, 31 de enero de 2020, 19 de febrero de 2020 y 5 marzo de 2020.</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407294" w:rsidRDefault="004C2312" w:rsidP="008E3BFE">
            <w:pPr>
              <w:jc w:val="center"/>
              <w:rPr>
                <w:rFonts w:ascii="Cambria" w:hAnsi="Cambria"/>
                <w:b/>
                <w:bCs/>
                <w:color w:val="FFFFFF" w:themeColor="background1"/>
                <w:sz w:val="18"/>
                <w:szCs w:val="18"/>
              </w:rPr>
            </w:pPr>
            <w:proofErr w:type="spellStart"/>
            <w:r w:rsidRPr="00407294">
              <w:rPr>
                <w:rFonts w:ascii="Cambria" w:hAnsi="Cambria"/>
                <w:b/>
                <w:bCs/>
                <w:color w:val="FFFFFF" w:themeColor="background1"/>
                <w:sz w:val="18"/>
                <w:szCs w:val="18"/>
              </w:rPr>
              <w:t>Observaciones</w:t>
            </w:r>
            <w:proofErr w:type="spellEnd"/>
            <w:r w:rsidRPr="00407294">
              <w:rPr>
                <w:rFonts w:ascii="Cambria" w:hAnsi="Cambria"/>
                <w:b/>
                <w:bCs/>
                <w:color w:val="FFFFFF" w:themeColor="background1"/>
                <w:sz w:val="18"/>
                <w:szCs w:val="18"/>
              </w:rPr>
              <w:t xml:space="preserve"> </w:t>
            </w:r>
            <w:proofErr w:type="spellStart"/>
            <w:r w:rsidRPr="00407294">
              <w:rPr>
                <w:rFonts w:ascii="Cambria" w:hAnsi="Cambria"/>
                <w:b/>
                <w:bCs/>
                <w:color w:val="FFFFFF" w:themeColor="background1"/>
                <w:sz w:val="18"/>
                <w:szCs w:val="18"/>
              </w:rPr>
              <w:t>adicionales</w:t>
            </w:r>
            <w:proofErr w:type="spellEnd"/>
            <w:r w:rsidRPr="00407294">
              <w:rPr>
                <w:rFonts w:ascii="Cambria" w:hAnsi="Cambria"/>
                <w:b/>
                <w:bCs/>
                <w:color w:val="FFFFFF" w:themeColor="background1"/>
                <w:sz w:val="18"/>
                <w:szCs w:val="18"/>
              </w:rPr>
              <w:t xml:space="preserve"> del Estado:</w:t>
            </w:r>
          </w:p>
        </w:tc>
        <w:tc>
          <w:tcPr>
            <w:tcW w:w="5760" w:type="dxa"/>
            <w:vAlign w:val="center"/>
          </w:tcPr>
          <w:p w14:paraId="3CE49AFE" w14:textId="5EAEAC7E" w:rsidR="004C2312" w:rsidRPr="00407294" w:rsidRDefault="00071EE4" w:rsidP="008D2290">
            <w:pPr>
              <w:jc w:val="both"/>
              <w:rPr>
                <w:rFonts w:ascii="Cambria" w:hAnsi="Cambria"/>
                <w:bCs/>
                <w:sz w:val="18"/>
                <w:szCs w:val="18"/>
              </w:rPr>
            </w:pPr>
            <w:r w:rsidRPr="00407294">
              <w:rPr>
                <w:rFonts w:ascii="Cambria" w:hAnsi="Cambria"/>
                <w:bCs/>
                <w:sz w:val="18"/>
                <w:szCs w:val="18"/>
              </w:rPr>
              <w:t xml:space="preserve">9 de </w:t>
            </w:r>
            <w:proofErr w:type="spellStart"/>
            <w:r w:rsidRPr="00407294">
              <w:rPr>
                <w:rFonts w:ascii="Cambria" w:hAnsi="Cambria"/>
                <w:bCs/>
                <w:sz w:val="18"/>
                <w:szCs w:val="18"/>
              </w:rPr>
              <w:t>marzo</w:t>
            </w:r>
            <w:proofErr w:type="spellEnd"/>
            <w:r w:rsidRPr="00407294">
              <w:rPr>
                <w:rFonts w:ascii="Cambria" w:hAnsi="Cambria"/>
                <w:bCs/>
                <w:sz w:val="18"/>
                <w:szCs w:val="18"/>
              </w:rPr>
              <w:t xml:space="preserve"> de 2018</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07294" w:rsidRDefault="003239B8" w:rsidP="008D2290">
            <w:pPr>
              <w:jc w:val="center"/>
              <w:rPr>
                <w:rFonts w:ascii="Cambria" w:hAnsi="Cambria"/>
                <w:b/>
                <w:bCs/>
                <w:i/>
                <w:color w:val="FFFFFF" w:themeColor="background1"/>
                <w:sz w:val="18"/>
                <w:szCs w:val="18"/>
              </w:rPr>
            </w:pPr>
            <w:proofErr w:type="spellStart"/>
            <w:r w:rsidRPr="00407294">
              <w:rPr>
                <w:rFonts w:ascii="Cambria" w:hAnsi="Cambria"/>
                <w:b/>
                <w:bCs/>
                <w:color w:val="FFFFFF" w:themeColor="background1"/>
                <w:sz w:val="18"/>
                <w:szCs w:val="18"/>
              </w:rPr>
              <w:t>Competencia</w:t>
            </w:r>
            <w:proofErr w:type="spellEnd"/>
            <w:r w:rsidRPr="00407294">
              <w:rPr>
                <w:rFonts w:ascii="Cambria" w:hAnsi="Cambria"/>
                <w:b/>
                <w:bCs/>
                <w:i/>
                <w:color w:val="FFFFFF" w:themeColor="background1"/>
                <w:sz w:val="18"/>
                <w:szCs w:val="18"/>
              </w:rPr>
              <w:t xml:space="preserve"> </w:t>
            </w:r>
            <w:proofErr w:type="spellStart"/>
            <w:r w:rsidRPr="00407294">
              <w:rPr>
                <w:rFonts w:ascii="Cambria" w:hAnsi="Cambria"/>
                <w:b/>
                <w:bCs/>
                <w:i/>
                <w:color w:val="FFFFFF" w:themeColor="background1"/>
                <w:sz w:val="18"/>
                <w:szCs w:val="18"/>
              </w:rPr>
              <w:t>Ratione</w:t>
            </w:r>
            <w:proofErr w:type="spellEnd"/>
            <w:r w:rsidRPr="00407294">
              <w:rPr>
                <w:rFonts w:ascii="Cambria" w:hAnsi="Cambria"/>
                <w:b/>
                <w:bCs/>
                <w:i/>
                <w:color w:val="FFFFFF" w:themeColor="background1"/>
                <w:sz w:val="18"/>
                <w:szCs w:val="18"/>
              </w:rPr>
              <w:t xml:space="preserve"> personae:</w:t>
            </w:r>
          </w:p>
        </w:tc>
        <w:tc>
          <w:tcPr>
            <w:tcW w:w="5760" w:type="dxa"/>
            <w:vAlign w:val="center"/>
          </w:tcPr>
          <w:p w14:paraId="7707F3E9" w14:textId="43B71EAE" w:rsidR="003239B8" w:rsidRPr="00407294" w:rsidRDefault="007D408F" w:rsidP="008D2290">
            <w:pPr>
              <w:rPr>
                <w:rFonts w:ascii="Cambria" w:hAnsi="Cambria"/>
                <w:bCs/>
                <w:sz w:val="18"/>
                <w:szCs w:val="18"/>
              </w:rPr>
            </w:pPr>
            <w:proofErr w:type="spellStart"/>
            <w:r w:rsidRPr="00407294">
              <w:rPr>
                <w:rFonts w:ascii="Cambria" w:hAnsi="Cambria"/>
                <w:bCs/>
                <w:sz w:val="18"/>
                <w:szCs w:val="18"/>
              </w:rPr>
              <w:t>Sí</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407294" w:rsidRDefault="003239B8" w:rsidP="008D2290">
            <w:pPr>
              <w:jc w:val="center"/>
              <w:rPr>
                <w:rFonts w:ascii="Cambria" w:hAnsi="Cambria"/>
                <w:b/>
                <w:bCs/>
                <w:color w:val="FFFFFF" w:themeColor="background1"/>
                <w:sz w:val="18"/>
                <w:szCs w:val="18"/>
              </w:rPr>
            </w:pPr>
            <w:proofErr w:type="spellStart"/>
            <w:r w:rsidRPr="00407294">
              <w:rPr>
                <w:rFonts w:ascii="Cambria" w:hAnsi="Cambria"/>
                <w:b/>
                <w:bCs/>
                <w:color w:val="FFFFFF" w:themeColor="background1"/>
                <w:sz w:val="18"/>
                <w:szCs w:val="18"/>
              </w:rPr>
              <w:t>Competencia</w:t>
            </w:r>
            <w:proofErr w:type="spellEnd"/>
            <w:r w:rsidRPr="00407294">
              <w:rPr>
                <w:rFonts w:ascii="Cambria" w:hAnsi="Cambria"/>
                <w:b/>
                <w:bCs/>
                <w:i/>
                <w:color w:val="FFFFFF" w:themeColor="background1"/>
                <w:sz w:val="18"/>
                <w:szCs w:val="18"/>
              </w:rPr>
              <w:t xml:space="preserve"> </w:t>
            </w:r>
            <w:proofErr w:type="spellStart"/>
            <w:r w:rsidRPr="00407294">
              <w:rPr>
                <w:rFonts w:ascii="Cambria" w:hAnsi="Cambria"/>
                <w:b/>
                <w:bCs/>
                <w:i/>
                <w:color w:val="FFFFFF" w:themeColor="background1"/>
                <w:sz w:val="18"/>
                <w:szCs w:val="18"/>
              </w:rPr>
              <w:t>Ratione</w:t>
            </w:r>
            <w:proofErr w:type="spellEnd"/>
            <w:r w:rsidRPr="00407294">
              <w:rPr>
                <w:rFonts w:ascii="Cambria" w:hAnsi="Cambria"/>
                <w:b/>
                <w:bCs/>
                <w:i/>
                <w:color w:val="FFFFFF" w:themeColor="background1"/>
                <w:sz w:val="18"/>
                <w:szCs w:val="18"/>
              </w:rPr>
              <w:t xml:space="preserve"> loci</w:t>
            </w:r>
            <w:r w:rsidRPr="00407294">
              <w:rPr>
                <w:rFonts w:ascii="Cambria" w:hAnsi="Cambria"/>
                <w:b/>
                <w:bCs/>
                <w:color w:val="FFFFFF" w:themeColor="background1"/>
                <w:sz w:val="18"/>
                <w:szCs w:val="18"/>
              </w:rPr>
              <w:t>:</w:t>
            </w:r>
          </w:p>
        </w:tc>
        <w:tc>
          <w:tcPr>
            <w:tcW w:w="5760" w:type="dxa"/>
            <w:vAlign w:val="center"/>
          </w:tcPr>
          <w:p w14:paraId="12C931CB" w14:textId="0654CE49" w:rsidR="003239B8" w:rsidRPr="00407294" w:rsidRDefault="007D408F" w:rsidP="008D2290">
            <w:pPr>
              <w:rPr>
                <w:rFonts w:ascii="Cambria" w:hAnsi="Cambria"/>
                <w:bCs/>
                <w:sz w:val="18"/>
                <w:szCs w:val="18"/>
              </w:rPr>
            </w:pPr>
            <w:proofErr w:type="spellStart"/>
            <w:r w:rsidRPr="00407294">
              <w:rPr>
                <w:rFonts w:ascii="Cambria" w:hAnsi="Cambria"/>
                <w:bCs/>
                <w:sz w:val="18"/>
                <w:szCs w:val="18"/>
              </w:rPr>
              <w:t>Sí</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407294" w:rsidRDefault="003239B8" w:rsidP="008D2290">
            <w:pPr>
              <w:jc w:val="center"/>
              <w:rPr>
                <w:rFonts w:ascii="Cambria" w:hAnsi="Cambria"/>
                <w:b/>
                <w:bCs/>
                <w:color w:val="FFFFFF" w:themeColor="background1"/>
                <w:sz w:val="18"/>
                <w:szCs w:val="18"/>
              </w:rPr>
            </w:pPr>
            <w:proofErr w:type="spellStart"/>
            <w:r w:rsidRPr="00407294">
              <w:rPr>
                <w:rFonts w:ascii="Cambria" w:hAnsi="Cambria"/>
                <w:b/>
                <w:bCs/>
                <w:color w:val="FFFFFF" w:themeColor="background1"/>
                <w:sz w:val="18"/>
                <w:szCs w:val="18"/>
              </w:rPr>
              <w:t>Competencia</w:t>
            </w:r>
            <w:proofErr w:type="spellEnd"/>
            <w:r w:rsidRPr="00407294">
              <w:rPr>
                <w:rFonts w:ascii="Cambria" w:hAnsi="Cambria"/>
                <w:b/>
                <w:bCs/>
                <w:i/>
                <w:color w:val="FFFFFF" w:themeColor="background1"/>
                <w:sz w:val="18"/>
                <w:szCs w:val="18"/>
              </w:rPr>
              <w:t xml:space="preserve"> </w:t>
            </w:r>
            <w:proofErr w:type="spellStart"/>
            <w:r w:rsidRPr="00407294">
              <w:rPr>
                <w:rFonts w:ascii="Cambria" w:hAnsi="Cambria"/>
                <w:b/>
                <w:bCs/>
                <w:i/>
                <w:color w:val="FFFFFF" w:themeColor="background1"/>
                <w:sz w:val="18"/>
                <w:szCs w:val="18"/>
              </w:rPr>
              <w:t>Ratione</w:t>
            </w:r>
            <w:proofErr w:type="spellEnd"/>
            <w:r w:rsidRPr="00407294">
              <w:rPr>
                <w:rFonts w:ascii="Cambria" w:hAnsi="Cambria"/>
                <w:b/>
                <w:bCs/>
                <w:i/>
                <w:color w:val="FFFFFF" w:themeColor="background1"/>
                <w:sz w:val="18"/>
                <w:szCs w:val="18"/>
              </w:rPr>
              <w:t xml:space="preserve"> </w:t>
            </w:r>
            <w:proofErr w:type="spellStart"/>
            <w:r w:rsidRPr="00407294">
              <w:rPr>
                <w:rFonts w:ascii="Cambria" w:hAnsi="Cambria"/>
                <w:b/>
                <w:bCs/>
                <w:i/>
                <w:color w:val="FFFFFF" w:themeColor="background1"/>
                <w:sz w:val="18"/>
                <w:szCs w:val="18"/>
              </w:rPr>
              <w:t>temporis</w:t>
            </w:r>
            <w:proofErr w:type="spellEnd"/>
            <w:r w:rsidRPr="00407294">
              <w:rPr>
                <w:rFonts w:ascii="Cambria" w:hAnsi="Cambria"/>
                <w:b/>
                <w:bCs/>
                <w:color w:val="FFFFFF" w:themeColor="background1"/>
                <w:sz w:val="18"/>
                <w:szCs w:val="18"/>
              </w:rPr>
              <w:t>:</w:t>
            </w:r>
          </w:p>
        </w:tc>
        <w:tc>
          <w:tcPr>
            <w:tcW w:w="5760" w:type="dxa"/>
            <w:vAlign w:val="center"/>
          </w:tcPr>
          <w:p w14:paraId="6F8B059B" w14:textId="14BB3E65" w:rsidR="003239B8" w:rsidRPr="00407294" w:rsidRDefault="007D408F" w:rsidP="008D2290">
            <w:pPr>
              <w:rPr>
                <w:rFonts w:ascii="Cambria" w:hAnsi="Cambria"/>
                <w:bCs/>
                <w:sz w:val="18"/>
                <w:szCs w:val="18"/>
              </w:rPr>
            </w:pPr>
            <w:proofErr w:type="spellStart"/>
            <w:r w:rsidRPr="00407294">
              <w:rPr>
                <w:rFonts w:ascii="Cambria" w:hAnsi="Cambria"/>
                <w:bCs/>
                <w:sz w:val="18"/>
                <w:szCs w:val="18"/>
              </w:rPr>
              <w:t>Sí</w:t>
            </w:r>
            <w:proofErr w:type="spellEnd"/>
          </w:p>
        </w:tc>
      </w:tr>
      <w:tr w:rsidR="003239B8" w:rsidRPr="003F2D74"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407294" w:rsidRDefault="003239B8" w:rsidP="008D2290">
            <w:pPr>
              <w:jc w:val="center"/>
              <w:rPr>
                <w:rFonts w:ascii="Cambria" w:hAnsi="Cambria"/>
                <w:b/>
                <w:bCs/>
                <w:color w:val="FFFFFF" w:themeColor="background1"/>
                <w:sz w:val="18"/>
                <w:szCs w:val="18"/>
              </w:rPr>
            </w:pPr>
            <w:proofErr w:type="spellStart"/>
            <w:r w:rsidRPr="00407294">
              <w:rPr>
                <w:rFonts w:ascii="Cambria" w:hAnsi="Cambria"/>
                <w:b/>
                <w:bCs/>
                <w:color w:val="FFFFFF" w:themeColor="background1"/>
                <w:sz w:val="18"/>
                <w:szCs w:val="18"/>
              </w:rPr>
              <w:t>Competencia</w:t>
            </w:r>
            <w:proofErr w:type="spellEnd"/>
            <w:r w:rsidRPr="00407294">
              <w:rPr>
                <w:rFonts w:ascii="Cambria" w:hAnsi="Cambria"/>
                <w:b/>
                <w:bCs/>
                <w:i/>
                <w:color w:val="FFFFFF" w:themeColor="background1"/>
                <w:sz w:val="18"/>
                <w:szCs w:val="18"/>
              </w:rPr>
              <w:t xml:space="preserve"> </w:t>
            </w:r>
            <w:proofErr w:type="spellStart"/>
            <w:r w:rsidRPr="00407294">
              <w:rPr>
                <w:rFonts w:ascii="Cambria" w:hAnsi="Cambria"/>
                <w:b/>
                <w:bCs/>
                <w:i/>
                <w:color w:val="FFFFFF" w:themeColor="background1"/>
                <w:sz w:val="18"/>
                <w:szCs w:val="18"/>
              </w:rPr>
              <w:t>Ratione</w:t>
            </w:r>
            <w:proofErr w:type="spellEnd"/>
            <w:r w:rsidRPr="00407294">
              <w:rPr>
                <w:rFonts w:ascii="Cambria" w:hAnsi="Cambria"/>
                <w:b/>
                <w:bCs/>
                <w:i/>
                <w:color w:val="FFFFFF" w:themeColor="background1"/>
                <w:sz w:val="18"/>
                <w:szCs w:val="18"/>
              </w:rPr>
              <w:t xml:space="preserve"> </w:t>
            </w:r>
            <w:proofErr w:type="spellStart"/>
            <w:r w:rsidRPr="00407294">
              <w:rPr>
                <w:rFonts w:ascii="Cambria" w:hAnsi="Cambria"/>
                <w:b/>
                <w:bCs/>
                <w:i/>
                <w:color w:val="FFFFFF" w:themeColor="background1"/>
                <w:sz w:val="18"/>
                <w:szCs w:val="18"/>
              </w:rPr>
              <w:t>materia</w:t>
            </w:r>
            <w:r w:rsidR="00EE00E9" w:rsidRPr="00407294">
              <w:rPr>
                <w:rFonts w:ascii="Cambria" w:hAnsi="Cambria"/>
                <w:b/>
                <w:bCs/>
                <w:i/>
                <w:color w:val="FFFFFF" w:themeColor="background1"/>
                <w:sz w:val="18"/>
                <w:szCs w:val="18"/>
              </w:rPr>
              <w:t>e</w:t>
            </w:r>
            <w:proofErr w:type="spellEnd"/>
            <w:r w:rsidRPr="00407294">
              <w:rPr>
                <w:rFonts w:ascii="Cambria" w:hAnsi="Cambria"/>
                <w:b/>
                <w:bCs/>
                <w:color w:val="FFFFFF" w:themeColor="background1"/>
                <w:sz w:val="18"/>
                <w:szCs w:val="18"/>
              </w:rPr>
              <w:t>:</w:t>
            </w:r>
          </w:p>
        </w:tc>
        <w:tc>
          <w:tcPr>
            <w:tcW w:w="5760" w:type="dxa"/>
            <w:vAlign w:val="center"/>
          </w:tcPr>
          <w:p w14:paraId="0C122F44" w14:textId="7EDEA839" w:rsidR="003239B8" w:rsidRPr="00407294" w:rsidRDefault="007D408F" w:rsidP="008D2290">
            <w:pPr>
              <w:jc w:val="both"/>
              <w:rPr>
                <w:rFonts w:ascii="Cambria" w:hAnsi="Cambria"/>
                <w:bCs/>
                <w:sz w:val="18"/>
                <w:szCs w:val="18"/>
                <w:lang w:val="es-ES"/>
              </w:rPr>
            </w:pPr>
            <w:r w:rsidRPr="00407294">
              <w:rPr>
                <w:rFonts w:ascii="Cambria" w:hAnsi="Cambria"/>
                <w:bCs/>
                <w:sz w:val="18"/>
                <w:szCs w:val="18"/>
                <w:lang w:val="es-ES"/>
              </w:rPr>
              <w:t>Sí, Convención Americana (depósito del instrumento de ratificación realizado el 28 de julio de 1978)</w:t>
            </w:r>
          </w:p>
        </w:tc>
      </w:tr>
    </w:tbl>
    <w:p w14:paraId="4E92C444" w14:textId="6B146DFE"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71074A"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4D62DEA0" w:rsidR="00EE00E9" w:rsidRPr="00DC24E3" w:rsidRDefault="00071EE4"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6310C8F7" w14:textId="553E1393" w:rsidR="003239B8" w:rsidRPr="00071EE4" w:rsidRDefault="00071EE4" w:rsidP="008D2290">
            <w:pPr>
              <w:jc w:val="both"/>
              <w:rPr>
                <w:rFonts w:ascii="Cambria" w:hAnsi="Cambria"/>
                <w:bCs/>
                <w:sz w:val="20"/>
                <w:szCs w:val="20"/>
                <w:lang w:val="es-ES"/>
              </w:rPr>
            </w:pPr>
            <w:r w:rsidRPr="00071EE4">
              <w:rPr>
                <w:rFonts w:ascii="Cambria" w:hAnsi="Cambria"/>
                <w:bCs/>
                <w:sz w:val="20"/>
                <w:szCs w:val="20"/>
                <w:lang w:val="es-ES"/>
              </w:rPr>
              <w:t>Ninguno</w:t>
            </w:r>
          </w:p>
        </w:tc>
      </w:tr>
      <w:tr w:rsidR="003239B8" w:rsidRPr="003F2D74"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3282C18D" w:rsidR="003239B8" w:rsidRPr="00DC24E3" w:rsidRDefault="00071EE4" w:rsidP="008D2290">
            <w:pPr>
              <w:rPr>
                <w:rFonts w:ascii="Cambria" w:hAnsi="Cambria"/>
                <w:bCs/>
                <w:sz w:val="20"/>
                <w:szCs w:val="20"/>
                <w:lang w:val="es-ES"/>
              </w:rPr>
            </w:pPr>
            <w:r>
              <w:rPr>
                <w:rFonts w:ascii="Cambria" w:hAnsi="Cambria"/>
                <w:bCs/>
                <w:sz w:val="20"/>
                <w:szCs w:val="20"/>
                <w:lang w:val="es-ES"/>
              </w:rPr>
              <w:t xml:space="preserve">Sí, </w:t>
            </w:r>
            <w:r w:rsidR="00237261">
              <w:rPr>
                <w:rFonts w:ascii="Cambria" w:hAnsi="Cambria"/>
                <w:bCs/>
                <w:sz w:val="20"/>
                <w:szCs w:val="20"/>
                <w:lang w:val="es-ES"/>
              </w:rPr>
              <w:t xml:space="preserve">el </w:t>
            </w:r>
            <w:r w:rsidR="00237261" w:rsidRPr="00B11D87">
              <w:rPr>
                <w:rFonts w:asciiTheme="majorHAnsi" w:eastAsia="Times New Roman" w:hAnsiTheme="majorHAnsi"/>
                <w:sz w:val="20"/>
                <w:szCs w:val="20"/>
                <w:bdr w:val="none" w:sz="0" w:space="0" w:color="auto"/>
                <w:lang w:val="es-ES"/>
              </w:rPr>
              <w:t>21 de noviembre de 2017</w:t>
            </w:r>
          </w:p>
        </w:tc>
      </w:tr>
      <w:tr w:rsidR="003239B8" w:rsidRPr="00B2155F"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A2A4569" w14:textId="3A8D892B" w:rsidR="003239B8" w:rsidRPr="00DC24E3" w:rsidRDefault="00071EE4" w:rsidP="008D2290">
            <w:pPr>
              <w:rPr>
                <w:rFonts w:ascii="Cambria" w:hAnsi="Cambria"/>
                <w:bCs/>
                <w:sz w:val="20"/>
                <w:szCs w:val="20"/>
              </w:rPr>
            </w:pPr>
            <w:proofErr w:type="spellStart"/>
            <w:r>
              <w:rPr>
                <w:rFonts w:ascii="Cambria" w:hAnsi="Cambria"/>
                <w:bCs/>
                <w:sz w:val="20"/>
                <w:szCs w:val="20"/>
              </w:rPr>
              <w:t>Sí</w:t>
            </w:r>
            <w:proofErr w:type="spellEnd"/>
          </w:p>
        </w:tc>
      </w:tr>
    </w:tbl>
    <w:p w14:paraId="1169BDAD" w14:textId="77777777" w:rsidR="00407294" w:rsidRDefault="00407294" w:rsidP="003239B8">
      <w:pPr>
        <w:spacing w:before="240" w:after="240"/>
        <w:ind w:firstLine="720"/>
        <w:jc w:val="both"/>
        <w:rPr>
          <w:rFonts w:asciiTheme="majorHAnsi" w:hAnsiTheme="majorHAnsi"/>
          <w:b/>
          <w:sz w:val="20"/>
          <w:szCs w:val="20"/>
          <w:lang w:val="es-UY"/>
        </w:rPr>
      </w:pPr>
    </w:p>
    <w:p w14:paraId="18E6423B" w14:textId="0F5893DB" w:rsidR="003239B8" w:rsidRDefault="00407294" w:rsidP="00407294">
      <w:pPr>
        <w:rPr>
          <w:rFonts w:asciiTheme="majorHAnsi" w:hAnsiTheme="majorHAnsi"/>
          <w:b/>
          <w:sz w:val="20"/>
          <w:szCs w:val="20"/>
          <w:lang w:val="es-UY"/>
        </w:rPr>
      </w:pPr>
      <w:r>
        <w:rPr>
          <w:rFonts w:asciiTheme="majorHAnsi" w:hAnsiTheme="majorHAnsi"/>
          <w:b/>
          <w:sz w:val="20"/>
          <w:szCs w:val="20"/>
          <w:lang w:val="es-UY"/>
        </w:rPr>
        <w:br w:type="page"/>
      </w:r>
      <w:r>
        <w:rPr>
          <w:rFonts w:asciiTheme="majorHAnsi" w:hAnsiTheme="majorHAnsi"/>
          <w:b/>
          <w:sz w:val="20"/>
          <w:szCs w:val="20"/>
          <w:lang w:val="es-UY"/>
        </w:rPr>
        <w:lastRenderedPageBreak/>
        <w:tab/>
      </w:r>
      <w:r w:rsidR="00223A29">
        <w:rPr>
          <w:rFonts w:asciiTheme="majorHAnsi" w:hAnsiTheme="majorHAnsi"/>
          <w:b/>
          <w:sz w:val="20"/>
          <w:szCs w:val="20"/>
          <w:lang w:val="es-UY"/>
        </w:rPr>
        <w:t xml:space="preserve">V. </w:t>
      </w:r>
      <w:r w:rsidR="00223A29">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42CDFD2" w14:textId="77777777" w:rsidR="00407294" w:rsidRDefault="00407294" w:rsidP="00407294">
      <w:pPr>
        <w:rPr>
          <w:rFonts w:asciiTheme="majorHAnsi" w:hAnsiTheme="majorHAnsi"/>
          <w:b/>
          <w:sz w:val="20"/>
          <w:szCs w:val="20"/>
          <w:lang w:val="es-UY"/>
        </w:rPr>
      </w:pPr>
    </w:p>
    <w:p w14:paraId="2C3FAC36" w14:textId="6BB53605" w:rsidR="00474845" w:rsidRPr="00474845" w:rsidRDefault="00474845" w:rsidP="00D6546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74845">
        <w:rPr>
          <w:rFonts w:ascii="Cambria" w:hAnsi="Cambria"/>
          <w:sz w:val="20"/>
          <w:szCs w:val="20"/>
          <w:lang w:val="es-ES"/>
        </w:rPr>
        <w:t xml:space="preserve">La parte peticionaria denuncia que el señor </w:t>
      </w:r>
      <w:r>
        <w:rPr>
          <w:rFonts w:ascii="Cambria" w:hAnsi="Cambria"/>
          <w:sz w:val="20"/>
          <w:szCs w:val="20"/>
          <w:lang w:val="es-ES"/>
        </w:rPr>
        <w:t xml:space="preserve">Eduardo Gustavo Rojas Segura </w:t>
      </w:r>
      <w:r w:rsidR="003177B8">
        <w:rPr>
          <w:rFonts w:ascii="Cambria" w:hAnsi="Cambria"/>
          <w:sz w:val="20"/>
          <w:szCs w:val="20"/>
          <w:lang w:val="es-ES"/>
        </w:rPr>
        <w:t>(en adelante, “la presunta víctima” o “</w:t>
      </w:r>
      <w:r w:rsidRPr="00474845">
        <w:rPr>
          <w:rFonts w:ascii="Cambria" w:hAnsi="Cambria"/>
          <w:sz w:val="20"/>
          <w:szCs w:val="20"/>
          <w:lang w:val="es-ES"/>
        </w:rPr>
        <w:t xml:space="preserve">el señor </w:t>
      </w:r>
      <w:r>
        <w:rPr>
          <w:rFonts w:ascii="Cambria" w:hAnsi="Cambria"/>
          <w:sz w:val="20"/>
          <w:szCs w:val="20"/>
          <w:lang w:val="es-ES"/>
        </w:rPr>
        <w:t>Rojas Segura</w:t>
      </w:r>
      <w:r w:rsidR="003177B8">
        <w:rPr>
          <w:rFonts w:ascii="Cambria" w:hAnsi="Cambria"/>
          <w:sz w:val="20"/>
          <w:szCs w:val="20"/>
          <w:lang w:val="es-ES"/>
        </w:rPr>
        <w:t>”</w:t>
      </w:r>
      <w:r w:rsidRPr="00474845">
        <w:rPr>
          <w:rFonts w:ascii="Cambria" w:hAnsi="Cambria"/>
          <w:sz w:val="20"/>
          <w:szCs w:val="20"/>
          <w:lang w:val="es-ES"/>
        </w:rPr>
        <w:t xml:space="preserve">) fue condenado por </w:t>
      </w:r>
      <w:r>
        <w:rPr>
          <w:rFonts w:ascii="Cambria" w:hAnsi="Cambria"/>
          <w:sz w:val="20"/>
          <w:szCs w:val="20"/>
          <w:lang w:val="es-ES"/>
        </w:rPr>
        <w:t>el delito de cohecho pasivo específico</w:t>
      </w:r>
      <w:r w:rsidRPr="00474845">
        <w:rPr>
          <w:rFonts w:ascii="Cambria" w:hAnsi="Cambria"/>
          <w:sz w:val="20"/>
          <w:szCs w:val="20"/>
          <w:lang w:val="es-ES"/>
        </w:rPr>
        <w:t>,</w:t>
      </w:r>
      <w:r w:rsidR="00405B6C">
        <w:rPr>
          <w:rFonts w:ascii="Cambria" w:hAnsi="Cambria"/>
          <w:sz w:val="20"/>
          <w:szCs w:val="20"/>
          <w:lang w:val="es-ES"/>
        </w:rPr>
        <w:t xml:space="preserve"> por </w:t>
      </w:r>
      <w:r w:rsidR="00E476EA">
        <w:rPr>
          <w:rFonts w:ascii="Cambria" w:hAnsi="Cambria"/>
          <w:sz w:val="20"/>
          <w:szCs w:val="20"/>
          <w:lang w:val="es-ES"/>
        </w:rPr>
        <w:t>su actuación</w:t>
      </w:r>
      <w:r w:rsidR="00405B6C">
        <w:rPr>
          <w:rFonts w:ascii="Cambria" w:hAnsi="Cambria"/>
          <w:sz w:val="20"/>
          <w:szCs w:val="20"/>
          <w:lang w:val="es-ES"/>
        </w:rPr>
        <w:t xml:space="preserve"> como Fiscal Adjunto Provincial de Pacasmayo</w:t>
      </w:r>
      <w:r w:rsidRPr="00474845">
        <w:rPr>
          <w:rFonts w:ascii="Cambria" w:hAnsi="Cambria"/>
          <w:sz w:val="20"/>
          <w:szCs w:val="20"/>
          <w:lang w:val="es-ES"/>
        </w:rPr>
        <w:t xml:space="preserve"> mediante un proceso penal que </w:t>
      </w:r>
      <w:r w:rsidR="003177B8">
        <w:rPr>
          <w:rFonts w:ascii="Cambria" w:hAnsi="Cambria"/>
          <w:sz w:val="20"/>
          <w:szCs w:val="20"/>
          <w:lang w:val="es-ES"/>
        </w:rPr>
        <w:t>habría violado</w:t>
      </w:r>
      <w:r>
        <w:rPr>
          <w:rFonts w:ascii="Cambria" w:hAnsi="Cambria"/>
          <w:sz w:val="20"/>
          <w:szCs w:val="20"/>
          <w:lang w:val="es-ES"/>
        </w:rPr>
        <w:t xml:space="preserve"> su derecho a la presunción de inocencia y a la defensa. </w:t>
      </w:r>
    </w:p>
    <w:p w14:paraId="5195A0B9" w14:textId="0D05138F" w:rsidR="00474845" w:rsidRPr="00FB1317" w:rsidRDefault="00474845" w:rsidP="00FB13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ES"/>
        </w:rPr>
        <w:t xml:space="preserve">Indica que </w:t>
      </w:r>
      <w:r w:rsidR="00391C49">
        <w:rPr>
          <w:rFonts w:ascii="Cambria" w:hAnsi="Cambria"/>
          <w:sz w:val="20"/>
          <w:szCs w:val="20"/>
          <w:lang w:val="es-ES"/>
        </w:rPr>
        <w:t xml:space="preserve">el 5 de agosto de 2008 </w:t>
      </w:r>
      <w:r w:rsidR="00405B6C">
        <w:rPr>
          <w:rFonts w:ascii="Cambria" w:hAnsi="Cambria"/>
          <w:sz w:val="20"/>
          <w:szCs w:val="20"/>
          <w:lang w:val="es-ES"/>
        </w:rPr>
        <w:t>el señor Rojas Segura</w:t>
      </w:r>
      <w:r w:rsidR="00391C49">
        <w:rPr>
          <w:rFonts w:ascii="Cambria" w:hAnsi="Cambria"/>
          <w:sz w:val="20"/>
          <w:szCs w:val="20"/>
          <w:lang w:val="es-ES"/>
        </w:rPr>
        <w:t xml:space="preserve">, en ejercicio </w:t>
      </w:r>
      <w:r w:rsidR="00405B6C">
        <w:rPr>
          <w:rFonts w:ascii="Cambria" w:hAnsi="Cambria"/>
          <w:sz w:val="20"/>
          <w:szCs w:val="20"/>
          <w:lang w:val="es-ES"/>
        </w:rPr>
        <w:t>del citado cargo</w:t>
      </w:r>
      <w:r w:rsidR="00391C49">
        <w:rPr>
          <w:rFonts w:ascii="Cambria" w:hAnsi="Cambria"/>
          <w:sz w:val="20"/>
          <w:szCs w:val="20"/>
          <w:lang w:val="es-ES"/>
        </w:rPr>
        <w:t>, detuvo a un presunto vendedor de pasta básica de cocaína</w:t>
      </w:r>
      <w:r w:rsidR="004B4E96">
        <w:rPr>
          <w:rFonts w:ascii="Cambria" w:hAnsi="Cambria"/>
          <w:sz w:val="20"/>
          <w:szCs w:val="20"/>
          <w:lang w:val="es-ES"/>
        </w:rPr>
        <w:t>. Señala que al día siguiente</w:t>
      </w:r>
      <w:r w:rsidR="00405B6C">
        <w:rPr>
          <w:rFonts w:ascii="Cambria" w:hAnsi="Cambria"/>
          <w:sz w:val="20"/>
          <w:szCs w:val="20"/>
          <w:lang w:val="es-ES"/>
        </w:rPr>
        <w:t xml:space="preserve"> </w:t>
      </w:r>
      <w:r w:rsidR="00391C49">
        <w:rPr>
          <w:rFonts w:ascii="Cambria" w:hAnsi="Cambria"/>
          <w:sz w:val="20"/>
          <w:szCs w:val="20"/>
          <w:lang w:val="es-ES"/>
        </w:rPr>
        <w:t xml:space="preserve">la </w:t>
      </w:r>
      <w:r w:rsidR="00405B6C">
        <w:rPr>
          <w:rFonts w:ascii="Cambria" w:hAnsi="Cambria"/>
          <w:sz w:val="20"/>
          <w:szCs w:val="20"/>
          <w:lang w:val="es-ES"/>
        </w:rPr>
        <w:t>cuñada de</w:t>
      </w:r>
      <w:r w:rsidR="00E476EA">
        <w:rPr>
          <w:rFonts w:ascii="Cambria" w:hAnsi="Cambria"/>
          <w:sz w:val="20"/>
          <w:szCs w:val="20"/>
          <w:lang w:val="es-ES"/>
        </w:rPr>
        <w:t xml:space="preserve"> dicho </w:t>
      </w:r>
      <w:r w:rsidR="00405B6C">
        <w:rPr>
          <w:rFonts w:ascii="Cambria" w:hAnsi="Cambria"/>
          <w:sz w:val="20"/>
          <w:szCs w:val="20"/>
          <w:lang w:val="es-ES"/>
        </w:rPr>
        <w:t>detenido denunci</w:t>
      </w:r>
      <w:r w:rsidR="00E476EA">
        <w:rPr>
          <w:rFonts w:ascii="Cambria" w:hAnsi="Cambria"/>
          <w:sz w:val="20"/>
          <w:szCs w:val="20"/>
          <w:lang w:val="es-ES"/>
        </w:rPr>
        <w:t>ó</w:t>
      </w:r>
      <w:r w:rsidR="00405B6C">
        <w:rPr>
          <w:rFonts w:ascii="Cambria" w:hAnsi="Cambria"/>
          <w:sz w:val="20"/>
          <w:szCs w:val="20"/>
          <w:lang w:val="es-ES"/>
        </w:rPr>
        <w:t xml:space="preserve"> ante un </w:t>
      </w:r>
      <w:r w:rsidR="00E476EA">
        <w:rPr>
          <w:rFonts w:ascii="Cambria" w:hAnsi="Cambria"/>
          <w:sz w:val="20"/>
          <w:szCs w:val="20"/>
          <w:lang w:val="es-ES"/>
        </w:rPr>
        <w:t>Comandante</w:t>
      </w:r>
      <w:r w:rsidR="00405B6C">
        <w:rPr>
          <w:rFonts w:ascii="Cambria" w:hAnsi="Cambria"/>
          <w:sz w:val="20"/>
          <w:szCs w:val="20"/>
          <w:lang w:val="es-ES"/>
        </w:rPr>
        <w:t xml:space="preserve"> de la Policía que la presunta víctima le solicitó ilegalmente una suma de dinero </w:t>
      </w:r>
      <w:r w:rsidR="004B4E96">
        <w:rPr>
          <w:rFonts w:ascii="Cambria" w:hAnsi="Cambria"/>
          <w:sz w:val="20"/>
          <w:szCs w:val="20"/>
          <w:lang w:val="es-ES"/>
        </w:rPr>
        <w:t>para</w:t>
      </w:r>
      <w:r w:rsidR="00405B6C">
        <w:rPr>
          <w:rFonts w:ascii="Cambria" w:hAnsi="Cambria"/>
          <w:sz w:val="20"/>
          <w:szCs w:val="20"/>
          <w:lang w:val="es-ES"/>
        </w:rPr>
        <w:t xml:space="preserve"> liberar a la persona arrestada</w:t>
      </w:r>
      <w:r w:rsidR="00FB1317">
        <w:rPr>
          <w:rFonts w:ascii="Cambria" w:hAnsi="Cambria"/>
          <w:sz w:val="20"/>
          <w:szCs w:val="20"/>
          <w:lang w:val="es-ES"/>
        </w:rPr>
        <w:t>, entregando un casete de audio que supuestamente probaba tal hecho</w:t>
      </w:r>
      <w:r w:rsidR="00E476EA">
        <w:rPr>
          <w:rFonts w:ascii="Cambria" w:hAnsi="Cambria"/>
          <w:sz w:val="20"/>
          <w:szCs w:val="20"/>
          <w:lang w:val="es-ES"/>
        </w:rPr>
        <w:t>.</w:t>
      </w:r>
      <w:r w:rsidR="00FB1317">
        <w:rPr>
          <w:rFonts w:ascii="Cambria" w:hAnsi="Cambria"/>
          <w:sz w:val="20"/>
          <w:szCs w:val="20"/>
          <w:lang w:val="es-ES"/>
        </w:rPr>
        <w:t xml:space="preserve"> </w:t>
      </w:r>
      <w:r w:rsidR="00771AE7">
        <w:rPr>
          <w:rFonts w:ascii="Cambria" w:hAnsi="Cambria"/>
          <w:sz w:val="20"/>
          <w:szCs w:val="20"/>
          <w:lang w:val="es-ES"/>
        </w:rPr>
        <w:t>Como consecuencia</w:t>
      </w:r>
      <w:r w:rsidR="005D0091">
        <w:rPr>
          <w:rFonts w:ascii="Cambria" w:hAnsi="Cambria"/>
          <w:sz w:val="20"/>
          <w:szCs w:val="20"/>
          <w:lang w:val="es-ES"/>
        </w:rPr>
        <w:t>,</w:t>
      </w:r>
      <w:r w:rsidRPr="00FB1317">
        <w:rPr>
          <w:rFonts w:ascii="Cambria" w:hAnsi="Cambria"/>
          <w:sz w:val="20"/>
          <w:szCs w:val="20"/>
          <w:lang w:val="es-ES"/>
        </w:rPr>
        <w:t xml:space="preserve"> el 7 de agosto</w:t>
      </w:r>
      <w:r w:rsidR="009948CC">
        <w:rPr>
          <w:rFonts w:ascii="Cambria" w:hAnsi="Cambria"/>
          <w:sz w:val="20"/>
          <w:szCs w:val="20"/>
          <w:lang w:val="es-ES"/>
        </w:rPr>
        <w:t xml:space="preserve"> de 2008</w:t>
      </w:r>
      <w:r w:rsidR="00532636">
        <w:rPr>
          <w:rFonts w:ascii="Cambria" w:hAnsi="Cambria"/>
          <w:sz w:val="20"/>
          <w:szCs w:val="20"/>
          <w:lang w:val="es-ES"/>
        </w:rPr>
        <w:t xml:space="preserve"> </w:t>
      </w:r>
      <w:r w:rsidR="00405B6C" w:rsidRPr="00FB1317">
        <w:rPr>
          <w:rFonts w:ascii="Cambria" w:hAnsi="Cambria"/>
          <w:sz w:val="20"/>
          <w:szCs w:val="20"/>
          <w:lang w:val="es-ES"/>
        </w:rPr>
        <w:t>la pre</w:t>
      </w:r>
      <w:r w:rsidR="00E476EA" w:rsidRPr="00FB1317">
        <w:rPr>
          <w:rFonts w:ascii="Cambria" w:hAnsi="Cambria"/>
          <w:sz w:val="20"/>
          <w:szCs w:val="20"/>
          <w:lang w:val="es-ES"/>
        </w:rPr>
        <w:t>s</w:t>
      </w:r>
      <w:r w:rsidR="00405B6C" w:rsidRPr="00FB1317">
        <w:rPr>
          <w:rFonts w:ascii="Cambria" w:hAnsi="Cambria"/>
          <w:sz w:val="20"/>
          <w:szCs w:val="20"/>
          <w:lang w:val="es-ES"/>
        </w:rPr>
        <w:t xml:space="preserve">unta víctima </w:t>
      </w:r>
      <w:r w:rsidRPr="00FB1317">
        <w:rPr>
          <w:rFonts w:ascii="Cambria" w:hAnsi="Cambria"/>
          <w:sz w:val="20"/>
          <w:szCs w:val="20"/>
          <w:lang w:val="es-ES"/>
        </w:rPr>
        <w:t>fue detenid</w:t>
      </w:r>
      <w:r w:rsidR="00405B6C" w:rsidRPr="00FB1317">
        <w:rPr>
          <w:rFonts w:ascii="Cambria" w:hAnsi="Cambria"/>
          <w:sz w:val="20"/>
          <w:szCs w:val="20"/>
          <w:lang w:val="es-ES"/>
        </w:rPr>
        <w:t>a</w:t>
      </w:r>
      <w:r w:rsidRPr="00FB1317">
        <w:rPr>
          <w:rFonts w:ascii="Cambria" w:hAnsi="Cambria"/>
          <w:sz w:val="20"/>
          <w:szCs w:val="20"/>
          <w:lang w:val="es-ES"/>
        </w:rPr>
        <w:t xml:space="preserve"> en un operativo conjunto entre la Policía Nacional y el Ministerio Público por </w:t>
      </w:r>
      <w:r w:rsidR="00E476EA" w:rsidRPr="00FB1317">
        <w:rPr>
          <w:rFonts w:ascii="Cambria" w:hAnsi="Cambria"/>
          <w:sz w:val="20"/>
          <w:szCs w:val="20"/>
          <w:lang w:val="es-ES"/>
        </w:rPr>
        <w:t>la supuesta</w:t>
      </w:r>
      <w:r w:rsidRPr="00FB1317">
        <w:rPr>
          <w:rFonts w:ascii="Cambria" w:hAnsi="Cambria"/>
          <w:sz w:val="20"/>
          <w:szCs w:val="20"/>
          <w:lang w:val="es-ES"/>
        </w:rPr>
        <w:t xml:space="preserve"> comisión de los delitos de cohecho pasivo específico y de tenencia ilegal de armas. </w:t>
      </w:r>
    </w:p>
    <w:p w14:paraId="4C40EA34" w14:textId="0CE8E520" w:rsidR="00E60B0A" w:rsidRPr="00B7459F" w:rsidRDefault="00351B7E" w:rsidP="00B7459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ES"/>
        </w:rPr>
        <w:t>Indica</w:t>
      </w:r>
      <w:r w:rsidR="00882835">
        <w:rPr>
          <w:rFonts w:ascii="Cambria" w:hAnsi="Cambria"/>
          <w:sz w:val="20"/>
          <w:szCs w:val="20"/>
          <w:lang w:val="es-ES"/>
        </w:rPr>
        <w:t xml:space="preserve"> que el 10 de agosto de 2008 el Juez de Investigación </w:t>
      </w:r>
      <w:r w:rsidR="009617D8">
        <w:rPr>
          <w:rFonts w:ascii="Cambria" w:hAnsi="Cambria"/>
          <w:sz w:val="20"/>
          <w:szCs w:val="20"/>
          <w:lang w:val="es-ES"/>
        </w:rPr>
        <w:t>P</w:t>
      </w:r>
      <w:r>
        <w:rPr>
          <w:rFonts w:ascii="Cambria" w:hAnsi="Cambria"/>
          <w:sz w:val="20"/>
          <w:szCs w:val="20"/>
          <w:lang w:val="es-ES"/>
        </w:rPr>
        <w:t>reparatoria, a solicitud de la f</w:t>
      </w:r>
      <w:r w:rsidR="00882835">
        <w:rPr>
          <w:rFonts w:ascii="Cambria" w:hAnsi="Cambria"/>
          <w:sz w:val="20"/>
          <w:szCs w:val="20"/>
          <w:lang w:val="es-ES"/>
        </w:rPr>
        <w:t xml:space="preserve">iscalía, </w:t>
      </w:r>
      <w:r w:rsidR="00E60B0A">
        <w:rPr>
          <w:rFonts w:ascii="Cambria" w:hAnsi="Cambria"/>
          <w:sz w:val="20"/>
          <w:szCs w:val="20"/>
          <w:lang w:val="es-ES"/>
        </w:rPr>
        <w:t>dispuso un mandato de prisión preventiva contra la presunta víctima</w:t>
      </w:r>
      <w:r w:rsidR="00882835" w:rsidRPr="00292EB5">
        <w:rPr>
          <w:rFonts w:ascii="Cambria" w:hAnsi="Cambria"/>
          <w:sz w:val="20"/>
          <w:szCs w:val="20"/>
          <w:lang w:val="es-ES"/>
        </w:rPr>
        <w:t xml:space="preserve"> </w:t>
      </w:r>
      <w:r w:rsidR="00960E02">
        <w:rPr>
          <w:rFonts w:ascii="Cambria" w:hAnsi="Cambria"/>
          <w:sz w:val="20"/>
          <w:szCs w:val="20"/>
          <w:lang w:val="es-ES"/>
        </w:rPr>
        <w:t>de hasta nueve meses</w:t>
      </w:r>
      <w:r w:rsidR="00E60B0A">
        <w:rPr>
          <w:rFonts w:ascii="Cambria" w:hAnsi="Cambria"/>
          <w:sz w:val="20"/>
          <w:szCs w:val="20"/>
          <w:lang w:val="es-ES"/>
        </w:rPr>
        <w:t xml:space="preserve">. </w:t>
      </w:r>
      <w:r w:rsidR="009617D8">
        <w:rPr>
          <w:rFonts w:ascii="Cambria" w:hAnsi="Cambria"/>
          <w:sz w:val="20"/>
          <w:szCs w:val="20"/>
          <w:lang w:val="es-ES"/>
        </w:rPr>
        <w:t>Transcurrido</w:t>
      </w:r>
      <w:r w:rsidR="00E60B0A">
        <w:rPr>
          <w:rFonts w:ascii="Cambria" w:hAnsi="Cambria"/>
          <w:sz w:val="20"/>
          <w:szCs w:val="20"/>
          <w:lang w:val="es-ES"/>
        </w:rPr>
        <w:t xml:space="preserve"> un tiempo, la defensa del señor Rojas Segura solicit</w:t>
      </w:r>
      <w:r w:rsidR="009617D8">
        <w:rPr>
          <w:rFonts w:ascii="Cambria" w:hAnsi="Cambria"/>
          <w:sz w:val="20"/>
          <w:szCs w:val="20"/>
          <w:lang w:val="es-ES"/>
        </w:rPr>
        <w:t>ó</w:t>
      </w:r>
      <w:r w:rsidR="00E60B0A">
        <w:rPr>
          <w:rFonts w:ascii="Cambria" w:hAnsi="Cambria"/>
          <w:sz w:val="20"/>
          <w:szCs w:val="20"/>
          <w:lang w:val="es-ES"/>
        </w:rPr>
        <w:t xml:space="preserve"> la cesación de tal medida cautelar, alegando la presencia de nuevo</w:t>
      </w:r>
      <w:r w:rsidR="00B7459F">
        <w:rPr>
          <w:rFonts w:ascii="Cambria" w:hAnsi="Cambria"/>
          <w:sz w:val="20"/>
          <w:szCs w:val="20"/>
          <w:lang w:val="es-ES"/>
        </w:rPr>
        <w:t>s</w:t>
      </w:r>
      <w:r w:rsidR="00E60B0A">
        <w:rPr>
          <w:rFonts w:ascii="Cambria" w:hAnsi="Cambria"/>
          <w:sz w:val="20"/>
          <w:szCs w:val="20"/>
          <w:lang w:val="es-ES"/>
        </w:rPr>
        <w:t xml:space="preserve"> elementos de convicción</w:t>
      </w:r>
      <w:r w:rsidR="00B7459F">
        <w:rPr>
          <w:rFonts w:ascii="Cambria" w:hAnsi="Cambria"/>
          <w:sz w:val="20"/>
          <w:szCs w:val="20"/>
          <w:lang w:val="es-ES"/>
        </w:rPr>
        <w:t xml:space="preserve"> que acredita</w:t>
      </w:r>
      <w:r w:rsidR="009617D8">
        <w:rPr>
          <w:rFonts w:ascii="Cambria" w:hAnsi="Cambria"/>
          <w:sz w:val="20"/>
          <w:szCs w:val="20"/>
          <w:lang w:val="es-AR"/>
        </w:rPr>
        <w:t>ban</w:t>
      </w:r>
      <w:r w:rsidR="00B7459F">
        <w:rPr>
          <w:rFonts w:ascii="Cambria" w:hAnsi="Cambria"/>
          <w:sz w:val="20"/>
          <w:szCs w:val="20"/>
          <w:lang w:val="es-AR"/>
        </w:rPr>
        <w:t xml:space="preserve"> su inocencia</w:t>
      </w:r>
      <w:r w:rsidR="00E60B0A" w:rsidRPr="00B7459F">
        <w:rPr>
          <w:rFonts w:ascii="Cambria" w:hAnsi="Cambria"/>
          <w:sz w:val="20"/>
          <w:szCs w:val="20"/>
          <w:lang w:val="es-ES"/>
        </w:rPr>
        <w:t xml:space="preserve">. </w:t>
      </w:r>
      <w:r w:rsidR="00E60B0A" w:rsidRPr="00B7459F">
        <w:rPr>
          <w:rFonts w:ascii="Cambria" w:hAnsi="Cambria"/>
          <w:sz w:val="20"/>
          <w:szCs w:val="20"/>
          <w:lang w:val="es-AR"/>
        </w:rPr>
        <w:t xml:space="preserve">No obstante, </w:t>
      </w:r>
      <w:r w:rsidR="00E60B0A" w:rsidRPr="00B7459F">
        <w:rPr>
          <w:rFonts w:ascii="Cambria" w:hAnsi="Cambria"/>
          <w:sz w:val="20"/>
          <w:szCs w:val="20"/>
          <w:lang w:val="es-ES"/>
        </w:rPr>
        <w:t>e</w:t>
      </w:r>
      <w:r w:rsidR="00292EB5" w:rsidRPr="00B7459F">
        <w:rPr>
          <w:rFonts w:ascii="Cambria" w:hAnsi="Cambria"/>
          <w:sz w:val="20"/>
          <w:szCs w:val="20"/>
          <w:lang w:val="es-ES"/>
        </w:rPr>
        <w:t xml:space="preserve">l 30 de octubre de 2008 el Juez de Investigación </w:t>
      </w:r>
      <w:r w:rsidR="009617D8">
        <w:rPr>
          <w:rFonts w:ascii="Cambria" w:hAnsi="Cambria"/>
          <w:sz w:val="20"/>
          <w:szCs w:val="20"/>
          <w:lang w:val="es-ES"/>
        </w:rPr>
        <w:t>P</w:t>
      </w:r>
      <w:r>
        <w:rPr>
          <w:rFonts w:ascii="Cambria" w:hAnsi="Cambria"/>
          <w:sz w:val="20"/>
          <w:szCs w:val="20"/>
          <w:lang w:val="es-ES"/>
        </w:rPr>
        <w:t>reparatoria declaró infundado</w:t>
      </w:r>
      <w:r w:rsidR="00292EB5" w:rsidRPr="00B7459F">
        <w:rPr>
          <w:rFonts w:ascii="Cambria" w:hAnsi="Cambria"/>
          <w:sz w:val="20"/>
          <w:szCs w:val="20"/>
          <w:lang w:val="es-ES"/>
        </w:rPr>
        <w:t xml:space="preserve"> </w:t>
      </w:r>
      <w:r w:rsidR="009617D8">
        <w:rPr>
          <w:rFonts w:ascii="Cambria" w:hAnsi="Cambria"/>
          <w:sz w:val="20"/>
          <w:szCs w:val="20"/>
          <w:lang w:val="es-ES"/>
        </w:rPr>
        <w:t>dicho pedido</w:t>
      </w:r>
      <w:r>
        <w:rPr>
          <w:rFonts w:ascii="Cambria" w:hAnsi="Cambria"/>
          <w:sz w:val="20"/>
          <w:szCs w:val="20"/>
          <w:lang w:val="es-ES"/>
        </w:rPr>
        <w:t>; esta</w:t>
      </w:r>
      <w:r w:rsidR="00292EB5" w:rsidRPr="00B7459F">
        <w:rPr>
          <w:rFonts w:ascii="Cambria" w:hAnsi="Cambria"/>
          <w:sz w:val="20"/>
          <w:szCs w:val="20"/>
          <w:lang w:val="es-ES"/>
        </w:rPr>
        <w:t xml:space="preserve"> decisión fue confirmada el 11 de noviembre de 2008 por la Sala de Apelaciones</w:t>
      </w:r>
      <w:r w:rsidR="00E60B0A" w:rsidRPr="00B7459F">
        <w:rPr>
          <w:rFonts w:ascii="Cambria" w:hAnsi="Cambria"/>
          <w:sz w:val="20"/>
          <w:szCs w:val="20"/>
          <w:lang w:val="es-ES"/>
        </w:rPr>
        <w:t xml:space="preserve">. </w:t>
      </w:r>
    </w:p>
    <w:p w14:paraId="41E37C0B" w14:textId="0B435805" w:rsidR="00B7459F" w:rsidRPr="006C75B2" w:rsidRDefault="00C80B23" w:rsidP="00E60B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Frente a esta denegatoria</w:t>
      </w:r>
      <w:r w:rsidR="00E60B0A">
        <w:rPr>
          <w:rFonts w:ascii="Cambria" w:hAnsi="Cambria"/>
          <w:sz w:val="20"/>
          <w:szCs w:val="20"/>
          <w:lang w:val="es-ES"/>
        </w:rPr>
        <w:t>, e</w:t>
      </w:r>
      <w:r w:rsidR="00292EB5" w:rsidRPr="00E60B0A">
        <w:rPr>
          <w:rFonts w:ascii="Cambria" w:hAnsi="Cambria"/>
          <w:sz w:val="20"/>
          <w:szCs w:val="20"/>
          <w:lang w:val="es-ES"/>
        </w:rPr>
        <w:t xml:space="preserve">l 20 de noviembre de 2008, la </w:t>
      </w:r>
      <w:r w:rsidR="00E60B0A">
        <w:rPr>
          <w:rFonts w:ascii="Cambria" w:hAnsi="Cambria"/>
          <w:sz w:val="20"/>
          <w:szCs w:val="20"/>
          <w:lang w:val="es-ES"/>
        </w:rPr>
        <w:t>representación</w:t>
      </w:r>
      <w:r w:rsidR="00292EB5" w:rsidRPr="00E60B0A">
        <w:rPr>
          <w:rFonts w:ascii="Cambria" w:hAnsi="Cambria"/>
          <w:sz w:val="20"/>
          <w:szCs w:val="20"/>
          <w:lang w:val="es-ES"/>
        </w:rPr>
        <w:t xml:space="preserve"> de la presunta víctima interpuso </w:t>
      </w:r>
      <w:r w:rsidR="009617D8">
        <w:rPr>
          <w:rFonts w:ascii="Cambria" w:hAnsi="Cambria"/>
          <w:sz w:val="20"/>
          <w:szCs w:val="20"/>
          <w:lang w:val="es-ES"/>
        </w:rPr>
        <w:t xml:space="preserve">un </w:t>
      </w:r>
      <w:r w:rsidR="005275A9">
        <w:rPr>
          <w:rFonts w:ascii="Cambria" w:hAnsi="Cambria"/>
          <w:sz w:val="20"/>
          <w:szCs w:val="20"/>
          <w:lang w:val="es-ES"/>
        </w:rPr>
        <w:t>recurso de há</w:t>
      </w:r>
      <w:r w:rsidR="00292EB5" w:rsidRPr="00E60B0A">
        <w:rPr>
          <w:rFonts w:ascii="Cambria" w:hAnsi="Cambria"/>
          <w:sz w:val="20"/>
          <w:szCs w:val="20"/>
          <w:lang w:val="es-ES"/>
        </w:rPr>
        <w:t xml:space="preserve">beas corpus. </w:t>
      </w:r>
      <w:r w:rsidR="005275A9">
        <w:rPr>
          <w:rFonts w:ascii="Cambria" w:hAnsi="Cambria"/>
          <w:sz w:val="20"/>
          <w:szCs w:val="20"/>
          <w:lang w:val="es-ES"/>
        </w:rPr>
        <w:t>Sin embargo, e</w:t>
      </w:r>
      <w:r w:rsidR="00292EB5" w:rsidRPr="00E60B0A">
        <w:rPr>
          <w:rFonts w:ascii="Cambria" w:hAnsi="Cambria"/>
          <w:sz w:val="20"/>
          <w:szCs w:val="20"/>
          <w:lang w:val="es-ES"/>
        </w:rPr>
        <w:t>l 21 de noviembre</w:t>
      </w:r>
      <w:r w:rsidR="00E60B0A">
        <w:rPr>
          <w:rFonts w:ascii="Cambria" w:hAnsi="Cambria"/>
          <w:sz w:val="20"/>
          <w:szCs w:val="20"/>
          <w:lang w:val="es-ES"/>
        </w:rPr>
        <w:t xml:space="preserve"> de 2008</w:t>
      </w:r>
      <w:r w:rsidR="00292EB5" w:rsidRPr="00E60B0A">
        <w:rPr>
          <w:rFonts w:ascii="Cambria" w:hAnsi="Cambria"/>
          <w:sz w:val="20"/>
          <w:szCs w:val="20"/>
          <w:lang w:val="es-ES"/>
        </w:rPr>
        <w:t xml:space="preserve"> el Primer Juzgado de Investigación Preparatoria de Trujillo declaró infundada la demanda al considerar que la resolución que denegó la solicitud de cesación de prisión preventiva valoró adecuadamente todas las pruebas aportadas, conforme a la legislación aplicable. El 5 de diciembre de 2008 la Sala Penal de Apelaciones de la Corte Superior de Justicia de la Libertad confirmó la improcedencia de la demanda. El 19 de diciembre de </w:t>
      </w:r>
      <w:r w:rsidR="00E10E50" w:rsidRPr="00E60B0A">
        <w:rPr>
          <w:rFonts w:ascii="Cambria" w:hAnsi="Cambria"/>
          <w:sz w:val="20"/>
          <w:szCs w:val="20"/>
          <w:lang w:val="es-ES"/>
        </w:rPr>
        <w:t xml:space="preserve">2008 la </w:t>
      </w:r>
      <w:r w:rsidR="00FB5EC4">
        <w:rPr>
          <w:rFonts w:ascii="Cambria" w:hAnsi="Cambria"/>
          <w:sz w:val="20"/>
          <w:szCs w:val="20"/>
          <w:lang w:val="es-ES"/>
        </w:rPr>
        <w:t>defensa del señor Rojas Segura</w:t>
      </w:r>
      <w:r w:rsidR="00E10E50" w:rsidRPr="00E60B0A">
        <w:rPr>
          <w:rFonts w:ascii="Cambria" w:hAnsi="Cambria"/>
          <w:sz w:val="20"/>
          <w:szCs w:val="20"/>
          <w:lang w:val="es-ES"/>
        </w:rPr>
        <w:t xml:space="preserve"> interpuso recurso de agravio constitucional contra dicha decisión. </w:t>
      </w:r>
      <w:r w:rsidR="002F32C6">
        <w:rPr>
          <w:rFonts w:ascii="Cambria" w:hAnsi="Cambria"/>
          <w:sz w:val="20"/>
          <w:szCs w:val="20"/>
          <w:lang w:val="es-ES"/>
        </w:rPr>
        <w:t>Precisa</w:t>
      </w:r>
      <w:r w:rsidR="00FB5EC4">
        <w:rPr>
          <w:rFonts w:ascii="Cambria" w:hAnsi="Cambria"/>
          <w:sz w:val="20"/>
          <w:szCs w:val="20"/>
          <w:lang w:val="es-ES"/>
        </w:rPr>
        <w:t xml:space="preserve"> que, mientras se resolvía tal recurso, el 7 de mayo de 2009 </w:t>
      </w:r>
      <w:r w:rsidR="00960E02">
        <w:rPr>
          <w:rFonts w:ascii="Cambria" w:hAnsi="Cambria"/>
          <w:sz w:val="20"/>
          <w:szCs w:val="20"/>
          <w:lang w:val="es-ES"/>
        </w:rPr>
        <w:t xml:space="preserve">la Sala Penal Especial de la Corte Superior de Justicia de la Libertad </w:t>
      </w:r>
      <w:r w:rsidR="00FB5EC4">
        <w:rPr>
          <w:rFonts w:ascii="Cambria" w:hAnsi="Cambria"/>
          <w:sz w:val="20"/>
          <w:szCs w:val="20"/>
          <w:lang w:val="es-ES"/>
        </w:rPr>
        <w:t xml:space="preserve">dispuso </w:t>
      </w:r>
      <w:r w:rsidR="009617D8">
        <w:rPr>
          <w:rFonts w:ascii="Cambria" w:hAnsi="Cambria"/>
          <w:sz w:val="20"/>
          <w:szCs w:val="20"/>
          <w:lang w:val="es-ES"/>
        </w:rPr>
        <w:t>la excarcelación</w:t>
      </w:r>
      <w:r w:rsidR="00FB5EC4">
        <w:rPr>
          <w:rFonts w:ascii="Cambria" w:hAnsi="Cambria"/>
          <w:sz w:val="20"/>
          <w:szCs w:val="20"/>
          <w:lang w:val="es-ES"/>
        </w:rPr>
        <w:t xml:space="preserve"> inmediata de la presunta víctima, al cons</w:t>
      </w:r>
      <w:r w:rsidR="00B7459F">
        <w:rPr>
          <w:rFonts w:ascii="Cambria" w:hAnsi="Cambria"/>
          <w:sz w:val="20"/>
          <w:szCs w:val="20"/>
          <w:lang w:val="es-ES"/>
        </w:rPr>
        <w:t xml:space="preserve">tatar </w:t>
      </w:r>
      <w:r w:rsidR="00532636">
        <w:rPr>
          <w:rFonts w:ascii="Cambria" w:hAnsi="Cambria"/>
          <w:sz w:val="20"/>
          <w:szCs w:val="20"/>
          <w:lang w:val="es-ES"/>
        </w:rPr>
        <w:t>que se había</w:t>
      </w:r>
      <w:r w:rsidR="00B7459F">
        <w:rPr>
          <w:rFonts w:ascii="Cambria" w:hAnsi="Cambria"/>
          <w:sz w:val="20"/>
          <w:szCs w:val="20"/>
          <w:lang w:val="es-ES"/>
        </w:rPr>
        <w:t xml:space="preserve"> </w:t>
      </w:r>
      <w:r w:rsidR="00532636">
        <w:rPr>
          <w:rFonts w:ascii="Cambria" w:hAnsi="Cambria"/>
          <w:sz w:val="20"/>
          <w:szCs w:val="20"/>
          <w:lang w:val="es-ES"/>
        </w:rPr>
        <w:t>cumplido</w:t>
      </w:r>
      <w:r w:rsidR="00B7459F">
        <w:rPr>
          <w:rFonts w:ascii="Cambria" w:hAnsi="Cambria"/>
          <w:sz w:val="20"/>
          <w:szCs w:val="20"/>
          <w:lang w:val="es-ES"/>
        </w:rPr>
        <w:t xml:space="preserve"> del plazo</w:t>
      </w:r>
      <w:r w:rsidR="009617D8">
        <w:rPr>
          <w:rFonts w:ascii="Cambria" w:hAnsi="Cambria"/>
          <w:sz w:val="20"/>
          <w:szCs w:val="20"/>
          <w:lang w:val="es-ES"/>
        </w:rPr>
        <w:t xml:space="preserve"> </w:t>
      </w:r>
      <w:r w:rsidR="00B7459F">
        <w:rPr>
          <w:rFonts w:ascii="Cambria" w:hAnsi="Cambria"/>
          <w:sz w:val="20"/>
          <w:szCs w:val="20"/>
          <w:lang w:val="es-ES"/>
        </w:rPr>
        <w:t>de</w:t>
      </w:r>
      <w:r w:rsidR="009617D8">
        <w:rPr>
          <w:rFonts w:ascii="Cambria" w:hAnsi="Cambria"/>
          <w:sz w:val="20"/>
          <w:szCs w:val="20"/>
          <w:lang w:val="es-ES"/>
        </w:rPr>
        <w:t xml:space="preserve"> la</w:t>
      </w:r>
      <w:r w:rsidR="00B7459F">
        <w:rPr>
          <w:rFonts w:ascii="Cambria" w:hAnsi="Cambria"/>
          <w:sz w:val="20"/>
          <w:szCs w:val="20"/>
          <w:lang w:val="es-ES"/>
        </w:rPr>
        <w:t xml:space="preserve"> prisión preventiva.</w:t>
      </w:r>
      <w:r w:rsidR="00FB5EC4">
        <w:rPr>
          <w:rFonts w:ascii="Cambria" w:hAnsi="Cambria"/>
          <w:sz w:val="20"/>
          <w:szCs w:val="20"/>
          <w:lang w:val="es-ES"/>
        </w:rPr>
        <w:t xml:space="preserve"> Sin perjuicio de ello, el 9 de junio de 2010 el Tribunal Constitucional rechazó el </w:t>
      </w:r>
      <w:r w:rsidR="00B7459F">
        <w:rPr>
          <w:rFonts w:ascii="Cambria" w:hAnsi="Cambria"/>
          <w:sz w:val="20"/>
          <w:szCs w:val="20"/>
          <w:lang w:val="es-ES"/>
        </w:rPr>
        <w:t xml:space="preserve">citado </w:t>
      </w:r>
      <w:r w:rsidR="00FB5EC4">
        <w:rPr>
          <w:rFonts w:ascii="Cambria" w:hAnsi="Cambria"/>
          <w:sz w:val="20"/>
          <w:szCs w:val="20"/>
          <w:lang w:val="es-ES"/>
        </w:rPr>
        <w:t xml:space="preserve">recurso de agravio constitucional, </w:t>
      </w:r>
      <w:r w:rsidR="006C75B2">
        <w:rPr>
          <w:rFonts w:ascii="Cambria" w:hAnsi="Cambria"/>
          <w:sz w:val="20"/>
          <w:szCs w:val="20"/>
          <w:lang w:val="es-ES"/>
        </w:rPr>
        <w:t xml:space="preserve">reiterando que las decisiones que rechazaron </w:t>
      </w:r>
      <w:r w:rsidR="009617D8">
        <w:rPr>
          <w:rFonts w:ascii="Cambria" w:hAnsi="Cambria"/>
          <w:sz w:val="20"/>
          <w:szCs w:val="20"/>
          <w:lang w:val="es-ES"/>
        </w:rPr>
        <w:t>la solicitud de cese de tal medida cautelar</w:t>
      </w:r>
      <w:r w:rsidR="006C75B2">
        <w:rPr>
          <w:rFonts w:ascii="Cambria" w:hAnsi="Cambria"/>
          <w:sz w:val="20"/>
          <w:szCs w:val="20"/>
          <w:lang w:val="es-ES"/>
        </w:rPr>
        <w:t xml:space="preserve"> contaron con una adecuada motivación. </w:t>
      </w:r>
    </w:p>
    <w:p w14:paraId="48D4FA88" w14:textId="10E092B3" w:rsidR="002F32C6" w:rsidRPr="00C01A17" w:rsidRDefault="005275A9" w:rsidP="002F32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La parte peticionaria alega</w:t>
      </w:r>
      <w:r w:rsidR="002F32C6">
        <w:rPr>
          <w:rFonts w:ascii="Cambria" w:hAnsi="Cambria"/>
          <w:sz w:val="20"/>
          <w:szCs w:val="20"/>
          <w:lang w:val="es-AR"/>
        </w:rPr>
        <w:t xml:space="preserve"> que el 7 de septiembre de 2009</w:t>
      </w:r>
      <w:r w:rsidR="000023F8">
        <w:rPr>
          <w:rFonts w:ascii="Cambria" w:hAnsi="Cambria"/>
          <w:sz w:val="20"/>
          <w:szCs w:val="20"/>
          <w:lang w:val="es-AR"/>
        </w:rPr>
        <w:t xml:space="preserve"> el Tribunal Superior de Investigación Preparatoria condenó a la presunta víctima por el delito de cohecho pasivo específico a ocho años de pena privativa de libertad y cinco años de inhabilitación para el ejercicio de funciones públicas, </w:t>
      </w:r>
      <w:r w:rsidR="00844B56">
        <w:rPr>
          <w:rFonts w:ascii="Cambria" w:hAnsi="Cambria"/>
          <w:sz w:val="20"/>
          <w:szCs w:val="20"/>
          <w:lang w:val="es-AR"/>
        </w:rPr>
        <w:t>lo que implicó</w:t>
      </w:r>
      <w:r w:rsidR="009617D8">
        <w:rPr>
          <w:rFonts w:ascii="Cambria" w:hAnsi="Cambria"/>
          <w:sz w:val="20"/>
          <w:szCs w:val="20"/>
          <w:lang w:val="es-AR"/>
        </w:rPr>
        <w:t xml:space="preserve"> su destitución com</w:t>
      </w:r>
      <w:r w:rsidR="00532636">
        <w:rPr>
          <w:rFonts w:ascii="Cambria" w:hAnsi="Cambria"/>
          <w:sz w:val="20"/>
          <w:szCs w:val="20"/>
          <w:lang w:val="es-AR"/>
        </w:rPr>
        <w:t>o</w:t>
      </w:r>
      <w:r w:rsidR="000023F8">
        <w:rPr>
          <w:rFonts w:ascii="Cambria" w:hAnsi="Cambria"/>
          <w:sz w:val="20"/>
          <w:szCs w:val="20"/>
          <w:lang w:val="es-AR"/>
        </w:rPr>
        <w:t xml:space="preserve"> Fiscal Adjunto Provincial</w:t>
      </w:r>
      <w:r w:rsidR="00844B56">
        <w:rPr>
          <w:rFonts w:ascii="Cambria" w:hAnsi="Cambria"/>
          <w:sz w:val="20"/>
          <w:szCs w:val="20"/>
          <w:lang w:val="es-AR"/>
        </w:rPr>
        <w:t>. El referido tribunal consideró</w:t>
      </w:r>
      <w:r w:rsidR="00C01A17" w:rsidRPr="00C01A17">
        <w:rPr>
          <w:rFonts w:ascii="Cambria" w:hAnsi="Cambria"/>
          <w:sz w:val="20"/>
          <w:szCs w:val="20"/>
          <w:lang w:val="es-AR"/>
        </w:rPr>
        <w:t xml:space="preserve"> en su sentencia </w:t>
      </w:r>
      <w:r w:rsidR="000023F8" w:rsidRPr="00C01A17">
        <w:rPr>
          <w:rFonts w:ascii="Cambria" w:hAnsi="Cambria"/>
          <w:sz w:val="20"/>
          <w:szCs w:val="20"/>
          <w:lang w:val="es-AR"/>
        </w:rPr>
        <w:t>que</w:t>
      </w:r>
      <w:r w:rsidR="00844B56">
        <w:rPr>
          <w:rFonts w:ascii="Cambria" w:hAnsi="Cambria"/>
          <w:sz w:val="20"/>
          <w:szCs w:val="20"/>
          <w:lang w:val="es-AR"/>
        </w:rPr>
        <w:t xml:space="preserve"> las pruebas aportadas por la f</w:t>
      </w:r>
      <w:r w:rsidR="00C01A17" w:rsidRPr="00C01A17">
        <w:rPr>
          <w:rFonts w:ascii="Cambria" w:hAnsi="Cambria"/>
          <w:sz w:val="20"/>
          <w:szCs w:val="20"/>
          <w:lang w:val="es-AR"/>
        </w:rPr>
        <w:t>iscalía eran suficientes para demostrar el hecho delictivo alegado</w:t>
      </w:r>
      <w:r w:rsidR="000023F8" w:rsidRPr="00C01A17">
        <w:rPr>
          <w:rFonts w:ascii="Cambria" w:hAnsi="Cambria"/>
          <w:sz w:val="20"/>
          <w:szCs w:val="20"/>
          <w:lang w:val="es-AR"/>
        </w:rPr>
        <w:t>. La parte peticionaria i</w:t>
      </w:r>
      <w:r w:rsidR="002F32C6" w:rsidRPr="00C01A17">
        <w:rPr>
          <w:rFonts w:ascii="Cambria" w:hAnsi="Cambria"/>
          <w:sz w:val="20"/>
          <w:szCs w:val="20"/>
          <w:lang w:val="es-AR"/>
        </w:rPr>
        <w:t>ndica que la defensa de</w:t>
      </w:r>
      <w:r w:rsidR="00066B46">
        <w:rPr>
          <w:rFonts w:ascii="Cambria" w:hAnsi="Cambria"/>
          <w:sz w:val="20"/>
          <w:szCs w:val="20"/>
          <w:lang w:val="es-AR"/>
        </w:rPr>
        <w:t xml:space="preserve">l señor Rojas Segura </w:t>
      </w:r>
      <w:r w:rsidR="002F32C6" w:rsidRPr="00C01A17">
        <w:rPr>
          <w:rFonts w:ascii="Cambria" w:hAnsi="Cambria"/>
          <w:sz w:val="20"/>
          <w:szCs w:val="20"/>
          <w:lang w:val="es-AR"/>
        </w:rPr>
        <w:t xml:space="preserve">apeló dicha </w:t>
      </w:r>
      <w:r w:rsidR="00844B56" w:rsidRPr="00C01A17">
        <w:rPr>
          <w:rFonts w:ascii="Cambria" w:hAnsi="Cambria"/>
          <w:sz w:val="20"/>
          <w:szCs w:val="20"/>
          <w:lang w:val="es-AR"/>
        </w:rPr>
        <w:t>decisión</w:t>
      </w:r>
      <w:r w:rsidR="00844B56">
        <w:rPr>
          <w:rFonts w:ascii="Cambria" w:hAnsi="Cambria"/>
          <w:sz w:val="20"/>
          <w:szCs w:val="20"/>
          <w:lang w:val="es-AR"/>
        </w:rPr>
        <w:t>;</w:t>
      </w:r>
      <w:r w:rsidR="002F32C6" w:rsidRPr="00C01A17">
        <w:rPr>
          <w:rFonts w:ascii="Cambria" w:hAnsi="Cambria"/>
          <w:sz w:val="20"/>
          <w:szCs w:val="20"/>
          <w:lang w:val="es-AR"/>
        </w:rPr>
        <w:t xml:space="preserve"> no </w:t>
      </w:r>
      <w:r w:rsidR="00844B56" w:rsidRPr="00C01A17">
        <w:rPr>
          <w:rFonts w:ascii="Cambria" w:hAnsi="Cambria"/>
          <w:sz w:val="20"/>
          <w:szCs w:val="20"/>
          <w:lang w:val="es-AR"/>
        </w:rPr>
        <w:t>obstante,</w:t>
      </w:r>
      <w:r w:rsidR="002F32C6" w:rsidRPr="00C01A17">
        <w:rPr>
          <w:rFonts w:ascii="Cambria" w:hAnsi="Cambria"/>
          <w:sz w:val="20"/>
          <w:szCs w:val="20"/>
          <w:lang w:val="es-AR"/>
        </w:rPr>
        <w:t xml:space="preserve"> el 23 de julio de 2010 la Sala Penal Permanente de la Corte Suprema confirmó </w:t>
      </w:r>
      <w:r w:rsidR="009617D8">
        <w:rPr>
          <w:rFonts w:ascii="Cambria" w:hAnsi="Cambria"/>
          <w:sz w:val="20"/>
          <w:szCs w:val="20"/>
          <w:lang w:val="es-AR"/>
        </w:rPr>
        <w:t>parcialmente la pena</w:t>
      </w:r>
      <w:r w:rsidR="002F32C6" w:rsidRPr="00C01A17">
        <w:rPr>
          <w:rFonts w:ascii="Cambria" w:hAnsi="Cambria"/>
          <w:sz w:val="20"/>
          <w:szCs w:val="20"/>
          <w:lang w:val="es-AR"/>
        </w:rPr>
        <w:t xml:space="preserve">, disminuyendo la inhabilitación para el ejercicio de funciones pública a tres años. </w:t>
      </w:r>
      <w:r w:rsidR="00C01A17" w:rsidRPr="00C01A17">
        <w:rPr>
          <w:rFonts w:ascii="Cambria" w:hAnsi="Cambria"/>
          <w:sz w:val="20"/>
          <w:szCs w:val="20"/>
          <w:lang w:val="es-AR"/>
        </w:rPr>
        <w:t xml:space="preserve">Tal decisión revisó integralmente los alegatos de hecho y </w:t>
      </w:r>
      <w:r w:rsidR="00BD08AF">
        <w:rPr>
          <w:rFonts w:ascii="Cambria" w:hAnsi="Cambria"/>
          <w:sz w:val="20"/>
          <w:szCs w:val="20"/>
          <w:lang w:val="es-AR"/>
        </w:rPr>
        <w:t xml:space="preserve">de </w:t>
      </w:r>
      <w:r w:rsidR="00C01A17" w:rsidRPr="00C01A17">
        <w:rPr>
          <w:rFonts w:ascii="Cambria" w:hAnsi="Cambria"/>
          <w:sz w:val="20"/>
          <w:szCs w:val="20"/>
          <w:lang w:val="es-AR"/>
        </w:rPr>
        <w:t xml:space="preserve">derecho. </w:t>
      </w:r>
      <w:r w:rsidR="00844B56">
        <w:rPr>
          <w:rFonts w:ascii="Cambria" w:hAnsi="Cambria"/>
          <w:sz w:val="20"/>
          <w:szCs w:val="20"/>
          <w:lang w:val="es-AR"/>
        </w:rPr>
        <w:t>Luego, l</w:t>
      </w:r>
      <w:r w:rsidR="00066B46">
        <w:rPr>
          <w:rFonts w:ascii="Cambria" w:hAnsi="Cambria"/>
          <w:sz w:val="20"/>
          <w:szCs w:val="20"/>
          <w:lang w:val="es-AR"/>
        </w:rPr>
        <w:t>a representación de la presunta víctima interpuso un recurso de nulida</w:t>
      </w:r>
      <w:r w:rsidR="00844B56">
        <w:rPr>
          <w:rFonts w:ascii="Cambria" w:hAnsi="Cambria"/>
          <w:sz w:val="20"/>
          <w:szCs w:val="20"/>
          <w:lang w:val="es-AR"/>
        </w:rPr>
        <w:t xml:space="preserve">d contra el citado fallo, pero </w:t>
      </w:r>
      <w:r w:rsidR="00066B46">
        <w:rPr>
          <w:rFonts w:ascii="Cambria" w:hAnsi="Cambria"/>
          <w:sz w:val="20"/>
          <w:szCs w:val="20"/>
          <w:lang w:val="es-AR"/>
        </w:rPr>
        <w:t>5 de octubre de 2010 la Corte Suprema lo denegó.</w:t>
      </w:r>
    </w:p>
    <w:p w14:paraId="02A006AC" w14:textId="3F970356" w:rsidR="00F86523" w:rsidRDefault="000A3324" w:rsidP="00F865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P</w:t>
      </w:r>
      <w:r w:rsidR="00B83D4B">
        <w:rPr>
          <w:rFonts w:ascii="Cambria" w:hAnsi="Cambria"/>
          <w:sz w:val="20"/>
          <w:szCs w:val="20"/>
          <w:lang w:val="es-AR"/>
        </w:rPr>
        <w:t>osteriormente,</w:t>
      </w:r>
      <w:r w:rsidR="00375281" w:rsidRPr="00C01A17">
        <w:rPr>
          <w:rFonts w:ascii="Cambria" w:hAnsi="Cambria"/>
          <w:sz w:val="20"/>
          <w:szCs w:val="20"/>
          <w:lang w:val="es-AR"/>
        </w:rPr>
        <w:t xml:space="preserve"> el 23 de agosto de 2011 el abogado de la presunta víc</w:t>
      </w:r>
      <w:r w:rsidR="00B83D4B">
        <w:rPr>
          <w:rFonts w:ascii="Cambria" w:hAnsi="Cambria"/>
          <w:sz w:val="20"/>
          <w:szCs w:val="20"/>
          <w:lang w:val="es-AR"/>
        </w:rPr>
        <w:t>tima interpuso una demanda de há</w:t>
      </w:r>
      <w:r w:rsidR="00375281" w:rsidRPr="00C01A17">
        <w:rPr>
          <w:rFonts w:ascii="Cambria" w:hAnsi="Cambria"/>
          <w:sz w:val="20"/>
          <w:szCs w:val="20"/>
          <w:lang w:val="es-AR"/>
        </w:rPr>
        <w:t xml:space="preserve">beas corpus cuestionando el </w:t>
      </w:r>
      <w:r w:rsidR="00BD08AF">
        <w:rPr>
          <w:rFonts w:ascii="Cambria" w:hAnsi="Cambria"/>
          <w:sz w:val="20"/>
          <w:szCs w:val="20"/>
          <w:lang w:val="es-AR"/>
        </w:rPr>
        <w:t>referido</w:t>
      </w:r>
      <w:r w:rsidR="00375281" w:rsidRPr="00C01A17">
        <w:rPr>
          <w:rFonts w:ascii="Cambria" w:hAnsi="Cambria"/>
          <w:sz w:val="20"/>
          <w:szCs w:val="20"/>
          <w:lang w:val="es-AR"/>
        </w:rPr>
        <w:t xml:space="preserve"> fallo condenatori</w:t>
      </w:r>
      <w:r w:rsidR="00C01A17">
        <w:rPr>
          <w:rFonts w:ascii="Cambria" w:hAnsi="Cambria"/>
          <w:sz w:val="20"/>
          <w:szCs w:val="20"/>
          <w:lang w:val="es-AR"/>
        </w:rPr>
        <w:t>o</w:t>
      </w:r>
      <w:r w:rsidR="00375281" w:rsidRPr="00C01A17">
        <w:rPr>
          <w:rFonts w:ascii="Cambria" w:hAnsi="Cambria"/>
          <w:sz w:val="20"/>
          <w:szCs w:val="20"/>
          <w:lang w:val="es-AR"/>
        </w:rPr>
        <w:t xml:space="preserve">. </w:t>
      </w:r>
      <w:r w:rsidR="00E56550">
        <w:rPr>
          <w:rFonts w:ascii="Cambria" w:hAnsi="Cambria"/>
          <w:sz w:val="20"/>
          <w:szCs w:val="20"/>
          <w:lang w:val="es-AR"/>
        </w:rPr>
        <w:t>Sin embargo, e</w:t>
      </w:r>
      <w:r w:rsidR="002F32C6" w:rsidRPr="00C01A17">
        <w:rPr>
          <w:rFonts w:ascii="Cambria" w:hAnsi="Cambria"/>
          <w:sz w:val="20"/>
          <w:szCs w:val="20"/>
          <w:lang w:val="es-AR"/>
        </w:rPr>
        <w:t xml:space="preserve">l 13 de enero de 2012 el Primer Juzgado Penal de Investigación Preparatoria de Trujillo declaró infundada </w:t>
      </w:r>
      <w:r w:rsidR="00FB0D69">
        <w:rPr>
          <w:rFonts w:ascii="Cambria" w:hAnsi="Cambria"/>
          <w:sz w:val="20"/>
          <w:szCs w:val="20"/>
          <w:lang w:val="es-AR"/>
        </w:rPr>
        <w:t>la demanda</w:t>
      </w:r>
      <w:r w:rsidR="002F32C6" w:rsidRPr="00C01A17">
        <w:rPr>
          <w:rFonts w:ascii="Cambria" w:hAnsi="Cambria"/>
          <w:sz w:val="20"/>
          <w:szCs w:val="20"/>
          <w:lang w:val="es-AR"/>
        </w:rPr>
        <w:t xml:space="preserve">, </w:t>
      </w:r>
      <w:r w:rsidR="00C01A17">
        <w:rPr>
          <w:rFonts w:ascii="Cambria" w:hAnsi="Cambria"/>
          <w:sz w:val="20"/>
          <w:szCs w:val="20"/>
          <w:lang w:val="es-AR"/>
        </w:rPr>
        <w:t xml:space="preserve">al considerar que tanto en la etapa de investigación como en el juzgamiento se respetaron todas las garantías judiciales. </w:t>
      </w:r>
      <w:r w:rsidR="00E56550">
        <w:rPr>
          <w:rFonts w:ascii="Cambria" w:hAnsi="Cambria"/>
          <w:sz w:val="20"/>
          <w:szCs w:val="20"/>
          <w:lang w:val="es-AR"/>
        </w:rPr>
        <w:t>L</w:t>
      </w:r>
      <w:r w:rsidR="000023F8" w:rsidRPr="00C01A17">
        <w:rPr>
          <w:rFonts w:ascii="Cambria" w:hAnsi="Cambria"/>
          <w:sz w:val="20"/>
          <w:szCs w:val="20"/>
          <w:lang w:val="es-AR"/>
        </w:rPr>
        <w:t xml:space="preserve">a defensa del señor Segura Rojas apeló </w:t>
      </w:r>
      <w:r w:rsidR="00E56550">
        <w:rPr>
          <w:rFonts w:ascii="Cambria" w:hAnsi="Cambria"/>
          <w:sz w:val="20"/>
          <w:szCs w:val="20"/>
          <w:lang w:val="es-AR"/>
        </w:rPr>
        <w:t>esta</w:t>
      </w:r>
      <w:r w:rsidR="000023F8" w:rsidRPr="00C01A17">
        <w:rPr>
          <w:rFonts w:ascii="Cambria" w:hAnsi="Cambria"/>
          <w:sz w:val="20"/>
          <w:szCs w:val="20"/>
          <w:lang w:val="es-AR"/>
        </w:rPr>
        <w:t xml:space="preserve"> decisión, pero el</w:t>
      </w:r>
      <w:r w:rsidR="002F32C6" w:rsidRPr="00C01A17">
        <w:rPr>
          <w:rFonts w:ascii="Cambria" w:hAnsi="Cambria"/>
          <w:sz w:val="20"/>
          <w:szCs w:val="20"/>
          <w:lang w:val="es-AR"/>
        </w:rPr>
        <w:t xml:space="preserve"> 30 de mayo de 2012 la Segunda Sala Penal de Apelaciones de la Corte Superior de Justicia de La Libertad confirmó </w:t>
      </w:r>
      <w:r w:rsidR="00FB0D69">
        <w:rPr>
          <w:rFonts w:ascii="Cambria" w:hAnsi="Cambria"/>
          <w:sz w:val="20"/>
          <w:szCs w:val="20"/>
          <w:lang w:val="es-AR"/>
        </w:rPr>
        <w:t>la decisión de rechazo</w:t>
      </w:r>
      <w:r w:rsidR="002F32C6" w:rsidRPr="00C01A17">
        <w:rPr>
          <w:rFonts w:ascii="Cambria" w:hAnsi="Cambria"/>
          <w:sz w:val="20"/>
          <w:szCs w:val="20"/>
          <w:lang w:val="es-AR"/>
        </w:rPr>
        <w:t xml:space="preserve">. </w:t>
      </w:r>
      <w:r w:rsidR="000023F8" w:rsidRPr="00C01A17">
        <w:rPr>
          <w:rFonts w:ascii="Cambria" w:hAnsi="Cambria"/>
          <w:sz w:val="20"/>
          <w:szCs w:val="20"/>
          <w:lang w:val="es-AR"/>
        </w:rPr>
        <w:t>Ante ello, la representación de la presunta víctima interpuso re</w:t>
      </w:r>
      <w:r w:rsidR="005615E0">
        <w:rPr>
          <w:rFonts w:ascii="Cambria" w:hAnsi="Cambria"/>
          <w:sz w:val="20"/>
          <w:szCs w:val="20"/>
          <w:lang w:val="es-AR"/>
        </w:rPr>
        <w:t>curso de agravio constitucional;</w:t>
      </w:r>
      <w:r w:rsidR="000023F8" w:rsidRPr="00C01A17">
        <w:rPr>
          <w:rFonts w:ascii="Cambria" w:hAnsi="Cambria"/>
          <w:sz w:val="20"/>
          <w:szCs w:val="20"/>
          <w:lang w:val="es-AR"/>
        </w:rPr>
        <w:t xml:space="preserve"> </w:t>
      </w:r>
      <w:r w:rsidR="005615E0">
        <w:rPr>
          <w:rFonts w:ascii="Cambria" w:hAnsi="Cambria"/>
          <w:sz w:val="20"/>
          <w:szCs w:val="20"/>
          <w:lang w:val="es-AR"/>
        </w:rPr>
        <w:t xml:space="preserve">el cual fue rechazado por el Tribunal Constitucional el </w:t>
      </w:r>
      <w:r w:rsidR="000023F8" w:rsidRPr="00C01A17">
        <w:rPr>
          <w:rFonts w:ascii="Cambria" w:hAnsi="Cambria"/>
          <w:sz w:val="20"/>
          <w:szCs w:val="20"/>
          <w:lang w:val="es-AR"/>
        </w:rPr>
        <w:t>16 de abril de 2013</w:t>
      </w:r>
      <w:r w:rsidR="005615E0">
        <w:rPr>
          <w:rFonts w:ascii="Cambria" w:hAnsi="Cambria"/>
          <w:sz w:val="20"/>
          <w:szCs w:val="20"/>
          <w:lang w:val="es-AR"/>
        </w:rPr>
        <w:t>,</w:t>
      </w:r>
      <w:r w:rsidR="000023F8" w:rsidRPr="00C01A17">
        <w:rPr>
          <w:rFonts w:ascii="Cambria" w:hAnsi="Cambria"/>
          <w:sz w:val="20"/>
          <w:szCs w:val="20"/>
          <w:lang w:val="es-AR"/>
        </w:rPr>
        <w:t xml:space="preserve"> </w:t>
      </w:r>
      <w:r w:rsidR="005615E0">
        <w:rPr>
          <w:rFonts w:ascii="Cambria" w:hAnsi="Cambria"/>
          <w:sz w:val="20"/>
          <w:szCs w:val="20"/>
          <w:lang w:val="es-AR"/>
        </w:rPr>
        <w:t>el cual reiteró</w:t>
      </w:r>
      <w:r w:rsidR="00F86523">
        <w:rPr>
          <w:rFonts w:ascii="Cambria" w:hAnsi="Cambria"/>
          <w:sz w:val="20"/>
          <w:szCs w:val="20"/>
          <w:lang w:val="es-AR"/>
        </w:rPr>
        <w:t xml:space="preserve"> que el proceso penal contó con una adecuada motivación y no se afectó ninguna garantía procesal</w:t>
      </w:r>
      <w:r w:rsidR="005615E0">
        <w:rPr>
          <w:rFonts w:ascii="Cambria" w:hAnsi="Cambria"/>
          <w:sz w:val="20"/>
          <w:szCs w:val="20"/>
          <w:lang w:val="es-AR"/>
        </w:rPr>
        <w:t xml:space="preserve"> en perjuicio de la presunta víctima</w:t>
      </w:r>
      <w:r w:rsidR="00F86523">
        <w:rPr>
          <w:rFonts w:ascii="Cambria" w:hAnsi="Cambria"/>
          <w:sz w:val="20"/>
          <w:szCs w:val="20"/>
          <w:lang w:val="es-AR"/>
        </w:rPr>
        <w:t xml:space="preserve">. </w:t>
      </w:r>
    </w:p>
    <w:p w14:paraId="189CAB68" w14:textId="4F6552A2" w:rsidR="00051E28" w:rsidRDefault="00051E28" w:rsidP="00F865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lastRenderedPageBreak/>
        <w:t xml:space="preserve">La parte peticionaria denuncia </w:t>
      </w:r>
      <w:r w:rsidR="00FB0D69">
        <w:rPr>
          <w:rFonts w:ascii="Cambria" w:hAnsi="Cambria"/>
          <w:sz w:val="20"/>
          <w:szCs w:val="20"/>
          <w:lang w:val="es-AR"/>
        </w:rPr>
        <w:t xml:space="preserve">ante la CIDH </w:t>
      </w:r>
      <w:r>
        <w:rPr>
          <w:rFonts w:ascii="Cambria" w:hAnsi="Cambria"/>
          <w:sz w:val="20"/>
          <w:szCs w:val="20"/>
          <w:lang w:val="es-AR"/>
        </w:rPr>
        <w:t>que</w:t>
      </w:r>
      <w:r w:rsidR="00623AAC">
        <w:rPr>
          <w:rFonts w:ascii="Cambria" w:hAnsi="Cambria"/>
          <w:sz w:val="20"/>
          <w:szCs w:val="20"/>
          <w:lang w:val="es-AR"/>
        </w:rPr>
        <w:t xml:space="preserve"> </w:t>
      </w:r>
      <w:r w:rsidR="00BD08AF">
        <w:rPr>
          <w:rFonts w:ascii="Cambria" w:hAnsi="Cambria"/>
          <w:sz w:val="20"/>
          <w:szCs w:val="20"/>
          <w:lang w:val="es-AR"/>
        </w:rPr>
        <w:t xml:space="preserve">tanto la </w:t>
      </w:r>
      <w:r w:rsidR="00623AAC">
        <w:rPr>
          <w:rFonts w:ascii="Cambria" w:hAnsi="Cambria"/>
          <w:sz w:val="20"/>
          <w:szCs w:val="20"/>
          <w:lang w:val="es-AR"/>
        </w:rPr>
        <w:t>investigación</w:t>
      </w:r>
      <w:r w:rsidR="00BD08AF">
        <w:rPr>
          <w:rFonts w:ascii="Cambria" w:hAnsi="Cambria"/>
          <w:sz w:val="20"/>
          <w:szCs w:val="20"/>
          <w:lang w:val="es-AR"/>
        </w:rPr>
        <w:t xml:space="preserve"> como el</w:t>
      </w:r>
      <w:r w:rsidR="00623AAC">
        <w:rPr>
          <w:rFonts w:ascii="Cambria" w:hAnsi="Cambria"/>
          <w:sz w:val="20"/>
          <w:szCs w:val="20"/>
          <w:lang w:val="es-AR"/>
        </w:rPr>
        <w:t xml:space="preserve"> </w:t>
      </w:r>
      <w:r w:rsidR="00BD08AF">
        <w:rPr>
          <w:rFonts w:ascii="Cambria" w:hAnsi="Cambria"/>
          <w:sz w:val="20"/>
          <w:szCs w:val="20"/>
          <w:lang w:val="es-AR"/>
        </w:rPr>
        <w:t>juzgamiento</w:t>
      </w:r>
      <w:r w:rsidR="00623AAC">
        <w:rPr>
          <w:rFonts w:ascii="Cambria" w:hAnsi="Cambria"/>
          <w:sz w:val="20"/>
          <w:szCs w:val="20"/>
          <w:lang w:val="es-AR"/>
        </w:rPr>
        <w:t xml:space="preserve"> penal vulneraron las garantías judiciales de la presunta víctima. Alega que</w:t>
      </w:r>
      <w:r w:rsidR="00BD08AF">
        <w:rPr>
          <w:rFonts w:ascii="Cambria" w:hAnsi="Cambria"/>
          <w:sz w:val="20"/>
          <w:szCs w:val="20"/>
          <w:lang w:val="es-AR"/>
        </w:rPr>
        <w:t xml:space="preserve"> </w:t>
      </w:r>
      <w:r w:rsidR="00623AAC">
        <w:rPr>
          <w:rFonts w:ascii="Cambria" w:hAnsi="Cambria"/>
          <w:sz w:val="20"/>
          <w:szCs w:val="20"/>
          <w:lang w:val="es-AR"/>
        </w:rPr>
        <w:t xml:space="preserve">la Policía no estableció una cadena de custodia para resguardar las pruebas, por lo que se pudo haber manipulado el audio utilizado como prueba </w:t>
      </w:r>
      <w:r w:rsidR="00BD08AF">
        <w:rPr>
          <w:rFonts w:ascii="Cambria" w:hAnsi="Cambria"/>
          <w:sz w:val="20"/>
          <w:szCs w:val="20"/>
          <w:lang w:val="es-AR"/>
        </w:rPr>
        <w:t>para condenarlo</w:t>
      </w:r>
      <w:r w:rsidR="00623AAC">
        <w:rPr>
          <w:rFonts w:ascii="Cambria" w:hAnsi="Cambria"/>
          <w:sz w:val="20"/>
          <w:szCs w:val="20"/>
          <w:lang w:val="es-AR"/>
        </w:rPr>
        <w:t xml:space="preserve">. </w:t>
      </w:r>
      <w:r w:rsidR="00D55FAB">
        <w:rPr>
          <w:rFonts w:ascii="Cambria" w:hAnsi="Cambria"/>
          <w:sz w:val="20"/>
          <w:szCs w:val="20"/>
          <w:lang w:val="es-AR"/>
        </w:rPr>
        <w:t>Q</w:t>
      </w:r>
      <w:r w:rsidR="00623AAC">
        <w:rPr>
          <w:rFonts w:ascii="Cambria" w:hAnsi="Cambria"/>
          <w:sz w:val="20"/>
          <w:szCs w:val="20"/>
          <w:lang w:val="es-AR"/>
        </w:rPr>
        <w:t>ue</w:t>
      </w:r>
      <w:r w:rsidR="00FB0D69">
        <w:rPr>
          <w:rFonts w:ascii="Cambria" w:hAnsi="Cambria"/>
          <w:sz w:val="20"/>
          <w:szCs w:val="20"/>
          <w:lang w:val="es-AR"/>
        </w:rPr>
        <w:t xml:space="preserve"> </w:t>
      </w:r>
      <w:r w:rsidR="00BD08AF">
        <w:rPr>
          <w:rFonts w:ascii="Cambria" w:hAnsi="Cambria"/>
          <w:sz w:val="20"/>
          <w:szCs w:val="20"/>
          <w:lang w:val="es-AR"/>
        </w:rPr>
        <w:t>al momento de ser detenido</w:t>
      </w:r>
      <w:r w:rsidR="00623AAC">
        <w:rPr>
          <w:rFonts w:ascii="Cambria" w:hAnsi="Cambria"/>
          <w:sz w:val="20"/>
          <w:szCs w:val="20"/>
          <w:lang w:val="es-AR"/>
        </w:rPr>
        <w:t xml:space="preserve"> se realizaron </w:t>
      </w:r>
      <w:r w:rsidR="00FB0D69">
        <w:rPr>
          <w:rFonts w:ascii="Cambria" w:hAnsi="Cambria"/>
          <w:sz w:val="20"/>
          <w:szCs w:val="20"/>
          <w:lang w:val="es-AR"/>
        </w:rPr>
        <w:t xml:space="preserve">algunas </w:t>
      </w:r>
      <w:r w:rsidR="00623AAC">
        <w:rPr>
          <w:rFonts w:ascii="Cambria" w:hAnsi="Cambria"/>
          <w:sz w:val="20"/>
          <w:szCs w:val="20"/>
          <w:lang w:val="es-AR"/>
        </w:rPr>
        <w:t xml:space="preserve">diligencias sin </w:t>
      </w:r>
      <w:r w:rsidR="00FB0D69">
        <w:rPr>
          <w:rFonts w:ascii="Cambria" w:hAnsi="Cambria"/>
          <w:sz w:val="20"/>
          <w:szCs w:val="20"/>
          <w:lang w:val="es-AR"/>
        </w:rPr>
        <w:t xml:space="preserve">la </w:t>
      </w:r>
      <w:r w:rsidR="00623AAC">
        <w:rPr>
          <w:rFonts w:ascii="Cambria" w:hAnsi="Cambria"/>
          <w:sz w:val="20"/>
          <w:szCs w:val="20"/>
          <w:lang w:val="es-AR"/>
        </w:rPr>
        <w:t xml:space="preserve">presencia de un abogado </w:t>
      </w:r>
      <w:r w:rsidR="00FB0D69">
        <w:rPr>
          <w:rFonts w:ascii="Cambria" w:hAnsi="Cambria"/>
          <w:sz w:val="20"/>
          <w:szCs w:val="20"/>
          <w:lang w:val="es-AR"/>
        </w:rPr>
        <w:t>elegido libremente por el señor Segura Rojas</w:t>
      </w:r>
      <w:r w:rsidR="00D55FAB">
        <w:rPr>
          <w:rFonts w:ascii="Cambria" w:hAnsi="Cambria"/>
          <w:sz w:val="20"/>
          <w:szCs w:val="20"/>
          <w:lang w:val="es-AR"/>
        </w:rPr>
        <w:t>,</w:t>
      </w:r>
      <w:r w:rsidR="00623AAC">
        <w:rPr>
          <w:rFonts w:ascii="Cambria" w:hAnsi="Cambria"/>
          <w:sz w:val="20"/>
          <w:szCs w:val="20"/>
          <w:lang w:val="es-AR"/>
        </w:rPr>
        <w:t xml:space="preserve"> y que no se expidió adecuadamente el acta de dec</w:t>
      </w:r>
      <w:r w:rsidR="00D55FAB">
        <w:rPr>
          <w:rFonts w:ascii="Cambria" w:hAnsi="Cambria"/>
          <w:sz w:val="20"/>
          <w:szCs w:val="20"/>
          <w:lang w:val="es-AR"/>
        </w:rPr>
        <w:t>laración de derechos. Q</w:t>
      </w:r>
      <w:r w:rsidR="00623AAC">
        <w:rPr>
          <w:rFonts w:ascii="Cambria" w:hAnsi="Cambria"/>
          <w:sz w:val="20"/>
          <w:szCs w:val="20"/>
          <w:lang w:val="es-AR"/>
        </w:rPr>
        <w:t xml:space="preserve">ue </w:t>
      </w:r>
      <w:r w:rsidR="00FB0D69">
        <w:rPr>
          <w:rFonts w:ascii="Cambria" w:hAnsi="Cambria"/>
          <w:sz w:val="20"/>
          <w:szCs w:val="20"/>
          <w:lang w:val="es-AR"/>
        </w:rPr>
        <w:t xml:space="preserve">la </w:t>
      </w:r>
      <w:r w:rsidR="00623AAC">
        <w:rPr>
          <w:rFonts w:ascii="Cambria" w:hAnsi="Cambria"/>
          <w:sz w:val="20"/>
          <w:szCs w:val="20"/>
          <w:lang w:val="es-AR"/>
        </w:rPr>
        <w:t xml:space="preserve">detención </w:t>
      </w:r>
      <w:r w:rsidR="00FB0D69">
        <w:rPr>
          <w:rFonts w:ascii="Cambria" w:hAnsi="Cambria"/>
          <w:sz w:val="20"/>
          <w:szCs w:val="20"/>
          <w:lang w:val="es-AR"/>
        </w:rPr>
        <w:t xml:space="preserve">de la presunta víctima </w:t>
      </w:r>
      <w:r w:rsidR="00623AAC">
        <w:rPr>
          <w:rFonts w:ascii="Cambria" w:hAnsi="Cambria"/>
          <w:sz w:val="20"/>
          <w:szCs w:val="20"/>
          <w:lang w:val="es-AR"/>
        </w:rPr>
        <w:t>y el registro de su domicilio fue</w:t>
      </w:r>
      <w:r w:rsidR="00D55FAB">
        <w:rPr>
          <w:rFonts w:ascii="Cambria" w:hAnsi="Cambria"/>
          <w:sz w:val="20"/>
          <w:szCs w:val="20"/>
          <w:lang w:val="es-AR"/>
        </w:rPr>
        <w:t>ron</w:t>
      </w:r>
      <w:r w:rsidR="00623AAC">
        <w:rPr>
          <w:rFonts w:ascii="Cambria" w:hAnsi="Cambria"/>
          <w:sz w:val="20"/>
          <w:szCs w:val="20"/>
          <w:lang w:val="es-AR"/>
        </w:rPr>
        <w:t xml:space="preserve"> irregular</w:t>
      </w:r>
      <w:r w:rsidR="00D55FAB">
        <w:rPr>
          <w:rFonts w:ascii="Cambria" w:hAnsi="Cambria"/>
          <w:sz w:val="20"/>
          <w:szCs w:val="20"/>
          <w:lang w:val="es-AR"/>
        </w:rPr>
        <w:t>es</w:t>
      </w:r>
      <w:r w:rsidR="00BD08AF">
        <w:rPr>
          <w:rFonts w:ascii="Cambria" w:hAnsi="Cambria"/>
          <w:sz w:val="20"/>
          <w:szCs w:val="20"/>
          <w:lang w:val="es-AR"/>
        </w:rPr>
        <w:t>.</w:t>
      </w:r>
      <w:r w:rsidR="00B324E0">
        <w:rPr>
          <w:rFonts w:ascii="Cambria" w:hAnsi="Cambria"/>
          <w:sz w:val="20"/>
          <w:szCs w:val="20"/>
          <w:lang w:val="es-AR"/>
        </w:rPr>
        <w:t xml:space="preserve"> </w:t>
      </w:r>
      <w:r w:rsidR="00D55FAB">
        <w:rPr>
          <w:rFonts w:ascii="Cambria" w:hAnsi="Cambria"/>
          <w:sz w:val="20"/>
          <w:szCs w:val="20"/>
          <w:lang w:val="es-AR"/>
        </w:rPr>
        <w:t>Y</w:t>
      </w:r>
      <w:r w:rsidR="00B324E0">
        <w:rPr>
          <w:rFonts w:ascii="Cambria" w:hAnsi="Cambria"/>
          <w:sz w:val="20"/>
          <w:szCs w:val="20"/>
          <w:lang w:val="es-AR"/>
        </w:rPr>
        <w:t xml:space="preserve"> que la demora del Tribunal Constitucio</w:t>
      </w:r>
      <w:r w:rsidR="00D55FAB">
        <w:rPr>
          <w:rFonts w:ascii="Cambria" w:hAnsi="Cambria"/>
          <w:sz w:val="20"/>
          <w:szCs w:val="20"/>
          <w:lang w:val="es-AR"/>
        </w:rPr>
        <w:t>n</w:t>
      </w:r>
      <w:r w:rsidR="00B324E0">
        <w:rPr>
          <w:rFonts w:ascii="Cambria" w:hAnsi="Cambria"/>
          <w:sz w:val="20"/>
          <w:szCs w:val="20"/>
          <w:lang w:val="es-AR"/>
        </w:rPr>
        <w:t xml:space="preserve">al en resolver el primer recurso de agravio constitucional contra la denegación de cese de la prisión preventiva afectó el derecho al plazo razonable. </w:t>
      </w:r>
    </w:p>
    <w:p w14:paraId="22F4E9C1" w14:textId="70B65C5A" w:rsidR="00623AAC" w:rsidRDefault="003D3A30" w:rsidP="00F865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Además,</w:t>
      </w:r>
      <w:r w:rsidR="00623AAC">
        <w:rPr>
          <w:rFonts w:ascii="Cambria" w:hAnsi="Cambria"/>
          <w:sz w:val="20"/>
          <w:szCs w:val="20"/>
          <w:lang w:val="es-AR"/>
        </w:rPr>
        <w:t xml:space="preserve"> que las pruebas utilizadas para sustentar la medida de prisión preventiva y su condena penal no </w:t>
      </w:r>
      <w:r>
        <w:rPr>
          <w:rFonts w:ascii="Cambria" w:hAnsi="Cambria"/>
          <w:sz w:val="20"/>
          <w:szCs w:val="20"/>
          <w:lang w:val="es-AR"/>
        </w:rPr>
        <w:t>habrían demostrado</w:t>
      </w:r>
      <w:r w:rsidR="00623AAC">
        <w:rPr>
          <w:rFonts w:ascii="Cambria" w:hAnsi="Cambria"/>
          <w:sz w:val="20"/>
          <w:szCs w:val="20"/>
          <w:lang w:val="es-AR"/>
        </w:rPr>
        <w:t xml:space="preserve"> </w:t>
      </w:r>
      <w:r w:rsidR="00BD08AF">
        <w:rPr>
          <w:rFonts w:ascii="Cambria" w:hAnsi="Cambria"/>
          <w:sz w:val="20"/>
          <w:szCs w:val="20"/>
          <w:lang w:val="es-AR"/>
        </w:rPr>
        <w:t xml:space="preserve">la </w:t>
      </w:r>
      <w:r w:rsidR="00623AAC">
        <w:rPr>
          <w:rFonts w:ascii="Cambria" w:hAnsi="Cambria"/>
          <w:sz w:val="20"/>
          <w:szCs w:val="20"/>
          <w:lang w:val="es-AR"/>
        </w:rPr>
        <w:t>culpabilidad</w:t>
      </w:r>
      <w:r w:rsidR="00624C94">
        <w:rPr>
          <w:rFonts w:ascii="Cambria" w:hAnsi="Cambria"/>
          <w:sz w:val="20"/>
          <w:szCs w:val="20"/>
          <w:lang w:val="es-AR"/>
        </w:rPr>
        <w:t xml:space="preserve"> d</w:t>
      </w:r>
      <w:r w:rsidR="00FB0D69">
        <w:rPr>
          <w:rFonts w:ascii="Cambria" w:hAnsi="Cambria"/>
          <w:sz w:val="20"/>
          <w:szCs w:val="20"/>
          <w:lang w:val="es-AR"/>
        </w:rPr>
        <w:t>el señor Rojas Segura</w:t>
      </w:r>
      <w:r w:rsidR="00623AAC">
        <w:rPr>
          <w:rFonts w:ascii="Cambria" w:hAnsi="Cambria"/>
          <w:sz w:val="20"/>
          <w:szCs w:val="20"/>
          <w:lang w:val="es-AR"/>
        </w:rPr>
        <w:t xml:space="preserve">, por lo que se </w:t>
      </w:r>
      <w:r>
        <w:rPr>
          <w:rFonts w:ascii="Cambria" w:hAnsi="Cambria"/>
          <w:sz w:val="20"/>
          <w:szCs w:val="20"/>
          <w:lang w:val="es-AR"/>
        </w:rPr>
        <w:t>habría violado</w:t>
      </w:r>
      <w:r w:rsidR="00623AAC">
        <w:rPr>
          <w:rFonts w:ascii="Cambria" w:hAnsi="Cambria"/>
          <w:sz w:val="20"/>
          <w:szCs w:val="20"/>
          <w:lang w:val="es-AR"/>
        </w:rPr>
        <w:t xml:space="preserve"> su derecho a la presunción de inocencia. </w:t>
      </w:r>
      <w:r>
        <w:rPr>
          <w:rFonts w:ascii="Cambria" w:hAnsi="Cambria"/>
          <w:sz w:val="20"/>
          <w:szCs w:val="20"/>
          <w:lang w:val="es-AR"/>
        </w:rPr>
        <w:t>Y</w:t>
      </w:r>
      <w:r w:rsidR="00AB5C4D">
        <w:rPr>
          <w:rFonts w:ascii="Cambria" w:hAnsi="Cambria"/>
          <w:sz w:val="20"/>
          <w:szCs w:val="20"/>
          <w:lang w:val="es-AR"/>
        </w:rPr>
        <w:t xml:space="preserve"> que las pruebas utilizadas para motivar la sentencia fueron obtenidas </w:t>
      </w:r>
      <w:r>
        <w:rPr>
          <w:rFonts w:ascii="Cambria" w:hAnsi="Cambria"/>
          <w:sz w:val="20"/>
          <w:szCs w:val="20"/>
          <w:lang w:val="es-AR"/>
        </w:rPr>
        <w:t>ilícitamente</w:t>
      </w:r>
      <w:r w:rsidR="00AB5C4D">
        <w:rPr>
          <w:rFonts w:ascii="Cambria" w:hAnsi="Cambria"/>
          <w:sz w:val="20"/>
          <w:szCs w:val="20"/>
          <w:lang w:val="es-AR"/>
        </w:rPr>
        <w:t xml:space="preserve"> y que </w:t>
      </w:r>
      <w:r w:rsidR="000B0152">
        <w:rPr>
          <w:rFonts w:ascii="Cambria" w:hAnsi="Cambria"/>
          <w:sz w:val="20"/>
          <w:szCs w:val="20"/>
          <w:lang w:val="es-AR"/>
        </w:rPr>
        <w:t>durante</w:t>
      </w:r>
      <w:r w:rsidR="00AB5C4D">
        <w:rPr>
          <w:rFonts w:ascii="Cambria" w:hAnsi="Cambria"/>
          <w:sz w:val="20"/>
          <w:szCs w:val="20"/>
          <w:lang w:val="es-AR"/>
        </w:rPr>
        <w:t xml:space="preserve"> el proceso</w:t>
      </w:r>
      <w:r w:rsidR="000B0152">
        <w:rPr>
          <w:rFonts w:ascii="Cambria" w:hAnsi="Cambria"/>
          <w:sz w:val="20"/>
          <w:szCs w:val="20"/>
          <w:lang w:val="es-AR"/>
        </w:rPr>
        <w:t xml:space="preserve"> se constataron varias contradicciones en</w:t>
      </w:r>
      <w:r w:rsidR="00AB5C4D">
        <w:rPr>
          <w:rFonts w:ascii="Cambria" w:hAnsi="Cambria"/>
          <w:sz w:val="20"/>
          <w:szCs w:val="20"/>
          <w:lang w:val="es-AR"/>
        </w:rPr>
        <w:t xml:space="preserve"> las declaraciones de la denunciante.</w:t>
      </w:r>
      <w:r w:rsidR="00624C94">
        <w:rPr>
          <w:rFonts w:ascii="Cambria" w:hAnsi="Cambria"/>
          <w:sz w:val="20"/>
          <w:szCs w:val="20"/>
          <w:lang w:val="es-AR"/>
        </w:rPr>
        <w:t xml:space="preserve"> Finalmente, </w:t>
      </w:r>
      <w:r>
        <w:rPr>
          <w:rFonts w:ascii="Cambria" w:hAnsi="Cambria"/>
          <w:sz w:val="20"/>
          <w:szCs w:val="20"/>
          <w:lang w:val="es-AR"/>
        </w:rPr>
        <w:t>el peticionario aduce</w:t>
      </w:r>
      <w:r w:rsidR="00624C94">
        <w:rPr>
          <w:rFonts w:ascii="Cambria" w:hAnsi="Cambria"/>
          <w:sz w:val="20"/>
          <w:szCs w:val="20"/>
          <w:lang w:val="es-AR"/>
        </w:rPr>
        <w:t xml:space="preserve"> que </w:t>
      </w:r>
      <w:r w:rsidR="00AB5C4D">
        <w:rPr>
          <w:rFonts w:ascii="Cambria" w:hAnsi="Cambria"/>
          <w:sz w:val="20"/>
          <w:szCs w:val="20"/>
          <w:lang w:val="es-AR"/>
        </w:rPr>
        <w:t xml:space="preserve">no se aplicó correctamente el tipo </w:t>
      </w:r>
      <w:r>
        <w:rPr>
          <w:rFonts w:ascii="Cambria" w:hAnsi="Cambria"/>
          <w:sz w:val="20"/>
          <w:szCs w:val="20"/>
          <w:lang w:val="es-AR"/>
        </w:rPr>
        <w:t xml:space="preserve">penal </w:t>
      </w:r>
      <w:r w:rsidR="00AB5C4D">
        <w:rPr>
          <w:rFonts w:ascii="Cambria" w:hAnsi="Cambria"/>
          <w:sz w:val="20"/>
          <w:szCs w:val="20"/>
          <w:lang w:val="es-AR"/>
        </w:rPr>
        <w:t>de cohecho</w:t>
      </w:r>
      <w:r>
        <w:rPr>
          <w:rFonts w:ascii="Cambria" w:hAnsi="Cambria"/>
          <w:sz w:val="20"/>
          <w:szCs w:val="20"/>
          <w:lang w:val="es-AR"/>
        </w:rPr>
        <w:t>,</w:t>
      </w:r>
      <w:r w:rsidR="00AB5C4D">
        <w:rPr>
          <w:rFonts w:ascii="Cambria" w:hAnsi="Cambria"/>
          <w:sz w:val="20"/>
          <w:szCs w:val="20"/>
          <w:lang w:val="es-AR"/>
        </w:rPr>
        <w:t xml:space="preserve"> y que </w:t>
      </w:r>
      <w:r w:rsidR="00624C94">
        <w:rPr>
          <w:rFonts w:ascii="Cambria" w:hAnsi="Cambria"/>
          <w:sz w:val="20"/>
          <w:szCs w:val="20"/>
          <w:lang w:val="es-AR"/>
        </w:rPr>
        <w:t xml:space="preserve">la Sala Penal Permanente de la Corte Suprema no </w:t>
      </w:r>
      <w:r w:rsidR="00AB5C4D">
        <w:rPr>
          <w:rFonts w:ascii="Cambria" w:hAnsi="Cambria"/>
          <w:sz w:val="20"/>
          <w:szCs w:val="20"/>
          <w:lang w:val="es-AR"/>
        </w:rPr>
        <w:t xml:space="preserve">utilizó </w:t>
      </w:r>
      <w:r w:rsidR="00624C94">
        <w:rPr>
          <w:rFonts w:ascii="Cambria" w:hAnsi="Cambria"/>
          <w:sz w:val="20"/>
          <w:szCs w:val="20"/>
          <w:lang w:val="es-AR"/>
        </w:rPr>
        <w:t>las normas del Nuevo Código Procesal Penal al momento de resolver la apelación, generando que se haya limit</w:t>
      </w:r>
      <w:r w:rsidR="000B0152">
        <w:rPr>
          <w:rFonts w:ascii="Cambria" w:hAnsi="Cambria"/>
          <w:sz w:val="20"/>
          <w:szCs w:val="20"/>
          <w:lang w:val="es-AR"/>
        </w:rPr>
        <w:t>a</w:t>
      </w:r>
      <w:r w:rsidR="00624C94">
        <w:rPr>
          <w:rFonts w:ascii="Cambria" w:hAnsi="Cambria"/>
          <w:sz w:val="20"/>
          <w:szCs w:val="20"/>
          <w:lang w:val="es-AR"/>
        </w:rPr>
        <w:t>do el uso de la palabra en la audiencia</w:t>
      </w:r>
      <w:r w:rsidR="000B0152">
        <w:rPr>
          <w:rFonts w:ascii="Cambria" w:hAnsi="Cambria"/>
          <w:sz w:val="20"/>
          <w:szCs w:val="20"/>
          <w:lang w:val="es-AR"/>
        </w:rPr>
        <w:t xml:space="preserve">. </w:t>
      </w:r>
    </w:p>
    <w:p w14:paraId="5AD32B80" w14:textId="3BE81224" w:rsidR="006C75B2" w:rsidRPr="0079782A" w:rsidRDefault="00051E28" w:rsidP="00051E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79782A">
        <w:rPr>
          <w:rFonts w:ascii="Cambria" w:hAnsi="Cambria"/>
          <w:sz w:val="20"/>
          <w:szCs w:val="20"/>
          <w:lang w:val="es-AR"/>
        </w:rPr>
        <w:t xml:space="preserve">El Estado, por su parte, </w:t>
      </w:r>
      <w:r w:rsidR="0079782A" w:rsidRPr="0079782A">
        <w:rPr>
          <w:rFonts w:ascii="Cambria" w:eastAsia="Times New Roman" w:hAnsi="Cambria"/>
          <w:sz w:val="20"/>
          <w:szCs w:val="20"/>
          <w:bdr w:val="none" w:sz="0" w:space="0" w:color="auto"/>
          <w:lang w:val="es-ES"/>
        </w:rPr>
        <w:t>sostiene que la petición es inadmisible pues no se han agotado los recursos de jurisdicción interna.</w:t>
      </w:r>
      <w:r w:rsidR="0079782A">
        <w:rPr>
          <w:rFonts w:ascii="Cambria" w:eastAsia="Times New Roman" w:hAnsi="Cambria"/>
          <w:sz w:val="20"/>
          <w:szCs w:val="20"/>
          <w:bdr w:val="none" w:sz="0" w:space="0" w:color="auto"/>
          <w:lang w:val="es-ES"/>
        </w:rPr>
        <w:t xml:space="preserve"> </w:t>
      </w:r>
      <w:r w:rsidR="0071074A">
        <w:rPr>
          <w:rFonts w:ascii="Cambria" w:eastAsia="Times New Roman" w:hAnsi="Cambria"/>
          <w:sz w:val="20"/>
          <w:szCs w:val="20"/>
          <w:bdr w:val="none" w:sz="0" w:space="0" w:color="auto"/>
          <w:lang w:val="es-ES"/>
        </w:rPr>
        <w:t>Precisa que la defensa de la presunta víctima interpuso en</w:t>
      </w:r>
      <w:r w:rsidR="004A6B37">
        <w:rPr>
          <w:rFonts w:ascii="Cambria" w:eastAsia="Times New Roman" w:hAnsi="Cambria"/>
          <w:sz w:val="20"/>
          <w:szCs w:val="20"/>
          <w:bdr w:val="none" w:sz="0" w:space="0" w:color="auto"/>
          <w:lang w:val="es-ES"/>
        </w:rPr>
        <w:t xml:space="preserve"> el 2015 una nueva demanda de há</w:t>
      </w:r>
      <w:r w:rsidR="0071074A">
        <w:rPr>
          <w:rFonts w:ascii="Cambria" w:eastAsia="Times New Roman" w:hAnsi="Cambria"/>
          <w:sz w:val="20"/>
          <w:szCs w:val="20"/>
          <w:bdr w:val="none" w:sz="0" w:space="0" w:color="auto"/>
          <w:lang w:val="es-ES"/>
        </w:rPr>
        <w:t xml:space="preserve">beas corpus para cuestionar la sentencia de la Corte Suprema y que </w:t>
      </w:r>
      <w:r w:rsidR="00BC63E2">
        <w:rPr>
          <w:rFonts w:ascii="Cambria" w:eastAsia="Times New Roman" w:hAnsi="Cambria"/>
          <w:sz w:val="20"/>
          <w:szCs w:val="20"/>
          <w:bdr w:val="none" w:sz="0" w:space="0" w:color="auto"/>
          <w:lang w:val="es-ES"/>
        </w:rPr>
        <w:t>dicho</w:t>
      </w:r>
      <w:r w:rsidR="0071074A">
        <w:rPr>
          <w:rFonts w:ascii="Cambria" w:eastAsia="Times New Roman" w:hAnsi="Cambria"/>
          <w:sz w:val="20"/>
          <w:szCs w:val="20"/>
          <w:bdr w:val="none" w:sz="0" w:space="0" w:color="auto"/>
          <w:lang w:val="es-ES"/>
        </w:rPr>
        <w:t xml:space="preserve"> recurso est</w:t>
      </w:r>
      <w:r w:rsidR="00BC63E2">
        <w:rPr>
          <w:rFonts w:ascii="Cambria" w:eastAsia="Times New Roman" w:hAnsi="Cambria"/>
          <w:sz w:val="20"/>
          <w:szCs w:val="20"/>
          <w:bdr w:val="none" w:sz="0" w:space="0" w:color="auto"/>
          <w:lang w:val="es-ES"/>
        </w:rPr>
        <w:t>á</w:t>
      </w:r>
      <w:r w:rsidR="0071074A">
        <w:rPr>
          <w:rFonts w:ascii="Cambria" w:eastAsia="Times New Roman" w:hAnsi="Cambria"/>
          <w:sz w:val="20"/>
          <w:szCs w:val="20"/>
          <w:bdr w:val="none" w:sz="0" w:space="0" w:color="auto"/>
          <w:lang w:val="es-ES"/>
        </w:rPr>
        <w:t xml:space="preserve"> pendiente de resolución. Asimismo, señala que la representación del señor Rojas Segura no interpuso durante la investiga</w:t>
      </w:r>
      <w:r w:rsidR="00160A42">
        <w:rPr>
          <w:rFonts w:ascii="Cambria" w:eastAsia="Times New Roman" w:hAnsi="Cambria"/>
          <w:sz w:val="20"/>
          <w:szCs w:val="20"/>
          <w:bdr w:val="none" w:sz="0" w:space="0" w:color="auto"/>
          <w:lang w:val="es-ES"/>
        </w:rPr>
        <w:t>ción preliminar un recurso de há</w:t>
      </w:r>
      <w:r w:rsidR="0071074A">
        <w:rPr>
          <w:rFonts w:ascii="Cambria" w:eastAsia="Times New Roman" w:hAnsi="Cambria"/>
          <w:sz w:val="20"/>
          <w:szCs w:val="20"/>
          <w:bdr w:val="none" w:sz="0" w:space="0" w:color="auto"/>
          <w:lang w:val="es-ES"/>
        </w:rPr>
        <w:t xml:space="preserve">beas corpus para cuestionar su detención o las diligencias realizadas por la Fiscalía. Finalmente, indica que la presunta víctima no cuestionó la imposición de la prisión preventiva en su contra, sino únicamente la denegatoria a su solicitud de cesación de tal medida cautelar, por lo que también existiría una falta de agotamiento sobre este punto. </w:t>
      </w:r>
    </w:p>
    <w:p w14:paraId="37DB68FF" w14:textId="6E4178FE" w:rsidR="0079782A" w:rsidRPr="004C1476" w:rsidRDefault="0071074A" w:rsidP="00584B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Pr>
          <w:rFonts w:ascii="Cambria" w:eastAsia="Times New Roman" w:hAnsi="Cambria"/>
          <w:sz w:val="20"/>
          <w:szCs w:val="20"/>
          <w:bdr w:val="none" w:sz="0" w:space="0" w:color="auto"/>
          <w:lang w:val="es-ES"/>
        </w:rPr>
        <w:t>Por otro lado,</w:t>
      </w:r>
      <w:r w:rsidR="00491FA2">
        <w:rPr>
          <w:rFonts w:ascii="Cambria" w:eastAsia="Times New Roman" w:hAnsi="Cambria"/>
          <w:sz w:val="20"/>
          <w:szCs w:val="20"/>
          <w:bdr w:val="none" w:sz="0" w:space="0" w:color="auto"/>
          <w:lang w:val="es-ES"/>
        </w:rPr>
        <w:t xml:space="preserve"> Perú</w:t>
      </w:r>
      <w:r>
        <w:rPr>
          <w:rFonts w:ascii="Cambria" w:eastAsia="Times New Roman" w:hAnsi="Cambria"/>
          <w:sz w:val="20"/>
          <w:szCs w:val="20"/>
          <w:bdr w:val="none" w:sz="0" w:space="0" w:color="auto"/>
          <w:lang w:val="es-ES"/>
        </w:rPr>
        <w:t xml:space="preserve"> argumenta que</w:t>
      </w:r>
      <w:r w:rsidR="00584BE3" w:rsidRPr="004C1476">
        <w:rPr>
          <w:rFonts w:ascii="Cambria" w:hAnsi="Cambria"/>
          <w:sz w:val="20"/>
          <w:szCs w:val="20"/>
          <w:lang w:val="es-US"/>
        </w:rPr>
        <w:t xml:space="preserve"> </w:t>
      </w:r>
      <w:r w:rsidR="00584BE3">
        <w:rPr>
          <w:rFonts w:ascii="Cambria" w:hAnsi="Cambria"/>
          <w:sz w:val="20"/>
          <w:szCs w:val="20"/>
          <w:lang w:val="es-ES"/>
        </w:rPr>
        <w:t>el proceso penal</w:t>
      </w:r>
      <w:r w:rsidR="00584BE3" w:rsidRPr="004C1476">
        <w:rPr>
          <w:rFonts w:ascii="Cambria" w:hAnsi="Cambria"/>
          <w:sz w:val="20"/>
          <w:szCs w:val="20"/>
          <w:lang w:val="es-US"/>
        </w:rPr>
        <w:t xml:space="preserve"> </w:t>
      </w:r>
      <w:r w:rsidR="00160A42">
        <w:rPr>
          <w:rFonts w:ascii="Cambria" w:hAnsi="Cambria"/>
          <w:sz w:val="20"/>
          <w:szCs w:val="20"/>
          <w:lang w:val="es-US"/>
        </w:rPr>
        <w:t xml:space="preserve">seguido contra el </w:t>
      </w:r>
      <w:r w:rsidR="00160A42">
        <w:rPr>
          <w:rFonts w:ascii="Cambria" w:hAnsi="Cambria"/>
          <w:sz w:val="20"/>
          <w:szCs w:val="20"/>
          <w:lang w:val="es-AR"/>
        </w:rPr>
        <w:t>señor Rojas Segura</w:t>
      </w:r>
      <w:r w:rsidR="00160A42">
        <w:rPr>
          <w:rFonts w:ascii="Cambria" w:hAnsi="Cambria"/>
          <w:sz w:val="20"/>
          <w:szCs w:val="20"/>
          <w:lang w:val="es-US"/>
        </w:rPr>
        <w:t xml:space="preserve"> se</w:t>
      </w:r>
      <w:r w:rsidR="00584BE3" w:rsidRPr="004C1476">
        <w:rPr>
          <w:rFonts w:ascii="Cambria" w:hAnsi="Cambria"/>
          <w:sz w:val="20"/>
          <w:szCs w:val="20"/>
          <w:lang w:val="es-US"/>
        </w:rPr>
        <w:t xml:space="preserve"> llevó en conformidad con el marco legal y constitucional aplicable, y en completo respeto de las garantías judiciales y el debido proceso</w:t>
      </w:r>
      <w:r w:rsidR="00584BE3">
        <w:rPr>
          <w:rFonts w:ascii="Cambria" w:hAnsi="Cambria"/>
          <w:sz w:val="20"/>
          <w:szCs w:val="20"/>
          <w:lang w:val="es-ES"/>
        </w:rPr>
        <w:t>. En razón a ello, s</w:t>
      </w:r>
      <w:proofErr w:type="spellStart"/>
      <w:r w:rsidR="00584BE3" w:rsidRPr="004C1476">
        <w:rPr>
          <w:rFonts w:ascii="Cambria" w:hAnsi="Cambria"/>
          <w:sz w:val="20"/>
          <w:szCs w:val="20"/>
          <w:lang w:val="es-US"/>
        </w:rPr>
        <w:t>olicita</w:t>
      </w:r>
      <w:proofErr w:type="spellEnd"/>
      <w:r w:rsidR="00584BE3" w:rsidRPr="004C1476">
        <w:rPr>
          <w:rFonts w:ascii="Cambria" w:hAnsi="Cambria"/>
          <w:sz w:val="20"/>
          <w:szCs w:val="20"/>
          <w:lang w:val="es-US"/>
        </w:rPr>
        <w:t xml:space="preserve"> que la petición se</w:t>
      </w:r>
      <w:r w:rsidR="00584BE3">
        <w:rPr>
          <w:rFonts w:ascii="Cambria" w:hAnsi="Cambria"/>
          <w:sz w:val="20"/>
          <w:szCs w:val="20"/>
          <w:lang w:val="es-ES"/>
        </w:rPr>
        <w:t>a</w:t>
      </w:r>
      <w:r w:rsidR="00584BE3" w:rsidRPr="004C1476">
        <w:rPr>
          <w:rFonts w:ascii="Cambria" w:hAnsi="Cambria"/>
          <w:sz w:val="20"/>
          <w:szCs w:val="20"/>
          <w:lang w:val="es-US"/>
        </w:rPr>
        <w:t xml:space="preserve"> declara</w:t>
      </w:r>
      <w:r w:rsidR="00584BE3">
        <w:rPr>
          <w:rFonts w:ascii="Cambria" w:hAnsi="Cambria"/>
          <w:sz w:val="20"/>
          <w:szCs w:val="20"/>
          <w:lang w:val="es-ES"/>
        </w:rPr>
        <w:t>da</w:t>
      </w:r>
      <w:r w:rsidR="00584BE3" w:rsidRPr="004C1476">
        <w:rPr>
          <w:rFonts w:ascii="Cambria" w:hAnsi="Cambria"/>
          <w:sz w:val="20"/>
          <w:szCs w:val="20"/>
          <w:lang w:val="es-US"/>
        </w:rPr>
        <w:t xml:space="preserve"> inadmisible con fundamento en el artículo 47(b) de la Convención Americana toda vez que considera que la pretensión del peticionario es que la Comisión actúe como un tribunal de alzada, en contradicción de su naturaleza </w:t>
      </w:r>
      <w:r w:rsidR="00584BE3" w:rsidRPr="00A3264E">
        <w:rPr>
          <w:rFonts w:ascii="Cambria" w:hAnsi="Cambria"/>
          <w:sz w:val="20"/>
          <w:szCs w:val="20"/>
          <w:lang w:val="es-ES"/>
        </w:rPr>
        <w:t>complementaria.</w:t>
      </w:r>
    </w:p>
    <w:p w14:paraId="6F4D4171" w14:textId="61F41104"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00A2153E" w14:textId="7982F616" w:rsidR="00584BE3" w:rsidRPr="00066B46" w:rsidRDefault="00584BE3" w:rsidP="00066B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84BE3">
        <w:rPr>
          <w:rFonts w:ascii="Cambria" w:hAnsi="Cambria"/>
          <w:sz w:val="20"/>
          <w:szCs w:val="20"/>
          <w:lang w:val="es-ES"/>
        </w:rPr>
        <w:t xml:space="preserve">La parte peticionaria indica que los recursos domésticos fueron agotados el </w:t>
      </w:r>
      <w:r w:rsidR="00066B46">
        <w:rPr>
          <w:rFonts w:ascii="Cambria" w:hAnsi="Cambria"/>
          <w:sz w:val="20"/>
          <w:szCs w:val="20"/>
          <w:lang w:val="es-ES"/>
        </w:rPr>
        <w:t xml:space="preserve">05 de octubre de 2010 con la decisión de la Corte Suprema de denegar el recurso de nulidad interpuesto con la sentencia de segunda instancia que confirmó la condena contra al señor Rojas Segura. </w:t>
      </w:r>
      <w:r w:rsidRPr="00066B46">
        <w:rPr>
          <w:rFonts w:ascii="Cambria" w:hAnsi="Cambria"/>
          <w:sz w:val="20"/>
          <w:szCs w:val="20"/>
          <w:lang w:val="es-ES"/>
        </w:rPr>
        <w:t>El Estado, por su parte, considera que la jurisdicción nacional no ha sido agotada, pues en el 2015 la presunta víctima inició un nuevo proceso de habeas corpus, que aún estaría pendiente de resolución</w:t>
      </w:r>
      <w:r w:rsidR="00763169">
        <w:rPr>
          <w:rFonts w:ascii="Cambria" w:hAnsi="Cambria"/>
          <w:sz w:val="20"/>
          <w:szCs w:val="20"/>
          <w:lang w:val="es-ES"/>
        </w:rPr>
        <w:t xml:space="preserve">. </w:t>
      </w:r>
    </w:p>
    <w:p w14:paraId="44E40691" w14:textId="4418C738" w:rsidR="00763169" w:rsidRPr="00B11D87" w:rsidRDefault="00584BE3" w:rsidP="00D069E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11D87">
        <w:rPr>
          <w:rFonts w:asciiTheme="majorHAnsi" w:hAnsiTheme="majorHAnsi"/>
          <w:sz w:val="20"/>
          <w:szCs w:val="20"/>
          <w:lang w:val="es-ES"/>
        </w:rPr>
        <w:t xml:space="preserve">La CIDH </w:t>
      </w:r>
      <w:r w:rsidR="0018222C" w:rsidRPr="00B11D87">
        <w:rPr>
          <w:rFonts w:asciiTheme="majorHAnsi" w:hAnsiTheme="majorHAnsi"/>
          <w:sz w:val="20"/>
          <w:szCs w:val="20"/>
          <w:lang w:val="es-ES"/>
        </w:rPr>
        <w:t xml:space="preserve">recuerda </w:t>
      </w:r>
      <w:r w:rsidRPr="004C1476">
        <w:rPr>
          <w:rFonts w:asciiTheme="majorHAnsi" w:eastAsia="Times New Roman" w:hAnsiTheme="majorHAnsi"/>
          <w:sz w:val="20"/>
          <w:szCs w:val="20"/>
          <w:bdr w:val="none" w:sz="0" w:space="0" w:color="auto"/>
          <w:lang w:val="es-US"/>
        </w:rPr>
        <w:t>que si bien, en principio, no es necesario el agotamiento de recursos extraordinarios en todos los casos, si el peticionario considera que estos pueden tener un resultado favorable en el remedio de la situación jurídica alegadamente vulnerada y decide acudir a esta vía, debe agotarlos de conformidad con las normas procesales vigentes, siempre que las condiciones de acceso a los mismos sean razonables.</w:t>
      </w:r>
      <w:r w:rsidR="0018222C" w:rsidRPr="00B11D87">
        <w:rPr>
          <w:rFonts w:asciiTheme="majorHAnsi" w:eastAsia="Times New Roman" w:hAnsiTheme="majorHAnsi"/>
          <w:sz w:val="20"/>
          <w:szCs w:val="20"/>
          <w:bdr w:val="none" w:sz="0" w:space="0" w:color="auto"/>
          <w:lang w:val="es-ES"/>
        </w:rPr>
        <w:t xml:space="preserve"> En ese sentido, observa </w:t>
      </w:r>
      <w:r w:rsidR="00D069E6" w:rsidRPr="00B11D87">
        <w:rPr>
          <w:rFonts w:asciiTheme="majorHAnsi" w:eastAsia="Times New Roman" w:hAnsiTheme="majorHAnsi"/>
          <w:sz w:val="20"/>
          <w:szCs w:val="20"/>
          <w:bdr w:val="none" w:sz="0" w:space="0" w:color="auto"/>
          <w:lang w:val="es-ES"/>
        </w:rPr>
        <w:t>que,</w:t>
      </w:r>
      <w:r w:rsidR="00066B46" w:rsidRPr="00B11D87">
        <w:rPr>
          <w:rFonts w:asciiTheme="majorHAnsi" w:eastAsia="Times New Roman" w:hAnsiTheme="majorHAnsi"/>
          <w:sz w:val="20"/>
          <w:szCs w:val="20"/>
          <w:bdr w:val="none" w:sz="0" w:space="0" w:color="auto"/>
          <w:lang w:val="es-ES"/>
        </w:rPr>
        <w:t xml:space="preserve"> tras la denegatoria de su recurso de nulidad, la defensa de la presunta víctima in</w:t>
      </w:r>
      <w:r w:rsidR="00491FA2">
        <w:rPr>
          <w:rFonts w:asciiTheme="majorHAnsi" w:eastAsia="Times New Roman" w:hAnsiTheme="majorHAnsi"/>
          <w:sz w:val="20"/>
          <w:szCs w:val="20"/>
          <w:bdr w:val="none" w:sz="0" w:space="0" w:color="auto"/>
          <w:lang w:val="es-ES"/>
        </w:rPr>
        <w:t>ició en el 2011 un proceso de hábeas corpus, que finalizó</w:t>
      </w:r>
      <w:r w:rsidR="00066B46" w:rsidRPr="00B11D87">
        <w:rPr>
          <w:rFonts w:asciiTheme="majorHAnsi" w:eastAsia="Times New Roman" w:hAnsiTheme="majorHAnsi"/>
          <w:sz w:val="20"/>
          <w:szCs w:val="20"/>
          <w:bdr w:val="none" w:sz="0" w:space="0" w:color="auto"/>
          <w:lang w:val="es-ES"/>
        </w:rPr>
        <w:t xml:space="preserve"> el </w:t>
      </w:r>
      <w:r w:rsidR="00066B46" w:rsidRPr="00B11D87">
        <w:rPr>
          <w:rFonts w:asciiTheme="majorHAnsi" w:hAnsiTheme="majorHAnsi"/>
          <w:sz w:val="20"/>
          <w:szCs w:val="20"/>
          <w:lang w:val="es-AR"/>
        </w:rPr>
        <w:t>16 de abril de 2013</w:t>
      </w:r>
      <w:r w:rsidR="00066B46" w:rsidRPr="00B11D87">
        <w:rPr>
          <w:rFonts w:asciiTheme="majorHAnsi" w:eastAsia="Times New Roman" w:hAnsiTheme="majorHAnsi"/>
          <w:sz w:val="20"/>
          <w:szCs w:val="20"/>
          <w:bdr w:val="none" w:sz="0" w:space="0" w:color="auto"/>
          <w:lang w:val="es-ES"/>
        </w:rPr>
        <w:t xml:space="preserve"> con una decisión denegatoria del Tribunal Constitucional. Asimismo, conforme a la información aportada por el Estado,</w:t>
      </w:r>
      <w:r w:rsidR="00D069E6" w:rsidRPr="00B11D87">
        <w:rPr>
          <w:rFonts w:asciiTheme="majorHAnsi" w:eastAsia="Times New Roman" w:hAnsiTheme="majorHAnsi"/>
          <w:sz w:val="20"/>
          <w:szCs w:val="20"/>
          <w:bdr w:val="none" w:sz="0" w:space="0" w:color="auto"/>
          <w:lang w:val="es-ES"/>
        </w:rPr>
        <w:t xml:space="preserve"> </w:t>
      </w:r>
      <w:r w:rsidR="00491FA2">
        <w:rPr>
          <w:rFonts w:asciiTheme="majorHAnsi" w:eastAsia="Times New Roman" w:hAnsiTheme="majorHAnsi"/>
          <w:sz w:val="20"/>
          <w:szCs w:val="20"/>
          <w:bdr w:val="none" w:sz="0" w:space="0" w:color="auto"/>
          <w:lang w:val="es-ES"/>
        </w:rPr>
        <w:t xml:space="preserve">se </w:t>
      </w:r>
      <w:r w:rsidR="00D069E6" w:rsidRPr="00B11D87">
        <w:rPr>
          <w:rFonts w:asciiTheme="majorHAnsi" w:eastAsia="Times New Roman" w:hAnsiTheme="majorHAnsi"/>
          <w:sz w:val="20"/>
          <w:szCs w:val="20"/>
          <w:bdr w:val="none" w:sz="0" w:space="0" w:color="auto"/>
          <w:lang w:val="es-ES"/>
        </w:rPr>
        <w:t>constata que</w:t>
      </w:r>
      <w:r w:rsidR="00066B46" w:rsidRPr="00B11D87">
        <w:rPr>
          <w:rFonts w:asciiTheme="majorHAnsi" w:eastAsia="Times New Roman" w:hAnsiTheme="majorHAnsi"/>
          <w:sz w:val="20"/>
          <w:szCs w:val="20"/>
          <w:bdr w:val="none" w:sz="0" w:space="0" w:color="auto"/>
          <w:lang w:val="es-ES"/>
        </w:rPr>
        <w:t xml:space="preserve"> la representación del señor Rojas Segura i</w:t>
      </w:r>
      <w:r w:rsidR="00491FA2">
        <w:rPr>
          <w:rFonts w:asciiTheme="majorHAnsi" w:eastAsia="Times New Roman" w:hAnsiTheme="majorHAnsi"/>
          <w:sz w:val="20"/>
          <w:szCs w:val="20"/>
          <w:bdr w:val="none" w:sz="0" w:space="0" w:color="auto"/>
          <w:lang w:val="es-ES"/>
        </w:rPr>
        <w:t>nterpuso una nueva demanda de há</w:t>
      </w:r>
      <w:r w:rsidR="00066B46" w:rsidRPr="00B11D87">
        <w:rPr>
          <w:rFonts w:asciiTheme="majorHAnsi" w:eastAsia="Times New Roman" w:hAnsiTheme="majorHAnsi"/>
          <w:sz w:val="20"/>
          <w:szCs w:val="20"/>
          <w:bdr w:val="none" w:sz="0" w:space="0" w:color="auto"/>
          <w:lang w:val="es-ES"/>
        </w:rPr>
        <w:t xml:space="preserve">beas corpus en el 2015 para cuestionar el referido fallo condenatorio. </w:t>
      </w:r>
      <w:r w:rsidR="00BC63E2" w:rsidRPr="00B11D87">
        <w:rPr>
          <w:rFonts w:asciiTheme="majorHAnsi" w:eastAsia="Times New Roman" w:hAnsiTheme="majorHAnsi"/>
          <w:sz w:val="20"/>
          <w:szCs w:val="20"/>
          <w:bdr w:val="none" w:sz="0" w:space="0" w:color="auto"/>
          <w:lang w:val="es-ES"/>
        </w:rPr>
        <w:t>Al respecto</w:t>
      </w:r>
      <w:r w:rsidR="00D069E6" w:rsidRPr="00B11D87">
        <w:rPr>
          <w:rFonts w:asciiTheme="majorHAnsi" w:eastAsia="Times New Roman" w:hAnsiTheme="majorHAnsi"/>
          <w:sz w:val="20"/>
          <w:szCs w:val="20"/>
          <w:bdr w:val="none" w:sz="0" w:space="0" w:color="auto"/>
          <w:lang w:val="es-ES"/>
        </w:rPr>
        <w:t xml:space="preserve">, </w:t>
      </w:r>
      <w:r w:rsidR="00763169" w:rsidRPr="00B11D87">
        <w:rPr>
          <w:rFonts w:asciiTheme="majorHAnsi" w:eastAsia="Times New Roman" w:hAnsiTheme="majorHAnsi"/>
          <w:sz w:val="20"/>
          <w:szCs w:val="20"/>
          <w:bdr w:val="none" w:sz="0" w:space="0" w:color="auto"/>
          <w:lang w:val="es-ES"/>
        </w:rPr>
        <w:t xml:space="preserve">la Comisión </w:t>
      </w:r>
      <w:r w:rsidR="00066B46" w:rsidRPr="00B11D87">
        <w:rPr>
          <w:rFonts w:asciiTheme="majorHAnsi" w:eastAsia="Times New Roman" w:hAnsiTheme="majorHAnsi"/>
          <w:sz w:val="20"/>
          <w:szCs w:val="20"/>
          <w:bdr w:val="none" w:sz="0" w:space="0" w:color="auto"/>
          <w:lang w:val="es-ES"/>
        </w:rPr>
        <w:t xml:space="preserve">ha tomado conocimiento que </w:t>
      </w:r>
      <w:r w:rsidR="00491FA2">
        <w:rPr>
          <w:rFonts w:asciiTheme="majorHAnsi" w:eastAsia="Times New Roman" w:hAnsiTheme="majorHAnsi"/>
          <w:sz w:val="20"/>
          <w:szCs w:val="20"/>
          <w:bdr w:val="none" w:sz="0" w:space="0" w:color="auto"/>
          <w:lang w:val="es-ES"/>
        </w:rPr>
        <w:t>este segundo proceso de há</w:t>
      </w:r>
      <w:r w:rsidR="00D069E6" w:rsidRPr="00B11D87">
        <w:rPr>
          <w:rFonts w:asciiTheme="majorHAnsi" w:eastAsia="Times New Roman" w:hAnsiTheme="majorHAnsi"/>
          <w:sz w:val="20"/>
          <w:szCs w:val="20"/>
          <w:bdr w:val="none" w:sz="0" w:space="0" w:color="auto"/>
          <w:lang w:val="es-ES"/>
        </w:rPr>
        <w:t>beas corpus</w:t>
      </w:r>
      <w:r w:rsidR="00066B46" w:rsidRPr="00B11D87">
        <w:rPr>
          <w:rFonts w:asciiTheme="majorHAnsi" w:eastAsia="Times New Roman" w:hAnsiTheme="majorHAnsi"/>
          <w:sz w:val="20"/>
          <w:szCs w:val="20"/>
          <w:bdr w:val="none" w:sz="0" w:space="0" w:color="auto"/>
          <w:lang w:val="es-ES"/>
        </w:rPr>
        <w:t xml:space="preserve"> finalizó el 21 de noviembre de 2017</w:t>
      </w:r>
      <w:r w:rsidR="00491FA2">
        <w:rPr>
          <w:rFonts w:asciiTheme="majorHAnsi" w:eastAsia="Times New Roman" w:hAnsiTheme="majorHAnsi"/>
          <w:sz w:val="20"/>
          <w:szCs w:val="20"/>
          <w:bdr w:val="none" w:sz="0" w:space="0" w:color="auto"/>
          <w:lang w:val="es-ES"/>
        </w:rPr>
        <w:t>,</w:t>
      </w:r>
      <w:r w:rsidR="00066B46" w:rsidRPr="00B11D87">
        <w:rPr>
          <w:rFonts w:asciiTheme="majorHAnsi" w:eastAsia="Times New Roman" w:hAnsiTheme="majorHAnsi"/>
          <w:sz w:val="20"/>
          <w:szCs w:val="20"/>
          <w:bdr w:val="none" w:sz="0" w:space="0" w:color="auto"/>
          <w:lang w:val="es-ES"/>
        </w:rPr>
        <w:t xml:space="preserve"> </w:t>
      </w:r>
      <w:r w:rsidR="00D069E6" w:rsidRPr="00B11D87">
        <w:rPr>
          <w:rFonts w:asciiTheme="majorHAnsi" w:eastAsia="Times New Roman" w:hAnsiTheme="majorHAnsi"/>
          <w:sz w:val="20"/>
          <w:szCs w:val="20"/>
          <w:bdr w:val="none" w:sz="0" w:space="0" w:color="auto"/>
          <w:lang w:val="es-ES"/>
        </w:rPr>
        <w:t>mediante una</w:t>
      </w:r>
      <w:r w:rsidR="00066B46" w:rsidRPr="00B11D87">
        <w:rPr>
          <w:rFonts w:asciiTheme="majorHAnsi" w:eastAsia="Times New Roman" w:hAnsiTheme="majorHAnsi"/>
          <w:sz w:val="20"/>
          <w:szCs w:val="20"/>
          <w:bdr w:val="none" w:sz="0" w:space="0" w:color="auto"/>
          <w:lang w:val="es-ES"/>
        </w:rPr>
        <w:t xml:space="preserve"> nueva sentencia del Tribunal Constitucional</w:t>
      </w:r>
      <w:r w:rsidR="00D069E6" w:rsidRPr="00B11D87">
        <w:rPr>
          <w:rFonts w:asciiTheme="majorHAnsi" w:eastAsia="Times New Roman" w:hAnsiTheme="majorHAnsi"/>
          <w:sz w:val="20"/>
          <w:szCs w:val="20"/>
          <w:bdr w:val="none" w:sz="0" w:space="0" w:color="auto"/>
          <w:lang w:val="es-ES"/>
        </w:rPr>
        <w:t xml:space="preserve"> que denegó el recurso tras analizar las cuestiones de fondo de la controversia</w:t>
      </w:r>
      <w:r w:rsidR="00066B46" w:rsidRPr="00B11D87">
        <w:rPr>
          <w:rStyle w:val="FootnoteReference"/>
          <w:rFonts w:asciiTheme="majorHAnsi" w:eastAsia="Times New Roman" w:hAnsiTheme="majorHAnsi"/>
          <w:sz w:val="20"/>
          <w:szCs w:val="20"/>
          <w:bdr w:val="none" w:sz="0" w:space="0" w:color="auto"/>
          <w:lang w:val="es-ES"/>
        </w:rPr>
        <w:footnoteReference w:id="6"/>
      </w:r>
      <w:r w:rsidR="00066B46" w:rsidRPr="00B11D87">
        <w:rPr>
          <w:rFonts w:asciiTheme="majorHAnsi" w:eastAsia="Times New Roman" w:hAnsiTheme="majorHAnsi"/>
          <w:sz w:val="20"/>
          <w:szCs w:val="20"/>
          <w:bdr w:val="none" w:sz="0" w:space="0" w:color="auto"/>
          <w:lang w:val="es-ES"/>
        </w:rPr>
        <w:t xml:space="preserve">. </w:t>
      </w:r>
    </w:p>
    <w:p w14:paraId="448571FD" w14:textId="6D9BBFBE" w:rsidR="00D069E6" w:rsidRPr="00D069E6" w:rsidRDefault="00415895" w:rsidP="009C6AB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069E6">
        <w:rPr>
          <w:rFonts w:asciiTheme="majorHAnsi" w:eastAsia="Times New Roman" w:hAnsiTheme="majorHAnsi"/>
          <w:sz w:val="20"/>
          <w:szCs w:val="20"/>
          <w:bdr w:val="none" w:sz="0" w:space="0" w:color="auto"/>
          <w:lang w:val="es-ES"/>
        </w:rPr>
        <w:lastRenderedPageBreak/>
        <w:t xml:space="preserve">En base a dicha información, </w:t>
      </w:r>
      <w:r w:rsidR="00763169">
        <w:rPr>
          <w:rFonts w:asciiTheme="majorHAnsi" w:eastAsia="Times New Roman" w:hAnsiTheme="majorHAnsi"/>
          <w:sz w:val="20"/>
          <w:szCs w:val="20"/>
          <w:bdr w:val="none" w:sz="0" w:space="0" w:color="auto"/>
          <w:lang w:val="es-ES"/>
        </w:rPr>
        <w:t>la CIDH corrobora</w:t>
      </w:r>
      <w:r w:rsidRPr="00D069E6">
        <w:rPr>
          <w:rFonts w:asciiTheme="majorHAnsi" w:eastAsia="Times New Roman" w:hAnsiTheme="majorHAnsi"/>
          <w:sz w:val="20"/>
          <w:szCs w:val="20"/>
          <w:bdr w:val="none" w:sz="0" w:space="0" w:color="auto"/>
          <w:lang w:val="es-ES"/>
        </w:rPr>
        <w:t xml:space="preserve"> que los recursos internos fueron agotados mientras la petición se hallaba bajo estudio de admisibilidad</w:t>
      </w:r>
      <w:r w:rsidR="009C6ABF">
        <w:rPr>
          <w:rFonts w:asciiTheme="majorHAnsi" w:eastAsia="Times New Roman" w:hAnsiTheme="majorHAnsi"/>
          <w:sz w:val="20"/>
          <w:szCs w:val="20"/>
          <w:bdr w:val="none" w:sz="0" w:space="0" w:color="auto"/>
          <w:lang w:val="es-ES"/>
        </w:rPr>
        <w:t>, mediante d</w:t>
      </w:r>
      <w:r w:rsidR="00763243">
        <w:rPr>
          <w:rFonts w:asciiTheme="majorHAnsi" w:eastAsia="Times New Roman" w:hAnsiTheme="majorHAnsi"/>
          <w:sz w:val="20"/>
          <w:szCs w:val="20"/>
          <w:bdr w:val="none" w:sz="0" w:space="0" w:color="auto"/>
          <w:lang w:val="es-ES"/>
        </w:rPr>
        <w:t>os procesos extraordinarios de há</w:t>
      </w:r>
      <w:r w:rsidR="009C6ABF">
        <w:rPr>
          <w:rFonts w:asciiTheme="majorHAnsi" w:eastAsia="Times New Roman" w:hAnsiTheme="majorHAnsi"/>
          <w:sz w:val="20"/>
          <w:szCs w:val="20"/>
          <w:bdr w:val="none" w:sz="0" w:space="0" w:color="auto"/>
          <w:lang w:val="es-ES"/>
        </w:rPr>
        <w:t xml:space="preserve">beas </w:t>
      </w:r>
      <w:r w:rsidR="00763243">
        <w:rPr>
          <w:rFonts w:asciiTheme="majorHAnsi" w:eastAsia="Times New Roman" w:hAnsiTheme="majorHAnsi"/>
          <w:sz w:val="20"/>
          <w:szCs w:val="20"/>
          <w:bdr w:val="none" w:sz="0" w:space="0" w:color="auto"/>
          <w:lang w:val="es-ES"/>
        </w:rPr>
        <w:t xml:space="preserve">a los que ya se ha hecho alusión. </w:t>
      </w:r>
      <w:r w:rsidR="00BC63E2">
        <w:rPr>
          <w:rFonts w:asciiTheme="majorHAnsi" w:eastAsia="Times New Roman" w:hAnsiTheme="majorHAnsi"/>
          <w:sz w:val="20"/>
          <w:szCs w:val="20"/>
          <w:bdr w:val="none" w:sz="0" w:space="0" w:color="auto"/>
          <w:lang w:val="es-ES"/>
        </w:rPr>
        <w:t>En razón</w:t>
      </w:r>
      <w:r w:rsidR="009C6ABF">
        <w:rPr>
          <w:rFonts w:asciiTheme="majorHAnsi" w:eastAsia="Times New Roman" w:hAnsiTheme="majorHAnsi"/>
          <w:sz w:val="20"/>
          <w:szCs w:val="20"/>
          <w:bdr w:val="none" w:sz="0" w:space="0" w:color="auto"/>
          <w:lang w:val="es-ES"/>
        </w:rPr>
        <w:t xml:space="preserve"> a ello</w:t>
      </w:r>
      <w:r w:rsidR="00BC63E2">
        <w:rPr>
          <w:rFonts w:asciiTheme="majorHAnsi" w:eastAsia="Times New Roman" w:hAnsiTheme="majorHAnsi"/>
          <w:sz w:val="20"/>
          <w:szCs w:val="20"/>
          <w:bdr w:val="none" w:sz="0" w:space="0" w:color="auto"/>
          <w:lang w:val="es-ES"/>
        </w:rPr>
        <w:t>, la Comisión</w:t>
      </w:r>
      <w:r w:rsidRPr="00D069E6">
        <w:rPr>
          <w:rFonts w:asciiTheme="majorHAnsi" w:eastAsia="Times New Roman" w:hAnsiTheme="majorHAnsi"/>
          <w:sz w:val="20"/>
          <w:szCs w:val="20"/>
          <w:bdr w:val="none" w:sz="0" w:space="0" w:color="auto"/>
          <w:lang w:val="es-ES"/>
        </w:rPr>
        <w:t xml:space="preserve"> </w:t>
      </w:r>
      <w:r w:rsidR="00D069E6" w:rsidRPr="00D069E6">
        <w:rPr>
          <w:rFonts w:asciiTheme="majorHAnsi" w:eastAsia="Times New Roman" w:hAnsiTheme="majorHAnsi"/>
          <w:sz w:val="20"/>
          <w:szCs w:val="20"/>
          <w:bdr w:val="none" w:sz="0" w:space="0" w:color="auto"/>
          <w:lang w:val="es-ES"/>
        </w:rPr>
        <w:t>encuentra</w:t>
      </w:r>
      <w:r w:rsidRPr="00D069E6">
        <w:rPr>
          <w:rFonts w:asciiTheme="majorHAnsi" w:eastAsia="Times New Roman" w:hAnsiTheme="majorHAnsi"/>
          <w:sz w:val="20"/>
          <w:szCs w:val="20"/>
          <w:bdr w:val="none" w:sz="0" w:space="0" w:color="auto"/>
          <w:lang w:val="es-ES"/>
        </w:rPr>
        <w:t xml:space="preserve"> acreditado</w:t>
      </w:r>
      <w:r w:rsidR="00763243">
        <w:rPr>
          <w:rFonts w:asciiTheme="majorHAnsi" w:eastAsia="Times New Roman" w:hAnsiTheme="majorHAnsi"/>
          <w:sz w:val="20"/>
          <w:szCs w:val="20"/>
          <w:bdr w:val="none" w:sz="0" w:space="0" w:color="auto"/>
          <w:lang w:val="es-ES"/>
        </w:rPr>
        <w:t xml:space="preserve"> formalmente</w:t>
      </w:r>
      <w:r w:rsidRPr="00D069E6">
        <w:rPr>
          <w:rFonts w:asciiTheme="majorHAnsi" w:eastAsia="Times New Roman" w:hAnsiTheme="majorHAnsi"/>
          <w:sz w:val="20"/>
          <w:szCs w:val="20"/>
          <w:bdr w:val="none" w:sz="0" w:space="0" w:color="auto"/>
          <w:lang w:val="es-ES"/>
        </w:rPr>
        <w:t xml:space="preserve"> </w:t>
      </w:r>
      <w:r w:rsidRPr="00D069E6">
        <w:rPr>
          <w:rFonts w:ascii="Cambria" w:hAnsi="Cambria"/>
          <w:sz w:val="20"/>
          <w:szCs w:val="20"/>
          <w:lang w:val="es-ES"/>
        </w:rPr>
        <w:t xml:space="preserve">el requisito establecido en el artículo 46.1.a de la Convención. </w:t>
      </w:r>
      <w:r w:rsidR="00763243">
        <w:rPr>
          <w:rFonts w:ascii="Cambria" w:eastAsia="Times New Roman" w:hAnsi="Cambria"/>
          <w:sz w:val="20"/>
          <w:szCs w:val="20"/>
          <w:bdr w:val="none" w:sz="0" w:space="0" w:color="auto"/>
          <w:lang w:val="es-ES"/>
        </w:rPr>
        <w:t>Asimismo, tomando en cuenta que la petición fue recibida en la CIDH el 18 de febrero de 2010.</w:t>
      </w:r>
    </w:p>
    <w:p w14:paraId="358B440A" w14:textId="287F1BD8" w:rsidR="00A52FF2" w:rsidRPr="00A52FF2" w:rsidRDefault="003239B8" w:rsidP="00A52FF2">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74B51EC8" w14:textId="61D50D69" w:rsidR="00A52FF2" w:rsidRPr="00A52FF2" w:rsidRDefault="00A03195" w:rsidP="00A52F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eastAsia="Times New Roman" w:hAnsi="Cambria"/>
          <w:sz w:val="20"/>
          <w:szCs w:val="20"/>
          <w:bdr w:val="none" w:sz="0" w:space="0" w:color="auto"/>
          <w:lang w:val="es-ES"/>
        </w:rPr>
        <w:t>L</w:t>
      </w:r>
      <w:r w:rsidR="00A52FF2" w:rsidRPr="004C1476">
        <w:rPr>
          <w:rFonts w:ascii="Cambria" w:eastAsia="Times New Roman" w:hAnsi="Cambria"/>
          <w:sz w:val="20"/>
          <w:szCs w:val="20"/>
          <w:bdr w:val="none" w:sz="0" w:space="0" w:color="auto"/>
          <w:lang w:val="es-US"/>
        </w:rPr>
        <w:t xml:space="preserve">a Comisión ha establecido </w:t>
      </w:r>
      <w:r>
        <w:rPr>
          <w:rFonts w:ascii="Cambria" w:eastAsia="Times New Roman" w:hAnsi="Cambria"/>
          <w:sz w:val="20"/>
          <w:szCs w:val="20"/>
          <w:bdr w:val="none" w:sz="0" w:space="0" w:color="auto"/>
          <w:lang w:val="es-US"/>
        </w:rPr>
        <w:t>que</w:t>
      </w:r>
      <w:r w:rsidR="00A52FF2" w:rsidRPr="004C1476">
        <w:rPr>
          <w:rFonts w:ascii="Cambria" w:eastAsia="Times New Roman" w:hAnsi="Cambria"/>
          <w:sz w:val="20"/>
          <w:szCs w:val="20"/>
          <w:bdr w:val="none" w:sz="0" w:space="0" w:color="auto"/>
          <w:lang w:val="es-US"/>
        </w:rPr>
        <w:t xml:space="preserv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w:t>
      </w:r>
      <w:r w:rsidR="00A52FF2" w:rsidRPr="00A52FF2">
        <w:rPr>
          <w:rFonts w:ascii="Cambria" w:eastAsia="Times New Roman" w:hAnsi="Cambria"/>
          <w:sz w:val="20"/>
          <w:szCs w:val="20"/>
          <w:bdr w:val="none" w:sz="0" w:space="0" w:color="auto"/>
          <w:lang w:val="es-ES"/>
        </w:rPr>
        <w:t xml:space="preserve">. En el presente caso, solo corresponde analizar los hechos alegados en base a la Convención Americana. </w:t>
      </w:r>
    </w:p>
    <w:p w14:paraId="054AF8CF" w14:textId="2332EADC" w:rsidR="005F4594" w:rsidRDefault="009C6ABF" w:rsidP="00A52F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52FF2">
        <w:rPr>
          <w:rFonts w:ascii="Cambria" w:hAnsi="Cambria"/>
          <w:sz w:val="20"/>
          <w:szCs w:val="20"/>
          <w:lang w:val="es-ES"/>
        </w:rPr>
        <w:t xml:space="preserve">En el presente caso, la peticionaria </w:t>
      </w:r>
      <w:r>
        <w:rPr>
          <w:rFonts w:ascii="Cambria" w:hAnsi="Cambria"/>
          <w:sz w:val="20"/>
          <w:szCs w:val="20"/>
          <w:lang w:val="es-ES"/>
        </w:rPr>
        <w:t xml:space="preserve">denuncia </w:t>
      </w:r>
      <w:r w:rsidR="00A52FF2">
        <w:rPr>
          <w:rFonts w:ascii="Cambria" w:hAnsi="Cambria"/>
          <w:sz w:val="20"/>
          <w:szCs w:val="20"/>
          <w:lang w:val="es-ES"/>
        </w:rPr>
        <w:t>que se cometieron diversas irregularidades durante el desarrollo del proceso penal en contra de la presunta víctima</w:t>
      </w:r>
      <w:r>
        <w:rPr>
          <w:rFonts w:ascii="Cambria" w:hAnsi="Cambria"/>
          <w:sz w:val="20"/>
          <w:szCs w:val="20"/>
          <w:lang w:val="es-ES"/>
        </w:rPr>
        <w:t xml:space="preserve">. </w:t>
      </w:r>
      <w:r w:rsidRPr="00A52FF2">
        <w:rPr>
          <w:rFonts w:ascii="Cambria" w:hAnsi="Cambria"/>
          <w:sz w:val="20"/>
          <w:szCs w:val="20"/>
          <w:lang w:val="es-ES"/>
        </w:rPr>
        <w:t xml:space="preserve">El Estado </w:t>
      </w:r>
      <w:r w:rsidR="00103A74">
        <w:rPr>
          <w:rFonts w:ascii="Cambria" w:hAnsi="Cambria"/>
          <w:sz w:val="20"/>
          <w:szCs w:val="20"/>
          <w:lang w:val="es-ES"/>
        </w:rPr>
        <w:t>aduce</w:t>
      </w:r>
      <w:r w:rsidRPr="00A52FF2">
        <w:rPr>
          <w:rFonts w:ascii="Cambria" w:hAnsi="Cambria"/>
          <w:sz w:val="20"/>
          <w:szCs w:val="20"/>
          <w:lang w:val="es-ES"/>
        </w:rPr>
        <w:t xml:space="preserve"> que la situación fue debidamente examinada por las autoridades judiciales domésticas</w:t>
      </w:r>
      <w:r w:rsidR="009936A6">
        <w:rPr>
          <w:rFonts w:ascii="Cambria" w:hAnsi="Cambria"/>
          <w:sz w:val="20"/>
          <w:szCs w:val="20"/>
          <w:lang w:val="es-ES"/>
        </w:rPr>
        <w:t xml:space="preserve">, </w:t>
      </w:r>
      <w:r w:rsidR="00103A74">
        <w:rPr>
          <w:rFonts w:ascii="Cambria" w:hAnsi="Cambria"/>
          <w:sz w:val="20"/>
          <w:szCs w:val="20"/>
          <w:lang w:val="es-ES"/>
        </w:rPr>
        <w:t>que</w:t>
      </w:r>
      <w:r w:rsidRPr="00A52FF2">
        <w:rPr>
          <w:rFonts w:ascii="Cambria" w:hAnsi="Cambria"/>
          <w:sz w:val="20"/>
          <w:szCs w:val="20"/>
          <w:lang w:val="es-ES"/>
        </w:rPr>
        <w:t xml:space="preserve"> concluyeron que</w:t>
      </w:r>
      <w:r w:rsidR="00A52FF2">
        <w:rPr>
          <w:rFonts w:ascii="Cambria" w:hAnsi="Cambria"/>
          <w:sz w:val="20"/>
          <w:szCs w:val="20"/>
          <w:lang w:val="es-ES"/>
        </w:rPr>
        <w:t xml:space="preserve"> no se produjo ninguna afectación de derechos y que las autoridades actuaron conforme al marco constitucional y legal aplicable. </w:t>
      </w:r>
    </w:p>
    <w:p w14:paraId="7D4071B6" w14:textId="241BB9FD" w:rsidR="00F443C2" w:rsidRDefault="00C77F52" w:rsidP="00F443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Así, luego de examinar la posición de las partes y toda la información disponible en el expediente de </w:t>
      </w:r>
      <w:r w:rsidR="00F6629D">
        <w:rPr>
          <w:rFonts w:ascii="Cambria" w:hAnsi="Cambria"/>
          <w:sz w:val="20"/>
          <w:szCs w:val="20"/>
          <w:lang w:val="es-ES"/>
        </w:rPr>
        <w:t>l</w:t>
      </w:r>
      <w:r>
        <w:rPr>
          <w:rFonts w:ascii="Cambria" w:hAnsi="Cambria"/>
          <w:sz w:val="20"/>
          <w:szCs w:val="20"/>
          <w:lang w:val="es-ES"/>
        </w:rPr>
        <w:t>a petición, l</w:t>
      </w:r>
      <w:r w:rsidR="005F4594">
        <w:rPr>
          <w:rFonts w:ascii="Cambria" w:hAnsi="Cambria"/>
          <w:sz w:val="20"/>
          <w:szCs w:val="20"/>
          <w:lang w:val="es-ES"/>
        </w:rPr>
        <w:t xml:space="preserve">a CIDH </w:t>
      </w:r>
      <w:r w:rsidR="00F443C2">
        <w:rPr>
          <w:rFonts w:ascii="Cambria" w:hAnsi="Cambria"/>
          <w:sz w:val="20"/>
          <w:szCs w:val="20"/>
          <w:lang w:val="es-ES"/>
        </w:rPr>
        <w:t xml:space="preserve">constata que las sentencias emitidas en el proceso penal motivaron su decisión en base a las diversas pruebas ofrecidas por </w:t>
      </w:r>
      <w:r w:rsidR="00F6629D">
        <w:rPr>
          <w:rFonts w:ascii="Cambria" w:hAnsi="Cambria"/>
          <w:sz w:val="20"/>
          <w:szCs w:val="20"/>
          <w:lang w:val="es-ES"/>
        </w:rPr>
        <w:t>la fiscalía, sin que se produjera</w:t>
      </w:r>
      <w:r w:rsidR="00F443C2">
        <w:rPr>
          <w:rFonts w:ascii="Cambria" w:hAnsi="Cambria"/>
          <w:sz w:val="20"/>
          <w:szCs w:val="20"/>
          <w:lang w:val="es-ES"/>
        </w:rPr>
        <w:t xml:space="preserve"> una reversión en </w:t>
      </w:r>
      <w:r w:rsidR="00F6629D">
        <w:rPr>
          <w:rFonts w:ascii="Cambria" w:hAnsi="Cambria"/>
          <w:sz w:val="20"/>
          <w:szCs w:val="20"/>
          <w:lang w:val="es-ES"/>
        </w:rPr>
        <w:t>la carga de la prueba que afectara</w:t>
      </w:r>
      <w:r w:rsidR="00F443C2">
        <w:rPr>
          <w:rFonts w:ascii="Cambria" w:hAnsi="Cambria"/>
          <w:sz w:val="20"/>
          <w:szCs w:val="20"/>
          <w:lang w:val="es-ES"/>
        </w:rPr>
        <w:t xml:space="preserve"> el derecho a la presunción de inocencia de la presunta víctima. Además, encuentra que tales decisiones determinaron que el señor Rojas Segura autorizó el acceso a su domicilio y contó con un defensor de oficio durante la diligencia. Finalmente, aprecia que la presunta víctima tuvo la oportunidad de defenderse mediante dos instancias judiciales que analizaron tanto los alegatos de hecho como de derecho presentados, y el desarrollo de los procesos de hábeas corpus fue respetuoso de las garantías judiciales. Emitiéndose en todo momento decisiones judiciales motivadas, en las cuales </w:t>
      </w:r>
      <w:r w:rsidR="00F443C2">
        <w:rPr>
          <w:rFonts w:ascii="Cambria" w:hAnsi="Cambria"/>
          <w:i/>
          <w:sz w:val="20"/>
          <w:szCs w:val="20"/>
          <w:lang w:val="es-ES"/>
        </w:rPr>
        <w:t xml:space="preserve">prima facie </w:t>
      </w:r>
      <w:r w:rsidR="00F443C2">
        <w:rPr>
          <w:rFonts w:ascii="Cambria" w:hAnsi="Cambria"/>
          <w:sz w:val="20"/>
          <w:szCs w:val="20"/>
          <w:lang w:val="es-ES"/>
        </w:rPr>
        <w:t xml:space="preserve">no se aprecian vicios o irregularidades tales que impliquen </w:t>
      </w:r>
      <w:r w:rsidR="00F6629D">
        <w:rPr>
          <w:rFonts w:ascii="Cambria" w:hAnsi="Cambria"/>
          <w:sz w:val="20"/>
          <w:szCs w:val="20"/>
          <w:lang w:val="es-ES"/>
        </w:rPr>
        <w:t xml:space="preserve">presuntamente </w:t>
      </w:r>
      <w:r w:rsidR="00F443C2">
        <w:rPr>
          <w:rFonts w:ascii="Cambria" w:hAnsi="Cambria"/>
          <w:sz w:val="20"/>
          <w:szCs w:val="20"/>
          <w:lang w:val="es-ES"/>
        </w:rPr>
        <w:t>vulneraciones a los derechos establecidos en la Convención Americana.</w:t>
      </w:r>
    </w:p>
    <w:p w14:paraId="6725CC57" w14:textId="28118F2A" w:rsidR="009C6ABF" w:rsidRPr="005F4594" w:rsidRDefault="009C6ABF" w:rsidP="00F443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F4594">
        <w:rPr>
          <w:rFonts w:ascii="Cambria" w:hAnsi="Cambria"/>
          <w:sz w:val="20"/>
          <w:szCs w:val="20"/>
          <w:lang w:val="es-ES"/>
        </w:rPr>
        <w:t xml:space="preserve">Por lo tanto, la Comisión concluye que </w:t>
      </w:r>
      <w:r w:rsidR="00E67B5B">
        <w:rPr>
          <w:rFonts w:ascii="Cambria" w:hAnsi="Cambria"/>
          <w:sz w:val="20"/>
          <w:szCs w:val="20"/>
          <w:lang w:val="es-ES"/>
        </w:rPr>
        <w:t>la petición</w:t>
      </w:r>
      <w:r w:rsidRPr="005F4594">
        <w:rPr>
          <w:rFonts w:ascii="Cambria" w:hAnsi="Cambria"/>
          <w:sz w:val="20"/>
          <w:szCs w:val="20"/>
          <w:lang w:val="es-ES"/>
        </w:rPr>
        <w:t xml:space="preserve"> resulta inadmisible con fundamento en el artículo 47 (b) de la Convención Americana, toda vez que de los hechos expuestos no se desprenden, ni siquiera </w:t>
      </w:r>
      <w:r w:rsidRPr="00F443C2">
        <w:rPr>
          <w:rFonts w:ascii="Cambria" w:hAnsi="Cambria"/>
          <w:i/>
          <w:sz w:val="20"/>
          <w:szCs w:val="20"/>
          <w:lang w:val="es-ES"/>
        </w:rPr>
        <w:t>prima facie</w:t>
      </w:r>
      <w:r w:rsidRPr="005F4594">
        <w:rPr>
          <w:rFonts w:ascii="Cambria" w:hAnsi="Cambria"/>
          <w:sz w:val="20"/>
          <w:szCs w:val="20"/>
          <w:lang w:val="es-ES"/>
        </w:rPr>
        <w:t>, posibles violaciones a la Convención</w:t>
      </w:r>
      <w:r w:rsidR="00F443C2">
        <w:rPr>
          <w:rFonts w:ascii="Cambria" w:hAnsi="Cambria"/>
          <w:sz w:val="20"/>
          <w:szCs w:val="20"/>
          <w:lang w:val="es-ES"/>
        </w:rPr>
        <w:t xml:space="preserve"> Americana</w:t>
      </w:r>
      <w:r w:rsidRPr="005F4594">
        <w:rPr>
          <w:rFonts w:ascii="Cambria" w:hAnsi="Cambria"/>
          <w:sz w:val="20"/>
          <w:szCs w:val="20"/>
          <w:lang w:val="es-ES"/>
        </w:rPr>
        <w:t>.</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18BD4617" w14:textId="7E240390" w:rsidR="009C6ABF" w:rsidRDefault="000419AD" w:rsidP="009C6ABF">
      <w:pPr>
        <w:pStyle w:val="ListParagraph"/>
        <w:numPr>
          <w:ilvl w:val="0"/>
          <w:numId w:val="109"/>
        </w:numPr>
        <w:rPr>
          <w:rFonts w:eastAsia="Arial Unicode MS" w:cs="Times New Roman"/>
          <w:color w:val="auto"/>
          <w:sz w:val="20"/>
          <w:szCs w:val="20"/>
          <w:lang w:val="es-ES" w:eastAsia="en-US"/>
        </w:rPr>
      </w:pPr>
      <w:r w:rsidRPr="009C6ABF">
        <w:rPr>
          <w:rFonts w:eastAsia="Arial Unicode MS" w:cs="Times New Roman"/>
          <w:color w:val="auto"/>
          <w:sz w:val="20"/>
          <w:szCs w:val="20"/>
          <w:lang w:val="es-ES" w:eastAsia="en-US"/>
        </w:rPr>
        <w:t>Declarar</w:t>
      </w:r>
      <w:r w:rsidRPr="00F6629D">
        <w:rPr>
          <w:rFonts w:eastAsia="Arial Unicode MS" w:cs="Times New Roman"/>
          <w:color w:val="auto"/>
          <w:sz w:val="20"/>
          <w:szCs w:val="20"/>
          <w:lang w:val="es-ES" w:eastAsia="en-US"/>
        </w:rPr>
        <w:t xml:space="preserve"> inadmisible </w:t>
      </w:r>
      <w:r w:rsidRPr="009C6ABF">
        <w:rPr>
          <w:rFonts w:eastAsia="Arial Unicode MS" w:cs="Times New Roman"/>
          <w:color w:val="auto"/>
          <w:sz w:val="20"/>
          <w:szCs w:val="20"/>
          <w:lang w:val="es-ES" w:eastAsia="en-US"/>
        </w:rPr>
        <w:t>la presente petición</w:t>
      </w:r>
      <w:r w:rsidR="009C6ABF">
        <w:rPr>
          <w:rFonts w:eastAsia="Arial Unicode MS" w:cs="Times New Roman"/>
          <w:color w:val="auto"/>
          <w:sz w:val="20"/>
          <w:szCs w:val="20"/>
          <w:lang w:val="es-ES" w:eastAsia="en-US"/>
        </w:rPr>
        <w:t>,</w:t>
      </w:r>
      <w:r w:rsidR="006F3FE0">
        <w:rPr>
          <w:rFonts w:eastAsia="Arial Unicode MS" w:cs="Times New Roman"/>
          <w:color w:val="auto"/>
          <w:sz w:val="20"/>
          <w:szCs w:val="20"/>
          <w:lang w:val="es-ES" w:eastAsia="en-US"/>
        </w:rPr>
        <w:t xml:space="preserve"> y</w:t>
      </w:r>
    </w:p>
    <w:p w14:paraId="241A7AC0" w14:textId="77777777" w:rsidR="009C6ABF" w:rsidRPr="009C6ABF" w:rsidRDefault="009C6ABF" w:rsidP="009C6ABF">
      <w:pPr>
        <w:pStyle w:val="ListParagraph"/>
        <w:rPr>
          <w:rFonts w:eastAsia="Arial Unicode MS" w:cs="Times New Roman"/>
          <w:color w:val="auto"/>
          <w:sz w:val="20"/>
          <w:szCs w:val="20"/>
          <w:lang w:val="es-ES" w:eastAsia="en-US"/>
        </w:rPr>
      </w:pPr>
    </w:p>
    <w:p w14:paraId="12A7002C" w14:textId="612A11B3"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publicar esta decisión e incluirla en su Informe Anual a la Asamblea General de la Organización de los Estados Americanos.</w:t>
      </w:r>
    </w:p>
    <w:p w14:paraId="6AC80CA6" w14:textId="22FBFD37" w:rsidR="00722C9F" w:rsidRPr="00974491" w:rsidRDefault="00407294" w:rsidP="003F2D74">
      <w:pPr>
        <w:ind w:firstLine="720"/>
        <w:jc w:val="both"/>
        <w:rPr>
          <w:rFonts w:ascii="Cambria" w:hAnsi="Cambria" w:cs="Calibri"/>
          <w:sz w:val="20"/>
          <w:szCs w:val="20"/>
          <w:lang w:val="es-ES"/>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4446C" w14:textId="77777777" w:rsidR="009E282B" w:rsidRDefault="009E282B">
      <w:r>
        <w:separator/>
      </w:r>
    </w:p>
  </w:endnote>
  <w:endnote w:type="continuationSeparator" w:id="0">
    <w:p w14:paraId="3DB1C178" w14:textId="77777777" w:rsidR="009E282B" w:rsidRDefault="009E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A5E74" w14:textId="77777777" w:rsidR="000E13E0" w:rsidRDefault="000E1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3C8A493"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E13E0">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BCF9D" w14:textId="77777777" w:rsidR="009E282B" w:rsidRPr="000F35ED" w:rsidRDefault="009E282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08A2222" w14:textId="77777777" w:rsidR="009E282B" w:rsidRPr="000F35ED" w:rsidRDefault="009E282B" w:rsidP="000F35ED">
      <w:pPr>
        <w:rPr>
          <w:rFonts w:asciiTheme="majorHAnsi" w:hAnsiTheme="majorHAnsi"/>
          <w:sz w:val="16"/>
          <w:szCs w:val="16"/>
        </w:rPr>
      </w:pPr>
      <w:r w:rsidRPr="000F35ED">
        <w:rPr>
          <w:rFonts w:asciiTheme="majorHAnsi" w:hAnsiTheme="majorHAnsi"/>
          <w:sz w:val="16"/>
          <w:szCs w:val="16"/>
        </w:rPr>
        <w:separator/>
      </w:r>
    </w:p>
    <w:p w14:paraId="4E4C2D9F" w14:textId="77777777" w:rsidR="009E282B" w:rsidRPr="000F35ED" w:rsidRDefault="009E282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152D46C" w14:textId="77777777" w:rsidR="009E282B" w:rsidRPr="000F35ED" w:rsidRDefault="009E282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553DFE0B" w:rsidR="004A6A54" w:rsidRPr="00656619" w:rsidRDefault="004A6A54" w:rsidP="00656619">
      <w:pPr>
        <w:pStyle w:val="FootnoteText"/>
        <w:ind w:firstLine="720"/>
        <w:jc w:val="both"/>
        <w:rPr>
          <w:rFonts w:asciiTheme="majorHAnsi" w:hAnsiTheme="majorHAnsi"/>
          <w:sz w:val="16"/>
          <w:szCs w:val="16"/>
          <w:lang w:val="es-ES"/>
        </w:rPr>
      </w:pPr>
      <w:r w:rsidRPr="00656619">
        <w:rPr>
          <w:rStyle w:val="FootnoteReference"/>
          <w:rFonts w:asciiTheme="majorHAnsi" w:hAnsiTheme="majorHAnsi"/>
          <w:sz w:val="16"/>
          <w:szCs w:val="16"/>
        </w:rPr>
        <w:footnoteRef/>
      </w:r>
      <w:r w:rsidRPr="00656619">
        <w:rPr>
          <w:rFonts w:asciiTheme="majorHAnsi" w:hAnsiTheme="majorHAnsi"/>
          <w:sz w:val="16"/>
          <w:szCs w:val="16"/>
          <w:lang w:val="es-ES"/>
        </w:rPr>
        <w:t xml:space="preserve"> Conforme a lo dispuesto en el artículo 17.2.a del Reglamento de la Comisión, </w:t>
      </w:r>
      <w:r w:rsidR="007D408F" w:rsidRPr="00656619">
        <w:rPr>
          <w:rFonts w:asciiTheme="majorHAnsi" w:hAnsiTheme="majorHAnsi"/>
          <w:sz w:val="16"/>
          <w:szCs w:val="16"/>
          <w:lang w:val="es-ES"/>
        </w:rPr>
        <w:t>a</w:t>
      </w:r>
      <w:r w:rsidRPr="00656619">
        <w:rPr>
          <w:rFonts w:asciiTheme="majorHAnsi" w:hAnsiTheme="majorHAnsi"/>
          <w:sz w:val="16"/>
          <w:szCs w:val="16"/>
          <w:lang w:val="es-ES"/>
        </w:rPr>
        <w:t>l Comisionad</w:t>
      </w:r>
      <w:r w:rsidR="007D408F" w:rsidRPr="00656619">
        <w:rPr>
          <w:rFonts w:asciiTheme="majorHAnsi" w:hAnsiTheme="majorHAnsi"/>
          <w:sz w:val="16"/>
          <w:szCs w:val="16"/>
          <w:lang w:val="es-ES"/>
        </w:rPr>
        <w:t>a</w:t>
      </w:r>
      <w:r w:rsidRPr="00656619">
        <w:rPr>
          <w:rFonts w:asciiTheme="majorHAnsi" w:hAnsiTheme="majorHAnsi"/>
          <w:sz w:val="16"/>
          <w:szCs w:val="16"/>
          <w:lang w:val="es-ES"/>
        </w:rPr>
        <w:t xml:space="preserve"> </w:t>
      </w:r>
      <w:r w:rsidR="007D408F" w:rsidRPr="00656619">
        <w:rPr>
          <w:rFonts w:asciiTheme="majorHAnsi" w:hAnsiTheme="majorHAnsi"/>
          <w:sz w:val="16"/>
          <w:szCs w:val="16"/>
          <w:lang w:val="es-ES"/>
        </w:rPr>
        <w:t>Julissa Mantilla Falcón</w:t>
      </w:r>
      <w:r w:rsidRPr="00656619">
        <w:rPr>
          <w:rFonts w:asciiTheme="majorHAnsi" w:hAnsiTheme="majorHAnsi"/>
          <w:sz w:val="16"/>
          <w:szCs w:val="16"/>
          <w:lang w:val="es-ES"/>
        </w:rPr>
        <w:t xml:space="preserve">, de nacionalidad </w:t>
      </w:r>
      <w:r w:rsidR="007D408F" w:rsidRPr="00656619">
        <w:rPr>
          <w:rFonts w:asciiTheme="majorHAnsi" w:hAnsiTheme="majorHAnsi"/>
          <w:sz w:val="16"/>
          <w:szCs w:val="16"/>
          <w:lang w:val="es-ES"/>
        </w:rPr>
        <w:t>peruana</w:t>
      </w:r>
      <w:r w:rsidRPr="00656619">
        <w:rPr>
          <w:rFonts w:asciiTheme="majorHAnsi" w:hAnsiTheme="majorHAnsi"/>
          <w:sz w:val="16"/>
          <w:szCs w:val="16"/>
          <w:lang w:val="es-ES"/>
        </w:rPr>
        <w:t>, no participó en el debate ni en la decisión del presente asunto.</w:t>
      </w:r>
    </w:p>
  </w:footnote>
  <w:footnote w:id="3">
    <w:p w14:paraId="72A4FFBF" w14:textId="77777777" w:rsidR="00E500F8" w:rsidRPr="00656619" w:rsidRDefault="00E500F8" w:rsidP="00656619">
      <w:pPr>
        <w:pStyle w:val="FootnoteText"/>
        <w:ind w:firstLine="720"/>
        <w:jc w:val="both"/>
        <w:rPr>
          <w:rFonts w:asciiTheme="majorHAnsi" w:hAnsiTheme="majorHAnsi"/>
          <w:sz w:val="16"/>
          <w:szCs w:val="16"/>
          <w:lang w:val="es-ES"/>
        </w:rPr>
      </w:pPr>
      <w:r w:rsidRPr="00656619">
        <w:rPr>
          <w:rStyle w:val="FootnoteReference"/>
          <w:rFonts w:asciiTheme="majorHAnsi" w:hAnsiTheme="majorHAnsi"/>
          <w:sz w:val="16"/>
          <w:szCs w:val="16"/>
        </w:rPr>
        <w:footnoteRef/>
      </w:r>
      <w:r w:rsidRPr="00656619">
        <w:rPr>
          <w:rFonts w:asciiTheme="majorHAnsi" w:hAnsiTheme="majorHAnsi"/>
          <w:sz w:val="16"/>
          <w:szCs w:val="16"/>
          <w:lang w:val="es-ES"/>
        </w:rPr>
        <w:t xml:space="preserve">  En adelante “la Convención Americana” o “la Convención”. </w:t>
      </w:r>
    </w:p>
  </w:footnote>
  <w:footnote w:id="4">
    <w:p w14:paraId="344C3DEE" w14:textId="67335ED3" w:rsidR="00F36FBD" w:rsidRPr="00656619" w:rsidRDefault="00F36FBD" w:rsidP="00656619">
      <w:pPr>
        <w:pStyle w:val="FootnoteText"/>
        <w:ind w:firstLine="720"/>
        <w:jc w:val="both"/>
        <w:rPr>
          <w:rFonts w:asciiTheme="majorHAnsi" w:hAnsiTheme="majorHAnsi"/>
          <w:sz w:val="16"/>
          <w:szCs w:val="16"/>
          <w:lang w:val="es-ES"/>
        </w:rPr>
      </w:pPr>
      <w:r w:rsidRPr="00656619">
        <w:rPr>
          <w:rStyle w:val="FootnoteReference"/>
          <w:rFonts w:asciiTheme="majorHAnsi" w:hAnsiTheme="majorHAnsi"/>
          <w:sz w:val="16"/>
          <w:szCs w:val="16"/>
        </w:rPr>
        <w:footnoteRef/>
      </w:r>
      <w:r w:rsidRPr="00656619">
        <w:rPr>
          <w:rFonts w:asciiTheme="majorHAnsi" w:hAnsiTheme="majorHAnsi"/>
          <w:sz w:val="16"/>
          <w:szCs w:val="16"/>
          <w:lang w:val="es-ES"/>
        </w:rPr>
        <w:t xml:space="preserve"> En adelante “la Declaración Americana” o “la Declaración”.</w:t>
      </w:r>
    </w:p>
  </w:footnote>
  <w:footnote w:id="5">
    <w:p w14:paraId="79F07139" w14:textId="77777777" w:rsidR="008E3BFE" w:rsidRPr="00656619" w:rsidRDefault="008E3BFE" w:rsidP="00656619">
      <w:pPr>
        <w:pStyle w:val="FootnoteText"/>
        <w:spacing w:after="120"/>
        <w:ind w:firstLine="720"/>
        <w:jc w:val="both"/>
        <w:rPr>
          <w:rFonts w:asciiTheme="majorHAnsi" w:hAnsiTheme="majorHAnsi"/>
          <w:sz w:val="16"/>
          <w:szCs w:val="16"/>
          <w:lang w:val="es-ES"/>
        </w:rPr>
      </w:pPr>
      <w:r w:rsidRPr="00656619">
        <w:rPr>
          <w:rStyle w:val="FootnoteReference"/>
          <w:rFonts w:asciiTheme="majorHAnsi" w:hAnsiTheme="majorHAnsi"/>
          <w:sz w:val="16"/>
          <w:szCs w:val="16"/>
        </w:rPr>
        <w:footnoteRef/>
      </w:r>
      <w:r w:rsidRPr="00656619">
        <w:rPr>
          <w:rFonts w:asciiTheme="majorHAnsi" w:hAnsiTheme="majorHAnsi"/>
          <w:sz w:val="16"/>
          <w:szCs w:val="16"/>
          <w:lang w:val="es-ES"/>
        </w:rPr>
        <w:t xml:space="preserve"> Las observaciones de cada parte fueron debidamente trasladadas a la parte contraria.</w:t>
      </w:r>
    </w:p>
  </w:footnote>
  <w:footnote w:id="6">
    <w:p w14:paraId="795A3142" w14:textId="77F78665" w:rsidR="00066B46" w:rsidRPr="00656619" w:rsidRDefault="00066B46" w:rsidP="00656619">
      <w:pPr>
        <w:pStyle w:val="FootnoteText"/>
        <w:ind w:firstLine="720"/>
        <w:jc w:val="both"/>
        <w:rPr>
          <w:rFonts w:asciiTheme="majorHAnsi" w:hAnsiTheme="majorHAnsi"/>
          <w:sz w:val="16"/>
          <w:szCs w:val="16"/>
          <w:lang w:val="es-US"/>
        </w:rPr>
      </w:pPr>
      <w:r w:rsidRPr="00656619">
        <w:rPr>
          <w:rStyle w:val="FootnoteReference"/>
          <w:rFonts w:asciiTheme="majorHAnsi" w:hAnsiTheme="majorHAnsi"/>
          <w:sz w:val="16"/>
          <w:szCs w:val="16"/>
        </w:rPr>
        <w:footnoteRef/>
      </w:r>
      <w:r w:rsidRPr="00656619">
        <w:rPr>
          <w:rFonts w:asciiTheme="majorHAnsi" w:hAnsiTheme="majorHAnsi"/>
          <w:sz w:val="16"/>
          <w:szCs w:val="16"/>
          <w:lang w:val="es-ES"/>
        </w:rPr>
        <w:t xml:space="preserve"> Sentencia </w:t>
      </w:r>
      <w:r w:rsidR="00415895" w:rsidRPr="00656619">
        <w:rPr>
          <w:rFonts w:asciiTheme="majorHAnsi" w:hAnsiTheme="majorHAnsi"/>
          <w:sz w:val="16"/>
          <w:szCs w:val="16"/>
          <w:lang w:val="es-ES"/>
        </w:rPr>
        <w:t xml:space="preserve">del Tribunal Constitucional del Perú recaída en el expediente 04929-2015-PHC. Disponible en: </w:t>
      </w:r>
      <w:hyperlink r:id="rId1" w:history="1">
        <w:r w:rsidR="00415895" w:rsidRPr="00656619">
          <w:rPr>
            <w:rStyle w:val="Hyperlink"/>
            <w:rFonts w:asciiTheme="majorHAnsi" w:hAnsiTheme="majorHAnsi"/>
            <w:sz w:val="16"/>
            <w:szCs w:val="16"/>
            <w:lang w:val="es-US"/>
          </w:rPr>
          <w:t>https://tc.gob.pe/jurisprudencia/2018/04929-2015-HC.pdf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E282B"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4C3C3" w14:textId="77777777" w:rsidR="000E13E0" w:rsidRDefault="000E13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3F8"/>
    <w:rsid w:val="00006E1F"/>
    <w:rsid w:val="000070D7"/>
    <w:rsid w:val="0001788C"/>
    <w:rsid w:val="000337EF"/>
    <w:rsid w:val="00040C3A"/>
    <w:rsid w:val="000419AD"/>
    <w:rsid w:val="000433C9"/>
    <w:rsid w:val="00051E28"/>
    <w:rsid w:val="00052838"/>
    <w:rsid w:val="00066B46"/>
    <w:rsid w:val="000708FF"/>
    <w:rsid w:val="000716C5"/>
    <w:rsid w:val="00071EE4"/>
    <w:rsid w:val="00073673"/>
    <w:rsid w:val="00075E23"/>
    <w:rsid w:val="0009344A"/>
    <w:rsid w:val="000A3324"/>
    <w:rsid w:val="000A392E"/>
    <w:rsid w:val="000A575F"/>
    <w:rsid w:val="000B0152"/>
    <w:rsid w:val="000D05CB"/>
    <w:rsid w:val="000D10DB"/>
    <w:rsid w:val="000E13E0"/>
    <w:rsid w:val="000E5EB5"/>
    <w:rsid w:val="000F35ED"/>
    <w:rsid w:val="00103A74"/>
    <w:rsid w:val="00107131"/>
    <w:rsid w:val="0010736F"/>
    <w:rsid w:val="00113F73"/>
    <w:rsid w:val="00121CC2"/>
    <w:rsid w:val="00131425"/>
    <w:rsid w:val="00133EE5"/>
    <w:rsid w:val="00160A42"/>
    <w:rsid w:val="00167A34"/>
    <w:rsid w:val="0018222C"/>
    <w:rsid w:val="001A6A96"/>
    <w:rsid w:val="001A7870"/>
    <w:rsid w:val="001B3A00"/>
    <w:rsid w:val="001C1B41"/>
    <w:rsid w:val="001D65EF"/>
    <w:rsid w:val="001E49E7"/>
    <w:rsid w:val="001F7201"/>
    <w:rsid w:val="00212636"/>
    <w:rsid w:val="00223A29"/>
    <w:rsid w:val="002250A3"/>
    <w:rsid w:val="00232267"/>
    <w:rsid w:val="00235217"/>
    <w:rsid w:val="00237261"/>
    <w:rsid w:val="00246D1F"/>
    <w:rsid w:val="00246FDA"/>
    <w:rsid w:val="00247403"/>
    <w:rsid w:val="00247542"/>
    <w:rsid w:val="00266B61"/>
    <w:rsid w:val="0026712A"/>
    <w:rsid w:val="002704DB"/>
    <w:rsid w:val="00292EB5"/>
    <w:rsid w:val="002A0AAE"/>
    <w:rsid w:val="002A5820"/>
    <w:rsid w:val="002A7464"/>
    <w:rsid w:val="002D2B26"/>
    <w:rsid w:val="002D7EA2"/>
    <w:rsid w:val="002E187C"/>
    <w:rsid w:val="002F32C6"/>
    <w:rsid w:val="00300491"/>
    <w:rsid w:val="00302733"/>
    <w:rsid w:val="00314078"/>
    <w:rsid w:val="0031535D"/>
    <w:rsid w:val="003177B8"/>
    <w:rsid w:val="003239B8"/>
    <w:rsid w:val="0033169F"/>
    <w:rsid w:val="00344977"/>
    <w:rsid w:val="00346C95"/>
    <w:rsid w:val="00351B7E"/>
    <w:rsid w:val="00356185"/>
    <w:rsid w:val="00360380"/>
    <w:rsid w:val="0037519E"/>
    <w:rsid w:val="00375271"/>
    <w:rsid w:val="00375281"/>
    <w:rsid w:val="00386CF0"/>
    <w:rsid w:val="00391C49"/>
    <w:rsid w:val="003A658B"/>
    <w:rsid w:val="003B70FB"/>
    <w:rsid w:val="003C676B"/>
    <w:rsid w:val="003D3A30"/>
    <w:rsid w:val="003D3BC2"/>
    <w:rsid w:val="003D489E"/>
    <w:rsid w:val="003E6CA1"/>
    <w:rsid w:val="003F2D74"/>
    <w:rsid w:val="00405B6C"/>
    <w:rsid w:val="00405F9C"/>
    <w:rsid w:val="004065A8"/>
    <w:rsid w:val="00407294"/>
    <w:rsid w:val="00415895"/>
    <w:rsid w:val="004165C2"/>
    <w:rsid w:val="004331DF"/>
    <w:rsid w:val="00441ECB"/>
    <w:rsid w:val="00445193"/>
    <w:rsid w:val="00462C1B"/>
    <w:rsid w:val="00467B7E"/>
    <w:rsid w:val="00473BB4"/>
    <w:rsid w:val="00474845"/>
    <w:rsid w:val="00477592"/>
    <w:rsid w:val="00486F1C"/>
    <w:rsid w:val="00491FA2"/>
    <w:rsid w:val="0049419D"/>
    <w:rsid w:val="004A6A54"/>
    <w:rsid w:val="004A6B37"/>
    <w:rsid w:val="004B4E96"/>
    <w:rsid w:val="004C1476"/>
    <w:rsid w:val="004C20D2"/>
    <w:rsid w:val="004C2312"/>
    <w:rsid w:val="004C4B62"/>
    <w:rsid w:val="004C54C9"/>
    <w:rsid w:val="004D4ABA"/>
    <w:rsid w:val="004D5701"/>
    <w:rsid w:val="004D6025"/>
    <w:rsid w:val="004E2649"/>
    <w:rsid w:val="004E527D"/>
    <w:rsid w:val="004F626F"/>
    <w:rsid w:val="00501399"/>
    <w:rsid w:val="0050633D"/>
    <w:rsid w:val="00507BC4"/>
    <w:rsid w:val="005128E4"/>
    <w:rsid w:val="005133DB"/>
    <w:rsid w:val="00514504"/>
    <w:rsid w:val="00525560"/>
    <w:rsid w:val="005275A9"/>
    <w:rsid w:val="00532636"/>
    <w:rsid w:val="00544C49"/>
    <w:rsid w:val="005516A1"/>
    <w:rsid w:val="005559EF"/>
    <w:rsid w:val="005615E0"/>
    <w:rsid w:val="00563557"/>
    <w:rsid w:val="0057402A"/>
    <w:rsid w:val="005771D0"/>
    <w:rsid w:val="00584BE3"/>
    <w:rsid w:val="0059191A"/>
    <w:rsid w:val="005921FF"/>
    <w:rsid w:val="005A24ED"/>
    <w:rsid w:val="005A6D0E"/>
    <w:rsid w:val="005B52B0"/>
    <w:rsid w:val="005B6806"/>
    <w:rsid w:val="005C4225"/>
    <w:rsid w:val="005D0091"/>
    <w:rsid w:val="005D38F9"/>
    <w:rsid w:val="005F0DAD"/>
    <w:rsid w:val="005F0F33"/>
    <w:rsid w:val="005F4594"/>
    <w:rsid w:val="00600DEB"/>
    <w:rsid w:val="00623AAC"/>
    <w:rsid w:val="00624C94"/>
    <w:rsid w:val="00627C9F"/>
    <w:rsid w:val="006311E9"/>
    <w:rsid w:val="00632354"/>
    <w:rsid w:val="00635421"/>
    <w:rsid w:val="00642810"/>
    <w:rsid w:val="00652333"/>
    <w:rsid w:val="00656619"/>
    <w:rsid w:val="0068009E"/>
    <w:rsid w:val="00681F34"/>
    <w:rsid w:val="00692219"/>
    <w:rsid w:val="006A17D2"/>
    <w:rsid w:val="006A73E6"/>
    <w:rsid w:val="006B2D5C"/>
    <w:rsid w:val="006C4EB1"/>
    <w:rsid w:val="006C75B2"/>
    <w:rsid w:val="006E0166"/>
    <w:rsid w:val="006E2FFB"/>
    <w:rsid w:val="006E7B34"/>
    <w:rsid w:val="006F3FE0"/>
    <w:rsid w:val="0070697F"/>
    <w:rsid w:val="0071074A"/>
    <w:rsid w:val="00710874"/>
    <w:rsid w:val="0072199C"/>
    <w:rsid w:val="00722C9F"/>
    <w:rsid w:val="007253B8"/>
    <w:rsid w:val="00735E18"/>
    <w:rsid w:val="0073741F"/>
    <w:rsid w:val="00763169"/>
    <w:rsid w:val="00763243"/>
    <w:rsid w:val="0076643F"/>
    <w:rsid w:val="00771AE7"/>
    <w:rsid w:val="00777F63"/>
    <w:rsid w:val="00784A60"/>
    <w:rsid w:val="0079782A"/>
    <w:rsid w:val="007A476B"/>
    <w:rsid w:val="007A5817"/>
    <w:rsid w:val="007B05C4"/>
    <w:rsid w:val="007B60E9"/>
    <w:rsid w:val="007B6CC3"/>
    <w:rsid w:val="007B76D3"/>
    <w:rsid w:val="007C3334"/>
    <w:rsid w:val="007D2B98"/>
    <w:rsid w:val="007D408F"/>
    <w:rsid w:val="007E21BC"/>
    <w:rsid w:val="007E7C82"/>
    <w:rsid w:val="007F2AA1"/>
    <w:rsid w:val="007F588D"/>
    <w:rsid w:val="00803F1C"/>
    <w:rsid w:val="0080600E"/>
    <w:rsid w:val="00814688"/>
    <w:rsid w:val="00817612"/>
    <w:rsid w:val="00831AF7"/>
    <w:rsid w:val="008338A4"/>
    <w:rsid w:val="00834D49"/>
    <w:rsid w:val="00837C45"/>
    <w:rsid w:val="00844730"/>
    <w:rsid w:val="00844B56"/>
    <w:rsid w:val="008457C2"/>
    <w:rsid w:val="00857A82"/>
    <w:rsid w:val="00873836"/>
    <w:rsid w:val="00882835"/>
    <w:rsid w:val="00885737"/>
    <w:rsid w:val="00890650"/>
    <w:rsid w:val="008914BA"/>
    <w:rsid w:val="00897E12"/>
    <w:rsid w:val="008A7E0F"/>
    <w:rsid w:val="008B12F5"/>
    <w:rsid w:val="008B1656"/>
    <w:rsid w:val="008C5E2D"/>
    <w:rsid w:val="008D768D"/>
    <w:rsid w:val="008E3759"/>
    <w:rsid w:val="008E3BFE"/>
    <w:rsid w:val="008F1912"/>
    <w:rsid w:val="0090270B"/>
    <w:rsid w:val="009041DC"/>
    <w:rsid w:val="00917B5A"/>
    <w:rsid w:val="00920A58"/>
    <w:rsid w:val="00920A8C"/>
    <w:rsid w:val="00934A2C"/>
    <w:rsid w:val="00960E02"/>
    <w:rsid w:val="009617D8"/>
    <w:rsid w:val="0096706E"/>
    <w:rsid w:val="00970D73"/>
    <w:rsid w:val="00971389"/>
    <w:rsid w:val="00974491"/>
    <w:rsid w:val="00975C4E"/>
    <w:rsid w:val="00981FBA"/>
    <w:rsid w:val="009936A6"/>
    <w:rsid w:val="009948CC"/>
    <w:rsid w:val="00997BC5"/>
    <w:rsid w:val="009A4F41"/>
    <w:rsid w:val="009B381B"/>
    <w:rsid w:val="009C6ABF"/>
    <w:rsid w:val="009D1753"/>
    <w:rsid w:val="009D7611"/>
    <w:rsid w:val="009E0B61"/>
    <w:rsid w:val="009E282B"/>
    <w:rsid w:val="009E53DE"/>
    <w:rsid w:val="009F3CCA"/>
    <w:rsid w:val="00A03195"/>
    <w:rsid w:val="00A11212"/>
    <w:rsid w:val="00A11E44"/>
    <w:rsid w:val="00A30100"/>
    <w:rsid w:val="00A328B3"/>
    <w:rsid w:val="00A50FCF"/>
    <w:rsid w:val="00A528D1"/>
    <w:rsid w:val="00A52FF2"/>
    <w:rsid w:val="00A610CD"/>
    <w:rsid w:val="00A6527C"/>
    <w:rsid w:val="00A758AA"/>
    <w:rsid w:val="00AA09A2"/>
    <w:rsid w:val="00AA7996"/>
    <w:rsid w:val="00AB5C4D"/>
    <w:rsid w:val="00AC19CB"/>
    <w:rsid w:val="00AD3BBB"/>
    <w:rsid w:val="00AD523B"/>
    <w:rsid w:val="00AE5488"/>
    <w:rsid w:val="00AE6F91"/>
    <w:rsid w:val="00AF5571"/>
    <w:rsid w:val="00B07341"/>
    <w:rsid w:val="00B11D87"/>
    <w:rsid w:val="00B27C26"/>
    <w:rsid w:val="00B30539"/>
    <w:rsid w:val="00B314DB"/>
    <w:rsid w:val="00B324E0"/>
    <w:rsid w:val="00B361F2"/>
    <w:rsid w:val="00B3718B"/>
    <w:rsid w:val="00B3745F"/>
    <w:rsid w:val="00B4632A"/>
    <w:rsid w:val="00B530F1"/>
    <w:rsid w:val="00B7459F"/>
    <w:rsid w:val="00B83D4B"/>
    <w:rsid w:val="00BA276C"/>
    <w:rsid w:val="00BB306F"/>
    <w:rsid w:val="00BC63E2"/>
    <w:rsid w:val="00BD08AF"/>
    <w:rsid w:val="00BD4B89"/>
    <w:rsid w:val="00BD5922"/>
    <w:rsid w:val="00BF02CB"/>
    <w:rsid w:val="00BF6FD8"/>
    <w:rsid w:val="00C01A17"/>
    <w:rsid w:val="00C03680"/>
    <w:rsid w:val="00C04151"/>
    <w:rsid w:val="00C054DF"/>
    <w:rsid w:val="00C21762"/>
    <w:rsid w:val="00C21FEF"/>
    <w:rsid w:val="00C23BA4"/>
    <w:rsid w:val="00C24543"/>
    <w:rsid w:val="00C256A2"/>
    <w:rsid w:val="00C25ADB"/>
    <w:rsid w:val="00C279C6"/>
    <w:rsid w:val="00C51515"/>
    <w:rsid w:val="00C5660B"/>
    <w:rsid w:val="00C6545D"/>
    <w:rsid w:val="00C66B72"/>
    <w:rsid w:val="00C77F52"/>
    <w:rsid w:val="00C80B23"/>
    <w:rsid w:val="00C87AC4"/>
    <w:rsid w:val="00C9567A"/>
    <w:rsid w:val="00CB212D"/>
    <w:rsid w:val="00CB2660"/>
    <w:rsid w:val="00CC5E90"/>
    <w:rsid w:val="00CD046C"/>
    <w:rsid w:val="00CE076C"/>
    <w:rsid w:val="00CE5199"/>
    <w:rsid w:val="00CE66D5"/>
    <w:rsid w:val="00CF0FE5"/>
    <w:rsid w:val="00CF637A"/>
    <w:rsid w:val="00D01C9C"/>
    <w:rsid w:val="00D059DE"/>
    <w:rsid w:val="00D05ABD"/>
    <w:rsid w:val="00D069E6"/>
    <w:rsid w:val="00D13FCE"/>
    <w:rsid w:val="00D306D1"/>
    <w:rsid w:val="00D30800"/>
    <w:rsid w:val="00D34786"/>
    <w:rsid w:val="00D37BFC"/>
    <w:rsid w:val="00D47A8E"/>
    <w:rsid w:val="00D51520"/>
    <w:rsid w:val="00D52D14"/>
    <w:rsid w:val="00D55FAB"/>
    <w:rsid w:val="00D712D3"/>
    <w:rsid w:val="00D71422"/>
    <w:rsid w:val="00D72DC6"/>
    <w:rsid w:val="00D7558D"/>
    <w:rsid w:val="00D81D92"/>
    <w:rsid w:val="00D876F9"/>
    <w:rsid w:val="00DA7B5F"/>
    <w:rsid w:val="00DC11E7"/>
    <w:rsid w:val="00DC24E3"/>
    <w:rsid w:val="00DC7023"/>
    <w:rsid w:val="00DC769A"/>
    <w:rsid w:val="00DD3D86"/>
    <w:rsid w:val="00DD4AD2"/>
    <w:rsid w:val="00DF1EC4"/>
    <w:rsid w:val="00E0340B"/>
    <w:rsid w:val="00E04A90"/>
    <w:rsid w:val="00E0551F"/>
    <w:rsid w:val="00E10E50"/>
    <w:rsid w:val="00E15694"/>
    <w:rsid w:val="00E219C7"/>
    <w:rsid w:val="00E4118C"/>
    <w:rsid w:val="00E43157"/>
    <w:rsid w:val="00E461CE"/>
    <w:rsid w:val="00E476EA"/>
    <w:rsid w:val="00E500F8"/>
    <w:rsid w:val="00E56550"/>
    <w:rsid w:val="00E573E4"/>
    <w:rsid w:val="00E60B0A"/>
    <w:rsid w:val="00E64C3D"/>
    <w:rsid w:val="00E67B5B"/>
    <w:rsid w:val="00E720CA"/>
    <w:rsid w:val="00E84EB5"/>
    <w:rsid w:val="00E85662"/>
    <w:rsid w:val="00E8789F"/>
    <w:rsid w:val="00E97B71"/>
    <w:rsid w:val="00EA3D34"/>
    <w:rsid w:val="00EB454D"/>
    <w:rsid w:val="00ED549D"/>
    <w:rsid w:val="00ED76BE"/>
    <w:rsid w:val="00EE00E9"/>
    <w:rsid w:val="00EF1AAA"/>
    <w:rsid w:val="00EF619B"/>
    <w:rsid w:val="00F00B55"/>
    <w:rsid w:val="00F02AD1"/>
    <w:rsid w:val="00F253CC"/>
    <w:rsid w:val="00F36FBD"/>
    <w:rsid w:val="00F37106"/>
    <w:rsid w:val="00F443C2"/>
    <w:rsid w:val="00F44E25"/>
    <w:rsid w:val="00F519CF"/>
    <w:rsid w:val="00F56BA5"/>
    <w:rsid w:val="00F60E22"/>
    <w:rsid w:val="00F6629D"/>
    <w:rsid w:val="00F81395"/>
    <w:rsid w:val="00F81BB8"/>
    <w:rsid w:val="00F86523"/>
    <w:rsid w:val="00F90C64"/>
    <w:rsid w:val="00F917D1"/>
    <w:rsid w:val="00F9653B"/>
    <w:rsid w:val="00FB0D69"/>
    <w:rsid w:val="00FB1317"/>
    <w:rsid w:val="00FB5EC4"/>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15895"/>
    <w:rPr>
      <w:color w:val="605E5C"/>
      <w:shd w:val="clear" w:color="auto" w:fill="E1DFDD"/>
    </w:rPr>
  </w:style>
  <w:style w:type="character" w:styleId="FollowedHyperlink">
    <w:name w:val="FollowedHyperlink"/>
    <w:basedOn w:val="DefaultParagraphFont"/>
    <w:uiPriority w:val="99"/>
    <w:semiHidden/>
    <w:unhideWhenUsed/>
    <w:rsid w:val="00D069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2577">
      <w:bodyDiv w:val="1"/>
      <w:marLeft w:val="0"/>
      <w:marRight w:val="0"/>
      <w:marTop w:val="0"/>
      <w:marBottom w:val="0"/>
      <w:divBdr>
        <w:top w:val="none" w:sz="0" w:space="0" w:color="auto"/>
        <w:left w:val="none" w:sz="0" w:space="0" w:color="auto"/>
        <w:bottom w:val="none" w:sz="0" w:space="0" w:color="auto"/>
        <w:right w:val="none" w:sz="0" w:space="0" w:color="auto"/>
      </w:divBdr>
    </w:div>
    <w:div w:id="226961787">
      <w:bodyDiv w:val="1"/>
      <w:marLeft w:val="0"/>
      <w:marRight w:val="0"/>
      <w:marTop w:val="0"/>
      <w:marBottom w:val="0"/>
      <w:divBdr>
        <w:top w:val="none" w:sz="0" w:space="0" w:color="auto"/>
        <w:left w:val="none" w:sz="0" w:space="0" w:color="auto"/>
        <w:bottom w:val="none" w:sz="0" w:space="0" w:color="auto"/>
        <w:right w:val="none" w:sz="0" w:space="0" w:color="auto"/>
      </w:divBdr>
    </w:div>
    <w:div w:id="408036697">
      <w:bodyDiv w:val="1"/>
      <w:marLeft w:val="0"/>
      <w:marRight w:val="0"/>
      <w:marTop w:val="0"/>
      <w:marBottom w:val="0"/>
      <w:divBdr>
        <w:top w:val="none" w:sz="0" w:space="0" w:color="auto"/>
        <w:left w:val="none" w:sz="0" w:space="0" w:color="auto"/>
        <w:bottom w:val="none" w:sz="0" w:space="0" w:color="auto"/>
        <w:right w:val="none" w:sz="0" w:space="0" w:color="auto"/>
      </w:divBdr>
    </w:div>
    <w:div w:id="667683325">
      <w:bodyDiv w:val="1"/>
      <w:marLeft w:val="0"/>
      <w:marRight w:val="0"/>
      <w:marTop w:val="0"/>
      <w:marBottom w:val="0"/>
      <w:divBdr>
        <w:top w:val="none" w:sz="0" w:space="0" w:color="auto"/>
        <w:left w:val="none" w:sz="0" w:space="0" w:color="auto"/>
        <w:bottom w:val="none" w:sz="0" w:space="0" w:color="auto"/>
        <w:right w:val="none" w:sz="0" w:space="0" w:color="auto"/>
      </w:divBdr>
    </w:div>
    <w:div w:id="839462983">
      <w:bodyDiv w:val="1"/>
      <w:marLeft w:val="0"/>
      <w:marRight w:val="0"/>
      <w:marTop w:val="0"/>
      <w:marBottom w:val="0"/>
      <w:divBdr>
        <w:top w:val="none" w:sz="0" w:space="0" w:color="auto"/>
        <w:left w:val="none" w:sz="0" w:space="0" w:color="auto"/>
        <w:bottom w:val="none" w:sz="0" w:space="0" w:color="auto"/>
        <w:right w:val="none" w:sz="0" w:space="0" w:color="auto"/>
      </w:divBdr>
    </w:div>
    <w:div w:id="123026893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55764138">
      <w:bodyDiv w:val="1"/>
      <w:marLeft w:val="0"/>
      <w:marRight w:val="0"/>
      <w:marTop w:val="0"/>
      <w:marBottom w:val="0"/>
      <w:divBdr>
        <w:top w:val="none" w:sz="0" w:space="0" w:color="auto"/>
        <w:left w:val="none" w:sz="0" w:space="0" w:color="auto"/>
        <w:bottom w:val="none" w:sz="0" w:space="0" w:color="auto"/>
        <w:right w:val="none" w:sz="0" w:space="0" w:color="auto"/>
      </w:divBdr>
    </w:div>
    <w:div w:id="1370452364">
      <w:bodyDiv w:val="1"/>
      <w:marLeft w:val="0"/>
      <w:marRight w:val="0"/>
      <w:marTop w:val="0"/>
      <w:marBottom w:val="0"/>
      <w:divBdr>
        <w:top w:val="none" w:sz="0" w:space="0" w:color="auto"/>
        <w:left w:val="none" w:sz="0" w:space="0" w:color="auto"/>
        <w:bottom w:val="none" w:sz="0" w:space="0" w:color="auto"/>
        <w:right w:val="none" w:sz="0" w:space="0" w:color="auto"/>
      </w:divBdr>
    </w:div>
    <w:div w:id="1539581929">
      <w:bodyDiv w:val="1"/>
      <w:marLeft w:val="0"/>
      <w:marRight w:val="0"/>
      <w:marTop w:val="0"/>
      <w:marBottom w:val="0"/>
      <w:divBdr>
        <w:top w:val="none" w:sz="0" w:space="0" w:color="auto"/>
        <w:left w:val="none" w:sz="0" w:space="0" w:color="auto"/>
        <w:bottom w:val="none" w:sz="0" w:space="0" w:color="auto"/>
        <w:right w:val="none" w:sz="0" w:space="0" w:color="auto"/>
      </w:divBdr>
    </w:div>
    <w:div w:id="1687101638">
      <w:bodyDiv w:val="1"/>
      <w:marLeft w:val="0"/>
      <w:marRight w:val="0"/>
      <w:marTop w:val="0"/>
      <w:marBottom w:val="0"/>
      <w:divBdr>
        <w:top w:val="none" w:sz="0" w:space="0" w:color="auto"/>
        <w:left w:val="none" w:sz="0" w:space="0" w:color="auto"/>
        <w:bottom w:val="none" w:sz="0" w:space="0" w:color="auto"/>
        <w:right w:val="none" w:sz="0" w:space="0" w:color="auto"/>
      </w:divBdr>
    </w:div>
    <w:div w:id="172251385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5713994">
      <w:bodyDiv w:val="1"/>
      <w:marLeft w:val="0"/>
      <w:marRight w:val="0"/>
      <w:marTop w:val="0"/>
      <w:marBottom w:val="0"/>
      <w:divBdr>
        <w:top w:val="none" w:sz="0" w:space="0" w:color="auto"/>
        <w:left w:val="none" w:sz="0" w:space="0" w:color="auto"/>
        <w:bottom w:val="none" w:sz="0" w:space="0" w:color="auto"/>
        <w:right w:val="none" w:sz="0" w:space="0" w:color="auto"/>
      </w:divBdr>
    </w:div>
    <w:div w:id="1976831749">
      <w:bodyDiv w:val="1"/>
      <w:marLeft w:val="0"/>
      <w:marRight w:val="0"/>
      <w:marTop w:val="0"/>
      <w:marBottom w:val="0"/>
      <w:divBdr>
        <w:top w:val="none" w:sz="0" w:space="0" w:color="auto"/>
        <w:left w:val="none" w:sz="0" w:space="0" w:color="auto"/>
        <w:bottom w:val="none" w:sz="0" w:space="0" w:color="auto"/>
        <w:right w:val="none" w:sz="0" w:space="0" w:color="auto"/>
      </w:divBdr>
    </w:div>
    <w:div w:id="1989246185">
      <w:bodyDiv w:val="1"/>
      <w:marLeft w:val="0"/>
      <w:marRight w:val="0"/>
      <w:marTop w:val="0"/>
      <w:marBottom w:val="0"/>
      <w:divBdr>
        <w:top w:val="none" w:sz="0" w:space="0" w:color="auto"/>
        <w:left w:val="none" w:sz="0" w:space="0" w:color="auto"/>
        <w:bottom w:val="none" w:sz="0" w:space="0" w:color="auto"/>
        <w:right w:val="none" w:sz="0" w:space="0" w:color="auto"/>
      </w:divBdr>
    </w:div>
    <w:div w:id="2045594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c.gob.pe/jurisprudencia/2018/04929-2015-HC.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37E3"/>
    <w:rsid w:val="0006632F"/>
    <w:rsid w:val="00200821"/>
    <w:rsid w:val="00215BB6"/>
    <w:rsid w:val="0025245B"/>
    <w:rsid w:val="002A3923"/>
    <w:rsid w:val="00380277"/>
    <w:rsid w:val="00394049"/>
    <w:rsid w:val="004B5BBB"/>
    <w:rsid w:val="004C3EA8"/>
    <w:rsid w:val="004F2DF8"/>
    <w:rsid w:val="00653AA3"/>
    <w:rsid w:val="006F24A1"/>
    <w:rsid w:val="007A2D53"/>
    <w:rsid w:val="007C5E25"/>
    <w:rsid w:val="00827F00"/>
    <w:rsid w:val="00835946"/>
    <w:rsid w:val="00874008"/>
    <w:rsid w:val="009A261B"/>
    <w:rsid w:val="00AA2E17"/>
    <w:rsid w:val="00AC15A4"/>
    <w:rsid w:val="00B0336C"/>
    <w:rsid w:val="00BD5C5E"/>
    <w:rsid w:val="00D241E9"/>
    <w:rsid w:val="00D7750D"/>
    <w:rsid w:val="00DB3AE1"/>
    <w:rsid w:val="00DE299A"/>
    <w:rsid w:val="00F00D2F"/>
    <w:rsid w:val="00F128DF"/>
    <w:rsid w:val="00FA1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F4A01-3F89-4E0E-8024-179E6BCE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2400</Words>
  <Characters>12724</Characters>
  <Application>Microsoft Office Word</Application>
  <DocSecurity>0</DocSecurity>
  <Lines>231</Lines>
  <Paragraphs>64</Paragraphs>
  <ScaleCrop>false</ScaleCrop>
  <Company/>
  <LinksUpToDate>false</LinksUpToDate>
  <CharactersWithSpaces>15060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172/20</dc:title>
  <dc:creator/>
  <cp:lastModifiedBy/>
  <cp:revision>1</cp:revision>
  <dcterms:created xsi:type="dcterms:W3CDTF">2020-08-03T17:33:00Z</dcterms:created>
  <dcterms:modified xsi:type="dcterms:W3CDTF">2020-08-03T17:33:00Z</dcterms:modified>
</cp:coreProperties>
</file>